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75" w:rsidRDefault="00662675" w:rsidP="00662675">
      <w:pPr>
        <w:jc w:val="center"/>
      </w:pPr>
    </w:p>
    <w:p w:rsidR="00662675" w:rsidRDefault="00662675" w:rsidP="00662675">
      <w:pPr>
        <w:jc w:val="center"/>
      </w:pPr>
    </w:p>
    <w:p w:rsidR="00662675" w:rsidRDefault="00662675" w:rsidP="00662675">
      <w:pPr>
        <w:jc w:val="center"/>
      </w:pPr>
    </w:p>
    <w:p w:rsidR="00662675" w:rsidRDefault="00662675" w:rsidP="00662675">
      <w:pPr>
        <w:jc w:val="center"/>
      </w:pPr>
    </w:p>
    <w:p w:rsidR="002356A8" w:rsidRDefault="002356A8" w:rsidP="00662675">
      <w:pPr>
        <w:jc w:val="center"/>
      </w:pPr>
    </w:p>
    <w:p w:rsidR="002356A8" w:rsidRDefault="002356A8" w:rsidP="00662675">
      <w:pPr>
        <w:jc w:val="center"/>
      </w:pPr>
    </w:p>
    <w:p w:rsidR="00662675" w:rsidRDefault="00F903DD" w:rsidP="00662675">
      <w:pPr>
        <w:jc w:val="center"/>
      </w:pPr>
      <w:r>
        <w:rPr>
          <w:noProof/>
        </w:rPr>
        <w:drawing>
          <wp:inline distT="0" distB="0" distL="0" distR="0">
            <wp:extent cx="2806700" cy="457200"/>
            <wp:effectExtent l="19050" t="0" r="0" b="0"/>
            <wp:docPr id="1" name="Picture 1" descr="http://idoc.pacificorp.us/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oc.pacificorp.us/File/File63898.jpg"/>
                    <pic:cNvPicPr>
                      <a:picLocks noChangeAspect="1" noChangeArrowheads="1"/>
                    </pic:cNvPicPr>
                  </pic:nvPicPr>
                  <pic:blipFill>
                    <a:blip r:embed="rId7" cstate="print"/>
                    <a:srcRect/>
                    <a:stretch>
                      <a:fillRect/>
                    </a:stretch>
                  </pic:blipFill>
                  <pic:spPr bwMode="auto">
                    <a:xfrm>
                      <a:off x="0" y="0"/>
                      <a:ext cx="2806700" cy="457200"/>
                    </a:xfrm>
                    <a:prstGeom prst="rect">
                      <a:avLst/>
                    </a:prstGeom>
                    <a:noFill/>
                    <a:ln w="9525">
                      <a:noFill/>
                      <a:miter lim="800000"/>
                      <a:headEnd/>
                      <a:tailEnd/>
                    </a:ln>
                  </pic:spPr>
                </pic:pic>
              </a:graphicData>
            </a:graphic>
          </wp:inline>
        </w:drawing>
      </w:r>
    </w:p>
    <w:p w:rsidR="00662675" w:rsidRDefault="00662675" w:rsidP="00662675">
      <w:pPr>
        <w:jc w:val="center"/>
      </w:pPr>
    </w:p>
    <w:p w:rsidR="00662675" w:rsidRDefault="00662675" w:rsidP="00662675">
      <w:pPr>
        <w:jc w:val="center"/>
      </w:pPr>
    </w:p>
    <w:p w:rsidR="00662675" w:rsidRDefault="00662675" w:rsidP="00662675">
      <w:pPr>
        <w:jc w:val="center"/>
      </w:pPr>
    </w:p>
    <w:p w:rsidR="00662675" w:rsidRDefault="00662675" w:rsidP="00662675">
      <w:pPr>
        <w:jc w:val="center"/>
      </w:pPr>
    </w:p>
    <w:p w:rsidR="00662675" w:rsidRPr="00662675" w:rsidRDefault="00662675" w:rsidP="00662675">
      <w:pPr>
        <w:jc w:val="center"/>
        <w:rPr>
          <w:b/>
          <w:sz w:val="32"/>
          <w:szCs w:val="32"/>
        </w:rPr>
      </w:pPr>
      <w:smartTag w:uri="urn:schemas-microsoft-com:office:smarttags" w:element="State">
        <w:smartTag w:uri="urn:schemas-microsoft-com:office:smarttags" w:element="place">
          <w:r w:rsidRPr="00662675">
            <w:rPr>
              <w:b/>
              <w:sz w:val="32"/>
              <w:szCs w:val="32"/>
            </w:rPr>
            <w:t>Washington</w:t>
          </w:r>
        </w:smartTag>
      </w:smartTag>
      <w:r w:rsidRPr="00662675">
        <w:rPr>
          <w:b/>
          <w:sz w:val="32"/>
          <w:szCs w:val="32"/>
        </w:rPr>
        <w:t xml:space="preserve"> </w:t>
      </w:r>
    </w:p>
    <w:p w:rsidR="00662675" w:rsidRPr="00662675" w:rsidRDefault="00EB22A1" w:rsidP="00662675">
      <w:pPr>
        <w:jc w:val="center"/>
        <w:rPr>
          <w:b/>
          <w:sz w:val="32"/>
          <w:szCs w:val="32"/>
        </w:rPr>
      </w:pPr>
      <w:r>
        <w:rPr>
          <w:b/>
          <w:sz w:val="32"/>
          <w:szCs w:val="32"/>
        </w:rPr>
        <w:t>Electric Reliability Annual Monitoring and Reporting Plan</w:t>
      </w:r>
    </w:p>
    <w:p w:rsidR="00662675" w:rsidRPr="00662675" w:rsidRDefault="00662675" w:rsidP="00662675">
      <w:pPr>
        <w:jc w:val="center"/>
        <w:rPr>
          <w:b/>
          <w:sz w:val="28"/>
          <w:szCs w:val="28"/>
        </w:rPr>
      </w:pPr>
    </w:p>
    <w:p w:rsidR="00662675" w:rsidRDefault="006F726B" w:rsidP="00662675">
      <w:pPr>
        <w:jc w:val="center"/>
        <w:rPr>
          <w:b/>
          <w:sz w:val="28"/>
          <w:szCs w:val="28"/>
        </w:rPr>
      </w:pPr>
      <w:r>
        <w:rPr>
          <w:b/>
          <w:sz w:val="28"/>
          <w:szCs w:val="28"/>
        </w:rPr>
        <w:t xml:space="preserve"> Pursuant to </w:t>
      </w:r>
      <w:smartTag w:uri="urn:schemas-microsoft-com:office:smarttags" w:element="stockticker">
        <w:r w:rsidR="00662675" w:rsidRPr="00662675">
          <w:rPr>
            <w:b/>
            <w:sz w:val="28"/>
            <w:szCs w:val="28"/>
          </w:rPr>
          <w:t>WAC</w:t>
        </w:r>
      </w:smartTag>
      <w:r w:rsidR="00662675" w:rsidRPr="00662675">
        <w:rPr>
          <w:b/>
          <w:sz w:val="28"/>
          <w:szCs w:val="28"/>
        </w:rPr>
        <w:t xml:space="preserve"> 480-100-393</w:t>
      </w:r>
    </w:p>
    <w:p w:rsidR="00662675" w:rsidRDefault="00662675" w:rsidP="00662675">
      <w:pPr>
        <w:jc w:val="center"/>
        <w:rPr>
          <w:b/>
          <w:sz w:val="28"/>
          <w:szCs w:val="28"/>
        </w:rPr>
      </w:pPr>
    </w:p>
    <w:p w:rsidR="00662675" w:rsidRDefault="00662675" w:rsidP="00662675">
      <w:pP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1237A1" w:rsidP="00662675">
      <w:pPr>
        <w:jc w:val="center"/>
        <w:rPr>
          <w:b/>
          <w:sz w:val="28"/>
          <w:szCs w:val="28"/>
        </w:rPr>
      </w:pPr>
      <w:proofErr w:type="gramStart"/>
      <w:r>
        <w:rPr>
          <w:b/>
          <w:sz w:val="28"/>
          <w:szCs w:val="28"/>
        </w:rPr>
        <w:t>April</w:t>
      </w:r>
      <w:r w:rsidR="001B6EB8">
        <w:rPr>
          <w:b/>
          <w:sz w:val="28"/>
          <w:szCs w:val="28"/>
        </w:rPr>
        <w:t xml:space="preserve"> </w:t>
      </w:r>
      <w:r w:rsidR="00EB22A1">
        <w:rPr>
          <w:b/>
          <w:sz w:val="28"/>
          <w:szCs w:val="28"/>
        </w:rPr>
        <w:t xml:space="preserve"> </w:t>
      </w:r>
      <w:r w:rsidR="00662675">
        <w:rPr>
          <w:b/>
          <w:sz w:val="28"/>
          <w:szCs w:val="28"/>
        </w:rPr>
        <w:t>20</w:t>
      </w:r>
      <w:r w:rsidR="000D592F">
        <w:rPr>
          <w:b/>
          <w:sz w:val="28"/>
          <w:szCs w:val="28"/>
        </w:rPr>
        <w:t>11</w:t>
      </w:r>
      <w:proofErr w:type="gramEnd"/>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EF1388" w:rsidRPr="00EF1388" w:rsidRDefault="00662675" w:rsidP="00EF1388">
      <w:pPr>
        <w:pStyle w:val="Heading1"/>
        <w:numPr>
          <w:ilvl w:val="0"/>
          <w:numId w:val="0"/>
        </w:numPr>
        <w:jc w:val="center"/>
        <w:rPr>
          <w:rFonts w:ascii="Times New Roman" w:hAnsi="Times New Roman" w:cs="Times New Roman"/>
          <w:u w:val="single"/>
        </w:rPr>
      </w:pPr>
      <w:bookmarkStart w:id="0" w:name="_Toc109534371"/>
      <w:bookmarkStart w:id="1" w:name="_Toc134265785"/>
      <w:bookmarkStart w:id="2" w:name="_Toc142121068"/>
      <w:bookmarkStart w:id="3" w:name="_Toc142122699"/>
      <w:bookmarkStart w:id="4" w:name="_Toc162665961"/>
      <w:bookmarkStart w:id="5" w:name="_Toc175132260"/>
      <w:bookmarkStart w:id="6" w:name="_Toc288411624"/>
      <w:r w:rsidRPr="00EF1388">
        <w:rPr>
          <w:rFonts w:ascii="Times New Roman" w:hAnsi="Times New Roman" w:cs="Times New Roman"/>
          <w:u w:val="single"/>
        </w:rPr>
        <w:lastRenderedPageBreak/>
        <w:t>T</w:t>
      </w:r>
      <w:bookmarkEnd w:id="0"/>
      <w:bookmarkEnd w:id="1"/>
      <w:bookmarkEnd w:id="2"/>
      <w:bookmarkEnd w:id="3"/>
      <w:bookmarkEnd w:id="4"/>
      <w:bookmarkEnd w:id="5"/>
      <w:r w:rsidR="009768A1">
        <w:rPr>
          <w:rFonts w:ascii="Times New Roman" w:hAnsi="Times New Roman" w:cs="Times New Roman"/>
          <w:u w:val="single"/>
        </w:rPr>
        <w:t>able of Contents</w:t>
      </w:r>
      <w:bookmarkEnd w:id="6"/>
    </w:p>
    <w:p w:rsidR="00EF1388" w:rsidRDefault="00EF1388" w:rsidP="00662675"/>
    <w:p w:rsidR="00206BBD" w:rsidRDefault="00320CE5">
      <w:pPr>
        <w:pStyle w:val="TOC1"/>
        <w:rPr>
          <w:rFonts w:asciiTheme="minorHAnsi" w:eastAsiaTheme="minorEastAsia" w:hAnsiTheme="minorHAnsi" w:cstheme="minorBidi"/>
          <w:noProof/>
          <w:sz w:val="22"/>
          <w:szCs w:val="22"/>
        </w:rPr>
      </w:pPr>
      <w:r w:rsidRPr="00AF280F">
        <w:rPr>
          <w:sz w:val="24"/>
          <w:szCs w:val="24"/>
        </w:rPr>
        <w:fldChar w:fldCharType="begin"/>
      </w:r>
      <w:r w:rsidR="00662675" w:rsidRPr="00AF280F">
        <w:rPr>
          <w:sz w:val="24"/>
          <w:szCs w:val="24"/>
        </w:rPr>
        <w:instrText xml:space="preserve"> TOC \o "1-3" \h \z \u </w:instrText>
      </w:r>
      <w:r w:rsidRPr="00AF280F">
        <w:rPr>
          <w:sz w:val="24"/>
          <w:szCs w:val="24"/>
        </w:rPr>
        <w:fldChar w:fldCharType="separate"/>
      </w:r>
      <w:hyperlink w:anchor="_Toc288411624" w:history="1">
        <w:r w:rsidR="00206BBD" w:rsidRPr="00D77384">
          <w:rPr>
            <w:rStyle w:val="Hyperlink"/>
            <w:noProof/>
          </w:rPr>
          <w:t>Table of Contents</w:t>
        </w:r>
        <w:r w:rsidR="00206BBD">
          <w:rPr>
            <w:noProof/>
            <w:webHidden/>
          </w:rPr>
          <w:tab/>
        </w:r>
        <w:r>
          <w:rPr>
            <w:noProof/>
            <w:webHidden/>
          </w:rPr>
          <w:fldChar w:fldCharType="begin"/>
        </w:r>
        <w:r w:rsidR="00206BBD">
          <w:rPr>
            <w:noProof/>
            <w:webHidden/>
          </w:rPr>
          <w:instrText xml:space="preserve"> PAGEREF _Toc288411624 \h </w:instrText>
        </w:r>
        <w:r>
          <w:rPr>
            <w:noProof/>
            <w:webHidden/>
          </w:rPr>
        </w:r>
        <w:r>
          <w:rPr>
            <w:noProof/>
            <w:webHidden/>
          </w:rPr>
          <w:fldChar w:fldCharType="separate"/>
        </w:r>
        <w:r w:rsidR="00945412">
          <w:rPr>
            <w:noProof/>
            <w:webHidden/>
          </w:rPr>
          <w:t>2</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25" w:history="1">
        <w:r w:rsidR="00206BBD" w:rsidRPr="00D77384">
          <w:rPr>
            <w:rStyle w:val="Hyperlink"/>
            <w:noProof/>
          </w:rPr>
          <w:t>Executive Summary</w:t>
        </w:r>
        <w:r w:rsidR="00206BBD">
          <w:rPr>
            <w:noProof/>
            <w:webHidden/>
          </w:rPr>
          <w:tab/>
        </w:r>
        <w:r>
          <w:rPr>
            <w:noProof/>
            <w:webHidden/>
          </w:rPr>
          <w:fldChar w:fldCharType="begin"/>
        </w:r>
        <w:r w:rsidR="00206BBD">
          <w:rPr>
            <w:noProof/>
            <w:webHidden/>
          </w:rPr>
          <w:instrText xml:space="preserve"> PAGEREF _Toc288411625 \h </w:instrText>
        </w:r>
        <w:r>
          <w:rPr>
            <w:noProof/>
            <w:webHidden/>
          </w:rPr>
        </w:r>
        <w:r>
          <w:rPr>
            <w:noProof/>
            <w:webHidden/>
          </w:rPr>
          <w:fldChar w:fldCharType="separate"/>
        </w:r>
        <w:r w:rsidR="00945412">
          <w:rPr>
            <w:noProof/>
            <w:webHidden/>
          </w:rPr>
          <w:t>3</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26" w:history="1">
        <w:r w:rsidR="00206BBD" w:rsidRPr="00D77384">
          <w:rPr>
            <w:rStyle w:val="Hyperlink"/>
            <w:noProof/>
          </w:rPr>
          <w:t>1.0 Reliability Definitions and Service Territory</w:t>
        </w:r>
        <w:r w:rsidR="00206BBD">
          <w:rPr>
            <w:noProof/>
            <w:webHidden/>
          </w:rPr>
          <w:tab/>
        </w:r>
        <w:r>
          <w:rPr>
            <w:noProof/>
            <w:webHidden/>
          </w:rPr>
          <w:fldChar w:fldCharType="begin"/>
        </w:r>
        <w:r w:rsidR="00206BBD">
          <w:rPr>
            <w:noProof/>
            <w:webHidden/>
          </w:rPr>
          <w:instrText xml:space="preserve"> PAGEREF _Toc288411626 \h </w:instrText>
        </w:r>
        <w:r>
          <w:rPr>
            <w:noProof/>
            <w:webHidden/>
          </w:rPr>
        </w:r>
        <w:r>
          <w:rPr>
            <w:noProof/>
            <w:webHidden/>
          </w:rPr>
          <w:fldChar w:fldCharType="separate"/>
        </w:r>
        <w:r w:rsidR="00945412">
          <w:rPr>
            <w:noProof/>
            <w:webHidden/>
          </w:rPr>
          <w:t>4</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27" w:history="1">
        <w:r w:rsidR="00206BBD" w:rsidRPr="00D77384">
          <w:rPr>
            <w:rStyle w:val="Hyperlink"/>
            <w:noProof/>
          </w:rPr>
          <w:t xml:space="preserve">1.1 </w:t>
        </w:r>
        <w:r w:rsidR="00206BBD">
          <w:rPr>
            <w:rFonts w:asciiTheme="minorHAnsi" w:eastAsiaTheme="minorEastAsia" w:hAnsiTheme="minorHAnsi" w:cstheme="minorBidi"/>
            <w:noProof/>
            <w:sz w:val="22"/>
            <w:szCs w:val="22"/>
          </w:rPr>
          <w:tab/>
        </w:r>
        <w:r w:rsidR="00206BBD" w:rsidRPr="00D77384">
          <w:rPr>
            <w:rStyle w:val="Hyperlink"/>
            <w:noProof/>
          </w:rPr>
          <w:t>Reliability Definitions</w:t>
        </w:r>
        <w:r w:rsidR="00206BBD">
          <w:rPr>
            <w:noProof/>
            <w:webHidden/>
          </w:rPr>
          <w:tab/>
        </w:r>
        <w:r>
          <w:rPr>
            <w:noProof/>
            <w:webHidden/>
          </w:rPr>
          <w:fldChar w:fldCharType="begin"/>
        </w:r>
        <w:r w:rsidR="00206BBD">
          <w:rPr>
            <w:noProof/>
            <w:webHidden/>
          </w:rPr>
          <w:instrText xml:space="preserve"> PAGEREF _Toc288411627 \h </w:instrText>
        </w:r>
        <w:r>
          <w:rPr>
            <w:noProof/>
            <w:webHidden/>
          </w:rPr>
        </w:r>
        <w:r>
          <w:rPr>
            <w:noProof/>
            <w:webHidden/>
          </w:rPr>
          <w:fldChar w:fldCharType="separate"/>
        </w:r>
        <w:r w:rsidR="00945412">
          <w:rPr>
            <w:noProof/>
            <w:webHidden/>
          </w:rPr>
          <w:t>4</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28" w:history="1">
        <w:r w:rsidR="00206BBD" w:rsidRPr="00D77384">
          <w:rPr>
            <w:rStyle w:val="Hyperlink"/>
            <w:noProof/>
          </w:rPr>
          <w:t xml:space="preserve">1.2 </w:t>
        </w:r>
        <w:r w:rsidR="00206BBD">
          <w:rPr>
            <w:rFonts w:asciiTheme="minorHAnsi" w:eastAsiaTheme="minorEastAsia" w:hAnsiTheme="minorHAnsi" w:cstheme="minorBidi"/>
            <w:noProof/>
            <w:sz w:val="22"/>
            <w:szCs w:val="22"/>
          </w:rPr>
          <w:tab/>
        </w:r>
        <w:r w:rsidR="00206BBD" w:rsidRPr="00D77384">
          <w:rPr>
            <w:rStyle w:val="Hyperlink"/>
            <w:noProof/>
          </w:rPr>
          <w:t>Service Territory Map</w:t>
        </w:r>
        <w:r w:rsidR="00206BBD">
          <w:rPr>
            <w:noProof/>
            <w:webHidden/>
          </w:rPr>
          <w:tab/>
        </w:r>
        <w:r>
          <w:rPr>
            <w:noProof/>
            <w:webHidden/>
          </w:rPr>
          <w:fldChar w:fldCharType="begin"/>
        </w:r>
        <w:r w:rsidR="00206BBD">
          <w:rPr>
            <w:noProof/>
            <w:webHidden/>
          </w:rPr>
          <w:instrText xml:space="preserve"> PAGEREF _Toc288411628 \h </w:instrText>
        </w:r>
        <w:r>
          <w:rPr>
            <w:noProof/>
            <w:webHidden/>
          </w:rPr>
        </w:r>
        <w:r>
          <w:rPr>
            <w:noProof/>
            <w:webHidden/>
          </w:rPr>
          <w:fldChar w:fldCharType="separate"/>
        </w:r>
        <w:r w:rsidR="00945412">
          <w:rPr>
            <w:noProof/>
            <w:webHidden/>
          </w:rPr>
          <w:t>7</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29" w:history="1">
        <w:r w:rsidR="00206BBD" w:rsidRPr="00D77384">
          <w:rPr>
            <w:rStyle w:val="Hyperlink"/>
            <w:noProof/>
          </w:rPr>
          <w:t xml:space="preserve">1.3 </w:t>
        </w:r>
        <w:r w:rsidR="00206BBD">
          <w:rPr>
            <w:rFonts w:asciiTheme="minorHAnsi" w:eastAsiaTheme="minorEastAsia" w:hAnsiTheme="minorHAnsi" w:cstheme="minorBidi"/>
            <w:noProof/>
            <w:sz w:val="22"/>
            <w:szCs w:val="22"/>
          </w:rPr>
          <w:tab/>
        </w:r>
        <w:r w:rsidR="00206BBD" w:rsidRPr="00D77384">
          <w:rPr>
            <w:rStyle w:val="Hyperlink"/>
            <w:noProof/>
          </w:rPr>
          <w:t>Outage Definitions</w:t>
        </w:r>
        <w:r w:rsidR="00206BBD">
          <w:rPr>
            <w:noProof/>
            <w:webHidden/>
          </w:rPr>
          <w:tab/>
        </w:r>
        <w:r>
          <w:rPr>
            <w:noProof/>
            <w:webHidden/>
          </w:rPr>
          <w:fldChar w:fldCharType="begin"/>
        </w:r>
        <w:r w:rsidR="00206BBD">
          <w:rPr>
            <w:noProof/>
            <w:webHidden/>
          </w:rPr>
          <w:instrText xml:space="preserve"> PAGEREF _Toc288411629 \h </w:instrText>
        </w:r>
        <w:r>
          <w:rPr>
            <w:noProof/>
            <w:webHidden/>
          </w:rPr>
        </w:r>
        <w:r>
          <w:rPr>
            <w:noProof/>
            <w:webHidden/>
          </w:rPr>
          <w:fldChar w:fldCharType="separate"/>
        </w:r>
        <w:r w:rsidR="00945412">
          <w:rPr>
            <w:noProof/>
            <w:webHidden/>
          </w:rPr>
          <w:t>7</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30" w:history="1">
        <w:r w:rsidR="00206BBD" w:rsidRPr="00D77384">
          <w:rPr>
            <w:rStyle w:val="Hyperlink"/>
            <w:noProof/>
          </w:rPr>
          <w:t>2.0</w:t>
        </w:r>
        <w:r w:rsidR="00206BBD">
          <w:rPr>
            <w:rFonts w:asciiTheme="minorHAnsi" w:eastAsiaTheme="minorEastAsia" w:hAnsiTheme="minorHAnsi" w:cstheme="minorBidi"/>
            <w:noProof/>
            <w:sz w:val="22"/>
            <w:szCs w:val="22"/>
          </w:rPr>
          <w:tab/>
        </w:r>
        <w:r w:rsidR="00206BBD" w:rsidRPr="00D77384">
          <w:rPr>
            <w:rStyle w:val="Hyperlink"/>
            <w:noProof/>
          </w:rPr>
          <w:t>Performance</w:t>
        </w:r>
        <w:r w:rsidR="00206BBD">
          <w:rPr>
            <w:noProof/>
            <w:webHidden/>
          </w:rPr>
          <w:tab/>
        </w:r>
        <w:r>
          <w:rPr>
            <w:noProof/>
            <w:webHidden/>
          </w:rPr>
          <w:fldChar w:fldCharType="begin"/>
        </w:r>
        <w:r w:rsidR="00206BBD">
          <w:rPr>
            <w:noProof/>
            <w:webHidden/>
          </w:rPr>
          <w:instrText xml:space="preserve"> PAGEREF _Toc288411630 \h </w:instrText>
        </w:r>
        <w:r>
          <w:rPr>
            <w:noProof/>
            <w:webHidden/>
          </w:rPr>
        </w:r>
        <w:r>
          <w:rPr>
            <w:noProof/>
            <w:webHidden/>
          </w:rPr>
          <w:fldChar w:fldCharType="separate"/>
        </w:r>
        <w:r w:rsidR="00945412">
          <w:rPr>
            <w:noProof/>
            <w:webHidden/>
          </w:rPr>
          <w:t>8</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33" w:history="1">
        <w:r w:rsidR="00206BBD" w:rsidRPr="00D77384">
          <w:rPr>
            <w:rStyle w:val="Hyperlink"/>
            <w:noProof/>
          </w:rPr>
          <w:t>2.1</w:t>
        </w:r>
        <w:r w:rsidR="00206BBD">
          <w:rPr>
            <w:rFonts w:asciiTheme="minorHAnsi" w:eastAsiaTheme="minorEastAsia" w:hAnsiTheme="minorHAnsi" w:cstheme="minorBidi"/>
            <w:noProof/>
            <w:sz w:val="22"/>
            <w:szCs w:val="22"/>
          </w:rPr>
          <w:tab/>
        </w:r>
        <w:r w:rsidR="00206BBD" w:rsidRPr="00D77384">
          <w:rPr>
            <w:rStyle w:val="Hyperlink"/>
            <w:noProof/>
          </w:rPr>
          <w:t>Historic Performance</w:t>
        </w:r>
        <w:r w:rsidR="00206BBD">
          <w:rPr>
            <w:noProof/>
            <w:webHidden/>
          </w:rPr>
          <w:tab/>
        </w:r>
        <w:r>
          <w:rPr>
            <w:noProof/>
            <w:webHidden/>
          </w:rPr>
          <w:fldChar w:fldCharType="begin"/>
        </w:r>
        <w:r w:rsidR="00206BBD">
          <w:rPr>
            <w:noProof/>
            <w:webHidden/>
          </w:rPr>
          <w:instrText xml:space="preserve"> PAGEREF _Toc288411633 \h </w:instrText>
        </w:r>
        <w:r>
          <w:rPr>
            <w:noProof/>
            <w:webHidden/>
          </w:rPr>
        </w:r>
        <w:r>
          <w:rPr>
            <w:noProof/>
            <w:webHidden/>
          </w:rPr>
          <w:fldChar w:fldCharType="separate"/>
        </w:r>
        <w:r w:rsidR="00945412">
          <w:rPr>
            <w:noProof/>
            <w:webHidden/>
          </w:rPr>
          <w:t>8</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34" w:history="1">
        <w:r w:rsidR="00206BBD" w:rsidRPr="00D77384">
          <w:rPr>
            <w:rStyle w:val="Hyperlink"/>
            <w:noProof/>
          </w:rPr>
          <w:t>2.2</w:t>
        </w:r>
        <w:r w:rsidR="00206BBD">
          <w:rPr>
            <w:rFonts w:asciiTheme="minorHAnsi" w:eastAsiaTheme="minorEastAsia" w:hAnsiTheme="minorHAnsi" w:cstheme="minorBidi"/>
            <w:noProof/>
            <w:sz w:val="22"/>
            <w:szCs w:val="22"/>
          </w:rPr>
          <w:tab/>
        </w:r>
        <w:r w:rsidR="00206BBD" w:rsidRPr="00D77384">
          <w:rPr>
            <w:rStyle w:val="Hyperlink"/>
            <w:noProof/>
          </w:rPr>
          <w:t>Reporting Period Performance</w:t>
        </w:r>
        <w:r w:rsidR="00206BBD">
          <w:rPr>
            <w:noProof/>
            <w:webHidden/>
          </w:rPr>
          <w:tab/>
        </w:r>
        <w:r>
          <w:rPr>
            <w:noProof/>
            <w:webHidden/>
          </w:rPr>
          <w:fldChar w:fldCharType="begin"/>
        </w:r>
        <w:r w:rsidR="00206BBD">
          <w:rPr>
            <w:noProof/>
            <w:webHidden/>
          </w:rPr>
          <w:instrText xml:space="preserve"> PAGEREF _Toc288411634 \h </w:instrText>
        </w:r>
        <w:r>
          <w:rPr>
            <w:noProof/>
            <w:webHidden/>
          </w:rPr>
        </w:r>
        <w:r>
          <w:rPr>
            <w:noProof/>
            <w:webHidden/>
          </w:rPr>
          <w:fldChar w:fldCharType="separate"/>
        </w:r>
        <w:r w:rsidR="00945412">
          <w:rPr>
            <w:noProof/>
            <w:webHidden/>
          </w:rPr>
          <w:t>8</w:t>
        </w:r>
        <w:r>
          <w:rPr>
            <w:noProof/>
            <w:webHidden/>
          </w:rPr>
          <w:fldChar w:fldCharType="end"/>
        </w:r>
      </w:hyperlink>
    </w:p>
    <w:p w:rsidR="00206BBD" w:rsidRDefault="00320CE5">
      <w:pPr>
        <w:pStyle w:val="TOC2"/>
        <w:rPr>
          <w:rFonts w:asciiTheme="minorHAnsi" w:eastAsiaTheme="minorEastAsia" w:hAnsiTheme="minorHAnsi" w:cstheme="minorBidi"/>
          <w:noProof/>
          <w:sz w:val="22"/>
          <w:szCs w:val="22"/>
        </w:rPr>
      </w:pPr>
      <w:hyperlink w:anchor="_Toc288411635" w:history="1">
        <w:r w:rsidR="00206BBD" w:rsidRPr="00D77384">
          <w:rPr>
            <w:rStyle w:val="Hyperlink"/>
            <w:noProof/>
          </w:rPr>
          <w:t>2.3</w:t>
        </w:r>
        <w:r w:rsidR="00206BBD">
          <w:rPr>
            <w:rFonts w:asciiTheme="minorHAnsi" w:eastAsiaTheme="minorEastAsia" w:hAnsiTheme="minorHAnsi" w:cstheme="minorBidi"/>
            <w:noProof/>
            <w:sz w:val="22"/>
            <w:szCs w:val="22"/>
          </w:rPr>
          <w:tab/>
        </w:r>
        <w:r w:rsidR="00206BBD" w:rsidRPr="00D77384">
          <w:rPr>
            <w:rStyle w:val="Hyperlink"/>
            <w:noProof/>
          </w:rPr>
          <w:t>Subsystem Performance</w:t>
        </w:r>
        <w:r w:rsidR="00206BBD">
          <w:rPr>
            <w:noProof/>
            <w:webHidden/>
          </w:rPr>
          <w:tab/>
        </w:r>
        <w:r>
          <w:rPr>
            <w:noProof/>
            <w:webHidden/>
          </w:rPr>
          <w:fldChar w:fldCharType="begin"/>
        </w:r>
        <w:r w:rsidR="00206BBD">
          <w:rPr>
            <w:noProof/>
            <w:webHidden/>
          </w:rPr>
          <w:instrText xml:space="preserve"> PAGEREF _Toc288411635 \h </w:instrText>
        </w:r>
        <w:r>
          <w:rPr>
            <w:noProof/>
            <w:webHidden/>
          </w:rPr>
        </w:r>
        <w:r>
          <w:rPr>
            <w:noProof/>
            <w:webHidden/>
          </w:rPr>
          <w:fldChar w:fldCharType="separate"/>
        </w:r>
        <w:r w:rsidR="00945412">
          <w:rPr>
            <w:noProof/>
            <w:webHidden/>
          </w:rPr>
          <w:t>8</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36" w:history="1">
        <w:r w:rsidR="00206BBD" w:rsidRPr="00D77384">
          <w:rPr>
            <w:rStyle w:val="Hyperlink"/>
            <w:noProof/>
          </w:rPr>
          <w:t>3.0</w:t>
        </w:r>
        <w:r w:rsidR="00206BBD">
          <w:rPr>
            <w:rFonts w:asciiTheme="minorHAnsi" w:eastAsiaTheme="minorEastAsia" w:hAnsiTheme="minorHAnsi" w:cstheme="minorBidi"/>
            <w:noProof/>
            <w:sz w:val="22"/>
            <w:szCs w:val="22"/>
          </w:rPr>
          <w:tab/>
        </w:r>
        <w:r w:rsidR="00206BBD" w:rsidRPr="00D77384">
          <w:rPr>
            <w:rStyle w:val="Hyperlink"/>
            <w:noProof/>
          </w:rPr>
          <w:t>Areas of Concern</w:t>
        </w:r>
        <w:r w:rsidR="00206BBD">
          <w:rPr>
            <w:noProof/>
            <w:webHidden/>
          </w:rPr>
          <w:tab/>
        </w:r>
        <w:r>
          <w:rPr>
            <w:noProof/>
            <w:webHidden/>
          </w:rPr>
          <w:fldChar w:fldCharType="begin"/>
        </w:r>
        <w:r w:rsidR="00206BBD">
          <w:rPr>
            <w:noProof/>
            <w:webHidden/>
          </w:rPr>
          <w:instrText xml:space="preserve"> PAGEREF _Toc288411636 \h </w:instrText>
        </w:r>
        <w:r>
          <w:rPr>
            <w:noProof/>
            <w:webHidden/>
          </w:rPr>
        </w:r>
        <w:r>
          <w:rPr>
            <w:noProof/>
            <w:webHidden/>
          </w:rPr>
          <w:fldChar w:fldCharType="separate"/>
        </w:r>
        <w:r w:rsidR="00945412">
          <w:rPr>
            <w:noProof/>
            <w:webHidden/>
          </w:rPr>
          <w:t>9</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37" w:history="1">
        <w:r w:rsidR="00206BBD" w:rsidRPr="00D77384">
          <w:rPr>
            <w:rStyle w:val="Hyperlink"/>
            <w:noProof/>
          </w:rPr>
          <w:t>4.0</w:t>
        </w:r>
        <w:r w:rsidR="00206BBD">
          <w:rPr>
            <w:rFonts w:asciiTheme="minorHAnsi" w:eastAsiaTheme="minorEastAsia" w:hAnsiTheme="minorHAnsi" w:cstheme="minorBidi"/>
            <w:noProof/>
            <w:sz w:val="22"/>
            <w:szCs w:val="22"/>
          </w:rPr>
          <w:tab/>
        </w:r>
        <w:r w:rsidR="00206BBD" w:rsidRPr="00D77384">
          <w:rPr>
            <w:rStyle w:val="Hyperlink"/>
            <w:noProof/>
          </w:rPr>
          <w:t>Underperforming Circuit Reliability</w:t>
        </w:r>
        <w:r w:rsidR="00206BBD">
          <w:rPr>
            <w:noProof/>
            <w:webHidden/>
          </w:rPr>
          <w:tab/>
        </w:r>
        <w:r>
          <w:rPr>
            <w:noProof/>
            <w:webHidden/>
          </w:rPr>
          <w:fldChar w:fldCharType="begin"/>
        </w:r>
        <w:r w:rsidR="00206BBD">
          <w:rPr>
            <w:noProof/>
            <w:webHidden/>
          </w:rPr>
          <w:instrText xml:space="preserve"> PAGEREF _Toc288411637 \h </w:instrText>
        </w:r>
        <w:r>
          <w:rPr>
            <w:noProof/>
            <w:webHidden/>
          </w:rPr>
        </w:r>
        <w:r>
          <w:rPr>
            <w:noProof/>
            <w:webHidden/>
          </w:rPr>
          <w:fldChar w:fldCharType="separate"/>
        </w:r>
        <w:r w:rsidR="00945412">
          <w:rPr>
            <w:noProof/>
            <w:webHidden/>
          </w:rPr>
          <w:t>9</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38" w:history="1">
        <w:r w:rsidR="00206BBD" w:rsidRPr="00D77384">
          <w:rPr>
            <w:rStyle w:val="Hyperlink"/>
            <w:noProof/>
          </w:rPr>
          <w:t>5.0</w:t>
        </w:r>
        <w:r w:rsidR="00206BBD">
          <w:rPr>
            <w:rFonts w:asciiTheme="minorHAnsi" w:eastAsiaTheme="minorEastAsia" w:hAnsiTheme="minorHAnsi" w:cstheme="minorBidi"/>
            <w:noProof/>
            <w:sz w:val="22"/>
            <w:szCs w:val="22"/>
          </w:rPr>
          <w:tab/>
        </w:r>
        <w:r w:rsidR="00206BBD" w:rsidRPr="00D77384">
          <w:rPr>
            <w:rStyle w:val="Hyperlink"/>
            <w:noProof/>
          </w:rPr>
          <w:t>Customer Communication Process and Complaints</w:t>
        </w:r>
        <w:r w:rsidR="00206BBD">
          <w:rPr>
            <w:noProof/>
            <w:webHidden/>
          </w:rPr>
          <w:tab/>
        </w:r>
        <w:r>
          <w:rPr>
            <w:noProof/>
            <w:webHidden/>
          </w:rPr>
          <w:fldChar w:fldCharType="begin"/>
        </w:r>
        <w:r w:rsidR="00206BBD">
          <w:rPr>
            <w:noProof/>
            <w:webHidden/>
          </w:rPr>
          <w:instrText xml:space="preserve"> PAGEREF _Toc288411638 \h </w:instrText>
        </w:r>
        <w:r>
          <w:rPr>
            <w:noProof/>
            <w:webHidden/>
          </w:rPr>
        </w:r>
        <w:r>
          <w:rPr>
            <w:noProof/>
            <w:webHidden/>
          </w:rPr>
          <w:fldChar w:fldCharType="separate"/>
        </w:r>
        <w:r w:rsidR="00945412">
          <w:rPr>
            <w:noProof/>
            <w:webHidden/>
          </w:rPr>
          <w:t>9</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39" w:history="1">
        <w:r w:rsidR="00206BBD" w:rsidRPr="00D77384">
          <w:rPr>
            <w:rStyle w:val="Hyperlink"/>
            <w:noProof/>
          </w:rPr>
          <w:t>6.0</w:t>
        </w:r>
        <w:r w:rsidR="00206BBD">
          <w:rPr>
            <w:rFonts w:asciiTheme="minorHAnsi" w:eastAsiaTheme="minorEastAsia" w:hAnsiTheme="minorHAnsi" w:cstheme="minorBidi"/>
            <w:noProof/>
            <w:sz w:val="22"/>
            <w:szCs w:val="22"/>
          </w:rPr>
          <w:tab/>
        </w:r>
        <w:r w:rsidR="00206BBD" w:rsidRPr="00D77384">
          <w:rPr>
            <w:rStyle w:val="Hyperlink"/>
            <w:noProof/>
          </w:rPr>
          <w:t>Reporting Period</w:t>
        </w:r>
        <w:r w:rsidR="00206BBD">
          <w:rPr>
            <w:noProof/>
            <w:webHidden/>
          </w:rPr>
          <w:tab/>
        </w:r>
        <w:r>
          <w:rPr>
            <w:noProof/>
            <w:webHidden/>
          </w:rPr>
          <w:fldChar w:fldCharType="begin"/>
        </w:r>
        <w:r w:rsidR="00206BBD">
          <w:rPr>
            <w:noProof/>
            <w:webHidden/>
          </w:rPr>
          <w:instrText xml:space="preserve"> PAGEREF _Toc288411639 \h </w:instrText>
        </w:r>
        <w:r>
          <w:rPr>
            <w:noProof/>
            <w:webHidden/>
          </w:rPr>
        </w:r>
        <w:r>
          <w:rPr>
            <w:noProof/>
            <w:webHidden/>
          </w:rPr>
          <w:fldChar w:fldCharType="separate"/>
        </w:r>
        <w:r w:rsidR="00945412">
          <w:rPr>
            <w:noProof/>
            <w:webHidden/>
          </w:rPr>
          <w:t>9</w:t>
        </w:r>
        <w:r>
          <w:rPr>
            <w:noProof/>
            <w:webHidden/>
          </w:rPr>
          <w:fldChar w:fldCharType="end"/>
        </w:r>
      </w:hyperlink>
    </w:p>
    <w:p w:rsidR="00206BBD" w:rsidRDefault="00320CE5">
      <w:pPr>
        <w:pStyle w:val="TOC1"/>
        <w:rPr>
          <w:rFonts w:asciiTheme="minorHAnsi" w:eastAsiaTheme="minorEastAsia" w:hAnsiTheme="minorHAnsi" w:cstheme="minorBidi"/>
          <w:noProof/>
          <w:sz w:val="22"/>
          <w:szCs w:val="22"/>
        </w:rPr>
      </w:pPr>
      <w:hyperlink w:anchor="_Toc288411640" w:history="1">
        <w:r w:rsidR="00206BBD" w:rsidRPr="00D77384">
          <w:rPr>
            <w:rStyle w:val="Hyperlink"/>
            <w:noProof/>
          </w:rPr>
          <w:t>7.0</w:t>
        </w:r>
        <w:r w:rsidR="00206BBD">
          <w:rPr>
            <w:rFonts w:asciiTheme="minorHAnsi" w:eastAsiaTheme="minorEastAsia" w:hAnsiTheme="minorHAnsi" w:cstheme="minorBidi"/>
            <w:noProof/>
            <w:sz w:val="22"/>
            <w:szCs w:val="22"/>
          </w:rPr>
          <w:tab/>
        </w:r>
        <w:r w:rsidR="00206BBD" w:rsidRPr="00D77384">
          <w:rPr>
            <w:rStyle w:val="Hyperlink"/>
            <w:noProof/>
          </w:rPr>
          <w:t>Appendix A:  Baselines and History Through 2010</w:t>
        </w:r>
        <w:r w:rsidR="00206BBD">
          <w:rPr>
            <w:noProof/>
            <w:webHidden/>
          </w:rPr>
          <w:tab/>
        </w:r>
        <w:r>
          <w:rPr>
            <w:noProof/>
            <w:webHidden/>
          </w:rPr>
          <w:fldChar w:fldCharType="begin"/>
        </w:r>
        <w:r w:rsidR="00206BBD">
          <w:rPr>
            <w:noProof/>
            <w:webHidden/>
          </w:rPr>
          <w:instrText xml:space="preserve"> PAGEREF _Toc288411640 \h </w:instrText>
        </w:r>
        <w:r>
          <w:rPr>
            <w:noProof/>
            <w:webHidden/>
          </w:rPr>
        </w:r>
        <w:r>
          <w:rPr>
            <w:noProof/>
            <w:webHidden/>
          </w:rPr>
          <w:fldChar w:fldCharType="separate"/>
        </w:r>
        <w:r w:rsidR="00945412">
          <w:rPr>
            <w:noProof/>
            <w:webHidden/>
          </w:rPr>
          <w:t>10</w:t>
        </w:r>
        <w:r>
          <w:rPr>
            <w:noProof/>
            <w:webHidden/>
          </w:rPr>
          <w:fldChar w:fldCharType="end"/>
        </w:r>
      </w:hyperlink>
    </w:p>
    <w:p w:rsidR="00662675" w:rsidRPr="00AF280F" w:rsidRDefault="00320CE5" w:rsidP="00875AF9">
      <w:pPr>
        <w:tabs>
          <w:tab w:val="right" w:leader="dot" w:pos="9360"/>
        </w:tabs>
        <w:jc w:val="both"/>
      </w:pPr>
      <w:r w:rsidRPr="00AF280F">
        <w:fldChar w:fldCharType="end"/>
      </w:r>
    </w:p>
    <w:p w:rsidR="00662675" w:rsidRPr="00AF280F" w:rsidRDefault="00662675" w:rsidP="00662675">
      <w:pPr>
        <w:jc w:val="both"/>
      </w:pPr>
    </w:p>
    <w:p w:rsidR="00662675" w:rsidRPr="00AF280F" w:rsidRDefault="00662675"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Pr="005A5ADC" w:rsidRDefault="00EF1388" w:rsidP="005A5ADC">
      <w:pPr>
        <w:pStyle w:val="Heading1"/>
        <w:numPr>
          <w:ilvl w:val="0"/>
          <w:numId w:val="0"/>
        </w:numPr>
        <w:rPr>
          <w:rFonts w:ascii="Times New Roman" w:hAnsi="Times New Roman" w:cs="Times New Roman"/>
        </w:rPr>
      </w:pPr>
      <w:bookmarkStart w:id="7" w:name="_Toc288411625"/>
      <w:r w:rsidRPr="005A5ADC">
        <w:rPr>
          <w:rFonts w:ascii="Times New Roman" w:hAnsi="Times New Roman" w:cs="Times New Roman"/>
        </w:rPr>
        <w:lastRenderedPageBreak/>
        <w:t>E</w:t>
      </w:r>
      <w:r w:rsidR="00B007E3" w:rsidRPr="005A5ADC">
        <w:rPr>
          <w:rFonts w:ascii="Times New Roman" w:hAnsi="Times New Roman" w:cs="Times New Roman"/>
        </w:rPr>
        <w:t>xecutive Summary</w:t>
      </w:r>
      <w:bookmarkEnd w:id="7"/>
    </w:p>
    <w:p w:rsidR="003177D8" w:rsidRPr="003177D8" w:rsidRDefault="003177D8" w:rsidP="003177D8">
      <w:pPr>
        <w:rPr>
          <w:b/>
          <w:u w:val="single"/>
        </w:rPr>
      </w:pPr>
    </w:p>
    <w:p w:rsidR="00EF1388" w:rsidRPr="00EF1388" w:rsidRDefault="00EF1388" w:rsidP="00EF1388">
      <w:pPr>
        <w:jc w:val="both"/>
      </w:pPr>
      <w:r w:rsidRPr="00EF1388">
        <w:t>Washington Administrative Code (</w:t>
      </w:r>
      <w:smartTag w:uri="urn:schemas-microsoft-com:office:smarttags" w:element="stockticker">
        <w:r w:rsidRPr="00EF1388">
          <w:t>WAC</w:t>
        </w:r>
      </w:smartTag>
      <w:r w:rsidRPr="00EF1388">
        <w:t>) 480-100-</w:t>
      </w:r>
      <w:proofErr w:type="gramStart"/>
      <w:r w:rsidRPr="00EF1388">
        <w:t>393,</w:t>
      </w:r>
      <w:proofErr w:type="gramEnd"/>
      <w:r w:rsidRPr="00EF1388">
        <w:t xml:space="preserve"> requires that electric utilities subject to</w:t>
      </w:r>
      <w:r w:rsidR="006F726B">
        <w:t xml:space="preserve"> Washington Utilities and Transportation Commission</w:t>
      </w:r>
      <w:r w:rsidRPr="00EF1388">
        <w:t xml:space="preserve"> </w:t>
      </w:r>
      <w:r w:rsidR="006F726B">
        <w:t>(</w:t>
      </w:r>
      <w:r w:rsidRPr="00EF1388">
        <w:t>Commission</w:t>
      </w:r>
      <w:r w:rsidR="006F726B">
        <w:t>)</w:t>
      </w:r>
      <w:r w:rsidRPr="00EF1388">
        <w:t xml:space="preserve"> jurisdiction file a plan for monitoring and reporting electric service reliability information to the Commission.  Further, this rule requires that the plan include the following:</w:t>
      </w:r>
    </w:p>
    <w:p w:rsidR="00EF1388" w:rsidRPr="00EF1388" w:rsidRDefault="00EF1388" w:rsidP="00EF1388">
      <w:pPr>
        <w:jc w:val="both"/>
      </w:pPr>
    </w:p>
    <w:p w:rsidR="00EF1388" w:rsidRDefault="00EF1388" w:rsidP="00B007E3">
      <w:pPr>
        <w:numPr>
          <w:ilvl w:val="0"/>
          <w:numId w:val="2"/>
        </w:numPr>
        <w:jc w:val="both"/>
      </w:pPr>
      <w:r w:rsidRPr="00EF1388">
        <w:t xml:space="preserve">What reliability statistics and information the utility will report to the Commission including full-system results and appropriately localized results to support annual identification of areas of greatest concern.  </w:t>
      </w:r>
    </w:p>
    <w:p w:rsidR="00B007E3" w:rsidRPr="00B007E3" w:rsidRDefault="00B007E3" w:rsidP="00B007E3">
      <w:pPr>
        <w:ind w:left="720"/>
        <w:jc w:val="both"/>
        <w:rPr>
          <w:sz w:val="16"/>
          <w:szCs w:val="16"/>
        </w:rPr>
      </w:pPr>
    </w:p>
    <w:p w:rsidR="00EF1388" w:rsidRDefault="00EB22A1" w:rsidP="00EF1388">
      <w:pPr>
        <w:numPr>
          <w:ilvl w:val="0"/>
          <w:numId w:val="2"/>
        </w:numPr>
        <w:jc w:val="both"/>
      </w:pPr>
      <w:r>
        <w:t>Wh</w:t>
      </w:r>
      <w:r w:rsidR="00EF1388" w:rsidRPr="00EF1388">
        <w:t>en baseline</w:t>
      </w:r>
      <w:r w:rsidR="007D3572">
        <w:t xml:space="preserve"> reliability statistics</w:t>
      </w:r>
      <w:r w:rsidR="00EF1388" w:rsidRPr="00EF1388">
        <w:t xml:space="preserve"> w</w:t>
      </w:r>
      <w:r w:rsidR="007D3572">
        <w:t>ill</w:t>
      </w:r>
      <w:r w:rsidR="00EF1388" w:rsidRPr="00EF1388">
        <w:t xml:space="preserve"> be established, not exceeding three years from effective date of the rule</w:t>
      </w:r>
      <w:r>
        <w:rPr>
          <w:rStyle w:val="FootnoteReference"/>
        </w:rPr>
        <w:footnoteReference w:id="1"/>
      </w:r>
      <w:r w:rsidR="00EF1388" w:rsidRPr="00EF1388">
        <w:t xml:space="preserve">. </w:t>
      </w:r>
      <w:r w:rsidR="00787DF1">
        <w:t xml:space="preserve"> </w:t>
      </w:r>
    </w:p>
    <w:p w:rsidR="00B007E3" w:rsidRPr="00B007E3" w:rsidRDefault="00B007E3" w:rsidP="00B007E3">
      <w:pPr>
        <w:jc w:val="both"/>
        <w:rPr>
          <w:sz w:val="16"/>
          <w:szCs w:val="16"/>
        </w:rPr>
      </w:pPr>
    </w:p>
    <w:p w:rsidR="00EF1388" w:rsidRPr="00EF1388" w:rsidRDefault="00EF1388" w:rsidP="00EF1388">
      <w:pPr>
        <w:numPr>
          <w:ilvl w:val="0"/>
          <w:numId w:val="2"/>
        </w:numPr>
        <w:jc w:val="both"/>
      </w:pPr>
      <w:r w:rsidRPr="00EF1388">
        <w:t>When the electric annual reliability reports w</w:t>
      </w:r>
      <w:r w:rsidR="007D3572">
        <w:t>ill</w:t>
      </w:r>
      <w:r w:rsidRPr="00EF1388">
        <w:t xml:space="preserve"> be filed annually.</w:t>
      </w:r>
    </w:p>
    <w:p w:rsidR="00EF1388" w:rsidRPr="00EF1388" w:rsidRDefault="00EF1388" w:rsidP="00EF1388">
      <w:pPr>
        <w:jc w:val="both"/>
      </w:pPr>
    </w:p>
    <w:p w:rsidR="00EF1388" w:rsidRPr="00EF1388" w:rsidRDefault="00EF1388" w:rsidP="00EF1388">
      <w:pPr>
        <w:jc w:val="both"/>
      </w:pPr>
      <w:r w:rsidRPr="00EF1388">
        <w:t>As PacifiCorp</w:t>
      </w:r>
      <w:r w:rsidR="007D1C66">
        <w:t xml:space="preserve"> (Pacific Power or the Company)</w:t>
      </w:r>
      <w:r w:rsidRPr="00EF1388">
        <w:t xml:space="preserve"> continues to evaluate and improve upon its reliability reporting systems, it continues to modify how it analyzes and communicates system reliability. As a result, the underlying reliability reporting plan may </w:t>
      </w:r>
      <w:r w:rsidR="001E45C0">
        <w:t xml:space="preserve">require </w:t>
      </w:r>
      <w:r w:rsidRPr="00EF1388">
        <w:t>modifi</w:t>
      </w:r>
      <w:r w:rsidR="001E45C0">
        <w:t>cation</w:t>
      </w:r>
      <w:r w:rsidRPr="00EF1388">
        <w:t xml:space="preserve"> to </w:t>
      </w:r>
      <w:r w:rsidR="001E45C0">
        <w:t>incorporate any</w:t>
      </w:r>
      <w:r w:rsidRPr="00EF1388">
        <w:t xml:space="preserve"> improvements </w:t>
      </w:r>
      <w:r w:rsidR="007D3572" w:rsidRPr="00EF1388">
        <w:t>re</w:t>
      </w:r>
      <w:r w:rsidR="007D3572">
        <w:t>alized</w:t>
      </w:r>
      <w:r w:rsidRPr="00EF1388">
        <w:t xml:space="preserve">.  The following monitoring and reporting plan outlines the information that the </w:t>
      </w:r>
      <w:r w:rsidR="007D1C66">
        <w:t>C</w:t>
      </w:r>
      <w:r w:rsidRPr="00EF1388">
        <w:t>ompany will report annually, and identifies any definitions, metrics and calculations used for annual reporting.  The report will be filed annually by May 1 with performance results calculated for the prior calendar year.</w:t>
      </w:r>
    </w:p>
    <w:p w:rsidR="00EF1388" w:rsidRPr="00EF1388" w:rsidRDefault="00EF1388" w:rsidP="00EF1388">
      <w:pPr>
        <w:jc w:val="both"/>
      </w:pPr>
    </w:p>
    <w:p w:rsidR="00EF1388" w:rsidRPr="00EF1388" w:rsidRDefault="00EF1388" w:rsidP="00EF1388">
      <w:pPr>
        <w:jc w:val="both"/>
      </w:pPr>
      <w:r w:rsidRPr="00EF1388">
        <w:t xml:space="preserve">The intent of the plan and annual reports is to evaluate and communicate reliability results delivered. The </w:t>
      </w:r>
      <w:r w:rsidR="007D1C66">
        <w:t>C</w:t>
      </w:r>
      <w:r w:rsidRPr="00EF1388">
        <w:t xml:space="preserve">ompany, however, cautions that while general trends may be detectable, underlying causes for these trends are not always obvious.  For instance, substantial variation in weather may lead to significantly differing results.  While the </w:t>
      </w:r>
      <w:r w:rsidR="007D1C66">
        <w:t>C</w:t>
      </w:r>
      <w:r w:rsidRPr="00EF1388">
        <w:t xml:space="preserve">ompany believes such attention to system and subsystem reliability is critical to effective operations, comparisons </w:t>
      </w:r>
      <w:r w:rsidR="007D1C66">
        <w:t>should</w:t>
      </w:r>
      <w:r w:rsidRPr="00EF1388">
        <w:t xml:space="preserve"> recognize influences that may impact such comparisons.</w:t>
      </w:r>
      <w:r w:rsidR="001B505B">
        <w:t xml:space="preserve"> </w:t>
      </w:r>
      <w:r w:rsidRPr="00EF1388">
        <w:t xml:space="preserve">For example, as reporting systems evolve they can influence system metrics, but </w:t>
      </w:r>
      <w:r w:rsidR="003850C2">
        <w:t xml:space="preserve">actual </w:t>
      </w:r>
      <w:r w:rsidRPr="00EF1388">
        <w:t>customer experience</w:t>
      </w:r>
      <w:r w:rsidR="003850C2">
        <w:t xml:space="preserve"> may remain the same </w:t>
      </w:r>
      <w:r w:rsidR="00D37C3E">
        <w:t xml:space="preserve">as </w:t>
      </w:r>
      <w:r w:rsidR="003850C2">
        <w:t xml:space="preserve">or </w:t>
      </w:r>
      <w:r w:rsidR="00D37C3E">
        <w:t xml:space="preserve">be </w:t>
      </w:r>
      <w:r w:rsidR="003850C2">
        <w:t>similar to</w:t>
      </w:r>
      <w:r w:rsidRPr="00EF1388">
        <w:t xml:space="preserve"> prior periods. Further, comparisons among companies reporting similar metrics may not yield accurate or useful conclusions due to differences in data collection methods, customer demographics, system age or physical environments. </w:t>
      </w:r>
    </w:p>
    <w:p w:rsidR="00B007E3" w:rsidRPr="00B007E3" w:rsidRDefault="00EF1388" w:rsidP="00EF1388">
      <w:pPr>
        <w:jc w:val="both"/>
      </w:pPr>
      <w:r w:rsidRPr="00EF1388">
        <w:t xml:space="preserve">  </w:t>
      </w:r>
      <w:r w:rsidRPr="00EF1388">
        <w:br/>
      </w:r>
    </w:p>
    <w:p w:rsidR="000F6DEE" w:rsidRDefault="000F6DEE" w:rsidP="00D855D7">
      <w:pPr>
        <w:pStyle w:val="Heading1"/>
        <w:numPr>
          <w:ilvl w:val="0"/>
          <w:numId w:val="0"/>
        </w:numPr>
        <w:rPr>
          <w:rFonts w:ascii="Times New Roman" w:hAnsi="Times New Roman" w:cs="Times New Roman"/>
        </w:rPr>
      </w:pPr>
    </w:p>
    <w:p w:rsidR="000F6DEE" w:rsidRDefault="000F6DEE" w:rsidP="000F6DEE"/>
    <w:p w:rsidR="000F6DEE" w:rsidRPr="000F6DEE" w:rsidRDefault="000F6DEE" w:rsidP="000F6DEE"/>
    <w:p w:rsidR="000F6DEE" w:rsidRDefault="000F6DEE" w:rsidP="00D855D7">
      <w:pPr>
        <w:pStyle w:val="Heading1"/>
        <w:numPr>
          <w:ilvl w:val="0"/>
          <w:numId w:val="0"/>
        </w:numPr>
        <w:rPr>
          <w:rFonts w:ascii="Times New Roman" w:hAnsi="Times New Roman" w:cs="Times New Roman"/>
        </w:rPr>
      </w:pPr>
    </w:p>
    <w:p w:rsidR="00B007E3" w:rsidRPr="00D855D7" w:rsidRDefault="00B007E3" w:rsidP="00D855D7">
      <w:pPr>
        <w:pStyle w:val="Heading1"/>
        <w:numPr>
          <w:ilvl w:val="0"/>
          <w:numId w:val="0"/>
        </w:numPr>
        <w:rPr>
          <w:rFonts w:ascii="Times New Roman" w:hAnsi="Times New Roman" w:cs="Times New Roman"/>
        </w:rPr>
      </w:pPr>
      <w:bookmarkStart w:id="8" w:name="_Toc288411626"/>
      <w:r w:rsidRPr="00D855D7">
        <w:rPr>
          <w:rFonts w:ascii="Times New Roman" w:hAnsi="Times New Roman" w:cs="Times New Roman"/>
        </w:rPr>
        <w:t xml:space="preserve">1.0 Reliability Definitions and </w:t>
      </w:r>
      <w:smartTag w:uri="urn:schemas-microsoft-com:office:smarttags" w:element="place">
        <w:smartTag w:uri="urn:schemas-microsoft-com:office:smarttags" w:element="PlaceName">
          <w:r w:rsidRPr="00D855D7">
            <w:rPr>
              <w:rFonts w:ascii="Times New Roman" w:hAnsi="Times New Roman" w:cs="Times New Roman"/>
            </w:rPr>
            <w:t>Service</w:t>
          </w:r>
        </w:smartTag>
        <w:r w:rsidRPr="00D855D7">
          <w:rPr>
            <w:rFonts w:ascii="Times New Roman" w:hAnsi="Times New Roman" w:cs="Times New Roman"/>
          </w:rPr>
          <w:t xml:space="preserve"> </w:t>
        </w:r>
        <w:smartTag w:uri="urn:schemas-microsoft-com:office:smarttags" w:element="PlaceType">
          <w:r w:rsidRPr="00D855D7">
            <w:rPr>
              <w:rFonts w:ascii="Times New Roman" w:hAnsi="Times New Roman" w:cs="Times New Roman"/>
            </w:rPr>
            <w:t>Territory</w:t>
          </w:r>
        </w:smartTag>
      </w:smartTag>
      <w:bookmarkEnd w:id="8"/>
    </w:p>
    <w:p w:rsidR="003177D8" w:rsidRPr="003177D8" w:rsidRDefault="003177D8" w:rsidP="003177D8">
      <w:pPr>
        <w:rPr>
          <w:b/>
          <w:u w:val="single"/>
        </w:rPr>
      </w:pPr>
    </w:p>
    <w:p w:rsidR="00B007E3" w:rsidRPr="00602C96" w:rsidRDefault="00396923" w:rsidP="00602C96">
      <w:pPr>
        <w:pStyle w:val="Heading2"/>
        <w:numPr>
          <w:ilvl w:val="0"/>
          <w:numId w:val="0"/>
        </w:numPr>
        <w:ind w:firstLine="270"/>
        <w:rPr>
          <w:rFonts w:ascii="Times New Roman" w:hAnsi="Times New Roman" w:cs="Times New Roman"/>
          <w:i w:val="0"/>
          <w:sz w:val="24"/>
          <w:szCs w:val="24"/>
        </w:rPr>
      </w:pPr>
      <w:bookmarkStart w:id="9" w:name="_Toc288411627"/>
      <w:r>
        <w:rPr>
          <w:rFonts w:ascii="Times New Roman" w:hAnsi="Times New Roman" w:cs="Times New Roman"/>
          <w:i w:val="0"/>
          <w:sz w:val="24"/>
          <w:szCs w:val="24"/>
        </w:rPr>
        <w:t xml:space="preserve">1.1 </w:t>
      </w:r>
      <w:r w:rsidR="002C0F9E">
        <w:rPr>
          <w:rFonts w:ascii="Times New Roman" w:hAnsi="Times New Roman" w:cs="Times New Roman"/>
          <w:i w:val="0"/>
          <w:sz w:val="24"/>
          <w:szCs w:val="24"/>
        </w:rPr>
        <w:tab/>
      </w:r>
      <w:r w:rsidR="00B007E3" w:rsidRPr="00602C96">
        <w:rPr>
          <w:rFonts w:ascii="Times New Roman" w:hAnsi="Times New Roman" w:cs="Times New Roman"/>
          <w:i w:val="0"/>
          <w:sz w:val="24"/>
          <w:szCs w:val="24"/>
        </w:rPr>
        <w:t>Reliability Definitions</w:t>
      </w:r>
      <w:bookmarkEnd w:id="9"/>
    </w:p>
    <w:p w:rsidR="00B007E3" w:rsidRDefault="00B007E3" w:rsidP="00B007E3">
      <w:pPr>
        <w:spacing w:before="120"/>
        <w:ind w:left="270" w:firstLine="4"/>
        <w:jc w:val="both"/>
      </w:pPr>
      <w:r w:rsidRPr="00B007E3">
        <w:t>This section will define the various terms</w:t>
      </w:r>
      <w:r w:rsidRPr="00B007E3">
        <w:rPr>
          <w:rStyle w:val="FootnoteReference"/>
        </w:rPr>
        <w:footnoteReference w:id="2"/>
      </w:r>
      <w:r w:rsidRPr="00B007E3">
        <w:t xml:space="preserve"> used when referring to interruption types, performance metrics and the internal measures developed to meet </w:t>
      </w:r>
      <w:r w:rsidR="003850C2">
        <w:t>the</w:t>
      </w:r>
      <w:r w:rsidRPr="00B007E3">
        <w:t xml:space="preserve"> performance plans.  </w:t>
      </w:r>
    </w:p>
    <w:p w:rsidR="00B007E3" w:rsidRDefault="00B007E3" w:rsidP="00B007E3">
      <w:pPr>
        <w:ind w:left="274"/>
        <w:jc w:val="both"/>
      </w:pPr>
    </w:p>
    <w:p w:rsidR="00B007E3" w:rsidRPr="00B007E3" w:rsidRDefault="00B007E3" w:rsidP="00B007E3">
      <w:pPr>
        <w:ind w:left="274"/>
        <w:jc w:val="both"/>
      </w:pPr>
      <w:r w:rsidRPr="00B007E3">
        <w:rPr>
          <w:b/>
          <w:u w:val="single"/>
        </w:rPr>
        <w:t>General Terms Used</w:t>
      </w:r>
    </w:p>
    <w:p w:rsidR="00B007E3" w:rsidRPr="00B007E3" w:rsidRDefault="00B007E3" w:rsidP="00B007E3">
      <w:pPr>
        <w:pStyle w:val="BodyTextIndent"/>
        <w:spacing w:line="240" w:lineRule="auto"/>
        <w:ind w:left="270"/>
        <w:rPr>
          <w:b/>
          <w:i/>
          <w:sz w:val="24"/>
          <w:szCs w:val="24"/>
        </w:rPr>
      </w:pPr>
      <w:r w:rsidRPr="00B007E3">
        <w:rPr>
          <w:b/>
          <w:i/>
          <w:sz w:val="24"/>
          <w:szCs w:val="24"/>
        </w:rPr>
        <w:t>Areas of Greatest Concern</w:t>
      </w:r>
    </w:p>
    <w:p w:rsidR="00B007E3" w:rsidRPr="00B007E3" w:rsidRDefault="00B007E3" w:rsidP="00B007E3">
      <w:pPr>
        <w:pStyle w:val="BodyTextIndent"/>
        <w:spacing w:before="0" w:line="240" w:lineRule="auto"/>
        <w:ind w:left="270"/>
        <w:rPr>
          <w:sz w:val="24"/>
          <w:szCs w:val="24"/>
        </w:rPr>
      </w:pPr>
      <w:r w:rsidRPr="00B007E3">
        <w:rPr>
          <w:sz w:val="24"/>
          <w:szCs w:val="24"/>
        </w:rPr>
        <w:t>An area identified for analysis, resulting from reliability controls.  These areas are outline</w:t>
      </w:r>
      <w:r w:rsidR="007D3572">
        <w:rPr>
          <w:sz w:val="24"/>
          <w:szCs w:val="24"/>
        </w:rPr>
        <w:t>d</w:t>
      </w:r>
      <w:r w:rsidRPr="00B007E3">
        <w:rPr>
          <w:sz w:val="24"/>
          <w:szCs w:val="24"/>
        </w:rPr>
        <w:t xml:space="preserve"> in Section </w:t>
      </w:r>
      <w:r w:rsidR="007374D3">
        <w:rPr>
          <w:sz w:val="24"/>
          <w:szCs w:val="24"/>
        </w:rPr>
        <w:t>3</w:t>
      </w:r>
      <w:r w:rsidRPr="00B007E3">
        <w:rPr>
          <w:sz w:val="24"/>
          <w:szCs w:val="24"/>
        </w:rPr>
        <w:t>:  Area of Greatest Concern.  These are generally identified using a blended metric, such as Circuit Performance Indicator (</w:t>
      </w:r>
      <w:smartTag w:uri="urn:schemas-microsoft-com:office:smarttags" w:element="stockticker">
        <w:r w:rsidRPr="00B007E3">
          <w:rPr>
            <w:sz w:val="24"/>
            <w:szCs w:val="24"/>
          </w:rPr>
          <w:t>CPI</w:t>
        </w:r>
      </w:smartTag>
      <w:r w:rsidRPr="00B007E3">
        <w:rPr>
          <w:sz w:val="24"/>
          <w:szCs w:val="24"/>
        </w:rPr>
        <w:t xml:space="preserve">) or using </w:t>
      </w:r>
      <w:r w:rsidRPr="004874C6">
        <w:rPr>
          <w:sz w:val="24"/>
          <w:szCs w:val="24"/>
        </w:rPr>
        <w:t>a “measles” plot</w:t>
      </w:r>
      <w:r w:rsidRPr="00B007E3">
        <w:rPr>
          <w:sz w:val="24"/>
          <w:szCs w:val="24"/>
        </w:rPr>
        <w:t xml:space="preserve"> which depicts repeated outages or long cumulative duration outages within the network.   </w:t>
      </w:r>
    </w:p>
    <w:p w:rsidR="00B007E3" w:rsidRPr="00B007E3" w:rsidRDefault="00B007E3" w:rsidP="00B007E3">
      <w:pPr>
        <w:pStyle w:val="BodyTextIndent"/>
        <w:spacing w:line="240" w:lineRule="auto"/>
        <w:ind w:left="270"/>
        <w:rPr>
          <w:b/>
          <w:i/>
          <w:sz w:val="24"/>
          <w:szCs w:val="24"/>
        </w:rPr>
      </w:pPr>
      <w:r w:rsidRPr="00B007E3">
        <w:rPr>
          <w:b/>
          <w:i/>
          <w:sz w:val="24"/>
          <w:szCs w:val="24"/>
        </w:rPr>
        <w:t>Outage/Power Quality Inquiry</w:t>
      </w:r>
    </w:p>
    <w:p w:rsidR="00B007E3" w:rsidRPr="00B007E3" w:rsidRDefault="00B007E3" w:rsidP="00B007E3">
      <w:pPr>
        <w:pStyle w:val="BodyTextIndent"/>
        <w:spacing w:before="0" w:line="240" w:lineRule="auto"/>
        <w:ind w:left="270"/>
        <w:rPr>
          <w:sz w:val="24"/>
          <w:szCs w:val="24"/>
        </w:rPr>
      </w:pPr>
      <w:r w:rsidRPr="00B007E3">
        <w:rPr>
          <w:sz w:val="24"/>
          <w:szCs w:val="24"/>
        </w:rPr>
        <w:t xml:space="preserve">A transaction recorded by the </w:t>
      </w:r>
      <w:r w:rsidR="003850C2">
        <w:rPr>
          <w:sz w:val="24"/>
          <w:szCs w:val="24"/>
        </w:rPr>
        <w:t>C</w:t>
      </w:r>
      <w:r w:rsidRPr="00B007E3">
        <w:rPr>
          <w:sz w:val="24"/>
          <w:szCs w:val="24"/>
        </w:rPr>
        <w:t>ompany as a result of a customer’s call regarding power quality or reliability of their local service. These are recorded in the Customer Service System (</w:t>
      </w:r>
      <w:proofErr w:type="spellStart"/>
      <w:smartTag w:uri="urn:schemas-microsoft-com:office:smarttags" w:element="stockticker">
        <w:r w:rsidRPr="00B007E3">
          <w:rPr>
            <w:sz w:val="24"/>
            <w:szCs w:val="24"/>
          </w:rPr>
          <w:t>CSS</w:t>
        </w:r>
      </w:smartTag>
      <w:proofErr w:type="spellEnd"/>
      <w:r w:rsidRPr="00B007E3">
        <w:rPr>
          <w:sz w:val="24"/>
          <w:szCs w:val="24"/>
        </w:rPr>
        <w:t xml:space="preserve">) and upon </w:t>
      </w:r>
      <w:proofErr w:type="gramStart"/>
      <w:r w:rsidRPr="00B007E3">
        <w:rPr>
          <w:sz w:val="24"/>
          <w:szCs w:val="24"/>
        </w:rPr>
        <w:t>investigation,</w:t>
      </w:r>
      <w:proofErr w:type="gramEnd"/>
      <w:r w:rsidRPr="00B007E3">
        <w:rPr>
          <w:sz w:val="24"/>
          <w:szCs w:val="24"/>
        </w:rPr>
        <w:t xml:space="preserve"> </w:t>
      </w:r>
      <w:r w:rsidR="003850C2">
        <w:rPr>
          <w:sz w:val="24"/>
          <w:szCs w:val="24"/>
        </w:rPr>
        <w:t xml:space="preserve">a </w:t>
      </w:r>
      <w:r w:rsidRPr="00B007E3">
        <w:rPr>
          <w:sz w:val="24"/>
          <w:szCs w:val="24"/>
        </w:rPr>
        <w:t>response</w:t>
      </w:r>
      <w:r w:rsidR="003850C2">
        <w:rPr>
          <w:sz w:val="24"/>
          <w:szCs w:val="24"/>
        </w:rPr>
        <w:t xml:space="preserve"> is</w:t>
      </w:r>
      <w:r w:rsidRPr="00B007E3">
        <w:rPr>
          <w:sz w:val="24"/>
          <w:szCs w:val="24"/>
        </w:rPr>
        <w:t xml:space="preserve"> made to the customer.  </w:t>
      </w:r>
    </w:p>
    <w:p w:rsidR="00B007E3" w:rsidRPr="00B007E3" w:rsidRDefault="00B007E3" w:rsidP="00B007E3">
      <w:pPr>
        <w:pStyle w:val="BodyTextIndent"/>
        <w:spacing w:line="240" w:lineRule="auto"/>
        <w:ind w:left="270"/>
        <w:rPr>
          <w:b/>
          <w:i/>
          <w:sz w:val="24"/>
          <w:szCs w:val="24"/>
        </w:rPr>
      </w:pPr>
      <w:r w:rsidRPr="00B007E3">
        <w:rPr>
          <w:b/>
          <w:i/>
          <w:sz w:val="24"/>
          <w:szCs w:val="24"/>
        </w:rPr>
        <w:t>Elevated Complaint/1-800 Complaint</w:t>
      </w:r>
    </w:p>
    <w:p w:rsidR="00B007E3" w:rsidRPr="00B007E3" w:rsidRDefault="00B007E3" w:rsidP="00B007E3">
      <w:pPr>
        <w:pStyle w:val="BodyTextIndent"/>
        <w:spacing w:before="0" w:line="240" w:lineRule="auto"/>
        <w:ind w:left="270"/>
        <w:rPr>
          <w:sz w:val="24"/>
          <w:szCs w:val="24"/>
        </w:rPr>
      </w:pPr>
      <w:r w:rsidRPr="00B007E3">
        <w:rPr>
          <w:sz w:val="24"/>
          <w:szCs w:val="24"/>
        </w:rPr>
        <w:t xml:space="preserve">A transaction recorded by the </w:t>
      </w:r>
      <w:r w:rsidR="003850C2">
        <w:rPr>
          <w:sz w:val="24"/>
          <w:szCs w:val="24"/>
        </w:rPr>
        <w:t>C</w:t>
      </w:r>
      <w:r w:rsidRPr="00B007E3">
        <w:rPr>
          <w:sz w:val="24"/>
          <w:szCs w:val="24"/>
        </w:rPr>
        <w:t xml:space="preserve">ompany, initiated by a customer concerned about reliability.  These are recorded and tracked in a stand-alone database where they are investigated and monitored for </w:t>
      </w:r>
      <w:r w:rsidR="009871B1">
        <w:rPr>
          <w:sz w:val="24"/>
          <w:szCs w:val="24"/>
        </w:rPr>
        <w:t xml:space="preserve">a </w:t>
      </w:r>
      <w:r w:rsidRPr="00B007E3">
        <w:rPr>
          <w:sz w:val="24"/>
          <w:szCs w:val="24"/>
        </w:rPr>
        <w:t xml:space="preserve">response to the customer.  These may be the result of an outage/power quality inquiry for which the customer had continuing concerns.  </w:t>
      </w:r>
    </w:p>
    <w:p w:rsidR="00B007E3" w:rsidRPr="00B007E3" w:rsidRDefault="00B007E3" w:rsidP="00B007E3">
      <w:pPr>
        <w:pStyle w:val="BodyTextIndent"/>
        <w:spacing w:line="240" w:lineRule="auto"/>
        <w:ind w:left="270"/>
        <w:rPr>
          <w:b/>
          <w:i/>
          <w:sz w:val="24"/>
          <w:szCs w:val="24"/>
        </w:rPr>
      </w:pPr>
      <w:r w:rsidRPr="00B007E3">
        <w:rPr>
          <w:b/>
          <w:i/>
          <w:sz w:val="24"/>
          <w:szCs w:val="24"/>
        </w:rPr>
        <w:t>Commission Complaint</w:t>
      </w:r>
    </w:p>
    <w:p w:rsidR="00B007E3" w:rsidRDefault="00B007E3" w:rsidP="00B007E3">
      <w:pPr>
        <w:pStyle w:val="BodyTextIndent"/>
        <w:spacing w:before="0" w:line="240" w:lineRule="auto"/>
        <w:ind w:left="270"/>
        <w:rPr>
          <w:sz w:val="24"/>
          <w:szCs w:val="24"/>
        </w:rPr>
      </w:pPr>
      <w:r w:rsidRPr="00B007E3">
        <w:rPr>
          <w:sz w:val="24"/>
          <w:szCs w:val="24"/>
        </w:rPr>
        <w:t xml:space="preserve">A transaction initiated by a customer to the Commission which results in collaborative analysis and investigation by the </w:t>
      </w:r>
      <w:r w:rsidR="009871B1">
        <w:rPr>
          <w:sz w:val="24"/>
          <w:szCs w:val="24"/>
        </w:rPr>
        <w:t xml:space="preserve">Commission </w:t>
      </w:r>
      <w:r w:rsidRPr="00B007E3">
        <w:rPr>
          <w:sz w:val="24"/>
          <w:szCs w:val="24"/>
        </w:rPr>
        <w:t xml:space="preserve">staff and the </w:t>
      </w:r>
      <w:r w:rsidR="009871B1">
        <w:rPr>
          <w:sz w:val="24"/>
          <w:szCs w:val="24"/>
        </w:rPr>
        <w:t>C</w:t>
      </w:r>
      <w:r w:rsidRPr="00B007E3">
        <w:rPr>
          <w:sz w:val="24"/>
          <w:szCs w:val="24"/>
        </w:rPr>
        <w:t xml:space="preserve">ompany to determine actions required </w:t>
      </w:r>
      <w:proofErr w:type="gramStart"/>
      <w:r w:rsidR="007D3572">
        <w:rPr>
          <w:sz w:val="24"/>
          <w:szCs w:val="24"/>
        </w:rPr>
        <w:t xml:space="preserve">to </w:t>
      </w:r>
      <w:r w:rsidRPr="00B007E3">
        <w:rPr>
          <w:sz w:val="24"/>
          <w:szCs w:val="24"/>
        </w:rPr>
        <w:t>address</w:t>
      </w:r>
      <w:proofErr w:type="gramEnd"/>
      <w:r w:rsidR="007D3572">
        <w:rPr>
          <w:sz w:val="24"/>
          <w:szCs w:val="24"/>
        </w:rPr>
        <w:t xml:space="preserve"> </w:t>
      </w:r>
      <w:r w:rsidRPr="00B007E3">
        <w:rPr>
          <w:sz w:val="24"/>
          <w:szCs w:val="24"/>
        </w:rPr>
        <w:t xml:space="preserve">customer concerns.  They are recorded and tracked by the </w:t>
      </w:r>
      <w:r w:rsidR="009871B1">
        <w:rPr>
          <w:sz w:val="24"/>
          <w:szCs w:val="24"/>
        </w:rPr>
        <w:t>C</w:t>
      </w:r>
      <w:r w:rsidRPr="00B007E3">
        <w:rPr>
          <w:sz w:val="24"/>
          <w:szCs w:val="24"/>
        </w:rPr>
        <w:t xml:space="preserve">ompany in a stand-alone database and routinely evaluated by </w:t>
      </w:r>
      <w:r w:rsidR="009871B1">
        <w:rPr>
          <w:sz w:val="24"/>
          <w:szCs w:val="24"/>
        </w:rPr>
        <w:t>C</w:t>
      </w:r>
      <w:r w:rsidRPr="00B007E3">
        <w:rPr>
          <w:sz w:val="24"/>
          <w:szCs w:val="24"/>
        </w:rPr>
        <w:t xml:space="preserve">ompany operational staff, as well as annually reported in the </w:t>
      </w:r>
      <w:r w:rsidR="009871B1">
        <w:rPr>
          <w:sz w:val="24"/>
          <w:szCs w:val="24"/>
        </w:rPr>
        <w:t>C</w:t>
      </w:r>
      <w:r w:rsidRPr="00B007E3">
        <w:rPr>
          <w:sz w:val="24"/>
          <w:szCs w:val="24"/>
        </w:rPr>
        <w:t xml:space="preserve">ompany’s reliability report.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ind w:firstLine="274"/>
        <w:rPr>
          <w:b/>
          <w:u w:val="single"/>
        </w:rPr>
      </w:pPr>
      <w:r w:rsidRPr="00B007E3">
        <w:rPr>
          <w:b/>
          <w:u w:val="single"/>
        </w:rPr>
        <w:t>Interruption Types</w:t>
      </w:r>
    </w:p>
    <w:p w:rsidR="00B007E3" w:rsidRPr="00B007E3" w:rsidRDefault="00B007E3" w:rsidP="00B007E3">
      <w:pPr>
        <w:pStyle w:val="BodyTextIndent"/>
        <w:spacing w:line="240" w:lineRule="auto"/>
        <w:ind w:left="270"/>
        <w:rPr>
          <w:b/>
          <w:i/>
          <w:sz w:val="24"/>
          <w:szCs w:val="24"/>
        </w:rPr>
      </w:pPr>
      <w:r w:rsidRPr="00B007E3">
        <w:rPr>
          <w:b/>
          <w:i/>
          <w:sz w:val="24"/>
          <w:szCs w:val="24"/>
        </w:rPr>
        <w:t>Sustained Outage</w:t>
      </w:r>
    </w:p>
    <w:p w:rsidR="00B007E3" w:rsidRDefault="00B007E3" w:rsidP="00B007E3">
      <w:pPr>
        <w:pStyle w:val="BodyTextIndent"/>
        <w:spacing w:before="0" w:line="240" w:lineRule="auto"/>
        <w:ind w:left="270"/>
        <w:rPr>
          <w:sz w:val="24"/>
          <w:szCs w:val="24"/>
        </w:rPr>
      </w:pPr>
      <w:r w:rsidRPr="00B007E3">
        <w:rPr>
          <w:sz w:val="24"/>
          <w:szCs w:val="24"/>
        </w:rPr>
        <w:t xml:space="preserve">A sustained outage is defined as an outage of equal to or greater than 5 minutes in duration.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firstLine="270"/>
        <w:rPr>
          <w:sz w:val="24"/>
          <w:szCs w:val="24"/>
        </w:rPr>
      </w:pPr>
      <w:r w:rsidRPr="00B007E3">
        <w:rPr>
          <w:b/>
          <w:sz w:val="24"/>
          <w:szCs w:val="24"/>
          <w:u w:val="single"/>
        </w:rPr>
        <w:t>Reliability Indices</w:t>
      </w:r>
    </w:p>
    <w:p w:rsidR="00B007E3" w:rsidRPr="00B007E3" w:rsidRDefault="00B007E3" w:rsidP="00B007E3">
      <w:pPr>
        <w:pStyle w:val="BodyTextIndent"/>
        <w:spacing w:line="240" w:lineRule="auto"/>
        <w:ind w:left="270"/>
        <w:rPr>
          <w:b/>
          <w:i/>
          <w:sz w:val="24"/>
          <w:szCs w:val="24"/>
        </w:rPr>
      </w:pPr>
      <w:proofErr w:type="spellStart"/>
      <w:r w:rsidRPr="00B007E3">
        <w:rPr>
          <w:b/>
          <w:i/>
          <w:sz w:val="24"/>
          <w:szCs w:val="24"/>
        </w:rPr>
        <w:t>SAIDI</w:t>
      </w:r>
      <w:proofErr w:type="spellEnd"/>
      <w:r w:rsidRPr="00B007E3">
        <w:rPr>
          <w:b/>
          <w:i/>
          <w:sz w:val="24"/>
          <w:szCs w:val="24"/>
        </w:rPr>
        <w:t xml:space="preserve"> = </w:t>
      </w:r>
      <w:r w:rsidRPr="00B007E3">
        <w:rPr>
          <w:b/>
          <w:i/>
          <w:sz w:val="24"/>
          <w:szCs w:val="24"/>
        </w:rPr>
        <w:sym w:font="UniversalMath1 BT" w:char="F053"/>
      </w:r>
      <w:r w:rsidRPr="00B007E3">
        <w:rPr>
          <w:b/>
          <w:i/>
          <w:sz w:val="24"/>
          <w:szCs w:val="24"/>
        </w:rPr>
        <w:t xml:space="preserve"> sustained customer minutes interrupted/</w:t>
      </w:r>
      <w:r w:rsidRPr="00B007E3">
        <w:rPr>
          <w:b/>
          <w:i/>
          <w:sz w:val="24"/>
          <w:szCs w:val="24"/>
        </w:rPr>
        <w:sym w:font="UniversalMath1 BT" w:char="F053"/>
      </w:r>
      <w:r w:rsidRPr="00B007E3">
        <w:rPr>
          <w:b/>
          <w:i/>
          <w:sz w:val="24"/>
          <w:szCs w:val="24"/>
        </w:rPr>
        <w:t xml:space="preserve">  system customers served</w:t>
      </w:r>
    </w:p>
    <w:p w:rsidR="00B007E3" w:rsidRPr="00B007E3" w:rsidRDefault="00B007E3" w:rsidP="00B007E3">
      <w:pPr>
        <w:pStyle w:val="BodyTextIndent"/>
        <w:spacing w:before="0" w:line="240" w:lineRule="auto"/>
        <w:ind w:left="270"/>
        <w:rPr>
          <w:sz w:val="24"/>
          <w:szCs w:val="24"/>
        </w:rPr>
      </w:pPr>
      <w:proofErr w:type="spellStart"/>
      <w:r w:rsidRPr="00B007E3">
        <w:rPr>
          <w:sz w:val="24"/>
          <w:szCs w:val="24"/>
        </w:rPr>
        <w:t>SAIDI</w:t>
      </w:r>
      <w:proofErr w:type="spellEnd"/>
      <w:r w:rsidRPr="00B007E3">
        <w:rPr>
          <w:sz w:val="24"/>
          <w:szCs w:val="24"/>
        </w:rPr>
        <w:t xml:space="preserve"> (system average interruption duration index) is an industry-defined term to define the average duration summed for all sustained outages experienced in a given time-frame.  It is calculated by summing all customer minutes lost for sustained outages (those exceeding 5 minutes) and dividing by all customers served within the study area.  </w:t>
      </w:r>
      <w:r w:rsidR="009871B1">
        <w:rPr>
          <w:sz w:val="24"/>
          <w:szCs w:val="24"/>
        </w:rPr>
        <w:t xml:space="preserve">This value is for a one-year period, unless otherwise stated. </w:t>
      </w:r>
    </w:p>
    <w:p w:rsidR="00EF1388" w:rsidRDefault="00EF1388" w:rsidP="00EF1388">
      <w:pPr>
        <w:jc w:val="both"/>
      </w:pPr>
    </w:p>
    <w:p w:rsidR="00B007E3" w:rsidRDefault="00B007E3" w:rsidP="003177D8">
      <w:pPr>
        <w:pStyle w:val="BodyTextIndent"/>
        <w:spacing w:line="240" w:lineRule="auto"/>
        <w:ind w:left="270"/>
        <w:rPr>
          <w:b/>
          <w:i/>
          <w:sz w:val="24"/>
          <w:szCs w:val="24"/>
        </w:rPr>
      </w:pPr>
      <w:r w:rsidRPr="00B007E3">
        <w:rPr>
          <w:b/>
          <w:i/>
          <w:sz w:val="24"/>
          <w:szCs w:val="24"/>
        </w:rPr>
        <w:t xml:space="preserve">Daily </w:t>
      </w:r>
      <w:proofErr w:type="spellStart"/>
      <w:r w:rsidRPr="00B007E3">
        <w:rPr>
          <w:b/>
          <w:i/>
          <w:sz w:val="24"/>
          <w:szCs w:val="24"/>
        </w:rPr>
        <w:t>SAIDI</w:t>
      </w:r>
      <w:proofErr w:type="spellEnd"/>
      <w:r w:rsidRPr="00B007E3">
        <w:rPr>
          <w:b/>
          <w:i/>
          <w:sz w:val="24"/>
          <w:szCs w:val="24"/>
        </w:rPr>
        <w:t xml:space="preserve"> = </w:t>
      </w:r>
      <w:r w:rsidRPr="00B007E3">
        <w:rPr>
          <w:b/>
          <w:i/>
          <w:sz w:val="24"/>
          <w:szCs w:val="24"/>
        </w:rPr>
        <w:sym w:font="UniversalMath1 BT" w:char="F053"/>
      </w:r>
      <w:r w:rsidRPr="00B007E3">
        <w:rPr>
          <w:b/>
          <w:i/>
          <w:sz w:val="24"/>
          <w:szCs w:val="24"/>
        </w:rPr>
        <w:t xml:space="preserve"> sustained customer minutes interrupted (for the day)/</w:t>
      </w:r>
      <w:r w:rsidRPr="00B007E3">
        <w:rPr>
          <w:b/>
          <w:i/>
          <w:sz w:val="24"/>
          <w:szCs w:val="24"/>
        </w:rPr>
        <w:sym w:font="UniversalMath1 BT" w:char="F053"/>
      </w:r>
      <w:r w:rsidRPr="00B007E3">
        <w:rPr>
          <w:b/>
          <w:i/>
          <w:sz w:val="24"/>
          <w:szCs w:val="24"/>
        </w:rPr>
        <w:t xml:space="preserve"> system customers served</w:t>
      </w:r>
    </w:p>
    <w:p w:rsidR="00B007E3" w:rsidRDefault="00B007E3" w:rsidP="00B007E3">
      <w:pPr>
        <w:pStyle w:val="BodyTextIndent"/>
        <w:spacing w:before="0" w:line="240" w:lineRule="auto"/>
        <w:ind w:left="274"/>
        <w:rPr>
          <w:sz w:val="24"/>
          <w:szCs w:val="24"/>
        </w:rPr>
      </w:pPr>
      <w:r w:rsidRPr="00B007E3">
        <w:rPr>
          <w:sz w:val="24"/>
          <w:szCs w:val="24"/>
        </w:rPr>
        <w:t xml:space="preserve">In order to evaluate trends during a year and to establish Major Event Thresholds, a daily </w:t>
      </w:r>
      <w:proofErr w:type="spellStart"/>
      <w:r w:rsidRPr="00B007E3">
        <w:rPr>
          <w:sz w:val="24"/>
          <w:szCs w:val="24"/>
        </w:rPr>
        <w:t>SAIDI</w:t>
      </w:r>
      <w:proofErr w:type="spellEnd"/>
      <w:r w:rsidRPr="00B007E3">
        <w:rPr>
          <w:sz w:val="24"/>
          <w:szCs w:val="24"/>
        </w:rPr>
        <w:t xml:space="preserve"> (daily system average interruption duration index) value is often used as a measure.  This concept was introduced in IEEE Standard P1366-2003.  This is the day’s total customer minutes out of service divided by the static customer count for the year</w:t>
      </w:r>
      <w:r w:rsidR="009871B1">
        <w:rPr>
          <w:sz w:val="24"/>
          <w:szCs w:val="24"/>
        </w:rPr>
        <w:t>, which shows</w:t>
      </w:r>
      <w:r w:rsidRPr="00B007E3">
        <w:rPr>
          <w:sz w:val="24"/>
          <w:szCs w:val="24"/>
        </w:rPr>
        <w:t xml:space="preserve"> the total average outage duration experienced for that given day.  </w:t>
      </w:r>
      <w:r w:rsidR="002F67B0">
        <w:rPr>
          <w:sz w:val="24"/>
          <w:szCs w:val="24"/>
        </w:rPr>
        <w:t>T</w:t>
      </w:r>
      <w:r w:rsidRPr="00B007E3">
        <w:rPr>
          <w:sz w:val="24"/>
          <w:szCs w:val="24"/>
        </w:rPr>
        <w:t>hese daily values are accumulated</w:t>
      </w:r>
      <w:r w:rsidR="002F67B0">
        <w:rPr>
          <w:sz w:val="24"/>
          <w:szCs w:val="24"/>
        </w:rPr>
        <w:t xml:space="preserve"> and added</w:t>
      </w:r>
      <w:r w:rsidRPr="00B007E3">
        <w:rPr>
          <w:sz w:val="24"/>
          <w:szCs w:val="24"/>
        </w:rPr>
        <w:t xml:space="preserve"> through</w:t>
      </w:r>
      <w:r w:rsidR="002F67B0">
        <w:rPr>
          <w:sz w:val="24"/>
          <w:szCs w:val="24"/>
        </w:rPr>
        <w:t>out</w:t>
      </w:r>
      <w:r w:rsidRPr="00B007E3">
        <w:rPr>
          <w:sz w:val="24"/>
          <w:szCs w:val="24"/>
        </w:rPr>
        <w:t xml:space="preserve"> the year</w:t>
      </w:r>
      <w:r w:rsidR="002F67B0">
        <w:rPr>
          <w:sz w:val="24"/>
          <w:szCs w:val="24"/>
        </w:rPr>
        <w:t xml:space="preserve"> to</w:t>
      </w:r>
      <w:r w:rsidRPr="00B007E3">
        <w:rPr>
          <w:sz w:val="24"/>
          <w:szCs w:val="24"/>
        </w:rPr>
        <w:t xml:space="preserve"> yield the year</w:t>
      </w:r>
      <w:r w:rsidR="002F67B0">
        <w:rPr>
          <w:sz w:val="24"/>
          <w:szCs w:val="24"/>
        </w:rPr>
        <w:t>ly</w:t>
      </w:r>
      <w:r w:rsidRPr="00B007E3">
        <w:rPr>
          <w:sz w:val="24"/>
          <w:szCs w:val="24"/>
        </w:rPr>
        <w:t xml:space="preserve"> </w:t>
      </w:r>
      <w:proofErr w:type="spellStart"/>
      <w:r w:rsidRPr="00B007E3">
        <w:rPr>
          <w:sz w:val="24"/>
          <w:szCs w:val="24"/>
        </w:rPr>
        <w:t>SAIDI</w:t>
      </w:r>
      <w:proofErr w:type="spellEnd"/>
      <w:r w:rsidRPr="00B007E3">
        <w:rPr>
          <w:sz w:val="24"/>
          <w:szCs w:val="24"/>
        </w:rPr>
        <w:t xml:space="preserve"> results.</w:t>
      </w:r>
    </w:p>
    <w:p w:rsidR="00B007E3" w:rsidRPr="00B007E3" w:rsidRDefault="00B007E3" w:rsidP="00B007E3">
      <w:pPr>
        <w:pStyle w:val="BodyTextIndent"/>
        <w:spacing w:before="0" w:line="240" w:lineRule="auto"/>
        <w:ind w:left="274"/>
        <w:rPr>
          <w:b/>
          <w:i/>
          <w:sz w:val="24"/>
          <w:szCs w:val="24"/>
        </w:rPr>
      </w:pPr>
    </w:p>
    <w:p w:rsidR="00B007E3" w:rsidRPr="00B007E3" w:rsidRDefault="00B007E3" w:rsidP="00B007E3">
      <w:pPr>
        <w:pStyle w:val="BodyTextIndent"/>
        <w:spacing w:before="0" w:line="240" w:lineRule="auto"/>
        <w:ind w:left="274"/>
        <w:rPr>
          <w:b/>
          <w:i/>
          <w:sz w:val="24"/>
          <w:szCs w:val="24"/>
        </w:rPr>
      </w:pPr>
      <w:proofErr w:type="spellStart"/>
      <w:r w:rsidRPr="00B007E3">
        <w:rPr>
          <w:b/>
          <w:i/>
          <w:sz w:val="24"/>
          <w:szCs w:val="24"/>
        </w:rPr>
        <w:t>SAIFI</w:t>
      </w:r>
      <w:proofErr w:type="spellEnd"/>
      <w:r w:rsidRPr="00B007E3">
        <w:rPr>
          <w:b/>
          <w:i/>
          <w:sz w:val="24"/>
          <w:szCs w:val="24"/>
        </w:rPr>
        <w:t xml:space="preserve"> = </w:t>
      </w:r>
      <w:r w:rsidRPr="00B007E3">
        <w:rPr>
          <w:b/>
          <w:i/>
          <w:sz w:val="24"/>
          <w:szCs w:val="24"/>
        </w:rPr>
        <w:sym w:font="UniversalMath1 BT" w:char="F053"/>
      </w:r>
      <w:r w:rsidRPr="00B007E3">
        <w:rPr>
          <w:b/>
          <w:i/>
          <w:sz w:val="24"/>
          <w:szCs w:val="24"/>
        </w:rPr>
        <w:t xml:space="preserve"> sustained customers interrupted / </w:t>
      </w:r>
      <w:r w:rsidRPr="00B007E3">
        <w:rPr>
          <w:b/>
          <w:i/>
          <w:sz w:val="24"/>
          <w:szCs w:val="24"/>
        </w:rPr>
        <w:sym w:font="UniversalMath1 BT" w:char="F053"/>
      </w:r>
      <w:r w:rsidRPr="00B007E3">
        <w:rPr>
          <w:b/>
          <w:i/>
          <w:sz w:val="24"/>
          <w:szCs w:val="24"/>
        </w:rPr>
        <w:t xml:space="preserve">  system customers served</w:t>
      </w:r>
    </w:p>
    <w:p w:rsidR="00B007E3" w:rsidRDefault="00B007E3" w:rsidP="00B007E3">
      <w:pPr>
        <w:pStyle w:val="BodyTextIndent"/>
        <w:spacing w:before="0" w:line="240" w:lineRule="auto"/>
        <w:ind w:left="270"/>
        <w:rPr>
          <w:sz w:val="24"/>
          <w:szCs w:val="24"/>
        </w:rPr>
      </w:pPr>
      <w:proofErr w:type="spellStart"/>
      <w:r w:rsidRPr="00B007E3">
        <w:rPr>
          <w:sz w:val="24"/>
          <w:szCs w:val="24"/>
        </w:rPr>
        <w:t>SAIFI</w:t>
      </w:r>
      <w:proofErr w:type="spellEnd"/>
      <w:r w:rsidRPr="00B007E3">
        <w:rPr>
          <w:sz w:val="24"/>
          <w:szCs w:val="24"/>
        </w:rPr>
        <w:t xml:space="preserve"> (system average interruption frequency index) is an industry-defined term that attempts to identify the frequency of all sustained outages experienced during a given time-frame.  It is calculated by summing all customer interruptions for sustained outages (those exceeding 5 minutes in duration) and dividing by all customers served within the study area.</w:t>
      </w:r>
      <w:r w:rsidR="003013DD" w:rsidRPr="00B007E3">
        <w:rPr>
          <w:sz w:val="24"/>
          <w:szCs w:val="24"/>
        </w:rPr>
        <w:t xml:space="preserve">  </w:t>
      </w:r>
      <w:r w:rsidR="003013DD">
        <w:rPr>
          <w:sz w:val="24"/>
          <w:szCs w:val="24"/>
        </w:rPr>
        <w:t>This value is for a one-year period, unless otherwise stated.</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left="274"/>
        <w:rPr>
          <w:b/>
          <w:i/>
          <w:sz w:val="24"/>
          <w:szCs w:val="24"/>
        </w:rPr>
      </w:pPr>
      <w:proofErr w:type="spellStart"/>
      <w:r w:rsidRPr="00B007E3">
        <w:rPr>
          <w:b/>
          <w:i/>
          <w:sz w:val="24"/>
          <w:szCs w:val="24"/>
        </w:rPr>
        <w:t>CAIDI</w:t>
      </w:r>
      <w:proofErr w:type="spellEnd"/>
      <w:r w:rsidRPr="00B007E3">
        <w:rPr>
          <w:b/>
          <w:i/>
          <w:sz w:val="24"/>
          <w:szCs w:val="24"/>
        </w:rPr>
        <w:t xml:space="preserve"> = sustained average interruption duration index / sustained average interruption frequency index</w:t>
      </w:r>
    </w:p>
    <w:p w:rsidR="00B007E3" w:rsidRDefault="00B007E3" w:rsidP="00B007E3">
      <w:pPr>
        <w:pStyle w:val="BodyTextIndent"/>
        <w:spacing w:before="0" w:line="240" w:lineRule="auto"/>
        <w:ind w:left="270"/>
        <w:rPr>
          <w:sz w:val="24"/>
          <w:szCs w:val="24"/>
        </w:rPr>
      </w:pPr>
      <w:proofErr w:type="spellStart"/>
      <w:r w:rsidRPr="00B007E3">
        <w:rPr>
          <w:sz w:val="24"/>
          <w:szCs w:val="24"/>
        </w:rPr>
        <w:t>CAIDI</w:t>
      </w:r>
      <w:proofErr w:type="spellEnd"/>
      <w:r w:rsidRPr="00B007E3">
        <w:rPr>
          <w:sz w:val="24"/>
          <w:szCs w:val="24"/>
        </w:rPr>
        <w:t xml:space="preserve"> (customer average interruption duration index) combines the average duration index and the average frequency index into a single index to identify the average duration when a customer experiences an interruption.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left="274"/>
        <w:rPr>
          <w:b/>
          <w:i/>
          <w:sz w:val="24"/>
          <w:szCs w:val="24"/>
        </w:rPr>
      </w:pPr>
      <w:r w:rsidRPr="00B007E3">
        <w:rPr>
          <w:b/>
          <w:i/>
          <w:sz w:val="24"/>
          <w:szCs w:val="24"/>
        </w:rPr>
        <w:t>Breaker Lockout</w:t>
      </w:r>
    </w:p>
    <w:p w:rsidR="00B007E3" w:rsidRDefault="00B007E3" w:rsidP="00B007E3">
      <w:pPr>
        <w:pStyle w:val="BodyTextIndent"/>
        <w:spacing w:before="0" w:line="240" w:lineRule="auto"/>
        <w:ind w:left="270"/>
        <w:rPr>
          <w:sz w:val="24"/>
          <w:szCs w:val="24"/>
        </w:rPr>
      </w:pPr>
      <w:r w:rsidRPr="00B007E3">
        <w:rPr>
          <w:sz w:val="24"/>
          <w:szCs w:val="24"/>
        </w:rPr>
        <w:t xml:space="preserve">A breaker lockout is the physical operation at a substation circuit breaker when automated protective systems are unable to clear a temporary faulted condition.  </w:t>
      </w:r>
      <w:proofErr w:type="gramStart"/>
      <w:r w:rsidRPr="00B007E3">
        <w:rPr>
          <w:sz w:val="24"/>
          <w:szCs w:val="24"/>
        </w:rPr>
        <w:t>After attempting to return the system to normal but not being successful, the breaker will “lockout” to ensure that the fault event does not cascade further upstream into the delivery system.</w:t>
      </w:r>
      <w:proofErr w:type="gramEnd"/>
    </w:p>
    <w:p w:rsidR="00B007E3" w:rsidRDefault="00B007E3" w:rsidP="00B007E3">
      <w:pPr>
        <w:pStyle w:val="BodyTextIndent"/>
        <w:spacing w:before="0" w:line="240" w:lineRule="auto"/>
        <w:ind w:left="270"/>
        <w:rPr>
          <w:sz w:val="24"/>
          <w:szCs w:val="24"/>
        </w:rPr>
      </w:pPr>
    </w:p>
    <w:p w:rsidR="00B007E3" w:rsidRPr="00B007E3" w:rsidRDefault="00B007E3" w:rsidP="00E73319">
      <w:pPr>
        <w:pStyle w:val="BodyTextIndent"/>
        <w:tabs>
          <w:tab w:val="left" w:pos="-1440"/>
        </w:tabs>
        <w:spacing w:before="0" w:line="240" w:lineRule="auto"/>
        <w:ind w:left="270"/>
        <w:rPr>
          <w:sz w:val="24"/>
          <w:szCs w:val="24"/>
        </w:rPr>
      </w:pPr>
      <w:proofErr w:type="spellStart"/>
      <w:r w:rsidRPr="00B007E3">
        <w:rPr>
          <w:b/>
          <w:i/>
          <w:sz w:val="24"/>
          <w:szCs w:val="24"/>
        </w:rPr>
        <w:t>CEMI</w:t>
      </w:r>
      <w:proofErr w:type="spellEnd"/>
      <w:r w:rsidRPr="00B007E3">
        <w:rPr>
          <w:b/>
          <w:i/>
          <w:sz w:val="24"/>
          <w:szCs w:val="24"/>
        </w:rPr>
        <w:t xml:space="preserve"> = for each customer/</w:t>
      </w:r>
      <w:r w:rsidRPr="00B007E3">
        <w:rPr>
          <w:b/>
          <w:i/>
          <w:sz w:val="24"/>
          <w:szCs w:val="24"/>
        </w:rPr>
        <w:sym w:font="UniversalMath1 BT" w:char="F053"/>
      </w:r>
      <w:r w:rsidRPr="00B007E3">
        <w:rPr>
          <w:b/>
          <w:i/>
          <w:sz w:val="24"/>
          <w:szCs w:val="24"/>
        </w:rPr>
        <w:t xml:space="preserve"> interruptions during period</w:t>
      </w:r>
    </w:p>
    <w:p w:rsidR="008C0E81" w:rsidRPr="00B007E3" w:rsidRDefault="00B007E3" w:rsidP="008C0E81">
      <w:pPr>
        <w:pStyle w:val="BodyTextIndent"/>
        <w:spacing w:before="0" w:line="240" w:lineRule="auto"/>
        <w:ind w:left="270"/>
        <w:rPr>
          <w:sz w:val="24"/>
          <w:szCs w:val="24"/>
        </w:rPr>
      </w:pPr>
      <w:proofErr w:type="spellStart"/>
      <w:r w:rsidRPr="00B007E3">
        <w:rPr>
          <w:sz w:val="24"/>
          <w:szCs w:val="24"/>
        </w:rPr>
        <w:t>CEMI</w:t>
      </w:r>
      <w:proofErr w:type="spellEnd"/>
      <w:r w:rsidRPr="00B007E3">
        <w:rPr>
          <w:sz w:val="24"/>
          <w:szCs w:val="24"/>
        </w:rPr>
        <w:t xml:space="preserve"> is an acronym for Customers Experiencing Multiple (Sustained and Momentary) Interruptions.  This index depicts repetition of outages across the </w:t>
      </w:r>
      <w:r w:rsidR="00374D35">
        <w:rPr>
          <w:sz w:val="24"/>
          <w:szCs w:val="24"/>
        </w:rPr>
        <w:t xml:space="preserve">reporting </w:t>
      </w:r>
      <w:r w:rsidRPr="00B007E3">
        <w:rPr>
          <w:sz w:val="24"/>
          <w:szCs w:val="24"/>
        </w:rPr>
        <w:t xml:space="preserve">period and </w:t>
      </w:r>
      <w:r w:rsidR="00374D35">
        <w:rPr>
          <w:sz w:val="24"/>
          <w:szCs w:val="24"/>
        </w:rPr>
        <w:t>may show</w:t>
      </w:r>
      <w:r w:rsidRPr="00B007E3">
        <w:rPr>
          <w:sz w:val="24"/>
          <w:szCs w:val="24"/>
        </w:rPr>
        <w:t xml:space="preserve"> recent reliability challenges</w:t>
      </w:r>
      <w:r w:rsidR="00374D35">
        <w:rPr>
          <w:sz w:val="24"/>
          <w:szCs w:val="24"/>
        </w:rPr>
        <w:t xml:space="preserve"> in a </w:t>
      </w:r>
      <w:r w:rsidR="004874C6">
        <w:rPr>
          <w:sz w:val="24"/>
          <w:szCs w:val="24"/>
        </w:rPr>
        <w:t>particul</w:t>
      </w:r>
      <w:r w:rsidR="004874C6" w:rsidRPr="004874C6">
        <w:rPr>
          <w:sz w:val="24"/>
          <w:szCs w:val="24"/>
        </w:rPr>
        <w:t>ar</w:t>
      </w:r>
      <w:r w:rsidR="00374D35" w:rsidRPr="004874C6">
        <w:rPr>
          <w:sz w:val="24"/>
          <w:szCs w:val="24"/>
        </w:rPr>
        <w:t xml:space="preserve"> area</w:t>
      </w:r>
      <w:r w:rsidRPr="00B007E3">
        <w:rPr>
          <w:sz w:val="24"/>
          <w:szCs w:val="24"/>
        </w:rPr>
        <w:t xml:space="preserve">.  </w:t>
      </w:r>
      <w:r w:rsidRPr="00EA707C">
        <w:rPr>
          <w:sz w:val="24"/>
          <w:szCs w:val="24"/>
        </w:rPr>
        <w:t xml:space="preserve">This metric is used to </w:t>
      </w:r>
      <w:r w:rsidR="00EA707C" w:rsidRPr="00EA707C">
        <w:rPr>
          <w:sz w:val="24"/>
          <w:szCs w:val="24"/>
        </w:rPr>
        <w:t>identify localized perf</w:t>
      </w:r>
      <w:r w:rsidR="00EA707C">
        <w:rPr>
          <w:sz w:val="24"/>
          <w:szCs w:val="24"/>
        </w:rPr>
        <w:t xml:space="preserve">ormance in Section 4. </w:t>
      </w:r>
      <w:proofErr w:type="gramStart"/>
      <w:r w:rsidR="00EA707C">
        <w:rPr>
          <w:sz w:val="24"/>
          <w:szCs w:val="24"/>
        </w:rPr>
        <w:t>Areas of C</w:t>
      </w:r>
      <w:r w:rsidR="00EA707C" w:rsidRPr="00EA707C">
        <w:rPr>
          <w:sz w:val="24"/>
          <w:szCs w:val="24"/>
        </w:rPr>
        <w:t xml:space="preserve">oncern and </w:t>
      </w:r>
      <w:r w:rsidRPr="00EA707C">
        <w:rPr>
          <w:sz w:val="24"/>
          <w:szCs w:val="24"/>
        </w:rPr>
        <w:t>evaluate</w:t>
      </w:r>
      <w:r w:rsidR="00EA707C" w:rsidRPr="00EA707C">
        <w:rPr>
          <w:sz w:val="24"/>
          <w:szCs w:val="24"/>
        </w:rPr>
        <w:t>d to support</w:t>
      </w:r>
      <w:r w:rsidRPr="00EA707C">
        <w:rPr>
          <w:sz w:val="24"/>
          <w:szCs w:val="24"/>
        </w:rPr>
        <w:t xml:space="preserve"> customer-specific reliability in Section </w:t>
      </w:r>
      <w:r w:rsidR="001A0592" w:rsidRPr="00EA707C">
        <w:rPr>
          <w:sz w:val="24"/>
          <w:szCs w:val="24"/>
        </w:rPr>
        <w:t>6</w:t>
      </w:r>
      <w:r w:rsidRPr="00EA707C">
        <w:rPr>
          <w:sz w:val="24"/>
          <w:szCs w:val="24"/>
        </w:rPr>
        <w:t>.</w:t>
      </w:r>
      <w:proofErr w:type="gramEnd"/>
      <w:r w:rsidR="008C0E81" w:rsidRPr="00EA707C">
        <w:rPr>
          <w:sz w:val="24"/>
          <w:szCs w:val="24"/>
        </w:rPr>
        <w:t xml:space="preserve"> </w:t>
      </w:r>
      <w:proofErr w:type="gramStart"/>
      <w:r w:rsidR="008C0E81" w:rsidRPr="00EA707C">
        <w:rPr>
          <w:sz w:val="24"/>
          <w:szCs w:val="24"/>
        </w:rPr>
        <w:t>Customer Communication Process and Complaints</w:t>
      </w:r>
      <w:r w:rsidRPr="00EA707C">
        <w:rPr>
          <w:sz w:val="24"/>
          <w:szCs w:val="24"/>
        </w:rPr>
        <w:t>.</w:t>
      </w:r>
      <w:proofErr w:type="gramEnd"/>
    </w:p>
    <w:p w:rsidR="007374D3" w:rsidRDefault="007374D3" w:rsidP="00662675">
      <w:pPr>
        <w:jc w:val="both"/>
        <w:rPr>
          <w:b/>
          <w:i/>
        </w:rPr>
      </w:pPr>
    </w:p>
    <w:p w:rsidR="003177D8" w:rsidRDefault="003013DD" w:rsidP="001A0592">
      <w:pPr>
        <w:ind w:firstLine="270"/>
        <w:jc w:val="both"/>
        <w:rPr>
          <w:b/>
          <w:i/>
        </w:rPr>
      </w:pPr>
      <w:r w:rsidRPr="003013DD">
        <w:rPr>
          <w:b/>
          <w:i/>
        </w:rPr>
        <w:t>Circuit Performance Indicator</w:t>
      </w:r>
      <w:r>
        <w:rPr>
          <w:b/>
          <w:i/>
        </w:rPr>
        <w:t xml:space="preserve"> (</w:t>
      </w:r>
      <w:smartTag w:uri="urn:schemas-microsoft-com:office:smarttags" w:element="stockticker">
        <w:r>
          <w:rPr>
            <w:b/>
            <w:i/>
          </w:rPr>
          <w:t>CPI</w:t>
        </w:r>
      </w:smartTag>
      <w:r>
        <w:rPr>
          <w:b/>
          <w:i/>
        </w:rPr>
        <w:t>)</w:t>
      </w:r>
    </w:p>
    <w:p w:rsidR="003013DD" w:rsidRPr="003013DD" w:rsidRDefault="003013DD" w:rsidP="001A0592">
      <w:pPr>
        <w:tabs>
          <w:tab w:val="left" w:pos="360"/>
        </w:tabs>
        <w:ind w:left="270"/>
        <w:jc w:val="both"/>
        <w:rPr>
          <w:b/>
          <w:i/>
        </w:rPr>
      </w:pPr>
      <w:r w:rsidRPr="00B007E3">
        <w:t>C</w:t>
      </w:r>
      <w:r>
        <w:t xml:space="preserve">PI is an equation used to numerically blend a variety of critical reliability events for a given circuit.  The numeric result is used to rate the circuit’s performance.  It is applied across a three-year period to adjust for abnormal weather.  </w:t>
      </w:r>
      <w:proofErr w:type="gramStart"/>
      <w:r>
        <w:t>The lower the number, the better the circuit’s performance.</w:t>
      </w:r>
      <w:proofErr w:type="gramEnd"/>
    </w:p>
    <w:p w:rsidR="003177D8" w:rsidRDefault="003177D8" w:rsidP="00E73319">
      <w:pPr>
        <w:pStyle w:val="BodyTextIndent"/>
        <w:tabs>
          <w:tab w:val="left" w:pos="360"/>
        </w:tabs>
        <w:spacing w:line="240" w:lineRule="auto"/>
        <w:ind w:left="270"/>
        <w:rPr>
          <w:b/>
          <w:i/>
          <w:sz w:val="24"/>
          <w:szCs w:val="24"/>
        </w:rPr>
      </w:pPr>
      <w:smartTag w:uri="urn:schemas-microsoft-com:office:smarttags" w:element="stockticker">
        <w:r w:rsidRPr="003177D8">
          <w:rPr>
            <w:b/>
            <w:i/>
            <w:sz w:val="24"/>
            <w:szCs w:val="24"/>
          </w:rPr>
          <w:t>CPI</w:t>
        </w:r>
      </w:smartTag>
      <w:r w:rsidRPr="003177D8">
        <w:rPr>
          <w:b/>
          <w:i/>
          <w:sz w:val="24"/>
          <w:szCs w:val="24"/>
        </w:rPr>
        <w:t>=10.64537424*(0.3*0.02900261*SAIDI+0.3*2.4302439*SAIFI+0.2*0.69930069*MAIFI+0.2*5.26315789*Breaker Lockout</w:t>
      </w:r>
    </w:p>
    <w:p w:rsidR="000F6DEE" w:rsidRPr="003177D8" w:rsidRDefault="000F6DEE" w:rsidP="00E73319">
      <w:pPr>
        <w:pStyle w:val="BodyTextIndent"/>
        <w:tabs>
          <w:tab w:val="left" w:pos="360"/>
        </w:tabs>
        <w:spacing w:line="240" w:lineRule="auto"/>
        <w:ind w:left="270"/>
        <w:rPr>
          <w:b/>
          <w:i/>
          <w:sz w:val="24"/>
          <w:szCs w:val="24"/>
        </w:rPr>
      </w:pPr>
    </w:p>
    <w:p w:rsidR="003177D8" w:rsidRPr="003177D8" w:rsidRDefault="003177D8" w:rsidP="00E73319">
      <w:pPr>
        <w:pStyle w:val="BodyTextIndent"/>
        <w:spacing w:before="0" w:line="240" w:lineRule="auto"/>
        <w:ind w:left="270"/>
        <w:rPr>
          <w:sz w:val="24"/>
          <w:szCs w:val="24"/>
        </w:rPr>
      </w:pPr>
      <w:smartTag w:uri="urn:schemas-microsoft-com:office:smarttags" w:element="stockticker">
        <w:r w:rsidRPr="003177D8">
          <w:rPr>
            <w:b/>
            <w:i/>
            <w:sz w:val="24"/>
            <w:szCs w:val="24"/>
          </w:rPr>
          <w:t>CPI</w:t>
        </w:r>
      </w:smartTag>
      <w:r w:rsidRPr="003177D8">
        <w:rPr>
          <w:b/>
          <w:i/>
          <w:sz w:val="24"/>
          <w:szCs w:val="24"/>
        </w:rPr>
        <w:t>99</w:t>
      </w:r>
    </w:p>
    <w:p w:rsidR="003177D8" w:rsidRDefault="003177D8" w:rsidP="00E73319">
      <w:pPr>
        <w:pStyle w:val="BodyTextIndent"/>
        <w:tabs>
          <w:tab w:val="left" w:pos="360"/>
        </w:tabs>
        <w:spacing w:before="0" w:line="240" w:lineRule="auto"/>
        <w:ind w:left="270"/>
        <w:rPr>
          <w:sz w:val="24"/>
          <w:szCs w:val="24"/>
        </w:rPr>
      </w:pPr>
      <w:r w:rsidRPr="003177D8">
        <w:rPr>
          <w:sz w:val="24"/>
          <w:szCs w:val="24"/>
        </w:rPr>
        <w:t xml:space="preserve">CPI99 is an acronym for Circuit Performance Indicator, which uses key reliability metrics (such as </w:t>
      </w:r>
      <w:proofErr w:type="spellStart"/>
      <w:r w:rsidRPr="003177D8">
        <w:rPr>
          <w:sz w:val="24"/>
          <w:szCs w:val="24"/>
        </w:rPr>
        <w:t>SAIDI</w:t>
      </w:r>
      <w:proofErr w:type="spellEnd"/>
      <w:r w:rsidRPr="003177D8">
        <w:rPr>
          <w:sz w:val="24"/>
          <w:szCs w:val="24"/>
        </w:rPr>
        <w:t xml:space="preserve"> and </w:t>
      </w:r>
      <w:proofErr w:type="spellStart"/>
      <w:r w:rsidRPr="003177D8">
        <w:rPr>
          <w:sz w:val="24"/>
          <w:szCs w:val="24"/>
        </w:rPr>
        <w:t>SAIFI</w:t>
      </w:r>
      <w:proofErr w:type="spellEnd"/>
      <w:r w:rsidRPr="003177D8">
        <w:rPr>
          <w:sz w:val="24"/>
          <w:szCs w:val="24"/>
        </w:rPr>
        <w:t>) to identify underperforming circuits.  It excluded Major Event and Loss of Supply or Transmission outages.</w:t>
      </w:r>
    </w:p>
    <w:p w:rsidR="003177D8" w:rsidRDefault="003177D8" w:rsidP="00E73319">
      <w:pPr>
        <w:pStyle w:val="BodyTextIndent"/>
        <w:spacing w:before="0" w:line="240" w:lineRule="auto"/>
        <w:rPr>
          <w:sz w:val="24"/>
          <w:szCs w:val="24"/>
        </w:rPr>
      </w:pPr>
    </w:p>
    <w:p w:rsidR="003177D8" w:rsidRPr="003177D8" w:rsidRDefault="003177D8" w:rsidP="00E73319">
      <w:pPr>
        <w:pStyle w:val="BodyTextIndent"/>
        <w:spacing w:before="0" w:line="240" w:lineRule="auto"/>
        <w:ind w:left="180" w:firstLine="90"/>
        <w:rPr>
          <w:sz w:val="24"/>
          <w:szCs w:val="24"/>
        </w:rPr>
      </w:pPr>
      <w:r w:rsidRPr="003177D8">
        <w:rPr>
          <w:b/>
          <w:i/>
          <w:sz w:val="24"/>
          <w:szCs w:val="24"/>
        </w:rPr>
        <w:t>CPI05</w:t>
      </w:r>
    </w:p>
    <w:p w:rsidR="003177D8" w:rsidRPr="003177D8" w:rsidRDefault="003177D8" w:rsidP="00E73319">
      <w:pPr>
        <w:pStyle w:val="BodyTextIndent"/>
        <w:spacing w:before="0" w:line="240" w:lineRule="auto"/>
        <w:ind w:left="270"/>
        <w:rPr>
          <w:sz w:val="24"/>
          <w:szCs w:val="24"/>
        </w:rPr>
      </w:pPr>
      <w:r w:rsidRPr="003177D8">
        <w:rPr>
          <w:sz w:val="24"/>
          <w:szCs w:val="24"/>
        </w:rPr>
        <w:t xml:space="preserve">CPI05 is an acronym for Circuit Performance Indicator, which uses key reliability metrics (such as </w:t>
      </w:r>
      <w:proofErr w:type="spellStart"/>
      <w:r w:rsidRPr="003177D8">
        <w:rPr>
          <w:sz w:val="24"/>
          <w:szCs w:val="24"/>
        </w:rPr>
        <w:t>SAIDI</w:t>
      </w:r>
      <w:proofErr w:type="spellEnd"/>
      <w:r w:rsidRPr="003177D8">
        <w:rPr>
          <w:sz w:val="24"/>
          <w:szCs w:val="24"/>
        </w:rPr>
        <w:t xml:space="preserve"> and </w:t>
      </w:r>
      <w:proofErr w:type="spellStart"/>
      <w:r w:rsidRPr="003177D8">
        <w:rPr>
          <w:sz w:val="24"/>
          <w:szCs w:val="24"/>
        </w:rPr>
        <w:t>SAIFI</w:t>
      </w:r>
      <w:proofErr w:type="spellEnd"/>
      <w:r w:rsidRPr="003177D8">
        <w:rPr>
          <w:sz w:val="24"/>
          <w:szCs w:val="24"/>
        </w:rPr>
        <w:t xml:space="preserve">) to identify underperforming circuits.  Unlike </w:t>
      </w:r>
      <w:smartTag w:uri="urn:schemas-microsoft-com:office:smarttags" w:element="stockticker">
        <w:r w:rsidRPr="003177D8">
          <w:rPr>
            <w:sz w:val="24"/>
            <w:szCs w:val="24"/>
          </w:rPr>
          <w:t>CPI</w:t>
        </w:r>
      </w:smartTag>
      <w:r w:rsidRPr="003177D8">
        <w:rPr>
          <w:sz w:val="24"/>
          <w:szCs w:val="24"/>
        </w:rPr>
        <w:t>99 it includes Major Event and Loss of Supply or Transmission outages.</w:t>
      </w:r>
    </w:p>
    <w:p w:rsidR="003177D8" w:rsidRPr="003177D8" w:rsidRDefault="003177D8" w:rsidP="003177D8">
      <w:pPr>
        <w:ind w:left="270"/>
      </w:pPr>
    </w:p>
    <w:p w:rsidR="003177D8" w:rsidRPr="003177D8" w:rsidRDefault="003177D8" w:rsidP="003177D8">
      <w:pPr>
        <w:ind w:left="270"/>
        <w:rPr>
          <w:b/>
          <w:u w:val="single"/>
        </w:rPr>
      </w:pPr>
      <w:r w:rsidRPr="003177D8">
        <w:rPr>
          <w:b/>
          <w:u w:val="single"/>
        </w:rPr>
        <w:t>Performance Types &amp; Commitments</w:t>
      </w:r>
    </w:p>
    <w:p w:rsidR="003177D8" w:rsidRDefault="003177D8" w:rsidP="003177D8">
      <w:pPr>
        <w:spacing w:before="120"/>
        <w:ind w:left="270"/>
        <w:jc w:val="both"/>
      </w:pPr>
      <w:r w:rsidRPr="003177D8">
        <w:t>PacifiCorp recognizes two categories of performance: underlying performance and major events.  Major events represent the atypical, with extraordinary numbers and durations for outages beyond the usual.  Ordinary outages are incorporated within underlying performance.  These types of events are further defined below.</w:t>
      </w:r>
    </w:p>
    <w:p w:rsidR="003177D8" w:rsidRPr="003177D8" w:rsidRDefault="003177D8" w:rsidP="003177D8">
      <w:pPr>
        <w:ind w:left="274"/>
        <w:jc w:val="both"/>
      </w:pPr>
    </w:p>
    <w:p w:rsidR="003177D8" w:rsidRPr="003177D8" w:rsidRDefault="00ED30D2" w:rsidP="003177D8">
      <w:pPr>
        <w:pStyle w:val="BodyTextIndent"/>
        <w:spacing w:before="0" w:line="240" w:lineRule="auto"/>
        <w:ind w:left="274"/>
        <w:rPr>
          <w:b/>
          <w:i/>
          <w:sz w:val="24"/>
          <w:szCs w:val="24"/>
        </w:rPr>
      </w:pPr>
      <w:proofErr w:type="spellStart"/>
      <w:r>
        <w:rPr>
          <w:b/>
          <w:i/>
          <w:sz w:val="24"/>
          <w:szCs w:val="24"/>
        </w:rPr>
        <w:t>SAIDI</w:t>
      </w:r>
      <w:proofErr w:type="spellEnd"/>
      <w:r>
        <w:rPr>
          <w:b/>
          <w:i/>
          <w:sz w:val="24"/>
          <w:szCs w:val="24"/>
        </w:rPr>
        <w:t xml:space="preserve">-Based </w:t>
      </w:r>
      <w:r w:rsidR="003177D8" w:rsidRPr="003177D8">
        <w:rPr>
          <w:b/>
          <w:i/>
          <w:sz w:val="24"/>
          <w:szCs w:val="24"/>
        </w:rPr>
        <w:t>Major Event</w:t>
      </w:r>
    </w:p>
    <w:p w:rsidR="003177D8" w:rsidRDefault="003177D8" w:rsidP="003177D8">
      <w:pPr>
        <w:pStyle w:val="BodyTextIndent"/>
        <w:spacing w:before="0" w:line="240" w:lineRule="auto"/>
        <w:ind w:left="274"/>
        <w:rPr>
          <w:sz w:val="24"/>
          <w:szCs w:val="24"/>
        </w:rPr>
      </w:pPr>
      <w:r w:rsidRPr="003177D8">
        <w:rPr>
          <w:sz w:val="24"/>
          <w:szCs w:val="24"/>
        </w:rPr>
        <w:t xml:space="preserve">A </w:t>
      </w:r>
      <w:proofErr w:type="spellStart"/>
      <w:r w:rsidR="000D592F">
        <w:rPr>
          <w:sz w:val="24"/>
          <w:szCs w:val="24"/>
        </w:rPr>
        <w:t>SAIDI</w:t>
      </w:r>
      <w:proofErr w:type="spellEnd"/>
      <w:r w:rsidR="000D592F">
        <w:rPr>
          <w:sz w:val="24"/>
          <w:szCs w:val="24"/>
        </w:rPr>
        <w:t xml:space="preserve">-Based </w:t>
      </w:r>
      <w:r w:rsidRPr="003177D8">
        <w:rPr>
          <w:sz w:val="24"/>
          <w:szCs w:val="24"/>
        </w:rPr>
        <w:t xml:space="preserve">Major Event is defined as a 24-hour period where </w:t>
      </w:r>
      <w:proofErr w:type="spellStart"/>
      <w:r w:rsidRPr="003177D8">
        <w:rPr>
          <w:sz w:val="24"/>
          <w:szCs w:val="24"/>
        </w:rPr>
        <w:t>SAIDI</w:t>
      </w:r>
      <w:proofErr w:type="spellEnd"/>
      <w:r w:rsidRPr="003177D8">
        <w:rPr>
          <w:sz w:val="24"/>
          <w:szCs w:val="24"/>
        </w:rPr>
        <w:t xml:space="preserve"> exceeds a statistically-derived threshold value, as detailed in IEEE Distribution Reliability Standard P1366-2003.  </w:t>
      </w:r>
    </w:p>
    <w:p w:rsidR="000D592F" w:rsidRDefault="000D592F" w:rsidP="003177D8">
      <w:pPr>
        <w:pStyle w:val="BodyTextIndent"/>
        <w:spacing w:before="0" w:line="240" w:lineRule="auto"/>
        <w:ind w:left="274"/>
        <w:rPr>
          <w:sz w:val="24"/>
          <w:szCs w:val="24"/>
        </w:rPr>
      </w:pPr>
    </w:p>
    <w:p w:rsidR="000D592F" w:rsidRPr="003177D8" w:rsidRDefault="00ED30D2" w:rsidP="000D592F">
      <w:pPr>
        <w:pStyle w:val="BodyTextIndent"/>
        <w:spacing w:before="0" w:line="240" w:lineRule="auto"/>
        <w:ind w:left="274"/>
        <w:rPr>
          <w:b/>
          <w:i/>
          <w:sz w:val="24"/>
          <w:szCs w:val="24"/>
        </w:rPr>
      </w:pPr>
      <w:proofErr w:type="spellStart"/>
      <w:r>
        <w:rPr>
          <w:b/>
          <w:i/>
          <w:sz w:val="24"/>
          <w:szCs w:val="24"/>
        </w:rPr>
        <w:t>SAIFI</w:t>
      </w:r>
      <w:proofErr w:type="spellEnd"/>
      <w:r>
        <w:rPr>
          <w:b/>
          <w:i/>
          <w:sz w:val="24"/>
          <w:szCs w:val="24"/>
        </w:rPr>
        <w:t xml:space="preserve">-Based </w:t>
      </w:r>
      <w:r w:rsidR="000D592F" w:rsidRPr="003177D8">
        <w:rPr>
          <w:b/>
          <w:i/>
          <w:sz w:val="24"/>
          <w:szCs w:val="24"/>
        </w:rPr>
        <w:t>Major Event</w:t>
      </w:r>
      <w:r w:rsidR="000D592F">
        <w:rPr>
          <w:b/>
          <w:i/>
          <w:sz w:val="24"/>
          <w:szCs w:val="24"/>
        </w:rPr>
        <w:t xml:space="preserve"> </w:t>
      </w:r>
    </w:p>
    <w:p w:rsidR="000D592F" w:rsidRDefault="000D592F" w:rsidP="000D592F">
      <w:pPr>
        <w:pStyle w:val="BodyTextIndent"/>
        <w:spacing w:before="0" w:line="240" w:lineRule="auto"/>
        <w:ind w:left="274"/>
        <w:rPr>
          <w:sz w:val="24"/>
          <w:szCs w:val="24"/>
        </w:rPr>
      </w:pPr>
      <w:r w:rsidRPr="003177D8">
        <w:rPr>
          <w:sz w:val="24"/>
          <w:szCs w:val="24"/>
        </w:rPr>
        <w:t xml:space="preserve">A </w:t>
      </w:r>
      <w:proofErr w:type="spellStart"/>
      <w:r>
        <w:rPr>
          <w:sz w:val="24"/>
          <w:szCs w:val="24"/>
        </w:rPr>
        <w:t>SAIFI</w:t>
      </w:r>
      <w:proofErr w:type="spellEnd"/>
      <w:r>
        <w:rPr>
          <w:sz w:val="24"/>
          <w:szCs w:val="24"/>
        </w:rPr>
        <w:t xml:space="preserve">-Based </w:t>
      </w:r>
      <w:r w:rsidRPr="003177D8">
        <w:rPr>
          <w:sz w:val="24"/>
          <w:szCs w:val="24"/>
        </w:rPr>
        <w:t>Major Event is defined as a</w:t>
      </w:r>
      <w:r>
        <w:rPr>
          <w:sz w:val="24"/>
          <w:szCs w:val="24"/>
        </w:rPr>
        <w:t xml:space="preserve">n event in which more than 10% of an operating area’s customers are simultaneously without service as a result of a sustained interruption.  </w:t>
      </w:r>
      <w:r w:rsidRPr="003177D8">
        <w:rPr>
          <w:sz w:val="24"/>
          <w:szCs w:val="24"/>
        </w:rPr>
        <w:t xml:space="preserve"> </w:t>
      </w:r>
    </w:p>
    <w:p w:rsidR="000D592F" w:rsidRDefault="000D592F" w:rsidP="003177D8">
      <w:pPr>
        <w:pStyle w:val="BodyTextIndent"/>
        <w:spacing w:before="0" w:line="240" w:lineRule="auto"/>
        <w:ind w:left="274"/>
        <w:rPr>
          <w:sz w:val="24"/>
          <w:szCs w:val="24"/>
        </w:rPr>
      </w:pPr>
    </w:p>
    <w:p w:rsidR="003177D8" w:rsidRPr="003177D8" w:rsidRDefault="003177D8" w:rsidP="003177D8">
      <w:pPr>
        <w:pStyle w:val="BodyTextIndent"/>
        <w:spacing w:before="0" w:line="240" w:lineRule="auto"/>
        <w:ind w:left="274"/>
        <w:rPr>
          <w:b/>
          <w:i/>
          <w:sz w:val="24"/>
          <w:szCs w:val="24"/>
        </w:rPr>
      </w:pPr>
      <w:r w:rsidRPr="003177D8">
        <w:rPr>
          <w:sz w:val="24"/>
          <w:szCs w:val="24"/>
        </w:rPr>
        <w:t xml:space="preserve"> </w:t>
      </w:r>
      <w:r w:rsidRPr="003177D8">
        <w:rPr>
          <w:b/>
          <w:i/>
          <w:sz w:val="24"/>
          <w:szCs w:val="24"/>
        </w:rPr>
        <w:t>Underlying Events</w:t>
      </w:r>
    </w:p>
    <w:p w:rsidR="003177D8" w:rsidRDefault="003177D8" w:rsidP="003177D8">
      <w:pPr>
        <w:pStyle w:val="BodyTextIndent"/>
        <w:spacing w:before="0" w:line="240" w:lineRule="auto"/>
        <w:ind w:left="270"/>
        <w:rPr>
          <w:sz w:val="24"/>
          <w:szCs w:val="24"/>
        </w:rPr>
      </w:pPr>
      <w:r w:rsidRPr="003177D8">
        <w:rPr>
          <w:sz w:val="24"/>
          <w:szCs w:val="24"/>
        </w:rPr>
        <w:t>Within the industry, there has been a great need to develop methodologies to evaluate year-on-year performance.  This has led to the development of methods for segregating outlier days, via the approaches described above. Those days which fall below the statistically-derived threshold represent “underlying</w:t>
      </w:r>
      <w:r w:rsidR="001B505B">
        <w:rPr>
          <w:sz w:val="24"/>
          <w:szCs w:val="24"/>
        </w:rPr>
        <w:t xml:space="preserve">” </w:t>
      </w:r>
      <w:r w:rsidRPr="003177D8">
        <w:rPr>
          <w:sz w:val="24"/>
          <w:szCs w:val="24"/>
        </w:rPr>
        <w:t>performance, and are valid (with some minor considerations for changes in reporting practices) for establishing and evaluating meaningful performance trends over time.</w:t>
      </w:r>
    </w:p>
    <w:p w:rsidR="003177D8" w:rsidRPr="003177D8" w:rsidRDefault="003177D8" w:rsidP="003177D8">
      <w:pPr>
        <w:pStyle w:val="BodyTextIndent"/>
        <w:spacing w:before="0" w:line="240" w:lineRule="auto"/>
        <w:ind w:left="270"/>
        <w:rPr>
          <w:sz w:val="24"/>
          <w:szCs w:val="24"/>
        </w:rPr>
      </w:pPr>
    </w:p>
    <w:p w:rsidR="003177D8" w:rsidRPr="003177D8" w:rsidRDefault="003177D8" w:rsidP="003177D8">
      <w:pPr>
        <w:pStyle w:val="BodyTextIndent"/>
        <w:spacing w:before="0" w:line="240" w:lineRule="auto"/>
        <w:ind w:left="274"/>
        <w:rPr>
          <w:b/>
          <w:i/>
          <w:sz w:val="24"/>
          <w:szCs w:val="24"/>
        </w:rPr>
      </w:pPr>
      <w:r w:rsidRPr="003177D8">
        <w:rPr>
          <w:b/>
          <w:i/>
          <w:sz w:val="24"/>
          <w:szCs w:val="24"/>
        </w:rPr>
        <w:t>Commitment Targets</w:t>
      </w:r>
    </w:p>
    <w:p w:rsidR="003177D8" w:rsidRPr="003177D8" w:rsidRDefault="003177D8" w:rsidP="003177D8">
      <w:pPr>
        <w:pStyle w:val="BodyTextIndent"/>
        <w:spacing w:before="0" w:line="240" w:lineRule="auto"/>
        <w:ind w:left="270"/>
        <w:rPr>
          <w:sz w:val="24"/>
          <w:szCs w:val="24"/>
        </w:rPr>
      </w:pPr>
      <w:r w:rsidRPr="003177D8">
        <w:rPr>
          <w:sz w:val="24"/>
          <w:szCs w:val="24"/>
        </w:rPr>
        <w:t xml:space="preserve">Because of the benefits that the Company and its customers and regulators experienced from the Service Standards </w:t>
      </w:r>
      <w:proofErr w:type="gramStart"/>
      <w:r w:rsidRPr="003177D8">
        <w:rPr>
          <w:sz w:val="24"/>
          <w:szCs w:val="24"/>
        </w:rPr>
        <w:t>Program</w:t>
      </w:r>
      <w:r w:rsidR="000D592F">
        <w:rPr>
          <w:sz w:val="24"/>
          <w:szCs w:val="24"/>
        </w:rPr>
        <w:t>,</w:t>
      </w:r>
      <w:proofErr w:type="gramEnd"/>
      <w:r w:rsidR="000D592F">
        <w:rPr>
          <w:sz w:val="24"/>
          <w:szCs w:val="24"/>
        </w:rPr>
        <w:t xml:space="preserve"> and as an important condition during MidAmerican Energy Holdings Company’s acquisition of PacifiCorp</w:t>
      </w:r>
      <w:r w:rsidRPr="003177D8">
        <w:rPr>
          <w:sz w:val="24"/>
          <w:szCs w:val="24"/>
        </w:rPr>
        <w:t xml:space="preserve">, the Company </w:t>
      </w:r>
      <w:r w:rsidR="000D592F">
        <w:rPr>
          <w:sz w:val="24"/>
          <w:szCs w:val="24"/>
        </w:rPr>
        <w:t>and Commission agreed to extend</w:t>
      </w:r>
      <w:r w:rsidRPr="003177D8">
        <w:rPr>
          <w:sz w:val="24"/>
          <w:szCs w:val="24"/>
        </w:rPr>
        <w:t xml:space="preserve"> the program through </w:t>
      </w:r>
      <w:r w:rsidR="000D592F">
        <w:rPr>
          <w:sz w:val="24"/>
          <w:szCs w:val="24"/>
        </w:rPr>
        <w:t>2011, which the Company considers to be December 31, 2011.</w:t>
      </w:r>
      <w:r w:rsidRPr="003177D8">
        <w:rPr>
          <w:sz w:val="24"/>
          <w:szCs w:val="24"/>
        </w:rPr>
        <w:t xml:space="preserve">  From a reliability perspective, the Company continues to develop stretch goals that will deliver important improvements to its customers.  For Washington state customers, the Company committed </w:t>
      </w:r>
      <w:r w:rsidR="000D592F">
        <w:rPr>
          <w:sz w:val="24"/>
          <w:szCs w:val="24"/>
        </w:rPr>
        <w:t>within a 12 month period prior to December 31, 2011</w:t>
      </w:r>
      <w:r w:rsidRPr="003177D8">
        <w:rPr>
          <w:sz w:val="24"/>
          <w:szCs w:val="24"/>
        </w:rPr>
        <w:t xml:space="preserve"> it would deliver outage duration (</w:t>
      </w:r>
      <w:proofErr w:type="spellStart"/>
      <w:r w:rsidRPr="003177D8">
        <w:rPr>
          <w:sz w:val="24"/>
          <w:szCs w:val="24"/>
        </w:rPr>
        <w:t>SAIDI</w:t>
      </w:r>
      <w:proofErr w:type="spellEnd"/>
      <w:r w:rsidRPr="003177D8">
        <w:rPr>
          <w:sz w:val="24"/>
          <w:szCs w:val="24"/>
        </w:rPr>
        <w:t>) and outage frequency (</w:t>
      </w:r>
      <w:proofErr w:type="spellStart"/>
      <w:r w:rsidRPr="003177D8">
        <w:rPr>
          <w:sz w:val="24"/>
          <w:szCs w:val="24"/>
        </w:rPr>
        <w:t>SAIFI</w:t>
      </w:r>
      <w:proofErr w:type="spellEnd"/>
      <w:r w:rsidRPr="003177D8">
        <w:rPr>
          <w:sz w:val="24"/>
          <w:szCs w:val="24"/>
        </w:rPr>
        <w:t xml:space="preserve">) results within the 3 year period that met its prior commitment targets, as filed in UE-042131.  </w:t>
      </w:r>
    </w:p>
    <w:p w:rsidR="003177D8" w:rsidRPr="008578C7" w:rsidRDefault="005A5ADC" w:rsidP="002C0F9E">
      <w:pPr>
        <w:pStyle w:val="Heading2"/>
        <w:numPr>
          <w:ilvl w:val="0"/>
          <w:numId w:val="0"/>
        </w:numPr>
        <w:ind w:left="450" w:hanging="180"/>
        <w:rPr>
          <w:b w:val="0"/>
        </w:rPr>
      </w:pPr>
      <w:r>
        <w:br w:type="page"/>
      </w:r>
      <w:bookmarkStart w:id="10" w:name="_Toc288411628"/>
      <w:r w:rsidR="003177D8" w:rsidRPr="00A80F48">
        <w:rPr>
          <w:rFonts w:ascii="Times New Roman" w:hAnsi="Times New Roman" w:cs="Times New Roman"/>
          <w:i w:val="0"/>
          <w:sz w:val="24"/>
          <w:szCs w:val="24"/>
        </w:rPr>
        <w:t xml:space="preserve">1.2 </w:t>
      </w:r>
      <w:r w:rsidR="002C0F9E">
        <w:rPr>
          <w:rFonts w:ascii="Times New Roman" w:hAnsi="Times New Roman" w:cs="Times New Roman"/>
          <w:i w:val="0"/>
          <w:sz w:val="24"/>
          <w:szCs w:val="24"/>
        </w:rPr>
        <w:tab/>
      </w:r>
      <w:r w:rsidR="003177D8" w:rsidRPr="00A80F48">
        <w:rPr>
          <w:rFonts w:ascii="Times New Roman" w:hAnsi="Times New Roman" w:cs="Times New Roman"/>
          <w:i w:val="0"/>
          <w:sz w:val="24"/>
          <w:szCs w:val="24"/>
        </w:rPr>
        <w:t>Service Territory Map</w:t>
      </w:r>
      <w:bookmarkEnd w:id="10"/>
    </w:p>
    <w:p w:rsidR="003177D8" w:rsidRPr="003177D8" w:rsidRDefault="003177D8" w:rsidP="003177D8">
      <w:pPr>
        <w:rPr>
          <w:sz w:val="20"/>
          <w:szCs w:val="20"/>
        </w:rPr>
      </w:pPr>
    </w:p>
    <w:p w:rsidR="003177D8" w:rsidRPr="00EB22A1" w:rsidRDefault="007D3572" w:rsidP="007D3572">
      <w:pPr>
        <w:spacing w:before="120"/>
        <w:ind w:left="270" w:firstLine="4"/>
        <w:jc w:val="both"/>
      </w:pPr>
      <w:r w:rsidRPr="00B007E3">
        <w:t xml:space="preserve">A map of </w:t>
      </w:r>
      <w:r w:rsidR="00767019">
        <w:t>the Company’s</w:t>
      </w:r>
      <w:r w:rsidRPr="00B007E3">
        <w:t xml:space="preserve"> service territory </w:t>
      </w:r>
      <w:r w:rsidR="00BE5F97">
        <w:t>will be</w:t>
      </w:r>
      <w:r w:rsidRPr="00B007E3">
        <w:t xml:space="preserve"> included.</w:t>
      </w:r>
      <w:r>
        <w:t xml:space="preserve"> </w:t>
      </w:r>
      <w:r w:rsidR="003177D8" w:rsidRPr="00EB22A1">
        <w:t xml:space="preserve">The system will </w:t>
      </w:r>
      <w:r>
        <w:t xml:space="preserve">also </w:t>
      </w:r>
      <w:r w:rsidR="003177D8" w:rsidRPr="00EB22A1">
        <w:t xml:space="preserve">be shown graphically depicting the area served by the </w:t>
      </w:r>
      <w:r w:rsidR="00767019">
        <w:t>C</w:t>
      </w:r>
      <w:r w:rsidR="003177D8" w:rsidRPr="00EB22A1">
        <w:t xml:space="preserve">ompany. </w:t>
      </w:r>
    </w:p>
    <w:p w:rsidR="003177D8" w:rsidRPr="003177D8" w:rsidRDefault="003177D8" w:rsidP="003177D8">
      <w:pPr>
        <w:pStyle w:val="BodyTextIndent"/>
        <w:spacing w:before="0" w:line="240" w:lineRule="auto"/>
        <w:ind w:left="270"/>
        <w:rPr>
          <w:rStyle w:val="Heading2Char"/>
          <w:rFonts w:ascii="Times New Roman" w:hAnsi="Times New Roman" w:cs="Times New Roman"/>
          <w:b w:val="0"/>
          <w:bCs w:val="0"/>
          <w:i w:val="0"/>
          <w:iCs w:val="0"/>
          <w:sz w:val="24"/>
          <w:szCs w:val="24"/>
        </w:rPr>
      </w:pPr>
    </w:p>
    <w:p w:rsidR="003177D8" w:rsidRPr="00602C96" w:rsidRDefault="00602C96" w:rsidP="002C0F9E">
      <w:pPr>
        <w:pStyle w:val="Heading2"/>
        <w:numPr>
          <w:ilvl w:val="0"/>
          <w:numId w:val="0"/>
        </w:numPr>
        <w:ind w:left="270"/>
        <w:rPr>
          <w:rFonts w:ascii="Times New Roman" w:hAnsi="Times New Roman" w:cs="Times New Roman"/>
          <w:i w:val="0"/>
          <w:sz w:val="24"/>
          <w:szCs w:val="24"/>
        </w:rPr>
      </w:pPr>
      <w:bookmarkStart w:id="11" w:name="_Toc288411629"/>
      <w:r>
        <w:rPr>
          <w:rFonts w:ascii="Times New Roman" w:hAnsi="Times New Roman" w:cs="Times New Roman"/>
          <w:i w:val="0"/>
          <w:sz w:val="24"/>
          <w:szCs w:val="24"/>
        </w:rPr>
        <w:t xml:space="preserve">1.3 </w:t>
      </w:r>
      <w:r w:rsidR="002C0F9E">
        <w:rPr>
          <w:rFonts w:ascii="Times New Roman" w:hAnsi="Times New Roman" w:cs="Times New Roman"/>
          <w:i w:val="0"/>
          <w:sz w:val="24"/>
          <w:szCs w:val="24"/>
        </w:rPr>
        <w:tab/>
        <w:t>O</w:t>
      </w:r>
      <w:r w:rsidR="003177D8" w:rsidRPr="00602C96">
        <w:rPr>
          <w:rFonts w:ascii="Times New Roman" w:hAnsi="Times New Roman" w:cs="Times New Roman"/>
          <w:i w:val="0"/>
          <w:sz w:val="24"/>
          <w:szCs w:val="24"/>
        </w:rPr>
        <w:t>utage Definitions</w:t>
      </w:r>
      <w:bookmarkEnd w:id="11"/>
      <w:r w:rsidR="003177D8" w:rsidRPr="00602C96">
        <w:rPr>
          <w:rFonts w:ascii="Times New Roman" w:hAnsi="Times New Roman" w:cs="Times New Roman"/>
          <w:i w:val="0"/>
          <w:sz w:val="24"/>
          <w:szCs w:val="24"/>
        </w:rPr>
        <w:t xml:space="preserve"> </w:t>
      </w:r>
    </w:p>
    <w:p w:rsidR="00431BB1" w:rsidRPr="00E73319" w:rsidRDefault="00431BB1" w:rsidP="00431BB1">
      <w:pPr>
        <w:rPr>
          <w:b/>
          <w:sz w:val="20"/>
          <w:szCs w:val="20"/>
          <w:u w:val="single"/>
        </w:rPr>
      </w:pPr>
    </w:p>
    <w:p w:rsidR="00431BB1" w:rsidRPr="00431BB1" w:rsidRDefault="00431BB1" w:rsidP="00431BB1">
      <w:r w:rsidRPr="00431BB1">
        <w:t xml:space="preserve">    The following are outage cause categories </w:t>
      </w:r>
      <w:r>
        <w:t xml:space="preserve">that will be referred to in the </w:t>
      </w:r>
      <w:r w:rsidR="007D3572">
        <w:t xml:space="preserve">annual </w:t>
      </w:r>
      <w:r>
        <w:t xml:space="preserve">report. </w:t>
      </w:r>
    </w:p>
    <w:p w:rsidR="003177D8" w:rsidRDefault="003177D8" w:rsidP="003177D8">
      <w:pPr>
        <w:rPr>
          <w:rFonts w:ascii="Arial" w:hAnsi="Arial"/>
        </w:rPr>
      </w:pPr>
    </w:p>
    <w:tbl>
      <w:tblPr>
        <w:tblW w:w="0" w:type="auto"/>
        <w:tblInd w:w="824" w:type="dxa"/>
        <w:tblLayout w:type="fixed"/>
        <w:tblLook w:val="0000"/>
      </w:tblPr>
      <w:tblGrid>
        <w:gridCol w:w="2183"/>
        <w:gridCol w:w="6836"/>
      </w:tblGrid>
      <w:tr w:rsidR="003177D8">
        <w:trPr>
          <w:trHeight w:val="660"/>
        </w:trPr>
        <w:tc>
          <w:tcPr>
            <w:tcW w:w="2183" w:type="dxa"/>
            <w:tcBorders>
              <w:top w:val="single" w:sz="4" w:space="0" w:color="auto"/>
              <w:left w:val="single" w:sz="4" w:space="0" w:color="auto"/>
              <w:bottom w:val="double" w:sz="6" w:space="0" w:color="auto"/>
              <w:right w:val="single" w:sz="4" w:space="0" w:color="auto"/>
            </w:tcBorders>
            <w:shd w:val="clear" w:color="auto" w:fill="C0C0C0"/>
            <w:vAlign w:val="center"/>
          </w:tcPr>
          <w:p w:rsidR="003177D8" w:rsidRPr="003177D8" w:rsidRDefault="003177D8" w:rsidP="009768A1">
            <w:pPr>
              <w:rPr>
                <w:b/>
              </w:rPr>
            </w:pPr>
            <w:r w:rsidRPr="003177D8">
              <w:rPr>
                <w:b/>
              </w:rPr>
              <w:t>Cause Category</w:t>
            </w:r>
          </w:p>
        </w:tc>
        <w:tc>
          <w:tcPr>
            <w:tcW w:w="6836" w:type="dxa"/>
            <w:tcBorders>
              <w:top w:val="single" w:sz="4" w:space="0" w:color="auto"/>
              <w:left w:val="nil"/>
              <w:bottom w:val="double" w:sz="6" w:space="0" w:color="auto"/>
              <w:right w:val="single" w:sz="4" w:space="0" w:color="auto"/>
            </w:tcBorders>
            <w:shd w:val="clear" w:color="auto" w:fill="C0C0C0"/>
            <w:vAlign w:val="center"/>
          </w:tcPr>
          <w:p w:rsidR="003177D8" w:rsidRPr="003177D8" w:rsidRDefault="003177D8" w:rsidP="009768A1">
            <w:pPr>
              <w:rPr>
                <w:b/>
              </w:rPr>
            </w:pPr>
            <w:r w:rsidRPr="003177D8">
              <w:rPr>
                <w:b/>
              </w:rPr>
              <w:t>Description and Examples</w:t>
            </w:r>
          </w:p>
        </w:tc>
      </w:tr>
      <w:tr w:rsidR="003177D8">
        <w:trPr>
          <w:trHeight w:val="315"/>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Environment</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 xml:space="preserve">Contamination or Airborne Deposit (i.e., salt, </w:t>
            </w:r>
            <w:proofErr w:type="spellStart"/>
            <w:r w:rsidRPr="003177D8">
              <w:rPr>
                <w:sz w:val="18"/>
              </w:rPr>
              <w:t>trona</w:t>
            </w:r>
            <w:proofErr w:type="spellEnd"/>
            <w:r w:rsidRPr="003177D8">
              <w:rPr>
                <w:sz w:val="18"/>
              </w:rPr>
              <w:t xml:space="preserve"> ash, other chemical dust, sawdust, etc.);  corrosive environment; flooding due to rivers, broken water main, etc.; fire/smoke related to forest, brush or building fires (not including fires due to faults or lightning).</w:t>
            </w:r>
          </w:p>
        </w:tc>
      </w:tr>
      <w:tr w:rsidR="003177D8">
        <w:trPr>
          <w:trHeight w:val="79"/>
        </w:trPr>
        <w:tc>
          <w:tcPr>
            <w:tcW w:w="2183" w:type="dxa"/>
            <w:tcBorders>
              <w:top w:val="single" w:sz="4" w:space="0" w:color="auto"/>
              <w:left w:val="single" w:sz="8" w:space="0" w:color="auto"/>
              <w:bottom w:val="single" w:sz="4" w:space="0" w:color="auto"/>
              <w:right w:val="single" w:sz="4"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nil"/>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Weather</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Wind (excluding windborne material); snow, sleet or blizzard; ice; freezing fog; frost; lightning.</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Equipment Failure</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Structural deterioration due to age (incl. pole rot); electrical load above limits; failure for no apparent reason; conditions resulting in a pole/cross arm fire due to reduced insulation qualities; equipment affected by fault on nearby equipment (i.e. broken conductor hits another line).</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Interference</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Willful damage, interference or theft; such as gun shots, rock throwing, etc; customer, contractor or other utility dig-in; contact by outside utility, contractor or other third-party individual; vehicle accident, including car, truck, tractor, aircraft, manned balloon; other interfering object such as straw, shoes, string, balloon.</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480"/>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Animals and Birds</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Any problem nest that requires removal, relocation, trimming, etc; any birds, squirrels or other animals, whether or not remains found.</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300"/>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Operational</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Accidental Contact by PacifiCorp or PacifiCorp’s Contractors  (including live-line work); switching error; testing or commissioning error; relay setting error, including wrong fuse size, equipment by-passed; incorrect circuit records or identification; faulty installation or construction; operational or safety restriction.</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Loss of Supply</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Failure of supply from Generator or Transmission system; failure of distribution substation equipment.</w:t>
            </w:r>
          </w:p>
        </w:tc>
      </w:tr>
      <w:tr w:rsidR="003177D8">
        <w:trPr>
          <w:trHeight w:val="255"/>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r w:rsidRPr="003177D8">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Planned</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Transmission requested, affects distribution sub and distribution circuits; Company outage taken to make repairs after storm damage, car hit pole, etc.; construction work, regardless if notice is given; rolling blackouts.</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Trees</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Growing or falling trees.</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Other</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Cause Unknown.</w:t>
            </w:r>
          </w:p>
        </w:tc>
      </w:tr>
    </w:tbl>
    <w:p w:rsidR="003177D8" w:rsidRDefault="003177D8" w:rsidP="003177D8">
      <w:pPr>
        <w:jc w:val="both"/>
        <w:rPr>
          <w:b/>
        </w:rPr>
      </w:pPr>
    </w:p>
    <w:p w:rsidR="00875AF9" w:rsidRDefault="00875AF9" w:rsidP="003177D8">
      <w:pPr>
        <w:jc w:val="both"/>
        <w:rPr>
          <w:b/>
        </w:rPr>
      </w:pPr>
    </w:p>
    <w:p w:rsidR="00B84BE2" w:rsidRDefault="00B84BE2" w:rsidP="003177D8">
      <w:pPr>
        <w:jc w:val="both"/>
        <w:rPr>
          <w:b/>
        </w:rPr>
      </w:pPr>
    </w:p>
    <w:p w:rsidR="00B84BE2" w:rsidRDefault="00B84BE2" w:rsidP="003177D8">
      <w:pPr>
        <w:jc w:val="both"/>
        <w:rPr>
          <w:b/>
        </w:rPr>
      </w:pPr>
    </w:p>
    <w:p w:rsidR="00B84BE2" w:rsidRDefault="00B84BE2" w:rsidP="003177D8">
      <w:pPr>
        <w:jc w:val="both"/>
        <w:rPr>
          <w:b/>
        </w:rPr>
      </w:pPr>
    </w:p>
    <w:p w:rsidR="00875AF9" w:rsidRPr="001B505B" w:rsidRDefault="00875AF9" w:rsidP="00AF280F">
      <w:pPr>
        <w:pStyle w:val="Heading1"/>
        <w:numPr>
          <w:ilvl w:val="0"/>
          <w:numId w:val="11"/>
        </w:numPr>
        <w:spacing w:before="0" w:after="0"/>
        <w:rPr>
          <w:rFonts w:ascii="Times New Roman" w:hAnsi="Times New Roman" w:cs="Times New Roman"/>
        </w:rPr>
      </w:pPr>
      <w:bookmarkStart w:id="12" w:name="_Toc288411630"/>
      <w:r w:rsidRPr="001B505B">
        <w:rPr>
          <w:rFonts w:ascii="Times New Roman" w:hAnsi="Times New Roman" w:cs="Times New Roman"/>
          <w:bCs w:val="0"/>
          <w:kern w:val="0"/>
        </w:rPr>
        <w:t>Performance</w:t>
      </w:r>
      <w:bookmarkEnd w:id="12"/>
      <w:r w:rsidRPr="001B505B">
        <w:rPr>
          <w:rFonts w:ascii="Times New Roman" w:hAnsi="Times New Roman" w:cs="Times New Roman"/>
        </w:rPr>
        <w:t xml:space="preserve"> </w:t>
      </w:r>
    </w:p>
    <w:p w:rsidR="00A80F48" w:rsidRPr="002C0F9E" w:rsidRDefault="00A80F48" w:rsidP="002C0F9E">
      <w:pPr>
        <w:pStyle w:val="Heading2"/>
        <w:tabs>
          <w:tab w:val="clear" w:pos="846"/>
          <w:tab w:val="num" w:pos="540"/>
        </w:tabs>
        <w:ind w:hanging="756"/>
        <w:rPr>
          <w:rFonts w:ascii="Times New Roman" w:hAnsi="Times New Roman" w:cs="Times New Roman"/>
          <w:i w:val="0"/>
          <w:sz w:val="24"/>
        </w:rPr>
      </w:pPr>
      <w:bookmarkStart w:id="13" w:name="_Toc288411547"/>
      <w:bookmarkStart w:id="14" w:name="_Toc288411631"/>
      <w:bookmarkStart w:id="15" w:name="_Toc288411633"/>
      <w:bookmarkEnd w:id="13"/>
      <w:bookmarkEnd w:id="14"/>
      <w:r w:rsidRPr="002C0F9E">
        <w:rPr>
          <w:rFonts w:ascii="Times New Roman" w:hAnsi="Times New Roman" w:cs="Times New Roman"/>
          <w:i w:val="0"/>
          <w:sz w:val="24"/>
        </w:rPr>
        <w:t>Historic Performance</w:t>
      </w:r>
      <w:bookmarkEnd w:id="15"/>
    </w:p>
    <w:p w:rsidR="00A80F48" w:rsidRDefault="00A80F48" w:rsidP="002C0F9E">
      <w:pPr>
        <w:ind w:left="540"/>
      </w:pPr>
      <w:r>
        <w:t>Within each annual report a tabular and graphical view of total, baseline and normalized reliability results will be provided.  They will include at least seven years of history and will explicitly identify the year selected as a baseline against which subsequent report periods</w:t>
      </w:r>
      <w:r w:rsidR="00396923">
        <w:t>’ performance</w:t>
      </w:r>
      <w:r>
        <w:t xml:space="preserve"> will be compared.</w:t>
      </w:r>
      <w:r w:rsidR="00875AF9" w:rsidRPr="00875AF9">
        <w:t xml:space="preserve">  </w:t>
      </w:r>
    </w:p>
    <w:p w:rsidR="00A80F48" w:rsidRPr="00A80F48" w:rsidRDefault="00A80F48" w:rsidP="002C0F9E">
      <w:pPr>
        <w:pStyle w:val="Heading2"/>
        <w:tabs>
          <w:tab w:val="clear" w:pos="846"/>
          <w:tab w:val="num" w:pos="540"/>
        </w:tabs>
        <w:ind w:hanging="756"/>
        <w:rPr>
          <w:rFonts w:ascii="Times New Roman" w:hAnsi="Times New Roman" w:cs="Times New Roman"/>
          <w:i w:val="0"/>
          <w:sz w:val="24"/>
        </w:rPr>
      </w:pPr>
      <w:bookmarkStart w:id="16" w:name="_Toc288411634"/>
      <w:r w:rsidRPr="00A80F48">
        <w:rPr>
          <w:rFonts w:ascii="Times New Roman" w:hAnsi="Times New Roman" w:cs="Times New Roman"/>
          <w:i w:val="0"/>
          <w:sz w:val="24"/>
        </w:rPr>
        <w:t>Reporting Period Performance</w:t>
      </w:r>
      <w:bookmarkEnd w:id="16"/>
    </w:p>
    <w:p w:rsidR="00875AF9" w:rsidRDefault="00875AF9" w:rsidP="002C0F9E">
      <w:pPr>
        <w:ind w:left="720" w:hanging="180"/>
      </w:pPr>
      <w:r w:rsidRPr="00875AF9">
        <w:t>The following information will be provided for the system in each annual report.</w:t>
      </w:r>
    </w:p>
    <w:p w:rsidR="00875AF9" w:rsidRPr="00875AF9" w:rsidRDefault="00875AF9" w:rsidP="00875AF9">
      <w:pPr>
        <w:rPr>
          <w:sz w:val="16"/>
          <w:szCs w:val="16"/>
        </w:rPr>
      </w:pPr>
    </w:p>
    <w:p w:rsidR="00A80F48" w:rsidRDefault="00875AF9" w:rsidP="002C0F9E">
      <w:pPr>
        <w:numPr>
          <w:ilvl w:val="0"/>
          <w:numId w:val="5"/>
        </w:numPr>
        <w:tabs>
          <w:tab w:val="clear" w:pos="810"/>
          <w:tab w:val="num" w:pos="900"/>
        </w:tabs>
        <w:ind w:left="540" w:firstLine="0"/>
      </w:pPr>
      <w:proofErr w:type="spellStart"/>
      <w:r w:rsidRPr="00875AF9">
        <w:t>SAIDI</w:t>
      </w:r>
      <w:proofErr w:type="spellEnd"/>
      <w:r w:rsidRPr="00875AF9">
        <w:t xml:space="preserve"> for the period</w:t>
      </w:r>
      <w:r w:rsidR="00A80F48">
        <w:t>:</w:t>
      </w:r>
    </w:p>
    <w:p w:rsidR="00A80F48" w:rsidRDefault="00112E37" w:rsidP="002C0F9E">
      <w:pPr>
        <w:numPr>
          <w:ilvl w:val="1"/>
          <w:numId w:val="5"/>
        </w:numPr>
        <w:ind w:left="1080" w:hanging="180"/>
      </w:pPr>
      <w:r>
        <w:t xml:space="preserve">total performance, </w:t>
      </w:r>
    </w:p>
    <w:p w:rsidR="00A80F48" w:rsidRDefault="00A80F48" w:rsidP="002C0F9E">
      <w:pPr>
        <w:numPr>
          <w:ilvl w:val="1"/>
          <w:numId w:val="5"/>
        </w:numPr>
        <w:ind w:left="1080" w:hanging="180"/>
      </w:pPr>
      <w:r>
        <w:t xml:space="preserve">performance </w:t>
      </w:r>
      <w:r w:rsidR="00112E37">
        <w:t xml:space="preserve">excluding </w:t>
      </w:r>
      <w:proofErr w:type="spellStart"/>
      <w:r w:rsidR="00112E37">
        <w:t>SAIDI</w:t>
      </w:r>
      <w:proofErr w:type="spellEnd"/>
      <w:r w:rsidR="00112E37">
        <w:t xml:space="preserve">-based </w:t>
      </w:r>
      <w:r w:rsidR="001B6EB8">
        <w:t>M</w:t>
      </w:r>
      <w:r w:rsidR="00112E37">
        <w:t xml:space="preserve">ajor </w:t>
      </w:r>
      <w:r w:rsidR="001B6EB8">
        <w:t>E</w:t>
      </w:r>
      <w:r w:rsidR="00112E37">
        <w:t xml:space="preserve">vents and  </w:t>
      </w:r>
    </w:p>
    <w:p w:rsidR="00875AF9" w:rsidRPr="00875AF9" w:rsidRDefault="00A80F48" w:rsidP="002C0F9E">
      <w:pPr>
        <w:numPr>
          <w:ilvl w:val="1"/>
          <w:numId w:val="5"/>
        </w:numPr>
        <w:ind w:left="1080" w:hanging="180"/>
      </w:pPr>
      <w:r>
        <w:t xml:space="preserve">performance excluding </w:t>
      </w:r>
      <w:proofErr w:type="spellStart"/>
      <w:r w:rsidR="00112E37">
        <w:t>SAIFI</w:t>
      </w:r>
      <w:proofErr w:type="spellEnd"/>
      <w:r w:rsidR="00112E37">
        <w:t xml:space="preserve">-based </w:t>
      </w:r>
      <w:r w:rsidR="00875AF9" w:rsidRPr="00875AF9">
        <w:t xml:space="preserve"> </w:t>
      </w:r>
      <w:r w:rsidR="00C86F7B">
        <w:t>M</w:t>
      </w:r>
      <w:r w:rsidR="00875AF9" w:rsidRPr="00875AF9">
        <w:t xml:space="preserve">ajor </w:t>
      </w:r>
      <w:r w:rsidR="00C86F7B">
        <w:t>E</w:t>
      </w:r>
      <w:r w:rsidR="00875AF9" w:rsidRPr="00875AF9">
        <w:t xml:space="preserve">vents), </w:t>
      </w:r>
    </w:p>
    <w:p w:rsidR="00875AF9" w:rsidRPr="00875AF9" w:rsidRDefault="00875AF9" w:rsidP="002C0F9E">
      <w:pPr>
        <w:numPr>
          <w:ilvl w:val="0"/>
          <w:numId w:val="5"/>
        </w:numPr>
        <w:tabs>
          <w:tab w:val="clear" w:pos="810"/>
          <w:tab w:val="num" w:pos="1440"/>
        </w:tabs>
        <w:spacing w:before="6"/>
        <w:ind w:left="1080" w:hanging="540"/>
      </w:pPr>
      <w:proofErr w:type="spellStart"/>
      <w:r w:rsidRPr="00875AF9">
        <w:t>SAIDI</w:t>
      </w:r>
      <w:proofErr w:type="spellEnd"/>
      <w:r w:rsidRPr="00875AF9">
        <w:t xml:space="preserve"> Plan for the period,</w:t>
      </w:r>
    </w:p>
    <w:p w:rsidR="00A80F48" w:rsidRDefault="00875AF9" w:rsidP="002C0F9E">
      <w:pPr>
        <w:numPr>
          <w:ilvl w:val="0"/>
          <w:numId w:val="5"/>
        </w:numPr>
        <w:tabs>
          <w:tab w:val="clear" w:pos="810"/>
          <w:tab w:val="num" w:pos="1440"/>
        </w:tabs>
        <w:spacing w:before="6"/>
        <w:ind w:left="1080" w:hanging="540"/>
      </w:pPr>
      <w:r w:rsidRPr="00875AF9">
        <w:t xml:space="preserve">Cumulative </w:t>
      </w:r>
      <w:proofErr w:type="spellStart"/>
      <w:r w:rsidRPr="00875AF9">
        <w:t>SAIDI</w:t>
      </w:r>
      <w:proofErr w:type="spellEnd"/>
      <w:r w:rsidRPr="00875AF9">
        <w:t xml:space="preserve"> chart for the period</w:t>
      </w:r>
      <w:r w:rsidR="00A80F48">
        <w:t>:</w:t>
      </w:r>
      <w:r w:rsidRPr="00875AF9">
        <w:t xml:space="preserve"> </w:t>
      </w:r>
    </w:p>
    <w:p w:rsidR="00A80F48" w:rsidRDefault="00112E37" w:rsidP="002C0F9E">
      <w:pPr>
        <w:numPr>
          <w:ilvl w:val="1"/>
          <w:numId w:val="5"/>
        </w:numPr>
        <w:ind w:left="1080" w:hanging="180"/>
      </w:pPr>
      <w:r>
        <w:t xml:space="preserve">total performance, </w:t>
      </w:r>
    </w:p>
    <w:p w:rsidR="00A80F48" w:rsidRDefault="00A80F48" w:rsidP="002C0F9E">
      <w:pPr>
        <w:numPr>
          <w:ilvl w:val="1"/>
          <w:numId w:val="5"/>
        </w:numPr>
        <w:ind w:left="1080" w:hanging="180"/>
      </w:pPr>
      <w:r>
        <w:t xml:space="preserve">performance </w:t>
      </w:r>
      <w:r w:rsidR="00112E37">
        <w:t xml:space="preserve">excluding </w:t>
      </w:r>
      <w:proofErr w:type="spellStart"/>
      <w:r w:rsidR="00112E37">
        <w:t>SAIDI</w:t>
      </w:r>
      <w:proofErr w:type="spellEnd"/>
      <w:r w:rsidR="00112E37">
        <w:t xml:space="preserve">-based </w:t>
      </w:r>
      <w:r w:rsidR="001B6EB8">
        <w:t>M</w:t>
      </w:r>
      <w:r w:rsidR="00112E37">
        <w:t xml:space="preserve">ajor </w:t>
      </w:r>
      <w:r w:rsidR="001B6EB8">
        <w:t>E</w:t>
      </w:r>
      <w:r w:rsidR="00112E37">
        <w:t xml:space="preserve">vents and </w:t>
      </w:r>
    </w:p>
    <w:p w:rsidR="00875AF9" w:rsidRPr="00875AF9" w:rsidRDefault="00A80F48" w:rsidP="002C0F9E">
      <w:pPr>
        <w:numPr>
          <w:ilvl w:val="1"/>
          <w:numId w:val="5"/>
        </w:numPr>
        <w:ind w:left="1080" w:hanging="180"/>
      </w:pPr>
      <w:r>
        <w:t xml:space="preserve">performance excluding </w:t>
      </w:r>
      <w:proofErr w:type="spellStart"/>
      <w:r w:rsidR="00112E37">
        <w:t>SAIFI</w:t>
      </w:r>
      <w:proofErr w:type="spellEnd"/>
      <w:r w:rsidR="00112E37">
        <w:t xml:space="preserve">-based </w:t>
      </w:r>
      <w:r w:rsidR="00112E37" w:rsidRPr="00875AF9">
        <w:t xml:space="preserve"> </w:t>
      </w:r>
      <w:r w:rsidR="00C86F7B">
        <w:t>M</w:t>
      </w:r>
      <w:r w:rsidR="00875AF9" w:rsidRPr="00875AF9">
        <w:t xml:space="preserve">ajor </w:t>
      </w:r>
      <w:r w:rsidR="00C86F7B">
        <w:t>E</w:t>
      </w:r>
      <w:r w:rsidR="00875AF9" w:rsidRPr="00875AF9">
        <w:t>vents,</w:t>
      </w:r>
    </w:p>
    <w:p w:rsidR="00A80F48" w:rsidRDefault="00875AF9" w:rsidP="002C0F9E">
      <w:pPr>
        <w:numPr>
          <w:ilvl w:val="0"/>
          <w:numId w:val="5"/>
        </w:numPr>
        <w:tabs>
          <w:tab w:val="clear" w:pos="810"/>
          <w:tab w:val="num" w:pos="1440"/>
        </w:tabs>
        <w:spacing w:before="6"/>
        <w:ind w:left="1080" w:hanging="540"/>
      </w:pPr>
      <w:proofErr w:type="spellStart"/>
      <w:r w:rsidRPr="00875AF9">
        <w:t>SAIFI</w:t>
      </w:r>
      <w:proofErr w:type="spellEnd"/>
      <w:r w:rsidRPr="00875AF9">
        <w:t xml:space="preserve"> for the period</w:t>
      </w:r>
      <w:r w:rsidR="00A80F48">
        <w:t>:</w:t>
      </w:r>
    </w:p>
    <w:p w:rsidR="00A80F48" w:rsidRDefault="00112E37" w:rsidP="002C0F9E">
      <w:pPr>
        <w:numPr>
          <w:ilvl w:val="1"/>
          <w:numId w:val="5"/>
        </w:numPr>
        <w:ind w:left="1080" w:hanging="180"/>
      </w:pPr>
      <w:r>
        <w:t xml:space="preserve">total performance, </w:t>
      </w:r>
    </w:p>
    <w:p w:rsidR="00396923" w:rsidRDefault="00A80F48" w:rsidP="002C0F9E">
      <w:pPr>
        <w:numPr>
          <w:ilvl w:val="1"/>
          <w:numId w:val="5"/>
        </w:numPr>
        <w:ind w:left="1080" w:hanging="180"/>
      </w:pPr>
      <w:r>
        <w:t xml:space="preserve">performance </w:t>
      </w:r>
      <w:r w:rsidR="00112E37">
        <w:t xml:space="preserve">excluding </w:t>
      </w:r>
      <w:proofErr w:type="spellStart"/>
      <w:r w:rsidR="00112E37">
        <w:t>SAIDI</w:t>
      </w:r>
      <w:proofErr w:type="spellEnd"/>
      <w:r w:rsidR="00112E37">
        <w:t xml:space="preserve">-based </w:t>
      </w:r>
      <w:r w:rsidR="00FE60B9">
        <w:t>M</w:t>
      </w:r>
      <w:r w:rsidR="00112E37">
        <w:t xml:space="preserve">ajor </w:t>
      </w:r>
      <w:r w:rsidR="00FE60B9">
        <w:t>E</w:t>
      </w:r>
      <w:r w:rsidR="00112E37">
        <w:t xml:space="preserve">vents and </w:t>
      </w:r>
    </w:p>
    <w:p w:rsidR="00875AF9" w:rsidRPr="00875AF9" w:rsidRDefault="00396923" w:rsidP="002C0F9E">
      <w:pPr>
        <w:numPr>
          <w:ilvl w:val="1"/>
          <w:numId w:val="5"/>
        </w:numPr>
        <w:ind w:left="1080" w:hanging="180"/>
      </w:pPr>
      <w:r>
        <w:t xml:space="preserve">performance excluding </w:t>
      </w:r>
      <w:proofErr w:type="spellStart"/>
      <w:r w:rsidR="00112E37">
        <w:t>SAIFI</w:t>
      </w:r>
      <w:proofErr w:type="spellEnd"/>
      <w:r w:rsidR="00112E37">
        <w:t xml:space="preserve">-based </w:t>
      </w:r>
      <w:r w:rsidR="00112E37" w:rsidRPr="00875AF9">
        <w:t xml:space="preserve"> </w:t>
      </w:r>
      <w:r w:rsidR="001B6EB8">
        <w:t>M</w:t>
      </w:r>
      <w:r w:rsidR="00875AF9" w:rsidRPr="00875AF9">
        <w:t xml:space="preserve">ajor </w:t>
      </w:r>
      <w:r w:rsidR="001B6EB8">
        <w:t>E</w:t>
      </w:r>
      <w:r w:rsidR="00875AF9" w:rsidRPr="00875AF9">
        <w:t>vents</w:t>
      </w:r>
      <w:r w:rsidR="007D3572">
        <w:t>,</w:t>
      </w:r>
      <w:r w:rsidR="00875AF9" w:rsidRPr="00875AF9">
        <w:t xml:space="preserve"> </w:t>
      </w:r>
    </w:p>
    <w:p w:rsidR="00875AF9" w:rsidRPr="00875AF9" w:rsidRDefault="00875AF9" w:rsidP="002C0F9E">
      <w:pPr>
        <w:numPr>
          <w:ilvl w:val="0"/>
          <w:numId w:val="5"/>
        </w:numPr>
        <w:tabs>
          <w:tab w:val="clear" w:pos="810"/>
          <w:tab w:val="num" w:pos="1440"/>
        </w:tabs>
        <w:spacing w:before="6"/>
        <w:ind w:left="1080" w:hanging="540"/>
      </w:pPr>
      <w:proofErr w:type="spellStart"/>
      <w:r w:rsidRPr="00875AF9">
        <w:t>SAIFI</w:t>
      </w:r>
      <w:proofErr w:type="spellEnd"/>
      <w:r w:rsidRPr="00875AF9">
        <w:t xml:space="preserve"> Plan for the</w:t>
      </w:r>
      <w:r w:rsidR="00396923">
        <w:t xml:space="preserve"> period</w:t>
      </w:r>
      <w:r w:rsidRPr="00875AF9">
        <w:t>,</w:t>
      </w:r>
    </w:p>
    <w:p w:rsidR="00396923" w:rsidRDefault="00875AF9" w:rsidP="002C0F9E">
      <w:pPr>
        <w:numPr>
          <w:ilvl w:val="0"/>
          <w:numId w:val="5"/>
        </w:numPr>
        <w:tabs>
          <w:tab w:val="clear" w:pos="810"/>
          <w:tab w:val="num" w:pos="1440"/>
        </w:tabs>
        <w:spacing w:before="6"/>
        <w:ind w:left="1080" w:hanging="540"/>
      </w:pPr>
      <w:r w:rsidRPr="00875AF9">
        <w:t xml:space="preserve">Cumulative </w:t>
      </w:r>
      <w:proofErr w:type="spellStart"/>
      <w:r w:rsidRPr="00875AF9">
        <w:t>SAIFI</w:t>
      </w:r>
      <w:proofErr w:type="spellEnd"/>
      <w:r w:rsidRPr="00875AF9">
        <w:t xml:space="preserve"> chart for the period</w:t>
      </w:r>
      <w:r w:rsidR="00396923">
        <w:t>:</w:t>
      </w:r>
    </w:p>
    <w:p w:rsidR="00396923" w:rsidRDefault="00112E37" w:rsidP="007951FC">
      <w:pPr>
        <w:numPr>
          <w:ilvl w:val="1"/>
          <w:numId w:val="5"/>
        </w:numPr>
        <w:ind w:left="1080" w:hanging="180"/>
      </w:pPr>
      <w:r>
        <w:t xml:space="preserve">total performance, </w:t>
      </w:r>
    </w:p>
    <w:p w:rsidR="00396923" w:rsidRDefault="00396923" w:rsidP="007951FC">
      <w:pPr>
        <w:numPr>
          <w:ilvl w:val="1"/>
          <w:numId w:val="5"/>
        </w:numPr>
        <w:ind w:left="1080" w:hanging="180"/>
      </w:pPr>
      <w:r>
        <w:t xml:space="preserve">performance </w:t>
      </w:r>
      <w:r w:rsidR="00112E37">
        <w:t xml:space="preserve">excluding </w:t>
      </w:r>
      <w:proofErr w:type="spellStart"/>
      <w:r w:rsidR="00112E37">
        <w:t>SAIDI</w:t>
      </w:r>
      <w:proofErr w:type="spellEnd"/>
      <w:r w:rsidR="00112E37">
        <w:t xml:space="preserve">-based </w:t>
      </w:r>
      <w:r w:rsidR="00FE60B9">
        <w:t>M</w:t>
      </w:r>
      <w:r w:rsidR="00112E37">
        <w:t xml:space="preserve">ajor </w:t>
      </w:r>
      <w:r w:rsidR="00FE60B9">
        <w:t>E</w:t>
      </w:r>
      <w:r w:rsidR="00112E37">
        <w:t xml:space="preserve">vents and </w:t>
      </w:r>
    </w:p>
    <w:p w:rsidR="00875AF9" w:rsidRPr="00875AF9" w:rsidRDefault="00396923" w:rsidP="007951FC">
      <w:pPr>
        <w:numPr>
          <w:ilvl w:val="1"/>
          <w:numId w:val="5"/>
        </w:numPr>
        <w:ind w:left="1080" w:hanging="180"/>
      </w:pPr>
      <w:r>
        <w:t xml:space="preserve">performance excluding </w:t>
      </w:r>
      <w:proofErr w:type="spellStart"/>
      <w:r w:rsidR="00112E37">
        <w:t>SAIFI</w:t>
      </w:r>
      <w:proofErr w:type="spellEnd"/>
      <w:r w:rsidR="00112E37">
        <w:t xml:space="preserve">-based </w:t>
      </w:r>
      <w:r w:rsidR="00112E37" w:rsidRPr="00875AF9">
        <w:t xml:space="preserve"> </w:t>
      </w:r>
      <w:r w:rsidR="00FE60B9">
        <w:t>M</w:t>
      </w:r>
      <w:r w:rsidR="00875AF9" w:rsidRPr="00875AF9">
        <w:t xml:space="preserve">ajor </w:t>
      </w:r>
      <w:r w:rsidR="00FE60B9">
        <w:t>E</w:t>
      </w:r>
      <w:r w:rsidR="00875AF9" w:rsidRPr="00875AF9">
        <w:t>vents,</w:t>
      </w:r>
    </w:p>
    <w:p w:rsidR="00875AF9" w:rsidRPr="00875AF9" w:rsidRDefault="00875AF9" w:rsidP="002C0F9E">
      <w:pPr>
        <w:numPr>
          <w:ilvl w:val="0"/>
          <w:numId w:val="5"/>
        </w:numPr>
        <w:tabs>
          <w:tab w:val="clear" w:pos="810"/>
          <w:tab w:val="num" w:pos="1440"/>
        </w:tabs>
        <w:spacing w:before="6"/>
        <w:ind w:left="1080" w:hanging="540"/>
      </w:pPr>
      <w:proofErr w:type="spellStart"/>
      <w:r w:rsidRPr="00875AF9">
        <w:t>CAIDI</w:t>
      </w:r>
      <w:proofErr w:type="spellEnd"/>
      <w:r w:rsidRPr="00875AF9">
        <w:t>,</w:t>
      </w:r>
    </w:p>
    <w:p w:rsidR="00875AF9" w:rsidRPr="00875AF9" w:rsidRDefault="00875AF9" w:rsidP="002C0F9E">
      <w:pPr>
        <w:numPr>
          <w:ilvl w:val="0"/>
          <w:numId w:val="5"/>
        </w:numPr>
        <w:tabs>
          <w:tab w:val="clear" w:pos="810"/>
          <w:tab w:val="num" w:pos="1440"/>
        </w:tabs>
        <w:spacing w:before="6"/>
        <w:ind w:left="1080" w:hanging="540"/>
      </w:pPr>
      <w:proofErr w:type="spellStart"/>
      <w:r w:rsidRPr="00875AF9">
        <w:t>CAIDI</w:t>
      </w:r>
      <w:proofErr w:type="spellEnd"/>
      <w:r w:rsidRPr="00875AF9">
        <w:t xml:space="preserve"> Plan for the period</w:t>
      </w:r>
      <w:r w:rsidR="007D3572">
        <w:t>,</w:t>
      </w:r>
    </w:p>
    <w:p w:rsidR="00875AF9" w:rsidRPr="00875AF9" w:rsidRDefault="00875AF9" w:rsidP="007951FC">
      <w:pPr>
        <w:numPr>
          <w:ilvl w:val="0"/>
          <w:numId w:val="5"/>
        </w:numPr>
        <w:tabs>
          <w:tab w:val="clear" w:pos="810"/>
          <w:tab w:val="num" w:pos="1440"/>
        </w:tabs>
        <w:ind w:left="1440" w:hanging="900"/>
      </w:pPr>
      <w:r w:rsidRPr="00875AF9">
        <w:t>System level reliability discussion, including identification of significant events the occurred during the period</w:t>
      </w:r>
      <w:r w:rsidR="007D3572">
        <w:t>,</w:t>
      </w:r>
    </w:p>
    <w:p w:rsidR="00875AF9" w:rsidRPr="00875AF9" w:rsidRDefault="00875AF9" w:rsidP="007951FC">
      <w:pPr>
        <w:numPr>
          <w:ilvl w:val="0"/>
          <w:numId w:val="5"/>
        </w:numPr>
        <w:tabs>
          <w:tab w:val="clear" w:pos="810"/>
          <w:tab w:val="num" w:pos="1440"/>
        </w:tabs>
        <w:spacing w:before="6"/>
        <w:ind w:left="1440" w:hanging="900"/>
      </w:pPr>
      <w:r w:rsidRPr="00875AF9">
        <w:t xml:space="preserve">Customer interruption outage cause pie charts (excluding </w:t>
      </w:r>
      <w:proofErr w:type="spellStart"/>
      <w:r w:rsidR="00112E37">
        <w:t>SAIDI</w:t>
      </w:r>
      <w:proofErr w:type="spellEnd"/>
      <w:r w:rsidR="00FE60B9">
        <w:t>-based Major Events</w:t>
      </w:r>
      <w:r w:rsidR="00112E37">
        <w:t xml:space="preserve"> and </w:t>
      </w:r>
      <w:proofErr w:type="spellStart"/>
      <w:r w:rsidR="00112E37">
        <w:t>SAIFI</w:t>
      </w:r>
      <w:proofErr w:type="spellEnd"/>
      <w:r w:rsidR="00112E37">
        <w:t xml:space="preserve">-based </w:t>
      </w:r>
      <w:r w:rsidR="00FE60B9">
        <w:t>M</w:t>
      </w:r>
      <w:r w:rsidRPr="00875AF9">
        <w:t xml:space="preserve">ajor </w:t>
      </w:r>
      <w:r w:rsidR="00FE60B9">
        <w:t>E</w:t>
      </w:r>
      <w:r w:rsidRPr="00875AF9">
        <w:t>vents), and</w:t>
      </w:r>
    </w:p>
    <w:p w:rsidR="00875AF9" w:rsidRDefault="00875AF9" w:rsidP="007951FC">
      <w:pPr>
        <w:numPr>
          <w:ilvl w:val="0"/>
          <w:numId w:val="5"/>
        </w:numPr>
        <w:tabs>
          <w:tab w:val="clear" w:pos="810"/>
          <w:tab w:val="num" w:pos="1440"/>
        </w:tabs>
        <w:spacing w:before="6"/>
        <w:ind w:left="1440" w:hanging="900"/>
      </w:pPr>
      <w:r w:rsidRPr="00875AF9">
        <w:t xml:space="preserve">Customer minute interruption </w:t>
      </w:r>
      <w:proofErr w:type="gramStart"/>
      <w:r w:rsidRPr="00875AF9">
        <w:t>outage cause</w:t>
      </w:r>
      <w:proofErr w:type="gramEnd"/>
      <w:r w:rsidRPr="00875AF9">
        <w:t xml:space="preserve"> pie charts (excluding </w:t>
      </w:r>
      <w:proofErr w:type="spellStart"/>
      <w:r w:rsidR="00112E37">
        <w:t>SAIDI</w:t>
      </w:r>
      <w:proofErr w:type="spellEnd"/>
      <w:r w:rsidR="00FE60B9">
        <w:t>-based Major Events</w:t>
      </w:r>
      <w:r w:rsidR="00112E37">
        <w:t xml:space="preserve"> and </w:t>
      </w:r>
      <w:proofErr w:type="spellStart"/>
      <w:r w:rsidR="00112E37">
        <w:t>SAIFI</w:t>
      </w:r>
      <w:proofErr w:type="spellEnd"/>
      <w:r w:rsidR="00112E37">
        <w:t xml:space="preserve">-based </w:t>
      </w:r>
      <w:r w:rsidR="00FE60B9">
        <w:t>M</w:t>
      </w:r>
      <w:r w:rsidRPr="00875AF9">
        <w:t xml:space="preserve">ajor </w:t>
      </w:r>
      <w:r w:rsidR="00FE60B9">
        <w:t>E</w:t>
      </w:r>
      <w:r w:rsidRPr="00875AF9">
        <w:t xml:space="preserve">vents). </w:t>
      </w:r>
    </w:p>
    <w:p w:rsidR="00875AF9" w:rsidRPr="00875AF9" w:rsidRDefault="00875AF9" w:rsidP="00875AF9">
      <w:pPr>
        <w:spacing w:before="6"/>
        <w:ind w:left="446"/>
        <w:rPr>
          <w:sz w:val="20"/>
          <w:szCs w:val="20"/>
        </w:rPr>
      </w:pPr>
    </w:p>
    <w:p w:rsidR="00875AF9" w:rsidRPr="00396923" w:rsidRDefault="00875AF9" w:rsidP="007951FC">
      <w:pPr>
        <w:pStyle w:val="Heading2"/>
        <w:numPr>
          <w:ilvl w:val="1"/>
          <w:numId w:val="21"/>
        </w:numPr>
        <w:tabs>
          <w:tab w:val="left" w:pos="540"/>
        </w:tabs>
        <w:ind w:hanging="1350"/>
        <w:rPr>
          <w:rFonts w:ascii="Times New Roman" w:hAnsi="Times New Roman" w:cs="Times New Roman"/>
          <w:i w:val="0"/>
          <w:sz w:val="24"/>
        </w:rPr>
      </w:pPr>
      <w:bookmarkStart w:id="17" w:name="_Toc288411635"/>
      <w:r w:rsidRPr="00396923">
        <w:rPr>
          <w:rFonts w:ascii="Times New Roman" w:hAnsi="Times New Roman" w:cs="Times New Roman"/>
          <w:i w:val="0"/>
          <w:sz w:val="24"/>
        </w:rPr>
        <w:t>Subsystem Performance</w:t>
      </w:r>
      <w:bookmarkEnd w:id="17"/>
    </w:p>
    <w:p w:rsidR="00875AF9" w:rsidRDefault="00875AF9" w:rsidP="007951FC">
      <w:pPr>
        <w:ind w:left="1530" w:hanging="990"/>
      </w:pPr>
      <w:r w:rsidRPr="00875AF9">
        <w:t xml:space="preserve">  The following information will be provided for the subsystem in each annual report.</w:t>
      </w:r>
    </w:p>
    <w:p w:rsidR="00875AF9" w:rsidRPr="00875AF9" w:rsidRDefault="00875AF9" w:rsidP="00875AF9">
      <w:pPr>
        <w:rPr>
          <w:sz w:val="16"/>
          <w:szCs w:val="16"/>
        </w:rPr>
      </w:pPr>
    </w:p>
    <w:p w:rsidR="00396923" w:rsidRDefault="00875AF9" w:rsidP="007951FC">
      <w:pPr>
        <w:numPr>
          <w:ilvl w:val="0"/>
          <w:numId w:val="6"/>
        </w:numPr>
        <w:tabs>
          <w:tab w:val="clear" w:pos="810"/>
          <w:tab w:val="num" w:pos="540"/>
        </w:tabs>
        <w:ind w:hanging="270"/>
      </w:pPr>
      <w:proofErr w:type="spellStart"/>
      <w:r w:rsidRPr="00875AF9">
        <w:t>SAIDI</w:t>
      </w:r>
      <w:proofErr w:type="spellEnd"/>
      <w:r w:rsidRPr="00875AF9">
        <w:t xml:space="preserve"> for the period</w:t>
      </w:r>
      <w:r w:rsidR="007951FC">
        <w:t>:</w:t>
      </w:r>
      <w:r w:rsidRPr="00875AF9">
        <w:t xml:space="preserve"> </w:t>
      </w:r>
    </w:p>
    <w:p w:rsidR="00396923" w:rsidRDefault="00112E37" w:rsidP="007951FC">
      <w:pPr>
        <w:numPr>
          <w:ilvl w:val="1"/>
          <w:numId w:val="5"/>
        </w:numPr>
        <w:ind w:left="1080" w:hanging="180"/>
      </w:pPr>
      <w:r>
        <w:t xml:space="preserve">total performance, </w:t>
      </w:r>
    </w:p>
    <w:p w:rsidR="00396923" w:rsidRDefault="00396923" w:rsidP="007951FC">
      <w:pPr>
        <w:numPr>
          <w:ilvl w:val="1"/>
          <w:numId w:val="5"/>
        </w:numPr>
        <w:ind w:left="1080" w:hanging="180"/>
      </w:pPr>
      <w:r>
        <w:t xml:space="preserve">performance </w:t>
      </w:r>
      <w:r w:rsidR="00112E37">
        <w:t xml:space="preserve">excluding </w:t>
      </w:r>
      <w:proofErr w:type="spellStart"/>
      <w:r w:rsidR="00112E37">
        <w:t>SAIDI</w:t>
      </w:r>
      <w:proofErr w:type="spellEnd"/>
      <w:r w:rsidR="00112E37">
        <w:t xml:space="preserve">-based </w:t>
      </w:r>
      <w:r w:rsidR="00FE60B9">
        <w:t>M</w:t>
      </w:r>
      <w:r w:rsidR="00112E37">
        <w:t xml:space="preserve">ajor </w:t>
      </w:r>
      <w:r w:rsidR="00FE60B9">
        <w:t>E</w:t>
      </w:r>
      <w:r w:rsidR="00112E37">
        <w:t xml:space="preserve">vents and </w:t>
      </w:r>
    </w:p>
    <w:p w:rsidR="00875AF9" w:rsidRPr="00875AF9" w:rsidRDefault="00396923" w:rsidP="007951FC">
      <w:pPr>
        <w:numPr>
          <w:ilvl w:val="1"/>
          <w:numId w:val="5"/>
        </w:numPr>
        <w:ind w:left="1080" w:hanging="180"/>
      </w:pPr>
      <w:r>
        <w:t xml:space="preserve">performance excluding </w:t>
      </w:r>
      <w:proofErr w:type="spellStart"/>
      <w:r w:rsidR="00112E37">
        <w:t>SAIFI</w:t>
      </w:r>
      <w:proofErr w:type="spellEnd"/>
      <w:r w:rsidR="00112E37">
        <w:t xml:space="preserve">-based </w:t>
      </w:r>
      <w:r w:rsidR="00112E37" w:rsidRPr="00875AF9">
        <w:t xml:space="preserve"> </w:t>
      </w:r>
      <w:r w:rsidR="00FE60B9">
        <w:t>M</w:t>
      </w:r>
      <w:r w:rsidR="00875AF9" w:rsidRPr="00875AF9">
        <w:t xml:space="preserve">ajor </w:t>
      </w:r>
      <w:r w:rsidR="00FE60B9">
        <w:t>E</w:t>
      </w:r>
      <w:r w:rsidR="00875AF9" w:rsidRPr="00875AF9">
        <w:t>vents, and</w:t>
      </w:r>
    </w:p>
    <w:p w:rsidR="00396923" w:rsidRDefault="00875AF9" w:rsidP="007951FC">
      <w:pPr>
        <w:numPr>
          <w:ilvl w:val="0"/>
          <w:numId w:val="6"/>
        </w:numPr>
        <w:spacing w:before="6"/>
        <w:ind w:left="806" w:hanging="266"/>
      </w:pPr>
      <w:proofErr w:type="spellStart"/>
      <w:r w:rsidRPr="00875AF9">
        <w:t>SAIFI</w:t>
      </w:r>
      <w:proofErr w:type="spellEnd"/>
      <w:r w:rsidRPr="00875AF9">
        <w:t xml:space="preserve"> for the period</w:t>
      </w:r>
      <w:r w:rsidR="007951FC">
        <w:t>:</w:t>
      </w:r>
      <w:r w:rsidRPr="00875AF9">
        <w:t xml:space="preserve"> </w:t>
      </w:r>
    </w:p>
    <w:p w:rsidR="00396923" w:rsidRDefault="00112E37" w:rsidP="007951FC">
      <w:pPr>
        <w:numPr>
          <w:ilvl w:val="1"/>
          <w:numId w:val="5"/>
        </w:numPr>
        <w:ind w:left="1080" w:hanging="180"/>
      </w:pPr>
      <w:r>
        <w:t>total performance,</w:t>
      </w:r>
    </w:p>
    <w:p w:rsidR="00396923" w:rsidRDefault="00396923" w:rsidP="007951FC">
      <w:pPr>
        <w:numPr>
          <w:ilvl w:val="1"/>
          <w:numId w:val="5"/>
        </w:numPr>
        <w:ind w:left="1080" w:hanging="180"/>
      </w:pPr>
      <w:r>
        <w:t>performance</w:t>
      </w:r>
      <w:r w:rsidR="00112E37">
        <w:t xml:space="preserve"> excluding </w:t>
      </w:r>
      <w:proofErr w:type="spellStart"/>
      <w:r w:rsidR="00112E37">
        <w:t>SAIDI</w:t>
      </w:r>
      <w:proofErr w:type="spellEnd"/>
      <w:r w:rsidR="00112E37">
        <w:t xml:space="preserve">-based </w:t>
      </w:r>
      <w:r w:rsidR="00FE60B9">
        <w:t>M</w:t>
      </w:r>
      <w:r w:rsidR="00112E37">
        <w:t xml:space="preserve">ajor </w:t>
      </w:r>
      <w:r w:rsidR="00FE60B9">
        <w:t>E</w:t>
      </w:r>
      <w:r w:rsidR="00112E37">
        <w:t xml:space="preserve">vents and </w:t>
      </w:r>
    </w:p>
    <w:p w:rsidR="00875AF9" w:rsidRDefault="00396923" w:rsidP="007951FC">
      <w:pPr>
        <w:numPr>
          <w:ilvl w:val="1"/>
          <w:numId w:val="5"/>
        </w:numPr>
        <w:tabs>
          <w:tab w:val="num" w:pos="2160"/>
        </w:tabs>
        <w:ind w:left="1080" w:hanging="180"/>
      </w:pPr>
      <w:proofErr w:type="gramStart"/>
      <w:r>
        <w:t>performance</w:t>
      </w:r>
      <w:proofErr w:type="gramEnd"/>
      <w:r>
        <w:t xml:space="preserve"> excluding </w:t>
      </w:r>
      <w:proofErr w:type="spellStart"/>
      <w:r w:rsidR="00112E37">
        <w:t>SAIFI</w:t>
      </w:r>
      <w:proofErr w:type="spellEnd"/>
      <w:r w:rsidR="00112E37">
        <w:t xml:space="preserve">-based </w:t>
      </w:r>
      <w:r w:rsidR="00112E37" w:rsidRPr="00875AF9">
        <w:t xml:space="preserve"> </w:t>
      </w:r>
      <w:r w:rsidR="00FE60B9">
        <w:t>M</w:t>
      </w:r>
      <w:r w:rsidR="00875AF9" w:rsidRPr="00875AF9">
        <w:t xml:space="preserve">ajor </w:t>
      </w:r>
      <w:r w:rsidR="00FE60B9">
        <w:t>E</w:t>
      </w:r>
      <w:r w:rsidR="00875AF9" w:rsidRPr="00875AF9">
        <w:t>vents.</w:t>
      </w:r>
    </w:p>
    <w:p w:rsidR="00875AF9" w:rsidRPr="00875AF9" w:rsidRDefault="00875AF9" w:rsidP="00875AF9">
      <w:pPr>
        <w:ind w:left="446"/>
      </w:pPr>
    </w:p>
    <w:p w:rsidR="00875AF9" w:rsidRPr="001B505B" w:rsidRDefault="00875AF9" w:rsidP="007951FC">
      <w:pPr>
        <w:pStyle w:val="Heading1"/>
        <w:numPr>
          <w:ilvl w:val="0"/>
          <w:numId w:val="21"/>
        </w:numPr>
        <w:spacing w:before="0" w:after="0"/>
        <w:rPr>
          <w:rFonts w:ascii="Times New Roman" w:hAnsi="Times New Roman" w:cs="Times New Roman"/>
          <w:bCs w:val="0"/>
          <w:kern w:val="0"/>
        </w:rPr>
      </w:pPr>
      <w:bookmarkStart w:id="18" w:name="_Toc288411636"/>
      <w:bookmarkStart w:id="19" w:name="_Toc134265795"/>
      <w:r w:rsidRPr="001B505B">
        <w:rPr>
          <w:rFonts w:ascii="Times New Roman" w:hAnsi="Times New Roman" w:cs="Times New Roman"/>
          <w:bCs w:val="0"/>
          <w:kern w:val="0"/>
        </w:rPr>
        <w:t>Areas of Concern</w:t>
      </w:r>
      <w:bookmarkEnd w:id="18"/>
    </w:p>
    <w:p w:rsidR="00875AF9" w:rsidRPr="00875AF9" w:rsidRDefault="00875AF9" w:rsidP="00875AF9">
      <w:pPr>
        <w:rPr>
          <w:sz w:val="20"/>
          <w:szCs w:val="20"/>
        </w:rPr>
      </w:pPr>
    </w:p>
    <w:p w:rsidR="00875AF9" w:rsidRDefault="00875AF9" w:rsidP="00875AF9">
      <w:pPr>
        <w:jc w:val="both"/>
      </w:pPr>
      <w:r w:rsidRPr="00875AF9">
        <w:t xml:space="preserve">Annually, the </w:t>
      </w:r>
      <w:r w:rsidR="00EA6202">
        <w:t>C</w:t>
      </w:r>
      <w:r w:rsidRPr="00875AF9">
        <w:t xml:space="preserve">ompany will identify five areas of greatest concern. Usually these are considered underperforming circuits, for which the </w:t>
      </w:r>
      <w:r w:rsidR="00EA6202">
        <w:t>C</w:t>
      </w:r>
      <w:r w:rsidRPr="00875AF9">
        <w:t>ompany has an average improvement target of 20%, to be achieved within five years of circuit selection. The target score is calculated summing the year’s circuit performance indicators (</w:t>
      </w:r>
      <w:smartTag w:uri="urn:schemas-microsoft-com:office:smarttags" w:element="stockticker">
        <w:r w:rsidRPr="00875AF9">
          <w:t>CPI</w:t>
        </w:r>
      </w:smartTag>
      <w:r w:rsidRPr="00875AF9">
        <w:t xml:space="preserve">) and multiplying by 80%. On an annual basis these results are evaluated (in Section 5).  </w:t>
      </w:r>
    </w:p>
    <w:p w:rsidR="00875AF9" w:rsidRPr="00875AF9" w:rsidRDefault="00875AF9" w:rsidP="00875AF9">
      <w:pPr>
        <w:jc w:val="both"/>
        <w:rPr>
          <w:sz w:val="20"/>
          <w:szCs w:val="20"/>
        </w:rPr>
      </w:pPr>
    </w:p>
    <w:p w:rsidR="00875AF9" w:rsidRDefault="00875AF9" w:rsidP="00875AF9">
      <w:r>
        <w:t>F</w:t>
      </w:r>
      <w:r w:rsidRPr="00875AF9">
        <w:t xml:space="preserve">or the areas identified, the </w:t>
      </w:r>
      <w:r w:rsidR="00EA6202">
        <w:t>C</w:t>
      </w:r>
      <w:r w:rsidRPr="00875AF9">
        <w:t>ompany will:</w:t>
      </w:r>
    </w:p>
    <w:p w:rsidR="00875AF9" w:rsidRPr="00875AF9" w:rsidRDefault="00875AF9" w:rsidP="00875AF9">
      <w:pPr>
        <w:rPr>
          <w:sz w:val="16"/>
          <w:szCs w:val="16"/>
        </w:rPr>
      </w:pPr>
    </w:p>
    <w:p w:rsidR="0048455A" w:rsidRDefault="00875AF9" w:rsidP="0048455A">
      <w:pPr>
        <w:numPr>
          <w:ilvl w:val="0"/>
          <w:numId w:val="12"/>
        </w:numPr>
        <w:ind w:firstLine="0"/>
      </w:pPr>
      <w:r w:rsidRPr="00875AF9">
        <w:t>specifically identify the circuit and its network topology (generally graphically depicted),</w:t>
      </w:r>
    </w:p>
    <w:p w:rsidR="0048455A" w:rsidRDefault="00875AF9" w:rsidP="0048455A">
      <w:pPr>
        <w:numPr>
          <w:ilvl w:val="0"/>
          <w:numId w:val="12"/>
        </w:numPr>
        <w:ind w:firstLine="0"/>
      </w:pPr>
      <w:r w:rsidRPr="00875AF9">
        <w:t>develop an analysis of the reliability issues the area has faced,</w:t>
      </w:r>
    </w:p>
    <w:p w:rsidR="0048455A" w:rsidRDefault="00875AF9" w:rsidP="0048455A">
      <w:pPr>
        <w:numPr>
          <w:ilvl w:val="0"/>
          <w:numId w:val="12"/>
        </w:numPr>
        <w:ind w:firstLine="0"/>
      </w:pPr>
      <w:r w:rsidRPr="00875AF9">
        <w:t>identify the root cause of the outage events experienced,</w:t>
      </w:r>
    </w:p>
    <w:p w:rsidR="0048455A" w:rsidRDefault="00875AF9" w:rsidP="0048455A">
      <w:pPr>
        <w:numPr>
          <w:ilvl w:val="0"/>
          <w:numId w:val="12"/>
        </w:numPr>
        <w:ind w:firstLine="0"/>
      </w:pPr>
      <w:r w:rsidRPr="00875AF9">
        <w:t>detail the actions intended to mitigate any reliability issues,</w:t>
      </w:r>
    </w:p>
    <w:p w:rsidR="0048455A" w:rsidRDefault="00875AF9" w:rsidP="0048455A">
      <w:pPr>
        <w:numPr>
          <w:ilvl w:val="0"/>
          <w:numId w:val="12"/>
        </w:numPr>
        <w:ind w:firstLine="0"/>
      </w:pPr>
      <w:r w:rsidRPr="00875AF9">
        <w:t>specify the status of the work being performed, and</w:t>
      </w:r>
    </w:p>
    <w:p w:rsidR="001B505B" w:rsidRPr="000B1419" w:rsidRDefault="00875AF9" w:rsidP="001B505B">
      <w:pPr>
        <w:numPr>
          <w:ilvl w:val="0"/>
          <w:numId w:val="12"/>
        </w:numPr>
        <w:ind w:firstLine="0"/>
        <w:rPr>
          <w:sz w:val="20"/>
          <w:szCs w:val="20"/>
        </w:rPr>
      </w:pPr>
      <w:proofErr w:type="gramStart"/>
      <w:r w:rsidRPr="00875AF9">
        <w:t>target</w:t>
      </w:r>
      <w:proofErr w:type="gramEnd"/>
      <w:r w:rsidRPr="00875AF9">
        <w:t xml:space="preserve"> the completion date for the work being outlined.</w:t>
      </w:r>
    </w:p>
    <w:p w:rsidR="001B505B" w:rsidRDefault="001B505B" w:rsidP="001B505B">
      <w:pPr>
        <w:rPr>
          <w:sz w:val="20"/>
          <w:szCs w:val="20"/>
        </w:rPr>
      </w:pPr>
    </w:p>
    <w:p w:rsidR="00875AF9" w:rsidRPr="00875AF9" w:rsidRDefault="00875AF9" w:rsidP="001B505B">
      <w:pPr>
        <w:rPr>
          <w:sz w:val="20"/>
          <w:szCs w:val="20"/>
        </w:rPr>
      </w:pPr>
    </w:p>
    <w:p w:rsidR="00875AF9" w:rsidRPr="001B505B" w:rsidRDefault="00875AF9" w:rsidP="007951FC">
      <w:pPr>
        <w:pStyle w:val="Heading1"/>
        <w:numPr>
          <w:ilvl w:val="0"/>
          <w:numId w:val="21"/>
        </w:numPr>
        <w:spacing w:before="0" w:after="0"/>
        <w:rPr>
          <w:rFonts w:ascii="Times New Roman" w:hAnsi="Times New Roman" w:cs="Times New Roman"/>
        </w:rPr>
      </w:pPr>
      <w:bookmarkStart w:id="20" w:name="_Toc288411637"/>
      <w:bookmarkEnd w:id="19"/>
      <w:r w:rsidRPr="001B505B">
        <w:rPr>
          <w:rFonts w:ascii="Times New Roman" w:hAnsi="Times New Roman" w:cs="Times New Roman"/>
        </w:rPr>
        <w:t>Underperforming Circuit Reliability</w:t>
      </w:r>
      <w:bookmarkEnd w:id="20"/>
    </w:p>
    <w:p w:rsidR="00875AF9" w:rsidRPr="00875AF9" w:rsidRDefault="00875AF9" w:rsidP="00875AF9">
      <w:pPr>
        <w:rPr>
          <w:sz w:val="20"/>
          <w:szCs w:val="20"/>
        </w:rPr>
      </w:pPr>
    </w:p>
    <w:p w:rsidR="007D3572" w:rsidRDefault="00875AF9" w:rsidP="00875AF9">
      <w:pPr>
        <w:jc w:val="both"/>
      </w:pPr>
      <w:r w:rsidRPr="00875AF9">
        <w:t xml:space="preserve">The following information will be provided for each year’s areas of greatest concern, until the circuits selected </w:t>
      </w:r>
      <w:r w:rsidR="000745B3">
        <w:t>for</w:t>
      </w:r>
      <w:r w:rsidR="000745B3" w:rsidRPr="00875AF9">
        <w:t xml:space="preserve"> </w:t>
      </w:r>
      <w:r w:rsidRPr="00875AF9">
        <w:t>a given year have met the target improvement score. The program year, circuits chosen, circuit baseline score, program year target score and program year’s average results will be provided</w:t>
      </w:r>
      <w:r>
        <w:t xml:space="preserve"> for each year.</w:t>
      </w:r>
    </w:p>
    <w:p w:rsidR="00602C96" w:rsidRPr="001B505B" w:rsidRDefault="00B51A21" w:rsidP="007951FC">
      <w:pPr>
        <w:pStyle w:val="Heading1"/>
        <w:numPr>
          <w:ilvl w:val="0"/>
          <w:numId w:val="21"/>
        </w:numPr>
        <w:rPr>
          <w:rFonts w:ascii="Times New Roman" w:hAnsi="Times New Roman" w:cs="Times New Roman"/>
        </w:rPr>
      </w:pPr>
      <w:bookmarkStart w:id="21" w:name="_Toc288411638"/>
      <w:r w:rsidRPr="001B505B">
        <w:rPr>
          <w:rFonts w:ascii="Times New Roman" w:hAnsi="Times New Roman" w:cs="Times New Roman"/>
        </w:rPr>
        <w:t xml:space="preserve">Customer </w:t>
      </w:r>
      <w:r w:rsidR="00D47CAB" w:rsidRPr="001B505B">
        <w:rPr>
          <w:rFonts w:ascii="Times New Roman" w:hAnsi="Times New Roman" w:cs="Times New Roman"/>
        </w:rPr>
        <w:t xml:space="preserve">Communication Process and </w:t>
      </w:r>
      <w:r w:rsidRPr="001B505B">
        <w:rPr>
          <w:rFonts w:ascii="Times New Roman" w:hAnsi="Times New Roman" w:cs="Times New Roman"/>
        </w:rPr>
        <w:t>Complaints</w:t>
      </w:r>
      <w:bookmarkEnd w:id="21"/>
    </w:p>
    <w:p w:rsidR="00B51A21" w:rsidRDefault="00B51A21" w:rsidP="00875AF9">
      <w:pPr>
        <w:jc w:val="both"/>
      </w:pPr>
    </w:p>
    <w:p w:rsidR="005A5ADC" w:rsidRDefault="00D47CAB" w:rsidP="007C0DB9">
      <w:pPr>
        <w:jc w:val="both"/>
      </w:pPr>
      <w:r>
        <w:t xml:space="preserve">This section will </w:t>
      </w:r>
      <w:r w:rsidR="00B80A97">
        <w:t xml:space="preserve">provide information regarding the process by which </w:t>
      </w:r>
      <w:r w:rsidR="00C1370D">
        <w:t>customers</w:t>
      </w:r>
      <w:r>
        <w:t xml:space="preserve"> and the Company communicate r</w:t>
      </w:r>
      <w:r w:rsidR="00B80A97">
        <w:t xml:space="preserve">egarding reliability and power quality. </w:t>
      </w:r>
      <w:r>
        <w:t xml:space="preserve">Additionally, </w:t>
      </w:r>
      <w:r w:rsidR="00B80A97">
        <w:t xml:space="preserve">the Company will report the total number of customer complaints about reliability and power quality that have been made during the reporting period. The complaint detail will distinguish between complaints about sustained interruptions and power quality. The report will also identify if there were any complaints made about major events for the reporting period. </w:t>
      </w:r>
    </w:p>
    <w:p w:rsidR="00B80A97" w:rsidRDefault="00B80A97" w:rsidP="00B80A97">
      <w:pPr>
        <w:ind w:left="360"/>
        <w:jc w:val="both"/>
      </w:pPr>
    </w:p>
    <w:p w:rsidR="00EB22A1" w:rsidRPr="001B505B" w:rsidRDefault="007D3572" w:rsidP="007951FC">
      <w:pPr>
        <w:pStyle w:val="Heading1"/>
        <w:numPr>
          <w:ilvl w:val="0"/>
          <w:numId w:val="21"/>
        </w:numPr>
        <w:spacing w:before="0" w:after="0"/>
        <w:rPr>
          <w:rFonts w:ascii="Times New Roman" w:hAnsi="Times New Roman" w:cs="Times New Roman"/>
        </w:rPr>
      </w:pPr>
      <w:bookmarkStart w:id="22" w:name="_Toc288411639"/>
      <w:r w:rsidRPr="001B505B">
        <w:rPr>
          <w:rFonts w:ascii="Times New Roman" w:hAnsi="Times New Roman" w:cs="Times New Roman"/>
        </w:rPr>
        <w:t>Reporting Period</w:t>
      </w:r>
      <w:bookmarkEnd w:id="22"/>
    </w:p>
    <w:p w:rsidR="00EB22A1" w:rsidRDefault="00EB22A1" w:rsidP="00EB22A1"/>
    <w:p w:rsidR="00EB22A1" w:rsidRDefault="00EB22A1" w:rsidP="00EB22A1">
      <w:r>
        <w:t>Pacifi</w:t>
      </w:r>
      <w:r w:rsidR="00EA6202">
        <w:t>c Power</w:t>
      </w:r>
      <w:r>
        <w:t xml:space="preserve"> will file its annual electric reliability monitoring and reporting plan on May 1 of each year</w:t>
      </w:r>
      <w:r w:rsidR="007D3572">
        <w:t xml:space="preserve"> for the prior calendar year</w:t>
      </w:r>
      <w:r>
        <w:t xml:space="preserve">. </w:t>
      </w:r>
    </w:p>
    <w:p w:rsidR="00206BBD" w:rsidRDefault="00206BBD" w:rsidP="00EB22A1"/>
    <w:p w:rsidR="00206BBD" w:rsidRDefault="00206BBD" w:rsidP="00206BBD">
      <w:pPr>
        <w:ind w:left="360"/>
        <w:jc w:val="both"/>
      </w:pPr>
    </w:p>
    <w:p w:rsidR="00206BBD" w:rsidRPr="001B505B" w:rsidRDefault="00206BBD" w:rsidP="00206BBD">
      <w:pPr>
        <w:pStyle w:val="Heading1"/>
        <w:numPr>
          <w:ilvl w:val="0"/>
          <w:numId w:val="21"/>
        </w:numPr>
        <w:spacing w:before="0" w:after="0"/>
        <w:rPr>
          <w:rFonts w:ascii="Times New Roman" w:hAnsi="Times New Roman" w:cs="Times New Roman"/>
        </w:rPr>
      </w:pPr>
      <w:bookmarkStart w:id="23" w:name="_Toc288411640"/>
      <w:r>
        <w:rPr>
          <w:rFonts w:ascii="Times New Roman" w:hAnsi="Times New Roman" w:cs="Times New Roman"/>
        </w:rPr>
        <w:t>Appendix A:  Baselines and History Through 2010</w:t>
      </w:r>
      <w:bookmarkEnd w:id="23"/>
    </w:p>
    <w:p w:rsidR="00206BBD" w:rsidRDefault="00206BBD" w:rsidP="00EB22A1"/>
    <w:p w:rsidR="007E40DF" w:rsidRPr="00EB22A1" w:rsidRDefault="00F903DD" w:rsidP="00EB22A1">
      <w:r>
        <w:rPr>
          <w:noProof/>
        </w:rPr>
        <w:drawing>
          <wp:inline distT="0" distB="0" distL="0" distR="0">
            <wp:extent cx="5943600" cy="7023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7023100"/>
                    </a:xfrm>
                    <a:prstGeom prst="rect">
                      <a:avLst/>
                    </a:prstGeom>
                    <a:noFill/>
                    <a:ln w="9525">
                      <a:noFill/>
                      <a:miter lim="800000"/>
                      <a:headEnd/>
                      <a:tailEnd/>
                    </a:ln>
                  </pic:spPr>
                </pic:pic>
              </a:graphicData>
            </a:graphic>
          </wp:inline>
        </w:drawing>
      </w:r>
    </w:p>
    <w:sectPr w:rsidR="007E40DF" w:rsidRPr="00EB22A1" w:rsidSect="006626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AD" w:rsidRDefault="009238AD">
      <w:r>
        <w:separator/>
      </w:r>
    </w:p>
  </w:endnote>
  <w:endnote w:type="continuationSeparator" w:id="0">
    <w:p w:rsidR="009238AD" w:rsidRDefault="0092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6F" w:rsidRDefault="00A028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E1" w:rsidRDefault="00D527E1" w:rsidP="00EB22A1">
    <w:pPr>
      <w:pStyle w:val="Footer"/>
      <w:jc w:val="both"/>
    </w:pPr>
    <w:r>
      <w:tab/>
      <w:t xml:space="preserve">    </w:t>
    </w:r>
    <w:smartTag w:uri="urn:schemas-microsoft-com:office:smarttags" w:element="State">
      <w:smartTag w:uri="urn:schemas-microsoft-com:office:smarttags" w:element="place">
        <w:r>
          <w:t>Washington</w:t>
        </w:r>
      </w:smartTag>
    </w:smartTag>
    <w:r>
      <w:t xml:space="preserve"> Electric Reliability Annual Monitoring and Reporting Plan</w:t>
    </w:r>
    <w:r>
      <w:tab/>
      <w:t xml:space="preserve">     Page </w:t>
    </w:r>
    <w:fldSimple w:instr=" PAGE ">
      <w:r w:rsidR="00A0286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6F" w:rsidRDefault="00A02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AD" w:rsidRDefault="009238AD">
      <w:r>
        <w:separator/>
      </w:r>
    </w:p>
  </w:footnote>
  <w:footnote w:type="continuationSeparator" w:id="0">
    <w:p w:rsidR="009238AD" w:rsidRDefault="009238AD">
      <w:r>
        <w:continuationSeparator/>
      </w:r>
    </w:p>
  </w:footnote>
  <w:footnote w:id="1">
    <w:p w:rsidR="00D527E1" w:rsidRPr="00EB22A1" w:rsidRDefault="00D527E1">
      <w:pPr>
        <w:pStyle w:val="FootnoteText"/>
        <w:rPr>
          <w:lang w:val="en-US"/>
        </w:rPr>
      </w:pPr>
      <w:r>
        <w:rPr>
          <w:rStyle w:val="FootnoteReference"/>
        </w:rPr>
        <w:footnoteRef/>
      </w:r>
      <w:r>
        <w:t xml:space="preserve"> Baselines were established in September, 2003 in Advice Filing 03-009</w:t>
      </w:r>
      <w:r w:rsidR="00FE41A8">
        <w:t xml:space="preserve"> and history through 2010 is attached in Appendix A to this document</w:t>
      </w:r>
      <w:r>
        <w:t>.</w:t>
      </w:r>
    </w:p>
  </w:footnote>
  <w:footnote w:id="2">
    <w:p w:rsidR="00D527E1" w:rsidRDefault="00D527E1" w:rsidP="00B007E3">
      <w:pPr>
        <w:pStyle w:val="FootnoteText"/>
      </w:pPr>
      <w:r w:rsidRPr="001B505B">
        <w:rPr>
          <w:rStyle w:val="FootnoteReference"/>
        </w:rPr>
        <w:footnoteRef/>
      </w:r>
      <w:r>
        <w:t xml:space="preserve"> </w:t>
      </w:r>
      <w:r w:rsidRPr="005A5ADC">
        <w:t xml:space="preserve">P1366-2003 was adopted by the </w:t>
      </w:r>
      <w:smartTag w:uri="urn:schemas-microsoft-com:office:smarttags" w:element="place">
        <w:smartTag w:uri="urn:schemas-microsoft-com:office:smarttags" w:element="PlaceType">
          <w:r w:rsidRPr="005A5ADC">
            <w:t>Institute</w:t>
          </w:r>
        </w:smartTag>
        <w:r w:rsidRPr="005A5ADC">
          <w:t xml:space="preserve"> of </w:t>
        </w:r>
        <w:smartTag w:uri="urn:schemas-microsoft-com:office:smarttags" w:element="PlaceName">
          <w:r w:rsidRPr="005A5ADC">
            <w:t>Electrical</w:t>
          </w:r>
        </w:smartTag>
      </w:smartTag>
      <w:r w:rsidRPr="005A5ADC">
        <w:t xml:space="preserve"> and Electronics Engineers (IEEE) Commissioners on</w:t>
      </w:r>
    </w:p>
    <w:p w:rsidR="00D527E1" w:rsidRPr="005A5ADC" w:rsidRDefault="00D527E1" w:rsidP="001B505B">
      <w:pPr>
        <w:pStyle w:val="FootnoteText"/>
        <w:tabs>
          <w:tab w:val="left" w:pos="180"/>
        </w:tabs>
      </w:pPr>
      <w:r>
        <w:t xml:space="preserve">  </w:t>
      </w:r>
      <w:smartTag w:uri="urn:schemas-microsoft-com:office:smarttags" w:element="date">
        <w:smartTagPr>
          <w:attr w:name="Year" w:val="2003"/>
          <w:attr w:name="Day" w:val="23"/>
          <w:attr w:name="Month" w:val="12"/>
        </w:smartTagPr>
        <w:r w:rsidRPr="005A5ADC">
          <w:t>December 23, 2003</w:t>
        </w:r>
      </w:smartTag>
      <w:r>
        <w:t xml:space="preserve">, </w:t>
      </w:r>
      <w:proofErr w:type="gramStart"/>
      <w:r>
        <w:t>which provides the basis for the definitions of the terms used in this Report</w:t>
      </w:r>
      <w:r w:rsidRPr="005A5ADC">
        <w:t>.</w:t>
      </w:r>
      <w:proofErr w:type="gramEnd"/>
      <w:r w:rsidRPr="005A5ADC">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6F" w:rsidRDefault="00A028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6F" w:rsidRDefault="00A028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6F" w:rsidRDefault="00A028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2F89"/>
    <w:multiLevelType w:val="hybridMultilevel"/>
    <w:tmpl w:val="BA4EE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2A51E6"/>
    <w:multiLevelType w:val="multilevel"/>
    <w:tmpl w:val="7BB2F0E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1121C3C"/>
    <w:multiLevelType w:val="hybridMultilevel"/>
    <w:tmpl w:val="D2BAC57A"/>
    <w:lvl w:ilvl="0" w:tplc="E86E60C4">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A002EFA"/>
    <w:multiLevelType w:val="multilevel"/>
    <w:tmpl w:val="DE52A85E"/>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570F2B"/>
    <w:multiLevelType w:val="multilevel"/>
    <w:tmpl w:val="F8E2BFC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B21C40"/>
    <w:multiLevelType w:val="hybridMultilevel"/>
    <w:tmpl w:val="4ADE9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805235"/>
    <w:multiLevelType w:val="hybridMultilevel"/>
    <w:tmpl w:val="272C11DC"/>
    <w:lvl w:ilvl="0" w:tplc="D898BC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nsid w:val="467A7D1F"/>
    <w:multiLevelType w:val="multilevel"/>
    <w:tmpl w:val="336AF1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1247855"/>
    <w:multiLevelType w:val="multilevel"/>
    <w:tmpl w:val="43883E26"/>
    <w:lvl w:ilvl="0">
      <w:start w:val="2"/>
      <w:numFmt w:val="decimal"/>
      <w:lvlText w:val="%1.0"/>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AF7532F"/>
    <w:multiLevelType w:val="hybridMultilevel"/>
    <w:tmpl w:val="864CA094"/>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0E020E"/>
    <w:multiLevelType w:val="hybridMultilevel"/>
    <w:tmpl w:val="5038D2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3257E5"/>
    <w:multiLevelType w:val="multilevel"/>
    <w:tmpl w:val="859E9A88"/>
    <w:lvl w:ilvl="0">
      <w:start w:val="1"/>
      <w:numFmt w:val="decimal"/>
      <w:pStyle w:val="Heading1"/>
      <w:lvlText w:val="%1"/>
      <w:lvlJc w:val="left"/>
      <w:pPr>
        <w:tabs>
          <w:tab w:val="num" w:pos="522"/>
        </w:tabs>
        <w:ind w:left="522" w:hanging="432"/>
      </w:pPr>
    </w:lvl>
    <w:lvl w:ilvl="1">
      <w:start w:val="1"/>
      <w:numFmt w:val="decimal"/>
      <w:pStyle w:val="Heading2"/>
      <w:lvlText w:val="%1.%2"/>
      <w:lvlJc w:val="left"/>
      <w:pPr>
        <w:tabs>
          <w:tab w:val="num" w:pos="846"/>
        </w:tabs>
        <w:ind w:left="846" w:hanging="576"/>
      </w:pPr>
      <w:rPr>
        <w:i w:val="0"/>
      </w:rPr>
    </w:lvl>
    <w:lvl w:ilvl="2">
      <w:start w:val="1"/>
      <w:numFmt w:val="decimal"/>
      <w:pStyle w:val="Heading3"/>
      <w:lvlText w:val="%1.%2.%3"/>
      <w:lvlJc w:val="left"/>
      <w:pPr>
        <w:tabs>
          <w:tab w:val="num" w:pos="810"/>
        </w:tabs>
        <w:ind w:left="810" w:hanging="720"/>
      </w:p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98"/>
        </w:tabs>
        <w:ind w:left="1098" w:hanging="1008"/>
      </w:pPr>
    </w:lvl>
    <w:lvl w:ilvl="5">
      <w:start w:val="1"/>
      <w:numFmt w:val="decimal"/>
      <w:pStyle w:val="Heading6"/>
      <w:lvlText w:val="%1.%2.%3.%4.%5.%6"/>
      <w:lvlJc w:val="left"/>
      <w:pPr>
        <w:tabs>
          <w:tab w:val="num" w:pos="1242"/>
        </w:tabs>
        <w:ind w:left="1242" w:hanging="1152"/>
      </w:pPr>
    </w:lvl>
    <w:lvl w:ilvl="6">
      <w:start w:val="1"/>
      <w:numFmt w:val="decimal"/>
      <w:pStyle w:val="Heading7"/>
      <w:lvlText w:val="%1.%2.%3.%4.%5.%6.%7"/>
      <w:lvlJc w:val="left"/>
      <w:pPr>
        <w:tabs>
          <w:tab w:val="num" w:pos="1386"/>
        </w:tabs>
        <w:ind w:left="1386" w:hanging="1296"/>
      </w:pPr>
    </w:lvl>
    <w:lvl w:ilvl="7">
      <w:start w:val="1"/>
      <w:numFmt w:val="decimal"/>
      <w:pStyle w:val="Heading8"/>
      <w:lvlText w:val="%1.%2.%3.%4.%5.%6.%7.%8"/>
      <w:lvlJc w:val="left"/>
      <w:pPr>
        <w:tabs>
          <w:tab w:val="num" w:pos="1530"/>
        </w:tabs>
        <w:ind w:left="1530" w:hanging="1440"/>
      </w:pPr>
    </w:lvl>
    <w:lvl w:ilvl="8">
      <w:start w:val="1"/>
      <w:numFmt w:val="decimal"/>
      <w:pStyle w:val="Heading9"/>
      <w:lvlText w:val="%1.%2.%3.%4.%5.%6.%7.%8.%9"/>
      <w:lvlJc w:val="left"/>
      <w:pPr>
        <w:tabs>
          <w:tab w:val="num" w:pos="1674"/>
        </w:tabs>
        <w:ind w:left="1674" w:hanging="1584"/>
      </w:pPr>
    </w:lvl>
  </w:abstractNum>
  <w:abstractNum w:abstractNumId="12">
    <w:nsid w:val="7D9A407C"/>
    <w:multiLevelType w:val="multilevel"/>
    <w:tmpl w:val="4D8ED23E"/>
    <w:lvl w:ilvl="0">
      <w:start w:val="1"/>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6"/>
  </w:num>
  <w:num w:numId="3">
    <w:abstractNumId w:val="7"/>
  </w:num>
  <w:num w:numId="4">
    <w:abstractNumId w:val="4"/>
  </w:num>
  <w:num w:numId="5">
    <w:abstractNumId w:val="9"/>
  </w:num>
  <w:num w:numId="6">
    <w:abstractNumId w:val="2"/>
  </w:num>
  <w:num w:numId="7">
    <w:abstractNumId w:val="5"/>
  </w:num>
  <w:num w:numId="8">
    <w:abstractNumId w:val="12"/>
  </w:num>
  <w:num w:numId="9">
    <w:abstractNumId w:val="3"/>
  </w:num>
  <w:num w:numId="10">
    <w:abstractNumId w:val="10"/>
  </w:num>
  <w:num w:numId="11">
    <w:abstractNumId w:val="1"/>
  </w:num>
  <w:num w:numId="12">
    <w:abstractNumId w:val="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662675"/>
    <w:rsid w:val="000745B3"/>
    <w:rsid w:val="000A00C9"/>
    <w:rsid w:val="000B1419"/>
    <w:rsid w:val="000B7E50"/>
    <w:rsid w:val="000D592F"/>
    <w:rsid w:val="000F5BDB"/>
    <w:rsid w:val="000F6DEE"/>
    <w:rsid w:val="001016DD"/>
    <w:rsid w:val="0010507B"/>
    <w:rsid w:val="001056FE"/>
    <w:rsid w:val="00112E37"/>
    <w:rsid w:val="001237A1"/>
    <w:rsid w:val="00157DE1"/>
    <w:rsid w:val="001948FF"/>
    <w:rsid w:val="001A0592"/>
    <w:rsid w:val="001B3444"/>
    <w:rsid w:val="001B505B"/>
    <w:rsid w:val="001B6EB8"/>
    <w:rsid w:val="001E45C0"/>
    <w:rsid w:val="00206BBD"/>
    <w:rsid w:val="002356A8"/>
    <w:rsid w:val="0023642E"/>
    <w:rsid w:val="00281B95"/>
    <w:rsid w:val="002C0F9E"/>
    <w:rsid w:val="002F67B0"/>
    <w:rsid w:val="003013DD"/>
    <w:rsid w:val="003177D8"/>
    <w:rsid w:val="00320CE5"/>
    <w:rsid w:val="00340925"/>
    <w:rsid w:val="00351E33"/>
    <w:rsid w:val="00374D35"/>
    <w:rsid w:val="003840A5"/>
    <w:rsid w:val="003850C2"/>
    <w:rsid w:val="00396923"/>
    <w:rsid w:val="003D569E"/>
    <w:rsid w:val="00431BB1"/>
    <w:rsid w:val="0048455A"/>
    <w:rsid w:val="004874C6"/>
    <w:rsid w:val="00514E38"/>
    <w:rsid w:val="00547B8C"/>
    <w:rsid w:val="00557595"/>
    <w:rsid w:val="005A5ADC"/>
    <w:rsid w:val="005C1D1A"/>
    <w:rsid w:val="005F0763"/>
    <w:rsid w:val="00602C96"/>
    <w:rsid w:val="00651E19"/>
    <w:rsid w:val="00662675"/>
    <w:rsid w:val="006D0B8E"/>
    <w:rsid w:val="006F726B"/>
    <w:rsid w:val="007374D3"/>
    <w:rsid w:val="00767019"/>
    <w:rsid w:val="00787DF1"/>
    <w:rsid w:val="007951FC"/>
    <w:rsid w:val="007C0DB9"/>
    <w:rsid w:val="007D1C66"/>
    <w:rsid w:val="007D3572"/>
    <w:rsid w:val="007E1F5A"/>
    <w:rsid w:val="007E40DF"/>
    <w:rsid w:val="007E4D13"/>
    <w:rsid w:val="00827F1F"/>
    <w:rsid w:val="008301B6"/>
    <w:rsid w:val="008578C7"/>
    <w:rsid w:val="00875AF9"/>
    <w:rsid w:val="008C0E81"/>
    <w:rsid w:val="008E4706"/>
    <w:rsid w:val="009238AD"/>
    <w:rsid w:val="00945412"/>
    <w:rsid w:val="00947FFB"/>
    <w:rsid w:val="009768A1"/>
    <w:rsid w:val="009871B1"/>
    <w:rsid w:val="00A0286F"/>
    <w:rsid w:val="00A1653F"/>
    <w:rsid w:val="00A54A8B"/>
    <w:rsid w:val="00A66021"/>
    <w:rsid w:val="00A80F48"/>
    <w:rsid w:val="00AC0535"/>
    <w:rsid w:val="00AF280F"/>
    <w:rsid w:val="00B007E3"/>
    <w:rsid w:val="00B025DD"/>
    <w:rsid w:val="00B36FC0"/>
    <w:rsid w:val="00B51A21"/>
    <w:rsid w:val="00B80A97"/>
    <w:rsid w:val="00B84BE2"/>
    <w:rsid w:val="00BE0F62"/>
    <w:rsid w:val="00BE5F97"/>
    <w:rsid w:val="00BF3DAC"/>
    <w:rsid w:val="00C1370D"/>
    <w:rsid w:val="00C86F7B"/>
    <w:rsid w:val="00D179CA"/>
    <w:rsid w:val="00D37C3E"/>
    <w:rsid w:val="00D47CAB"/>
    <w:rsid w:val="00D527E1"/>
    <w:rsid w:val="00D8251C"/>
    <w:rsid w:val="00D855D7"/>
    <w:rsid w:val="00E152F4"/>
    <w:rsid w:val="00E73319"/>
    <w:rsid w:val="00EA6202"/>
    <w:rsid w:val="00EA707C"/>
    <w:rsid w:val="00EB22A1"/>
    <w:rsid w:val="00ED30D2"/>
    <w:rsid w:val="00EF1388"/>
    <w:rsid w:val="00F407F4"/>
    <w:rsid w:val="00F5199D"/>
    <w:rsid w:val="00F903DD"/>
    <w:rsid w:val="00FE41A8"/>
    <w:rsid w:val="00FE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5A"/>
    <w:rPr>
      <w:sz w:val="24"/>
      <w:szCs w:val="24"/>
    </w:rPr>
  </w:style>
  <w:style w:type="paragraph" w:styleId="Heading1">
    <w:name w:val="heading 1"/>
    <w:basedOn w:val="Normal"/>
    <w:next w:val="Normal"/>
    <w:qFormat/>
    <w:rsid w:val="0066267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267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6267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62675"/>
    <w:pPr>
      <w:keepNext/>
      <w:numPr>
        <w:ilvl w:val="3"/>
        <w:numId w:val="1"/>
      </w:numPr>
      <w:spacing w:before="240" w:after="60"/>
      <w:outlineLvl w:val="3"/>
    </w:pPr>
    <w:rPr>
      <w:b/>
      <w:bCs/>
      <w:sz w:val="28"/>
      <w:szCs w:val="28"/>
    </w:rPr>
  </w:style>
  <w:style w:type="paragraph" w:styleId="Heading5">
    <w:name w:val="heading 5"/>
    <w:basedOn w:val="Normal"/>
    <w:next w:val="Normal"/>
    <w:qFormat/>
    <w:rsid w:val="00662675"/>
    <w:pPr>
      <w:numPr>
        <w:ilvl w:val="4"/>
        <w:numId w:val="1"/>
      </w:numPr>
      <w:spacing w:before="240" w:after="60"/>
      <w:outlineLvl w:val="4"/>
    </w:pPr>
    <w:rPr>
      <w:b/>
      <w:bCs/>
      <w:i/>
      <w:iCs/>
      <w:sz w:val="26"/>
      <w:szCs w:val="26"/>
    </w:rPr>
  </w:style>
  <w:style w:type="paragraph" w:styleId="Heading6">
    <w:name w:val="heading 6"/>
    <w:basedOn w:val="Normal"/>
    <w:next w:val="Normal"/>
    <w:qFormat/>
    <w:rsid w:val="00662675"/>
    <w:pPr>
      <w:numPr>
        <w:ilvl w:val="5"/>
        <w:numId w:val="1"/>
      </w:numPr>
      <w:spacing w:before="240" w:after="60"/>
      <w:outlineLvl w:val="5"/>
    </w:pPr>
    <w:rPr>
      <w:b/>
      <w:bCs/>
      <w:sz w:val="22"/>
      <w:szCs w:val="22"/>
    </w:rPr>
  </w:style>
  <w:style w:type="paragraph" w:styleId="Heading7">
    <w:name w:val="heading 7"/>
    <w:basedOn w:val="Normal"/>
    <w:next w:val="Normal"/>
    <w:qFormat/>
    <w:rsid w:val="00662675"/>
    <w:pPr>
      <w:numPr>
        <w:ilvl w:val="6"/>
        <w:numId w:val="1"/>
      </w:numPr>
      <w:spacing w:before="240" w:after="60"/>
      <w:outlineLvl w:val="6"/>
    </w:pPr>
  </w:style>
  <w:style w:type="paragraph" w:styleId="Heading8">
    <w:name w:val="heading 8"/>
    <w:basedOn w:val="Normal"/>
    <w:next w:val="Normal"/>
    <w:qFormat/>
    <w:rsid w:val="00662675"/>
    <w:pPr>
      <w:numPr>
        <w:ilvl w:val="7"/>
        <w:numId w:val="1"/>
      </w:numPr>
      <w:spacing w:before="240" w:after="60"/>
      <w:outlineLvl w:val="7"/>
    </w:pPr>
    <w:rPr>
      <w:i/>
      <w:iCs/>
    </w:rPr>
  </w:style>
  <w:style w:type="paragraph" w:styleId="Heading9">
    <w:name w:val="heading 9"/>
    <w:basedOn w:val="Normal"/>
    <w:next w:val="Normal"/>
    <w:qFormat/>
    <w:rsid w:val="0066267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675"/>
    <w:pPr>
      <w:tabs>
        <w:tab w:val="center" w:pos="4320"/>
        <w:tab w:val="right" w:pos="8640"/>
      </w:tabs>
    </w:pPr>
  </w:style>
  <w:style w:type="paragraph" w:styleId="Footer">
    <w:name w:val="footer"/>
    <w:basedOn w:val="Normal"/>
    <w:rsid w:val="00662675"/>
    <w:pPr>
      <w:tabs>
        <w:tab w:val="center" w:pos="4320"/>
        <w:tab w:val="right" w:pos="8640"/>
      </w:tabs>
    </w:pPr>
  </w:style>
  <w:style w:type="paragraph" w:styleId="TOC1">
    <w:name w:val="toc 1"/>
    <w:basedOn w:val="Normal"/>
    <w:next w:val="Normal"/>
    <w:autoRedefine/>
    <w:uiPriority w:val="39"/>
    <w:rsid w:val="00662675"/>
    <w:pPr>
      <w:tabs>
        <w:tab w:val="left" w:pos="403"/>
        <w:tab w:val="right" w:leader="dot" w:pos="10164"/>
      </w:tabs>
      <w:spacing w:before="120" w:line="360" w:lineRule="auto"/>
      <w:outlineLvl w:val="2"/>
    </w:pPr>
    <w:rPr>
      <w:sz w:val="20"/>
      <w:szCs w:val="20"/>
    </w:rPr>
  </w:style>
  <w:style w:type="paragraph" w:styleId="TOC2">
    <w:name w:val="toc 2"/>
    <w:basedOn w:val="Normal"/>
    <w:next w:val="Normal"/>
    <w:autoRedefine/>
    <w:uiPriority w:val="39"/>
    <w:rsid w:val="00662675"/>
    <w:pPr>
      <w:tabs>
        <w:tab w:val="left" w:pos="720"/>
        <w:tab w:val="right" w:leader="dot" w:pos="10164"/>
      </w:tabs>
      <w:spacing w:before="120"/>
      <w:ind w:left="202"/>
      <w:outlineLvl w:val="0"/>
    </w:pPr>
    <w:rPr>
      <w:sz w:val="20"/>
      <w:szCs w:val="20"/>
    </w:rPr>
  </w:style>
  <w:style w:type="character" w:styleId="Hyperlink">
    <w:name w:val="Hyperlink"/>
    <w:basedOn w:val="DefaultParagraphFont"/>
    <w:uiPriority w:val="99"/>
    <w:rsid w:val="00662675"/>
    <w:rPr>
      <w:color w:val="0000FF"/>
      <w:u w:val="single"/>
    </w:rPr>
  </w:style>
  <w:style w:type="paragraph" w:styleId="BodyTextIndent">
    <w:name w:val="Body Text Indent"/>
    <w:basedOn w:val="Normal"/>
    <w:rsid w:val="00B007E3"/>
    <w:pPr>
      <w:spacing w:before="120" w:line="360" w:lineRule="auto"/>
      <w:jc w:val="both"/>
    </w:pPr>
    <w:rPr>
      <w:sz w:val="20"/>
      <w:szCs w:val="20"/>
    </w:rPr>
  </w:style>
  <w:style w:type="character" w:styleId="FootnoteReference">
    <w:name w:val="footnote reference"/>
    <w:basedOn w:val="DefaultParagraphFont"/>
    <w:semiHidden/>
    <w:rsid w:val="00B007E3"/>
    <w:rPr>
      <w:vertAlign w:val="superscript"/>
    </w:rPr>
  </w:style>
  <w:style w:type="paragraph" w:styleId="FootnoteText">
    <w:name w:val="footnote text"/>
    <w:basedOn w:val="Normal"/>
    <w:semiHidden/>
    <w:rsid w:val="00B007E3"/>
    <w:rPr>
      <w:sz w:val="20"/>
      <w:szCs w:val="20"/>
      <w:lang w:val="en-GB"/>
    </w:rPr>
  </w:style>
  <w:style w:type="character" w:customStyle="1" w:styleId="Heading2Char">
    <w:name w:val="Heading 2 Char"/>
    <w:basedOn w:val="DefaultParagraphFont"/>
    <w:link w:val="Heading2"/>
    <w:rsid w:val="003177D8"/>
    <w:rPr>
      <w:rFonts w:ascii="Arial" w:hAnsi="Arial" w:cs="Arial"/>
      <w:b/>
      <w:bCs/>
      <w:i/>
      <w:iCs/>
      <w:sz w:val="28"/>
      <w:szCs w:val="28"/>
    </w:rPr>
  </w:style>
  <w:style w:type="character" w:styleId="CommentReference">
    <w:name w:val="annotation reference"/>
    <w:basedOn w:val="DefaultParagraphFont"/>
    <w:semiHidden/>
    <w:rsid w:val="00EB22A1"/>
    <w:rPr>
      <w:sz w:val="16"/>
      <w:szCs w:val="16"/>
    </w:rPr>
  </w:style>
  <w:style w:type="paragraph" w:styleId="CommentText">
    <w:name w:val="annotation text"/>
    <w:basedOn w:val="Normal"/>
    <w:semiHidden/>
    <w:rsid w:val="00EB22A1"/>
    <w:rPr>
      <w:sz w:val="20"/>
      <w:szCs w:val="20"/>
    </w:rPr>
  </w:style>
  <w:style w:type="paragraph" w:styleId="CommentSubject">
    <w:name w:val="annotation subject"/>
    <w:basedOn w:val="CommentText"/>
    <w:next w:val="CommentText"/>
    <w:semiHidden/>
    <w:rsid w:val="00EB22A1"/>
    <w:rPr>
      <w:b/>
      <w:bCs/>
    </w:rPr>
  </w:style>
  <w:style w:type="paragraph" w:styleId="BalloonText">
    <w:name w:val="Balloon Text"/>
    <w:basedOn w:val="Normal"/>
    <w:semiHidden/>
    <w:rsid w:val="00EB22A1"/>
    <w:rPr>
      <w:rFonts w:ascii="Tahoma" w:hAnsi="Tahoma" w:cs="Tahoma"/>
      <w:sz w:val="16"/>
      <w:szCs w:val="16"/>
    </w:rPr>
  </w:style>
  <w:style w:type="paragraph" w:styleId="ListParagraph">
    <w:name w:val="List Paragraph"/>
    <w:basedOn w:val="Normal"/>
    <w:uiPriority w:val="34"/>
    <w:qFormat/>
    <w:rsid w:val="002C0F9E"/>
    <w:pPr>
      <w:ind w:left="720"/>
    </w:pPr>
  </w:style>
</w:styles>
</file>

<file path=word/webSettings.xml><?xml version="1.0" encoding="utf-8"?>
<w:webSettings xmlns:r="http://schemas.openxmlformats.org/officeDocument/2006/relationships" xmlns:w="http://schemas.openxmlformats.org/wordprocessingml/2006/main">
  <w:divs>
    <w:div w:id="1717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2011-04-08T07:00:00+00:00</OpenedDate>
    <Date1 xmlns="dc463f71-b30c-4ab2-9473-d307f9d35888">2011-04-08T07:00:00+00:00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535C0FFEF01846A1828229D1C60A1E" ma:contentTypeVersion="143" ma:contentTypeDescription="" ma:contentTypeScope="" ma:versionID="d99ab9a28fcf6c592ac72fd8bf1d87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AA4DD-FD83-4C82-94E1-C5D7C1F910AF}"/>
</file>

<file path=customXml/itemProps2.xml><?xml version="1.0" encoding="utf-8"?>
<ds:datastoreItem xmlns:ds="http://schemas.openxmlformats.org/officeDocument/2006/customXml" ds:itemID="{4FB86F89-3D41-44B6-AA43-062557E9BC7D}"/>
</file>

<file path=customXml/itemProps3.xml><?xml version="1.0" encoding="utf-8"?>
<ds:datastoreItem xmlns:ds="http://schemas.openxmlformats.org/officeDocument/2006/customXml" ds:itemID="{970F7C57-0E9F-419A-ADAD-5C58BB3A60EC}"/>
</file>

<file path=customXml/itemProps4.xml><?xml version="1.0" encoding="utf-8"?>
<ds:datastoreItem xmlns:ds="http://schemas.openxmlformats.org/officeDocument/2006/customXml" ds:itemID="{5757552F-CD5E-456E-A7E7-8BC17D6418BC}"/>
</file>

<file path=docProps/app.xml><?xml version="1.0" encoding="utf-8"?>
<Properties xmlns="http://schemas.openxmlformats.org/officeDocument/2006/extended-properties" xmlns:vt="http://schemas.openxmlformats.org/officeDocument/2006/docPropsVTypes">
  <Template>Normal.dotm</Template>
  <TotalTime>0</TotalTime>
  <Pages>10</Pages>
  <Words>2411</Words>
  <Characters>15405</Characters>
  <Application>Microsoft Office Word</Application>
  <DocSecurity>0</DocSecurity>
  <Lines>128</Lines>
  <Paragraphs>35</Paragraphs>
  <ScaleCrop>false</ScaleCrop>
  <Company/>
  <LinksUpToDate>false</LinksUpToDate>
  <CharactersWithSpaces>17781</CharactersWithSpaces>
  <SharedDoc>false</SharedDoc>
  <HLinks>
    <vt:vector size="72" baseType="variant">
      <vt:variant>
        <vt:i4>1966130</vt:i4>
      </vt:variant>
      <vt:variant>
        <vt:i4>71</vt:i4>
      </vt:variant>
      <vt:variant>
        <vt:i4>0</vt:i4>
      </vt:variant>
      <vt:variant>
        <vt:i4>5</vt:i4>
      </vt:variant>
      <vt:variant>
        <vt:lpwstr/>
      </vt:variant>
      <vt:variant>
        <vt:lpwstr>_Toc176832644</vt:lpwstr>
      </vt:variant>
      <vt:variant>
        <vt:i4>1966130</vt:i4>
      </vt:variant>
      <vt:variant>
        <vt:i4>65</vt:i4>
      </vt:variant>
      <vt:variant>
        <vt:i4>0</vt:i4>
      </vt:variant>
      <vt:variant>
        <vt:i4>5</vt:i4>
      </vt:variant>
      <vt:variant>
        <vt:lpwstr/>
      </vt:variant>
      <vt:variant>
        <vt:lpwstr>_Toc176832643</vt:lpwstr>
      </vt:variant>
      <vt:variant>
        <vt:i4>1966130</vt:i4>
      </vt:variant>
      <vt:variant>
        <vt:i4>59</vt:i4>
      </vt:variant>
      <vt:variant>
        <vt:i4>0</vt:i4>
      </vt:variant>
      <vt:variant>
        <vt:i4>5</vt:i4>
      </vt:variant>
      <vt:variant>
        <vt:lpwstr/>
      </vt:variant>
      <vt:variant>
        <vt:lpwstr>_Toc176832642</vt:lpwstr>
      </vt:variant>
      <vt:variant>
        <vt:i4>1966130</vt:i4>
      </vt:variant>
      <vt:variant>
        <vt:i4>53</vt:i4>
      </vt:variant>
      <vt:variant>
        <vt:i4>0</vt:i4>
      </vt:variant>
      <vt:variant>
        <vt:i4>5</vt:i4>
      </vt:variant>
      <vt:variant>
        <vt:lpwstr/>
      </vt:variant>
      <vt:variant>
        <vt:lpwstr>_Toc176832641</vt:lpwstr>
      </vt:variant>
      <vt:variant>
        <vt:i4>1966130</vt:i4>
      </vt:variant>
      <vt:variant>
        <vt:i4>47</vt:i4>
      </vt:variant>
      <vt:variant>
        <vt:i4>0</vt:i4>
      </vt:variant>
      <vt:variant>
        <vt:i4>5</vt:i4>
      </vt:variant>
      <vt:variant>
        <vt:lpwstr/>
      </vt:variant>
      <vt:variant>
        <vt:lpwstr>_Toc176832640</vt:lpwstr>
      </vt:variant>
      <vt:variant>
        <vt:i4>1638450</vt:i4>
      </vt:variant>
      <vt:variant>
        <vt:i4>41</vt:i4>
      </vt:variant>
      <vt:variant>
        <vt:i4>0</vt:i4>
      </vt:variant>
      <vt:variant>
        <vt:i4>5</vt:i4>
      </vt:variant>
      <vt:variant>
        <vt:lpwstr/>
      </vt:variant>
      <vt:variant>
        <vt:lpwstr>_Toc176832639</vt:lpwstr>
      </vt:variant>
      <vt:variant>
        <vt:i4>1638450</vt:i4>
      </vt:variant>
      <vt:variant>
        <vt:i4>35</vt:i4>
      </vt:variant>
      <vt:variant>
        <vt:i4>0</vt:i4>
      </vt:variant>
      <vt:variant>
        <vt:i4>5</vt:i4>
      </vt:variant>
      <vt:variant>
        <vt:lpwstr/>
      </vt:variant>
      <vt:variant>
        <vt:lpwstr>_Toc176832638</vt:lpwstr>
      </vt:variant>
      <vt:variant>
        <vt:i4>1638450</vt:i4>
      </vt:variant>
      <vt:variant>
        <vt:i4>29</vt:i4>
      </vt:variant>
      <vt:variant>
        <vt:i4>0</vt:i4>
      </vt:variant>
      <vt:variant>
        <vt:i4>5</vt:i4>
      </vt:variant>
      <vt:variant>
        <vt:lpwstr/>
      </vt:variant>
      <vt:variant>
        <vt:lpwstr>_Toc176832637</vt:lpwstr>
      </vt:variant>
      <vt:variant>
        <vt:i4>1638450</vt:i4>
      </vt:variant>
      <vt:variant>
        <vt:i4>23</vt:i4>
      </vt:variant>
      <vt:variant>
        <vt:i4>0</vt:i4>
      </vt:variant>
      <vt:variant>
        <vt:i4>5</vt:i4>
      </vt:variant>
      <vt:variant>
        <vt:lpwstr/>
      </vt:variant>
      <vt:variant>
        <vt:lpwstr>_Toc176832636</vt:lpwstr>
      </vt:variant>
      <vt:variant>
        <vt:i4>1638450</vt:i4>
      </vt:variant>
      <vt:variant>
        <vt:i4>17</vt:i4>
      </vt:variant>
      <vt:variant>
        <vt:i4>0</vt:i4>
      </vt:variant>
      <vt:variant>
        <vt:i4>5</vt:i4>
      </vt:variant>
      <vt:variant>
        <vt:lpwstr/>
      </vt:variant>
      <vt:variant>
        <vt:lpwstr>_Toc176832635</vt:lpwstr>
      </vt:variant>
      <vt:variant>
        <vt:i4>1638450</vt:i4>
      </vt:variant>
      <vt:variant>
        <vt:i4>11</vt:i4>
      </vt:variant>
      <vt:variant>
        <vt:i4>0</vt:i4>
      </vt:variant>
      <vt:variant>
        <vt:i4>5</vt:i4>
      </vt:variant>
      <vt:variant>
        <vt:lpwstr/>
      </vt:variant>
      <vt:variant>
        <vt:lpwstr>_Toc176832634</vt:lpwstr>
      </vt:variant>
      <vt:variant>
        <vt:i4>1638450</vt:i4>
      </vt:variant>
      <vt:variant>
        <vt:i4>5</vt:i4>
      </vt:variant>
      <vt:variant>
        <vt:i4>0</vt:i4>
      </vt:variant>
      <vt:variant>
        <vt:i4>5</vt:i4>
      </vt:variant>
      <vt:variant>
        <vt:lpwstr/>
      </vt:variant>
      <vt:variant>
        <vt:lpwstr>_Toc176832633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2011-04-08T20:20:00Z</dcterms:created>
  <dcterms:modified xsi:type="dcterms:W3CDTF">2011-04-08T20:20:00Z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0x0101006E56B4D1795A2E4DB2F0B01679ED314A0046535C0FFEF01846A1828229D1C60A1E</vt:lpwstr>
  </property>
  <property fmtid="{D5CDD505-2E9C-101B-9397-08002B2CF9AE}" pid="4" name="_docset_NoMedatataSyncRequired">
    <vt:lpwstr>False</vt:lpwstr>
  </property>
</Properties>
</file>