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BB7431">
              <w:rPr>
                <w:rFonts w:ascii="Arial" w:hAnsi="Arial" w:cs="Arial"/>
                <w:sz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.</w:t>
            </w:r>
            <w:r w:rsidR="00C65CFB">
              <w:rPr>
                <w:rFonts w:ascii="Arial" w:hAnsi="Arial" w:cs="Arial"/>
                <w:b/>
                <w:sz w:val="20"/>
              </w:rPr>
              <w:t>75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30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C65CFB">
              <w:rPr>
                <w:rFonts w:ascii="Arial" w:hAnsi="Arial" w:cs="Arial"/>
                <w:b/>
                <w:sz w:val="20"/>
              </w:rPr>
              <w:t>.</w:t>
            </w:r>
            <w:r w:rsidR="00BB7431">
              <w:rPr>
                <w:rFonts w:ascii="Arial" w:hAnsi="Arial" w:cs="Arial"/>
                <w:b/>
                <w:sz w:val="20"/>
              </w:rPr>
              <w:t>279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1</w:t>
            </w:r>
            <w:r w:rsidR="00B51A57">
              <w:rPr>
                <w:rFonts w:ascii="Arial" w:hAnsi="Arial" w:cs="Arial"/>
                <w:b/>
                <w:sz w:val="20"/>
              </w:rPr>
              <w:t>.</w:t>
            </w:r>
            <w:r w:rsidR="00C65CFB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BB7431" w:rsidP="00700A2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7"/>
              </w:rPr>
              <w:t>Jan 25</w:t>
            </w:r>
            <w:r w:rsidR="00AB4E4D" w:rsidRPr="00AB3BDF">
              <w:rPr>
                <w:rFonts w:ascii="Arial" w:hAnsi="Arial" w:cs="Arial"/>
                <w:bCs/>
                <w:sz w:val="18"/>
                <w:szCs w:val="17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7"/>
              </w:rPr>
              <w:t>2011</w:t>
            </w:r>
            <w:r w:rsidR="00AB3BDF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to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expire in 30 days on 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>midnight</w:t>
            </w:r>
            <w:r w:rsidR="004646DD" w:rsidRPr="00AB3BDF">
              <w:rPr>
                <w:rFonts w:ascii="Arial" w:hAnsi="Arial" w:cs="Arial"/>
                <w:bCs/>
                <w:sz w:val="18"/>
                <w:szCs w:val="17"/>
              </w:rPr>
              <w:t>,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7"/>
              </w:rPr>
              <w:t>Feb 23</w:t>
            </w:r>
            <w:r w:rsidR="001B2936">
              <w:rPr>
                <w:rFonts w:ascii="Arial" w:hAnsi="Arial" w:cs="Arial"/>
                <w:bCs/>
                <w:sz w:val="18"/>
                <w:szCs w:val="17"/>
              </w:rPr>
              <w:t>, 2011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0D6A"/>
    <w:rsid w:val="000E1D3D"/>
    <w:rsid w:val="00115DDA"/>
    <w:rsid w:val="00143E36"/>
    <w:rsid w:val="00171382"/>
    <w:rsid w:val="001B2936"/>
    <w:rsid w:val="00264D8F"/>
    <w:rsid w:val="00273F9B"/>
    <w:rsid w:val="002827E9"/>
    <w:rsid w:val="00373C58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63F2F"/>
    <w:rsid w:val="005A05D2"/>
    <w:rsid w:val="005C2668"/>
    <w:rsid w:val="005C4679"/>
    <w:rsid w:val="005E1347"/>
    <w:rsid w:val="005F0F6F"/>
    <w:rsid w:val="0060021A"/>
    <w:rsid w:val="00622842"/>
    <w:rsid w:val="00640442"/>
    <w:rsid w:val="006F0163"/>
    <w:rsid w:val="00700A29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0290"/>
    <w:rsid w:val="00834CE0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754B0"/>
    <w:rsid w:val="00A7733A"/>
    <w:rsid w:val="00A85CC6"/>
    <w:rsid w:val="00A93B18"/>
    <w:rsid w:val="00AA0FC7"/>
    <w:rsid w:val="00AB3BDF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B7431"/>
    <w:rsid w:val="00BE6ED6"/>
    <w:rsid w:val="00C072B5"/>
    <w:rsid w:val="00C65CFB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2011-01-18T08:00:00+00:00</OpenedDate>
    <Date1 xmlns="dc463f71-b30c-4ab2-9473-d307f9d35888">2011-01-18T08:00:00+00:00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1FBA2B718F4B479FA34B4EA734FFBD" ma:contentTypeVersion="143" ma:contentTypeDescription="" ma:contentTypeScope="" ma:versionID="5caead438b7575030bb7fa2ae688de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E2134-0D12-4617-8927-6E2CEE84F460}"/>
</file>

<file path=customXml/itemProps2.xml><?xml version="1.0" encoding="utf-8"?>
<ds:datastoreItem xmlns:ds="http://schemas.openxmlformats.org/officeDocument/2006/customXml" ds:itemID="{0BC88839-F53B-4E53-BAF9-988BF41CF1A9}"/>
</file>

<file path=customXml/itemProps3.xml><?xml version="1.0" encoding="utf-8"?>
<ds:datastoreItem xmlns:ds="http://schemas.openxmlformats.org/officeDocument/2006/customXml" ds:itemID="{910A5694-C960-4550-BE60-D5AB10524278}"/>
</file>

<file path=customXml/itemProps4.xml><?xml version="1.0" encoding="utf-8"?>
<ds:datastoreItem xmlns:ds="http://schemas.openxmlformats.org/officeDocument/2006/customXml" ds:itemID="{1CA7387C-FBA6-4913-BAB9-2AA3FC931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Taliaferro</cp:lastModifiedBy>
  <cp:revision>2</cp:revision>
  <cp:lastPrinted>2004-03-12T16:48:00Z</cp:lastPrinted>
  <dcterms:created xsi:type="dcterms:W3CDTF">2011-01-18T20:49:00Z</dcterms:created>
  <dcterms:modified xsi:type="dcterms:W3CDTF">2011-01-18T20:49:00Z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0x0101006E56B4D1795A2E4DB2F0B01679ED314A00B91FBA2B718F4B479FA34B4EA734FFBD</vt:lpwstr>
  </property>
  <property fmtid="{D5CDD505-2E9C-101B-9397-08002B2CF9AE}" pid="3" name="_docset_NoMedatataSyncRequired">
    <vt:lpwstr>False</vt:lpwstr>
  </property>
</Properties>
</file>