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BD9" w:rsidRPr="00AC5BD9" w:rsidRDefault="00A80F88">
      <w:pPr>
        <w:rPr>
          <w:rFonts w:ascii="Calibri" w:hAnsi="Calibri"/>
          <w:b/>
          <w:sz w:val="24"/>
          <w:szCs w:val="24"/>
        </w:rPr>
      </w:pPr>
      <w:r w:rsidRPr="00A80F88">
        <w:rPr>
          <w:rFonts w:ascii="Calibri" w:hAnsi="Calibri"/>
          <w:noProof/>
          <w:sz w:val="24"/>
          <w:szCs w:val="24"/>
        </w:rPr>
        <w:pict>
          <v:shapetype id="_x0000_t202" coordsize="21600,21600" o:spt="202" path="m,l,21600r21600,l21600,xe">
            <v:stroke joinstyle="miter"/>
            <v:path gradientshapeok="t" o:connecttype="rect"/>
          </v:shapetype>
          <v:shape id="Text Box 4" o:spid="_x0000_s1026" type="#_x0000_t202" style="position:absolute;margin-left:189.45pt;margin-top:50.6pt;width:324pt;height:3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" stroked="f">
            <v:textbox>
              <w:txbxContent>
                <w:p w:rsidR="00107020" w:rsidRPr="00505ACE" w:rsidRDefault="00107020" w:rsidP="00261913">
                  <w:pPr>
                    <w:rPr>
                      <w:b/>
                    </w:rPr>
                  </w:pPr>
                  <w:r w:rsidRPr="00505ACE">
                    <w:rPr>
                      <w:b/>
                    </w:rPr>
                    <w:t>Planning • Management • Engineering</w:t>
                  </w:r>
                </w:p>
                <w:p w:rsidR="00107020" w:rsidRPr="00505ACE" w:rsidRDefault="00107020" w:rsidP="00261913">
                  <w:r w:rsidRPr="00505ACE">
                    <w:rPr>
                      <w:b/>
                    </w:rPr>
                    <w:t>P.O. Box 123 • Port Orchard, WA 98366 • 888-881-0958</w:t>
                  </w:r>
                  <w:r>
                    <w:rPr>
                      <w:b/>
                    </w:rPr>
                    <w:t xml:space="preserve"> </w:t>
                  </w:r>
                  <w:r w:rsidRPr="00505ACE">
                    <w:rPr>
                      <w:b/>
                    </w:rPr>
                    <w:t xml:space="preserve">• </w:t>
                  </w:r>
                  <w:r>
                    <w:rPr>
                      <w:b/>
                    </w:rPr>
                    <w:t>360</w:t>
                  </w:r>
                  <w:r w:rsidRPr="00505ACE">
                    <w:rPr>
                      <w:b/>
                    </w:rPr>
                    <w:t>-8</w:t>
                  </w:r>
                  <w:r>
                    <w:rPr>
                      <w:b/>
                    </w:rPr>
                    <w:t>76</w:t>
                  </w:r>
                  <w:r w:rsidRPr="00505ACE">
                    <w:rPr>
                      <w:b/>
                    </w:rPr>
                    <w:t>-0958</w:t>
                  </w:r>
                </w:p>
              </w:txbxContent>
            </v:textbox>
          </v:shape>
        </w:pict>
      </w:r>
      <w:r w:rsidR="00D34BFE">
        <w:rPr>
          <w:rFonts w:ascii="Calibri" w:hAnsi="Calibri"/>
          <w:noProof/>
          <w:sz w:val="24"/>
          <w:szCs w:val="24"/>
        </w:rPr>
        <w:drawing>
          <wp:inline distT="0" distB="0" distL="0" distR="0">
            <wp:extent cx="2286000" cy="1314450"/>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cstate="print"/>
                    <a:srcRect/>
                    <a:stretch>
                      <a:fillRect/>
                    </a:stretch>
                  </pic:blipFill>
                  <pic:spPr bwMode="auto">
                    <a:xfrm>
                      <a:off x="0" y="0"/>
                      <a:ext cx="2286000" cy="1314450"/>
                    </a:xfrm>
                    <a:prstGeom prst="rect">
                      <a:avLst/>
                    </a:prstGeom>
                    <a:noFill/>
                    <a:ln w="9525">
                      <a:noFill/>
                      <a:miter lim="800000"/>
                      <a:headEnd/>
                      <a:tailEnd/>
                    </a:ln>
                  </pic:spPr>
                </pic:pic>
              </a:graphicData>
            </a:graphic>
          </wp:inline>
        </w:drawing>
      </w:r>
      <w:r w:rsidR="00AC5BD9">
        <w:rPr>
          <w:rFonts w:ascii="Calibri" w:hAnsi="Calibri"/>
          <w:sz w:val="24"/>
          <w:szCs w:val="24"/>
        </w:rPr>
        <w:tab/>
      </w:r>
    </w:p>
    <w:p w:rsidR="0002779A" w:rsidRPr="00B706E2" w:rsidRDefault="0002779A">
      <w:pPr>
        <w:rPr>
          <w:sz w:val="16"/>
          <w:szCs w:val="16"/>
        </w:rPr>
      </w:pPr>
    </w:p>
    <w:p w:rsidR="002F139E" w:rsidRPr="00B706E2" w:rsidRDefault="002F139E">
      <w:pPr>
        <w:rPr>
          <w:sz w:val="16"/>
          <w:szCs w:val="16"/>
        </w:rPr>
      </w:pPr>
    </w:p>
    <w:p w:rsidR="0012483B" w:rsidRPr="00B706E2" w:rsidRDefault="0033652B">
      <w:pPr>
        <w:rPr>
          <w:sz w:val="22"/>
          <w:szCs w:val="22"/>
        </w:rPr>
      </w:pPr>
      <w:r>
        <w:rPr>
          <w:sz w:val="22"/>
          <w:szCs w:val="22"/>
        </w:rPr>
        <w:t xml:space="preserve">December </w:t>
      </w:r>
      <w:r w:rsidR="002B4362">
        <w:rPr>
          <w:sz w:val="22"/>
          <w:szCs w:val="22"/>
        </w:rPr>
        <w:t>21</w:t>
      </w:r>
      <w:r w:rsidRPr="0033652B">
        <w:rPr>
          <w:sz w:val="22"/>
          <w:szCs w:val="22"/>
          <w:vertAlign w:val="superscript"/>
        </w:rPr>
        <w:t>st</w:t>
      </w:r>
      <w:r>
        <w:rPr>
          <w:sz w:val="22"/>
          <w:szCs w:val="22"/>
        </w:rPr>
        <w:t>, 2010</w:t>
      </w:r>
    </w:p>
    <w:p w:rsidR="0012483B" w:rsidRPr="00B706E2" w:rsidRDefault="0012483B">
      <w:pPr>
        <w:rPr>
          <w:sz w:val="16"/>
          <w:szCs w:val="16"/>
        </w:rPr>
      </w:pPr>
    </w:p>
    <w:p w:rsidR="0012483B" w:rsidRPr="00B706E2" w:rsidRDefault="0012483B">
      <w:pPr>
        <w:rPr>
          <w:sz w:val="16"/>
          <w:szCs w:val="16"/>
        </w:rPr>
      </w:pPr>
    </w:p>
    <w:p w:rsidR="0012483B" w:rsidRPr="00B706E2" w:rsidRDefault="0012483B">
      <w:pPr>
        <w:rPr>
          <w:sz w:val="22"/>
          <w:szCs w:val="22"/>
        </w:rPr>
      </w:pPr>
      <w:r w:rsidRPr="00B706E2">
        <w:rPr>
          <w:sz w:val="22"/>
          <w:szCs w:val="22"/>
        </w:rPr>
        <w:t>Country Meadows East #2 Customers</w:t>
      </w:r>
    </w:p>
    <w:p w:rsidR="0012483B" w:rsidRPr="00B706E2" w:rsidRDefault="0012483B">
      <w:pPr>
        <w:rPr>
          <w:sz w:val="16"/>
          <w:szCs w:val="16"/>
        </w:rPr>
      </w:pPr>
    </w:p>
    <w:p w:rsidR="00945429" w:rsidRPr="00BE1595" w:rsidRDefault="0012483B" w:rsidP="00945429">
      <w:pPr>
        <w:ind w:right="-720"/>
        <w:rPr>
          <w:b/>
        </w:rPr>
      </w:pPr>
      <w:r w:rsidRPr="00B706E2">
        <w:rPr>
          <w:sz w:val="22"/>
          <w:szCs w:val="22"/>
        </w:rPr>
        <w:t>Re:</w:t>
      </w:r>
      <w:r w:rsidRPr="00B706E2">
        <w:rPr>
          <w:sz w:val="22"/>
          <w:szCs w:val="22"/>
        </w:rPr>
        <w:tab/>
      </w:r>
      <w:r w:rsidR="00945429" w:rsidRPr="00BE1595">
        <w:rPr>
          <w:b/>
        </w:rPr>
        <w:t>IMPORTANT NOTICE</w:t>
      </w:r>
      <w:r w:rsidR="00945429">
        <w:rPr>
          <w:b/>
        </w:rPr>
        <w:t xml:space="preserve"> OF REQUEST FOR RATE INCREASE</w:t>
      </w:r>
    </w:p>
    <w:p w:rsidR="00550BEB" w:rsidRDefault="00550BEB" w:rsidP="006959B0">
      <w:pPr>
        <w:jc w:val="both"/>
        <w:rPr>
          <w:sz w:val="22"/>
          <w:szCs w:val="22"/>
        </w:rPr>
      </w:pPr>
    </w:p>
    <w:p w:rsidR="0082221A" w:rsidRDefault="00550BEB" w:rsidP="006959B0">
      <w:pPr>
        <w:jc w:val="both"/>
        <w:rPr>
          <w:sz w:val="22"/>
          <w:szCs w:val="22"/>
        </w:rPr>
      </w:pPr>
      <w:r>
        <w:rPr>
          <w:sz w:val="22"/>
          <w:szCs w:val="22"/>
        </w:rPr>
        <w:t xml:space="preserve">Country Meadows East #2 (CME#2) </w:t>
      </w:r>
      <w:r w:rsidR="0082221A">
        <w:rPr>
          <w:sz w:val="22"/>
          <w:szCs w:val="22"/>
        </w:rPr>
        <w:t>has filed for approval from the Washington Utilities and Transportation Commission (</w:t>
      </w:r>
      <w:r w:rsidR="006368AE">
        <w:rPr>
          <w:sz w:val="22"/>
          <w:szCs w:val="22"/>
        </w:rPr>
        <w:t>commission</w:t>
      </w:r>
      <w:r w:rsidR="0082221A">
        <w:rPr>
          <w:sz w:val="22"/>
          <w:szCs w:val="22"/>
        </w:rPr>
        <w:t xml:space="preserve">) of a rate increase. If approved, the rates </w:t>
      </w:r>
      <w:r w:rsidR="00945429">
        <w:rPr>
          <w:sz w:val="22"/>
          <w:szCs w:val="22"/>
        </w:rPr>
        <w:t xml:space="preserve">shown on the second page of this notice </w:t>
      </w:r>
      <w:r w:rsidR="0082221A">
        <w:rPr>
          <w:sz w:val="22"/>
          <w:szCs w:val="22"/>
        </w:rPr>
        <w:t xml:space="preserve">will be effective on </w:t>
      </w:r>
      <w:r w:rsidR="00945429">
        <w:rPr>
          <w:sz w:val="22"/>
          <w:szCs w:val="22"/>
        </w:rPr>
        <w:t>February 1</w:t>
      </w:r>
      <w:r w:rsidR="00945429" w:rsidRPr="00945429">
        <w:rPr>
          <w:sz w:val="22"/>
          <w:szCs w:val="22"/>
          <w:vertAlign w:val="superscript"/>
        </w:rPr>
        <w:t>st</w:t>
      </w:r>
      <w:r w:rsidR="0082221A">
        <w:rPr>
          <w:sz w:val="22"/>
          <w:szCs w:val="22"/>
        </w:rPr>
        <w:t>, 2011.</w:t>
      </w:r>
    </w:p>
    <w:p w:rsidR="0082221A" w:rsidRDefault="0082221A" w:rsidP="006959B0">
      <w:pPr>
        <w:jc w:val="both"/>
        <w:rPr>
          <w:sz w:val="22"/>
          <w:szCs w:val="22"/>
        </w:rPr>
      </w:pPr>
    </w:p>
    <w:p w:rsidR="00897645" w:rsidRPr="00897645" w:rsidRDefault="00897645" w:rsidP="006959B0">
      <w:pPr>
        <w:jc w:val="both"/>
        <w:rPr>
          <w:b/>
          <w:sz w:val="22"/>
          <w:szCs w:val="22"/>
          <w:u w:val="single"/>
        </w:rPr>
      </w:pPr>
      <w:r w:rsidRPr="00897645">
        <w:rPr>
          <w:b/>
          <w:sz w:val="22"/>
          <w:szCs w:val="22"/>
          <w:u w:val="single"/>
        </w:rPr>
        <w:t>Overall impact of rate increase</w:t>
      </w:r>
    </w:p>
    <w:p w:rsidR="00945429" w:rsidRDefault="00945429" w:rsidP="00945429">
      <w:pPr>
        <w:jc w:val="both"/>
        <w:rPr>
          <w:sz w:val="22"/>
          <w:szCs w:val="22"/>
        </w:rPr>
      </w:pPr>
      <w:r>
        <w:rPr>
          <w:sz w:val="22"/>
          <w:szCs w:val="22"/>
        </w:rPr>
        <w:t xml:space="preserve">The overall system annual revenue must increase by </w:t>
      </w:r>
      <w:r w:rsidRPr="00722338">
        <w:rPr>
          <w:sz w:val="22"/>
          <w:szCs w:val="22"/>
        </w:rPr>
        <w:t>9</w:t>
      </w:r>
      <w:r>
        <w:rPr>
          <w:sz w:val="22"/>
          <w:szCs w:val="22"/>
        </w:rPr>
        <w:t>6</w:t>
      </w:r>
      <w:r w:rsidRPr="00722338">
        <w:rPr>
          <w:sz w:val="22"/>
          <w:szCs w:val="22"/>
        </w:rPr>
        <w:t>% to meet the operating costs of the water system.</w:t>
      </w:r>
      <w:r>
        <w:rPr>
          <w:sz w:val="22"/>
          <w:szCs w:val="22"/>
        </w:rPr>
        <w:t xml:space="preserve">  The increases are due to increased fees, operations, and management costs, as well as a more complete accounting of the costs associated with operating the water system.</w:t>
      </w:r>
    </w:p>
    <w:p w:rsidR="00945429" w:rsidRDefault="00945429" w:rsidP="006959B0">
      <w:pPr>
        <w:jc w:val="both"/>
        <w:rPr>
          <w:sz w:val="22"/>
          <w:szCs w:val="22"/>
        </w:rPr>
      </w:pPr>
    </w:p>
    <w:p w:rsidR="00897645" w:rsidRDefault="0082221A" w:rsidP="006959B0">
      <w:pPr>
        <w:jc w:val="both"/>
        <w:rPr>
          <w:sz w:val="22"/>
          <w:szCs w:val="22"/>
        </w:rPr>
      </w:pPr>
      <w:r>
        <w:rPr>
          <w:sz w:val="22"/>
          <w:szCs w:val="22"/>
        </w:rPr>
        <w:t>T</w:t>
      </w:r>
      <w:r w:rsidR="006417BB">
        <w:rPr>
          <w:sz w:val="22"/>
          <w:szCs w:val="22"/>
        </w:rPr>
        <w:t xml:space="preserve">he water system </w:t>
      </w:r>
      <w:r w:rsidR="00702635">
        <w:rPr>
          <w:sz w:val="22"/>
          <w:szCs w:val="22"/>
        </w:rPr>
        <w:t xml:space="preserve">delivers </w:t>
      </w:r>
      <w:r w:rsidR="00550BEB">
        <w:rPr>
          <w:sz w:val="22"/>
          <w:szCs w:val="22"/>
        </w:rPr>
        <w:t xml:space="preserve">treated </w:t>
      </w:r>
      <w:r w:rsidR="006417BB">
        <w:rPr>
          <w:sz w:val="22"/>
          <w:szCs w:val="22"/>
        </w:rPr>
        <w:t>water.  T</w:t>
      </w:r>
      <w:r w:rsidR="00550BEB">
        <w:rPr>
          <w:sz w:val="22"/>
          <w:szCs w:val="22"/>
        </w:rPr>
        <w:t>he costs of treatment are proportional to the water supplied</w:t>
      </w:r>
      <w:r w:rsidR="00C1475A">
        <w:rPr>
          <w:sz w:val="22"/>
          <w:szCs w:val="22"/>
        </w:rPr>
        <w:t xml:space="preserve">; therefore </w:t>
      </w:r>
      <w:r w:rsidR="00E61A87">
        <w:rPr>
          <w:sz w:val="22"/>
          <w:szCs w:val="22"/>
        </w:rPr>
        <w:t>CME#2 will adopt a usage based billing system</w:t>
      </w:r>
      <w:r w:rsidR="00C1475A">
        <w:rPr>
          <w:sz w:val="22"/>
          <w:szCs w:val="22"/>
        </w:rPr>
        <w:t>.</w:t>
      </w:r>
      <w:r w:rsidR="00D34B3A">
        <w:rPr>
          <w:sz w:val="22"/>
          <w:szCs w:val="22"/>
        </w:rPr>
        <w:t xml:space="preserve"> </w:t>
      </w:r>
      <w:r w:rsidR="00C1475A">
        <w:rPr>
          <w:sz w:val="22"/>
          <w:szCs w:val="22"/>
        </w:rPr>
        <w:t xml:space="preserve"> This </w:t>
      </w:r>
      <w:r w:rsidR="006959B0">
        <w:rPr>
          <w:sz w:val="22"/>
          <w:szCs w:val="22"/>
        </w:rPr>
        <w:t xml:space="preserve">will change the billing structure so that </w:t>
      </w:r>
      <w:r w:rsidR="00D34B3A">
        <w:rPr>
          <w:sz w:val="22"/>
          <w:szCs w:val="22"/>
        </w:rPr>
        <w:t xml:space="preserve">the heaviest </w:t>
      </w:r>
      <w:r w:rsidR="006959B0">
        <w:rPr>
          <w:sz w:val="22"/>
          <w:szCs w:val="22"/>
        </w:rPr>
        <w:t xml:space="preserve">users will pay </w:t>
      </w:r>
      <w:r w:rsidR="00EF51C4">
        <w:rPr>
          <w:sz w:val="22"/>
          <w:szCs w:val="22"/>
        </w:rPr>
        <w:t xml:space="preserve">an </w:t>
      </w:r>
      <w:r w:rsidR="006959B0">
        <w:rPr>
          <w:sz w:val="22"/>
          <w:szCs w:val="22"/>
        </w:rPr>
        <w:t>equitable</w:t>
      </w:r>
      <w:r w:rsidR="00945429">
        <w:rPr>
          <w:sz w:val="22"/>
          <w:szCs w:val="22"/>
        </w:rPr>
        <w:t xml:space="preserve"> portion of the system’s cost.</w:t>
      </w:r>
      <w:r w:rsidR="00702635">
        <w:rPr>
          <w:sz w:val="22"/>
          <w:szCs w:val="22"/>
        </w:rPr>
        <w:t xml:space="preserve">  </w:t>
      </w:r>
      <w:r w:rsidR="00897645">
        <w:rPr>
          <w:sz w:val="22"/>
          <w:szCs w:val="22"/>
        </w:rPr>
        <w:t>The rate structure that is proposed is designed to establish an average water bill of $68.40 per month</w:t>
      </w:r>
      <w:r w:rsidR="00702635">
        <w:rPr>
          <w:sz w:val="22"/>
          <w:szCs w:val="22"/>
        </w:rPr>
        <w:t>.  The change in individual bills will vary depending on usage.</w:t>
      </w:r>
    </w:p>
    <w:p w:rsidR="00897645" w:rsidRDefault="00897645" w:rsidP="006959B0">
      <w:pPr>
        <w:jc w:val="both"/>
        <w:rPr>
          <w:sz w:val="22"/>
          <w:szCs w:val="22"/>
        </w:rPr>
      </w:pPr>
    </w:p>
    <w:p w:rsidR="006368AE" w:rsidRPr="00722338" w:rsidRDefault="006368AE" w:rsidP="006368AE">
      <w:pPr>
        <w:tabs>
          <w:tab w:val="right" w:pos="1440"/>
          <w:tab w:val="right" w:pos="3870"/>
        </w:tabs>
        <w:jc w:val="both"/>
        <w:rPr>
          <w:sz w:val="22"/>
          <w:szCs w:val="22"/>
        </w:rPr>
      </w:pPr>
      <w:r w:rsidRPr="00722338">
        <w:rPr>
          <w:sz w:val="22"/>
          <w:szCs w:val="22"/>
        </w:rPr>
        <w:t xml:space="preserve">If you have questions about </w:t>
      </w:r>
      <w:r>
        <w:rPr>
          <w:sz w:val="22"/>
          <w:szCs w:val="22"/>
        </w:rPr>
        <w:t>the proposed rate increase</w:t>
      </w:r>
      <w:r w:rsidRPr="00722338">
        <w:rPr>
          <w:sz w:val="22"/>
          <w:szCs w:val="22"/>
        </w:rPr>
        <w:t>, or any other questions regarding the water system, please contact Northwest Water Systems, Inc. at (360)876-0958 or toll free (888)881-0958.</w:t>
      </w:r>
    </w:p>
    <w:p w:rsidR="00EF51C4" w:rsidRDefault="00EF51C4" w:rsidP="006959B0">
      <w:pPr>
        <w:jc w:val="both"/>
        <w:rPr>
          <w:sz w:val="22"/>
          <w:szCs w:val="22"/>
        </w:rPr>
      </w:pPr>
    </w:p>
    <w:p w:rsidR="006368AE" w:rsidRDefault="006368AE" w:rsidP="00C1475A">
      <w:pPr>
        <w:rPr>
          <w:sz w:val="22"/>
        </w:rPr>
      </w:pPr>
      <w:r>
        <w:rPr>
          <w:bCs/>
          <w:sz w:val="22"/>
        </w:rPr>
        <w:t xml:space="preserve">The commission has the </w:t>
      </w:r>
      <w:r w:rsidRPr="00450DE6">
        <w:rPr>
          <w:bCs/>
          <w:sz w:val="24"/>
          <w:szCs w:val="24"/>
        </w:rPr>
        <w:t>authority to set final rates that may be either lower or higher from</w:t>
      </w:r>
      <w:r>
        <w:rPr>
          <w:bCs/>
          <w:sz w:val="22"/>
        </w:rPr>
        <w:t xml:space="preserve"> the company’s request, depending on the results of its investigation. </w:t>
      </w:r>
      <w:r>
        <w:rPr>
          <w:sz w:val="22"/>
        </w:rPr>
        <w:t>Commission staff will make a recommendation to the commissioners at an open meeting in Olympia, which is scheduled for 9:30 a.m. on</w:t>
      </w:r>
      <w:r w:rsidR="00BA4D1D">
        <w:rPr>
          <w:sz w:val="22"/>
        </w:rPr>
        <w:t xml:space="preserve"> January 27</w:t>
      </w:r>
      <w:r w:rsidR="00BA4D1D" w:rsidRPr="00BA4D1D">
        <w:rPr>
          <w:sz w:val="22"/>
          <w:vertAlign w:val="superscript"/>
        </w:rPr>
        <w:t>th</w:t>
      </w:r>
      <w:r w:rsidR="00BA4D1D">
        <w:rPr>
          <w:sz w:val="22"/>
        </w:rPr>
        <w:t>, 2011.</w:t>
      </w:r>
      <w:r>
        <w:rPr>
          <w:sz w:val="22"/>
        </w:rPr>
        <w:t xml:space="preserve"> You will have an opportunity to comment in person at this meeting. If you are unable to attend the open meeting, the commission has a bridge line, which enables you to participate or listen by telephone. Call 360-664-1234 for instructions the day before the open meeting. You can also comment by using the “Public Comment” feature at the commission’s web site at ‘utc.wa.gov’, or by using the contact information below.</w:t>
      </w:r>
    </w:p>
    <w:p w:rsidR="006368AE" w:rsidRDefault="006368AE" w:rsidP="00945429">
      <w:pPr>
        <w:rPr>
          <w:sz w:val="22"/>
        </w:rPr>
      </w:pPr>
    </w:p>
    <w:p w:rsidR="006368AE" w:rsidRDefault="006368AE" w:rsidP="00C1475A">
      <w:pPr>
        <w:ind w:left="720" w:hanging="720"/>
        <w:rPr>
          <w:sz w:val="22"/>
          <w:szCs w:val="22"/>
        </w:rPr>
      </w:pPr>
      <w:r>
        <w:rPr>
          <w:sz w:val="22"/>
          <w:szCs w:val="22"/>
        </w:rPr>
        <w:t>Washington Utilities and Transportation Commission</w:t>
      </w:r>
    </w:p>
    <w:p w:rsidR="006368AE" w:rsidRDefault="006368AE" w:rsidP="00C1475A">
      <w:pPr>
        <w:ind w:left="720" w:hanging="720"/>
        <w:rPr>
          <w:sz w:val="22"/>
          <w:szCs w:val="22"/>
        </w:rPr>
      </w:pPr>
      <w:r>
        <w:rPr>
          <w:sz w:val="22"/>
          <w:szCs w:val="22"/>
        </w:rPr>
        <w:t>1300 S. Evergreen Park Drive SW</w:t>
      </w:r>
    </w:p>
    <w:p w:rsidR="006368AE" w:rsidRDefault="006368AE" w:rsidP="00C1475A">
      <w:pPr>
        <w:ind w:left="720" w:hanging="720"/>
        <w:rPr>
          <w:sz w:val="22"/>
          <w:szCs w:val="22"/>
        </w:rPr>
      </w:pPr>
      <w:r>
        <w:rPr>
          <w:sz w:val="22"/>
          <w:szCs w:val="22"/>
        </w:rPr>
        <w:t xml:space="preserve">P.O. Box 47250, Olympia, WA  98504-7250  </w:t>
      </w:r>
    </w:p>
    <w:p w:rsidR="006368AE" w:rsidRDefault="006368AE" w:rsidP="00C1475A">
      <w:pPr>
        <w:ind w:left="720" w:hanging="720"/>
        <w:rPr>
          <w:color w:val="0000FF"/>
          <w:sz w:val="22"/>
          <w:szCs w:val="22"/>
          <w:u w:val="single"/>
        </w:rPr>
      </w:pPr>
      <w:r>
        <w:rPr>
          <w:sz w:val="22"/>
          <w:szCs w:val="22"/>
        </w:rPr>
        <w:t xml:space="preserve">E-mail:  </w:t>
      </w:r>
      <w:hyperlink r:id="rId6" w:history="1">
        <w:r>
          <w:rPr>
            <w:rStyle w:val="Hyperlink"/>
            <w:sz w:val="22"/>
            <w:szCs w:val="22"/>
          </w:rPr>
          <w:t>comments@utc.wa.gov</w:t>
        </w:r>
      </w:hyperlink>
    </w:p>
    <w:p w:rsidR="006368AE" w:rsidRDefault="006368AE" w:rsidP="00C1475A">
      <w:pPr>
        <w:ind w:right="-720"/>
      </w:pPr>
      <w:r>
        <w:rPr>
          <w:sz w:val="22"/>
          <w:szCs w:val="22"/>
        </w:rPr>
        <w:t>Telephone:  1-888-333-WUTC (9882)</w:t>
      </w:r>
    </w:p>
    <w:p w:rsidR="00722338" w:rsidRPr="00722338" w:rsidRDefault="00722338" w:rsidP="00B706E2">
      <w:pPr>
        <w:tabs>
          <w:tab w:val="right" w:pos="1440"/>
          <w:tab w:val="right" w:pos="3870"/>
        </w:tabs>
        <w:rPr>
          <w:sz w:val="22"/>
          <w:szCs w:val="22"/>
        </w:rPr>
      </w:pPr>
    </w:p>
    <w:p w:rsidR="00722338" w:rsidRPr="00722338" w:rsidRDefault="006368AE" w:rsidP="00B706E2">
      <w:pPr>
        <w:tabs>
          <w:tab w:val="right" w:pos="1440"/>
          <w:tab w:val="right" w:pos="3870"/>
        </w:tabs>
        <w:rPr>
          <w:sz w:val="22"/>
          <w:szCs w:val="22"/>
        </w:rPr>
      </w:pPr>
      <w:r>
        <w:rPr>
          <w:sz w:val="22"/>
          <w:szCs w:val="22"/>
        </w:rPr>
        <w:t>Current and proposed rates are on the back of this notice.</w:t>
      </w:r>
    </w:p>
    <w:p w:rsidR="00722338" w:rsidRPr="00722338" w:rsidRDefault="00722338" w:rsidP="00B706E2">
      <w:pPr>
        <w:tabs>
          <w:tab w:val="right" w:pos="1440"/>
          <w:tab w:val="right" w:pos="3870"/>
        </w:tabs>
        <w:rPr>
          <w:sz w:val="22"/>
          <w:szCs w:val="22"/>
        </w:rPr>
      </w:pPr>
    </w:p>
    <w:p w:rsidR="000E7905" w:rsidRPr="00722338" w:rsidRDefault="000E7905" w:rsidP="00B706E2">
      <w:pPr>
        <w:tabs>
          <w:tab w:val="right" w:pos="1440"/>
          <w:tab w:val="right" w:pos="3870"/>
        </w:tabs>
        <w:rPr>
          <w:sz w:val="22"/>
          <w:szCs w:val="22"/>
        </w:rPr>
      </w:pPr>
    </w:p>
    <w:p w:rsidR="00902DD6" w:rsidRPr="00722338" w:rsidRDefault="00902DD6" w:rsidP="00B706E2">
      <w:pPr>
        <w:tabs>
          <w:tab w:val="right" w:pos="1440"/>
          <w:tab w:val="right" w:pos="3870"/>
        </w:tabs>
        <w:rPr>
          <w:sz w:val="22"/>
          <w:szCs w:val="22"/>
        </w:rPr>
      </w:pPr>
    </w:p>
    <w:p w:rsidR="00F00929" w:rsidRPr="00722338" w:rsidRDefault="00F00929" w:rsidP="00B706E2">
      <w:pPr>
        <w:tabs>
          <w:tab w:val="right" w:pos="1440"/>
          <w:tab w:val="right" w:pos="3870"/>
        </w:tabs>
        <w:rPr>
          <w:sz w:val="22"/>
          <w:szCs w:val="22"/>
        </w:rPr>
      </w:pPr>
    </w:p>
    <w:p w:rsidR="00902DD6" w:rsidRDefault="00902DD6" w:rsidP="00B706E2">
      <w:pPr>
        <w:tabs>
          <w:tab w:val="right" w:pos="1440"/>
          <w:tab w:val="right" w:pos="3870"/>
        </w:tabs>
        <w:rPr>
          <w:sz w:val="22"/>
          <w:szCs w:val="22"/>
        </w:rPr>
      </w:pPr>
      <w:r>
        <w:rPr>
          <w:sz w:val="22"/>
          <w:szCs w:val="22"/>
        </w:rPr>
        <w:t>Sincerely,</w:t>
      </w:r>
    </w:p>
    <w:p w:rsidR="00B706E2" w:rsidRDefault="00902DD6" w:rsidP="003039D7">
      <w:pPr>
        <w:tabs>
          <w:tab w:val="right" w:pos="1440"/>
          <w:tab w:val="right" w:pos="3870"/>
        </w:tabs>
        <w:rPr>
          <w:sz w:val="22"/>
          <w:szCs w:val="22"/>
        </w:rPr>
      </w:pPr>
      <w:r>
        <w:rPr>
          <w:sz w:val="22"/>
          <w:szCs w:val="22"/>
        </w:rPr>
        <w:t>NORTHWEST WATER SYSTEMS, INC.</w:t>
      </w:r>
    </w:p>
    <w:p w:rsidR="0011150D" w:rsidRPr="00722338" w:rsidRDefault="00722338" w:rsidP="00F01441">
      <w:pPr>
        <w:tabs>
          <w:tab w:val="right" w:pos="1440"/>
          <w:tab w:val="right" w:pos="3870"/>
        </w:tabs>
        <w:rPr>
          <w:sz w:val="22"/>
          <w:szCs w:val="22"/>
        </w:rPr>
      </w:pPr>
      <w:r>
        <w:rPr>
          <w:sz w:val="22"/>
          <w:szCs w:val="22"/>
        </w:rPr>
        <w:br w:type="page"/>
      </w:r>
      <w:r w:rsidR="0011150D" w:rsidRPr="00722338">
        <w:rPr>
          <w:b/>
          <w:sz w:val="28"/>
          <w:szCs w:val="28"/>
          <w:u w:val="single"/>
        </w:rPr>
        <w:lastRenderedPageBreak/>
        <w:t>Rates Filed with Tariff</w:t>
      </w:r>
    </w:p>
    <w:p w:rsidR="0011150D" w:rsidRPr="00722338" w:rsidRDefault="0011150D" w:rsidP="0011150D">
      <w:pPr>
        <w:pStyle w:val="NoSpacing"/>
        <w:spacing w:before="60"/>
        <w:rPr>
          <w:rFonts w:ascii="Times New Roman" w:hAnsi="Times New Roman"/>
        </w:rPr>
      </w:pPr>
    </w:p>
    <w:p w:rsidR="0011150D" w:rsidRPr="00722338" w:rsidRDefault="0011150D" w:rsidP="0011150D">
      <w:pPr>
        <w:pStyle w:val="NoSpacing"/>
        <w:spacing w:before="60"/>
        <w:rPr>
          <w:rFonts w:ascii="Times New Roman" w:hAnsi="Times New Roman"/>
        </w:rPr>
      </w:pPr>
    </w:p>
    <w:p w:rsidR="0011150D" w:rsidRPr="00722338" w:rsidRDefault="008772DC" w:rsidP="0011150D">
      <w:pPr>
        <w:pStyle w:val="NoSpacing"/>
        <w:spacing w:before="60"/>
        <w:rPr>
          <w:rFonts w:ascii="Times New Roman" w:hAnsi="Times New Roman"/>
          <w:b/>
        </w:rPr>
      </w:pPr>
      <w:r>
        <w:rPr>
          <w:rFonts w:ascii="Times New Roman" w:hAnsi="Times New Roman"/>
          <w:b/>
        </w:rPr>
        <w:t xml:space="preserve">Proposed </w:t>
      </w:r>
      <w:r w:rsidR="0011150D" w:rsidRPr="00722338">
        <w:rPr>
          <w:rFonts w:ascii="Times New Roman" w:hAnsi="Times New Roman"/>
          <w:b/>
        </w:rPr>
        <w:t>Metered Service Charges:</w:t>
      </w:r>
    </w:p>
    <w:p w:rsidR="0011150D" w:rsidRPr="00722338" w:rsidRDefault="0011150D" w:rsidP="0011150D">
      <w:pPr>
        <w:pStyle w:val="NoSpacing"/>
        <w:spacing w:before="60"/>
        <w:rPr>
          <w:rFonts w:ascii="Times New Roman" w:hAnsi="Times New Roman"/>
        </w:rPr>
      </w:pPr>
    </w:p>
    <w:tbl>
      <w:tblPr>
        <w:tblW w:w="9297" w:type="dxa"/>
        <w:jc w:val="center"/>
        <w:tblInd w:w="-564" w:type="dxa"/>
        <w:tblLook w:val="04A0"/>
      </w:tblPr>
      <w:tblGrid>
        <w:gridCol w:w="1375"/>
        <w:gridCol w:w="923"/>
        <w:gridCol w:w="996"/>
        <w:gridCol w:w="996"/>
        <w:gridCol w:w="885"/>
        <w:gridCol w:w="1176"/>
        <w:gridCol w:w="885"/>
        <w:gridCol w:w="1176"/>
        <w:gridCol w:w="885"/>
      </w:tblGrid>
      <w:tr w:rsidR="00F01441" w:rsidRPr="00722338" w:rsidTr="003B590C">
        <w:trPr>
          <w:trHeight w:val="1020"/>
          <w:jc w:val="center"/>
        </w:trPr>
        <w:tc>
          <w:tcPr>
            <w:tcW w:w="1375" w:type="dxa"/>
            <w:tcBorders>
              <w:top w:val="single" w:sz="8" w:space="0" w:color="000000"/>
              <w:left w:val="single" w:sz="8" w:space="0" w:color="000000"/>
              <w:bottom w:val="double" w:sz="6" w:space="0" w:color="auto"/>
              <w:right w:val="single" w:sz="8" w:space="0" w:color="000000"/>
            </w:tcBorders>
            <w:shd w:val="clear" w:color="auto" w:fill="auto"/>
            <w:vAlign w:val="center"/>
            <w:hideMark/>
          </w:tcPr>
          <w:p w:rsidR="00F01441" w:rsidRPr="00C90DD4" w:rsidRDefault="00F01441" w:rsidP="008D10EE">
            <w:pPr>
              <w:jc w:val="center"/>
              <w:rPr>
                <w:b/>
                <w:bCs/>
                <w:color w:val="000000"/>
                <w:sz w:val="24"/>
                <w:szCs w:val="24"/>
              </w:rPr>
            </w:pPr>
            <w:r w:rsidRPr="00C90DD4">
              <w:rPr>
                <w:b/>
                <w:bCs/>
                <w:color w:val="000000"/>
                <w:sz w:val="24"/>
                <w:szCs w:val="24"/>
              </w:rPr>
              <w:t>Meter Size</w:t>
            </w:r>
          </w:p>
        </w:tc>
        <w:tc>
          <w:tcPr>
            <w:tcW w:w="923" w:type="dxa"/>
            <w:tcBorders>
              <w:top w:val="single" w:sz="8" w:space="0" w:color="000000"/>
              <w:left w:val="nil"/>
              <w:bottom w:val="double" w:sz="6" w:space="0" w:color="auto"/>
              <w:right w:val="single" w:sz="8" w:space="0" w:color="000000"/>
            </w:tcBorders>
            <w:shd w:val="clear" w:color="auto" w:fill="auto"/>
            <w:vAlign w:val="center"/>
            <w:hideMark/>
          </w:tcPr>
          <w:p w:rsidR="00F01441" w:rsidRPr="00C90DD4" w:rsidRDefault="00F01441" w:rsidP="008D10EE">
            <w:pPr>
              <w:jc w:val="center"/>
              <w:rPr>
                <w:b/>
                <w:bCs/>
                <w:color w:val="000000"/>
                <w:sz w:val="24"/>
                <w:szCs w:val="24"/>
              </w:rPr>
            </w:pPr>
            <w:r w:rsidRPr="00C90DD4">
              <w:rPr>
                <w:b/>
                <w:bCs/>
                <w:color w:val="000000"/>
                <w:sz w:val="24"/>
                <w:szCs w:val="24"/>
              </w:rPr>
              <w:t>Meter Size Factor</w:t>
            </w:r>
          </w:p>
        </w:tc>
        <w:tc>
          <w:tcPr>
            <w:tcW w:w="996" w:type="dxa"/>
            <w:tcBorders>
              <w:top w:val="single" w:sz="8" w:space="0" w:color="000000"/>
              <w:left w:val="nil"/>
              <w:bottom w:val="double" w:sz="6" w:space="0" w:color="auto"/>
              <w:right w:val="single" w:sz="8" w:space="0" w:color="000000"/>
            </w:tcBorders>
            <w:shd w:val="clear" w:color="auto" w:fill="auto"/>
            <w:vAlign w:val="center"/>
            <w:hideMark/>
          </w:tcPr>
          <w:p w:rsidR="00F01441" w:rsidRPr="00C90DD4" w:rsidRDefault="00F01441" w:rsidP="008D10EE">
            <w:pPr>
              <w:jc w:val="center"/>
              <w:rPr>
                <w:b/>
                <w:bCs/>
                <w:color w:val="000000"/>
                <w:sz w:val="24"/>
                <w:szCs w:val="24"/>
              </w:rPr>
            </w:pPr>
            <w:r w:rsidRPr="00C90DD4">
              <w:rPr>
                <w:b/>
                <w:bCs/>
                <w:color w:val="000000"/>
                <w:sz w:val="24"/>
                <w:szCs w:val="24"/>
              </w:rPr>
              <w:t>Base Rate</w:t>
            </w:r>
          </w:p>
        </w:tc>
        <w:tc>
          <w:tcPr>
            <w:tcW w:w="996" w:type="dxa"/>
            <w:tcBorders>
              <w:top w:val="single" w:sz="8" w:space="0" w:color="000000"/>
              <w:left w:val="nil"/>
              <w:bottom w:val="double" w:sz="6" w:space="0" w:color="auto"/>
              <w:right w:val="single" w:sz="8" w:space="0" w:color="000000"/>
            </w:tcBorders>
            <w:shd w:val="clear" w:color="auto" w:fill="auto"/>
            <w:vAlign w:val="center"/>
            <w:hideMark/>
          </w:tcPr>
          <w:p w:rsidR="00F01441" w:rsidRPr="00C90DD4" w:rsidRDefault="00F01441" w:rsidP="008D10EE">
            <w:pPr>
              <w:jc w:val="center"/>
              <w:rPr>
                <w:b/>
                <w:bCs/>
                <w:color w:val="000000"/>
                <w:sz w:val="24"/>
                <w:szCs w:val="24"/>
              </w:rPr>
            </w:pPr>
            <w:r w:rsidRPr="00C90DD4">
              <w:rPr>
                <w:b/>
                <w:bCs/>
                <w:color w:val="000000"/>
                <w:sz w:val="24"/>
                <w:szCs w:val="24"/>
              </w:rPr>
              <w:t>1</w:t>
            </w:r>
            <w:r w:rsidRPr="00C90DD4">
              <w:rPr>
                <w:b/>
                <w:bCs/>
                <w:color w:val="000000"/>
                <w:sz w:val="24"/>
                <w:szCs w:val="24"/>
                <w:vertAlign w:val="superscript"/>
              </w:rPr>
              <w:t>st</w:t>
            </w:r>
            <w:r w:rsidRPr="00C90DD4">
              <w:rPr>
                <w:b/>
                <w:bCs/>
                <w:color w:val="000000"/>
                <w:sz w:val="24"/>
                <w:szCs w:val="24"/>
              </w:rPr>
              <w:t xml:space="preserve"> Block (gal.)</w:t>
            </w:r>
          </w:p>
        </w:tc>
        <w:tc>
          <w:tcPr>
            <w:tcW w:w="885" w:type="dxa"/>
            <w:tcBorders>
              <w:top w:val="single" w:sz="8" w:space="0" w:color="000000"/>
              <w:left w:val="nil"/>
              <w:bottom w:val="double" w:sz="6" w:space="0" w:color="auto"/>
              <w:right w:val="single" w:sz="8" w:space="0" w:color="000000"/>
            </w:tcBorders>
            <w:shd w:val="clear" w:color="auto" w:fill="auto"/>
            <w:vAlign w:val="center"/>
            <w:hideMark/>
          </w:tcPr>
          <w:p w:rsidR="00F01441" w:rsidRPr="00C90DD4" w:rsidRDefault="00F01441" w:rsidP="008D10EE">
            <w:pPr>
              <w:jc w:val="center"/>
              <w:rPr>
                <w:b/>
                <w:bCs/>
                <w:color w:val="000000"/>
                <w:sz w:val="24"/>
                <w:szCs w:val="24"/>
              </w:rPr>
            </w:pPr>
            <w:r w:rsidRPr="00C90DD4">
              <w:rPr>
                <w:b/>
                <w:bCs/>
                <w:color w:val="000000"/>
                <w:sz w:val="24"/>
                <w:szCs w:val="24"/>
              </w:rPr>
              <w:t>1</w:t>
            </w:r>
            <w:r w:rsidRPr="00C90DD4">
              <w:rPr>
                <w:b/>
                <w:bCs/>
                <w:color w:val="000000"/>
                <w:sz w:val="24"/>
                <w:szCs w:val="24"/>
                <w:vertAlign w:val="superscript"/>
              </w:rPr>
              <w:t>st</w:t>
            </w:r>
            <w:r w:rsidRPr="00C90DD4">
              <w:rPr>
                <w:b/>
                <w:bCs/>
                <w:color w:val="000000"/>
                <w:sz w:val="24"/>
                <w:szCs w:val="24"/>
              </w:rPr>
              <w:t xml:space="preserve"> Usage Rate</w:t>
            </w:r>
          </w:p>
        </w:tc>
        <w:tc>
          <w:tcPr>
            <w:tcW w:w="1176" w:type="dxa"/>
            <w:tcBorders>
              <w:top w:val="single" w:sz="8" w:space="0" w:color="000000"/>
              <w:left w:val="nil"/>
              <w:bottom w:val="double" w:sz="6" w:space="0" w:color="auto"/>
              <w:right w:val="single" w:sz="8" w:space="0" w:color="000000"/>
            </w:tcBorders>
            <w:shd w:val="clear" w:color="auto" w:fill="auto"/>
            <w:vAlign w:val="center"/>
            <w:hideMark/>
          </w:tcPr>
          <w:p w:rsidR="00F01441" w:rsidRPr="00C90DD4" w:rsidRDefault="00F01441" w:rsidP="008D10EE">
            <w:pPr>
              <w:jc w:val="center"/>
              <w:rPr>
                <w:b/>
                <w:bCs/>
                <w:color w:val="000000"/>
                <w:sz w:val="24"/>
                <w:szCs w:val="24"/>
              </w:rPr>
            </w:pPr>
            <w:r w:rsidRPr="00C90DD4">
              <w:rPr>
                <w:b/>
                <w:bCs/>
                <w:color w:val="000000"/>
                <w:sz w:val="24"/>
                <w:szCs w:val="24"/>
              </w:rPr>
              <w:t>2</w:t>
            </w:r>
            <w:r w:rsidRPr="00C90DD4">
              <w:rPr>
                <w:b/>
                <w:bCs/>
                <w:color w:val="000000"/>
                <w:sz w:val="24"/>
                <w:szCs w:val="24"/>
                <w:vertAlign w:val="superscript"/>
              </w:rPr>
              <w:t>nd</w:t>
            </w:r>
            <w:r w:rsidRPr="00C90DD4">
              <w:rPr>
                <w:b/>
                <w:bCs/>
                <w:color w:val="000000"/>
                <w:sz w:val="24"/>
                <w:szCs w:val="24"/>
              </w:rPr>
              <w:t xml:space="preserve"> Block (gal.)</w:t>
            </w:r>
          </w:p>
        </w:tc>
        <w:tc>
          <w:tcPr>
            <w:tcW w:w="885" w:type="dxa"/>
            <w:tcBorders>
              <w:top w:val="single" w:sz="8" w:space="0" w:color="000000"/>
              <w:left w:val="nil"/>
              <w:bottom w:val="double" w:sz="6" w:space="0" w:color="auto"/>
              <w:right w:val="single" w:sz="8" w:space="0" w:color="000000"/>
            </w:tcBorders>
            <w:shd w:val="clear" w:color="auto" w:fill="auto"/>
            <w:vAlign w:val="center"/>
            <w:hideMark/>
          </w:tcPr>
          <w:p w:rsidR="00F01441" w:rsidRPr="00C90DD4" w:rsidRDefault="00F01441" w:rsidP="008D10EE">
            <w:pPr>
              <w:jc w:val="center"/>
              <w:rPr>
                <w:b/>
                <w:bCs/>
                <w:color w:val="000000"/>
                <w:sz w:val="24"/>
                <w:szCs w:val="24"/>
              </w:rPr>
            </w:pPr>
            <w:r w:rsidRPr="00C90DD4">
              <w:rPr>
                <w:b/>
                <w:bCs/>
                <w:color w:val="000000"/>
                <w:sz w:val="24"/>
                <w:szCs w:val="24"/>
              </w:rPr>
              <w:t>2</w:t>
            </w:r>
            <w:r w:rsidRPr="00C90DD4">
              <w:rPr>
                <w:b/>
                <w:bCs/>
                <w:color w:val="000000"/>
                <w:sz w:val="24"/>
                <w:szCs w:val="24"/>
                <w:vertAlign w:val="superscript"/>
              </w:rPr>
              <w:t>nd</w:t>
            </w:r>
            <w:r w:rsidRPr="00C90DD4">
              <w:rPr>
                <w:b/>
                <w:bCs/>
                <w:color w:val="000000"/>
                <w:sz w:val="24"/>
                <w:szCs w:val="24"/>
              </w:rPr>
              <w:t xml:space="preserve"> Usage Rate</w:t>
            </w:r>
          </w:p>
        </w:tc>
        <w:tc>
          <w:tcPr>
            <w:tcW w:w="1176" w:type="dxa"/>
            <w:tcBorders>
              <w:top w:val="single" w:sz="8" w:space="0" w:color="000000"/>
              <w:left w:val="nil"/>
              <w:bottom w:val="double" w:sz="6" w:space="0" w:color="auto"/>
              <w:right w:val="single" w:sz="8" w:space="0" w:color="000000"/>
            </w:tcBorders>
            <w:shd w:val="clear" w:color="auto" w:fill="auto"/>
            <w:vAlign w:val="center"/>
            <w:hideMark/>
          </w:tcPr>
          <w:p w:rsidR="00F01441" w:rsidRPr="00C90DD4" w:rsidRDefault="00F01441" w:rsidP="008D10EE">
            <w:pPr>
              <w:jc w:val="center"/>
              <w:rPr>
                <w:b/>
                <w:bCs/>
                <w:color w:val="000000"/>
                <w:sz w:val="24"/>
                <w:szCs w:val="24"/>
              </w:rPr>
            </w:pPr>
            <w:r w:rsidRPr="00C90DD4">
              <w:rPr>
                <w:b/>
                <w:bCs/>
                <w:color w:val="000000"/>
                <w:sz w:val="24"/>
                <w:szCs w:val="24"/>
              </w:rPr>
              <w:t>3</w:t>
            </w:r>
            <w:r w:rsidRPr="00C90DD4">
              <w:rPr>
                <w:b/>
                <w:bCs/>
                <w:color w:val="000000"/>
                <w:sz w:val="24"/>
                <w:szCs w:val="24"/>
                <w:vertAlign w:val="superscript"/>
              </w:rPr>
              <w:t>rd</w:t>
            </w:r>
            <w:r w:rsidRPr="00C90DD4">
              <w:rPr>
                <w:b/>
                <w:bCs/>
                <w:color w:val="000000"/>
                <w:sz w:val="24"/>
                <w:szCs w:val="24"/>
              </w:rPr>
              <w:t xml:space="preserve"> Block (gal.)</w:t>
            </w:r>
          </w:p>
        </w:tc>
        <w:tc>
          <w:tcPr>
            <w:tcW w:w="885" w:type="dxa"/>
            <w:tcBorders>
              <w:top w:val="single" w:sz="8" w:space="0" w:color="000000"/>
              <w:left w:val="nil"/>
              <w:bottom w:val="double" w:sz="6" w:space="0" w:color="auto"/>
              <w:right w:val="single" w:sz="8" w:space="0" w:color="000000"/>
            </w:tcBorders>
            <w:shd w:val="clear" w:color="auto" w:fill="auto"/>
            <w:vAlign w:val="center"/>
            <w:hideMark/>
          </w:tcPr>
          <w:p w:rsidR="00F01441" w:rsidRPr="00C90DD4" w:rsidRDefault="00F01441" w:rsidP="008D10EE">
            <w:pPr>
              <w:jc w:val="center"/>
              <w:rPr>
                <w:b/>
                <w:bCs/>
                <w:color w:val="000000"/>
                <w:sz w:val="24"/>
                <w:szCs w:val="24"/>
              </w:rPr>
            </w:pPr>
            <w:r w:rsidRPr="00C90DD4">
              <w:rPr>
                <w:b/>
                <w:bCs/>
                <w:color w:val="000000"/>
                <w:sz w:val="24"/>
                <w:szCs w:val="24"/>
              </w:rPr>
              <w:t>3</w:t>
            </w:r>
            <w:r w:rsidRPr="00C90DD4">
              <w:rPr>
                <w:b/>
                <w:bCs/>
                <w:color w:val="000000"/>
                <w:sz w:val="24"/>
                <w:szCs w:val="24"/>
                <w:vertAlign w:val="superscript"/>
              </w:rPr>
              <w:t>rd</w:t>
            </w:r>
            <w:r w:rsidRPr="00C90DD4">
              <w:rPr>
                <w:b/>
                <w:bCs/>
                <w:color w:val="000000"/>
                <w:sz w:val="24"/>
                <w:szCs w:val="24"/>
              </w:rPr>
              <w:t xml:space="preserve"> Usage Rate</w:t>
            </w:r>
          </w:p>
        </w:tc>
      </w:tr>
      <w:tr w:rsidR="00F01441" w:rsidRPr="00722338" w:rsidTr="003B590C">
        <w:trPr>
          <w:trHeight w:val="660"/>
          <w:jc w:val="center"/>
        </w:trPr>
        <w:tc>
          <w:tcPr>
            <w:tcW w:w="1375" w:type="dxa"/>
            <w:tcBorders>
              <w:top w:val="nil"/>
              <w:left w:val="single" w:sz="8" w:space="0" w:color="000000"/>
              <w:bottom w:val="single" w:sz="8" w:space="0" w:color="000000"/>
              <w:right w:val="single" w:sz="8" w:space="0" w:color="000000"/>
            </w:tcBorders>
            <w:shd w:val="clear" w:color="auto" w:fill="auto"/>
            <w:vAlign w:val="center"/>
            <w:hideMark/>
          </w:tcPr>
          <w:p w:rsidR="00F01441" w:rsidRPr="00C90DD4" w:rsidRDefault="00F01441" w:rsidP="008D10EE">
            <w:pPr>
              <w:rPr>
                <w:color w:val="000000"/>
                <w:sz w:val="24"/>
                <w:szCs w:val="24"/>
              </w:rPr>
            </w:pPr>
            <w:r w:rsidRPr="00C90DD4">
              <w:rPr>
                <w:color w:val="000000"/>
                <w:sz w:val="24"/>
                <w:szCs w:val="24"/>
              </w:rPr>
              <w:t>¾-inch</w:t>
            </w:r>
          </w:p>
        </w:tc>
        <w:tc>
          <w:tcPr>
            <w:tcW w:w="923" w:type="dxa"/>
            <w:tcBorders>
              <w:top w:val="nil"/>
              <w:left w:val="nil"/>
              <w:bottom w:val="single" w:sz="8" w:space="0" w:color="000000"/>
              <w:right w:val="single" w:sz="8" w:space="0" w:color="000000"/>
            </w:tcBorders>
            <w:shd w:val="clear" w:color="auto" w:fill="auto"/>
            <w:vAlign w:val="center"/>
            <w:hideMark/>
          </w:tcPr>
          <w:p w:rsidR="00F01441" w:rsidRPr="00C90DD4" w:rsidRDefault="00F01441" w:rsidP="008D10EE">
            <w:pPr>
              <w:jc w:val="right"/>
              <w:rPr>
                <w:color w:val="000000"/>
                <w:sz w:val="24"/>
                <w:szCs w:val="24"/>
              </w:rPr>
            </w:pPr>
            <w:r w:rsidRPr="00C90DD4">
              <w:rPr>
                <w:color w:val="000000"/>
                <w:sz w:val="24"/>
                <w:szCs w:val="24"/>
              </w:rPr>
              <w:t>1</w:t>
            </w:r>
          </w:p>
        </w:tc>
        <w:tc>
          <w:tcPr>
            <w:tcW w:w="996" w:type="dxa"/>
            <w:tcBorders>
              <w:top w:val="nil"/>
              <w:left w:val="nil"/>
              <w:bottom w:val="single" w:sz="8" w:space="0" w:color="000000"/>
              <w:right w:val="single" w:sz="8" w:space="0" w:color="000000"/>
            </w:tcBorders>
            <w:shd w:val="clear" w:color="auto" w:fill="auto"/>
            <w:vAlign w:val="center"/>
            <w:hideMark/>
          </w:tcPr>
          <w:p w:rsidR="00F01441" w:rsidRPr="00C90DD4" w:rsidRDefault="00F01441" w:rsidP="008D10EE">
            <w:pPr>
              <w:jc w:val="right"/>
              <w:rPr>
                <w:color w:val="000000"/>
                <w:sz w:val="24"/>
                <w:szCs w:val="24"/>
              </w:rPr>
            </w:pPr>
            <w:r w:rsidRPr="00C90DD4">
              <w:rPr>
                <w:color w:val="000000"/>
                <w:sz w:val="24"/>
                <w:szCs w:val="24"/>
              </w:rPr>
              <w:t xml:space="preserve">$28.75 </w:t>
            </w:r>
          </w:p>
        </w:tc>
        <w:tc>
          <w:tcPr>
            <w:tcW w:w="996" w:type="dxa"/>
            <w:tcBorders>
              <w:top w:val="nil"/>
              <w:left w:val="nil"/>
              <w:bottom w:val="single" w:sz="8" w:space="0" w:color="000000"/>
              <w:right w:val="single" w:sz="8" w:space="0" w:color="000000"/>
            </w:tcBorders>
            <w:shd w:val="clear" w:color="auto" w:fill="auto"/>
            <w:vAlign w:val="center"/>
            <w:hideMark/>
          </w:tcPr>
          <w:p w:rsidR="00F01441" w:rsidRPr="00C90DD4" w:rsidRDefault="00F01441" w:rsidP="008D10EE">
            <w:pPr>
              <w:rPr>
                <w:color w:val="000000"/>
                <w:sz w:val="24"/>
                <w:szCs w:val="24"/>
              </w:rPr>
            </w:pPr>
            <w:r w:rsidRPr="00C90DD4">
              <w:rPr>
                <w:color w:val="000000"/>
                <w:sz w:val="24"/>
                <w:szCs w:val="24"/>
              </w:rPr>
              <w:t>0 – 10,000</w:t>
            </w:r>
          </w:p>
        </w:tc>
        <w:tc>
          <w:tcPr>
            <w:tcW w:w="885" w:type="dxa"/>
            <w:tcBorders>
              <w:top w:val="nil"/>
              <w:left w:val="nil"/>
              <w:bottom w:val="single" w:sz="8" w:space="0" w:color="000000"/>
              <w:right w:val="single" w:sz="8" w:space="0" w:color="000000"/>
            </w:tcBorders>
            <w:shd w:val="clear" w:color="auto" w:fill="auto"/>
            <w:vAlign w:val="center"/>
            <w:hideMark/>
          </w:tcPr>
          <w:p w:rsidR="00F01441" w:rsidRPr="00C90DD4" w:rsidRDefault="00F01441" w:rsidP="008D10EE">
            <w:pPr>
              <w:jc w:val="right"/>
              <w:rPr>
                <w:color w:val="000000"/>
                <w:sz w:val="24"/>
                <w:szCs w:val="24"/>
              </w:rPr>
            </w:pPr>
            <w:r w:rsidRPr="00C90DD4">
              <w:rPr>
                <w:color w:val="000000"/>
                <w:sz w:val="24"/>
                <w:szCs w:val="24"/>
              </w:rPr>
              <w:t xml:space="preserve">$2.50 </w:t>
            </w:r>
          </w:p>
        </w:tc>
        <w:tc>
          <w:tcPr>
            <w:tcW w:w="1176" w:type="dxa"/>
            <w:tcBorders>
              <w:top w:val="nil"/>
              <w:left w:val="nil"/>
              <w:bottom w:val="single" w:sz="8" w:space="0" w:color="000000"/>
              <w:right w:val="single" w:sz="8" w:space="0" w:color="000000"/>
            </w:tcBorders>
            <w:shd w:val="clear" w:color="auto" w:fill="auto"/>
            <w:vAlign w:val="center"/>
            <w:hideMark/>
          </w:tcPr>
          <w:p w:rsidR="00F01441" w:rsidRPr="00C90DD4" w:rsidRDefault="00F01441" w:rsidP="008D10EE">
            <w:pPr>
              <w:rPr>
                <w:color w:val="000000"/>
                <w:sz w:val="24"/>
                <w:szCs w:val="24"/>
              </w:rPr>
            </w:pPr>
            <w:r w:rsidRPr="00C90DD4">
              <w:rPr>
                <w:color w:val="000000"/>
                <w:sz w:val="24"/>
                <w:szCs w:val="24"/>
              </w:rPr>
              <w:t>10,001 – 40,000</w:t>
            </w:r>
          </w:p>
        </w:tc>
        <w:tc>
          <w:tcPr>
            <w:tcW w:w="885" w:type="dxa"/>
            <w:tcBorders>
              <w:top w:val="nil"/>
              <w:left w:val="nil"/>
              <w:bottom w:val="single" w:sz="8" w:space="0" w:color="000000"/>
              <w:right w:val="single" w:sz="8" w:space="0" w:color="000000"/>
            </w:tcBorders>
            <w:shd w:val="clear" w:color="auto" w:fill="auto"/>
            <w:vAlign w:val="center"/>
            <w:hideMark/>
          </w:tcPr>
          <w:p w:rsidR="00F01441" w:rsidRPr="00C90DD4" w:rsidRDefault="00F01441" w:rsidP="008D10EE">
            <w:pPr>
              <w:jc w:val="right"/>
              <w:rPr>
                <w:color w:val="000000"/>
                <w:sz w:val="24"/>
                <w:szCs w:val="24"/>
              </w:rPr>
            </w:pPr>
            <w:r w:rsidRPr="00C90DD4">
              <w:rPr>
                <w:color w:val="000000"/>
                <w:sz w:val="24"/>
                <w:szCs w:val="24"/>
              </w:rPr>
              <w:t xml:space="preserve">$3.00 </w:t>
            </w:r>
          </w:p>
        </w:tc>
        <w:tc>
          <w:tcPr>
            <w:tcW w:w="1176" w:type="dxa"/>
            <w:tcBorders>
              <w:top w:val="nil"/>
              <w:left w:val="nil"/>
              <w:bottom w:val="single" w:sz="8" w:space="0" w:color="000000"/>
              <w:right w:val="single" w:sz="8" w:space="0" w:color="000000"/>
            </w:tcBorders>
            <w:shd w:val="clear" w:color="auto" w:fill="auto"/>
            <w:vAlign w:val="center"/>
            <w:hideMark/>
          </w:tcPr>
          <w:p w:rsidR="00F01441" w:rsidRPr="00C90DD4" w:rsidRDefault="00F01441" w:rsidP="008D10EE">
            <w:pPr>
              <w:rPr>
                <w:color w:val="000000"/>
                <w:sz w:val="24"/>
                <w:szCs w:val="24"/>
              </w:rPr>
            </w:pPr>
            <w:r w:rsidRPr="00C90DD4">
              <w:rPr>
                <w:color w:val="000000"/>
                <w:sz w:val="24"/>
                <w:szCs w:val="24"/>
              </w:rPr>
              <w:t>Over 40,000</w:t>
            </w:r>
          </w:p>
        </w:tc>
        <w:tc>
          <w:tcPr>
            <w:tcW w:w="885" w:type="dxa"/>
            <w:tcBorders>
              <w:top w:val="nil"/>
              <w:left w:val="nil"/>
              <w:bottom w:val="single" w:sz="8" w:space="0" w:color="000000"/>
              <w:right w:val="single" w:sz="8" w:space="0" w:color="000000"/>
            </w:tcBorders>
            <w:shd w:val="clear" w:color="auto" w:fill="auto"/>
            <w:vAlign w:val="center"/>
            <w:hideMark/>
          </w:tcPr>
          <w:p w:rsidR="00F01441" w:rsidRPr="00C90DD4" w:rsidRDefault="00F01441" w:rsidP="008D10EE">
            <w:pPr>
              <w:jc w:val="right"/>
              <w:rPr>
                <w:color w:val="000000"/>
                <w:sz w:val="24"/>
                <w:szCs w:val="24"/>
              </w:rPr>
            </w:pPr>
            <w:r w:rsidRPr="00C90DD4">
              <w:rPr>
                <w:color w:val="000000"/>
                <w:sz w:val="24"/>
                <w:szCs w:val="24"/>
              </w:rPr>
              <w:t xml:space="preserve">$3.50 </w:t>
            </w:r>
          </w:p>
        </w:tc>
      </w:tr>
    </w:tbl>
    <w:p w:rsidR="003B590C" w:rsidRDefault="003B590C" w:rsidP="0011150D">
      <w:pPr>
        <w:pStyle w:val="NoSpacing"/>
        <w:spacing w:before="60"/>
        <w:rPr>
          <w:rFonts w:ascii="Times New Roman" w:hAnsi="Times New Roman"/>
        </w:rPr>
      </w:pPr>
    </w:p>
    <w:p w:rsidR="008D10EE" w:rsidRDefault="008D10EE" w:rsidP="003039D7">
      <w:pPr>
        <w:tabs>
          <w:tab w:val="right" w:pos="1440"/>
          <w:tab w:val="right" w:pos="3870"/>
        </w:tabs>
      </w:pPr>
    </w:p>
    <w:p w:rsidR="00702635" w:rsidRDefault="00702635" w:rsidP="003039D7">
      <w:pPr>
        <w:tabs>
          <w:tab w:val="right" w:pos="1440"/>
          <w:tab w:val="right" w:pos="3870"/>
        </w:tabs>
      </w:pPr>
      <w:r>
        <w:t>Comparison of new rates to old:</w:t>
      </w:r>
    </w:p>
    <w:tbl>
      <w:tblPr>
        <w:tblStyle w:val="TableGrid"/>
        <w:tblW w:w="0" w:type="auto"/>
        <w:tblInd w:w="-72" w:type="dxa"/>
        <w:tblLook w:val="04A0"/>
      </w:tblPr>
      <w:tblGrid>
        <w:gridCol w:w="6480"/>
        <w:gridCol w:w="1980"/>
        <w:gridCol w:w="1764"/>
      </w:tblGrid>
      <w:tr w:rsidR="00702635" w:rsidTr="00B71606">
        <w:tc>
          <w:tcPr>
            <w:tcW w:w="6480" w:type="dxa"/>
            <w:vAlign w:val="center"/>
          </w:tcPr>
          <w:p w:rsidR="00702635" w:rsidRPr="00C84E04" w:rsidRDefault="00702635" w:rsidP="00B71606">
            <w:pPr>
              <w:tabs>
                <w:tab w:val="right" w:pos="1440"/>
                <w:tab w:val="right" w:pos="3870"/>
              </w:tabs>
              <w:rPr>
                <w:sz w:val="24"/>
                <w:szCs w:val="24"/>
              </w:rPr>
            </w:pPr>
            <w:r w:rsidRPr="00C84E04">
              <w:rPr>
                <w:sz w:val="24"/>
                <w:szCs w:val="24"/>
              </w:rPr>
              <w:t>Product or Service</w:t>
            </w:r>
          </w:p>
        </w:tc>
        <w:tc>
          <w:tcPr>
            <w:tcW w:w="1980" w:type="dxa"/>
            <w:vAlign w:val="center"/>
          </w:tcPr>
          <w:p w:rsidR="00702635" w:rsidRPr="00C84E04" w:rsidRDefault="00702635" w:rsidP="00B71606">
            <w:pPr>
              <w:tabs>
                <w:tab w:val="right" w:pos="1440"/>
                <w:tab w:val="right" w:pos="3870"/>
              </w:tabs>
              <w:rPr>
                <w:sz w:val="24"/>
                <w:szCs w:val="24"/>
              </w:rPr>
            </w:pPr>
            <w:r w:rsidRPr="00C84E04">
              <w:rPr>
                <w:sz w:val="24"/>
                <w:szCs w:val="24"/>
              </w:rPr>
              <w:t>Old Rate</w:t>
            </w:r>
          </w:p>
        </w:tc>
        <w:tc>
          <w:tcPr>
            <w:tcW w:w="1764" w:type="dxa"/>
            <w:vAlign w:val="center"/>
          </w:tcPr>
          <w:p w:rsidR="00702635" w:rsidRPr="00C84E04" w:rsidRDefault="00702635" w:rsidP="00B71606">
            <w:pPr>
              <w:tabs>
                <w:tab w:val="right" w:pos="1440"/>
                <w:tab w:val="right" w:pos="3870"/>
              </w:tabs>
              <w:rPr>
                <w:sz w:val="24"/>
                <w:szCs w:val="24"/>
              </w:rPr>
            </w:pPr>
            <w:r w:rsidRPr="00C84E04">
              <w:rPr>
                <w:sz w:val="24"/>
                <w:szCs w:val="24"/>
              </w:rPr>
              <w:t>New Rate</w:t>
            </w:r>
          </w:p>
        </w:tc>
      </w:tr>
      <w:tr w:rsidR="00702635" w:rsidTr="00B71606">
        <w:tc>
          <w:tcPr>
            <w:tcW w:w="6480" w:type="dxa"/>
            <w:vAlign w:val="center"/>
          </w:tcPr>
          <w:p w:rsidR="00702635" w:rsidRPr="00C84E04" w:rsidRDefault="00702635" w:rsidP="00B71606">
            <w:pPr>
              <w:tabs>
                <w:tab w:val="right" w:pos="1440"/>
                <w:tab w:val="right" w:pos="3870"/>
              </w:tabs>
              <w:rPr>
                <w:sz w:val="24"/>
                <w:szCs w:val="24"/>
              </w:rPr>
            </w:pPr>
            <w:r w:rsidRPr="00C84E04">
              <w:rPr>
                <w:sz w:val="24"/>
                <w:szCs w:val="24"/>
              </w:rPr>
              <w:t>Flat Rate Service</w:t>
            </w:r>
          </w:p>
        </w:tc>
        <w:tc>
          <w:tcPr>
            <w:tcW w:w="1980" w:type="dxa"/>
            <w:vAlign w:val="center"/>
          </w:tcPr>
          <w:p w:rsidR="00702635" w:rsidRPr="00C84E04" w:rsidRDefault="00702635" w:rsidP="00B71606">
            <w:pPr>
              <w:tabs>
                <w:tab w:val="right" w:pos="1440"/>
                <w:tab w:val="right" w:pos="3870"/>
              </w:tabs>
              <w:rPr>
                <w:sz w:val="24"/>
                <w:szCs w:val="24"/>
              </w:rPr>
            </w:pPr>
            <w:r w:rsidRPr="00C84E04">
              <w:rPr>
                <w:sz w:val="24"/>
                <w:szCs w:val="24"/>
              </w:rPr>
              <w:t>$34.83</w:t>
            </w:r>
          </w:p>
        </w:tc>
        <w:tc>
          <w:tcPr>
            <w:tcW w:w="1764" w:type="dxa"/>
            <w:vAlign w:val="center"/>
          </w:tcPr>
          <w:p w:rsidR="00702635" w:rsidRPr="00C84E04" w:rsidRDefault="00702635" w:rsidP="00B71606">
            <w:pPr>
              <w:tabs>
                <w:tab w:val="right" w:pos="1440"/>
                <w:tab w:val="right" w:pos="3870"/>
              </w:tabs>
              <w:rPr>
                <w:sz w:val="24"/>
                <w:szCs w:val="24"/>
              </w:rPr>
            </w:pPr>
            <w:r w:rsidRPr="00C84E04">
              <w:rPr>
                <w:sz w:val="24"/>
                <w:szCs w:val="24"/>
              </w:rPr>
              <w:t>$68.40</w:t>
            </w:r>
          </w:p>
        </w:tc>
      </w:tr>
      <w:tr w:rsidR="00702635" w:rsidTr="00B71606">
        <w:tc>
          <w:tcPr>
            <w:tcW w:w="6480" w:type="dxa"/>
            <w:vAlign w:val="center"/>
          </w:tcPr>
          <w:p w:rsidR="00702635" w:rsidRPr="00C84E04" w:rsidRDefault="00702635" w:rsidP="00B71606">
            <w:pPr>
              <w:tabs>
                <w:tab w:val="right" w:pos="1440"/>
                <w:tab w:val="right" w:pos="3870"/>
              </w:tabs>
              <w:rPr>
                <w:sz w:val="24"/>
                <w:szCs w:val="24"/>
              </w:rPr>
            </w:pPr>
            <w:r w:rsidRPr="00C84E04">
              <w:rPr>
                <w:sz w:val="24"/>
                <w:szCs w:val="24"/>
              </w:rPr>
              <w:t>Metered Rate</w:t>
            </w:r>
          </w:p>
        </w:tc>
        <w:tc>
          <w:tcPr>
            <w:tcW w:w="1980" w:type="dxa"/>
            <w:vAlign w:val="center"/>
          </w:tcPr>
          <w:p w:rsidR="00702635" w:rsidRPr="00C84E04" w:rsidRDefault="00702635" w:rsidP="00B71606">
            <w:pPr>
              <w:tabs>
                <w:tab w:val="right" w:pos="1440"/>
                <w:tab w:val="right" w:pos="3870"/>
              </w:tabs>
              <w:rPr>
                <w:sz w:val="24"/>
                <w:szCs w:val="24"/>
              </w:rPr>
            </w:pPr>
            <w:r w:rsidRPr="00C84E04">
              <w:rPr>
                <w:sz w:val="24"/>
                <w:szCs w:val="24"/>
              </w:rPr>
              <w:t>Not Available</w:t>
            </w:r>
          </w:p>
        </w:tc>
        <w:tc>
          <w:tcPr>
            <w:tcW w:w="1764" w:type="dxa"/>
            <w:vAlign w:val="center"/>
          </w:tcPr>
          <w:p w:rsidR="00702635" w:rsidRPr="00C84E04" w:rsidRDefault="00702635" w:rsidP="00B71606">
            <w:pPr>
              <w:tabs>
                <w:tab w:val="right" w:pos="1440"/>
                <w:tab w:val="right" w:pos="3870"/>
              </w:tabs>
              <w:rPr>
                <w:sz w:val="24"/>
                <w:szCs w:val="24"/>
              </w:rPr>
            </w:pPr>
            <w:r w:rsidRPr="00C84E04">
              <w:rPr>
                <w:sz w:val="24"/>
                <w:szCs w:val="24"/>
              </w:rPr>
              <w:t xml:space="preserve">See </w:t>
            </w:r>
            <w:r w:rsidR="00C84E04" w:rsidRPr="00C84E04">
              <w:rPr>
                <w:sz w:val="24"/>
                <w:szCs w:val="24"/>
              </w:rPr>
              <w:t xml:space="preserve">Table </w:t>
            </w:r>
            <w:r w:rsidRPr="00C84E04">
              <w:rPr>
                <w:sz w:val="24"/>
                <w:szCs w:val="24"/>
              </w:rPr>
              <w:t>Above</w:t>
            </w:r>
          </w:p>
        </w:tc>
      </w:tr>
      <w:tr w:rsidR="00702635" w:rsidTr="00B71606">
        <w:tc>
          <w:tcPr>
            <w:tcW w:w="6480" w:type="dxa"/>
            <w:vAlign w:val="center"/>
          </w:tcPr>
          <w:p w:rsidR="00702635" w:rsidRPr="00C84E04" w:rsidRDefault="00702635" w:rsidP="00B71606">
            <w:pPr>
              <w:tabs>
                <w:tab w:val="right" w:pos="1440"/>
                <w:tab w:val="right" w:pos="3870"/>
              </w:tabs>
              <w:rPr>
                <w:sz w:val="24"/>
                <w:szCs w:val="24"/>
              </w:rPr>
            </w:pPr>
            <w:r w:rsidRPr="00C84E04">
              <w:rPr>
                <w:sz w:val="24"/>
                <w:szCs w:val="24"/>
              </w:rPr>
              <w:t>Ready To Serve Service</w:t>
            </w:r>
          </w:p>
        </w:tc>
        <w:tc>
          <w:tcPr>
            <w:tcW w:w="1980" w:type="dxa"/>
            <w:vAlign w:val="center"/>
          </w:tcPr>
          <w:p w:rsidR="00702635" w:rsidRPr="00C84E04" w:rsidRDefault="00702635" w:rsidP="00B71606">
            <w:pPr>
              <w:tabs>
                <w:tab w:val="right" w:pos="1440"/>
                <w:tab w:val="right" w:pos="3870"/>
              </w:tabs>
              <w:rPr>
                <w:sz w:val="24"/>
                <w:szCs w:val="24"/>
              </w:rPr>
            </w:pPr>
            <w:r w:rsidRPr="00C84E04">
              <w:rPr>
                <w:sz w:val="24"/>
                <w:szCs w:val="24"/>
              </w:rPr>
              <w:t>Not Available</w:t>
            </w:r>
          </w:p>
        </w:tc>
        <w:tc>
          <w:tcPr>
            <w:tcW w:w="1764" w:type="dxa"/>
            <w:vAlign w:val="center"/>
          </w:tcPr>
          <w:p w:rsidR="00702635" w:rsidRPr="00C84E04" w:rsidRDefault="00702635" w:rsidP="00B71606">
            <w:pPr>
              <w:tabs>
                <w:tab w:val="right" w:pos="1440"/>
                <w:tab w:val="right" w:pos="3870"/>
              </w:tabs>
              <w:rPr>
                <w:sz w:val="24"/>
                <w:szCs w:val="24"/>
              </w:rPr>
            </w:pPr>
            <w:r w:rsidRPr="00C84E04">
              <w:rPr>
                <w:sz w:val="24"/>
                <w:szCs w:val="24"/>
              </w:rPr>
              <w:t>$28.75</w:t>
            </w:r>
          </w:p>
        </w:tc>
      </w:tr>
      <w:tr w:rsidR="00702635" w:rsidTr="00B71606">
        <w:tc>
          <w:tcPr>
            <w:tcW w:w="6480" w:type="dxa"/>
            <w:vAlign w:val="center"/>
          </w:tcPr>
          <w:p w:rsidR="00702635" w:rsidRPr="00C84E04" w:rsidRDefault="00702635" w:rsidP="00B71606">
            <w:pPr>
              <w:tabs>
                <w:tab w:val="right" w:pos="1440"/>
                <w:tab w:val="right" w:pos="3870"/>
              </w:tabs>
              <w:rPr>
                <w:sz w:val="24"/>
                <w:szCs w:val="24"/>
              </w:rPr>
            </w:pPr>
            <w:r w:rsidRPr="00C84E04">
              <w:rPr>
                <w:sz w:val="24"/>
                <w:szCs w:val="24"/>
              </w:rPr>
              <w:t>Service Connection Charge (3/4” service)</w:t>
            </w:r>
          </w:p>
        </w:tc>
        <w:tc>
          <w:tcPr>
            <w:tcW w:w="1980" w:type="dxa"/>
            <w:vAlign w:val="center"/>
          </w:tcPr>
          <w:p w:rsidR="00702635" w:rsidRPr="00C84E04" w:rsidRDefault="00702635" w:rsidP="00B71606">
            <w:pPr>
              <w:tabs>
                <w:tab w:val="right" w:pos="1440"/>
                <w:tab w:val="right" w:pos="3870"/>
              </w:tabs>
              <w:rPr>
                <w:sz w:val="24"/>
                <w:szCs w:val="24"/>
              </w:rPr>
            </w:pPr>
            <w:r w:rsidRPr="00C84E04">
              <w:rPr>
                <w:sz w:val="24"/>
                <w:szCs w:val="24"/>
              </w:rPr>
              <w:t>Not Available</w:t>
            </w:r>
          </w:p>
        </w:tc>
        <w:tc>
          <w:tcPr>
            <w:tcW w:w="1764" w:type="dxa"/>
            <w:vAlign w:val="center"/>
          </w:tcPr>
          <w:p w:rsidR="00702635" w:rsidRPr="00C84E04" w:rsidRDefault="00702635" w:rsidP="00B71606">
            <w:pPr>
              <w:tabs>
                <w:tab w:val="right" w:pos="1440"/>
                <w:tab w:val="right" w:pos="3870"/>
              </w:tabs>
              <w:rPr>
                <w:sz w:val="24"/>
                <w:szCs w:val="24"/>
              </w:rPr>
            </w:pPr>
            <w:r w:rsidRPr="00C84E04">
              <w:rPr>
                <w:sz w:val="24"/>
                <w:szCs w:val="24"/>
              </w:rPr>
              <w:t>$750.00</w:t>
            </w:r>
          </w:p>
        </w:tc>
      </w:tr>
      <w:tr w:rsidR="00702635" w:rsidTr="00B71606">
        <w:tc>
          <w:tcPr>
            <w:tcW w:w="6480" w:type="dxa"/>
            <w:vAlign w:val="center"/>
          </w:tcPr>
          <w:p w:rsidR="00702635" w:rsidRPr="00C84E04" w:rsidRDefault="009600A1" w:rsidP="009600A1">
            <w:pPr>
              <w:tabs>
                <w:tab w:val="right" w:pos="1440"/>
                <w:tab w:val="right" w:pos="3870"/>
              </w:tabs>
              <w:rPr>
                <w:sz w:val="24"/>
                <w:szCs w:val="24"/>
              </w:rPr>
            </w:pPr>
            <w:r>
              <w:rPr>
                <w:sz w:val="24"/>
                <w:szCs w:val="24"/>
              </w:rPr>
              <w:t>New Service Meter assembly (including meter)</w:t>
            </w:r>
            <w:bookmarkStart w:id="0" w:name="_GoBack"/>
            <w:bookmarkEnd w:id="0"/>
          </w:p>
        </w:tc>
        <w:tc>
          <w:tcPr>
            <w:tcW w:w="1980" w:type="dxa"/>
            <w:vAlign w:val="center"/>
          </w:tcPr>
          <w:p w:rsidR="00702635" w:rsidRPr="00C84E04" w:rsidRDefault="00702635" w:rsidP="00B71606">
            <w:pPr>
              <w:tabs>
                <w:tab w:val="right" w:pos="1440"/>
                <w:tab w:val="right" w:pos="3870"/>
              </w:tabs>
              <w:rPr>
                <w:sz w:val="24"/>
                <w:szCs w:val="24"/>
              </w:rPr>
            </w:pPr>
            <w:r w:rsidRPr="00C84E04">
              <w:rPr>
                <w:sz w:val="24"/>
                <w:szCs w:val="24"/>
              </w:rPr>
              <w:t>Not Available</w:t>
            </w:r>
          </w:p>
        </w:tc>
        <w:tc>
          <w:tcPr>
            <w:tcW w:w="1764" w:type="dxa"/>
            <w:vAlign w:val="center"/>
          </w:tcPr>
          <w:p w:rsidR="00702635" w:rsidRPr="00C84E04" w:rsidRDefault="00702635" w:rsidP="00B71606">
            <w:pPr>
              <w:tabs>
                <w:tab w:val="right" w:pos="1440"/>
                <w:tab w:val="right" w:pos="3870"/>
              </w:tabs>
              <w:rPr>
                <w:sz w:val="24"/>
                <w:szCs w:val="24"/>
              </w:rPr>
            </w:pPr>
            <w:r w:rsidRPr="00C84E04">
              <w:rPr>
                <w:sz w:val="24"/>
                <w:szCs w:val="24"/>
              </w:rPr>
              <w:t>$500.00</w:t>
            </w:r>
          </w:p>
        </w:tc>
      </w:tr>
      <w:tr w:rsidR="00702635" w:rsidTr="00B71606">
        <w:tc>
          <w:tcPr>
            <w:tcW w:w="6480" w:type="dxa"/>
            <w:vAlign w:val="center"/>
          </w:tcPr>
          <w:p w:rsidR="00702635" w:rsidRPr="00C84E04" w:rsidRDefault="00702635" w:rsidP="00B71606">
            <w:pPr>
              <w:tabs>
                <w:tab w:val="right" w:pos="1440"/>
                <w:tab w:val="right" w:pos="3870"/>
              </w:tabs>
              <w:rPr>
                <w:sz w:val="24"/>
                <w:szCs w:val="24"/>
              </w:rPr>
            </w:pPr>
            <w:r w:rsidRPr="00C84E04">
              <w:rPr>
                <w:sz w:val="24"/>
                <w:szCs w:val="24"/>
              </w:rPr>
              <w:t>Cross Connection Control</w:t>
            </w:r>
          </w:p>
        </w:tc>
        <w:tc>
          <w:tcPr>
            <w:tcW w:w="1980" w:type="dxa"/>
            <w:vAlign w:val="center"/>
          </w:tcPr>
          <w:p w:rsidR="00702635" w:rsidRPr="00C84E04" w:rsidRDefault="00702635" w:rsidP="00B71606">
            <w:pPr>
              <w:tabs>
                <w:tab w:val="right" w:pos="1440"/>
                <w:tab w:val="right" w:pos="3870"/>
              </w:tabs>
              <w:rPr>
                <w:sz w:val="24"/>
                <w:szCs w:val="24"/>
              </w:rPr>
            </w:pPr>
            <w:r w:rsidRPr="00C84E04">
              <w:rPr>
                <w:sz w:val="24"/>
                <w:szCs w:val="24"/>
              </w:rPr>
              <w:t>Not Available</w:t>
            </w:r>
          </w:p>
        </w:tc>
        <w:tc>
          <w:tcPr>
            <w:tcW w:w="1764" w:type="dxa"/>
            <w:vAlign w:val="center"/>
          </w:tcPr>
          <w:p w:rsidR="00702635" w:rsidRPr="00C84E04" w:rsidRDefault="00702635" w:rsidP="00B71606">
            <w:pPr>
              <w:tabs>
                <w:tab w:val="right" w:pos="1440"/>
                <w:tab w:val="right" w:pos="3870"/>
              </w:tabs>
              <w:rPr>
                <w:sz w:val="24"/>
                <w:szCs w:val="24"/>
              </w:rPr>
            </w:pPr>
            <w:r w:rsidRPr="00C84E04">
              <w:rPr>
                <w:sz w:val="24"/>
                <w:szCs w:val="24"/>
              </w:rPr>
              <w:t>By Customer 3</w:t>
            </w:r>
            <w:r w:rsidRPr="00C84E04">
              <w:rPr>
                <w:sz w:val="24"/>
                <w:szCs w:val="24"/>
                <w:vertAlign w:val="superscript"/>
              </w:rPr>
              <w:t>rd</w:t>
            </w:r>
            <w:r w:rsidRPr="00C84E04">
              <w:rPr>
                <w:sz w:val="24"/>
                <w:szCs w:val="24"/>
              </w:rPr>
              <w:t xml:space="preserve"> party contractor</w:t>
            </w:r>
          </w:p>
        </w:tc>
      </w:tr>
      <w:tr w:rsidR="00702635" w:rsidTr="00B71606">
        <w:tc>
          <w:tcPr>
            <w:tcW w:w="6480" w:type="dxa"/>
            <w:vAlign w:val="center"/>
          </w:tcPr>
          <w:p w:rsidR="00702635" w:rsidRPr="00C84E04" w:rsidRDefault="00702635" w:rsidP="00B71606">
            <w:pPr>
              <w:tabs>
                <w:tab w:val="right" w:pos="1440"/>
                <w:tab w:val="right" w:pos="3870"/>
              </w:tabs>
              <w:rPr>
                <w:sz w:val="24"/>
                <w:szCs w:val="24"/>
              </w:rPr>
            </w:pPr>
            <w:r w:rsidRPr="00C84E04">
              <w:rPr>
                <w:sz w:val="24"/>
                <w:szCs w:val="24"/>
              </w:rPr>
              <w:t>Public Utility Tax</w:t>
            </w:r>
          </w:p>
        </w:tc>
        <w:tc>
          <w:tcPr>
            <w:tcW w:w="1980" w:type="dxa"/>
            <w:vAlign w:val="center"/>
          </w:tcPr>
          <w:p w:rsidR="00702635" w:rsidRPr="00C84E04" w:rsidRDefault="00702635" w:rsidP="00B71606">
            <w:pPr>
              <w:tabs>
                <w:tab w:val="right" w:pos="1440"/>
                <w:tab w:val="right" w:pos="3870"/>
              </w:tabs>
              <w:rPr>
                <w:sz w:val="24"/>
                <w:szCs w:val="24"/>
              </w:rPr>
            </w:pPr>
          </w:p>
        </w:tc>
        <w:tc>
          <w:tcPr>
            <w:tcW w:w="1764" w:type="dxa"/>
            <w:vAlign w:val="center"/>
          </w:tcPr>
          <w:p w:rsidR="00702635" w:rsidRPr="00C84E04" w:rsidRDefault="00702635" w:rsidP="00B71606">
            <w:pPr>
              <w:tabs>
                <w:tab w:val="right" w:pos="1440"/>
                <w:tab w:val="right" w:pos="3870"/>
              </w:tabs>
              <w:rPr>
                <w:sz w:val="24"/>
                <w:szCs w:val="24"/>
              </w:rPr>
            </w:pPr>
            <w:r w:rsidRPr="00C84E04">
              <w:rPr>
                <w:sz w:val="24"/>
                <w:szCs w:val="24"/>
              </w:rPr>
              <w:t>5.029%</w:t>
            </w:r>
          </w:p>
        </w:tc>
      </w:tr>
      <w:tr w:rsidR="00702635" w:rsidTr="00B71606">
        <w:tc>
          <w:tcPr>
            <w:tcW w:w="6480" w:type="dxa"/>
            <w:vAlign w:val="center"/>
          </w:tcPr>
          <w:p w:rsidR="00702635" w:rsidRPr="00C84E04" w:rsidRDefault="00702635" w:rsidP="00B71606">
            <w:pPr>
              <w:tabs>
                <w:tab w:val="right" w:pos="1440"/>
                <w:tab w:val="right" w:pos="3870"/>
              </w:tabs>
              <w:rPr>
                <w:sz w:val="24"/>
                <w:szCs w:val="24"/>
              </w:rPr>
            </w:pPr>
            <w:r w:rsidRPr="00C84E04">
              <w:rPr>
                <w:sz w:val="24"/>
                <w:szCs w:val="24"/>
              </w:rPr>
              <w:t>Disconnection Visit Charge</w:t>
            </w:r>
          </w:p>
        </w:tc>
        <w:tc>
          <w:tcPr>
            <w:tcW w:w="1980" w:type="dxa"/>
            <w:vAlign w:val="center"/>
          </w:tcPr>
          <w:p w:rsidR="00702635" w:rsidRPr="00C84E04" w:rsidRDefault="00702635" w:rsidP="00B71606">
            <w:pPr>
              <w:tabs>
                <w:tab w:val="right" w:pos="1440"/>
                <w:tab w:val="right" w:pos="3870"/>
              </w:tabs>
              <w:rPr>
                <w:sz w:val="24"/>
                <w:szCs w:val="24"/>
              </w:rPr>
            </w:pPr>
            <w:r w:rsidRPr="00C84E04">
              <w:rPr>
                <w:sz w:val="24"/>
                <w:szCs w:val="24"/>
              </w:rPr>
              <w:t>$50.00</w:t>
            </w:r>
          </w:p>
        </w:tc>
        <w:tc>
          <w:tcPr>
            <w:tcW w:w="1764" w:type="dxa"/>
            <w:vAlign w:val="center"/>
          </w:tcPr>
          <w:p w:rsidR="00702635" w:rsidRPr="00C84E04" w:rsidRDefault="00702635" w:rsidP="00B71606">
            <w:pPr>
              <w:tabs>
                <w:tab w:val="right" w:pos="1440"/>
                <w:tab w:val="right" w:pos="3870"/>
              </w:tabs>
              <w:rPr>
                <w:sz w:val="24"/>
                <w:szCs w:val="24"/>
              </w:rPr>
            </w:pPr>
            <w:r w:rsidRPr="00C84E04">
              <w:rPr>
                <w:sz w:val="24"/>
                <w:szCs w:val="24"/>
              </w:rPr>
              <w:t>$85.00</w:t>
            </w:r>
          </w:p>
        </w:tc>
      </w:tr>
      <w:tr w:rsidR="00702635" w:rsidTr="00B71606">
        <w:tc>
          <w:tcPr>
            <w:tcW w:w="6480" w:type="dxa"/>
            <w:vAlign w:val="center"/>
          </w:tcPr>
          <w:p w:rsidR="00702635" w:rsidRPr="00C84E04" w:rsidRDefault="00702635" w:rsidP="00B71606">
            <w:pPr>
              <w:tabs>
                <w:tab w:val="right" w:pos="1440"/>
                <w:tab w:val="right" w:pos="3870"/>
              </w:tabs>
              <w:rPr>
                <w:sz w:val="24"/>
                <w:szCs w:val="24"/>
              </w:rPr>
            </w:pPr>
            <w:r w:rsidRPr="00C84E04">
              <w:rPr>
                <w:sz w:val="24"/>
                <w:szCs w:val="24"/>
              </w:rPr>
              <w:t>Reconnection Visit Charge</w:t>
            </w:r>
          </w:p>
        </w:tc>
        <w:tc>
          <w:tcPr>
            <w:tcW w:w="1980" w:type="dxa"/>
            <w:vAlign w:val="center"/>
          </w:tcPr>
          <w:p w:rsidR="00702635" w:rsidRPr="00C84E04" w:rsidRDefault="00702635" w:rsidP="00B71606">
            <w:pPr>
              <w:tabs>
                <w:tab w:val="right" w:pos="1440"/>
                <w:tab w:val="right" w:pos="3870"/>
              </w:tabs>
              <w:rPr>
                <w:sz w:val="24"/>
                <w:szCs w:val="24"/>
              </w:rPr>
            </w:pPr>
            <w:r w:rsidRPr="00C84E04">
              <w:rPr>
                <w:sz w:val="24"/>
                <w:szCs w:val="24"/>
              </w:rPr>
              <w:t>$50.00</w:t>
            </w:r>
          </w:p>
        </w:tc>
        <w:tc>
          <w:tcPr>
            <w:tcW w:w="1764" w:type="dxa"/>
            <w:vAlign w:val="center"/>
          </w:tcPr>
          <w:p w:rsidR="00702635" w:rsidRPr="00C84E04" w:rsidRDefault="00702635" w:rsidP="00B71606">
            <w:pPr>
              <w:tabs>
                <w:tab w:val="right" w:pos="1440"/>
                <w:tab w:val="right" w:pos="3870"/>
              </w:tabs>
              <w:rPr>
                <w:sz w:val="24"/>
                <w:szCs w:val="24"/>
              </w:rPr>
            </w:pPr>
            <w:r w:rsidRPr="00C84E04">
              <w:rPr>
                <w:sz w:val="24"/>
                <w:szCs w:val="24"/>
              </w:rPr>
              <w:t>$85.00</w:t>
            </w:r>
          </w:p>
        </w:tc>
      </w:tr>
      <w:tr w:rsidR="00702635" w:rsidTr="00B71606">
        <w:tc>
          <w:tcPr>
            <w:tcW w:w="6480" w:type="dxa"/>
            <w:vAlign w:val="center"/>
          </w:tcPr>
          <w:p w:rsidR="00702635" w:rsidRPr="00C84E04" w:rsidRDefault="00702635" w:rsidP="00B71606">
            <w:pPr>
              <w:tabs>
                <w:tab w:val="right" w:pos="1440"/>
                <w:tab w:val="right" w:pos="3870"/>
              </w:tabs>
              <w:rPr>
                <w:sz w:val="24"/>
                <w:szCs w:val="24"/>
              </w:rPr>
            </w:pPr>
            <w:r w:rsidRPr="00C84E04">
              <w:rPr>
                <w:sz w:val="24"/>
                <w:szCs w:val="24"/>
              </w:rPr>
              <w:t>Service Visit Charge</w:t>
            </w:r>
          </w:p>
        </w:tc>
        <w:tc>
          <w:tcPr>
            <w:tcW w:w="1980" w:type="dxa"/>
            <w:vAlign w:val="center"/>
          </w:tcPr>
          <w:p w:rsidR="00702635" w:rsidRPr="00C84E04" w:rsidRDefault="00702635" w:rsidP="00B71606">
            <w:pPr>
              <w:tabs>
                <w:tab w:val="right" w:pos="1440"/>
                <w:tab w:val="right" w:pos="3870"/>
              </w:tabs>
              <w:rPr>
                <w:sz w:val="24"/>
                <w:szCs w:val="24"/>
              </w:rPr>
            </w:pPr>
          </w:p>
        </w:tc>
        <w:tc>
          <w:tcPr>
            <w:tcW w:w="1764" w:type="dxa"/>
            <w:vAlign w:val="center"/>
          </w:tcPr>
          <w:p w:rsidR="00702635" w:rsidRPr="00C84E04" w:rsidRDefault="00702635" w:rsidP="00B71606">
            <w:pPr>
              <w:tabs>
                <w:tab w:val="right" w:pos="1440"/>
                <w:tab w:val="right" w:pos="3870"/>
              </w:tabs>
              <w:rPr>
                <w:sz w:val="24"/>
                <w:szCs w:val="24"/>
              </w:rPr>
            </w:pPr>
            <w:r w:rsidRPr="00C84E04">
              <w:rPr>
                <w:sz w:val="24"/>
                <w:szCs w:val="24"/>
              </w:rPr>
              <w:t>$85.00</w:t>
            </w:r>
          </w:p>
        </w:tc>
      </w:tr>
      <w:tr w:rsidR="00702635" w:rsidTr="00B71606">
        <w:tc>
          <w:tcPr>
            <w:tcW w:w="6480" w:type="dxa"/>
            <w:vAlign w:val="center"/>
          </w:tcPr>
          <w:p w:rsidR="00702635" w:rsidRPr="00C84E04" w:rsidRDefault="00702635" w:rsidP="00B71606">
            <w:pPr>
              <w:tabs>
                <w:tab w:val="right" w:pos="1440"/>
                <w:tab w:val="right" w:pos="3870"/>
              </w:tabs>
              <w:rPr>
                <w:sz w:val="24"/>
                <w:szCs w:val="24"/>
              </w:rPr>
            </w:pPr>
            <w:r w:rsidRPr="00C84E04">
              <w:rPr>
                <w:sz w:val="24"/>
                <w:szCs w:val="24"/>
              </w:rPr>
              <w:t>Late Payment Charge of Unpaid Balance or Minimum Charge</w:t>
            </w:r>
          </w:p>
        </w:tc>
        <w:tc>
          <w:tcPr>
            <w:tcW w:w="1980" w:type="dxa"/>
            <w:vAlign w:val="center"/>
          </w:tcPr>
          <w:p w:rsidR="00702635" w:rsidRPr="00C84E04" w:rsidRDefault="00702635" w:rsidP="00B71606">
            <w:pPr>
              <w:tabs>
                <w:tab w:val="right" w:pos="1440"/>
                <w:tab w:val="right" w:pos="3870"/>
              </w:tabs>
              <w:rPr>
                <w:sz w:val="24"/>
                <w:szCs w:val="24"/>
              </w:rPr>
            </w:pPr>
            <w:r w:rsidRPr="00C84E04">
              <w:rPr>
                <w:sz w:val="24"/>
                <w:szCs w:val="24"/>
              </w:rPr>
              <w:t>2% or $1.00 minimum</w:t>
            </w:r>
          </w:p>
        </w:tc>
        <w:tc>
          <w:tcPr>
            <w:tcW w:w="1764" w:type="dxa"/>
            <w:vAlign w:val="center"/>
          </w:tcPr>
          <w:p w:rsidR="00702635" w:rsidRPr="00C84E04" w:rsidRDefault="00702635" w:rsidP="00B71606">
            <w:pPr>
              <w:tabs>
                <w:tab w:val="right" w:pos="1440"/>
                <w:tab w:val="right" w:pos="3870"/>
              </w:tabs>
              <w:rPr>
                <w:sz w:val="24"/>
                <w:szCs w:val="24"/>
              </w:rPr>
            </w:pPr>
            <w:r w:rsidRPr="00C84E04">
              <w:rPr>
                <w:sz w:val="24"/>
                <w:szCs w:val="24"/>
              </w:rPr>
              <w:t>2% or $1.00 minimum</w:t>
            </w:r>
          </w:p>
        </w:tc>
      </w:tr>
      <w:tr w:rsidR="00702635" w:rsidTr="00B71606">
        <w:tc>
          <w:tcPr>
            <w:tcW w:w="6480" w:type="dxa"/>
            <w:vAlign w:val="center"/>
          </w:tcPr>
          <w:p w:rsidR="00702635" w:rsidRPr="00C84E04" w:rsidRDefault="00702635" w:rsidP="00B71606">
            <w:pPr>
              <w:tabs>
                <w:tab w:val="right" w:pos="1440"/>
                <w:tab w:val="right" w:pos="3870"/>
              </w:tabs>
              <w:rPr>
                <w:sz w:val="24"/>
                <w:szCs w:val="24"/>
              </w:rPr>
            </w:pPr>
            <w:r w:rsidRPr="00C84E04">
              <w:rPr>
                <w:sz w:val="24"/>
                <w:szCs w:val="24"/>
              </w:rPr>
              <w:t>Account Set-up Charge</w:t>
            </w:r>
          </w:p>
        </w:tc>
        <w:tc>
          <w:tcPr>
            <w:tcW w:w="1980" w:type="dxa"/>
            <w:vAlign w:val="center"/>
          </w:tcPr>
          <w:p w:rsidR="00702635" w:rsidRPr="00C84E04" w:rsidRDefault="00702635" w:rsidP="00B71606">
            <w:pPr>
              <w:tabs>
                <w:tab w:val="right" w:pos="1440"/>
                <w:tab w:val="right" w:pos="3870"/>
              </w:tabs>
              <w:rPr>
                <w:sz w:val="24"/>
                <w:szCs w:val="24"/>
              </w:rPr>
            </w:pPr>
            <w:r w:rsidRPr="00C84E04">
              <w:rPr>
                <w:sz w:val="24"/>
                <w:szCs w:val="24"/>
              </w:rPr>
              <w:t>$30.00</w:t>
            </w:r>
          </w:p>
        </w:tc>
        <w:tc>
          <w:tcPr>
            <w:tcW w:w="1764" w:type="dxa"/>
            <w:vAlign w:val="center"/>
          </w:tcPr>
          <w:p w:rsidR="00702635" w:rsidRPr="00C84E04" w:rsidRDefault="00702635" w:rsidP="00B71606">
            <w:pPr>
              <w:tabs>
                <w:tab w:val="right" w:pos="1440"/>
                <w:tab w:val="right" w:pos="3870"/>
              </w:tabs>
              <w:rPr>
                <w:sz w:val="24"/>
                <w:szCs w:val="24"/>
              </w:rPr>
            </w:pPr>
            <w:r w:rsidRPr="00C84E04">
              <w:rPr>
                <w:sz w:val="24"/>
                <w:szCs w:val="24"/>
              </w:rPr>
              <w:t>$40</w:t>
            </w:r>
          </w:p>
        </w:tc>
      </w:tr>
      <w:tr w:rsidR="00702635" w:rsidTr="00B71606">
        <w:tc>
          <w:tcPr>
            <w:tcW w:w="6480" w:type="dxa"/>
            <w:vAlign w:val="center"/>
          </w:tcPr>
          <w:p w:rsidR="00702635" w:rsidRPr="00C84E04" w:rsidRDefault="00702635" w:rsidP="00B71606">
            <w:pPr>
              <w:tabs>
                <w:tab w:val="right" w:pos="1440"/>
                <w:tab w:val="right" w:pos="3870"/>
              </w:tabs>
              <w:rPr>
                <w:sz w:val="24"/>
                <w:szCs w:val="24"/>
              </w:rPr>
            </w:pPr>
            <w:r w:rsidRPr="00C84E04">
              <w:rPr>
                <w:sz w:val="24"/>
                <w:szCs w:val="24"/>
              </w:rPr>
              <w:t>NSF Charge (each check)</w:t>
            </w:r>
          </w:p>
        </w:tc>
        <w:tc>
          <w:tcPr>
            <w:tcW w:w="1980" w:type="dxa"/>
            <w:vAlign w:val="center"/>
          </w:tcPr>
          <w:p w:rsidR="00702635" w:rsidRPr="00C84E04" w:rsidRDefault="00702635" w:rsidP="00B71606">
            <w:pPr>
              <w:tabs>
                <w:tab w:val="right" w:pos="1440"/>
                <w:tab w:val="right" w:pos="3870"/>
              </w:tabs>
              <w:rPr>
                <w:sz w:val="24"/>
                <w:szCs w:val="24"/>
              </w:rPr>
            </w:pPr>
            <w:r w:rsidRPr="00C84E04">
              <w:rPr>
                <w:sz w:val="24"/>
                <w:szCs w:val="24"/>
              </w:rPr>
              <w:t>$25.00</w:t>
            </w:r>
          </w:p>
        </w:tc>
        <w:tc>
          <w:tcPr>
            <w:tcW w:w="1764" w:type="dxa"/>
            <w:vAlign w:val="center"/>
          </w:tcPr>
          <w:p w:rsidR="00702635" w:rsidRPr="00C84E04" w:rsidRDefault="00702635" w:rsidP="00B71606">
            <w:pPr>
              <w:tabs>
                <w:tab w:val="right" w:pos="1440"/>
                <w:tab w:val="right" w:pos="3870"/>
              </w:tabs>
              <w:rPr>
                <w:sz w:val="24"/>
                <w:szCs w:val="24"/>
              </w:rPr>
            </w:pPr>
            <w:r w:rsidRPr="00C84E04">
              <w:rPr>
                <w:sz w:val="24"/>
                <w:szCs w:val="24"/>
              </w:rPr>
              <w:t>$40</w:t>
            </w:r>
          </w:p>
        </w:tc>
      </w:tr>
      <w:tr w:rsidR="00702635" w:rsidTr="00B71606">
        <w:tc>
          <w:tcPr>
            <w:tcW w:w="6480" w:type="dxa"/>
            <w:vAlign w:val="center"/>
          </w:tcPr>
          <w:p w:rsidR="00702635" w:rsidRPr="00C84E04" w:rsidRDefault="00702635" w:rsidP="00B71606">
            <w:pPr>
              <w:tabs>
                <w:tab w:val="right" w:pos="1440"/>
                <w:tab w:val="right" w:pos="3870"/>
              </w:tabs>
              <w:rPr>
                <w:sz w:val="24"/>
                <w:szCs w:val="24"/>
              </w:rPr>
            </w:pPr>
            <w:r w:rsidRPr="00C84E04">
              <w:rPr>
                <w:sz w:val="24"/>
                <w:szCs w:val="24"/>
              </w:rPr>
              <w:t>Water Availability Letter Charge</w:t>
            </w:r>
          </w:p>
        </w:tc>
        <w:tc>
          <w:tcPr>
            <w:tcW w:w="1980" w:type="dxa"/>
            <w:vAlign w:val="center"/>
          </w:tcPr>
          <w:p w:rsidR="00702635" w:rsidRPr="00C84E04" w:rsidRDefault="00702635" w:rsidP="00B71606">
            <w:pPr>
              <w:tabs>
                <w:tab w:val="right" w:pos="1440"/>
                <w:tab w:val="right" w:pos="3870"/>
              </w:tabs>
              <w:rPr>
                <w:sz w:val="24"/>
                <w:szCs w:val="24"/>
              </w:rPr>
            </w:pPr>
            <w:r w:rsidRPr="00C84E04">
              <w:rPr>
                <w:sz w:val="24"/>
                <w:szCs w:val="24"/>
              </w:rPr>
              <w:t>$50.00</w:t>
            </w:r>
          </w:p>
        </w:tc>
        <w:tc>
          <w:tcPr>
            <w:tcW w:w="1764" w:type="dxa"/>
            <w:vAlign w:val="center"/>
          </w:tcPr>
          <w:p w:rsidR="00702635" w:rsidRPr="00C84E04" w:rsidRDefault="00702635" w:rsidP="00B71606">
            <w:pPr>
              <w:tabs>
                <w:tab w:val="right" w:pos="1440"/>
                <w:tab w:val="right" w:pos="3870"/>
              </w:tabs>
              <w:rPr>
                <w:sz w:val="24"/>
                <w:szCs w:val="24"/>
              </w:rPr>
            </w:pPr>
            <w:r w:rsidRPr="00C84E04">
              <w:rPr>
                <w:sz w:val="24"/>
                <w:szCs w:val="24"/>
              </w:rPr>
              <w:t>$50</w:t>
            </w:r>
          </w:p>
        </w:tc>
      </w:tr>
      <w:tr w:rsidR="00702635" w:rsidTr="00B71606">
        <w:tc>
          <w:tcPr>
            <w:tcW w:w="6480" w:type="dxa"/>
            <w:vAlign w:val="center"/>
          </w:tcPr>
          <w:p w:rsidR="00702635" w:rsidRPr="00C84E04" w:rsidRDefault="00702635" w:rsidP="00B71606">
            <w:pPr>
              <w:tabs>
                <w:tab w:val="right" w:pos="1440"/>
                <w:tab w:val="right" w:pos="3870"/>
              </w:tabs>
              <w:rPr>
                <w:sz w:val="24"/>
                <w:szCs w:val="24"/>
              </w:rPr>
            </w:pPr>
            <w:r w:rsidRPr="00C84E04">
              <w:rPr>
                <w:sz w:val="24"/>
                <w:szCs w:val="24"/>
              </w:rPr>
              <w:t>Backflow Assembly Testing and Inspection</w:t>
            </w:r>
          </w:p>
        </w:tc>
        <w:tc>
          <w:tcPr>
            <w:tcW w:w="1980" w:type="dxa"/>
            <w:vAlign w:val="center"/>
          </w:tcPr>
          <w:p w:rsidR="00702635" w:rsidRPr="00C84E04" w:rsidRDefault="00702635" w:rsidP="00B71606">
            <w:pPr>
              <w:tabs>
                <w:tab w:val="right" w:pos="1440"/>
                <w:tab w:val="right" w:pos="3870"/>
              </w:tabs>
              <w:rPr>
                <w:sz w:val="24"/>
                <w:szCs w:val="24"/>
              </w:rPr>
            </w:pPr>
            <w:r w:rsidRPr="00C84E04">
              <w:rPr>
                <w:sz w:val="24"/>
                <w:szCs w:val="24"/>
              </w:rPr>
              <w:t>Not Available</w:t>
            </w:r>
          </w:p>
        </w:tc>
        <w:tc>
          <w:tcPr>
            <w:tcW w:w="1764" w:type="dxa"/>
            <w:vAlign w:val="center"/>
          </w:tcPr>
          <w:p w:rsidR="00702635" w:rsidRPr="00C84E04" w:rsidRDefault="00702635" w:rsidP="00B71606">
            <w:pPr>
              <w:tabs>
                <w:tab w:val="right" w:pos="1440"/>
                <w:tab w:val="right" w:pos="3870"/>
              </w:tabs>
              <w:rPr>
                <w:sz w:val="24"/>
                <w:szCs w:val="24"/>
              </w:rPr>
            </w:pPr>
            <w:r w:rsidRPr="00C84E04">
              <w:rPr>
                <w:sz w:val="24"/>
                <w:szCs w:val="24"/>
              </w:rPr>
              <w:t>By Customer 3</w:t>
            </w:r>
            <w:r w:rsidRPr="00C84E04">
              <w:rPr>
                <w:sz w:val="24"/>
                <w:szCs w:val="24"/>
                <w:vertAlign w:val="superscript"/>
              </w:rPr>
              <w:t>rd</w:t>
            </w:r>
            <w:r w:rsidRPr="00C84E04">
              <w:rPr>
                <w:sz w:val="24"/>
                <w:szCs w:val="24"/>
              </w:rPr>
              <w:t xml:space="preserve"> party contractor</w:t>
            </w:r>
          </w:p>
        </w:tc>
      </w:tr>
      <w:tr w:rsidR="00702635" w:rsidTr="00B71606">
        <w:tc>
          <w:tcPr>
            <w:tcW w:w="6480" w:type="dxa"/>
            <w:vAlign w:val="center"/>
          </w:tcPr>
          <w:p w:rsidR="00702635" w:rsidRPr="00C84E04" w:rsidRDefault="00702635" w:rsidP="00B71606">
            <w:pPr>
              <w:tabs>
                <w:tab w:val="right" w:pos="1440"/>
                <w:tab w:val="right" w:pos="3870"/>
              </w:tabs>
              <w:rPr>
                <w:sz w:val="24"/>
                <w:szCs w:val="24"/>
              </w:rPr>
            </w:pPr>
            <w:r w:rsidRPr="00C84E04">
              <w:rPr>
                <w:sz w:val="24"/>
                <w:szCs w:val="24"/>
              </w:rPr>
              <w:t>Damage and Repairs Charge</w:t>
            </w:r>
          </w:p>
        </w:tc>
        <w:tc>
          <w:tcPr>
            <w:tcW w:w="1980" w:type="dxa"/>
            <w:vAlign w:val="center"/>
          </w:tcPr>
          <w:p w:rsidR="00702635" w:rsidRPr="00C84E04" w:rsidRDefault="00702635" w:rsidP="00B71606">
            <w:pPr>
              <w:tabs>
                <w:tab w:val="right" w:pos="1440"/>
                <w:tab w:val="right" w:pos="3870"/>
              </w:tabs>
              <w:rPr>
                <w:sz w:val="24"/>
                <w:szCs w:val="24"/>
              </w:rPr>
            </w:pPr>
            <w:r w:rsidRPr="00C84E04">
              <w:rPr>
                <w:sz w:val="24"/>
                <w:szCs w:val="24"/>
              </w:rPr>
              <w:t>Not Available</w:t>
            </w:r>
          </w:p>
        </w:tc>
        <w:tc>
          <w:tcPr>
            <w:tcW w:w="1764" w:type="dxa"/>
            <w:vAlign w:val="center"/>
          </w:tcPr>
          <w:p w:rsidR="00702635" w:rsidRPr="00C84E04" w:rsidRDefault="00702635" w:rsidP="00B71606">
            <w:pPr>
              <w:tabs>
                <w:tab w:val="right" w:pos="1440"/>
                <w:tab w:val="right" w:pos="3870"/>
              </w:tabs>
              <w:rPr>
                <w:sz w:val="24"/>
                <w:szCs w:val="24"/>
              </w:rPr>
            </w:pPr>
            <w:r w:rsidRPr="00C84E04">
              <w:rPr>
                <w:sz w:val="24"/>
                <w:szCs w:val="24"/>
              </w:rPr>
              <w:t>By Customer 3</w:t>
            </w:r>
            <w:r w:rsidRPr="00C84E04">
              <w:rPr>
                <w:sz w:val="24"/>
                <w:szCs w:val="24"/>
                <w:vertAlign w:val="superscript"/>
              </w:rPr>
              <w:t>rd</w:t>
            </w:r>
            <w:r w:rsidRPr="00C84E04">
              <w:rPr>
                <w:sz w:val="24"/>
                <w:szCs w:val="24"/>
              </w:rPr>
              <w:t xml:space="preserve"> party contractor</w:t>
            </w:r>
          </w:p>
        </w:tc>
      </w:tr>
    </w:tbl>
    <w:p w:rsidR="008D10EE" w:rsidRPr="00B706E2" w:rsidRDefault="008D10EE" w:rsidP="003039D7">
      <w:pPr>
        <w:tabs>
          <w:tab w:val="right" w:pos="1440"/>
          <w:tab w:val="right" w:pos="3870"/>
        </w:tabs>
      </w:pPr>
    </w:p>
    <w:sectPr w:rsidR="008D10EE" w:rsidRPr="00B706E2" w:rsidSect="001744E8">
      <w:pgSz w:w="12240" w:h="15840"/>
      <w:pgMar w:top="1152" w:right="1152" w:bottom="1008" w:left="1152"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AB4867"/>
    <w:multiLevelType w:val="hybridMultilevel"/>
    <w:tmpl w:val="C4C428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B57011"/>
    <w:rsid w:val="0001679B"/>
    <w:rsid w:val="0002779A"/>
    <w:rsid w:val="0004417A"/>
    <w:rsid w:val="000642A9"/>
    <w:rsid w:val="00081E76"/>
    <w:rsid w:val="000B0863"/>
    <w:rsid w:val="000B542B"/>
    <w:rsid w:val="000E7905"/>
    <w:rsid w:val="000E7C7C"/>
    <w:rsid w:val="00107020"/>
    <w:rsid w:val="0011150D"/>
    <w:rsid w:val="00112A32"/>
    <w:rsid w:val="0012483B"/>
    <w:rsid w:val="001744E8"/>
    <w:rsid w:val="00175832"/>
    <w:rsid w:val="00175ABF"/>
    <w:rsid w:val="00183E67"/>
    <w:rsid w:val="00193614"/>
    <w:rsid w:val="00196B34"/>
    <w:rsid w:val="001D5756"/>
    <w:rsid w:val="00234D08"/>
    <w:rsid w:val="00237E9F"/>
    <w:rsid w:val="00261913"/>
    <w:rsid w:val="00273F45"/>
    <w:rsid w:val="00283FAB"/>
    <w:rsid w:val="00295B20"/>
    <w:rsid w:val="002B4362"/>
    <w:rsid w:val="002F139E"/>
    <w:rsid w:val="003039D7"/>
    <w:rsid w:val="0033652B"/>
    <w:rsid w:val="00345F8B"/>
    <w:rsid w:val="003512C7"/>
    <w:rsid w:val="00382294"/>
    <w:rsid w:val="003A0A04"/>
    <w:rsid w:val="003B590C"/>
    <w:rsid w:val="0040034A"/>
    <w:rsid w:val="00422F2E"/>
    <w:rsid w:val="00450DE6"/>
    <w:rsid w:val="00495726"/>
    <w:rsid w:val="004A7DCD"/>
    <w:rsid w:val="004D64DD"/>
    <w:rsid w:val="00505ACE"/>
    <w:rsid w:val="00550BEB"/>
    <w:rsid w:val="005B7B45"/>
    <w:rsid w:val="005E217A"/>
    <w:rsid w:val="005E49CF"/>
    <w:rsid w:val="005F5462"/>
    <w:rsid w:val="006032D1"/>
    <w:rsid w:val="00611166"/>
    <w:rsid w:val="00626ABC"/>
    <w:rsid w:val="006368AE"/>
    <w:rsid w:val="006417BB"/>
    <w:rsid w:val="00690E97"/>
    <w:rsid w:val="00693DC5"/>
    <w:rsid w:val="006959B0"/>
    <w:rsid w:val="006D28A9"/>
    <w:rsid w:val="00702635"/>
    <w:rsid w:val="00703293"/>
    <w:rsid w:val="0070375C"/>
    <w:rsid w:val="00722015"/>
    <w:rsid w:val="00722338"/>
    <w:rsid w:val="00771301"/>
    <w:rsid w:val="00781EE7"/>
    <w:rsid w:val="007A0DB3"/>
    <w:rsid w:val="007A4D2B"/>
    <w:rsid w:val="007C6451"/>
    <w:rsid w:val="007D7AC5"/>
    <w:rsid w:val="00821F17"/>
    <w:rsid w:val="00821F81"/>
    <w:rsid w:val="0082221A"/>
    <w:rsid w:val="0084386A"/>
    <w:rsid w:val="00873DAC"/>
    <w:rsid w:val="008772DC"/>
    <w:rsid w:val="00881474"/>
    <w:rsid w:val="00897645"/>
    <w:rsid w:val="008B487E"/>
    <w:rsid w:val="008D10EE"/>
    <w:rsid w:val="00902DD6"/>
    <w:rsid w:val="0092633B"/>
    <w:rsid w:val="009346E6"/>
    <w:rsid w:val="00945429"/>
    <w:rsid w:val="009600A1"/>
    <w:rsid w:val="00A67166"/>
    <w:rsid w:val="00A80F88"/>
    <w:rsid w:val="00A86480"/>
    <w:rsid w:val="00A91263"/>
    <w:rsid w:val="00AA3058"/>
    <w:rsid w:val="00AA546E"/>
    <w:rsid w:val="00AC5BD9"/>
    <w:rsid w:val="00AE2D61"/>
    <w:rsid w:val="00B1170C"/>
    <w:rsid w:val="00B333F7"/>
    <w:rsid w:val="00B47035"/>
    <w:rsid w:val="00B57011"/>
    <w:rsid w:val="00B706E2"/>
    <w:rsid w:val="00B71606"/>
    <w:rsid w:val="00BA4D1D"/>
    <w:rsid w:val="00BC1EDB"/>
    <w:rsid w:val="00BD7724"/>
    <w:rsid w:val="00C1475A"/>
    <w:rsid w:val="00C206D6"/>
    <w:rsid w:val="00C84E04"/>
    <w:rsid w:val="00D1038F"/>
    <w:rsid w:val="00D15322"/>
    <w:rsid w:val="00D34B3A"/>
    <w:rsid w:val="00D34BFE"/>
    <w:rsid w:val="00D4531C"/>
    <w:rsid w:val="00D54D4C"/>
    <w:rsid w:val="00D81631"/>
    <w:rsid w:val="00D91272"/>
    <w:rsid w:val="00DD7AFB"/>
    <w:rsid w:val="00DE032F"/>
    <w:rsid w:val="00E17267"/>
    <w:rsid w:val="00E305F4"/>
    <w:rsid w:val="00E57AF7"/>
    <w:rsid w:val="00E61A87"/>
    <w:rsid w:val="00EE09D7"/>
    <w:rsid w:val="00EF51C4"/>
    <w:rsid w:val="00F00929"/>
    <w:rsid w:val="00F01441"/>
    <w:rsid w:val="00F46682"/>
    <w:rsid w:val="00F51A25"/>
    <w:rsid w:val="00F85914"/>
    <w:rsid w:val="00FD16EE"/>
    <w:rsid w:val="00FF1C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64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57011"/>
    <w:rPr>
      <w:color w:val="0000FF"/>
      <w:u w:val="single"/>
    </w:rPr>
  </w:style>
  <w:style w:type="character" w:customStyle="1" w:styleId="apple-style-span">
    <w:name w:val="apple-style-span"/>
    <w:basedOn w:val="DefaultParagraphFont"/>
    <w:rsid w:val="00B57011"/>
  </w:style>
  <w:style w:type="paragraph" w:styleId="BalloonText">
    <w:name w:val="Balloon Text"/>
    <w:basedOn w:val="Normal"/>
    <w:semiHidden/>
    <w:rsid w:val="002F139E"/>
    <w:rPr>
      <w:rFonts w:ascii="Tahoma" w:hAnsi="Tahoma" w:cs="Tahoma"/>
      <w:sz w:val="16"/>
      <w:szCs w:val="16"/>
    </w:rPr>
  </w:style>
  <w:style w:type="paragraph" w:styleId="NoSpacing">
    <w:name w:val="No Spacing"/>
    <w:uiPriority w:val="1"/>
    <w:qFormat/>
    <w:rsid w:val="0011150D"/>
    <w:rPr>
      <w:rFonts w:ascii="Calibri" w:eastAsia="Calibri" w:hAnsi="Calibri"/>
      <w:sz w:val="22"/>
      <w:szCs w:val="22"/>
    </w:rPr>
  </w:style>
  <w:style w:type="character" w:styleId="CommentReference">
    <w:name w:val="annotation reference"/>
    <w:basedOn w:val="DefaultParagraphFont"/>
    <w:rsid w:val="000B542B"/>
    <w:rPr>
      <w:sz w:val="16"/>
      <w:szCs w:val="16"/>
    </w:rPr>
  </w:style>
  <w:style w:type="paragraph" w:styleId="CommentText">
    <w:name w:val="annotation text"/>
    <w:basedOn w:val="Normal"/>
    <w:link w:val="CommentTextChar"/>
    <w:rsid w:val="000B542B"/>
  </w:style>
  <w:style w:type="character" w:customStyle="1" w:styleId="CommentTextChar">
    <w:name w:val="Comment Text Char"/>
    <w:basedOn w:val="DefaultParagraphFont"/>
    <w:link w:val="CommentText"/>
    <w:rsid w:val="000B542B"/>
  </w:style>
  <w:style w:type="paragraph" w:styleId="CommentSubject">
    <w:name w:val="annotation subject"/>
    <w:basedOn w:val="CommentText"/>
    <w:next w:val="CommentText"/>
    <w:link w:val="CommentSubjectChar"/>
    <w:rsid w:val="000B542B"/>
    <w:rPr>
      <w:b/>
      <w:bCs/>
    </w:rPr>
  </w:style>
  <w:style w:type="character" w:customStyle="1" w:styleId="CommentSubjectChar">
    <w:name w:val="Comment Subject Char"/>
    <w:basedOn w:val="CommentTextChar"/>
    <w:link w:val="CommentSubject"/>
    <w:rsid w:val="000B542B"/>
    <w:rPr>
      <w:b/>
      <w:bCs/>
    </w:rPr>
  </w:style>
  <w:style w:type="character" w:styleId="FollowedHyperlink">
    <w:name w:val="FollowedHyperlink"/>
    <w:basedOn w:val="DefaultParagraphFont"/>
    <w:rsid w:val="005F5462"/>
    <w:rPr>
      <w:color w:val="800080"/>
      <w:u w:val="single"/>
    </w:rPr>
  </w:style>
  <w:style w:type="paragraph" w:styleId="Revision">
    <w:name w:val="Revision"/>
    <w:hidden/>
    <w:uiPriority w:val="99"/>
    <w:semiHidden/>
    <w:rsid w:val="0082221A"/>
  </w:style>
  <w:style w:type="table" w:styleId="TableGrid">
    <w:name w:val="Table Grid"/>
    <w:basedOn w:val="TableNormal"/>
    <w:rsid w:val="007026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57011"/>
    <w:rPr>
      <w:color w:val="0000FF"/>
      <w:u w:val="single"/>
    </w:rPr>
  </w:style>
  <w:style w:type="character" w:customStyle="1" w:styleId="apple-style-span">
    <w:name w:val="apple-style-span"/>
    <w:basedOn w:val="DefaultParagraphFont"/>
    <w:rsid w:val="00B57011"/>
  </w:style>
  <w:style w:type="paragraph" w:styleId="BalloonText">
    <w:name w:val="Balloon Text"/>
    <w:basedOn w:val="Normal"/>
    <w:semiHidden/>
    <w:rsid w:val="002F139E"/>
    <w:rPr>
      <w:rFonts w:ascii="Tahoma" w:hAnsi="Tahoma" w:cs="Tahoma"/>
      <w:sz w:val="16"/>
      <w:szCs w:val="16"/>
    </w:rPr>
  </w:style>
  <w:style w:type="paragraph" w:styleId="NoSpacing">
    <w:name w:val="No Spacing"/>
    <w:uiPriority w:val="1"/>
    <w:qFormat/>
    <w:rsid w:val="0011150D"/>
    <w:rPr>
      <w:rFonts w:ascii="Calibri" w:eastAsia="Calibri" w:hAnsi="Calibri"/>
      <w:sz w:val="22"/>
      <w:szCs w:val="22"/>
    </w:rPr>
  </w:style>
  <w:style w:type="character" w:styleId="CommentReference">
    <w:name w:val="annotation reference"/>
    <w:basedOn w:val="DefaultParagraphFont"/>
    <w:rsid w:val="000B542B"/>
    <w:rPr>
      <w:sz w:val="16"/>
      <w:szCs w:val="16"/>
    </w:rPr>
  </w:style>
  <w:style w:type="paragraph" w:styleId="CommentText">
    <w:name w:val="annotation text"/>
    <w:basedOn w:val="Normal"/>
    <w:link w:val="CommentTextChar"/>
    <w:rsid w:val="000B542B"/>
  </w:style>
  <w:style w:type="character" w:customStyle="1" w:styleId="CommentTextChar">
    <w:name w:val="Comment Text Char"/>
    <w:basedOn w:val="DefaultParagraphFont"/>
    <w:link w:val="CommentText"/>
    <w:rsid w:val="000B542B"/>
  </w:style>
  <w:style w:type="paragraph" w:styleId="CommentSubject">
    <w:name w:val="annotation subject"/>
    <w:basedOn w:val="CommentText"/>
    <w:next w:val="CommentText"/>
    <w:link w:val="CommentSubjectChar"/>
    <w:rsid w:val="000B542B"/>
    <w:rPr>
      <w:b/>
      <w:bCs/>
    </w:rPr>
  </w:style>
  <w:style w:type="character" w:customStyle="1" w:styleId="CommentSubjectChar">
    <w:name w:val="Comment Subject Char"/>
    <w:basedOn w:val="CommentTextChar"/>
    <w:link w:val="CommentSubject"/>
    <w:rsid w:val="000B542B"/>
    <w:rPr>
      <w:b/>
      <w:bCs/>
    </w:rPr>
  </w:style>
  <w:style w:type="character" w:styleId="FollowedHyperlink">
    <w:name w:val="FollowedHyperlink"/>
    <w:basedOn w:val="DefaultParagraphFont"/>
    <w:rsid w:val="005F5462"/>
    <w:rPr>
      <w:color w:val="800080"/>
      <w:u w:val="single"/>
    </w:rPr>
  </w:style>
  <w:style w:type="paragraph" w:styleId="Revision">
    <w:name w:val="Revision"/>
    <w:hidden/>
    <w:uiPriority w:val="99"/>
    <w:semiHidden/>
    <w:rsid w:val="0082221A"/>
  </w:style>
  <w:style w:type="table" w:styleId="TableGrid">
    <w:name w:val="Table Grid"/>
    <w:basedOn w:val="TableNormal"/>
    <w:rsid w:val="007026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277949">
      <w:bodyDiv w:val="1"/>
      <w:marLeft w:val="0"/>
      <w:marRight w:val="0"/>
      <w:marTop w:val="0"/>
      <w:marBottom w:val="0"/>
      <w:divBdr>
        <w:top w:val="none" w:sz="0" w:space="0" w:color="auto"/>
        <w:left w:val="none" w:sz="0" w:space="0" w:color="auto"/>
        <w:bottom w:val="none" w:sz="0" w:space="0" w:color="auto"/>
        <w:right w:val="none" w:sz="0" w:space="0" w:color="auto"/>
      </w:divBdr>
    </w:div>
    <w:div w:id="81880722">
      <w:bodyDiv w:val="1"/>
      <w:marLeft w:val="0"/>
      <w:marRight w:val="0"/>
      <w:marTop w:val="0"/>
      <w:marBottom w:val="0"/>
      <w:divBdr>
        <w:top w:val="none" w:sz="0" w:space="0" w:color="auto"/>
        <w:left w:val="none" w:sz="0" w:space="0" w:color="auto"/>
        <w:bottom w:val="none" w:sz="0" w:space="0" w:color="auto"/>
        <w:right w:val="none" w:sz="0" w:space="0" w:color="auto"/>
      </w:divBdr>
    </w:div>
    <w:div w:id="1172649086">
      <w:bodyDiv w:val="1"/>
      <w:marLeft w:val="0"/>
      <w:marRight w:val="0"/>
      <w:marTop w:val="0"/>
      <w:marBottom w:val="0"/>
      <w:divBdr>
        <w:top w:val="none" w:sz="0" w:space="0" w:color="auto"/>
        <w:left w:val="none" w:sz="0" w:space="0" w:color="auto"/>
        <w:bottom w:val="none" w:sz="0" w:space="0" w:color="auto"/>
        <w:right w:val="none" w:sz="0" w:space="0" w:color="auto"/>
      </w:divBdr>
    </w:div>
    <w:div w:id="124144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ments@utc.wa.gov"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67E8FC1BA6B3B42BC91B762FC7051D7" ma:contentTypeVersion="131" ma:contentTypeDescription="" ma:contentTypeScope="" ma:versionID="26838c36d1e52895974c8b8bc1976f4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2010-12-20T08:00:00+00:00</OpenedDate>
    <Date1 xmlns="dc463f71-b30c-4ab2-9473-d307f9d35888">2010-12-20T08:00:00+00:00</Date1>
    <IsDocumentOrder xmlns="dc463f71-b30c-4ab2-9473-d307f9d35888" xsi:nil="true"/>
    <IsHighlyConfidential xmlns="dc463f71-b30c-4ab2-9473-d307f9d35888">false</IsHighlyConfidential>
    <CaseCompanyNames xmlns="dc463f71-b30c-4ab2-9473-d307f9d35888">Country Meadows E. Water System #2</CaseCompanyNames>
    <DocketNumber xmlns="dc463f71-b30c-4ab2-9473-d307f9d35888">102034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68F19EB-96FD-4419-B18A-70ACB4C10AD1}"/>
</file>

<file path=customXml/itemProps2.xml><?xml version="1.0" encoding="utf-8"?>
<ds:datastoreItem xmlns:ds="http://schemas.openxmlformats.org/officeDocument/2006/customXml" ds:itemID="{86406136-0B35-44CF-9696-B55F8EB3E5A8}"/>
</file>

<file path=customXml/itemProps3.xml><?xml version="1.0" encoding="utf-8"?>
<ds:datastoreItem xmlns:ds="http://schemas.openxmlformats.org/officeDocument/2006/customXml" ds:itemID="{C05F868D-6DB3-48C9-A76A-A337955B4A5D}"/>
</file>

<file path=customXml/itemProps4.xml><?xml version="1.0" encoding="utf-8"?>
<ds:datastoreItem xmlns:ds="http://schemas.openxmlformats.org/officeDocument/2006/customXml" ds:itemID="{4FDA9993-0E49-48A3-9818-81E00926A353}"/>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3036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Dear Water System Owner/Representative,</vt:lpstr>
    </vt:vector>
  </TitlesOfParts>
  <Company>Nicholson Drilling</Company>
  <LinksUpToDate>false</LinksUpToDate>
  <CharactersWithSpaces>3576</CharactersWithSpaces>
  <SharedDoc>false</SharedDoc>
  <HLinks>
    <vt:vector size="6" baseType="variant">
      <vt:variant>
        <vt:i4>1507445</vt:i4>
      </vt:variant>
      <vt:variant>
        <vt:i4>0</vt:i4>
      </vt:variant>
      <vt:variant>
        <vt:i4>0</vt:i4>
      </vt:variant>
      <vt:variant>
        <vt:i4>5</vt:i4>
      </vt:variant>
      <vt:variant>
        <vt:lpwstr>mailto:comments@utc.wa.gov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Water System Owner/Representative,</dc:title>
  <dc:subject/>
  <dc:creator>Jonathan P. Wiley</dc:creator>
  <cp:keywords/>
  <cp:lastModifiedBy>Catherine Taliaferro</cp:lastModifiedBy>
  <cp:revision>2</cp:revision>
  <cp:lastPrinted>2010-12-17T16:31:00Z</cp:lastPrinted>
  <dcterms:created xsi:type="dcterms:W3CDTF">2010-12-21T22:07:00Z</dcterms:created>
  <dcterms:modified xsi:type="dcterms:W3CDTF">2010-12-21T22:07:00Z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0x0101006E56B4D1795A2E4DB2F0B01679ED314A00F67E8FC1BA6B3B42BC91B762FC7051D7</vt:lpwstr>
  </property>
  <property fmtid="{D5CDD505-2E9C-101B-9397-08002B2CF9AE}" pid="3" name="_docset_NoMedatataSyncRequired">
    <vt:lpwstr>False</vt:lpwstr>
  </property>
</Properties>
</file>