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1F27AF">
        <w:rPr>
          <w:u w:val="single"/>
        </w:rPr>
        <w:t>7</w:t>
      </w:r>
      <w:r w:rsidR="00484617">
        <w:rPr>
          <w:u w:val="single"/>
        </w:rPr>
        <w:t>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1F27AF">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8" o:title=""/>
                      </v:shape>
                      <o:OLEObject Type="Embed" ProgID="Excel.Sheet.8" ShapeID="_x0000_i1026" DrawAspect="Content" ObjectID="_1343643901" r:id="rId9"/>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1F27AF">
        <w:t>August</w:t>
      </w:r>
      <w:r w:rsidR="000A3C61">
        <w:t xml:space="preserve"> 1</w:t>
      </w:r>
      <w:r w:rsidR="001F27AF">
        <w:t>7</w:t>
      </w:r>
      <w:r>
        <w:t>, 20</w:t>
      </w:r>
      <w:r w:rsidR="000A3C61">
        <w:t>10</w:t>
      </w:r>
      <w:r>
        <w:tab/>
        <w:t xml:space="preserve">                                                              </w:t>
      </w:r>
      <w:r w:rsidR="00B049B0">
        <w:t xml:space="preserve">      </w:t>
      </w:r>
      <w:r w:rsidR="00484617">
        <w:t xml:space="preserve">          </w:t>
      </w:r>
      <w:r w:rsidR="000A3C61">
        <w:t xml:space="preserve"> </w:t>
      </w:r>
      <w:r>
        <w:t xml:space="preserve"> Effective date: </w:t>
      </w:r>
      <w:r w:rsidR="00380559">
        <w:t>October</w:t>
      </w:r>
      <w:r w:rsidR="00813F1C">
        <w:t xml:space="preserve"> </w:t>
      </w:r>
      <w:r w:rsidR="00380559">
        <w:t>2</w:t>
      </w:r>
      <w:r w:rsidR="00B049B0">
        <w:t>,</w:t>
      </w:r>
      <w:r>
        <w:t xml:space="preserve"> 20</w:t>
      </w:r>
      <w:r w:rsidR="00484617">
        <w:t>10</w:t>
      </w:r>
    </w:p>
    <w:p w:rsidR="00D95D5C" w:rsidRDefault="00D95D5C" w:rsidP="00D95D5C">
      <w:pPr>
        <w:pStyle w:val="Footer"/>
        <w:tabs>
          <w:tab w:val="clear" w:pos="8640"/>
          <w:tab w:val="left" w:pos="8100"/>
          <w:tab w:val="right" w:pos="9360"/>
        </w:tabs>
        <w:jc w:val="center"/>
      </w:pPr>
      <w:r>
        <w:t>(For Official Use Only)</w:t>
      </w:r>
    </w:p>
    <w:p w:rsidR="001F27AF" w:rsidRDefault="001F27AF" w:rsidP="00D95D5C">
      <w:pPr>
        <w:pStyle w:val="Heading1"/>
        <w:rPr>
          <w:u w:val="none"/>
        </w:rPr>
      </w:pP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1F27AF" w:rsidRDefault="001F27AF" w:rsidP="001F27AF">
      <w:pPr>
        <w:pStyle w:val="Header"/>
        <w:tabs>
          <w:tab w:val="clear" w:pos="8640"/>
          <w:tab w:val="right" w:pos="10440"/>
        </w:tabs>
      </w:pPr>
      <w:r>
        <w:lastRenderedPageBreak/>
        <w:t xml:space="preserve">Tariff No. </w:t>
      </w:r>
      <w:r>
        <w:rPr>
          <w:b/>
          <w:u w:val="single"/>
        </w:rPr>
        <w:t>17</w:t>
      </w:r>
      <w:proofErr w:type="gramStart"/>
      <w:r>
        <w:tab/>
      </w:r>
      <w:r>
        <w:tab/>
      </w:r>
      <w:r>
        <w:rPr>
          <w:u w:val="single"/>
        </w:rPr>
        <w:t xml:space="preserve">1st Revised </w:t>
      </w:r>
      <w:r>
        <w:t>Page</w:t>
      </w:r>
      <w:proofErr w:type="gramEnd"/>
      <w:r>
        <w:t xml:space="preserve"> No. </w:t>
      </w:r>
      <w:r>
        <w:rPr>
          <w:u w:val="single"/>
        </w:rPr>
        <w:t>36</w:t>
      </w:r>
    </w:p>
    <w:p w:rsidR="001F27AF" w:rsidRDefault="001F27AF" w:rsidP="001F27AF">
      <w:pPr>
        <w:pStyle w:val="Header"/>
        <w:tabs>
          <w:tab w:val="clear" w:pos="8640"/>
          <w:tab w:val="right" w:pos="10440"/>
        </w:tabs>
      </w:pPr>
    </w:p>
    <w:p w:rsidR="001F27AF" w:rsidRDefault="001F27AF" w:rsidP="001F27A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1F27AF" w:rsidRDefault="001F27AF" w:rsidP="001F27AF">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1F27AF" w:rsidRDefault="001F27AF" w:rsidP="001F27AF">
      <w:pPr>
        <w:pStyle w:val="Heading1"/>
        <w:rPr>
          <w:b/>
        </w:rPr>
      </w:pPr>
    </w:p>
    <w:p w:rsidR="001F27AF" w:rsidRPr="001F27AF" w:rsidRDefault="001F27AF" w:rsidP="001F27AF">
      <w:pPr>
        <w:pStyle w:val="Heading1"/>
        <w:rPr>
          <w:b/>
        </w:rPr>
      </w:pPr>
      <w:r w:rsidRPr="001F27AF">
        <w:rPr>
          <w:b/>
        </w:rPr>
        <w:t>Item 260 – Drop Box Service – To Disposal Site and Return</w:t>
      </w:r>
    </w:p>
    <w:p w:rsidR="001F27AF" w:rsidRDefault="001F27AF" w:rsidP="001F27AF">
      <w:pPr>
        <w:jc w:val="center"/>
      </w:pPr>
      <w:r>
        <w:t>Non-Compacted Material (Company-owned drop box)</w:t>
      </w:r>
    </w:p>
    <w:p w:rsidR="001F27AF" w:rsidRDefault="001F27AF" w:rsidP="001F27AF">
      <w:pPr>
        <w:jc w:val="center"/>
      </w:pPr>
      <w:r>
        <w:t>Rates stated per drop box, per pick up</w:t>
      </w:r>
    </w:p>
    <w:p w:rsidR="001F27AF" w:rsidRDefault="001F27AF" w:rsidP="001F27AF">
      <w:pPr>
        <w:jc w:val="center"/>
      </w:pPr>
    </w:p>
    <w:p w:rsidR="001F27AF" w:rsidRDefault="001F27AF" w:rsidP="001F27AF">
      <w:r>
        <w:t>Service Area: per Exhibit A</w:t>
      </w:r>
    </w:p>
    <w:tbl>
      <w:tblPr>
        <w:tblW w:w="0" w:type="auto"/>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1440"/>
        <w:gridCol w:w="1440"/>
        <w:gridCol w:w="1440"/>
        <w:gridCol w:w="1440"/>
        <w:gridCol w:w="1440"/>
        <w:gridCol w:w="1458"/>
      </w:tblGrid>
      <w:tr w:rsidR="001F27AF" w:rsidTr="001472B3">
        <w:tblPrEx>
          <w:tblCellMar>
            <w:top w:w="0" w:type="dxa"/>
            <w:bottom w:w="0" w:type="dxa"/>
          </w:tblCellMar>
        </w:tblPrEx>
        <w:trPr>
          <w:cantSplit/>
        </w:trPr>
        <w:tc>
          <w:tcPr>
            <w:tcW w:w="2520" w:type="dxa"/>
          </w:tcPr>
          <w:p w:rsidR="001F27AF" w:rsidRDefault="001F27AF" w:rsidP="001472B3">
            <w:r>
              <w:t>Permanent Service</w:t>
            </w:r>
          </w:p>
        </w:tc>
        <w:tc>
          <w:tcPr>
            <w:tcW w:w="8658" w:type="dxa"/>
            <w:gridSpan w:val="6"/>
          </w:tcPr>
          <w:p w:rsidR="001F27AF" w:rsidRDefault="001F27AF" w:rsidP="001472B3">
            <w:pPr>
              <w:jc w:val="center"/>
            </w:pPr>
            <w:r>
              <w:t>Size or Type of Container</w:t>
            </w:r>
          </w:p>
        </w:tc>
      </w:tr>
      <w:tr w:rsidR="001F27AF" w:rsidTr="001472B3">
        <w:tblPrEx>
          <w:tblCellMar>
            <w:top w:w="0" w:type="dxa"/>
            <w:bottom w:w="0" w:type="dxa"/>
          </w:tblCellMar>
        </w:tblPrEx>
        <w:trPr>
          <w:cantSplit/>
          <w:trHeight w:val="323"/>
        </w:trPr>
        <w:tc>
          <w:tcPr>
            <w:tcW w:w="2520" w:type="dxa"/>
          </w:tcPr>
          <w:p w:rsidR="001F27AF" w:rsidRDefault="001F27AF" w:rsidP="001472B3"/>
        </w:tc>
        <w:tc>
          <w:tcPr>
            <w:tcW w:w="1440" w:type="dxa"/>
          </w:tcPr>
          <w:p w:rsidR="001F27AF" w:rsidRDefault="001F27AF" w:rsidP="001472B3">
            <w:pPr>
              <w:jc w:val="center"/>
            </w:pPr>
            <w:r>
              <w:t>10 Yard</w:t>
            </w:r>
          </w:p>
        </w:tc>
        <w:tc>
          <w:tcPr>
            <w:tcW w:w="1440" w:type="dxa"/>
          </w:tcPr>
          <w:p w:rsidR="001F27AF" w:rsidRDefault="001F27AF" w:rsidP="001472B3">
            <w:pPr>
              <w:jc w:val="center"/>
            </w:pPr>
            <w:r>
              <w:t>20 Yard</w:t>
            </w:r>
          </w:p>
        </w:tc>
        <w:tc>
          <w:tcPr>
            <w:tcW w:w="1440" w:type="dxa"/>
          </w:tcPr>
          <w:p w:rsidR="001F27AF" w:rsidRDefault="001F27AF" w:rsidP="001472B3">
            <w:pPr>
              <w:jc w:val="center"/>
            </w:pPr>
            <w:r>
              <w:t>25 Yard</w:t>
            </w:r>
          </w:p>
        </w:tc>
        <w:tc>
          <w:tcPr>
            <w:tcW w:w="1440" w:type="dxa"/>
          </w:tcPr>
          <w:p w:rsidR="001F27AF" w:rsidRDefault="001F27AF" w:rsidP="001472B3">
            <w:pPr>
              <w:jc w:val="center"/>
            </w:pPr>
            <w:r>
              <w:t>30 Yard</w:t>
            </w:r>
          </w:p>
        </w:tc>
        <w:tc>
          <w:tcPr>
            <w:tcW w:w="1440" w:type="dxa"/>
          </w:tcPr>
          <w:p w:rsidR="001F27AF" w:rsidRDefault="001F27AF" w:rsidP="001472B3">
            <w:pPr>
              <w:jc w:val="center"/>
            </w:pPr>
            <w:r>
              <w:t>40 Yard</w:t>
            </w:r>
          </w:p>
        </w:tc>
        <w:tc>
          <w:tcPr>
            <w:tcW w:w="1458" w:type="dxa"/>
          </w:tcPr>
          <w:p w:rsidR="001F27AF" w:rsidRDefault="001F27AF" w:rsidP="001472B3">
            <w:pPr>
              <w:jc w:val="center"/>
            </w:pPr>
            <w:r>
              <w:t>50 Yard</w:t>
            </w:r>
          </w:p>
        </w:tc>
      </w:tr>
      <w:tr w:rsidR="001F27AF" w:rsidTr="001472B3">
        <w:tblPrEx>
          <w:tblCellMar>
            <w:top w:w="0" w:type="dxa"/>
            <w:bottom w:w="0" w:type="dxa"/>
          </w:tblCellMar>
        </w:tblPrEx>
        <w:trPr>
          <w:cantSplit/>
        </w:trPr>
        <w:tc>
          <w:tcPr>
            <w:tcW w:w="2520" w:type="dxa"/>
          </w:tcPr>
          <w:p w:rsidR="001F27AF" w:rsidRDefault="001F27AF" w:rsidP="001472B3">
            <w:r>
              <w:t xml:space="preserve">Monthly Rent, </w:t>
            </w:r>
            <w:r>
              <w:rPr>
                <w:sz w:val="20"/>
              </w:rPr>
              <w:t>if applicable</w:t>
            </w:r>
            <w:r>
              <w:t xml:space="preserve"> </w:t>
            </w:r>
          </w:p>
        </w:tc>
        <w:tc>
          <w:tcPr>
            <w:tcW w:w="1440" w:type="dxa"/>
          </w:tcPr>
          <w:p w:rsidR="007768D4" w:rsidRDefault="007768D4" w:rsidP="001472B3">
            <w:pPr>
              <w:jc w:val="center"/>
              <w:rPr>
                <w:b/>
              </w:rPr>
            </w:pPr>
          </w:p>
          <w:p w:rsidR="001F27AF" w:rsidRDefault="001F27AF" w:rsidP="001472B3">
            <w:pPr>
              <w:jc w:val="center"/>
              <w:rPr>
                <w:b/>
              </w:rPr>
            </w:pPr>
            <w:r>
              <w:rPr>
                <w:b/>
              </w:rPr>
              <w:t xml:space="preserve">$ 38.00 </w:t>
            </w:r>
          </w:p>
        </w:tc>
        <w:tc>
          <w:tcPr>
            <w:tcW w:w="1440" w:type="dxa"/>
          </w:tcPr>
          <w:p w:rsidR="007768D4" w:rsidRDefault="007768D4" w:rsidP="001472B3">
            <w:pPr>
              <w:jc w:val="center"/>
              <w:rPr>
                <w:b/>
              </w:rPr>
            </w:pPr>
          </w:p>
          <w:p w:rsidR="001F27AF" w:rsidRDefault="001F27AF" w:rsidP="001472B3">
            <w:pPr>
              <w:jc w:val="center"/>
              <w:rPr>
                <w:b/>
              </w:rPr>
            </w:pPr>
            <w:r>
              <w:rPr>
                <w:b/>
              </w:rPr>
              <w:t xml:space="preserve">$ 52.00 </w:t>
            </w:r>
          </w:p>
        </w:tc>
        <w:tc>
          <w:tcPr>
            <w:tcW w:w="1440" w:type="dxa"/>
          </w:tcPr>
          <w:p w:rsidR="007768D4" w:rsidRDefault="007768D4" w:rsidP="001472B3">
            <w:pPr>
              <w:jc w:val="center"/>
              <w:rPr>
                <w:b/>
              </w:rPr>
            </w:pPr>
          </w:p>
          <w:p w:rsidR="001F27AF" w:rsidRDefault="001F27AF" w:rsidP="001472B3">
            <w:pPr>
              <w:jc w:val="center"/>
              <w:rPr>
                <w:b/>
              </w:rPr>
            </w:pPr>
            <w:r>
              <w:rPr>
                <w:b/>
              </w:rPr>
              <w:t xml:space="preserve">$ 58.00 </w:t>
            </w:r>
          </w:p>
        </w:tc>
        <w:tc>
          <w:tcPr>
            <w:tcW w:w="1440" w:type="dxa"/>
          </w:tcPr>
          <w:p w:rsidR="007768D4" w:rsidRDefault="007768D4" w:rsidP="001472B3">
            <w:pPr>
              <w:jc w:val="center"/>
              <w:rPr>
                <w:b/>
              </w:rPr>
            </w:pPr>
          </w:p>
          <w:p w:rsidR="001F27AF" w:rsidRDefault="001F27AF" w:rsidP="001472B3">
            <w:pPr>
              <w:jc w:val="center"/>
              <w:rPr>
                <w:b/>
              </w:rPr>
            </w:pPr>
            <w:r>
              <w:rPr>
                <w:b/>
              </w:rPr>
              <w:t xml:space="preserve">$ 63.00 </w:t>
            </w:r>
          </w:p>
        </w:tc>
        <w:tc>
          <w:tcPr>
            <w:tcW w:w="1440" w:type="dxa"/>
          </w:tcPr>
          <w:p w:rsidR="007768D4" w:rsidRDefault="007768D4" w:rsidP="007768D4">
            <w:pPr>
              <w:jc w:val="center"/>
              <w:rPr>
                <w:b/>
              </w:rPr>
            </w:pPr>
          </w:p>
          <w:p w:rsidR="001F27AF" w:rsidRDefault="007768D4" w:rsidP="007768D4">
            <w:pPr>
              <w:jc w:val="center"/>
              <w:rPr>
                <w:b/>
              </w:rPr>
            </w:pPr>
            <w:r>
              <w:rPr>
                <w:b/>
              </w:rPr>
              <w:t>***</w:t>
            </w:r>
          </w:p>
        </w:tc>
        <w:tc>
          <w:tcPr>
            <w:tcW w:w="1458" w:type="dxa"/>
          </w:tcPr>
          <w:p w:rsidR="007768D4" w:rsidRDefault="007768D4" w:rsidP="007768D4">
            <w:pPr>
              <w:jc w:val="center"/>
              <w:rPr>
                <w:b/>
              </w:rPr>
            </w:pPr>
          </w:p>
          <w:p w:rsidR="001F27AF" w:rsidRDefault="007768D4" w:rsidP="007768D4">
            <w:pPr>
              <w:jc w:val="center"/>
              <w:rPr>
                <w:b/>
              </w:rPr>
            </w:pPr>
            <w:r>
              <w:rPr>
                <w:b/>
              </w:rPr>
              <w:t>***</w:t>
            </w:r>
            <w:r w:rsidR="001F27AF">
              <w:rPr>
                <w:b/>
              </w:rPr>
              <w:t xml:space="preserve"> </w:t>
            </w: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4"/>
              </w:rPr>
            </w:pPr>
            <w:r>
              <w:rPr>
                <w:b w:val="0"/>
                <w:sz w:val="24"/>
              </w:rPr>
              <w:t>First Pickup</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jc w:val="center"/>
              <w:rPr>
                <w:b/>
              </w:rPr>
            </w:pPr>
            <w:r>
              <w:rPr>
                <w:b/>
              </w:rPr>
              <w:t>***</w:t>
            </w:r>
          </w:p>
        </w:tc>
        <w:tc>
          <w:tcPr>
            <w:tcW w:w="1458" w:type="dxa"/>
          </w:tcPr>
          <w:p w:rsidR="007768D4" w:rsidRDefault="007768D4" w:rsidP="001472B3">
            <w:pPr>
              <w:jc w:val="center"/>
              <w:rPr>
                <w:b/>
              </w:rPr>
            </w:pPr>
            <w:r>
              <w:rPr>
                <w:b/>
              </w:rPr>
              <w:t xml:space="preserve">*** </w:t>
            </w: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2"/>
              </w:rPr>
            </w:pPr>
            <w:r>
              <w:rPr>
                <w:b w:val="0"/>
                <w:sz w:val="24"/>
              </w:rPr>
              <w:t>Each Additional Pickup</w:t>
            </w:r>
          </w:p>
        </w:tc>
        <w:tc>
          <w:tcPr>
            <w:tcW w:w="1440" w:type="dxa"/>
          </w:tcPr>
          <w:p w:rsidR="007768D4" w:rsidRDefault="007768D4" w:rsidP="001472B3">
            <w:pPr>
              <w:pStyle w:val="Header"/>
              <w:tabs>
                <w:tab w:val="clear" w:pos="4320"/>
                <w:tab w:val="clear" w:pos="8640"/>
              </w:tabs>
              <w:jc w:val="center"/>
              <w:rPr>
                <w:b/>
              </w:rPr>
            </w:pPr>
            <w:r>
              <w:rPr>
                <w:b/>
              </w:rPr>
              <w:t xml:space="preserve">$111.20 </w:t>
            </w:r>
          </w:p>
        </w:tc>
        <w:tc>
          <w:tcPr>
            <w:tcW w:w="1440" w:type="dxa"/>
          </w:tcPr>
          <w:p w:rsidR="007768D4" w:rsidRDefault="007768D4" w:rsidP="001472B3">
            <w:pPr>
              <w:pStyle w:val="Header"/>
              <w:tabs>
                <w:tab w:val="clear" w:pos="4320"/>
                <w:tab w:val="clear" w:pos="8640"/>
              </w:tabs>
              <w:jc w:val="center"/>
              <w:rPr>
                <w:b/>
              </w:rPr>
            </w:pPr>
            <w:r>
              <w:rPr>
                <w:b/>
              </w:rPr>
              <w:t xml:space="preserve">$111.20 </w:t>
            </w:r>
          </w:p>
        </w:tc>
        <w:tc>
          <w:tcPr>
            <w:tcW w:w="1440" w:type="dxa"/>
          </w:tcPr>
          <w:p w:rsidR="007768D4" w:rsidRDefault="007768D4" w:rsidP="001472B3">
            <w:pPr>
              <w:pStyle w:val="Header"/>
              <w:tabs>
                <w:tab w:val="clear" w:pos="4320"/>
                <w:tab w:val="clear" w:pos="8640"/>
              </w:tabs>
              <w:jc w:val="center"/>
              <w:rPr>
                <w:b/>
              </w:rPr>
            </w:pPr>
            <w:r>
              <w:rPr>
                <w:b/>
              </w:rPr>
              <w:t xml:space="preserve">$111.20 </w:t>
            </w:r>
          </w:p>
        </w:tc>
        <w:tc>
          <w:tcPr>
            <w:tcW w:w="1440" w:type="dxa"/>
          </w:tcPr>
          <w:p w:rsidR="007768D4" w:rsidRDefault="007768D4" w:rsidP="001472B3">
            <w:pPr>
              <w:pStyle w:val="Header"/>
              <w:tabs>
                <w:tab w:val="clear" w:pos="4320"/>
                <w:tab w:val="clear" w:pos="8640"/>
              </w:tabs>
              <w:jc w:val="center"/>
              <w:rPr>
                <w:b/>
              </w:rPr>
            </w:pPr>
            <w:r>
              <w:rPr>
                <w:b/>
              </w:rPr>
              <w:t xml:space="preserve">$111.20 </w:t>
            </w:r>
          </w:p>
        </w:tc>
        <w:tc>
          <w:tcPr>
            <w:tcW w:w="1440" w:type="dxa"/>
          </w:tcPr>
          <w:p w:rsidR="007768D4" w:rsidRDefault="007768D4" w:rsidP="001472B3">
            <w:pPr>
              <w:jc w:val="center"/>
              <w:rPr>
                <w:b/>
              </w:rPr>
            </w:pPr>
            <w:r>
              <w:rPr>
                <w:b/>
              </w:rPr>
              <w:t>***</w:t>
            </w:r>
          </w:p>
        </w:tc>
        <w:tc>
          <w:tcPr>
            <w:tcW w:w="1458" w:type="dxa"/>
          </w:tcPr>
          <w:p w:rsidR="007768D4" w:rsidRDefault="007768D4" w:rsidP="001472B3">
            <w:pPr>
              <w:jc w:val="center"/>
              <w:rPr>
                <w:b/>
              </w:rPr>
            </w:pPr>
            <w:r>
              <w:rPr>
                <w:b/>
              </w:rPr>
              <w:t xml:space="preserve">*** </w:t>
            </w: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4"/>
              </w:rPr>
            </w:pPr>
            <w:r>
              <w:rPr>
                <w:b w:val="0"/>
                <w:sz w:val="24"/>
              </w:rPr>
              <w:t>Special Pickups</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jc w:val="center"/>
              <w:rPr>
                <w:b/>
              </w:rPr>
            </w:pPr>
            <w:r>
              <w:rPr>
                <w:b/>
              </w:rPr>
              <w:t>***</w:t>
            </w:r>
          </w:p>
        </w:tc>
        <w:tc>
          <w:tcPr>
            <w:tcW w:w="1458" w:type="dxa"/>
          </w:tcPr>
          <w:p w:rsidR="007768D4" w:rsidRDefault="007768D4" w:rsidP="001472B3">
            <w:pPr>
              <w:jc w:val="center"/>
              <w:rPr>
                <w:b/>
              </w:rPr>
            </w:pPr>
            <w:r>
              <w:rPr>
                <w:b/>
              </w:rPr>
              <w:t xml:space="preserve">*** </w:t>
            </w:r>
          </w:p>
        </w:tc>
      </w:tr>
      <w:tr w:rsidR="007768D4" w:rsidTr="001472B3">
        <w:tblPrEx>
          <w:tblCellMar>
            <w:top w:w="0" w:type="dxa"/>
            <w:bottom w:w="0" w:type="dxa"/>
          </w:tblCellMar>
        </w:tblPrEx>
        <w:trPr>
          <w:cantSplit/>
          <w:trHeight w:val="467"/>
        </w:trPr>
        <w:tc>
          <w:tcPr>
            <w:tcW w:w="11178" w:type="dxa"/>
            <w:gridSpan w:val="7"/>
          </w:tcPr>
          <w:p w:rsidR="007768D4" w:rsidRDefault="007768D4" w:rsidP="001472B3"/>
        </w:tc>
      </w:tr>
      <w:tr w:rsidR="007768D4" w:rsidTr="001472B3">
        <w:tblPrEx>
          <w:tblCellMar>
            <w:top w:w="0" w:type="dxa"/>
            <w:bottom w:w="0" w:type="dxa"/>
          </w:tblCellMar>
        </w:tblPrEx>
        <w:trPr>
          <w:cantSplit/>
          <w:trHeight w:val="327"/>
        </w:trPr>
        <w:tc>
          <w:tcPr>
            <w:tcW w:w="2520" w:type="dxa"/>
          </w:tcPr>
          <w:p w:rsidR="007768D4" w:rsidRDefault="007768D4" w:rsidP="001472B3">
            <w:pPr>
              <w:pStyle w:val="Heading2"/>
              <w:jc w:val="left"/>
              <w:rPr>
                <w:b w:val="0"/>
                <w:sz w:val="24"/>
              </w:rPr>
            </w:pPr>
            <w:r>
              <w:rPr>
                <w:b w:val="0"/>
                <w:sz w:val="24"/>
              </w:rPr>
              <w:t>Temporary Service</w:t>
            </w:r>
          </w:p>
        </w:tc>
        <w:tc>
          <w:tcPr>
            <w:tcW w:w="8658" w:type="dxa"/>
            <w:gridSpan w:val="6"/>
          </w:tcPr>
          <w:p w:rsidR="007768D4" w:rsidRDefault="007768D4" w:rsidP="001472B3">
            <w:pPr>
              <w:jc w:val="center"/>
            </w:pP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4"/>
              </w:rPr>
            </w:pPr>
            <w:r>
              <w:rPr>
                <w:b w:val="0"/>
                <w:sz w:val="24"/>
              </w:rPr>
              <w:t>Initial Delivery</w:t>
            </w:r>
          </w:p>
        </w:tc>
        <w:tc>
          <w:tcPr>
            <w:tcW w:w="1440" w:type="dxa"/>
          </w:tcPr>
          <w:p w:rsidR="007768D4" w:rsidRDefault="007768D4" w:rsidP="001472B3">
            <w:pPr>
              <w:jc w:val="center"/>
              <w:rPr>
                <w:b/>
              </w:rPr>
            </w:pPr>
            <w:r>
              <w:rPr>
                <w:b/>
              </w:rPr>
              <w:t xml:space="preserve">$ 49.70 </w:t>
            </w:r>
          </w:p>
        </w:tc>
        <w:tc>
          <w:tcPr>
            <w:tcW w:w="1440" w:type="dxa"/>
          </w:tcPr>
          <w:p w:rsidR="007768D4" w:rsidRDefault="007768D4" w:rsidP="001472B3">
            <w:pPr>
              <w:jc w:val="center"/>
              <w:rPr>
                <w:b/>
              </w:rPr>
            </w:pPr>
            <w:r>
              <w:rPr>
                <w:b/>
              </w:rPr>
              <w:t xml:space="preserve">$ 49.70 </w:t>
            </w:r>
          </w:p>
        </w:tc>
        <w:tc>
          <w:tcPr>
            <w:tcW w:w="1440" w:type="dxa"/>
          </w:tcPr>
          <w:p w:rsidR="007768D4" w:rsidRDefault="007768D4" w:rsidP="001472B3">
            <w:pPr>
              <w:jc w:val="center"/>
              <w:rPr>
                <w:b/>
              </w:rPr>
            </w:pPr>
            <w:r>
              <w:rPr>
                <w:b/>
              </w:rPr>
              <w:t xml:space="preserve">$ 49.70 </w:t>
            </w:r>
          </w:p>
        </w:tc>
        <w:tc>
          <w:tcPr>
            <w:tcW w:w="1440" w:type="dxa"/>
          </w:tcPr>
          <w:p w:rsidR="007768D4" w:rsidRDefault="007768D4" w:rsidP="001472B3">
            <w:pPr>
              <w:jc w:val="center"/>
              <w:rPr>
                <w:b/>
              </w:rPr>
            </w:pPr>
            <w:r>
              <w:rPr>
                <w:b/>
              </w:rPr>
              <w:t xml:space="preserve">$ 49.70 </w:t>
            </w:r>
          </w:p>
        </w:tc>
        <w:tc>
          <w:tcPr>
            <w:tcW w:w="1440" w:type="dxa"/>
          </w:tcPr>
          <w:p w:rsidR="007768D4" w:rsidRDefault="007768D4" w:rsidP="001472B3">
            <w:pPr>
              <w:jc w:val="center"/>
              <w:rPr>
                <w:b/>
              </w:rPr>
            </w:pPr>
            <w:r>
              <w:rPr>
                <w:b/>
              </w:rPr>
              <w:t>***</w:t>
            </w:r>
          </w:p>
        </w:tc>
        <w:tc>
          <w:tcPr>
            <w:tcW w:w="1458" w:type="dxa"/>
          </w:tcPr>
          <w:p w:rsidR="007768D4" w:rsidRDefault="007768D4" w:rsidP="001472B3">
            <w:pPr>
              <w:jc w:val="center"/>
              <w:rPr>
                <w:b/>
              </w:rPr>
            </w:pPr>
            <w:r>
              <w:rPr>
                <w:b/>
              </w:rPr>
              <w:t xml:space="preserve">*** </w:t>
            </w: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4"/>
              </w:rPr>
            </w:pPr>
            <w:r>
              <w:rPr>
                <w:b w:val="0"/>
                <w:sz w:val="24"/>
              </w:rPr>
              <w:t>Pickup Rate</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pStyle w:val="Header"/>
              <w:tabs>
                <w:tab w:val="clear" w:pos="4320"/>
                <w:tab w:val="clear" w:pos="8640"/>
              </w:tabs>
              <w:jc w:val="center"/>
              <w:rPr>
                <w:b/>
              </w:rPr>
            </w:pPr>
            <w:r>
              <w:rPr>
                <w:b/>
              </w:rPr>
              <w:t>$111.20</w:t>
            </w:r>
          </w:p>
        </w:tc>
        <w:tc>
          <w:tcPr>
            <w:tcW w:w="1440" w:type="dxa"/>
          </w:tcPr>
          <w:p w:rsidR="007768D4" w:rsidRDefault="007768D4" w:rsidP="001472B3">
            <w:pPr>
              <w:jc w:val="center"/>
              <w:rPr>
                <w:b/>
              </w:rPr>
            </w:pPr>
            <w:r>
              <w:rPr>
                <w:b/>
              </w:rPr>
              <w:t>***</w:t>
            </w:r>
          </w:p>
        </w:tc>
        <w:tc>
          <w:tcPr>
            <w:tcW w:w="1458" w:type="dxa"/>
          </w:tcPr>
          <w:p w:rsidR="007768D4" w:rsidRDefault="007768D4" w:rsidP="001472B3">
            <w:pPr>
              <w:jc w:val="center"/>
              <w:rPr>
                <w:b/>
              </w:rPr>
            </w:pPr>
            <w:r>
              <w:rPr>
                <w:b/>
              </w:rPr>
              <w:t xml:space="preserve">*** </w:t>
            </w: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440" w:type="dxa"/>
          </w:tcPr>
          <w:p w:rsidR="007768D4" w:rsidRDefault="007768D4" w:rsidP="001472B3">
            <w:pPr>
              <w:jc w:val="center"/>
              <w:rPr>
                <w:b/>
              </w:rPr>
            </w:pPr>
            <w:r>
              <w:rPr>
                <w:b/>
              </w:rPr>
              <w:t>$ 2.75</w:t>
            </w:r>
          </w:p>
        </w:tc>
        <w:tc>
          <w:tcPr>
            <w:tcW w:w="1440" w:type="dxa"/>
          </w:tcPr>
          <w:p w:rsidR="007768D4" w:rsidRDefault="007768D4" w:rsidP="001472B3">
            <w:pPr>
              <w:jc w:val="center"/>
              <w:rPr>
                <w:b/>
              </w:rPr>
            </w:pPr>
            <w:r>
              <w:rPr>
                <w:b/>
              </w:rPr>
              <w:t xml:space="preserve">$ 3.25 </w:t>
            </w:r>
          </w:p>
        </w:tc>
        <w:tc>
          <w:tcPr>
            <w:tcW w:w="1440" w:type="dxa"/>
          </w:tcPr>
          <w:p w:rsidR="007768D4" w:rsidRDefault="007768D4" w:rsidP="001472B3">
            <w:pPr>
              <w:jc w:val="center"/>
              <w:rPr>
                <w:b/>
              </w:rPr>
            </w:pPr>
            <w:r>
              <w:rPr>
                <w:b/>
              </w:rPr>
              <w:t>$ 3.55</w:t>
            </w:r>
          </w:p>
        </w:tc>
        <w:tc>
          <w:tcPr>
            <w:tcW w:w="1440" w:type="dxa"/>
          </w:tcPr>
          <w:p w:rsidR="007768D4" w:rsidRDefault="007768D4" w:rsidP="001472B3">
            <w:pPr>
              <w:jc w:val="center"/>
              <w:rPr>
                <w:b/>
              </w:rPr>
            </w:pPr>
            <w:r>
              <w:rPr>
                <w:b/>
              </w:rPr>
              <w:t xml:space="preserve">$ 4.40 </w:t>
            </w:r>
          </w:p>
        </w:tc>
        <w:tc>
          <w:tcPr>
            <w:tcW w:w="1440" w:type="dxa"/>
          </w:tcPr>
          <w:p w:rsidR="007768D4" w:rsidRDefault="007768D4" w:rsidP="001472B3">
            <w:pPr>
              <w:jc w:val="center"/>
              <w:rPr>
                <w:b/>
              </w:rPr>
            </w:pPr>
            <w:r>
              <w:rPr>
                <w:b/>
              </w:rPr>
              <w:t>***</w:t>
            </w:r>
          </w:p>
        </w:tc>
        <w:tc>
          <w:tcPr>
            <w:tcW w:w="1458" w:type="dxa"/>
          </w:tcPr>
          <w:p w:rsidR="007768D4" w:rsidRDefault="007768D4" w:rsidP="001472B3">
            <w:pPr>
              <w:jc w:val="center"/>
              <w:rPr>
                <w:b/>
              </w:rPr>
            </w:pPr>
            <w:r>
              <w:rPr>
                <w:b/>
              </w:rPr>
              <w:t xml:space="preserve">*** </w:t>
            </w:r>
          </w:p>
        </w:tc>
      </w:tr>
      <w:tr w:rsidR="007768D4" w:rsidTr="001472B3">
        <w:tblPrEx>
          <w:tblCellMar>
            <w:top w:w="0" w:type="dxa"/>
            <w:bottom w:w="0" w:type="dxa"/>
          </w:tblCellMar>
        </w:tblPrEx>
        <w:trPr>
          <w:cantSplit/>
        </w:trPr>
        <w:tc>
          <w:tcPr>
            <w:tcW w:w="2520" w:type="dxa"/>
          </w:tcPr>
          <w:p w:rsidR="007768D4" w:rsidRDefault="007768D4" w:rsidP="001472B3">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440" w:type="dxa"/>
          </w:tcPr>
          <w:p w:rsidR="007768D4" w:rsidRDefault="007768D4" w:rsidP="001472B3">
            <w:pPr>
              <w:rPr>
                <w:b/>
              </w:rPr>
            </w:pPr>
            <w:r>
              <w:rPr>
                <w:b/>
              </w:rPr>
              <w:t>$</w:t>
            </w:r>
          </w:p>
        </w:tc>
        <w:tc>
          <w:tcPr>
            <w:tcW w:w="1440" w:type="dxa"/>
          </w:tcPr>
          <w:p w:rsidR="007768D4" w:rsidRDefault="007768D4" w:rsidP="001472B3">
            <w:pPr>
              <w:rPr>
                <w:b/>
              </w:rPr>
            </w:pPr>
            <w:r>
              <w:rPr>
                <w:b/>
              </w:rPr>
              <w:t>$</w:t>
            </w:r>
          </w:p>
        </w:tc>
        <w:tc>
          <w:tcPr>
            <w:tcW w:w="1440" w:type="dxa"/>
          </w:tcPr>
          <w:p w:rsidR="007768D4" w:rsidRDefault="007768D4" w:rsidP="001472B3">
            <w:pPr>
              <w:rPr>
                <w:b/>
              </w:rPr>
            </w:pPr>
            <w:r>
              <w:rPr>
                <w:b/>
              </w:rPr>
              <w:t>$</w:t>
            </w:r>
          </w:p>
        </w:tc>
        <w:tc>
          <w:tcPr>
            <w:tcW w:w="1440" w:type="dxa"/>
          </w:tcPr>
          <w:p w:rsidR="007768D4" w:rsidRDefault="007768D4" w:rsidP="001472B3">
            <w:pPr>
              <w:rPr>
                <w:b/>
              </w:rPr>
            </w:pPr>
            <w:r>
              <w:rPr>
                <w:b/>
              </w:rPr>
              <w:t>$</w:t>
            </w:r>
          </w:p>
        </w:tc>
        <w:tc>
          <w:tcPr>
            <w:tcW w:w="1440" w:type="dxa"/>
          </w:tcPr>
          <w:p w:rsidR="007768D4" w:rsidRDefault="007768D4" w:rsidP="001472B3">
            <w:pPr>
              <w:rPr>
                <w:b/>
              </w:rPr>
            </w:pPr>
            <w:r>
              <w:rPr>
                <w:b/>
              </w:rPr>
              <w:t>$</w:t>
            </w:r>
          </w:p>
        </w:tc>
        <w:tc>
          <w:tcPr>
            <w:tcW w:w="1458" w:type="dxa"/>
          </w:tcPr>
          <w:p w:rsidR="007768D4" w:rsidRDefault="007768D4" w:rsidP="001472B3">
            <w:pPr>
              <w:rPr>
                <w:b/>
              </w:rPr>
            </w:pPr>
            <w:r>
              <w:rPr>
                <w:b/>
              </w:rPr>
              <w:t>$</w:t>
            </w:r>
          </w:p>
        </w:tc>
      </w:tr>
    </w:tbl>
    <w:p w:rsidR="001F27AF" w:rsidRDefault="001F27AF" w:rsidP="001F27AF">
      <w:pPr>
        <w:tabs>
          <w:tab w:val="left" w:pos="900"/>
        </w:tabs>
        <w:ind w:left="907" w:hanging="907"/>
      </w:pPr>
      <w:r>
        <w:t>Note 1:</w:t>
      </w:r>
      <w:r>
        <w:tab/>
        <w:t>Rates in this item are subject to disposal fees named in Item 230.</w:t>
      </w:r>
    </w:p>
    <w:p w:rsidR="001F27AF" w:rsidRDefault="001F27AF" w:rsidP="001F27AF">
      <w:pPr>
        <w:tabs>
          <w:tab w:val="left" w:pos="900"/>
        </w:tabs>
        <w:ind w:left="907" w:hanging="907"/>
      </w:pPr>
    </w:p>
    <w:p w:rsidR="001F27AF" w:rsidRDefault="001F27AF" w:rsidP="001F27AF">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$ 2.80</w:t>
      </w:r>
      <w:r>
        <w:t xml:space="preserve"> per mile or fraction of a mile.  Mileage charge is in addition to all regular charges.</w:t>
      </w:r>
    </w:p>
    <w:p w:rsidR="001F27AF" w:rsidRDefault="001F27AF" w:rsidP="001F27AF">
      <w:pPr>
        <w:tabs>
          <w:tab w:val="left" w:pos="900"/>
        </w:tabs>
        <w:ind w:left="907" w:hanging="907"/>
      </w:pPr>
    </w:p>
    <w:p w:rsidR="001F27AF" w:rsidRDefault="001F27AF" w:rsidP="001F27AF">
      <w:pPr>
        <w:pStyle w:val="BodyTextIndent3"/>
      </w:pPr>
      <w:r>
        <w:t>Note 3:</w:t>
      </w:r>
      <w:r>
        <w:tab/>
      </w:r>
      <w:r>
        <w:rPr>
          <w:u w:val="single"/>
        </w:rPr>
        <w:t xml:space="preserve">Permanent Service: </w:t>
      </w:r>
      <w:r>
        <w:t xml:space="preserve"> </w:t>
      </w:r>
    </w:p>
    <w:p w:rsidR="001F27AF" w:rsidRDefault="001F27AF" w:rsidP="001F27AF">
      <w:pPr>
        <w:pStyle w:val="BodyTextIndent3"/>
        <w:numPr>
          <w:ilvl w:val="0"/>
          <w:numId w:val="28"/>
        </w:numPr>
        <w:tabs>
          <w:tab w:val="clear" w:pos="900"/>
          <w:tab w:val="left" w:pos="720"/>
          <w:tab w:val="left" w:pos="1080"/>
        </w:tabs>
        <w:ind w:left="1080"/>
      </w:pPr>
      <w:r>
        <w:t>Service is defined as no less than scheduled, once a month pickup, unless local government requires more frequent service or unless putrescibles are involved.</w:t>
      </w:r>
    </w:p>
    <w:p w:rsidR="001F27AF" w:rsidRDefault="001F27AF" w:rsidP="001F27AF">
      <w:pPr>
        <w:pStyle w:val="BodyTextIndent3"/>
        <w:tabs>
          <w:tab w:val="clear" w:pos="900"/>
          <w:tab w:val="left" w:pos="720"/>
          <w:tab w:val="left" w:pos="1080"/>
        </w:tabs>
        <w:ind w:left="0" w:firstLine="0"/>
      </w:pPr>
      <w:r>
        <w:t xml:space="preserve">  </w:t>
      </w:r>
    </w:p>
    <w:p w:rsidR="001F27AF" w:rsidRDefault="001F27AF" w:rsidP="001F27AF">
      <w:pPr>
        <w:pStyle w:val="BodyTextIndent3"/>
        <w:numPr>
          <w:ilvl w:val="0"/>
          <w:numId w:val="29"/>
        </w:numPr>
        <w:tabs>
          <w:tab w:val="clear" w:pos="900"/>
          <w:tab w:val="left" w:pos="720"/>
          <w:tab w:val="left" w:pos="1080"/>
        </w:tabs>
        <w:ind w:left="1080"/>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1F27AF" w:rsidRDefault="001F27AF" w:rsidP="001F27AF">
      <w:pPr>
        <w:pStyle w:val="BodyTextIndent3"/>
        <w:tabs>
          <w:tab w:val="clear" w:pos="900"/>
          <w:tab w:val="left" w:pos="720"/>
          <w:tab w:val="left" w:pos="1080"/>
        </w:tabs>
        <w:ind w:left="720" w:firstLine="0"/>
        <w:rPr>
          <w:rFonts w:ascii="Univers" w:hAnsi="Univers"/>
        </w:rPr>
      </w:pPr>
    </w:p>
    <w:p w:rsidR="001F27AF" w:rsidRDefault="001F27AF" w:rsidP="001F27AF">
      <w:r>
        <w:t>Accessorial charges assessed (lids, tarping, unlocking, unlatching, etc.):</w:t>
      </w:r>
    </w:p>
    <w:p w:rsidR="007768D4" w:rsidRDefault="007768D4" w:rsidP="001F27AF">
      <w:pPr>
        <w:pStyle w:val="Footer"/>
        <w:tabs>
          <w:tab w:val="clear" w:pos="8640"/>
          <w:tab w:val="right" w:pos="9360"/>
        </w:tabs>
        <w:ind w:left="870" w:hanging="780"/>
      </w:pPr>
    </w:p>
    <w:p w:rsidR="001F27AF" w:rsidRPr="00CD0327" w:rsidRDefault="001F27AF" w:rsidP="001F27AF">
      <w:pPr>
        <w:pStyle w:val="Footer"/>
        <w:tabs>
          <w:tab w:val="clear" w:pos="8640"/>
          <w:tab w:val="right" w:pos="9360"/>
        </w:tabs>
        <w:ind w:left="870" w:hanging="780"/>
        <w:rPr>
          <w:sz w:val="22"/>
          <w:szCs w:val="22"/>
        </w:rPr>
      </w:pPr>
      <w:r>
        <w:t>Note 4:</w:t>
      </w:r>
      <w:r>
        <w:tab/>
      </w:r>
      <w:r w:rsidRPr="00CD0327">
        <w:rPr>
          <w:sz w:val="22"/>
          <w:szCs w:val="22"/>
        </w:rPr>
        <w:t xml:space="preserve">A lock fee of </w:t>
      </w:r>
      <w:r w:rsidRPr="00CD0327">
        <w:rPr>
          <w:b/>
          <w:sz w:val="22"/>
          <w:szCs w:val="22"/>
          <w:u w:val="single"/>
        </w:rPr>
        <w:t>$ 3.</w:t>
      </w:r>
      <w:r>
        <w:rPr>
          <w:b/>
          <w:sz w:val="22"/>
          <w:szCs w:val="22"/>
          <w:u w:val="single"/>
        </w:rPr>
        <w:t>45</w:t>
      </w:r>
      <w:r w:rsidRPr="00CD0327">
        <w:rPr>
          <w:sz w:val="22"/>
          <w:szCs w:val="22"/>
        </w:rPr>
        <w:t xml:space="preserve"> per pickup will be assessed for unlocking or locking padlocks or other locking devices on containers in order to perform the pickup service.</w:t>
      </w:r>
    </w:p>
    <w:sectPr w:rsidR="001F27AF" w:rsidRPr="00CD0327">
      <w:headerReference w:type="even" r:id="rId10"/>
      <w:headerReference w:type="default" r:id="rId11"/>
      <w:footerReference w:type="default" r:id="rId12"/>
      <w:head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2B3" w:rsidRDefault="001472B3">
      <w:r>
        <w:separator/>
      </w:r>
    </w:p>
  </w:endnote>
  <w:endnote w:type="continuationSeparator" w:id="0">
    <w:p w:rsidR="001472B3" w:rsidRDefault="001472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0A3C61">
      <w:t>A</w:t>
    </w:r>
    <w:r w:rsidR="00380559">
      <w:t>ugust 17</w:t>
    </w:r>
    <w:r w:rsidR="00B049B0">
      <w:t>,</w:t>
    </w:r>
    <w:r>
      <w:t xml:space="preserve"> 20</w:t>
    </w:r>
    <w:r w:rsidR="000A3C61">
      <w:t>10</w:t>
    </w:r>
    <w:r>
      <w:tab/>
      <w:t xml:space="preserve">                                       </w:t>
    </w:r>
    <w:r w:rsidR="00B049B0">
      <w:t xml:space="preserve">             </w:t>
    </w:r>
    <w:r w:rsidR="00484617">
      <w:t xml:space="preserve">      </w:t>
    </w:r>
    <w:r w:rsidR="00B049B0">
      <w:t xml:space="preserve"> </w:t>
    </w:r>
    <w:r>
      <w:t xml:space="preserve"> </w:t>
    </w:r>
    <w:r w:rsidR="000A3C61">
      <w:t xml:space="preserve">           </w:t>
    </w:r>
    <w:r w:rsidR="00380559">
      <w:t xml:space="preserve">           </w:t>
    </w:r>
    <w:r w:rsidR="000A3C61">
      <w:t xml:space="preserve">  </w:t>
    </w:r>
    <w:r>
      <w:t xml:space="preserve"> Effective date: </w:t>
    </w:r>
    <w:r w:rsidR="00380559">
      <w:t>October 2</w:t>
    </w:r>
    <w:r>
      <w:t>, 20</w:t>
    </w:r>
    <w:r w:rsidR="00484617">
      <w:t>10</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2B3" w:rsidRDefault="001472B3">
      <w:r>
        <w:separator/>
      </w:r>
    </w:p>
  </w:footnote>
  <w:footnote w:type="continuationSeparator" w:id="0">
    <w:p w:rsidR="001472B3" w:rsidRDefault="00147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A3C61"/>
    <w:rsid w:val="000C477A"/>
    <w:rsid w:val="000C7AC5"/>
    <w:rsid w:val="000E76DD"/>
    <w:rsid w:val="00124263"/>
    <w:rsid w:val="001472B3"/>
    <w:rsid w:val="001813EA"/>
    <w:rsid w:val="001901CF"/>
    <w:rsid w:val="001A6CF7"/>
    <w:rsid w:val="001B2FA7"/>
    <w:rsid w:val="001D099A"/>
    <w:rsid w:val="001F27AF"/>
    <w:rsid w:val="00284769"/>
    <w:rsid w:val="002B094C"/>
    <w:rsid w:val="002B1A96"/>
    <w:rsid w:val="002F3544"/>
    <w:rsid w:val="0034627A"/>
    <w:rsid w:val="00380559"/>
    <w:rsid w:val="00383786"/>
    <w:rsid w:val="003A0B72"/>
    <w:rsid w:val="003C295D"/>
    <w:rsid w:val="003E6A2F"/>
    <w:rsid w:val="003F1330"/>
    <w:rsid w:val="003F6BEC"/>
    <w:rsid w:val="00425F92"/>
    <w:rsid w:val="004300BC"/>
    <w:rsid w:val="00484617"/>
    <w:rsid w:val="00492369"/>
    <w:rsid w:val="00493AC2"/>
    <w:rsid w:val="004A7FDA"/>
    <w:rsid w:val="004D1BA1"/>
    <w:rsid w:val="004D2060"/>
    <w:rsid w:val="004F7917"/>
    <w:rsid w:val="0053201E"/>
    <w:rsid w:val="00546E5A"/>
    <w:rsid w:val="00580E5C"/>
    <w:rsid w:val="005D0E0D"/>
    <w:rsid w:val="0060076A"/>
    <w:rsid w:val="00603041"/>
    <w:rsid w:val="006127B0"/>
    <w:rsid w:val="006164BE"/>
    <w:rsid w:val="00635D49"/>
    <w:rsid w:val="006529E1"/>
    <w:rsid w:val="0066471D"/>
    <w:rsid w:val="00673639"/>
    <w:rsid w:val="006807B6"/>
    <w:rsid w:val="006B7294"/>
    <w:rsid w:val="006D04B0"/>
    <w:rsid w:val="006D466A"/>
    <w:rsid w:val="006D73ED"/>
    <w:rsid w:val="00700CCE"/>
    <w:rsid w:val="007164D0"/>
    <w:rsid w:val="00750833"/>
    <w:rsid w:val="007716DC"/>
    <w:rsid w:val="00774BFC"/>
    <w:rsid w:val="007768D4"/>
    <w:rsid w:val="00794CB6"/>
    <w:rsid w:val="007A7F79"/>
    <w:rsid w:val="007D7578"/>
    <w:rsid w:val="007E0CAA"/>
    <w:rsid w:val="00802C1C"/>
    <w:rsid w:val="00813F1C"/>
    <w:rsid w:val="00817573"/>
    <w:rsid w:val="00817A9F"/>
    <w:rsid w:val="00836120"/>
    <w:rsid w:val="00842CF3"/>
    <w:rsid w:val="008472AC"/>
    <w:rsid w:val="00853FE5"/>
    <w:rsid w:val="008646ED"/>
    <w:rsid w:val="00886DCA"/>
    <w:rsid w:val="008B37CC"/>
    <w:rsid w:val="008D0ADC"/>
    <w:rsid w:val="00911BEA"/>
    <w:rsid w:val="00917611"/>
    <w:rsid w:val="0093177F"/>
    <w:rsid w:val="009701D6"/>
    <w:rsid w:val="00974D43"/>
    <w:rsid w:val="00977B77"/>
    <w:rsid w:val="009A5CE1"/>
    <w:rsid w:val="009C4C08"/>
    <w:rsid w:val="009E00E7"/>
    <w:rsid w:val="00A10696"/>
    <w:rsid w:val="00A211DA"/>
    <w:rsid w:val="00A43154"/>
    <w:rsid w:val="00A65C2B"/>
    <w:rsid w:val="00A9015E"/>
    <w:rsid w:val="00A91C71"/>
    <w:rsid w:val="00A921FE"/>
    <w:rsid w:val="00A94E5F"/>
    <w:rsid w:val="00AA1D7E"/>
    <w:rsid w:val="00AB37E1"/>
    <w:rsid w:val="00AB465F"/>
    <w:rsid w:val="00AD1BFC"/>
    <w:rsid w:val="00AD3B43"/>
    <w:rsid w:val="00AE4C44"/>
    <w:rsid w:val="00AF2163"/>
    <w:rsid w:val="00B049B0"/>
    <w:rsid w:val="00B47559"/>
    <w:rsid w:val="00B75570"/>
    <w:rsid w:val="00B9040D"/>
    <w:rsid w:val="00BE78E8"/>
    <w:rsid w:val="00C20FA0"/>
    <w:rsid w:val="00C3451B"/>
    <w:rsid w:val="00C36B98"/>
    <w:rsid w:val="00C400F8"/>
    <w:rsid w:val="00C80765"/>
    <w:rsid w:val="00CC79D0"/>
    <w:rsid w:val="00CF086C"/>
    <w:rsid w:val="00D022EA"/>
    <w:rsid w:val="00D24EC0"/>
    <w:rsid w:val="00D272EC"/>
    <w:rsid w:val="00D6290C"/>
    <w:rsid w:val="00D753B8"/>
    <w:rsid w:val="00D8575E"/>
    <w:rsid w:val="00D873E4"/>
    <w:rsid w:val="00D95D5C"/>
    <w:rsid w:val="00DA0388"/>
    <w:rsid w:val="00DA5864"/>
    <w:rsid w:val="00DB5544"/>
    <w:rsid w:val="00DF3FB0"/>
    <w:rsid w:val="00E03C3B"/>
    <w:rsid w:val="00E251DA"/>
    <w:rsid w:val="00E42990"/>
    <w:rsid w:val="00E87C37"/>
    <w:rsid w:val="00EA0458"/>
    <w:rsid w:val="00EB7E7E"/>
    <w:rsid w:val="00F4089C"/>
    <w:rsid w:val="00F73459"/>
    <w:rsid w:val="00FC05A4"/>
    <w:rsid w:val="00FD3F38"/>
    <w:rsid w:val="00FE2A7A"/>
    <w:rsid w:val="00FE4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2010-08-17T07:00:00+00:00</OpenedDate>
    <Date1 xmlns="dc463f71-b30c-4ab2-9473-d307f9d35888">2010-08-17T07:00:00+00:00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101412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09BC1B97A0504BBCA674297444E7B6" ma:contentTypeVersion="131" ma:contentTypeDescription="" ma:contentTypeScope="" ma:versionID="46f7a0e0d3355be56e73f2fac9415e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6CB9BC-8BA3-4B64-B1C2-2BF362184F67}"/>
</file>

<file path=customXml/itemProps2.xml><?xml version="1.0" encoding="utf-8"?>
<ds:datastoreItem xmlns:ds="http://schemas.openxmlformats.org/officeDocument/2006/customXml" ds:itemID="{455A4B9B-F209-4F5F-AF6E-E9102CD157ED}"/>
</file>

<file path=customXml/itemProps3.xml><?xml version="1.0" encoding="utf-8"?>
<ds:datastoreItem xmlns:ds="http://schemas.openxmlformats.org/officeDocument/2006/customXml" ds:itemID="{ECBA8871-4A54-4BB0-A97C-0F9B1EB4C682}"/>
</file>

<file path=customXml/itemProps4.xml><?xml version="1.0" encoding="utf-8"?>
<ds:datastoreItem xmlns:ds="http://schemas.openxmlformats.org/officeDocument/2006/customXml" ds:itemID="{D041495C-570D-449C-95BE-50F8F372E4AA}"/>
</file>

<file path=customXml/itemProps5.xml><?xml version="1.0" encoding="utf-8"?>
<ds:datastoreItem xmlns:ds="http://schemas.openxmlformats.org/officeDocument/2006/customXml" ds:itemID="{51216677-EE6F-4023-90B4-C097B8450826}"/>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2009-11-11T18:47:00Z</cp:lastPrinted>
  <dcterms:created xsi:type="dcterms:W3CDTF">2010-08-18T20:39:00Z</dcterms:created>
  <dcterms:modified xsi:type="dcterms:W3CDTF">2010-08-18T20:39:00Z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0x0101006E56B4D1795A2E4DB2F0B01679ED314A00AC09BC1B97A0504BBCA674297444E7B6</vt:lpwstr>
  </property>
  <property fmtid="{D5CDD505-2E9C-101B-9397-08002B2CF9AE}" pid="3" name="_docset_NoMedatataSyncRequired">
    <vt:lpwstr>False</vt:lpwstr>
  </property>
</Properties>
</file>