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BEFORE THE WASHINGTON STATE</w:t>
      </w:r>
    </w:p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:rsidR="000A1236" w:rsidRPr="00C923D6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C923D6">
        <w:tc>
          <w:tcPr>
            <w:tcW w:w="4188" w:type="dxa"/>
          </w:tcPr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:rsidR="000A1236" w:rsidRPr="00C923D6" w:rsidRDefault="000A1236"/>
          <w:p w:rsidR="00B9206C" w:rsidRDefault="00DF5476">
            <w:r>
              <w:t>PUGET SOUND ENERGY, INC.</w:t>
            </w:r>
          </w:p>
          <w:p w:rsidR="000A1236" w:rsidRPr="00C923D6" w:rsidRDefault="000D325A">
            <w:r>
              <w:fldChar w:fldCharType="begin"/>
            </w:r>
            <w:r w:rsidR="00E8335A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5F3E65">
              <w:t>Puget Sound energy</w:t>
            </w:r>
            <w:bookmarkEnd w:id="0"/>
            <w:r>
              <w:fldChar w:fldCharType="end"/>
            </w:r>
            <w:r>
              <w:fldChar w:fldCharType="begin"/>
            </w:r>
            <w:r w:rsidR="00525321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5F3E65">
              <w:t>PSE</w:t>
            </w:r>
            <w:bookmarkEnd w:id="1"/>
            <w:r>
              <w:fldChar w:fldCharType="end"/>
            </w:r>
          </w:p>
          <w:p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:rsidR="000A1236" w:rsidRPr="00C923D6" w:rsidRDefault="000A1236"/>
          <w:p w:rsidR="000A1236" w:rsidRPr="00C923D6" w:rsidRDefault="000A1236">
            <w:r w:rsidRPr="00C923D6">
              <w:t xml:space="preserve">For An Accounting Order </w:t>
            </w:r>
            <w:r w:rsidR="00610D1C">
              <w:t>Regarding the Accounting Treatment for Costs of its Electric Environmental Remediation Program</w:t>
            </w:r>
          </w:p>
          <w:p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C923D6" w:rsidRDefault="000A1236">
            <w:pPr>
              <w:jc w:val="center"/>
            </w:pPr>
            <w:r w:rsidRPr="00C923D6">
              <w:t>)</w:t>
            </w:r>
          </w:p>
          <w:p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:rsidR="000A123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  <w:p w:rsidR="00DF5476" w:rsidRDefault="00DF5476">
            <w:pPr>
              <w:jc w:val="center"/>
            </w:pPr>
            <w:r>
              <w:t>)</w:t>
            </w:r>
          </w:p>
          <w:p w:rsidR="00B9206C" w:rsidRPr="00C923D6" w:rsidRDefault="00B9206C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:rsidR="000A1236" w:rsidRPr="00C923D6" w:rsidRDefault="00491C72">
            <w:r>
              <w:t>DOCKET</w:t>
            </w:r>
            <w:r w:rsidR="00AC1794">
              <w:t xml:space="preserve"> </w:t>
            </w:r>
            <w:r w:rsidR="000D325A">
              <w:fldChar w:fldCharType="begin"/>
            </w:r>
            <w:r w:rsidR="00525321">
              <w:instrText xml:space="preserve"> ASK docket_no "Enter Docket Number using XX=XXXXXX Format</w:instrText>
            </w:r>
            <w:r w:rsidR="000D325A">
              <w:fldChar w:fldCharType="separate"/>
            </w:r>
            <w:bookmarkStart w:id="2" w:name="docket_no"/>
            <w:r w:rsidR="005F3E65">
              <w:t>UE-072060</w:t>
            </w:r>
            <w:bookmarkEnd w:id="2"/>
            <w:r w:rsidR="000D325A">
              <w:fldChar w:fldCharType="end"/>
            </w:r>
            <w:fldSimple w:instr=" REF docket_no \* MERGEFORMAT">
              <w:r w:rsidR="000C4A8F">
                <w:t>UE-072060</w:t>
              </w:r>
            </w:fldSimple>
          </w:p>
          <w:p w:rsidR="000A1236" w:rsidRPr="00C923D6" w:rsidRDefault="000A1236"/>
          <w:p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0D325A">
              <w:fldChar w:fldCharType="begin"/>
            </w:r>
            <w:r w:rsidR="00525321">
              <w:instrText xml:space="preserve"> ASK order_no "Enter Order Number"</w:instrText>
            </w:r>
            <w:r w:rsidR="000D325A">
              <w:fldChar w:fldCharType="separate"/>
            </w:r>
            <w:bookmarkStart w:id="3" w:name="order_no"/>
            <w:r w:rsidR="003E0938">
              <w:t>01</w:t>
            </w:r>
            <w:bookmarkEnd w:id="3"/>
            <w:r w:rsidR="000D325A">
              <w:fldChar w:fldCharType="end"/>
            </w:r>
            <w:fldSimple w:instr=" REF order_no \* MERGEFORMAT">
              <w:r w:rsidR="000C4A8F">
                <w:t>01</w:t>
              </w:r>
            </w:fldSimple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DF5476" w:rsidRDefault="00DF5476">
            <w:pPr>
              <w:pStyle w:val="Header"/>
              <w:tabs>
                <w:tab w:val="clear" w:pos="4320"/>
                <w:tab w:val="clear" w:pos="8640"/>
              </w:tabs>
            </w:pPr>
          </w:p>
          <w:p w:rsidR="00DF5476" w:rsidRDefault="00DF5476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1E31D2">
              <w:t>GRANTING</w:t>
            </w:r>
            <w:r w:rsidRPr="00C923D6">
              <w:t xml:space="preserve"> ACCOUNTING PETITION  </w:t>
            </w:r>
          </w:p>
        </w:tc>
      </w:tr>
    </w:tbl>
    <w:p w:rsidR="000A1236" w:rsidRPr="00C923D6" w:rsidRDefault="000A1236">
      <w:pPr>
        <w:jc w:val="center"/>
      </w:pPr>
    </w:p>
    <w:p w:rsidR="000A1236" w:rsidRDefault="000A1236">
      <w:pPr>
        <w:pStyle w:val="Heading1"/>
        <w:spacing w:line="288" w:lineRule="auto"/>
      </w:pPr>
      <w:r w:rsidRPr="00C923D6">
        <w:t>BACKGROUND</w:t>
      </w:r>
    </w:p>
    <w:p w:rsidR="00DF5476" w:rsidRDefault="00DF5476" w:rsidP="00DF5476"/>
    <w:p w:rsidR="003C7665" w:rsidRDefault="000A1236" w:rsidP="00FA44EA">
      <w:pPr>
        <w:pStyle w:val="NumberedParagraph"/>
        <w:tabs>
          <w:tab w:val="clear" w:pos="720"/>
        </w:tabs>
        <w:spacing w:line="288" w:lineRule="auto"/>
        <w:ind w:left="0"/>
      </w:pPr>
      <w:r w:rsidRPr="00C923D6">
        <w:t>On</w:t>
      </w:r>
      <w:r w:rsidR="00525321">
        <w:t xml:space="preserve"> </w:t>
      </w:r>
      <w:r w:rsidR="000D325A">
        <w:fldChar w:fldCharType="begin"/>
      </w:r>
      <w:r w:rsidR="00525321">
        <w:instrText xml:space="preserve"> ask filing_date "Enter Filing Date" </w:instrText>
      </w:r>
      <w:r w:rsidR="000D325A">
        <w:fldChar w:fldCharType="separate"/>
      </w:r>
      <w:bookmarkStart w:id="4" w:name="filing_date"/>
      <w:r w:rsidR="003E0938">
        <w:t>April 16, 2007</w:t>
      </w:r>
      <w:bookmarkEnd w:id="4"/>
      <w:r w:rsidR="000D325A">
        <w:fldChar w:fldCharType="end"/>
      </w:r>
      <w:fldSimple w:instr=" ref filing_date \* MERGEFORMAT">
        <w:r w:rsidR="000C4A8F">
          <w:t>April 16, 2007</w:t>
        </w:r>
      </w:fldSimple>
      <w:r w:rsidRPr="00C923D6">
        <w:t>,</w:t>
      </w:r>
      <w:r w:rsidRPr="00C923D6">
        <w:rPr>
          <w:b/>
          <w:bCs/>
        </w:rPr>
        <w:t xml:space="preserve"> </w:t>
      </w:r>
      <w:fldSimple w:instr=" REF company1_name \* MERGEFORMAT">
        <w:r w:rsidR="000C4A8F">
          <w:t xml:space="preserve">Puget Sound </w:t>
        </w:r>
        <w:r w:rsidR="008E696A">
          <w:t>E</w:t>
        </w:r>
        <w:r w:rsidR="000C4A8F">
          <w:t>nergy</w:t>
        </w:r>
      </w:fldSimple>
      <w:r w:rsidR="00887169">
        <w:t>, Inc.</w:t>
      </w:r>
      <w:r w:rsidRPr="00C923D6">
        <w:t>, (</w:t>
      </w:r>
      <w:fldSimple w:instr=" REF acronym1 \* MERGEFORMAT">
        <w:r w:rsidR="000C4A8F">
          <w:t>PSE</w:t>
        </w:r>
      </w:fldSimple>
      <w:r w:rsidR="00B9206C">
        <w:t xml:space="preserve"> or </w:t>
      </w:r>
      <w:r w:rsidR="00840ABC">
        <w:t>Company</w:t>
      </w:r>
      <w:r w:rsidRPr="00C923D6">
        <w:t>)</w:t>
      </w:r>
      <w:r w:rsidRPr="00C923D6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Commission </w:t>
      </w:r>
      <w:r w:rsidR="008246C9">
        <w:t xml:space="preserve">(Commission) </w:t>
      </w:r>
      <w:r w:rsidR="003C2270">
        <w:t xml:space="preserve">a petition seeking </w:t>
      </w:r>
      <w:r w:rsidRPr="00C923D6">
        <w:t xml:space="preserve">an Accounting Order under </w:t>
      </w:r>
      <w:hyperlink r:id="rId11" w:history="1">
        <w:r w:rsidRPr="007147E9">
          <w:rPr>
            <w:rStyle w:val="Hyperlink"/>
          </w:rPr>
          <w:t>WAC 480-07-370</w:t>
        </w:r>
        <w:r w:rsidR="00F23EAE">
          <w:rPr>
            <w:rStyle w:val="Hyperlink"/>
          </w:rPr>
          <w:t>(1)</w:t>
        </w:r>
        <w:r w:rsidRPr="007147E9">
          <w:rPr>
            <w:rStyle w:val="Hyperlink"/>
          </w:rPr>
          <w:t>(b)</w:t>
        </w:r>
      </w:hyperlink>
      <w:r w:rsidRPr="00C923D6">
        <w:t xml:space="preserve"> </w:t>
      </w:r>
      <w:r w:rsidR="00D30CD1" w:rsidRPr="001B5182">
        <w:t>authorizing</w:t>
      </w:r>
      <w:r w:rsidR="00610D1C">
        <w:t xml:space="preserve"> the treatment of costs incurred by the Company under its electric environmental remediation program in response to federal and state laws regarding hazardous wastes. </w:t>
      </w:r>
      <w:r w:rsidR="00B9206C">
        <w:t xml:space="preserve"> </w:t>
      </w:r>
      <w:r w:rsidR="00610D1C">
        <w:t>In its Pe</w:t>
      </w:r>
      <w:r w:rsidR="00600E8C">
        <w:t>tition, the Company requests an</w:t>
      </w:r>
      <w:r w:rsidR="003C7665">
        <w:t xml:space="preserve"> order which:</w:t>
      </w:r>
    </w:p>
    <w:p w:rsidR="00FA44EA" w:rsidRDefault="00FA44EA" w:rsidP="00FA44EA">
      <w:pPr>
        <w:pStyle w:val="NumberedParagraph"/>
        <w:numPr>
          <w:ilvl w:val="0"/>
          <w:numId w:val="0"/>
        </w:numPr>
        <w:spacing w:line="288" w:lineRule="auto"/>
        <w:ind w:left="1440"/>
      </w:pPr>
      <w:r>
        <w:t>Authorizes the Company to defer the costs incurred in connection with</w:t>
      </w:r>
      <w:r>
        <w:tab/>
        <w:t xml:space="preserve"> a recently added site, “Snoqualmie Hydro Generation”.</w:t>
      </w:r>
    </w:p>
    <w:p w:rsidR="00CD5C63" w:rsidRDefault="00FA44EA" w:rsidP="00FA44EA">
      <w:pPr>
        <w:pStyle w:val="NumberedParagraph"/>
        <w:tabs>
          <w:tab w:val="clear" w:pos="720"/>
        </w:tabs>
        <w:spacing w:line="288" w:lineRule="auto"/>
        <w:ind w:left="0"/>
      </w:pPr>
      <w:r>
        <w:t xml:space="preserve">The </w:t>
      </w:r>
      <w:r w:rsidR="00856129">
        <w:t>Company’s</w:t>
      </w:r>
      <w:r>
        <w:t xml:space="preserve"> petition states that the requested relief is necessary to insulate the Company’s</w:t>
      </w:r>
      <w:r w:rsidR="00856129">
        <w:t xml:space="preserve"> customers from fluctuations in rates due to the variability of environmental remediation costs and recoveries from insurance or third parties.</w:t>
      </w:r>
      <w:r w:rsidR="003A2DF2">
        <w:t xml:space="preserve"> </w:t>
      </w:r>
      <w:r w:rsidR="00B9206C">
        <w:t xml:space="preserve"> </w:t>
      </w:r>
      <w:r w:rsidR="003A2DF2">
        <w:t xml:space="preserve">In addition, the requested </w:t>
      </w:r>
      <w:r w:rsidR="00DD3B47">
        <w:t xml:space="preserve">accounting order would allow the Company </w:t>
      </w:r>
      <w:r w:rsidR="00600E8C">
        <w:t>t</w:t>
      </w:r>
      <w:r w:rsidR="00DD3B47">
        <w:t>o avoid the negative financial impact that otherwise would be required in accounting for these costs under current financial reporting requirements.</w:t>
      </w:r>
      <w:r w:rsidR="00B9206C">
        <w:t xml:space="preserve"> </w:t>
      </w:r>
      <w:r w:rsidR="00DD3B47">
        <w:t xml:space="preserve"> The lag between the time the expenses </w:t>
      </w:r>
      <w:r w:rsidR="00FA7609">
        <w:t>are</w:t>
      </w:r>
      <w:r w:rsidR="00DD3B47">
        <w:t xml:space="preserve"> incurred and the recovery of those expenses would result in negative financial impacts. </w:t>
      </w:r>
      <w:r w:rsidR="00B9206C">
        <w:t xml:space="preserve"> </w:t>
      </w:r>
      <w:r w:rsidR="00DD3B47">
        <w:t>Staff has independently reviewed and verified that the environmental remediation costs are variable and the facts in the petition are true and correct.</w:t>
      </w:r>
    </w:p>
    <w:p w:rsidR="00532B6C" w:rsidRDefault="00CD5C63" w:rsidP="00FA44EA">
      <w:pPr>
        <w:pStyle w:val="NumberedParagraph"/>
        <w:tabs>
          <w:tab w:val="clear" w:pos="720"/>
        </w:tabs>
        <w:spacing w:line="288" w:lineRule="auto"/>
        <w:ind w:left="0"/>
      </w:pPr>
      <w:r>
        <w:t>In its pe</w:t>
      </w:r>
      <w:r w:rsidR="00FA44EA">
        <w:t>tition, the Company states that</w:t>
      </w:r>
      <w:r>
        <w:t xml:space="preserve"> </w:t>
      </w:r>
      <w:r w:rsidR="00E24EF4">
        <w:t xml:space="preserve">the </w:t>
      </w:r>
      <w:r>
        <w:t>Commission</w:t>
      </w:r>
      <w:r w:rsidR="00E24EF4">
        <w:t>’s</w:t>
      </w:r>
      <w:r>
        <w:t xml:space="preserve"> </w:t>
      </w:r>
      <w:r w:rsidR="00E24EF4">
        <w:t>o</w:t>
      </w:r>
      <w:r>
        <w:t>rder</w:t>
      </w:r>
      <w:r w:rsidR="00E24EF4">
        <w:t xml:space="preserve"> in</w:t>
      </w:r>
      <w:r>
        <w:t xml:space="preserve"> Docket UE-911476, </w:t>
      </w:r>
      <w:r w:rsidR="00E24EF4">
        <w:t>entered on</w:t>
      </w:r>
      <w:r w:rsidR="00FA44EA">
        <w:t xml:space="preserve"> April 1, 1992, </w:t>
      </w:r>
      <w:r>
        <w:t>authorized deferred accounting treatment associated wi</w:t>
      </w:r>
      <w:r w:rsidR="00C94732">
        <w:t xml:space="preserve">th particular components of its electric environmental remediation program costs. </w:t>
      </w:r>
      <w:r w:rsidR="00B9206C">
        <w:t xml:space="preserve"> </w:t>
      </w:r>
      <w:r w:rsidR="00C94732">
        <w:t xml:space="preserve">The </w:t>
      </w:r>
      <w:r w:rsidR="00E24EF4">
        <w:t xml:space="preserve">Company asserts the </w:t>
      </w:r>
      <w:r w:rsidR="00C94732">
        <w:t xml:space="preserve">order </w:t>
      </w:r>
      <w:r w:rsidR="00E24EF4">
        <w:t>stated that deferr</w:t>
      </w:r>
      <w:r w:rsidR="00F84FCB">
        <w:t>ed</w:t>
      </w:r>
      <w:r w:rsidR="00E24EF4">
        <w:t xml:space="preserve"> accounting </w:t>
      </w:r>
      <w:r w:rsidR="00C94732">
        <w:t>treatment was appropriate in light of the variability and unpredictability of environmental expenditures.</w:t>
      </w:r>
    </w:p>
    <w:p w:rsidR="00C85042" w:rsidRDefault="00AA4E80" w:rsidP="00FA44EA">
      <w:pPr>
        <w:pStyle w:val="NumberedParagraph"/>
        <w:numPr>
          <w:ilvl w:val="0"/>
          <w:numId w:val="0"/>
        </w:numPr>
        <w:spacing w:line="288" w:lineRule="auto"/>
      </w:pPr>
      <w:r>
        <w:lastRenderedPageBreak/>
        <w:t xml:space="preserve">Staff agrees that the Company should defer its costs </w:t>
      </w:r>
      <w:r w:rsidR="00E24EF4">
        <w:t>due to environmental remediation for the reasons the Company asserts.</w:t>
      </w:r>
      <w:r w:rsidR="00B9206C">
        <w:t xml:space="preserve"> </w:t>
      </w:r>
      <w:r>
        <w:t xml:space="preserve"> Staff </w:t>
      </w:r>
      <w:r w:rsidR="00DA2749">
        <w:t>propose</w:t>
      </w:r>
      <w:r w:rsidR="00E24EF4">
        <w:t>s</w:t>
      </w:r>
      <w:r>
        <w:t xml:space="preserve"> chang</w:t>
      </w:r>
      <w:r w:rsidR="00DA2749">
        <w:t>ing</w:t>
      </w:r>
      <w:r>
        <w:t xml:space="preserve"> the terms </w:t>
      </w:r>
      <w:r w:rsidR="00E24EF4">
        <w:t>for authorizing defer</w:t>
      </w:r>
      <w:r w:rsidR="002B4AAF">
        <w:t>r</w:t>
      </w:r>
      <w:r w:rsidR="00F84FCB">
        <w:t>ed</w:t>
      </w:r>
      <w:r w:rsidR="00E24EF4">
        <w:t xml:space="preserve"> accounting for such costs to</w:t>
      </w:r>
      <w:r w:rsidR="00EE439C">
        <w:t xml:space="preserve"> eliminate the need for filing environmental remediation accounting petitions in the</w:t>
      </w:r>
      <w:r>
        <w:t xml:space="preserve"> </w:t>
      </w:r>
      <w:r w:rsidR="00EE439C">
        <w:t>future</w:t>
      </w:r>
      <w:r>
        <w:t>.</w:t>
      </w:r>
      <w:r w:rsidR="00532B6C">
        <w:t xml:space="preserve"> </w:t>
      </w:r>
      <w:r w:rsidR="00B9206C">
        <w:t xml:space="preserve"> </w:t>
      </w:r>
      <w:r w:rsidR="00E24EF4">
        <w:t>Under Staff’s proposal, future remediation deferrals in t</w:t>
      </w:r>
      <w:r w:rsidR="00532B6C">
        <w:t xml:space="preserve">he </w:t>
      </w:r>
      <w:r w:rsidR="00E24EF4">
        <w:t xml:space="preserve">Company’s </w:t>
      </w:r>
      <w:r w:rsidR="00532B6C">
        <w:t xml:space="preserve">electric and gas business units will </w:t>
      </w:r>
      <w:r w:rsidR="00E24EF4">
        <w:t xml:space="preserve">be treated </w:t>
      </w:r>
      <w:r w:rsidR="00532B6C">
        <w:t>similar</w:t>
      </w:r>
      <w:r w:rsidR="00E24EF4">
        <w:t>ly</w:t>
      </w:r>
      <w:r w:rsidR="00532B6C">
        <w:t>.</w:t>
      </w:r>
      <w:r w:rsidR="00B9206C">
        <w:t xml:space="preserve"> </w:t>
      </w:r>
      <w:r w:rsidR="00EE439C">
        <w:t xml:space="preserve"> All </w:t>
      </w:r>
      <w:r w:rsidR="00E24EF4">
        <w:t xml:space="preserve">prior </w:t>
      </w:r>
      <w:r w:rsidR="00EE439C">
        <w:t>remediation deferrals will continue to be governed by the orders granting the accounting deferral.</w:t>
      </w:r>
    </w:p>
    <w:p w:rsidR="00AA4E80" w:rsidRDefault="00EF4C59" w:rsidP="00C90BAE">
      <w:pPr>
        <w:pStyle w:val="NumberedParagraph"/>
        <w:tabs>
          <w:tab w:val="clear" w:pos="720"/>
          <w:tab w:val="num" w:pos="0"/>
        </w:tabs>
        <w:spacing w:line="288" w:lineRule="auto"/>
        <w:ind w:left="0"/>
      </w:pPr>
      <w:r>
        <w:t xml:space="preserve">The </w:t>
      </w:r>
      <w:r w:rsidR="00AA4E80">
        <w:t xml:space="preserve">Company </w:t>
      </w:r>
      <w:r>
        <w:t xml:space="preserve">supports conditioning Commission approval on </w:t>
      </w:r>
      <w:r w:rsidR="00AA4E80">
        <w:t xml:space="preserve"> the following conditions</w:t>
      </w:r>
      <w:r>
        <w:t>:</w:t>
      </w:r>
    </w:p>
    <w:p w:rsidR="009319C8" w:rsidRDefault="00AA4E80" w:rsidP="009228BB">
      <w:pPr>
        <w:spacing w:line="288" w:lineRule="auto"/>
        <w:ind w:left="1440" w:hanging="720"/>
      </w:pPr>
      <w:r>
        <w:t>(a)</w:t>
      </w:r>
      <w:r>
        <w:tab/>
        <w:t xml:space="preserve">The Company will record the deferred costs in </w:t>
      </w:r>
      <w:r w:rsidR="00E24EF4">
        <w:t>A</w:t>
      </w:r>
      <w:r>
        <w:t xml:space="preserve">ccount number 186, Other Miscellaneous Deferred Debits. </w:t>
      </w:r>
      <w:r w:rsidR="00B9206C">
        <w:t xml:space="preserve"> </w:t>
      </w:r>
      <w:r>
        <w:t>Once the net costs are known and the deferral is ready to be amortized</w:t>
      </w:r>
      <w:r w:rsidR="00E24EF4">
        <w:t>,</w:t>
      </w:r>
      <w:r w:rsidR="00DA2749">
        <w:t xml:space="preserve"> the Company will file with the Commission an accounting petition to transfer to </w:t>
      </w:r>
      <w:r w:rsidR="00E24EF4">
        <w:t>A</w:t>
      </w:r>
      <w:r>
        <w:t>ccount number 182.3, Other Regulatory Assets</w:t>
      </w:r>
      <w:r w:rsidR="00DA2749">
        <w:t>.</w:t>
      </w:r>
    </w:p>
    <w:p w:rsidR="009D2E85" w:rsidRDefault="009D2E85" w:rsidP="009D2E85">
      <w:pPr>
        <w:pStyle w:val="ListParagraph"/>
      </w:pPr>
    </w:p>
    <w:p w:rsidR="009319C8" w:rsidRDefault="009D2E85">
      <w:pPr>
        <w:spacing w:line="288" w:lineRule="auto"/>
        <w:ind w:left="1440" w:hanging="720"/>
      </w:pPr>
      <w:r>
        <w:t>(b)</w:t>
      </w:r>
      <w:r>
        <w:tab/>
      </w:r>
      <w:r w:rsidR="00171C70">
        <w:t xml:space="preserve">Deferred accounting </w:t>
      </w:r>
      <w:r w:rsidR="00E24EF4">
        <w:t>will</w:t>
      </w:r>
      <w:r w:rsidR="00636993">
        <w:t xml:space="preserve"> only</w:t>
      </w:r>
      <w:r w:rsidR="00171C70">
        <w:t xml:space="preserve"> be allowed for environmental remediation projects that fall under the jurisdiction of the Washington Departm</w:t>
      </w:r>
      <w:r w:rsidR="00970DB0">
        <w:t>ent of Ecology</w:t>
      </w:r>
      <w:r w:rsidR="00866BE0">
        <w:t>’s</w:t>
      </w:r>
      <w:r w:rsidR="00171C70">
        <w:t xml:space="preserve"> Model Toxics Control Act</w:t>
      </w:r>
      <w:r w:rsidR="00DA2749">
        <w:t xml:space="preserve"> (MTCA)</w:t>
      </w:r>
      <w:r w:rsidR="00171C70">
        <w:t xml:space="preserve"> </w:t>
      </w:r>
      <w:r w:rsidR="009629C3">
        <w:t>and/</w:t>
      </w:r>
      <w:r w:rsidR="00171C70">
        <w:t xml:space="preserve">or the </w:t>
      </w:r>
      <w:r w:rsidR="00E24EF4">
        <w:t xml:space="preserve">federal </w:t>
      </w:r>
      <w:r w:rsidR="00171C70">
        <w:t>E</w:t>
      </w:r>
      <w:r w:rsidR="00970DB0">
        <w:t>nvironmental Protection Agency</w:t>
      </w:r>
      <w:r w:rsidR="00866BE0">
        <w:t>’s</w:t>
      </w:r>
      <w:r w:rsidR="00171C70">
        <w:t xml:space="preserve"> Comprehensive Environmental Response, Compensation</w:t>
      </w:r>
      <w:r w:rsidR="009629C3">
        <w:t>, and Liability Act</w:t>
      </w:r>
      <w:r w:rsidR="00DA2749">
        <w:t xml:space="preserve"> (CERCLA)</w:t>
      </w:r>
      <w:r w:rsidR="009629C3">
        <w:t>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DA2749">
      <w:pPr>
        <w:spacing w:line="288" w:lineRule="auto"/>
        <w:ind w:left="1440" w:hanging="720"/>
      </w:pPr>
      <w:r>
        <w:t>(c)</w:t>
      </w:r>
      <w:r>
        <w:tab/>
      </w:r>
      <w:r w:rsidR="009629C3">
        <w:t xml:space="preserve">Any </w:t>
      </w:r>
      <w:r w:rsidR="00B9206C">
        <w:t>n</w:t>
      </w:r>
      <w:r w:rsidR="009629C3">
        <w:t xml:space="preserve">et deferred costs existing at the time of the Company’s general rate proceedings </w:t>
      </w:r>
      <w:r w:rsidR="00BC19B4">
        <w:t>will be</w:t>
      </w:r>
      <w:r w:rsidR="009629C3">
        <w:t xml:space="preserve"> subject to review and net deferred costs shown to be imprudent or inappropriate will be subject to disallowance for rate recovery purposes. 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9629C3">
      <w:pPr>
        <w:spacing w:line="288" w:lineRule="auto"/>
        <w:ind w:left="1440" w:hanging="720"/>
      </w:pPr>
      <w:r>
        <w:t>(d)</w:t>
      </w:r>
      <w:r>
        <w:tab/>
        <w:t>Costs that are deferred will be reduced by any insurance or third party proceeds before being eligible for amortization.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9629C3">
      <w:pPr>
        <w:spacing w:line="288" w:lineRule="auto"/>
        <w:ind w:left="1440" w:hanging="720"/>
      </w:pPr>
      <w:r>
        <w:t>(e)</w:t>
      </w:r>
      <w:r>
        <w:tab/>
        <w:t>Allowed net deferred costs wil</w:t>
      </w:r>
      <w:r w:rsidR="00636993">
        <w:t>l be amortized over a five year</w:t>
      </w:r>
      <w:r>
        <w:t xml:space="preserve"> period on the date all cos</w:t>
      </w:r>
      <w:r w:rsidR="00970DB0">
        <w:t>ts net of recoveries become</w:t>
      </w:r>
      <w:r w:rsidR="00636993">
        <w:t xml:space="preserve"> known and declared prudent. </w:t>
      </w:r>
      <w:r w:rsidR="00B9206C">
        <w:t xml:space="preserve"> </w:t>
      </w:r>
      <w:r w:rsidR="00636993">
        <w:t>The deferrals will be</w:t>
      </w:r>
      <w:r>
        <w:t xml:space="preserve"> consistent with</w:t>
      </w:r>
      <w:r w:rsidR="00532B6C">
        <w:t xml:space="preserve"> </w:t>
      </w:r>
      <w:r w:rsidR="008D5935">
        <w:t xml:space="preserve">the Commission’s </w:t>
      </w:r>
      <w:r w:rsidR="00532B6C">
        <w:t>Merger Order</w:t>
      </w:r>
      <w:r w:rsidR="00917DFD">
        <w:t xml:space="preserve"> </w:t>
      </w:r>
      <w:r w:rsidR="008D5935">
        <w:t>in</w:t>
      </w:r>
      <w:r>
        <w:t xml:space="preserve"> Docket UE-960195.</w:t>
      </w:r>
    </w:p>
    <w:p w:rsidR="009629C3" w:rsidRDefault="009629C3" w:rsidP="009629C3">
      <w:pPr>
        <w:pStyle w:val="ListParagraph"/>
      </w:pPr>
    </w:p>
    <w:p w:rsidR="009319C8" w:rsidRDefault="009629C3">
      <w:pPr>
        <w:spacing w:line="288" w:lineRule="auto"/>
        <w:ind w:left="1440" w:hanging="720"/>
      </w:pPr>
      <w:r>
        <w:t xml:space="preserve">(f) </w:t>
      </w:r>
      <w:r w:rsidR="005458B0">
        <w:t xml:space="preserve"> </w:t>
      </w:r>
      <w:r w:rsidR="005458B0">
        <w:tab/>
      </w:r>
      <w:r>
        <w:t>Costs eligible for deferr</w:t>
      </w:r>
      <w:r w:rsidR="005458B0">
        <w:t>e</w:t>
      </w:r>
      <w:r>
        <w:t>d accounting treatment will include only those amounts paid to outside vendors or contractors</w:t>
      </w:r>
      <w:r w:rsidR="005458B0">
        <w:t>, i.e.</w:t>
      </w:r>
      <w:r w:rsidR="00B9206C">
        <w:t>,</w:t>
      </w:r>
      <w:r w:rsidR="005458B0">
        <w:t xml:space="preserve"> investigation and </w:t>
      </w:r>
      <w:r w:rsidR="005458B0">
        <w:lastRenderedPageBreak/>
        <w:t xml:space="preserve">feasibility studies, sampling, evaluation, monitoring, remediation, and removal, and will not include </w:t>
      </w:r>
      <w:r w:rsidR="00970DB0">
        <w:t xml:space="preserve">internal </w:t>
      </w:r>
      <w:r w:rsidR="005458B0">
        <w:t>employee</w:t>
      </w:r>
      <w:r w:rsidR="00970DB0">
        <w:t xml:space="preserve"> salaries</w:t>
      </w:r>
      <w:r w:rsidR="00866BE0">
        <w:t>, other employee incidental costs</w:t>
      </w:r>
      <w:r w:rsidR="00B9206C">
        <w:t>,</w:t>
      </w:r>
      <w:r w:rsidR="00866BE0">
        <w:t xml:space="preserve"> </w:t>
      </w:r>
      <w:r w:rsidR="00E24EF4">
        <w:t>such as</w:t>
      </w:r>
      <w:r w:rsidR="00B9206C">
        <w:t>,</w:t>
      </w:r>
      <w:r w:rsidR="00866BE0">
        <w:t xml:space="preserve"> hotel, meals, etc.</w:t>
      </w:r>
      <w:r w:rsidR="008D5935">
        <w:t>,</w:t>
      </w:r>
      <w:r w:rsidR="00970DB0">
        <w:t xml:space="preserve"> </w:t>
      </w:r>
      <w:r w:rsidR="00236B66">
        <w:t>or</w:t>
      </w:r>
      <w:r w:rsidR="005458B0">
        <w:t xml:space="preserve"> </w:t>
      </w:r>
      <w:r w:rsidR="00970DB0">
        <w:t xml:space="preserve">outside </w:t>
      </w:r>
      <w:r w:rsidR="005458B0">
        <w:t xml:space="preserve">legal </w:t>
      </w:r>
      <w:r w:rsidR="00970DB0">
        <w:t>expenses</w:t>
      </w:r>
      <w:r w:rsidR="005458B0">
        <w:t>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5458B0">
      <w:pPr>
        <w:spacing w:line="288" w:lineRule="auto"/>
        <w:ind w:left="1440" w:hanging="720"/>
      </w:pPr>
      <w:r>
        <w:t>(g)</w:t>
      </w:r>
      <w:r>
        <w:tab/>
        <w:t>The Company will normalize the tax benefits associated with these costs.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EE439C">
      <w:pPr>
        <w:spacing w:line="288" w:lineRule="auto"/>
        <w:ind w:left="1440" w:hanging="720"/>
      </w:pPr>
      <w:r>
        <w:t>(h)</w:t>
      </w:r>
      <w:r>
        <w:tab/>
        <w:t>Environmental remediation projects deferred in previous orders will continue to meet the terms of the order granting the deferral.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400C90">
      <w:pPr>
        <w:spacing w:line="288" w:lineRule="auto"/>
        <w:ind w:left="1440" w:hanging="720"/>
      </w:pPr>
      <w:r>
        <w:t>(i)</w:t>
      </w:r>
      <w:r>
        <w:tab/>
        <w:t>Prudency review will be determined in the future once net costs are known and the project is ready to be amortized.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400C90">
      <w:pPr>
        <w:spacing w:line="288" w:lineRule="auto"/>
        <w:ind w:left="1440" w:hanging="720"/>
      </w:pPr>
      <w:r>
        <w:t>(j)</w:t>
      </w:r>
      <w:r>
        <w:tab/>
        <w:t>The Company will not accrue interest to the remediation deferral projects.</w:t>
      </w:r>
      <w:r w:rsidR="00B9206C">
        <w:t xml:space="preserve"> </w:t>
      </w:r>
      <w:r>
        <w:t xml:space="preserve"> The projects will be eligible for working capital treatment.</w:t>
      </w:r>
    </w:p>
    <w:p w:rsidR="0089357F" w:rsidRDefault="0089357F" w:rsidP="0089357F">
      <w:pPr>
        <w:spacing w:line="288" w:lineRule="auto"/>
        <w:ind w:left="1440" w:hanging="720"/>
      </w:pPr>
    </w:p>
    <w:p w:rsidR="009319C8" w:rsidRDefault="00EE439C">
      <w:pPr>
        <w:spacing w:line="288" w:lineRule="auto"/>
        <w:ind w:left="1440" w:hanging="720"/>
      </w:pPr>
      <w:r>
        <w:t>(i)</w:t>
      </w:r>
      <w:r>
        <w:tab/>
        <w:t>The Company will continue to file quarterly reports for environmental remediation deferrals.</w:t>
      </w:r>
      <w:r w:rsidR="00B9206C">
        <w:t xml:space="preserve"> </w:t>
      </w:r>
      <w:r>
        <w:t xml:space="preserve"> Notification of new remediation sites will be made in the quarterly reports.</w:t>
      </w:r>
    </w:p>
    <w:p w:rsidR="0089357F" w:rsidRPr="0089357F" w:rsidRDefault="0089357F" w:rsidP="0089357F">
      <w:pPr>
        <w:spacing w:line="288" w:lineRule="auto"/>
        <w:ind w:left="1440" w:hanging="720"/>
      </w:pPr>
    </w:p>
    <w:p w:rsidR="000D4B46" w:rsidRDefault="000D4B46" w:rsidP="00400C90">
      <w:pPr>
        <w:spacing w:line="288" w:lineRule="auto"/>
        <w:jc w:val="center"/>
        <w:rPr>
          <w:b/>
        </w:rPr>
      </w:pPr>
    </w:p>
    <w:p w:rsidR="009228BB" w:rsidRDefault="00400C90" w:rsidP="009228BB">
      <w:pPr>
        <w:spacing w:line="288" w:lineRule="auto"/>
        <w:ind w:left="1440" w:hanging="1440"/>
        <w:jc w:val="center"/>
        <w:rPr>
          <w:b/>
        </w:rPr>
      </w:pPr>
      <w:r>
        <w:rPr>
          <w:b/>
        </w:rPr>
        <w:t>FINDINGS AND CONCLUSIONS</w:t>
      </w:r>
    </w:p>
    <w:p w:rsidR="009228BB" w:rsidRDefault="009228BB" w:rsidP="009228BB">
      <w:pPr>
        <w:spacing w:line="288" w:lineRule="auto"/>
        <w:ind w:left="1440" w:hanging="1440"/>
        <w:jc w:val="center"/>
      </w:pPr>
    </w:p>
    <w:p w:rsidR="005F3E65" w:rsidRPr="005F3E65" w:rsidRDefault="009228BB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  <w:rPr>
          <w:i/>
        </w:rPr>
      </w:pPr>
      <w:r>
        <w:t>(1)</w:t>
      </w:r>
      <w:r>
        <w:tab/>
      </w:r>
      <w:r w:rsidR="00400C90">
        <w:t xml:space="preserve">The Washington Utilities and Transportation </w:t>
      </w:r>
      <w:r w:rsidR="00C714E2">
        <w:t>Commission</w:t>
      </w:r>
      <w:r w:rsidR="00400C90">
        <w:t xml:space="preserve"> is an agency of the State of Washington vested by statute with the authority to regulate rates, rules, regulations, practices, accounts, securities, and transfers of public service companies, including electric companies. </w:t>
      </w:r>
      <w:r w:rsidR="00B9206C">
        <w:t xml:space="preserve"> </w:t>
      </w:r>
      <w:hyperlink r:id="rId12" w:history="1">
        <w:r w:rsidR="0089357F" w:rsidRPr="00DF08DE">
          <w:rPr>
            <w:i/>
          </w:rPr>
          <w:t>RCW 80.01.040</w:t>
        </w:r>
      </w:hyperlink>
      <w:r w:rsidR="0089357F" w:rsidRPr="00DF08DE">
        <w:rPr>
          <w:i/>
        </w:rPr>
        <w:t xml:space="preserve">, </w:t>
      </w:r>
      <w:hyperlink r:id="rId13" w:history="1">
        <w:r w:rsidR="0089357F" w:rsidRPr="00DF08DE">
          <w:rPr>
            <w:i/>
          </w:rPr>
          <w:t>RCW 80.04</w:t>
        </w:r>
      </w:hyperlink>
      <w:r w:rsidR="0089357F" w:rsidRPr="00DF08DE">
        <w:rPr>
          <w:i/>
        </w:rPr>
        <w:t xml:space="preserve">, </w:t>
      </w:r>
      <w:hyperlink r:id="rId14" w:history="1">
        <w:r w:rsidR="0089357F" w:rsidRPr="00DF08DE">
          <w:rPr>
            <w:i/>
          </w:rPr>
          <w:t>RCW 80.08</w:t>
        </w:r>
      </w:hyperlink>
      <w:r w:rsidR="0089357F" w:rsidRPr="00DF08DE">
        <w:rPr>
          <w:i/>
        </w:rPr>
        <w:t xml:space="preserve">, </w:t>
      </w:r>
      <w:hyperlink r:id="rId15" w:history="1">
        <w:r w:rsidR="0089357F" w:rsidRPr="00DF08DE">
          <w:rPr>
            <w:i/>
          </w:rPr>
          <w:t>RCW 80.12</w:t>
        </w:r>
      </w:hyperlink>
      <w:r w:rsidR="0089357F" w:rsidRPr="00DF08DE">
        <w:rPr>
          <w:i/>
        </w:rPr>
        <w:t xml:space="preserve">, </w:t>
      </w:r>
      <w:hyperlink r:id="rId16" w:history="1">
        <w:r w:rsidR="0089357F" w:rsidRPr="00DF08DE">
          <w:rPr>
            <w:i/>
          </w:rPr>
          <w:t>RCW 80.16</w:t>
        </w:r>
      </w:hyperlink>
      <w:r w:rsidR="0089357F" w:rsidRPr="00DF08DE">
        <w:rPr>
          <w:i/>
        </w:rPr>
        <w:t xml:space="preserve"> and </w:t>
      </w:r>
      <w:hyperlink r:id="rId17" w:history="1">
        <w:r w:rsidR="0089357F" w:rsidRPr="00DF08DE">
          <w:rPr>
            <w:i/>
          </w:rPr>
          <w:t>RCW 80.28</w:t>
        </w:r>
      </w:hyperlink>
    </w:p>
    <w:p w:rsidR="0089357F" w:rsidRDefault="00400C90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(2)</w:t>
      </w:r>
      <w:r>
        <w:tab/>
      </w:r>
      <w:r w:rsidR="00910B4C">
        <w:t>PSE is an electric company and a public service company subject to the jurisdiction of the Commission.</w:t>
      </w:r>
    </w:p>
    <w:p w:rsidR="0089357F" w:rsidRDefault="00910B4C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(3)</w:t>
      </w:r>
      <w:r>
        <w:tab/>
        <w:t>WAC 480-09-420(7), allows companies to file a petition including that for which PSE seeks approval.</w:t>
      </w:r>
    </w:p>
    <w:p w:rsidR="0089357F" w:rsidRDefault="00910B4C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(4)</w:t>
      </w:r>
      <w:r>
        <w:tab/>
        <w:t>Staff has rev</w:t>
      </w:r>
      <w:r w:rsidR="00B9206C">
        <w:t>iewed the petition in Docket</w:t>
      </w:r>
      <w:r>
        <w:t xml:space="preserve"> UE-070724 and believes the proposed accounting petition requested by PSE</w:t>
      </w:r>
      <w:r w:rsidR="00A578B3">
        <w:t xml:space="preserve"> </w:t>
      </w:r>
      <w:r>
        <w:t>is reasonable and should be approved</w:t>
      </w:r>
      <w:r w:rsidR="00A578B3">
        <w:t>, subject to the conditions</w:t>
      </w:r>
      <w:r w:rsidR="00C90BAE">
        <w:t xml:space="preserve"> (a) through (i) in paragraph 5 of this order. The </w:t>
      </w:r>
      <w:r w:rsidR="00C90BAE">
        <w:lastRenderedPageBreak/>
        <w:t>Company concurs with these conditions.</w:t>
      </w:r>
      <w:r>
        <w:t xml:space="preserve"> </w:t>
      </w:r>
      <w:r w:rsidR="00B9206C">
        <w:t xml:space="preserve"> </w:t>
      </w:r>
      <w:r>
        <w:t>The deferred accounting treatment for such costs is considered to be appropriate in light of the variability and unpredictability of the environmental remediation expenditures.</w:t>
      </w:r>
    </w:p>
    <w:p w:rsidR="0089357F" w:rsidRDefault="00F55E0B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</w:t>
      </w:r>
      <w:r w:rsidR="008F6384">
        <w:t>5</w:t>
      </w:r>
      <w:r>
        <w:t>)</w:t>
      </w:r>
      <w:r>
        <w:tab/>
        <w:t>This matter was brought before the Commission at its regularly scheduled meeting on October 8, 2008.</w:t>
      </w:r>
    </w:p>
    <w:p w:rsidR="0089357F" w:rsidRDefault="008F6384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(6</w:t>
      </w:r>
      <w:r w:rsidR="00F55E0B">
        <w:t xml:space="preserve">) </w:t>
      </w:r>
      <w:r w:rsidR="00F55E0B">
        <w:tab/>
        <w:t xml:space="preserve">After </w:t>
      </w:r>
      <w:r w:rsidR="00E24EF4">
        <w:t xml:space="preserve">reviewing </w:t>
      </w:r>
      <w:r w:rsidR="00552101">
        <w:t xml:space="preserve">the </w:t>
      </w:r>
      <w:r w:rsidR="00A578B3">
        <w:t>p</w:t>
      </w:r>
      <w:r w:rsidR="00552101">
        <w:t xml:space="preserve">etition </w:t>
      </w:r>
      <w:r w:rsidR="00E24EF4">
        <w:t xml:space="preserve">PSE </w:t>
      </w:r>
      <w:r w:rsidR="00552101">
        <w:t>filed in Docket</w:t>
      </w:r>
      <w:r w:rsidR="00F55E0B">
        <w:t xml:space="preserve"> UE-070724 on </w:t>
      </w:r>
      <w:r w:rsidR="003A078F">
        <w:t>April 16, 2007</w:t>
      </w:r>
      <w:r w:rsidR="00F55E0B">
        <w:t xml:space="preserve">, and giving due consideration to all relevant matters and for good cause shown, the Commission finds that the </w:t>
      </w:r>
      <w:r w:rsidR="00A578B3">
        <w:t>p</w:t>
      </w:r>
      <w:r w:rsidR="00F55E0B">
        <w:t>etition  should be approved</w:t>
      </w:r>
      <w:r w:rsidR="00E24EF4">
        <w:t xml:space="preserve">, subject to </w:t>
      </w:r>
      <w:r w:rsidR="00A578B3">
        <w:t>the conditions set forth above</w:t>
      </w:r>
      <w:r w:rsidR="00F55E0B">
        <w:t>.</w:t>
      </w:r>
    </w:p>
    <w:p w:rsidR="007D00F4" w:rsidRPr="009228BB" w:rsidRDefault="007D00F4" w:rsidP="009228BB">
      <w:pPr>
        <w:spacing w:line="288" w:lineRule="auto"/>
        <w:ind w:left="1440"/>
      </w:pPr>
    </w:p>
    <w:p w:rsidR="000A1236" w:rsidRPr="009228BB" w:rsidRDefault="0089357F" w:rsidP="009228BB">
      <w:pPr>
        <w:spacing w:line="288" w:lineRule="auto"/>
        <w:ind w:left="1440"/>
        <w:jc w:val="center"/>
        <w:rPr>
          <w:b/>
        </w:rPr>
      </w:pPr>
      <w:r w:rsidRPr="009228BB">
        <w:rPr>
          <w:b/>
        </w:rPr>
        <w:t>O R</w:t>
      </w:r>
      <w:r w:rsidR="000B2415" w:rsidRPr="009228BB">
        <w:rPr>
          <w:b/>
        </w:rPr>
        <w:t xml:space="preserve"> </w:t>
      </w:r>
      <w:r w:rsidR="000A1236" w:rsidRPr="009228BB">
        <w:rPr>
          <w:b/>
        </w:rPr>
        <w:t>D</w:t>
      </w:r>
      <w:r w:rsidR="000B2415" w:rsidRPr="009228BB">
        <w:rPr>
          <w:b/>
        </w:rPr>
        <w:t xml:space="preserve"> </w:t>
      </w:r>
      <w:r w:rsidR="000A1236" w:rsidRPr="009228BB">
        <w:rPr>
          <w:b/>
        </w:rPr>
        <w:t>E</w:t>
      </w:r>
      <w:r w:rsidR="000B2415" w:rsidRPr="009228BB">
        <w:rPr>
          <w:b/>
        </w:rPr>
        <w:t xml:space="preserve"> </w:t>
      </w:r>
      <w:r w:rsidR="000A1236" w:rsidRPr="009228BB">
        <w:rPr>
          <w:b/>
        </w:rPr>
        <w:t>R</w:t>
      </w:r>
    </w:p>
    <w:p w:rsidR="000A1236" w:rsidRPr="00C923D6" w:rsidRDefault="000A1236" w:rsidP="009228BB">
      <w:pPr>
        <w:spacing w:line="288" w:lineRule="auto"/>
        <w:ind w:left="1440"/>
      </w:pPr>
    </w:p>
    <w:p w:rsidR="000A1236" w:rsidRPr="009228BB" w:rsidRDefault="000A1236" w:rsidP="00DF5476">
      <w:pPr>
        <w:spacing w:line="288" w:lineRule="auto"/>
      </w:pPr>
      <w:r w:rsidRPr="009228BB">
        <w:rPr>
          <w:b/>
        </w:rPr>
        <w:t>THE COMMISSION ORDERS</w:t>
      </w:r>
      <w:r w:rsidRPr="009228BB">
        <w:t>:</w:t>
      </w:r>
    </w:p>
    <w:p w:rsidR="0089357F" w:rsidRDefault="0089357F" w:rsidP="009228BB">
      <w:pPr>
        <w:spacing w:line="288" w:lineRule="auto"/>
        <w:ind w:left="1440"/>
      </w:pPr>
    </w:p>
    <w:p w:rsidR="0089357F" w:rsidRDefault="000A1236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 w:rsidRPr="00C923D6">
        <w:t>(1)</w:t>
      </w:r>
      <w:r w:rsidRPr="00C923D6">
        <w:tab/>
      </w:r>
      <w:fldSimple w:instr=" REF company1_name \* MERGEFORMAT">
        <w:r w:rsidR="008E696A">
          <w:t>Puget Sound Energy</w:t>
        </w:r>
      </w:fldSimple>
      <w:r w:rsidR="00887169">
        <w:t>, Inc.</w:t>
      </w:r>
      <w:r w:rsidRPr="00C923D6">
        <w:t xml:space="preserve">’s request </w:t>
      </w:r>
      <w:r w:rsidR="00E24EF4">
        <w:t>in Docket UE-07</w:t>
      </w:r>
      <w:r w:rsidR="005F3E65">
        <w:t>2060</w:t>
      </w:r>
      <w:r w:rsidR="00E24EF4">
        <w:t xml:space="preserve"> </w:t>
      </w:r>
      <w:r w:rsidRPr="00C923D6">
        <w:t>to</w:t>
      </w:r>
      <w:r w:rsidR="00BA372E">
        <w:t xml:space="preserve"> defer the costs incurred in connection with </w:t>
      </w:r>
      <w:r w:rsidR="00E24EF4">
        <w:t>the environmental remediation sites referred to as the</w:t>
      </w:r>
      <w:r w:rsidR="00BA372E">
        <w:t xml:space="preserve"> “</w:t>
      </w:r>
      <w:r w:rsidR="003D4F37">
        <w:t>Snoqualmie Hydro Generation Site,”</w:t>
      </w:r>
      <w:r w:rsidRPr="00C923D6">
        <w:t xml:space="preserve"> </w:t>
      </w:r>
      <w:r w:rsidR="00BA372E">
        <w:t>and consider such costs in determining future rates</w:t>
      </w:r>
      <w:r w:rsidR="00B62235">
        <w:t>,</w:t>
      </w:r>
      <w:r w:rsidR="00BA372E">
        <w:t xml:space="preserve"> </w:t>
      </w:r>
      <w:r w:rsidR="00C979BD">
        <w:t>is</w:t>
      </w:r>
      <w:r w:rsidR="00BA372E">
        <w:t xml:space="preserve"> </w:t>
      </w:r>
      <w:r w:rsidR="001E31D2">
        <w:t>granted</w:t>
      </w:r>
      <w:r w:rsidR="00C90BAE">
        <w:t>, subject to the conditions (a) through (i) in paragraph 5 of this Order</w:t>
      </w:r>
      <w:r w:rsidRPr="00C923D6">
        <w:t>.</w:t>
      </w:r>
    </w:p>
    <w:p w:rsidR="0089357F" w:rsidRDefault="00C90BAE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(2</w:t>
      </w:r>
      <w:r w:rsidR="003C2270">
        <w:t>)</w:t>
      </w:r>
      <w:r w:rsidR="003C2270">
        <w:tab/>
        <w:t>This Order shall not</w:t>
      </w:r>
      <w:r w:rsidR="000A1236" w:rsidRPr="00C923D6">
        <w:t xml:space="preserve"> affect the </w:t>
      </w:r>
      <w:r w:rsidR="003C2270">
        <w:t xml:space="preserve">Commission’s </w:t>
      </w:r>
      <w:r w:rsidR="000A1236" w:rsidRPr="00C923D6">
        <w:t>authority over rates, services, accounts, valuations, estima</w:t>
      </w:r>
      <w:r w:rsidR="003C2270">
        <w:t>tes, or determination of costs</w:t>
      </w:r>
      <w:r w:rsidR="00537A6E">
        <w:t xml:space="preserve">, </w:t>
      </w:r>
      <w:r w:rsidR="00210528">
        <w:t xml:space="preserve">on </w:t>
      </w:r>
      <w:r w:rsidR="003C2270"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 xml:space="preserve">Nor shall this Order granting </w:t>
      </w:r>
      <w:r w:rsidR="007A1736">
        <w:t>p</w:t>
      </w:r>
      <w:r w:rsidR="00210528">
        <w:t>etition</w:t>
      </w:r>
      <w:r w:rsidR="00537A6E">
        <w:t xml:space="preserve">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:rsidR="0089357F" w:rsidRDefault="00C90BAE" w:rsidP="00B9484C">
      <w:pPr>
        <w:pStyle w:val="NumberedParagraph"/>
        <w:tabs>
          <w:tab w:val="clear" w:pos="720"/>
          <w:tab w:val="num" w:pos="0"/>
        </w:tabs>
        <w:spacing w:line="288" w:lineRule="auto"/>
        <w:ind w:hanging="1440"/>
      </w:pPr>
      <w:r>
        <w:t>(3</w:t>
      </w:r>
      <w:r w:rsidR="000A1236" w:rsidRPr="00C923D6">
        <w:t>)</w:t>
      </w:r>
      <w:r w:rsidR="000A1236" w:rsidRPr="00C923D6">
        <w:tab/>
        <w:t xml:space="preserve">The Commission retains jurisdiction over the subject matter and </w:t>
      </w:r>
      <w:fldSimple w:instr=" REF company1_name \* MERGEFORMAT">
        <w:r w:rsidR="008E696A">
          <w:t>Puget Sound Energy</w:t>
        </w:r>
      </w:fldSimple>
      <w:r w:rsidR="00887169">
        <w:t>, Inc.</w:t>
      </w:r>
      <w:r w:rsidR="007A1736">
        <w:t>,</w:t>
      </w:r>
      <w:r w:rsidR="0089357F" w:rsidRPr="0089357F">
        <w:t xml:space="preserve"> </w:t>
      </w:r>
      <w:r w:rsidR="000A1236" w:rsidRPr="00C923D6">
        <w:t>to effectuate the provisions of this Order.</w:t>
      </w:r>
    </w:p>
    <w:p w:rsidR="00EB089B" w:rsidRDefault="00EB089B">
      <w:pPr>
        <w:spacing w:line="288" w:lineRule="auto"/>
      </w:pPr>
    </w:p>
    <w:p w:rsidR="00EB089B" w:rsidRDefault="00EB089B">
      <w:pPr>
        <w:spacing w:line="288" w:lineRule="auto"/>
      </w:pPr>
    </w:p>
    <w:p w:rsidR="00EB089B" w:rsidRDefault="00EB089B">
      <w:pPr>
        <w:spacing w:line="288" w:lineRule="auto"/>
      </w:pPr>
    </w:p>
    <w:p w:rsidR="00EB089B" w:rsidRDefault="00EB089B">
      <w:pPr>
        <w:spacing w:line="288" w:lineRule="auto"/>
      </w:pPr>
    </w:p>
    <w:p w:rsidR="00ED2314" w:rsidRDefault="00ED2314">
      <w:pPr>
        <w:spacing w:line="288" w:lineRule="auto"/>
      </w:pPr>
    </w:p>
    <w:p w:rsidR="00ED2314" w:rsidRDefault="00ED2314">
      <w:pPr>
        <w:spacing w:line="288" w:lineRule="auto"/>
      </w:pPr>
    </w:p>
    <w:p w:rsidR="000A1236" w:rsidRPr="00AC1794" w:rsidRDefault="000A1236">
      <w:pPr>
        <w:spacing w:line="288" w:lineRule="auto"/>
      </w:pPr>
      <w:r w:rsidRPr="00C923D6">
        <w:lastRenderedPageBreak/>
        <w:t>DATED at Olympia, Washington, and effective</w:t>
      </w:r>
      <w:r w:rsidR="00423483">
        <w:t xml:space="preserve"> October 8, 2008</w:t>
      </w:r>
      <w:r w:rsidRPr="00AC1794">
        <w:t>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:rsidR="000A1236" w:rsidRPr="00C923D6" w:rsidRDefault="000A1236">
      <w:pPr>
        <w:spacing w:line="288" w:lineRule="auto"/>
      </w:pPr>
    </w:p>
    <w:p w:rsidR="003C2270" w:rsidRPr="003C2270" w:rsidRDefault="003C2270">
      <w:pPr>
        <w:spacing w:line="288" w:lineRule="auto"/>
        <w:rPr>
          <w:i/>
        </w:rPr>
      </w:pPr>
      <w:r w:rsidRPr="003C2270">
        <w:rPr>
          <w:i/>
        </w:rPr>
        <w:tab/>
      </w:r>
      <w:r w:rsidRPr="003C2270">
        <w:rPr>
          <w:i/>
        </w:rPr>
        <w:tab/>
      </w: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  <w:r>
        <w:tab/>
      </w:r>
      <w:r>
        <w:tab/>
      </w:r>
      <w:r>
        <w:tab/>
      </w:r>
      <w:r>
        <w:tab/>
        <w:t>MARK H. SIDRAN, Chairman</w:t>
      </w: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  <w:r>
        <w:tab/>
      </w:r>
      <w:r>
        <w:tab/>
      </w:r>
      <w:r>
        <w:tab/>
      </w:r>
      <w:r>
        <w:tab/>
        <w:t>PATRICK J. OSHIE, Commissioner</w:t>
      </w: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</w:p>
    <w:p w:rsidR="003C2270" w:rsidRDefault="003C2270">
      <w:pPr>
        <w:spacing w:line="288" w:lineRule="auto"/>
      </w:pPr>
      <w:r>
        <w:tab/>
      </w:r>
      <w:r>
        <w:tab/>
      </w:r>
      <w:r>
        <w:tab/>
      </w:r>
      <w:r>
        <w:tab/>
        <w:t>PHIL</w:t>
      </w:r>
      <w:r w:rsidR="00217507">
        <w:t>I</w:t>
      </w:r>
      <w:r>
        <w:t>P B. JONES, Commissioner</w:t>
      </w:r>
    </w:p>
    <w:sectPr w:rsidR="003C2270" w:rsidSect="00940E71">
      <w:headerReference w:type="default" r:id="rId18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72" w:rsidRDefault="004D6F72">
      <w:r>
        <w:separator/>
      </w:r>
    </w:p>
  </w:endnote>
  <w:endnote w:type="continuationSeparator" w:id="1">
    <w:p w:rsidR="004D6F72" w:rsidRDefault="004D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72" w:rsidRDefault="004D6F72">
      <w:r>
        <w:separator/>
      </w:r>
    </w:p>
  </w:footnote>
  <w:footnote w:type="continuationSeparator" w:id="1">
    <w:p w:rsidR="004D6F72" w:rsidRDefault="004D6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AE" w:rsidRPr="00A748CC" w:rsidRDefault="00F23EAE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0C4A8F" w:rsidRPr="000C4A8F">
        <w:rPr>
          <w:b/>
          <w:sz w:val="20"/>
        </w:rPr>
        <w:t>UE-072060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D325A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0D325A" w:rsidRPr="00A748CC">
      <w:rPr>
        <w:rStyle w:val="PageNumber"/>
        <w:b/>
        <w:sz w:val="20"/>
      </w:rPr>
      <w:fldChar w:fldCharType="separate"/>
    </w:r>
    <w:r w:rsidR="004E59D9">
      <w:rPr>
        <w:rStyle w:val="PageNumber"/>
        <w:b/>
        <w:noProof/>
        <w:sz w:val="20"/>
      </w:rPr>
      <w:t>5</w:t>
    </w:r>
    <w:r w:rsidR="000D325A" w:rsidRPr="00A748CC">
      <w:rPr>
        <w:rStyle w:val="PageNumber"/>
        <w:b/>
        <w:sz w:val="20"/>
      </w:rPr>
      <w:fldChar w:fldCharType="end"/>
    </w:r>
  </w:p>
  <w:p w:rsidR="00F23EAE" w:rsidRPr="0050337D" w:rsidRDefault="00F23EAE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0C4A8F" w:rsidRPr="000C4A8F">
        <w:rPr>
          <w:b/>
          <w:sz w:val="20"/>
        </w:rPr>
        <w:t>01</w:t>
      </w:r>
    </w:fldSimple>
  </w:p>
  <w:p w:rsidR="00F23EAE" w:rsidRPr="00C923D6" w:rsidRDefault="00F23EAE">
    <w:pPr>
      <w:pStyle w:val="Header"/>
      <w:rPr>
        <w:rStyle w:val="PageNumber"/>
        <w:sz w:val="20"/>
      </w:rPr>
    </w:pPr>
  </w:p>
  <w:p w:rsidR="00F23EAE" w:rsidRPr="00C923D6" w:rsidRDefault="00F23EAE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D6978"/>
    <w:multiLevelType w:val="hybridMultilevel"/>
    <w:tmpl w:val="CDF495EA"/>
    <w:lvl w:ilvl="0" w:tplc="99608D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D1C"/>
    <w:rsid w:val="00002219"/>
    <w:rsid w:val="00020192"/>
    <w:rsid w:val="000362C1"/>
    <w:rsid w:val="00045705"/>
    <w:rsid w:val="00050C2A"/>
    <w:rsid w:val="00057AFA"/>
    <w:rsid w:val="00057BB3"/>
    <w:rsid w:val="000933CC"/>
    <w:rsid w:val="000A1236"/>
    <w:rsid w:val="000A6360"/>
    <w:rsid w:val="000B2415"/>
    <w:rsid w:val="000C0449"/>
    <w:rsid w:val="000C4A8F"/>
    <w:rsid w:val="000D325A"/>
    <w:rsid w:val="000D4B46"/>
    <w:rsid w:val="000E0FD7"/>
    <w:rsid w:val="00103788"/>
    <w:rsid w:val="00114F49"/>
    <w:rsid w:val="001223E6"/>
    <w:rsid w:val="00137B5D"/>
    <w:rsid w:val="0014613F"/>
    <w:rsid w:val="00156783"/>
    <w:rsid w:val="00171C70"/>
    <w:rsid w:val="00180472"/>
    <w:rsid w:val="00187EF8"/>
    <w:rsid w:val="00191FEF"/>
    <w:rsid w:val="001962CB"/>
    <w:rsid w:val="001A2CF4"/>
    <w:rsid w:val="001A6490"/>
    <w:rsid w:val="001C0AD5"/>
    <w:rsid w:val="001E31D2"/>
    <w:rsid w:val="001F3B92"/>
    <w:rsid w:val="00202A9A"/>
    <w:rsid w:val="00210528"/>
    <w:rsid w:val="0021323F"/>
    <w:rsid w:val="00217507"/>
    <w:rsid w:val="00224EFF"/>
    <w:rsid w:val="00236B66"/>
    <w:rsid w:val="00255EC1"/>
    <w:rsid w:val="002661B6"/>
    <w:rsid w:val="00267B11"/>
    <w:rsid w:val="0028340E"/>
    <w:rsid w:val="00295209"/>
    <w:rsid w:val="002A288F"/>
    <w:rsid w:val="002A391C"/>
    <w:rsid w:val="002B437E"/>
    <w:rsid w:val="002B4AAF"/>
    <w:rsid w:val="00304BB0"/>
    <w:rsid w:val="00306060"/>
    <w:rsid w:val="00337EEE"/>
    <w:rsid w:val="003919D4"/>
    <w:rsid w:val="0039735B"/>
    <w:rsid w:val="003A078F"/>
    <w:rsid w:val="003A2DF2"/>
    <w:rsid w:val="003A6269"/>
    <w:rsid w:val="003C2211"/>
    <w:rsid w:val="003C2270"/>
    <w:rsid w:val="003C7665"/>
    <w:rsid w:val="003D4F37"/>
    <w:rsid w:val="003E0938"/>
    <w:rsid w:val="003F3B80"/>
    <w:rsid w:val="00400C90"/>
    <w:rsid w:val="0040179C"/>
    <w:rsid w:val="00420751"/>
    <w:rsid w:val="0042266D"/>
    <w:rsid w:val="00423483"/>
    <w:rsid w:val="0043185D"/>
    <w:rsid w:val="00431E85"/>
    <w:rsid w:val="00435481"/>
    <w:rsid w:val="004376D1"/>
    <w:rsid w:val="00446310"/>
    <w:rsid w:val="00467C7B"/>
    <w:rsid w:val="00473277"/>
    <w:rsid w:val="00491C72"/>
    <w:rsid w:val="004D6F72"/>
    <w:rsid w:val="004E41FF"/>
    <w:rsid w:val="004E59D9"/>
    <w:rsid w:val="004E7207"/>
    <w:rsid w:val="00512EC6"/>
    <w:rsid w:val="00525321"/>
    <w:rsid w:val="00532B6C"/>
    <w:rsid w:val="00537A6E"/>
    <w:rsid w:val="00540907"/>
    <w:rsid w:val="005458B0"/>
    <w:rsid w:val="00552101"/>
    <w:rsid w:val="005579E7"/>
    <w:rsid w:val="00560A2A"/>
    <w:rsid w:val="00572F55"/>
    <w:rsid w:val="0058663C"/>
    <w:rsid w:val="0059793D"/>
    <w:rsid w:val="005A0FF8"/>
    <w:rsid w:val="005A1E76"/>
    <w:rsid w:val="005B6019"/>
    <w:rsid w:val="005E01A3"/>
    <w:rsid w:val="005E24AC"/>
    <w:rsid w:val="005F3E65"/>
    <w:rsid w:val="00600E8C"/>
    <w:rsid w:val="00610D1C"/>
    <w:rsid w:val="00613F2D"/>
    <w:rsid w:val="00616DD5"/>
    <w:rsid w:val="006262B3"/>
    <w:rsid w:val="00636993"/>
    <w:rsid w:val="006C4048"/>
    <w:rsid w:val="006D26C0"/>
    <w:rsid w:val="00706D7A"/>
    <w:rsid w:val="0071094A"/>
    <w:rsid w:val="007133EB"/>
    <w:rsid w:val="007147E9"/>
    <w:rsid w:val="007308FD"/>
    <w:rsid w:val="007454F4"/>
    <w:rsid w:val="0076326D"/>
    <w:rsid w:val="007A1736"/>
    <w:rsid w:val="007A1A2E"/>
    <w:rsid w:val="007A5B2F"/>
    <w:rsid w:val="007D00F4"/>
    <w:rsid w:val="007D4C59"/>
    <w:rsid w:val="007D62FB"/>
    <w:rsid w:val="007E2AD8"/>
    <w:rsid w:val="007E6159"/>
    <w:rsid w:val="00802EE4"/>
    <w:rsid w:val="0080664E"/>
    <w:rsid w:val="008246C9"/>
    <w:rsid w:val="00830EB3"/>
    <w:rsid w:val="00840ABC"/>
    <w:rsid w:val="00845BCE"/>
    <w:rsid w:val="00847FC5"/>
    <w:rsid w:val="00853531"/>
    <w:rsid w:val="00856129"/>
    <w:rsid w:val="00860B5A"/>
    <w:rsid w:val="00862D56"/>
    <w:rsid w:val="00866BE0"/>
    <w:rsid w:val="00887169"/>
    <w:rsid w:val="00887761"/>
    <w:rsid w:val="00890838"/>
    <w:rsid w:val="0089357F"/>
    <w:rsid w:val="008A5BDE"/>
    <w:rsid w:val="008A75BB"/>
    <w:rsid w:val="008B6F84"/>
    <w:rsid w:val="008C4EBA"/>
    <w:rsid w:val="008D5935"/>
    <w:rsid w:val="008E696A"/>
    <w:rsid w:val="008E7B8A"/>
    <w:rsid w:val="008F2D4E"/>
    <w:rsid w:val="008F6384"/>
    <w:rsid w:val="008F66CE"/>
    <w:rsid w:val="00910B4C"/>
    <w:rsid w:val="00917DFD"/>
    <w:rsid w:val="00922662"/>
    <w:rsid w:val="009228BB"/>
    <w:rsid w:val="00923403"/>
    <w:rsid w:val="0092543D"/>
    <w:rsid w:val="009319C8"/>
    <w:rsid w:val="00940E71"/>
    <w:rsid w:val="00960482"/>
    <w:rsid w:val="009629C3"/>
    <w:rsid w:val="00970DB0"/>
    <w:rsid w:val="00992E12"/>
    <w:rsid w:val="009962C5"/>
    <w:rsid w:val="009B3E4E"/>
    <w:rsid w:val="009D2E85"/>
    <w:rsid w:val="009D5E0A"/>
    <w:rsid w:val="009F1EE0"/>
    <w:rsid w:val="00A0497D"/>
    <w:rsid w:val="00A2131C"/>
    <w:rsid w:val="00A26911"/>
    <w:rsid w:val="00A32948"/>
    <w:rsid w:val="00A34118"/>
    <w:rsid w:val="00A3599C"/>
    <w:rsid w:val="00A41BB8"/>
    <w:rsid w:val="00A50BA5"/>
    <w:rsid w:val="00A56A40"/>
    <w:rsid w:val="00A578B3"/>
    <w:rsid w:val="00A6402D"/>
    <w:rsid w:val="00A91DBC"/>
    <w:rsid w:val="00AA4E80"/>
    <w:rsid w:val="00AC1794"/>
    <w:rsid w:val="00AD2B5F"/>
    <w:rsid w:val="00AD405A"/>
    <w:rsid w:val="00B62235"/>
    <w:rsid w:val="00B7132A"/>
    <w:rsid w:val="00B8116B"/>
    <w:rsid w:val="00B84571"/>
    <w:rsid w:val="00B91632"/>
    <w:rsid w:val="00B9206C"/>
    <w:rsid w:val="00B9484C"/>
    <w:rsid w:val="00BA372E"/>
    <w:rsid w:val="00BA627E"/>
    <w:rsid w:val="00BC19B4"/>
    <w:rsid w:val="00BD5323"/>
    <w:rsid w:val="00BD6086"/>
    <w:rsid w:val="00C35A8B"/>
    <w:rsid w:val="00C40733"/>
    <w:rsid w:val="00C53B9C"/>
    <w:rsid w:val="00C622F6"/>
    <w:rsid w:val="00C714E2"/>
    <w:rsid w:val="00C85042"/>
    <w:rsid w:val="00C87791"/>
    <w:rsid w:val="00C90BAE"/>
    <w:rsid w:val="00C923D6"/>
    <w:rsid w:val="00C94732"/>
    <w:rsid w:val="00C979BD"/>
    <w:rsid w:val="00CC07A9"/>
    <w:rsid w:val="00CC23B5"/>
    <w:rsid w:val="00CC4FC4"/>
    <w:rsid w:val="00CD5C63"/>
    <w:rsid w:val="00CD75FE"/>
    <w:rsid w:val="00CE204E"/>
    <w:rsid w:val="00D30CD1"/>
    <w:rsid w:val="00D35311"/>
    <w:rsid w:val="00D75862"/>
    <w:rsid w:val="00D8358F"/>
    <w:rsid w:val="00D842FB"/>
    <w:rsid w:val="00D938E7"/>
    <w:rsid w:val="00DA0056"/>
    <w:rsid w:val="00DA2749"/>
    <w:rsid w:val="00DD3B47"/>
    <w:rsid w:val="00DD589F"/>
    <w:rsid w:val="00DF08DE"/>
    <w:rsid w:val="00DF5476"/>
    <w:rsid w:val="00E02724"/>
    <w:rsid w:val="00E066A9"/>
    <w:rsid w:val="00E11B7A"/>
    <w:rsid w:val="00E16A1B"/>
    <w:rsid w:val="00E2025A"/>
    <w:rsid w:val="00E24EF4"/>
    <w:rsid w:val="00E304AA"/>
    <w:rsid w:val="00E36BC8"/>
    <w:rsid w:val="00E4683D"/>
    <w:rsid w:val="00E67931"/>
    <w:rsid w:val="00E8335A"/>
    <w:rsid w:val="00EB089B"/>
    <w:rsid w:val="00ED2314"/>
    <w:rsid w:val="00EE439C"/>
    <w:rsid w:val="00EE6A09"/>
    <w:rsid w:val="00EF2D7F"/>
    <w:rsid w:val="00EF4C59"/>
    <w:rsid w:val="00F03613"/>
    <w:rsid w:val="00F060E2"/>
    <w:rsid w:val="00F17F8C"/>
    <w:rsid w:val="00F23EAE"/>
    <w:rsid w:val="00F36E5B"/>
    <w:rsid w:val="00F54B0B"/>
    <w:rsid w:val="00F55E0B"/>
    <w:rsid w:val="00F726E3"/>
    <w:rsid w:val="00F75266"/>
    <w:rsid w:val="00F84FCB"/>
    <w:rsid w:val="00F95B0C"/>
    <w:rsid w:val="00FA44EA"/>
    <w:rsid w:val="00FA7609"/>
    <w:rsid w:val="00FC0341"/>
    <w:rsid w:val="00FC27F2"/>
    <w:rsid w:val="00FE2919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C7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C7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7C7B"/>
    <w:pPr>
      <w:jc w:val="center"/>
    </w:pPr>
  </w:style>
  <w:style w:type="paragraph" w:styleId="Header">
    <w:name w:val="header"/>
    <w:basedOn w:val="Normal"/>
    <w:rsid w:val="00467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7C7B"/>
  </w:style>
  <w:style w:type="paragraph" w:customStyle="1" w:styleId="Findings">
    <w:name w:val="Findings"/>
    <w:basedOn w:val="Normal"/>
    <w:rsid w:val="00467C7B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AA4E80"/>
    <w:pPr>
      <w:ind w:left="720"/>
    </w:pPr>
  </w:style>
  <w:style w:type="character" w:styleId="CommentReference">
    <w:name w:val="annotation reference"/>
    <w:basedOn w:val="DefaultParagraphFont"/>
    <w:rsid w:val="00917D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7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7DFD"/>
  </w:style>
  <w:style w:type="paragraph" w:styleId="CommentSubject">
    <w:name w:val="annotation subject"/>
    <w:basedOn w:val="CommentText"/>
    <w:next w:val="CommentText"/>
    <w:link w:val="CommentSubjectChar"/>
    <w:rsid w:val="0091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7DFD"/>
    <w:rPr>
      <w:b/>
      <w:bCs/>
    </w:rPr>
  </w:style>
  <w:style w:type="paragraph" w:styleId="Revision">
    <w:name w:val="Revision"/>
    <w:hidden/>
    <w:uiPriority w:val="99"/>
    <w:semiHidden/>
    <w:rsid w:val="00917DFD"/>
    <w:rPr>
      <w:sz w:val="24"/>
      <w:szCs w:val="24"/>
    </w:rPr>
  </w:style>
  <w:style w:type="character" w:styleId="LineNumber">
    <w:name w:val="line number"/>
    <w:basedOn w:val="DefaultParagraphFont"/>
    <w:rsid w:val="00114F49"/>
  </w:style>
  <w:style w:type="paragraph" w:customStyle="1" w:styleId="NumberedParagraph">
    <w:name w:val="Numbered Paragraph"/>
    <w:basedOn w:val="Normal"/>
    <w:rsid w:val="00DF5476"/>
    <w:pPr>
      <w:numPr>
        <w:numId w:val="5"/>
      </w:num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WAC/default.aspx?cite=480-07-37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apps.leg.wa.gov/RCW/default.aspx?cite=80.1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EF1C248B10E945B54B3683E56074C2" ma:contentTypeVersion="132" ma:contentTypeDescription="" ma:contentTypeScope="" ma:versionID="e688dc62b65248a05487e3a7459e53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2007-10-19T07:00:00+00:00</OpenedDate>
    <Date1 xmlns="dc463f71-b30c-4ab2-9473-d307f9d35888">2008-10-08T07:00:00+00:00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072060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1D2454-915C-422C-AEE2-796AA5C3FF15}"/>
</file>

<file path=customXml/itemProps2.xml><?xml version="1.0" encoding="utf-8"?>
<ds:datastoreItem xmlns:ds="http://schemas.openxmlformats.org/officeDocument/2006/customXml" ds:itemID="{48FE41B6-0D15-48E6-9720-1E66E497FB79}"/>
</file>

<file path=customXml/itemProps3.xml><?xml version="1.0" encoding="utf-8"?>
<ds:datastoreItem xmlns:ds="http://schemas.openxmlformats.org/officeDocument/2006/customXml" ds:itemID="{60C5C707-1231-4B3D-844B-AD19C3AD623F}"/>
</file>

<file path=customXml/itemProps4.xml><?xml version="1.0" encoding="utf-8"?>
<ds:datastoreItem xmlns:ds="http://schemas.openxmlformats.org/officeDocument/2006/customXml" ds:itemID="{C130BC2F-D788-4CCC-AB8B-1BAA5E9603F4}"/>
</file>

<file path=customXml/itemProps5.xml><?xml version="1.0" encoding="utf-8"?>
<ds:datastoreItem xmlns:ds="http://schemas.openxmlformats.org/officeDocument/2006/customXml" ds:itemID="{AA800277-962F-4C34-B12D-A88DBFA932A7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Order.dot</Template>
  <TotalTime>1</TotalTime>
  <Pages>5</Pages>
  <Words>1147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Petition for Accounting Order</vt:lpstr>
      <vt:lpstr>BACKGROUND</vt:lpstr>
    </vt:vector>
  </TitlesOfParts>
  <Company>WUTC</Company>
  <LinksUpToDate>false</LinksUpToDate>
  <CharactersWithSpaces>8515</CharactersWithSpaces>
  <SharedDoc>false</SharedDoc>
  <HLinks>
    <vt:vector size="12" baseType="variant">
      <vt:variant>
        <vt:i4>2490368</vt:i4>
      </vt:variant>
      <vt:variant>
        <vt:i4>62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Accounting Order</dc:title>
  <dc:subject/>
  <dc:creator>William H Weinman</dc:creator>
  <cp:keywords/>
  <dc:description/>
  <cp:lastModifiedBy> Cathy Kern</cp:lastModifiedBy>
  <cp:revision>2</cp:revision>
  <cp:lastPrinted>2008-10-06T18:30:00Z</cp:lastPrinted>
  <dcterms:created xsi:type="dcterms:W3CDTF">2008-10-08T00:49:00Z</dcterms:created>
  <dcterms:modified xsi:type="dcterms:W3CDTF">2008-10-08T00:49:00Z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0x0101006E56B4D1795A2E4DB2F0B01679ED314A00EBEF1C248B10E945B54B3683E56074C2</vt:lpwstr>
  </property>
  <property fmtid="{D5CDD505-2E9C-101B-9397-08002B2CF9AE}" pid="3" name="_docset_NoMedatataSyncRequired">
    <vt:lpwstr>False</vt:lpwstr>
  </property>
</Properties>
</file>