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C3" w:rsidRPr="004611C3" w:rsidRDefault="004611C3" w:rsidP="00BF05CC">
      <w:pPr>
        <w:ind w:left="4320"/>
        <w:rPr>
          <w:b/>
          <w:szCs w:val="20"/>
          <w:lang w:eastAsia="zh-CN"/>
        </w:rPr>
      </w:pPr>
      <w:r w:rsidRPr="004611C3">
        <w:rPr>
          <w:b/>
          <w:szCs w:val="20"/>
          <w:lang w:eastAsia="zh-CN"/>
        </w:rPr>
        <w:t>EXHIBIT NO. ___(</w:t>
      </w:r>
      <w:r w:rsidR="00B4652C">
        <w:rPr>
          <w:b/>
          <w:szCs w:val="20"/>
          <w:lang w:eastAsia="zh-CN"/>
        </w:rPr>
        <w:t>D</w:t>
      </w:r>
      <w:r w:rsidR="00537488">
        <w:rPr>
          <w:b/>
          <w:szCs w:val="20"/>
          <w:lang w:eastAsia="zh-CN"/>
        </w:rPr>
        <w:t>AD</w:t>
      </w:r>
      <w:r w:rsidRPr="004611C3">
        <w:rPr>
          <w:b/>
          <w:szCs w:val="20"/>
          <w:lang w:eastAsia="zh-CN"/>
        </w:rPr>
        <w:t>-1T)</w:t>
      </w:r>
    </w:p>
    <w:p w:rsidR="00290C67" w:rsidRPr="004611C3" w:rsidRDefault="004611C3" w:rsidP="00BF05CC">
      <w:pPr>
        <w:ind w:left="4320"/>
        <w:rPr>
          <w:b/>
          <w:szCs w:val="20"/>
          <w:lang w:eastAsia="zh-CN"/>
        </w:rPr>
      </w:pPr>
      <w:r w:rsidRPr="004611C3">
        <w:rPr>
          <w:b/>
          <w:szCs w:val="20"/>
          <w:lang w:eastAsia="zh-CN"/>
        </w:rPr>
        <w:t>DOCKET</w:t>
      </w:r>
      <w:r w:rsidR="0030393F">
        <w:rPr>
          <w:b/>
          <w:szCs w:val="20"/>
          <w:lang w:eastAsia="zh-CN"/>
        </w:rPr>
        <w:t xml:space="preserve">S </w:t>
      </w:r>
      <w:r w:rsidRPr="004611C3">
        <w:rPr>
          <w:b/>
          <w:szCs w:val="20"/>
          <w:lang w:eastAsia="zh-CN"/>
        </w:rPr>
        <w:t>U</w:t>
      </w:r>
      <w:r w:rsidR="00290C67">
        <w:rPr>
          <w:b/>
          <w:szCs w:val="20"/>
          <w:lang w:eastAsia="zh-CN"/>
        </w:rPr>
        <w:t>E</w:t>
      </w:r>
      <w:r w:rsidRPr="004611C3">
        <w:rPr>
          <w:b/>
          <w:szCs w:val="20"/>
          <w:lang w:eastAsia="zh-CN"/>
        </w:rPr>
        <w:t>-1</w:t>
      </w:r>
      <w:r w:rsidR="00B06379">
        <w:rPr>
          <w:b/>
          <w:szCs w:val="20"/>
          <w:lang w:eastAsia="zh-CN"/>
        </w:rPr>
        <w:t>7</w:t>
      </w:r>
      <w:r w:rsidRPr="004611C3">
        <w:rPr>
          <w:b/>
          <w:szCs w:val="20"/>
          <w:lang w:eastAsia="zh-CN"/>
        </w:rPr>
        <w:t>____</w:t>
      </w:r>
      <w:r w:rsidR="009F3BFB">
        <w:rPr>
          <w:b/>
          <w:szCs w:val="20"/>
          <w:lang w:eastAsia="zh-CN"/>
        </w:rPr>
        <w:t>/</w:t>
      </w:r>
      <w:r w:rsidR="00290C67" w:rsidRPr="004611C3">
        <w:rPr>
          <w:b/>
          <w:szCs w:val="20"/>
          <w:lang w:eastAsia="zh-CN"/>
        </w:rPr>
        <w:t>U</w:t>
      </w:r>
      <w:r w:rsidR="00290C67">
        <w:rPr>
          <w:b/>
          <w:szCs w:val="20"/>
          <w:lang w:eastAsia="zh-CN"/>
        </w:rPr>
        <w:t>G</w:t>
      </w:r>
      <w:r w:rsidR="00290C67" w:rsidRPr="004611C3">
        <w:rPr>
          <w:b/>
          <w:szCs w:val="20"/>
          <w:lang w:eastAsia="zh-CN"/>
        </w:rPr>
        <w:t>-1</w:t>
      </w:r>
      <w:r w:rsidR="00B06379">
        <w:rPr>
          <w:b/>
          <w:szCs w:val="20"/>
          <w:lang w:eastAsia="zh-CN"/>
        </w:rPr>
        <w:t>7</w:t>
      </w:r>
      <w:r w:rsidR="00290C67" w:rsidRPr="004611C3">
        <w:rPr>
          <w:b/>
          <w:szCs w:val="20"/>
          <w:lang w:eastAsia="zh-CN"/>
        </w:rPr>
        <w:t>____</w:t>
      </w:r>
    </w:p>
    <w:p w:rsidR="00290C67" w:rsidRPr="004611C3" w:rsidRDefault="003262A2" w:rsidP="00BF05CC">
      <w:pPr>
        <w:ind w:left="4320"/>
        <w:rPr>
          <w:b/>
          <w:szCs w:val="20"/>
          <w:lang w:eastAsia="zh-CN"/>
        </w:rPr>
      </w:pPr>
      <w:r w:rsidRPr="003262A2">
        <w:rPr>
          <w:b/>
          <w:szCs w:val="20"/>
          <w:lang w:eastAsia="zh-CN"/>
        </w:rPr>
        <w:t>2017 PSE GENERAL RATE CASE</w:t>
      </w:r>
    </w:p>
    <w:p w:rsidR="004611C3" w:rsidRPr="004611C3" w:rsidRDefault="004611C3" w:rsidP="00BF05CC">
      <w:pPr>
        <w:ind w:left="4320"/>
        <w:rPr>
          <w:b/>
          <w:szCs w:val="20"/>
          <w:lang w:eastAsia="zh-CN"/>
        </w:rPr>
      </w:pPr>
      <w:r w:rsidRPr="004611C3">
        <w:rPr>
          <w:b/>
          <w:szCs w:val="20"/>
          <w:lang w:eastAsia="zh-CN"/>
        </w:rPr>
        <w:t>WITNESS:</w:t>
      </w:r>
      <w:r w:rsidR="00BD560E">
        <w:rPr>
          <w:b/>
          <w:szCs w:val="20"/>
          <w:lang w:eastAsia="zh-CN"/>
        </w:rPr>
        <w:t xml:space="preserve"> </w:t>
      </w:r>
      <w:r w:rsidR="00B4652C">
        <w:rPr>
          <w:b/>
          <w:szCs w:val="20"/>
          <w:lang w:eastAsia="zh-CN"/>
        </w:rPr>
        <w:t>DAN</w:t>
      </w:r>
      <w:r w:rsidR="003629CE">
        <w:rPr>
          <w:b/>
          <w:szCs w:val="20"/>
          <w:lang w:eastAsia="zh-CN"/>
        </w:rPr>
        <w:t>IEL</w:t>
      </w:r>
      <w:r w:rsidR="00537488">
        <w:rPr>
          <w:b/>
          <w:szCs w:val="20"/>
          <w:lang w:eastAsia="zh-CN"/>
        </w:rPr>
        <w:t xml:space="preserve"> A. </w:t>
      </w:r>
      <w:r w:rsidR="00B4652C">
        <w:rPr>
          <w:b/>
          <w:szCs w:val="20"/>
          <w:lang w:eastAsia="zh-CN"/>
        </w:rPr>
        <w:t>DOYLE</w:t>
      </w:r>
    </w:p>
    <w:p w:rsidR="00B06379" w:rsidRDefault="00B06379" w:rsidP="00B06379">
      <w:pPr>
        <w:pStyle w:val="center"/>
        <w:keepNext/>
        <w:keepLines w:val="0"/>
        <w:spacing w:before="0" w:line="240" w:lineRule="auto"/>
        <w:rPr>
          <w:b/>
        </w:rPr>
      </w:pPr>
    </w:p>
    <w:p w:rsidR="00FB09A7" w:rsidRDefault="00FB09A7" w:rsidP="00BF05CC">
      <w:pPr>
        <w:pStyle w:val="center"/>
        <w:keepNext/>
        <w:keepLines w:val="0"/>
        <w:spacing w:before="0" w:line="240" w:lineRule="auto"/>
        <w:rPr>
          <w:b/>
        </w:rPr>
      </w:pPr>
    </w:p>
    <w:p w:rsidR="00FB09A7" w:rsidRDefault="00FB09A7"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r w:rsidRPr="00EF16DB">
        <w:rPr>
          <w:b/>
        </w:rPr>
        <w:t>BEFORE THE</w:t>
      </w:r>
    </w:p>
    <w:p w:rsidR="00517897" w:rsidRPr="00EF16DB" w:rsidRDefault="00517897" w:rsidP="00BF05CC">
      <w:pPr>
        <w:pStyle w:val="center"/>
        <w:keepNext/>
        <w:keepLines w:val="0"/>
        <w:spacing w:before="0" w:line="240" w:lineRule="auto"/>
        <w:rPr>
          <w:b/>
        </w:rPr>
      </w:pPr>
      <w:r w:rsidRPr="00EF16DB">
        <w:rPr>
          <w:b/>
        </w:rPr>
        <w:t>WASHINGTON UTILITIES AND TRANSPORTATION COMMISSION</w:t>
      </w:r>
    </w:p>
    <w:p w:rsidR="00517897" w:rsidRPr="00EF16DB" w:rsidRDefault="00517897"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rsidTr="00A5658C">
        <w:tc>
          <w:tcPr>
            <w:tcW w:w="4536" w:type="dxa"/>
            <w:tcBorders>
              <w:top w:val="nil"/>
              <w:left w:val="nil"/>
            </w:tcBorders>
          </w:tcPr>
          <w:p w:rsidR="00695C07" w:rsidRPr="00695C07" w:rsidRDefault="00695C07" w:rsidP="00B06379">
            <w:pPr>
              <w:spacing w:after="240"/>
              <w:rPr>
                <w:b/>
                <w:szCs w:val="20"/>
                <w:lang w:eastAsia="zh-CN"/>
              </w:rPr>
            </w:pPr>
            <w:r w:rsidRPr="00695C07">
              <w:rPr>
                <w:b/>
                <w:szCs w:val="20"/>
                <w:lang w:eastAsia="zh-CN"/>
              </w:rPr>
              <w:t>WASHINGTON UTILITIES AND TRANSPORTATION COMMISSION,</w:t>
            </w:r>
          </w:p>
          <w:p w:rsidR="00695C07" w:rsidRPr="00695C07" w:rsidRDefault="00695C07" w:rsidP="00B06379">
            <w:pPr>
              <w:spacing w:after="240"/>
              <w:ind w:left="2160"/>
              <w:rPr>
                <w:b/>
                <w:szCs w:val="20"/>
                <w:lang w:eastAsia="zh-CN"/>
              </w:rPr>
            </w:pPr>
            <w:r w:rsidRPr="00695C07">
              <w:rPr>
                <w:b/>
                <w:szCs w:val="20"/>
                <w:lang w:eastAsia="zh-CN"/>
              </w:rPr>
              <w:t>Complainant,</w:t>
            </w:r>
          </w:p>
          <w:p w:rsidR="00695C07" w:rsidRPr="00695C07" w:rsidRDefault="00695C07" w:rsidP="00B06379">
            <w:pPr>
              <w:spacing w:after="240"/>
              <w:ind w:left="1440"/>
              <w:rPr>
                <w:b/>
                <w:szCs w:val="20"/>
                <w:lang w:eastAsia="zh-CN"/>
              </w:rPr>
            </w:pPr>
            <w:r w:rsidRPr="00695C07">
              <w:rPr>
                <w:b/>
                <w:szCs w:val="20"/>
                <w:lang w:eastAsia="zh-CN"/>
              </w:rPr>
              <w:t>v.</w:t>
            </w:r>
          </w:p>
          <w:p w:rsidR="00695C07" w:rsidRPr="00695C07" w:rsidRDefault="00B06379" w:rsidP="00B06379">
            <w:pPr>
              <w:spacing w:after="240"/>
              <w:rPr>
                <w:b/>
                <w:szCs w:val="20"/>
                <w:lang w:eastAsia="zh-CN"/>
              </w:rPr>
            </w:pPr>
            <w:r>
              <w:rPr>
                <w:b/>
                <w:szCs w:val="20"/>
                <w:lang w:eastAsia="zh-CN"/>
              </w:rPr>
              <w:t>PUGET SOUND ENERGY,</w:t>
            </w:r>
          </w:p>
          <w:p w:rsidR="00695C07" w:rsidRPr="004611C3" w:rsidRDefault="00695C07" w:rsidP="00B06379">
            <w:pPr>
              <w:spacing w:after="240"/>
              <w:ind w:left="2160"/>
              <w:rPr>
                <w:b/>
                <w:szCs w:val="20"/>
                <w:lang w:eastAsia="zh-CN"/>
              </w:rPr>
            </w:pPr>
            <w:r w:rsidRPr="00695C07">
              <w:rPr>
                <w:b/>
                <w:szCs w:val="20"/>
                <w:lang w:eastAsia="zh-CN"/>
              </w:rPr>
              <w:t>Respondent</w:t>
            </w:r>
            <w:r>
              <w:rPr>
                <w:b/>
                <w:szCs w:val="20"/>
                <w:lang w:eastAsia="zh-CN"/>
              </w:rPr>
              <w:t>.</w:t>
            </w:r>
          </w:p>
        </w:tc>
        <w:tc>
          <w:tcPr>
            <w:tcW w:w="4545" w:type="dxa"/>
            <w:tcBorders>
              <w:top w:val="nil"/>
              <w:bottom w:val="nil"/>
              <w:right w:val="nil"/>
            </w:tcBorders>
            <w:vAlign w:val="center"/>
          </w:tcPr>
          <w:p w:rsidR="004611C3" w:rsidRPr="004611C3" w:rsidRDefault="0030393F" w:rsidP="0030393F">
            <w:pPr>
              <w:keepNext/>
              <w:keepLines/>
              <w:spacing w:after="240"/>
              <w:ind w:left="324"/>
              <w:rPr>
                <w:b/>
                <w:szCs w:val="20"/>
                <w:lang w:eastAsia="zh-CN"/>
              </w:rPr>
            </w:pPr>
            <w:r>
              <w:rPr>
                <w:b/>
                <w:szCs w:val="20"/>
                <w:lang w:eastAsia="zh-CN"/>
              </w:rPr>
              <w:t xml:space="preserve">Docket </w:t>
            </w:r>
            <w:r w:rsidR="004611C3" w:rsidRPr="004611C3">
              <w:rPr>
                <w:b/>
                <w:szCs w:val="20"/>
                <w:lang w:eastAsia="zh-CN"/>
              </w:rPr>
              <w:t>U</w:t>
            </w:r>
            <w:r w:rsidR="00695C07">
              <w:rPr>
                <w:b/>
                <w:szCs w:val="20"/>
                <w:lang w:eastAsia="zh-CN"/>
              </w:rPr>
              <w:t>E</w:t>
            </w:r>
            <w:r w:rsidR="004611C3" w:rsidRPr="004611C3">
              <w:rPr>
                <w:b/>
                <w:szCs w:val="20"/>
                <w:lang w:eastAsia="zh-CN"/>
              </w:rPr>
              <w:t>-1</w:t>
            </w:r>
            <w:r w:rsidR="00B06379">
              <w:rPr>
                <w:b/>
                <w:szCs w:val="20"/>
                <w:lang w:eastAsia="zh-CN"/>
              </w:rPr>
              <w:t>7</w:t>
            </w:r>
            <w:r w:rsidR="004611C3" w:rsidRPr="004611C3">
              <w:rPr>
                <w:b/>
                <w:szCs w:val="20"/>
                <w:lang w:eastAsia="zh-CN"/>
              </w:rPr>
              <w:t>____</w:t>
            </w:r>
            <w:r w:rsidR="00B06379">
              <w:rPr>
                <w:b/>
                <w:szCs w:val="20"/>
                <w:lang w:eastAsia="zh-CN"/>
              </w:rPr>
              <w:br/>
            </w:r>
            <w:r w:rsidR="00583357" w:rsidRPr="004611C3">
              <w:rPr>
                <w:b/>
                <w:szCs w:val="20"/>
                <w:lang w:eastAsia="zh-CN"/>
              </w:rPr>
              <w:t xml:space="preserve">Docket </w:t>
            </w:r>
            <w:r w:rsidR="00B06379" w:rsidRPr="004611C3">
              <w:rPr>
                <w:b/>
                <w:szCs w:val="20"/>
                <w:lang w:eastAsia="zh-CN"/>
              </w:rPr>
              <w:t>U</w:t>
            </w:r>
            <w:r w:rsidR="00B06379">
              <w:rPr>
                <w:b/>
                <w:szCs w:val="20"/>
                <w:lang w:eastAsia="zh-CN"/>
              </w:rPr>
              <w:t>G</w:t>
            </w:r>
            <w:r w:rsidR="00B06379" w:rsidRPr="004611C3">
              <w:rPr>
                <w:b/>
                <w:szCs w:val="20"/>
                <w:lang w:eastAsia="zh-CN"/>
              </w:rPr>
              <w:t>-1</w:t>
            </w:r>
            <w:r w:rsidR="00B06379">
              <w:rPr>
                <w:b/>
                <w:szCs w:val="20"/>
                <w:lang w:eastAsia="zh-CN"/>
              </w:rPr>
              <w:t>7</w:t>
            </w:r>
            <w:r w:rsidR="00B06379" w:rsidRPr="004611C3">
              <w:rPr>
                <w:b/>
                <w:szCs w:val="20"/>
                <w:lang w:eastAsia="zh-CN"/>
              </w:rPr>
              <w:t>____</w:t>
            </w:r>
          </w:p>
        </w:tc>
      </w:tr>
    </w:tbl>
    <w:p w:rsidR="002E4864" w:rsidRDefault="002E4864" w:rsidP="00BF05CC">
      <w:pPr>
        <w:pStyle w:val="center"/>
        <w:keepNext/>
        <w:keepLines w:val="0"/>
        <w:spacing w:before="0" w:line="240" w:lineRule="auto"/>
        <w:rPr>
          <w:b/>
        </w:rPr>
      </w:pPr>
    </w:p>
    <w:p w:rsidR="00E41D7A" w:rsidRDefault="00E41D7A" w:rsidP="00BF05CC">
      <w:pPr>
        <w:pStyle w:val="center"/>
        <w:keepNext/>
        <w:keepLines w:val="0"/>
        <w:spacing w:before="0" w:line="240" w:lineRule="auto"/>
        <w:rPr>
          <w:b/>
        </w:rPr>
      </w:pPr>
    </w:p>
    <w:p w:rsidR="00460AD4" w:rsidRPr="00EF16DB" w:rsidRDefault="00460AD4" w:rsidP="00BF05CC">
      <w:pPr>
        <w:pStyle w:val="center"/>
        <w:keepNext/>
        <w:keepLines w:val="0"/>
        <w:spacing w:before="0" w:line="240" w:lineRule="auto"/>
        <w:rPr>
          <w:b/>
        </w:rPr>
      </w:pPr>
    </w:p>
    <w:p w:rsidR="0030393F" w:rsidRDefault="00517897" w:rsidP="00BF05CC">
      <w:pPr>
        <w:pStyle w:val="center"/>
        <w:keepNext/>
        <w:keepLines w:val="0"/>
        <w:spacing w:before="0" w:line="240" w:lineRule="auto"/>
        <w:rPr>
          <w:b/>
        </w:rPr>
      </w:pPr>
      <w:proofErr w:type="spellStart"/>
      <w:r w:rsidRPr="00EF16DB">
        <w:rPr>
          <w:b/>
        </w:rPr>
        <w:t>PREFILED</w:t>
      </w:r>
      <w:proofErr w:type="spellEnd"/>
      <w:r w:rsidRPr="00EF16DB">
        <w:rPr>
          <w:b/>
        </w:rPr>
        <w:t xml:space="preserve"> </w:t>
      </w:r>
      <w:r w:rsidR="004611C3">
        <w:rPr>
          <w:b/>
        </w:rPr>
        <w:t>DI</w:t>
      </w:r>
      <w:r w:rsidR="0063582B">
        <w:rPr>
          <w:b/>
        </w:rPr>
        <w:t>R</w:t>
      </w:r>
      <w:r w:rsidR="004611C3">
        <w:rPr>
          <w:b/>
        </w:rPr>
        <w:t xml:space="preserve">ECT </w:t>
      </w:r>
      <w:r w:rsidRPr="00EF16DB">
        <w:rPr>
          <w:b/>
        </w:rPr>
        <w:t>TESTIMONY (</w:t>
      </w:r>
      <w:proofErr w:type="spellStart"/>
      <w:r w:rsidR="00583357">
        <w:rPr>
          <w:b/>
        </w:rPr>
        <w:t>NON</w:t>
      </w:r>
      <w:r w:rsidRPr="00EF16DB">
        <w:rPr>
          <w:b/>
        </w:rPr>
        <w:t>CONFIDENTIAL</w:t>
      </w:r>
      <w:proofErr w:type="spellEnd"/>
      <w:r w:rsidRPr="00EF16DB">
        <w:rPr>
          <w:b/>
        </w:rPr>
        <w:t>) OF</w:t>
      </w:r>
    </w:p>
    <w:p w:rsidR="0030393F" w:rsidRDefault="0030393F" w:rsidP="00BF05CC">
      <w:pPr>
        <w:pStyle w:val="center"/>
        <w:keepNext/>
        <w:keepLines w:val="0"/>
        <w:spacing w:before="0" w:line="240" w:lineRule="auto"/>
        <w:rPr>
          <w:b/>
        </w:rPr>
      </w:pPr>
    </w:p>
    <w:p w:rsidR="0030393F" w:rsidRDefault="00B4652C" w:rsidP="00BF05CC">
      <w:pPr>
        <w:pStyle w:val="center"/>
        <w:keepNext/>
        <w:keepLines w:val="0"/>
        <w:spacing w:before="0" w:line="240" w:lineRule="auto"/>
        <w:rPr>
          <w:b/>
        </w:rPr>
      </w:pPr>
      <w:r>
        <w:rPr>
          <w:b/>
          <w:szCs w:val="20"/>
        </w:rPr>
        <w:t>DAN</w:t>
      </w:r>
      <w:r w:rsidR="003629CE">
        <w:rPr>
          <w:b/>
          <w:szCs w:val="20"/>
        </w:rPr>
        <w:t>IEL</w:t>
      </w:r>
      <w:r>
        <w:rPr>
          <w:b/>
          <w:szCs w:val="20"/>
        </w:rPr>
        <w:t xml:space="preserve"> A. DOYLE</w:t>
      </w:r>
    </w:p>
    <w:p w:rsidR="0030393F" w:rsidRDefault="0030393F"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r w:rsidRPr="00EF16DB">
        <w:rPr>
          <w:b/>
        </w:rPr>
        <w:t xml:space="preserve">ON BEHALF OF PUGET </w:t>
      </w:r>
      <w:r w:rsidR="00B06379">
        <w:rPr>
          <w:b/>
        </w:rPr>
        <w:t>SOUND ENERGY</w:t>
      </w:r>
    </w:p>
    <w:p w:rsidR="00517897" w:rsidRPr="00EF16DB" w:rsidRDefault="00517897" w:rsidP="00BF05CC">
      <w:pPr>
        <w:pStyle w:val="center"/>
        <w:keepNext/>
        <w:keepLines w:val="0"/>
        <w:spacing w:before="0" w:line="240" w:lineRule="auto"/>
        <w:rPr>
          <w:b/>
        </w:rPr>
      </w:pPr>
    </w:p>
    <w:p w:rsidR="00517897" w:rsidRDefault="00517897" w:rsidP="00BF05CC">
      <w:pPr>
        <w:pStyle w:val="center"/>
        <w:keepNext/>
        <w:keepLines w:val="0"/>
        <w:spacing w:before="0" w:line="240" w:lineRule="auto"/>
        <w:rPr>
          <w:b/>
        </w:rPr>
      </w:pPr>
    </w:p>
    <w:p w:rsidR="00695C07" w:rsidRDefault="00695C07" w:rsidP="00BF05CC">
      <w:pPr>
        <w:pStyle w:val="center"/>
        <w:keepNext/>
        <w:keepLines w:val="0"/>
        <w:spacing w:before="0" w:line="240" w:lineRule="auto"/>
        <w:rPr>
          <w:b/>
        </w:rPr>
      </w:pPr>
    </w:p>
    <w:p w:rsidR="00695C07" w:rsidRDefault="00695C07" w:rsidP="00BF05CC">
      <w:pPr>
        <w:pStyle w:val="center"/>
        <w:keepNext/>
        <w:keepLines w:val="0"/>
        <w:spacing w:before="0" w:line="240" w:lineRule="auto"/>
        <w:rPr>
          <w:b/>
        </w:rPr>
      </w:pPr>
    </w:p>
    <w:p w:rsidR="00B06379" w:rsidRDefault="00B06379" w:rsidP="00BF05CC">
      <w:pPr>
        <w:pStyle w:val="center"/>
        <w:keepNext/>
        <w:keepLines w:val="0"/>
        <w:spacing w:before="0" w:line="240" w:lineRule="auto"/>
        <w:rPr>
          <w:b/>
        </w:rPr>
      </w:pPr>
    </w:p>
    <w:p w:rsidR="00FA5509" w:rsidRDefault="00FA5509" w:rsidP="00BF05CC">
      <w:pPr>
        <w:pStyle w:val="center"/>
        <w:keepNext/>
        <w:keepLines w:val="0"/>
        <w:spacing w:before="0" w:line="240" w:lineRule="auto"/>
        <w:rPr>
          <w:b/>
        </w:rPr>
      </w:pPr>
    </w:p>
    <w:p w:rsidR="00B06379" w:rsidRDefault="00B06379" w:rsidP="00BF05CC">
      <w:pPr>
        <w:pStyle w:val="center"/>
        <w:keepNext/>
        <w:keepLines w:val="0"/>
        <w:spacing w:before="0" w:line="240" w:lineRule="auto"/>
        <w:rPr>
          <w:b/>
        </w:rPr>
      </w:pPr>
    </w:p>
    <w:p w:rsidR="00B06379" w:rsidRDefault="00B06379" w:rsidP="00BF05CC">
      <w:pPr>
        <w:pStyle w:val="center"/>
        <w:keepNext/>
        <w:keepLines w:val="0"/>
        <w:spacing w:before="0" w:line="240" w:lineRule="auto"/>
        <w:rPr>
          <w:b/>
        </w:rPr>
      </w:pPr>
    </w:p>
    <w:p w:rsidR="00B06379" w:rsidRDefault="00B06379" w:rsidP="00BF05CC">
      <w:pPr>
        <w:pStyle w:val="center"/>
        <w:keepNext/>
        <w:keepLines w:val="0"/>
        <w:spacing w:before="0" w:line="240" w:lineRule="auto"/>
        <w:rPr>
          <w:b/>
        </w:rPr>
      </w:pPr>
    </w:p>
    <w:p w:rsidR="00B06379" w:rsidRDefault="00B06379" w:rsidP="00BF05CC">
      <w:pPr>
        <w:pStyle w:val="center"/>
        <w:keepNext/>
        <w:keepLines w:val="0"/>
        <w:spacing w:before="0" w:line="240" w:lineRule="auto"/>
        <w:rPr>
          <w:b/>
        </w:rPr>
      </w:pPr>
    </w:p>
    <w:p w:rsidR="00B06379" w:rsidRDefault="00B06379" w:rsidP="00BF05CC">
      <w:pPr>
        <w:pStyle w:val="center"/>
        <w:keepNext/>
        <w:keepLines w:val="0"/>
        <w:spacing w:before="0" w:line="240" w:lineRule="auto"/>
        <w:rPr>
          <w:b/>
        </w:rPr>
      </w:pPr>
    </w:p>
    <w:p w:rsidR="009F3BFB" w:rsidRDefault="009F3BFB" w:rsidP="00BF05CC">
      <w:pPr>
        <w:pStyle w:val="center"/>
        <w:keepNext/>
        <w:keepLines w:val="0"/>
        <w:spacing w:before="0" w:line="240" w:lineRule="auto"/>
        <w:rPr>
          <w:b/>
        </w:rPr>
      </w:pPr>
    </w:p>
    <w:p w:rsidR="009F3BFB" w:rsidRDefault="009F3BFB" w:rsidP="00BF05CC">
      <w:pPr>
        <w:pStyle w:val="center"/>
        <w:keepNext/>
        <w:keepLines w:val="0"/>
        <w:spacing w:before="0" w:line="240" w:lineRule="auto"/>
        <w:rPr>
          <w:b/>
        </w:rPr>
      </w:pPr>
    </w:p>
    <w:p w:rsidR="009F3BFB" w:rsidRDefault="009F3BFB" w:rsidP="00BF05CC">
      <w:pPr>
        <w:pStyle w:val="center"/>
        <w:keepNext/>
        <w:keepLines w:val="0"/>
        <w:spacing w:before="0" w:line="240" w:lineRule="auto"/>
        <w:rPr>
          <w:b/>
        </w:rPr>
      </w:pPr>
    </w:p>
    <w:p w:rsidR="00517897" w:rsidRPr="00EF16DB" w:rsidRDefault="00677DC3" w:rsidP="00BF05CC">
      <w:pPr>
        <w:keepNext/>
        <w:jc w:val="center"/>
        <w:rPr>
          <w:rFonts w:eastAsia="SimSun"/>
          <w:b/>
        </w:rPr>
      </w:pPr>
      <w:r>
        <w:rPr>
          <w:b/>
        </w:rPr>
        <w:t>JANUARY 13, 2017</w:t>
      </w:r>
    </w:p>
    <w:p w:rsidR="00517897" w:rsidRPr="00EF16DB" w:rsidRDefault="00517897" w:rsidP="00BF05CC">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rsidR="00F07711" w:rsidRPr="00B06379" w:rsidRDefault="00B06379" w:rsidP="00B06379">
      <w:pPr>
        <w:keepNext/>
        <w:spacing w:before="240" w:after="480"/>
        <w:jc w:val="center"/>
        <w:rPr>
          <w:rStyle w:val="Strong"/>
          <w:rFonts w:eastAsia="SimSun"/>
          <w:b w:val="0"/>
        </w:rPr>
      </w:pPr>
      <w:r>
        <w:rPr>
          <w:rStyle w:val="Strong"/>
          <w:rFonts w:eastAsia="SimSun"/>
        </w:rPr>
        <w:lastRenderedPageBreak/>
        <w:t>PUGET SOUND ENERGY</w:t>
      </w:r>
    </w:p>
    <w:p w:rsidR="00F07711" w:rsidRPr="00C06DEC" w:rsidRDefault="00F07711" w:rsidP="00BF05CC">
      <w:pPr>
        <w:keepNext/>
        <w:spacing w:before="240" w:after="480"/>
        <w:jc w:val="center"/>
        <w:rPr>
          <w:rFonts w:eastAsia="SimSun"/>
        </w:rPr>
      </w:pPr>
      <w:proofErr w:type="spellStart"/>
      <w:r w:rsidRPr="00EF16DB">
        <w:rPr>
          <w:rStyle w:val="Strong"/>
          <w:rFonts w:eastAsia="SimSun"/>
        </w:rPr>
        <w:t>PREFILED</w:t>
      </w:r>
      <w:proofErr w:type="spellEnd"/>
      <w:r w:rsidRPr="00EF16DB">
        <w:rPr>
          <w:rStyle w:val="Strong"/>
          <w:rFonts w:eastAsia="SimSun"/>
        </w:rPr>
        <w:t xml:space="preserve">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w:t>
      </w:r>
      <w:proofErr w:type="spellStart"/>
      <w:r w:rsidR="00583357">
        <w:rPr>
          <w:rFonts w:eastAsia="SimSun"/>
          <w:b/>
          <w:color w:val="000000"/>
        </w:rPr>
        <w:t>NON</w:t>
      </w:r>
      <w:r w:rsidRPr="00EF16DB">
        <w:rPr>
          <w:rFonts w:eastAsia="SimSun"/>
          <w:b/>
          <w:color w:val="000000"/>
        </w:rPr>
        <w:t>CONFIDENTIAL</w:t>
      </w:r>
      <w:proofErr w:type="spellEnd"/>
      <w:r w:rsidRPr="00EF16DB">
        <w:rPr>
          <w:rFonts w:eastAsia="SimSun"/>
          <w:b/>
          <w:color w:val="000000"/>
        </w:rPr>
        <w:t xml:space="preserve">) </w:t>
      </w:r>
      <w:r w:rsidRPr="00EF16DB">
        <w:rPr>
          <w:rStyle w:val="Strong"/>
          <w:rFonts w:eastAsia="SimSun"/>
        </w:rPr>
        <w:t>OF</w:t>
      </w:r>
      <w:r w:rsidRPr="00EF16DB">
        <w:rPr>
          <w:rStyle w:val="Strong"/>
          <w:rFonts w:eastAsia="SimSun"/>
          <w:b w:val="0"/>
        </w:rPr>
        <w:br/>
      </w:r>
      <w:r w:rsidR="00B4652C">
        <w:rPr>
          <w:b/>
          <w:szCs w:val="20"/>
          <w:lang w:eastAsia="zh-CN"/>
        </w:rPr>
        <w:t>DAN</w:t>
      </w:r>
      <w:r w:rsidR="001B3F1E">
        <w:rPr>
          <w:b/>
          <w:szCs w:val="20"/>
          <w:lang w:eastAsia="zh-CN"/>
        </w:rPr>
        <w:t>IEL</w:t>
      </w:r>
      <w:r w:rsidR="00B4652C">
        <w:rPr>
          <w:b/>
          <w:szCs w:val="20"/>
          <w:lang w:eastAsia="zh-CN"/>
        </w:rPr>
        <w:t xml:space="preserve"> A. DOYLE</w:t>
      </w:r>
    </w:p>
    <w:p w:rsidR="00FC7A2F" w:rsidRPr="003F122F" w:rsidRDefault="00F07711" w:rsidP="00BF05CC">
      <w:pPr>
        <w:keepNext/>
        <w:spacing w:before="240" w:after="480"/>
        <w:ind w:left="547" w:right="547"/>
        <w:jc w:val="center"/>
        <w:rPr>
          <w:rFonts w:eastAsia="SimSun"/>
        </w:rPr>
      </w:pPr>
      <w:bookmarkStart w:id="2" w:name="TOCTitle"/>
      <w:r w:rsidRPr="003F122F">
        <w:rPr>
          <w:b/>
        </w:rPr>
        <w:t>CONTENTS</w:t>
      </w:r>
      <w:bookmarkEnd w:id="2"/>
    </w:p>
    <w:p w:rsidR="003F122F" w:rsidRPr="003F122F" w:rsidRDefault="00FC7A2F">
      <w:pPr>
        <w:pStyle w:val="TOC1"/>
        <w:rPr>
          <w:rFonts w:asciiTheme="minorHAnsi" w:eastAsiaTheme="minorEastAsia" w:hAnsiTheme="minorHAnsi" w:cstheme="minorBidi"/>
          <w:color w:val="auto"/>
          <w:sz w:val="22"/>
          <w:szCs w:val="22"/>
          <w:lang w:eastAsia="en-US"/>
        </w:rPr>
      </w:pPr>
      <w:r w:rsidRPr="003F122F">
        <w:rPr>
          <w:color w:val="auto"/>
        </w:rPr>
        <w:fldChar w:fldCharType="begin"/>
      </w:r>
      <w:r w:rsidRPr="003F122F">
        <w:rPr>
          <w:color w:val="auto"/>
        </w:rPr>
        <w:instrText xml:space="preserve"> TOC \o "1-3" \h \z \u </w:instrText>
      </w:r>
      <w:r w:rsidRPr="003F122F">
        <w:rPr>
          <w:color w:val="auto"/>
        </w:rPr>
        <w:fldChar w:fldCharType="separate"/>
      </w:r>
      <w:hyperlink w:anchor="_Toc471463212" w:history="1">
        <w:r w:rsidR="003F122F" w:rsidRPr="003F122F">
          <w:rPr>
            <w:rStyle w:val="Hyperlink"/>
            <w:color w:val="auto"/>
          </w:rPr>
          <w:t>I.</w:t>
        </w:r>
        <w:r w:rsidR="003F122F" w:rsidRPr="003F122F">
          <w:rPr>
            <w:rFonts w:asciiTheme="minorHAnsi" w:eastAsiaTheme="minorEastAsia" w:hAnsiTheme="minorHAnsi" w:cstheme="minorBidi"/>
            <w:color w:val="auto"/>
            <w:sz w:val="22"/>
            <w:szCs w:val="22"/>
            <w:lang w:eastAsia="en-US"/>
          </w:rPr>
          <w:tab/>
        </w:r>
        <w:r w:rsidR="003F122F" w:rsidRPr="003F122F">
          <w:rPr>
            <w:rStyle w:val="Hyperlink"/>
            <w:color w:val="auto"/>
          </w:rPr>
          <w:t>INTRODUCTION</w:t>
        </w:r>
        <w:r w:rsidR="003F122F" w:rsidRPr="003F122F">
          <w:rPr>
            <w:webHidden/>
            <w:color w:val="auto"/>
          </w:rPr>
          <w:tab/>
        </w:r>
        <w:r w:rsidR="003F122F" w:rsidRPr="003F122F">
          <w:rPr>
            <w:webHidden/>
            <w:color w:val="auto"/>
          </w:rPr>
          <w:fldChar w:fldCharType="begin"/>
        </w:r>
        <w:r w:rsidR="003F122F" w:rsidRPr="003F122F">
          <w:rPr>
            <w:webHidden/>
            <w:color w:val="auto"/>
          </w:rPr>
          <w:instrText xml:space="preserve"> PAGEREF _Toc471463212 \h </w:instrText>
        </w:r>
        <w:r w:rsidR="003F122F" w:rsidRPr="003F122F">
          <w:rPr>
            <w:webHidden/>
            <w:color w:val="auto"/>
          </w:rPr>
        </w:r>
        <w:r w:rsidR="003F122F" w:rsidRPr="003F122F">
          <w:rPr>
            <w:webHidden/>
            <w:color w:val="auto"/>
          </w:rPr>
          <w:fldChar w:fldCharType="separate"/>
        </w:r>
        <w:r w:rsidR="003F122F" w:rsidRPr="003F122F">
          <w:rPr>
            <w:webHidden/>
            <w:color w:val="auto"/>
          </w:rPr>
          <w:t>1</w:t>
        </w:r>
        <w:r w:rsidR="003F122F" w:rsidRPr="003F122F">
          <w:rPr>
            <w:webHidden/>
            <w:color w:val="auto"/>
          </w:rPr>
          <w:fldChar w:fldCharType="end"/>
        </w:r>
      </w:hyperlink>
    </w:p>
    <w:p w:rsidR="003F122F" w:rsidRPr="003F122F" w:rsidRDefault="003F122F">
      <w:pPr>
        <w:pStyle w:val="TOC1"/>
        <w:rPr>
          <w:rFonts w:asciiTheme="minorHAnsi" w:eastAsiaTheme="minorEastAsia" w:hAnsiTheme="minorHAnsi" w:cstheme="minorBidi"/>
          <w:color w:val="auto"/>
          <w:sz w:val="22"/>
          <w:szCs w:val="22"/>
          <w:lang w:eastAsia="en-US"/>
        </w:rPr>
      </w:pPr>
      <w:hyperlink w:anchor="_Toc471463213" w:history="1">
        <w:r w:rsidRPr="003F122F">
          <w:rPr>
            <w:rStyle w:val="Hyperlink"/>
            <w:color w:val="auto"/>
          </w:rPr>
          <w:t>II.</w:t>
        </w:r>
        <w:r w:rsidRPr="003F122F">
          <w:rPr>
            <w:rFonts w:asciiTheme="minorHAnsi" w:eastAsiaTheme="minorEastAsia" w:hAnsiTheme="minorHAnsi" w:cstheme="minorBidi"/>
            <w:color w:val="auto"/>
            <w:sz w:val="22"/>
            <w:szCs w:val="22"/>
            <w:lang w:eastAsia="en-US"/>
          </w:rPr>
          <w:tab/>
        </w:r>
        <w:r w:rsidRPr="003F122F">
          <w:rPr>
            <w:rStyle w:val="Hyperlink"/>
            <w:color w:val="auto"/>
          </w:rPr>
          <w:t>SUMMARY OF THE RATE PLAN</w:t>
        </w:r>
        <w:r w:rsidRPr="003F122F">
          <w:rPr>
            <w:webHidden/>
            <w:color w:val="auto"/>
          </w:rPr>
          <w:tab/>
        </w:r>
        <w:r w:rsidRPr="003F122F">
          <w:rPr>
            <w:webHidden/>
            <w:color w:val="auto"/>
          </w:rPr>
          <w:fldChar w:fldCharType="begin"/>
        </w:r>
        <w:r w:rsidRPr="003F122F">
          <w:rPr>
            <w:webHidden/>
            <w:color w:val="auto"/>
          </w:rPr>
          <w:instrText xml:space="preserve"> PAGEREF _Toc471463213 \h </w:instrText>
        </w:r>
        <w:r w:rsidRPr="003F122F">
          <w:rPr>
            <w:webHidden/>
            <w:color w:val="auto"/>
          </w:rPr>
        </w:r>
        <w:r w:rsidRPr="003F122F">
          <w:rPr>
            <w:webHidden/>
            <w:color w:val="auto"/>
          </w:rPr>
          <w:fldChar w:fldCharType="separate"/>
        </w:r>
        <w:r w:rsidRPr="003F122F">
          <w:rPr>
            <w:webHidden/>
            <w:color w:val="auto"/>
          </w:rPr>
          <w:t>2</w:t>
        </w:r>
        <w:r w:rsidRPr="003F122F">
          <w:rPr>
            <w:webHidden/>
            <w:color w:val="auto"/>
          </w:rPr>
          <w:fldChar w:fldCharType="end"/>
        </w:r>
      </w:hyperlink>
    </w:p>
    <w:p w:rsidR="003F122F" w:rsidRPr="003F122F" w:rsidRDefault="003F122F">
      <w:pPr>
        <w:pStyle w:val="TOC1"/>
        <w:rPr>
          <w:rFonts w:asciiTheme="minorHAnsi" w:eastAsiaTheme="minorEastAsia" w:hAnsiTheme="minorHAnsi" w:cstheme="minorBidi"/>
          <w:color w:val="auto"/>
          <w:sz w:val="22"/>
          <w:szCs w:val="22"/>
          <w:lang w:eastAsia="en-US"/>
        </w:rPr>
      </w:pPr>
      <w:hyperlink w:anchor="_Toc471463214" w:history="1">
        <w:r w:rsidRPr="003F122F">
          <w:rPr>
            <w:rStyle w:val="Hyperlink"/>
            <w:rFonts w:eastAsia="PMingLiU"/>
            <w:color w:val="auto"/>
          </w:rPr>
          <w:t>III.</w:t>
        </w:r>
        <w:r w:rsidRPr="003F122F">
          <w:rPr>
            <w:rFonts w:asciiTheme="minorHAnsi" w:eastAsiaTheme="minorEastAsia" w:hAnsiTheme="minorHAnsi" w:cstheme="minorBidi"/>
            <w:color w:val="auto"/>
            <w:sz w:val="22"/>
            <w:szCs w:val="22"/>
            <w:lang w:eastAsia="en-US"/>
          </w:rPr>
          <w:tab/>
        </w:r>
        <w:r w:rsidRPr="003F122F">
          <w:rPr>
            <w:rStyle w:val="Hyperlink"/>
            <w:rFonts w:eastAsia="PMingLiU"/>
            <w:color w:val="auto"/>
          </w:rPr>
          <w:t>RESULTS OF DECOUPLING</w:t>
        </w:r>
        <w:r w:rsidRPr="003F122F">
          <w:rPr>
            <w:webHidden/>
            <w:color w:val="auto"/>
          </w:rPr>
          <w:tab/>
        </w:r>
        <w:r w:rsidRPr="003F122F">
          <w:rPr>
            <w:webHidden/>
            <w:color w:val="auto"/>
          </w:rPr>
          <w:fldChar w:fldCharType="begin"/>
        </w:r>
        <w:r w:rsidRPr="003F122F">
          <w:rPr>
            <w:webHidden/>
            <w:color w:val="auto"/>
          </w:rPr>
          <w:instrText xml:space="preserve"> PAGEREF _Toc471463214 \h </w:instrText>
        </w:r>
        <w:r w:rsidRPr="003F122F">
          <w:rPr>
            <w:webHidden/>
            <w:color w:val="auto"/>
          </w:rPr>
        </w:r>
        <w:r w:rsidRPr="003F122F">
          <w:rPr>
            <w:webHidden/>
            <w:color w:val="auto"/>
          </w:rPr>
          <w:fldChar w:fldCharType="separate"/>
        </w:r>
        <w:r w:rsidRPr="003F122F">
          <w:rPr>
            <w:webHidden/>
            <w:color w:val="auto"/>
          </w:rPr>
          <w:t>7</w:t>
        </w:r>
        <w:r w:rsidRPr="003F122F">
          <w:rPr>
            <w:webHidden/>
            <w:color w:val="auto"/>
          </w:rPr>
          <w:fldChar w:fldCharType="end"/>
        </w:r>
      </w:hyperlink>
    </w:p>
    <w:p w:rsidR="003F122F" w:rsidRPr="003F122F" w:rsidRDefault="003F122F">
      <w:pPr>
        <w:pStyle w:val="TOC1"/>
        <w:rPr>
          <w:rFonts w:asciiTheme="minorHAnsi" w:eastAsiaTheme="minorEastAsia" w:hAnsiTheme="minorHAnsi" w:cstheme="minorBidi"/>
          <w:color w:val="auto"/>
          <w:sz w:val="22"/>
          <w:szCs w:val="22"/>
          <w:lang w:eastAsia="en-US"/>
        </w:rPr>
      </w:pPr>
      <w:hyperlink w:anchor="_Toc471463215" w:history="1">
        <w:r w:rsidRPr="003F122F">
          <w:rPr>
            <w:rStyle w:val="Hyperlink"/>
            <w:rFonts w:eastAsia="PMingLiU"/>
            <w:color w:val="auto"/>
          </w:rPr>
          <w:t>IV.</w:t>
        </w:r>
        <w:r w:rsidRPr="003F122F">
          <w:rPr>
            <w:rFonts w:asciiTheme="minorHAnsi" w:eastAsiaTheme="minorEastAsia" w:hAnsiTheme="minorHAnsi" w:cstheme="minorBidi"/>
            <w:color w:val="auto"/>
            <w:sz w:val="22"/>
            <w:szCs w:val="22"/>
            <w:lang w:eastAsia="en-US"/>
          </w:rPr>
          <w:tab/>
        </w:r>
        <w:r w:rsidRPr="003F122F">
          <w:rPr>
            <w:rStyle w:val="Hyperlink"/>
            <w:rFonts w:eastAsia="PMingLiU"/>
            <w:color w:val="auto"/>
          </w:rPr>
          <w:t>EARNINGS SHARINGS MECHANISM</w:t>
        </w:r>
        <w:r w:rsidRPr="003F122F">
          <w:rPr>
            <w:webHidden/>
            <w:color w:val="auto"/>
          </w:rPr>
          <w:tab/>
        </w:r>
        <w:r w:rsidRPr="003F122F">
          <w:rPr>
            <w:webHidden/>
            <w:color w:val="auto"/>
          </w:rPr>
          <w:fldChar w:fldCharType="begin"/>
        </w:r>
        <w:r w:rsidRPr="003F122F">
          <w:rPr>
            <w:webHidden/>
            <w:color w:val="auto"/>
          </w:rPr>
          <w:instrText xml:space="preserve"> PAGEREF _Toc471463215 \h </w:instrText>
        </w:r>
        <w:r w:rsidRPr="003F122F">
          <w:rPr>
            <w:webHidden/>
            <w:color w:val="auto"/>
          </w:rPr>
        </w:r>
        <w:r w:rsidRPr="003F122F">
          <w:rPr>
            <w:webHidden/>
            <w:color w:val="auto"/>
          </w:rPr>
          <w:fldChar w:fldCharType="separate"/>
        </w:r>
        <w:r w:rsidRPr="003F122F">
          <w:rPr>
            <w:webHidden/>
            <w:color w:val="auto"/>
          </w:rPr>
          <w:t>14</w:t>
        </w:r>
        <w:r w:rsidRPr="003F122F">
          <w:rPr>
            <w:webHidden/>
            <w:color w:val="auto"/>
          </w:rPr>
          <w:fldChar w:fldCharType="end"/>
        </w:r>
      </w:hyperlink>
    </w:p>
    <w:p w:rsidR="003F122F" w:rsidRPr="003F122F" w:rsidRDefault="003F122F">
      <w:pPr>
        <w:pStyle w:val="TOC1"/>
        <w:rPr>
          <w:rFonts w:asciiTheme="minorHAnsi" w:eastAsiaTheme="minorEastAsia" w:hAnsiTheme="minorHAnsi" w:cstheme="minorBidi"/>
          <w:color w:val="auto"/>
          <w:sz w:val="22"/>
          <w:szCs w:val="22"/>
          <w:lang w:eastAsia="en-US"/>
        </w:rPr>
      </w:pPr>
      <w:hyperlink w:anchor="_Toc471463216" w:history="1">
        <w:r w:rsidRPr="003F122F">
          <w:rPr>
            <w:rStyle w:val="Hyperlink"/>
            <w:color w:val="auto"/>
          </w:rPr>
          <w:t>V.</w:t>
        </w:r>
        <w:r w:rsidRPr="003F122F">
          <w:rPr>
            <w:rFonts w:asciiTheme="minorHAnsi" w:eastAsiaTheme="minorEastAsia" w:hAnsiTheme="minorHAnsi" w:cstheme="minorBidi"/>
            <w:color w:val="auto"/>
            <w:sz w:val="22"/>
            <w:szCs w:val="22"/>
            <w:lang w:eastAsia="en-US"/>
          </w:rPr>
          <w:tab/>
        </w:r>
        <w:r w:rsidRPr="003F122F">
          <w:rPr>
            <w:rStyle w:val="Hyperlink"/>
            <w:color w:val="auto"/>
          </w:rPr>
          <w:t>COST MANAGEMENT AND EFFICIENCY UPDATE</w:t>
        </w:r>
        <w:r w:rsidRPr="003F122F">
          <w:rPr>
            <w:webHidden/>
            <w:color w:val="auto"/>
          </w:rPr>
          <w:tab/>
        </w:r>
        <w:r w:rsidRPr="003F122F">
          <w:rPr>
            <w:webHidden/>
            <w:color w:val="auto"/>
          </w:rPr>
          <w:fldChar w:fldCharType="begin"/>
        </w:r>
        <w:r w:rsidRPr="003F122F">
          <w:rPr>
            <w:webHidden/>
            <w:color w:val="auto"/>
          </w:rPr>
          <w:instrText xml:space="preserve"> PAGEREF _Toc471463216 \h </w:instrText>
        </w:r>
        <w:r w:rsidRPr="003F122F">
          <w:rPr>
            <w:webHidden/>
            <w:color w:val="auto"/>
          </w:rPr>
        </w:r>
        <w:r w:rsidRPr="003F122F">
          <w:rPr>
            <w:webHidden/>
            <w:color w:val="auto"/>
          </w:rPr>
          <w:fldChar w:fldCharType="separate"/>
        </w:r>
        <w:r w:rsidRPr="003F122F">
          <w:rPr>
            <w:webHidden/>
            <w:color w:val="auto"/>
          </w:rPr>
          <w:t>26</w:t>
        </w:r>
        <w:r w:rsidRPr="003F122F">
          <w:rPr>
            <w:webHidden/>
            <w:color w:val="auto"/>
          </w:rPr>
          <w:fldChar w:fldCharType="end"/>
        </w:r>
      </w:hyperlink>
    </w:p>
    <w:p w:rsidR="003F122F" w:rsidRPr="003F122F" w:rsidRDefault="003F122F">
      <w:pPr>
        <w:pStyle w:val="TOC1"/>
        <w:rPr>
          <w:rFonts w:asciiTheme="minorHAnsi" w:eastAsiaTheme="minorEastAsia" w:hAnsiTheme="minorHAnsi" w:cstheme="minorBidi"/>
          <w:color w:val="auto"/>
          <w:sz w:val="22"/>
          <w:szCs w:val="22"/>
          <w:lang w:eastAsia="en-US"/>
        </w:rPr>
      </w:pPr>
      <w:hyperlink w:anchor="_Toc471463217" w:history="1">
        <w:r w:rsidRPr="003F122F">
          <w:rPr>
            <w:rStyle w:val="Hyperlink"/>
            <w:color w:val="auto"/>
          </w:rPr>
          <w:t>VI.</w:t>
        </w:r>
        <w:r w:rsidRPr="003F122F">
          <w:rPr>
            <w:rFonts w:asciiTheme="minorHAnsi" w:eastAsiaTheme="minorEastAsia" w:hAnsiTheme="minorHAnsi" w:cstheme="minorBidi"/>
            <w:color w:val="auto"/>
            <w:sz w:val="22"/>
            <w:szCs w:val="22"/>
            <w:lang w:eastAsia="en-US"/>
          </w:rPr>
          <w:tab/>
        </w:r>
        <w:r w:rsidRPr="003F122F">
          <w:rPr>
            <w:rStyle w:val="Hyperlink"/>
            <w:color w:val="auto"/>
          </w:rPr>
          <w:t>COST OF EQUITY AND EQUITY IN CAPITAL STRUCTURE</w:t>
        </w:r>
        <w:r w:rsidRPr="003F122F">
          <w:rPr>
            <w:webHidden/>
            <w:color w:val="auto"/>
          </w:rPr>
          <w:tab/>
        </w:r>
        <w:r w:rsidRPr="003F122F">
          <w:rPr>
            <w:webHidden/>
            <w:color w:val="auto"/>
          </w:rPr>
          <w:fldChar w:fldCharType="begin"/>
        </w:r>
        <w:r w:rsidRPr="003F122F">
          <w:rPr>
            <w:webHidden/>
            <w:color w:val="auto"/>
          </w:rPr>
          <w:instrText xml:space="preserve"> PAGEREF _Toc471463217 \h </w:instrText>
        </w:r>
        <w:r w:rsidRPr="003F122F">
          <w:rPr>
            <w:webHidden/>
            <w:color w:val="auto"/>
          </w:rPr>
        </w:r>
        <w:r w:rsidRPr="003F122F">
          <w:rPr>
            <w:webHidden/>
            <w:color w:val="auto"/>
          </w:rPr>
          <w:fldChar w:fldCharType="separate"/>
        </w:r>
        <w:r w:rsidRPr="003F122F">
          <w:rPr>
            <w:webHidden/>
            <w:color w:val="auto"/>
          </w:rPr>
          <w:t>34</w:t>
        </w:r>
        <w:r w:rsidRPr="003F122F">
          <w:rPr>
            <w:webHidden/>
            <w:color w:val="auto"/>
          </w:rPr>
          <w:fldChar w:fldCharType="end"/>
        </w:r>
      </w:hyperlink>
    </w:p>
    <w:p w:rsidR="003F122F" w:rsidRPr="003F122F" w:rsidRDefault="003F122F">
      <w:pPr>
        <w:pStyle w:val="TOC1"/>
        <w:rPr>
          <w:rFonts w:asciiTheme="minorHAnsi" w:eastAsiaTheme="minorEastAsia" w:hAnsiTheme="minorHAnsi" w:cstheme="minorBidi"/>
          <w:color w:val="auto"/>
          <w:sz w:val="22"/>
          <w:szCs w:val="22"/>
          <w:lang w:eastAsia="en-US"/>
        </w:rPr>
      </w:pPr>
      <w:hyperlink w:anchor="_Toc471463218" w:history="1">
        <w:r w:rsidRPr="003F122F">
          <w:rPr>
            <w:rStyle w:val="Hyperlink"/>
            <w:color w:val="auto"/>
          </w:rPr>
          <w:t>VII.</w:t>
        </w:r>
        <w:r w:rsidRPr="003F122F">
          <w:rPr>
            <w:rFonts w:asciiTheme="minorHAnsi" w:eastAsiaTheme="minorEastAsia" w:hAnsiTheme="minorHAnsi" w:cstheme="minorBidi"/>
            <w:color w:val="auto"/>
            <w:sz w:val="22"/>
            <w:szCs w:val="22"/>
            <w:lang w:eastAsia="en-US"/>
          </w:rPr>
          <w:tab/>
        </w:r>
        <w:r w:rsidRPr="003F122F">
          <w:rPr>
            <w:rStyle w:val="Hyperlink"/>
            <w:color w:val="auto"/>
          </w:rPr>
          <w:t>PROSPECTIVE TREATMENT OF COLSTRIP UNITS 1 &amp; 2 DECOMMISSIONING AND REMEDIATION COSTS</w:t>
        </w:r>
        <w:r w:rsidRPr="003F122F">
          <w:rPr>
            <w:webHidden/>
            <w:color w:val="auto"/>
          </w:rPr>
          <w:tab/>
        </w:r>
        <w:r w:rsidRPr="003F122F">
          <w:rPr>
            <w:webHidden/>
            <w:color w:val="auto"/>
          </w:rPr>
          <w:fldChar w:fldCharType="begin"/>
        </w:r>
        <w:r w:rsidRPr="003F122F">
          <w:rPr>
            <w:webHidden/>
            <w:color w:val="auto"/>
          </w:rPr>
          <w:instrText xml:space="preserve"> PAGEREF _Toc471463218 \h </w:instrText>
        </w:r>
        <w:r w:rsidRPr="003F122F">
          <w:rPr>
            <w:webHidden/>
            <w:color w:val="auto"/>
          </w:rPr>
        </w:r>
        <w:r w:rsidRPr="003F122F">
          <w:rPr>
            <w:webHidden/>
            <w:color w:val="auto"/>
          </w:rPr>
          <w:fldChar w:fldCharType="separate"/>
        </w:r>
        <w:r w:rsidRPr="003F122F">
          <w:rPr>
            <w:webHidden/>
            <w:color w:val="auto"/>
          </w:rPr>
          <w:t>41</w:t>
        </w:r>
        <w:r w:rsidRPr="003F122F">
          <w:rPr>
            <w:webHidden/>
            <w:color w:val="auto"/>
          </w:rPr>
          <w:fldChar w:fldCharType="end"/>
        </w:r>
      </w:hyperlink>
    </w:p>
    <w:p w:rsidR="003F122F" w:rsidRPr="003F122F" w:rsidRDefault="003F122F">
      <w:pPr>
        <w:pStyle w:val="TOC1"/>
        <w:rPr>
          <w:rFonts w:asciiTheme="minorHAnsi" w:eastAsiaTheme="minorEastAsia" w:hAnsiTheme="minorHAnsi" w:cstheme="minorBidi"/>
          <w:color w:val="auto"/>
          <w:sz w:val="22"/>
          <w:szCs w:val="22"/>
          <w:lang w:eastAsia="en-US"/>
        </w:rPr>
      </w:pPr>
      <w:hyperlink w:anchor="_Toc471463219" w:history="1">
        <w:r w:rsidRPr="003F122F">
          <w:rPr>
            <w:rStyle w:val="Hyperlink"/>
            <w:color w:val="auto"/>
          </w:rPr>
          <w:t>VIII.</w:t>
        </w:r>
        <w:r w:rsidRPr="003F122F">
          <w:rPr>
            <w:rFonts w:asciiTheme="minorHAnsi" w:eastAsiaTheme="minorEastAsia" w:hAnsiTheme="minorHAnsi" w:cstheme="minorBidi"/>
            <w:color w:val="auto"/>
            <w:sz w:val="22"/>
            <w:szCs w:val="22"/>
            <w:lang w:eastAsia="en-US"/>
          </w:rPr>
          <w:tab/>
        </w:r>
        <w:r w:rsidRPr="003F122F">
          <w:rPr>
            <w:rStyle w:val="Hyperlink"/>
            <w:color w:val="auto"/>
          </w:rPr>
          <w:t>CONCLUSION</w:t>
        </w:r>
        <w:r w:rsidRPr="003F122F">
          <w:rPr>
            <w:webHidden/>
            <w:color w:val="auto"/>
          </w:rPr>
          <w:tab/>
        </w:r>
        <w:r w:rsidRPr="003F122F">
          <w:rPr>
            <w:webHidden/>
            <w:color w:val="auto"/>
          </w:rPr>
          <w:fldChar w:fldCharType="begin"/>
        </w:r>
        <w:r w:rsidRPr="003F122F">
          <w:rPr>
            <w:webHidden/>
            <w:color w:val="auto"/>
          </w:rPr>
          <w:instrText xml:space="preserve"> PAGEREF _Toc471463219 \h </w:instrText>
        </w:r>
        <w:r w:rsidRPr="003F122F">
          <w:rPr>
            <w:webHidden/>
            <w:color w:val="auto"/>
          </w:rPr>
        </w:r>
        <w:r w:rsidRPr="003F122F">
          <w:rPr>
            <w:webHidden/>
            <w:color w:val="auto"/>
          </w:rPr>
          <w:fldChar w:fldCharType="separate"/>
        </w:r>
        <w:r w:rsidRPr="003F122F">
          <w:rPr>
            <w:webHidden/>
            <w:color w:val="auto"/>
          </w:rPr>
          <w:t>49</w:t>
        </w:r>
        <w:r w:rsidRPr="003F122F">
          <w:rPr>
            <w:webHidden/>
            <w:color w:val="auto"/>
          </w:rPr>
          <w:fldChar w:fldCharType="end"/>
        </w:r>
      </w:hyperlink>
    </w:p>
    <w:p w:rsidR="00F12DC2" w:rsidRPr="000109B4" w:rsidRDefault="00FC7A2F" w:rsidP="00FA5509">
      <w:pPr>
        <w:pStyle w:val="TOC1"/>
        <w:tabs>
          <w:tab w:val="clear" w:pos="8640"/>
          <w:tab w:val="clear" w:pos="9000"/>
          <w:tab w:val="left" w:leader="dot" w:pos="8280"/>
        </w:tabs>
        <w:spacing w:line="240" w:lineRule="auto"/>
        <w:rPr>
          <w:color w:val="auto"/>
        </w:rPr>
        <w:sectPr w:rsidR="00F12DC2" w:rsidRPr="000109B4" w:rsidSect="003E15A5">
          <w:headerReference w:type="default" r:id="rId17"/>
          <w:footerReference w:type="default" r:id="rId18"/>
          <w:footerReference w:type="first" r:id="rId19"/>
          <w:pgSz w:w="12240" w:h="15840" w:code="1"/>
          <w:pgMar w:top="1440" w:right="1440" w:bottom="1440" w:left="2160" w:header="864" w:footer="576" w:gutter="0"/>
          <w:pgNumType w:fmt="lowerRoman" w:start="1"/>
          <w:cols w:space="720"/>
        </w:sectPr>
      </w:pPr>
      <w:r w:rsidRPr="003F122F">
        <w:rPr>
          <w:color w:val="auto"/>
        </w:rPr>
        <w:fldChar w:fldCharType="end"/>
      </w:r>
    </w:p>
    <w:p w:rsidR="00517897" w:rsidRPr="00B06379" w:rsidRDefault="00517897" w:rsidP="00B06379">
      <w:pPr>
        <w:keepNext/>
        <w:spacing w:before="240" w:after="480"/>
        <w:jc w:val="center"/>
        <w:rPr>
          <w:rStyle w:val="Strong"/>
          <w:rFonts w:eastAsia="SimSun"/>
          <w:b w:val="0"/>
        </w:rPr>
      </w:pPr>
      <w:bookmarkStart w:id="6" w:name="_Toc117411518"/>
      <w:bookmarkStart w:id="7" w:name="_Toc125892215"/>
      <w:bookmarkStart w:id="8" w:name="_Toc126495831"/>
      <w:r w:rsidRPr="00EF16DB">
        <w:rPr>
          <w:rStyle w:val="Strong"/>
          <w:rFonts w:eastAsia="SimSun"/>
        </w:rPr>
        <w:lastRenderedPageBreak/>
        <w:t xml:space="preserve">PUGET </w:t>
      </w:r>
      <w:r w:rsidR="00B06379">
        <w:rPr>
          <w:rStyle w:val="Strong"/>
          <w:rFonts w:eastAsia="SimSun"/>
        </w:rPr>
        <w:t>SOUND ENERGY</w:t>
      </w:r>
    </w:p>
    <w:p w:rsidR="00FF01D1" w:rsidRPr="00C06DEC" w:rsidRDefault="00FF01D1" w:rsidP="00BF05CC">
      <w:pPr>
        <w:keepNext/>
        <w:spacing w:before="240" w:after="480"/>
        <w:jc w:val="center"/>
        <w:rPr>
          <w:rFonts w:eastAsia="SimSun"/>
        </w:rPr>
      </w:pPr>
      <w:bookmarkStart w:id="9" w:name="_Toc161487050"/>
      <w:bookmarkStart w:id="10" w:name="_Toc162007393"/>
      <w:bookmarkStart w:id="11" w:name="_Toc181442358"/>
      <w:bookmarkStart w:id="12" w:name="_Toc179284150"/>
      <w:bookmarkStart w:id="13" w:name="_Toc182774604"/>
      <w:proofErr w:type="spellStart"/>
      <w:r w:rsidRPr="00EF16DB">
        <w:rPr>
          <w:rStyle w:val="Strong"/>
          <w:rFonts w:eastAsia="SimSun"/>
        </w:rPr>
        <w:t>PREFILED</w:t>
      </w:r>
      <w:proofErr w:type="spellEnd"/>
      <w:r w:rsidRPr="00EF16DB">
        <w:rPr>
          <w:rStyle w:val="Strong"/>
          <w:rFonts w:eastAsia="SimSun"/>
        </w:rPr>
        <w:t xml:space="preserve">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w:t>
      </w:r>
      <w:proofErr w:type="spellStart"/>
      <w:r w:rsidR="00583357">
        <w:rPr>
          <w:rFonts w:eastAsia="SimSun"/>
          <w:b/>
          <w:color w:val="000000"/>
        </w:rPr>
        <w:t>NON</w:t>
      </w:r>
      <w:r w:rsidRPr="00EF16DB">
        <w:rPr>
          <w:rFonts w:eastAsia="SimSun"/>
          <w:b/>
          <w:color w:val="000000"/>
        </w:rPr>
        <w:t>CONFIDENTIAL</w:t>
      </w:r>
      <w:proofErr w:type="spellEnd"/>
      <w:r w:rsidRPr="00EF16DB">
        <w:rPr>
          <w:rFonts w:eastAsia="SimSun"/>
          <w:b/>
          <w:color w:val="000000"/>
        </w:rPr>
        <w:t xml:space="preserve">) </w:t>
      </w:r>
      <w:r w:rsidRPr="00EF16DB">
        <w:rPr>
          <w:rStyle w:val="Strong"/>
          <w:rFonts w:eastAsia="SimSun"/>
        </w:rPr>
        <w:t>OF</w:t>
      </w:r>
      <w:r w:rsidRPr="00EF16DB">
        <w:rPr>
          <w:rStyle w:val="Strong"/>
          <w:rFonts w:eastAsia="SimSun"/>
          <w:b w:val="0"/>
        </w:rPr>
        <w:br/>
      </w:r>
      <w:r w:rsidR="00B06379">
        <w:rPr>
          <w:b/>
          <w:color w:val="000000"/>
        </w:rPr>
        <w:t>DANIEL A. DOYLE</w:t>
      </w:r>
    </w:p>
    <w:p w:rsidR="00290C67" w:rsidRDefault="00290C67" w:rsidP="00BF05CC">
      <w:pPr>
        <w:pStyle w:val="Heading1"/>
      </w:pPr>
      <w:bookmarkStart w:id="14" w:name="_Toc126768441"/>
      <w:bookmarkStart w:id="15" w:name="_Toc143679892"/>
      <w:bookmarkStart w:id="16" w:name="_Toc471463212"/>
      <w:bookmarkEnd w:id="6"/>
      <w:bookmarkEnd w:id="7"/>
      <w:bookmarkEnd w:id="8"/>
      <w:bookmarkEnd w:id="9"/>
      <w:bookmarkEnd w:id="10"/>
      <w:bookmarkEnd w:id="11"/>
      <w:bookmarkEnd w:id="12"/>
      <w:bookmarkEnd w:id="13"/>
      <w:r>
        <w:t>I.</w:t>
      </w:r>
      <w:r>
        <w:tab/>
        <w:t>INTRODUCTION</w:t>
      </w:r>
      <w:bookmarkEnd w:id="16"/>
    </w:p>
    <w:p w:rsidR="00537488" w:rsidRPr="00537488" w:rsidRDefault="00537488" w:rsidP="00D41353">
      <w:pPr>
        <w:pStyle w:val="question"/>
      </w:pPr>
      <w:r w:rsidRPr="00537488">
        <w:t>Q.</w:t>
      </w:r>
      <w:r w:rsidRPr="00537488">
        <w:tab/>
        <w:t xml:space="preserve">Please state your name, business address, and position with Puget Sound </w:t>
      </w:r>
      <w:r w:rsidR="00B06379">
        <w:t>Energy</w:t>
      </w:r>
      <w:r w:rsidRPr="00537488">
        <w:t>.</w:t>
      </w:r>
    </w:p>
    <w:p w:rsidR="00537488" w:rsidRPr="00537488" w:rsidRDefault="00537488" w:rsidP="00240442">
      <w:pPr>
        <w:pStyle w:val="answer"/>
      </w:pPr>
      <w:r w:rsidRPr="00537488">
        <w:t>A.</w:t>
      </w:r>
      <w:r w:rsidRPr="00537488">
        <w:tab/>
        <w:t xml:space="preserve">My name is </w:t>
      </w:r>
      <w:r w:rsidR="00B4652C">
        <w:t>Dan</w:t>
      </w:r>
      <w:r w:rsidR="002A3233">
        <w:t>iel</w:t>
      </w:r>
      <w:r w:rsidR="00B4652C">
        <w:t xml:space="preserve"> </w:t>
      </w:r>
      <w:r w:rsidRPr="00537488">
        <w:t xml:space="preserve">A. </w:t>
      </w:r>
      <w:r w:rsidR="00B4652C">
        <w:t>Doyle</w:t>
      </w:r>
      <w:r w:rsidRPr="00537488">
        <w:t>.</w:t>
      </w:r>
      <w:r w:rsidR="00095BA3">
        <w:t xml:space="preserve"> </w:t>
      </w:r>
      <w:r w:rsidRPr="00537488">
        <w:t>My business address is 10885 NE Fourth Street, P.O. Box 97034, Bellevue, WA 98009-9734.</w:t>
      </w:r>
      <w:r w:rsidR="00095BA3">
        <w:t xml:space="preserve"> </w:t>
      </w:r>
      <w:r w:rsidRPr="00537488">
        <w:t xml:space="preserve">I am </w:t>
      </w:r>
      <w:r w:rsidR="001951AB">
        <w:t xml:space="preserve">Senior Vice President and </w:t>
      </w:r>
      <w:r w:rsidR="00B4652C">
        <w:t xml:space="preserve">Chief Financial Officer of </w:t>
      </w:r>
      <w:r w:rsidR="00B06379">
        <w:t>Puget Sound Energy</w:t>
      </w:r>
      <w:r w:rsidRPr="00537488">
        <w:t xml:space="preserve"> (</w:t>
      </w:r>
      <w:r w:rsidR="0081012B">
        <w:t>“</w:t>
      </w:r>
      <w:r w:rsidRPr="00537488">
        <w:t>PSE</w:t>
      </w:r>
      <w:r w:rsidR="0081012B">
        <w:t>”</w:t>
      </w:r>
      <w:r w:rsidRPr="00537488">
        <w:t>).</w:t>
      </w:r>
    </w:p>
    <w:p w:rsidR="00537488" w:rsidRPr="00537488" w:rsidRDefault="00537488" w:rsidP="00D41353">
      <w:pPr>
        <w:pStyle w:val="question"/>
      </w:pPr>
      <w:r w:rsidRPr="00537488">
        <w:t>Q.</w:t>
      </w:r>
      <w:r w:rsidRPr="00537488">
        <w:tab/>
        <w:t>Have you prepared an exhibit describing your education, relevant employment experience, and other professional qualifications?</w:t>
      </w:r>
    </w:p>
    <w:p w:rsidR="00537488" w:rsidRPr="00537488" w:rsidRDefault="00DF4828" w:rsidP="00240442">
      <w:pPr>
        <w:pStyle w:val="answer"/>
      </w:pPr>
      <w:r>
        <w:t>A.</w:t>
      </w:r>
      <w:r>
        <w:tab/>
        <w:t>Yes</w:t>
      </w:r>
      <w:r w:rsidR="00537488" w:rsidRPr="00537488">
        <w:t>.</w:t>
      </w:r>
      <w:r w:rsidR="00095BA3">
        <w:t xml:space="preserve"> </w:t>
      </w:r>
      <w:r w:rsidR="00537488" w:rsidRPr="00537488">
        <w:t>It is Exhibit No. ___</w:t>
      </w:r>
      <w:r w:rsidR="00B4652C">
        <w:t>(D</w:t>
      </w:r>
      <w:r w:rsidR="00537488" w:rsidRPr="00537488">
        <w:t>AD-2).</w:t>
      </w:r>
      <w:r w:rsidR="00A275BF">
        <w:t xml:space="preserve"> </w:t>
      </w:r>
      <w:r w:rsidR="0050315D">
        <w:t>This exhibit also describes my duties as PSE’s Chief Financial Officer.</w:t>
      </w:r>
    </w:p>
    <w:p w:rsidR="00537488" w:rsidRPr="00D41353" w:rsidRDefault="00537488" w:rsidP="00D41353">
      <w:pPr>
        <w:pStyle w:val="question"/>
      </w:pPr>
      <w:r w:rsidRPr="00D41353">
        <w:t>Q.</w:t>
      </w:r>
      <w:r w:rsidRPr="00D41353">
        <w:tab/>
        <w:t>What has prompted PSE to file a general rate case at this time?</w:t>
      </w:r>
    </w:p>
    <w:p w:rsidR="009276E8" w:rsidRDefault="00537488" w:rsidP="009276E8">
      <w:pPr>
        <w:pStyle w:val="answer"/>
      </w:pPr>
      <w:r w:rsidRPr="00537488">
        <w:t>A.</w:t>
      </w:r>
      <w:r w:rsidRPr="00537488">
        <w:tab/>
        <w:t>In Order 07 in Docket No. UE-121697, footnote 9, the Commission required PSE to file a general rate case (</w:t>
      </w:r>
      <w:r w:rsidR="0081012B">
        <w:t>“</w:t>
      </w:r>
      <w:proofErr w:type="spellStart"/>
      <w:r w:rsidRPr="00537488">
        <w:t>GRC</w:t>
      </w:r>
      <w:proofErr w:type="spellEnd"/>
      <w:r w:rsidR="0081012B">
        <w:t>”</w:t>
      </w:r>
      <w:r w:rsidRPr="00537488">
        <w:t>) no sooner than April 1, 2015, and no later than April 1, 2016.</w:t>
      </w:r>
      <w:r w:rsidR="00095BA3">
        <w:t xml:space="preserve"> </w:t>
      </w:r>
      <w:r w:rsidRPr="00537488">
        <w:t>In that order, the Commission stated as follows:</w:t>
      </w:r>
    </w:p>
    <w:p w:rsidR="009276E8" w:rsidRDefault="00537488" w:rsidP="009F3BFB">
      <w:pPr>
        <w:pStyle w:val="answer"/>
        <w:spacing w:before="0" w:after="280" w:line="240" w:lineRule="auto"/>
        <w:ind w:left="1440" w:right="720" w:firstLine="0"/>
        <w:jc w:val="both"/>
      </w:pPr>
      <w:r w:rsidRPr="00537488">
        <w:t>The mechanism will remain in place, at a minimum, until the effective date of new rates set in PSE</w:t>
      </w:r>
      <w:r w:rsidR="00095BA3">
        <w:t>’</w:t>
      </w:r>
      <w:r w:rsidRPr="00537488">
        <w:t>s next general rate case. PSE will file a general rate case no sooner than April 1, 2015, and no later than April 1, 2016, unless otherwise agreed to by the parties to PSE</w:t>
      </w:r>
      <w:r w:rsidR="00095BA3">
        <w:t>’</w:t>
      </w:r>
      <w:r w:rsidRPr="00537488">
        <w:t>s last general rate case.</w:t>
      </w:r>
      <w:r w:rsidR="00A275BF">
        <w:rPr>
          <w:rStyle w:val="FootnoteReference"/>
        </w:rPr>
        <w:footnoteReference w:id="1"/>
      </w:r>
    </w:p>
    <w:p w:rsidR="003A7267" w:rsidRPr="009276E8" w:rsidRDefault="00A275BF" w:rsidP="009D6190">
      <w:pPr>
        <w:pStyle w:val="answer"/>
        <w:ind w:firstLine="0"/>
      </w:pPr>
      <w:r w:rsidRPr="00A275BF">
        <w:lastRenderedPageBreak/>
        <w:t>After a hearing on a motion to amend Order</w:t>
      </w:r>
      <w:r>
        <w:t> </w:t>
      </w:r>
      <w:r w:rsidRPr="00A275BF">
        <w:t>07</w:t>
      </w:r>
      <w:r>
        <w:t>, h</w:t>
      </w:r>
      <w:r w:rsidR="00452721">
        <w:t xml:space="preserve">owever, the </w:t>
      </w:r>
      <w:r>
        <w:t>C</w:t>
      </w:r>
      <w:r w:rsidR="00452721">
        <w:t>ommission</w:t>
      </w:r>
      <w:r w:rsidR="003A7267">
        <w:t xml:space="preserve">, </w:t>
      </w:r>
      <w:r w:rsidR="002F2969">
        <w:t>i</w:t>
      </w:r>
      <w:r w:rsidR="003A7267">
        <w:t xml:space="preserve">n its </w:t>
      </w:r>
      <w:r>
        <w:t>N</w:t>
      </w:r>
      <w:r w:rsidR="003A7267">
        <w:t xml:space="preserve">otice of </w:t>
      </w:r>
      <w:r>
        <w:t>A</w:t>
      </w:r>
      <w:r w:rsidR="003A7267">
        <w:t>ction dated March 17, 2016, relieved PSE of its obligation under Order</w:t>
      </w:r>
      <w:r>
        <w:t> </w:t>
      </w:r>
      <w:r w:rsidR="003A7267">
        <w:t xml:space="preserve">07 to file a general rate case by April 1, 2016, and instead, required the general rate case </w:t>
      </w:r>
      <w:r w:rsidR="00E734EA">
        <w:t xml:space="preserve">to </w:t>
      </w:r>
      <w:r w:rsidR="003A7267">
        <w:t>be filed n</w:t>
      </w:r>
      <w:r>
        <w:t>o later than January 17, 2017.</w:t>
      </w:r>
    </w:p>
    <w:p w:rsidR="00537488" w:rsidRPr="00537488" w:rsidRDefault="00537488" w:rsidP="00D41353">
      <w:pPr>
        <w:pStyle w:val="question"/>
      </w:pPr>
      <w:r w:rsidRPr="00537488">
        <w:t>Q.</w:t>
      </w:r>
      <w:r w:rsidRPr="00537488">
        <w:tab/>
        <w:t xml:space="preserve">What is the nature of your </w:t>
      </w:r>
      <w:proofErr w:type="spellStart"/>
      <w:r w:rsidRPr="00537488">
        <w:t>prefiled</w:t>
      </w:r>
      <w:proofErr w:type="spellEnd"/>
      <w:r w:rsidRPr="00537488">
        <w:t xml:space="preserve"> direct testimony in this proceeding?</w:t>
      </w:r>
    </w:p>
    <w:p w:rsidR="00537488" w:rsidRDefault="00537488" w:rsidP="00240442">
      <w:pPr>
        <w:pStyle w:val="answer"/>
      </w:pPr>
      <w:r w:rsidRPr="00537488">
        <w:t>A.</w:t>
      </w:r>
      <w:r w:rsidRPr="00537488">
        <w:tab/>
      </w:r>
      <w:r w:rsidR="002F2969">
        <w:t xml:space="preserve">My </w:t>
      </w:r>
      <w:proofErr w:type="spellStart"/>
      <w:r w:rsidRPr="00537488">
        <w:t>prefiled</w:t>
      </w:r>
      <w:proofErr w:type="spellEnd"/>
      <w:r w:rsidRPr="00537488">
        <w:t xml:space="preserve"> direct testimony </w:t>
      </w:r>
      <w:r w:rsidR="00F860AC">
        <w:t>discusses the results of decoupling, the earnings sharing mechanism, the expedited rate filing,</w:t>
      </w:r>
      <w:r w:rsidR="00712607">
        <w:t xml:space="preserve"> and annual </w:t>
      </w:r>
      <w:r w:rsidR="00821FFC">
        <w:t>K-factor increases</w:t>
      </w:r>
      <w:r w:rsidR="00712607">
        <w:t xml:space="preserve"> </w:t>
      </w:r>
      <w:r w:rsidR="00F860AC">
        <w:t>since t</w:t>
      </w:r>
      <w:r w:rsidR="004A445B">
        <w:t xml:space="preserve">hey were instituted in July of </w:t>
      </w:r>
      <w:r w:rsidR="00A275BF">
        <w:t xml:space="preserve">2013. </w:t>
      </w:r>
      <w:r w:rsidR="00F860AC">
        <w:t xml:space="preserve">It also </w:t>
      </w:r>
      <w:r w:rsidRPr="00537488">
        <w:t xml:space="preserve">addresses </w:t>
      </w:r>
      <w:r w:rsidR="00F860AC">
        <w:t>cost of equity</w:t>
      </w:r>
      <w:r w:rsidR="002F2969">
        <w:t>, equity in the capital structure,</w:t>
      </w:r>
      <w:r w:rsidR="004A445B">
        <w:t xml:space="preserve"> </w:t>
      </w:r>
      <w:r w:rsidR="001951AB">
        <w:t xml:space="preserve">certain </w:t>
      </w:r>
      <w:r w:rsidR="00A57092">
        <w:t xml:space="preserve">cost management and </w:t>
      </w:r>
      <w:r w:rsidR="00654566">
        <w:t>efficiency</w:t>
      </w:r>
      <w:r w:rsidR="00A57092">
        <w:t xml:space="preserve"> efforts at PSE</w:t>
      </w:r>
      <w:r w:rsidR="00A275BF">
        <w:t>,</w:t>
      </w:r>
      <w:r w:rsidR="008D0084">
        <w:t xml:space="preserve"> and certain aspects of </w:t>
      </w:r>
      <w:r w:rsidR="00A275BF">
        <w:t xml:space="preserve">PSE’s </w:t>
      </w:r>
      <w:r w:rsidR="008D0084">
        <w:t xml:space="preserve">decommissioning and remediation proposals as they pertain to the shutdown of Colstrip </w:t>
      </w:r>
      <w:r w:rsidR="00A275BF">
        <w:t>U</w:t>
      </w:r>
      <w:r w:rsidR="008D0084">
        <w:t>nits</w:t>
      </w:r>
      <w:r w:rsidR="00A275BF">
        <w:t> </w:t>
      </w:r>
      <w:r w:rsidR="008D0084">
        <w:t>1 &amp; 2</w:t>
      </w:r>
      <w:r w:rsidR="00F860AC">
        <w:t>.</w:t>
      </w:r>
    </w:p>
    <w:p w:rsidR="00D97E7C" w:rsidRPr="00B06379" w:rsidRDefault="00D97E7C" w:rsidP="00B06379">
      <w:pPr>
        <w:pStyle w:val="Heading1"/>
      </w:pPr>
      <w:bookmarkStart w:id="17" w:name="_Toc471463213"/>
      <w:r>
        <w:t>II.</w:t>
      </w:r>
      <w:r w:rsidR="00B06379">
        <w:tab/>
      </w:r>
      <w:r>
        <w:t xml:space="preserve">SUMMARY OF THE </w:t>
      </w:r>
      <w:r w:rsidR="00EF5C6F">
        <w:t>RATE PLAN</w:t>
      </w:r>
      <w:bookmarkEnd w:id="17"/>
    </w:p>
    <w:p w:rsidR="00A275BF" w:rsidRPr="00537488" w:rsidRDefault="00A275BF" w:rsidP="00A275BF">
      <w:pPr>
        <w:pStyle w:val="question"/>
      </w:pPr>
      <w:r w:rsidRPr="00537488">
        <w:t>Q.</w:t>
      </w:r>
      <w:r w:rsidRPr="00537488">
        <w:tab/>
      </w:r>
      <w:r>
        <w:t xml:space="preserve">Please summarize the series of orders </w:t>
      </w:r>
      <w:r w:rsidR="0089057D">
        <w:t>issued by the Commission in 2013 that created PSE’s rate plan.</w:t>
      </w:r>
    </w:p>
    <w:p w:rsidR="0089057D" w:rsidRPr="009D6190" w:rsidRDefault="0089057D" w:rsidP="0089057D">
      <w:pPr>
        <w:pStyle w:val="answer"/>
      </w:pPr>
      <w:r>
        <w:t>A.</w:t>
      </w:r>
      <w:r>
        <w:tab/>
        <w:t>I</w:t>
      </w:r>
      <w:r w:rsidRPr="0089057D">
        <w:t>n 2013</w:t>
      </w:r>
      <w:r>
        <w:t>,</w:t>
      </w:r>
      <w:r w:rsidRPr="0089057D">
        <w:t xml:space="preserve"> the </w:t>
      </w:r>
      <w:r>
        <w:t>C</w:t>
      </w:r>
      <w:r w:rsidRPr="0089057D">
        <w:t xml:space="preserve">ommission approved a series of orders that provided and approved </w:t>
      </w:r>
      <w:r>
        <w:t>the following new and innovative mechanisms for PSE that constituted the rate plan: (i) </w:t>
      </w:r>
      <w:r w:rsidRPr="0089057D">
        <w:t>a decoupling mechanism</w:t>
      </w:r>
      <w:r>
        <w:t>;</w:t>
      </w:r>
      <w:r w:rsidRPr="0089057D">
        <w:t xml:space="preserve"> </w:t>
      </w:r>
      <w:r>
        <w:t>(ii) </w:t>
      </w:r>
      <w:r w:rsidRPr="0089057D">
        <w:t>a net rate increase resulting from an expedited rate filing</w:t>
      </w:r>
      <w:r>
        <w:t>;</w:t>
      </w:r>
      <w:r w:rsidRPr="0089057D">
        <w:t xml:space="preserve"> </w:t>
      </w:r>
      <w:r>
        <w:t>(iii) </w:t>
      </w:r>
      <w:r w:rsidRPr="0089057D">
        <w:t>annual</w:t>
      </w:r>
      <w:r>
        <w:t xml:space="preserve"> K-</w:t>
      </w:r>
      <w:r w:rsidRPr="0089057D">
        <w:t xml:space="preserve">factor increases of 3% and 2.2% for electric and gas </w:t>
      </w:r>
      <w:r w:rsidR="0027497A">
        <w:t>delivery</w:t>
      </w:r>
      <w:r w:rsidRPr="0089057D">
        <w:t>, respectively</w:t>
      </w:r>
      <w:r>
        <w:t xml:space="preserve">; </w:t>
      </w:r>
      <w:r w:rsidRPr="0089057D">
        <w:t xml:space="preserve">and </w:t>
      </w:r>
      <w:r>
        <w:t>(iv) </w:t>
      </w:r>
      <w:r w:rsidRPr="0089057D">
        <w:t>an earnings sharing mechanism.</w:t>
      </w:r>
    </w:p>
    <w:p w:rsidR="000451EF" w:rsidRPr="00B06379" w:rsidRDefault="00D97E7C" w:rsidP="00B06379">
      <w:pPr>
        <w:pStyle w:val="question"/>
      </w:pPr>
      <w:r>
        <w:lastRenderedPageBreak/>
        <w:t>Q.</w:t>
      </w:r>
      <w:r>
        <w:tab/>
      </w:r>
      <w:r w:rsidR="0089057D">
        <w:t>H</w:t>
      </w:r>
      <w:r w:rsidR="000451EF">
        <w:t xml:space="preserve">ow </w:t>
      </w:r>
      <w:r w:rsidR="0089057D">
        <w:t xml:space="preserve">have </w:t>
      </w:r>
      <w:r w:rsidR="000451EF">
        <w:t xml:space="preserve">these </w:t>
      </w:r>
      <w:r w:rsidR="0089057D">
        <w:t xml:space="preserve">mechanisms </w:t>
      </w:r>
      <w:r w:rsidR="000451EF">
        <w:t>operated</w:t>
      </w:r>
      <w:r w:rsidR="00F20CC8">
        <w:t xml:space="preserve"> </w:t>
      </w:r>
      <w:r w:rsidR="000451EF">
        <w:t>in practice</w:t>
      </w:r>
      <w:r w:rsidR="00F20CC8">
        <w:t xml:space="preserve">, both individually and </w:t>
      </w:r>
      <w:r w:rsidR="0089057D">
        <w:t>collectively?</w:t>
      </w:r>
    </w:p>
    <w:p w:rsidR="0089057D" w:rsidRPr="009D6190" w:rsidRDefault="000451EF" w:rsidP="009276E8">
      <w:pPr>
        <w:pStyle w:val="answer"/>
      </w:pPr>
      <w:r>
        <w:t>A.</w:t>
      </w:r>
      <w:r>
        <w:tab/>
      </w:r>
      <w:r w:rsidR="0089057D">
        <w:t xml:space="preserve">The series of orders issued by the Commission that constitute PSE’s rate plan resulted in each of the following financial </w:t>
      </w:r>
      <w:r w:rsidR="00F20CC8">
        <w:t xml:space="preserve">results over </w:t>
      </w:r>
      <w:r w:rsidR="00712607">
        <w:t>the past</w:t>
      </w:r>
      <w:r w:rsidR="0089057D">
        <w:t xml:space="preserve"> years:</w:t>
      </w:r>
    </w:p>
    <w:p w:rsidR="0089057D" w:rsidRDefault="00CE0D95" w:rsidP="0089057D">
      <w:pPr>
        <w:pStyle w:val="answer"/>
        <w:spacing w:before="0" w:after="280" w:line="240" w:lineRule="auto"/>
        <w:ind w:left="2160" w:right="720"/>
        <w:rPr>
          <w:rFonts w:eastAsiaTheme="minorHAnsi"/>
        </w:rPr>
      </w:pPr>
      <w:r>
        <w:rPr>
          <w:rFonts w:eastAsiaTheme="minorHAnsi"/>
        </w:rPr>
        <w:t>(</w:t>
      </w:r>
      <w:r w:rsidR="0089057D">
        <w:rPr>
          <w:rFonts w:eastAsiaTheme="minorHAnsi"/>
        </w:rPr>
        <w:t>i</w:t>
      </w:r>
      <w:r>
        <w:rPr>
          <w:rFonts w:eastAsiaTheme="minorHAnsi"/>
        </w:rPr>
        <w:t>)</w:t>
      </w:r>
      <w:r w:rsidR="0089057D">
        <w:rPr>
          <w:rFonts w:eastAsiaTheme="minorHAnsi"/>
        </w:rPr>
        <w:tab/>
      </w:r>
      <w:r>
        <w:rPr>
          <w:rFonts w:eastAsiaTheme="minorHAnsi"/>
        </w:rPr>
        <w:t>an approximate $30</w:t>
      </w:r>
      <w:r w:rsidR="0089057D">
        <w:rPr>
          <w:rFonts w:eastAsiaTheme="minorHAnsi"/>
        </w:rPr>
        <w:t> </w:t>
      </w:r>
      <w:r>
        <w:rPr>
          <w:rFonts w:eastAsiaTheme="minorHAnsi"/>
        </w:rPr>
        <w:t xml:space="preserve">million </w:t>
      </w:r>
      <w:r w:rsidR="001C12D9">
        <w:rPr>
          <w:rFonts w:eastAsiaTheme="minorHAnsi"/>
        </w:rPr>
        <w:t>net</w:t>
      </w:r>
      <w:r w:rsidR="003629CE">
        <w:rPr>
          <w:rFonts w:eastAsiaTheme="minorHAnsi"/>
        </w:rPr>
        <w:t xml:space="preserve"> electric and gas</w:t>
      </w:r>
      <w:r w:rsidR="001C12D9">
        <w:rPr>
          <w:rFonts w:eastAsiaTheme="minorHAnsi"/>
        </w:rPr>
        <w:t xml:space="preserve"> </w:t>
      </w:r>
      <w:r>
        <w:rPr>
          <w:rFonts w:eastAsiaTheme="minorHAnsi"/>
        </w:rPr>
        <w:t>rate increase from the expedited rate filing in July 2013;</w:t>
      </w:r>
    </w:p>
    <w:p w:rsidR="0089057D" w:rsidRDefault="00CE0D95" w:rsidP="0089057D">
      <w:pPr>
        <w:pStyle w:val="answer"/>
        <w:spacing w:before="0" w:after="280" w:line="240" w:lineRule="auto"/>
        <w:ind w:left="2160" w:right="720"/>
        <w:rPr>
          <w:rFonts w:eastAsiaTheme="minorHAnsi"/>
        </w:rPr>
      </w:pPr>
      <w:r>
        <w:rPr>
          <w:rFonts w:eastAsiaTheme="minorHAnsi"/>
        </w:rPr>
        <w:t>(</w:t>
      </w:r>
      <w:r w:rsidR="0089057D">
        <w:rPr>
          <w:rFonts w:eastAsiaTheme="minorHAnsi"/>
        </w:rPr>
        <w:t>ii</w:t>
      </w:r>
      <w:r>
        <w:rPr>
          <w:rFonts w:eastAsiaTheme="minorHAnsi"/>
        </w:rPr>
        <w:t>)</w:t>
      </w:r>
      <w:r w:rsidR="0089057D">
        <w:rPr>
          <w:rFonts w:eastAsiaTheme="minorHAnsi"/>
        </w:rPr>
        <w:tab/>
      </w:r>
      <w:r w:rsidR="00642DA5">
        <w:rPr>
          <w:rFonts w:eastAsiaTheme="minorHAnsi"/>
        </w:rPr>
        <w:t>annual K-factor increases to delivery revenues of 3.0% for electric and 2.2% for gas in July</w:t>
      </w:r>
      <w:r w:rsidR="009F3BFB">
        <w:rPr>
          <w:rFonts w:eastAsiaTheme="minorHAnsi"/>
        </w:rPr>
        <w:t> </w:t>
      </w:r>
      <w:r w:rsidR="00642DA5">
        <w:rPr>
          <w:rFonts w:eastAsiaTheme="minorHAnsi"/>
        </w:rPr>
        <w:t>2013, January</w:t>
      </w:r>
      <w:r w:rsidR="009F3BFB">
        <w:rPr>
          <w:rFonts w:eastAsiaTheme="minorHAnsi"/>
        </w:rPr>
        <w:t> </w:t>
      </w:r>
      <w:r w:rsidR="00642DA5">
        <w:rPr>
          <w:rFonts w:eastAsiaTheme="minorHAnsi"/>
        </w:rPr>
        <w:t>2014, January</w:t>
      </w:r>
      <w:r w:rsidR="009F3BFB">
        <w:rPr>
          <w:rFonts w:eastAsiaTheme="minorHAnsi"/>
        </w:rPr>
        <w:t> </w:t>
      </w:r>
      <w:r w:rsidR="00642DA5">
        <w:rPr>
          <w:rFonts w:eastAsiaTheme="minorHAnsi"/>
        </w:rPr>
        <w:t>2015, January</w:t>
      </w:r>
      <w:r w:rsidR="009F3BFB">
        <w:rPr>
          <w:rFonts w:eastAsiaTheme="minorHAnsi"/>
        </w:rPr>
        <w:t> </w:t>
      </w:r>
      <w:r w:rsidR="00642DA5">
        <w:rPr>
          <w:rFonts w:eastAsiaTheme="minorHAnsi"/>
        </w:rPr>
        <w:t>2016</w:t>
      </w:r>
      <w:r w:rsidR="003629CE">
        <w:rPr>
          <w:rFonts w:eastAsiaTheme="minorHAnsi"/>
        </w:rPr>
        <w:t xml:space="preserve">, </w:t>
      </w:r>
      <w:r w:rsidR="0089057D">
        <w:rPr>
          <w:rFonts w:eastAsiaTheme="minorHAnsi"/>
        </w:rPr>
        <w:t xml:space="preserve">and </w:t>
      </w:r>
      <w:r w:rsidR="003629CE">
        <w:rPr>
          <w:rFonts w:eastAsiaTheme="minorHAnsi"/>
        </w:rPr>
        <w:t>January</w:t>
      </w:r>
      <w:r w:rsidR="009F3BFB">
        <w:rPr>
          <w:rFonts w:eastAsiaTheme="minorHAnsi"/>
        </w:rPr>
        <w:t> </w:t>
      </w:r>
      <w:r w:rsidR="003629CE">
        <w:rPr>
          <w:rFonts w:eastAsiaTheme="minorHAnsi"/>
        </w:rPr>
        <w:t>2017</w:t>
      </w:r>
      <w:r w:rsidR="002E466E">
        <w:rPr>
          <w:rFonts w:eastAsiaTheme="minorHAnsi"/>
        </w:rPr>
        <w:t>; and</w:t>
      </w:r>
    </w:p>
    <w:p w:rsidR="0089057D" w:rsidRDefault="001C12D9" w:rsidP="0089057D">
      <w:pPr>
        <w:pStyle w:val="answer"/>
        <w:spacing w:before="0" w:after="280" w:line="240" w:lineRule="auto"/>
        <w:ind w:left="2160" w:right="720"/>
        <w:rPr>
          <w:rFonts w:eastAsiaTheme="minorHAnsi"/>
        </w:rPr>
      </w:pPr>
      <w:r>
        <w:rPr>
          <w:rFonts w:eastAsiaTheme="minorHAnsi"/>
        </w:rPr>
        <w:t>(</w:t>
      </w:r>
      <w:r w:rsidR="0027497A">
        <w:rPr>
          <w:rFonts w:eastAsiaTheme="minorHAnsi"/>
        </w:rPr>
        <w:t>iii</w:t>
      </w:r>
      <w:r>
        <w:rPr>
          <w:rFonts w:eastAsiaTheme="minorHAnsi"/>
        </w:rPr>
        <w:t>)</w:t>
      </w:r>
      <w:r w:rsidR="0089057D">
        <w:rPr>
          <w:rFonts w:eastAsiaTheme="minorHAnsi"/>
        </w:rPr>
        <w:tab/>
      </w:r>
      <w:r w:rsidR="006C3E2D">
        <w:rPr>
          <w:rFonts w:eastAsiaTheme="minorHAnsi"/>
        </w:rPr>
        <w:t xml:space="preserve">the </w:t>
      </w:r>
      <w:r>
        <w:rPr>
          <w:rFonts w:eastAsiaTheme="minorHAnsi"/>
        </w:rPr>
        <w:t>recogni</w:t>
      </w:r>
      <w:r w:rsidR="006C3E2D">
        <w:rPr>
          <w:rFonts w:eastAsiaTheme="minorHAnsi"/>
        </w:rPr>
        <w:t>tion</w:t>
      </w:r>
      <w:r>
        <w:rPr>
          <w:rFonts w:eastAsiaTheme="minorHAnsi"/>
        </w:rPr>
        <w:t xml:space="preserve"> </w:t>
      </w:r>
      <w:r w:rsidR="006C3E2D">
        <w:rPr>
          <w:rFonts w:eastAsiaTheme="minorHAnsi"/>
        </w:rPr>
        <w:t xml:space="preserve">of </w:t>
      </w:r>
      <w:r>
        <w:rPr>
          <w:rFonts w:eastAsiaTheme="minorHAnsi"/>
        </w:rPr>
        <w:t xml:space="preserve">net electric decoupling revenue of approximately </w:t>
      </w:r>
      <w:r w:rsidR="003629CE">
        <w:rPr>
          <w:rFonts w:eastAsiaTheme="minorHAnsi"/>
        </w:rPr>
        <w:t>$59</w:t>
      </w:r>
      <w:r w:rsidR="009F3BFB">
        <w:rPr>
          <w:rFonts w:eastAsiaTheme="minorHAnsi"/>
        </w:rPr>
        <w:t> </w:t>
      </w:r>
      <w:r>
        <w:rPr>
          <w:rFonts w:eastAsiaTheme="minorHAnsi"/>
        </w:rPr>
        <w:t xml:space="preserve">million and net gas decoupling revenue of approximately </w:t>
      </w:r>
      <w:r w:rsidR="003629CE">
        <w:rPr>
          <w:rFonts w:eastAsiaTheme="minorHAnsi"/>
        </w:rPr>
        <w:t>$116</w:t>
      </w:r>
      <w:r w:rsidR="009F3BFB">
        <w:rPr>
          <w:rFonts w:eastAsiaTheme="minorHAnsi"/>
        </w:rPr>
        <w:t> </w:t>
      </w:r>
      <w:r>
        <w:rPr>
          <w:rFonts w:eastAsiaTheme="minorHAnsi"/>
        </w:rPr>
        <w:t>million</w:t>
      </w:r>
      <w:r w:rsidR="00CE0D95">
        <w:rPr>
          <w:rFonts w:eastAsiaTheme="minorHAnsi"/>
        </w:rPr>
        <w:t xml:space="preserve"> </w:t>
      </w:r>
      <w:r>
        <w:rPr>
          <w:rFonts w:eastAsiaTheme="minorHAnsi"/>
        </w:rPr>
        <w:t>from July</w:t>
      </w:r>
      <w:r w:rsidR="0089057D">
        <w:rPr>
          <w:rFonts w:eastAsiaTheme="minorHAnsi"/>
        </w:rPr>
        <w:t> </w:t>
      </w:r>
      <w:r>
        <w:rPr>
          <w:rFonts w:eastAsiaTheme="minorHAnsi"/>
        </w:rPr>
        <w:t>1, 2013</w:t>
      </w:r>
      <w:r w:rsidR="0089057D">
        <w:rPr>
          <w:rFonts w:eastAsiaTheme="minorHAnsi"/>
        </w:rPr>
        <w:t>,</w:t>
      </w:r>
      <w:r>
        <w:rPr>
          <w:rFonts w:eastAsiaTheme="minorHAnsi"/>
        </w:rPr>
        <w:t xml:space="preserve"> through</w:t>
      </w:r>
      <w:r w:rsidR="009B0AE6">
        <w:rPr>
          <w:rFonts w:eastAsiaTheme="minorHAnsi"/>
        </w:rPr>
        <w:t xml:space="preserve"> </w:t>
      </w:r>
      <w:r w:rsidR="003629CE">
        <w:rPr>
          <w:rFonts w:eastAsiaTheme="minorHAnsi"/>
        </w:rPr>
        <w:t>September</w:t>
      </w:r>
      <w:r w:rsidR="009F3BFB">
        <w:rPr>
          <w:rFonts w:eastAsiaTheme="minorHAnsi"/>
        </w:rPr>
        <w:t> </w:t>
      </w:r>
      <w:r w:rsidR="003629CE">
        <w:rPr>
          <w:rFonts w:eastAsiaTheme="minorHAnsi"/>
        </w:rPr>
        <w:t>30, 2016</w:t>
      </w:r>
      <w:r w:rsidR="002E466E">
        <w:rPr>
          <w:rFonts w:eastAsiaTheme="minorHAnsi"/>
        </w:rPr>
        <w:t>.</w:t>
      </w:r>
    </w:p>
    <w:p w:rsidR="009D6190" w:rsidRDefault="002E466E" w:rsidP="002E466E">
      <w:pPr>
        <w:pStyle w:val="answer"/>
        <w:ind w:firstLine="0"/>
      </w:pPr>
      <w:r>
        <w:rPr>
          <w:rFonts w:eastAsiaTheme="minorHAnsi"/>
        </w:rPr>
        <w:t xml:space="preserve">Coupled with PSE’s efforts to pursue cost savings and efficiencies, these financial results have allowed PSE to </w:t>
      </w:r>
      <w:r w:rsidR="00252B90">
        <w:rPr>
          <w:rFonts w:eastAsiaTheme="minorHAnsi"/>
        </w:rPr>
        <w:t>beg</w:t>
      </w:r>
      <w:r>
        <w:rPr>
          <w:rFonts w:eastAsiaTheme="minorHAnsi"/>
        </w:rPr>
        <w:t>i</w:t>
      </w:r>
      <w:r w:rsidR="00252B90">
        <w:rPr>
          <w:rFonts w:eastAsiaTheme="minorHAnsi"/>
        </w:rPr>
        <w:t xml:space="preserve">n to </w:t>
      </w:r>
      <w:r w:rsidR="00A968FD">
        <w:rPr>
          <w:rFonts w:eastAsiaTheme="minorHAnsi"/>
        </w:rPr>
        <w:t xml:space="preserve">consistently earn rates of return and returns on equity </w:t>
      </w:r>
      <w:r w:rsidR="00E734EA">
        <w:rPr>
          <w:rFonts w:eastAsiaTheme="minorHAnsi"/>
        </w:rPr>
        <w:t>slightly below</w:t>
      </w:r>
      <w:r w:rsidR="006B63EB">
        <w:rPr>
          <w:rFonts w:eastAsiaTheme="minorHAnsi"/>
        </w:rPr>
        <w:t xml:space="preserve"> </w:t>
      </w:r>
      <w:r w:rsidR="00A968FD">
        <w:rPr>
          <w:rFonts w:eastAsiaTheme="minorHAnsi"/>
        </w:rPr>
        <w:t xml:space="preserve">its </w:t>
      </w:r>
      <w:r>
        <w:rPr>
          <w:rFonts w:eastAsiaTheme="minorHAnsi"/>
        </w:rPr>
        <w:t xml:space="preserve">authorized </w:t>
      </w:r>
      <w:r w:rsidR="00A968FD">
        <w:rPr>
          <w:rFonts w:eastAsiaTheme="minorHAnsi"/>
        </w:rPr>
        <w:t>rate of return and return on equity on an adjusted actual basis across all time periods</w:t>
      </w:r>
      <w:r w:rsidR="00B02D3D">
        <w:rPr>
          <w:rFonts w:eastAsiaTheme="minorHAnsi"/>
        </w:rPr>
        <w:t xml:space="preserve">. </w:t>
      </w:r>
      <w:r>
        <w:rPr>
          <w:rFonts w:eastAsiaTheme="minorHAnsi"/>
        </w:rPr>
        <w:t xml:space="preserve">These results </w:t>
      </w:r>
      <w:r w:rsidR="00E734EA">
        <w:rPr>
          <w:rFonts w:eastAsiaTheme="minorHAnsi"/>
        </w:rPr>
        <w:t xml:space="preserve">indicate that the effects of regulatory lag and </w:t>
      </w:r>
      <w:r w:rsidR="00C73431">
        <w:rPr>
          <w:rFonts w:eastAsiaTheme="minorHAnsi"/>
        </w:rPr>
        <w:t xml:space="preserve">attrition </w:t>
      </w:r>
      <w:r w:rsidR="00EF4CE6">
        <w:rPr>
          <w:rFonts w:eastAsiaTheme="minorHAnsi"/>
        </w:rPr>
        <w:t xml:space="preserve">were </w:t>
      </w:r>
      <w:r w:rsidR="00C73431">
        <w:rPr>
          <w:rFonts w:eastAsiaTheme="minorHAnsi"/>
        </w:rPr>
        <w:t>mitigated under the rate plan.</w:t>
      </w:r>
    </w:p>
    <w:p w:rsidR="009276E8" w:rsidRPr="0089057D" w:rsidRDefault="007E0563" w:rsidP="002E466E">
      <w:pPr>
        <w:pStyle w:val="answer"/>
        <w:ind w:firstLine="0"/>
      </w:pPr>
      <w:r>
        <w:rPr>
          <w:rFonts w:eastAsiaTheme="minorHAnsi"/>
        </w:rPr>
        <w:t>Generally speaking, t</w:t>
      </w:r>
      <w:r w:rsidR="00FD2B4D">
        <w:rPr>
          <w:rFonts w:eastAsiaTheme="minorHAnsi"/>
        </w:rPr>
        <w:t>he same is true of normalized results</w:t>
      </w:r>
      <w:r>
        <w:rPr>
          <w:rFonts w:eastAsiaTheme="minorHAnsi"/>
        </w:rPr>
        <w:t xml:space="preserve"> in Commission Basis</w:t>
      </w:r>
      <w:r w:rsidR="00E734EA">
        <w:rPr>
          <w:rFonts w:eastAsiaTheme="minorHAnsi"/>
        </w:rPr>
        <w:t xml:space="preserve"> </w:t>
      </w:r>
      <w:r>
        <w:t xml:space="preserve">Reports filed for periods subsequent to the implementation of the </w:t>
      </w:r>
      <w:r w:rsidR="002E466E">
        <w:t>rate plan</w:t>
      </w:r>
      <w:r w:rsidR="00D5460B">
        <w:t xml:space="preserve">, although normalized </w:t>
      </w:r>
      <w:r w:rsidR="00E4130D">
        <w:t>returns</w:t>
      </w:r>
      <w:r w:rsidR="00D5460B">
        <w:t xml:space="preserve"> tend to trend higher than actual adjusted returns</w:t>
      </w:r>
      <w:r w:rsidR="009F3BFB">
        <w:t xml:space="preserve">, as discussed later </w:t>
      </w:r>
      <w:r w:rsidR="00D5460B">
        <w:rPr>
          <w:rFonts w:eastAsiaTheme="minorHAnsi"/>
        </w:rPr>
        <w:t>as it relates to excess earnings sharing calculations.</w:t>
      </w:r>
    </w:p>
    <w:p w:rsidR="002E466E" w:rsidRDefault="002E466E" w:rsidP="002E466E">
      <w:pPr>
        <w:pStyle w:val="question"/>
      </w:pPr>
      <w:r>
        <w:lastRenderedPageBreak/>
        <w:t>Q.</w:t>
      </w:r>
      <w:r>
        <w:tab/>
        <w:t xml:space="preserve">Has PSE prepared </w:t>
      </w:r>
      <w:r w:rsidRPr="00B4652C">
        <w:t>a comparison of PSE’s</w:t>
      </w:r>
      <w:r>
        <w:t xml:space="preserve"> adjusted actual and normalized rates of return and returns on equity?</w:t>
      </w:r>
    </w:p>
    <w:p w:rsidR="005C2C65" w:rsidRDefault="002E466E" w:rsidP="009276E8">
      <w:pPr>
        <w:pStyle w:val="answer"/>
      </w:pPr>
      <w:r>
        <w:t>A.</w:t>
      </w:r>
      <w:r>
        <w:tab/>
        <w:t xml:space="preserve">Yes. Please see </w:t>
      </w:r>
      <w:r w:rsidR="00F20CC8" w:rsidRPr="00B4652C">
        <w:t>Table</w:t>
      </w:r>
      <w:r w:rsidR="00F20CC8">
        <w:t> </w:t>
      </w:r>
      <w:r w:rsidR="00F20CC8" w:rsidRPr="00B4652C">
        <w:t xml:space="preserve">1 below </w:t>
      </w:r>
      <w:r>
        <w:t xml:space="preserve">for </w:t>
      </w:r>
      <w:r w:rsidR="00F20CC8" w:rsidRPr="00B4652C">
        <w:t>a comparison of PSE’s</w:t>
      </w:r>
      <w:r w:rsidR="00127DBD">
        <w:t xml:space="preserve"> </w:t>
      </w:r>
      <w:r w:rsidR="00AE612F">
        <w:t>adjusted</w:t>
      </w:r>
      <w:r w:rsidR="007E0563">
        <w:t xml:space="preserve"> actual </w:t>
      </w:r>
      <w:r w:rsidR="001647C4">
        <w:t>and normalized rates of return and returns on equity</w:t>
      </w:r>
      <w:r w:rsidR="00A6543E">
        <w:t xml:space="preserve"> (</w:t>
      </w:r>
      <w:r w:rsidR="00F20CC8" w:rsidRPr="00B4652C">
        <w:t xml:space="preserve">as reflected </w:t>
      </w:r>
      <w:r w:rsidR="00F20CC8">
        <w:t xml:space="preserve">in PSE’s filed </w:t>
      </w:r>
      <w:r w:rsidR="00F20CC8" w:rsidRPr="00B4652C">
        <w:t>Commission Basis Reports</w:t>
      </w:r>
      <w:r w:rsidR="00A6543E">
        <w:t>)</w:t>
      </w:r>
      <w:r w:rsidR="00F20CC8" w:rsidRPr="00B4652C">
        <w:t xml:space="preserve"> to the authorized rate</w:t>
      </w:r>
      <w:r w:rsidR="006A6645">
        <w:t>s</w:t>
      </w:r>
      <w:r w:rsidR="00F20CC8" w:rsidRPr="00B4652C">
        <w:t xml:space="preserve"> of return and </w:t>
      </w:r>
      <w:r w:rsidR="00F20CC8" w:rsidRPr="009B0AE6">
        <w:t>return</w:t>
      </w:r>
      <w:r w:rsidR="006A6645">
        <w:t>s</w:t>
      </w:r>
      <w:r w:rsidR="00F20CC8" w:rsidRPr="009B0AE6">
        <w:t xml:space="preserve"> on equity</w:t>
      </w:r>
      <w:r w:rsidR="00F20CC8">
        <w:t xml:space="preserve"> </w:t>
      </w:r>
      <w:r w:rsidR="00F20CC8" w:rsidRPr="00B4652C">
        <w:t>in place during the respective calendar</w:t>
      </w:r>
      <w:r w:rsidR="007E0563">
        <w:t xml:space="preserve"> year</w:t>
      </w:r>
      <w:r w:rsidR="00F20CC8" w:rsidRPr="00B4652C">
        <w:t xml:space="preserve"> </w:t>
      </w:r>
      <w:r w:rsidR="00431FA6">
        <w:t>(or twelve months ended June</w:t>
      </w:r>
      <w:r w:rsidR="009F3BFB">
        <w:t> </w:t>
      </w:r>
      <w:r w:rsidR="00431FA6">
        <w:t>30, 2016</w:t>
      </w:r>
      <w:r w:rsidR="00A6543E">
        <w:t>,</w:t>
      </w:r>
      <w:r w:rsidR="00431FA6">
        <w:t xml:space="preserve"> for the most recent mid-year </w:t>
      </w:r>
      <w:r w:rsidR="00A6543E">
        <w:t xml:space="preserve">Commission Basis Report </w:t>
      </w:r>
      <w:r w:rsidR="00431FA6">
        <w:t>filing)</w:t>
      </w:r>
      <w:r w:rsidR="00F20CC8" w:rsidRPr="00B4652C">
        <w:t xml:space="preserve"> for electric operations.</w:t>
      </w:r>
      <w:r w:rsidR="009F3BFB">
        <w:t xml:space="preserve"> PSE will update this </w:t>
      </w:r>
      <w:r w:rsidR="001B3F1E">
        <w:t xml:space="preserve">with 2016 calendar year results </w:t>
      </w:r>
      <w:r w:rsidR="00364FCA">
        <w:t>on rebuttal</w:t>
      </w:r>
      <w:r w:rsidR="001B3F1E">
        <w:t>.</w:t>
      </w:r>
    </w:p>
    <w:p w:rsidR="00A6543E" w:rsidRPr="002E466E" w:rsidRDefault="00A6543E" w:rsidP="00A6543E">
      <w:pPr>
        <w:pStyle w:val="answer"/>
        <w:keepNext/>
        <w:keepLines/>
        <w:spacing w:before="0" w:after="60" w:line="240" w:lineRule="auto"/>
        <w:ind w:left="0" w:firstLine="0"/>
        <w:jc w:val="center"/>
        <w:rPr>
          <w:b/>
        </w:rPr>
      </w:pPr>
      <w:r w:rsidRPr="002E466E">
        <w:rPr>
          <w:b/>
        </w:rPr>
        <w:t xml:space="preserve">Table 1. </w:t>
      </w:r>
      <w:r>
        <w:rPr>
          <w:b/>
        </w:rPr>
        <w:t>C</w:t>
      </w:r>
      <w:r w:rsidRPr="002E466E">
        <w:rPr>
          <w:b/>
        </w:rPr>
        <w:t>omparison of PSE’s Adjusted Actual and</w:t>
      </w:r>
      <w:r>
        <w:rPr>
          <w:b/>
        </w:rPr>
        <w:br/>
      </w:r>
      <w:r w:rsidRPr="002E466E">
        <w:rPr>
          <w:b/>
        </w:rPr>
        <w:t xml:space="preserve">Normalized Rates of </w:t>
      </w:r>
      <w:r>
        <w:rPr>
          <w:b/>
        </w:rPr>
        <w:t>R</w:t>
      </w:r>
      <w:r w:rsidRPr="002E466E">
        <w:rPr>
          <w:b/>
        </w:rPr>
        <w:t xml:space="preserve">eturn and </w:t>
      </w:r>
      <w:r>
        <w:rPr>
          <w:b/>
        </w:rPr>
        <w:t>R</w:t>
      </w:r>
      <w:r w:rsidRPr="002E466E">
        <w:rPr>
          <w:b/>
        </w:rPr>
        <w:t xml:space="preserve">eturns on </w:t>
      </w:r>
      <w:r>
        <w:rPr>
          <w:b/>
        </w:rPr>
        <w:t>E</w:t>
      </w:r>
      <w:r w:rsidRPr="002E466E">
        <w:rPr>
          <w:b/>
        </w:rPr>
        <w:t>quity</w:t>
      </w:r>
      <w:r>
        <w:rPr>
          <w:b/>
        </w:rPr>
        <w:t xml:space="preserve"> for Electric Operations</w:t>
      </w:r>
    </w:p>
    <w:p w:rsidR="008C3CAA" w:rsidRDefault="00F151FF" w:rsidP="008C3CAA">
      <w:pPr>
        <w:pStyle w:val="NestedAnswer"/>
        <w:ind w:left="0"/>
      </w:pPr>
      <w:r w:rsidRPr="00F151FF">
        <w:rPr>
          <w:noProof/>
          <w:lang w:eastAsia="en-US"/>
        </w:rPr>
        <w:drawing>
          <wp:inline distT="0" distB="0" distL="0" distR="0" wp14:anchorId="3826B890" wp14:editId="40833BD0">
            <wp:extent cx="5486400" cy="26101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2610196"/>
                    </a:xfrm>
                    <a:prstGeom prst="rect">
                      <a:avLst/>
                    </a:prstGeom>
                    <a:noFill/>
                    <a:ln>
                      <a:noFill/>
                    </a:ln>
                  </pic:spPr>
                </pic:pic>
              </a:graphicData>
            </a:graphic>
          </wp:inline>
        </w:drawing>
      </w:r>
    </w:p>
    <w:p w:rsidR="00EE16B7" w:rsidRDefault="00F20CC8" w:rsidP="009D6190">
      <w:pPr>
        <w:pStyle w:val="answer"/>
        <w:ind w:firstLine="0"/>
      </w:pPr>
      <w:r w:rsidRPr="00B4652C">
        <w:t>Table</w:t>
      </w:r>
      <w:r>
        <w:t> 2</w:t>
      </w:r>
      <w:r w:rsidRPr="00B4652C">
        <w:t xml:space="preserve"> below provides a comparison of PSE’s </w:t>
      </w:r>
      <w:r w:rsidR="006A6645">
        <w:t>adjusted actual</w:t>
      </w:r>
      <w:r w:rsidR="00127DBD">
        <w:t xml:space="preserve"> </w:t>
      </w:r>
      <w:r w:rsidR="001647C4">
        <w:t>and normalized</w:t>
      </w:r>
      <w:r w:rsidRPr="00B4652C">
        <w:t xml:space="preserve"> </w:t>
      </w:r>
      <w:r w:rsidR="001647C4">
        <w:t>rates of return and returns on equity</w:t>
      </w:r>
      <w:r w:rsidR="00A6543E">
        <w:t xml:space="preserve"> (</w:t>
      </w:r>
      <w:r w:rsidRPr="00B4652C">
        <w:t xml:space="preserve">as reflected </w:t>
      </w:r>
      <w:r>
        <w:t xml:space="preserve">in PSE’s filed </w:t>
      </w:r>
      <w:r w:rsidRPr="00B4652C">
        <w:t>Commission Basis Reports</w:t>
      </w:r>
      <w:r w:rsidR="00A6543E">
        <w:t>)</w:t>
      </w:r>
      <w:r w:rsidRPr="00B4652C">
        <w:t xml:space="preserve"> to the authorized rate</w:t>
      </w:r>
      <w:r w:rsidR="006A6645">
        <w:t>s</w:t>
      </w:r>
      <w:r w:rsidRPr="00B4652C">
        <w:t xml:space="preserve"> of return and </w:t>
      </w:r>
      <w:r w:rsidRPr="009B0AE6">
        <w:t>return</w:t>
      </w:r>
      <w:r w:rsidR="006A6645">
        <w:t>s</w:t>
      </w:r>
      <w:r w:rsidRPr="009B0AE6">
        <w:t xml:space="preserve"> on equity</w:t>
      </w:r>
      <w:r w:rsidRPr="006C3E2D">
        <w:t xml:space="preserve"> </w:t>
      </w:r>
      <w:r w:rsidRPr="00B4652C">
        <w:t xml:space="preserve">in place during the respective calendar year </w:t>
      </w:r>
      <w:r w:rsidR="00431FA6">
        <w:t>(or twelve months ended June</w:t>
      </w:r>
      <w:r w:rsidR="00A6543E">
        <w:t> </w:t>
      </w:r>
      <w:r w:rsidR="00431FA6">
        <w:t xml:space="preserve">30, 2016 for the </w:t>
      </w:r>
      <w:r w:rsidR="00431FA6">
        <w:lastRenderedPageBreak/>
        <w:t>most recent mid</w:t>
      </w:r>
      <w:r w:rsidR="00A6543E">
        <w:t>-</w:t>
      </w:r>
      <w:r w:rsidR="003842EB">
        <w:t xml:space="preserve">year </w:t>
      </w:r>
      <w:r w:rsidR="00A6543E">
        <w:t>Commission Basis Report</w:t>
      </w:r>
      <w:r w:rsidR="003842EB">
        <w:t xml:space="preserve"> filing) for gas operations.</w:t>
      </w:r>
      <w:r w:rsidR="009F3BFB">
        <w:t xml:space="preserve"> </w:t>
      </w:r>
      <w:r w:rsidR="001B3F1E">
        <w:t xml:space="preserve">This table will be updated with 2016 calendar year results </w:t>
      </w:r>
      <w:r w:rsidR="00364FCA">
        <w:t>on rebuttal</w:t>
      </w:r>
      <w:r w:rsidR="001B3F1E">
        <w:t>.</w:t>
      </w:r>
    </w:p>
    <w:p w:rsidR="00A6543E" w:rsidRDefault="00A6543E" w:rsidP="00A6543E">
      <w:pPr>
        <w:pStyle w:val="answer"/>
        <w:keepNext/>
        <w:keepLines/>
        <w:spacing w:before="0" w:after="60" w:line="240" w:lineRule="auto"/>
        <w:ind w:left="0" w:firstLine="0"/>
        <w:jc w:val="center"/>
        <w:rPr>
          <w:b/>
        </w:rPr>
      </w:pPr>
      <w:r w:rsidRPr="002E466E">
        <w:rPr>
          <w:b/>
        </w:rPr>
        <w:t>Table </w:t>
      </w:r>
      <w:r>
        <w:rPr>
          <w:b/>
        </w:rPr>
        <w:t>2</w:t>
      </w:r>
      <w:r w:rsidRPr="002E466E">
        <w:rPr>
          <w:b/>
        </w:rPr>
        <w:t xml:space="preserve">. </w:t>
      </w:r>
      <w:r>
        <w:rPr>
          <w:b/>
        </w:rPr>
        <w:t>C</w:t>
      </w:r>
      <w:r w:rsidRPr="002E466E">
        <w:rPr>
          <w:b/>
        </w:rPr>
        <w:t>omparison of PSE’s Adjusted Actual and</w:t>
      </w:r>
      <w:r>
        <w:rPr>
          <w:b/>
        </w:rPr>
        <w:br/>
      </w:r>
      <w:r w:rsidRPr="002E466E">
        <w:rPr>
          <w:b/>
        </w:rPr>
        <w:t xml:space="preserve">Normalized Rates of </w:t>
      </w:r>
      <w:r>
        <w:rPr>
          <w:b/>
        </w:rPr>
        <w:t>R</w:t>
      </w:r>
      <w:r w:rsidRPr="002E466E">
        <w:rPr>
          <w:b/>
        </w:rPr>
        <w:t xml:space="preserve">eturn and </w:t>
      </w:r>
      <w:r>
        <w:rPr>
          <w:b/>
        </w:rPr>
        <w:t>R</w:t>
      </w:r>
      <w:r w:rsidRPr="002E466E">
        <w:rPr>
          <w:b/>
        </w:rPr>
        <w:t xml:space="preserve">eturns on </w:t>
      </w:r>
      <w:r>
        <w:rPr>
          <w:b/>
        </w:rPr>
        <w:t>E</w:t>
      </w:r>
      <w:r w:rsidRPr="002E466E">
        <w:rPr>
          <w:b/>
        </w:rPr>
        <w:t>quity</w:t>
      </w:r>
      <w:r>
        <w:rPr>
          <w:b/>
        </w:rPr>
        <w:t xml:space="preserve"> for Gas Operations</w:t>
      </w:r>
    </w:p>
    <w:p w:rsidR="00F151FF" w:rsidRPr="002E466E" w:rsidRDefault="00F151FF" w:rsidP="00A6543E">
      <w:pPr>
        <w:pStyle w:val="answer"/>
        <w:keepNext/>
        <w:keepLines/>
        <w:spacing w:before="0" w:after="60" w:line="240" w:lineRule="auto"/>
        <w:ind w:left="0" w:firstLine="0"/>
        <w:jc w:val="center"/>
        <w:rPr>
          <w:b/>
        </w:rPr>
      </w:pPr>
      <w:r w:rsidRPr="00F151FF">
        <w:rPr>
          <w:noProof/>
          <w:lang w:eastAsia="en-US"/>
        </w:rPr>
        <w:drawing>
          <wp:inline distT="0" distB="0" distL="0" distR="0" wp14:anchorId="059A69B1" wp14:editId="0FD55796">
            <wp:extent cx="5486400" cy="22943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2294313"/>
                    </a:xfrm>
                    <a:prstGeom prst="rect">
                      <a:avLst/>
                    </a:prstGeom>
                    <a:noFill/>
                    <a:ln>
                      <a:noFill/>
                    </a:ln>
                  </pic:spPr>
                </pic:pic>
              </a:graphicData>
            </a:graphic>
          </wp:inline>
        </w:drawing>
      </w:r>
    </w:p>
    <w:p w:rsidR="006C3E2D" w:rsidRPr="00B06379" w:rsidRDefault="006C3E2D" w:rsidP="00F5352D">
      <w:pPr>
        <w:pStyle w:val="question"/>
        <w:spacing w:before="360"/>
      </w:pPr>
      <w:r>
        <w:t>Q.</w:t>
      </w:r>
      <w:r>
        <w:tab/>
      </w:r>
      <w:r w:rsidR="00CE549E">
        <w:t>Did PSE’s rate plan achieve other policy objectives?</w:t>
      </w:r>
    </w:p>
    <w:p w:rsidR="009D6190" w:rsidRDefault="006C3E2D" w:rsidP="009D6190">
      <w:pPr>
        <w:pStyle w:val="answer"/>
      </w:pPr>
      <w:r>
        <w:t>A.</w:t>
      </w:r>
      <w:r>
        <w:tab/>
      </w:r>
      <w:r w:rsidR="00CE549E">
        <w:t>Yes.</w:t>
      </w:r>
      <w:r w:rsidR="00F07638">
        <w:t xml:space="preserve"> </w:t>
      </w:r>
      <w:r w:rsidR="00CE549E">
        <w:t xml:space="preserve">In addition to the mitigation of </w:t>
      </w:r>
      <w:r w:rsidR="00B1339C" w:rsidRPr="00B02D3D">
        <w:t>the continuing effects</w:t>
      </w:r>
      <w:r w:rsidR="00406506" w:rsidRPr="00B02D3D">
        <w:t xml:space="preserve"> of</w:t>
      </w:r>
      <w:r w:rsidR="00B1339C" w:rsidRPr="00B02D3D">
        <w:t xml:space="preserve"> attrition and regulatory lag</w:t>
      </w:r>
      <w:r w:rsidR="00B02D3D" w:rsidRPr="00EF7AE1">
        <w:t xml:space="preserve">, </w:t>
      </w:r>
      <w:r w:rsidR="00CE549E">
        <w:t xml:space="preserve">the rate plan achieved </w:t>
      </w:r>
      <w:r w:rsidR="00B1339C" w:rsidRPr="00B02D3D">
        <w:t>other important policy objectives. First, the combined effects of the expedited rate filing</w:t>
      </w:r>
      <w:r w:rsidR="00B02D3D" w:rsidRPr="00B02D3D">
        <w:t xml:space="preserve"> and</w:t>
      </w:r>
      <w:r w:rsidR="00B1339C" w:rsidRPr="00B02D3D">
        <w:t xml:space="preserve"> the K</w:t>
      </w:r>
      <w:r w:rsidR="00CE549E">
        <w:t>-</w:t>
      </w:r>
      <w:r w:rsidR="00B1339C">
        <w:t>factor annual increases</w:t>
      </w:r>
      <w:r w:rsidR="00431FA6">
        <w:t xml:space="preserve"> </w:t>
      </w:r>
      <w:r w:rsidR="00B1339C">
        <w:t xml:space="preserve">allowed </w:t>
      </w:r>
      <w:r w:rsidR="00CE549E">
        <w:t xml:space="preserve">PSE </w:t>
      </w:r>
      <w:r w:rsidR="00B1339C">
        <w:t xml:space="preserve">to avoid filing at least one and possibly two general rate cases during the rate </w:t>
      </w:r>
      <w:r w:rsidR="00CE549E">
        <w:t xml:space="preserve">plan </w:t>
      </w:r>
      <w:r w:rsidR="00B1339C">
        <w:t xml:space="preserve">period. </w:t>
      </w:r>
      <w:r w:rsidR="00F07638">
        <w:t xml:space="preserve">From PSE’s perspective, this </w:t>
      </w:r>
      <w:r w:rsidR="00B1339C">
        <w:t xml:space="preserve">achieved the </w:t>
      </w:r>
      <w:r w:rsidR="00CE549E">
        <w:t>C</w:t>
      </w:r>
      <w:r w:rsidR="00712607">
        <w:t xml:space="preserve">ommission’s </w:t>
      </w:r>
      <w:r w:rsidR="00B1339C">
        <w:t xml:space="preserve">objective of </w:t>
      </w:r>
      <w:r w:rsidR="00431FA6">
        <w:t xml:space="preserve">reducing </w:t>
      </w:r>
      <w:r w:rsidR="00B1339C">
        <w:t xml:space="preserve">the </w:t>
      </w:r>
      <w:r w:rsidR="00D01051">
        <w:t xml:space="preserve">burden </w:t>
      </w:r>
      <w:r w:rsidR="00CE549E">
        <w:t xml:space="preserve">of frequent general rate cases </w:t>
      </w:r>
      <w:r w:rsidR="00B1339C">
        <w:t xml:space="preserve">on </w:t>
      </w:r>
      <w:r w:rsidR="00712607">
        <w:t>its</w:t>
      </w:r>
      <w:r w:rsidR="00B1339C">
        <w:t xml:space="preserve"> regulatory docket along with the time</w:t>
      </w:r>
      <w:r w:rsidR="00431FA6">
        <w:t>,</w:t>
      </w:r>
      <w:r w:rsidR="00B1339C">
        <w:t xml:space="preserve"> energy</w:t>
      </w:r>
      <w:r w:rsidR="00431FA6">
        <w:t>,</w:t>
      </w:r>
      <w:r w:rsidR="00B1339C">
        <w:t xml:space="preserve"> and cost that accrues to all of the parties that participate in </w:t>
      </w:r>
      <w:r w:rsidR="00CE549E">
        <w:t>general rate case proceedings.</w:t>
      </w:r>
    </w:p>
    <w:p w:rsidR="0091585D" w:rsidRDefault="00CE549E" w:rsidP="009D6190">
      <w:pPr>
        <w:pStyle w:val="answer"/>
        <w:ind w:firstLine="0"/>
      </w:pPr>
      <w:r>
        <w:t>Second</w:t>
      </w:r>
      <w:r w:rsidR="0091585D">
        <w:t>, t</w:t>
      </w:r>
      <w:r w:rsidR="00546EBC">
        <w:t xml:space="preserve">he combination of the expedited rate filing increase and the </w:t>
      </w:r>
      <w:r w:rsidR="00C73431">
        <w:t xml:space="preserve">annual </w:t>
      </w:r>
      <w:r w:rsidR="00546EBC">
        <w:t>K</w:t>
      </w:r>
      <w:r>
        <w:t>-</w:t>
      </w:r>
      <w:r w:rsidR="00546EBC">
        <w:t>factor increases from the rate plan</w:t>
      </w:r>
      <w:r>
        <w:t xml:space="preserve"> </w:t>
      </w:r>
      <w:r w:rsidR="00546EBC">
        <w:t xml:space="preserve">imparted a more predictable and gradual increase to </w:t>
      </w:r>
      <w:r>
        <w:t xml:space="preserve">PSE’s base rates as compared to increases resulting from general rate </w:t>
      </w:r>
      <w:r>
        <w:lastRenderedPageBreak/>
        <w:t xml:space="preserve">cases, which tend to be larger and less predictable from a customer perspective. </w:t>
      </w:r>
      <w:r w:rsidR="0091585D">
        <w:t xml:space="preserve">In fact, had </w:t>
      </w:r>
      <w:r>
        <w:t xml:space="preserve">PSE </w:t>
      </w:r>
      <w:r w:rsidR="0091585D">
        <w:t xml:space="preserve">filed this </w:t>
      </w:r>
      <w:r>
        <w:t xml:space="preserve">general rate case request </w:t>
      </w:r>
      <w:r w:rsidR="0091585D">
        <w:t xml:space="preserve">without the benefit of the aforementioned </w:t>
      </w:r>
      <w:r w:rsidR="009B0AE6">
        <w:t>rate plan</w:t>
      </w:r>
      <w:r w:rsidR="0091585D">
        <w:t>, the requested increase would be approximately $</w:t>
      </w:r>
      <w:r w:rsidR="00E9501B">
        <w:t>155</w:t>
      </w:r>
      <w:r>
        <w:t> </w:t>
      </w:r>
      <w:r w:rsidR="0091585D">
        <w:t>million higher</w:t>
      </w:r>
      <w:r w:rsidR="003E3DAD">
        <w:t>, as illustrated in Table</w:t>
      </w:r>
      <w:r>
        <w:t> </w:t>
      </w:r>
      <w:r w:rsidR="003E3DAD">
        <w:t>3 below</w:t>
      </w:r>
      <w:r w:rsidR="0091585D">
        <w:t>.</w:t>
      </w:r>
    </w:p>
    <w:p w:rsidR="00CE549E" w:rsidRPr="002E466E" w:rsidRDefault="00CE549E" w:rsidP="00CE549E">
      <w:pPr>
        <w:pStyle w:val="answer"/>
        <w:keepNext/>
        <w:keepLines/>
        <w:spacing w:before="0" w:after="60" w:line="240" w:lineRule="auto"/>
        <w:ind w:left="0" w:firstLine="0"/>
        <w:jc w:val="center"/>
        <w:rPr>
          <w:b/>
        </w:rPr>
      </w:pPr>
      <w:r w:rsidRPr="002E466E">
        <w:rPr>
          <w:b/>
        </w:rPr>
        <w:t>Table </w:t>
      </w:r>
      <w:r>
        <w:rPr>
          <w:b/>
        </w:rPr>
        <w:t>3</w:t>
      </w:r>
      <w:r w:rsidRPr="002E466E">
        <w:rPr>
          <w:b/>
        </w:rPr>
        <w:t xml:space="preserve">. </w:t>
      </w:r>
      <w:r>
        <w:rPr>
          <w:b/>
        </w:rPr>
        <w:t xml:space="preserve">Projected 2017 General Rate Case </w:t>
      </w:r>
      <w:r w:rsidR="00A9653F">
        <w:rPr>
          <w:b/>
        </w:rPr>
        <w:t>Request</w:t>
      </w:r>
      <w:r w:rsidR="00A9653F">
        <w:rPr>
          <w:b/>
        </w:rPr>
        <w:br/>
        <w:t>in the Absence of the Effects of the Rate Plan Benefits</w:t>
      </w:r>
    </w:p>
    <w:p w:rsidR="003E3DAD" w:rsidRDefault="00B02D3D" w:rsidP="009276E8">
      <w:pPr>
        <w:pStyle w:val="answer"/>
        <w:jc w:val="center"/>
      </w:pPr>
      <w:r>
        <w:rPr>
          <w:noProof/>
          <w:lang w:eastAsia="en-US"/>
        </w:rPr>
        <w:drawing>
          <wp:inline distT="0" distB="0" distL="0" distR="0" wp14:anchorId="068DD662" wp14:editId="0A662C9F">
            <wp:extent cx="4594860" cy="1242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94860" cy="1242060"/>
                    </a:xfrm>
                    <a:prstGeom prst="rect">
                      <a:avLst/>
                    </a:prstGeom>
                  </pic:spPr>
                </pic:pic>
              </a:graphicData>
            </a:graphic>
          </wp:inline>
        </w:drawing>
      </w:r>
    </w:p>
    <w:p w:rsidR="00A9653F" w:rsidRPr="00B06379" w:rsidRDefault="00A9653F" w:rsidP="00A9653F">
      <w:pPr>
        <w:pStyle w:val="question"/>
      </w:pPr>
      <w:r>
        <w:t>Q.</w:t>
      </w:r>
      <w:r>
        <w:tab/>
      </w:r>
      <w:r w:rsidR="00F07638">
        <w:t>Please describe the benefits achieved through implementation of the expedited rate filing</w:t>
      </w:r>
      <w:r w:rsidR="00F07638" w:rsidRPr="00F07638">
        <w:t xml:space="preserve"> </w:t>
      </w:r>
      <w:r w:rsidR="00F07638">
        <w:t>mechanism.</w:t>
      </w:r>
    </w:p>
    <w:p w:rsidR="00F07638" w:rsidRDefault="00A9653F" w:rsidP="009276E8">
      <w:pPr>
        <w:pStyle w:val="answer"/>
      </w:pPr>
      <w:r>
        <w:t>A.</w:t>
      </w:r>
      <w:r>
        <w:tab/>
      </w:r>
      <w:r w:rsidR="00F07638">
        <w:t xml:space="preserve">The expedited rate filing </w:t>
      </w:r>
      <w:r w:rsidR="00B72F2D">
        <w:t>contributed to the avoidance of costly and time</w:t>
      </w:r>
      <w:r w:rsidR="00F07638">
        <w:t>-</w:t>
      </w:r>
      <w:r w:rsidR="00B72F2D">
        <w:t xml:space="preserve">consuming </w:t>
      </w:r>
      <w:r w:rsidR="00F07638">
        <w:t xml:space="preserve">general rate cases. When </w:t>
      </w:r>
      <w:r w:rsidR="00B72F2D">
        <w:t>coupled with the earnings sharing mechanism</w:t>
      </w:r>
      <w:r w:rsidR="00F07638">
        <w:t xml:space="preserve">, PSE’s </w:t>
      </w:r>
      <w:r w:rsidR="00B72F2D">
        <w:t>customers were protected from excessive over earnings</w:t>
      </w:r>
      <w:r w:rsidR="00F07638">
        <w:t xml:space="preserve">. </w:t>
      </w:r>
      <w:r w:rsidR="00B72F2D">
        <w:t xml:space="preserve">That said, </w:t>
      </w:r>
      <w:r w:rsidR="00F07638">
        <w:t xml:space="preserve">the expedited rate filing </w:t>
      </w:r>
      <w:r w:rsidR="00770108">
        <w:t>could benefit from additional clarity from the Commission</w:t>
      </w:r>
      <w:r w:rsidR="00F1763F">
        <w:t>.</w:t>
      </w:r>
      <w:r w:rsidR="00770108">
        <w:t xml:space="preserve"> </w:t>
      </w:r>
      <w:r w:rsidR="00F07638">
        <w:t>In particular, clarity with respect to what</w:t>
      </w:r>
      <w:r w:rsidR="00B72F2D">
        <w:t xml:space="preserve">, if any, cost of capital updates are required </w:t>
      </w:r>
      <w:r w:rsidR="00F07638">
        <w:t xml:space="preserve">in expedited rate filings </w:t>
      </w:r>
      <w:r w:rsidR="00B72F2D">
        <w:t xml:space="preserve">and </w:t>
      </w:r>
      <w:r w:rsidR="00F07638">
        <w:t>under what circumstances</w:t>
      </w:r>
      <w:r w:rsidR="00F1763F">
        <w:t xml:space="preserve"> </w:t>
      </w:r>
      <w:r w:rsidR="00F151FF">
        <w:t xml:space="preserve">it </w:t>
      </w:r>
      <w:r w:rsidR="00F1763F">
        <w:t>would be helpful</w:t>
      </w:r>
      <w:r w:rsidR="00F151FF">
        <w:t>.</w:t>
      </w:r>
    </w:p>
    <w:p w:rsidR="00F07638" w:rsidRPr="00B06379" w:rsidRDefault="00F07638" w:rsidP="00F07638">
      <w:pPr>
        <w:pStyle w:val="question"/>
      </w:pPr>
      <w:r>
        <w:t>Q.</w:t>
      </w:r>
      <w:r>
        <w:tab/>
        <w:t>Please describe the benefits achieved through implementation of the decoupling mechanism.</w:t>
      </w:r>
    </w:p>
    <w:p w:rsidR="00913FE7" w:rsidRDefault="00F07638" w:rsidP="009276E8">
      <w:pPr>
        <w:pStyle w:val="answer"/>
      </w:pPr>
      <w:r>
        <w:t>A.</w:t>
      </w:r>
      <w:r>
        <w:tab/>
        <w:t>From PSE’s perspective, t</w:t>
      </w:r>
      <w:r w:rsidR="00913FE7">
        <w:t xml:space="preserve">he </w:t>
      </w:r>
      <w:r>
        <w:t xml:space="preserve">decoupling </w:t>
      </w:r>
      <w:r w:rsidR="00913FE7">
        <w:t xml:space="preserve">mechanism met the </w:t>
      </w:r>
      <w:r>
        <w:t>C</w:t>
      </w:r>
      <w:r w:rsidR="00913FE7">
        <w:t xml:space="preserve">ommission’s </w:t>
      </w:r>
      <w:r w:rsidR="00452721">
        <w:t xml:space="preserve">policy </w:t>
      </w:r>
      <w:r w:rsidR="00913FE7">
        <w:t>objectives of (</w:t>
      </w:r>
      <w:r>
        <w:t>i</w:t>
      </w:r>
      <w:r w:rsidR="00913FE7">
        <w:t>)</w:t>
      </w:r>
      <w:r>
        <w:t> </w:t>
      </w:r>
      <w:r w:rsidR="00E92ECD">
        <w:t>mitigating the</w:t>
      </w:r>
      <w:r w:rsidR="00913FE7">
        <w:t xml:space="preserve"> </w:t>
      </w:r>
      <w:r w:rsidR="00E83EF5">
        <w:t>through-put incentive</w:t>
      </w:r>
      <w:r w:rsidR="00797FF8">
        <w:t xml:space="preserve"> </w:t>
      </w:r>
      <w:r w:rsidR="00913FE7">
        <w:t>and (</w:t>
      </w:r>
      <w:r>
        <w:t>ii</w:t>
      </w:r>
      <w:r w:rsidR="00913FE7">
        <w:t>)</w:t>
      </w:r>
      <w:r>
        <w:t> </w:t>
      </w:r>
      <w:r w:rsidR="00913FE7">
        <w:t>normaliz</w:t>
      </w:r>
      <w:r w:rsidR="00E53628">
        <w:t>ing</w:t>
      </w:r>
      <w:r w:rsidR="00913FE7">
        <w:t xml:space="preserve"> the </w:t>
      </w:r>
      <w:r w:rsidR="00913FE7">
        <w:lastRenderedPageBreak/>
        <w:t>impacts of weather and other changes in customer usage patterns</w:t>
      </w:r>
      <w:r>
        <w:t xml:space="preserve">. PSE is </w:t>
      </w:r>
      <w:r w:rsidR="00913FE7">
        <w:t xml:space="preserve">satisfied </w:t>
      </w:r>
      <w:r>
        <w:t xml:space="preserve">that </w:t>
      </w:r>
      <w:r w:rsidR="00913FE7">
        <w:t xml:space="preserve">the </w:t>
      </w:r>
      <w:r>
        <w:t xml:space="preserve">decoupling </w:t>
      </w:r>
      <w:r w:rsidR="00913FE7">
        <w:t>mechanism has operated well in practic</w:t>
      </w:r>
      <w:r w:rsidR="0045271C">
        <w:t xml:space="preserve">e </w:t>
      </w:r>
      <w:r>
        <w:t>by mitigating the through-put incentive</w:t>
      </w:r>
      <w:r w:rsidR="00913FE7">
        <w:t xml:space="preserve">. </w:t>
      </w:r>
      <w:r w:rsidR="0045271C">
        <w:t xml:space="preserve">Furthermore, </w:t>
      </w:r>
      <w:r>
        <w:t xml:space="preserve">the decoupling mechanism </w:t>
      </w:r>
      <w:r w:rsidR="00913FE7">
        <w:t>properly captures under</w:t>
      </w:r>
      <w:r>
        <w:t>-</w:t>
      </w:r>
      <w:r w:rsidR="00913FE7">
        <w:t xml:space="preserve">recoveries of fixed revenues per customer for future collection </w:t>
      </w:r>
      <w:r>
        <w:t xml:space="preserve">and </w:t>
      </w:r>
      <w:r w:rsidR="00913FE7">
        <w:t>over</w:t>
      </w:r>
      <w:r>
        <w:t>-</w:t>
      </w:r>
      <w:r w:rsidR="00913FE7">
        <w:t>recoveries of fixed revenues per custom</w:t>
      </w:r>
      <w:r w:rsidR="00B6439F">
        <w:t xml:space="preserve">er for future refund. </w:t>
      </w:r>
      <w:r>
        <w:t xml:space="preserve">PSE further </w:t>
      </w:r>
      <w:r w:rsidR="00913FE7">
        <w:t>believe</w:t>
      </w:r>
      <w:r>
        <w:t>s</w:t>
      </w:r>
      <w:r w:rsidR="00913FE7">
        <w:t xml:space="preserve"> </w:t>
      </w:r>
      <w:r>
        <w:t>that the “</w:t>
      </w:r>
      <w:r w:rsidR="00913FE7">
        <w:t>soft cap</w:t>
      </w:r>
      <w:r>
        <w:t xml:space="preserve">” </w:t>
      </w:r>
      <w:r w:rsidR="00B6439F">
        <w:t xml:space="preserve">on decoupling revenue recoveries </w:t>
      </w:r>
      <w:r w:rsidR="00E66BD9">
        <w:t xml:space="preserve">is an appropriate policy feature </w:t>
      </w:r>
      <w:r>
        <w:t>to protect</w:t>
      </w:r>
      <w:r w:rsidR="00E66BD9">
        <w:t xml:space="preserve"> customers from excessive rate increases while leaving refunds unbounded.</w:t>
      </w:r>
      <w:r w:rsidR="00E86E98">
        <w:t xml:space="preserve"> </w:t>
      </w:r>
      <w:r w:rsidR="00E66BD9">
        <w:t xml:space="preserve">That said, </w:t>
      </w:r>
      <w:r>
        <w:t xml:space="preserve">PSE has identified </w:t>
      </w:r>
      <w:r w:rsidR="00B02D3D">
        <w:t>minor</w:t>
      </w:r>
      <w:r w:rsidR="00E86E98">
        <w:t xml:space="preserve"> adjustments</w:t>
      </w:r>
      <w:r w:rsidR="008C3CAA">
        <w:t xml:space="preserve"> to the soft cap percentage</w:t>
      </w:r>
      <w:r w:rsidR="00E66BD9">
        <w:t>s</w:t>
      </w:r>
      <w:r w:rsidR="00E86E98">
        <w:t xml:space="preserve"> </w:t>
      </w:r>
      <w:r>
        <w:t xml:space="preserve">that may be </w:t>
      </w:r>
      <w:r w:rsidR="00E66BD9">
        <w:t>appropriate for</w:t>
      </w:r>
      <w:r w:rsidR="00E4130D">
        <w:t xml:space="preserve"> certain rate classes</w:t>
      </w:r>
      <w:r>
        <w:t xml:space="preserve">. Please see the </w:t>
      </w:r>
      <w:proofErr w:type="spellStart"/>
      <w:r>
        <w:t>Prefiled</w:t>
      </w:r>
      <w:proofErr w:type="spellEnd"/>
      <w:r>
        <w:t xml:space="preserve"> Direct Testimony of Mr. Jon A. Piliaris, Exhibit No. ___(JAP-1T), for a discussion of the proposed adjustments on the soft cap percentages for certain rate classes.</w:t>
      </w:r>
    </w:p>
    <w:p w:rsidR="008D310A" w:rsidRPr="00B06379" w:rsidRDefault="00521736" w:rsidP="00521736">
      <w:pPr>
        <w:pStyle w:val="Heading1"/>
      </w:pPr>
      <w:bookmarkStart w:id="18" w:name="_Toc471463214"/>
      <w:r w:rsidRPr="00537488">
        <w:rPr>
          <w:rFonts w:eastAsia="PMingLiU"/>
        </w:rPr>
        <w:t>I</w:t>
      </w:r>
      <w:r w:rsidR="00BF00E3">
        <w:rPr>
          <w:rFonts w:eastAsia="PMingLiU"/>
        </w:rPr>
        <w:t>I</w:t>
      </w:r>
      <w:r w:rsidRPr="00537488">
        <w:rPr>
          <w:rFonts w:eastAsia="PMingLiU"/>
        </w:rPr>
        <w:t>I.</w:t>
      </w:r>
      <w:r w:rsidR="00B06379">
        <w:rPr>
          <w:rFonts w:eastAsia="PMingLiU"/>
        </w:rPr>
        <w:tab/>
      </w:r>
      <w:r w:rsidR="008D310A">
        <w:rPr>
          <w:rFonts w:eastAsia="PMingLiU"/>
        </w:rPr>
        <w:t>RESULTS OF DECOUPLING</w:t>
      </w:r>
      <w:bookmarkEnd w:id="18"/>
    </w:p>
    <w:p w:rsidR="008D310A" w:rsidRDefault="008D310A" w:rsidP="00B06379">
      <w:pPr>
        <w:pStyle w:val="question"/>
      </w:pPr>
      <w:r>
        <w:t>Q.</w:t>
      </w:r>
      <w:r>
        <w:tab/>
        <w:t xml:space="preserve">Please discuss the results of </w:t>
      </w:r>
      <w:r w:rsidR="00F07638">
        <w:t xml:space="preserve">PSE’s </w:t>
      </w:r>
      <w:r>
        <w:t>decoupling mechanism.</w:t>
      </w:r>
    </w:p>
    <w:p w:rsidR="009F3BFB" w:rsidRDefault="008D310A" w:rsidP="00034BE3">
      <w:pPr>
        <w:pStyle w:val="answer"/>
      </w:pPr>
      <w:r w:rsidRPr="00122468">
        <w:t>A.</w:t>
      </w:r>
      <w:r w:rsidR="00797FF8">
        <w:tab/>
      </w:r>
      <w:r w:rsidR="00F07638">
        <w:t xml:space="preserve">The Second Exhibit to the </w:t>
      </w:r>
      <w:proofErr w:type="spellStart"/>
      <w:r w:rsidR="00F07638">
        <w:t>Prefiled</w:t>
      </w:r>
      <w:proofErr w:type="spellEnd"/>
      <w:r w:rsidR="00F07638">
        <w:t xml:space="preserve"> Direct Testimony of Daniel A. Doyle, </w:t>
      </w:r>
      <w:r w:rsidRPr="00122468">
        <w:t xml:space="preserve">Exhibit </w:t>
      </w:r>
      <w:r w:rsidR="00F07638">
        <w:t>No. ___(</w:t>
      </w:r>
      <w:r w:rsidRPr="00122468">
        <w:t>DAD</w:t>
      </w:r>
      <w:r w:rsidR="00F07638">
        <w:t>-</w:t>
      </w:r>
      <w:r w:rsidR="006C7CE8" w:rsidRPr="00122468">
        <w:t>3</w:t>
      </w:r>
      <w:r w:rsidR="00F07638">
        <w:t>),</w:t>
      </w:r>
      <w:r w:rsidRPr="00122468">
        <w:t xml:space="preserve"> summarizes the major </w:t>
      </w:r>
      <w:r w:rsidR="00565915" w:rsidRPr="00122468">
        <w:t xml:space="preserve">components </w:t>
      </w:r>
      <w:r w:rsidRPr="00122468">
        <w:t xml:space="preserve">and results of the decoupling mechanism </w:t>
      </w:r>
      <w:r w:rsidR="0043599E">
        <w:t xml:space="preserve">and rate plan activity </w:t>
      </w:r>
      <w:r w:rsidRPr="00122468">
        <w:t xml:space="preserve">by year for the period </w:t>
      </w:r>
      <w:r w:rsidR="002A3233" w:rsidRPr="00122468">
        <w:t>July</w:t>
      </w:r>
      <w:r w:rsidR="00F07638">
        <w:t> </w:t>
      </w:r>
      <w:r w:rsidR="002A3233" w:rsidRPr="00122468">
        <w:t xml:space="preserve">1, </w:t>
      </w:r>
      <w:r w:rsidRPr="00122468">
        <w:t>2013</w:t>
      </w:r>
      <w:r w:rsidR="00F07638">
        <w:t>,</w:t>
      </w:r>
      <w:r w:rsidRPr="00122468">
        <w:t xml:space="preserve"> through </w:t>
      </w:r>
      <w:r w:rsidR="00B9746B" w:rsidRPr="00122468">
        <w:t>September</w:t>
      </w:r>
      <w:r w:rsidR="00F07638">
        <w:t> </w:t>
      </w:r>
      <w:r w:rsidR="00B9746B" w:rsidRPr="00122468">
        <w:t>30, 2016</w:t>
      </w:r>
      <w:r w:rsidR="00F07638">
        <w:t>,</w:t>
      </w:r>
      <w:r w:rsidR="00B9746B" w:rsidRPr="00122468">
        <w:t xml:space="preserve"> </w:t>
      </w:r>
      <w:r w:rsidRPr="00122468">
        <w:t>for both electric and gas operations.</w:t>
      </w:r>
      <w:r w:rsidR="00024D72" w:rsidRPr="00122468">
        <w:t xml:space="preserve"> </w:t>
      </w:r>
      <w:r w:rsidR="002665EB">
        <w:t>Exhibit No.</w:t>
      </w:r>
      <w:r w:rsidR="009F3BFB">
        <w:t> </w:t>
      </w:r>
      <w:r w:rsidR="002665EB">
        <w:t>___(DAD-3) analyzes decoupling and rate plan activity in three major categories</w:t>
      </w:r>
      <w:r w:rsidR="009F3BFB">
        <w:t>:</w:t>
      </w:r>
    </w:p>
    <w:p w:rsidR="009F3BFB" w:rsidRDefault="0043599E" w:rsidP="009F3BFB">
      <w:pPr>
        <w:pStyle w:val="answer"/>
        <w:spacing w:before="0" w:after="280" w:line="240" w:lineRule="auto"/>
        <w:ind w:left="2160" w:right="720"/>
      </w:pPr>
      <w:r>
        <w:t>(i)</w:t>
      </w:r>
      <w:r w:rsidR="009F3BFB">
        <w:tab/>
      </w:r>
      <w:r w:rsidR="002665EB">
        <w:t>decoupling revenue accrued for electric and gas operations (column</w:t>
      </w:r>
      <w:r w:rsidR="009F3BFB">
        <w:t> </w:t>
      </w:r>
      <w:r w:rsidR="002665EB">
        <w:t>B of Exhibit No.</w:t>
      </w:r>
      <w:r w:rsidR="009F3BFB">
        <w:t> </w:t>
      </w:r>
      <w:r w:rsidR="002665EB">
        <w:t>___(DAD-3).</w:t>
      </w:r>
    </w:p>
    <w:p w:rsidR="00723834" w:rsidRDefault="0043599E" w:rsidP="00723834">
      <w:pPr>
        <w:pStyle w:val="answer"/>
        <w:spacing w:before="0" w:after="280" w:line="240" w:lineRule="auto"/>
        <w:ind w:left="2160" w:right="720"/>
      </w:pPr>
      <w:r>
        <w:lastRenderedPageBreak/>
        <w:t>(ii)</w:t>
      </w:r>
      <w:r w:rsidR="009F3BFB">
        <w:tab/>
      </w:r>
      <w:r>
        <w:t>Net Decoupling Activity (column E of Exhibit No.</w:t>
      </w:r>
      <w:r w:rsidR="00723834">
        <w:t> </w:t>
      </w:r>
      <w:r>
        <w:t>___(DAD-3).</w:t>
      </w:r>
      <w:r w:rsidR="00DF4828">
        <w:t xml:space="preserve"> </w:t>
      </w:r>
      <w:r>
        <w:t>For internal accounting and reporting purposes, PSE combines decoupling revenue accrued (column B of Exhibit No.</w:t>
      </w:r>
      <w:r w:rsidR="00723834">
        <w:t> </w:t>
      </w:r>
      <w:r>
        <w:t xml:space="preserve">___(DAD-3), any </w:t>
      </w:r>
      <w:r w:rsidR="00723834">
        <w:t>Generally Accepted Accounting Principles (“</w:t>
      </w:r>
      <w:r>
        <w:t>GAAP</w:t>
      </w:r>
      <w:r w:rsidR="00723834">
        <w:t>”)</w:t>
      </w:r>
      <w:r>
        <w:t xml:space="preserve"> 24</w:t>
      </w:r>
      <w:r w:rsidR="00723834">
        <w:t>-</w:t>
      </w:r>
      <w:r>
        <w:t>month revenue recognition reserves (column C of Exhibit No.</w:t>
      </w:r>
      <w:r w:rsidR="00723834">
        <w:t> </w:t>
      </w:r>
      <w:r>
        <w:t>___(DAD-3), and interest on decoupling deferrals (column D of Exhibit No.</w:t>
      </w:r>
      <w:r w:rsidR="00723834">
        <w:t> </w:t>
      </w:r>
      <w:r>
        <w:t>___(DAD-3)</w:t>
      </w:r>
      <w:r w:rsidR="006563E2">
        <w:t xml:space="preserve"> in a single category, Net Decoupling Activity, to capture all of the major activities related to decoupling.</w:t>
      </w:r>
    </w:p>
    <w:p w:rsidR="006563E2" w:rsidRDefault="006563E2" w:rsidP="00723834">
      <w:pPr>
        <w:pStyle w:val="answer"/>
        <w:spacing w:before="0" w:after="280" w:line="240" w:lineRule="auto"/>
        <w:ind w:left="2160" w:right="720"/>
      </w:pPr>
      <w:r>
        <w:t>(iii)</w:t>
      </w:r>
      <w:r w:rsidR="00723834">
        <w:tab/>
      </w:r>
      <w:r>
        <w:t>Net decoupling and rate plan activity (column</w:t>
      </w:r>
      <w:r w:rsidR="00F151FF">
        <w:t> G</w:t>
      </w:r>
      <w:r w:rsidR="00DF4828">
        <w:t xml:space="preserve"> </w:t>
      </w:r>
      <w:r>
        <w:t>of Exhibit No.</w:t>
      </w:r>
      <w:r w:rsidR="00723834">
        <w:t> </w:t>
      </w:r>
      <w:r>
        <w:t>___(DAD-3) which is comprised of Net Decoupling Activity (column E of Exhibit No.</w:t>
      </w:r>
      <w:r w:rsidR="00723834">
        <w:t> </w:t>
      </w:r>
      <w:r>
        <w:t>___(DAD-3) minus any Sharing of Excess Rate of Return (column F of Exhibit No.</w:t>
      </w:r>
      <w:r w:rsidR="00723834">
        <w:t> </w:t>
      </w:r>
      <w:r>
        <w:t>___(DAD-3).</w:t>
      </w:r>
      <w:r w:rsidR="00DF4828">
        <w:t xml:space="preserve"> </w:t>
      </w:r>
      <w:r>
        <w:t xml:space="preserve">Again for internal accounting and reporting purposes, PSE combines net decoupling activity and sharing of excess rate of return in a single category to capture the total financial impacts </w:t>
      </w:r>
      <w:r w:rsidR="00F151FF">
        <w:t xml:space="preserve">of </w:t>
      </w:r>
      <w:r>
        <w:t>decoupling and rate plan activity.</w:t>
      </w:r>
    </w:p>
    <w:p w:rsidR="00F07638" w:rsidRDefault="00F07638" w:rsidP="00F07638">
      <w:pPr>
        <w:pStyle w:val="question"/>
      </w:pPr>
      <w:r>
        <w:t>Q.</w:t>
      </w:r>
      <w:r>
        <w:tab/>
        <w:t>Please discuss the results of PSE’s decoupling mechanism related to electric operations.</w:t>
      </w:r>
    </w:p>
    <w:p w:rsidR="00F07638" w:rsidRDefault="00F07638" w:rsidP="009276E8">
      <w:pPr>
        <w:pStyle w:val="answer"/>
      </w:pPr>
      <w:r>
        <w:t>A.</w:t>
      </w:r>
      <w:r>
        <w:tab/>
      </w:r>
      <w:r w:rsidR="00591029" w:rsidRPr="00B2053F">
        <w:t xml:space="preserve">For electric operations, </w:t>
      </w:r>
      <w:r>
        <w:t xml:space="preserve">PSE </w:t>
      </w:r>
      <w:r w:rsidR="00591029" w:rsidRPr="00B2053F">
        <w:t>has recorded</w:t>
      </w:r>
      <w:r w:rsidR="00F151FF">
        <w:t>:</w:t>
      </w:r>
    </w:p>
    <w:p w:rsidR="00207934" w:rsidRDefault="00207934" w:rsidP="00207934">
      <w:pPr>
        <w:pStyle w:val="answer"/>
        <w:spacing w:before="0" w:after="280" w:line="240" w:lineRule="auto"/>
        <w:ind w:left="2160" w:right="720"/>
      </w:pPr>
      <w:r>
        <w:t>(i)</w:t>
      </w:r>
      <w:r>
        <w:tab/>
      </w:r>
      <w:r w:rsidRPr="00B2053F">
        <w:t>$58.6</w:t>
      </w:r>
      <w:r w:rsidR="00064654">
        <w:t> </w:t>
      </w:r>
      <w:r w:rsidRPr="00F07638">
        <w:t xml:space="preserve">million of net decoupling revenue </w:t>
      </w:r>
      <w:r w:rsidRPr="00B2053F">
        <w:t>from July</w:t>
      </w:r>
      <w:r>
        <w:t> </w:t>
      </w:r>
      <w:r w:rsidRPr="00B2053F">
        <w:t>1, 2013</w:t>
      </w:r>
      <w:r>
        <w:t>,</w:t>
      </w:r>
      <w:r w:rsidRPr="00B2053F">
        <w:t xml:space="preserve"> to September</w:t>
      </w:r>
      <w:r>
        <w:t> </w:t>
      </w:r>
      <w:r w:rsidRPr="00B2053F">
        <w:t>30, 2016</w:t>
      </w:r>
      <w:r>
        <w:t>. (</w:t>
      </w:r>
      <w:r w:rsidRPr="00F07638">
        <w:rPr>
          <w:i/>
        </w:rPr>
        <w:t>See</w:t>
      </w:r>
      <w:r>
        <w:t xml:space="preserve"> </w:t>
      </w:r>
      <w:r w:rsidRPr="00F07638">
        <w:t>Exhibit No. ___(DAD-3)</w:t>
      </w:r>
      <w:r>
        <w:t xml:space="preserve">, at </w:t>
      </w:r>
      <w:r w:rsidRPr="00F07638">
        <w:t>column B, line 5</w:t>
      </w:r>
      <w:r>
        <w:t xml:space="preserve">.) This </w:t>
      </w:r>
      <w:r w:rsidRPr="00B2053F">
        <w:t>equates to approximately .85% of total electric revenue recorded for that period</w:t>
      </w:r>
      <w:r>
        <w:t>.</w:t>
      </w:r>
      <w:r w:rsidRPr="00B2053F">
        <w:t xml:space="preserve"> (</w:t>
      </w:r>
      <w:r w:rsidRPr="00F07638">
        <w:rPr>
          <w:i/>
        </w:rPr>
        <w:t>See</w:t>
      </w:r>
      <w:r>
        <w:t xml:space="preserve"> </w:t>
      </w:r>
      <w:r w:rsidRPr="00F07638">
        <w:t>Exhibit No. ___(DAD-3)</w:t>
      </w:r>
      <w:r>
        <w:t xml:space="preserve">, at </w:t>
      </w:r>
      <w:r w:rsidRPr="00B2053F">
        <w:t>column</w:t>
      </w:r>
      <w:r>
        <w:t> </w:t>
      </w:r>
      <w:r w:rsidRPr="00B2053F">
        <w:t>I, line</w:t>
      </w:r>
      <w:r>
        <w:t> </w:t>
      </w:r>
      <w:r w:rsidRPr="00B2053F">
        <w:t>5</w:t>
      </w:r>
      <w:r>
        <w:t>.</w:t>
      </w:r>
      <w:r w:rsidRPr="00B2053F">
        <w:t>)</w:t>
      </w:r>
    </w:p>
    <w:p w:rsidR="00F07638" w:rsidRDefault="00F07638" w:rsidP="00F07638">
      <w:pPr>
        <w:pStyle w:val="answer"/>
        <w:spacing w:before="0" w:after="280" w:line="240" w:lineRule="auto"/>
        <w:ind w:left="2160" w:right="720"/>
      </w:pPr>
      <w:r>
        <w:t>(ii)</w:t>
      </w:r>
      <w:r>
        <w:tab/>
      </w:r>
      <w:r w:rsidR="00B9746B" w:rsidRPr="00F07638">
        <w:t>$</w:t>
      </w:r>
      <w:r w:rsidR="00BC7C89" w:rsidRPr="00F07638">
        <w:t>60.6</w:t>
      </w:r>
      <w:r w:rsidRPr="00F07638">
        <w:t> </w:t>
      </w:r>
      <w:r w:rsidR="00565915" w:rsidRPr="00F07638">
        <w:t xml:space="preserve">million of </w:t>
      </w:r>
      <w:r w:rsidR="00D2457C" w:rsidRPr="00F07638">
        <w:t xml:space="preserve">net </w:t>
      </w:r>
      <w:r w:rsidR="00565915" w:rsidRPr="00F07638">
        <w:t xml:space="preserve">decoupling </w:t>
      </w:r>
      <w:r w:rsidR="00E53628" w:rsidRPr="00F07638">
        <w:t>activity</w:t>
      </w:r>
      <w:r w:rsidR="00565915" w:rsidRPr="00B2053F">
        <w:t xml:space="preserve"> </w:t>
      </w:r>
      <w:r w:rsidR="00D2457C" w:rsidRPr="00B2053F">
        <w:t>from July</w:t>
      </w:r>
      <w:r>
        <w:t> </w:t>
      </w:r>
      <w:r w:rsidR="00D2457C" w:rsidRPr="00B2053F">
        <w:t>1, 2013</w:t>
      </w:r>
      <w:r>
        <w:t>,</w:t>
      </w:r>
      <w:r w:rsidR="00D2457C" w:rsidRPr="00B2053F">
        <w:t xml:space="preserve"> to </w:t>
      </w:r>
      <w:r w:rsidR="00B9746B" w:rsidRPr="00B2053F">
        <w:t>September</w:t>
      </w:r>
      <w:r>
        <w:t> </w:t>
      </w:r>
      <w:r w:rsidR="00B9746B" w:rsidRPr="00B2053F">
        <w:t>30, 2016</w:t>
      </w:r>
      <w:r>
        <w:t>. (</w:t>
      </w:r>
      <w:r w:rsidRPr="00F07638">
        <w:rPr>
          <w:i/>
        </w:rPr>
        <w:t>See</w:t>
      </w:r>
      <w:r>
        <w:t xml:space="preserve"> </w:t>
      </w:r>
      <w:r w:rsidRPr="00F07638">
        <w:t>Exhibit No. ___(DAD-3)</w:t>
      </w:r>
      <w:r>
        <w:t xml:space="preserve">, at </w:t>
      </w:r>
      <w:r w:rsidRPr="00B2053F">
        <w:t>column</w:t>
      </w:r>
      <w:r>
        <w:t> </w:t>
      </w:r>
      <w:r w:rsidRPr="00B2053F">
        <w:t>E, line</w:t>
      </w:r>
      <w:r>
        <w:t> </w:t>
      </w:r>
      <w:r w:rsidRPr="00B2053F">
        <w:t>5</w:t>
      </w:r>
      <w:r>
        <w:t>.</w:t>
      </w:r>
      <w:r w:rsidRPr="00B2053F">
        <w:t>)</w:t>
      </w:r>
      <w:r>
        <w:t xml:space="preserve"> This </w:t>
      </w:r>
      <w:r w:rsidR="00565915" w:rsidRPr="00B2053F">
        <w:t>equates to</w:t>
      </w:r>
      <w:r w:rsidR="00B9746B" w:rsidRPr="00B2053F">
        <w:t xml:space="preserve"> approximately </w:t>
      </w:r>
      <w:r w:rsidR="00BC7C89" w:rsidRPr="00B2053F">
        <w:t>.88</w:t>
      </w:r>
      <w:r w:rsidR="00565915" w:rsidRPr="00B2053F">
        <w:t xml:space="preserve">% of total </w:t>
      </w:r>
      <w:r w:rsidR="00591029" w:rsidRPr="00B2053F">
        <w:t xml:space="preserve">electric </w:t>
      </w:r>
      <w:r w:rsidR="00565915" w:rsidRPr="00B2053F">
        <w:t>revenue recorded</w:t>
      </w:r>
      <w:r w:rsidR="00D2457C" w:rsidRPr="00B2053F">
        <w:t xml:space="preserve"> during that period</w:t>
      </w:r>
      <w:r>
        <w:t>. (</w:t>
      </w:r>
      <w:r w:rsidRPr="00F07638">
        <w:rPr>
          <w:i/>
        </w:rPr>
        <w:t>See</w:t>
      </w:r>
      <w:r>
        <w:t xml:space="preserve"> </w:t>
      </w:r>
      <w:r w:rsidRPr="00F07638">
        <w:t>Exhibit No. ___(DAD-3)</w:t>
      </w:r>
      <w:r>
        <w:t xml:space="preserve">, at </w:t>
      </w:r>
      <w:r w:rsidR="00D63A59" w:rsidRPr="00B2053F">
        <w:t>column</w:t>
      </w:r>
      <w:r>
        <w:t> </w:t>
      </w:r>
      <w:r w:rsidR="00207934">
        <w:t>J</w:t>
      </w:r>
      <w:r w:rsidR="00D63A59" w:rsidRPr="00B2053F">
        <w:t>, line</w:t>
      </w:r>
      <w:r>
        <w:t> </w:t>
      </w:r>
      <w:r w:rsidR="00D63A59" w:rsidRPr="00B2053F">
        <w:t>5</w:t>
      </w:r>
      <w:r>
        <w:t>.)</w:t>
      </w:r>
    </w:p>
    <w:p w:rsidR="009276E8" w:rsidRDefault="00F07638" w:rsidP="00F07638">
      <w:pPr>
        <w:pStyle w:val="answer"/>
        <w:spacing w:before="0" w:after="280" w:line="240" w:lineRule="auto"/>
        <w:ind w:left="2160" w:right="720"/>
      </w:pPr>
      <w:r w:rsidRPr="00F07638">
        <w:t>(iii)</w:t>
      </w:r>
      <w:r w:rsidRPr="00F07638">
        <w:tab/>
      </w:r>
      <w:r w:rsidR="00E623EE" w:rsidRPr="00F07638">
        <w:t>$</w:t>
      </w:r>
      <w:r w:rsidR="00BC7C89" w:rsidRPr="00F07638">
        <w:t>44</w:t>
      </w:r>
      <w:r w:rsidR="00064654">
        <w:t> </w:t>
      </w:r>
      <w:r w:rsidR="00E623EE" w:rsidRPr="00F07638">
        <w:t>million of net decoupling</w:t>
      </w:r>
      <w:r w:rsidRPr="00F07638">
        <w:t xml:space="preserve"> </w:t>
      </w:r>
      <w:r w:rsidR="00E623EE" w:rsidRPr="00F07638">
        <w:t>and rate plan activity</w:t>
      </w:r>
      <w:r w:rsidR="00D63A59" w:rsidRPr="00F07638">
        <w:t xml:space="preserve"> </w:t>
      </w:r>
      <w:r w:rsidR="00E623EE" w:rsidRPr="00B2053F">
        <w:t>from July 1, 2013 to September 30, 2016</w:t>
      </w:r>
      <w:r>
        <w:t>. (</w:t>
      </w:r>
      <w:r w:rsidRPr="00F07638">
        <w:rPr>
          <w:i/>
        </w:rPr>
        <w:t>See</w:t>
      </w:r>
      <w:r>
        <w:t xml:space="preserve"> </w:t>
      </w:r>
      <w:r w:rsidRPr="00F07638">
        <w:t>Exhibit No. ___(DAD-3)</w:t>
      </w:r>
      <w:r>
        <w:t xml:space="preserve">, at </w:t>
      </w:r>
      <w:r w:rsidRPr="00B2053F">
        <w:t>column</w:t>
      </w:r>
      <w:r>
        <w:t> G</w:t>
      </w:r>
      <w:r w:rsidRPr="00B2053F">
        <w:t>, line</w:t>
      </w:r>
      <w:r>
        <w:t> </w:t>
      </w:r>
      <w:r w:rsidRPr="00B2053F">
        <w:t>5</w:t>
      </w:r>
      <w:r>
        <w:t>.</w:t>
      </w:r>
      <w:r w:rsidRPr="00B2053F">
        <w:t>)</w:t>
      </w:r>
      <w:r>
        <w:t xml:space="preserve"> This</w:t>
      </w:r>
      <w:r w:rsidR="00E623EE" w:rsidRPr="00B2053F">
        <w:t xml:space="preserve"> equates to approximately</w:t>
      </w:r>
      <w:r w:rsidR="00BC7C89" w:rsidRPr="00B2053F">
        <w:t xml:space="preserve"> .64</w:t>
      </w:r>
      <w:r w:rsidR="00E623EE" w:rsidRPr="00B2053F">
        <w:t>% of total electric revenue recorded during that period</w:t>
      </w:r>
      <w:r>
        <w:t>. (</w:t>
      </w:r>
      <w:r w:rsidRPr="00F07638">
        <w:rPr>
          <w:i/>
        </w:rPr>
        <w:t>See</w:t>
      </w:r>
      <w:r>
        <w:t xml:space="preserve"> </w:t>
      </w:r>
      <w:r w:rsidRPr="00F07638">
        <w:t>Exhibit No. ___(DAD-3)</w:t>
      </w:r>
      <w:r>
        <w:t xml:space="preserve">, at </w:t>
      </w:r>
      <w:r w:rsidRPr="00B2053F">
        <w:t>column</w:t>
      </w:r>
      <w:r>
        <w:t> </w:t>
      </w:r>
      <w:r w:rsidR="00207934">
        <w:t>K</w:t>
      </w:r>
      <w:r w:rsidRPr="00B2053F">
        <w:t>, line</w:t>
      </w:r>
      <w:r>
        <w:t> </w:t>
      </w:r>
      <w:r w:rsidRPr="00B2053F">
        <w:t>5</w:t>
      </w:r>
      <w:r>
        <w:t>.</w:t>
      </w:r>
      <w:r w:rsidRPr="00B2053F">
        <w:t>)</w:t>
      </w:r>
    </w:p>
    <w:p w:rsidR="009D6190" w:rsidRDefault="00565915" w:rsidP="00F07638">
      <w:pPr>
        <w:pStyle w:val="answer"/>
        <w:ind w:firstLine="0"/>
      </w:pPr>
      <w:r w:rsidRPr="00B2053F">
        <w:lastRenderedPageBreak/>
        <w:t xml:space="preserve">It is noteworthy that the </w:t>
      </w:r>
      <w:r w:rsidR="00F07638">
        <w:t xml:space="preserve">electric decoupling </w:t>
      </w:r>
      <w:r w:rsidRPr="00B2053F">
        <w:t>mechanism operated properly</w:t>
      </w:r>
      <w:r w:rsidR="00D2457C" w:rsidRPr="00B2053F">
        <w:t xml:space="preserve"> in both directions based on whether billed revenues exceeded or fell short of fixed revenues per customer</w:t>
      </w:r>
      <w:r w:rsidR="00E425EC" w:rsidRPr="00B2053F">
        <w:t xml:space="preserve"> during any given month</w:t>
      </w:r>
      <w:r w:rsidR="00D2457C" w:rsidRPr="00B2053F">
        <w:t>.</w:t>
      </w:r>
    </w:p>
    <w:p w:rsidR="00F07638" w:rsidRDefault="00F07638" w:rsidP="00F07638">
      <w:pPr>
        <w:pStyle w:val="answer"/>
        <w:ind w:firstLine="0"/>
      </w:pPr>
      <w:r>
        <w:t xml:space="preserve">Additionally, PSE </w:t>
      </w:r>
      <w:r w:rsidR="00E425EC" w:rsidRPr="00B2053F">
        <w:t>recorded</w:t>
      </w:r>
      <w:r w:rsidR="00C64280" w:rsidRPr="00B2053F">
        <w:t xml:space="preserve"> </w:t>
      </w:r>
      <w:r>
        <w:t xml:space="preserve">the following </w:t>
      </w:r>
      <w:r w:rsidR="00C64280" w:rsidRPr="00B2053F">
        <w:t>for electric operations</w:t>
      </w:r>
      <w:r>
        <w:t xml:space="preserve"> </w:t>
      </w:r>
      <w:r w:rsidRPr="00B2053F">
        <w:t>for the period July</w:t>
      </w:r>
      <w:r>
        <w:t> </w:t>
      </w:r>
      <w:r w:rsidRPr="00B2053F">
        <w:t>1, 2013</w:t>
      </w:r>
      <w:r>
        <w:t>,</w:t>
      </w:r>
      <w:r w:rsidRPr="00B2053F">
        <w:t xml:space="preserve"> to September</w:t>
      </w:r>
      <w:r>
        <w:t> </w:t>
      </w:r>
      <w:r w:rsidRPr="00B2053F">
        <w:t>30, 2016</w:t>
      </w:r>
      <w:r w:rsidR="00F151FF">
        <w:t>:</w:t>
      </w:r>
    </w:p>
    <w:p w:rsidR="00F07638" w:rsidRDefault="00F07638" w:rsidP="00F07638">
      <w:pPr>
        <w:pStyle w:val="answer"/>
        <w:spacing w:before="0" w:after="280" w:line="240" w:lineRule="auto"/>
        <w:ind w:left="2160" w:right="720"/>
      </w:pPr>
      <w:r>
        <w:t>(i)</w:t>
      </w:r>
      <w:r>
        <w:tab/>
      </w:r>
      <w:r w:rsidR="00C01E1B" w:rsidRPr="00B2053F">
        <w:t>an immaterial reserve for decoupling revenues that will not be collected within 24</w:t>
      </w:r>
      <w:r>
        <w:t> </w:t>
      </w:r>
      <w:r w:rsidR="00C01E1B" w:rsidRPr="00B2053F">
        <w:t xml:space="preserve">months in accordance with </w:t>
      </w:r>
      <w:r w:rsidR="00A9653F">
        <w:t>Generally Accepted Accounting Principles (“</w:t>
      </w:r>
      <w:r w:rsidR="00C01E1B" w:rsidRPr="00B2053F">
        <w:t>GAAP</w:t>
      </w:r>
      <w:r w:rsidR="00A9653F">
        <w:t>”)</w:t>
      </w:r>
      <w:r w:rsidR="00C01E1B" w:rsidRPr="00B2053F">
        <w:t xml:space="preserve"> </w:t>
      </w:r>
      <w:r>
        <w:t>(</w:t>
      </w:r>
      <w:r w:rsidRPr="00F07638">
        <w:rPr>
          <w:i/>
        </w:rPr>
        <w:t>see</w:t>
      </w:r>
      <w:r>
        <w:t xml:space="preserve"> Exhibit ___(DAD-3) at </w:t>
      </w:r>
      <w:r w:rsidR="00C01E1B" w:rsidRPr="00B2053F">
        <w:t>column</w:t>
      </w:r>
      <w:r>
        <w:t> </w:t>
      </w:r>
      <w:r w:rsidR="00C01E1B" w:rsidRPr="00B2053F">
        <w:t>C, line</w:t>
      </w:r>
      <w:r>
        <w:t> </w:t>
      </w:r>
      <w:r w:rsidR="00C01E1B" w:rsidRPr="00B2053F">
        <w:t>5</w:t>
      </w:r>
      <w:r>
        <w:t>)</w:t>
      </w:r>
      <w:r w:rsidR="00F717A9" w:rsidRPr="00B2053F">
        <w:t>;</w:t>
      </w:r>
    </w:p>
    <w:p w:rsidR="00F07638" w:rsidRDefault="00F07638" w:rsidP="00F07638">
      <w:pPr>
        <w:pStyle w:val="answer"/>
        <w:spacing w:before="0" w:after="280" w:line="240" w:lineRule="auto"/>
        <w:ind w:left="2160" w:right="720"/>
      </w:pPr>
      <w:r>
        <w:t>(ii)</w:t>
      </w:r>
      <w:r>
        <w:tab/>
      </w:r>
      <w:r w:rsidR="008D70FF" w:rsidRPr="00B2053F">
        <w:t>total accrued interest</w:t>
      </w:r>
      <w:r w:rsidR="00C14F12" w:rsidRPr="00B2053F">
        <w:t xml:space="preserve"> of</w:t>
      </w:r>
      <w:r w:rsidR="008D70FF" w:rsidRPr="00B2053F">
        <w:t xml:space="preserve"> $2.4</w:t>
      </w:r>
      <w:r>
        <w:t> </w:t>
      </w:r>
      <w:r w:rsidR="008D70FF" w:rsidRPr="00B2053F">
        <w:t>million</w:t>
      </w:r>
      <w:r w:rsidR="00E63461" w:rsidRPr="00B2053F">
        <w:t xml:space="preserve"> </w:t>
      </w:r>
      <w:r>
        <w:t>(</w:t>
      </w:r>
      <w:r w:rsidRPr="00F07638">
        <w:rPr>
          <w:i/>
        </w:rPr>
        <w:t>see</w:t>
      </w:r>
      <w:r>
        <w:t xml:space="preserve"> Exhibit ___(DAD-3) at </w:t>
      </w:r>
      <w:r w:rsidR="00C14F12" w:rsidRPr="00B2053F">
        <w:t>column</w:t>
      </w:r>
      <w:r>
        <w:t> </w:t>
      </w:r>
      <w:r w:rsidR="00C14F12" w:rsidRPr="00B2053F">
        <w:t>D, line</w:t>
      </w:r>
      <w:r>
        <w:t> </w:t>
      </w:r>
      <w:r w:rsidR="00C14F12" w:rsidRPr="00B2053F">
        <w:t>5</w:t>
      </w:r>
      <w:r>
        <w:t xml:space="preserve">); </w:t>
      </w:r>
      <w:r w:rsidR="00C01E1B" w:rsidRPr="00B2053F">
        <w:t>and</w:t>
      </w:r>
    </w:p>
    <w:p w:rsidR="00F07638" w:rsidRDefault="00F07638" w:rsidP="00F07638">
      <w:pPr>
        <w:pStyle w:val="answer"/>
        <w:spacing w:before="0" w:after="280" w:line="240" w:lineRule="auto"/>
        <w:ind w:left="2160" w:right="720"/>
      </w:pPr>
      <w:r>
        <w:t>(iii)</w:t>
      </w:r>
      <w:r>
        <w:tab/>
        <w:t xml:space="preserve">excess earnings of </w:t>
      </w:r>
      <w:r w:rsidR="00C01E1B" w:rsidRPr="00B2053F">
        <w:t>$16.5</w:t>
      </w:r>
      <w:r>
        <w:t> </w:t>
      </w:r>
      <w:r w:rsidR="00C01E1B" w:rsidRPr="00B2053F">
        <w:t xml:space="preserve">million through the earnings sharing mechanism </w:t>
      </w:r>
      <w:r>
        <w:t>(</w:t>
      </w:r>
      <w:r w:rsidRPr="00F07638">
        <w:rPr>
          <w:i/>
        </w:rPr>
        <w:t>see</w:t>
      </w:r>
      <w:r>
        <w:t xml:space="preserve"> Exhibit ___(DAD-3) at </w:t>
      </w:r>
      <w:r w:rsidR="00C01E1B" w:rsidRPr="00B2053F">
        <w:t>column</w:t>
      </w:r>
      <w:r>
        <w:t> </w:t>
      </w:r>
      <w:r w:rsidR="00C01E1B" w:rsidRPr="00B2053F">
        <w:t>F</w:t>
      </w:r>
      <w:r w:rsidR="00C64280" w:rsidRPr="00B2053F">
        <w:t xml:space="preserve">, </w:t>
      </w:r>
      <w:r w:rsidR="00C01E1B" w:rsidRPr="00B2053F">
        <w:t>line</w:t>
      </w:r>
      <w:r>
        <w:t> </w:t>
      </w:r>
      <w:r w:rsidR="00C01E1B" w:rsidRPr="00B2053F">
        <w:t>5</w:t>
      </w:r>
      <w:r>
        <w:t>)</w:t>
      </w:r>
      <w:r w:rsidR="008D70FF" w:rsidRPr="00B2053F">
        <w:t>.</w:t>
      </w:r>
    </w:p>
    <w:p w:rsidR="009D6190" w:rsidRDefault="00C01E1B" w:rsidP="00F07638">
      <w:pPr>
        <w:pStyle w:val="answer"/>
        <w:ind w:firstLine="0"/>
      </w:pPr>
      <w:r w:rsidRPr="00B2053F">
        <w:t xml:space="preserve">Each of these </w:t>
      </w:r>
      <w:r w:rsidR="00F07638">
        <w:t xml:space="preserve">results </w:t>
      </w:r>
      <w:r w:rsidR="00B612FF">
        <w:t xml:space="preserve">are </w:t>
      </w:r>
      <w:r w:rsidR="00C14F12" w:rsidRPr="00B2053F">
        <w:t xml:space="preserve">discussed in further detail later in </w:t>
      </w:r>
      <w:r w:rsidR="00F07638">
        <w:t xml:space="preserve">this </w:t>
      </w:r>
      <w:r w:rsidR="00C14F12" w:rsidRPr="00B2053F">
        <w:t>testimony</w:t>
      </w:r>
      <w:r w:rsidR="009276E8">
        <w:t>.</w:t>
      </w:r>
    </w:p>
    <w:p w:rsidR="00F860AC" w:rsidRPr="009276E8" w:rsidRDefault="00F717A9" w:rsidP="00F07638">
      <w:pPr>
        <w:pStyle w:val="answer"/>
        <w:ind w:firstLine="0"/>
      </w:pPr>
      <w:r w:rsidRPr="00B2053F">
        <w:rPr>
          <w:szCs w:val="24"/>
        </w:rPr>
        <w:t>Finally, during the period July</w:t>
      </w:r>
      <w:r w:rsidR="00F07638">
        <w:rPr>
          <w:szCs w:val="24"/>
        </w:rPr>
        <w:t> </w:t>
      </w:r>
      <w:r w:rsidRPr="00B2053F">
        <w:rPr>
          <w:szCs w:val="24"/>
        </w:rPr>
        <w:t>1, 2013</w:t>
      </w:r>
      <w:r w:rsidR="00F07638">
        <w:rPr>
          <w:szCs w:val="24"/>
        </w:rPr>
        <w:t>,</w:t>
      </w:r>
      <w:r w:rsidRPr="00B2053F">
        <w:rPr>
          <w:szCs w:val="24"/>
        </w:rPr>
        <w:t xml:space="preserve"> to September</w:t>
      </w:r>
      <w:r w:rsidR="00F07638">
        <w:rPr>
          <w:szCs w:val="24"/>
        </w:rPr>
        <w:t> </w:t>
      </w:r>
      <w:r w:rsidRPr="00B2053F">
        <w:rPr>
          <w:szCs w:val="24"/>
        </w:rPr>
        <w:t xml:space="preserve">30, 2016, </w:t>
      </w:r>
      <w:r w:rsidR="00F07638">
        <w:rPr>
          <w:szCs w:val="24"/>
        </w:rPr>
        <w:t xml:space="preserve">PSE </w:t>
      </w:r>
      <w:r w:rsidRPr="00B2053F">
        <w:rPr>
          <w:szCs w:val="24"/>
        </w:rPr>
        <w:t>collected $8.6</w:t>
      </w:r>
      <w:r w:rsidR="00F07638">
        <w:rPr>
          <w:szCs w:val="24"/>
        </w:rPr>
        <w:t> </w:t>
      </w:r>
      <w:r w:rsidRPr="00B2053F">
        <w:rPr>
          <w:szCs w:val="24"/>
        </w:rPr>
        <w:t>million of net decoupling revenue in cash</w:t>
      </w:r>
      <w:r w:rsidR="00F07638">
        <w:rPr>
          <w:szCs w:val="24"/>
        </w:rPr>
        <w:t>. (</w:t>
      </w:r>
      <w:r w:rsidR="00F07638" w:rsidRPr="00F07638">
        <w:rPr>
          <w:i/>
          <w:szCs w:val="24"/>
        </w:rPr>
        <w:t>See</w:t>
      </w:r>
      <w:r w:rsidR="00F07638">
        <w:rPr>
          <w:szCs w:val="24"/>
        </w:rPr>
        <w:t xml:space="preserve"> Exhibit No. ___(DAD-3) at </w:t>
      </w:r>
      <w:r w:rsidRPr="00B2053F">
        <w:rPr>
          <w:szCs w:val="24"/>
        </w:rPr>
        <w:t>column</w:t>
      </w:r>
      <w:r w:rsidR="00F07638">
        <w:rPr>
          <w:szCs w:val="24"/>
        </w:rPr>
        <w:t> </w:t>
      </w:r>
      <w:r w:rsidRPr="00B2053F">
        <w:rPr>
          <w:szCs w:val="24"/>
        </w:rPr>
        <w:t>L, line</w:t>
      </w:r>
      <w:r w:rsidR="00F07638">
        <w:rPr>
          <w:szCs w:val="24"/>
        </w:rPr>
        <w:t> </w:t>
      </w:r>
      <w:r w:rsidRPr="00B2053F">
        <w:rPr>
          <w:szCs w:val="24"/>
        </w:rPr>
        <w:t>5</w:t>
      </w:r>
      <w:r w:rsidR="00F07638">
        <w:rPr>
          <w:szCs w:val="24"/>
        </w:rPr>
        <w:t>.</w:t>
      </w:r>
      <w:r w:rsidRPr="00B2053F">
        <w:rPr>
          <w:szCs w:val="24"/>
        </w:rPr>
        <w:t>) The total net cash collections are not directly comparable to the total net decouplin</w:t>
      </w:r>
      <w:r w:rsidR="008C3CAA">
        <w:rPr>
          <w:szCs w:val="24"/>
        </w:rPr>
        <w:t>g revenue accrued during the 39-</w:t>
      </w:r>
      <w:r w:rsidRPr="00B2053F">
        <w:rPr>
          <w:szCs w:val="24"/>
        </w:rPr>
        <w:t xml:space="preserve">month period analyzed on Exhibit </w:t>
      </w:r>
      <w:r w:rsidR="00F07638">
        <w:rPr>
          <w:szCs w:val="24"/>
        </w:rPr>
        <w:t>No. ___(</w:t>
      </w:r>
      <w:r w:rsidRPr="00B2053F">
        <w:rPr>
          <w:szCs w:val="24"/>
        </w:rPr>
        <w:t>DAD-3</w:t>
      </w:r>
      <w:r w:rsidR="00F07638">
        <w:rPr>
          <w:szCs w:val="24"/>
        </w:rPr>
        <w:t>)</w:t>
      </w:r>
      <w:r w:rsidRPr="00B2053F">
        <w:rPr>
          <w:szCs w:val="24"/>
        </w:rPr>
        <w:t>, because decoupling revenue</w:t>
      </w:r>
      <w:r w:rsidR="008C3CAA">
        <w:rPr>
          <w:szCs w:val="24"/>
        </w:rPr>
        <w:t>s are accrued during</w:t>
      </w:r>
      <w:r w:rsidR="00DF4828">
        <w:rPr>
          <w:szCs w:val="24"/>
        </w:rPr>
        <w:t xml:space="preserve"> </w:t>
      </w:r>
      <w:r w:rsidR="008C3CAA">
        <w:rPr>
          <w:szCs w:val="24"/>
        </w:rPr>
        <w:t>the 12-</w:t>
      </w:r>
      <w:r w:rsidRPr="00B2053F">
        <w:rPr>
          <w:szCs w:val="24"/>
        </w:rPr>
        <w:t>month period ending December</w:t>
      </w:r>
      <w:r w:rsidR="00F07638">
        <w:rPr>
          <w:szCs w:val="24"/>
        </w:rPr>
        <w:t> </w:t>
      </w:r>
      <w:r w:rsidRPr="00B2053F">
        <w:rPr>
          <w:szCs w:val="24"/>
        </w:rPr>
        <w:t>31, but net cash is collected or refunded during the 12-month period beginning May</w:t>
      </w:r>
      <w:r w:rsidR="00F07638">
        <w:rPr>
          <w:szCs w:val="24"/>
        </w:rPr>
        <w:t xml:space="preserve"> 1 of the following year. </w:t>
      </w:r>
      <w:r w:rsidRPr="00B2053F">
        <w:rPr>
          <w:szCs w:val="24"/>
        </w:rPr>
        <w:t>Accordingly, cash collections or refunds lag the initial recording of decoupling revenue.</w:t>
      </w:r>
    </w:p>
    <w:p w:rsidR="00334AAB" w:rsidRPr="00B06379" w:rsidRDefault="00F07638" w:rsidP="00B06379">
      <w:pPr>
        <w:pStyle w:val="question"/>
      </w:pPr>
      <w:r>
        <w:lastRenderedPageBreak/>
        <w:t>Q.</w:t>
      </w:r>
      <w:r>
        <w:tab/>
        <w:t xml:space="preserve">Please discuss the results of PSE’s decoupling mechanism related to </w:t>
      </w:r>
      <w:r w:rsidR="00334AAB" w:rsidRPr="00024D72">
        <w:t>gas operations.</w:t>
      </w:r>
    </w:p>
    <w:p w:rsidR="00F07638" w:rsidRDefault="00F07638" w:rsidP="00F07638">
      <w:pPr>
        <w:pStyle w:val="answer"/>
      </w:pPr>
      <w:r>
        <w:t>A.</w:t>
      </w:r>
      <w:r>
        <w:tab/>
      </w:r>
      <w:r w:rsidRPr="00B2053F">
        <w:t xml:space="preserve">For </w:t>
      </w:r>
      <w:r>
        <w:t xml:space="preserve">gas </w:t>
      </w:r>
      <w:r w:rsidRPr="00B2053F">
        <w:t xml:space="preserve">operations, </w:t>
      </w:r>
      <w:r>
        <w:t xml:space="preserve">PSE </w:t>
      </w:r>
      <w:r w:rsidRPr="00B2053F">
        <w:t>has recorded</w:t>
      </w:r>
      <w:r w:rsidR="00F151FF">
        <w:t>:</w:t>
      </w:r>
    </w:p>
    <w:p w:rsidR="00207934" w:rsidRDefault="00207934" w:rsidP="00207934">
      <w:pPr>
        <w:pStyle w:val="answer"/>
        <w:spacing w:before="0" w:after="280" w:line="240" w:lineRule="auto"/>
        <w:ind w:left="2160" w:right="720"/>
      </w:pPr>
      <w:r>
        <w:t>(i)</w:t>
      </w:r>
      <w:r>
        <w:tab/>
      </w:r>
      <w:r w:rsidRPr="00B2053F">
        <w:t>$</w:t>
      </w:r>
      <w:r>
        <w:t>115</w:t>
      </w:r>
      <w:r w:rsidRPr="00B2053F">
        <w:t>.</w:t>
      </w:r>
      <w:r>
        <w:t>7</w:t>
      </w:r>
      <w:r w:rsidR="00064654">
        <w:t> </w:t>
      </w:r>
      <w:r w:rsidRPr="00F07638">
        <w:t xml:space="preserve">million of net decoupling revenue </w:t>
      </w:r>
      <w:r w:rsidRPr="00B2053F">
        <w:t>from July</w:t>
      </w:r>
      <w:r>
        <w:t> </w:t>
      </w:r>
      <w:r w:rsidRPr="00B2053F">
        <w:t>1, 2013</w:t>
      </w:r>
      <w:r>
        <w:t>,</w:t>
      </w:r>
      <w:r w:rsidRPr="00B2053F">
        <w:t xml:space="preserve"> to September</w:t>
      </w:r>
      <w:r>
        <w:t> </w:t>
      </w:r>
      <w:r w:rsidRPr="00B2053F">
        <w:t>30, 2016</w:t>
      </w:r>
      <w:r>
        <w:t>. (</w:t>
      </w:r>
      <w:r w:rsidRPr="00207934">
        <w:t>See</w:t>
      </w:r>
      <w:r>
        <w:t xml:space="preserve"> </w:t>
      </w:r>
      <w:r w:rsidRPr="00F07638">
        <w:t>Exhibit No. ___(DAD-3)</w:t>
      </w:r>
      <w:r>
        <w:t xml:space="preserve">, at </w:t>
      </w:r>
      <w:r w:rsidRPr="00F07638">
        <w:t>column B, line </w:t>
      </w:r>
      <w:r>
        <w:t xml:space="preserve">10.) This </w:t>
      </w:r>
      <w:r w:rsidRPr="00B2053F">
        <w:t xml:space="preserve">equates to approximately </w:t>
      </w:r>
      <w:r>
        <w:t>3</w:t>
      </w:r>
      <w:r w:rsidRPr="00B2053F">
        <w:t>.8</w:t>
      </w:r>
      <w:r>
        <w:t>2</w:t>
      </w:r>
      <w:r w:rsidRPr="00B2053F">
        <w:t xml:space="preserve">% of total </w:t>
      </w:r>
      <w:r>
        <w:t xml:space="preserve">gas </w:t>
      </w:r>
      <w:r w:rsidRPr="00B2053F">
        <w:t>revenue recorded for that period</w:t>
      </w:r>
      <w:r>
        <w:t>.</w:t>
      </w:r>
      <w:r w:rsidRPr="00B2053F">
        <w:t xml:space="preserve"> (</w:t>
      </w:r>
      <w:r w:rsidRPr="00207934">
        <w:t>See</w:t>
      </w:r>
      <w:r>
        <w:t xml:space="preserve"> </w:t>
      </w:r>
      <w:r w:rsidRPr="00F07638">
        <w:t>Exhibit No. ___(DAD-3)</w:t>
      </w:r>
      <w:r>
        <w:t xml:space="preserve">, at </w:t>
      </w:r>
      <w:r w:rsidRPr="00B2053F">
        <w:t>column</w:t>
      </w:r>
      <w:r>
        <w:t> </w:t>
      </w:r>
      <w:r w:rsidR="00F151FF">
        <w:t>I</w:t>
      </w:r>
      <w:r w:rsidRPr="00B2053F">
        <w:t>, line</w:t>
      </w:r>
      <w:r>
        <w:t> 10</w:t>
      </w:r>
      <w:r w:rsidR="00F151FF">
        <w:t>.)</w:t>
      </w:r>
    </w:p>
    <w:p w:rsidR="00F07638" w:rsidRDefault="00F07638" w:rsidP="00F07638">
      <w:pPr>
        <w:pStyle w:val="answer"/>
        <w:spacing w:before="0" w:after="280" w:line="240" w:lineRule="auto"/>
        <w:ind w:left="2160" w:right="720"/>
      </w:pPr>
      <w:r>
        <w:t>(ii)</w:t>
      </w:r>
      <w:r>
        <w:tab/>
      </w:r>
      <w:r w:rsidRPr="00F07638">
        <w:t>$</w:t>
      </w:r>
      <w:r>
        <w:t>106</w:t>
      </w:r>
      <w:r w:rsidRPr="00F07638">
        <w:t>.</w:t>
      </w:r>
      <w:r>
        <w:t>8</w:t>
      </w:r>
      <w:r w:rsidRPr="00F07638">
        <w:t> million of net decoupling activity</w:t>
      </w:r>
      <w:r w:rsidRPr="00B2053F">
        <w:t xml:space="preserve"> from July</w:t>
      </w:r>
      <w:r>
        <w:t> </w:t>
      </w:r>
      <w:r w:rsidRPr="00B2053F">
        <w:t>1, 2013</w:t>
      </w:r>
      <w:r>
        <w:t>,</w:t>
      </w:r>
      <w:r w:rsidRPr="00B2053F">
        <w:t xml:space="preserve"> to September</w:t>
      </w:r>
      <w:r>
        <w:t> </w:t>
      </w:r>
      <w:r w:rsidRPr="00B2053F">
        <w:t>30, 2016</w:t>
      </w:r>
      <w:r>
        <w:t>. (</w:t>
      </w:r>
      <w:r w:rsidRPr="00F07638">
        <w:rPr>
          <w:i/>
        </w:rPr>
        <w:t>See</w:t>
      </w:r>
      <w:r>
        <w:t xml:space="preserve"> </w:t>
      </w:r>
      <w:r w:rsidRPr="00F07638">
        <w:t>Exhibit No. ___(DAD-3)</w:t>
      </w:r>
      <w:r>
        <w:t xml:space="preserve">, at </w:t>
      </w:r>
      <w:r w:rsidRPr="00B2053F">
        <w:t>column</w:t>
      </w:r>
      <w:r>
        <w:t> </w:t>
      </w:r>
      <w:r w:rsidRPr="00B2053F">
        <w:t>E, line</w:t>
      </w:r>
      <w:r>
        <w:t> 10.</w:t>
      </w:r>
      <w:r w:rsidRPr="00B2053F">
        <w:t>)</w:t>
      </w:r>
      <w:r>
        <w:t xml:space="preserve"> This </w:t>
      </w:r>
      <w:r w:rsidRPr="00B2053F">
        <w:t xml:space="preserve">equates to approximately </w:t>
      </w:r>
      <w:r>
        <w:t>3</w:t>
      </w:r>
      <w:r w:rsidRPr="00B2053F">
        <w:t>.</w:t>
      </w:r>
      <w:r>
        <w:t>53</w:t>
      </w:r>
      <w:r w:rsidRPr="00B2053F">
        <w:t xml:space="preserve">% of total </w:t>
      </w:r>
      <w:r>
        <w:t xml:space="preserve">gas </w:t>
      </w:r>
      <w:r w:rsidRPr="00B2053F">
        <w:t>revenue recorded during that period</w:t>
      </w:r>
      <w:r>
        <w:t>. (</w:t>
      </w:r>
      <w:r w:rsidRPr="00F07638">
        <w:rPr>
          <w:i/>
        </w:rPr>
        <w:t>See</w:t>
      </w:r>
      <w:r>
        <w:t xml:space="preserve"> </w:t>
      </w:r>
      <w:r w:rsidRPr="00F07638">
        <w:t>Exhibit No. ___(DAD-3)</w:t>
      </w:r>
      <w:r>
        <w:t xml:space="preserve">, at </w:t>
      </w:r>
      <w:r w:rsidRPr="00B2053F">
        <w:t>column</w:t>
      </w:r>
      <w:r>
        <w:t> </w:t>
      </w:r>
      <w:r w:rsidR="00F151FF">
        <w:t>J</w:t>
      </w:r>
      <w:r w:rsidRPr="00B2053F">
        <w:t>, line</w:t>
      </w:r>
      <w:r>
        <w:t> 10.)</w:t>
      </w:r>
    </w:p>
    <w:p w:rsidR="00F07638" w:rsidRDefault="00F07638" w:rsidP="00F07638">
      <w:pPr>
        <w:pStyle w:val="answer"/>
        <w:spacing w:before="0" w:after="280" w:line="240" w:lineRule="auto"/>
        <w:ind w:left="2160" w:right="720"/>
      </w:pPr>
      <w:r w:rsidRPr="00F07638">
        <w:t>(iii)</w:t>
      </w:r>
      <w:r w:rsidRPr="00F07638">
        <w:tab/>
        <w:t>$</w:t>
      </w:r>
      <w:r>
        <w:t>97.6 </w:t>
      </w:r>
      <w:r w:rsidRPr="00F07638">
        <w:t xml:space="preserve">million of net decoupling and rate plan activity </w:t>
      </w:r>
      <w:r w:rsidRPr="00B2053F">
        <w:t>from July 1, 2013 to September 30, 2016</w:t>
      </w:r>
      <w:r>
        <w:t>. (</w:t>
      </w:r>
      <w:r w:rsidRPr="00F07638">
        <w:rPr>
          <w:i/>
        </w:rPr>
        <w:t>See</w:t>
      </w:r>
      <w:r>
        <w:t xml:space="preserve"> </w:t>
      </w:r>
      <w:r w:rsidRPr="00F07638">
        <w:t>Exhibit No. ___(DAD-3)</w:t>
      </w:r>
      <w:r>
        <w:t xml:space="preserve">, at </w:t>
      </w:r>
      <w:r w:rsidRPr="00B2053F">
        <w:t>column</w:t>
      </w:r>
      <w:r>
        <w:t> G</w:t>
      </w:r>
      <w:r w:rsidRPr="00B2053F">
        <w:t>, line</w:t>
      </w:r>
      <w:r>
        <w:t> 10.</w:t>
      </w:r>
      <w:r w:rsidRPr="00B2053F">
        <w:t>)</w:t>
      </w:r>
      <w:r>
        <w:t xml:space="preserve"> This</w:t>
      </w:r>
      <w:r w:rsidRPr="00B2053F">
        <w:t xml:space="preserve"> equates to approximately </w:t>
      </w:r>
      <w:r>
        <w:t>3</w:t>
      </w:r>
      <w:r w:rsidRPr="00B2053F">
        <w:t>.</w:t>
      </w:r>
      <w:r>
        <w:t>23</w:t>
      </w:r>
      <w:r w:rsidRPr="00B2053F">
        <w:t xml:space="preserve">% of total </w:t>
      </w:r>
      <w:r>
        <w:t xml:space="preserve">gas </w:t>
      </w:r>
      <w:r w:rsidRPr="00B2053F">
        <w:t>revenue recorded during that period</w:t>
      </w:r>
      <w:r>
        <w:t>. (</w:t>
      </w:r>
      <w:r w:rsidRPr="00F07638">
        <w:rPr>
          <w:i/>
        </w:rPr>
        <w:t>See</w:t>
      </w:r>
      <w:r>
        <w:t xml:space="preserve"> </w:t>
      </w:r>
      <w:r w:rsidRPr="00F07638">
        <w:t>Exhibit No. ___(DAD-3)</w:t>
      </w:r>
      <w:r>
        <w:t xml:space="preserve">, at </w:t>
      </w:r>
      <w:r w:rsidRPr="00B2053F">
        <w:t>column</w:t>
      </w:r>
      <w:r>
        <w:t> </w:t>
      </w:r>
      <w:r w:rsidR="00207934">
        <w:t>K</w:t>
      </w:r>
      <w:r w:rsidRPr="00B2053F">
        <w:t>, line</w:t>
      </w:r>
      <w:r>
        <w:t> 10.</w:t>
      </w:r>
      <w:r w:rsidRPr="00B2053F">
        <w:t>)</w:t>
      </w:r>
    </w:p>
    <w:p w:rsidR="009D6190" w:rsidRDefault="00334AAB" w:rsidP="00F07638">
      <w:pPr>
        <w:pStyle w:val="answer"/>
        <w:ind w:firstLine="0"/>
      </w:pPr>
      <w:r>
        <w:t xml:space="preserve">As with the electric </w:t>
      </w:r>
      <w:r w:rsidR="00F07638">
        <w:t xml:space="preserve">decoupling </w:t>
      </w:r>
      <w:r>
        <w:t>mechanism</w:t>
      </w:r>
      <w:r w:rsidR="002A3233">
        <w:t>,</w:t>
      </w:r>
      <w:r>
        <w:t xml:space="preserve"> it is noteworthy that the </w:t>
      </w:r>
      <w:r w:rsidR="00F07638">
        <w:t xml:space="preserve">gas decoupling </w:t>
      </w:r>
      <w:r>
        <w:t>mechanism operated properly in both directions based on whether billed revenues either exceeded or fell short of fixed revenue per c</w:t>
      </w:r>
      <w:r w:rsidR="009276E8">
        <w:t>ustomer during any given month.</w:t>
      </w:r>
    </w:p>
    <w:p w:rsidR="00F07638" w:rsidRDefault="00F07638" w:rsidP="009D6190">
      <w:pPr>
        <w:pStyle w:val="answer"/>
        <w:keepNext/>
        <w:keepLines/>
        <w:ind w:firstLine="0"/>
      </w:pPr>
      <w:r>
        <w:t xml:space="preserve">Additionally, PSE </w:t>
      </w:r>
      <w:r w:rsidRPr="00B2053F">
        <w:t xml:space="preserve">recorded </w:t>
      </w:r>
      <w:r>
        <w:t xml:space="preserve">the following </w:t>
      </w:r>
      <w:r w:rsidRPr="00B2053F">
        <w:t xml:space="preserve">for </w:t>
      </w:r>
      <w:r>
        <w:t xml:space="preserve">gas </w:t>
      </w:r>
      <w:r w:rsidRPr="00B2053F">
        <w:t>operations</w:t>
      </w:r>
      <w:r>
        <w:t xml:space="preserve"> </w:t>
      </w:r>
      <w:r w:rsidRPr="00B2053F">
        <w:t>for the period July</w:t>
      </w:r>
      <w:r>
        <w:t> </w:t>
      </w:r>
      <w:r w:rsidRPr="00B2053F">
        <w:t>1, 2013</w:t>
      </w:r>
      <w:r>
        <w:t>,</w:t>
      </w:r>
      <w:r w:rsidRPr="00B2053F">
        <w:t xml:space="preserve"> to September</w:t>
      </w:r>
      <w:r>
        <w:t> </w:t>
      </w:r>
      <w:r w:rsidRPr="00B2053F">
        <w:t>30, 2016</w:t>
      </w:r>
      <w:r w:rsidR="009D6190">
        <w:t>:</w:t>
      </w:r>
    </w:p>
    <w:p w:rsidR="00F07638" w:rsidRDefault="00F07638" w:rsidP="00F07638">
      <w:pPr>
        <w:pStyle w:val="answer"/>
        <w:spacing w:before="0" w:after="280" w:line="240" w:lineRule="auto"/>
        <w:ind w:left="2160" w:right="720"/>
      </w:pPr>
      <w:r>
        <w:t>(i)</w:t>
      </w:r>
      <w:r>
        <w:tab/>
      </w:r>
      <w:r w:rsidRPr="00B2053F">
        <w:t>a</w:t>
      </w:r>
      <w:r>
        <w:t xml:space="preserve"> </w:t>
      </w:r>
      <w:r w:rsidRPr="00B2053F">
        <w:t xml:space="preserve">reserve for decoupling revenues </w:t>
      </w:r>
      <w:r>
        <w:t xml:space="preserve">of $13.3 million </w:t>
      </w:r>
      <w:r w:rsidRPr="00B2053F">
        <w:t>that will not be collected within 24</w:t>
      </w:r>
      <w:r>
        <w:t> </w:t>
      </w:r>
      <w:r w:rsidRPr="00B2053F">
        <w:t xml:space="preserve">months in accordance with </w:t>
      </w:r>
      <w:r>
        <w:t>Generally Accepted Accounting Principles (“</w:t>
      </w:r>
      <w:r w:rsidRPr="00B2053F">
        <w:t>GAAP</w:t>
      </w:r>
      <w:r>
        <w:t>”)</w:t>
      </w:r>
      <w:r w:rsidRPr="00B2053F">
        <w:t xml:space="preserve"> </w:t>
      </w:r>
      <w:r>
        <w:t>(</w:t>
      </w:r>
      <w:r w:rsidRPr="00F07638">
        <w:rPr>
          <w:i/>
        </w:rPr>
        <w:t>see</w:t>
      </w:r>
      <w:r>
        <w:t xml:space="preserve"> Exhibit ___(DAD-3) at </w:t>
      </w:r>
      <w:r w:rsidRPr="00B2053F">
        <w:t>column</w:t>
      </w:r>
      <w:r>
        <w:t> </w:t>
      </w:r>
      <w:r w:rsidRPr="00B2053F">
        <w:t>C, line</w:t>
      </w:r>
      <w:r>
        <w:t> 10)</w:t>
      </w:r>
      <w:r w:rsidRPr="00B2053F">
        <w:t>;</w:t>
      </w:r>
    </w:p>
    <w:p w:rsidR="00F07638" w:rsidRDefault="00F07638" w:rsidP="00F07638">
      <w:pPr>
        <w:pStyle w:val="answer"/>
        <w:spacing w:before="0" w:after="280" w:line="240" w:lineRule="auto"/>
        <w:ind w:left="2160" w:right="720"/>
      </w:pPr>
      <w:r>
        <w:t>(ii)</w:t>
      </w:r>
      <w:r>
        <w:tab/>
      </w:r>
      <w:r w:rsidRPr="00B2053F">
        <w:t>total accrued interest of $</w:t>
      </w:r>
      <w:r>
        <w:t>4</w:t>
      </w:r>
      <w:r w:rsidRPr="00B2053F">
        <w:t>.4</w:t>
      </w:r>
      <w:r>
        <w:t> </w:t>
      </w:r>
      <w:r w:rsidRPr="00B2053F">
        <w:t xml:space="preserve">million </w:t>
      </w:r>
      <w:r>
        <w:t>(</w:t>
      </w:r>
      <w:r w:rsidRPr="00F07638">
        <w:rPr>
          <w:i/>
        </w:rPr>
        <w:t>see</w:t>
      </w:r>
      <w:r>
        <w:t xml:space="preserve"> Exhibit ___(DAD-3) at </w:t>
      </w:r>
      <w:r w:rsidRPr="00B2053F">
        <w:t>column</w:t>
      </w:r>
      <w:r>
        <w:t> </w:t>
      </w:r>
      <w:r w:rsidRPr="00B2053F">
        <w:t>D, line</w:t>
      </w:r>
      <w:r>
        <w:t xml:space="preserve"> 10); </w:t>
      </w:r>
      <w:r w:rsidRPr="00B2053F">
        <w:t>and</w:t>
      </w:r>
    </w:p>
    <w:p w:rsidR="00F07638" w:rsidRDefault="00F07638" w:rsidP="00F07638">
      <w:pPr>
        <w:pStyle w:val="answer"/>
        <w:spacing w:before="0" w:after="280" w:line="240" w:lineRule="auto"/>
        <w:ind w:left="2160" w:right="720"/>
      </w:pPr>
      <w:r>
        <w:lastRenderedPageBreak/>
        <w:t>(iii)</w:t>
      </w:r>
      <w:r>
        <w:tab/>
        <w:t xml:space="preserve">excess earnings of </w:t>
      </w:r>
      <w:r w:rsidRPr="00B2053F">
        <w:t>$</w:t>
      </w:r>
      <w:r>
        <w:t>9</w:t>
      </w:r>
      <w:r w:rsidRPr="00B2053F">
        <w:t>.</w:t>
      </w:r>
      <w:r>
        <w:t>2 </w:t>
      </w:r>
      <w:r w:rsidRPr="00B2053F">
        <w:t xml:space="preserve">million through the earnings sharing mechanism </w:t>
      </w:r>
      <w:r>
        <w:t>(</w:t>
      </w:r>
      <w:r w:rsidRPr="00F07638">
        <w:rPr>
          <w:i/>
        </w:rPr>
        <w:t>see</w:t>
      </w:r>
      <w:r>
        <w:t xml:space="preserve"> Exhibit ___(DAD-3) at </w:t>
      </w:r>
      <w:r w:rsidRPr="00B2053F">
        <w:t>column</w:t>
      </w:r>
      <w:r>
        <w:t> </w:t>
      </w:r>
      <w:r w:rsidRPr="00B2053F">
        <w:t>F, line</w:t>
      </w:r>
      <w:r>
        <w:t> 10)</w:t>
      </w:r>
      <w:r w:rsidRPr="00B2053F">
        <w:t>.</w:t>
      </w:r>
    </w:p>
    <w:p w:rsidR="009D6190" w:rsidRDefault="00F07638" w:rsidP="00F07638">
      <w:pPr>
        <w:pStyle w:val="answer"/>
        <w:ind w:firstLine="0"/>
      </w:pPr>
      <w:r w:rsidRPr="00B2053F">
        <w:t xml:space="preserve">Each of these </w:t>
      </w:r>
      <w:r>
        <w:t xml:space="preserve">results </w:t>
      </w:r>
      <w:r w:rsidR="00B612FF">
        <w:t>are</w:t>
      </w:r>
      <w:r w:rsidRPr="00B2053F">
        <w:t xml:space="preserve"> discussed in further detail later in </w:t>
      </w:r>
      <w:r>
        <w:t xml:space="preserve">this </w:t>
      </w:r>
      <w:r w:rsidRPr="00B2053F">
        <w:t>testimony</w:t>
      </w:r>
      <w:r>
        <w:t>.</w:t>
      </w:r>
    </w:p>
    <w:p w:rsidR="00F07638" w:rsidRPr="009276E8" w:rsidRDefault="00F07638" w:rsidP="00F07638">
      <w:pPr>
        <w:pStyle w:val="answer"/>
        <w:ind w:firstLine="0"/>
      </w:pPr>
      <w:r w:rsidRPr="00B2053F">
        <w:rPr>
          <w:szCs w:val="24"/>
        </w:rPr>
        <w:t>Finally, during the period July</w:t>
      </w:r>
      <w:r>
        <w:rPr>
          <w:szCs w:val="24"/>
        </w:rPr>
        <w:t> </w:t>
      </w:r>
      <w:r w:rsidRPr="00B2053F">
        <w:rPr>
          <w:szCs w:val="24"/>
        </w:rPr>
        <w:t>1, 2013</w:t>
      </w:r>
      <w:r>
        <w:rPr>
          <w:szCs w:val="24"/>
        </w:rPr>
        <w:t>,</w:t>
      </w:r>
      <w:r w:rsidRPr="00B2053F">
        <w:rPr>
          <w:szCs w:val="24"/>
        </w:rPr>
        <w:t xml:space="preserve"> to September</w:t>
      </w:r>
      <w:r>
        <w:rPr>
          <w:szCs w:val="24"/>
        </w:rPr>
        <w:t> </w:t>
      </w:r>
      <w:r w:rsidRPr="00B2053F">
        <w:rPr>
          <w:szCs w:val="24"/>
        </w:rPr>
        <w:t xml:space="preserve">30, 2016, </w:t>
      </w:r>
      <w:r>
        <w:rPr>
          <w:szCs w:val="24"/>
        </w:rPr>
        <w:t xml:space="preserve">PSE </w:t>
      </w:r>
      <w:r w:rsidRPr="00B2053F">
        <w:rPr>
          <w:szCs w:val="24"/>
        </w:rPr>
        <w:t>collected $</w:t>
      </w:r>
      <w:r>
        <w:rPr>
          <w:szCs w:val="24"/>
        </w:rPr>
        <w:t>1</w:t>
      </w:r>
      <w:r w:rsidRPr="00B2053F">
        <w:rPr>
          <w:szCs w:val="24"/>
        </w:rPr>
        <w:t>6</w:t>
      </w:r>
      <w:r>
        <w:rPr>
          <w:szCs w:val="24"/>
        </w:rPr>
        <w:t> </w:t>
      </w:r>
      <w:r w:rsidRPr="00B2053F">
        <w:rPr>
          <w:szCs w:val="24"/>
        </w:rPr>
        <w:t>million of net decoupling revenue in cash</w:t>
      </w:r>
      <w:r>
        <w:rPr>
          <w:szCs w:val="24"/>
        </w:rPr>
        <w:t>. (</w:t>
      </w:r>
      <w:r w:rsidRPr="00F07638">
        <w:rPr>
          <w:i/>
          <w:szCs w:val="24"/>
        </w:rPr>
        <w:t>See</w:t>
      </w:r>
      <w:r>
        <w:rPr>
          <w:szCs w:val="24"/>
        </w:rPr>
        <w:t xml:space="preserve"> Exhibit No. ___(DAD-3) at </w:t>
      </w:r>
      <w:r w:rsidRPr="00B2053F">
        <w:rPr>
          <w:szCs w:val="24"/>
        </w:rPr>
        <w:t>column</w:t>
      </w:r>
      <w:r>
        <w:rPr>
          <w:szCs w:val="24"/>
        </w:rPr>
        <w:t> </w:t>
      </w:r>
      <w:r w:rsidRPr="00B2053F">
        <w:rPr>
          <w:szCs w:val="24"/>
        </w:rPr>
        <w:t>L, line</w:t>
      </w:r>
      <w:r>
        <w:rPr>
          <w:szCs w:val="24"/>
        </w:rPr>
        <w:t> 10.</w:t>
      </w:r>
      <w:r w:rsidRPr="00B2053F">
        <w:rPr>
          <w:szCs w:val="24"/>
        </w:rPr>
        <w:t>) The total net cash collections are not directly comparable to the total net decouplin</w:t>
      </w:r>
      <w:r>
        <w:rPr>
          <w:szCs w:val="24"/>
        </w:rPr>
        <w:t>g revenue accrued during the 39-</w:t>
      </w:r>
      <w:r w:rsidRPr="00B2053F">
        <w:rPr>
          <w:szCs w:val="24"/>
        </w:rPr>
        <w:t xml:space="preserve">month period analyzed on Exhibit </w:t>
      </w:r>
      <w:r>
        <w:rPr>
          <w:szCs w:val="24"/>
        </w:rPr>
        <w:t>No. ___(</w:t>
      </w:r>
      <w:r w:rsidRPr="00B2053F">
        <w:rPr>
          <w:szCs w:val="24"/>
        </w:rPr>
        <w:t>DAD-3</w:t>
      </w:r>
      <w:r>
        <w:rPr>
          <w:szCs w:val="24"/>
        </w:rPr>
        <w:t>)</w:t>
      </w:r>
      <w:r w:rsidRPr="00B2053F">
        <w:rPr>
          <w:szCs w:val="24"/>
        </w:rPr>
        <w:t>, because decoupling revenue</w:t>
      </w:r>
      <w:r>
        <w:rPr>
          <w:szCs w:val="24"/>
        </w:rPr>
        <w:t>s are accrued during</w:t>
      </w:r>
      <w:r w:rsidR="00DF4828">
        <w:rPr>
          <w:szCs w:val="24"/>
        </w:rPr>
        <w:t xml:space="preserve"> </w:t>
      </w:r>
      <w:r>
        <w:rPr>
          <w:szCs w:val="24"/>
        </w:rPr>
        <w:t>the 12-</w:t>
      </w:r>
      <w:r w:rsidRPr="00B2053F">
        <w:rPr>
          <w:szCs w:val="24"/>
        </w:rPr>
        <w:t>month period ending December</w:t>
      </w:r>
      <w:r>
        <w:rPr>
          <w:szCs w:val="24"/>
        </w:rPr>
        <w:t> </w:t>
      </w:r>
      <w:r w:rsidRPr="00B2053F">
        <w:rPr>
          <w:szCs w:val="24"/>
        </w:rPr>
        <w:t>31, but net cash is collected or refunded during the 12-month period beginning May</w:t>
      </w:r>
      <w:r>
        <w:rPr>
          <w:szCs w:val="24"/>
        </w:rPr>
        <w:t xml:space="preserve"> 1 of the following year. </w:t>
      </w:r>
      <w:r w:rsidRPr="00B2053F">
        <w:rPr>
          <w:szCs w:val="24"/>
        </w:rPr>
        <w:t xml:space="preserve">Accordingly, cash collections or refunds lag the initial recording of decoupling revenue. </w:t>
      </w:r>
    </w:p>
    <w:p w:rsidR="004447A9" w:rsidRPr="00B06379" w:rsidRDefault="004447A9" w:rsidP="00B06379">
      <w:pPr>
        <w:pStyle w:val="question"/>
      </w:pPr>
      <w:r>
        <w:t>Q.</w:t>
      </w:r>
      <w:r>
        <w:tab/>
      </w:r>
      <w:r w:rsidR="00F07638">
        <w:t>P</w:t>
      </w:r>
      <w:r>
        <w:t>lease explain column</w:t>
      </w:r>
      <w:r w:rsidR="00F07638">
        <w:t> </w:t>
      </w:r>
      <w:r w:rsidR="00B02D3D">
        <w:t>C</w:t>
      </w:r>
      <w:r w:rsidR="008064DA">
        <w:t xml:space="preserve"> </w:t>
      </w:r>
      <w:r>
        <w:t xml:space="preserve">on </w:t>
      </w:r>
      <w:r w:rsidR="00F07638">
        <w:t>Exhibit No. ___(</w:t>
      </w:r>
      <w:r>
        <w:t>DAD</w:t>
      </w:r>
      <w:r w:rsidR="00F07638">
        <w:t>-</w:t>
      </w:r>
      <w:r w:rsidR="006C7CE8">
        <w:t>3</w:t>
      </w:r>
      <w:r w:rsidR="00F07638">
        <w:t>),</w:t>
      </w:r>
      <w:r>
        <w:t xml:space="preserve"> entitled “</w:t>
      </w:r>
      <w:r w:rsidR="008064DA">
        <w:t>24 month GAAP Revenue Recognition Reserve</w:t>
      </w:r>
      <w:r w:rsidR="004A632D">
        <w:t>.</w:t>
      </w:r>
      <w:r>
        <w:t>”</w:t>
      </w:r>
    </w:p>
    <w:p w:rsidR="009D6190" w:rsidRDefault="004447A9" w:rsidP="009D6190">
      <w:pPr>
        <w:pStyle w:val="answer"/>
      </w:pPr>
      <w:r>
        <w:t>A.</w:t>
      </w:r>
      <w:r>
        <w:tab/>
        <w:t xml:space="preserve">With respect to revenue recovery mechanisms such as decoupling, </w:t>
      </w:r>
      <w:r w:rsidR="00FA2601" w:rsidRPr="00F07638">
        <w:t>ASC 980-605-25-4</w:t>
      </w:r>
      <w:r w:rsidR="009A65C0">
        <w:rPr>
          <w:b/>
        </w:rPr>
        <w:t xml:space="preserve"> </w:t>
      </w:r>
      <w:r w:rsidR="00F07638">
        <w:rPr>
          <w:b/>
        </w:rPr>
        <w:t>(</w:t>
      </w:r>
      <w:r w:rsidR="001C45A0">
        <w:t>Regulated Operations Revenue Recognition</w:t>
      </w:r>
      <w:r w:rsidR="00F07638">
        <w:t>)</w:t>
      </w:r>
      <w:r w:rsidR="001C45A0">
        <w:t xml:space="preserve"> </w:t>
      </w:r>
      <w:r>
        <w:t>require</w:t>
      </w:r>
      <w:r w:rsidR="00F65658">
        <w:t>s</w:t>
      </w:r>
      <w:r>
        <w:t xml:space="preserve"> that revenues accrued in connection with such mechanisms </w:t>
      </w:r>
      <w:r w:rsidR="00ED74F1">
        <w:t xml:space="preserve">must </w:t>
      </w:r>
      <w:r>
        <w:t>be collected in cash within 24</w:t>
      </w:r>
      <w:r w:rsidR="00F07638">
        <w:t> </w:t>
      </w:r>
      <w:r>
        <w:t xml:space="preserve">months from the close of </w:t>
      </w:r>
      <w:r w:rsidR="00F07638">
        <w:t xml:space="preserve">PSE’s </w:t>
      </w:r>
      <w:r>
        <w:t>fiscal y</w:t>
      </w:r>
      <w:r w:rsidR="00B02D3D">
        <w:t>ear</w:t>
      </w:r>
      <w:r>
        <w:t>.</w:t>
      </w:r>
      <w:r w:rsidR="00F07638">
        <w:t xml:space="preserve"> </w:t>
      </w:r>
      <w:r>
        <w:t xml:space="preserve">To the extent that the cash recovery </w:t>
      </w:r>
      <w:r w:rsidR="00F151FF">
        <w:t xml:space="preserve">is expected to take longer than </w:t>
      </w:r>
      <w:r>
        <w:t>24</w:t>
      </w:r>
      <w:r w:rsidR="00F151FF">
        <w:t> </w:t>
      </w:r>
      <w:r>
        <w:t>months,</w:t>
      </w:r>
      <w:r w:rsidR="00D63C3F">
        <w:t xml:space="preserve"> the portion of revenue that will be collected beyond 24 months cannot be recognized as </w:t>
      </w:r>
      <w:r w:rsidR="004D0CED">
        <w:t xml:space="preserve">“earned” </w:t>
      </w:r>
      <w:r w:rsidR="00D63C3F">
        <w:t xml:space="preserve">revenue </w:t>
      </w:r>
      <w:r w:rsidR="004D0CED">
        <w:t>during</w:t>
      </w:r>
      <w:r w:rsidR="00D63C3F">
        <w:t xml:space="preserve"> </w:t>
      </w:r>
      <w:r w:rsidR="00F07638">
        <w:t xml:space="preserve">PSE’s </w:t>
      </w:r>
      <w:r w:rsidR="00B612FF">
        <w:t xml:space="preserve">current </w:t>
      </w:r>
      <w:r w:rsidR="00D63C3F">
        <w:t xml:space="preserve">fiscal year. </w:t>
      </w:r>
      <w:r w:rsidR="00F151FF">
        <w:t xml:space="preserve">The application of this </w:t>
      </w:r>
      <w:r w:rsidR="00C56101">
        <w:t xml:space="preserve">began </w:t>
      </w:r>
      <w:r w:rsidR="00D63C3F">
        <w:t xml:space="preserve">with </w:t>
      </w:r>
      <w:r w:rsidR="00F07638">
        <w:t xml:space="preserve">PSE’s gas </w:t>
      </w:r>
      <w:r w:rsidR="00D63C3F">
        <w:t xml:space="preserve">decoupling </w:t>
      </w:r>
      <w:r w:rsidR="00F07638">
        <w:t xml:space="preserve">mechanism </w:t>
      </w:r>
      <w:r w:rsidR="007A1EE9">
        <w:t>for the twelve months ended December</w:t>
      </w:r>
      <w:r w:rsidR="00F07638">
        <w:t> </w:t>
      </w:r>
      <w:r w:rsidR="007A1EE9">
        <w:t xml:space="preserve">31, </w:t>
      </w:r>
      <w:r w:rsidR="00D63C3F">
        <w:t>2015</w:t>
      </w:r>
      <w:r w:rsidR="007A1EE9">
        <w:t xml:space="preserve">, and may have an impact </w:t>
      </w:r>
      <w:r w:rsidR="00C56101">
        <w:t xml:space="preserve">for both electric and gas </w:t>
      </w:r>
      <w:r w:rsidR="007A1EE9">
        <w:t>for the twelve months ended December</w:t>
      </w:r>
      <w:r w:rsidR="00F07638">
        <w:t> </w:t>
      </w:r>
      <w:r w:rsidR="007A1EE9">
        <w:t>31, 2016</w:t>
      </w:r>
      <w:r w:rsidR="00F07638">
        <w:t>,</w:t>
      </w:r>
      <w:r w:rsidR="007A1EE9">
        <w:t xml:space="preserve"> depending on fourth quarter 2016 decoupling results</w:t>
      </w:r>
      <w:r w:rsidR="00D63C3F">
        <w:t>.</w:t>
      </w:r>
    </w:p>
    <w:p w:rsidR="00DD3502" w:rsidRDefault="007A1EE9" w:rsidP="009D6190">
      <w:pPr>
        <w:pStyle w:val="answer"/>
        <w:ind w:firstLine="0"/>
      </w:pPr>
      <w:r>
        <w:lastRenderedPageBreak/>
        <w:t>In 2015</w:t>
      </w:r>
      <w:r w:rsidR="00F07638">
        <w:t>,</w:t>
      </w:r>
      <w:r>
        <w:t xml:space="preserve"> </w:t>
      </w:r>
      <w:r w:rsidR="00F07638">
        <w:t xml:space="preserve">PSE </w:t>
      </w:r>
      <w:r w:rsidR="00D63C3F">
        <w:t xml:space="preserve">determined </w:t>
      </w:r>
      <w:r w:rsidR="005D0AD3">
        <w:t>that</w:t>
      </w:r>
      <w:r w:rsidR="00847B6E">
        <w:t xml:space="preserve"> $</w:t>
      </w:r>
      <w:r>
        <w:t>10</w:t>
      </w:r>
      <w:r w:rsidR="00F07638">
        <w:t> </w:t>
      </w:r>
      <w:r w:rsidR="00D63C3F">
        <w:t>million of accrued</w:t>
      </w:r>
      <w:r w:rsidR="00847B6E">
        <w:t xml:space="preserve"> gas </w:t>
      </w:r>
      <w:r w:rsidR="00D63C3F">
        <w:t>decoupling revenues</w:t>
      </w:r>
      <w:r w:rsidR="007B470B">
        <w:t xml:space="preserve"> (</w:t>
      </w:r>
      <w:r w:rsidR="00F07638">
        <w:t xml:space="preserve">Exhibit No. ___(DAD-3) at </w:t>
      </w:r>
      <w:r w:rsidR="00F84BFC">
        <w:t>column</w:t>
      </w:r>
      <w:r w:rsidR="00F07638">
        <w:t> </w:t>
      </w:r>
      <w:r w:rsidR="00F84BFC">
        <w:t>C, line</w:t>
      </w:r>
      <w:r w:rsidR="00F07638">
        <w:t> </w:t>
      </w:r>
      <w:r w:rsidR="00F84BFC">
        <w:t>8</w:t>
      </w:r>
      <w:r w:rsidR="007B470B" w:rsidRPr="00BF2345">
        <w:t>)</w:t>
      </w:r>
      <w:r w:rsidR="00F07638">
        <w:t xml:space="preserve"> </w:t>
      </w:r>
      <w:r w:rsidR="00D63C3F">
        <w:t>would not be collected in cash within the subsequent 24 months</w:t>
      </w:r>
      <w:r w:rsidR="00847B6E">
        <w:t>,</w:t>
      </w:r>
      <w:r w:rsidR="004D0CED">
        <w:t xml:space="preserve"> primarily</w:t>
      </w:r>
      <w:r w:rsidR="00D63C3F">
        <w:t xml:space="preserve"> due to the operation of the soft cap </w:t>
      </w:r>
      <w:r w:rsidR="00F07638">
        <w:t xml:space="preserve">of 3% </w:t>
      </w:r>
      <w:r w:rsidR="00D63C3F">
        <w:t xml:space="preserve">built into the </w:t>
      </w:r>
      <w:r w:rsidR="00F07638">
        <w:t xml:space="preserve">gas </w:t>
      </w:r>
      <w:r w:rsidR="00D63C3F">
        <w:t>decoupling mechanism. This soft cap prevents customer rates from rising more than 3%</w:t>
      </w:r>
      <w:r w:rsidR="00D6447A">
        <w:t>,</w:t>
      </w:r>
      <w:r w:rsidR="00D63C3F">
        <w:t xml:space="preserve"> when customer rates are adjusted to collect</w:t>
      </w:r>
      <w:r w:rsidR="00DF4828">
        <w:t xml:space="preserve"> </w:t>
      </w:r>
      <w:r w:rsidR="009B0AE6">
        <w:t xml:space="preserve">accrued </w:t>
      </w:r>
      <w:r w:rsidR="00D63C3F">
        <w:t xml:space="preserve">decoupling revenues </w:t>
      </w:r>
      <w:r w:rsidR="005D0AD3">
        <w:t>over the 12-</w:t>
      </w:r>
      <w:r w:rsidR="00F84BFC">
        <w:t xml:space="preserve">month period </w:t>
      </w:r>
      <w:r w:rsidR="00B2053F">
        <w:t>beginning</w:t>
      </w:r>
      <w:r w:rsidR="00D63C3F">
        <w:t xml:space="preserve"> May 1 of any given year.</w:t>
      </w:r>
      <w:r w:rsidR="00DD3502">
        <w:t xml:space="preserve"> </w:t>
      </w:r>
    </w:p>
    <w:p w:rsidR="00DD3502" w:rsidRPr="00B06379" w:rsidRDefault="00DD3502" w:rsidP="00B06379">
      <w:pPr>
        <w:pStyle w:val="question"/>
      </w:pPr>
      <w:r>
        <w:t>Q.</w:t>
      </w:r>
      <w:r>
        <w:tab/>
      </w:r>
      <w:r w:rsidR="00F07638">
        <w:t>W</w:t>
      </w:r>
      <w:r>
        <w:t xml:space="preserve">hat will happen to the </w:t>
      </w:r>
      <w:r w:rsidR="00D6447A">
        <w:t>combined</w:t>
      </w:r>
      <w:r w:rsidR="00722F77">
        <w:t xml:space="preserve"> </w:t>
      </w:r>
      <w:r w:rsidR="00847B6E">
        <w:t>$13.7</w:t>
      </w:r>
      <w:r w:rsidR="00064654">
        <w:t> </w:t>
      </w:r>
      <w:r>
        <w:t xml:space="preserve">million reduction to </w:t>
      </w:r>
      <w:r w:rsidR="00847B6E">
        <w:t xml:space="preserve">electric and </w:t>
      </w:r>
      <w:r>
        <w:t>gas decoupling revenue</w:t>
      </w:r>
      <w:r w:rsidR="00467393">
        <w:t>, as of September 30, 2016,</w:t>
      </w:r>
      <w:r>
        <w:t xml:space="preserve"> in the future</w:t>
      </w:r>
      <w:r w:rsidR="004D0CED">
        <w:t>?</w:t>
      </w:r>
    </w:p>
    <w:p w:rsidR="00467393" w:rsidRDefault="00DD3502" w:rsidP="009276E8">
      <w:pPr>
        <w:pStyle w:val="answer"/>
      </w:pPr>
      <w:r>
        <w:t>A.</w:t>
      </w:r>
      <w:r>
        <w:tab/>
        <w:t>In accordance with ASC</w:t>
      </w:r>
      <w:r w:rsidR="00B74A25">
        <w:t xml:space="preserve"> 980-605-25-4</w:t>
      </w:r>
      <w:r>
        <w:t xml:space="preserve">, </w:t>
      </w:r>
      <w:r w:rsidR="00F07638">
        <w:t xml:space="preserve">PSE can only recognize </w:t>
      </w:r>
      <w:r>
        <w:t>the</w:t>
      </w:r>
      <w:r w:rsidR="00467393">
        <w:t xml:space="preserve"> </w:t>
      </w:r>
      <w:r w:rsidR="00847B6E" w:rsidRPr="009F68AA">
        <w:t>$13.</w:t>
      </w:r>
      <w:r w:rsidR="00467393">
        <w:t>7</w:t>
      </w:r>
      <w:r w:rsidR="00F07638">
        <w:rPr>
          <w:b/>
        </w:rPr>
        <w:t> </w:t>
      </w:r>
      <w:r w:rsidR="00467393">
        <w:t xml:space="preserve">million </w:t>
      </w:r>
      <w:r>
        <w:t>reduction to</w:t>
      </w:r>
      <w:r w:rsidR="00CA093D">
        <w:t xml:space="preserve"> </w:t>
      </w:r>
      <w:r w:rsidR="00467393">
        <w:t xml:space="preserve">electric and </w:t>
      </w:r>
      <w:r>
        <w:t xml:space="preserve">gas decoupling revenue </w:t>
      </w:r>
      <w:r w:rsidR="00F07638">
        <w:t xml:space="preserve">(i.e., the sum of Exhibit No. ___(DAD-3) at column C, lines 5 and 10) </w:t>
      </w:r>
      <w:r>
        <w:t xml:space="preserve">as </w:t>
      </w:r>
      <w:r w:rsidR="007A1EE9">
        <w:t xml:space="preserve">“earned” </w:t>
      </w:r>
      <w:r>
        <w:t xml:space="preserve">revenue </w:t>
      </w:r>
      <w:r w:rsidR="00467393">
        <w:t xml:space="preserve">in the future </w:t>
      </w:r>
      <w:r>
        <w:t>when</w:t>
      </w:r>
      <w:r w:rsidR="00CA093D">
        <w:t xml:space="preserve"> </w:t>
      </w:r>
      <w:r w:rsidR="00467393">
        <w:t>collection becomes probable within 24</w:t>
      </w:r>
      <w:r w:rsidR="00F07638">
        <w:t> </w:t>
      </w:r>
      <w:r w:rsidR="00467393">
        <w:t xml:space="preserve">months of </w:t>
      </w:r>
      <w:r w:rsidR="00F07638">
        <w:t xml:space="preserve">PSE’s </w:t>
      </w:r>
      <w:r w:rsidR="00467393">
        <w:t>fiscal year end</w:t>
      </w:r>
      <w:r>
        <w:t xml:space="preserve">. In effect, </w:t>
      </w:r>
      <w:r w:rsidR="00C56101">
        <w:t xml:space="preserve">PSE’s earned revenue is reduced by </w:t>
      </w:r>
      <w:r w:rsidR="00847B6E" w:rsidRPr="009F68AA">
        <w:t>$13.7</w:t>
      </w:r>
      <w:r w:rsidR="00F07638">
        <w:rPr>
          <w:b/>
        </w:rPr>
        <w:t> </w:t>
      </w:r>
      <w:r>
        <w:t>million</w:t>
      </w:r>
      <w:r w:rsidR="00C56101">
        <w:t>,</w:t>
      </w:r>
      <w:r>
        <w:t xml:space="preserve"> </w:t>
      </w:r>
      <w:r w:rsidR="00C56101">
        <w:t xml:space="preserve">which </w:t>
      </w:r>
      <w:r w:rsidR="00B612FF">
        <w:t xml:space="preserve">is </w:t>
      </w:r>
      <w:r>
        <w:t xml:space="preserve">retained as a </w:t>
      </w:r>
      <w:r w:rsidR="00C56101">
        <w:t xml:space="preserve">liability </w:t>
      </w:r>
      <w:r w:rsidR="00CA093D">
        <w:t>until collection become</w:t>
      </w:r>
      <w:r w:rsidR="00B612FF">
        <w:t>s</w:t>
      </w:r>
      <w:r w:rsidR="00CA093D">
        <w:t xml:space="preserve"> probable.</w:t>
      </w:r>
      <w:r w:rsidR="00DF4828">
        <w:t xml:space="preserve"> </w:t>
      </w:r>
      <w:r w:rsidR="00716262">
        <w:t xml:space="preserve">Once recovery becomes probable, the </w:t>
      </w:r>
      <w:r w:rsidR="00C56101">
        <w:t xml:space="preserve">reserve is reversed and the $13.7 million of </w:t>
      </w:r>
      <w:r w:rsidR="00716262">
        <w:t>revenue is re-established on PSE’s books.</w:t>
      </w:r>
    </w:p>
    <w:p w:rsidR="00467393" w:rsidRPr="00B06379" w:rsidRDefault="00467393" w:rsidP="00B06379">
      <w:pPr>
        <w:pStyle w:val="question"/>
      </w:pPr>
      <w:r w:rsidRPr="007204B7">
        <w:t>Q.</w:t>
      </w:r>
      <w:r w:rsidRPr="007204B7">
        <w:tab/>
      </w:r>
      <w:r w:rsidR="00F07638">
        <w:t>D</w:t>
      </w:r>
      <w:r w:rsidRPr="007204B7">
        <w:t xml:space="preserve">o you have any comments on </w:t>
      </w:r>
      <w:r w:rsidR="00F07638">
        <w:t>E</w:t>
      </w:r>
      <w:r>
        <w:t xml:space="preserve">xhibit </w:t>
      </w:r>
      <w:r w:rsidR="00F07638">
        <w:t>No. ___(</w:t>
      </w:r>
      <w:r>
        <w:t>DAD</w:t>
      </w:r>
      <w:r w:rsidR="00F07638">
        <w:t>-</w:t>
      </w:r>
      <w:r>
        <w:t>3</w:t>
      </w:r>
      <w:r w:rsidR="00F07638">
        <w:t>)</w:t>
      </w:r>
      <w:r w:rsidRPr="007204B7">
        <w:t xml:space="preserve"> with respect to decoupling mechanism interest accruals?</w:t>
      </w:r>
    </w:p>
    <w:p w:rsidR="00467393" w:rsidRDefault="005D0AD3" w:rsidP="009276E8">
      <w:pPr>
        <w:pStyle w:val="answer"/>
      </w:pPr>
      <w:r>
        <w:t>A.</w:t>
      </w:r>
      <w:r>
        <w:tab/>
      </w:r>
      <w:r w:rsidR="00467393">
        <w:t xml:space="preserve">Yes. PSE uses the interest rates for natural gas and electricity </w:t>
      </w:r>
      <w:r w:rsidR="00F07638">
        <w:t xml:space="preserve">published by the Federal Energy Regulatory Commission (“FERC”) </w:t>
      </w:r>
      <w:r w:rsidR="00467393">
        <w:t xml:space="preserve">when calculating interest accruals for the decoupling mechanism. FERC calculates rates in accordance with </w:t>
      </w:r>
      <w:r w:rsidR="00467393">
        <w:lastRenderedPageBreak/>
        <w:t>FERC regulations</w:t>
      </w:r>
      <w:r w:rsidR="005F33F0">
        <w:t>—s</w:t>
      </w:r>
      <w:r w:rsidR="00467393">
        <w:t>pecifically, Section</w:t>
      </w:r>
      <w:r w:rsidR="00F07638">
        <w:t> </w:t>
      </w:r>
      <w:r w:rsidR="00467393">
        <w:t>35.19a and Section</w:t>
      </w:r>
      <w:r w:rsidR="00F07638">
        <w:t> </w:t>
      </w:r>
      <w:r w:rsidR="00467393">
        <w:t xml:space="preserve">154.501(d), for electric and gas respectively. These rates are applied to </w:t>
      </w:r>
      <w:r w:rsidR="00F07638">
        <w:t xml:space="preserve">PSE’s </w:t>
      </w:r>
      <w:r w:rsidR="00467393">
        <w:t xml:space="preserve">end-of-month regulatory asset and regulatory liability balances and interest is accrued to Interest Revenue for regulatory assets and Interest Expense for regulatory liabilities. According to </w:t>
      </w:r>
      <w:r w:rsidR="00F07638">
        <w:t xml:space="preserve">the </w:t>
      </w:r>
      <w:r w:rsidR="00467393">
        <w:t>FERC website, the average annual interest rate remained at 3.25% from 2010 to 2015 and increased to 3.43% in 2016.</w:t>
      </w:r>
    </w:p>
    <w:p w:rsidR="0063262D" w:rsidRPr="00B06379" w:rsidRDefault="0063262D" w:rsidP="00B06379">
      <w:pPr>
        <w:pStyle w:val="question"/>
      </w:pPr>
      <w:r w:rsidRPr="0063262D">
        <w:t>Q.</w:t>
      </w:r>
      <w:r w:rsidRPr="0063262D">
        <w:tab/>
        <w:t>Do you have any observations regarding how the decoupling mechanism has operated in practice?</w:t>
      </w:r>
    </w:p>
    <w:p w:rsidR="00AE7100" w:rsidRDefault="0063262D" w:rsidP="009276E8">
      <w:pPr>
        <w:pStyle w:val="answer"/>
      </w:pPr>
      <w:r>
        <w:t>A.</w:t>
      </w:r>
      <w:r>
        <w:tab/>
      </w:r>
      <w:r w:rsidR="004D5F22">
        <w:t>Yes.</w:t>
      </w:r>
      <w:r w:rsidR="00913FE7">
        <w:t xml:space="preserve"> </w:t>
      </w:r>
      <w:r w:rsidR="00F07638">
        <w:t xml:space="preserve">PSE is </w:t>
      </w:r>
      <w:r w:rsidR="004D5F22">
        <w:t xml:space="preserve">satisfied that the </w:t>
      </w:r>
      <w:r w:rsidR="00F07638">
        <w:t xml:space="preserve">decoupling </w:t>
      </w:r>
      <w:r w:rsidR="004D5F22">
        <w:t>mechanism has operated well in practice. It properly captures under</w:t>
      </w:r>
      <w:r w:rsidR="00F07638">
        <w:t>-</w:t>
      </w:r>
      <w:r w:rsidR="004D5F22">
        <w:t>recoveries of fixed revenues per customer for future collection as well as over</w:t>
      </w:r>
      <w:r w:rsidR="00F07638">
        <w:t>-</w:t>
      </w:r>
      <w:r w:rsidR="004D5F22">
        <w:t xml:space="preserve">recoveries of fixed revenues per customer for future refund. Second, </w:t>
      </w:r>
      <w:r w:rsidR="00F07638">
        <w:t xml:space="preserve">PSE </w:t>
      </w:r>
      <w:r w:rsidR="004D5F22">
        <w:t>believe</w:t>
      </w:r>
      <w:r w:rsidR="00F07638">
        <w:t>s</w:t>
      </w:r>
      <w:r w:rsidR="004D5F22">
        <w:t xml:space="preserve"> that the </w:t>
      </w:r>
      <w:r w:rsidR="00F07638">
        <w:t xml:space="preserve">soft cap </w:t>
      </w:r>
      <w:r w:rsidR="004D5F22">
        <w:t>is an appropriate component of the mechanism</w:t>
      </w:r>
      <w:r w:rsidR="00F07638">
        <w:t xml:space="preserve">. PSE has identified minor adjustments to the soft cap percentages that may be appropriate for certain rate classes. Please see the </w:t>
      </w:r>
      <w:proofErr w:type="spellStart"/>
      <w:r w:rsidR="00F07638">
        <w:t>Prefiled</w:t>
      </w:r>
      <w:proofErr w:type="spellEnd"/>
      <w:r w:rsidR="00F07638">
        <w:t xml:space="preserve"> Direct Testimony of Mr. Jon A. Piliaris, Exhibit No. ___(JAP-1T).</w:t>
      </w:r>
    </w:p>
    <w:p w:rsidR="00122468" w:rsidRPr="00B06379" w:rsidRDefault="00122468" w:rsidP="00B06379">
      <w:pPr>
        <w:pStyle w:val="question"/>
      </w:pPr>
      <w:r>
        <w:t>Q.</w:t>
      </w:r>
      <w:r>
        <w:tab/>
        <w:t>Do</w:t>
      </w:r>
      <w:r w:rsidR="00F07638">
        <w:t>es</w:t>
      </w:r>
      <w:r>
        <w:t xml:space="preserve"> </w:t>
      </w:r>
      <w:r w:rsidR="00F07638">
        <w:t xml:space="preserve">PSE </w:t>
      </w:r>
      <w:r>
        <w:t>recommend continuing the decoupling mechanism into the future?</w:t>
      </w:r>
    </w:p>
    <w:p w:rsidR="00122468" w:rsidRDefault="00122468" w:rsidP="009276E8">
      <w:pPr>
        <w:pStyle w:val="answer"/>
      </w:pPr>
      <w:r>
        <w:t>A.</w:t>
      </w:r>
      <w:r>
        <w:tab/>
        <w:t xml:space="preserve">Yes. </w:t>
      </w:r>
      <w:r w:rsidR="00F07638">
        <w:t xml:space="preserve">From PSE’s perspective, the decoupling </w:t>
      </w:r>
      <w:r>
        <w:t xml:space="preserve">mechanism has </w:t>
      </w:r>
      <w:r w:rsidR="00403508">
        <w:t xml:space="preserve">generally </w:t>
      </w:r>
      <w:r>
        <w:t xml:space="preserve">operated as intended and has achieved the </w:t>
      </w:r>
      <w:r w:rsidR="00F07638">
        <w:t>C</w:t>
      </w:r>
      <w:r>
        <w:t>ommission’s objectives of</w:t>
      </w:r>
      <w:r w:rsidR="00F07638">
        <w:t xml:space="preserve"> </w:t>
      </w:r>
      <w:r>
        <w:t>(</w:t>
      </w:r>
      <w:r w:rsidR="00F07638">
        <w:t>i</w:t>
      </w:r>
      <w:r>
        <w:t>)</w:t>
      </w:r>
      <w:r w:rsidR="00F07638">
        <w:t> </w:t>
      </w:r>
      <w:r>
        <w:t>mitigating the through-put incentive and (</w:t>
      </w:r>
      <w:r w:rsidR="00F07638">
        <w:t>ii</w:t>
      </w:r>
      <w:r>
        <w:t>)</w:t>
      </w:r>
      <w:r w:rsidR="00F07638">
        <w:t> </w:t>
      </w:r>
      <w:r>
        <w:t>normaliz</w:t>
      </w:r>
      <w:r w:rsidR="00F84BFC">
        <w:t>ing</w:t>
      </w:r>
      <w:r>
        <w:t xml:space="preserve"> the impacts of weather and other impacts on customer usage patterns.</w:t>
      </w:r>
    </w:p>
    <w:p w:rsidR="00B73329" w:rsidRPr="00B06379" w:rsidRDefault="00B73329" w:rsidP="00B73329">
      <w:pPr>
        <w:pStyle w:val="Heading1"/>
      </w:pPr>
      <w:bookmarkStart w:id="19" w:name="_Toc471463215"/>
      <w:r>
        <w:rPr>
          <w:rFonts w:eastAsia="PMingLiU"/>
        </w:rPr>
        <w:lastRenderedPageBreak/>
        <w:t>IV</w:t>
      </w:r>
      <w:r w:rsidRPr="00537488">
        <w:rPr>
          <w:rFonts w:eastAsia="PMingLiU"/>
        </w:rPr>
        <w:t>.</w:t>
      </w:r>
      <w:r w:rsidRPr="00537488">
        <w:rPr>
          <w:rFonts w:eastAsia="PMingLiU"/>
        </w:rPr>
        <w:tab/>
      </w:r>
      <w:r>
        <w:rPr>
          <w:rFonts w:eastAsia="PMingLiU"/>
        </w:rPr>
        <w:t xml:space="preserve">EARNINGS </w:t>
      </w:r>
      <w:proofErr w:type="spellStart"/>
      <w:r>
        <w:rPr>
          <w:rFonts w:eastAsia="PMingLiU"/>
        </w:rPr>
        <w:t>SHARINGS</w:t>
      </w:r>
      <w:proofErr w:type="spellEnd"/>
      <w:r>
        <w:rPr>
          <w:rFonts w:eastAsia="PMingLiU"/>
        </w:rPr>
        <w:t xml:space="preserve"> MECHANISM</w:t>
      </w:r>
      <w:bookmarkEnd w:id="19"/>
    </w:p>
    <w:p w:rsidR="00B73329" w:rsidRPr="00B4652C" w:rsidRDefault="00B73329" w:rsidP="00B73329">
      <w:pPr>
        <w:pStyle w:val="question"/>
      </w:pPr>
      <w:r w:rsidRPr="00537488">
        <w:t>Q.</w:t>
      </w:r>
      <w:r w:rsidRPr="00537488">
        <w:tab/>
      </w:r>
      <w:r w:rsidRPr="00B4652C">
        <w:rPr>
          <w:rFonts w:eastAsiaTheme="minorHAnsi"/>
        </w:rPr>
        <w:t xml:space="preserve">What is the purpose of </w:t>
      </w:r>
      <w:r>
        <w:rPr>
          <w:rFonts w:eastAsiaTheme="minorHAnsi"/>
        </w:rPr>
        <w:t xml:space="preserve">PSE’s </w:t>
      </w:r>
      <w:r w:rsidRPr="00B4652C">
        <w:rPr>
          <w:rFonts w:eastAsiaTheme="minorHAnsi"/>
        </w:rPr>
        <w:t xml:space="preserve">current </w:t>
      </w:r>
      <w:r>
        <w:rPr>
          <w:rFonts w:eastAsiaTheme="minorHAnsi"/>
        </w:rPr>
        <w:t>earnings sharing mechanism</w:t>
      </w:r>
      <w:r w:rsidRPr="00B4652C">
        <w:rPr>
          <w:rFonts w:eastAsiaTheme="minorHAnsi"/>
        </w:rPr>
        <w:t>?</w:t>
      </w:r>
    </w:p>
    <w:p w:rsidR="00B73329" w:rsidRPr="009276E8" w:rsidRDefault="00B73329" w:rsidP="00B73329">
      <w:pPr>
        <w:pStyle w:val="answer"/>
      </w:pPr>
      <w:r>
        <w:t>A.</w:t>
      </w:r>
      <w:r>
        <w:tab/>
      </w:r>
      <w:r>
        <w:rPr>
          <w:rFonts w:eastAsiaTheme="minorHAnsi"/>
        </w:rPr>
        <w:t xml:space="preserve">PSE’s </w:t>
      </w:r>
      <w:r w:rsidRPr="00B4652C">
        <w:rPr>
          <w:rFonts w:eastAsiaTheme="minorHAnsi"/>
        </w:rPr>
        <w:t xml:space="preserve">current </w:t>
      </w:r>
      <w:r>
        <w:rPr>
          <w:rFonts w:eastAsiaTheme="minorHAnsi"/>
        </w:rPr>
        <w:t>earnings sharing mechanism</w:t>
      </w:r>
      <w:r w:rsidRPr="00B4652C">
        <w:rPr>
          <w:rFonts w:eastAsiaTheme="minorHAnsi"/>
        </w:rPr>
        <w:t xml:space="preserve"> is intended to </w:t>
      </w:r>
      <w:r>
        <w:rPr>
          <w:rFonts w:eastAsiaTheme="minorHAnsi"/>
        </w:rPr>
        <w:t>(i) provide</w:t>
      </w:r>
      <w:r w:rsidRPr="00B4652C">
        <w:rPr>
          <w:rFonts w:eastAsiaTheme="minorHAnsi"/>
        </w:rPr>
        <w:t xml:space="preserve"> the incentive for PSE to continue to identify efficiencies in its cost structure</w:t>
      </w:r>
      <w:r>
        <w:rPr>
          <w:rFonts w:eastAsiaTheme="minorHAnsi"/>
        </w:rPr>
        <w:t xml:space="preserve"> </w:t>
      </w:r>
      <w:r w:rsidRPr="00B4652C">
        <w:rPr>
          <w:rFonts w:eastAsiaTheme="minorHAnsi"/>
        </w:rPr>
        <w:t xml:space="preserve">and </w:t>
      </w:r>
      <w:r>
        <w:rPr>
          <w:rFonts w:eastAsiaTheme="minorHAnsi"/>
        </w:rPr>
        <w:t>(ii) </w:t>
      </w:r>
      <w:r w:rsidRPr="00B4652C">
        <w:rPr>
          <w:rFonts w:eastAsiaTheme="minorHAnsi"/>
        </w:rPr>
        <w:t>allow ratepayers and investors to share equally in any financial benefits from earnings</w:t>
      </w:r>
      <w:r>
        <w:rPr>
          <w:rFonts w:eastAsiaTheme="minorHAnsi"/>
        </w:rPr>
        <w:t xml:space="preserve"> in excess of PSE’s authorized rate of return</w:t>
      </w:r>
      <w:r w:rsidRPr="00B4652C">
        <w:rPr>
          <w:rFonts w:eastAsiaTheme="minorHAnsi"/>
        </w:rPr>
        <w:t>.</w:t>
      </w:r>
    </w:p>
    <w:p w:rsidR="00B73329" w:rsidRPr="00B4652C" w:rsidRDefault="00B73329" w:rsidP="00B73329">
      <w:pPr>
        <w:pStyle w:val="question"/>
      </w:pPr>
      <w:r w:rsidRPr="00537488">
        <w:t>Q.</w:t>
      </w:r>
      <w:r w:rsidRPr="00537488">
        <w:tab/>
      </w:r>
      <w:r w:rsidRPr="00B4652C">
        <w:rPr>
          <w:rFonts w:eastAsiaTheme="minorHAnsi"/>
        </w:rPr>
        <w:t xml:space="preserve">What is the history of </w:t>
      </w:r>
      <w:r>
        <w:rPr>
          <w:rFonts w:eastAsiaTheme="minorHAnsi"/>
        </w:rPr>
        <w:t xml:space="preserve">PSE’s </w:t>
      </w:r>
      <w:r w:rsidRPr="00B4652C">
        <w:rPr>
          <w:rFonts w:eastAsiaTheme="minorHAnsi"/>
        </w:rPr>
        <w:t xml:space="preserve">current </w:t>
      </w:r>
      <w:r>
        <w:rPr>
          <w:rFonts w:eastAsiaTheme="minorHAnsi"/>
        </w:rPr>
        <w:t>earnings sharing mechanism</w:t>
      </w:r>
      <w:r w:rsidRPr="00B4652C">
        <w:rPr>
          <w:rFonts w:eastAsiaTheme="minorHAnsi"/>
        </w:rPr>
        <w:t>?</w:t>
      </w:r>
    </w:p>
    <w:p w:rsidR="009D6190" w:rsidRDefault="00B73329" w:rsidP="009D6190">
      <w:pPr>
        <w:pStyle w:val="answer"/>
      </w:pPr>
      <w:r>
        <w:t>A.</w:t>
      </w:r>
      <w:r>
        <w:tab/>
      </w:r>
      <w:r w:rsidRPr="00B4652C">
        <w:rPr>
          <w:rFonts w:eastAsiaTheme="minorHAnsi"/>
        </w:rPr>
        <w:t xml:space="preserve">PSE and </w:t>
      </w:r>
      <w:r>
        <w:rPr>
          <w:rFonts w:eastAsiaTheme="minorHAnsi"/>
        </w:rPr>
        <w:t xml:space="preserve">the </w:t>
      </w:r>
      <w:r w:rsidRPr="00B4652C">
        <w:rPr>
          <w:rFonts w:eastAsiaTheme="minorHAnsi"/>
        </w:rPr>
        <w:t>N</w:t>
      </w:r>
      <w:r>
        <w:rPr>
          <w:rFonts w:eastAsiaTheme="minorHAnsi"/>
        </w:rPr>
        <w:t>orthwest Energy Coalition (“</w:t>
      </w:r>
      <w:proofErr w:type="spellStart"/>
      <w:r>
        <w:rPr>
          <w:rFonts w:eastAsiaTheme="minorHAnsi"/>
        </w:rPr>
        <w:t>N</w:t>
      </w:r>
      <w:r w:rsidRPr="00B4652C">
        <w:rPr>
          <w:rFonts w:eastAsiaTheme="minorHAnsi"/>
        </w:rPr>
        <w:t>WEC</w:t>
      </w:r>
      <w:proofErr w:type="spellEnd"/>
      <w:r>
        <w:rPr>
          <w:rFonts w:eastAsiaTheme="minorHAnsi"/>
        </w:rPr>
        <w:t>”)</w:t>
      </w:r>
      <w:r w:rsidRPr="00B4652C">
        <w:rPr>
          <w:rFonts w:eastAsiaTheme="minorHAnsi"/>
        </w:rPr>
        <w:t xml:space="preserve"> initially proposed an earnings sharing mechanism that included a 25</w:t>
      </w:r>
      <w:r>
        <w:rPr>
          <w:rFonts w:eastAsiaTheme="minorHAnsi"/>
        </w:rPr>
        <w:t> </w:t>
      </w:r>
      <w:r w:rsidRPr="00B4652C">
        <w:rPr>
          <w:rFonts w:eastAsiaTheme="minorHAnsi"/>
        </w:rPr>
        <w:t xml:space="preserve">basis point dead band. Under that proposal, </w:t>
      </w:r>
      <w:r>
        <w:rPr>
          <w:rFonts w:eastAsiaTheme="minorHAnsi"/>
        </w:rPr>
        <w:t xml:space="preserve">PSE’s customers and investors would have shared equally in earnings that exceeded PSE’s </w:t>
      </w:r>
      <w:r w:rsidRPr="00B4652C">
        <w:rPr>
          <w:rFonts w:eastAsiaTheme="minorHAnsi"/>
        </w:rPr>
        <w:t>7.77</w:t>
      </w:r>
      <w:r>
        <w:rPr>
          <w:rFonts w:eastAsiaTheme="minorHAnsi"/>
        </w:rPr>
        <w:t> </w:t>
      </w:r>
      <w:r w:rsidRPr="00B4652C">
        <w:rPr>
          <w:rFonts w:eastAsiaTheme="minorHAnsi"/>
        </w:rPr>
        <w:t xml:space="preserve">percent </w:t>
      </w:r>
      <w:r>
        <w:rPr>
          <w:rFonts w:eastAsiaTheme="minorHAnsi"/>
        </w:rPr>
        <w:t xml:space="preserve">authorized </w:t>
      </w:r>
      <w:r w:rsidRPr="00B4652C">
        <w:rPr>
          <w:rFonts w:eastAsiaTheme="minorHAnsi"/>
        </w:rPr>
        <w:t>rate of return by 25</w:t>
      </w:r>
      <w:r>
        <w:rPr>
          <w:rFonts w:eastAsiaTheme="minorHAnsi"/>
        </w:rPr>
        <w:t> </w:t>
      </w:r>
      <w:r w:rsidRPr="00B4652C">
        <w:rPr>
          <w:rFonts w:eastAsiaTheme="minorHAnsi"/>
        </w:rPr>
        <w:t>basis points</w:t>
      </w:r>
      <w:r>
        <w:rPr>
          <w:rFonts w:eastAsiaTheme="minorHAnsi"/>
        </w:rPr>
        <w:t xml:space="preserve">. In other words, the proposal of PSE and </w:t>
      </w:r>
      <w:proofErr w:type="spellStart"/>
      <w:r>
        <w:rPr>
          <w:rFonts w:eastAsiaTheme="minorHAnsi"/>
        </w:rPr>
        <w:t>NWEC</w:t>
      </w:r>
      <w:proofErr w:type="spellEnd"/>
      <w:r>
        <w:rPr>
          <w:rFonts w:eastAsiaTheme="minorHAnsi"/>
        </w:rPr>
        <w:t xml:space="preserve"> would have had PSE’s customers and investors share equally in earnings that exceeded a rate of return of </w:t>
      </w:r>
      <w:r w:rsidRPr="00B4652C">
        <w:rPr>
          <w:rFonts w:eastAsiaTheme="minorHAnsi"/>
        </w:rPr>
        <w:t>8.02</w:t>
      </w:r>
      <w:r>
        <w:rPr>
          <w:rFonts w:eastAsiaTheme="minorHAnsi"/>
        </w:rPr>
        <w:t> </w:t>
      </w:r>
      <w:r w:rsidRPr="00B4652C">
        <w:rPr>
          <w:rFonts w:eastAsiaTheme="minorHAnsi"/>
        </w:rPr>
        <w:t>percent.</w:t>
      </w:r>
    </w:p>
    <w:p w:rsidR="00B73329" w:rsidRPr="009276E8" w:rsidRDefault="00B73329" w:rsidP="009D6190">
      <w:pPr>
        <w:pStyle w:val="answer"/>
        <w:ind w:firstLine="0"/>
      </w:pPr>
      <w:r>
        <w:rPr>
          <w:rFonts w:eastAsiaTheme="minorHAnsi"/>
        </w:rPr>
        <w:t>In Order 07</w:t>
      </w:r>
      <w:r w:rsidRPr="00B4652C">
        <w:rPr>
          <w:rFonts w:eastAsiaTheme="minorHAnsi"/>
        </w:rPr>
        <w:t xml:space="preserve">, </w:t>
      </w:r>
      <w:r>
        <w:rPr>
          <w:rFonts w:eastAsiaTheme="minorHAnsi"/>
        </w:rPr>
        <w:t xml:space="preserve">however, </w:t>
      </w:r>
      <w:r w:rsidRPr="00B4652C">
        <w:rPr>
          <w:rFonts w:eastAsiaTheme="minorHAnsi"/>
        </w:rPr>
        <w:t xml:space="preserve">the Commission </w:t>
      </w:r>
      <w:r>
        <w:rPr>
          <w:rFonts w:eastAsiaTheme="minorHAnsi"/>
        </w:rPr>
        <w:t xml:space="preserve">expressed its view that </w:t>
      </w:r>
      <w:r w:rsidRPr="00B4652C">
        <w:rPr>
          <w:rFonts w:eastAsiaTheme="minorHAnsi"/>
        </w:rPr>
        <w:t>PSE’s 9.8</w:t>
      </w:r>
      <w:r>
        <w:rPr>
          <w:rFonts w:eastAsiaTheme="minorHAnsi"/>
        </w:rPr>
        <w:t xml:space="preserve"> percent </w:t>
      </w:r>
      <w:r w:rsidRPr="00B4652C">
        <w:rPr>
          <w:rFonts w:eastAsiaTheme="minorHAnsi"/>
        </w:rPr>
        <w:t xml:space="preserve">return on equity </w:t>
      </w:r>
      <w:r>
        <w:rPr>
          <w:rFonts w:eastAsiaTheme="minorHAnsi"/>
        </w:rPr>
        <w:t xml:space="preserve">was </w:t>
      </w:r>
      <w:r w:rsidRPr="00B4652C">
        <w:rPr>
          <w:rFonts w:eastAsiaTheme="minorHAnsi"/>
        </w:rPr>
        <w:t xml:space="preserve">at the high end of </w:t>
      </w:r>
      <w:r>
        <w:rPr>
          <w:rFonts w:eastAsiaTheme="minorHAnsi"/>
        </w:rPr>
        <w:t>the</w:t>
      </w:r>
      <w:r w:rsidRPr="00B4652C">
        <w:rPr>
          <w:rFonts w:eastAsiaTheme="minorHAnsi"/>
        </w:rPr>
        <w:t xml:space="preserve"> range of reasonableness. As a result, the Commission required that </w:t>
      </w:r>
      <w:r>
        <w:rPr>
          <w:rFonts w:eastAsiaTheme="minorHAnsi"/>
        </w:rPr>
        <w:t xml:space="preserve">PSE’s customers and investors share equally in </w:t>
      </w:r>
      <w:r w:rsidRPr="00B4652C">
        <w:rPr>
          <w:rFonts w:eastAsiaTheme="minorHAnsi"/>
        </w:rPr>
        <w:t xml:space="preserve">any earnings that exceed </w:t>
      </w:r>
      <w:r>
        <w:rPr>
          <w:rFonts w:eastAsiaTheme="minorHAnsi"/>
        </w:rPr>
        <w:t xml:space="preserve">the </w:t>
      </w:r>
      <w:r w:rsidRPr="00B4652C">
        <w:rPr>
          <w:rFonts w:eastAsiaTheme="minorHAnsi"/>
        </w:rPr>
        <w:t>authorized rate of return of 7.77</w:t>
      </w:r>
      <w:r>
        <w:rPr>
          <w:rFonts w:eastAsiaTheme="minorHAnsi"/>
        </w:rPr>
        <w:t> </w:t>
      </w:r>
      <w:r w:rsidRPr="00B4652C">
        <w:rPr>
          <w:rFonts w:eastAsiaTheme="minorHAnsi"/>
        </w:rPr>
        <w:t>percent.</w:t>
      </w:r>
    </w:p>
    <w:p w:rsidR="00B73329" w:rsidRPr="00B4652C" w:rsidRDefault="00B73329" w:rsidP="00B73329">
      <w:pPr>
        <w:pStyle w:val="question"/>
      </w:pPr>
      <w:r w:rsidRPr="00B4652C">
        <w:rPr>
          <w:rFonts w:eastAsiaTheme="minorHAnsi"/>
        </w:rPr>
        <w:t>Q.</w:t>
      </w:r>
      <w:r>
        <w:rPr>
          <w:rFonts w:eastAsiaTheme="minorHAnsi"/>
        </w:rPr>
        <w:tab/>
      </w:r>
      <w:r w:rsidRPr="00B4652C">
        <w:rPr>
          <w:rFonts w:eastAsiaTheme="minorHAnsi"/>
        </w:rPr>
        <w:t xml:space="preserve">Has </w:t>
      </w:r>
      <w:r>
        <w:rPr>
          <w:rFonts w:eastAsiaTheme="minorHAnsi"/>
        </w:rPr>
        <w:t xml:space="preserve">PSE’s current earnings sharing mechanism </w:t>
      </w:r>
      <w:r w:rsidRPr="00B4652C">
        <w:rPr>
          <w:rFonts w:eastAsiaTheme="minorHAnsi"/>
        </w:rPr>
        <w:t>operated as intended?</w:t>
      </w:r>
    </w:p>
    <w:p w:rsidR="00B73329" w:rsidRPr="009276E8" w:rsidRDefault="00B73329" w:rsidP="009276E8">
      <w:pPr>
        <w:pStyle w:val="answer"/>
      </w:pPr>
      <w:r w:rsidRPr="00B4652C">
        <w:rPr>
          <w:rFonts w:eastAsiaTheme="minorHAnsi"/>
        </w:rPr>
        <w:t>A.</w:t>
      </w:r>
      <w:r>
        <w:rPr>
          <w:rFonts w:eastAsiaTheme="minorHAnsi"/>
        </w:rPr>
        <w:tab/>
        <w:t>Partially but certain economic anomalies remain, that have had a variety of consequences, including:</w:t>
      </w:r>
    </w:p>
    <w:p w:rsidR="00B73329" w:rsidRDefault="00B73329" w:rsidP="00B73329">
      <w:pPr>
        <w:pStyle w:val="List"/>
        <w:rPr>
          <w:rFonts w:eastAsiaTheme="minorHAnsi"/>
        </w:rPr>
      </w:pPr>
      <w:r>
        <w:rPr>
          <w:rFonts w:eastAsiaTheme="minorHAnsi"/>
        </w:rPr>
        <w:lastRenderedPageBreak/>
        <w:t>(i)</w:t>
      </w:r>
      <w:r>
        <w:rPr>
          <w:rFonts w:eastAsiaTheme="minorHAnsi"/>
        </w:rPr>
        <w:tab/>
        <w:t xml:space="preserve">the current earnings sharing mechanism creates an asymmetrical earnings profile for </w:t>
      </w:r>
      <w:r w:rsidR="00F07638">
        <w:rPr>
          <w:rFonts w:eastAsiaTheme="minorHAnsi"/>
        </w:rPr>
        <w:t>PSE</w:t>
      </w:r>
      <w:r>
        <w:rPr>
          <w:rFonts w:eastAsiaTheme="minorHAnsi"/>
        </w:rPr>
        <w:t>; and</w:t>
      </w:r>
    </w:p>
    <w:p w:rsidR="00B73329" w:rsidRDefault="00B73329" w:rsidP="00B73329">
      <w:pPr>
        <w:pStyle w:val="List"/>
        <w:rPr>
          <w:rFonts w:eastAsiaTheme="minorHAnsi"/>
        </w:rPr>
      </w:pPr>
      <w:r>
        <w:rPr>
          <w:rFonts w:eastAsiaTheme="minorHAnsi"/>
        </w:rPr>
        <w:t>(ii)</w:t>
      </w:r>
      <w:r>
        <w:rPr>
          <w:rFonts w:eastAsiaTheme="minorHAnsi"/>
        </w:rPr>
        <w:tab/>
        <w:t xml:space="preserve">the current earnings sharing mechanism could create perverse sharing economics that could require </w:t>
      </w:r>
      <w:r w:rsidR="00F07638">
        <w:rPr>
          <w:rFonts w:eastAsiaTheme="minorHAnsi"/>
        </w:rPr>
        <w:t>PSE</w:t>
      </w:r>
      <w:r>
        <w:rPr>
          <w:rFonts w:eastAsiaTheme="minorHAnsi"/>
        </w:rPr>
        <w:t xml:space="preserve"> to refund excess earnings that it</w:t>
      </w:r>
      <w:r w:rsidR="00CB0B7D">
        <w:rPr>
          <w:rFonts w:eastAsiaTheme="minorHAnsi"/>
        </w:rPr>
        <w:t xml:space="preserve"> never earned and retain </w:t>
      </w:r>
      <w:r>
        <w:rPr>
          <w:rFonts w:eastAsiaTheme="minorHAnsi"/>
        </w:rPr>
        <w:t>excess earnings that it did earn.</w:t>
      </w:r>
    </w:p>
    <w:p w:rsidR="00B73329" w:rsidRPr="00B4652C" w:rsidRDefault="00B73329" w:rsidP="00B73329">
      <w:pPr>
        <w:pStyle w:val="question"/>
      </w:pPr>
      <w:r w:rsidRPr="00B4652C">
        <w:rPr>
          <w:rFonts w:eastAsiaTheme="minorHAnsi"/>
        </w:rPr>
        <w:t>Q.</w:t>
      </w:r>
      <w:r>
        <w:rPr>
          <w:rFonts w:eastAsiaTheme="minorHAnsi"/>
        </w:rPr>
        <w:tab/>
        <w:t xml:space="preserve">Please describe how </w:t>
      </w:r>
      <w:r w:rsidR="00C56101">
        <w:rPr>
          <w:rFonts w:eastAsiaTheme="minorHAnsi"/>
        </w:rPr>
        <w:t xml:space="preserve">the </w:t>
      </w:r>
      <w:r>
        <w:rPr>
          <w:rFonts w:eastAsiaTheme="minorHAnsi"/>
        </w:rPr>
        <w:t xml:space="preserve">current earnings sharing mechanism </w:t>
      </w:r>
      <w:r w:rsidRPr="00B4652C">
        <w:rPr>
          <w:rFonts w:eastAsiaTheme="minorHAnsi"/>
        </w:rPr>
        <w:t>operate</w:t>
      </w:r>
      <w:r>
        <w:rPr>
          <w:rFonts w:eastAsiaTheme="minorHAnsi"/>
        </w:rPr>
        <w:t>s.</w:t>
      </w:r>
    </w:p>
    <w:p w:rsidR="009D6190" w:rsidRDefault="00CB0B7D" w:rsidP="009D6190">
      <w:pPr>
        <w:pStyle w:val="answer"/>
      </w:pPr>
      <w:r>
        <w:t>A.</w:t>
      </w:r>
      <w:r>
        <w:tab/>
      </w:r>
      <w:r w:rsidR="00B73329">
        <w:t xml:space="preserve">PSE’s current earnings sharing mechanism </w:t>
      </w:r>
      <w:r w:rsidR="00B73329" w:rsidRPr="00B4652C">
        <w:t>requires that PSE share 50</w:t>
      </w:r>
      <w:r w:rsidR="00B73329">
        <w:t> </w:t>
      </w:r>
      <w:r w:rsidR="00B73329" w:rsidRPr="00B4652C">
        <w:t xml:space="preserve">percent of all earnings in excess of </w:t>
      </w:r>
      <w:r w:rsidR="00B73329">
        <w:t xml:space="preserve">its authorized </w:t>
      </w:r>
      <w:r w:rsidR="00B73329" w:rsidRPr="00B4652C">
        <w:t>rate of return</w:t>
      </w:r>
      <w:r w:rsidR="00B73329">
        <w:t xml:space="preserve">. The current earnings sharing mechanism calculates </w:t>
      </w:r>
      <w:r w:rsidR="00B73329" w:rsidRPr="00B4652C">
        <w:t xml:space="preserve">rate of return as </w:t>
      </w:r>
      <w:r w:rsidR="00F07638">
        <w:t xml:space="preserve">PSE’s </w:t>
      </w:r>
      <w:r w:rsidR="00B73329">
        <w:t xml:space="preserve">normalized </w:t>
      </w:r>
      <w:r w:rsidR="00B73329" w:rsidRPr="00B4652C">
        <w:t xml:space="preserve">operating income divided by </w:t>
      </w:r>
      <w:r w:rsidR="00B73329">
        <w:t xml:space="preserve">its </w:t>
      </w:r>
      <w:r w:rsidR="00F07638">
        <w:t xml:space="preserve">average-of-monthly-averages </w:t>
      </w:r>
      <w:r w:rsidR="00B73329" w:rsidRPr="00B4652C">
        <w:t>rate base</w:t>
      </w:r>
      <w:r w:rsidR="00B73329">
        <w:t>. To arrive at normalized operating income, actual o</w:t>
      </w:r>
      <w:r w:rsidR="00B73329" w:rsidRPr="00B4652C">
        <w:t>perating income</w:t>
      </w:r>
      <w:r w:rsidR="00B73329">
        <w:t xml:space="preserve"> is</w:t>
      </w:r>
      <w:r w:rsidR="00B73329" w:rsidRPr="00B4652C">
        <w:t xml:space="preserve"> </w:t>
      </w:r>
      <w:r w:rsidR="00B73329">
        <w:t>a</w:t>
      </w:r>
      <w:r w:rsidR="00B73329" w:rsidRPr="00B4652C">
        <w:t xml:space="preserve">djusted for </w:t>
      </w:r>
      <w:r w:rsidR="00B73329">
        <w:t>numerous Commission-</w:t>
      </w:r>
      <w:r w:rsidR="00B73329" w:rsidRPr="00B4652C">
        <w:t xml:space="preserve">accepted adjustments as reflected in </w:t>
      </w:r>
      <w:r w:rsidR="00B73329">
        <w:t xml:space="preserve">PSE’s </w:t>
      </w:r>
      <w:r w:rsidR="00B73329" w:rsidRPr="00B4652C">
        <w:t xml:space="preserve">annual </w:t>
      </w:r>
      <w:r w:rsidR="00326EF1">
        <w:t>C</w:t>
      </w:r>
      <w:r w:rsidR="00B73329" w:rsidRPr="00B4652C">
        <w:t xml:space="preserve">ommission </w:t>
      </w:r>
      <w:r w:rsidR="00326EF1">
        <w:t>B</w:t>
      </w:r>
      <w:r w:rsidR="00B73329" w:rsidRPr="00B4652C">
        <w:t xml:space="preserve">asis </w:t>
      </w:r>
      <w:r w:rsidR="00326EF1">
        <w:t>R</w:t>
      </w:r>
      <w:r w:rsidR="00B73329" w:rsidRPr="00B4652C">
        <w:t>eport.</w:t>
      </w:r>
      <w:r w:rsidR="00F07638">
        <w:t xml:space="preserve"> </w:t>
      </w:r>
      <w:r w:rsidR="00B73329">
        <w:t>Per WAC 480-</w:t>
      </w:r>
      <w:r w:rsidR="00C56101">
        <w:t>9</w:t>
      </w:r>
      <w:r w:rsidR="00B73329">
        <w:t>0-257</w:t>
      </w:r>
      <w:r w:rsidR="00C56101">
        <w:t xml:space="preserve"> and WAC 480-100-257</w:t>
      </w:r>
      <w:r w:rsidR="00B73329">
        <w:t xml:space="preserve">, the intent of the Commission Basis Report is to depict the electric and gas operations of a utility under normal operational, temperature and power supply conditions during </w:t>
      </w:r>
      <w:r w:rsidR="009276E8">
        <w:t>a “test year” reporting period.</w:t>
      </w:r>
    </w:p>
    <w:p w:rsidR="00F07638" w:rsidRDefault="006F5F26" w:rsidP="009D6190">
      <w:pPr>
        <w:pStyle w:val="answer"/>
        <w:ind w:firstLine="0"/>
      </w:pPr>
      <w:r>
        <w:rPr>
          <w:rFonts w:eastAsiaTheme="minorHAnsi"/>
        </w:rPr>
        <w:t xml:space="preserve">Commission-accepted adjustments belong </w:t>
      </w:r>
      <w:r>
        <w:t>in one of two categories:</w:t>
      </w:r>
      <w:r w:rsidR="00F07638">
        <w:t xml:space="preserve"> (i) conforming adjustments and (ii) </w:t>
      </w:r>
      <w:r w:rsidR="00F07638">
        <w:rPr>
          <w:rFonts w:eastAsiaTheme="minorHAnsi"/>
        </w:rPr>
        <w:t xml:space="preserve">normalizing adjustments. </w:t>
      </w:r>
      <w:r w:rsidR="00C56101">
        <w:rPr>
          <w:rFonts w:eastAsiaTheme="minorHAnsi"/>
        </w:rPr>
        <w:t xml:space="preserve">Examples of </w:t>
      </w:r>
      <w:r w:rsidR="00C56101">
        <w:t>c</w:t>
      </w:r>
      <w:r w:rsidR="00F07638">
        <w:t>onforming adjustments include the following:</w:t>
      </w:r>
    </w:p>
    <w:p w:rsidR="00F07638" w:rsidRDefault="006F5F26" w:rsidP="00F07638">
      <w:pPr>
        <w:pStyle w:val="List"/>
        <w:rPr>
          <w:rFonts w:eastAsiaTheme="minorHAnsi"/>
        </w:rPr>
      </w:pPr>
      <w:r>
        <w:rPr>
          <w:rFonts w:eastAsiaTheme="minorHAnsi"/>
        </w:rPr>
        <w:t>(i)</w:t>
      </w:r>
      <w:r>
        <w:rPr>
          <w:rFonts w:eastAsiaTheme="minorHAnsi"/>
        </w:rPr>
        <w:tab/>
        <w:t>adjustments for riders and trackers that are not part of standard net operating income ratemaking;</w:t>
      </w:r>
      <w:r w:rsidR="00F07638">
        <w:rPr>
          <w:rFonts w:eastAsiaTheme="minorHAnsi"/>
        </w:rPr>
        <w:t xml:space="preserve"> and</w:t>
      </w:r>
    </w:p>
    <w:p w:rsidR="009276E8" w:rsidRDefault="006F5F26" w:rsidP="00F07638">
      <w:pPr>
        <w:pStyle w:val="List"/>
        <w:rPr>
          <w:rFonts w:eastAsiaTheme="minorHAnsi"/>
        </w:rPr>
      </w:pPr>
      <w:r>
        <w:rPr>
          <w:rFonts w:eastAsiaTheme="minorHAnsi"/>
        </w:rPr>
        <w:t>(ii)</w:t>
      </w:r>
      <w:r>
        <w:rPr>
          <w:rFonts w:eastAsiaTheme="minorHAnsi"/>
        </w:rPr>
        <w:tab/>
      </w:r>
      <w:r w:rsidRPr="00B4652C">
        <w:rPr>
          <w:rFonts w:eastAsiaTheme="minorHAnsi"/>
        </w:rPr>
        <w:t>adjustments</w:t>
      </w:r>
      <w:r w:rsidR="00F07638">
        <w:rPr>
          <w:rFonts w:eastAsiaTheme="minorHAnsi"/>
        </w:rPr>
        <w:t xml:space="preserve"> </w:t>
      </w:r>
      <w:r w:rsidRPr="00B4652C">
        <w:rPr>
          <w:rFonts w:eastAsiaTheme="minorHAnsi"/>
        </w:rPr>
        <w:t>necessary to remove “non-operating” items such as ASC</w:t>
      </w:r>
      <w:r>
        <w:rPr>
          <w:rFonts w:eastAsiaTheme="minorHAnsi"/>
        </w:rPr>
        <w:t> </w:t>
      </w:r>
      <w:r w:rsidRPr="00B4652C">
        <w:rPr>
          <w:rFonts w:eastAsiaTheme="minorHAnsi"/>
        </w:rPr>
        <w:t>815 (</w:t>
      </w:r>
      <w:r>
        <w:rPr>
          <w:rFonts w:eastAsiaTheme="minorHAnsi"/>
        </w:rPr>
        <w:t xml:space="preserve">formerly </w:t>
      </w:r>
      <w:r w:rsidRPr="00B4652C">
        <w:rPr>
          <w:rFonts w:eastAsiaTheme="minorHAnsi"/>
        </w:rPr>
        <w:t>FAS</w:t>
      </w:r>
      <w:r>
        <w:rPr>
          <w:rFonts w:eastAsiaTheme="minorHAnsi"/>
        </w:rPr>
        <w:t> </w:t>
      </w:r>
      <w:r w:rsidRPr="00B4652C">
        <w:rPr>
          <w:rFonts w:eastAsiaTheme="minorHAnsi"/>
        </w:rPr>
        <w:t xml:space="preserve">133) and </w:t>
      </w:r>
      <w:r w:rsidR="00326EF1">
        <w:rPr>
          <w:rFonts w:eastAsiaTheme="minorHAnsi"/>
        </w:rPr>
        <w:t>portions of Directors’ and Officers’ Insurance</w:t>
      </w:r>
      <w:r w:rsidR="00C56101">
        <w:rPr>
          <w:rFonts w:eastAsiaTheme="minorHAnsi"/>
        </w:rPr>
        <w:t>.</w:t>
      </w:r>
    </w:p>
    <w:p w:rsidR="009D6190" w:rsidRDefault="00C56101" w:rsidP="00C56101">
      <w:pPr>
        <w:pStyle w:val="answer"/>
        <w:keepNext/>
        <w:keepLines/>
        <w:ind w:firstLine="0"/>
        <w:rPr>
          <w:rFonts w:eastAsiaTheme="minorHAnsi"/>
        </w:rPr>
      </w:pPr>
      <w:r>
        <w:rPr>
          <w:rFonts w:eastAsiaTheme="minorHAnsi"/>
        </w:rPr>
        <w:lastRenderedPageBreak/>
        <w:t>Examples of n</w:t>
      </w:r>
      <w:r w:rsidR="006F5F26">
        <w:rPr>
          <w:rFonts w:eastAsiaTheme="minorHAnsi"/>
        </w:rPr>
        <w:t>ormalizing adjustments</w:t>
      </w:r>
      <w:r w:rsidR="00F07638">
        <w:rPr>
          <w:rFonts w:eastAsiaTheme="minorHAnsi"/>
        </w:rPr>
        <w:t xml:space="preserve"> include the following</w:t>
      </w:r>
      <w:r w:rsidR="006F5F26">
        <w:rPr>
          <w:rFonts w:eastAsiaTheme="minorHAnsi"/>
        </w:rPr>
        <w:t>:</w:t>
      </w:r>
    </w:p>
    <w:p w:rsidR="009D6190" w:rsidRDefault="00B73329" w:rsidP="009D6190">
      <w:pPr>
        <w:pStyle w:val="answer"/>
        <w:spacing w:before="0" w:after="280" w:line="240" w:lineRule="auto"/>
        <w:ind w:left="2160" w:right="720"/>
      </w:pPr>
      <w:r>
        <w:rPr>
          <w:rFonts w:eastAsiaTheme="minorHAnsi"/>
        </w:rPr>
        <w:t>(</w:t>
      </w:r>
      <w:r w:rsidR="00F07638">
        <w:rPr>
          <w:rFonts w:eastAsiaTheme="minorHAnsi"/>
        </w:rPr>
        <w:t>i</w:t>
      </w:r>
      <w:r>
        <w:rPr>
          <w:rFonts w:eastAsiaTheme="minorHAnsi"/>
        </w:rPr>
        <w:t>)</w:t>
      </w:r>
      <w:r>
        <w:rPr>
          <w:rFonts w:eastAsiaTheme="minorHAnsi"/>
        </w:rPr>
        <w:tab/>
      </w:r>
      <w:r w:rsidRPr="00B4652C">
        <w:rPr>
          <w:rFonts w:eastAsiaTheme="minorHAnsi"/>
        </w:rPr>
        <w:t xml:space="preserve">adjustments to restate </w:t>
      </w:r>
      <w:r>
        <w:rPr>
          <w:rFonts w:eastAsiaTheme="minorHAnsi"/>
        </w:rPr>
        <w:t xml:space="preserve">the test year </w:t>
      </w:r>
      <w:r w:rsidRPr="00B4652C">
        <w:rPr>
          <w:rFonts w:eastAsiaTheme="minorHAnsi"/>
        </w:rPr>
        <w:t xml:space="preserve">for “normal” conditions such as </w:t>
      </w:r>
      <w:r>
        <w:rPr>
          <w:rFonts w:eastAsiaTheme="minorHAnsi"/>
        </w:rPr>
        <w:t>t</w:t>
      </w:r>
      <w:r w:rsidRPr="00B4652C">
        <w:rPr>
          <w:rFonts w:eastAsiaTheme="minorHAnsi"/>
        </w:rPr>
        <w:t>emperature and power costs</w:t>
      </w:r>
      <w:r>
        <w:rPr>
          <w:rFonts w:eastAsiaTheme="minorHAnsi"/>
        </w:rPr>
        <w:t xml:space="preserve"> similar to what is done in a </w:t>
      </w:r>
      <w:r w:rsidR="00F07638">
        <w:rPr>
          <w:rFonts w:eastAsiaTheme="minorHAnsi"/>
        </w:rPr>
        <w:t>general rate case</w:t>
      </w:r>
      <w:r w:rsidRPr="00B4652C">
        <w:rPr>
          <w:rFonts w:eastAsiaTheme="minorHAnsi"/>
        </w:rPr>
        <w:t>;</w:t>
      </w:r>
    </w:p>
    <w:p w:rsidR="009D6190" w:rsidRDefault="00B73329" w:rsidP="009D6190">
      <w:pPr>
        <w:pStyle w:val="answer"/>
        <w:spacing w:before="0" w:after="280" w:line="240" w:lineRule="auto"/>
        <w:ind w:left="2160" w:right="720"/>
        <w:rPr>
          <w:rFonts w:eastAsiaTheme="minorHAnsi"/>
        </w:rPr>
      </w:pPr>
      <w:r>
        <w:rPr>
          <w:rFonts w:eastAsiaTheme="minorHAnsi"/>
        </w:rPr>
        <w:t>(</w:t>
      </w:r>
      <w:r w:rsidR="00F07638">
        <w:rPr>
          <w:rFonts w:eastAsiaTheme="minorHAnsi"/>
        </w:rPr>
        <w:t>ii</w:t>
      </w:r>
      <w:r>
        <w:rPr>
          <w:rFonts w:eastAsiaTheme="minorHAnsi"/>
        </w:rPr>
        <w:t>)</w:t>
      </w:r>
      <w:r>
        <w:rPr>
          <w:rFonts w:eastAsiaTheme="minorHAnsi"/>
        </w:rPr>
        <w:tab/>
      </w:r>
      <w:r w:rsidRPr="00B4652C">
        <w:rPr>
          <w:rFonts w:eastAsiaTheme="minorHAnsi"/>
        </w:rPr>
        <w:t xml:space="preserve">adjustments that </w:t>
      </w:r>
      <w:r>
        <w:rPr>
          <w:rFonts w:eastAsiaTheme="minorHAnsi"/>
        </w:rPr>
        <w:t>normalize certain test year</w:t>
      </w:r>
      <w:r w:rsidR="00F07638">
        <w:rPr>
          <w:rFonts w:eastAsiaTheme="minorHAnsi"/>
        </w:rPr>
        <w:t xml:space="preserve"> </w:t>
      </w:r>
      <w:r>
        <w:rPr>
          <w:rFonts w:eastAsiaTheme="minorHAnsi"/>
        </w:rPr>
        <w:t>expenses</w:t>
      </w:r>
      <w:r w:rsidR="00F07638">
        <w:rPr>
          <w:rFonts w:eastAsiaTheme="minorHAnsi"/>
        </w:rPr>
        <w:t>,</w:t>
      </w:r>
      <w:r>
        <w:rPr>
          <w:rFonts w:eastAsiaTheme="minorHAnsi"/>
        </w:rPr>
        <w:t xml:space="preserve"> </w:t>
      </w:r>
      <w:r w:rsidRPr="00B4652C">
        <w:rPr>
          <w:rFonts w:eastAsiaTheme="minorHAnsi"/>
        </w:rPr>
        <w:t xml:space="preserve">such as bad debt expense, pension plan expense, injuries </w:t>
      </w:r>
      <w:r>
        <w:rPr>
          <w:rFonts w:eastAsiaTheme="minorHAnsi"/>
        </w:rPr>
        <w:t>and</w:t>
      </w:r>
      <w:r w:rsidRPr="00B4652C">
        <w:rPr>
          <w:rFonts w:eastAsiaTheme="minorHAnsi"/>
        </w:rPr>
        <w:t xml:space="preserve"> damages</w:t>
      </w:r>
      <w:r>
        <w:rPr>
          <w:rFonts w:eastAsiaTheme="minorHAnsi"/>
        </w:rPr>
        <w:t>,</w:t>
      </w:r>
      <w:r w:rsidRPr="00B4652C">
        <w:rPr>
          <w:rFonts w:eastAsiaTheme="minorHAnsi"/>
        </w:rPr>
        <w:t xml:space="preserve"> and rate case expenses</w:t>
      </w:r>
      <w:r w:rsidR="00F07638">
        <w:rPr>
          <w:rFonts w:eastAsiaTheme="minorHAnsi"/>
        </w:rPr>
        <w:t>,</w:t>
      </w:r>
      <w:r>
        <w:rPr>
          <w:rFonts w:eastAsiaTheme="minorHAnsi"/>
        </w:rPr>
        <w:t xml:space="preserve"> consistent with treatment in a </w:t>
      </w:r>
      <w:r w:rsidR="00F07638">
        <w:rPr>
          <w:rFonts w:eastAsiaTheme="minorHAnsi"/>
        </w:rPr>
        <w:t>general rate case</w:t>
      </w:r>
      <w:r w:rsidRPr="00B4652C">
        <w:rPr>
          <w:rFonts w:eastAsiaTheme="minorHAnsi"/>
        </w:rPr>
        <w:t>;</w:t>
      </w:r>
      <w:r w:rsidR="00F07638">
        <w:rPr>
          <w:rFonts w:eastAsiaTheme="minorHAnsi"/>
        </w:rPr>
        <w:t xml:space="preserve"> and</w:t>
      </w:r>
    </w:p>
    <w:p w:rsidR="00B73329" w:rsidRPr="00F07638" w:rsidRDefault="00F07638" w:rsidP="009D6190">
      <w:pPr>
        <w:pStyle w:val="answer"/>
        <w:spacing w:before="0" w:after="280" w:line="240" w:lineRule="auto"/>
        <w:ind w:left="2160" w:right="720"/>
        <w:rPr>
          <w:rFonts w:eastAsiaTheme="minorHAnsi"/>
        </w:rPr>
      </w:pPr>
      <w:r>
        <w:rPr>
          <w:rFonts w:eastAsiaTheme="minorHAnsi"/>
        </w:rPr>
        <w:t>(iii)</w:t>
      </w:r>
      <w:r>
        <w:rPr>
          <w:rFonts w:eastAsiaTheme="minorHAnsi"/>
        </w:rPr>
        <w:tab/>
      </w:r>
      <w:r w:rsidR="00B73329" w:rsidRPr="00B4652C">
        <w:rPr>
          <w:rFonts w:eastAsiaTheme="minorHAnsi"/>
        </w:rPr>
        <w:t xml:space="preserve">adjustments to remove </w:t>
      </w:r>
      <w:r w:rsidR="00B73329">
        <w:rPr>
          <w:rFonts w:eastAsiaTheme="minorHAnsi"/>
        </w:rPr>
        <w:t>non-recurring transactions</w:t>
      </w:r>
      <w:r w:rsidR="00C56101">
        <w:rPr>
          <w:rFonts w:eastAsiaTheme="minorHAnsi"/>
        </w:rPr>
        <w:t>.</w:t>
      </w:r>
    </w:p>
    <w:p w:rsidR="00B73329" w:rsidRPr="00B06379" w:rsidRDefault="00B73329" w:rsidP="00B06379">
      <w:pPr>
        <w:pStyle w:val="question"/>
      </w:pPr>
      <w:r>
        <w:t>Q.</w:t>
      </w:r>
      <w:r>
        <w:tab/>
        <w:t>What is the purpose of the Commission Basis Report?</w:t>
      </w:r>
    </w:p>
    <w:p w:rsidR="00B73329" w:rsidRDefault="00B73329" w:rsidP="009276E8">
      <w:pPr>
        <w:pStyle w:val="answer"/>
      </w:pPr>
      <w:r>
        <w:t>A.</w:t>
      </w:r>
      <w:r>
        <w:tab/>
        <w:t xml:space="preserve">The </w:t>
      </w:r>
      <w:r w:rsidR="00F07638">
        <w:t xml:space="preserve">Commission Basis Report </w:t>
      </w:r>
      <w:r>
        <w:t>is a</w:t>
      </w:r>
      <w:r w:rsidR="00F07638">
        <w:t>n</w:t>
      </w:r>
      <w:r>
        <w:t xml:space="preserve"> important document for monitoring a utility’s earnings performance on a normalized test year basis between rate cases. It answers the question, “If the company filed a rate case for the test year/reporting period in question, would it be under or over earning its allowed rate of return after considering </w:t>
      </w:r>
      <w:r w:rsidR="00326EF1">
        <w:t xml:space="preserve">all appropriate conforming and </w:t>
      </w:r>
      <w:r>
        <w:t xml:space="preserve">normalizing adjustments?” In this regard, the </w:t>
      </w:r>
      <w:r w:rsidR="00F07638">
        <w:t xml:space="preserve">Commission Basis Report </w:t>
      </w:r>
      <w:r>
        <w:t xml:space="preserve">provides timely and useful information not only to the </w:t>
      </w:r>
      <w:r w:rsidR="00F07638">
        <w:t>C</w:t>
      </w:r>
      <w:r>
        <w:t xml:space="preserve">ommission but to </w:t>
      </w:r>
      <w:r w:rsidR="00F07638">
        <w:t xml:space="preserve">PSE and </w:t>
      </w:r>
      <w:r>
        <w:t>interven</w:t>
      </w:r>
      <w:r w:rsidR="00F07638">
        <w:t>o</w:t>
      </w:r>
      <w:r>
        <w:t xml:space="preserve">rs as well. That said, the normalized rate of return calculation included in the </w:t>
      </w:r>
      <w:r w:rsidR="00F07638">
        <w:t xml:space="preserve">Commission Basis Report </w:t>
      </w:r>
      <w:r>
        <w:t>can be an inappropriate mechanism for calculating excess earnings with respect to earning sharing mecha</w:t>
      </w:r>
      <w:r w:rsidR="00723834">
        <w:t>nisms.</w:t>
      </w:r>
    </w:p>
    <w:p w:rsidR="00B73329" w:rsidRPr="00B06379" w:rsidRDefault="00B73329" w:rsidP="00B06379">
      <w:pPr>
        <w:pStyle w:val="question"/>
      </w:pPr>
      <w:r w:rsidRPr="00D22A5C">
        <w:t>Q.</w:t>
      </w:r>
      <w:r w:rsidRPr="00D22A5C">
        <w:tab/>
      </w:r>
      <w:r w:rsidR="00F07638">
        <w:t>Why can the normalized rate of return calculation included in the Commission Basis Report be an inappropriate mechanism for calculating excess earnings with respect to earning sharing mechanisms?</w:t>
      </w:r>
    </w:p>
    <w:p w:rsidR="009D6190" w:rsidRDefault="00B73329" w:rsidP="009D6190">
      <w:pPr>
        <w:pStyle w:val="answer"/>
      </w:pPr>
      <w:r>
        <w:t>A.</w:t>
      </w:r>
      <w:r>
        <w:tab/>
      </w:r>
      <w:r w:rsidR="00F07638">
        <w:t xml:space="preserve">The normalized rate of return calculation included in the Commission Basis Report can be an inappropriate mechanism for calculating excess earnings with </w:t>
      </w:r>
      <w:r w:rsidR="00F07638">
        <w:lastRenderedPageBreak/>
        <w:t>respect to earning sharing mechanisms because where certain unforeseen dynamics exists, such as materially higher or lower power costs, the revenue sharing mechanism as currently designed can produce results that are unexpected and irrational.</w:t>
      </w:r>
    </w:p>
    <w:p w:rsidR="009D6190" w:rsidRDefault="00F07638" w:rsidP="00F07638">
      <w:pPr>
        <w:pStyle w:val="answer"/>
        <w:ind w:firstLine="0"/>
      </w:pPr>
      <w:r>
        <w:t>For purposes of an example, a</w:t>
      </w:r>
      <w:r w:rsidR="00B73329">
        <w:t>ssume for a given reporting period that reduced snowpack resulted in a material reduction in available hydropower</w:t>
      </w:r>
      <w:r w:rsidR="00326EF1">
        <w:t xml:space="preserve"> and available wind power was materially below normal</w:t>
      </w:r>
      <w:r w:rsidR="00C70BF2">
        <w:t xml:space="preserve">, </w:t>
      </w:r>
      <w:r w:rsidR="00326EF1">
        <w:t xml:space="preserve">both of </w:t>
      </w:r>
      <w:r w:rsidR="00C70BF2">
        <w:t>which force</w:t>
      </w:r>
      <w:r w:rsidR="00326EF1">
        <w:t>d</w:t>
      </w:r>
      <w:r w:rsidR="00B73329">
        <w:t xml:space="preserve"> </w:t>
      </w:r>
      <w:r>
        <w:t xml:space="preserve">PSE </w:t>
      </w:r>
      <w:r w:rsidR="00B73329">
        <w:t>to replace lower-cost hydro</w:t>
      </w:r>
      <w:r w:rsidR="00326EF1">
        <w:t xml:space="preserve"> and wind </w:t>
      </w:r>
      <w:r w:rsidR="00B73329">
        <w:t>power with higher cost purchases in the marketplace. With respect to the reporting period in question, actual power costs would obviously be higher than normal or expected and correspondingly actual net operating income would be lower than normal or expected, all else being held equal.</w:t>
      </w:r>
    </w:p>
    <w:p w:rsidR="009D6190" w:rsidRDefault="00B73329" w:rsidP="00F07638">
      <w:pPr>
        <w:pStyle w:val="answer"/>
        <w:ind w:firstLine="0"/>
      </w:pPr>
      <w:r>
        <w:t>Continuing</w:t>
      </w:r>
      <w:r w:rsidR="00C70BF2">
        <w:t xml:space="preserve"> with </w:t>
      </w:r>
      <w:r w:rsidR="00F07638">
        <w:t xml:space="preserve">this </w:t>
      </w:r>
      <w:r w:rsidR="00C70BF2">
        <w:t xml:space="preserve">example, now </w:t>
      </w:r>
      <w:r>
        <w:t xml:space="preserve">assume that it is time to prepare the </w:t>
      </w:r>
      <w:r w:rsidR="00F07638">
        <w:t xml:space="preserve">Commission Basis Report </w:t>
      </w:r>
      <w:r>
        <w:t xml:space="preserve">and normalize the actual power costs </w:t>
      </w:r>
      <w:r w:rsidR="00F07638">
        <w:t xml:space="preserve">for the </w:t>
      </w:r>
      <w:r>
        <w:t xml:space="preserve">sample reporting period. For </w:t>
      </w:r>
      <w:r w:rsidR="003054C4">
        <w:t>discussion,</w:t>
      </w:r>
      <w:r>
        <w:t xml:space="preserve"> assume that actual power costs must be reduced by $50</w:t>
      </w:r>
      <w:r w:rsidR="00F07638">
        <w:t> </w:t>
      </w:r>
      <w:r>
        <w:t xml:space="preserve">million to normalize power costs for average </w:t>
      </w:r>
      <w:r w:rsidR="00F07638">
        <w:t>h</w:t>
      </w:r>
      <w:r>
        <w:t xml:space="preserve">ydro and </w:t>
      </w:r>
      <w:r w:rsidR="00326EF1">
        <w:t>wind conditions</w:t>
      </w:r>
      <w:r w:rsidR="00B612FF">
        <w:t>.</w:t>
      </w:r>
      <w:r w:rsidR="00207934">
        <w:t xml:space="preserve"> </w:t>
      </w:r>
      <w:r w:rsidR="00F07638">
        <w:t>For sake of simplicity, (i) </w:t>
      </w:r>
      <w:r>
        <w:t>ignore the impacts of the power cost adjustment sharing bands</w:t>
      </w:r>
      <w:r w:rsidR="00D13CC1">
        <w:t>,</w:t>
      </w:r>
      <w:r w:rsidR="00403508">
        <w:t xml:space="preserve"> </w:t>
      </w:r>
      <w:r w:rsidR="00F07638">
        <w:t>(ii) </w:t>
      </w:r>
      <w:r>
        <w:t xml:space="preserve">assume that this is the only normalizing adjustment required in the preparation of </w:t>
      </w:r>
      <w:r w:rsidR="00F07638">
        <w:t xml:space="preserve">the </w:t>
      </w:r>
      <w:r>
        <w:t xml:space="preserve">hypothetical </w:t>
      </w:r>
      <w:r w:rsidR="00F07638">
        <w:t>Commission Basis Report</w:t>
      </w:r>
      <w:r w:rsidR="00D13CC1">
        <w:t>, and (</w:t>
      </w:r>
      <w:r w:rsidR="00221E4D">
        <w:t xml:space="preserve">iii) PSE has, despite increased power costs, </w:t>
      </w:r>
      <w:r w:rsidR="00825472">
        <w:t xml:space="preserve">exactly </w:t>
      </w:r>
      <w:r w:rsidR="00221E4D">
        <w:t>earned</w:t>
      </w:r>
      <w:r w:rsidR="002A19AF">
        <w:t xml:space="preserve"> </w:t>
      </w:r>
      <w:r w:rsidR="00221E4D">
        <w:t>its allowed rate of return on an actual basis.</w:t>
      </w:r>
    </w:p>
    <w:p w:rsidR="009D6190" w:rsidRDefault="00B73329" w:rsidP="00F07638">
      <w:pPr>
        <w:pStyle w:val="answer"/>
        <w:ind w:firstLine="0"/>
      </w:pPr>
      <w:r>
        <w:t>The end</w:t>
      </w:r>
      <w:r w:rsidR="00F07638">
        <w:t>-</w:t>
      </w:r>
      <w:r>
        <w:t>result of processing this normalization adjustment would be an increase in normalized net operating income</w:t>
      </w:r>
      <w:r w:rsidR="003054C4">
        <w:t xml:space="preserve"> </w:t>
      </w:r>
      <w:r>
        <w:t>of $32.5</w:t>
      </w:r>
      <w:r w:rsidR="00F07638">
        <w:t> </w:t>
      </w:r>
      <w:r>
        <w:t>million ($50</w:t>
      </w:r>
      <w:r w:rsidR="00F07638">
        <w:t> </w:t>
      </w:r>
      <w:r>
        <w:t>million net of 35%</w:t>
      </w:r>
      <w:r w:rsidR="00F07638">
        <w:t> </w:t>
      </w:r>
      <w:r>
        <w:t xml:space="preserve">tax </w:t>
      </w:r>
      <w:r>
        <w:lastRenderedPageBreak/>
        <w:t>expense) compared to actual net operating income for the reporting period. This simple example clearly demonstrates that if ea</w:t>
      </w:r>
      <w:r w:rsidR="000C1AB0">
        <w:t>rnings sharing</w:t>
      </w:r>
      <w:r w:rsidR="00B612FF">
        <w:t xml:space="preserve"> </w:t>
      </w:r>
      <w:r w:rsidR="00C56101">
        <w:t>were</w:t>
      </w:r>
      <w:r>
        <w:t xml:space="preserve"> </w:t>
      </w:r>
      <w:r w:rsidR="00B73431">
        <w:t>calculated from</w:t>
      </w:r>
      <w:r>
        <w:t xml:space="preserve"> the normalized net operating income </w:t>
      </w:r>
      <w:r w:rsidR="00F07638">
        <w:t>PSE</w:t>
      </w:r>
      <w:r>
        <w:t xml:space="preserve"> would indeed share $16.25</w:t>
      </w:r>
      <w:r w:rsidR="00064654">
        <w:t> </w:t>
      </w:r>
      <w:r>
        <w:t>million ($32.5</w:t>
      </w:r>
      <w:r w:rsidR="00064654">
        <w:t> </w:t>
      </w:r>
      <w:r>
        <w:t>million times 50%) of “excess” earnings that it did not earn on an</w:t>
      </w:r>
      <w:r w:rsidR="009276E8">
        <w:t xml:space="preserve"> actual, non-normalized basis.</w:t>
      </w:r>
    </w:p>
    <w:p w:rsidR="009D6190" w:rsidRDefault="003054C4" w:rsidP="00F07638">
      <w:pPr>
        <w:pStyle w:val="answer"/>
        <w:ind w:firstLine="0"/>
      </w:pPr>
      <w:r>
        <w:t xml:space="preserve">Conversely, if </w:t>
      </w:r>
      <w:r w:rsidR="00B73431">
        <w:t>hydro</w:t>
      </w:r>
      <w:r w:rsidR="00532C5F">
        <w:t xml:space="preserve"> and wind </w:t>
      </w:r>
      <w:r w:rsidR="00B73431">
        <w:t>power</w:t>
      </w:r>
      <w:r w:rsidR="00DF4828">
        <w:t xml:space="preserve"> </w:t>
      </w:r>
      <w:r w:rsidR="00532C5F">
        <w:t xml:space="preserve">availability was </w:t>
      </w:r>
      <w:r w:rsidR="00B73431">
        <w:t xml:space="preserve">above </w:t>
      </w:r>
      <w:r w:rsidR="00532C5F">
        <w:t>normal production levels,</w:t>
      </w:r>
      <w:r w:rsidR="00DF4828">
        <w:t xml:space="preserve"> </w:t>
      </w:r>
      <w:r w:rsidR="00B73431">
        <w:t xml:space="preserve">to the point where </w:t>
      </w:r>
      <w:r w:rsidR="00B612FF">
        <w:t xml:space="preserve">more expensive </w:t>
      </w:r>
      <w:r w:rsidR="00B73431">
        <w:t xml:space="preserve">market purchases </w:t>
      </w:r>
      <w:r w:rsidR="00532C5F">
        <w:t>would be displaced and</w:t>
      </w:r>
      <w:r w:rsidR="00DF4828">
        <w:t xml:space="preserve"> </w:t>
      </w:r>
      <w:r w:rsidR="00B73431">
        <w:t>actual power costs would be lower than normal or expected and actual net operating income would be higher than normal or e</w:t>
      </w:r>
      <w:r w:rsidR="00F07638">
        <w:t xml:space="preserve">xpected, </w:t>
      </w:r>
      <w:r w:rsidR="009276E8">
        <w:t>all else being equal.</w:t>
      </w:r>
    </w:p>
    <w:p w:rsidR="009D6190" w:rsidRDefault="00B73431" w:rsidP="00F07638">
      <w:pPr>
        <w:pStyle w:val="answer"/>
        <w:ind w:firstLine="0"/>
      </w:pPr>
      <w:r>
        <w:t xml:space="preserve">Continuing with this example, when </w:t>
      </w:r>
      <w:r w:rsidR="00F07638">
        <w:t xml:space="preserve">PSE </w:t>
      </w:r>
      <w:r>
        <w:t>prepare</w:t>
      </w:r>
      <w:r w:rsidR="00F07638">
        <w:t>s</w:t>
      </w:r>
      <w:r>
        <w:t xml:space="preserve"> the </w:t>
      </w:r>
      <w:r w:rsidR="00F07638">
        <w:t xml:space="preserve">Commission Basis Report </w:t>
      </w:r>
      <w:r>
        <w:t>and normalize</w:t>
      </w:r>
      <w:r w:rsidR="00F07638">
        <w:t>s</w:t>
      </w:r>
      <w:r>
        <w:t xml:space="preserve"> the actual power costs for </w:t>
      </w:r>
      <w:r w:rsidR="00F07638">
        <w:t xml:space="preserve">the </w:t>
      </w:r>
      <w:r>
        <w:t xml:space="preserve">sample reporting period, power costs must be </w:t>
      </w:r>
      <w:r w:rsidR="00F07638">
        <w:t xml:space="preserve">increased </w:t>
      </w:r>
      <w:r>
        <w:t>by $50</w:t>
      </w:r>
      <w:r w:rsidR="00F07638">
        <w:t> </w:t>
      </w:r>
      <w:r>
        <w:t>million to normalize power costs for average hydro</w:t>
      </w:r>
      <w:r w:rsidR="00532C5F">
        <w:t xml:space="preserve"> and wind</w:t>
      </w:r>
      <w:r>
        <w:t xml:space="preserve"> conditions. Assuming again, for the sake of simplicity</w:t>
      </w:r>
      <w:r w:rsidR="00F07638">
        <w:t>,</w:t>
      </w:r>
      <w:r>
        <w:t xml:space="preserve"> that </w:t>
      </w:r>
      <w:r w:rsidR="00F07638">
        <w:t xml:space="preserve">one </w:t>
      </w:r>
      <w:r>
        <w:t>ignore</w:t>
      </w:r>
      <w:r w:rsidR="00F07638">
        <w:t>s</w:t>
      </w:r>
      <w:r>
        <w:t xml:space="preserve"> the impacts of the power cost adjustment sharing bands</w:t>
      </w:r>
      <w:r w:rsidR="00221E4D">
        <w:t>,</w:t>
      </w:r>
      <w:r>
        <w:t xml:space="preserve"> </w:t>
      </w:r>
      <w:r w:rsidR="00FB1CAF">
        <w:t xml:space="preserve">assumes </w:t>
      </w:r>
      <w:r>
        <w:t>this is the only normalizing adjustment required</w:t>
      </w:r>
      <w:r w:rsidR="00221E4D">
        <w:t xml:space="preserve"> and</w:t>
      </w:r>
      <w:r w:rsidR="00FB1CAF">
        <w:t xml:space="preserve"> that</w:t>
      </w:r>
      <w:r w:rsidR="00221E4D">
        <w:t xml:space="preserve"> PSE exactly</w:t>
      </w:r>
      <w:r w:rsidR="00825472">
        <w:t xml:space="preserve"> over-e</w:t>
      </w:r>
      <w:r w:rsidR="00221E4D">
        <w:t>arned its allowed rate of return on an actual basis</w:t>
      </w:r>
      <w:r w:rsidR="00825472">
        <w:t xml:space="preserve"> by $32.5</w:t>
      </w:r>
      <w:r w:rsidR="00064654">
        <w:t> </w:t>
      </w:r>
      <w:r w:rsidR="00825472">
        <w:t>million</w:t>
      </w:r>
      <w:r>
        <w:t>, the end result would be a decrease in net operating income of $32.5</w:t>
      </w:r>
      <w:r w:rsidR="00F07638">
        <w:t> </w:t>
      </w:r>
      <w:r>
        <w:t>million ($50</w:t>
      </w:r>
      <w:r w:rsidR="00064654">
        <w:t> </w:t>
      </w:r>
      <w:r>
        <w:t>million</w:t>
      </w:r>
      <w:r w:rsidR="00F07638">
        <w:t> </w:t>
      </w:r>
      <w:r>
        <w:t xml:space="preserve">net of 35% tax expense) compared to actual net operating income for the reporting period. This simple example also clearly demonstrates that if earnings sharing </w:t>
      </w:r>
      <w:r w:rsidR="00B612FF">
        <w:t>are</w:t>
      </w:r>
      <w:r>
        <w:t xml:space="preserve"> calculated from the normalized net operating income, </w:t>
      </w:r>
      <w:r w:rsidR="00F07638">
        <w:t xml:space="preserve">PSE </w:t>
      </w:r>
      <w:r>
        <w:t>would not share $16.25</w:t>
      </w:r>
      <w:r w:rsidR="00F07638">
        <w:t> </w:t>
      </w:r>
      <w:r>
        <w:t>million</w:t>
      </w:r>
      <w:r w:rsidR="00F26CD8">
        <w:t xml:space="preserve"> ($32.5</w:t>
      </w:r>
      <w:r w:rsidR="00F07638">
        <w:t> </w:t>
      </w:r>
      <w:r w:rsidR="00F26CD8">
        <w:t xml:space="preserve">million times 50%) of excess earnings that </w:t>
      </w:r>
      <w:r w:rsidR="00F07638">
        <w:t>PSE</w:t>
      </w:r>
      <w:r w:rsidR="00F26CD8">
        <w:t xml:space="preserve"> did actually earn.</w:t>
      </w:r>
    </w:p>
    <w:p w:rsidR="00F26CD8" w:rsidRPr="009276E8" w:rsidRDefault="00F26CD8" w:rsidP="00F07638">
      <w:pPr>
        <w:pStyle w:val="answer"/>
        <w:ind w:firstLine="0"/>
      </w:pPr>
      <w:r>
        <w:lastRenderedPageBreak/>
        <w:t xml:space="preserve">In </w:t>
      </w:r>
      <w:r w:rsidR="00F07638">
        <w:t xml:space="preserve">short, for </w:t>
      </w:r>
      <w:r>
        <w:t>situations where certain unforeseen d</w:t>
      </w:r>
      <w:r w:rsidR="00C56101">
        <w:t>ynamics exist</w:t>
      </w:r>
      <w:r>
        <w:t>, such as materially higher or lower power costs, the revenue sharing mechanism as currently designed can produce results that are unexpected and irrational.</w:t>
      </w:r>
    </w:p>
    <w:p w:rsidR="00B73329" w:rsidRPr="00B06379" w:rsidRDefault="00B73329" w:rsidP="00B06379">
      <w:pPr>
        <w:pStyle w:val="question"/>
      </w:pPr>
      <w:r>
        <w:t>Q.</w:t>
      </w:r>
      <w:r>
        <w:tab/>
        <w:t>How do</w:t>
      </w:r>
      <w:r w:rsidR="00F07638">
        <w:t>es</w:t>
      </w:r>
      <w:r>
        <w:t xml:space="preserve"> </w:t>
      </w:r>
      <w:r w:rsidR="00F07638">
        <w:t xml:space="preserve">PSE </w:t>
      </w:r>
      <w:r>
        <w:t xml:space="preserve">suggest that this apparent anomaly </w:t>
      </w:r>
      <w:r w:rsidR="00F07638">
        <w:t xml:space="preserve">be fixed in </w:t>
      </w:r>
      <w:r>
        <w:t>the future?</w:t>
      </w:r>
    </w:p>
    <w:p w:rsidR="009276E8" w:rsidRDefault="00B73329" w:rsidP="00B73329">
      <w:pPr>
        <w:pStyle w:val="answer"/>
      </w:pPr>
      <w:r>
        <w:t>A.</w:t>
      </w:r>
      <w:r>
        <w:tab/>
      </w:r>
      <w:r w:rsidR="00A26FC3">
        <w:t xml:space="preserve">In considering adjustments to the existing mechanism, </w:t>
      </w:r>
      <w:r w:rsidR="00F07638">
        <w:t xml:space="preserve">PSE </w:t>
      </w:r>
      <w:r w:rsidR="00A26FC3">
        <w:t xml:space="preserve">performed analysis </w:t>
      </w:r>
      <w:r>
        <w:t>using the December</w:t>
      </w:r>
      <w:r w:rsidR="00F07638">
        <w:t> </w:t>
      </w:r>
      <w:r>
        <w:t xml:space="preserve">31, 2015 Commission Basis Report </w:t>
      </w:r>
      <w:r w:rsidR="002460D3">
        <w:t>to illustrate this point in reality</w:t>
      </w:r>
      <w:r>
        <w:t xml:space="preserve">. In simplest terms, </w:t>
      </w:r>
      <w:r w:rsidR="00F07638">
        <w:t xml:space="preserve">PSE </w:t>
      </w:r>
      <w:r>
        <w:t xml:space="preserve">reviewed the </w:t>
      </w:r>
      <w:r w:rsidR="00F07638">
        <w:t xml:space="preserve">2015 Commission Basis Report </w:t>
      </w:r>
      <w:r w:rsidR="00A26FC3">
        <w:t>conforming and normalizing</w:t>
      </w:r>
      <w:r>
        <w:t xml:space="preserve"> adjustments and </w:t>
      </w:r>
      <w:r w:rsidR="00A26FC3">
        <w:t>re-calculated operating income by excluding the normalizing adjustments</w:t>
      </w:r>
      <w:r>
        <w:t xml:space="preserve">. </w:t>
      </w:r>
      <w:r w:rsidR="00911C8E">
        <w:t xml:space="preserve">For the 2015 </w:t>
      </w:r>
      <w:r w:rsidR="00F07638">
        <w:t xml:space="preserve">Commission Basis Report, </w:t>
      </w:r>
      <w:r w:rsidR="00911C8E">
        <w:t>t</w:t>
      </w:r>
      <w:r w:rsidR="008B5F4C">
        <w:t xml:space="preserve">hose adjustments </w:t>
      </w:r>
      <w:r w:rsidR="00911C8E">
        <w:t>were</w:t>
      </w:r>
      <w:r w:rsidR="008B5F4C">
        <w:t>:</w:t>
      </w:r>
    </w:p>
    <w:p w:rsidR="00F07638" w:rsidRDefault="008B5F4C" w:rsidP="00F07638">
      <w:pPr>
        <w:pStyle w:val="List"/>
      </w:pPr>
      <w:r>
        <w:t>(i)</w:t>
      </w:r>
      <w:r>
        <w:tab/>
        <w:t>temperature normalization,</w:t>
      </w:r>
    </w:p>
    <w:p w:rsidR="00F07638" w:rsidRDefault="008B5F4C" w:rsidP="00F07638">
      <w:pPr>
        <w:pStyle w:val="List"/>
      </w:pPr>
      <w:r>
        <w:t>(ii)</w:t>
      </w:r>
      <w:r>
        <w:tab/>
        <w:t>power costs,</w:t>
      </w:r>
    </w:p>
    <w:p w:rsidR="00F07638" w:rsidRDefault="008B5F4C" w:rsidP="00F07638">
      <w:pPr>
        <w:pStyle w:val="List"/>
      </w:pPr>
      <w:r>
        <w:t>(iii)</w:t>
      </w:r>
      <w:r>
        <w:tab/>
        <w:t>rate case expenses,</w:t>
      </w:r>
    </w:p>
    <w:p w:rsidR="00F07638" w:rsidRDefault="008B5F4C" w:rsidP="00F07638">
      <w:pPr>
        <w:pStyle w:val="List"/>
      </w:pPr>
      <w:r>
        <w:t>(iv)</w:t>
      </w:r>
      <w:r>
        <w:tab/>
        <w:t>bad debts,</w:t>
      </w:r>
    </w:p>
    <w:p w:rsidR="00F07638" w:rsidRDefault="008B5F4C" w:rsidP="00F07638">
      <w:pPr>
        <w:pStyle w:val="List"/>
      </w:pPr>
      <w:r>
        <w:t>(v)</w:t>
      </w:r>
      <w:r>
        <w:tab/>
        <w:t>Montana tax,</w:t>
      </w:r>
      <w:r w:rsidR="00295DEE">
        <w:t xml:space="preserve"> </w:t>
      </w:r>
    </w:p>
    <w:p w:rsidR="00F07638" w:rsidRDefault="008B5F4C" w:rsidP="00F07638">
      <w:pPr>
        <w:pStyle w:val="List"/>
      </w:pPr>
      <w:r>
        <w:t>(vi)</w:t>
      </w:r>
      <w:r>
        <w:tab/>
        <w:t>injuries &amp; damages expense</w:t>
      </w:r>
      <w:r w:rsidR="00295DEE">
        <w:t>,</w:t>
      </w:r>
      <w:r w:rsidR="00F07638">
        <w:t xml:space="preserve"> and</w:t>
      </w:r>
    </w:p>
    <w:p w:rsidR="009276E8" w:rsidRPr="00F07638" w:rsidRDefault="00911C8E" w:rsidP="00F07638">
      <w:pPr>
        <w:pStyle w:val="List"/>
        <w:rPr>
          <w:rFonts w:eastAsiaTheme="minorHAnsi"/>
        </w:rPr>
      </w:pPr>
      <w:r>
        <w:t>(vii)</w:t>
      </w:r>
      <w:r>
        <w:tab/>
        <w:t>any other normalizing adjustments as applicable</w:t>
      </w:r>
      <w:r w:rsidR="00295DEE">
        <w:t>, though there were none for this analysis</w:t>
      </w:r>
      <w:r w:rsidR="00F07638">
        <w:t>.</w:t>
      </w:r>
    </w:p>
    <w:p w:rsidR="00B73329" w:rsidRDefault="00B73329" w:rsidP="009D6190">
      <w:pPr>
        <w:pStyle w:val="answer"/>
        <w:ind w:firstLine="0"/>
      </w:pPr>
      <w:r>
        <w:t xml:space="preserve">On the electric side, this reduced </w:t>
      </w:r>
      <w:r w:rsidR="00A26FC3">
        <w:t>o</w:t>
      </w:r>
      <w:r>
        <w:t xml:space="preserve">perating </w:t>
      </w:r>
      <w:r w:rsidR="00A26FC3">
        <w:t>i</w:t>
      </w:r>
      <w:r>
        <w:t>ncome by $9.2</w:t>
      </w:r>
      <w:r w:rsidR="00F07638">
        <w:t> </w:t>
      </w:r>
      <w:r>
        <w:t xml:space="preserve">million </w:t>
      </w:r>
      <w:r w:rsidR="000C1AB0">
        <w:t>(</w:t>
      </w:r>
      <w:r w:rsidR="00F07638">
        <w:t>see Table 4, r</w:t>
      </w:r>
      <w:r w:rsidR="008B5F4C">
        <w:t>ow</w:t>
      </w:r>
      <w:r w:rsidR="00F07638">
        <w:t> </w:t>
      </w:r>
      <w:r w:rsidR="008B5F4C">
        <w:t>4, column</w:t>
      </w:r>
      <w:r w:rsidR="00F07638">
        <w:t> </w:t>
      </w:r>
      <w:r w:rsidR="008B5F4C">
        <w:t xml:space="preserve">G) </w:t>
      </w:r>
      <w:r>
        <w:t>and reduced the rate of return by 1</w:t>
      </w:r>
      <w:r w:rsidR="00A26FC3">
        <w:t>8</w:t>
      </w:r>
      <w:r w:rsidR="00F07638">
        <w:t> </w:t>
      </w:r>
      <w:r>
        <w:t>basis points</w:t>
      </w:r>
      <w:r w:rsidR="008B5F4C">
        <w:t xml:space="preserve"> (</w:t>
      </w:r>
      <w:r w:rsidR="00F07638">
        <w:t>see Table 4, row 6, column G)</w:t>
      </w:r>
      <w:r>
        <w:t xml:space="preserve">. </w:t>
      </w:r>
      <w:r w:rsidR="00002929">
        <w:t xml:space="preserve">Accordingly, </w:t>
      </w:r>
      <w:r w:rsidR="00B72280">
        <w:t xml:space="preserve">by removing the above normalizing adjustments, </w:t>
      </w:r>
      <w:r w:rsidR="00002929">
        <w:t>PSE</w:t>
      </w:r>
      <w:r w:rsidR="002460D3">
        <w:t xml:space="preserve"> would not share </w:t>
      </w:r>
      <w:r w:rsidR="00002929">
        <w:t xml:space="preserve">$4.6 million (9.2 million times 50%) of pre-tax </w:t>
      </w:r>
      <w:r w:rsidR="002460D3">
        <w:t xml:space="preserve">excess </w:t>
      </w:r>
      <w:r w:rsidR="002460D3">
        <w:lastRenderedPageBreak/>
        <w:t>earni</w:t>
      </w:r>
      <w:r w:rsidR="00002929">
        <w:t>ngs that it did not actually earn</w:t>
      </w:r>
      <w:r w:rsidR="001A3B19">
        <w:t>, as it was required to do under the current earnings sharing methodology.</w:t>
      </w:r>
    </w:p>
    <w:p w:rsidR="00F07638" w:rsidRPr="002E466E" w:rsidRDefault="00F07638" w:rsidP="00F07638">
      <w:pPr>
        <w:pStyle w:val="answer"/>
        <w:keepNext/>
        <w:keepLines/>
        <w:spacing w:before="0" w:after="60" w:line="240" w:lineRule="auto"/>
        <w:ind w:left="0" w:firstLine="0"/>
        <w:jc w:val="center"/>
        <w:rPr>
          <w:b/>
        </w:rPr>
      </w:pPr>
      <w:r w:rsidRPr="002E466E">
        <w:rPr>
          <w:b/>
        </w:rPr>
        <w:t>Table </w:t>
      </w:r>
      <w:r>
        <w:rPr>
          <w:b/>
        </w:rPr>
        <w:t>4</w:t>
      </w:r>
      <w:r w:rsidRPr="002E466E">
        <w:rPr>
          <w:b/>
        </w:rPr>
        <w:t xml:space="preserve">. </w:t>
      </w:r>
      <w:r>
        <w:rPr>
          <w:b/>
        </w:rPr>
        <w:t>Electric Results of Operations</w:t>
      </w:r>
      <w:r>
        <w:rPr>
          <w:b/>
        </w:rPr>
        <w:br/>
        <w:t>for the Twelve Months Ended December 31, 2015</w:t>
      </w:r>
    </w:p>
    <w:p w:rsidR="000300E3" w:rsidRDefault="000C1AB0" w:rsidP="00B73329">
      <w:pPr>
        <w:pStyle w:val="answer"/>
      </w:pPr>
      <w:r>
        <w:rPr>
          <w:noProof/>
          <w:lang w:eastAsia="en-US"/>
        </w:rPr>
        <w:drawing>
          <wp:inline distT="0" distB="0" distL="0" distR="0" wp14:anchorId="0CCA7A06" wp14:editId="4EB7FCBD">
            <wp:extent cx="5486400" cy="115989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1159890"/>
                    </a:xfrm>
                    <a:prstGeom prst="rect">
                      <a:avLst/>
                    </a:prstGeom>
                    <a:noFill/>
                    <a:ln>
                      <a:noFill/>
                    </a:ln>
                  </pic:spPr>
                </pic:pic>
              </a:graphicData>
            </a:graphic>
          </wp:inline>
        </w:drawing>
      </w:r>
    </w:p>
    <w:p w:rsidR="00B73329" w:rsidRDefault="00B73329" w:rsidP="009D6190">
      <w:pPr>
        <w:pStyle w:val="answer"/>
        <w:ind w:firstLine="0"/>
      </w:pPr>
      <w:r>
        <w:t xml:space="preserve">On the gas side, </w:t>
      </w:r>
      <w:r w:rsidR="008B5F4C">
        <w:t>o</w:t>
      </w:r>
      <w:r>
        <w:t>perating income was reduced by $294</w:t>
      </w:r>
      <w:r w:rsidR="000C1AB0">
        <w:t xml:space="preserve"> (</w:t>
      </w:r>
      <w:r w:rsidR="00F07638">
        <w:t>Table 5, r</w:t>
      </w:r>
      <w:r w:rsidR="008B5F4C">
        <w:t>ow</w:t>
      </w:r>
      <w:r w:rsidR="00F07638">
        <w:t> </w:t>
      </w:r>
      <w:r w:rsidR="008B5F4C">
        <w:t>4, column</w:t>
      </w:r>
      <w:r w:rsidR="00F07638">
        <w:t> </w:t>
      </w:r>
      <w:r w:rsidR="008B5F4C">
        <w:t>G)</w:t>
      </w:r>
      <w:r>
        <w:t xml:space="preserve">, which obviously had </w:t>
      </w:r>
      <w:r w:rsidR="00002929">
        <w:t xml:space="preserve">an immaterial </w:t>
      </w:r>
      <w:r>
        <w:t>impact on rate of return</w:t>
      </w:r>
      <w:r w:rsidR="000C1AB0">
        <w:t xml:space="preserve"> (</w:t>
      </w:r>
      <w:r w:rsidR="00F07638">
        <w:t>Table 5, r</w:t>
      </w:r>
      <w:r w:rsidR="008B5F4C">
        <w:t>ow</w:t>
      </w:r>
      <w:r w:rsidR="00F07638">
        <w:t> </w:t>
      </w:r>
      <w:r w:rsidR="008B5F4C">
        <w:t>6, column</w:t>
      </w:r>
      <w:r w:rsidR="00F07638">
        <w:t> </w:t>
      </w:r>
      <w:r w:rsidR="008B5F4C">
        <w:t>G)</w:t>
      </w:r>
      <w:r w:rsidR="00F07638">
        <w:t>.</w:t>
      </w:r>
    </w:p>
    <w:p w:rsidR="00F07638" w:rsidRPr="002E466E" w:rsidRDefault="00F07638" w:rsidP="00F07638">
      <w:pPr>
        <w:pStyle w:val="answer"/>
        <w:keepNext/>
        <w:keepLines/>
        <w:spacing w:before="0" w:after="60" w:line="240" w:lineRule="auto"/>
        <w:ind w:left="0" w:firstLine="0"/>
        <w:jc w:val="center"/>
        <w:rPr>
          <w:b/>
        </w:rPr>
      </w:pPr>
      <w:r w:rsidRPr="002E466E">
        <w:rPr>
          <w:b/>
        </w:rPr>
        <w:t>Table </w:t>
      </w:r>
      <w:r>
        <w:rPr>
          <w:b/>
        </w:rPr>
        <w:t>5</w:t>
      </w:r>
      <w:r w:rsidRPr="002E466E">
        <w:rPr>
          <w:b/>
        </w:rPr>
        <w:t xml:space="preserve">. </w:t>
      </w:r>
      <w:r>
        <w:rPr>
          <w:b/>
        </w:rPr>
        <w:t>Gas Results of Operations</w:t>
      </w:r>
      <w:r>
        <w:rPr>
          <w:b/>
        </w:rPr>
        <w:br/>
        <w:t>for the Twelve Months Ended December 31, 2015</w:t>
      </w:r>
    </w:p>
    <w:p w:rsidR="00047873" w:rsidRDefault="000C1AB0" w:rsidP="000300E3">
      <w:pPr>
        <w:pStyle w:val="answer"/>
      </w:pPr>
      <w:r>
        <w:rPr>
          <w:noProof/>
          <w:lang w:eastAsia="en-US"/>
        </w:rPr>
        <w:drawing>
          <wp:inline distT="0" distB="0" distL="0" distR="0" wp14:anchorId="0367C039" wp14:editId="3E45EADA">
            <wp:extent cx="5486400" cy="11617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0" cy="1161715"/>
                    </a:xfrm>
                    <a:prstGeom prst="rect">
                      <a:avLst/>
                    </a:prstGeom>
                    <a:noFill/>
                    <a:ln>
                      <a:noFill/>
                    </a:ln>
                  </pic:spPr>
                </pic:pic>
              </a:graphicData>
            </a:graphic>
          </wp:inline>
        </w:drawing>
      </w:r>
    </w:p>
    <w:p w:rsidR="009D6190" w:rsidRDefault="00B73329" w:rsidP="00F07638">
      <w:pPr>
        <w:pStyle w:val="answer"/>
        <w:ind w:firstLine="0"/>
      </w:pPr>
      <w:r>
        <w:t xml:space="preserve">This exercise, using </w:t>
      </w:r>
      <w:r w:rsidR="00F07638">
        <w:t xml:space="preserve">PSE’s 2015 Commission Basis Reports </w:t>
      </w:r>
      <w:r w:rsidR="008B5F4C">
        <w:t>and excluding the normalization adjustments</w:t>
      </w:r>
      <w:r>
        <w:t>, validates an important point</w:t>
      </w:r>
      <w:r w:rsidR="00F07638">
        <w:t>—</w:t>
      </w:r>
      <w:r>
        <w:t xml:space="preserve">normalization </w:t>
      </w:r>
      <w:r w:rsidR="008B5F4C">
        <w:t>adjustments</w:t>
      </w:r>
      <w:r>
        <w:t xml:space="preserve"> can</w:t>
      </w:r>
      <w:r w:rsidR="001A3B19">
        <w:t xml:space="preserve"> skew</w:t>
      </w:r>
      <w:r>
        <w:t>, and ha</w:t>
      </w:r>
      <w:r w:rsidR="008B5F4C">
        <w:t>ve</w:t>
      </w:r>
      <w:r>
        <w:t xml:space="preserve"> skewed</w:t>
      </w:r>
      <w:r w:rsidR="00723834">
        <w:t xml:space="preserve">, </w:t>
      </w:r>
      <w:r>
        <w:t>the measure</w:t>
      </w:r>
      <w:r w:rsidR="008B5F4C">
        <w:t>ment of financial performance for</w:t>
      </w:r>
      <w:r w:rsidR="00DF4828">
        <w:t xml:space="preserve"> </w:t>
      </w:r>
      <w:r w:rsidR="00002929">
        <w:t xml:space="preserve">excess earnings </w:t>
      </w:r>
      <w:r w:rsidR="008B5F4C">
        <w:t>sharing purposes</w:t>
      </w:r>
      <w:r w:rsidR="00723834">
        <w:t>.</w:t>
      </w:r>
    </w:p>
    <w:p w:rsidR="003A58D5" w:rsidRDefault="00B73329" w:rsidP="00F07638">
      <w:pPr>
        <w:pStyle w:val="answer"/>
        <w:ind w:firstLine="0"/>
      </w:pPr>
      <w:r>
        <w:t xml:space="preserve">Therefore, </w:t>
      </w:r>
      <w:r w:rsidR="00F07638">
        <w:t xml:space="preserve">PSE </w:t>
      </w:r>
      <w:r>
        <w:t>recommend</w:t>
      </w:r>
      <w:r w:rsidR="00F07638">
        <w:t>s</w:t>
      </w:r>
      <w:r>
        <w:t xml:space="preserve"> that</w:t>
      </w:r>
      <w:r w:rsidR="00F07638">
        <w:t>,</w:t>
      </w:r>
      <w:r>
        <w:t xml:space="preserve"> </w:t>
      </w:r>
      <w:r w:rsidR="002A19AF">
        <w:t>the earnings sharing mechanism be modified to exclude</w:t>
      </w:r>
      <w:r w:rsidR="00DF4828">
        <w:t xml:space="preserve"> </w:t>
      </w:r>
      <w:r w:rsidR="00295DEE">
        <w:t xml:space="preserve">all normalizing adjustments </w:t>
      </w:r>
      <w:r w:rsidR="000C1AB0">
        <w:t xml:space="preserve">and all conforming adjustments </w:t>
      </w:r>
      <w:r w:rsidR="00DE46F3">
        <w:t xml:space="preserve">should </w:t>
      </w:r>
      <w:r w:rsidR="000C1AB0">
        <w:t>be retained</w:t>
      </w:r>
      <w:r w:rsidR="003A58D5">
        <w:t xml:space="preserve"> for calculating operating income</w:t>
      </w:r>
      <w:r>
        <w:t>.</w:t>
      </w:r>
      <w:r w:rsidR="00DF4828">
        <w:t xml:space="preserve"> </w:t>
      </w:r>
      <w:r w:rsidR="00DE46F3">
        <w:t xml:space="preserve">This will align excess </w:t>
      </w:r>
      <w:r w:rsidR="00147430">
        <w:t xml:space="preserve">earnings </w:t>
      </w:r>
      <w:r w:rsidR="00DE46F3">
        <w:t xml:space="preserve">sharing </w:t>
      </w:r>
      <w:r w:rsidR="00DE46F3">
        <w:lastRenderedPageBreak/>
        <w:t xml:space="preserve">economics closer to actual results </w:t>
      </w:r>
      <w:r w:rsidR="00C56101">
        <w:t>(whether the</w:t>
      </w:r>
      <w:r w:rsidR="00403508">
        <w:t>y</w:t>
      </w:r>
      <w:r w:rsidR="00C56101">
        <w:t xml:space="preserve"> be higher than or lower than “normal”) </w:t>
      </w:r>
      <w:r w:rsidR="00DE46F3">
        <w:t>and eliminate the unintended and irrational results that can occur in the normalizing process</w:t>
      </w:r>
      <w:r w:rsidR="002E39D7">
        <w:t xml:space="preserve"> resulting in more consistent and fair economics</w:t>
      </w:r>
      <w:r w:rsidR="00B612FF">
        <w:t xml:space="preserve"> for customers and </w:t>
      </w:r>
      <w:r w:rsidR="00D833F4">
        <w:t xml:space="preserve">shareholders </w:t>
      </w:r>
      <w:r w:rsidR="00B612FF">
        <w:t>alike</w:t>
      </w:r>
      <w:r w:rsidR="00DE46F3">
        <w:t>.</w:t>
      </w:r>
      <w:r w:rsidR="00DF4828">
        <w:t xml:space="preserve"> </w:t>
      </w:r>
      <w:r w:rsidR="005E19C6">
        <w:t>In addition, this approach eliminates the need to borrow on the margin to refund to customer</w:t>
      </w:r>
      <w:r w:rsidR="00C56101">
        <w:t>s</w:t>
      </w:r>
      <w:r w:rsidR="005D496A">
        <w:t xml:space="preserve"> excess earnings</w:t>
      </w:r>
      <w:r w:rsidR="005E19C6">
        <w:t xml:space="preserve"> that PSE did not realize in reality.</w:t>
      </w:r>
    </w:p>
    <w:p w:rsidR="00CB7801" w:rsidRPr="00F5352D" w:rsidRDefault="00CB7801" w:rsidP="00F5352D">
      <w:pPr>
        <w:pStyle w:val="question"/>
      </w:pPr>
      <w:r w:rsidRPr="00F5352D">
        <w:t>Q.</w:t>
      </w:r>
      <w:r w:rsidRPr="00F5352D">
        <w:tab/>
        <w:t>You referenced another anomaly that creates an asymmetrical earnings profile due to the current sharing bands in the earnings sharing mechanism. Please explain.</w:t>
      </w:r>
    </w:p>
    <w:p w:rsidR="00CB7801" w:rsidRDefault="00CB7801" w:rsidP="00CB7801">
      <w:pPr>
        <w:pStyle w:val="answer"/>
      </w:pPr>
      <w:r>
        <w:t>A.</w:t>
      </w:r>
      <w:r>
        <w:tab/>
        <w:t>Currently, the customer shares in any over</w:t>
      </w:r>
      <w:r w:rsidR="00723834">
        <w:t>-</w:t>
      </w:r>
      <w:r>
        <w:t xml:space="preserve">earning </w:t>
      </w:r>
      <w:r w:rsidR="00723834">
        <w:t xml:space="preserve">that PSE </w:t>
      </w:r>
      <w:r>
        <w:t xml:space="preserve">experiences, </w:t>
      </w:r>
      <w:r w:rsidR="00723834">
        <w:t>but does not share in any under-</w:t>
      </w:r>
      <w:r>
        <w:t xml:space="preserve">earning </w:t>
      </w:r>
      <w:r w:rsidR="00723834">
        <w:t xml:space="preserve">that PSE </w:t>
      </w:r>
      <w:r>
        <w:t>experiences.</w:t>
      </w:r>
      <w:r w:rsidRPr="00B4652C">
        <w:t xml:space="preserve"> This relationship alters the traditional balance that should exist in a utility’s opportunity to earn its allowed rate of return.</w:t>
      </w:r>
    </w:p>
    <w:p w:rsidR="00CB7801" w:rsidRPr="00321DD8" w:rsidRDefault="00CB7801" w:rsidP="00CB7801">
      <w:pPr>
        <w:pStyle w:val="question"/>
      </w:pPr>
      <w:r w:rsidRPr="00B4652C">
        <w:rPr>
          <w:rFonts w:eastAsiaTheme="minorHAnsi"/>
        </w:rPr>
        <w:t>Q.</w:t>
      </w:r>
      <w:r>
        <w:rPr>
          <w:rFonts w:eastAsiaTheme="minorHAnsi"/>
        </w:rPr>
        <w:tab/>
        <w:t xml:space="preserve">How does the operation of PSE’s current earnings sharing mechanism </w:t>
      </w:r>
      <w:r>
        <w:t>alter</w:t>
      </w:r>
      <w:r w:rsidRPr="00B4652C">
        <w:t xml:space="preserve"> the traditional balance that should exist in a utility’s opportunity to earn its allowed rate of return</w:t>
      </w:r>
      <w:r>
        <w:t>?</w:t>
      </w:r>
    </w:p>
    <w:p w:rsidR="00CB7801" w:rsidRPr="009D6190" w:rsidRDefault="00CB7801" w:rsidP="009D6190">
      <w:pPr>
        <w:pStyle w:val="answer"/>
      </w:pPr>
      <w:r>
        <w:t>A.</w:t>
      </w:r>
      <w:r>
        <w:tab/>
        <w:t xml:space="preserve">Generally speaking, </w:t>
      </w:r>
      <w:r>
        <w:rPr>
          <w:rFonts w:eastAsiaTheme="minorHAnsi"/>
        </w:rPr>
        <w:t>a</w:t>
      </w:r>
      <w:r w:rsidRPr="00B4652C">
        <w:rPr>
          <w:rFonts w:eastAsiaTheme="minorHAnsi"/>
        </w:rPr>
        <w:t xml:space="preserve">uthorized rates of return and </w:t>
      </w:r>
      <w:r>
        <w:rPr>
          <w:rFonts w:eastAsiaTheme="minorHAnsi"/>
        </w:rPr>
        <w:t xml:space="preserve">returns </w:t>
      </w:r>
      <w:r w:rsidR="00D833F4">
        <w:rPr>
          <w:rFonts w:eastAsiaTheme="minorHAnsi"/>
        </w:rPr>
        <w:t xml:space="preserve">on equity </w:t>
      </w:r>
      <w:r w:rsidRPr="00B4652C">
        <w:rPr>
          <w:rFonts w:eastAsiaTheme="minorHAnsi"/>
        </w:rPr>
        <w:t>are set for utilities with the understanding that there should be the opportunity</w:t>
      </w:r>
      <w:r>
        <w:rPr>
          <w:rFonts w:eastAsiaTheme="minorHAnsi"/>
        </w:rPr>
        <w:t>,</w:t>
      </w:r>
      <w:r w:rsidRPr="00B4652C">
        <w:rPr>
          <w:rFonts w:eastAsiaTheme="minorHAnsi"/>
        </w:rPr>
        <w:t xml:space="preserve"> </w:t>
      </w:r>
      <w:r>
        <w:rPr>
          <w:rFonts w:eastAsiaTheme="minorHAnsi"/>
        </w:rPr>
        <w:t xml:space="preserve">but not a guarantee, </w:t>
      </w:r>
      <w:r w:rsidRPr="00B4652C">
        <w:rPr>
          <w:rFonts w:eastAsiaTheme="minorHAnsi"/>
        </w:rPr>
        <w:t>for utilities to earn those benchmarks. In other words, utilities</w:t>
      </w:r>
      <w:r>
        <w:rPr>
          <w:rFonts w:eastAsiaTheme="minorHAnsi"/>
        </w:rPr>
        <w:t xml:space="preserve"> will</w:t>
      </w:r>
      <w:r w:rsidRPr="00B4652C">
        <w:rPr>
          <w:rFonts w:eastAsiaTheme="minorHAnsi"/>
        </w:rPr>
        <w:t xml:space="preserve"> over-earn and under-earn their authorized rates of return and</w:t>
      </w:r>
      <w:r>
        <w:rPr>
          <w:rFonts w:eastAsiaTheme="minorHAnsi"/>
        </w:rPr>
        <w:t xml:space="preserve"> authorized</w:t>
      </w:r>
      <w:r w:rsidRPr="00B4652C">
        <w:rPr>
          <w:rFonts w:eastAsiaTheme="minorHAnsi"/>
        </w:rPr>
        <w:t xml:space="preserve"> </w:t>
      </w:r>
      <w:r>
        <w:rPr>
          <w:rFonts w:eastAsiaTheme="minorHAnsi"/>
        </w:rPr>
        <w:t xml:space="preserve">returns on equity over time. On average </w:t>
      </w:r>
      <w:r w:rsidRPr="00B4652C">
        <w:rPr>
          <w:rFonts w:eastAsiaTheme="minorHAnsi"/>
        </w:rPr>
        <w:t>th</w:t>
      </w:r>
      <w:r>
        <w:rPr>
          <w:rFonts w:eastAsiaTheme="minorHAnsi"/>
        </w:rPr>
        <w:t>ose</w:t>
      </w:r>
      <w:r w:rsidR="00207934">
        <w:rPr>
          <w:rFonts w:eastAsiaTheme="minorHAnsi"/>
        </w:rPr>
        <w:t xml:space="preserve"> actual rates of return and </w:t>
      </w:r>
      <w:r>
        <w:rPr>
          <w:rFonts w:eastAsiaTheme="minorHAnsi"/>
        </w:rPr>
        <w:t xml:space="preserve">actual returns on equity should, </w:t>
      </w:r>
      <w:r w:rsidRPr="00B4652C">
        <w:rPr>
          <w:rFonts w:eastAsiaTheme="minorHAnsi"/>
        </w:rPr>
        <w:t>over time</w:t>
      </w:r>
      <w:r>
        <w:rPr>
          <w:rFonts w:eastAsiaTheme="minorHAnsi"/>
        </w:rPr>
        <w:t xml:space="preserve">, </w:t>
      </w:r>
      <w:r w:rsidRPr="00B4652C">
        <w:rPr>
          <w:rFonts w:eastAsiaTheme="minorHAnsi"/>
        </w:rPr>
        <w:t xml:space="preserve">approximate the authorized rates of return and </w:t>
      </w:r>
      <w:r>
        <w:rPr>
          <w:rFonts w:eastAsiaTheme="minorHAnsi"/>
        </w:rPr>
        <w:t xml:space="preserve">the </w:t>
      </w:r>
      <w:r>
        <w:rPr>
          <w:rFonts w:eastAsiaTheme="minorHAnsi"/>
        </w:rPr>
        <w:lastRenderedPageBreak/>
        <w:t>authorized returns on equity, all else being equal</w:t>
      </w:r>
      <w:r w:rsidRPr="00B4652C">
        <w:rPr>
          <w:rFonts w:eastAsiaTheme="minorHAnsi"/>
        </w:rPr>
        <w:t>. However, it is important to recognize that “all things are not equal” in terms of how over-earning and under-earning balance out when an earnings sh</w:t>
      </w:r>
      <w:r>
        <w:rPr>
          <w:rFonts w:eastAsiaTheme="minorHAnsi"/>
        </w:rPr>
        <w:t>aring mechanism is implemented.</w:t>
      </w:r>
    </w:p>
    <w:p w:rsidR="00CB7801" w:rsidRDefault="00CB7801" w:rsidP="00CB7801">
      <w:pPr>
        <w:pStyle w:val="question"/>
      </w:pPr>
      <w:r>
        <w:rPr>
          <w:rFonts w:eastAsia="SimSun"/>
        </w:rPr>
        <w:t>Q.</w:t>
      </w:r>
      <w:r>
        <w:rPr>
          <w:rFonts w:eastAsia="SimSun"/>
        </w:rPr>
        <w:tab/>
        <w:t>Please provide an overview of the earnings sharing provision approved by the Commission as part of the rate plan.</w:t>
      </w:r>
    </w:p>
    <w:p w:rsidR="00CB7801" w:rsidRPr="009D6190" w:rsidRDefault="00CB7801" w:rsidP="00CB7801">
      <w:pPr>
        <w:pStyle w:val="answer"/>
      </w:pPr>
      <w:r>
        <w:t>A.</w:t>
      </w:r>
      <w:r>
        <w:tab/>
        <w:t>In paragraph 165 of Order 07 the Commission required that to the extent PSE’s earnings exceed its currently authorized rate of return of 7.77 percent, such excess earnings should be shared equally, that is 50/50, between customers and PSE</w:t>
      </w:r>
      <w:r>
        <w:rPr>
          <w:rFonts w:eastAsia="SimSun"/>
        </w:rPr>
        <w:t>.</w:t>
      </w:r>
      <w:r w:rsidR="00DF4828">
        <w:rPr>
          <w:rFonts w:eastAsia="SimSun"/>
        </w:rPr>
        <w:t xml:space="preserve"> </w:t>
      </w:r>
      <w:r>
        <w:t>Stated alternatively, for every two dollars of excess earnings PSE will retain one dollar and refund one dollar to customers.</w:t>
      </w:r>
    </w:p>
    <w:p w:rsidR="00CB7801" w:rsidRDefault="00CB7801" w:rsidP="00DF4828">
      <w:pPr>
        <w:pStyle w:val="question"/>
      </w:pPr>
      <w:r>
        <w:t>Q.</w:t>
      </w:r>
      <w:r>
        <w:tab/>
        <w:t>Why did the Commission implement such a sharing mechanism?</w:t>
      </w:r>
    </w:p>
    <w:p w:rsidR="00CB7801" w:rsidRDefault="00CB7801" w:rsidP="00CB7801">
      <w:pPr>
        <w:pStyle w:val="answer"/>
      </w:pPr>
      <w:r>
        <w:t>A.</w:t>
      </w:r>
      <w:r>
        <w:tab/>
        <w:t>Broadly speaking, the Commission wanted to retain the incentive for PSE to continue to identify efficiencies in its cost structure, the full effect of which should be captured in PSE’s next general rate case.</w:t>
      </w:r>
      <w:r w:rsidR="00DF4828">
        <w:t xml:space="preserve"> </w:t>
      </w:r>
      <w:r>
        <w:rPr>
          <w:rFonts w:eastAsia="SimSun"/>
        </w:rPr>
        <w:t xml:space="preserve">PSE and </w:t>
      </w:r>
      <w:proofErr w:type="spellStart"/>
      <w:r>
        <w:rPr>
          <w:rFonts w:eastAsia="SimSun"/>
        </w:rPr>
        <w:t>NWEC</w:t>
      </w:r>
      <w:proofErr w:type="spellEnd"/>
      <w:r>
        <w:rPr>
          <w:rFonts w:eastAsia="SimSun"/>
        </w:rPr>
        <w:t xml:space="preserve"> initially proposed an earnings sharing mechanism that included a 25 basis point dead band.</w:t>
      </w:r>
      <w:r w:rsidR="00DF4828">
        <w:rPr>
          <w:rFonts w:eastAsia="SimSun"/>
        </w:rPr>
        <w:t xml:space="preserve"> </w:t>
      </w:r>
      <w:r>
        <w:rPr>
          <w:rFonts w:eastAsia="SimSun"/>
        </w:rPr>
        <w:t>Under that proposal, 50/50 sharing would have begun after PSE over-earned its 7.77 percent rate of return by 25 basis points, or 8.02 percent.</w:t>
      </w:r>
      <w:r w:rsidR="00DF4828">
        <w:rPr>
          <w:rFonts w:eastAsia="SimSun"/>
        </w:rPr>
        <w:t xml:space="preserve"> </w:t>
      </w:r>
      <w:r>
        <w:rPr>
          <w:rFonts w:eastAsia="SimSun"/>
        </w:rPr>
        <w:t>However, the Commission viewed PSE’s 9.8 return on equity to be at the high end of a range of reasonableness.</w:t>
      </w:r>
      <w:r w:rsidR="00DF4828">
        <w:rPr>
          <w:rFonts w:eastAsia="SimSun"/>
        </w:rPr>
        <w:t xml:space="preserve"> </w:t>
      </w:r>
      <w:r>
        <w:rPr>
          <w:rFonts w:eastAsia="SimSun"/>
        </w:rPr>
        <w:t>As a result, the Commission required that any earnings that exceed PSE’s authorized rate of return of 7.77 percent must be shared equally between PSE and customers.</w:t>
      </w:r>
      <w:r>
        <w:rPr>
          <w:rStyle w:val="FootnoteReference"/>
          <w:rFonts w:ascii="CG Times (WN)" w:eastAsia="SimSun" w:hAnsi="CG Times (WN)"/>
        </w:rPr>
        <w:footnoteReference w:id="2"/>
      </w:r>
    </w:p>
    <w:p w:rsidR="00CB7801" w:rsidRPr="00DF4828" w:rsidRDefault="00CB7801" w:rsidP="00DF4828">
      <w:pPr>
        <w:pStyle w:val="question"/>
      </w:pPr>
      <w:r w:rsidRPr="00DF4828">
        <w:lastRenderedPageBreak/>
        <w:t>Q.</w:t>
      </w:r>
      <w:r w:rsidRPr="00DF4828">
        <w:tab/>
        <w:t>Does this sharing mechanism have any impact on PSE’s earnings profile?</w:t>
      </w:r>
    </w:p>
    <w:p w:rsidR="00CB7801" w:rsidRDefault="00CB7801" w:rsidP="00CB7801">
      <w:pPr>
        <w:pStyle w:val="answer"/>
      </w:pPr>
      <w:r>
        <w:t>A.</w:t>
      </w:r>
      <w:r>
        <w:tab/>
        <w:t>Yes, the sharing mechanism creates an asymmetrical earnings profile around PSE’s 7.77 percent rate of return.</w:t>
      </w:r>
      <w:r w:rsidR="00DF4828">
        <w:t xml:space="preserve"> </w:t>
      </w:r>
      <w:r>
        <w:t>In very simple terms, PSE must earn two dollars to receive one dollar of upside earnings but is impacted dollar-for-dollar on the downside when it has yet to earn its allowed rate of return.</w:t>
      </w:r>
      <w:r w:rsidR="00DF4828">
        <w:t xml:space="preserve"> </w:t>
      </w:r>
      <w:r>
        <w:t xml:space="preserve">It is analogous to depositing money with a bank in a variable rate demand account and after establishing the initial interest rate on the date the account is opened, </w:t>
      </w:r>
      <w:r w:rsidR="002460D3">
        <w:t xml:space="preserve">at </w:t>
      </w:r>
      <w:r>
        <w:t xml:space="preserve">say 3%, </w:t>
      </w:r>
      <w:r w:rsidR="002460D3">
        <w:t xml:space="preserve">and </w:t>
      </w:r>
      <w:r>
        <w:t>agreeing henceforth that all interest rate decreases below 3% are borne 100% by the depositor but only 50% of interest rate increases above 3% benefit the depositor.</w:t>
      </w:r>
      <w:r w:rsidR="00DF4828">
        <w:t xml:space="preserve"> </w:t>
      </w:r>
      <w:r>
        <w:t>Clearly, this represents an asymmetrical earning profile for the depositor.</w:t>
      </w:r>
    </w:p>
    <w:p w:rsidR="00CB7801" w:rsidRDefault="00CB7801" w:rsidP="00CB7801">
      <w:pPr>
        <w:pStyle w:val="question"/>
      </w:pPr>
      <w:r>
        <w:rPr>
          <w:rFonts w:eastAsia="SimSun"/>
        </w:rPr>
        <w:t>Q.</w:t>
      </w:r>
      <w:r>
        <w:rPr>
          <w:rFonts w:eastAsia="SimSun"/>
        </w:rPr>
        <w:tab/>
        <w:t>Please explain in more detail the asymmetry in earnings that results from the earnings sharing provision.</w:t>
      </w:r>
    </w:p>
    <w:p w:rsidR="00CB7801" w:rsidRPr="009D6190" w:rsidRDefault="00CB7801" w:rsidP="00CB7801">
      <w:pPr>
        <w:pStyle w:val="answer"/>
      </w:pPr>
      <w:r>
        <w:rPr>
          <w:rFonts w:eastAsia="SimSun"/>
        </w:rPr>
        <w:t>A.</w:t>
      </w:r>
      <w:r>
        <w:rPr>
          <w:rFonts w:eastAsia="SimSun"/>
        </w:rPr>
        <w:tab/>
        <w:t xml:space="preserve">Authorized rates of return and </w:t>
      </w:r>
      <w:proofErr w:type="spellStart"/>
      <w:r>
        <w:rPr>
          <w:rFonts w:eastAsia="SimSun"/>
        </w:rPr>
        <w:t>ROEs</w:t>
      </w:r>
      <w:proofErr w:type="spellEnd"/>
      <w:r>
        <w:rPr>
          <w:rFonts w:eastAsia="SimSun"/>
        </w:rPr>
        <w:t xml:space="preserve"> are set for utilities with the understanding that there should be the opportunity for utilities to earn those benchmarks on average over time.</w:t>
      </w:r>
      <w:r w:rsidR="00DF4828">
        <w:rPr>
          <w:rFonts w:eastAsia="SimSun"/>
        </w:rPr>
        <w:t xml:space="preserve"> </w:t>
      </w:r>
      <w:r>
        <w:rPr>
          <w:rFonts w:eastAsia="SimSun"/>
        </w:rPr>
        <w:t xml:space="preserve">In other words, utilities may over-earn and under-earn their authorized rates of return and </w:t>
      </w:r>
      <w:proofErr w:type="spellStart"/>
      <w:r>
        <w:rPr>
          <w:rFonts w:eastAsia="SimSun"/>
        </w:rPr>
        <w:t>ROEs</w:t>
      </w:r>
      <w:proofErr w:type="spellEnd"/>
      <w:r>
        <w:rPr>
          <w:rFonts w:eastAsia="SimSun"/>
        </w:rPr>
        <w:t xml:space="preserve">, but, all things being equal, the actual rates of return and </w:t>
      </w:r>
      <w:proofErr w:type="spellStart"/>
      <w:r>
        <w:rPr>
          <w:rFonts w:eastAsia="SimSun"/>
        </w:rPr>
        <w:t>ROEs</w:t>
      </w:r>
      <w:proofErr w:type="spellEnd"/>
      <w:r>
        <w:rPr>
          <w:rFonts w:eastAsia="SimSun"/>
        </w:rPr>
        <w:t xml:space="preserve"> should approximate the authorized rates of return and </w:t>
      </w:r>
      <w:proofErr w:type="spellStart"/>
      <w:r>
        <w:rPr>
          <w:rFonts w:eastAsia="SimSun"/>
        </w:rPr>
        <w:t>ROEs</w:t>
      </w:r>
      <w:proofErr w:type="spellEnd"/>
      <w:r>
        <w:rPr>
          <w:rFonts w:eastAsia="SimSun"/>
        </w:rPr>
        <w:t xml:space="preserve"> over time.</w:t>
      </w:r>
      <w:r w:rsidR="00DF4828">
        <w:rPr>
          <w:rFonts w:eastAsia="SimSun"/>
        </w:rPr>
        <w:t xml:space="preserve"> </w:t>
      </w:r>
      <w:r>
        <w:rPr>
          <w:rFonts w:eastAsia="SimSun"/>
        </w:rPr>
        <w:t xml:space="preserve">PSE originally proposed the sharing of earnings after 25 basis points of over-earning (i.e., the dead band) because it mitigates some of the asymmetry on rates of return and ROE associated with the earnings sharing and it better maintained upside and downside parity around the opportunity to earn its </w:t>
      </w:r>
      <w:r>
        <w:rPr>
          <w:rFonts w:eastAsia="SimSun"/>
        </w:rPr>
        <w:lastRenderedPageBreak/>
        <w:t>authorized rate of return and ROE.</w:t>
      </w:r>
      <w:r w:rsidR="00DF4828">
        <w:rPr>
          <w:rFonts w:eastAsia="SimSun"/>
        </w:rPr>
        <w:t xml:space="preserve"> </w:t>
      </w:r>
      <w:r>
        <w:rPr>
          <w:rFonts w:eastAsia="SimSun"/>
        </w:rPr>
        <w:t>This is demonstrated on Exhibit No. ___(DAD-4).</w:t>
      </w:r>
    </w:p>
    <w:p w:rsidR="00CB7801" w:rsidRPr="00DF4828" w:rsidRDefault="00CB7801" w:rsidP="00CB7801">
      <w:pPr>
        <w:pStyle w:val="question"/>
      </w:pPr>
      <w:r>
        <w:rPr>
          <w:rFonts w:eastAsia="SimSun"/>
        </w:rPr>
        <w:t>Q.</w:t>
      </w:r>
      <w:r>
        <w:rPr>
          <w:rFonts w:eastAsia="SimSun"/>
        </w:rPr>
        <w:tab/>
        <w:t>Please elaborate.</w:t>
      </w:r>
    </w:p>
    <w:p w:rsidR="009D6190" w:rsidRDefault="00CB7801" w:rsidP="009D6190">
      <w:pPr>
        <w:pStyle w:val="answer"/>
      </w:pPr>
      <w:r>
        <w:rPr>
          <w:rFonts w:eastAsia="SimSun"/>
        </w:rPr>
        <w:t>A.</w:t>
      </w:r>
      <w:r>
        <w:rPr>
          <w:rFonts w:eastAsia="SimSun"/>
        </w:rPr>
        <w:tab/>
        <w:t xml:space="preserve">Rates of return and </w:t>
      </w:r>
      <w:proofErr w:type="spellStart"/>
      <w:r>
        <w:rPr>
          <w:rFonts w:eastAsia="SimSun"/>
        </w:rPr>
        <w:t>ROEs</w:t>
      </w:r>
      <w:proofErr w:type="spellEnd"/>
      <w:r>
        <w:rPr>
          <w:rFonts w:eastAsia="SimSun"/>
        </w:rPr>
        <w:t xml:space="preserve"> are related, in that reductions to rates of return will have direct effects on </w:t>
      </w:r>
      <w:proofErr w:type="spellStart"/>
      <w:r>
        <w:rPr>
          <w:rFonts w:eastAsia="SimSun"/>
        </w:rPr>
        <w:t>ROEs</w:t>
      </w:r>
      <w:proofErr w:type="spellEnd"/>
      <w:r>
        <w:rPr>
          <w:rFonts w:eastAsia="SimSun"/>
        </w:rPr>
        <w:t>.</w:t>
      </w:r>
      <w:r w:rsidR="00DF4828">
        <w:rPr>
          <w:rFonts w:eastAsia="SimSun"/>
        </w:rPr>
        <w:t xml:space="preserve"> </w:t>
      </w:r>
      <w:r>
        <w:rPr>
          <w:rFonts w:eastAsia="SimSun"/>
        </w:rPr>
        <w:t>The difference between regulated income (the numerator in ROE) and regulated operating income (the numerator in rate of return) is regulated interest expense (rate base times authorized weighted average cost of debt).</w:t>
      </w:r>
      <w:r w:rsidR="00DF4828">
        <w:rPr>
          <w:rFonts w:eastAsia="SimSun"/>
        </w:rPr>
        <w:t xml:space="preserve"> </w:t>
      </w:r>
      <w:r>
        <w:rPr>
          <w:rFonts w:eastAsia="SimSun"/>
        </w:rPr>
        <w:t>Likewise, there is a relationship between the denominator in rate of return (rate base) and the denominator in ROE (equity invested in rate base which is rate base times the authorized equity ratio).</w:t>
      </w:r>
      <w:r w:rsidR="00DF4828">
        <w:rPr>
          <w:rFonts w:eastAsia="SimSun"/>
        </w:rPr>
        <w:t xml:space="preserve"> </w:t>
      </w:r>
      <w:r>
        <w:rPr>
          <w:rFonts w:eastAsia="SimSun"/>
        </w:rPr>
        <w:t>Consequently, authorized rate of return and ROE bear a direct relation to one another.</w:t>
      </w:r>
    </w:p>
    <w:p w:rsidR="009D6190" w:rsidRDefault="00CB7801" w:rsidP="00CB7801">
      <w:pPr>
        <w:pStyle w:val="answer"/>
        <w:ind w:firstLine="0"/>
      </w:pPr>
      <w:r>
        <w:rPr>
          <w:rFonts w:eastAsia="SimSun"/>
        </w:rPr>
        <w:t>Lines 4 through 6 on Exhibit No. ___(DAD-4) demonstrate this relationship when there is no earnings sharing.</w:t>
      </w:r>
      <w:r w:rsidR="00DF4828">
        <w:rPr>
          <w:rFonts w:eastAsia="SimSun"/>
        </w:rPr>
        <w:t xml:space="preserve"> </w:t>
      </w:r>
      <w:r>
        <w:rPr>
          <w:rFonts w:eastAsia="SimSun"/>
        </w:rPr>
        <w:t>Line 6 demonstrates that, on average across all over- and under-earning scenarios, the average actual ROE equals the authorized ROE of 9.80 percent.</w:t>
      </w:r>
      <w:r w:rsidR="00DF4828">
        <w:rPr>
          <w:rFonts w:eastAsia="SimSun"/>
        </w:rPr>
        <w:t xml:space="preserve"> </w:t>
      </w:r>
      <w:r>
        <w:rPr>
          <w:rFonts w:eastAsia="SimSun"/>
        </w:rPr>
        <w:t xml:space="preserve">Lines 7 through 9 illustrate PSE and </w:t>
      </w:r>
      <w:proofErr w:type="spellStart"/>
      <w:r>
        <w:rPr>
          <w:rFonts w:eastAsia="SimSun"/>
        </w:rPr>
        <w:t>NWEC’s</w:t>
      </w:r>
      <w:proofErr w:type="spellEnd"/>
      <w:r>
        <w:rPr>
          <w:rFonts w:eastAsia="SimSun"/>
        </w:rPr>
        <w:t xml:space="preserve"> proposal by showing that, when the earnings sharing begins after 25 basis points above the authorized rate of return, PSE can still earn very close to its authorized ROE of 9.80 percent on average, as shown on line 9, column I.</w:t>
      </w:r>
    </w:p>
    <w:p w:rsidR="00CB7801" w:rsidRDefault="00CB7801" w:rsidP="00CB7801">
      <w:pPr>
        <w:pStyle w:val="answer"/>
        <w:ind w:firstLine="0"/>
        <w:rPr>
          <w:rFonts w:eastAsia="SimSun"/>
        </w:rPr>
      </w:pPr>
      <w:r>
        <w:rPr>
          <w:rFonts w:eastAsia="SimSun"/>
        </w:rPr>
        <w:t>Ultimately, beginning earnings sharing after 25 basis points does not significantly prevent PSE from earning the authorized ROE on average, however, earnings sharing beginning at the authorized rate of return clearly alters the upside and downside parity around the opportunity to earn the authorized ROE.</w:t>
      </w:r>
      <w:r w:rsidR="00DF4828">
        <w:rPr>
          <w:rFonts w:eastAsia="SimSun"/>
        </w:rPr>
        <w:t xml:space="preserve"> </w:t>
      </w:r>
      <w:r>
        <w:rPr>
          <w:rFonts w:eastAsia="SimSun"/>
        </w:rPr>
        <w:t xml:space="preserve">This results </w:t>
      </w:r>
      <w:r>
        <w:rPr>
          <w:rFonts w:eastAsia="SimSun"/>
        </w:rPr>
        <w:lastRenderedPageBreak/>
        <w:t>in an asymmetrical earnings profile, biased to the downside that, all else being equal, increases PSE’s risk profile.</w:t>
      </w:r>
      <w:r w:rsidR="00DF4828">
        <w:rPr>
          <w:rFonts w:eastAsia="SimSun"/>
        </w:rPr>
        <w:t xml:space="preserve"> </w:t>
      </w:r>
      <w:r>
        <w:rPr>
          <w:rFonts w:eastAsia="SimSun"/>
        </w:rPr>
        <w:t>Ultimately, as demonstrated on lines 10 through 12 of Exhibit No. ___(DAD-4), the earnings sharing that begins immediately after PSE’s rate of return ceiling is breached creates the more pronounced asymmetrical earnings profile referred to above.</w:t>
      </w:r>
      <w:r w:rsidR="00DF4828">
        <w:rPr>
          <w:rFonts w:eastAsia="SimSun"/>
        </w:rPr>
        <w:t xml:space="preserve"> </w:t>
      </w:r>
      <w:r>
        <w:rPr>
          <w:rFonts w:eastAsia="SimSun"/>
        </w:rPr>
        <w:t>As demonstrated on line 12, column</w:t>
      </w:r>
      <w:r w:rsidR="00DF4828">
        <w:rPr>
          <w:rFonts w:eastAsia="SimSun"/>
        </w:rPr>
        <w:t> </w:t>
      </w:r>
      <w:r>
        <w:rPr>
          <w:rFonts w:eastAsia="SimSun"/>
        </w:rPr>
        <w:t>I of Exhibit No. ___(DAD-4), the 50 percent earnings sharing that begins above a rate of return of 7.77 percent results in a 14 basis point reduction to PSE’s average ROE, using the assumptions in the example provided.</w:t>
      </w:r>
    </w:p>
    <w:p w:rsidR="00CB7801" w:rsidRPr="00DF4828" w:rsidRDefault="00CB7801" w:rsidP="00CB7801">
      <w:pPr>
        <w:pStyle w:val="question"/>
      </w:pPr>
      <w:r>
        <w:rPr>
          <w:rFonts w:eastAsia="SimSun"/>
        </w:rPr>
        <w:t>Q.</w:t>
      </w:r>
      <w:r>
        <w:rPr>
          <w:rFonts w:eastAsia="SimSun"/>
        </w:rPr>
        <w:tab/>
        <w:t>Should the asymmetry on PSE’s earning profile due to the earnings sharing approved in Final Order No. 07 be taken into consideration when setting PSE’s ROE?</w:t>
      </w:r>
    </w:p>
    <w:p w:rsidR="00CB7801" w:rsidRPr="009D6190" w:rsidRDefault="00CB7801" w:rsidP="00CB7801">
      <w:pPr>
        <w:pStyle w:val="answer"/>
      </w:pPr>
      <w:r>
        <w:rPr>
          <w:rFonts w:eastAsia="SimSun"/>
        </w:rPr>
        <w:t>A.</w:t>
      </w:r>
      <w:r>
        <w:rPr>
          <w:rFonts w:eastAsia="SimSun"/>
        </w:rPr>
        <w:tab/>
        <w:t>Yes.</w:t>
      </w:r>
      <w:r w:rsidR="00DF4828">
        <w:rPr>
          <w:rFonts w:eastAsia="SimSun"/>
        </w:rPr>
        <w:t xml:space="preserve"> </w:t>
      </w:r>
      <w:r>
        <w:rPr>
          <w:rFonts w:eastAsia="SimSun"/>
        </w:rPr>
        <w:t xml:space="preserve">But a more direct way to address the problem is to re-introduce the 25 basis point dead band into the sharing mechanism as originally proposed by PSE and </w:t>
      </w:r>
      <w:proofErr w:type="spellStart"/>
      <w:r>
        <w:rPr>
          <w:rFonts w:eastAsia="SimSun"/>
        </w:rPr>
        <w:t>NWEC</w:t>
      </w:r>
      <w:proofErr w:type="spellEnd"/>
      <w:r>
        <w:rPr>
          <w:rFonts w:eastAsia="SimSun"/>
        </w:rPr>
        <w:t>. Doing so will reestablish</w:t>
      </w:r>
      <w:r w:rsidR="00DF4828">
        <w:rPr>
          <w:rFonts w:eastAsia="SimSun"/>
        </w:rPr>
        <w:t xml:space="preserve"> </w:t>
      </w:r>
      <w:r>
        <w:rPr>
          <w:rFonts w:eastAsia="SimSun"/>
        </w:rPr>
        <w:t>parity and balance in PSE’s earnings profile and eliminates the need for any adjustment to return on equity</w:t>
      </w:r>
      <w:r w:rsidR="002C0DEA">
        <w:rPr>
          <w:rFonts w:eastAsia="SimSun"/>
        </w:rPr>
        <w:t>.</w:t>
      </w:r>
      <w:r w:rsidR="00DF4828">
        <w:rPr>
          <w:rFonts w:eastAsia="SimSun"/>
        </w:rPr>
        <w:t xml:space="preserve"> </w:t>
      </w:r>
      <w:r>
        <w:rPr>
          <w:rFonts w:eastAsia="SimSun"/>
        </w:rPr>
        <w:t xml:space="preserve">To the extent the commission opposes reintroducing the 25 basis point </w:t>
      </w:r>
      <w:proofErr w:type="spellStart"/>
      <w:r>
        <w:rPr>
          <w:rFonts w:eastAsia="SimSun"/>
        </w:rPr>
        <w:t>deadband</w:t>
      </w:r>
      <w:proofErr w:type="spellEnd"/>
      <w:r>
        <w:rPr>
          <w:rFonts w:eastAsia="SimSun"/>
        </w:rPr>
        <w:t>, it should consider no less than a 1</w:t>
      </w:r>
      <w:r w:rsidR="00C15149">
        <w:rPr>
          <w:rFonts w:eastAsia="SimSun"/>
        </w:rPr>
        <w:t>4</w:t>
      </w:r>
      <w:r>
        <w:rPr>
          <w:rFonts w:eastAsia="SimSun"/>
        </w:rPr>
        <w:t xml:space="preserve"> basis point adder to Dr. Morin’s recommended return on equity, which is supported by the calculation </w:t>
      </w:r>
      <w:r w:rsidR="00DF4828">
        <w:rPr>
          <w:rFonts w:eastAsia="SimSun"/>
        </w:rPr>
        <w:t xml:space="preserve">provided </w:t>
      </w:r>
      <w:r>
        <w:rPr>
          <w:rFonts w:eastAsia="SimSun"/>
        </w:rPr>
        <w:t xml:space="preserve">on </w:t>
      </w:r>
      <w:r w:rsidR="00DF4828">
        <w:rPr>
          <w:rFonts w:eastAsia="SimSun"/>
        </w:rPr>
        <w:t>E</w:t>
      </w:r>
      <w:r>
        <w:rPr>
          <w:rFonts w:eastAsia="SimSun"/>
        </w:rPr>
        <w:t xml:space="preserve">xhibit </w:t>
      </w:r>
      <w:r w:rsidR="00DF4828">
        <w:rPr>
          <w:rFonts w:eastAsia="SimSun"/>
        </w:rPr>
        <w:t>No. ___(</w:t>
      </w:r>
      <w:r>
        <w:rPr>
          <w:rFonts w:eastAsia="SimSun"/>
        </w:rPr>
        <w:t>DAD-4</w:t>
      </w:r>
      <w:r w:rsidR="00DF4828">
        <w:rPr>
          <w:rFonts w:eastAsia="SimSun"/>
        </w:rPr>
        <w:t>)</w:t>
      </w:r>
      <w:r>
        <w:rPr>
          <w:rFonts w:eastAsia="SimSun"/>
        </w:rPr>
        <w:t>.</w:t>
      </w:r>
    </w:p>
    <w:p w:rsidR="00F872B5" w:rsidRPr="00521736" w:rsidRDefault="00F872B5" w:rsidP="00F872B5">
      <w:pPr>
        <w:pStyle w:val="Heading1"/>
        <w:ind w:firstLine="720"/>
        <w:rPr>
          <w:rFonts w:eastAsia="PMingLiU"/>
        </w:rPr>
      </w:pPr>
      <w:bookmarkStart w:id="20" w:name="_Toc471463216"/>
      <w:bookmarkEnd w:id="14"/>
      <w:bookmarkEnd w:id="15"/>
      <w:r>
        <w:lastRenderedPageBreak/>
        <w:t>V.</w:t>
      </w:r>
      <w:r>
        <w:tab/>
        <w:t>COST MANAGEMENT AND EFFICIENCY UPDATE</w:t>
      </w:r>
      <w:bookmarkEnd w:id="20"/>
    </w:p>
    <w:p w:rsidR="00F872B5" w:rsidRDefault="00F872B5" w:rsidP="00F872B5">
      <w:pPr>
        <w:pStyle w:val="question"/>
      </w:pPr>
      <w:r>
        <w:t>Q.</w:t>
      </w:r>
      <w:r>
        <w:tab/>
        <w:t>Has the Commission encouraged PSE to address efficiencies?</w:t>
      </w:r>
    </w:p>
    <w:p w:rsidR="00F872B5" w:rsidRDefault="00F872B5" w:rsidP="00F872B5">
      <w:pPr>
        <w:pStyle w:val="answer"/>
      </w:pPr>
      <w:r>
        <w:t>A.</w:t>
      </w:r>
      <w:r>
        <w:tab/>
        <w:t>Yes. In Order No. 07, in Docket</w:t>
      </w:r>
      <w:r w:rsidR="004D3048">
        <w:t>s</w:t>
      </w:r>
      <w:r>
        <w:t xml:space="preserve"> UE-121697 and UG-121706 (consolidated) and Docket</w:t>
      </w:r>
      <w:r w:rsidR="004D3048">
        <w:t>s</w:t>
      </w:r>
      <w:r>
        <w:t> UE-130137 and UG-130138 (consolidated),</w:t>
      </w:r>
      <w:r>
        <w:rPr>
          <w:rStyle w:val="FootnoteReference"/>
        </w:rPr>
        <w:footnoteReference w:id="3"/>
      </w:r>
      <w:r>
        <w:t xml:space="preserve"> the Commission approved a multi-year rate plan for PSE and expressed an expectation that PSE would implement efficiencies during the course of the rate plan. Specifically, the Commission stated as follows:</w:t>
      </w:r>
    </w:p>
    <w:p w:rsidR="00F872B5" w:rsidRDefault="00F872B5" w:rsidP="00DF4828">
      <w:pPr>
        <w:pStyle w:val="Quote"/>
      </w:pPr>
      <w:r w:rsidRPr="006D4144">
        <w:t>This multi-year rate plan will provide the Company with ample opportunity to implement efficiencies that will afford the Company with the ea</w:t>
      </w:r>
      <w:r>
        <w:t xml:space="preserve">rnings opportunities it seeks. </w:t>
      </w:r>
      <w:r w:rsidRPr="006D4144">
        <w:t>And these cost savings, which we will monitor carefully, will then be incorporated into rates for the benefit of ratepayers.</w:t>
      </w:r>
      <w:r>
        <w:rPr>
          <w:rStyle w:val="FootnoteReference"/>
        </w:rPr>
        <w:footnoteReference w:id="4"/>
      </w:r>
    </w:p>
    <w:p w:rsidR="00F872B5" w:rsidRPr="00DF4828" w:rsidRDefault="00F872B5" w:rsidP="00DF4828">
      <w:pPr>
        <w:pStyle w:val="question"/>
      </w:pPr>
      <w:r w:rsidRPr="00DF4828">
        <w:t>Q.</w:t>
      </w:r>
      <w:r w:rsidRPr="00DF4828">
        <w:tab/>
        <w:t>Have there been cost efficiencies achieved by PSE during the rate plan period?</w:t>
      </w:r>
    </w:p>
    <w:p w:rsidR="009D6190" w:rsidRDefault="009D6190" w:rsidP="009D6190">
      <w:pPr>
        <w:pStyle w:val="answer"/>
      </w:pPr>
      <w:r>
        <w:t>A.</w:t>
      </w:r>
      <w:r w:rsidR="00F872B5">
        <w:tab/>
        <w:t xml:space="preserve">Yes. </w:t>
      </w:r>
      <w:r w:rsidR="0001293B">
        <w:t>PSE’s</w:t>
      </w:r>
      <w:r w:rsidR="002C0DEA">
        <w:t xml:space="preserve"> </w:t>
      </w:r>
      <w:r w:rsidR="00F872B5">
        <w:t xml:space="preserve">growth rate in operating expenses, which reflect the cost management and efficiencies implemented during the rate plan period, </w:t>
      </w:r>
      <w:r w:rsidR="00566DB6">
        <w:t>is now</w:t>
      </w:r>
      <w:r w:rsidR="00B87D3B">
        <w:t xml:space="preserve"> </w:t>
      </w:r>
      <w:r w:rsidR="0001293B">
        <w:t xml:space="preserve">closely </w:t>
      </w:r>
      <w:r w:rsidR="00B87D3B">
        <w:t xml:space="preserve">aligned with </w:t>
      </w:r>
      <w:r w:rsidR="00DF4828">
        <w:t>PSE</w:t>
      </w:r>
      <w:r w:rsidR="00B87D3B">
        <w:t>’s customer growth to responsibly set annual operating and maintenance budgets.</w:t>
      </w:r>
      <w:r w:rsidR="00DF4828">
        <w:t xml:space="preserve"> </w:t>
      </w:r>
      <w:r w:rsidR="00F2244C">
        <w:t xml:space="preserve">The restructuring of PSE’s benefit plans, as discussed in the </w:t>
      </w:r>
      <w:proofErr w:type="spellStart"/>
      <w:r w:rsidR="00DF4828">
        <w:t>P</w:t>
      </w:r>
      <w:r w:rsidR="00F2244C">
        <w:t>refiled</w:t>
      </w:r>
      <w:proofErr w:type="spellEnd"/>
      <w:r w:rsidR="00F2244C">
        <w:t xml:space="preserve"> </w:t>
      </w:r>
      <w:r w:rsidR="00DF4828">
        <w:t>D</w:t>
      </w:r>
      <w:r w:rsidR="00F2244C">
        <w:t xml:space="preserve">irect </w:t>
      </w:r>
      <w:r w:rsidR="00DF4828">
        <w:t>T</w:t>
      </w:r>
      <w:r w:rsidR="00F2244C">
        <w:t xml:space="preserve">estimony of Thomas </w:t>
      </w:r>
      <w:r w:rsidR="00DF4828">
        <w:t xml:space="preserve">M. </w:t>
      </w:r>
      <w:r w:rsidR="00F2244C">
        <w:t>Hunt,</w:t>
      </w:r>
      <w:r w:rsidR="00DF4828">
        <w:t xml:space="preserve"> Exhibit No. ___(TMH-1T),</w:t>
      </w:r>
      <w:r w:rsidR="00F2244C">
        <w:t xml:space="preserve"> has slowed the increase in costs associated with employee benefit programs and the overall cost management achievements are</w:t>
      </w:r>
      <w:r w:rsidR="002C0DEA">
        <w:t xml:space="preserve"> </w:t>
      </w:r>
      <w:r w:rsidR="00F2244C">
        <w:t xml:space="preserve">reflected </w:t>
      </w:r>
      <w:r w:rsidR="00F872B5">
        <w:t xml:space="preserve">in the </w:t>
      </w:r>
      <w:proofErr w:type="spellStart"/>
      <w:r w:rsidR="00DF4828">
        <w:t>Prefiled</w:t>
      </w:r>
      <w:proofErr w:type="spellEnd"/>
      <w:r w:rsidR="00DF4828">
        <w:t xml:space="preserve"> Direct Testimony </w:t>
      </w:r>
      <w:r w:rsidR="00F872B5">
        <w:t xml:space="preserve">of Katherine </w:t>
      </w:r>
      <w:r w:rsidR="00DF4828">
        <w:t xml:space="preserve">J. </w:t>
      </w:r>
      <w:r w:rsidR="00F872B5">
        <w:t>Barnard</w:t>
      </w:r>
      <w:r w:rsidR="00DF4828">
        <w:t>, Exhibit No. ___(KJB-1T)</w:t>
      </w:r>
      <w:r w:rsidR="00F2244C">
        <w:t>.</w:t>
      </w:r>
    </w:p>
    <w:p w:rsidR="00F872B5" w:rsidRDefault="00D84327" w:rsidP="009D6190">
      <w:pPr>
        <w:pStyle w:val="answer"/>
        <w:ind w:firstLine="0"/>
      </w:pPr>
      <w:r>
        <w:lastRenderedPageBreak/>
        <w:t xml:space="preserve">PSE has implemented </w:t>
      </w:r>
      <w:r w:rsidR="00F872B5">
        <w:t xml:space="preserve">additional efficiencies </w:t>
      </w:r>
      <w:r w:rsidR="006A0E4A">
        <w:t xml:space="preserve">related to debt </w:t>
      </w:r>
      <w:proofErr w:type="spellStart"/>
      <w:r w:rsidR="006A0E4A">
        <w:t>refinancings</w:t>
      </w:r>
      <w:proofErr w:type="spellEnd"/>
      <w:r w:rsidR="006A0E4A">
        <w:t>, bonus depreciation elections,</w:t>
      </w:r>
      <w:r w:rsidR="001E152B">
        <w:t xml:space="preserve"> efficiencies from certain lobbying activities to change the normalization requirements for treasury grants,</w:t>
      </w:r>
      <w:r w:rsidR="006A0E4A">
        <w:t xml:space="preserve"> and minimizing to the extent possible the cost of decommissioning and remediating Colstrip </w:t>
      </w:r>
      <w:r w:rsidR="00DF4828">
        <w:t>U</w:t>
      </w:r>
      <w:r w:rsidR="006A0E4A">
        <w:t>nits</w:t>
      </w:r>
      <w:r w:rsidR="00DF4828">
        <w:t> </w:t>
      </w:r>
      <w:r w:rsidR="006A0E4A">
        <w:t>1</w:t>
      </w:r>
      <w:r w:rsidR="00DF4828">
        <w:t> </w:t>
      </w:r>
      <w:r w:rsidR="006A0E4A">
        <w:t>&amp;</w:t>
      </w:r>
      <w:r w:rsidR="00DF4828">
        <w:t> </w:t>
      </w:r>
      <w:r w:rsidR="006A0E4A">
        <w:t>2.</w:t>
      </w:r>
      <w:r w:rsidR="00DF4828">
        <w:t xml:space="preserve"> </w:t>
      </w:r>
      <w:r w:rsidR="006A0E4A">
        <w:t xml:space="preserve">PSE’s overall to </w:t>
      </w:r>
      <w:r>
        <w:t xml:space="preserve">implement </w:t>
      </w:r>
      <w:r w:rsidR="00583498">
        <w:t xml:space="preserve">broader-based </w:t>
      </w:r>
      <w:r w:rsidR="006A0E4A">
        <w:t>cost efficiencies during the rate plan period</w:t>
      </w:r>
      <w:r>
        <w:t xml:space="preserve"> are discussed below</w:t>
      </w:r>
      <w:r w:rsidR="006A0E4A">
        <w:t>.</w:t>
      </w:r>
    </w:p>
    <w:p w:rsidR="00F872B5" w:rsidRDefault="00F872B5" w:rsidP="00F872B5">
      <w:pPr>
        <w:pStyle w:val="question"/>
      </w:pPr>
      <w:r>
        <w:t>Q.</w:t>
      </w:r>
      <w:r>
        <w:tab/>
        <w:t xml:space="preserve">What </w:t>
      </w:r>
      <w:r w:rsidR="006A0E4A">
        <w:t>was</w:t>
      </w:r>
      <w:r w:rsidR="00DF4828">
        <w:t xml:space="preserve"> </w:t>
      </w:r>
      <w:r>
        <w:t xml:space="preserve">PSE’s </w:t>
      </w:r>
      <w:r w:rsidR="006A0E4A">
        <w:t>overall approach to harvesting cost efficiencies during the rate plan period</w:t>
      </w:r>
      <w:r>
        <w:t>?</w:t>
      </w:r>
    </w:p>
    <w:p w:rsidR="009D6190" w:rsidRDefault="00F872B5" w:rsidP="009D6190">
      <w:pPr>
        <w:pStyle w:val="answer"/>
      </w:pPr>
      <w:r>
        <w:t>A.</w:t>
      </w:r>
      <w:r>
        <w:tab/>
      </w:r>
      <w:r w:rsidR="00AA70AD">
        <w:t>As an organization that provides essential services to its customers, it is incumbent upon</w:t>
      </w:r>
      <w:r w:rsidR="00DF4828">
        <w:t xml:space="preserve"> </w:t>
      </w:r>
      <w:r w:rsidR="00AA70AD">
        <w:t>PSE to provide that service at a reasonable price to customers and simultaneously maintain its financial performance to adequately reward both debt and equity investors and maintain access to the capital markets at a reasonable cost. To meet these important ends, PSE implemented a broad-based</w:t>
      </w:r>
      <w:r w:rsidR="00C56101">
        <w:t xml:space="preserve"> </w:t>
      </w:r>
      <w:r w:rsidR="00AA70AD">
        <w:t>approach to manage operating expenditures.</w:t>
      </w:r>
      <w:r w:rsidR="00DF4828">
        <w:t xml:space="preserve"> </w:t>
      </w:r>
      <w:r w:rsidR="00AA70AD">
        <w:t xml:space="preserve">Simply put, </w:t>
      </w:r>
      <w:r w:rsidR="00B02136">
        <w:t xml:space="preserve">growth in </w:t>
      </w:r>
      <w:r w:rsidR="00AA70AD">
        <w:t xml:space="preserve">budgets and spending during the rate plan period were </w:t>
      </w:r>
      <w:r w:rsidR="00C56101">
        <w:t xml:space="preserve">targeted at </w:t>
      </w:r>
      <w:r w:rsidR="00AA70AD">
        <w:t>the rate of customer growth. It should be noted that this</w:t>
      </w:r>
      <w:r w:rsidR="00DF4828">
        <w:t xml:space="preserve"> </w:t>
      </w:r>
      <w:r w:rsidR="00AA70AD">
        <w:t xml:space="preserve">approach was intended to be more of a guideline to manage spending rather than a strict target. </w:t>
      </w:r>
    </w:p>
    <w:p w:rsidR="00F872B5" w:rsidRDefault="009D6190" w:rsidP="009D6190">
      <w:pPr>
        <w:pStyle w:val="answer"/>
        <w:ind w:firstLine="0"/>
      </w:pPr>
      <w:r>
        <w:t>A</w:t>
      </w:r>
      <w:r w:rsidR="00AA70AD">
        <w:t xml:space="preserve">s </w:t>
      </w:r>
      <w:r w:rsidR="00C56101">
        <w:t xml:space="preserve">reflected </w:t>
      </w:r>
      <w:r w:rsidR="00D84327">
        <w:t xml:space="preserve">in the </w:t>
      </w:r>
      <w:proofErr w:type="spellStart"/>
      <w:r w:rsidR="00D84327">
        <w:t>Prefiled</w:t>
      </w:r>
      <w:proofErr w:type="spellEnd"/>
      <w:r w:rsidR="00D84327">
        <w:t xml:space="preserve"> Direct Testimony of </w:t>
      </w:r>
      <w:r w:rsidR="00AA70AD">
        <w:t>Katherine</w:t>
      </w:r>
      <w:r w:rsidR="00D84327">
        <w:t xml:space="preserve"> J. </w:t>
      </w:r>
      <w:r w:rsidR="00AA70AD">
        <w:t>Barnard,</w:t>
      </w:r>
      <w:r w:rsidR="003A1F20">
        <w:t xml:space="preserve"> </w:t>
      </w:r>
      <w:r w:rsidR="00D84327">
        <w:t xml:space="preserve">Exhibit No. ___(KJB-1T), </w:t>
      </w:r>
      <w:r w:rsidR="007B46F5">
        <w:t>actual</w:t>
      </w:r>
      <w:r w:rsidR="00AA70AD">
        <w:t xml:space="preserve"> </w:t>
      </w:r>
      <w:r w:rsidR="003A1F20">
        <w:t>ope</w:t>
      </w:r>
      <w:r w:rsidR="007B46F5">
        <w:t>rating expenditures were managed</w:t>
      </w:r>
      <w:r w:rsidR="00D84327">
        <w:t>, on a combined basis,</w:t>
      </w:r>
      <w:r w:rsidR="003A1F20">
        <w:t xml:space="preserve"> to a compound average growth rate of approximately 1.2% from 2011 to 2016. This equates to </w:t>
      </w:r>
      <w:r w:rsidR="000A3DE7">
        <w:t xml:space="preserve">a </w:t>
      </w:r>
      <w:r w:rsidR="004B0A6B">
        <w:t xml:space="preserve">compound average </w:t>
      </w:r>
      <w:r w:rsidR="003A1F20">
        <w:t xml:space="preserve">customer growth </w:t>
      </w:r>
      <w:r w:rsidR="000A3DE7">
        <w:t xml:space="preserve">rate </w:t>
      </w:r>
      <w:r w:rsidR="00207934">
        <w:t>on a combined basis of 0.8</w:t>
      </w:r>
      <w:r w:rsidR="003A1F20">
        <w:t>% over the same timeframe.</w:t>
      </w:r>
      <w:r w:rsidR="00DF4828">
        <w:t xml:space="preserve"> </w:t>
      </w:r>
      <w:r w:rsidR="004B0A6B">
        <w:t>T</w:t>
      </w:r>
      <w:r w:rsidR="003A1F20">
        <w:t xml:space="preserve">his is an extremely positive result given that </w:t>
      </w:r>
      <w:r w:rsidR="00D84327">
        <w:t>(i) </w:t>
      </w:r>
      <w:r w:rsidR="003A1F20">
        <w:t xml:space="preserve">PSE’s </w:t>
      </w:r>
      <w:r w:rsidR="00C56101">
        <w:t xml:space="preserve">approved </w:t>
      </w:r>
      <w:r w:rsidR="003A1F20">
        <w:t xml:space="preserve">operating expense growth rate from 2006 to 2011 </w:t>
      </w:r>
      <w:r w:rsidR="004B0A6B">
        <w:t xml:space="preserve">was </w:t>
      </w:r>
      <w:r w:rsidR="004B0A6B">
        <w:lastRenderedPageBreak/>
        <w:t>approximately 3.8</w:t>
      </w:r>
      <w:r w:rsidR="003A1F20">
        <w:t>%</w:t>
      </w:r>
      <w:r w:rsidR="004B0A6B">
        <w:t>, and (</w:t>
      </w:r>
      <w:r w:rsidR="00D84327">
        <w:t>ii</w:t>
      </w:r>
      <w:r w:rsidR="004B0A6B">
        <w:t>)</w:t>
      </w:r>
      <w:r w:rsidR="00D84327">
        <w:t> </w:t>
      </w:r>
      <w:r w:rsidR="004B0A6B">
        <w:t>general inflation from 2011 to 2016 was 1.2%</w:t>
      </w:r>
      <w:r w:rsidR="00E270E9">
        <w:t xml:space="preserve">. </w:t>
      </w:r>
      <w:r w:rsidR="00D84327">
        <w:t xml:space="preserve">Please see the </w:t>
      </w:r>
      <w:proofErr w:type="spellStart"/>
      <w:r w:rsidR="00D84327">
        <w:t>Prefiled</w:t>
      </w:r>
      <w:proofErr w:type="spellEnd"/>
      <w:r w:rsidR="00D84327">
        <w:t xml:space="preserve"> Direct Testimony of Katherine J. Barnard, Exhibit No. ___(KJB-1T). </w:t>
      </w:r>
      <w:r w:rsidR="00E270E9">
        <w:t>In fact</w:t>
      </w:r>
      <w:r w:rsidR="00C56101">
        <w:t>,</w:t>
      </w:r>
      <w:r w:rsidR="00E270E9">
        <w:t xml:space="preserve"> had the operating expense growth rate continued at the historical 3.8%, </w:t>
      </w:r>
      <w:r w:rsidR="00DF4828">
        <w:t>PSE</w:t>
      </w:r>
      <w:r w:rsidR="00E270E9">
        <w:t xml:space="preserve"> would have incurred $</w:t>
      </w:r>
      <w:r w:rsidR="00207934">
        <w:t>136</w:t>
      </w:r>
      <w:r w:rsidR="00064654">
        <w:t> </w:t>
      </w:r>
      <w:r w:rsidR="00E270E9">
        <w:t xml:space="preserve">million in additional operating expenses. In the final analysis, it is clear that </w:t>
      </w:r>
      <w:r w:rsidR="00DF4828">
        <w:t>PSE</w:t>
      </w:r>
      <w:r w:rsidR="00E270E9">
        <w:t>’s approach to managing and constraining operating expenditures, and more importantly harvesting cost efficiencies, contributed significantly to the dual objectives of providing service at a reasonable price to customers and adequately rewarding both debt and equity investors to maintain adequate access to capita</w:t>
      </w:r>
      <w:r w:rsidR="00D84327">
        <w:t>l markets at a reasonable cost.</w:t>
      </w:r>
    </w:p>
    <w:p w:rsidR="00F872B5" w:rsidRPr="00DF4828" w:rsidRDefault="00F872B5" w:rsidP="00DF4828">
      <w:pPr>
        <w:pStyle w:val="question"/>
      </w:pPr>
      <w:r w:rsidRPr="00DF4828">
        <w:t>Q.</w:t>
      </w:r>
      <w:r w:rsidRPr="00DF4828">
        <w:tab/>
        <w:t>What actions</w:t>
      </w:r>
      <w:r w:rsidR="00453BB1" w:rsidRPr="00DF4828">
        <w:t xml:space="preserve"> did</w:t>
      </w:r>
      <w:r w:rsidRPr="00DF4828">
        <w:t xml:space="preserve"> PSE’s </w:t>
      </w:r>
      <w:r w:rsidR="00453BB1" w:rsidRPr="00DF4828">
        <w:t>undertake to cost effective</w:t>
      </w:r>
      <w:r w:rsidR="00207934" w:rsidRPr="00DF4828">
        <w:t>ly manage its capital</w:t>
      </w:r>
      <w:r w:rsidR="00213A31">
        <w:t xml:space="preserve"> </w:t>
      </w:r>
      <w:r w:rsidR="00207934" w:rsidRPr="00DF4828">
        <w:t xml:space="preserve">structure </w:t>
      </w:r>
      <w:r w:rsidRPr="00DF4828">
        <w:t>during the rate period?</w:t>
      </w:r>
    </w:p>
    <w:p w:rsidR="00F872B5" w:rsidRPr="0043462D" w:rsidRDefault="00F872B5" w:rsidP="00D84327">
      <w:pPr>
        <w:pStyle w:val="answer"/>
      </w:pPr>
      <w:r w:rsidRPr="0043462D">
        <w:t>A</w:t>
      </w:r>
      <w:r>
        <w:t>.</w:t>
      </w:r>
      <w:r>
        <w:tab/>
      </w:r>
      <w:r w:rsidR="00453BB1">
        <w:t xml:space="preserve">PSE took advantage of favorable economic conditions and consummated the following </w:t>
      </w:r>
      <w:proofErr w:type="spellStart"/>
      <w:r w:rsidR="00207934">
        <w:t>refinancings</w:t>
      </w:r>
      <w:proofErr w:type="spellEnd"/>
      <w:r w:rsidR="00453BB1">
        <w:t xml:space="preserve"> that reduced the embedded cost of debt in its capital str</w:t>
      </w:r>
      <w:r w:rsidR="00D84327">
        <w:t>ucture</w:t>
      </w:r>
      <w:r w:rsidRPr="0043462D">
        <w:t>:</w:t>
      </w:r>
    </w:p>
    <w:p w:rsidR="00D84327" w:rsidRDefault="00F872B5" w:rsidP="00D84327">
      <w:pPr>
        <w:spacing w:after="280"/>
        <w:ind w:left="2160" w:right="720" w:hanging="720"/>
      </w:pPr>
      <w:r w:rsidRPr="0043462D">
        <w:t>(i)</w:t>
      </w:r>
      <w:r w:rsidRPr="0043462D">
        <w:tab/>
        <w:t>in 2013, PSE refinanced two Pollution Control Bonds, which resulted in annual savings of $1.9</w:t>
      </w:r>
      <w:r w:rsidR="00D84327">
        <w:t> </w:t>
      </w:r>
      <w:r w:rsidRPr="0043462D">
        <w:t>million</w:t>
      </w:r>
      <w:r w:rsidR="00453BB1">
        <w:t xml:space="preserve"> and</w:t>
      </w:r>
      <w:r w:rsidR="001432BA">
        <w:t xml:space="preserve"> importantly the</w:t>
      </w:r>
      <w:r w:rsidR="00453BB1">
        <w:t xml:space="preserve">se savings were reflected in the </w:t>
      </w:r>
      <w:r w:rsidR="00566DB6">
        <w:t>(</w:t>
      </w:r>
      <w:r w:rsidR="00453BB1">
        <w:t>E</w:t>
      </w:r>
      <w:r w:rsidR="00CB2D27">
        <w:t>R</w:t>
      </w:r>
      <w:r w:rsidR="00453BB1">
        <w:t>F</w:t>
      </w:r>
      <w:r w:rsidR="00566DB6">
        <w:t>)</w:t>
      </w:r>
      <w:r w:rsidR="00453BB1">
        <w:t xml:space="preserve"> revenue requirement at the beginning of the rate plan</w:t>
      </w:r>
      <w:r w:rsidRPr="0043462D">
        <w:t>;</w:t>
      </w:r>
    </w:p>
    <w:p w:rsidR="00D84327" w:rsidRDefault="00F872B5" w:rsidP="00D84327">
      <w:pPr>
        <w:spacing w:after="280"/>
        <w:ind w:left="2160" w:right="720" w:hanging="720"/>
      </w:pPr>
      <w:r w:rsidRPr="0043462D">
        <w:t>(ii)</w:t>
      </w:r>
      <w:r w:rsidRPr="0043462D">
        <w:tab/>
        <w:t xml:space="preserve">in 2014, the </w:t>
      </w:r>
      <w:r w:rsidR="00FC548E">
        <w:t>PSE</w:t>
      </w:r>
      <w:r w:rsidRPr="0043462D">
        <w:t xml:space="preserve"> refinanced and reduced the size of its operating company credit facility, resulting in a $5.3</w:t>
      </w:r>
      <w:r w:rsidR="00D84327">
        <w:t> </w:t>
      </w:r>
      <w:r w:rsidRPr="0043462D">
        <w:t>million reduction in commitment fees;</w:t>
      </w:r>
    </w:p>
    <w:p w:rsidR="00F872B5" w:rsidRPr="0043462D" w:rsidRDefault="00F872B5" w:rsidP="00D84327">
      <w:pPr>
        <w:spacing w:after="280"/>
        <w:ind w:left="2160" w:right="720" w:hanging="720"/>
      </w:pPr>
      <w:r w:rsidRPr="0043462D">
        <w:t>(i</w:t>
      </w:r>
      <w:r w:rsidR="00453BB1">
        <w:t>ii</w:t>
      </w:r>
      <w:r w:rsidRPr="0043462D">
        <w:t>)</w:t>
      </w:r>
      <w:r w:rsidRPr="0043462D">
        <w:tab/>
        <w:t>in addition 2015, PSE called two Sr. Secured bonds with a combined notional of $400</w:t>
      </w:r>
      <w:r w:rsidR="00064654">
        <w:t> </w:t>
      </w:r>
      <w:r w:rsidRPr="0043462D">
        <w:t>million and refinanced that debt at lower rates, which resulted in $6</w:t>
      </w:r>
      <w:r w:rsidR="00F45519">
        <w:t>.</w:t>
      </w:r>
      <w:r w:rsidR="00863BEC">
        <w:t>1</w:t>
      </w:r>
      <w:r w:rsidR="00D84327">
        <w:t> </w:t>
      </w:r>
      <w:r w:rsidRPr="0043462D">
        <w:t>million in annual savings</w:t>
      </w:r>
      <w:r w:rsidR="00453BB1">
        <w:t>.</w:t>
      </w:r>
    </w:p>
    <w:p w:rsidR="009D6190" w:rsidRDefault="00453BB1" w:rsidP="00D84327">
      <w:pPr>
        <w:pStyle w:val="answer"/>
        <w:ind w:firstLine="0"/>
      </w:pPr>
      <w:r>
        <w:t>Additionally,</w:t>
      </w:r>
      <w:r w:rsidR="00F872B5" w:rsidRPr="0043462D">
        <w:t xml:space="preserve"> in 2016</w:t>
      </w:r>
      <w:r w:rsidR="00D84327">
        <w:t>,</w:t>
      </w:r>
      <w:r w:rsidR="00F872B5" w:rsidRPr="0043462D">
        <w:t xml:space="preserve"> </w:t>
      </w:r>
      <w:r w:rsidR="00FC548E">
        <w:t>PSE</w:t>
      </w:r>
      <w:r w:rsidR="00207934">
        <w:t xml:space="preserve"> </w:t>
      </w:r>
      <w:r>
        <w:t>commenced</w:t>
      </w:r>
      <w:r w:rsidR="00F872B5" w:rsidRPr="0043462D">
        <w:t xml:space="preserve"> </w:t>
      </w:r>
      <w:r>
        <w:t xml:space="preserve">a </w:t>
      </w:r>
      <w:r w:rsidR="00F872B5" w:rsidRPr="0043462D">
        <w:t xml:space="preserve">tender offer to repurchase </w:t>
      </w:r>
      <w:r w:rsidR="00FC548E">
        <w:t>its</w:t>
      </w:r>
      <w:r w:rsidR="00F872B5" w:rsidRPr="0043462D">
        <w:t xml:space="preserve"> hybrid bond from the bondholders at a discount</w:t>
      </w:r>
      <w:r w:rsidR="00FC548E">
        <w:t xml:space="preserve"> and refinance those bonds at favorable </w:t>
      </w:r>
      <w:r w:rsidR="00FC548E">
        <w:lastRenderedPageBreak/>
        <w:t>rates for the long term.</w:t>
      </w:r>
      <w:r w:rsidR="00DF4828">
        <w:t xml:space="preserve"> </w:t>
      </w:r>
      <w:r w:rsidR="00025AB9">
        <w:t xml:space="preserve">That tender offer was commenced with the full knowledge that in December of 2017, </w:t>
      </w:r>
      <w:r w:rsidR="00FC548E">
        <w:t xml:space="preserve">the current </w:t>
      </w:r>
      <w:r w:rsidR="00C24DBD">
        <w:t>6.9</w:t>
      </w:r>
      <w:r w:rsidR="00387163">
        <w:t>74</w:t>
      </w:r>
      <w:r w:rsidR="00C24DBD">
        <w:t xml:space="preserve">% </w:t>
      </w:r>
      <w:r w:rsidR="00FC548E">
        <w:t>fixed interest rate on the bonds</w:t>
      </w:r>
      <w:r w:rsidR="00C24DBD">
        <w:t xml:space="preserve"> </w:t>
      </w:r>
      <w:r w:rsidR="00025AB9">
        <w:t xml:space="preserve">would contractually </w:t>
      </w:r>
      <w:r w:rsidR="00C24DBD">
        <w:t>con</w:t>
      </w:r>
      <w:r w:rsidR="00025AB9">
        <w:t>vert</w:t>
      </w:r>
      <w:r w:rsidR="00C24DBD">
        <w:t xml:space="preserve"> to a short term </w:t>
      </w:r>
      <w:r w:rsidR="004A43C6">
        <w:t>variable rate</w:t>
      </w:r>
      <w:r w:rsidR="00C24DBD">
        <w:t xml:space="preserve"> </w:t>
      </w:r>
      <w:r w:rsidR="00025AB9">
        <w:t>equal to 3-month LIBOR plus a 253</w:t>
      </w:r>
      <w:r w:rsidR="00D84327">
        <w:t> </w:t>
      </w:r>
      <w:r w:rsidR="00025AB9">
        <w:t>basis point spread.</w:t>
      </w:r>
      <w:r w:rsidR="00DF4828">
        <w:t xml:space="preserve"> </w:t>
      </w:r>
      <w:r w:rsidR="00025AB9">
        <w:t xml:space="preserve">While the tender offer was ultimately unsuccessful, customers will </w:t>
      </w:r>
      <w:r w:rsidR="006F47C9">
        <w:t xml:space="preserve">nonetheless </w:t>
      </w:r>
      <w:r w:rsidR="00025AB9">
        <w:t>receive an approximate $6</w:t>
      </w:r>
      <w:r w:rsidR="00D84327">
        <w:t> </w:t>
      </w:r>
      <w:r w:rsidR="00025AB9">
        <w:t>million annual savings based on the conversion of interest rates</w:t>
      </w:r>
      <w:r w:rsidR="009E5313">
        <w:t xml:space="preserve"> on the bonds</w:t>
      </w:r>
      <w:r w:rsidR="00025AB9">
        <w:t xml:space="preserve"> from the current fixed rate of 6.</w:t>
      </w:r>
      <w:r w:rsidR="00387163" w:rsidRPr="00387163">
        <w:t xml:space="preserve"> </w:t>
      </w:r>
      <w:r w:rsidR="00387163">
        <w:t>974</w:t>
      </w:r>
      <w:r w:rsidR="00025AB9">
        <w:t xml:space="preserve">% to the average </w:t>
      </w:r>
      <w:r w:rsidR="009E5313">
        <w:t>short term rate of 4.</w:t>
      </w:r>
      <w:r w:rsidR="00387163">
        <w:t>8</w:t>
      </w:r>
      <w:r w:rsidR="009E5313">
        <w:t xml:space="preserve">% </w:t>
      </w:r>
      <w:r w:rsidR="00D84327">
        <w:t xml:space="preserve">supported in the </w:t>
      </w:r>
      <w:proofErr w:type="spellStart"/>
      <w:r w:rsidR="00D84327">
        <w:t>Prefiled</w:t>
      </w:r>
      <w:proofErr w:type="spellEnd"/>
      <w:r w:rsidR="00D84327">
        <w:t xml:space="preserve"> Direct Testimony of </w:t>
      </w:r>
      <w:r w:rsidR="009E5313">
        <w:t xml:space="preserve">Brandon </w:t>
      </w:r>
      <w:r w:rsidR="00D84327">
        <w:t xml:space="preserve">J. </w:t>
      </w:r>
      <w:r w:rsidR="00025AB9">
        <w:t>Lohse</w:t>
      </w:r>
      <w:r w:rsidR="00D84327">
        <w:t>, Exhibit No. ___(BJL-1T).</w:t>
      </w:r>
    </w:p>
    <w:p w:rsidR="00F872B5" w:rsidRDefault="00025AB9" w:rsidP="00D84327">
      <w:pPr>
        <w:pStyle w:val="answer"/>
        <w:ind w:firstLine="0"/>
      </w:pPr>
      <w:r>
        <w:t xml:space="preserve">In sum total, these </w:t>
      </w:r>
      <w:proofErr w:type="spellStart"/>
      <w:r>
        <w:t>refinancings</w:t>
      </w:r>
      <w:proofErr w:type="spellEnd"/>
      <w:r>
        <w:t xml:space="preserve"> will save customers $19.</w:t>
      </w:r>
      <w:r w:rsidR="00387163">
        <w:t>3</w:t>
      </w:r>
      <w:r w:rsidR="00D84327">
        <w:t> </w:t>
      </w:r>
      <w:r>
        <w:t>million in annual pretax interest costs</w:t>
      </w:r>
      <w:r w:rsidR="009E5313">
        <w:t>.</w:t>
      </w:r>
      <w:r w:rsidR="00207934">
        <w:t xml:space="preserve"> </w:t>
      </w:r>
      <w:r w:rsidR="00F872B5" w:rsidRPr="0043462D">
        <w:t>PSE’s financings are</w:t>
      </w:r>
      <w:r w:rsidR="009E5313">
        <w:t xml:space="preserve"> further</w:t>
      </w:r>
      <w:r w:rsidR="00F872B5" w:rsidRPr="0043462D">
        <w:t xml:space="preserve"> discussed in the </w:t>
      </w:r>
      <w:proofErr w:type="spellStart"/>
      <w:r w:rsidR="00D84327">
        <w:t>Prefiled</w:t>
      </w:r>
      <w:proofErr w:type="spellEnd"/>
      <w:r w:rsidR="00D84327">
        <w:t xml:space="preserve"> Direct Testimony of Brandon J. Lohse, Exhibit No. ___(BJL-1T)</w:t>
      </w:r>
      <w:r w:rsidR="00F872B5" w:rsidRPr="0043462D">
        <w:t>.</w:t>
      </w:r>
    </w:p>
    <w:p w:rsidR="00F872B5" w:rsidRPr="00DF4828" w:rsidRDefault="00F872B5" w:rsidP="00DF4828">
      <w:pPr>
        <w:pStyle w:val="question"/>
      </w:pPr>
      <w:r w:rsidRPr="00DF4828">
        <w:t>Q.</w:t>
      </w:r>
      <w:r w:rsidRPr="00DF4828">
        <w:tab/>
      </w:r>
      <w:r w:rsidR="009E5313" w:rsidRPr="00DF4828">
        <w:t>Please discuss the efficiencies related to bonus depreciation elections</w:t>
      </w:r>
      <w:r w:rsidR="00CF4467" w:rsidRPr="00DF4828">
        <w:t>.</w:t>
      </w:r>
    </w:p>
    <w:p w:rsidR="004919FC" w:rsidRDefault="00F872B5" w:rsidP="00D84327">
      <w:pPr>
        <w:pStyle w:val="answer"/>
      </w:pPr>
      <w:r>
        <w:t>A.</w:t>
      </w:r>
      <w:r>
        <w:tab/>
        <w:t>Bonus depreciation allow</w:t>
      </w:r>
      <w:r w:rsidR="00391B5C">
        <w:t>ed</w:t>
      </w:r>
      <w:r>
        <w:t xml:space="preserve"> </w:t>
      </w:r>
      <w:r w:rsidR="00DF4828">
        <w:t>PSE</w:t>
      </w:r>
      <w:r>
        <w:t xml:space="preserve"> to voluntarily claim a tax deduction of 50% of the cost of eligible assets in the year the </w:t>
      </w:r>
      <w:r w:rsidR="001432BA">
        <w:t xml:space="preserve">eligible </w:t>
      </w:r>
      <w:r>
        <w:t>asset</w:t>
      </w:r>
      <w:r w:rsidR="001432BA">
        <w:t>s</w:t>
      </w:r>
      <w:r>
        <w:t xml:space="preserve"> </w:t>
      </w:r>
      <w:r w:rsidR="001432BA">
        <w:t>were</w:t>
      </w:r>
      <w:r>
        <w:t xml:space="preserve"> placed in service</w:t>
      </w:r>
      <w:r w:rsidR="006F47C9">
        <w:t xml:space="preserve"> in lieu of standard accelerated depreciation schedules allowable in the tax code</w:t>
      </w:r>
      <w:r w:rsidR="00391B5C">
        <w:t xml:space="preserve"> for 2012 through and including 201</w:t>
      </w:r>
      <w:r w:rsidR="001432BA">
        <w:t>6</w:t>
      </w:r>
      <w:r>
        <w:t xml:space="preserve">. </w:t>
      </w:r>
      <w:r w:rsidR="00391B5C">
        <w:t>Under current tax law</w:t>
      </w:r>
      <w:r w:rsidR="009C0AD9">
        <w:t>,</w:t>
      </w:r>
      <w:r w:rsidR="00391B5C">
        <w:t xml:space="preserve"> bonu</w:t>
      </w:r>
      <w:r w:rsidR="006F47C9">
        <w:t>s depreciation deductions are set at 50% for 2016 and 2017, 40% for</w:t>
      </w:r>
      <w:r w:rsidR="00391B5C">
        <w:t xml:space="preserve"> 2018,</w:t>
      </w:r>
      <w:r w:rsidR="006F47C9">
        <w:t xml:space="preserve"> 30% for</w:t>
      </w:r>
      <w:r w:rsidR="00391B5C">
        <w:t xml:space="preserve"> 2019 and goes to zero thereafter.</w:t>
      </w:r>
    </w:p>
    <w:p w:rsidR="00F872B5" w:rsidRPr="00DF4828" w:rsidRDefault="00F872B5" w:rsidP="00DF4828">
      <w:pPr>
        <w:pStyle w:val="question"/>
      </w:pPr>
      <w:r w:rsidRPr="00DF4828">
        <w:t>Q.</w:t>
      </w:r>
      <w:r w:rsidRPr="00DF4828">
        <w:tab/>
        <w:t xml:space="preserve">How much bonus depreciation did </w:t>
      </w:r>
      <w:r w:rsidR="00DF4828">
        <w:t>PSE</w:t>
      </w:r>
      <w:r w:rsidRPr="00DF4828">
        <w:t xml:space="preserve"> claim during the stay out period?</w:t>
      </w:r>
    </w:p>
    <w:p w:rsidR="00F872B5" w:rsidRDefault="004919FC" w:rsidP="009D6190">
      <w:pPr>
        <w:pStyle w:val="answer"/>
      </w:pPr>
      <w:r>
        <w:t>A.</w:t>
      </w:r>
      <w:r>
        <w:tab/>
        <w:t>From 2013</w:t>
      </w:r>
      <w:r w:rsidR="00F872B5">
        <w:t xml:space="preserve"> through 2015, </w:t>
      </w:r>
      <w:r w:rsidR="00DF4828">
        <w:t>PSE</w:t>
      </w:r>
      <w:r w:rsidR="00F872B5">
        <w:t xml:space="preserve"> claimed about $</w:t>
      </w:r>
      <w:r w:rsidR="00226029">
        <w:t>656.8</w:t>
      </w:r>
      <w:r w:rsidR="00064654">
        <w:t> </w:t>
      </w:r>
      <w:r w:rsidR="00CD55EC">
        <w:t>million</w:t>
      </w:r>
      <w:r w:rsidR="00F872B5">
        <w:t xml:space="preserve"> in tax deductions for bonus deprecation</w:t>
      </w:r>
      <w:r w:rsidR="00391B5C">
        <w:t>, whic</w:t>
      </w:r>
      <w:r w:rsidR="00171EE5">
        <w:t xml:space="preserve">h created </w:t>
      </w:r>
      <w:r w:rsidR="00391B5C">
        <w:t>incremental deferred tax liabilities</w:t>
      </w:r>
      <w:r w:rsidR="00171EE5">
        <w:t>, holding everything else equal</w:t>
      </w:r>
      <w:r w:rsidR="00F872B5">
        <w:t>.</w:t>
      </w:r>
      <w:r w:rsidR="00DF4828">
        <w:t xml:space="preserve"> </w:t>
      </w:r>
      <w:r w:rsidR="00391B5C">
        <w:t xml:space="preserve">Ignoring the impact of net operating losses associated with </w:t>
      </w:r>
      <w:r w:rsidR="00391B5C">
        <w:lastRenderedPageBreak/>
        <w:t xml:space="preserve">bonus depreciation, </w:t>
      </w:r>
      <w:r w:rsidR="001432BA">
        <w:t>which create</w:t>
      </w:r>
      <w:r w:rsidR="00CD55EC">
        <w:t>d</w:t>
      </w:r>
      <w:r w:rsidR="001432BA">
        <w:t xml:space="preserve"> a short</w:t>
      </w:r>
      <w:r w:rsidR="00566DB6">
        <w:t>-</w:t>
      </w:r>
      <w:r w:rsidR="001432BA">
        <w:t>lived</w:t>
      </w:r>
      <w:r w:rsidR="00391B5C">
        <w:t xml:space="preserve"> offset to these increme</w:t>
      </w:r>
      <w:r w:rsidR="00CD55EC">
        <w:t xml:space="preserve">ntal deferred tax liabilities, </w:t>
      </w:r>
      <w:r w:rsidR="00391B5C">
        <w:t xml:space="preserve">PSE’s bonus depreciation elections reduced rate base on the margin by </w:t>
      </w:r>
      <w:r w:rsidR="001432BA">
        <w:t xml:space="preserve">approximately </w:t>
      </w:r>
      <w:r w:rsidR="00226029">
        <w:t>$229.9</w:t>
      </w:r>
      <w:r w:rsidR="00D84327">
        <w:t> </w:t>
      </w:r>
      <w:r w:rsidR="00CD55EC">
        <w:t>million</w:t>
      </w:r>
      <w:r w:rsidR="00391B5C">
        <w:t>.</w:t>
      </w:r>
    </w:p>
    <w:p w:rsidR="00F872B5" w:rsidRPr="00DF4828" w:rsidRDefault="00F872B5" w:rsidP="00DF4828">
      <w:pPr>
        <w:pStyle w:val="question"/>
      </w:pPr>
      <w:r w:rsidRPr="00DF4828">
        <w:t>Q.</w:t>
      </w:r>
      <w:r w:rsidRPr="00DF4828">
        <w:tab/>
        <w:t xml:space="preserve">What effect </w:t>
      </w:r>
      <w:r w:rsidR="00391B5C" w:rsidRPr="00DF4828">
        <w:t>did the marginal reduction to rate base have</w:t>
      </w:r>
      <w:r w:rsidRPr="00DF4828">
        <w:t xml:space="preserve"> on customer rates?</w:t>
      </w:r>
    </w:p>
    <w:p w:rsidR="00F872B5" w:rsidRDefault="00F872B5" w:rsidP="00135A1A">
      <w:pPr>
        <w:pStyle w:val="answer"/>
      </w:pPr>
      <w:r>
        <w:t>A.</w:t>
      </w:r>
      <w:r>
        <w:tab/>
      </w:r>
      <w:r w:rsidR="00171EE5">
        <w:t>Holding everything else equal</w:t>
      </w:r>
      <w:r w:rsidR="00CD55EC">
        <w:t>, the</w:t>
      </w:r>
      <w:r>
        <w:t xml:space="preserve"> </w:t>
      </w:r>
      <w:r w:rsidR="00D84327">
        <w:t>$</w:t>
      </w:r>
      <w:r w:rsidR="00226029">
        <w:t>229</w:t>
      </w:r>
      <w:r w:rsidR="00CD55EC">
        <w:t>.9</w:t>
      </w:r>
      <w:r w:rsidR="00D84327">
        <w:t> </w:t>
      </w:r>
      <w:r w:rsidR="00CD55EC">
        <w:t xml:space="preserve">million </w:t>
      </w:r>
      <w:r w:rsidR="00171EE5">
        <w:t xml:space="preserve">incremental </w:t>
      </w:r>
      <w:r>
        <w:t>reduction in rate</w:t>
      </w:r>
      <w:r w:rsidR="00CB2D27">
        <w:t xml:space="preserve"> </w:t>
      </w:r>
      <w:r>
        <w:t>base</w:t>
      </w:r>
      <w:r w:rsidR="00DF4828">
        <w:t xml:space="preserve"> </w:t>
      </w:r>
      <w:r>
        <w:t>reduce</w:t>
      </w:r>
      <w:r w:rsidR="00171EE5">
        <w:t>s</w:t>
      </w:r>
      <w:r>
        <w:t xml:space="preserve"> customer bills </w:t>
      </w:r>
      <w:r w:rsidR="001432BA">
        <w:t xml:space="preserve">annually </w:t>
      </w:r>
      <w:r>
        <w:t xml:space="preserve">by </w:t>
      </w:r>
      <w:r w:rsidR="00171EE5">
        <w:t xml:space="preserve">approximately </w:t>
      </w:r>
      <w:r w:rsidR="00226029">
        <w:t>$23.7</w:t>
      </w:r>
      <w:r w:rsidR="00135A1A">
        <w:t> </w:t>
      </w:r>
      <w:r>
        <w:t>million</w:t>
      </w:r>
      <w:r w:rsidR="004919FC">
        <w:t xml:space="preserve"> </w:t>
      </w:r>
      <w:r w:rsidR="00171EE5">
        <w:t>(</w:t>
      </w:r>
      <w:r w:rsidR="00135A1A">
        <w:t xml:space="preserve">$229.9 million </w:t>
      </w:r>
      <w:r>
        <w:t>times the after-tax cost of capital grossed up for Federal Income Tax of 10.</w:t>
      </w:r>
      <w:r w:rsidR="00CD55EC">
        <w:t>3</w:t>
      </w:r>
      <w:r>
        <w:t>%</w:t>
      </w:r>
      <w:r w:rsidR="00171EE5">
        <w:t>)</w:t>
      </w:r>
      <w:r>
        <w:t>.</w:t>
      </w:r>
    </w:p>
    <w:p w:rsidR="004919FC" w:rsidRPr="00DF4828" w:rsidRDefault="004919FC" w:rsidP="00DF4828">
      <w:pPr>
        <w:pStyle w:val="question"/>
      </w:pPr>
      <w:r w:rsidRPr="00DF4828">
        <w:t>Q.</w:t>
      </w:r>
      <w:r w:rsidRPr="00DF4828">
        <w:tab/>
      </w:r>
      <w:r w:rsidR="009C0AD9" w:rsidRPr="00DF4828">
        <w:t>How will the deferred tax liabilities from bonus depreciation elections benefit customers into the future?</w:t>
      </w:r>
    </w:p>
    <w:p w:rsidR="004919FC" w:rsidRDefault="004919FC" w:rsidP="004919FC">
      <w:pPr>
        <w:pStyle w:val="answer"/>
      </w:pPr>
      <w:r>
        <w:t>A.</w:t>
      </w:r>
      <w:r>
        <w:tab/>
      </w:r>
      <w:r w:rsidR="009C0AD9">
        <w:t>The incremental deferred tax liabilities will continue to benefit customers on a declining scale generally over 15-20 years until standard</w:t>
      </w:r>
      <w:r w:rsidR="00FD7E53">
        <w:t xml:space="preserve"> tax</w:t>
      </w:r>
      <w:r w:rsidR="009C0AD9">
        <w:t xml:space="preserve"> depreciation schedules </w:t>
      </w:r>
      <w:r w:rsidR="00173ABD">
        <w:t xml:space="preserve">(and the resulting deferred tax liabilities) </w:t>
      </w:r>
      <w:r w:rsidR="009C0AD9">
        <w:t>“catch up” to the bonus depreciation deduction taken when a qualifying asset was placed in service.</w:t>
      </w:r>
      <w:r w:rsidR="00DF4828">
        <w:t xml:space="preserve"> </w:t>
      </w:r>
      <w:r w:rsidR="009C0AD9">
        <w:t xml:space="preserve">Accordingly, customers will benefit for years to come </w:t>
      </w:r>
      <w:r w:rsidR="001432BA">
        <w:t xml:space="preserve">due to the incremental deferred taxes arising </w:t>
      </w:r>
      <w:r w:rsidR="009C0AD9">
        <w:t>from the bonus depreciation elections PSE has made and plans to make in the future under current tax law.</w:t>
      </w:r>
    </w:p>
    <w:p w:rsidR="004919FC" w:rsidRPr="00DF4828" w:rsidRDefault="00DF4828" w:rsidP="00DF4828">
      <w:pPr>
        <w:pStyle w:val="question"/>
      </w:pPr>
      <w:r>
        <w:t>Q.</w:t>
      </w:r>
      <w:r w:rsidR="004919FC" w:rsidRPr="00DF4828">
        <w:tab/>
      </w:r>
      <w:r w:rsidR="009C0AD9" w:rsidRPr="00DF4828">
        <w:t>Did the bonus depreciation election have any impact on PSE’s excess earnings sharing calculation?</w:t>
      </w:r>
    </w:p>
    <w:p w:rsidR="004919FC" w:rsidRDefault="004919FC" w:rsidP="004919FC">
      <w:pPr>
        <w:pStyle w:val="answer"/>
      </w:pPr>
      <w:r>
        <w:t>A.</w:t>
      </w:r>
      <w:r>
        <w:tab/>
      </w:r>
      <w:r w:rsidR="00BA780C">
        <w:t>Yes.</w:t>
      </w:r>
      <w:r w:rsidR="00DF4828">
        <w:t xml:space="preserve"> </w:t>
      </w:r>
      <w:r w:rsidR="00BA780C">
        <w:t>As I explained above, PSE’s</w:t>
      </w:r>
      <w:r w:rsidR="009C0AD9">
        <w:t xml:space="preserve"> bonus depreciation election</w:t>
      </w:r>
      <w:r w:rsidR="00BA780C">
        <w:t>s</w:t>
      </w:r>
      <w:r w:rsidR="009C0AD9">
        <w:t xml:space="preserve"> reduced rate base</w:t>
      </w:r>
      <w:r w:rsidR="00BA780C">
        <w:t xml:space="preserve"> during the rate plan period</w:t>
      </w:r>
      <w:r w:rsidR="009C0AD9">
        <w:t>.</w:t>
      </w:r>
      <w:r w:rsidR="00DF4828">
        <w:t xml:space="preserve"> </w:t>
      </w:r>
      <w:r w:rsidR="00BA780C">
        <w:t xml:space="preserve">PSE’s earnings sharing calculation is based on rate of return calculation </w:t>
      </w:r>
      <w:r w:rsidR="00FD7E53">
        <w:t xml:space="preserve">or, more specifically, </w:t>
      </w:r>
      <w:r w:rsidR="00BA780C">
        <w:t xml:space="preserve">normalized operating income divided by </w:t>
      </w:r>
      <w:r w:rsidR="00BA780C">
        <w:lastRenderedPageBreak/>
        <w:t>average of</w:t>
      </w:r>
      <w:r w:rsidR="009C0AD9">
        <w:t xml:space="preserve"> </w:t>
      </w:r>
      <w:r w:rsidR="00BA780C">
        <w:t>monthly averages rate base.</w:t>
      </w:r>
      <w:r w:rsidR="00DF4828">
        <w:t xml:space="preserve"> </w:t>
      </w:r>
      <w:r w:rsidR="00BA780C">
        <w:t xml:space="preserve">As a matter of simple mathematics, PSE’s rate of return was higher on the margin due to its bonus depreciation elections </w:t>
      </w:r>
      <w:r w:rsidR="00FD7E53">
        <w:t xml:space="preserve">(higher deferred tax </w:t>
      </w:r>
      <w:r>
        <w:t>liabilities</w:t>
      </w:r>
      <w:r w:rsidR="00FD7E53">
        <w:t xml:space="preserve"> reduce</w:t>
      </w:r>
      <w:r w:rsidR="005B43EE">
        <w:t>d</w:t>
      </w:r>
      <w:r w:rsidR="00FD7E53">
        <w:t xml:space="preserve"> rate base) </w:t>
      </w:r>
      <w:r w:rsidR="00BA780C">
        <w:t>and directly contributed to the excess earning PSE recorded for refund to customers.</w:t>
      </w:r>
    </w:p>
    <w:p w:rsidR="00F872B5" w:rsidRPr="00DF4828" w:rsidRDefault="00F872B5" w:rsidP="00DF4828">
      <w:pPr>
        <w:pStyle w:val="question"/>
      </w:pPr>
      <w:r w:rsidRPr="00DF4828">
        <w:t>Q.</w:t>
      </w:r>
      <w:r w:rsidRPr="00DF4828">
        <w:tab/>
        <w:t xml:space="preserve">Are there other efforts </w:t>
      </w:r>
      <w:r w:rsidR="00DF4828">
        <w:t>that PSE</w:t>
      </w:r>
      <w:r w:rsidRPr="00DF4828">
        <w:t xml:space="preserve"> has pursued or initiated that financially benefit customers?</w:t>
      </w:r>
    </w:p>
    <w:p w:rsidR="00CC3184" w:rsidRDefault="00F872B5" w:rsidP="004956D4">
      <w:pPr>
        <w:pStyle w:val="answer"/>
      </w:pPr>
      <w:r>
        <w:t>A.</w:t>
      </w:r>
      <w:r>
        <w:tab/>
        <w:t xml:space="preserve">Yes. </w:t>
      </w:r>
      <w:r w:rsidR="004956D4">
        <w:t xml:space="preserve">In 2011, PSE’s lobbying </w:t>
      </w:r>
      <w:r w:rsidR="005B43EE">
        <w:t xml:space="preserve">efforts were </w:t>
      </w:r>
      <w:r w:rsidR="004956D4">
        <w:t xml:space="preserve">instrumental in reversing the normalization requirement </w:t>
      </w:r>
      <w:r w:rsidR="00CC3184">
        <w:t xml:space="preserve">for </w:t>
      </w:r>
      <w:r w:rsidR="005D496A">
        <w:t>T</w:t>
      </w:r>
      <w:r w:rsidR="00CC3184">
        <w:t xml:space="preserve">reasury </w:t>
      </w:r>
      <w:r w:rsidR="005D496A">
        <w:t>G</w:t>
      </w:r>
      <w:r w:rsidR="00CC3184">
        <w:t>rants</w:t>
      </w:r>
      <w:r w:rsidR="004956D4">
        <w:t>.</w:t>
      </w:r>
      <w:r w:rsidR="00DF4828">
        <w:t xml:space="preserve"> </w:t>
      </w:r>
      <w:r w:rsidR="004956D4">
        <w:t xml:space="preserve">Under those </w:t>
      </w:r>
      <w:r w:rsidR="00F5704D">
        <w:t xml:space="preserve">normalization requirements it was permissible under the tax code to either amortize the </w:t>
      </w:r>
      <w:r w:rsidR="005D496A">
        <w:t>T</w:t>
      </w:r>
      <w:r w:rsidR="00F5704D">
        <w:t xml:space="preserve">reasury </w:t>
      </w:r>
      <w:r w:rsidR="005D496A">
        <w:t>G</w:t>
      </w:r>
      <w:r w:rsidR="00CC3184">
        <w:t>rants</w:t>
      </w:r>
      <w:r w:rsidR="00F5704D">
        <w:t xml:space="preserve"> above the line to the benefit of customers or alternatively take a rate base </w:t>
      </w:r>
      <w:r w:rsidR="005B43EE">
        <w:t>r</w:t>
      </w:r>
      <w:r w:rsidR="00F5704D">
        <w:t>e</w:t>
      </w:r>
      <w:r w:rsidR="00CC3184">
        <w:t>duction for the ben</w:t>
      </w:r>
      <w:r w:rsidR="00280B0D">
        <w:t>e</w:t>
      </w:r>
      <w:r w:rsidR="00CC3184">
        <w:t>fit of customers</w:t>
      </w:r>
      <w:r w:rsidR="00F5704D">
        <w:t>, but not both. As a direct result of PSE’s lobbying efforts with respect to the passage of Section 1096 of Public Law No.</w:t>
      </w:r>
      <w:r w:rsidR="00135A1A">
        <w:t> </w:t>
      </w:r>
      <w:r w:rsidR="00F5704D">
        <w:t>112-81 (House Resolution 1540), it became permissible to take advantage of both</w:t>
      </w:r>
      <w:r w:rsidR="00CC3184">
        <w:t>:</w:t>
      </w:r>
      <w:r w:rsidR="00F5704D">
        <w:t xml:space="preserve"> (</w:t>
      </w:r>
      <w:r w:rsidR="00135A1A">
        <w:t>i</w:t>
      </w:r>
      <w:r w:rsidR="00F5704D">
        <w:t>)</w:t>
      </w:r>
      <w:r w:rsidR="00135A1A">
        <w:t> </w:t>
      </w:r>
      <w:r w:rsidR="00F5704D">
        <w:t xml:space="preserve">above the line amortization of </w:t>
      </w:r>
      <w:r w:rsidR="005D496A">
        <w:t>T</w:t>
      </w:r>
      <w:r w:rsidR="00F5704D">
        <w:t xml:space="preserve">reasury </w:t>
      </w:r>
      <w:r w:rsidR="005D496A">
        <w:t>G</w:t>
      </w:r>
      <w:r w:rsidR="00F5704D">
        <w:t>rant</w:t>
      </w:r>
      <w:r w:rsidR="00FD7E53">
        <w:t xml:space="preserve">s and production tax credits for </w:t>
      </w:r>
      <w:r w:rsidR="00F5704D">
        <w:t xml:space="preserve">the direct benefit of customers </w:t>
      </w:r>
      <w:r w:rsidR="00CC3184">
        <w:t>and (</w:t>
      </w:r>
      <w:r w:rsidR="00135A1A">
        <w:t>ii</w:t>
      </w:r>
      <w:r w:rsidR="00CC3184">
        <w:t>)</w:t>
      </w:r>
      <w:r w:rsidR="00135A1A">
        <w:t> </w:t>
      </w:r>
      <w:r w:rsidR="00F5704D">
        <w:t>a</w:t>
      </w:r>
      <w:r w:rsidR="00CC3184">
        <w:t xml:space="preserve"> rate base deduction for the</w:t>
      </w:r>
      <w:r w:rsidR="00F5704D">
        <w:t xml:space="preserve"> unamortized </w:t>
      </w:r>
      <w:r w:rsidR="005D496A">
        <w:t>T</w:t>
      </w:r>
      <w:r w:rsidR="00F5704D">
        <w:t xml:space="preserve">reasury </w:t>
      </w:r>
      <w:r w:rsidR="005D496A">
        <w:t>G</w:t>
      </w:r>
      <w:r w:rsidR="00CC3184">
        <w:t>rants</w:t>
      </w:r>
      <w:r w:rsidR="00F5704D">
        <w:t xml:space="preserve"> on the balance sheet</w:t>
      </w:r>
      <w:r w:rsidR="00FD7E53">
        <w:t xml:space="preserve"> for the direct benefit of customers</w:t>
      </w:r>
      <w:r w:rsidR="00F5704D">
        <w:t>.</w:t>
      </w:r>
      <w:r w:rsidR="00DF4828">
        <w:t xml:space="preserve"> </w:t>
      </w:r>
      <w:r w:rsidR="00CC3184">
        <w:t xml:space="preserve">With respect to the Lower Snake River wind farm </w:t>
      </w:r>
      <w:r w:rsidR="005D496A">
        <w:t>T</w:t>
      </w:r>
      <w:r w:rsidR="00CC3184">
        <w:t xml:space="preserve">reasury </w:t>
      </w:r>
      <w:r w:rsidR="005D496A">
        <w:t>G</w:t>
      </w:r>
      <w:r w:rsidR="00CC3184">
        <w:t>rants, which are being amortized as a credit to customers over a ten-year period, PSE’s ability to reduce rate base</w:t>
      </w:r>
      <w:r w:rsidR="00CC214C">
        <w:t xml:space="preserve"> or similarly provide an interest credit</w:t>
      </w:r>
      <w:r w:rsidR="00CC3184">
        <w:t xml:space="preserve"> for the unamortized </w:t>
      </w:r>
      <w:r w:rsidR="005D496A">
        <w:t>T</w:t>
      </w:r>
      <w:r w:rsidR="00CC3184">
        <w:t xml:space="preserve">reasury </w:t>
      </w:r>
      <w:r w:rsidR="005D496A">
        <w:t>G</w:t>
      </w:r>
      <w:r w:rsidR="00CC3184">
        <w:t xml:space="preserve">rants on the balance sheet </w:t>
      </w:r>
      <w:r w:rsidR="005B43EE">
        <w:t xml:space="preserve">will </w:t>
      </w:r>
      <w:r w:rsidR="00CC3184">
        <w:t xml:space="preserve">result in an incremental </w:t>
      </w:r>
      <w:r w:rsidR="00CC214C">
        <w:t>$65.9</w:t>
      </w:r>
      <w:r w:rsidR="00135A1A">
        <w:t> </w:t>
      </w:r>
      <w:r w:rsidR="00CC3184" w:rsidRPr="00280B0D">
        <w:t>million</w:t>
      </w:r>
      <w:r w:rsidR="00135A1A">
        <w:t xml:space="preserve"> of savings to customers.</w:t>
      </w:r>
    </w:p>
    <w:p w:rsidR="00CC3184" w:rsidRPr="00DF4828" w:rsidRDefault="00CC3184" w:rsidP="00DF4828">
      <w:pPr>
        <w:pStyle w:val="question"/>
      </w:pPr>
      <w:r w:rsidRPr="00DF4828">
        <w:lastRenderedPageBreak/>
        <w:t>Q.</w:t>
      </w:r>
      <w:r w:rsidRPr="00DF4828">
        <w:tab/>
      </w:r>
      <w:r w:rsidR="007F17F4" w:rsidRPr="00DF4828">
        <w:t>D</w:t>
      </w:r>
      <w:r w:rsidRPr="00DF4828">
        <w:t xml:space="preserve">id the reversal of </w:t>
      </w:r>
      <w:r w:rsidR="007F17F4" w:rsidRPr="00DF4828">
        <w:t xml:space="preserve">the </w:t>
      </w:r>
      <w:r w:rsidRPr="00DF4828">
        <w:t xml:space="preserve">normalization requirements for </w:t>
      </w:r>
      <w:r w:rsidR="005D496A">
        <w:t>T</w:t>
      </w:r>
      <w:r w:rsidRPr="00DF4828">
        <w:t xml:space="preserve">reasury </w:t>
      </w:r>
      <w:r w:rsidR="005D496A">
        <w:t>G</w:t>
      </w:r>
      <w:r w:rsidRPr="00DF4828">
        <w:t>rants result in any additional b</w:t>
      </w:r>
      <w:r w:rsidR="00135A1A">
        <w:t>enefit to PSE or its customers?</w:t>
      </w:r>
    </w:p>
    <w:p w:rsidR="00381874" w:rsidRDefault="00CC3184" w:rsidP="004956D4">
      <w:pPr>
        <w:pStyle w:val="answer"/>
      </w:pPr>
      <w:r>
        <w:t>A.</w:t>
      </w:r>
      <w:r>
        <w:tab/>
        <w:t xml:space="preserve">Yes. </w:t>
      </w:r>
      <w:r w:rsidR="007F17F4">
        <w:t xml:space="preserve">Had the normalization requirements for </w:t>
      </w:r>
      <w:r w:rsidR="005D496A">
        <w:t>T</w:t>
      </w:r>
      <w:r w:rsidR="007F17F4">
        <w:t xml:space="preserve">reasury </w:t>
      </w:r>
      <w:r w:rsidR="005D496A">
        <w:t>G</w:t>
      </w:r>
      <w:r w:rsidR="007F17F4">
        <w:t xml:space="preserve">rants not been reversed or </w:t>
      </w:r>
      <w:r w:rsidR="000E5EB9">
        <w:t xml:space="preserve">been </w:t>
      </w:r>
      <w:r w:rsidR="007F17F4">
        <w:t xml:space="preserve">eliminated, PSE would be unable to repurpose </w:t>
      </w:r>
      <w:r w:rsidR="005D496A">
        <w:t>T</w:t>
      </w:r>
      <w:r w:rsidR="007F17F4">
        <w:t xml:space="preserve">reasury </w:t>
      </w:r>
      <w:r w:rsidR="005D496A">
        <w:t>G</w:t>
      </w:r>
      <w:r w:rsidR="007F17F4">
        <w:t xml:space="preserve">rants to offset the cost of decommissioning and remediating Colstrip </w:t>
      </w:r>
      <w:r w:rsidR="00CB2D27">
        <w:t>U</w:t>
      </w:r>
      <w:r w:rsidR="007F17F4">
        <w:t>nits</w:t>
      </w:r>
      <w:r w:rsidR="00135A1A">
        <w:t> </w:t>
      </w:r>
      <w:r w:rsidR="007F17F4">
        <w:t>1</w:t>
      </w:r>
      <w:r w:rsidR="00135A1A">
        <w:t> </w:t>
      </w:r>
      <w:r w:rsidR="007F17F4">
        <w:t>&amp;</w:t>
      </w:r>
      <w:r w:rsidR="00135A1A">
        <w:t> </w:t>
      </w:r>
      <w:r w:rsidR="007F17F4">
        <w:t xml:space="preserve">2 </w:t>
      </w:r>
      <w:r w:rsidR="005B43EE">
        <w:t xml:space="preserve">and </w:t>
      </w:r>
      <w:r w:rsidR="007F17F4">
        <w:t xml:space="preserve">the customer benefits of </w:t>
      </w:r>
      <w:r w:rsidR="00DF4828">
        <w:t>PSE</w:t>
      </w:r>
      <w:r w:rsidR="007F17F4">
        <w:t xml:space="preserve">’s </w:t>
      </w:r>
      <w:r w:rsidR="00670AA9">
        <w:t>repurposing proposal</w:t>
      </w:r>
      <w:r w:rsidR="007F17F4">
        <w:t xml:space="preserve"> </w:t>
      </w:r>
      <w:r w:rsidR="00670AA9">
        <w:t>(discuss</w:t>
      </w:r>
      <w:r w:rsidR="00135A1A">
        <w:t>ed</w:t>
      </w:r>
      <w:r w:rsidR="00670AA9">
        <w:t xml:space="preserve"> later in </w:t>
      </w:r>
      <w:r w:rsidR="00135A1A">
        <w:t xml:space="preserve">this </w:t>
      </w:r>
      <w:r w:rsidR="00670AA9">
        <w:t xml:space="preserve">testimony) </w:t>
      </w:r>
      <w:r w:rsidR="007F17F4">
        <w:t xml:space="preserve">would be significantly reduced. </w:t>
      </w:r>
    </w:p>
    <w:p w:rsidR="00381874" w:rsidRPr="00DF4828" w:rsidRDefault="00381874" w:rsidP="00DF4828">
      <w:pPr>
        <w:pStyle w:val="question"/>
      </w:pPr>
      <w:r w:rsidRPr="00DF4828">
        <w:t>Q.</w:t>
      </w:r>
      <w:r w:rsidRPr="00DF4828">
        <w:tab/>
        <w:t>Are there or have there been any normalization requireme</w:t>
      </w:r>
      <w:r w:rsidR="00135A1A">
        <w:t>nts for production tax credits?</w:t>
      </w:r>
    </w:p>
    <w:p w:rsidR="00F45519" w:rsidRPr="00135A1A" w:rsidRDefault="00381874" w:rsidP="00135A1A">
      <w:pPr>
        <w:pStyle w:val="answer"/>
      </w:pPr>
      <w:r>
        <w:t>A.</w:t>
      </w:r>
      <w:r>
        <w:tab/>
        <w:t>No.</w:t>
      </w:r>
    </w:p>
    <w:p w:rsidR="00A06EF6" w:rsidRPr="00DF4828" w:rsidRDefault="00DF4828" w:rsidP="00DF4828">
      <w:pPr>
        <w:pStyle w:val="question"/>
      </w:pPr>
      <w:r>
        <w:t>Q.</w:t>
      </w:r>
      <w:r w:rsidR="004919FC" w:rsidRPr="00DF4828">
        <w:tab/>
      </w:r>
      <w:r w:rsidR="001E152B" w:rsidRPr="00DF4828">
        <w:t xml:space="preserve">Has PSE created efficiencies with respect to future decommissioning and remediation costs for Colstrip </w:t>
      </w:r>
      <w:r w:rsidR="00135A1A">
        <w:t>U</w:t>
      </w:r>
      <w:r w:rsidR="001E152B" w:rsidRPr="00DF4828">
        <w:t>nits</w:t>
      </w:r>
      <w:r w:rsidR="00135A1A">
        <w:t> </w:t>
      </w:r>
      <w:r w:rsidR="001E152B" w:rsidRPr="00DF4828">
        <w:t>1</w:t>
      </w:r>
      <w:r w:rsidR="00135A1A">
        <w:t> </w:t>
      </w:r>
      <w:r w:rsidR="001E152B" w:rsidRPr="00DF4828">
        <w:t>&amp;</w:t>
      </w:r>
      <w:r w:rsidR="00135A1A">
        <w:t> </w:t>
      </w:r>
      <w:r w:rsidR="001E152B" w:rsidRPr="00DF4828">
        <w:t>2?</w:t>
      </w:r>
    </w:p>
    <w:p w:rsidR="008E6261" w:rsidRDefault="00FD7D44" w:rsidP="00135A1A">
      <w:pPr>
        <w:pStyle w:val="answer"/>
      </w:pPr>
      <w:r>
        <w:t>A.</w:t>
      </w:r>
      <w:r>
        <w:tab/>
      </w:r>
      <w:r w:rsidR="001E152B" w:rsidRPr="00FD7D44">
        <w:t xml:space="preserve">Yes. In summary, PSE </w:t>
      </w:r>
      <w:r w:rsidR="00FA25A0">
        <w:t xml:space="preserve">successfully advocated for </w:t>
      </w:r>
      <w:r w:rsidR="001E152B" w:rsidRPr="00FD7D44">
        <w:t xml:space="preserve">legislation that allows for the repurposing of certain </w:t>
      </w:r>
      <w:r w:rsidR="001114E6">
        <w:t>T</w:t>
      </w:r>
      <w:r w:rsidR="001E152B" w:rsidRPr="00FD7D44">
        <w:t xml:space="preserve">reasury </w:t>
      </w:r>
      <w:r w:rsidR="001114E6">
        <w:t>G</w:t>
      </w:r>
      <w:r w:rsidR="001E152B" w:rsidRPr="00FD7D44">
        <w:t xml:space="preserve">rants and production tax credits </w:t>
      </w:r>
      <w:r w:rsidR="00CE63DD" w:rsidRPr="00FD7D44">
        <w:t xml:space="preserve">to offset future decommissioning and </w:t>
      </w:r>
      <w:r w:rsidR="00CE63DD" w:rsidRPr="005B06DF">
        <w:t xml:space="preserve">remediation costs for Colstrip </w:t>
      </w:r>
      <w:r w:rsidR="00135A1A">
        <w:t>U</w:t>
      </w:r>
      <w:r w:rsidR="00CE63DD" w:rsidRPr="005B06DF">
        <w:t>nits</w:t>
      </w:r>
      <w:r w:rsidR="00135A1A">
        <w:t> </w:t>
      </w:r>
      <w:r w:rsidR="00CE63DD" w:rsidRPr="005B06DF">
        <w:t>1</w:t>
      </w:r>
      <w:r w:rsidR="00135A1A">
        <w:t> </w:t>
      </w:r>
      <w:r w:rsidR="00CE63DD" w:rsidRPr="005B06DF">
        <w:t>&amp;</w:t>
      </w:r>
      <w:r w:rsidR="00135A1A">
        <w:t> </w:t>
      </w:r>
      <w:r w:rsidR="00CE63DD" w:rsidRPr="005B06DF">
        <w:t>2</w:t>
      </w:r>
      <w:r w:rsidR="005548F9" w:rsidRPr="00AC4BC6">
        <w:t>. This alternative approach</w:t>
      </w:r>
      <w:r w:rsidR="00AC4BC6">
        <w:t xml:space="preserve"> will cost customers </w:t>
      </w:r>
      <w:r w:rsidR="005B06DF" w:rsidRPr="00AC4BC6">
        <w:t xml:space="preserve">less </w:t>
      </w:r>
      <w:r w:rsidR="005B06DF" w:rsidRPr="005B06DF">
        <w:t>than traditional</w:t>
      </w:r>
      <w:r w:rsidR="00CE63DD" w:rsidRPr="005B06DF">
        <w:t xml:space="preserve"> cost recovery mechanisms</w:t>
      </w:r>
      <w:r w:rsidR="005548F9" w:rsidRPr="00AC4BC6">
        <w:t>,</w:t>
      </w:r>
      <w:r w:rsidR="00CE63DD" w:rsidRPr="005B06DF">
        <w:t xml:space="preserve"> </w:t>
      </w:r>
      <w:r w:rsidR="005548F9" w:rsidRPr="00AC4BC6">
        <w:t>such as</w:t>
      </w:r>
      <w:r w:rsidR="005B06DF" w:rsidRPr="00AC4BC6">
        <w:t xml:space="preserve"> (</w:t>
      </w:r>
      <w:r w:rsidR="00135A1A">
        <w:t>i</w:t>
      </w:r>
      <w:r w:rsidR="005B06DF" w:rsidRPr="00AC4BC6">
        <w:t>)</w:t>
      </w:r>
      <w:r w:rsidR="00135A1A">
        <w:t xml:space="preserve"> establishing </w:t>
      </w:r>
      <w:r w:rsidR="005548F9" w:rsidRPr="00AC4BC6">
        <w:t>a</w:t>
      </w:r>
      <w:r w:rsidR="005B06DF" w:rsidRPr="00AC4BC6">
        <w:t xml:space="preserve"> new tracking mechanism </w:t>
      </w:r>
      <w:r w:rsidR="005548F9" w:rsidRPr="00AC4BC6">
        <w:t>or (</w:t>
      </w:r>
      <w:r w:rsidR="00135A1A">
        <w:t>ii</w:t>
      </w:r>
      <w:r w:rsidR="005548F9" w:rsidRPr="00AC4BC6">
        <w:t>)</w:t>
      </w:r>
      <w:r w:rsidR="00135A1A" w:rsidRPr="00135A1A">
        <w:t> </w:t>
      </w:r>
      <w:r w:rsidR="00CE63DD" w:rsidRPr="00FD7D44">
        <w:t>a regulatory asset</w:t>
      </w:r>
      <w:r w:rsidR="005B06DF">
        <w:t xml:space="preserve"> that would be </w:t>
      </w:r>
      <w:r w:rsidR="00CE63DD" w:rsidRPr="00FD7D44">
        <w:t>includ</w:t>
      </w:r>
      <w:r w:rsidR="005B06DF">
        <w:t>ed</w:t>
      </w:r>
      <w:r w:rsidR="00CE63DD" w:rsidRPr="00FD7D44">
        <w:t xml:space="preserve"> in rate base and amortiz</w:t>
      </w:r>
      <w:r w:rsidR="005B06DF">
        <w:t>ed</w:t>
      </w:r>
      <w:r w:rsidR="00CE63DD" w:rsidRPr="00FD7D44">
        <w:t xml:space="preserve"> in the future. This creative and innovative solution to </w:t>
      </w:r>
      <w:r w:rsidR="00BE5FD2" w:rsidRPr="00FD7D44">
        <w:t>re</w:t>
      </w:r>
      <w:r w:rsidR="00CE63DD" w:rsidRPr="005B06DF">
        <w:t>covering future decommissioning and remediation costs will save customers approximately $</w:t>
      </w:r>
      <w:r w:rsidR="00A06EF6" w:rsidRPr="00A06EF6">
        <w:t>71.2</w:t>
      </w:r>
      <w:r w:rsidR="00135A1A">
        <w:t> </w:t>
      </w:r>
      <w:r w:rsidR="00CE63DD" w:rsidRPr="00FD7D44">
        <w:t>million in nominal terms</w:t>
      </w:r>
      <w:r w:rsidR="001A36F0">
        <w:rPr>
          <w:b/>
        </w:rPr>
        <w:t xml:space="preserve"> </w:t>
      </w:r>
      <w:r w:rsidR="001A36F0" w:rsidRPr="00AC4BC6">
        <w:t>and $49.</w:t>
      </w:r>
      <w:r w:rsidR="00326E73">
        <w:t>5</w:t>
      </w:r>
      <w:r w:rsidR="00135A1A">
        <w:t> </w:t>
      </w:r>
      <w:r w:rsidR="001A36F0" w:rsidRPr="00AC4BC6">
        <w:t xml:space="preserve">million on a net present value basis </w:t>
      </w:r>
      <w:r w:rsidR="005B06DF" w:rsidRPr="00AC4BC6">
        <w:t xml:space="preserve">compared to </w:t>
      </w:r>
      <w:r w:rsidR="001A36F0" w:rsidRPr="00AC4BC6">
        <w:t>th</w:t>
      </w:r>
      <w:r w:rsidR="005B06DF">
        <w:t>e</w:t>
      </w:r>
      <w:r w:rsidR="001A36F0" w:rsidRPr="00AC4BC6">
        <w:t xml:space="preserve"> </w:t>
      </w:r>
      <w:r w:rsidR="00A06EF6">
        <w:t xml:space="preserve">estimated </w:t>
      </w:r>
      <w:r w:rsidR="005345C6">
        <w:t xml:space="preserve">rate impacts </w:t>
      </w:r>
      <w:r w:rsidR="00A06EF6">
        <w:t xml:space="preserve">associated with recovering these cost </w:t>
      </w:r>
      <w:r w:rsidR="001A36F0" w:rsidRPr="00AC4BC6">
        <w:t>through a track</w:t>
      </w:r>
      <w:r w:rsidR="00AC4BC6">
        <w:t>ing</w:t>
      </w:r>
      <w:r w:rsidR="001A36F0" w:rsidRPr="00AC4BC6">
        <w:t xml:space="preserve"> mechanism</w:t>
      </w:r>
      <w:r w:rsidR="00CE63DD" w:rsidRPr="005B06DF">
        <w:t xml:space="preserve">. </w:t>
      </w:r>
      <w:r w:rsidR="00BE5FD2" w:rsidRPr="00AC4BC6">
        <w:t xml:space="preserve">From any </w:t>
      </w:r>
      <w:r w:rsidR="001A36F0" w:rsidRPr="00AC4BC6">
        <w:t>perspective</w:t>
      </w:r>
      <w:r w:rsidR="00BE5FD2" w:rsidRPr="00FD7D44">
        <w:t xml:space="preserve">, </w:t>
      </w:r>
      <w:r w:rsidR="00690C69" w:rsidRPr="00FD7D44">
        <w:t xml:space="preserve">PSE’s </w:t>
      </w:r>
      <w:r w:rsidR="00690C69" w:rsidRPr="00FD7D44">
        <w:lastRenderedPageBreak/>
        <w:t>approach</w:t>
      </w:r>
      <w:r w:rsidR="00AC4BC6">
        <w:t xml:space="preserve"> solves </w:t>
      </w:r>
      <w:r w:rsidR="00690C69" w:rsidRPr="00FD7D44">
        <w:t>a very real and significant cost recovery problem</w:t>
      </w:r>
      <w:r w:rsidR="00BE5FD2" w:rsidRPr="00FD7D44">
        <w:t xml:space="preserve"> </w:t>
      </w:r>
      <w:r w:rsidR="00AC4BC6">
        <w:t xml:space="preserve">and is </w:t>
      </w:r>
      <w:r w:rsidR="00BE5FD2" w:rsidRPr="00FD7D44">
        <w:t>a win</w:t>
      </w:r>
      <w:r w:rsidR="00135A1A">
        <w:t>-</w:t>
      </w:r>
      <w:r w:rsidR="00BE5FD2" w:rsidRPr="00FD7D44">
        <w:t>win for customers</w:t>
      </w:r>
      <w:r w:rsidR="00FA25A0">
        <w:t xml:space="preserve"> and PSE</w:t>
      </w:r>
      <w:r w:rsidR="00135A1A">
        <w:t>.</w:t>
      </w:r>
    </w:p>
    <w:p w:rsidR="008E6261" w:rsidRPr="00DF4828" w:rsidRDefault="008E6261" w:rsidP="00DF4828">
      <w:pPr>
        <w:pStyle w:val="question"/>
      </w:pPr>
      <w:r w:rsidRPr="00DF4828">
        <w:t>Q.</w:t>
      </w:r>
      <w:r w:rsidRPr="00DF4828">
        <w:tab/>
      </w:r>
      <w:r w:rsidR="00135A1A">
        <w:t>C</w:t>
      </w:r>
      <w:r w:rsidRPr="00DF4828">
        <w:t>an you summarize the cost efficiencies that PSE has produced in respons</w:t>
      </w:r>
      <w:r w:rsidR="00172C32" w:rsidRPr="00DF4828">
        <w:t>e</w:t>
      </w:r>
      <w:r w:rsidRPr="00DF4828">
        <w:t xml:space="preserve"> to the rate plan?</w:t>
      </w:r>
    </w:p>
    <w:p w:rsidR="00135A1A" w:rsidRDefault="008E6261" w:rsidP="00135A1A">
      <w:pPr>
        <w:pStyle w:val="answer"/>
      </w:pPr>
      <w:r>
        <w:t>A.</w:t>
      </w:r>
      <w:r>
        <w:tab/>
        <w:t>Yes</w:t>
      </w:r>
      <w:r w:rsidR="00583498">
        <w:t>.</w:t>
      </w:r>
      <w:r w:rsidR="00135A1A">
        <w:t xml:space="preserve"> </w:t>
      </w:r>
      <w:r w:rsidR="00A06EF6">
        <w:t>PSE has achieved the following cost savings over the course of the rate plan:</w:t>
      </w:r>
    </w:p>
    <w:p w:rsidR="00213A31" w:rsidRDefault="005B43EE" w:rsidP="00213A31">
      <w:pPr>
        <w:pStyle w:val="answer"/>
        <w:spacing w:before="0" w:after="280" w:line="240" w:lineRule="auto"/>
        <w:ind w:left="2160" w:right="720"/>
      </w:pPr>
      <w:r>
        <w:t>(</w:t>
      </w:r>
      <w:r w:rsidR="00583498">
        <w:t>i)</w:t>
      </w:r>
      <w:r w:rsidR="00213A31">
        <w:tab/>
      </w:r>
      <w:r w:rsidR="008D32B8">
        <w:t>PSE estimates that it saved approximately $136</w:t>
      </w:r>
      <w:r w:rsidR="00213A31">
        <w:t> </w:t>
      </w:r>
      <w:r w:rsidR="008D32B8">
        <w:t>million against historical operational spending trends through its efforts to limit growth in operational spending to the rate of customer growth</w:t>
      </w:r>
      <w:r w:rsidR="00213A31">
        <w:t>,</w:t>
      </w:r>
      <w:r w:rsidR="008D32B8">
        <w:t xml:space="preserve"> </w:t>
      </w:r>
      <w:r w:rsidR="00213A31">
        <w:t xml:space="preserve">as </w:t>
      </w:r>
      <w:r>
        <w:t>reflected</w:t>
      </w:r>
      <w:r w:rsidR="00213A31">
        <w:t xml:space="preserve"> in the </w:t>
      </w:r>
      <w:proofErr w:type="spellStart"/>
      <w:r w:rsidR="00213A31">
        <w:t>Prefiled</w:t>
      </w:r>
      <w:proofErr w:type="spellEnd"/>
      <w:r w:rsidR="00213A31">
        <w:t xml:space="preserve"> Direct Testimony of </w:t>
      </w:r>
      <w:r w:rsidR="008D32B8">
        <w:t>Kath</w:t>
      </w:r>
      <w:r w:rsidR="00213A31">
        <w:t>e</w:t>
      </w:r>
      <w:r w:rsidR="008D32B8">
        <w:t xml:space="preserve">rine </w:t>
      </w:r>
      <w:r w:rsidR="00213A31">
        <w:t xml:space="preserve">J. </w:t>
      </w:r>
      <w:r w:rsidR="008D32B8">
        <w:t>Barnard</w:t>
      </w:r>
      <w:r w:rsidR="00213A31">
        <w:t>, Exhibit No. ___(KJB-1T)</w:t>
      </w:r>
      <w:r w:rsidR="008D32B8">
        <w:t>.</w:t>
      </w:r>
    </w:p>
    <w:p w:rsidR="00213A31" w:rsidRDefault="00583498" w:rsidP="00213A31">
      <w:pPr>
        <w:pStyle w:val="answer"/>
        <w:spacing w:before="0" w:after="280" w:line="240" w:lineRule="auto"/>
        <w:ind w:left="2160" w:right="720"/>
      </w:pPr>
      <w:r>
        <w:t>(ii)</w:t>
      </w:r>
      <w:r w:rsidR="00213A31">
        <w:tab/>
      </w:r>
      <w:r w:rsidR="008D32B8">
        <w:t>PSE saved $19.</w:t>
      </w:r>
      <w:r w:rsidR="00387163">
        <w:t>3</w:t>
      </w:r>
      <w:r w:rsidR="00213A31">
        <w:t> </w:t>
      </w:r>
      <w:r w:rsidR="008D32B8">
        <w:t xml:space="preserve">million annually through </w:t>
      </w:r>
      <w:proofErr w:type="spellStart"/>
      <w:r w:rsidR="008D32B8">
        <w:t>refinancings</w:t>
      </w:r>
      <w:proofErr w:type="spellEnd"/>
      <w:r w:rsidR="008D32B8">
        <w:t xml:space="preserve"> and managing its capital structure.</w:t>
      </w:r>
    </w:p>
    <w:p w:rsidR="00213A31" w:rsidRDefault="00172C32" w:rsidP="00213A31">
      <w:pPr>
        <w:pStyle w:val="answer"/>
        <w:spacing w:before="0" w:after="280" w:line="240" w:lineRule="auto"/>
        <w:ind w:left="2160" w:right="720"/>
      </w:pPr>
      <w:r>
        <w:t>(i</w:t>
      </w:r>
      <w:r w:rsidR="005B43EE">
        <w:t>ii</w:t>
      </w:r>
      <w:r>
        <w:t>)</w:t>
      </w:r>
      <w:r w:rsidR="00213A31">
        <w:tab/>
      </w:r>
      <w:r w:rsidR="008D32B8">
        <w:t>PSE saved $23.7</w:t>
      </w:r>
      <w:r w:rsidR="00213A31">
        <w:t> </w:t>
      </w:r>
      <w:r w:rsidR="008D32B8">
        <w:t>million through its voluntary bonus depreciation elections and resulting rate base reductions, which will continue into the future.</w:t>
      </w:r>
    </w:p>
    <w:p w:rsidR="00213A31" w:rsidRDefault="00172C32" w:rsidP="00213A31">
      <w:pPr>
        <w:pStyle w:val="answer"/>
        <w:spacing w:before="0" w:after="280" w:line="240" w:lineRule="auto"/>
        <w:ind w:left="2160" w:right="720"/>
      </w:pPr>
      <w:r>
        <w:t>(</w:t>
      </w:r>
      <w:r w:rsidR="005B43EE">
        <w:t>i</w:t>
      </w:r>
      <w:r>
        <w:t>v)</w:t>
      </w:r>
      <w:r w:rsidR="00213A31">
        <w:tab/>
      </w:r>
      <w:r w:rsidR="008D32B8">
        <w:t>PSE provided customers $65.9</w:t>
      </w:r>
      <w:r w:rsidR="00213A31">
        <w:t> </w:t>
      </w:r>
      <w:r w:rsidR="008D32B8">
        <w:t xml:space="preserve">million in interest credits through September 2016 associated with the Lower Snake River </w:t>
      </w:r>
      <w:r w:rsidR="001114E6">
        <w:t>w</w:t>
      </w:r>
      <w:r w:rsidR="008D32B8">
        <w:t>ind</w:t>
      </w:r>
      <w:r w:rsidR="001114E6">
        <w:t xml:space="preserve"> </w:t>
      </w:r>
      <w:r w:rsidR="008D32B8">
        <w:t>farm Treasury Grants related to the elimination of normalization requirements for Treasury Grants, an effort which also made it possible to repurpose Treasury Grants to offset future Colstrip Units</w:t>
      </w:r>
      <w:r w:rsidR="00213A31">
        <w:t> </w:t>
      </w:r>
      <w:r w:rsidR="008D32B8">
        <w:t>1</w:t>
      </w:r>
      <w:r w:rsidR="00213A31">
        <w:t> </w:t>
      </w:r>
      <w:r w:rsidR="008D32B8">
        <w:t>&amp;</w:t>
      </w:r>
      <w:r w:rsidR="00213A31">
        <w:t> </w:t>
      </w:r>
      <w:r w:rsidR="008D32B8">
        <w:t xml:space="preserve">2 decommissioning and remediation. </w:t>
      </w:r>
      <w:r w:rsidR="00213A31">
        <w:t>(</w:t>
      </w:r>
      <w:r w:rsidR="008D32B8">
        <w:t>It should be noted that similar benefits exist with respect to Wild Horse Wind</w:t>
      </w:r>
      <w:r w:rsidR="00FA25A0">
        <w:t xml:space="preserve"> </w:t>
      </w:r>
      <w:r w:rsidR="008D32B8">
        <w:t>farm Treasury Grants in the amount of $8.1</w:t>
      </w:r>
      <w:r w:rsidR="00213A31">
        <w:t> </w:t>
      </w:r>
      <w:r w:rsidR="008D32B8">
        <w:t>million.</w:t>
      </w:r>
      <w:r w:rsidR="00213A31">
        <w:t>)</w:t>
      </w:r>
    </w:p>
    <w:p w:rsidR="00213A31" w:rsidRDefault="008C13EB" w:rsidP="00213A31">
      <w:pPr>
        <w:pStyle w:val="answer"/>
        <w:spacing w:before="0" w:after="280" w:line="240" w:lineRule="auto"/>
        <w:ind w:left="2160" w:right="720"/>
      </w:pPr>
      <w:r>
        <w:t>(v)</w:t>
      </w:r>
      <w:r w:rsidR="00213A31">
        <w:tab/>
      </w:r>
      <w:r w:rsidR="008D32B8">
        <w:t>PSE will save customers an estimated $71.2</w:t>
      </w:r>
      <w:r w:rsidR="00213A31">
        <w:t> </w:t>
      </w:r>
      <w:r w:rsidR="008D32B8">
        <w:t>million nominally and $49.5</w:t>
      </w:r>
      <w:r w:rsidR="00213A31">
        <w:t> </w:t>
      </w:r>
      <w:r w:rsidR="00064654">
        <w:t xml:space="preserve">million </w:t>
      </w:r>
      <w:r w:rsidR="008D32B8">
        <w:t>on a net present value basis through the repurposing of certain Treasury Grants and Production Tax Credits to offset future Colstrip Units</w:t>
      </w:r>
      <w:r w:rsidR="00213A31">
        <w:t> </w:t>
      </w:r>
      <w:r w:rsidR="008D32B8">
        <w:t>1</w:t>
      </w:r>
      <w:r w:rsidR="00213A31">
        <w:t> </w:t>
      </w:r>
      <w:r w:rsidR="008D32B8">
        <w:t>&amp;</w:t>
      </w:r>
      <w:r w:rsidR="00213A31">
        <w:t> </w:t>
      </w:r>
      <w:r w:rsidR="008D32B8">
        <w:t>2 decommissioning and remediation costs.</w:t>
      </w:r>
    </w:p>
    <w:p w:rsidR="006A4218" w:rsidRDefault="006A4218" w:rsidP="00213A31">
      <w:pPr>
        <w:pStyle w:val="answer"/>
        <w:spacing w:before="0" w:after="280" w:line="240" w:lineRule="auto"/>
        <w:ind w:left="2160" w:right="720"/>
      </w:pPr>
      <w:r>
        <w:t>(vi)</w:t>
      </w:r>
      <w:r w:rsidR="00213A31">
        <w:tab/>
      </w:r>
      <w:r w:rsidR="008D32B8">
        <w:t xml:space="preserve">PSE’s decision to join the CAISO </w:t>
      </w:r>
      <w:r w:rsidR="00213A31">
        <w:t>Energy I</w:t>
      </w:r>
      <w:r w:rsidR="008D32B8">
        <w:t xml:space="preserve">mbalance </w:t>
      </w:r>
      <w:r w:rsidR="00213A31">
        <w:t>M</w:t>
      </w:r>
      <w:r w:rsidR="008D32B8">
        <w:t>arket</w:t>
      </w:r>
      <w:r w:rsidR="00213A31">
        <w:t xml:space="preserve"> </w:t>
      </w:r>
      <w:r w:rsidR="008D32B8">
        <w:t>will provide future power cost savings</w:t>
      </w:r>
      <w:r w:rsidR="00213A31">
        <w:t>,</w:t>
      </w:r>
      <w:r w:rsidR="00213A31" w:rsidRPr="00213A31">
        <w:t xml:space="preserve"> </w:t>
      </w:r>
      <w:r w:rsidR="00213A31">
        <w:t xml:space="preserve">as discussed in the </w:t>
      </w:r>
      <w:proofErr w:type="spellStart"/>
      <w:r w:rsidR="00213A31">
        <w:t>Prefiled</w:t>
      </w:r>
      <w:proofErr w:type="spellEnd"/>
      <w:r w:rsidR="00213A31">
        <w:t xml:space="preserve"> Direct Testimony of</w:t>
      </w:r>
      <w:r w:rsidR="008D32B8">
        <w:t xml:space="preserve"> David E. Mills</w:t>
      </w:r>
      <w:r w:rsidR="00213A31">
        <w:t>, Exhibit No. ___(DEM-1T)</w:t>
      </w:r>
      <w:r w:rsidR="00EB7D03">
        <w:t>.</w:t>
      </w:r>
    </w:p>
    <w:p w:rsidR="005B43EE" w:rsidRDefault="005B43EE" w:rsidP="005B43EE">
      <w:pPr>
        <w:pStyle w:val="answer"/>
        <w:spacing w:before="0" w:after="280" w:line="240" w:lineRule="auto"/>
        <w:ind w:left="2160" w:right="720"/>
      </w:pPr>
      <w:r>
        <w:lastRenderedPageBreak/>
        <w:t>(vii)</w:t>
      </w:r>
      <w:r>
        <w:tab/>
        <w:t xml:space="preserve">As discussed in the </w:t>
      </w:r>
      <w:proofErr w:type="spellStart"/>
      <w:r>
        <w:t>Prefiled</w:t>
      </w:r>
      <w:proofErr w:type="spellEnd"/>
      <w:r>
        <w:t xml:space="preserve"> Direct Testimony of Tom M. Hunt, Exhibit No. ___(TMH-1T), PSE restructured certain benefit plans. The operating expense portion of those savings are included in the $136 million discussed in (i) above. The capital component is “netted” in PSE’s rate base in this proceeding. PSE expects these savings to continue into the future as well.</w:t>
      </w:r>
    </w:p>
    <w:p w:rsidR="00B73329" w:rsidRPr="00B06379" w:rsidRDefault="00B73329" w:rsidP="007A0BD8">
      <w:pPr>
        <w:pStyle w:val="Heading1"/>
      </w:pPr>
      <w:bookmarkStart w:id="21" w:name="_Toc471463217"/>
      <w:r>
        <w:t>V</w:t>
      </w:r>
      <w:r w:rsidR="007A0BD8">
        <w:t>I</w:t>
      </w:r>
      <w:r>
        <w:t>.</w:t>
      </w:r>
      <w:r w:rsidR="00B06379">
        <w:tab/>
      </w:r>
      <w:r>
        <w:t>COST OF EQUITY AND</w:t>
      </w:r>
      <w:r w:rsidR="00B06379">
        <w:br/>
      </w:r>
      <w:r>
        <w:t>EQUITY IN CAPITAL STRUCTURE</w:t>
      </w:r>
      <w:bookmarkEnd w:id="21"/>
    </w:p>
    <w:p w:rsidR="00B73329" w:rsidRDefault="00B73329" w:rsidP="00B73329">
      <w:pPr>
        <w:pStyle w:val="question"/>
      </w:pPr>
      <w:r>
        <w:t>Q.</w:t>
      </w:r>
      <w:r>
        <w:tab/>
        <w:t>What is PSE’s requested return on equity in this proceeding?</w:t>
      </w:r>
    </w:p>
    <w:p w:rsidR="00B73329" w:rsidRPr="009276E8" w:rsidRDefault="00B73329" w:rsidP="009276E8">
      <w:pPr>
        <w:pStyle w:val="answer"/>
      </w:pPr>
      <w:r>
        <w:t>A.</w:t>
      </w:r>
      <w:r>
        <w:tab/>
        <w:t>PSE’s requested return on equity in t</w:t>
      </w:r>
      <w:r w:rsidR="00213A31">
        <w:t>his proceeding is 9.80 percent.</w:t>
      </w:r>
    </w:p>
    <w:p w:rsidR="00B73329" w:rsidRDefault="00B73329" w:rsidP="00B73329">
      <w:pPr>
        <w:pStyle w:val="question"/>
      </w:pPr>
      <w:r>
        <w:t>Q.</w:t>
      </w:r>
      <w:r>
        <w:tab/>
        <w:t>Has PSE prepared an analysis of the projected cost of PSE equity during the rate year?</w:t>
      </w:r>
    </w:p>
    <w:p w:rsidR="00B73329" w:rsidRDefault="00B73329" w:rsidP="009276E8">
      <w:pPr>
        <w:pStyle w:val="answer"/>
      </w:pPr>
      <w:r>
        <w:t>A.</w:t>
      </w:r>
      <w:r>
        <w:rPr>
          <w:i/>
        </w:rPr>
        <w:tab/>
      </w:r>
      <w:r>
        <w:t>Yes. PSE has retained the services of Dr. Roger A. Morin to prepare an analysis of the projected cost of PSE equity during the rate yea</w:t>
      </w:r>
      <w:r w:rsidRPr="00BE2462">
        <w:t>r</w:t>
      </w:r>
      <w:r w:rsidRPr="00971B0E">
        <w:t>.</w:t>
      </w:r>
      <w:r w:rsidR="00F07638">
        <w:t xml:space="preserve"> </w:t>
      </w:r>
      <w:r>
        <w:t>Please see Exhibit No. ___(RAM-1T). PSE agrees with Dr. Morin’s analysis and conclusion that 9.80</w:t>
      </w:r>
      <w:r w:rsidR="00213A31">
        <w:t> </w:t>
      </w:r>
      <w:r>
        <w:t>percent is a fair and reasonable return on common equity.</w:t>
      </w:r>
    </w:p>
    <w:p w:rsidR="00B73329" w:rsidRDefault="00B73329" w:rsidP="00B73329">
      <w:pPr>
        <w:pStyle w:val="question"/>
      </w:pPr>
      <w:r>
        <w:t>Q.</w:t>
      </w:r>
      <w:r>
        <w:tab/>
        <w:t>What is the equity ratio in the capital structure that PSE is requesting in this proceeding?</w:t>
      </w:r>
    </w:p>
    <w:p w:rsidR="00B73329" w:rsidRPr="00705002" w:rsidRDefault="00B73329" w:rsidP="009276E8">
      <w:pPr>
        <w:pStyle w:val="answer"/>
      </w:pPr>
      <w:r w:rsidRPr="00971B0E">
        <w:t>A.</w:t>
      </w:r>
      <w:r w:rsidRPr="00971B0E">
        <w:tab/>
        <w:t>PSE’s requested equity ratio in this proceeding is 48.5 percent.</w:t>
      </w:r>
    </w:p>
    <w:p w:rsidR="00B73329" w:rsidRDefault="00B73329" w:rsidP="00B73329">
      <w:pPr>
        <w:pStyle w:val="question"/>
      </w:pPr>
      <w:r>
        <w:t>Q.</w:t>
      </w:r>
      <w:r>
        <w:tab/>
        <w:t>Is the proposed capital structure consisting of 48.5 percent equity appropriate for PSE?</w:t>
      </w:r>
    </w:p>
    <w:p w:rsidR="009D6190" w:rsidRDefault="00B73329" w:rsidP="009D6190">
      <w:pPr>
        <w:pStyle w:val="answer"/>
      </w:pPr>
      <w:r>
        <w:t>A.</w:t>
      </w:r>
      <w:r>
        <w:tab/>
        <w:t>Yes, the proposed capital structure consisting of 48.5 percent equity is appropriate for PSE for several reasons.</w:t>
      </w:r>
    </w:p>
    <w:p w:rsidR="009D6190" w:rsidRDefault="00B73329" w:rsidP="00A9653F">
      <w:pPr>
        <w:pStyle w:val="answer"/>
        <w:ind w:firstLine="0"/>
      </w:pPr>
      <w:r>
        <w:lastRenderedPageBreak/>
        <w:t>First, a capital structure that contains 48.5 percent equity is lower than the actual capital structure that PSE maintained during the test year. PSE’s average actual capital structure</w:t>
      </w:r>
      <w:r w:rsidRPr="00F12F18">
        <w:t xml:space="preserve"> </w:t>
      </w:r>
      <w:r>
        <w:t xml:space="preserve">during the test year, calculated using an average of the monthly averages methodology, contained </w:t>
      </w:r>
      <w:r w:rsidRPr="00D053BC">
        <w:t>48.9</w:t>
      </w:r>
      <w:r>
        <w:t> percent equity.</w:t>
      </w:r>
    </w:p>
    <w:p w:rsidR="009D6190" w:rsidRDefault="00B73329" w:rsidP="00A9653F">
      <w:pPr>
        <w:pStyle w:val="answer"/>
        <w:ind w:firstLine="0"/>
      </w:pPr>
      <w:r>
        <w:t xml:space="preserve">Second, PSE considers a capital structure that includes 48.5 percent equity to be </w:t>
      </w:r>
      <w:r w:rsidR="00A9653F">
        <w:t xml:space="preserve">a </w:t>
      </w:r>
      <w:r>
        <w:t>reasonable level of equity to attract debt investment at a reasonable cost. PSE seeks the financial strength to maintain its current level of credit ratings and to have the flexibility to access the capital markets during varying financial market conditi</w:t>
      </w:r>
      <w:r w:rsidR="009276E8">
        <w:t>ons.</w:t>
      </w:r>
    </w:p>
    <w:p w:rsidR="009D6190" w:rsidRDefault="00B73329" w:rsidP="00A9653F">
      <w:pPr>
        <w:pStyle w:val="answer"/>
        <w:ind w:firstLine="0"/>
      </w:pPr>
      <w:r>
        <w:t>Third, a capital structure that contains 48.5 percent equity contains a lower equity ratio than the average equity ratios for natural gas and electric utilities approved by regulatory bodies across the country in the test year period for this proceeding. P</w:t>
      </w:r>
      <w:r w:rsidR="00AB5576">
        <w:t>lease see Exhibi</w:t>
      </w:r>
      <w:r w:rsidR="009E2ED1">
        <w:t>t No. ___(DAD-5</w:t>
      </w:r>
      <w:r>
        <w:t xml:space="preserve">), which shows that the average equity ratios for natural gas and electric utilities approved by regulatory bodies across the country </w:t>
      </w:r>
      <w:r w:rsidRPr="009C15AC">
        <w:t xml:space="preserve">from </w:t>
      </w:r>
      <w:r w:rsidRPr="00D053BC">
        <w:t>October 2015 through September 2016</w:t>
      </w:r>
      <w:r w:rsidRPr="009C15AC">
        <w:t xml:space="preserve"> was </w:t>
      </w:r>
      <w:r w:rsidRPr="00D053BC">
        <w:t>50.6</w:t>
      </w:r>
      <w:r w:rsidRPr="009C15AC">
        <w:t xml:space="preserve"> percent. Thus, PSE’s</w:t>
      </w:r>
      <w:r w:rsidRPr="00A81825">
        <w:t xml:space="preserve"> requested capital structure with an equity ratio of 48.5 percent is </w:t>
      </w:r>
      <w:r w:rsidRPr="00D053BC">
        <w:t>210</w:t>
      </w:r>
      <w:r w:rsidRPr="009C15AC">
        <w:t xml:space="preserve"> basis points lower than the average equity ratio of </w:t>
      </w:r>
      <w:r w:rsidRPr="00D053BC">
        <w:t>50.6</w:t>
      </w:r>
      <w:r w:rsidRPr="009C15AC">
        <w:t xml:space="preserve"> percent approved by regulatory bodies across the country for natural gas and electric utilities from </w:t>
      </w:r>
      <w:r w:rsidRPr="00D053BC">
        <w:t>October 2015 through September 2016</w:t>
      </w:r>
      <w:r w:rsidRPr="009C15AC">
        <w:t>.</w:t>
      </w:r>
    </w:p>
    <w:p w:rsidR="00B73329" w:rsidRPr="009276E8" w:rsidRDefault="00B73329" w:rsidP="00A9653F">
      <w:pPr>
        <w:pStyle w:val="answer"/>
        <w:ind w:firstLine="0"/>
      </w:pPr>
      <w:r w:rsidRPr="00D37337">
        <w:t>Fourth, PSE’s requested capital structure that includes 48</w:t>
      </w:r>
      <w:r>
        <w:t>.5</w:t>
      </w:r>
      <w:r w:rsidRPr="00D37337">
        <w:t xml:space="preserve"> percent equity contains a lower equity ratio than the average authorized equity ratio of </w:t>
      </w:r>
      <w:r>
        <w:t>49</w:t>
      </w:r>
      <w:r w:rsidRPr="00971B0E">
        <w:t>.</w:t>
      </w:r>
      <w:r w:rsidRPr="000D16C8">
        <w:t>6 percent</w:t>
      </w:r>
      <w:r w:rsidRPr="00D37337">
        <w:t xml:space="preserve"> for the comparable companies identified in the </w:t>
      </w:r>
      <w:proofErr w:type="spellStart"/>
      <w:r w:rsidRPr="00D37337">
        <w:t>Prefiled</w:t>
      </w:r>
      <w:proofErr w:type="spellEnd"/>
      <w:r w:rsidRPr="00D37337">
        <w:t xml:space="preserve"> Direct Testimony of Dr.</w:t>
      </w:r>
      <w:r>
        <w:t> </w:t>
      </w:r>
      <w:r w:rsidRPr="00D37337">
        <w:t>Roger A. Morin, Exhibit No. ___(RAM-1T).</w:t>
      </w:r>
      <w:r>
        <w:t xml:space="preserve"> Please see Exhibit </w:t>
      </w:r>
      <w:r>
        <w:lastRenderedPageBreak/>
        <w:t>No. ___(RAM-11</w:t>
      </w:r>
      <w:r w:rsidRPr="00D37337">
        <w:t>) for the authorized equity ratios of the comparable companies in PSE’s proxy group.</w:t>
      </w:r>
    </w:p>
    <w:p w:rsidR="00B73329" w:rsidRDefault="00B73329" w:rsidP="00B73329">
      <w:pPr>
        <w:pStyle w:val="question"/>
      </w:pPr>
      <w:r>
        <w:t>Q.</w:t>
      </w:r>
      <w:r>
        <w:tab/>
        <w:t>What was PSE’s actual capital structure during the test year?</w:t>
      </w:r>
    </w:p>
    <w:p w:rsidR="00B73329" w:rsidRDefault="00B73329" w:rsidP="00B73329">
      <w:pPr>
        <w:pStyle w:val="answer"/>
      </w:pPr>
      <w:r>
        <w:t>A.</w:t>
      </w:r>
      <w:r>
        <w:tab/>
        <w:t xml:space="preserve">PSE’s average capital structure (calculated using an average of the monthly averages methodology) during the test year </w:t>
      </w:r>
      <w:r w:rsidRPr="009C15AC">
        <w:t xml:space="preserve">included a </w:t>
      </w:r>
      <w:r w:rsidRPr="00D053BC">
        <w:t>48.9</w:t>
      </w:r>
      <w:r w:rsidRPr="009C15AC">
        <w:t> </w:t>
      </w:r>
      <w:r>
        <w:t xml:space="preserve">percent </w:t>
      </w:r>
      <w:r w:rsidR="00AB5576">
        <w:t>equity ratio, as show in Table 6</w:t>
      </w:r>
      <w:r>
        <w:t xml:space="preserve"> below:</w:t>
      </w:r>
    </w:p>
    <w:p w:rsidR="00B73329" w:rsidRPr="00D053BC" w:rsidRDefault="00AB5576" w:rsidP="00B73329">
      <w:pPr>
        <w:keepNext/>
        <w:keepLines/>
        <w:widowControl w:val="0"/>
        <w:spacing w:after="80"/>
        <w:jc w:val="center"/>
        <w:rPr>
          <w:b/>
          <w:szCs w:val="20"/>
        </w:rPr>
      </w:pPr>
      <w:r>
        <w:rPr>
          <w:b/>
          <w:szCs w:val="20"/>
        </w:rPr>
        <w:t>Table 6</w:t>
      </w:r>
      <w:r w:rsidR="00B73329" w:rsidRPr="00D053BC">
        <w:rPr>
          <w:b/>
          <w:szCs w:val="20"/>
        </w:rPr>
        <w:t xml:space="preserve"> Actual Test Year Capital Structure</w:t>
      </w:r>
    </w:p>
    <w:tbl>
      <w:tblPr>
        <w:tblW w:w="0" w:type="auto"/>
        <w:jc w:val="center"/>
        <w:tblLayout w:type="fixed"/>
        <w:tblLook w:val="0000" w:firstRow="0" w:lastRow="0" w:firstColumn="0" w:lastColumn="0" w:noHBand="0" w:noVBand="0"/>
      </w:tblPr>
      <w:tblGrid>
        <w:gridCol w:w="2520"/>
        <w:gridCol w:w="2610"/>
      </w:tblGrid>
      <w:tr w:rsidR="00B73329" w:rsidRPr="00D619E1" w:rsidTr="0089057D">
        <w:trPr>
          <w:jc w:val="center"/>
        </w:trPr>
        <w:tc>
          <w:tcPr>
            <w:tcW w:w="2520" w:type="dxa"/>
            <w:tcBorders>
              <w:bottom w:val="single" w:sz="4" w:space="0" w:color="auto"/>
            </w:tcBorders>
            <w:shd w:val="clear" w:color="auto" w:fill="auto"/>
            <w:vAlign w:val="center"/>
          </w:tcPr>
          <w:p w:rsidR="00B73329" w:rsidRPr="00D053BC" w:rsidRDefault="00B73329" w:rsidP="0089057D">
            <w:pPr>
              <w:keepNext/>
              <w:keepLines/>
              <w:widowControl w:val="0"/>
              <w:spacing w:before="60" w:after="60"/>
              <w:jc w:val="center"/>
              <w:rPr>
                <w:b/>
                <w:szCs w:val="20"/>
                <w:lang w:eastAsia="zh-CN"/>
              </w:rPr>
            </w:pPr>
            <w:r w:rsidRPr="00D053BC">
              <w:rPr>
                <w:b/>
                <w:szCs w:val="20"/>
                <w:lang w:eastAsia="zh-CN"/>
              </w:rPr>
              <w:t>Capital Component</w:t>
            </w:r>
          </w:p>
        </w:tc>
        <w:tc>
          <w:tcPr>
            <w:tcW w:w="2610" w:type="dxa"/>
            <w:tcBorders>
              <w:bottom w:val="single" w:sz="4" w:space="0" w:color="auto"/>
            </w:tcBorders>
            <w:shd w:val="clear" w:color="auto" w:fill="auto"/>
            <w:vAlign w:val="center"/>
          </w:tcPr>
          <w:p w:rsidR="00B73329" w:rsidRPr="00D053BC" w:rsidRDefault="00B73329" w:rsidP="0089057D">
            <w:pPr>
              <w:keepNext/>
              <w:keepLines/>
              <w:widowControl w:val="0"/>
              <w:spacing w:before="60" w:after="60"/>
              <w:jc w:val="center"/>
              <w:rPr>
                <w:b/>
                <w:szCs w:val="20"/>
                <w:lang w:eastAsia="zh-CN"/>
              </w:rPr>
            </w:pPr>
            <w:r w:rsidRPr="00D053BC">
              <w:rPr>
                <w:b/>
                <w:szCs w:val="20"/>
                <w:lang w:eastAsia="zh-CN"/>
              </w:rPr>
              <w:t>Test Year (Average)</w:t>
            </w:r>
          </w:p>
        </w:tc>
      </w:tr>
      <w:tr w:rsidR="00B73329" w:rsidRPr="00D619E1" w:rsidTr="0089057D">
        <w:trPr>
          <w:jc w:val="center"/>
        </w:trPr>
        <w:tc>
          <w:tcPr>
            <w:tcW w:w="2520" w:type="dxa"/>
            <w:tcBorders>
              <w:top w:val="single" w:sz="4" w:space="0" w:color="auto"/>
            </w:tcBorders>
          </w:tcPr>
          <w:p w:rsidR="00B73329" w:rsidRPr="00D053BC" w:rsidRDefault="00B73329" w:rsidP="0089057D">
            <w:pPr>
              <w:keepNext/>
              <w:keepLines/>
              <w:widowControl w:val="0"/>
              <w:spacing w:before="60" w:after="60"/>
              <w:ind w:left="297"/>
              <w:rPr>
                <w:szCs w:val="20"/>
                <w:lang w:eastAsia="zh-CN"/>
              </w:rPr>
            </w:pPr>
            <w:r w:rsidRPr="00D053BC">
              <w:rPr>
                <w:szCs w:val="20"/>
                <w:lang w:eastAsia="zh-CN"/>
              </w:rPr>
              <w:t>Short Term Debt</w:t>
            </w:r>
          </w:p>
        </w:tc>
        <w:tc>
          <w:tcPr>
            <w:tcW w:w="2610" w:type="dxa"/>
            <w:tcBorders>
              <w:top w:val="single" w:sz="4" w:space="0" w:color="auto"/>
            </w:tcBorders>
          </w:tcPr>
          <w:p w:rsidR="00B73329" w:rsidRPr="00D053BC" w:rsidRDefault="00B73329" w:rsidP="0089057D">
            <w:pPr>
              <w:keepNext/>
              <w:keepLines/>
              <w:widowControl w:val="0"/>
              <w:spacing w:before="60" w:after="60"/>
              <w:ind w:right="837"/>
              <w:jc w:val="right"/>
              <w:rPr>
                <w:szCs w:val="20"/>
                <w:lang w:eastAsia="zh-CN"/>
              </w:rPr>
            </w:pPr>
            <w:r w:rsidRPr="00D053BC">
              <w:rPr>
                <w:szCs w:val="20"/>
                <w:lang w:eastAsia="zh-CN"/>
              </w:rPr>
              <w:t>0.8%</w:t>
            </w:r>
          </w:p>
        </w:tc>
      </w:tr>
      <w:tr w:rsidR="00B73329" w:rsidRPr="00D619E1" w:rsidTr="0089057D">
        <w:trPr>
          <w:jc w:val="center"/>
        </w:trPr>
        <w:tc>
          <w:tcPr>
            <w:tcW w:w="2520" w:type="dxa"/>
          </w:tcPr>
          <w:p w:rsidR="00B73329" w:rsidRPr="00D053BC" w:rsidRDefault="00B73329" w:rsidP="0089057D">
            <w:pPr>
              <w:keepNext/>
              <w:keepLines/>
              <w:widowControl w:val="0"/>
              <w:spacing w:before="60" w:after="60"/>
              <w:ind w:left="297"/>
              <w:rPr>
                <w:szCs w:val="20"/>
                <w:lang w:eastAsia="zh-CN"/>
              </w:rPr>
            </w:pPr>
            <w:r w:rsidRPr="00D053BC">
              <w:rPr>
                <w:szCs w:val="20"/>
                <w:lang w:eastAsia="zh-CN"/>
              </w:rPr>
              <w:t>Long Term Debt</w:t>
            </w:r>
          </w:p>
        </w:tc>
        <w:tc>
          <w:tcPr>
            <w:tcW w:w="2610" w:type="dxa"/>
          </w:tcPr>
          <w:p w:rsidR="00B73329" w:rsidRPr="00D053BC" w:rsidRDefault="00B73329" w:rsidP="0089057D">
            <w:pPr>
              <w:keepNext/>
              <w:keepLines/>
              <w:widowControl w:val="0"/>
              <w:spacing w:before="60" w:after="60"/>
              <w:ind w:right="837"/>
              <w:jc w:val="right"/>
              <w:rPr>
                <w:szCs w:val="20"/>
                <w:u w:val="single"/>
                <w:lang w:eastAsia="zh-CN"/>
              </w:rPr>
            </w:pPr>
            <w:r w:rsidRPr="00D053BC">
              <w:rPr>
                <w:szCs w:val="20"/>
                <w:u w:val="single"/>
                <w:lang w:eastAsia="zh-CN"/>
              </w:rPr>
              <w:t>50.3%</w:t>
            </w:r>
          </w:p>
        </w:tc>
      </w:tr>
      <w:tr w:rsidR="00B73329" w:rsidRPr="00D619E1" w:rsidTr="0089057D">
        <w:trPr>
          <w:jc w:val="center"/>
        </w:trPr>
        <w:tc>
          <w:tcPr>
            <w:tcW w:w="2520" w:type="dxa"/>
          </w:tcPr>
          <w:p w:rsidR="00B73329" w:rsidRPr="00D053BC" w:rsidRDefault="00B73329" w:rsidP="0089057D">
            <w:pPr>
              <w:keepNext/>
              <w:keepLines/>
              <w:widowControl w:val="0"/>
              <w:spacing w:before="60" w:after="60"/>
              <w:rPr>
                <w:szCs w:val="20"/>
                <w:lang w:eastAsia="zh-CN"/>
              </w:rPr>
            </w:pPr>
            <w:r w:rsidRPr="00D053BC">
              <w:rPr>
                <w:szCs w:val="20"/>
                <w:lang w:eastAsia="zh-CN"/>
              </w:rPr>
              <w:t>Total Debt</w:t>
            </w:r>
          </w:p>
        </w:tc>
        <w:tc>
          <w:tcPr>
            <w:tcW w:w="2610" w:type="dxa"/>
          </w:tcPr>
          <w:p w:rsidR="00B73329" w:rsidRPr="00D053BC" w:rsidRDefault="00B73329" w:rsidP="0089057D">
            <w:pPr>
              <w:keepNext/>
              <w:keepLines/>
              <w:widowControl w:val="0"/>
              <w:spacing w:before="60" w:after="60"/>
              <w:ind w:right="837"/>
              <w:jc w:val="right"/>
              <w:rPr>
                <w:szCs w:val="20"/>
                <w:lang w:eastAsia="zh-CN"/>
              </w:rPr>
            </w:pPr>
            <w:r w:rsidRPr="00D053BC">
              <w:rPr>
                <w:szCs w:val="20"/>
                <w:lang w:eastAsia="zh-CN"/>
              </w:rPr>
              <w:t>51.1%</w:t>
            </w:r>
          </w:p>
        </w:tc>
      </w:tr>
      <w:tr w:rsidR="00B73329" w:rsidRPr="00D619E1" w:rsidTr="0089057D">
        <w:trPr>
          <w:jc w:val="center"/>
        </w:trPr>
        <w:tc>
          <w:tcPr>
            <w:tcW w:w="2520" w:type="dxa"/>
          </w:tcPr>
          <w:p w:rsidR="00B73329" w:rsidRPr="00D053BC" w:rsidRDefault="00B73329" w:rsidP="0089057D">
            <w:pPr>
              <w:keepNext/>
              <w:keepLines/>
              <w:widowControl w:val="0"/>
              <w:spacing w:before="60" w:after="60"/>
              <w:rPr>
                <w:szCs w:val="20"/>
                <w:lang w:eastAsia="zh-CN"/>
              </w:rPr>
            </w:pPr>
            <w:r w:rsidRPr="00D053BC">
              <w:rPr>
                <w:szCs w:val="20"/>
                <w:lang w:eastAsia="zh-CN"/>
              </w:rPr>
              <w:t>Common Equity</w:t>
            </w:r>
          </w:p>
        </w:tc>
        <w:tc>
          <w:tcPr>
            <w:tcW w:w="2610" w:type="dxa"/>
          </w:tcPr>
          <w:p w:rsidR="00B73329" w:rsidRPr="00D053BC" w:rsidRDefault="00B73329" w:rsidP="0089057D">
            <w:pPr>
              <w:keepNext/>
              <w:keepLines/>
              <w:widowControl w:val="0"/>
              <w:spacing w:before="60" w:after="60"/>
              <w:ind w:right="837"/>
              <w:jc w:val="right"/>
              <w:rPr>
                <w:szCs w:val="20"/>
                <w:lang w:eastAsia="zh-CN"/>
              </w:rPr>
            </w:pPr>
            <w:r w:rsidRPr="00D053BC">
              <w:rPr>
                <w:szCs w:val="20"/>
                <w:lang w:eastAsia="zh-CN"/>
              </w:rPr>
              <w:t>48.9%</w:t>
            </w:r>
          </w:p>
        </w:tc>
      </w:tr>
      <w:tr w:rsidR="00B73329" w:rsidRPr="00364039" w:rsidTr="0089057D">
        <w:trPr>
          <w:jc w:val="center"/>
        </w:trPr>
        <w:tc>
          <w:tcPr>
            <w:tcW w:w="2520" w:type="dxa"/>
          </w:tcPr>
          <w:p w:rsidR="00B73329" w:rsidRPr="00D053BC" w:rsidRDefault="00B73329" w:rsidP="0089057D">
            <w:pPr>
              <w:widowControl w:val="0"/>
              <w:spacing w:before="60" w:after="60"/>
              <w:rPr>
                <w:b/>
                <w:szCs w:val="20"/>
                <w:lang w:eastAsia="zh-CN"/>
              </w:rPr>
            </w:pPr>
            <w:r w:rsidRPr="00D053BC">
              <w:rPr>
                <w:b/>
                <w:szCs w:val="20"/>
                <w:lang w:eastAsia="zh-CN"/>
              </w:rPr>
              <w:t>Total Capitalization</w:t>
            </w:r>
          </w:p>
        </w:tc>
        <w:tc>
          <w:tcPr>
            <w:tcW w:w="2610" w:type="dxa"/>
          </w:tcPr>
          <w:p w:rsidR="00B73329" w:rsidRPr="00364039" w:rsidRDefault="00B73329" w:rsidP="0089057D">
            <w:pPr>
              <w:widowControl w:val="0"/>
              <w:spacing w:before="60" w:after="60"/>
              <w:ind w:right="837"/>
              <w:jc w:val="right"/>
              <w:rPr>
                <w:b/>
                <w:szCs w:val="20"/>
                <w:lang w:eastAsia="zh-CN"/>
              </w:rPr>
            </w:pPr>
            <w:r w:rsidRPr="00D053BC">
              <w:rPr>
                <w:b/>
                <w:szCs w:val="20"/>
                <w:lang w:eastAsia="zh-CN"/>
              </w:rPr>
              <w:t>100.0%</w:t>
            </w:r>
          </w:p>
        </w:tc>
      </w:tr>
    </w:tbl>
    <w:p w:rsidR="00B73329" w:rsidRDefault="00B73329" w:rsidP="009D6190">
      <w:pPr>
        <w:pStyle w:val="answer"/>
        <w:spacing w:before="360"/>
        <w:ind w:firstLine="0"/>
      </w:pPr>
      <w:r>
        <w:t>Please see Exhibit No. ___(BJL-3)</w:t>
      </w:r>
      <w:r w:rsidRPr="00697E39">
        <w:t xml:space="preserve"> </w:t>
      </w:r>
      <w:r>
        <w:t>for the calculation of PSE’s average capital structure during the test year.</w:t>
      </w:r>
    </w:p>
    <w:p w:rsidR="00B73329" w:rsidRDefault="00B73329" w:rsidP="00B06379">
      <w:pPr>
        <w:pStyle w:val="question"/>
      </w:pPr>
      <w:r>
        <w:t>Q.</w:t>
      </w:r>
      <w:r>
        <w:tab/>
        <w:t>Is the test year capital structure</w:t>
      </w:r>
      <w:r w:rsidR="00AB5576">
        <w:t xml:space="preserve"> reflected in Table 6</w:t>
      </w:r>
      <w:r>
        <w:t xml:space="preserve"> above calculated in a manner similar to the capital structures calculated in PSE’s recent rate proceedings?</w:t>
      </w:r>
    </w:p>
    <w:p w:rsidR="00F5352D" w:rsidRDefault="00B73329" w:rsidP="00F5352D">
      <w:pPr>
        <w:pStyle w:val="answer"/>
      </w:pPr>
      <w:r>
        <w:t>A.</w:t>
      </w:r>
      <w:r>
        <w:tab/>
        <w:t>Yes. The test year capita</w:t>
      </w:r>
      <w:r w:rsidR="00AB5576">
        <w:t>l structure reflected in Table 6</w:t>
      </w:r>
      <w:r>
        <w:t xml:space="preserve"> above and provided in Exhibit No. ___(BJL-3) is calculated in a manner similar to the capital structures calculated in P</w:t>
      </w:r>
      <w:r w:rsidR="009276E8">
        <w:t>SE’s recent general rate cases.</w:t>
      </w:r>
    </w:p>
    <w:p w:rsidR="00B73329" w:rsidRDefault="00B73329" w:rsidP="00F5352D">
      <w:pPr>
        <w:pStyle w:val="answer"/>
        <w:ind w:firstLine="0"/>
      </w:pPr>
      <w:r>
        <w:t>Specifically, PSE removed the following non-regulated activities and the impact of certain other items from PSE’s consolidated capital structure:</w:t>
      </w:r>
    </w:p>
    <w:p w:rsidR="00B73329" w:rsidRDefault="00B73329" w:rsidP="00B73329">
      <w:pPr>
        <w:pStyle w:val="List"/>
      </w:pPr>
      <w:r>
        <w:lastRenderedPageBreak/>
        <w:t>(i)</w:t>
      </w:r>
      <w:r>
        <w:tab/>
        <w:t>the retained earnings from unregulated activities such as Puget Western, Inc. (“</w:t>
      </w:r>
      <w:r w:rsidR="00A9653F">
        <w:t>Puget Western</w:t>
      </w:r>
      <w:r>
        <w:t>”);</w:t>
      </w:r>
    </w:p>
    <w:p w:rsidR="00B73329" w:rsidRDefault="00B73329" w:rsidP="00B73329">
      <w:pPr>
        <w:pStyle w:val="List"/>
      </w:pPr>
      <w:r>
        <w:t>(ii)</w:t>
      </w:r>
      <w:r>
        <w:tab/>
        <w:t>the unrealized retained earnings impacts resulting from the marking to market the value of its hedging activities; and</w:t>
      </w:r>
    </w:p>
    <w:p w:rsidR="00B73329" w:rsidRDefault="00B73329" w:rsidP="00B73329">
      <w:pPr>
        <w:pStyle w:val="List"/>
      </w:pPr>
      <w:r>
        <w:t>(iii)</w:t>
      </w:r>
      <w:r>
        <w:tab/>
        <w:t>the retained earnings impact from pension accounting.</w:t>
      </w:r>
    </w:p>
    <w:p w:rsidR="00B73329" w:rsidRDefault="00B73329" w:rsidP="00F5352D">
      <w:pPr>
        <w:pStyle w:val="answer"/>
        <w:ind w:firstLine="0"/>
      </w:pPr>
      <w:r>
        <w:t xml:space="preserve">These adjustments have been consistently applied in PSE’s </w:t>
      </w:r>
      <w:r w:rsidR="005B43EE">
        <w:t xml:space="preserve">Commission Basis Reports and </w:t>
      </w:r>
      <w:r>
        <w:t>previous general rate cases and have been consistently accepted by the Commission.</w:t>
      </w:r>
    </w:p>
    <w:p w:rsidR="00B73329" w:rsidRPr="009F2F01" w:rsidRDefault="00B73329" w:rsidP="00B06379">
      <w:pPr>
        <w:pStyle w:val="question"/>
      </w:pPr>
      <w:r w:rsidRPr="00D053BC">
        <w:t>Q.</w:t>
      </w:r>
      <w:r w:rsidRPr="00D053BC">
        <w:tab/>
        <w:t xml:space="preserve">Why does PSE remove the retained earnings from </w:t>
      </w:r>
      <w:r w:rsidR="00A9653F">
        <w:t>Puget Western</w:t>
      </w:r>
      <w:r w:rsidRPr="00D053BC">
        <w:t xml:space="preserve"> from its consolidated common equity?</w:t>
      </w:r>
    </w:p>
    <w:p w:rsidR="00B73329" w:rsidRDefault="00B73329" w:rsidP="00B73329">
      <w:pPr>
        <w:pStyle w:val="answer"/>
      </w:pPr>
      <w:r>
        <w:t>A.</w:t>
      </w:r>
      <w:r>
        <w:tab/>
        <w:t xml:space="preserve">PSE removed the retained earnings generated by </w:t>
      </w:r>
      <w:r w:rsidR="00A9653F">
        <w:t>Puget Western</w:t>
      </w:r>
      <w:r>
        <w:t xml:space="preserve"> from PSE’s consolidated capital structure because the retained earnings generated by this subsidiary are non-regulated. </w:t>
      </w:r>
      <w:r w:rsidR="00A9653F">
        <w:t>Puget Western</w:t>
      </w:r>
      <w:r>
        <w:t xml:space="preserve"> is a real estate development and disposition subsidiary.</w:t>
      </w:r>
    </w:p>
    <w:p w:rsidR="00B73329" w:rsidRDefault="00B73329" w:rsidP="00B73329">
      <w:pPr>
        <w:pStyle w:val="question"/>
      </w:pPr>
      <w:r>
        <w:t>Q.</w:t>
      </w:r>
      <w:r>
        <w:tab/>
        <w:t>Why does PSE remove the impacts of certain derivatives from its consolidated common equity?</w:t>
      </w:r>
    </w:p>
    <w:p w:rsidR="00B73329" w:rsidRDefault="00B73329" w:rsidP="00B73329">
      <w:pPr>
        <w:pStyle w:val="answer"/>
      </w:pPr>
      <w:r>
        <w:t>A.</w:t>
      </w:r>
      <w:r>
        <w:tab/>
        <w:t xml:space="preserve">Over the last three general rate cases, the Commission set PSE’s rates in a manner that does not recover through customer rates the accounting income and expense from marking derivatives to their market value. PSE removes the corresponding balance sheet impacts of accounting for the market value of derivatives from its consolidated common equity because the expense or income is not recognized in rates. This adjustment removes the variability of the mark-to-market calculations made for financial reporting purposes. The Commission has not recognized </w:t>
      </w:r>
      <w:r>
        <w:lastRenderedPageBreak/>
        <w:t>GAAP adjustments in setting rates because such adjustments reflect the measurement of a timing difference for financial reporting purposes and do not reflect “cash” transactions.</w:t>
      </w:r>
    </w:p>
    <w:p w:rsidR="00B73329" w:rsidRDefault="00B73329" w:rsidP="00B73329">
      <w:pPr>
        <w:pStyle w:val="question"/>
      </w:pPr>
      <w:r>
        <w:t>Q.</w:t>
      </w:r>
      <w:r>
        <w:tab/>
        <w:t>Why does PSE remove the retained earnings impacts of pension accounting from its consolidated common equity?</w:t>
      </w:r>
    </w:p>
    <w:p w:rsidR="00B73329" w:rsidRDefault="00B73329" w:rsidP="00B73329">
      <w:pPr>
        <w:pStyle w:val="answer"/>
      </w:pPr>
      <w:r>
        <w:t>A.</w:t>
      </w:r>
      <w:r>
        <w:tab/>
        <w:t xml:space="preserve">Over the last three general rate cases, the Commission set PSE’s rates in a manner that reflects actual “cash” pension contributions averaged over a period of time—typically four years—and not the financial reporting income and expense related to the pension plan used in PSE’s </w:t>
      </w:r>
      <w:r w:rsidR="00464008">
        <w:t xml:space="preserve">GAAP </w:t>
      </w:r>
      <w:r>
        <w:t>financial statements. Therefore, PSE removes the impacts of such financial reporting of pension accounting. PSE’s treatment of these items in this proceeding is consistent with past practices.</w:t>
      </w:r>
    </w:p>
    <w:p w:rsidR="008B688B" w:rsidRDefault="008B688B" w:rsidP="008B688B">
      <w:pPr>
        <w:pStyle w:val="question"/>
      </w:pPr>
      <w:r>
        <w:t>Q.</w:t>
      </w:r>
      <w:r w:rsidR="00213A31">
        <w:tab/>
      </w:r>
      <w:r>
        <w:t xml:space="preserve">How does the capital structure requested by PSE in this proceeding compare to the average capital structure approved by regulatory bodies during the test year? </w:t>
      </w:r>
    </w:p>
    <w:p w:rsidR="00F5352D" w:rsidRDefault="008B688B" w:rsidP="00F5352D">
      <w:pPr>
        <w:pStyle w:val="answer"/>
      </w:pPr>
      <w:r>
        <w:t>A.</w:t>
      </w:r>
      <w:r w:rsidR="00213A31">
        <w:tab/>
      </w:r>
      <w:r>
        <w:t>The capital structure requested by PSE in this proceeding contains less equity than the average of capital structures approved by most regulatory bodies during the test year. The average capital structure authorized by regulatory bodies for ratemaking purposes during the test year contained a 50.6 percent equity ratio, or 2.1 percent higher than PSE’s request in this proceeding. Please see Exhibit No. ___(DAD-</w:t>
      </w:r>
      <w:r w:rsidR="00064654">
        <w:t>5</w:t>
      </w:r>
      <w:r>
        <w:t>) for a list of the equity ratios authorized by regulatory bodies for the test year ending September 30, 2016.</w:t>
      </w:r>
    </w:p>
    <w:p w:rsidR="008B688B" w:rsidRDefault="008B688B" w:rsidP="00F5352D">
      <w:pPr>
        <w:pStyle w:val="answer"/>
        <w:ind w:firstLine="0"/>
      </w:pPr>
      <w:r>
        <w:lastRenderedPageBreak/>
        <w:t>Furthermore, when the same set of data is sorted by S&amp;P credit ratings, companies with similar credit ratings from the data set also have</w:t>
      </w:r>
      <w:r w:rsidR="005B43EE">
        <w:t>,</w:t>
      </w:r>
      <w:r>
        <w:t xml:space="preserve"> </w:t>
      </w:r>
      <w:r w:rsidR="005B43EE">
        <w:t xml:space="preserve">on average, </w:t>
      </w:r>
      <w:r>
        <w:t>higher average equity ratios. Please see Exhibit No. ___(DAD-</w:t>
      </w:r>
      <w:r w:rsidR="00064654">
        <w:t>6</w:t>
      </w:r>
      <w:r>
        <w:t>) for this analysis</w:t>
      </w:r>
      <w:r w:rsidR="00213A31">
        <w:t>.</w:t>
      </w:r>
    </w:p>
    <w:p w:rsidR="00F07638" w:rsidRDefault="00F07638" w:rsidP="00F07638">
      <w:pPr>
        <w:pStyle w:val="question"/>
      </w:pPr>
      <w:r>
        <w:t>Q.</w:t>
      </w:r>
      <w:r>
        <w:tab/>
        <w:t>What do regulators usually consider when determining an appropriate capital structure?</w:t>
      </w:r>
    </w:p>
    <w:p w:rsidR="00F07638" w:rsidRDefault="00F07638" w:rsidP="00F07638">
      <w:pPr>
        <w:pStyle w:val="answer"/>
      </w:pPr>
      <w:r>
        <w:t>A.</w:t>
      </w:r>
      <w:r>
        <w:tab/>
        <w:t>Selecting the appropriate capital structure involves the balancing of safety and economy</w:t>
      </w:r>
      <w:r w:rsidR="00213A31">
        <w:t>:</w:t>
      </w:r>
    </w:p>
    <w:p w:rsidR="00F07638" w:rsidRDefault="00F07638" w:rsidP="00F07638">
      <w:pPr>
        <w:pStyle w:val="Quote"/>
      </w:pPr>
      <w:r w:rsidRPr="00995D3F">
        <w:t>we develop a weighted cost of capital for the Company based on a capital structure that balances safety and economy. Capital structure, and particularly the equity ratio and cost of equity, materially impacts the price customers pay for service. Due to the relative difference between the higher cost of equity and the lower cost of debt, a capital structure with relatively more debt and less equity may result in a lower overall cost of capital. This results in lower rates for customers. This is commonly referred to as “economy.” On the other hand, a capital structure with relatively more equity and less debt may result in a higher overall cost of capital and higher rates for customers, but enhanced financial integrity. This is commonly referred to as “safety.”</w:t>
      </w:r>
      <w:r w:rsidRPr="00365DFB">
        <w:rPr>
          <w:position w:val="6"/>
          <w:sz w:val="16"/>
        </w:rPr>
        <w:footnoteReference w:id="5"/>
      </w:r>
    </w:p>
    <w:p w:rsidR="00F07638" w:rsidRDefault="00F07638" w:rsidP="00F5352D">
      <w:pPr>
        <w:pStyle w:val="answer"/>
        <w:ind w:firstLine="0"/>
      </w:pPr>
      <w:r>
        <w:t>In other words, the economy of lower cost debt, on which PSE has an obligation to pay interest, must be weighed against the safety of relatively higher cost common equity, on which PSE does not have a legal obligation to pay a dividend and provide a return.</w:t>
      </w:r>
    </w:p>
    <w:p w:rsidR="00B73329" w:rsidRPr="00FB39DD" w:rsidRDefault="00B73329" w:rsidP="00B73329">
      <w:pPr>
        <w:pStyle w:val="question"/>
      </w:pPr>
      <w:r w:rsidRPr="00FB39DD">
        <w:lastRenderedPageBreak/>
        <w:t>Q.</w:t>
      </w:r>
      <w:r w:rsidRPr="00FB39DD">
        <w:tab/>
        <w:t>Why is the capital structure proposed by PSE appropriate and reasonable for rate setting purposes in this proceeding?</w:t>
      </w:r>
    </w:p>
    <w:p w:rsidR="00B73329" w:rsidRPr="00FB39DD" w:rsidRDefault="00B73329" w:rsidP="00B73329">
      <w:pPr>
        <w:pStyle w:val="answer"/>
      </w:pPr>
      <w:r w:rsidRPr="00FB39DD">
        <w:t>A.</w:t>
      </w:r>
      <w:r w:rsidRPr="00FB39DD">
        <w:tab/>
        <w:t>The capital structure requested by PSE is appropriate and reasonable for the following reasons:</w:t>
      </w:r>
    </w:p>
    <w:p w:rsidR="00B73329" w:rsidRPr="00FB39DD" w:rsidRDefault="00B73329" w:rsidP="00B73329">
      <w:pPr>
        <w:pStyle w:val="List"/>
      </w:pPr>
      <w:r w:rsidRPr="00FB39DD">
        <w:t>(i)</w:t>
      </w:r>
      <w:r w:rsidRPr="00FB39DD">
        <w:tab/>
      </w:r>
      <w:r w:rsidRPr="00FB39DD">
        <w:rPr>
          <w:snapToGrid w:val="0"/>
        </w:rPr>
        <w:t>it is based on actual results from the test year;</w:t>
      </w:r>
    </w:p>
    <w:p w:rsidR="00B73329" w:rsidRPr="00FB39DD" w:rsidRDefault="00B73329" w:rsidP="00B73329">
      <w:pPr>
        <w:pStyle w:val="List"/>
      </w:pPr>
      <w:r w:rsidRPr="00FB39DD">
        <w:t>(ii)</w:t>
      </w:r>
      <w:r w:rsidRPr="00FB39DD">
        <w:tab/>
        <w:t>a capital structure with 48.5 percent equity is lower than the average authorized equity ratio recently reflected in customer rates of other regulated utilities;</w:t>
      </w:r>
    </w:p>
    <w:p w:rsidR="00B73329" w:rsidRPr="00FB39DD" w:rsidRDefault="00B73329" w:rsidP="00B73329">
      <w:pPr>
        <w:pStyle w:val="List"/>
      </w:pPr>
      <w:r w:rsidRPr="00FB39DD">
        <w:t>(iii)</w:t>
      </w:r>
      <w:r w:rsidRPr="00FB39DD">
        <w:tab/>
        <w:t xml:space="preserve">a capital structure with 48.5 percent equity is lower than the average authorized equity ratios of the comparable companies identified in the </w:t>
      </w:r>
      <w:proofErr w:type="spellStart"/>
      <w:r w:rsidRPr="00FB39DD">
        <w:t>Prefiled</w:t>
      </w:r>
      <w:proofErr w:type="spellEnd"/>
      <w:r w:rsidRPr="00FB39DD">
        <w:t xml:space="preserve"> Direct Testimony of Dr. Roger A. Morin, Exhibit No. ___(RAM-1T);</w:t>
      </w:r>
    </w:p>
    <w:p w:rsidR="008758A1" w:rsidRDefault="00DB59B4" w:rsidP="008758A1">
      <w:pPr>
        <w:pStyle w:val="List"/>
      </w:pPr>
      <w:r>
        <w:t>(i</w:t>
      </w:r>
      <w:r w:rsidR="008758A1">
        <w:t>v)</w:t>
      </w:r>
      <w:r w:rsidR="008758A1">
        <w:tab/>
        <w:t>a capital structure with 48.5 percent equity is lower, on average, than companies with similar credit ratings; and</w:t>
      </w:r>
    </w:p>
    <w:p w:rsidR="00B73329" w:rsidRDefault="00B73329" w:rsidP="008758A1">
      <w:pPr>
        <w:pStyle w:val="List"/>
      </w:pPr>
      <w:r w:rsidRPr="00FB39DD">
        <w:t>(</w:t>
      </w:r>
      <w:r w:rsidR="008758A1">
        <w:t>v</w:t>
      </w:r>
      <w:r w:rsidRPr="00FB39DD">
        <w:t>)</w:t>
      </w:r>
      <w:r w:rsidRPr="00FB39DD">
        <w:tab/>
        <w:t>it appropriately balances safety and economy for customers</w:t>
      </w:r>
      <w:r w:rsidR="008758A1">
        <w:t>.</w:t>
      </w:r>
    </w:p>
    <w:p w:rsidR="00B73329" w:rsidRPr="00FB39DD" w:rsidRDefault="00B73329" w:rsidP="00B73329">
      <w:pPr>
        <w:pStyle w:val="question"/>
      </w:pPr>
      <w:r w:rsidRPr="00FB39DD">
        <w:t>Q.</w:t>
      </w:r>
      <w:r w:rsidRPr="00FB39DD">
        <w:tab/>
        <w:t xml:space="preserve">Why does the capital structure requested by PSE in this proceeding appropriately balance the risks and costs of funding PSE’s utility operations? </w:t>
      </w:r>
    </w:p>
    <w:p w:rsidR="00B73329" w:rsidRPr="00FB39DD" w:rsidRDefault="00B73329" w:rsidP="00B73329">
      <w:pPr>
        <w:pStyle w:val="answer"/>
      </w:pPr>
      <w:r w:rsidRPr="00FB39DD">
        <w:t>A.</w:t>
      </w:r>
      <w:r w:rsidRPr="00FB39DD">
        <w:tab/>
        <w:t>The capital structure requested by PSE in this proceeding appropriately balances the risks and costs of funding PSE’s utility operations for the following reasons:</w:t>
      </w:r>
    </w:p>
    <w:p w:rsidR="00B73329" w:rsidRPr="00FB39DD" w:rsidRDefault="00B73329" w:rsidP="00B73329">
      <w:pPr>
        <w:pStyle w:val="List"/>
      </w:pPr>
      <w:r w:rsidRPr="00FB39DD">
        <w:t>(i)</w:t>
      </w:r>
      <w:r w:rsidRPr="00FB39DD">
        <w:tab/>
        <w:t xml:space="preserve">the capital structure requested by PSE in this proceeding will allow PSE to </w:t>
      </w:r>
      <w:r w:rsidR="00464008">
        <w:t xml:space="preserve">maintain its current credit ratings </w:t>
      </w:r>
      <w:r w:rsidR="008F1088">
        <w:t xml:space="preserve">and </w:t>
      </w:r>
      <w:r w:rsidRPr="00FB39DD">
        <w:t>attract debt capital necessary to fund PSE’s capital expenditures</w:t>
      </w:r>
      <w:r w:rsidR="008F1088">
        <w:t xml:space="preserve"> and operations</w:t>
      </w:r>
      <w:r w:rsidRPr="00FB39DD">
        <w:t>;</w:t>
      </w:r>
    </w:p>
    <w:p w:rsidR="00B73329" w:rsidRPr="00FB39DD" w:rsidRDefault="00B73329" w:rsidP="00B73329">
      <w:pPr>
        <w:pStyle w:val="List"/>
      </w:pPr>
      <w:r w:rsidRPr="00FB39DD">
        <w:t>(ii)</w:t>
      </w:r>
      <w:r w:rsidRPr="00FB39DD">
        <w:tab/>
        <w:t xml:space="preserve">the capital structure requested by PSE in this proceeding will allow PSE to satisfy merger commitments </w:t>
      </w:r>
      <w:r w:rsidR="00D00612">
        <w:t xml:space="preserve">and debt covenants </w:t>
      </w:r>
      <w:r w:rsidRPr="00FB39DD">
        <w:t>related to capital structure; and</w:t>
      </w:r>
    </w:p>
    <w:p w:rsidR="00B73329" w:rsidRPr="00FB39DD" w:rsidRDefault="00B73329" w:rsidP="00B73329">
      <w:pPr>
        <w:pStyle w:val="List"/>
      </w:pPr>
      <w:r w:rsidRPr="00FB39DD">
        <w:lastRenderedPageBreak/>
        <w:t>(iii)</w:t>
      </w:r>
      <w:r w:rsidRPr="00FB39DD">
        <w:tab/>
        <w:t>the capital structure requested by PSE in this proceeding will allow PSE to provide electric and gas service to</w:t>
      </w:r>
      <w:r w:rsidR="00213A31">
        <w:t xml:space="preserve"> customers on reasonable terms.</w:t>
      </w:r>
    </w:p>
    <w:p w:rsidR="00663D88" w:rsidRDefault="00663D88" w:rsidP="00B06379">
      <w:pPr>
        <w:pStyle w:val="Heading1"/>
      </w:pPr>
      <w:bookmarkStart w:id="22" w:name="_Toc471463218"/>
      <w:r>
        <w:t>VI</w:t>
      </w:r>
      <w:r w:rsidR="007A0BD8">
        <w:t>I</w:t>
      </w:r>
      <w:r>
        <w:t>.</w:t>
      </w:r>
      <w:r>
        <w:tab/>
        <w:t xml:space="preserve">PROSPECTIVE TREATMENT OF COLSTRIP </w:t>
      </w:r>
      <w:r w:rsidR="00213A31">
        <w:t>UNITS </w:t>
      </w:r>
      <w:r>
        <w:t>1</w:t>
      </w:r>
      <w:r w:rsidR="00213A31">
        <w:t> </w:t>
      </w:r>
      <w:r>
        <w:t>&amp;</w:t>
      </w:r>
      <w:r w:rsidR="00213A31">
        <w:t> </w:t>
      </w:r>
      <w:r>
        <w:t>2 DECOMMISSIONING AND REMEDIATION COSTS</w:t>
      </w:r>
      <w:bookmarkEnd w:id="22"/>
    </w:p>
    <w:p w:rsidR="00663D88" w:rsidRPr="00B06379" w:rsidRDefault="00663D88" w:rsidP="00B06379">
      <w:pPr>
        <w:pStyle w:val="question"/>
      </w:pPr>
      <w:r w:rsidRPr="00232432">
        <w:t>Q.</w:t>
      </w:r>
      <w:r w:rsidRPr="00232432">
        <w:tab/>
        <w:t>Please summarize the key issues that necessitate consideration of the prospective treatment of decommissioning and remediation costs</w:t>
      </w:r>
      <w:r w:rsidR="00F07638">
        <w:t xml:space="preserve"> for </w:t>
      </w:r>
      <w:r w:rsidR="00F07638" w:rsidRPr="00232432">
        <w:t xml:space="preserve">Colstrip </w:t>
      </w:r>
      <w:r w:rsidR="00F07638">
        <w:t>Units </w:t>
      </w:r>
      <w:r w:rsidR="00F07638" w:rsidRPr="00232432">
        <w:t>1</w:t>
      </w:r>
      <w:r w:rsidR="00F07638">
        <w:t> </w:t>
      </w:r>
      <w:r w:rsidR="00F07638" w:rsidRPr="00232432">
        <w:t>&amp;</w:t>
      </w:r>
      <w:r w:rsidR="00F07638">
        <w:t xml:space="preserve"> </w:t>
      </w:r>
      <w:r w:rsidR="00F07638" w:rsidRPr="00232432">
        <w:t>2</w:t>
      </w:r>
      <w:r w:rsidRPr="00232432">
        <w:t>.</w:t>
      </w:r>
    </w:p>
    <w:p w:rsidR="00663D88" w:rsidRPr="00483DEF" w:rsidRDefault="00663D88" w:rsidP="009276E8">
      <w:pPr>
        <w:pStyle w:val="answer"/>
      </w:pPr>
      <w:r w:rsidRPr="00483DEF">
        <w:t>A.</w:t>
      </w:r>
      <w:r w:rsidRPr="00483DEF">
        <w:tab/>
        <w:t xml:space="preserve">For more than 40 years, Colstrip </w:t>
      </w:r>
      <w:r w:rsidR="00F07638">
        <w:t>U</w:t>
      </w:r>
      <w:r w:rsidRPr="00483DEF">
        <w:t>nits</w:t>
      </w:r>
      <w:r w:rsidR="00F07638">
        <w:t> </w:t>
      </w:r>
      <w:r w:rsidRPr="00483DEF">
        <w:t xml:space="preserve">1 </w:t>
      </w:r>
      <w:r w:rsidR="00F07638">
        <w:t>&amp;</w:t>
      </w:r>
      <w:r w:rsidRPr="00483DEF">
        <w:t xml:space="preserve"> 2 have provided reliable and cost effective energy and capacity </w:t>
      </w:r>
      <w:r w:rsidR="001114E6">
        <w:t>for</w:t>
      </w:r>
      <w:r w:rsidRPr="00483DEF">
        <w:t xml:space="preserve"> the benefit of </w:t>
      </w:r>
      <w:r w:rsidR="00F07638">
        <w:t xml:space="preserve">PSE’s </w:t>
      </w:r>
      <w:r w:rsidRPr="00483DEF">
        <w:t>customer</w:t>
      </w:r>
      <w:r w:rsidR="008758A1">
        <w:t>s</w:t>
      </w:r>
      <w:r w:rsidRPr="00483DEF">
        <w:t>. During that same period, environmental laws, rules and regulations expanded significantly</w:t>
      </w:r>
      <w:r w:rsidR="00F07638">
        <w:t>,</w:t>
      </w:r>
      <w:r w:rsidRPr="00483DEF">
        <w:t xml:space="preserve"> as have legal challenges from the environmental community.</w:t>
      </w:r>
      <w:r w:rsidR="00F07638">
        <w:t xml:space="preserve"> </w:t>
      </w:r>
      <w:r w:rsidRPr="00483DEF">
        <w:t xml:space="preserve">Colstrip </w:t>
      </w:r>
      <w:r w:rsidR="00F07638">
        <w:t>U</w:t>
      </w:r>
      <w:r w:rsidRPr="00483DEF">
        <w:t>nits</w:t>
      </w:r>
      <w:r w:rsidR="00F07638">
        <w:t> </w:t>
      </w:r>
      <w:r w:rsidRPr="00483DEF">
        <w:t>1</w:t>
      </w:r>
      <w:r w:rsidR="00F07638">
        <w:t xml:space="preserve"> &amp; </w:t>
      </w:r>
      <w:r w:rsidRPr="00483DEF">
        <w:t>2 have not been immune to such legal challenges.</w:t>
      </w:r>
      <w:r w:rsidR="00F07638">
        <w:t xml:space="preserve"> </w:t>
      </w:r>
      <w:r w:rsidRPr="00483DEF">
        <w:t xml:space="preserve">Indeed, as part of a broader settlement affecting all four Colstrip units, </w:t>
      </w:r>
      <w:r w:rsidR="00F07638">
        <w:t xml:space="preserve">the two owners of Colstrip Units 1 &amp; 2 (PSE and </w:t>
      </w:r>
      <w:r w:rsidR="00F07638" w:rsidRPr="00F07638">
        <w:t>Talen Montana, LLC</w:t>
      </w:r>
      <w:r w:rsidR="00F07638">
        <w:t xml:space="preserve">) </w:t>
      </w:r>
      <w:r w:rsidRPr="00483DEF">
        <w:t>recently settled an action brought by the Sierra Club</w:t>
      </w:r>
      <w:r w:rsidR="008758A1">
        <w:t xml:space="preserve"> and Montana Environmental Information Center</w:t>
      </w:r>
      <w:r w:rsidRPr="00483DEF">
        <w:t>, in</w:t>
      </w:r>
      <w:r w:rsidR="00F45519">
        <w:t xml:space="preserve"> </w:t>
      </w:r>
      <w:r w:rsidRPr="00483DEF">
        <w:t xml:space="preserve">part, by agreeing to </w:t>
      </w:r>
      <w:r w:rsidR="008758A1">
        <w:t xml:space="preserve">retire </w:t>
      </w:r>
      <w:r w:rsidR="00213A31">
        <w:t xml:space="preserve">the boilers for </w:t>
      </w:r>
      <w:r w:rsidRPr="00483DEF">
        <w:t xml:space="preserve">Colstrip </w:t>
      </w:r>
      <w:r w:rsidR="00F07638">
        <w:t>U</w:t>
      </w:r>
      <w:r w:rsidRPr="00483DEF">
        <w:t>nits</w:t>
      </w:r>
      <w:r w:rsidR="00F07638">
        <w:t> </w:t>
      </w:r>
      <w:r w:rsidRPr="00483DEF">
        <w:t>1</w:t>
      </w:r>
      <w:r w:rsidR="00F07638">
        <w:t xml:space="preserve"> &amp; 2 </w:t>
      </w:r>
      <w:r w:rsidRPr="00483DEF">
        <w:t>no later than July</w:t>
      </w:r>
      <w:r w:rsidR="00F07638">
        <w:t> </w:t>
      </w:r>
      <w:r w:rsidRPr="00483DEF">
        <w:t>1, 2022.</w:t>
      </w:r>
      <w:r w:rsidR="00F07638">
        <w:t xml:space="preserve"> </w:t>
      </w:r>
      <w:r w:rsidR="008758A1">
        <w:t xml:space="preserve">The retirement of the boilers </w:t>
      </w:r>
      <w:r w:rsidRPr="00483DEF">
        <w:t>is the precipitating factor driving the consideration of the prospective treatment of decommissioning and remediation costs</w:t>
      </w:r>
      <w:r w:rsidR="00F07638">
        <w:t xml:space="preserve"> for </w:t>
      </w:r>
      <w:r w:rsidR="00F07638" w:rsidRPr="00483DEF">
        <w:t xml:space="preserve">Colstrip </w:t>
      </w:r>
      <w:r w:rsidR="00F07638">
        <w:t>Units </w:t>
      </w:r>
      <w:r w:rsidR="00F07638" w:rsidRPr="00483DEF">
        <w:t>1</w:t>
      </w:r>
      <w:r w:rsidR="00F07638">
        <w:t> </w:t>
      </w:r>
      <w:r w:rsidR="00F07638" w:rsidRPr="00483DEF">
        <w:t>&amp;</w:t>
      </w:r>
      <w:r w:rsidR="00F07638">
        <w:t xml:space="preserve"> </w:t>
      </w:r>
      <w:r w:rsidR="00F07638" w:rsidRPr="00483DEF">
        <w:t>2</w:t>
      </w:r>
      <w:r w:rsidRPr="00483DEF">
        <w:t>.</w:t>
      </w:r>
    </w:p>
    <w:p w:rsidR="00663D88" w:rsidRPr="00B06379" w:rsidRDefault="00663D88" w:rsidP="00B06379">
      <w:pPr>
        <w:pStyle w:val="question"/>
      </w:pPr>
      <w:r w:rsidRPr="00232432">
        <w:lastRenderedPageBreak/>
        <w:t>Q.</w:t>
      </w:r>
      <w:r w:rsidRPr="00232432">
        <w:tab/>
        <w:t xml:space="preserve">How does the agreement to </w:t>
      </w:r>
      <w:r w:rsidR="008758A1">
        <w:t xml:space="preserve">retire the boilers of </w:t>
      </w:r>
      <w:r w:rsidRPr="00232432">
        <w:t xml:space="preserve">Colstrip </w:t>
      </w:r>
      <w:r w:rsidR="00F07638">
        <w:t>Units </w:t>
      </w:r>
      <w:r w:rsidRPr="00232432">
        <w:t>1</w:t>
      </w:r>
      <w:r w:rsidR="00213A31">
        <w:t> </w:t>
      </w:r>
      <w:r w:rsidRPr="00232432">
        <w:t>&amp;</w:t>
      </w:r>
      <w:r w:rsidR="00213A31">
        <w:t> </w:t>
      </w:r>
      <w:r w:rsidRPr="00232432">
        <w:t>2 as part of a legal settlement drive consideration of prospective decommissioning and remediation costs in this proceeding?</w:t>
      </w:r>
    </w:p>
    <w:p w:rsidR="00F5352D" w:rsidRDefault="00AB5576" w:rsidP="00F5352D">
      <w:pPr>
        <w:pStyle w:val="answer"/>
      </w:pPr>
      <w:r>
        <w:t>A.</w:t>
      </w:r>
      <w:r>
        <w:tab/>
      </w:r>
      <w:r w:rsidR="00663D88" w:rsidRPr="00483DEF">
        <w:t xml:space="preserve">Colstrip </w:t>
      </w:r>
      <w:r w:rsidR="00F07638">
        <w:t>Units </w:t>
      </w:r>
      <w:r w:rsidR="00663D88" w:rsidRPr="00483DEF">
        <w:t>1</w:t>
      </w:r>
      <w:r w:rsidR="00F07638">
        <w:t xml:space="preserve"> &amp; 2 </w:t>
      </w:r>
      <w:r w:rsidR="00663D88" w:rsidRPr="00483DEF">
        <w:t xml:space="preserve">have provided reliable and cost effective energy and capacity for the benefit of </w:t>
      </w:r>
      <w:r w:rsidR="00F07638">
        <w:t xml:space="preserve">PSE’s </w:t>
      </w:r>
      <w:r w:rsidR="00663D88" w:rsidRPr="00483DEF">
        <w:t>customers</w:t>
      </w:r>
      <w:r w:rsidR="00F07638">
        <w:t xml:space="preserve"> for over forty years. T</w:t>
      </w:r>
      <w:r w:rsidR="00663D88" w:rsidRPr="00483DEF">
        <w:t>hose same customers paid for the cost of operating those units, including operation and maintenance expense, depreciation expense, interest expense, and</w:t>
      </w:r>
      <w:r w:rsidR="00F07638">
        <w:t xml:space="preserve"> the cost of equity financing. </w:t>
      </w:r>
      <w:r w:rsidR="00663D88" w:rsidRPr="00483DEF">
        <w:t xml:space="preserve">As </w:t>
      </w:r>
      <w:r w:rsidR="00F07638">
        <w:t xml:space="preserve">explained in the </w:t>
      </w:r>
      <w:proofErr w:type="spellStart"/>
      <w:r w:rsidR="00F07638">
        <w:t>Prefiled</w:t>
      </w:r>
      <w:proofErr w:type="spellEnd"/>
      <w:r w:rsidR="00F07638">
        <w:t xml:space="preserve"> Direct Testimony of Ms. Katherine J. Barnard, Exhibit No. ___(KJB-1T), </w:t>
      </w:r>
      <w:r w:rsidR="00663D88" w:rsidRPr="00483DEF">
        <w:t xml:space="preserve">decommissioning and remediation </w:t>
      </w:r>
      <w:r w:rsidR="00F07638" w:rsidRPr="00483DEF">
        <w:t xml:space="preserve">costs </w:t>
      </w:r>
      <w:r w:rsidR="00663D88" w:rsidRPr="00483DEF">
        <w:t xml:space="preserve">of Colstrip </w:t>
      </w:r>
      <w:r w:rsidR="00F07638">
        <w:t>U</w:t>
      </w:r>
      <w:r w:rsidR="00663D88" w:rsidRPr="00483DEF">
        <w:t>nits</w:t>
      </w:r>
      <w:r w:rsidR="00F07638">
        <w:t> </w:t>
      </w:r>
      <w:r w:rsidR="00663D88" w:rsidRPr="00483DEF">
        <w:t>1</w:t>
      </w:r>
      <w:r w:rsidR="00F07638">
        <w:t> &amp;</w:t>
      </w:r>
      <w:r w:rsidR="00663D88" w:rsidRPr="00483DEF">
        <w:t xml:space="preserve"> 2 have not been recovered from customers in any material amount during the 40+ year period those units operated</w:t>
      </w:r>
      <w:r w:rsidR="00DB2D32">
        <w:t xml:space="preserve"> because there was no legal obligation to undertake remediation, the costs for decommissioning and remediation were not known and measurable, and these costs were not included in depreciation rates</w:t>
      </w:r>
      <w:r w:rsidR="00663D88" w:rsidRPr="00483DEF">
        <w:t>.</w:t>
      </w:r>
    </w:p>
    <w:p w:rsidR="00F07638" w:rsidRDefault="00F07638" w:rsidP="00F5352D">
      <w:pPr>
        <w:pStyle w:val="answer"/>
        <w:ind w:firstLine="0"/>
      </w:pPr>
      <w:r>
        <w:t>T</w:t>
      </w:r>
      <w:r w:rsidRPr="00483DEF">
        <w:t xml:space="preserve">his proceeding is the appropriate venue for considering, reviewing and adjudicating the complex array of issues connected with the imminent </w:t>
      </w:r>
      <w:r w:rsidR="008758A1">
        <w:t xml:space="preserve">retirement of the boilers </w:t>
      </w:r>
      <w:r w:rsidRPr="00483DEF">
        <w:t>of Colstrip</w:t>
      </w:r>
      <w:r>
        <w:t xml:space="preserve"> U</w:t>
      </w:r>
      <w:r w:rsidRPr="00483DEF">
        <w:t>nits</w:t>
      </w:r>
      <w:r>
        <w:t> </w:t>
      </w:r>
      <w:r w:rsidRPr="00483DEF">
        <w:t>1</w:t>
      </w:r>
      <w:r>
        <w:t> &amp; 2 for the following reasons:</w:t>
      </w:r>
    </w:p>
    <w:p w:rsidR="00F07638" w:rsidRDefault="00F07638" w:rsidP="00F07638">
      <w:pPr>
        <w:pStyle w:val="answer"/>
        <w:spacing w:before="0" w:after="280" w:line="240" w:lineRule="auto"/>
        <w:ind w:left="2160" w:right="720"/>
      </w:pPr>
      <w:r>
        <w:t>(i)</w:t>
      </w:r>
      <w:r>
        <w:tab/>
        <w:t xml:space="preserve">PSE has projected </w:t>
      </w:r>
      <w:r w:rsidR="00663D88" w:rsidRPr="00483DEF">
        <w:t xml:space="preserve">anticipated decommissioning and remediation </w:t>
      </w:r>
      <w:r w:rsidRPr="00483DEF">
        <w:t xml:space="preserve">costs </w:t>
      </w:r>
      <w:r>
        <w:t xml:space="preserve">of </w:t>
      </w:r>
      <w:r w:rsidR="00663D88">
        <w:t>approximately $10</w:t>
      </w:r>
      <w:r w:rsidR="009D6190">
        <w:t>9</w:t>
      </w:r>
      <w:r>
        <w:t> </w:t>
      </w:r>
      <w:r w:rsidR="00663D88">
        <w:t>million</w:t>
      </w:r>
      <w:r w:rsidR="00663D88" w:rsidRPr="00483DEF">
        <w:t xml:space="preserve"> </w:t>
      </w:r>
      <w:r w:rsidR="009D6190">
        <w:t xml:space="preserve">(in real dollars) </w:t>
      </w:r>
      <w:r w:rsidRPr="00483DEF">
        <w:t xml:space="preserve">for Colstrip </w:t>
      </w:r>
      <w:r>
        <w:t>U</w:t>
      </w:r>
      <w:r w:rsidRPr="00483DEF">
        <w:t>nits</w:t>
      </w:r>
      <w:r>
        <w:t xml:space="preserve"> 1 &amp; 2 </w:t>
      </w:r>
      <w:r w:rsidR="00663D88" w:rsidRPr="00483DEF">
        <w:t xml:space="preserve">(see the </w:t>
      </w:r>
      <w:proofErr w:type="spellStart"/>
      <w:r>
        <w:t>Prefiled</w:t>
      </w:r>
      <w:proofErr w:type="spellEnd"/>
      <w:r>
        <w:t xml:space="preserve"> Direct Testimony of </w:t>
      </w:r>
      <w:r w:rsidR="00663D88" w:rsidRPr="00483DEF">
        <w:t>Mr. Ron Roberts</w:t>
      </w:r>
      <w:r>
        <w:t>, Exhibit No. ___(RR-1CT),</w:t>
      </w:r>
      <w:r w:rsidR="00663D88" w:rsidRPr="00483DEF">
        <w:t xml:space="preserve"> for details</w:t>
      </w:r>
      <w:r>
        <w:t xml:space="preserve"> of these projected costs</w:t>
      </w:r>
      <w:r w:rsidR="00663D88" w:rsidRPr="00483DEF">
        <w:t>)</w:t>
      </w:r>
      <w:r>
        <w:t>;</w:t>
      </w:r>
    </w:p>
    <w:p w:rsidR="00F07638" w:rsidRDefault="00F07638" w:rsidP="00F07638">
      <w:pPr>
        <w:pStyle w:val="answer"/>
        <w:spacing w:before="0" w:after="280" w:line="240" w:lineRule="auto"/>
        <w:ind w:left="2160" w:right="720"/>
      </w:pPr>
      <w:r>
        <w:t>(ii)</w:t>
      </w:r>
      <w:r>
        <w:tab/>
      </w:r>
      <w:r w:rsidR="00663D88" w:rsidRPr="00483DEF">
        <w:t xml:space="preserve">the settlement </w:t>
      </w:r>
      <w:r>
        <w:t xml:space="preserve">agreement with the Sierra Club </w:t>
      </w:r>
      <w:r w:rsidR="008758A1">
        <w:t>and Montana Environmental Information Center</w:t>
      </w:r>
      <w:r w:rsidR="008758A1" w:rsidRPr="00483DEF">
        <w:t xml:space="preserve"> </w:t>
      </w:r>
      <w:r w:rsidR="00663D88" w:rsidRPr="00483DEF">
        <w:t xml:space="preserve">requires that </w:t>
      </w:r>
      <w:r w:rsidR="008758A1">
        <w:t xml:space="preserve">the boilers of </w:t>
      </w:r>
      <w:r w:rsidR="00663D88" w:rsidRPr="00483DEF">
        <w:t xml:space="preserve">Colstrip </w:t>
      </w:r>
      <w:r>
        <w:t>U</w:t>
      </w:r>
      <w:r w:rsidR="00663D88" w:rsidRPr="00483DEF">
        <w:t>nits</w:t>
      </w:r>
      <w:r>
        <w:t> </w:t>
      </w:r>
      <w:r w:rsidR="00663D88" w:rsidRPr="00483DEF">
        <w:t>1</w:t>
      </w:r>
      <w:r>
        <w:t xml:space="preserve"> &amp; </w:t>
      </w:r>
      <w:r w:rsidR="00663D88" w:rsidRPr="00483DEF">
        <w:t xml:space="preserve">2 be </w:t>
      </w:r>
      <w:r w:rsidR="008758A1">
        <w:t xml:space="preserve">retired </w:t>
      </w:r>
      <w:r w:rsidR="00663D88" w:rsidRPr="00483DEF">
        <w:t>no later than July</w:t>
      </w:r>
      <w:r>
        <w:t xml:space="preserve"> 1, 2022, </w:t>
      </w:r>
      <w:r w:rsidR="00663D88" w:rsidRPr="00483DEF">
        <w:t xml:space="preserve">which leaves </w:t>
      </w:r>
      <w:r w:rsidR="00DD21EE">
        <w:t xml:space="preserve">limited </w:t>
      </w:r>
      <w:r w:rsidR="00663D88" w:rsidRPr="00483DEF">
        <w:t xml:space="preserve">time for planning, financing, and </w:t>
      </w:r>
      <w:r w:rsidR="00663D88" w:rsidRPr="00483DEF">
        <w:lastRenderedPageBreak/>
        <w:t>regulatory review of all aspects of decommissioning and remediating activities;</w:t>
      </w:r>
    </w:p>
    <w:p w:rsidR="00F07638" w:rsidRDefault="00F07638" w:rsidP="00F07638">
      <w:pPr>
        <w:pStyle w:val="answer"/>
        <w:spacing w:before="0" w:after="280" w:line="240" w:lineRule="auto"/>
        <w:ind w:left="2160" w:right="720"/>
      </w:pPr>
      <w:r>
        <w:t>(iii)</w:t>
      </w:r>
      <w:r>
        <w:tab/>
        <w:t xml:space="preserve">PSE </w:t>
      </w:r>
      <w:r w:rsidR="00663D88" w:rsidRPr="00483DEF">
        <w:t xml:space="preserve">was successful in obtaining legislation </w:t>
      </w:r>
      <w:r>
        <w:t xml:space="preserve">in early 2016 </w:t>
      </w:r>
      <w:r w:rsidR="00663D88" w:rsidRPr="00483DEF">
        <w:t xml:space="preserve">that allows for the repurposing of certain </w:t>
      </w:r>
      <w:r w:rsidRPr="00F07638">
        <w:t xml:space="preserve">regulatory liabilities </w:t>
      </w:r>
      <w:r>
        <w:t xml:space="preserve">(i.e., Treasury </w:t>
      </w:r>
      <w:r w:rsidR="001114E6">
        <w:t>G</w:t>
      </w:r>
      <w:r>
        <w:t>rants and wind-</w:t>
      </w:r>
      <w:r w:rsidR="00663D88" w:rsidRPr="00483DEF">
        <w:t xml:space="preserve">related </w:t>
      </w:r>
      <w:r w:rsidR="008758A1" w:rsidRPr="00483DEF">
        <w:t>Production Tax Credits</w:t>
      </w:r>
      <w:r>
        <w:t>)</w:t>
      </w:r>
      <w:r w:rsidR="00663D88" w:rsidRPr="00483DEF">
        <w:t xml:space="preserve"> to offset decommissioning and remediation costs for Colstrip </w:t>
      </w:r>
      <w:r>
        <w:t>U</w:t>
      </w:r>
      <w:r w:rsidR="00663D88" w:rsidRPr="00483DEF">
        <w:t>nits</w:t>
      </w:r>
      <w:r>
        <w:t> </w:t>
      </w:r>
      <w:r w:rsidR="00663D88" w:rsidRPr="00483DEF">
        <w:t>1</w:t>
      </w:r>
      <w:r>
        <w:t> &amp; 2 (see Chapter 80.84 RCW (Transition of Eligible Coal Units)); and</w:t>
      </w:r>
    </w:p>
    <w:p w:rsidR="00F07638" w:rsidRDefault="00F07638" w:rsidP="00F07638">
      <w:pPr>
        <w:pStyle w:val="answer"/>
        <w:spacing w:before="0" w:after="280" w:line="240" w:lineRule="auto"/>
        <w:ind w:left="2160" w:right="720"/>
      </w:pPr>
      <w:r>
        <w:t>(iv)</w:t>
      </w:r>
      <w:r>
        <w:tab/>
        <w:t xml:space="preserve">RCW 80.84.020 requires an </w:t>
      </w:r>
      <w:r w:rsidRPr="00F07638">
        <w:t>adjudicative proceeding under chapters 34.05 and 80.04</w:t>
      </w:r>
      <w:r>
        <w:t> </w:t>
      </w:r>
      <w:r w:rsidRPr="00F07638">
        <w:t>RCW</w:t>
      </w:r>
      <w:r>
        <w:t xml:space="preserve"> prior to the authorization of PSE </w:t>
      </w:r>
      <w:r w:rsidRPr="00F07638">
        <w:t>to place amounts from one or more regulatory liabilities into a retirement account to cover decommissioning and remediation costs of eligible coal units.</w:t>
      </w:r>
    </w:p>
    <w:p w:rsidR="00663D88" w:rsidRPr="00B06379" w:rsidRDefault="00663D88" w:rsidP="00B06379">
      <w:pPr>
        <w:pStyle w:val="question"/>
      </w:pPr>
      <w:r w:rsidRPr="00232432">
        <w:t>Q.</w:t>
      </w:r>
      <w:r w:rsidRPr="00232432">
        <w:tab/>
      </w:r>
      <w:r w:rsidR="00F07638">
        <w:t xml:space="preserve">Please describe PSE’s </w:t>
      </w:r>
      <w:r w:rsidRPr="00232432">
        <w:t xml:space="preserve">legislative activities relating to the decommissioning and remediation </w:t>
      </w:r>
      <w:r w:rsidR="00F07638">
        <w:t xml:space="preserve">costs associated with </w:t>
      </w:r>
      <w:r w:rsidRPr="00232432">
        <w:t xml:space="preserve">Colstrip </w:t>
      </w:r>
      <w:r w:rsidR="00F07638">
        <w:t>U</w:t>
      </w:r>
      <w:r w:rsidRPr="00232432">
        <w:t>nits</w:t>
      </w:r>
      <w:r w:rsidR="00F07638">
        <w:t> </w:t>
      </w:r>
      <w:r w:rsidRPr="00232432">
        <w:t>1</w:t>
      </w:r>
      <w:r w:rsidR="00F07638">
        <w:t xml:space="preserve"> &amp; </w:t>
      </w:r>
      <w:r w:rsidRPr="00232432">
        <w:t>2.</w:t>
      </w:r>
    </w:p>
    <w:p w:rsidR="00663D88" w:rsidRPr="00483DEF" w:rsidRDefault="00663D88" w:rsidP="009276E8">
      <w:pPr>
        <w:pStyle w:val="answer"/>
      </w:pPr>
      <w:r w:rsidRPr="00483DEF">
        <w:t>A.</w:t>
      </w:r>
      <w:r w:rsidRPr="00483DEF">
        <w:tab/>
        <w:t xml:space="preserve">Once it became clear that the </w:t>
      </w:r>
      <w:r w:rsidR="008758A1">
        <w:t xml:space="preserve">retirement </w:t>
      </w:r>
      <w:r w:rsidRPr="00483DEF">
        <w:t xml:space="preserve">of Colstrip </w:t>
      </w:r>
      <w:r w:rsidR="00F07638">
        <w:t>U</w:t>
      </w:r>
      <w:r w:rsidRPr="00483DEF">
        <w:t>nits</w:t>
      </w:r>
      <w:r w:rsidR="00F07638">
        <w:t> </w:t>
      </w:r>
      <w:r w:rsidRPr="00483DEF">
        <w:t>1</w:t>
      </w:r>
      <w:r w:rsidR="00F07638">
        <w:t xml:space="preserve"> &amp; 2 </w:t>
      </w:r>
      <w:r w:rsidRPr="00483DEF">
        <w:t>was becoming increasingly imminent</w:t>
      </w:r>
      <w:r>
        <w:t>,</w:t>
      </w:r>
      <w:r w:rsidRPr="00483DEF">
        <w:t xml:space="preserve"> </w:t>
      </w:r>
      <w:r w:rsidR="00F07638">
        <w:t>t</w:t>
      </w:r>
      <w:r w:rsidRPr="00483DEF">
        <w:t>he time became ripe for considering and developing fair and appropriate decommissioning and remediation cost recovery mechanisms for presentation to the commission.</w:t>
      </w:r>
      <w:r w:rsidR="00FA5509">
        <w:t xml:space="preserve"> </w:t>
      </w:r>
      <w:r w:rsidR="00F07638">
        <w:t xml:space="preserve">In particular, PSE desired a proposal for the </w:t>
      </w:r>
      <w:r w:rsidRPr="00483DEF">
        <w:t xml:space="preserve">prospective recovery of decommissioning and remediation costs related to the </w:t>
      </w:r>
      <w:r w:rsidR="008758A1">
        <w:t>retirement</w:t>
      </w:r>
      <w:r w:rsidRPr="00483DEF">
        <w:t xml:space="preserve"> of Colstrip </w:t>
      </w:r>
      <w:r w:rsidR="00F07638">
        <w:t>U</w:t>
      </w:r>
      <w:r w:rsidRPr="00483DEF">
        <w:t>nits</w:t>
      </w:r>
      <w:r w:rsidR="00F07638">
        <w:t> </w:t>
      </w:r>
      <w:r w:rsidRPr="00483DEF">
        <w:t>1</w:t>
      </w:r>
      <w:r w:rsidR="00F07638">
        <w:t xml:space="preserve"> &amp; </w:t>
      </w:r>
      <w:r w:rsidRPr="00483DEF">
        <w:t xml:space="preserve">2 </w:t>
      </w:r>
      <w:r w:rsidR="00F07638">
        <w:t xml:space="preserve">that would be </w:t>
      </w:r>
      <w:r w:rsidRPr="00483DEF">
        <w:t>cost</w:t>
      </w:r>
      <w:r w:rsidR="00F07638">
        <w:t>-effective</w:t>
      </w:r>
      <w:r w:rsidRPr="00483DEF">
        <w:t xml:space="preserve"> and </w:t>
      </w:r>
      <w:r w:rsidR="00F07638">
        <w:t>address</w:t>
      </w:r>
      <w:r w:rsidR="00C30E0A">
        <w:t xml:space="preserve"> </w:t>
      </w:r>
      <w:r w:rsidRPr="00483DEF">
        <w:t>intergenerational equity considerations.</w:t>
      </w:r>
    </w:p>
    <w:p w:rsidR="00663D88" w:rsidRPr="00232432" w:rsidRDefault="00663D88" w:rsidP="009276E8">
      <w:pPr>
        <w:pStyle w:val="question"/>
      </w:pPr>
      <w:r w:rsidRPr="00232432">
        <w:t>Q.</w:t>
      </w:r>
      <w:r w:rsidRPr="00232432">
        <w:tab/>
        <w:t>What do you mean by intergenerational equity considerations?</w:t>
      </w:r>
    </w:p>
    <w:p w:rsidR="00663D88" w:rsidRPr="00483DEF" w:rsidRDefault="00663D88" w:rsidP="009276E8">
      <w:pPr>
        <w:pStyle w:val="answer"/>
      </w:pPr>
      <w:r w:rsidRPr="00483DEF">
        <w:t>A.</w:t>
      </w:r>
      <w:r w:rsidRPr="00483DEF">
        <w:tab/>
        <w:t xml:space="preserve">Intergenerational equity is a ratemaking principle that commissions, in general, follow in the utility ratemaking process. In short, it states that the customers who benefit directly from an asset placed in service or an expense incurred for the provision of their electric or gas services, shall bear the cost burden of </w:t>
      </w:r>
      <w:r w:rsidR="00F07638">
        <w:t xml:space="preserve">those same </w:t>
      </w:r>
      <w:r w:rsidR="00F07638">
        <w:lastRenderedPageBreak/>
        <w:t>assets or expenses. PSE had concerns regarding cost-recovery mechanisms that would burden future customers</w:t>
      </w:r>
      <w:r w:rsidR="008758A1">
        <w:t>—</w:t>
      </w:r>
      <w:r w:rsidR="00F07638">
        <w:t xml:space="preserve">who never </w:t>
      </w:r>
      <w:r w:rsidR="00F07638" w:rsidRPr="00483DEF">
        <w:t xml:space="preserve">directly received benefits of the reliable and cost-effective operation of Colstrip </w:t>
      </w:r>
      <w:r w:rsidR="00F07638">
        <w:t>U</w:t>
      </w:r>
      <w:r w:rsidR="00F07638" w:rsidRPr="00483DEF">
        <w:t>nits</w:t>
      </w:r>
      <w:r w:rsidR="00F07638">
        <w:t> </w:t>
      </w:r>
      <w:r w:rsidR="00F07638" w:rsidRPr="00483DEF">
        <w:t>1</w:t>
      </w:r>
      <w:r w:rsidR="00F07638">
        <w:t> &amp; 2</w:t>
      </w:r>
      <w:r w:rsidR="008758A1">
        <w:t>—</w:t>
      </w:r>
      <w:r w:rsidR="00F07638">
        <w:t xml:space="preserve">with all of the decommissioning and remediation costs of those resources. Thus, </w:t>
      </w:r>
      <w:r w:rsidRPr="00483DEF">
        <w:t>the question becomes</w:t>
      </w:r>
      <w:r>
        <w:t>,</w:t>
      </w:r>
      <w:r w:rsidRPr="00483DEF">
        <w:t xml:space="preserve"> </w:t>
      </w:r>
      <w:r>
        <w:t>“</w:t>
      </w:r>
      <w:r w:rsidRPr="00483DEF">
        <w:t xml:space="preserve">what kind of decommissioning and remediation cost recovery mechanism fairly and appropriately minimizes the intergenerational equity </w:t>
      </w:r>
      <w:r w:rsidR="00F07638">
        <w:t xml:space="preserve">considerations </w:t>
      </w:r>
      <w:r w:rsidRPr="00483DEF">
        <w:t>and results in the most cost-effective recovery of the related costs</w:t>
      </w:r>
      <w:r>
        <w:t>?”</w:t>
      </w:r>
      <w:r w:rsidR="00F07638">
        <w:t xml:space="preserve"> T</w:t>
      </w:r>
      <w:r w:rsidRPr="00483DEF">
        <w:t xml:space="preserve">his was a balancing act </w:t>
      </w:r>
      <w:r w:rsidR="00F07638">
        <w:t xml:space="preserve">because </w:t>
      </w:r>
      <w:r w:rsidRPr="00483DEF">
        <w:t xml:space="preserve">it is difficult to optimize both the intergenerational equity </w:t>
      </w:r>
      <w:r w:rsidR="00F07638">
        <w:t xml:space="preserve">considerations </w:t>
      </w:r>
      <w:r w:rsidRPr="00483DEF">
        <w:t>and cost-effectiveness objective</w:t>
      </w:r>
      <w:r>
        <w:t>s</w:t>
      </w:r>
      <w:r w:rsidRPr="00483DEF">
        <w:t xml:space="preserve"> simultaneously.</w:t>
      </w:r>
    </w:p>
    <w:p w:rsidR="00663D88" w:rsidRPr="00B06379" w:rsidRDefault="00663D88" w:rsidP="00B06379">
      <w:pPr>
        <w:pStyle w:val="question"/>
      </w:pPr>
      <w:r w:rsidRPr="00232432">
        <w:t>Q.</w:t>
      </w:r>
      <w:r w:rsidRPr="00232432">
        <w:tab/>
      </w:r>
      <w:r w:rsidR="00F07638">
        <w:t xml:space="preserve">Did PSE consider </w:t>
      </w:r>
      <w:r w:rsidR="00F07638" w:rsidRPr="00483DEF">
        <w:t>traditional regulatory methods of cost recovery</w:t>
      </w:r>
      <w:r w:rsidR="00F07638">
        <w:t xml:space="preserve"> to recover the decommissioning and remediation costs for Colstrip Units 1 &amp; 2</w:t>
      </w:r>
      <w:r w:rsidRPr="00232432">
        <w:t>?</w:t>
      </w:r>
    </w:p>
    <w:p w:rsidR="00F07638" w:rsidRDefault="00663D88" w:rsidP="009276E8">
      <w:pPr>
        <w:pStyle w:val="answer"/>
      </w:pPr>
      <w:r w:rsidRPr="00483DEF">
        <w:t>A.</w:t>
      </w:r>
      <w:r w:rsidRPr="00483DEF">
        <w:tab/>
      </w:r>
      <w:r w:rsidR="00F07638">
        <w:t>Yes. PSE consider</w:t>
      </w:r>
      <w:r w:rsidR="00C30E0A">
        <w:t>ed</w:t>
      </w:r>
      <w:r w:rsidR="00F07638">
        <w:t xml:space="preserve"> </w:t>
      </w:r>
      <w:r w:rsidR="00F07638" w:rsidRPr="00483DEF">
        <w:t>traditional regulatory methods of cost recovery</w:t>
      </w:r>
      <w:r w:rsidR="00F07638">
        <w:t xml:space="preserve"> to recover the decommissioning and remediation costs for Colstrip Units 1 &amp; 2. PSE was concerned that </w:t>
      </w:r>
      <w:r w:rsidRPr="00483DEF">
        <w:t xml:space="preserve">traditional regulatory methods of cost recovery would not likely resolve or meet either of </w:t>
      </w:r>
      <w:r w:rsidR="00F07638">
        <w:t xml:space="preserve">the </w:t>
      </w:r>
      <w:r w:rsidRPr="00483DEF">
        <w:t xml:space="preserve">intergenerational equity </w:t>
      </w:r>
      <w:r w:rsidR="00F07638">
        <w:t xml:space="preserve">considerations </w:t>
      </w:r>
      <w:r w:rsidRPr="00483DEF">
        <w:t xml:space="preserve">or </w:t>
      </w:r>
      <w:r w:rsidR="00F07638">
        <w:t xml:space="preserve">the </w:t>
      </w:r>
      <w:r w:rsidRPr="00483DEF">
        <w:t>cost-effectiveness objectives. More specifically, creating a regulatory asset for future decommissioning and remediation costs</w:t>
      </w:r>
      <w:r w:rsidR="004058DE">
        <w:t xml:space="preserve"> that would be </w:t>
      </w:r>
      <w:r w:rsidR="009D1FD5">
        <w:t xml:space="preserve">included </w:t>
      </w:r>
      <w:r w:rsidRPr="00483DEF">
        <w:t>in rate base and amortiz</w:t>
      </w:r>
      <w:r w:rsidR="009D1FD5">
        <w:t>ed</w:t>
      </w:r>
      <w:r w:rsidRPr="00483DEF">
        <w:t xml:space="preserve"> into the future</w:t>
      </w:r>
      <w:r w:rsidR="00F07638">
        <w:t xml:space="preserve"> (i) would not </w:t>
      </w:r>
      <w:r w:rsidRPr="00483DEF">
        <w:t xml:space="preserve">resolve the intergenerational equity </w:t>
      </w:r>
      <w:r w:rsidR="00F07638">
        <w:t>considerations adequately and (ii</w:t>
      </w:r>
      <w:r w:rsidRPr="00483DEF">
        <w:t>)</w:t>
      </w:r>
      <w:r w:rsidR="00F07638">
        <w:t xml:space="preserve"> would not likely be the </w:t>
      </w:r>
      <w:r w:rsidRPr="00483DEF">
        <w:t>most cost</w:t>
      </w:r>
      <w:r w:rsidR="00F07638">
        <w:t>-</w:t>
      </w:r>
      <w:r w:rsidRPr="00483DEF">
        <w:t xml:space="preserve">effective method to </w:t>
      </w:r>
      <w:r w:rsidR="008758A1">
        <w:t>recover the</w:t>
      </w:r>
      <w:r w:rsidRPr="00483DEF">
        <w:t xml:space="preserve"> </w:t>
      </w:r>
      <w:r w:rsidR="00F07638">
        <w:t xml:space="preserve">decommissioning and remediation </w:t>
      </w:r>
      <w:r w:rsidRPr="00483DEF">
        <w:t>costs.</w:t>
      </w:r>
    </w:p>
    <w:p w:rsidR="00663D88" w:rsidRPr="00B06379" w:rsidRDefault="00663D88" w:rsidP="00B06379">
      <w:pPr>
        <w:pStyle w:val="question"/>
      </w:pPr>
      <w:r w:rsidRPr="00232432">
        <w:lastRenderedPageBreak/>
        <w:t>Q.</w:t>
      </w:r>
      <w:r w:rsidRPr="00232432">
        <w:tab/>
        <w:t xml:space="preserve">What alternative cost recovery mechanism did </w:t>
      </w:r>
      <w:r w:rsidR="00F07638">
        <w:t xml:space="preserve">PSE </w:t>
      </w:r>
      <w:r w:rsidRPr="00232432">
        <w:t>consider?</w:t>
      </w:r>
    </w:p>
    <w:p w:rsidR="00F5352D" w:rsidRDefault="00663D88" w:rsidP="00F5352D">
      <w:pPr>
        <w:pStyle w:val="answer"/>
      </w:pPr>
      <w:r w:rsidRPr="00483DEF">
        <w:t>A.</w:t>
      </w:r>
      <w:r w:rsidRPr="00483DEF">
        <w:tab/>
      </w:r>
      <w:r w:rsidR="00F07638">
        <w:t xml:space="preserve">PSE considered how it </w:t>
      </w:r>
      <w:r w:rsidRPr="00483DEF">
        <w:t xml:space="preserve">might re-purpose certain </w:t>
      </w:r>
      <w:r w:rsidR="00F07638">
        <w:t>regulatory liabilities (i.e.</w:t>
      </w:r>
      <w:r w:rsidRPr="00483DEF">
        <w:t>, Treasury Grants and wind-related Production Tax Credits</w:t>
      </w:r>
      <w:r w:rsidR="00F07638">
        <w:t>)</w:t>
      </w:r>
      <w:r w:rsidRPr="00483DEF">
        <w:t xml:space="preserve"> into a fair and appropriate mechanism for the recovery of </w:t>
      </w:r>
      <w:r w:rsidR="00F07638" w:rsidRPr="00483DEF">
        <w:t xml:space="preserve">Colstrip </w:t>
      </w:r>
      <w:r w:rsidR="00F07638">
        <w:t>U</w:t>
      </w:r>
      <w:r w:rsidR="00F07638" w:rsidRPr="00483DEF">
        <w:t>nits</w:t>
      </w:r>
      <w:r w:rsidR="00F07638">
        <w:t> </w:t>
      </w:r>
      <w:r w:rsidR="00F07638" w:rsidRPr="00483DEF">
        <w:t>1</w:t>
      </w:r>
      <w:r w:rsidR="00F07638">
        <w:t> </w:t>
      </w:r>
      <w:r w:rsidR="00F07638" w:rsidRPr="00483DEF">
        <w:t>&amp; 2</w:t>
      </w:r>
      <w:r w:rsidR="00F07638">
        <w:t xml:space="preserve"> </w:t>
      </w:r>
      <w:r w:rsidRPr="00483DEF">
        <w:t>decommissioning and remediation costs</w:t>
      </w:r>
      <w:r w:rsidR="00F07638">
        <w:t>. Under this proposal, PSE would repurpose these regulatory l</w:t>
      </w:r>
      <w:r w:rsidR="00CC214C">
        <w:t>i</w:t>
      </w:r>
      <w:r w:rsidR="00F07638">
        <w:t xml:space="preserve">abilities </w:t>
      </w:r>
      <w:r w:rsidRPr="00483DEF">
        <w:t xml:space="preserve">to </w:t>
      </w:r>
      <w:r w:rsidR="00F07638">
        <w:t>off</w:t>
      </w:r>
      <w:r w:rsidRPr="00483DEF">
        <w:t xml:space="preserve">set and fund </w:t>
      </w:r>
      <w:r w:rsidR="00F07638">
        <w:t xml:space="preserve">Colstrip Units 1 &amp; 2 </w:t>
      </w:r>
      <w:r w:rsidRPr="00483DEF">
        <w:t xml:space="preserve">decommissioning and remediation costs </w:t>
      </w:r>
      <w:r w:rsidR="00F07638">
        <w:t xml:space="preserve">rather than </w:t>
      </w:r>
      <w:r w:rsidR="00F07638" w:rsidRPr="00483DEF">
        <w:t xml:space="preserve">pass back these tax benefits to customers in the form of lower </w:t>
      </w:r>
      <w:r w:rsidR="00F07638">
        <w:t xml:space="preserve">current </w:t>
      </w:r>
      <w:r w:rsidR="00F07638" w:rsidRPr="00483DEF">
        <w:t>rates</w:t>
      </w:r>
      <w:r w:rsidR="008758A1">
        <w:t xml:space="preserve"> than would be provided prior to having to incur the decommissioning and remediation costs</w:t>
      </w:r>
      <w:r w:rsidR="00F07638">
        <w:t>.</w:t>
      </w:r>
    </w:p>
    <w:p w:rsidR="00F07638" w:rsidRPr="00483DEF" w:rsidRDefault="00F07638" w:rsidP="00F5352D">
      <w:pPr>
        <w:pStyle w:val="answer"/>
        <w:ind w:firstLine="0"/>
      </w:pPr>
      <w:r>
        <w:t xml:space="preserve">In the 2016 legislative session, PSE </w:t>
      </w:r>
      <w:r w:rsidRPr="00483DEF">
        <w:t xml:space="preserve">worked with the legislature and other stakeholders to enact a bill that provides for the repurposing of tax benefits to </w:t>
      </w:r>
      <w:r>
        <w:t xml:space="preserve">recover </w:t>
      </w:r>
      <w:r w:rsidRPr="00483DEF">
        <w:t xml:space="preserve">Colstrip </w:t>
      </w:r>
      <w:r>
        <w:t>U</w:t>
      </w:r>
      <w:r w:rsidRPr="00483DEF">
        <w:t>ni</w:t>
      </w:r>
      <w:r>
        <w:t>t</w:t>
      </w:r>
      <w:r w:rsidRPr="00483DEF">
        <w:t>s</w:t>
      </w:r>
      <w:r>
        <w:t> </w:t>
      </w:r>
      <w:r w:rsidRPr="00483DEF">
        <w:t>1</w:t>
      </w:r>
      <w:r>
        <w:t> </w:t>
      </w:r>
      <w:r w:rsidRPr="00483DEF">
        <w:t>&amp; 2</w:t>
      </w:r>
      <w:r>
        <w:t xml:space="preserve"> decommissioning and remediation costs. </w:t>
      </w:r>
      <w:r w:rsidRPr="00483DEF">
        <w:t xml:space="preserve">The </w:t>
      </w:r>
      <w:r>
        <w:t xml:space="preserve">legislature passed the </w:t>
      </w:r>
      <w:r w:rsidRPr="00483DEF">
        <w:t>bill during the 2016 legislative session</w:t>
      </w:r>
      <w:r>
        <w:t xml:space="preserve">, and it was subsequently signed </w:t>
      </w:r>
      <w:r w:rsidR="00C30E0A">
        <w:t xml:space="preserve">into law </w:t>
      </w:r>
      <w:r>
        <w:t>by Governor Inslee</w:t>
      </w:r>
      <w:r w:rsidRPr="00483DEF">
        <w:t>.</w:t>
      </w:r>
    </w:p>
    <w:p w:rsidR="00F07638" w:rsidRPr="00B06379" w:rsidRDefault="00F07638" w:rsidP="00F07638">
      <w:pPr>
        <w:pStyle w:val="question"/>
      </w:pPr>
      <w:r w:rsidRPr="00232432">
        <w:t>Q.</w:t>
      </w:r>
      <w:r w:rsidRPr="00232432">
        <w:tab/>
        <w:t xml:space="preserve">Does the </w:t>
      </w:r>
      <w:r>
        <w:t>use of regulatory liabilities to offset Colstrip Units 1 &amp; 2 decommissioning and remediation costs resolve PSE’s intergenerational equity considerations</w:t>
      </w:r>
      <w:r w:rsidRPr="00232432">
        <w:t>?</w:t>
      </w:r>
    </w:p>
    <w:p w:rsidR="00663D88" w:rsidRPr="00483DEF" w:rsidRDefault="00F07638" w:rsidP="00A275BF">
      <w:pPr>
        <w:pStyle w:val="answer"/>
      </w:pPr>
      <w:r>
        <w:t>A.</w:t>
      </w:r>
      <w:r>
        <w:tab/>
        <w:t>Yes. T</w:t>
      </w:r>
      <w:r w:rsidRPr="00232432">
        <w:t xml:space="preserve">he </w:t>
      </w:r>
      <w:r>
        <w:t>use of regulatory liabilities to offset Colstrip Units 1 &amp; 2 decommissioning and remediation costs resolves PSE’s intergenerational equity considerations</w:t>
      </w:r>
      <w:r w:rsidR="00C30E0A">
        <w:t>.</w:t>
      </w:r>
      <w:r>
        <w:t xml:space="preserve"> In effect, the concept re</w:t>
      </w:r>
      <w:r w:rsidR="00663D88" w:rsidRPr="00483DEF">
        <w:t>deploys certain Federal tax policy</w:t>
      </w:r>
      <w:r w:rsidR="00C30E0A">
        <w:t xml:space="preserve"> benefits</w:t>
      </w:r>
      <w:r w:rsidR="00663D88" w:rsidRPr="00483DEF">
        <w:t xml:space="preserve"> to absorb and offset </w:t>
      </w:r>
      <w:r>
        <w:t xml:space="preserve">Colstrip Units 1 &amp; 2 </w:t>
      </w:r>
      <w:r w:rsidR="00663D88" w:rsidRPr="00483DEF">
        <w:t>decommissioning and remediation costs.</w:t>
      </w:r>
      <w:r>
        <w:t xml:space="preserve"> </w:t>
      </w:r>
      <w:r w:rsidR="00663D88" w:rsidRPr="00483DEF">
        <w:t xml:space="preserve">Doing so saves future generations of customers from the cost burden of </w:t>
      </w:r>
      <w:r w:rsidR="00663D88" w:rsidRPr="00483DEF">
        <w:lastRenderedPageBreak/>
        <w:t xml:space="preserve">decommissioning and remediating Colstrip </w:t>
      </w:r>
      <w:r>
        <w:t>U</w:t>
      </w:r>
      <w:r w:rsidR="00663D88" w:rsidRPr="00483DEF">
        <w:t>nits</w:t>
      </w:r>
      <w:r>
        <w:t> </w:t>
      </w:r>
      <w:r w:rsidR="00663D88" w:rsidRPr="00483DEF">
        <w:t>1</w:t>
      </w:r>
      <w:r>
        <w:t> </w:t>
      </w:r>
      <w:r w:rsidR="00663D88" w:rsidRPr="00483DEF">
        <w:t xml:space="preserve">&amp; 2 thereby </w:t>
      </w:r>
      <w:r>
        <w:t>re</w:t>
      </w:r>
      <w:r w:rsidR="00663D88" w:rsidRPr="00483DEF">
        <w:t xml:space="preserve">solving the intergenerational equity </w:t>
      </w:r>
      <w:r>
        <w:t>considerations</w:t>
      </w:r>
      <w:r w:rsidR="00663D88" w:rsidRPr="00483DEF">
        <w:t>.</w:t>
      </w:r>
    </w:p>
    <w:p w:rsidR="00663D88" w:rsidRPr="00B06379" w:rsidRDefault="00663D88" w:rsidP="00B06379">
      <w:pPr>
        <w:pStyle w:val="question"/>
      </w:pPr>
      <w:r w:rsidRPr="00232432">
        <w:t>Q.</w:t>
      </w:r>
      <w:r w:rsidRPr="00232432">
        <w:tab/>
        <w:t xml:space="preserve">Does the </w:t>
      </w:r>
      <w:r w:rsidR="00F07638">
        <w:t xml:space="preserve">use of regulatory liabilities to offset Colstrip Units 1 &amp; 2 decommissioning and remediation costs resolve PSE’s </w:t>
      </w:r>
      <w:r w:rsidRPr="00232432">
        <w:t>objective</w:t>
      </w:r>
      <w:r w:rsidR="00F07638">
        <w:t xml:space="preserve"> of cost-effectiveness</w:t>
      </w:r>
      <w:r w:rsidRPr="00232432">
        <w:t>?</w:t>
      </w:r>
    </w:p>
    <w:p w:rsidR="008758A1" w:rsidRDefault="00AB5576" w:rsidP="00A275BF">
      <w:pPr>
        <w:pStyle w:val="answer"/>
      </w:pPr>
      <w:r>
        <w:t>A.</w:t>
      </w:r>
      <w:r>
        <w:tab/>
      </w:r>
      <w:r w:rsidR="00CC214C">
        <w:t>Yes</w:t>
      </w:r>
      <w:r w:rsidR="00803EC2">
        <w:t>, the use of regulatory liabilities to offset these costs is cost effective</w:t>
      </w:r>
      <w:r w:rsidR="00CC214C">
        <w:t xml:space="preserve"> on several fronts.</w:t>
      </w:r>
      <w:r w:rsidR="00FA5509">
        <w:t xml:space="preserve"> </w:t>
      </w:r>
      <w:r w:rsidR="00F07638">
        <w:t>First, t</w:t>
      </w:r>
      <w:r w:rsidR="00663D88" w:rsidRPr="00483DEF">
        <w:t xml:space="preserve">he mechanism eliminates the need to charge </w:t>
      </w:r>
      <w:r w:rsidR="00F07638">
        <w:t xml:space="preserve">current and </w:t>
      </w:r>
      <w:r w:rsidR="00663D88" w:rsidRPr="00483DEF">
        <w:t xml:space="preserve">future generations of customers for Colstrip </w:t>
      </w:r>
      <w:r w:rsidR="00F07638">
        <w:t>U</w:t>
      </w:r>
      <w:r w:rsidR="00663D88" w:rsidRPr="00483DEF">
        <w:t>nits</w:t>
      </w:r>
      <w:r w:rsidR="00F07638">
        <w:t> </w:t>
      </w:r>
      <w:r w:rsidR="00663D88" w:rsidRPr="00483DEF">
        <w:t>1</w:t>
      </w:r>
      <w:r w:rsidR="00F07638">
        <w:t> </w:t>
      </w:r>
      <w:r w:rsidR="00663D88" w:rsidRPr="00483DEF">
        <w:t xml:space="preserve">&amp; 2 </w:t>
      </w:r>
      <w:r w:rsidR="00F07638" w:rsidRPr="00483DEF">
        <w:t xml:space="preserve">decommissioning and remediating </w:t>
      </w:r>
      <w:r w:rsidR="00F07638">
        <w:t xml:space="preserve">costs because the </w:t>
      </w:r>
      <w:r w:rsidR="00663D88" w:rsidRPr="00483DEF">
        <w:t xml:space="preserve">repurposed </w:t>
      </w:r>
      <w:r w:rsidR="00F07638">
        <w:t xml:space="preserve">regulatory liabilities </w:t>
      </w:r>
      <w:r w:rsidR="00663D88" w:rsidRPr="00483DEF">
        <w:t xml:space="preserve">absorb and offset those </w:t>
      </w:r>
      <w:r w:rsidR="00F07638">
        <w:t xml:space="preserve">costs. Second, PSE will </w:t>
      </w:r>
      <w:r w:rsidR="00663D88">
        <w:t>continue to treat</w:t>
      </w:r>
      <w:r w:rsidR="00F07638">
        <w:t xml:space="preserve"> these regulatory liabilities</w:t>
      </w:r>
      <w:r w:rsidR="00663D88">
        <w:t xml:space="preserve"> as reduction</w:t>
      </w:r>
      <w:r w:rsidR="00F07638">
        <w:t>s</w:t>
      </w:r>
      <w:r w:rsidR="00663D88">
        <w:t xml:space="preserve"> to rate base</w:t>
      </w:r>
      <w:r w:rsidR="00F07638">
        <w:t xml:space="preserve"> (and </w:t>
      </w:r>
      <w:r w:rsidR="00663D88">
        <w:t>thereby benefitting customers</w:t>
      </w:r>
      <w:r w:rsidR="00F07638">
        <w:t xml:space="preserve">) until the tax benefits are fully utilized to offset </w:t>
      </w:r>
      <w:r w:rsidR="00F07638" w:rsidRPr="00483DEF">
        <w:t xml:space="preserve">Colstrip </w:t>
      </w:r>
      <w:r w:rsidR="00F07638">
        <w:t>U</w:t>
      </w:r>
      <w:r w:rsidR="00F07638" w:rsidRPr="00483DEF">
        <w:t>nits</w:t>
      </w:r>
      <w:r w:rsidR="00F07638">
        <w:t> </w:t>
      </w:r>
      <w:r w:rsidR="00F07638" w:rsidRPr="00483DEF">
        <w:t>1</w:t>
      </w:r>
      <w:r w:rsidR="00F07638">
        <w:t> </w:t>
      </w:r>
      <w:r w:rsidR="00F07638" w:rsidRPr="00483DEF">
        <w:t xml:space="preserve">&amp; 2 decommissioning and remediating </w:t>
      </w:r>
      <w:r w:rsidR="00F07638">
        <w:t>costs</w:t>
      </w:r>
      <w:r w:rsidR="00663D88">
        <w:t xml:space="preserve">. </w:t>
      </w:r>
      <w:r w:rsidR="00663D88" w:rsidRPr="00483DEF">
        <w:t xml:space="preserve">Further, the mechanism eliminates the need for </w:t>
      </w:r>
      <w:r w:rsidR="00F07638">
        <w:t>recovery of carrying costs associated with regulatory assets that would likely be established to recover these costs under traditional ratemaking methodologies.</w:t>
      </w:r>
      <w:r w:rsidR="00FA5509">
        <w:t xml:space="preserve"> </w:t>
      </w:r>
      <w:r w:rsidR="00CC214C">
        <w:t>In the final analysis, t</w:t>
      </w:r>
      <w:r w:rsidR="00477B59">
        <w:t>his innovative alternative</w:t>
      </w:r>
      <w:r w:rsidR="00CC214C" w:rsidRPr="00BA6C78">
        <w:t xml:space="preserve"> </w:t>
      </w:r>
      <w:r w:rsidR="00CC214C" w:rsidRPr="006416B2">
        <w:t>will save customers approximately $</w:t>
      </w:r>
      <w:r w:rsidR="00BA6C78" w:rsidRPr="00BA6C78">
        <w:t>71.2</w:t>
      </w:r>
      <w:r w:rsidR="00064654">
        <w:t> </w:t>
      </w:r>
      <w:r w:rsidR="00CC214C" w:rsidRPr="006416B2">
        <w:t>million in nominal terms</w:t>
      </w:r>
      <w:r w:rsidR="00CC214C">
        <w:rPr>
          <w:b/>
        </w:rPr>
        <w:t xml:space="preserve"> </w:t>
      </w:r>
      <w:r w:rsidR="00CC214C" w:rsidRPr="00BA6C78">
        <w:t>and $49.</w:t>
      </w:r>
      <w:r w:rsidR="00BA6C78">
        <w:t>5</w:t>
      </w:r>
      <w:r w:rsidR="00CC214C" w:rsidRPr="00BA6C78">
        <w:t xml:space="preserve"> million on a net present value basis versus c</w:t>
      </w:r>
      <w:r w:rsidR="006C1448">
        <w:t>ollecting those costs through a</w:t>
      </w:r>
      <w:r w:rsidR="00CC214C" w:rsidRPr="00BA6C78">
        <w:t xml:space="preserve"> </w:t>
      </w:r>
      <w:r w:rsidR="00BA6C78">
        <w:t xml:space="preserve">new </w:t>
      </w:r>
      <w:r w:rsidR="00CC214C" w:rsidRPr="00BA6C78">
        <w:t>tracker mechanism</w:t>
      </w:r>
      <w:r w:rsidR="008758A1">
        <w:t>, as summarized in Table 7 below:</w:t>
      </w:r>
    </w:p>
    <w:p w:rsidR="008758A1" w:rsidRPr="00D053BC" w:rsidRDefault="008758A1" w:rsidP="008758A1">
      <w:pPr>
        <w:keepNext/>
        <w:keepLines/>
        <w:widowControl w:val="0"/>
        <w:spacing w:after="80"/>
        <w:jc w:val="center"/>
        <w:rPr>
          <w:b/>
          <w:szCs w:val="20"/>
        </w:rPr>
      </w:pPr>
      <w:r>
        <w:rPr>
          <w:b/>
          <w:szCs w:val="20"/>
        </w:rPr>
        <w:t>Table 7</w:t>
      </w:r>
      <w:r w:rsidRPr="00D053BC">
        <w:rPr>
          <w:b/>
          <w:szCs w:val="20"/>
        </w:rPr>
        <w:t xml:space="preserve"> Actual Test Year Capital Structure</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070"/>
        <w:gridCol w:w="2160"/>
      </w:tblGrid>
      <w:tr w:rsidR="00F631A8" w:rsidRPr="00F631A8" w:rsidTr="00F631A8">
        <w:trPr>
          <w:jc w:val="center"/>
        </w:trPr>
        <w:tc>
          <w:tcPr>
            <w:tcW w:w="2448" w:type="dxa"/>
            <w:tcBorders>
              <w:bottom w:val="single" w:sz="4" w:space="0" w:color="auto"/>
            </w:tcBorders>
          </w:tcPr>
          <w:p w:rsidR="00F631A8" w:rsidRPr="00F631A8" w:rsidRDefault="00F631A8" w:rsidP="00F631A8">
            <w:pPr>
              <w:pStyle w:val="answer"/>
              <w:keepNext/>
              <w:keepLines/>
              <w:spacing w:before="60" w:after="60" w:line="240" w:lineRule="auto"/>
              <w:ind w:left="0" w:firstLine="0"/>
              <w:jc w:val="center"/>
              <w:rPr>
                <w:b/>
              </w:rPr>
            </w:pPr>
            <w:r w:rsidRPr="00F631A8">
              <w:rPr>
                <w:b/>
              </w:rPr>
              <w:t>$ in Millions</w:t>
            </w:r>
          </w:p>
        </w:tc>
        <w:tc>
          <w:tcPr>
            <w:tcW w:w="2070" w:type="dxa"/>
            <w:tcBorders>
              <w:bottom w:val="single" w:sz="4" w:space="0" w:color="auto"/>
            </w:tcBorders>
          </w:tcPr>
          <w:p w:rsidR="00F631A8" w:rsidRPr="00F631A8" w:rsidRDefault="00F631A8" w:rsidP="00F631A8">
            <w:pPr>
              <w:pStyle w:val="answer"/>
              <w:keepNext/>
              <w:keepLines/>
              <w:spacing w:before="60" w:after="60" w:line="240" w:lineRule="auto"/>
              <w:ind w:left="0" w:firstLine="0"/>
              <w:jc w:val="center"/>
              <w:rPr>
                <w:b/>
              </w:rPr>
            </w:pPr>
            <w:r w:rsidRPr="00F631A8">
              <w:rPr>
                <w:b/>
              </w:rPr>
              <w:t>Nominal Value</w:t>
            </w:r>
          </w:p>
        </w:tc>
        <w:tc>
          <w:tcPr>
            <w:tcW w:w="2160" w:type="dxa"/>
            <w:tcBorders>
              <w:bottom w:val="single" w:sz="4" w:space="0" w:color="auto"/>
            </w:tcBorders>
          </w:tcPr>
          <w:p w:rsidR="00F631A8" w:rsidRPr="00F631A8" w:rsidRDefault="00F631A8" w:rsidP="00F631A8">
            <w:pPr>
              <w:pStyle w:val="answer"/>
              <w:keepNext/>
              <w:keepLines/>
              <w:spacing w:before="60" w:after="60" w:line="240" w:lineRule="auto"/>
              <w:ind w:left="0" w:firstLine="0"/>
              <w:jc w:val="center"/>
              <w:rPr>
                <w:b/>
              </w:rPr>
            </w:pPr>
            <w:r w:rsidRPr="00F631A8">
              <w:rPr>
                <w:b/>
              </w:rPr>
              <w:t>Net Present Value</w:t>
            </w:r>
          </w:p>
        </w:tc>
      </w:tr>
      <w:tr w:rsidR="00F631A8" w:rsidTr="00F631A8">
        <w:trPr>
          <w:jc w:val="center"/>
        </w:trPr>
        <w:tc>
          <w:tcPr>
            <w:tcW w:w="2448" w:type="dxa"/>
            <w:tcBorders>
              <w:top w:val="single" w:sz="4" w:space="0" w:color="auto"/>
            </w:tcBorders>
          </w:tcPr>
          <w:p w:rsidR="00F631A8" w:rsidRDefault="00F631A8" w:rsidP="00F631A8">
            <w:pPr>
              <w:pStyle w:val="answer"/>
              <w:keepNext/>
              <w:keepLines/>
              <w:spacing w:before="60" w:after="60" w:line="240" w:lineRule="auto"/>
              <w:ind w:left="0" w:firstLine="0"/>
            </w:pPr>
            <w:proofErr w:type="spellStart"/>
            <w:r>
              <w:t>D&amp;R</w:t>
            </w:r>
            <w:proofErr w:type="spellEnd"/>
            <w:r>
              <w:t xml:space="preserve"> Expense</w:t>
            </w:r>
          </w:p>
        </w:tc>
        <w:tc>
          <w:tcPr>
            <w:tcW w:w="2070" w:type="dxa"/>
            <w:tcBorders>
              <w:top w:val="single" w:sz="4" w:space="0" w:color="auto"/>
            </w:tcBorders>
          </w:tcPr>
          <w:p w:rsidR="00F631A8" w:rsidRDefault="00F631A8" w:rsidP="00F631A8">
            <w:pPr>
              <w:pStyle w:val="answer"/>
              <w:keepNext/>
              <w:keepLines/>
              <w:spacing w:before="60" w:after="60" w:line="240" w:lineRule="auto"/>
              <w:ind w:left="0" w:firstLine="0"/>
              <w:jc w:val="right"/>
            </w:pPr>
            <w:r>
              <w:t>$106.8</w:t>
            </w:r>
          </w:p>
        </w:tc>
        <w:tc>
          <w:tcPr>
            <w:tcW w:w="2160" w:type="dxa"/>
            <w:tcBorders>
              <w:top w:val="single" w:sz="4" w:space="0" w:color="auto"/>
            </w:tcBorders>
          </w:tcPr>
          <w:p w:rsidR="00F631A8" w:rsidRDefault="00F631A8" w:rsidP="00F631A8">
            <w:pPr>
              <w:pStyle w:val="answer"/>
              <w:keepNext/>
              <w:keepLines/>
              <w:spacing w:before="60" w:after="60" w:line="240" w:lineRule="auto"/>
              <w:ind w:left="0" w:firstLine="0"/>
              <w:jc w:val="right"/>
            </w:pPr>
            <w:r>
              <w:t>$47.7</w:t>
            </w:r>
          </w:p>
        </w:tc>
      </w:tr>
      <w:tr w:rsidR="00F631A8" w:rsidTr="00F631A8">
        <w:trPr>
          <w:jc w:val="center"/>
        </w:trPr>
        <w:tc>
          <w:tcPr>
            <w:tcW w:w="2448" w:type="dxa"/>
          </w:tcPr>
          <w:p w:rsidR="00F631A8" w:rsidRDefault="00F631A8" w:rsidP="00F631A8">
            <w:pPr>
              <w:pStyle w:val="answer"/>
              <w:keepNext/>
              <w:keepLines/>
              <w:spacing w:before="60" w:after="60" w:line="240" w:lineRule="auto"/>
              <w:ind w:left="0" w:firstLine="0"/>
            </w:pPr>
            <w:r>
              <w:t>PSE Proposal</w:t>
            </w:r>
          </w:p>
        </w:tc>
        <w:tc>
          <w:tcPr>
            <w:tcW w:w="2070" w:type="dxa"/>
            <w:tcBorders>
              <w:bottom w:val="single" w:sz="4" w:space="0" w:color="auto"/>
            </w:tcBorders>
          </w:tcPr>
          <w:p w:rsidR="00F631A8" w:rsidRDefault="00F631A8" w:rsidP="00F631A8">
            <w:pPr>
              <w:pStyle w:val="answer"/>
              <w:keepNext/>
              <w:keepLines/>
              <w:spacing w:before="60" w:after="60" w:line="240" w:lineRule="auto"/>
              <w:ind w:left="0" w:firstLine="0"/>
              <w:jc w:val="right"/>
            </w:pPr>
            <w:r>
              <w:t>$35.6</w:t>
            </w:r>
          </w:p>
        </w:tc>
        <w:tc>
          <w:tcPr>
            <w:tcW w:w="2160" w:type="dxa"/>
            <w:tcBorders>
              <w:bottom w:val="single" w:sz="4" w:space="0" w:color="auto"/>
            </w:tcBorders>
          </w:tcPr>
          <w:p w:rsidR="00F631A8" w:rsidRDefault="00F631A8" w:rsidP="00F631A8">
            <w:pPr>
              <w:pStyle w:val="answer"/>
              <w:keepNext/>
              <w:keepLines/>
              <w:spacing w:before="60" w:after="60" w:line="240" w:lineRule="auto"/>
              <w:ind w:left="0" w:firstLine="0"/>
              <w:jc w:val="right"/>
            </w:pPr>
            <w:r w:rsidRPr="00F631A8">
              <w:rPr>
                <w:color w:val="FF0000"/>
              </w:rPr>
              <w:t>($1.8)</w:t>
            </w:r>
          </w:p>
        </w:tc>
      </w:tr>
      <w:tr w:rsidR="00F631A8" w:rsidTr="00F631A8">
        <w:trPr>
          <w:jc w:val="center"/>
        </w:trPr>
        <w:tc>
          <w:tcPr>
            <w:tcW w:w="2448" w:type="dxa"/>
          </w:tcPr>
          <w:p w:rsidR="00F631A8" w:rsidRDefault="00F631A8" w:rsidP="00F631A8">
            <w:pPr>
              <w:pStyle w:val="answer"/>
              <w:spacing w:before="60" w:after="60" w:line="240" w:lineRule="auto"/>
              <w:ind w:left="0" w:firstLine="0"/>
            </w:pPr>
            <w:r>
              <w:t>Customer Benefits</w:t>
            </w:r>
          </w:p>
        </w:tc>
        <w:tc>
          <w:tcPr>
            <w:tcW w:w="2070" w:type="dxa"/>
            <w:tcBorders>
              <w:top w:val="single" w:sz="4" w:space="0" w:color="auto"/>
              <w:bottom w:val="double" w:sz="4" w:space="0" w:color="auto"/>
            </w:tcBorders>
          </w:tcPr>
          <w:p w:rsidR="00F631A8" w:rsidRDefault="00F631A8" w:rsidP="00F631A8">
            <w:pPr>
              <w:pStyle w:val="answer"/>
              <w:spacing w:before="60" w:after="60" w:line="240" w:lineRule="auto"/>
              <w:ind w:left="0" w:firstLine="0"/>
              <w:jc w:val="right"/>
            </w:pPr>
            <w:r>
              <w:t>$71.2</w:t>
            </w:r>
          </w:p>
        </w:tc>
        <w:tc>
          <w:tcPr>
            <w:tcW w:w="2160" w:type="dxa"/>
            <w:tcBorders>
              <w:top w:val="single" w:sz="4" w:space="0" w:color="auto"/>
              <w:bottom w:val="double" w:sz="4" w:space="0" w:color="auto"/>
            </w:tcBorders>
          </w:tcPr>
          <w:p w:rsidR="00F631A8" w:rsidRDefault="00F631A8" w:rsidP="00F631A8">
            <w:pPr>
              <w:pStyle w:val="answer"/>
              <w:spacing w:before="60" w:after="60" w:line="240" w:lineRule="auto"/>
              <w:ind w:left="0" w:firstLine="0"/>
              <w:jc w:val="right"/>
            </w:pPr>
            <w:r>
              <w:t>$49.5</w:t>
            </w:r>
          </w:p>
        </w:tc>
      </w:tr>
    </w:tbl>
    <w:p w:rsidR="00F07638" w:rsidRPr="006C1448" w:rsidRDefault="00F631A8" w:rsidP="00F631A8">
      <w:pPr>
        <w:pStyle w:val="answer"/>
        <w:spacing w:before="360"/>
        <w:ind w:firstLine="0"/>
      </w:pPr>
      <w:r>
        <w:lastRenderedPageBreak/>
        <w:t>In fact, on a standalone net present value basis, PSE’s proposal reduces projected customer bills. Therefore, PSE’s proposal both solves the intergenerational equity concern and is cost-effective for customers as well.</w:t>
      </w:r>
    </w:p>
    <w:p w:rsidR="00006243" w:rsidRPr="00B06379" w:rsidRDefault="00006243" w:rsidP="00B06379">
      <w:pPr>
        <w:pStyle w:val="question"/>
      </w:pPr>
      <w:r w:rsidRPr="00047873">
        <w:t>Q.</w:t>
      </w:r>
      <w:r w:rsidRPr="00047873">
        <w:tab/>
      </w:r>
      <w:r w:rsidR="003C3B41">
        <w:t>Could</w:t>
      </w:r>
      <w:r w:rsidR="00F1763F">
        <w:t xml:space="preserve"> </w:t>
      </w:r>
      <w:r w:rsidRPr="00047873">
        <w:t>regulatory liabilit</w:t>
      </w:r>
      <w:r w:rsidR="00F07638">
        <w:t>ies</w:t>
      </w:r>
      <w:r w:rsidRPr="00047873">
        <w:t xml:space="preserve"> for </w:t>
      </w:r>
      <w:r w:rsidR="00F07638" w:rsidRPr="00047873">
        <w:t>Production Tax Credits</w:t>
      </w:r>
      <w:r w:rsidR="00F07638">
        <w:t xml:space="preserve"> similarly be repurposed to recover decommissioning and remediation costs</w:t>
      </w:r>
      <w:r w:rsidRPr="00047873">
        <w:t>?</w:t>
      </w:r>
    </w:p>
    <w:p w:rsidR="00006243" w:rsidRDefault="00006243" w:rsidP="00A275BF">
      <w:pPr>
        <w:pStyle w:val="answer"/>
      </w:pPr>
      <w:r>
        <w:t>A.</w:t>
      </w:r>
      <w:r>
        <w:tab/>
      </w:r>
      <w:r w:rsidR="00F07638">
        <w:t>Yes</w:t>
      </w:r>
      <w:r>
        <w:t>.</w:t>
      </w:r>
      <w:r w:rsidR="00F07638">
        <w:t xml:space="preserve"> R</w:t>
      </w:r>
      <w:r w:rsidR="00F07638" w:rsidRPr="00047873">
        <w:t>egulatory liabilit</w:t>
      </w:r>
      <w:r w:rsidR="00F07638">
        <w:t>ies</w:t>
      </w:r>
      <w:r w:rsidR="00F07638" w:rsidRPr="00047873">
        <w:t xml:space="preserve"> for Production Tax Credits</w:t>
      </w:r>
      <w:r w:rsidR="00F07638">
        <w:t xml:space="preserve"> could similarly be repurposed to recover decommissioning and remediation costs. </w:t>
      </w:r>
      <w:r>
        <w:t xml:space="preserve">To date, </w:t>
      </w:r>
      <w:r w:rsidR="00F07638">
        <w:t xml:space="preserve">PSE </w:t>
      </w:r>
      <w:r>
        <w:t>has generated approximately $200</w:t>
      </w:r>
      <w:r w:rsidR="00F07638">
        <w:t> </w:t>
      </w:r>
      <w:r>
        <w:t xml:space="preserve">million of </w:t>
      </w:r>
      <w:r w:rsidR="00F07638">
        <w:t>Production Tax Credits</w:t>
      </w:r>
      <w:r>
        <w:t xml:space="preserve">. Those </w:t>
      </w:r>
      <w:r w:rsidR="00F07638">
        <w:t>Production Tax C</w:t>
      </w:r>
      <w:r>
        <w:t xml:space="preserve">redits are </w:t>
      </w:r>
      <w:r w:rsidR="00F07638">
        <w:t xml:space="preserve">currently </w:t>
      </w:r>
      <w:r>
        <w:t xml:space="preserve">reflected on </w:t>
      </w:r>
      <w:r w:rsidR="00F07638">
        <w:t xml:space="preserve">PSE’s </w:t>
      </w:r>
      <w:r>
        <w:t xml:space="preserve">balance sheet as a regulatory liability along with the associated deferred tax treatment. </w:t>
      </w:r>
      <w:r w:rsidR="00F07638">
        <w:t xml:space="preserve">Although </w:t>
      </w:r>
      <w:r>
        <w:t xml:space="preserve">these </w:t>
      </w:r>
      <w:r w:rsidR="00F07638">
        <w:t xml:space="preserve">Production Tax Credits </w:t>
      </w:r>
      <w:r>
        <w:t xml:space="preserve">have been generated, </w:t>
      </w:r>
      <w:r w:rsidR="00F07638">
        <w:t xml:space="preserve">PSE has not yet had the opportunity </w:t>
      </w:r>
      <w:r>
        <w:t xml:space="preserve">to </w:t>
      </w:r>
      <w:r w:rsidR="00F07638">
        <w:t xml:space="preserve">use the credits </w:t>
      </w:r>
      <w:r>
        <w:t>on tax return</w:t>
      </w:r>
      <w:r w:rsidR="00F07638">
        <w:t>s.</w:t>
      </w:r>
      <w:r>
        <w:t xml:space="preserve"> </w:t>
      </w:r>
      <w:r w:rsidR="00F07638">
        <w:t xml:space="preserve">Therefore, the Production Tax Credits </w:t>
      </w:r>
      <w:r>
        <w:t xml:space="preserve">have not yet been “funded” in cash through </w:t>
      </w:r>
      <w:r w:rsidR="00F07638">
        <w:t>reduced current taxes payable.</w:t>
      </w:r>
    </w:p>
    <w:p w:rsidR="00006243" w:rsidRPr="00B06379" w:rsidRDefault="00006243" w:rsidP="00B06379">
      <w:pPr>
        <w:pStyle w:val="question"/>
      </w:pPr>
      <w:r w:rsidRPr="00047873">
        <w:t>Q.</w:t>
      </w:r>
      <w:r w:rsidRPr="00047873">
        <w:tab/>
        <w:t xml:space="preserve">Is the regulatory liability for </w:t>
      </w:r>
      <w:r w:rsidR="00F07638" w:rsidRPr="00047873">
        <w:t xml:space="preserve">Production Tax Credits </w:t>
      </w:r>
      <w:r w:rsidRPr="00047873">
        <w:t xml:space="preserve">treated as a reduction to </w:t>
      </w:r>
      <w:r w:rsidR="00F07638">
        <w:t xml:space="preserve">PSE’s </w:t>
      </w:r>
      <w:r w:rsidRPr="00047873">
        <w:t>rate base?</w:t>
      </w:r>
    </w:p>
    <w:p w:rsidR="00006243" w:rsidRDefault="00006243" w:rsidP="00F631A8">
      <w:pPr>
        <w:pStyle w:val="answer"/>
      </w:pPr>
      <w:r>
        <w:t>A.</w:t>
      </w:r>
      <w:r>
        <w:tab/>
      </w:r>
      <w:r w:rsidR="00F07638">
        <w:t xml:space="preserve">No, PSE does not currently treat the </w:t>
      </w:r>
      <w:r w:rsidR="00F07638" w:rsidRPr="00047873">
        <w:t xml:space="preserve">regulatory liability for Production Tax Credits as a reduction to </w:t>
      </w:r>
      <w:r w:rsidR="00F07638">
        <w:t xml:space="preserve">PSE’s </w:t>
      </w:r>
      <w:r w:rsidR="00F07638" w:rsidRPr="00047873">
        <w:t>rate base</w:t>
      </w:r>
      <w:r w:rsidR="00F07638">
        <w:t xml:space="preserve">. </w:t>
      </w:r>
      <w:r>
        <w:t xml:space="preserve">As stated earlier, the </w:t>
      </w:r>
      <w:r w:rsidR="00F07638">
        <w:t xml:space="preserve">Production Tax Credits </w:t>
      </w:r>
      <w:r>
        <w:t xml:space="preserve">have been generated and </w:t>
      </w:r>
      <w:r w:rsidR="00F07638">
        <w:t xml:space="preserve">are </w:t>
      </w:r>
      <w:r>
        <w:t xml:space="preserve">reflected as a regulatory liability </w:t>
      </w:r>
      <w:r w:rsidR="00F07638">
        <w:t xml:space="preserve">on PSE’s balance sheet, but they have not yet been utilized </w:t>
      </w:r>
      <w:r>
        <w:t xml:space="preserve">on </w:t>
      </w:r>
      <w:r w:rsidR="00F07638">
        <w:t xml:space="preserve">a </w:t>
      </w:r>
      <w:r>
        <w:t>tax return.</w:t>
      </w:r>
      <w:r w:rsidR="00F07638">
        <w:t xml:space="preserve"> </w:t>
      </w:r>
      <w:r>
        <w:t xml:space="preserve">As the </w:t>
      </w:r>
      <w:r w:rsidR="00F07638">
        <w:t xml:space="preserve">Production Tax Credits </w:t>
      </w:r>
      <w:r>
        <w:t>are utilized on tax return</w:t>
      </w:r>
      <w:r w:rsidR="00F07638">
        <w:t>s</w:t>
      </w:r>
      <w:r>
        <w:t xml:space="preserve"> and become funded in cash through reduced current taxes payable, the funded portion of the regulatory liability </w:t>
      </w:r>
      <w:r w:rsidR="00F631A8">
        <w:t xml:space="preserve">will be reclassified to the new FERC 108 account established for Colstrip </w:t>
      </w:r>
      <w:r w:rsidR="00F631A8">
        <w:lastRenderedPageBreak/>
        <w:t xml:space="preserve">Units 1 &amp; 2, at which time it will become a </w:t>
      </w:r>
      <w:r>
        <w:t xml:space="preserve">reduction to </w:t>
      </w:r>
      <w:r w:rsidR="00F07638">
        <w:t xml:space="preserve">PSE’s </w:t>
      </w:r>
      <w:r>
        <w:t>rate base.</w:t>
      </w:r>
      <w:r w:rsidR="00F631A8">
        <w:t xml:space="preserve"> Please see the </w:t>
      </w:r>
      <w:proofErr w:type="spellStart"/>
      <w:r w:rsidR="00F631A8">
        <w:t>Prefiled</w:t>
      </w:r>
      <w:proofErr w:type="spellEnd"/>
      <w:r w:rsidR="00F631A8">
        <w:t xml:space="preserve"> Direct Testimony of Katherine J. Barnard, Exhibit No. ___(KJB-1T), for additional details.</w:t>
      </w:r>
    </w:p>
    <w:p w:rsidR="00006243" w:rsidRPr="00B06379" w:rsidRDefault="00006243" w:rsidP="00B06379">
      <w:pPr>
        <w:pStyle w:val="question"/>
      </w:pPr>
      <w:r w:rsidRPr="00047873">
        <w:t>Q.</w:t>
      </w:r>
      <w:r w:rsidRPr="00047873">
        <w:tab/>
      </w:r>
      <w:r w:rsidR="00F07638">
        <w:t>W</w:t>
      </w:r>
      <w:r w:rsidRPr="00047873">
        <w:t xml:space="preserve">hy </w:t>
      </w:r>
      <w:r w:rsidR="00F07638">
        <w:t xml:space="preserve">have the </w:t>
      </w:r>
      <w:r w:rsidR="00F07638" w:rsidRPr="00047873">
        <w:t xml:space="preserve">Production Tax Credits </w:t>
      </w:r>
      <w:r w:rsidR="00F07638">
        <w:t xml:space="preserve">generated not yet been used </w:t>
      </w:r>
      <w:r w:rsidRPr="00047873">
        <w:t>on tax returns?</w:t>
      </w:r>
    </w:p>
    <w:p w:rsidR="00006243" w:rsidRDefault="00006243" w:rsidP="00A275BF">
      <w:pPr>
        <w:pStyle w:val="answer"/>
      </w:pPr>
      <w:r>
        <w:t>A.</w:t>
      </w:r>
      <w:r>
        <w:tab/>
      </w:r>
      <w:r w:rsidR="00F07638">
        <w:t xml:space="preserve">PSE’s </w:t>
      </w:r>
      <w:r>
        <w:t>elections to deduct bonus depreciation over the past several years</w:t>
      </w:r>
      <w:r w:rsidR="00F07638">
        <w:t xml:space="preserve"> is the primary reason why </w:t>
      </w:r>
      <w:r w:rsidR="00F07638" w:rsidRPr="00047873">
        <w:t xml:space="preserve">Production Tax Credits </w:t>
      </w:r>
      <w:r w:rsidR="00F07638">
        <w:t xml:space="preserve">generated have not yet been used </w:t>
      </w:r>
      <w:r w:rsidR="00F07638" w:rsidRPr="00047873">
        <w:t>on tax returns</w:t>
      </w:r>
      <w:r>
        <w:t xml:space="preserve">. Generally speaking, the bonus depreciation elections </w:t>
      </w:r>
      <w:r w:rsidR="00F07638">
        <w:t xml:space="preserve">of PSE </w:t>
      </w:r>
      <w:r>
        <w:t xml:space="preserve">over the past several years </w:t>
      </w:r>
      <w:r w:rsidR="00F07638">
        <w:t xml:space="preserve">have </w:t>
      </w:r>
      <w:r>
        <w:t xml:space="preserve">been significant enough to generate net operating losses for corporate income tax purposes. Those same net operating losses have been carried forward to offset current taxable income in recent years. Current tax law requires that net operating loss carryforwards be utilized to offset current taxable income before any production tax credits can be utilized. In effect, the net operating loss carryforwards </w:t>
      </w:r>
      <w:r w:rsidR="00F07638">
        <w:t xml:space="preserve">resulting from </w:t>
      </w:r>
      <w:r>
        <w:t>bonus depreciation elections ha</w:t>
      </w:r>
      <w:r w:rsidR="00F07638">
        <w:t>ve</w:t>
      </w:r>
      <w:r>
        <w:t xml:space="preserve"> preempted and pushed to future years the utilization of </w:t>
      </w:r>
      <w:r w:rsidR="00F07638">
        <w:t>Production Tax Credits</w:t>
      </w:r>
      <w:r>
        <w:t>.</w:t>
      </w:r>
    </w:p>
    <w:p w:rsidR="00006243" w:rsidRPr="00B06379" w:rsidRDefault="00006243" w:rsidP="00B06379">
      <w:pPr>
        <w:pStyle w:val="question"/>
      </w:pPr>
      <w:r w:rsidRPr="00047873">
        <w:t>Q.</w:t>
      </w:r>
      <w:r w:rsidRPr="00047873">
        <w:tab/>
        <w:t>When do</w:t>
      </w:r>
      <w:r w:rsidR="00F07638">
        <w:t xml:space="preserve">es PSE project that </w:t>
      </w:r>
      <w:r w:rsidR="00F07638" w:rsidRPr="00047873">
        <w:t xml:space="preserve">Production Tax Credits </w:t>
      </w:r>
      <w:r w:rsidRPr="00047873">
        <w:t xml:space="preserve">can be utilized on the </w:t>
      </w:r>
      <w:r w:rsidR="00F07638">
        <w:t xml:space="preserve">corporate </w:t>
      </w:r>
      <w:r w:rsidRPr="00047873">
        <w:t>tax returns?</w:t>
      </w:r>
    </w:p>
    <w:p w:rsidR="00F5352D" w:rsidRDefault="00006243" w:rsidP="00F5352D">
      <w:pPr>
        <w:pStyle w:val="answer"/>
      </w:pPr>
      <w:r>
        <w:t>A.</w:t>
      </w:r>
      <w:r>
        <w:tab/>
        <w:t>Under current tax law, bonus depreciation deductions begin to decrease in 2018</w:t>
      </w:r>
      <w:r w:rsidR="00F07638">
        <w:t>—</w:t>
      </w:r>
      <w:r>
        <w:t>from the current 50% level</w:t>
      </w:r>
      <w:r w:rsidR="00F07638">
        <w:t>—</w:t>
      </w:r>
      <w:r>
        <w:t>and are completely phase</w:t>
      </w:r>
      <w:r w:rsidR="00F07638">
        <w:t>d</w:t>
      </w:r>
      <w:r>
        <w:t xml:space="preserve"> out after 2019. As the decrease in bonus depreciation begins in 2018, </w:t>
      </w:r>
      <w:r w:rsidR="00F07638">
        <w:t xml:space="preserve">the </w:t>
      </w:r>
      <w:r>
        <w:t xml:space="preserve">utilization of </w:t>
      </w:r>
      <w:r w:rsidR="00F07638">
        <w:t xml:space="preserve">Production Tax Credits </w:t>
      </w:r>
      <w:r>
        <w:t xml:space="preserve">will begin to rise. </w:t>
      </w:r>
      <w:r w:rsidR="00F07638">
        <w:t xml:space="preserve">PSE </w:t>
      </w:r>
      <w:r>
        <w:t>expect</w:t>
      </w:r>
      <w:r w:rsidR="00F07638">
        <w:t>s</w:t>
      </w:r>
      <w:r>
        <w:t xml:space="preserve"> the utilization of </w:t>
      </w:r>
      <w:r w:rsidR="00F07638">
        <w:t xml:space="preserve">Production Tax Credits </w:t>
      </w:r>
      <w:r>
        <w:t>to accelerate into 2019 and beyond.</w:t>
      </w:r>
    </w:p>
    <w:p w:rsidR="00006243" w:rsidRDefault="00006243" w:rsidP="00F5352D">
      <w:pPr>
        <w:pStyle w:val="answer"/>
        <w:ind w:firstLine="0"/>
      </w:pPr>
      <w:r>
        <w:lastRenderedPageBreak/>
        <w:t xml:space="preserve">Based on current tax law, it is highly probable that all of </w:t>
      </w:r>
      <w:r w:rsidR="00F07638">
        <w:t xml:space="preserve">PSE’s </w:t>
      </w:r>
      <w:r>
        <w:t xml:space="preserve">generated </w:t>
      </w:r>
      <w:r w:rsidR="00F07638">
        <w:t xml:space="preserve">Production Tax Credits </w:t>
      </w:r>
      <w:r>
        <w:t xml:space="preserve">will be utilized by 2020. That said, </w:t>
      </w:r>
      <w:r w:rsidR="00F07638">
        <w:t xml:space="preserve">PSE </w:t>
      </w:r>
      <w:r>
        <w:t xml:space="preserve">must offer a caveat. </w:t>
      </w:r>
      <w:r w:rsidR="00F07638">
        <w:t xml:space="preserve">The </w:t>
      </w:r>
      <w:r>
        <w:t xml:space="preserve">prediction of utilizing </w:t>
      </w:r>
      <w:r w:rsidR="00F07638">
        <w:t xml:space="preserve">Production Tax Credits </w:t>
      </w:r>
      <w:r>
        <w:t xml:space="preserve">over the next few years is uncertain and subject to change based on </w:t>
      </w:r>
      <w:r w:rsidR="00F07638">
        <w:t>(i) </w:t>
      </w:r>
      <w:r>
        <w:t xml:space="preserve">any tax reform that might be enacted by Congress and </w:t>
      </w:r>
      <w:r w:rsidR="00F07638">
        <w:t>(ii) </w:t>
      </w:r>
      <w:r>
        <w:t xml:space="preserve">how </w:t>
      </w:r>
      <w:r w:rsidR="00F07638">
        <w:t xml:space="preserve">any such </w:t>
      </w:r>
      <w:r>
        <w:t xml:space="preserve">tax reform might directly </w:t>
      </w:r>
      <w:r w:rsidR="00F07638">
        <w:t xml:space="preserve">affect </w:t>
      </w:r>
      <w:r>
        <w:t xml:space="preserve">the utilization of </w:t>
      </w:r>
      <w:r w:rsidR="00F07638">
        <w:t>Production Tax Credits</w:t>
      </w:r>
      <w:r>
        <w:t>.</w:t>
      </w:r>
    </w:p>
    <w:p w:rsidR="00006243" w:rsidRPr="00B06379" w:rsidRDefault="00006243" w:rsidP="00B06379">
      <w:pPr>
        <w:pStyle w:val="question"/>
      </w:pPr>
      <w:r w:rsidRPr="00047873">
        <w:t>Q.</w:t>
      </w:r>
      <w:r w:rsidRPr="00047873">
        <w:tab/>
      </w:r>
      <w:r w:rsidR="00F07638">
        <w:t>W</w:t>
      </w:r>
      <w:r w:rsidRPr="00047873">
        <w:t xml:space="preserve">hat </w:t>
      </w:r>
      <w:r w:rsidR="00F07638">
        <w:t xml:space="preserve">would </w:t>
      </w:r>
      <w:r w:rsidRPr="00047873">
        <w:t xml:space="preserve">happen if the combined total of repurposed </w:t>
      </w:r>
      <w:r w:rsidR="00F07638" w:rsidRPr="00047873">
        <w:t xml:space="preserve">Treasury Grants </w:t>
      </w:r>
      <w:r w:rsidRPr="00047873">
        <w:t xml:space="preserve">and </w:t>
      </w:r>
      <w:r w:rsidR="00F07638" w:rsidRPr="00047873">
        <w:t xml:space="preserve">Production Tax Credits </w:t>
      </w:r>
      <w:r w:rsidR="00F07638">
        <w:t>were to exceed</w:t>
      </w:r>
      <w:r w:rsidRPr="00047873">
        <w:t xml:space="preserve"> </w:t>
      </w:r>
      <w:r w:rsidR="00F07638">
        <w:t>Colstrip Units 1 &amp; 2 decommissioning and remediation costs</w:t>
      </w:r>
      <w:r w:rsidRPr="00047873">
        <w:t>?</w:t>
      </w:r>
    </w:p>
    <w:p w:rsidR="00F07638" w:rsidRDefault="00006243" w:rsidP="00F07638">
      <w:pPr>
        <w:pStyle w:val="answer"/>
      </w:pPr>
      <w:r>
        <w:t>A.</w:t>
      </w:r>
      <w:r>
        <w:tab/>
      </w:r>
      <w:r w:rsidR="00F07638">
        <w:t>I</w:t>
      </w:r>
      <w:r w:rsidR="00F07638" w:rsidRPr="00047873">
        <w:t xml:space="preserve">f the combined total of repurposed Treasury Grants and Production Tax Credits </w:t>
      </w:r>
      <w:r w:rsidR="00F07638">
        <w:t>were to exceed</w:t>
      </w:r>
      <w:r w:rsidR="00F07638" w:rsidRPr="00047873">
        <w:t xml:space="preserve"> </w:t>
      </w:r>
      <w:r w:rsidR="00F07638">
        <w:t>Colstrip Units 1 &amp; 2 decommissioning and remediation costs, any remaining f</w:t>
      </w:r>
      <w:r w:rsidR="00231912">
        <w:t>u</w:t>
      </w:r>
      <w:r w:rsidR="00F07638">
        <w:t>nd</w:t>
      </w:r>
      <w:r w:rsidR="00231912">
        <w:t>s</w:t>
      </w:r>
      <w:r w:rsidR="00F07638">
        <w:t xml:space="preserve"> in the retirement account would be returned to customers. </w:t>
      </w:r>
      <w:r w:rsidR="00F07638" w:rsidRPr="00F07638">
        <w:rPr>
          <w:i/>
        </w:rPr>
        <w:t>See</w:t>
      </w:r>
      <w:r w:rsidR="00F07638">
        <w:t> RCW </w:t>
      </w:r>
      <w:r w:rsidR="00F07638" w:rsidRPr="00F07638">
        <w:t>80.84.020</w:t>
      </w:r>
      <w:r w:rsidR="00F07638">
        <w:t>(2)(c).</w:t>
      </w:r>
    </w:p>
    <w:p w:rsidR="00F07638" w:rsidRDefault="00F07638" w:rsidP="00F07638">
      <w:pPr>
        <w:pStyle w:val="Heading1"/>
      </w:pPr>
      <w:bookmarkStart w:id="23" w:name="_Toc471463219"/>
      <w:r>
        <w:t>VII</w:t>
      </w:r>
      <w:r w:rsidR="007A0BD8">
        <w:t>I</w:t>
      </w:r>
      <w:r>
        <w:t>.</w:t>
      </w:r>
      <w:r>
        <w:tab/>
        <w:t>CONCLUSION</w:t>
      </w:r>
      <w:bookmarkEnd w:id="23"/>
    </w:p>
    <w:p w:rsidR="00663D88" w:rsidRPr="00240442" w:rsidRDefault="00663D88" w:rsidP="00B06379">
      <w:pPr>
        <w:pStyle w:val="question"/>
      </w:pPr>
      <w:r w:rsidRPr="00240442">
        <w:t>Q.</w:t>
      </w:r>
      <w:r w:rsidRPr="00240442">
        <w:tab/>
        <w:t xml:space="preserve">Does that conclude your </w:t>
      </w:r>
      <w:proofErr w:type="spellStart"/>
      <w:r w:rsidRPr="00240442">
        <w:t>prefiled</w:t>
      </w:r>
      <w:proofErr w:type="spellEnd"/>
      <w:r w:rsidRPr="00240442">
        <w:t xml:space="preserve"> direct testimony?</w:t>
      </w:r>
    </w:p>
    <w:p w:rsidR="00A707FB" w:rsidRPr="00537488" w:rsidRDefault="00663D88" w:rsidP="00663D88">
      <w:pPr>
        <w:pStyle w:val="answer"/>
      </w:pPr>
      <w:r w:rsidRPr="00537488">
        <w:t>A.</w:t>
      </w:r>
      <w:r w:rsidRPr="00537488">
        <w:tab/>
        <w:t>Yes, it does.</w:t>
      </w:r>
      <w:bookmarkStart w:id="24" w:name="_GoBack"/>
      <w:bookmarkEnd w:id="24"/>
    </w:p>
    <w:sectPr w:rsidR="00A707FB" w:rsidRPr="00537488" w:rsidSect="00285C76">
      <w:footerReference w:type="default" r:id="rId25"/>
      <w:footerReference w:type="first" r:id="rId26"/>
      <w:pgSz w:w="12240" w:h="15840" w:code="1"/>
      <w:pgMar w:top="1440" w:right="1440" w:bottom="1440" w:left="2160" w:header="864" w:footer="411" w:gutter="0"/>
      <w:lnNumType w:countBy="1"/>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E6" w:rsidRDefault="007C03E6">
      <w:r>
        <w:separator/>
      </w:r>
    </w:p>
  </w:endnote>
  <w:endnote w:type="continuationSeparator" w:id="0">
    <w:p w:rsidR="007C03E6" w:rsidRDefault="007C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1)">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M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E6" w:rsidRPr="009C14C3" w:rsidRDefault="001114E6">
    <w:pPr>
      <w:pStyle w:val="Footer"/>
      <w:rPr>
        <w:sz w:val="16"/>
      </w:rPr>
    </w:pPr>
    <w:proofErr w:type="spellStart"/>
    <w:r>
      <w:rPr>
        <w:sz w:val="16"/>
      </w:rPr>
      <w:t>WS</w:t>
    </w:r>
    <w:proofErr w:type="spellEnd"/>
    <w:r>
      <w:rPr>
        <w:sz w:val="16"/>
      </w:rPr>
      <w:t>: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E6" w:rsidRPr="006A4EC4" w:rsidRDefault="001114E6"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1114E6" w:rsidRPr="006A4EC4" w:rsidRDefault="001114E6" w:rsidP="00E05C6E">
    <w:pPr>
      <w:pStyle w:val="Footer"/>
      <w:tabs>
        <w:tab w:val="clear" w:pos="4507"/>
        <w:tab w:val="clear" w:pos="9000"/>
        <w:tab w:val="right" w:pos="8640"/>
      </w:tabs>
      <w:spacing w:line="240" w:lineRule="auto"/>
      <w:ind w:right="0" w:hanging="4"/>
      <w:rPr>
        <w:sz w:val="10"/>
        <w:szCs w:val="10"/>
      </w:rPr>
    </w:pPr>
  </w:p>
  <w:p w:rsidR="001114E6" w:rsidRDefault="001114E6" w:rsidP="00E05C6E">
    <w:pPr>
      <w:pStyle w:val="Footer"/>
      <w:tabs>
        <w:tab w:val="clear" w:pos="4507"/>
        <w:tab w:val="clear" w:pos="9000"/>
        <w:tab w:val="right" w:pos="8640"/>
      </w:tabs>
      <w:ind w:hanging="4"/>
    </w:pPr>
    <w:proofErr w:type="spellStart"/>
    <w:r>
      <w:t>Prefiled</w:t>
    </w:r>
    <w:proofErr w:type="spellEnd"/>
    <w:r>
      <w:t xml:space="preserve"> Direct Testimony</w:t>
    </w:r>
    <w:r>
      <w:tab/>
      <w:t>Exhibit No. ___(DAD-1T)</w:t>
    </w:r>
  </w:p>
  <w:p w:rsidR="001114E6" w:rsidRDefault="001114E6" w:rsidP="00F342FC">
    <w:pPr>
      <w:pStyle w:val="Footer"/>
      <w:tabs>
        <w:tab w:val="clear" w:pos="4507"/>
        <w:tab w:val="clear" w:pos="9000"/>
        <w:tab w:val="right" w:pos="8640"/>
      </w:tabs>
      <w:ind w:hanging="4"/>
      <w:rPr>
        <w:rStyle w:val="PageNumber"/>
      </w:rPr>
    </w:pPr>
    <w:r>
      <w:t>(</w:t>
    </w:r>
    <w:proofErr w:type="spellStart"/>
    <w:r>
      <w:t>Nonconfidential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3F122F">
      <w:rPr>
        <w:rStyle w:val="PageNumber"/>
        <w:noProof/>
      </w:rPr>
      <w:t>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3F122F">
      <w:rPr>
        <w:rStyle w:val="PageNumber"/>
        <w:noProof/>
      </w:rPr>
      <w:t>i</w:t>
    </w:r>
    <w:r>
      <w:rPr>
        <w:rStyle w:val="PageNumber"/>
      </w:rPr>
      <w:fldChar w:fldCharType="end"/>
    </w:r>
  </w:p>
  <w:p w:rsidR="001114E6" w:rsidRDefault="001114E6" w:rsidP="00F342FC">
    <w:pPr>
      <w:pStyle w:val="Footer"/>
      <w:tabs>
        <w:tab w:val="clear" w:pos="4507"/>
        <w:tab w:val="clear" w:pos="9000"/>
        <w:tab w:val="right" w:pos="8640"/>
      </w:tabs>
      <w:ind w:hanging="4"/>
    </w:pPr>
    <w:r>
      <w:t>Daniel A. Doyle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E6" w:rsidRDefault="001114E6"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E6" w:rsidRPr="006A4EC4" w:rsidRDefault="001114E6"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1114E6" w:rsidRPr="006A4EC4" w:rsidRDefault="001114E6" w:rsidP="00E05C6E">
    <w:pPr>
      <w:pStyle w:val="Footer"/>
      <w:tabs>
        <w:tab w:val="clear" w:pos="4507"/>
        <w:tab w:val="clear" w:pos="9000"/>
        <w:tab w:val="right" w:pos="8640"/>
      </w:tabs>
      <w:spacing w:line="240" w:lineRule="auto"/>
      <w:ind w:right="0"/>
      <w:rPr>
        <w:sz w:val="10"/>
        <w:szCs w:val="10"/>
      </w:rPr>
    </w:pPr>
  </w:p>
  <w:p w:rsidR="001114E6" w:rsidRDefault="001114E6" w:rsidP="004611C3">
    <w:pPr>
      <w:pStyle w:val="Footer"/>
      <w:tabs>
        <w:tab w:val="clear" w:pos="4507"/>
        <w:tab w:val="clear" w:pos="9000"/>
        <w:tab w:val="right" w:pos="8640"/>
      </w:tabs>
      <w:ind w:hanging="4"/>
    </w:pPr>
    <w:proofErr w:type="spellStart"/>
    <w:r>
      <w:t>Prefiled</w:t>
    </w:r>
    <w:proofErr w:type="spellEnd"/>
    <w:r>
      <w:t xml:space="preserve"> Direct Testimony</w:t>
    </w:r>
    <w:r>
      <w:tab/>
      <w:t>Exhibit No. ___(DAD-1T)</w:t>
    </w:r>
  </w:p>
  <w:p w:rsidR="001114E6" w:rsidRDefault="001114E6" w:rsidP="004611C3">
    <w:pPr>
      <w:pStyle w:val="Footer"/>
      <w:tabs>
        <w:tab w:val="clear" w:pos="4507"/>
        <w:tab w:val="clear" w:pos="9000"/>
        <w:tab w:val="right" w:pos="8640"/>
      </w:tabs>
      <w:ind w:hanging="4"/>
      <w:rPr>
        <w:rStyle w:val="PageNumber"/>
      </w:rPr>
    </w:pPr>
    <w:r>
      <w:t>(</w:t>
    </w:r>
    <w:proofErr w:type="spellStart"/>
    <w:r>
      <w:t>Nonconfidential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3F122F">
      <w:rPr>
        <w:rStyle w:val="PageNumber"/>
        <w:noProof/>
      </w:rPr>
      <w:t>49</w:t>
    </w:r>
    <w:r>
      <w:rPr>
        <w:rStyle w:val="PageNumber"/>
      </w:rPr>
      <w:fldChar w:fldCharType="end"/>
    </w:r>
    <w:r>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3F122F">
      <w:rPr>
        <w:rStyle w:val="PageNumber"/>
        <w:noProof/>
      </w:rPr>
      <w:t>49</w:t>
    </w:r>
    <w:r>
      <w:rPr>
        <w:rStyle w:val="PageNumber"/>
      </w:rPr>
      <w:fldChar w:fldCharType="end"/>
    </w:r>
  </w:p>
  <w:p w:rsidR="001114E6" w:rsidRDefault="001114E6" w:rsidP="00052A92">
    <w:pPr>
      <w:pStyle w:val="Footer"/>
      <w:tabs>
        <w:tab w:val="clear" w:pos="4507"/>
        <w:tab w:val="clear" w:pos="9000"/>
        <w:tab w:val="right" w:pos="8640"/>
      </w:tabs>
      <w:ind w:hanging="4"/>
    </w:pPr>
    <w:r>
      <w:t>Daniel A. Doyle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E6" w:rsidRDefault="001114E6"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E6" w:rsidRDefault="007C03E6">
      <w:r>
        <w:separator/>
      </w:r>
    </w:p>
  </w:footnote>
  <w:footnote w:type="continuationSeparator" w:id="0">
    <w:p w:rsidR="007C03E6" w:rsidRDefault="007C03E6">
      <w:r>
        <w:continuationSeparator/>
      </w:r>
    </w:p>
  </w:footnote>
  <w:footnote w:id="1">
    <w:p w:rsidR="001114E6" w:rsidRDefault="001114E6" w:rsidP="00A275BF">
      <w:pPr>
        <w:pStyle w:val="FootnoteText"/>
        <w:spacing w:before="0" w:line="240" w:lineRule="auto"/>
        <w:ind w:firstLine="360"/>
      </w:pPr>
      <w:r>
        <w:rPr>
          <w:rStyle w:val="FootnoteReference"/>
        </w:rPr>
        <w:footnoteRef/>
      </w:r>
      <w:r>
        <w:tab/>
      </w:r>
      <w:r w:rsidRPr="00A275BF">
        <w:rPr>
          <w:i/>
          <w:sz w:val="20"/>
          <w:szCs w:val="20"/>
        </w:rPr>
        <w:t>WUTC v. Puget Sound Energy, Inc.</w:t>
      </w:r>
      <w:r w:rsidRPr="00A275BF">
        <w:rPr>
          <w:sz w:val="20"/>
          <w:szCs w:val="20"/>
        </w:rPr>
        <w:t>, Docket UE-121697, Order 07 at ¶ 8 (2013).</w:t>
      </w:r>
    </w:p>
  </w:footnote>
  <w:footnote w:id="2">
    <w:p w:rsidR="001114E6" w:rsidRDefault="001114E6" w:rsidP="00CB7801">
      <w:pPr>
        <w:pStyle w:val="FootnoteText"/>
        <w:tabs>
          <w:tab w:val="left" w:pos="720"/>
        </w:tabs>
        <w:spacing w:before="60" w:after="60" w:line="240" w:lineRule="auto"/>
        <w:ind w:firstLine="360"/>
        <w:rPr>
          <w:rFonts w:eastAsia="Times New Roman"/>
        </w:rPr>
      </w:pPr>
      <w:r>
        <w:rPr>
          <w:rStyle w:val="FootnoteReference"/>
        </w:rPr>
        <w:footnoteRef/>
      </w:r>
      <w:r>
        <w:tab/>
        <w:t>Order 07 at ¶¶ 164-65.</w:t>
      </w:r>
    </w:p>
  </w:footnote>
  <w:footnote w:id="3">
    <w:p w:rsidR="001114E6" w:rsidRDefault="001114E6" w:rsidP="00F872B5">
      <w:pPr>
        <w:pStyle w:val="FootnoteText"/>
        <w:spacing w:before="60" w:after="60" w:line="240" w:lineRule="auto"/>
        <w:ind w:firstLine="360"/>
      </w:pPr>
      <w:r>
        <w:rPr>
          <w:rStyle w:val="FootnoteReference"/>
        </w:rPr>
        <w:footnoteRef/>
      </w:r>
      <w:r>
        <w:tab/>
      </w:r>
      <w:r w:rsidRPr="006D4144">
        <w:rPr>
          <w:i/>
        </w:rPr>
        <w:t>WUTC v. Puget Sound Energy, Inc.</w:t>
      </w:r>
      <w:r>
        <w:t xml:space="preserve">, Order 07, </w:t>
      </w:r>
      <w:r w:rsidRPr="006D4144">
        <w:t>Dockets UE-121697 and UG-121705 (consolidated ) and Dockets UE-1301</w:t>
      </w:r>
      <w:r>
        <w:t>37 and UG-130138 (consolidated) (“Order 07”).</w:t>
      </w:r>
    </w:p>
  </w:footnote>
  <w:footnote w:id="4">
    <w:p w:rsidR="001114E6" w:rsidRDefault="001114E6" w:rsidP="00F872B5">
      <w:pPr>
        <w:pStyle w:val="FootnoteText"/>
        <w:spacing w:before="60" w:after="60" w:line="240" w:lineRule="auto"/>
        <w:ind w:firstLine="360"/>
      </w:pPr>
      <w:r>
        <w:rPr>
          <w:rStyle w:val="FootnoteReference"/>
        </w:rPr>
        <w:footnoteRef/>
      </w:r>
      <w:r>
        <w:tab/>
        <w:t>Order 07 at ¶ 22.</w:t>
      </w:r>
    </w:p>
  </w:footnote>
  <w:footnote w:id="5">
    <w:p w:rsidR="001114E6" w:rsidRDefault="001114E6" w:rsidP="00F07638">
      <w:pPr>
        <w:pStyle w:val="FootnoteText"/>
        <w:tabs>
          <w:tab w:val="left" w:pos="720"/>
        </w:tabs>
        <w:spacing w:before="0" w:line="240" w:lineRule="auto"/>
        <w:ind w:firstLine="360"/>
      </w:pPr>
      <w:r>
        <w:rPr>
          <w:rStyle w:val="FootnoteReference"/>
        </w:rPr>
        <w:footnoteRef/>
      </w:r>
      <w:r>
        <w:tab/>
      </w:r>
      <w:r w:rsidRPr="002B0EBF">
        <w:rPr>
          <w:i/>
          <w:sz w:val="20"/>
        </w:rPr>
        <w:t>WUTC v. Pac. Power &amp; Light Co., a division of PacifiCorp</w:t>
      </w:r>
      <w:r w:rsidRPr="00995D3F">
        <w:rPr>
          <w:sz w:val="20"/>
        </w:rPr>
        <w:t>, Docket</w:t>
      </w:r>
      <w:r>
        <w:rPr>
          <w:sz w:val="20"/>
        </w:rPr>
        <w:t>s</w:t>
      </w:r>
      <w:r w:rsidRPr="00995D3F">
        <w:rPr>
          <w:sz w:val="20"/>
        </w:rPr>
        <w:t xml:space="preserve"> UE-140762</w:t>
      </w:r>
      <w:r>
        <w:rPr>
          <w:sz w:val="20"/>
        </w:rPr>
        <w:t xml:space="preserve">, </w:t>
      </w:r>
      <w:r w:rsidRPr="0064725B">
        <w:rPr>
          <w:i/>
          <w:sz w:val="20"/>
        </w:rPr>
        <w:t>et al</w:t>
      </w:r>
      <w:r>
        <w:rPr>
          <w:sz w:val="20"/>
        </w:rPr>
        <w:t xml:space="preserve">., </w:t>
      </w:r>
      <w:r w:rsidRPr="00995D3F">
        <w:rPr>
          <w:sz w:val="20"/>
        </w:rPr>
        <w:t>Order</w:t>
      </w:r>
      <w:r>
        <w:rPr>
          <w:sz w:val="20"/>
        </w:rPr>
        <w:t> </w:t>
      </w:r>
      <w:r w:rsidRPr="00995D3F">
        <w:rPr>
          <w:sz w:val="20"/>
        </w:rPr>
        <w:t>08</w:t>
      </w:r>
      <w:r>
        <w:rPr>
          <w:sz w:val="20"/>
        </w:rPr>
        <w:t xml:space="preserve"> at page 11 (Mar. 25. 2015) (footnotes omitted).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E6" w:rsidRDefault="001114E6">
    <w:pPr>
      <w:pStyle w:val="Header"/>
    </w:pPr>
    <w:bookmarkStart w:id="0" w:name="_Toc100550744"/>
    <w:bookmarkStart w:id="1" w:name="_Toc100550978"/>
    <w:bookmarkEnd w:id="0"/>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E6" w:rsidRDefault="001114E6">
    <w:pPr>
      <w:pStyle w:val="Header"/>
    </w:pPr>
    <w:r>
      <w:rPr>
        <w:noProof/>
        <w:lang w:eastAsia="en-US"/>
      </w:rPr>
      <mc:AlternateContent>
        <mc:Choice Requires="wps">
          <w:drawing>
            <wp:anchor distT="0" distB="0" distL="114300" distR="114300" simplePos="0" relativeHeight="251657216" behindDoc="0" locked="0" layoutInCell="1" allowOverlap="1" wp14:anchorId="49946565" wp14:editId="5D02A1B1">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
  <w:bookmarkStart w:id="4" w:name="OLE_LINK2"/>
  <w:bookmarkStart w:id="5" w:name="_Hlk125911586"/>
  <w:p w:rsidR="001114E6" w:rsidRDefault="001114E6">
    <w:pPr>
      <w:pStyle w:val="Header"/>
      <w:jc w:val="right"/>
    </w:pPr>
    <w:r>
      <w:rPr>
        <w:noProof/>
        <w:lang w:eastAsia="en-US"/>
      </w:rPr>
      <mc:AlternateContent>
        <mc:Choice Requires="wps">
          <w:drawing>
            <wp:anchor distT="0" distB="0" distL="114300" distR="114300" simplePos="0" relativeHeight="251658240" behindDoc="0" locked="0" layoutInCell="1" allowOverlap="1" wp14:anchorId="6082CA52" wp14:editId="149893DE">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3"/>
    <w:bookmarkEnd w:id="4"/>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70F84CAE"/>
    <w:lvl w:ilvl="0">
      <w:start w:val="1"/>
      <w:numFmt w:val="upperLetter"/>
      <w:pStyle w:val="QuickA"/>
      <w:lvlText w:val="%1."/>
      <w:lvlJc w:val="left"/>
      <w:pPr>
        <w:tabs>
          <w:tab w:val="num" w:pos="720"/>
        </w:tabs>
      </w:pPr>
      <w:rPr>
        <w:rFonts w:ascii="Times New Roman" w:hAnsi="Times New Roman"/>
        <w:b/>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088327C3"/>
    <w:multiLevelType w:val="hybridMultilevel"/>
    <w:tmpl w:val="61022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2AD185B"/>
    <w:multiLevelType w:val="hybridMultilevel"/>
    <w:tmpl w:val="8F1CC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6">
    <w:nsid w:val="19C41D31"/>
    <w:multiLevelType w:val="hybridMultilevel"/>
    <w:tmpl w:val="153E5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E9459A5"/>
    <w:multiLevelType w:val="hybridMultilevel"/>
    <w:tmpl w:val="22544D14"/>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8">
    <w:nsid w:val="202B597D"/>
    <w:multiLevelType w:val="multilevel"/>
    <w:tmpl w:val="A5D8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9035F1"/>
    <w:multiLevelType w:val="hybridMultilevel"/>
    <w:tmpl w:val="5928A9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5B2988"/>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4ED36BE"/>
    <w:multiLevelType w:val="hybridMultilevel"/>
    <w:tmpl w:val="4822C936"/>
    <w:lvl w:ilvl="0" w:tplc="06B0F6B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C0D0FA6"/>
    <w:multiLevelType w:val="hybridMultilevel"/>
    <w:tmpl w:val="B1DA70F6"/>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42B1489E"/>
    <w:multiLevelType w:val="hybridMultilevel"/>
    <w:tmpl w:val="71FE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8">
    <w:nsid w:val="4B1B0307"/>
    <w:multiLevelType w:val="hybridMultilevel"/>
    <w:tmpl w:val="59826084"/>
    <w:lvl w:ilvl="0" w:tplc="5B4257B0">
      <w:start w:val="1"/>
      <w:numFmt w:val="bullet"/>
      <w:pStyle w:val="11RFPBodyBullet"/>
      <w:lvlText w:val=""/>
      <w:lvlJc w:val="left"/>
      <w:pPr>
        <w:tabs>
          <w:tab w:val="num" w:pos="360"/>
        </w:tabs>
        <w:ind w:left="360" w:hanging="360"/>
      </w:pPr>
      <w:rPr>
        <w:rFonts w:ascii="Symbol" w:hAnsi="Symbol" w:hint="default"/>
        <w:color w:val="auto"/>
        <w:sz w:val="20"/>
      </w:rPr>
    </w:lvl>
    <w:lvl w:ilvl="1" w:tplc="04090019">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9">
    <w:nsid w:val="4C9A63E2"/>
    <w:multiLevelType w:val="hybridMultilevel"/>
    <w:tmpl w:val="FEB29476"/>
    <w:name w:val="Quick A."/>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nsid w:val="4FE600A6"/>
    <w:multiLevelType w:val="hybridMultilevel"/>
    <w:tmpl w:val="1508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3">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4">
    <w:nsid w:val="66D832C3"/>
    <w:multiLevelType w:val="hybridMultilevel"/>
    <w:tmpl w:val="2A765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6">
    <w:nsid w:val="67685A7B"/>
    <w:multiLevelType w:val="hybridMultilevel"/>
    <w:tmpl w:val="B73E75A4"/>
    <w:lvl w:ilvl="0" w:tplc="B94C1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9">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0">
    <w:nsid w:val="71C14952"/>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1">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2">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7"/>
  </w:num>
  <w:num w:numId="2">
    <w:abstractNumId w:val="11"/>
  </w:num>
  <w:num w:numId="3">
    <w:abstractNumId w:val="38"/>
  </w:num>
  <w:num w:numId="4">
    <w:abstractNumId w:val="25"/>
  </w:num>
  <w:num w:numId="5">
    <w:abstractNumId w:val="33"/>
  </w:num>
  <w:num w:numId="6">
    <w:abstractNumId w:val="35"/>
  </w:num>
  <w:num w:numId="7">
    <w:abstractNumId w:val="39"/>
  </w:num>
  <w:num w:numId="8">
    <w:abstractNumId w:val="27"/>
  </w:num>
  <w:num w:numId="9">
    <w:abstractNumId w:val="42"/>
  </w:num>
  <w:num w:numId="10">
    <w:abstractNumId w:val="30"/>
  </w:num>
  <w:num w:numId="11">
    <w:abstractNumId w:val="32"/>
  </w:num>
  <w:num w:numId="12">
    <w:abstractNumId w:val="15"/>
  </w:num>
  <w:num w:numId="13">
    <w:abstractNumId w:val="14"/>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1"/>
  </w:num>
  <w:num w:numId="27">
    <w:abstractNumId w:val="29"/>
  </w:num>
  <w:num w:numId="28">
    <w:abstractNumId w:val="34"/>
  </w:num>
  <w:num w:numId="29">
    <w:abstractNumId w:val="16"/>
  </w:num>
  <w:num w:numId="30">
    <w:abstractNumId w:val="21"/>
  </w:num>
  <w:num w:numId="31">
    <w:abstractNumId w:val="17"/>
  </w:num>
  <w:num w:numId="32">
    <w:abstractNumId w:val="28"/>
  </w:num>
  <w:num w:numId="33">
    <w:abstractNumId w:val="40"/>
  </w:num>
  <w:num w:numId="34">
    <w:abstractNumId w:val="20"/>
  </w:num>
  <w:num w:numId="35">
    <w:abstractNumId w:val="12"/>
  </w:num>
  <w:num w:numId="36">
    <w:abstractNumId w:val="24"/>
  </w:num>
  <w:num w:numId="37">
    <w:abstractNumId w:val="26"/>
  </w:num>
  <w:num w:numId="38">
    <w:abstractNumId w:val="13"/>
  </w:num>
  <w:num w:numId="39">
    <w:abstractNumId w:val="36"/>
  </w:num>
  <w:num w:numId="40">
    <w:abstractNumId w:val="22"/>
  </w:num>
  <w:num w:numId="41">
    <w:abstractNumId w:val="31"/>
  </w:num>
  <w:num w:numId="42">
    <w:abstractNumId w:val="18"/>
  </w:num>
  <w:num w:numId="43">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MPDocID" w:val="07771-0045/134032537.2"/>
    <w:docVar w:name="MPDocIDTemplate" w:val="%c-|%m/|%n|.%v"/>
    <w:docVar w:name="MPDocIDTemplateDefault" w:val="%c-|%m/|%n|.%v"/>
    <w:docVar w:name="NewDocStampType" w:val="1"/>
  </w:docVars>
  <w:rsids>
    <w:rsidRoot w:val="0078036F"/>
    <w:rsid w:val="00000251"/>
    <w:rsid w:val="00000CE5"/>
    <w:rsid w:val="00000E10"/>
    <w:rsid w:val="0000176B"/>
    <w:rsid w:val="00001A4E"/>
    <w:rsid w:val="00001A95"/>
    <w:rsid w:val="0000267D"/>
    <w:rsid w:val="00002929"/>
    <w:rsid w:val="000038D1"/>
    <w:rsid w:val="00003962"/>
    <w:rsid w:val="00003993"/>
    <w:rsid w:val="000039FD"/>
    <w:rsid w:val="00003FC5"/>
    <w:rsid w:val="00004E7F"/>
    <w:rsid w:val="00004F3D"/>
    <w:rsid w:val="000055A7"/>
    <w:rsid w:val="000057A7"/>
    <w:rsid w:val="00006243"/>
    <w:rsid w:val="00006590"/>
    <w:rsid w:val="000068BE"/>
    <w:rsid w:val="00006999"/>
    <w:rsid w:val="00006CDE"/>
    <w:rsid w:val="000075CC"/>
    <w:rsid w:val="000105BC"/>
    <w:rsid w:val="000109B4"/>
    <w:rsid w:val="00010B53"/>
    <w:rsid w:val="00011A48"/>
    <w:rsid w:val="00011F3E"/>
    <w:rsid w:val="00012025"/>
    <w:rsid w:val="00012276"/>
    <w:rsid w:val="0001236B"/>
    <w:rsid w:val="000123B7"/>
    <w:rsid w:val="0001293B"/>
    <w:rsid w:val="000139F4"/>
    <w:rsid w:val="00014348"/>
    <w:rsid w:val="00015C4A"/>
    <w:rsid w:val="000168EC"/>
    <w:rsid w:val="00016DD6"/>
    <w:rsid w:val="00016EB5"/>
    <w:rsid w:val="000171A2"/>
    <w:rsid w:val="0002070D"/>
    <w:rsid w:val="00021598"/>
    <w:rsid w:val="00022279"/>
    <w:rsid w:val="00022347"/>
    <w:rsid w:val="000223E5"/>
    <w:rsid w:val="00022631"/>
    <w:rsid w:val="00022B9B"/>
    <w:rsid w:val="00022E79"/>
    <w:rsid w:val="00023B96"/>
    <w:rsid w:val="00023F79"/>
    <w:rsid w:val="00024D72"/>
    <w:rsid w:val="00025457"/>
    <w:rsid w:val="00025AB9"/>
    <w:rsid w:val="000266C2"/>
    <w:rsid w:val="00026A20"/>
    <w:rsid w:val="00027FC1"/>
    <w:rsid w:val="000300E3"/>
    <w:rsid w:val="0003065A"/>
    <w:rsid w:val="000309E8"/>
    <w:rsid w:val="000310FF"/>
    <w:rsid w:val="0003181B"/>
    <w:rsid w:val="000321EF"/>
    <w:rsid w:val="00032732"/>
    <w:rsid w:val="00032E29"/>
    <w:rsid w:val="00033037"/>
    <w:rsid w:val="000337FC"/>
    <w:rsid w:val="00034263"/>
    <w:rsid w:val="00034BE3"/>
    <w:rsid w:val="00034D4C"/>
    <w:rsid w:val="0003518E"/>
    <w:rsid w:val="00036164"/>
    <w:rsid w:val="000361EE"/>
    <w:rsid w:val="00036D22"/>
    <w:rsid w:val="00036E7F"/>
    <w:rsid w:val="0003718A"/>
    <w:rsid w:val="00037515"/>
    <w:rsid w:val="0004049B"/>
    <w:rsid w:val="00040A77"/>
    <w:rsid w:val="00040F46"/>
    <w:rsid w:val="00041E64"/>
    <w:rsid w:val="0004274C"/>
    <w:rsid w:val="00042EA0"/>
    <w:rsid w:val="0004395D"/>
    <w:rsid w:val="00044438"/>
    <w:rsid w:val="000447CA"/>
    <w:rsid w:val="000451EF"/>
    <w:rsid w:val="000457F3"/>
    <w:rsid w:val="00045DCD"/>
    <w:rsid w:val="00046125"/>
    <w:rsid w:val="00047873"/>
    <w:rsid w:val="00047B7C"/>
    <w:rsid w:val="00047BC0"/>
    <w:rsid w:val="000501D4"/>
    <w:rsid w:val="00050CE9"/>
    <w:rsid w:val="00050D0A"/>
    <w:rsid w:val="00051B5A"/>
    <w:rsid w:val="00051BF3"/>
    <w:rsid w:val="000526E1"/>
    <w:rsid w:val="000529BB"/>
    <w:rsid w:val="00052A92"/>
    <w:rsid w:val="000545ED"/>
    <w:rsid w:val="00054BAC"/>
    <w:rsid w:val="00055585"/>
    <w:rsid w:val="000561B0"/>
    <w:rsid w:val="00056671"/>
    <w:rsid w:val="0005731E"/>
    <w:rsid w:val="000573B4"/>
    <w:rsid w:val="00060419"/>
    <w:rsid w:val="00060DE1"/>
    <w:rsid w:val="00061223"/>
    <w:rsid w:val="000626A8"/>
    <w:rsid w:val="000626F6"/>
    <w:rsid w:val="00062A35"/>
    <w:rsid w:val="000630DF"/>
    <w:rsid w:val="0006356C"/>
    <w:rsid w:val="000636A8"/>
    <w:rsid w:val="00063E83"/>
    <w:rsid w:val="00064654"/>
    <w:rsid w:val="00064D13"/>
    <w:rsid w:val="000653A0"/>
    <w:rsid w:val="00065CA1"/>
    <w:rsid w:val="00065CD3"/>
    <w:rsid w:val="00066690"/>
    <w:rsid w:val="00066742"/>
    <w:rsid w:val="00066842"/>
    <w:rsid w:val="0006775A"/>
    <w:rsid w:val="00067AC2"/>
    <w:rsid w:val="00067EE4"/>
    <w:rsid w:val="0007012D"/>
    <w:rsid w:val="00071233"/>
    <w:rsid w:val="0007283A"/>
    <w:rsid w:val="00072ED5"/>
    <w:rsid w:val="00073931"/>
    <w:rsid w:val="000742CA"/>
    <w:rsid w:val="0007430F"/>
    <w:rsid w:val="00074504"/>
    <w:rsid w:val="00074E1C"/>
    <w:rsid w:val="00074F3A"/>
    <w:rsid w:val="0007524A"/>
    <w:rsid w:val="00075341"/>
    <w:rsid w:val="0007701B"/>
    <w:rsid w:val="00077BE6"/>
    <w:rsid w:val="00077DF8"/>
    <w:rsid w:val="00080B87"/>
    <w:rsid w:val="00080ECE"/>
    <w:rsid w:val="000810A0"/>
    <w:rsid w:val="00081400"/>
    <w:rsid w:val="00081C91"/>
    <w:rsid w:val="00081D4F"/>
    <w:rsid w:val="00081EB3"/>
    <w:rsid w:val="00081FE4"/>
    <w:rsid w:val="00082A97"/>
    <w:rsid w:val="00082DF4"/>
    <w:rsid w:val="00083FB6"/>
    <w:rsid w:val="0008472E"/>
    <w:rsid w:val="000851D6"/>
    <w:rsid w:val="0008713F"/>
    <w:rsid w:val="0008729E"/>
    <w:rsid w:val="00087A30"/>
    <w:rsid w:val="000919AB"/>
    <w:rsid w:val="00092433"/>
    <w:rsid w:val="00092A7F"/>
    <w:rsid w:val="00095BA3"/>
    <w:rsid w:val="00096020"/>
    <w:rsid w:val="000968F9"/>
    <w:rsid w:val="00096964"/>
    <w:rsid w:val="00096A25"/>
    <w:rsid w:val="0009700A"/>
    <w:rsid w:val="00097475"/>
    <w:rsid w:val="000A0295"/>
    <w:rsid w:val="000A0F54"/>
    <w:rsid w:val="000A236A"/>
    <w:rsid w:val="000A24A9"/>
    <w:rsid w:val="000A3BCF"/>
    <w:rsid w:val="000A3DE7"/>
    <w:rsid w:val="000A40CA"/>
    <w:rsid w:val="000A41ED"/>
    <w:rsid w:val="000A4245"/>
    <w:rsid w:val="000A449F"/>
    <w:rsid w:val="000A4B83"/>
    <w:rsid w:val="000A576B"/>
    <w:rsid w:val="000A5959"/>
    <w:rsid w:val="000A6297"/>
    <w:rsid w:val="000A638A"/>
    <w:rsid w:val="000A7079"/>
    <w:rsid w:val="000A76B1"/>
    <w:rsid w:val="000A7765"/>
    <w:rsid w:val="000A7CAA"/>
    <w:rsid w:val="000B05AE"/>
    <w:rsid w:val="000B0A4C"/>
    <w:rsid w:val="000B0E7D"/>
    <w:rsid w:val="000B10F1"/>
    <w:rsid w:val="000B20C4"/>
    <w:rsid w:val="000B213E"/>
    <w:rsid w:val="000B2D6B"/>
    <w:rsid w:val="000B3C98"/>
    <w:rsid w:val="000B458E"/>
    <w:rsid w:val="000B4D8C"/>
    <w:rsid w:val="000B4F31"/>
    <w:rsid w:val="000B529D"/>
    <w:rsid w:val="000B52A4"/>
    <w:rsid w:val="000B6043"/>
    <w:rsid w:val="000B6DF0"/>
    <w:rsid w:val="000B7CA0"/>
    <w:rsid w:val="000B7E28"/>
    <w:rsid w:val="000C11B0"/>
    <w:rsid w:val="000C1AB0"/>
    <w:rsid w:val="000C23C5"/>
    <w:rsid w:val="000C3A74"/>
    <w:rsid w:val="000C403D"/>
    <w:rsid w:val="000C6241"/>
    <w:rsid w:val="000C6645"/>
    <w:rsid w:val="000C6AFD"/>
    <w:rsid w:val="000C6EEE"/>
    <w:rsid w:val="000D0887"/>
    <w:rsid w:val="000D27F1"/>
    <w:rsid w:val="000D2A05"/>
    <w:rsid w:val="000D2BDA"/>
    <w:rsid w:val="000D3058"/>
    <w:rsid w:val="000D39DD"/>
    <w:rsid w:val="000D3FD5"/>
    <w:rsid w:val="000D40B0"/>
    <w:rsid w:val="000D4239"/>
    <w:rsid w:val="000D498B"/>
    <w:rsid w:val="000D524A"/>
    <w:rsid w:val="000D5D82"/>
    <w:rsid w:val="000D70CB"/>
    <w:rsid w:val="000D79AE"/>
    <w:rsid w:val="000D7BFD"/>
    <w:rsid w:val="000D7CEF"/>
    <w:rsid w:val="000D7FEF"/>
    <w:rsid w:val="000E0276"/>
    <w:rsid w:val="000E0C15"/>
    <w:rsid w:val="000E101B"/>
    <w:rsid w:val="000E1602"/>
    <w:rsid w:val="000E2C75"/>
    <w:rsid w:val="000E39D3"/>
    <w:rsid w:val="000E3D14"/>
    <w:rsid w:val="000E58B7"/>
    <w:rsid w:val="000E5EB9"/>
    <w:rsid w:val="000E6401"/>
    <w:rsid w:val="000E690D"/>
    <w:rsid w:val="000E6FF1"/>
    <w:rsid w:val="000E7B1B"/>
    <w:rsid w:val="000F0202"/>
    <w:rsid w:val="000F0DDE"/>
    <w:rsid w:val="000F0F85"/>
    <w:rsid w:val="000F13ED"/>
    <w:rsid w:val="000F19BC"/>
    <w:rsid w:val="000F206E"/>
    <w:rsid w:val="000F207C"/>
    <w:rsid w:val="000F2C3E"/>
    <w:rsid w:val="000F4366"/>
    <w:rsid w:val="000F47DA"/>
    <w:rsid w:val="000F4DD7"/>
    <w:rsid w:val="000F594A"/>
    <w:rsid w:val="000F61F8"/>
    <w:rsid w:val="000F633F"/>
    <w:rsid w:val="000F67CD"/>
    <w:rsid w:val="000F6928"/>
    <w:rsid w:val="000F7140"/>
    <w:rsid w:val="000F75A6"/>
    <w:rsid w:val="000F77AD"/>
    <w:rsid w:val="00100704"/>
    <w:rsid w:val="00100DFC"/>
    <w:rsid w:val="00101105"/>
    <w:rsid w:val="00101188"/>
    <w:rsid w:val="00101646"/>
    <w:rsid w:val="001019FC"/>
    <w:rsid w:val="00102133"/>
    <w:rsid w:val="00103510"/>
    <w:rsid w:val="00103580"/>
    <w:rsid w:val="0010496F"/>
    <w:rsid w:val="00106525"/>
    <w:rsid w:val="00106A57"/>
    <w:rsid w:val="00107014"/>
    <w:rsid w:val="00107774"/>
    <w:rsid w:val="00107E7F"/>
    <w:rsid w:val="00107F06"/>
    <w:rsid w:val="001100D3"/>
    <w:rsid w:val="001109C4"/>
    <w:rsid w:val="00110F1D"/>
    <w:rsid w:val="001114E6"/>
    <w:rsid w:val="00111758"/>
    <w:rsid w:val="00112095"/>
    <w:rsid w:val="0011298A"/>
    <w:rsid w:val="00113842"/>
    <w:rsid w:val="00114CF5"/>
    <w:rsid w:val="0011516D"/>
    <w:rsid w:val="001167E6"/>
    <w:rsid w:val="00116C39"/>
    <w:rsid w:val="00120E3E"/>
    <w:rsid w:val="00122468"/>
    <w:rsid w:val="00123215"/>
    <w:rsid w:val="00123FB2"/>
    <w:rsid w:val="00124D9D"/>
    <w:rsid w:val="0012524E"/>
    <w:rsid w:val="0012613C"/>
    <w:rsid w:val="0012738A"/>
    <w:rsid w:val="0012749B"/>
    <w:rsid w:val="00127DBD"/>
    <w:rsid w:val="001301D2"/>
    <w:rsid w:val="001302BD"/>
    <w:rsid w:val="0013189C"/>
    <w:rsid w:val="00131B5D"/>
    <w:rsid w:val="00132074"/>
    <w:rsid w:val="001327BA"/>
    <w:rsid w:val="00133381"/>
    <w:rsid w:val="0013360C"/>
    <w:rsid w:val="00134A5D"/>
    <w:rsid w:val="0013586A"/>
    <w:rsid w:val="00135A1A"/>
    <w:rsid w:val="00135B45"/>
    <w:rsid w:val="001366DF"/>
    <w:rsid w:val="001372FA"/>
    <w:rsid w:val="0013799B"/>
    <w:rsid w:val="00140A4D"/>
    <w:rsid w:val="00140FA8"/>
    <w:rsid w:val="00141B9D"/>
    <w:rsid w:val="00142C57"/>
    <w:rsid w:val="001432BA"/>
    <w:rsid w:val="001435B5"/>
    <w:rsid w:val="00143C70"/>
    <w:rsid w:val="001442A0"/>
    <w:rsid w:val="0014432A"/>
    <w:rsid w:val="00144AFC"/>
    <w:rsid w:val="00145325"/>
    <w:rsid w:val="001457DD"/>
    <w:rsid w:val="0014604C"/>
    <w:rsid w:val="0014678E"/>
    <w:rsid w:val="00147354"/>
    <w:rsid w:val="00147430"/>
    <w:rsid w:val="0014755E"/>
    <w:rsid w:val="001476C6"/>
    <w:rsid w:val="00147FFB"/>
    <w:rsid w:val="001501FF"/>
    <w:rsid w:val="00150EAC"/>
    <w:rsid w:val="00151924"/>
    <w:rsid w:val="00151E0A"/>
    <w:rsid w:val="0015301D"/>
    <w:rsid w:val="00153592"/>
    <w:rsid w:val="00154A96"/>
    <w:rsid w:val="00154C7F"/>
    <w:rsid w:val="00155F50"/>
    <w:rsid w:val="001560E5"/>
    <w:rsid w:val="00156B36"/>
    <w:rsid w:val="00157D22"/>
    <w:rsid w:val="00157FE4"/>
    <w:rsid w:val="00160EAE"/>
    <w:rsid w:val="001617E1"/>
    <w:rsid w:val="00162294"/>
    <w:rsid w:val="0016296B"/>
    <w:rsid w:val="0016319C"/>
    <w:rsid w:val="001639D5"/>
    <w:rsid w:val="00163CFE"/>
    <w:rsid w:val="00164003"/>
    <w:rsid w:val="00164714"/>
    <w:rsid w:val="001647C4"/>
    <w:rsid w:val="00164E5F"/>
    <w:rsid w:val="00165FC6"/>
    <w:rsid w:val="00166C21"/>
    <w:rsid w:val="00167586"/>
    <w:rsid w:val="0017017D"/>
    <w:rsid w:val="00170495"/>
    <w:rsid w:val="00170C7F"/>
    <w:rsid w:val="00170D47"/>
    <w:rsid w:val="00171B5D"/>
    <w:rsid w:val="00171EB2"/>
    <w:rsid w:val="00171EE5"/>
    <w:rsid w:val="001722C5"/>
    <w:rsid w:val="00172C32"/>
    <w:rsid w:val="00172EE0"/>
    <w:rsid w:val="00172EF7"/>
    <w:rsid w:val="00173384"/>
    <w:rsid w:val="00173ABD"/>
    <w:rsid w:val="00174CE1"/>
    <w:rsid w:val="001754B6"/>
    <w:rsid w:val="00175CC1"/>
    <w:rsid w:val="00176AFD"/>
    <w:rsid w:val="00177782"/>
    <w:rsid w:val="00177C36"/>
    <w:rsid w:val="00177F2E"/>
    <w:rsid w:val="0018002E"/>
    <w:rsid w:val="00181DBB"/>
    <w:rsid w:val="00182AF5"/>
    <w:rsid w:val="00182B04"/>
    <w:rsid w:val="001833D6"/>
    <w:rsid w:val="001834DD"/>
    <w:rsid w:val="00183670"/>
    <w:rsid w:val="00184331"/>
    <w:rsid w:val="00184FDC"/>
    <w:rsid w:val="001851DC"/>
    <w:rsid w:val="00185207"/>
    <w:rsid w:val="00185519"/>
    <w:rsid w:val="00185613"/>
    <w:rsid w:val="00185955"/>
    <w:rsid w:val="00186746"/>
    <w:rsid w:val="00186965"/>
    <w:rsid w:val="00187670"/>
    <w:rsid w:val="001877D2"/>
    <w:rsid w:val="00190BD8"/>
    <w:rsid w:val="00190BDC"/>
    <w:rsid w:val="00190EA1"/>
    <w:rsid w:val="00192AD8"/>
    <w:rsid w:val="00193A40"/>
    <w:rsid w:val="001951AB"/>
    <w:rsid w:val="00195350"/>
    <w:rsid w:val="00196065"/>
    <w:rsid w:val="00196B4D"/>
    <w:rsid w:val="0019731E"/>
    <w:rsid w:val="001A0B89"/>
    <w:rsid w:val="001A0D96"/>
    <w:rsid w:val="001A1E87"/>
    <w:rsid w:val="001A22C2"/>
    <w:rsid w:val="001A36F0"/>
    <w:rsid w:val="001A387F"/>
    <w:rsid w:val="001A393E"/>
    <w:rsid w:val="001A3B19"/>
    <w:rsid w:val="001A4BF0"/>
    <w:rsid w:val="001A506F"/>
    <w:rsid w:val="001A5EE8"/>
    <w:rsid w:val="001A6D21"/>
    <w:rsid w:val="001A7A1F"/>
    <w:rsid w:val="001B0FCD"/>
    <w:rsid w:val="001B1548"/>
    <w:rsid w:val="001B1A57"/>
    <w:rsid w:val="001B1F31"/>
    <w:rsid w:val="001B258B"/>
    <w:rsid w:val="001B26D6"/>
    <w:rsid w:val="001B2FC7"/>
    <w:rsid w:val="001B315D"/>
    <w:rsid w:val="001B3195"/>
    <w:rsid w:val="001B3F1E"/>
    <w:rsid w:val="001B3FD1"/>
    <w:rsid w:val="001B4260"/>
    <w:rsid w:val="001B4D74"/>
    <w:rsid w:val="001B5729"/>
    <w:rsid w:val="001B577C"/>
    <w:rsid w:val="001B5AE3"/>
    <w:rsid w:val="001B682D"/>
    <w:rsid w:val="001B694F"/>
    <w:rsid w:val="001B780F"/>
    <w:rsid w:val="001C098D"/>
    <w:rsid w:val="001C0A3F"/>
    <w:rsid w:val="001C12D9"/>
    <w:rsid w:val="001C13E3"/>
    <w:rsid w:val="001C2FA3"/>
    <w:rsid w:val="001C345F"/>
    <w:rsid w:val="001C3520"/>
    <w:rsid w:val="001C45A0"/>
    <w:rsid w:val="001C5BD4"/>
    <w:rsid w:val="001C73CE"/>
    <w:rsid w:val="001C7999"/>
    <w:rsid w:val="001D00D0"/>
    <w:rsid w:val="001D03F2"/>
    <w:rsid w:val="001D076A"/>
    <w:rsid w:val="001D100F"/>
    <w:rsid w:val="001D13F7"/>
    <w:rsid w:val="001D1E62"/>
    <w:rsid w:val="001D1E89"/>
    <w:rsid w:val="001D24FC"/>
    <w:rsid w:val="001D268D"/>
    <w:rsid w:val="001D3AC7"/>
    <w:rsid w:val="001D4F47"/>
    <w:rsid w:val="001D4F79"/>
    <w:rsid w:val="001D51EF"/>
    <w:rsid w:val="001D52B3"/>
    <w:rsid w:val="001D5B1A"/>
    <w:rsid w:val="001D5D57"/>
    <w:rsid w:val="001D5F9B"/>
    <w:rsid w:val="001D67FE"/>
    <w:rsid w:val="001D6D5E"/>
    <w:rsid w:val="001D7DB8"/>
    <w:rsid w:val="001E0495"/>
    <w:rsid w:val="001E080D"/>
    <w:rsid w:val="001E0D14"/>
    <w:rsid w:val="001E0E08"/>
    <w:rsid w:val="001E152B"/>
    <w:rsid w:val="001E1F56"/>
    <w:rsid w:val="001E295C"/>
    <w:rsid w:val="001E35AB"/>
    <w:rsid w:val="001E3CDE"/>
    <w:rsid w:val="001E3E58"/>
    <w:rsid w:val="001E3FEA"/>
    <w:rsid w:val="001E438E"/>
    <w:rsid w:val="001E445F"/>
    <w:rsid w:val="001E5156"/>
    <w:rsid w:val="001E51D2"/>
    <w:rsid w:val="001E55AD"/>
    <w:rsid w:val="001E6331"/>
    <w:rsid w:val="001E774A"/>
    <w:rsid w:val="001F0BAF"/>
    <w:rsid w:val="001F100D"/>
    <w:rsid w:val="001F122D"/>
    <w:rsid w:val="001F128A"/>
    <w:rsid w:val="001F129F"/>
    <w:rsid w:val="001F15B2"/>
    <w:rsid w:val="001F2435"/>
    <w:rsid w:val="001F3055"/>
    <w:rsid w:val="001F30F5"/>
    <w:rsid w:val="001F38E6"/>
    <w:rsid w:val="001F55D4"/>
    <w:rsid w:val="001F66D8"/>
    <w:rsid w:val="00201293"/>
    <w:rsid w:val="002018F6"/>
    <w:rsid w:val="00201A7D"/>
    <w:rsid w:val="00202F83"/>
    <w:rsid w:val="00203B17"/>
    <w:rsid w:val="00203F6B"/>
    <w:rsid w:val="002049C6"/>
    <w:rsid w:val="00205492"/>
    <w:rsid w:val="00205848"/>
    <w:rsid w:val="00205DE3"/>
    <w:rsid w:val="0020686F"/>
    <w:rsid w:val="00206CD3"/>
    <w:rsid w:val="00206D43"/>
    <w:rsid w:val="0020789D"/>
    <w:rsid w:val="00207934"/>
    <w:rsid w:val="00207D08"/>
    <w:rsid w:val="0021006B"/>
    <w:rsid w:val="002110A4"/>
    <w:rsid w:val="00211F43"/>
    <w:rsid w:val="002136D4"/>
    <w:rsid w:val="0021384A"/>
    <w:rsid w:val="00213A31"/>
    <w:rsid w:val="00214A34"/>
    <w:rsid w:val="0021620C"/>
    <w:rsid w:val="00217121"/>
    <w:rsid w:val="002174DC"/>
    <w:rsid w:val="002205A0"/>
    <w:rsid w:val="0022088D"/>
    <w:rsid w:val="00220CE1"/>
    <w:rsid w:val="002210F2"/>
    <w:rsid w:val="00221E4D"/>
    <w:rsid w:val="00221FB5"/>
    <w:rsid w:val="00222277"/>
    <w:rsid w:val="00222A07"/>
    <w:rsid w:val="00223E59"/>
    <w:rsid w:val="00223F84"/>
    <w:rsid w:val="0022404B"/>
    <w:rsid w:val="002249DB"/>
    <w:rsid w:val="00225143"/>
    <w:rsid w:val="00226029"/>
    <w:rsid w:val="002260D0"/>
    <w:rsid w:val="002261CE"/>
    <w:rsid w:val="00226820"/>
    <w:rsid w:val="0022698C"/>
    <w:rsid w:val="00226C19"/>
    <w:rsid w:val="0023072C"/>
    <w:rsid w:val="00230F8C"/>
    <w:rsid w:val="00231326"/>
    <w:rsid w:val="00231912"/>
    <w:rsid w:val="00231E33"/>
    <w:rsid w:val="00232432"/>
    <w:rsid w:val="00232E91"/>
    <w:rsid w:val="002334E9"/>
    <w:rsid w:val="00235A63"/>
    <w:rsid w:val="00235D08"/>
    <w:rsid w:val="00236E52"/>
    <w:rsid w:val="00240442"/>
    <w:rsid w:val="002409B6"/>
    <w:rsid w:val="00241AC8"/>
    <w:rsid w:val="00241B0F"/>
    <w:rsid w:val="00242141"/>
    <w:rsid w:val="00242A09"/>
    <w:rsid w:val="002431F5"/>
    <w:rsid w:val="00243DD1"/>
    <w:rsid w:val="00245186"/>
    <w:rsid w:val="002460D3"/>
    <w:rsid w:val="00247302"/>
    <w:rsid w:val="00250A71"/>
    <w:rsid w:val="0025146D"/>
    <w:rsid w:val="00252876"/>
    <w:rsid w:val="00252B90"/>
    <w:rsid w:val="00253225"/>
    <w:rsid w:val="00254B8A"/>
    <w:rsid w:val="002556AE"/>
    <w:rsid w:val="002558BD"/>
    <w:rsid w:val="00255921"/>
    <w:rsid w:val="002562A7"/>
    <w:rsid w:val="0025676F"/>
    <w:rsid w:val="00257F1F"/>
    <w:rsid w:val="00257FB9"/>
    <w:rsid w:val="0026052D"/>
    <w:rsid w:val="00261459"/>
    <w:rsid w:val="002616AE"/>
    <w:rsid w:val="00261B7B"/>
    <w:rsid w:val="002633A0"/>
    <w:rsid w:val="0026464D"/>
    <w:rsid w:val="00264923"/>
    <w:rsid w:val="00265163"/>
    <w:rsid w:val="00265B2E"/>
    <w:rsid w:val="00265CB2"/>
    <w:rsid w:val="00265F1E"/>
    <w:rsid w:val="002665EB"/>
    <w:rsid w:val="00266ABB"/>
    <w:rsid w:val="00270D74"/>
    <w:rsid w:val="00271480"/>
    <w:rsid w:val="002717B4"/>
    <w:rsid w:val="00273345"/>
    <w:rsid w:val="00273684"/>
    <w:rsid w:val="0027397F"/>
    <w:rsid w:val="00273D05"/>
    <w:rsid w:val="002744E5"/>
    <w:rsid w:val="0027467D"/>
    <w:rsid w:val="0027497A"/>
    <w:rsid w:val="0027553A"/>
    <w:rsid w:val="00275B9E"/>
    <w:rsid w:val="00276004"/>
    <w:rsid w:val="00276990"/>
    <w:rsid w:val="00276C69"/>
    <w:rsid w:val="00277123"/>
    <w:rsid w:val="002774F1"/>
    <w:rsid w:val="00277F59"/>
    <w:rsid w:val="00277FC3"/>
    <w:rsid w:val="00280B0D"/>
    <w:rsid w:val="00280C49"/>
    <w:rsid w:val="002813F1"/>
    <w:rsid w:val="00281C17"/>
    <w:rsid w:val="0028218B"/>
    <w:rsid w:val="0028232E"/>
    <w:rsid w:val="00283A8A"/>
    <w:rsid w:val="00284220"/>
    <w:rsid w:val="0028502E"/>
    <w:rsid w:val="0028507E"/>
    <w:rsid w:val="00285762"/>
    <w:rsid w:val="0028590E"/>
    <w:rsid w:val="00285997"/>
    <w:rsid w:val="00285C76"/>
    <w:rsid w:val="0028621E"/>
    <w:rsid w:val="00287E84"/>
    <w:rsid w:val="00290C67"/>
    <w:rsid w:val="00290E0F"/>
    <w:rsid w:val="00291C8F"/>
    <w:rsid w:val="002930AB"/>
    <w:rsid w:val="00293674"/>
    <w:rsid w:val="00293934"/>
    <w:rsid w:val="00293A68"/>
    <w:rsid w:val="00293BA8"/>
    <w:rsid w:val="00293C18"/>
    <w:rsid w:val="00294533"/>
    <w:rsid w:val="0029484B"/>
    <w:rsid w:val="002949DE"/>
    <w:rsid w:val="00295DEE"/>
    <w:rsid w:val="00296BDF"/>
    <w:rsid w:val="00297202"/>
    <w:rsid w:val="00297708"/>
    <w:rsid w:val="00297E88"/>
    <w:rsid w:val="002A19AF"/>
    <w:rsid w:val="002A1C82"/>
    <w:rsid w:val="002A2BAC"/>
    <w:rsid w:val="002A3233"/>
    <w:rsid w:val="002A3EE8"/>
    <w:rsid w:val="002A4485"/>
    <w:rsid w:val="002A5398"/>
    <w:rsid w:val="002A5CE8"/>
    <w:rsid w:val="002A6E1C"/>
    <w:rsid w:val="002A716E"/>
    <w:rsid w:val="002A7C94"/>
    <w:rsid w:val="002B0F15"/>
    <w:rsid w:val="002B15F3"/>
    <w:rsid w:val="002B165F"/>
    <w:rsid w:val="002B17C0"/>
    <w:rsid w:val="002B1928"/>
    <w:rsid w:val="002B2878"/>
    <w:rsid w:val="002B4D27"/>
    <w:rsid w:val="002B55E9"/>
    <w:rsid w:val="002B5686"/>
    <w:rsid w:val="002B5AF4"/>
    <w:rsid w:val="002C037F"/>
    <w:rsid w:val="002C0490"/>
    <w:rsid w:val="002C07C5"/>
    <w:rsid w:val="002C0BD0"/>
    <w:rsid w:val="002C0DEA"/>
    <w:rsid w:val="002C1893"/>
    <w:rsid w:val="002C1A0F"/>
    <w:rsid w:val="002C295F"/>
    <w:rsid w:val="002C2E5D"/>
    <w:rsid w:val="002C4855"/>
    <w:rsid w:val="002C51A8"/>
    <w:rsid w:val="002C53AB"/>
    <w:rsid w:val="002C578A"/>
    <w:rsid w:val="002C65BE"/>
    <w:rsid w:val="002D05EF"/>
    <w:rsid w:val="002D116A"/>
    <w:rsid w:val="002D2450"/>
    <w:rsid w:val="002D2D1F"/>
    <w:rsid w:val="002D3053"/>
    <w:rsid w:val="002D3AA8"/>
    <w:rsid w:val="002D3DC9"/>
    <w:rsid w:val="002D4966"/>
    <w:rsid w:val="002D4EC6"/>
    <w:rsid w:val="002D519A"/>
    <w:rsid w:val="002D56FC"/>
    <w:rsid w:val="002D648C"/>
    <w:rsid w:val="002D6F91"/>
    <w:rsid w:val="002D73D7"/>
    <w:rsid w:val="002D7C04"/>
    <w:rsid w:val="002E0307"/>
    <w:rsid w:val="002E14D9"/>
    <w:rsid w:val="002E170B"/>
    <w:rsid w:val="002E20C6"/>
    <w:rsid w:val="002E2A63"/>
    <w:rsid w:val="002E2BE2"/>
    <w:rsid w:val="002E357D"/>
    <w:rsid w:val="002E365A"/>
    <w:rsid w:val="002E39D7"/>
    <w:rsid w:val="002E4090"/>
    <w:rsid w:val="002E4294"/>
    <w:rsid w:val="002E466E"/>
    <w:rsid w:val="002E4864"/>
    <w:rsid w:val="002E5751"/>
    <w:rsid w:val="002E5E34"/>
    <w:rsid w:val="002E5E3B"/>
    <w:rsid w:val="002E604D"/>
    <w:rsid w:val="002E7201"/>
    <w:rsid w:val="002E7915"/>
    <w:rsid w:val="002E7C13"/>
    <w:rsid w:val="002F0C46"/>
    <w:rsid w:val="002F0DCB"/>
    <w:rsid w:val="002F0F54"/>
    <w:rsid w:val="002F1B87"/>
    <w:rsid w:val="002F1D57"/>
    <w:rsid w:val="002F2969"/>
    <w:rsid w:val="002F2D5C"/>
    <w:rsid w:val="002F3507"/>
    <w:rsid w:val="002F3F61"/>
    <w:rsid w:val="002F4022"/>
    <w:rsid w:val="002F4666"/>
    <w:rsid w:val="002F5641"/>
    <w:rsid w:val="002F69A9"/>
    <w:rsid w:val="002F6F40"/>
    <w:rsid w:val="002F72F4"/>
    <w:rsid w:val="002F75BA"/>
    <w:rsid w:val="002F7F99"/>
    <w:rsid w:val="003006DF"/>
    <w:rsid w:val="003008BC"/>
    <w:rsid w:val="0030108A"/>
    <w:rsid w:val="0030150D"/>
    <w:rsid w:val="00301A58"/>
    <w:rsid w:val="00301ADA"/>
    <w:rsid w:val="00301B63"/>
    <w:rsid w:val="0030273D"/>
    <w:rsid w:val="00302901"/>
    <w:rsid w:val="0030393F"/>
    <w:rsid w:val="00303948"/>
    <w:rsid w:val="0030402A"/>
    <w:rsid w:val="00304199"/>
    <w:rsid w:val="003043D4"/>
    <w:rsid w:val="003047EF"/>
    <w:rsid w:val="00304E0B"/>
    <w:rsid w:val="003054C4"/>
    <w:rsid w:val="00305931"/>
    <w:rsid w:val="0030599D"/>
    <w:rsid w:val="00305B0F"/>
    <w:rsid w:val="003113E0"/>
    <w:rsid w:val="00312484"/>
    <w:rsid w:val="00312C08"/>
    <w:rsid w:val="0031315B"/>
    <w:rsid w:val="0031357E"/>
    <w:rsid w:val="0031385F"/>
    <w:rsid w:val="00314725"/>
    <w:rsid w:val="0031536B"/>
    <w:rsid w:val="003160AD"/>
    <w:rsid w:val="003173F8"/>
    <w:rsid w:val="003202DE"/>
    <w:rsid w:val="003205EC"/>
    <w:rsid w:val="0032084F"/>
    <w:rsid w:val="0032174D"/>
    <w:rsid w:val="00321DD8"/>
    <w:rsid w:val="0032249A"/>
    <w:rsid w:val="003226A7"/>
    <w:rsid w:val="003241C9"/>
    <w:rsid w:val="00324E94"/>
    <w:rsid w:val="003253CA"/>
    <w:rsid w:val="00325404"/>
    <w:rsid w:val="00325A0C"/>
    <w:rsid w:val="00325F71"/>
    <w:rsid w:val="003262A2"/>
    <w:rsid w:val="00326807"/>
    <w:rsid w:val="00326E73"/>
    <w:rsid w:val="00326EF1"/>
    <w:rsid w:val="003271D9"/>
    <w:rsid w:val="00330241"/>
    <w:rsid w:val="00330537"/>
    <w:rsid w:val="00330F68"/>
    <w:rsid w:val="00331044"/>
    <w:rsid w:val="003314CE"/>
    <w:rsid w:val="00331D8A"/>
    <w:rsid w:val="00331FB7"/>
    <w:rsid w:val="00332A24"/>
    <w:rsid w:val="003342EB"/>
    <w:rsid w:val="00334AAB"/>
    <w:rsid w:val="00335221"/>
    <w:rsid w:val="0033531F"/>
    <w:rsid w:val="00335E31"/>
    <w:rsid w:val="00335E4D"/>
    <w:rsid w:val="003362AF"/>
    <w:rsid w:val="00336CCD"/>
    <w:rsid w:val="003378C4"/>
    <w:rsid w:val="003379A2"/>
    <w:rsid w:val="00337C9B"/>
    <w:rsid w:val="003405CB"/>
    <w:rsid w:val="00340995"/>
    <w:rsid w:val="00341244"/>
    <w:rsid w:val="003420DA"/>
    <w:rsid w:val="00342CB1"/>
    <w:rsid w:val="003437A3"/>
    <w:rsid w:val="0034381B"/>
    <w:rsid w:val="00343981"/>
    <w:rsid w:val="00346179"/>
    <w:rsid w:val="003477D1"/>
    <w:rsid w:val="00350156"/>
    <w:rsid w:val="00350C50"/>
    <w:rsid w:val="00350CB5"/>
    <w:rsid w:val="00350D37"/>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29CE"/>
    <w:rsid w:val="003638BD"/>
    <w:rsid w:val="00363AB5"/>
    <w:rsid w:val="00363AD7"/>
    <w:rsid w:val="00363CD6"/>
    <w:rsid w:val="003649D2"/>
    <w:rsid w:val="00364FCA"/>
    <w:rsid w:val="00365DAC"/>
    <w:rsid w:val="00366E20"/>
    <w:rsid w:val="00367593"/>
    <w:rsid w:val="0036787F"/>
    <w:rsid w:val="00370D07"/>
    <w:rsid w:val="00371BAD"/>
    <w:rsid w:val="0037302C"/>
    <w:rsid w:val="00373D8A"/>
    <w:rsid w:val="00375958"/>
    <w:rsid w:val="0037609D"/>
    <w:rsid w:val="0037668D"/>
    <w:rsid w:val="00376776"/>
    <w:rsid w:val="00377C38"/>
    <w:rsid w:val="00377E14"/>
    <w:rsid w:val="00381874"/>
    <w:rsid w:val="00381A66"/>
    <w:rsid w:val="00381C45"/>
    <w:rsid w:val="00381D4C"/>
    <w:rsid w:val="003829D8"/>
    <w:rsid w:val="00382B0E"/>
    <w:rsid w:val="00382CEE"/>
    <w:rsid w:val="003830F2"/>
    <w:rsid w:val="003842EB"/>
    <w:rsid w:val="00385723"/>
    <w:rsid w:val="0038586F"/>
    <w:rsid w:val="00385F1A"/>
    <w:rsid w:val="00386AAB"/>
    <w:rsid w:val="00387163"/>
    <w:rsid w:val="0038716D"/>
    <w:rsid w:val="00387490"/>
    <w:rsid w:val="003876BC"/>
    <w:rsid w:val="00391252"/>
    <w:rsid w:val="00391B5C"/>
    <w:rsid w:val="0039225E"/>
    <w:rsid w:val="003943B8"/>
    <w:rsid w:val="00394402"/>
    <w:rsid w:val="003945E2"/>
    <w:rsid w:val="00394CDA"/>
    <w:rsid w:val="00395131"/>
    <w:rsid w:val="0039540D"/>
    <w:rsid w:val="0039576C"/>
    <w:rsid w:val="00396982"/>
    <w:rsid w:val="00397629"/>
    <w:rsid w:val="00397BDA"/>
    <w:rsid w:val="00397FD3"/>
    <w:rsid w:val="003A1F20"/>
    <w:rsid w:val="003A23F1"/>
    <w:rsid w:val="003A355D"/>
    <w:rsid w:val="003A418F"/>
    <w:rsid w:val="003A4381"/>
    <w:rsid w:val="003A4EA7"/>
    <w:rsid w:val="003A53EC"/>
    <w:rsid w:val="003A56B0"/>
    <w:rsid w:val="003A58D5"/>
    <w:rsid w:val="003A6E01"/>
    <w:rsid w:val="003A7267"/>
    <w:rsid w:val="003A74AF"/>
    <w:rsid w:val="003A765B"/>
    <w:rsid w:val="003B06E7"/>
    <w:rsid w:val="003B1157"/>
    <w:rsid w:val="003B159E"/>
    <w:rsid w:val="003B18F0"/>
    <w:rsid w:val="003B1D72"/>
    <w:rsid w:val="003B2BDB"/>
    <w:rsid w:val="003B351A"/>
    <w:rsid w:val="003B3A57"/>
    <w:rsid w:val="003B423E"/>
    <w:rsid w:val="003B5653"/>
    <w:rsid w:val="003B62FC"/>
    <w:rsid w:val="003B7957"/>
    <w:rsid w:val="003B798F"/>
    <w:rsid w:val="003C1B29"/>
    <w:rsid w:val="003C2226"/>
    <w:rsid w:val="003C25CD"/>
    <w:rsid w:val="003C2CF0"/>
    <w:rsid w:val="003C2D21"/>
    <w:rsid w:val="003C3B41"/>
    <w:rsid w:val="003C3D6D"/>
    <w:rsid w:val="003C433F"/>
    <w:rsid w:val="003C64C6"/>
    <w:rsid w:val="003C66FB"/>
    <w:rsid w:val="003C67B3"/>
    <w:rsid w:val="003C7611"/>
    <w:rsid w:val="003C7894"/>
    <w:rsid w:val="003C7AAB"/>
    <w:rsid w:val="003C7AEB"/>
    <w:rsid w:val="003C7BC7"/>
    <w:rsid w:val="003D0187"/>
    <w:rsid w:val="003D0DB4"/>
    <w:rsid w:val="003D390F"/>
    <w:rsid w:val="003D3FCF"/>
    <w:rsid w:val="003D456D"/>
    <w:rsid w:val="003D4BB8"/>
    <w:rsid w:val="003D6AC9"/>
    <w:rsid w:val="003D77EB"/>
    <w:rsid w:val="003E0F92"/>
    <w:rsid w:val="003E15A5"/>
    <w:rsid w:val="003E187D"/>
    <w:rsid w:val="003E1AD0"/>
    <w:rsid w:val="003E1FFA"/>
    <w:rsid w:val="003E2797"/>
    <w:rsid w:val="003E27B1"/>
    <w:rsid w:val="003E300D"/>
    <w:rsid w:val="003E367A"/>
    <w:rsid w:val="003E3DAD"/>
    <w:rsid w:val="003E4BB9"/>
    <w:rsid w:val="003E4FC4"/>
    <w:rsid w:val="003E6585"/>
    <w:rsid w:val="003E6C70"/>
    <w:rsid w:val="003E6DCA"/>
    <w:rsid w:val="003F10B7"/>
    <w:rsid w:val="003F122F"/>
    <w:rsid w:val="003F1CF4"/>
    <w:rsid w:val="003F23BC"/>
    <w:rsid w:val="003F2638"/>
    <w:rsid w:val="003F27D9"/>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2E0F"/>
    <w:rsid w:val="00403508"/>
    <w:rsid w:val="0040369B"/>
    <w:rsid w:val="004037DB"/>
    <w:rsid w:val="004058DE"/>
    <w:rsid w:val="00405C52"/>
    <w:rsid w:val="004064F3"/>
    <w:rsid w:val="00406506"/>
    <w:rsid w:val="004066DC"/>
    <w:rsid w:val="00406F2C"/>
    <w:rsid w:val="00407298"/>
    <w:rsid w:val="00410109"/>
    <w:rsid w:val="00410132"/>
    <w:rsid w:val="004106CC"/>
    <w:rsid w:val="004112E1"/>
    <w:rsid w:val="00411426"/>
    <w:rsid w:val="004122E8"/>
    <w:rsid w:val="00412F57"/>
    <w:rsid w:val="004132E3"/>
    <w:rsid w:val="0041378F"/>
    <w:rsid w:val="00414A42"/>
    <w:rsid w:val="00414C2C"/>
    <w:rsid w:val="0041561A"/>
    <w:rsid w:val="004157EA"/>
    <w:rsid w:val="004162E2"/>
    <w:rsid w:val="00416D32"/>
    <w:rsid w:val="00417970"/>
    <w:rsid w:val="004203AC"/>
    <w:rsid w:val="004206D2"/>
    <w:rsid w:val="004210FB"/>
    <w:rsid w:val="00421269"/>
    <w:rsid w:val="00421FAC"/>
    <w:rsid w:val="00421FE2"/>
    <w:rsid w:val="00422AF9"/>
    <w:rsid w:val="00422B46"/>
    <w:rsid w:val="00422FCB"/>
    <w:rsid w:val="0042384E"/>
    <w:rsid w:val="00423A60"/>
    <w:rsid w:val="00424826"/>
    <w:rsid w:val="0042496A"/>
    <w:rsid w:val="00424F21"/>
    <w:rsid w:val="004251A1"/>
    <w:rsid w:val="004254AF"/>
    <w:rsid w:val="00425B36"/>
    <w:rsid w:val="00426BA4"/>
    <w:rsid w:val="004270AA"/>
    <w:rsid w:val="00427665"/>
    <w:rsid w:val="00427CE2"/>
    <w:rsid w:val="00430B8E"/>
    <w:rsid w:val="00431663"/>
    <w:rsid w:val="00431B1A"/>
    <w:rsid w:val="00431FA6"/>
    <w:rsid w:val="004322C5"/>
    <w:rsid w:val="00432588"/>
    <w:rsid w:val="0043340A"/>
    <w:rsid w:val="00433878"/>
    <w:rsid w:val="0043462D"/>
    <w:rsid w:val="00434FEF"/>
    <w:rsid w:val="00435364"/>
    <w:rsid w:val="00435376"/>
    <w:rsid w:val="00435715"/>
    <w:rsid w:val="00435896"/>
    <w:rsid w:val="0043599E"/>
    <w:rsid w:val="00435A3F"/>
    <w:rsid w:val="0043715C"/>
    <w:rsid w:val="0044020B"/>
    <w:rsid w:val="00440679"/>
    <w:rsid w:val="00441A6F"/>
    <w:rsid w:val="0044214A"/>
    <w:rsid w:val="00444224"/>
    <w:rsid w:val="0044478C"/>
    <w:rsid w:val="004447A9"/>
    <w:rsid w:val="004447AE"/>
    <w:rsid w:val="004455C0"/>
    <w:rsid w:val="004458DE"/>
    <w:rsid w:val="00445C2C"/>
    <w:rsid w:val="00445EEB"/>
    <w:rsid w:val="00446B7D"/>
    <w:rsid w:val="00446C00"/>
    <w:rsid w:val="00446C51"/>
    <w:rsid w:val="00446CF5"/>
    <w:rsid w:val="00446ED3"/>
    <w:rsid w:val="00447225"/>
    <w:rsid w:val="00447E4C"/>
    <w:rsid w:val="0045014F"/>
    <w:rsid w:val="004503CA"/>
    <w:rsid w:val="00451133"/>
    <w:rsid w:val="004517B2"/>
    <w:rsid w:val="00451A16"/>
    <w:rsid w:val="00452069"/>
    <w:rsid w:val="0045271C"/>
    <w:rsid w:val="00452721"/>
    <w:rsid w:val="00452FDC"/>
    <w:rsid w:val="0045387C"/>
    <w:rsid w:val="00453BB1"/>
    <w:rsid w:val="00454518"/>
    <w:rsid w:val="0045524D"/>
    <w:rsid w:val="004552BF"/>
    <w:rsid w:val="004552FB"/>
    <w:rsid w:val="004561AF"/>
    <w:rsid w:val="00457024"/>
    <w:rsid w:val="0045721C"/>
    <w:rsid w:val="00460AD4"/>
    <w:rsid w:val="004611C3"/>
    <w:rsid w:val="00461BA6"/>
    <w:rsid w:val="00462078"/>
    <w:rsid w:val="00462494"/>
    <w:rsid w:val="004625FA"/>
    <w:rsid w:val="00462A39"/>
    <w:rsid w:val="0046338A"/>
    <w:rsid w:val="00463DED"/>
    <w:rsid w:val="00464008"/>
    <w:rsid w:val="004643C3"/>
    <w:rsid w:val="00464597"/>
    <w:rsid w:val="00464D95"/>
    <w:rsid w:val="00465913"/>
    <w:rsid w:val="00465BEA"/>
    <w:rsid w:val="00465D09"/>
    <w:rsid w:val="004660CF"/>
    <w:rsid w:val="00467393"/>
    <w:rsid w:val="004674C2"/>
    <w:rsid w:val="00467759"/>
    <w:rsid w:val="0047040F"/>
    <w:rsid w:val="004709CB"/>
    <w:rsid w:val="004718B4"/>
    <w:rsid w:val="00471F54"/>
    <w:rsid w:val="004722E2"/>
    <w:rsid w:val="00472390"/>
    <w:rsid w:val="00473AF7"/>
    <w:rsid w:val="00476709"/>
    <w:rsid w:val="00476B4D"/>
    <w:rsid w:val="00477B59"/>
    <w:rsid w:val="00477B66"/>
    <w:rsid w:val="004800F2"/>
    <w:rsid w:val="0048099B"/>
    <w:rsid w:val="00481211"/>
    <w:rsid w:val="0048197D"/>
    <w:rsid w:val="004823C5"/>
    <w:rsid w:val="0048263E"/>
    <w:rsid w:val="00483B4B"/>
    <w:rsid w:val="00483DEF"/>
    <w:rsid w:val="0048477F"/>
    <w:rsid w:val="00484CFB"/>
    <w:rsid w:val="0048529D"/>
    <w:rsid w:val="004863BD"/>
    <w:rsid w:val="00486470"/>
    <w:rsid w:val="004908B1"/>
    <w:rsid w:val="00491987"/>
    <w:rsid w:val="004919FC"/>
    <w:rsid w:val="00491B4F"/>
    <w:rsid w:val="00491DEA"/>
    <w:rsid w:val="0049291C"/>
    <w:rsid w:val="00493F2E"/>
    <w:rsid w:val="00495029"/>
    <w:rsid w:val="004956D4"/>
    <w:rsid w:val="004956E5"/>
    <w:rsid w:val="00495A75"/>
    <w:rsid w:val="00495BD5"/>
    <w:rsid w:val="00495D3F"/>
    <w:rsid w:val="004965A4"/>
    <w:rsid w:val="00496D67"/>
    <w:rsid w:val="00497341"/>
    <w:rsid w:val="00497520"/>
    <w:rsid w:val="004A0AF8"/>
    <w:rsid w:val="004A14EE"/>
    <w:rsid w:val="004A16B8"/>
    <w:rsid w:val="004A323F"/>
    <w:rsid w:val="004A36FA"/>
    <w:rsid w:val="004A381A"/>
    <w:rsid w:val="004A3B2A"/>
    <w:rsid w:val="004A43C6"/>
    <w:rsid w:val="004A445B"/>
    <w:rsid w:val="004A482B"/>
    <w:rsid w:val="004A4887"/>
    <w:rsid w:val="004A48FA"/>
    <w:rsid w:val="004A5E78"/>
    <w:rsid w:val="004A632D"/>
    <w:rsid w:val="004A659E"/>
    <w:rsid w:val="004A6A74"/>
    <w:rsid w:val="004A7097"/>
    <w:rsid w:val="004A7123"/>
    <w:rsid w:val="004B0A6B"/>
    <w:rsid w:val="004B0EBF"/>
    <w:rsid w:val="004B1160"/>
    <w:rsid w:val="004B2BD7"/>
    <w:rsid w:val="004B4E43"/>
    <w:rsid w:val="004B5F3C"/>
    <w:rsid w:val="004B65DB"/>
    <w:rsid w:val="004B6969"/>
    <w:rsid w:val="004B6B8B"/>
    <w:rsid w:val="004B6C37"/>
    <w:rsid w:val="004B6C41"/>
    <w:rsid w:val="004B7680"/>
    <w:rsid w:val="004C1015"/>
    <w:rsid w:val="004C133C"/>
    <w:rsid w:val="004C2FB3"/>
    <w:rsid w:val="004C3752"/>
    <w:rsid w:val="004C4E67"/>
    <w:rsid w:val="004C5011"/>
    <w:rsid w:val="004C59FA"/>
    <w:rsid w:val="004C5EB9"/>
    <w:rsid w:val="004C6945"/>
    <w:rsid w:val="004C7318"/>
    <w:rsid w:val="004C763A"/>
    <w:rsid w:val="004C7D91"/>
    <w:rsid w:val="004D04AE"/>
    <w:rsid w:val="004D0C75"/>
    <w:rsid w:val="004D0CED"/>
    <w:rsid w:val="004D1242"/>
    <w:rsid w:val="004D16CC"/>
    <w:rsid w:val="004D1976"/>
    <w:rsid w:val="004D3048"/>
    <w:rsid w:val="004D3387"/>
    <w:rsid w:val="004D390B"/>
    <w:rsid w:val="004D45BC"/>
    <w:rsid w:val="004D4C36"/>
    <w:rsid w:val="004D4D51"/>
    <w:rsid w:val="004D5B3A"/>
    <w:rsid w:val="004D5F22"/>
    <w:rsid w:val="004D70EC"/>
    <w:rsid w:val="004D7940"/>
    <w:rsid w:val="004E011F"/>
    <w:rsid w:val="004E0730"/>
    <w:rsid w:val="004E0E6E"/>
    <w:rsid w:val="004E1FBC"/>
    <w:rsid w:val="004E2295"/>
    <w:rsid w:val="004E22D0"/>
    <w:rsid w:val="004E2FFF"/>
    <w:rsid w:val="004E3010"/>
    <w:rsid w:val="004E36C1"/>
    <w:rsid w:val="004E39B3"/>
    <w:rsid w:val="004E3A48"/>
    <w:rsid w:val="004E3A70"/>
    <w:rsid w:val="004E3B38"/>
    <w:rsid w:val="004E3F0C"/>
    <w:rsid w:val="004E40B6"/>
    <w:rsid w:val="004E4787"/>
    <w:rsid w:val="004E5AA5"/>
    <w:rsid w:val="004E61F6"/>
    <w:rsid w:val="004E695E"/>
    <w:rsid w:val="004E69EB"/>
    <w:rsid w:val="004E6AA7"/>
    <w:rsid w:val="004E7CB6"/>
    <w:rsid w:val="004F00AD"/>
    <w:rsid w:val="004F05D1"/>
    <w:rsid w:val="004F0769"/>
    <w:rsid w:val="004F08F8"/>
    <w:rsid w:val="004F107C"/>
    <w:rsid w:val="004F2CD5"/>
    <w:rsid w:val="004F345D"/>
    <w:rsid w:val="004F38E2"/>
    <w:rsid w:val="004F3B7C"/>
    <w:rsid w:val="004F4D77"/>
    <w:rsid w:val="004F4F7B"/>
    <w:rsid w:val="004F58FC"/>
    <w:rsid w:val="004F6011"/>
    <w:rsid w:val="004F6121"/>
    <w:rsid w:val="004F6A7C"/>
    <w:rsid w:val="004F71E9"/>
    <w:rsid w:val="00500381"/>
    <w:rsid w:val="00500AF4"/>
    <w:rsid w:val="0050105E"/>
    <w:rsid w:val="00502714"/>
    <w:rsid w:val="0050315D"/>
    <w:rsid w:val="00503313"/>
    <w:rsid w:val="00503F67"/>
    <w:rsid w:val="0050455D"/>
    <w:rsid w:val="0050494C"/>
    <w:rsid w:val="00505238"/>
    <w:rsid w:val="00506FE6"/>
    <w:rsid w:val="00507616"/>
    <w:rsid w:val="00507861"/>
    <w:rsid w:val="00511424"/>
    <w:rsid w:val="00512496"/>
    <w:rsid w:val="00512CF1"/>
    <w:rsid w:val="005149B5"/>
    <w:rsid w:val="00514EB4"/>
    <w:rsid w:val="00515371"/>
    <w:rsid w:val="005158F9"/>
    <w:rsid w:val="00515B5F"/>
    <w:rsid w:val="00516255"/>
    <w:rsid w:val="0051660A"/>
    <w:rsid w:val="00516634"/>
    <w:rsid w:val="005167F9"/>
    <w:rsid w:val="0051703C"/>
    <w:rsid w:val="00517897"/>
    <w:rsid w:val="00520483"/>
    <w:rsid w:val="00520988"/>
    <w:rsid w:val="00520A5F"/>
    <w:rsid w:val="00521736"/>
    <w:rsid w:val="005231EB"/>
    <w:rsid w:val="005236DB"/>
    <w:rsid w:val="00524AEC"/>
    <w:rsid w:val="00525197"/>
    <w:rsid w:val="00525390"/>
    <w:rsid w:val="00525708"/>
    <w:rsid w:val="00525985"/>
    <w:rsid w:val="00526651"/>
    <w:rsid w:val="005266DE"/>
    <w:rsid w:val="00526A48"/>
    <w:rsid w:val="005275EE"/>
    <w:rsid w:val="005310A1"/>
    <w:rsid w:val="00531584"/>
    <w:rsid w:val="005327A0"/>
    <w:rsid w:val="005328BE"/>
    <w:rsid w:val="00532C5F"/>
    <w:rsid w:val="00533327"/>
    <w:rsid w:val="00533963"/>
    <w:rsid w:val="005345C6"/>
    <w:rsid w:val="005350DC"/>
    <w:rsid w:val="00535E30"/>
    <w:rsid w:val="00535EE6"/>
    <w:rsid w:val="00536414"/>
    <w:rsid w:val="0053694B"/>
    <w:rsid w:val="00536E0D"/>
    <w:rsid w:val="00537044"/>
    <w:rsid w:val="00537488"/>
    <w:rsid w:val="00537741"/>
    <w:rsid w:val="00537774"/>
    <w:rsid w:val="005377A3"/>
    <w:rsid w:val="00537866"/>
    <w:rsid w:val="005378CA"/>
    <w:rsid w:val="00540390"/>
    <w:rsid w:val="005409CF"/>
    <w:rsid w:val="00541CE7"/>
    <w:rsid w:val="00542AB9"/>
    <w:rsid w:val="00542FC0"/>
    <w:rsid w:val="00544373"/>
    <w:rsid w:val="005457D1"/>
    <w:rsid w:val="00545F60"/>
    <w:rsid w:val="005460F2"/>
    <w:rsid w:val="00546E5E"/>
    <w:rsid w:val="00546EBC"/>
    <w:rsid w:val="00547765"/>
    <w:rsid w:val="005477A5"/>
    <w:rsid w:val="005508D6"/>
    <w:rsid w:val="00552C0A"/>
    <w:rsid w:val="005539FF"/>
    <w:rsid w:val="005542A1"/>
    <w:rsid w:val="005548F9"/>
    <w:rsid w:val="00555784"/>
    <w:rsid w:val="0055632F"/>
    <w:rsid w:val="005569F0"/>
    <w:rsid w:val="00556D67"/>
    <w:rsid w:val="00557073"/>
    <w:rsid w:val="00557E26"/>
    <w:rsid w:val="005600E8"/>
    <w:rsid w:val="005601CF"/>
    <w:rsid w:val="00561387"/>
    <w:rsid w:val="0056140E"/>
    <w:rsid w:val="00561564"/>
    <w:rsid w:val="00561AD6"/>
    <w:rsid w:val="00561E70"/>
    <w:rsid w:val="0056240A"/>
    <w:rsid w:val="00562436"/>
    <w:rsid w:val="0056268F"/>
    <w:rsid w:val="005627AA"/>
    <w:rsid w:val="00562C0C"/>
    <w:rsid w:val="0056310E"/>
    <w:rsid w:val="00565713"/>
    <w:rsid w:val="00565915"/>
    <w:rsid w:val="00565E5D"/>
    <w:rsid w:val="005669B7"/>
    <w:rsid w:val="00566D46"/>
    <w:rsid w:val="00566DB6"/>
    <w:rsid w:val="0056714A"/>
    <w:rsid w:val="00567509"/>
    <w:rsid w:val="00570062"/>
    <w:rsid w:val="00570FBA"/>
    <w:rsid w:val="00571AC1"/>
    <w:rsid w:val="005722DB"/>
    <w:rsid w:val="00573155"/>
    <w:rsid w:val="00574472"/>
    <w:rsid w:val="0057460E"/>
    <w:rsid w:val="00574791"/>
    <w:rsid w:val="0057498F"/>
    <w:rsid w:val="00574ED0"/>
    <w:rsid w:val="00575AB6"/>
    <w:rsid w:val="00576D42"/>
    <w:rsid w:val="00576E16"/>
    <w:rsid w:val="00577014"/>
    <w:rsid w:val="005774CB"/>
    <w:rsid w:val="00580A7C"/>
    <w:rsid w:val="00580F2B"/>
    <w:rsid w:val="00581405"/>
    <w:rsid w:val="005819D4"/>
    <w:rsid w:val="00581AEF"/>
    <w:rsid w:val="00581CB4"/>
    <w:rsid w:val="00582496"/>
    <w:rsid w:val="0058333C"/>
    <w:rsid w:val="00583357"/>
    <w:rsid w:val="005833D6"/>
    <w:rsid w:val="00583498"/>
    <w:rsid w:val="005834FE"/>
    <w:rsid w:val="00583DEA"/>
    <w:rsid w:val="00584A5A"/>
    <w:rsid w:val="00585A28"/>
    <w:rsid w:val="00585D52"/>
    <w:rsid w:val="00586294"/>
    <w:rsid w:val="00586DEE"/>
    <w:rsid w:val="00586EE1"/>
    <w:rsid w:val="005877CB"/>
    <w:rsid w:val="00587EAC"/>
    <w:rsid w:val="00590110"/>
    <w:rsid w:val="005904FC"/>
    <w:rsid w:val="00590950"/>
    <w:rsid w:val="00591029"/>
    <w:rsid w:val="00591618"/>
    <w:rsid w:val="0059337F"/>
    <w:rsid w:val="00593AF0"/>
    <w:rsid w:val="00596115"/>
    <w:rsid w:val="00596646"/>
    <w:rsid w:val="00596906"/>
    <w:rsid w:val="0059697B"/>
    <w:rsid w:val="00596A3E"/>
    <w:rsid w:val="00596A99"/>
    <w:rsid w:val="005A118A"/>
    <w:rsid w:val="005A1636"/>
    <w:rsid w:val="005A31F8"/>
    <w:rsid w:val="005A39C3"/>
    <w:rsid w:val="005A60B4"/>
    <w:rsid w:val="005A6EA2"/>
    <w:rsid w:val="005A7ABE"/>
    <w:rsid w:val="005A7AC0"/>
    <w:rsid w:val="005B06DF"/>
    <w:rsid w:val="005B1412"/>
    <w:rsid w:val="005B144F"/>
    <w:rsid w:val="005B1D85"/>
    <w:rsid w:val="005B1DB7"/>
    <w:rsid w:val="005B20C8"/>
    <w:rsid w:val="005B21C9"/>
    <w:rsid w:val="005B24DE"/>
    <w:rsid w:val="005B35D6"/>
    <w:rsid w:val="005B43EE"/>
    <w:rsid w:val="005B4D65"/>
    <w:rsid w:val="005B53FD"/>
    <w:rsid w:val="005B5474"/>
    <w:rsid w:val="005B5C8F"/>
    <w:rsid w:val="005B6AC8"/>
    <w:rsid w:val="005B6D30"/>
    <w:rsid w:val="005B6ED7"/>
    <w:rsid w:val="005B75FD"/>
    <w:rsid w:val="005C009D"/>
    <w:rsid w:val="005C1484"/>
    <w:rsid w:val="005C2C65"/>
    <w:rsid w:val="005C320B"/>
    <w:rsid w:val="005C354E"/>
    <w:rsid w:val="005C4415"/>
    <w:rsid w:val="005C5025"/>
    <w:rsid w:val="005C5787"/>
    <w:rsid w:val="005C5B5F"/>
    <w:rsid w:val="005C703E"/>
    <w:rsid w:val="005C7D47"/>
    <w:rsid w:val="005C7E22"/>
    <w:rsid w:val="005D0A01"/>
    <w:rsid w:val="005D0AD3"/>
    <w:rsid w:val="005D0C5F"/>
    <w:rsid w:val="005D0EAE"/>
    <w:rsid w:val="005D0FAF"/>
    <w:rsid w:val="005D14A3"/>
    <w:rsid w:val="005D332E"/>
    <w:rsid w:val="005D3D47"/>
    <w:rsid w:val="005D496A"/>
    <w:rsid w:val="005D4AA5"/>
    <w:rsid w:val="005D4BBD"/>
    <w:rsid w:val="005D4E0C"/>
    <w:rsid w:val="005D51F2"/>
    <w:rsid w:val="005D5503"/>
    <w:rsid w:val="005D5BDF"/>
    <w:rsid w:val="005D6173"/>
    <w:rsid w:val="005D723C"/>
    <w:rsid w:val="005E0771"/>
    <w:rsid w:val="005E0B7E"/>
    <w:rsid w:val="005E11C3"/>
    <w:rsid w:val="005E19C6"/>
    <w:rsid w:val="005E1D26"/>
    <w:rsid w:val="005E2F32"/>
    <w:rsid w:val="005E469F"/>
    <w:rsid w:val="005E485D"/>
    <w:rsid w:val="005E4F1A"/>
    <w:rsid w:val="005E57CE"/>
    <w:rsid w:val="005E646D"/>
    <w:rsid w:val="005E6D59"/>
    <w:rsid w:val="005E77A7"/>
    <w:rsid w:val="005F014F"/>
    <w:rsid w:val="005F12D9"/>
    <w:rsid w:val="005F1F4C"/>
    <w:rsid w:val="005F2010"/>
    <w:rsid w:val="005F2948"/>
    <w:rsid w:val="005F33F0"/>
    <w:rsid w:val="005F36D9"/>
    <w:rsid w:val="005F3CCB"/>
    <w:rsid w:val="005F49E6"/>
    <w:rsid w:val="005F523B"/>
    <w:rsid w:val="005F6D4A"/>
    <w:rsid w:val="005F705E"/>
    <w:rsid w:val="005F72F7"/>
    <w:rsid w:val="005F7482"/>
    <w:rsid w:val="005F7616"/>
    <w:rsid w:val="005F7689"/>
    <w:rsid w:val="005F7BA7"/>
    <w:rsid w:val="005F7E46"/>
    <w:rsid w:val="00601BA9"/>
    <w:rsid w:val="006026FB"/>
    <w:rsid w:val="00602A08"/>
    <w:rsid w:val="00603D56"/>
    <w:rsid w:val="00604938"/>
    <w:rsid w:val="00604D90"/>
    <w:rsid w:val="00604EB8"/>
    <w:rsid w:val="00604F4E"/>
    <w:rsid w:val="006051A9"/>
    <w:rsid w:val="00605288"/>
    <w:rsid w:val="006053F3"/>
    <w:rsid w:val="006053F4"/>
    <w:rsid w:val="006056B3"/>
    <w:rsid w:val="0060688A"/>
    <w:rsid w:val="00606D33"/>
    <w:rsid w:val="00607C56"/>
    <w:rsid w:val="00610526"/>
    <w:rsid w:val="00610606"/>
    <w:rsid w:val="006108E2"/>
    <w:rsid w:val="00610DDA"/>
    <w:rsid w:val="00611E66"/>
    <w:rsid w:val="00612056"/>
    <w:rsid w:val="0061328E"/>
    <w:rsid w:val="00613F42"/>
    <w:rsid w:val="006140D5"/>
    <w:rsid w:val="0061448F"/>
    <w:rsid w:val="00614579"/>
    <w:rsid w:val="00614939"/>
    <w:rsid w:val="00614D83"/>
    <w:rsid w:val="0061573C"/>
    <w:rsid w:val="006163F6"/>
    <w:rsid w:val="00616445"/>
    <w:rsid w:val="006169D1"/>
    <w:rsid w:val="00616B03"/>
    <w:rsid w:val="00617458"/>
    <w:rsid w:val="00620061"/>
    <w:rsid w:val="00620654"/>
    <w:rsid w:val="006208CC"/>
    <w:rsid w:val="00621095"/>
    <w:rsid w:val="006221E5"/>
    <w:rsid w:val="006223CA"/>
    <w:rsid w:val="006233D0"/>
    <w:rsid w:val="006236FF"/>
    <w:rsid w:val="006242BA"/>
    <w:rsid w:val="0062448C"/>
    <w:rsid w:val="00624EBA"/>
    <w:rsid w:val="00625192"/>
    <w:rsid w:val="00625C51"/>
    <w:rsid w:val="006263AF"/>
    <w:rsid w:val="006271CF"/>
    <w:rsid w:val="006275F3"/>
    <w:rsid w:val="00627755"/>
    <w:rsid w:val="00630ADE"/>
    <w:rsid w:val="00630D55"/>
    <w:rsid w:val="0063171E"/>
    <w:rsid w:val="00631A23"/>
    <w:rsid w:val="0063262D"/>
    <w:rsid w:val="0063276A"/>
    <w:rsid w:val="00632A2E"/>
    <w:rsid w:val="00632F7E"/>
    <w:rsid w:val="00634A4F"/>
    <w:rsid w:val="0063567D"/>
    <w:rsid w:val="0063582B"/>
    <w:rsid w:val="00635D2A"/>
    <w:rsid w:val="00635ECC"/>
    <w:rsid w:val="006369AF"/>
    <w:rsid w:val="00636D12"/>
    <w:rsid w:val="006376CB"/>
    <w:rsid w:val="00637877"/>
    <w:rsid w:val="0063795E"/>
    <w:rsid w:val="0064110E"/>
    <w:rsid w:val="00641F5B"/>
    <w:rsid w:val="00642DA5"/>
    <w:rsid w:val="00643260"/>
    <w:rsid w:val="00643AC4"/>
    <w:rsid w:val="00643E7B"/>
    <w:rsid w:val="006444E9"/>
    <w:rsid w:val="00645340"/>
    <w:rsid w:val="00645BF2"/>
    <w:rsid w:val="0064621E"/>
    <w:rsid w:val="006472CB"/>
    <w:rsid w:val="0064739F"/>
    <w:rsid w:val="0064762B"/>
    <w:rsid w:val="00647CFD"/>
    <w:rsid w:val="00650C4F"/>
    <w:rsid w:val="0065195E"/>
    <w:rsid w:val="006519F4"/>
    <w:rsid w:val="00651E78"/>
    <w:rsid w:val="00652171"/>
    <w:rsid w:val="00653108"/>
    <w:rsid w:val="0065376C"/>
    <w:rsid w:val="00653AB5"/>
    <w:rsid w:val="006543F9"/>
    <w:rsid w:val="00654566"/>
    <w:rsid w:val="0065487A"/>
    <w:rsid w:val="00654FCA"/>
    <w:rsid w:val="00654FD3"/>
    <w:rsid w:val="006553F8"/>
    <w:rsid w:val="0065594B"/>
    <w:rsid w:val="00655A25"/>
    <w:rsid w:val="006563E2"/>
    <w:rsid w:val="00657FCA"/>
    <w:rsid w:val="0066009A"/>
    <w:rsid w:val="006604F6"/>
    <w:rsid w:val="00660643"/>
    <w:rsid w:val="00660791"/>
    <w:rsid w:val="006607B4"/>
    <w:rsid w:val="006609F5"/>
    <w:rsid w:val="0066147B"/>
    <w:rsid w:val="00661660"/>
    <w:rsid w:val="006621C9"/>
    <w:rsid w:val="006638B4"/>
    <w:rsid w:val="00663D88"/>
    <w:rsid w:val="006645B5"/>
    <w:rsid w:val="006655A6"/>
    <w:rsid w:val="0066565D"/>
    <w:rsid w:val="00665F9F"/>
    <w:rsid w:val="0066673C"/>
    <w:rsid w:val="00667822"/>
    <w:rsid w:val="00667E9A"/>
    <w:rsid w:val="00670AA9"/>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DC3"/>
    <w:rsid w:val="00677FD1"/>
    <w:rsid w:val="00680D60"/>
    <w:rsid w:val="00681175"/>
    <w:rsid w:val="00681C1D"/>
    <w:rsid w:val="00681EEE"/>
    <w:rsid w:val="006820DF"/>
    <w:rsid w:val="0068264F"/>
    <w:rsid w:val="006826D1"/>
    <w:rsid w:val="00682AF2"/>
    <w:rsid w:val="00682D1A"/>
    <w:rsid w:val="0068303E"/>
    <w:rsid w:val="00683FDC"/>
    <w:rsid w:val="006844D2"/>
    <w:rsid w:val="0068486A"/>
    <w:rsid w:val="00685329"/>
    <w:rsid w:val="006854DE"/>
    <w:rsid w:val="00686128"/>
    <w:rsid w:val="006868CC"/>
    <w:rsid w:val="00687114"/>
    <w:rsid w:val="0068715D"/>
    <w:rsid w:val="00687B93"/>
    <w:rsid w:val="0069039B"/>
    <w:rsid w:val="006905F0"/>
    <w:rsid w:val="00690C69"/>
    <w:rsid w:val="00691189"/>
    <w:rsid w:val="00691767"/>
    <w:rsid w:val="00691B74"/>
    <w:rsid w:val="0069216B"/>
    <w:rsid w:val="006922B1"/>
    <w:rsid w:val="006926B8"/>
    <w:rsid w:val="00692D67"/>
    <w:rsid w:val="006935EA"/>
    <w:rsid w:val="00694931"/>
    <w:rsid w:val="00694FE8"/>
    <w:rsid w:val="0069513C"/>
    <w:rsid w:val="00695C07"/>
    <w:rsid w:val="00695C44"/>
    <w:rsid w:val="00696774"/>
    <w:rsid w:val="00696F85"/>
    <w:rsid w:val="006A03D8"/>
    <w:rsid w:val="006A0E4A"/>
    <w:rsid w:val="006A0EA1"/>
    <w:rsid w:val="006A0FC2"/>
    <w:rsid w:val="006A2687"/>
    <w:rsid w:val="006A271D"/>
    <w:rsid w:val="006A2945"/>
    <w:rsid w:val="006A298F"/>
    <w:rsid w:val="006A4218"/>
    <w:rsid w:val="006A49A2"/>
    <w:rsid w:val="006A50D1"/>
    <w:rsid w:val="006A54DB"/>
    <w:rsid w:val="006A55D1"/>
    <w:rsid w:val="006A55E9"/>
    <w:rsid w:val="006A56F7"/>
    <w:rsid w:val="006A5BE3"/>
    <w:rsid w:val="006A615F"/>
    <w:rsid w:val="006A632B"/>
    <w:rsid w:val="006A64A4"/>
    <w:rsid w:val="006A6645"/>
    <w:rsid w:val="006A73B4"/>
    <w:rsid w:val="006A7EE1"/>
    <w:rsid w:val="006B1D56"/>
    <w:rsid w:val="006B1E70"/>
    <w:rsid w:val="006B3AEA"/>
    <w:rsid w:val="006B505A"/>
    <w:rsid w:val="006B56CD"/>
    <w:rsid w:val="006B5B4D"/>
    <w:rsid w:val="006B63C3"/>
    <w:rsid w:val="006B63EB"/>
    <w:rsid w:val="006C1448"/>
    <w:rsid w:val="006C18F4"/>
    <w:rsid w:val="006C2106"/>
    <w:rsid w:val="006C274D"/>
    <w:rsid w:val="006C309A"/>
    <w:rsid w:val="006C30E6"/>
    <w:rsid w:val="006C328A"/>
    <w:rsid w:val="006C3E2D"/>
    <w:rsid w:val="006C40EE"/>
    <w:rsid w:val="006C4D56"/>
    <w:rsid w:val="006C78AE"/>
    <w:rsid w:val="006C7CE8"/>
    <w:rsid w:val="006D079F"/>
    <w:rsid w:val="006D15EC"/>
    <w:rsid w:val="006D1FD8"/>
    <w:rsid w:val="006D2D70"/>
    <w:rsid w:val="006D31A5"/>
    <w:rsid w:val="006D4144"/>
    <w:rsid w:val="006D4234"/>
    <w:rsid w:val="006D437A"/>
    <w:rsid w:val="006D4897"/>
    <w:rsid w:val="006D5E09"/>
    <w:rsid w:val="006D605D"/>
    <w:rsid w:val="006D6427"/>
    <w:rsid w:val="006D6B2C"/>
    <w:rsid w:val="006D6F61"/>
    <w:rsid w:val="006D7C71"/>
    <w:rsid w:val="006E0720"/>
    <w:rsid w:val="006E1405"/>
    <w:rsid w:val="006E2973"/>
    <w:rsid w:val="006E2A4C"/>
    <w:rsid w:val="006E2AE4"/>
    <w:rsid w:val="006E3121"/>
    <w:rsid w:val="006E55D7"/>
    <w:rsid w:val="006E63CB"/>
    <w:rsid w:val="006E7898"/>
    <w:rsid w:val="006F05BF"/>
    <w:rsid w:val="006F076F"/>
    <w:rsid w:val="006F11A9"/>
    <w:rsid w:val="006F175A"/>
    <w:rsid w:val="006F19D9"/>
    <w:rsid w:val="006F1ABD"/>
    <w:rsid w:val="006F2BAB"/>
    <w:rsid w:val="006F2E67"/>
    <w:rsid w:val="006F3AD8"/>
    <w:rsid w:val="006F47C9"/>
    <w:rsid w:val="006F5F26"/>
    <w:rsid w:val="006F651C"/>
    <w:rsid w:val="006F791E"/>
    <w:rsid w:val="0070026E"/>
    <w:rsid w:val="00700761"/>
    <w:rsid w:val="00700987"/>
    <w:rsid w:val="007013C3"/>
    <w:rsid w:val="0070140B"/>
    <w:rsid w:val="00701D87"/>
    <w:rsid w:val="00701E2A"/>
    <w:rsid w:val="007051E2"/>
    <w:rsid w:val="007056DC"/>
    <w:rsid w:val="00705E0B"/>
    <w:rsid w:val="007066E6"/>
    <w:rsid w:val="00706C80"/>
    <w:rsid w:val="00707737"/>
    <w:rsid w:val="0070787B"/>
    <w:rsid w:val="0070792E"/>
    <w:rsid w:val="00707973"/>
    <w:rsid w:val="00707C10"/>
    <w:rsid w:val="00707CAA"/>
    <w:rsid w:val="0071117F"/>
    <w:rsid w:val="00712607"/>
    <w:rsid w:val="007129BE"/>
    <w:rsid w:val="007129FE"/>
    <w:rsid w:val="00712C6F"/>
    <w:rsid w:val="00712DA5"/>
    <w:rsid w:val="00713CD0"/>
    <w:rsid w:val="00714320"/>
    <w:rsid w:val="007148BD"/>
    <w:rsid w:val="0071502D"/>
    <w:rsid w:val="00716262"/>
    <w:rsid w:val="0071737D"/>
    <w:rsid w:val="00717D23"/>
    <w:rsid w:val="00717DB1"/>
    <w:rsid w:val="00717DD2"/>
    <w:rsid w:val="007204B7"/>
    <w:rsid w:val="0072237A"/>
    <w:rsid w:val="00722910"/>
    <w:rsid w:val="0072299C"/>
    <w:rsid w:val="00722F77"/>
    <w:rsid w:val="0072352C"/>
    <w:rsid w:val="00723646"/>
    <w:rsid w:val="00723834"/>
    <w:rsid w:val="0072453D"/>
    <w:rsid w:val="00725723"/>
    <w:rsid w:val="00727A17"/>
    <w:rsid w:val="00727A29"/>
    <w:rsid w:val="00730460"/>
    <w:rsid w:val="00731446"/>
    <w:rsid w:val="007321B6"/>
    <w:rsid w:val="007322B0"/>
    <w:rsid w:val="00732CE8"/>
    <w:rsid w:val="00732F6C"/>
    <w:rsid w:val="0073356A"/>
    <w:rsid w:val="007336FC"/>
    <w:rsid w:val="00733AA8"/>
    <w:rsid w:val="00733D18"/>
    <w:rsid w:val="007344B7"/>
    <w:rsid w:val="00734839"/>
    <w:rsid w:val="00734969"/>
    <w:rsid w:val="00735949"/>
    <w:rsid w:val="00740063"/>
    <w:rsid w:val="00740798"/>
    <w:rsid w:val="00740954"/>
    <w:rsid w:val="00741660"/>
    <w:rsid w:val="007419D3"/>
    <w:rsid w:val="00742973"/>
    <w:rsid w:val="00743A33"/>
    <w:rsid w:val="007449DD"/>
    <w:rsid w:val="00744A26"/>
    <w:rsid w:val="00744A32"/>
    <w:rsid w:val="00744E4E"/>
    <w:rsid w:val="00744EDE"/>
    <w:rsid w:val="0074659F"/>
    <w:rsid w:val="00746B93"/>
    <w:rsid w:val="00747EBC"/>
    <w:rsid w:val="0075043D"/>
    <w:rsid w:val="007504FB"/>
    <w:rsid w:val="007514C6"/>
    <w:rsid w:val="007515D2"/>
    <w:rsid w:val="00751D03"/>
    <w:rsid w:val="00752028"/>
    <w:rsid w:val="00752F21"/>
    <w:rsid w:val="0075312C"/>
    <w:rsid w:val="007538C3"/>
    <w:rsid w:val="0075391D"/>
    <w:rsid w:val="00753F32"/>
    <w:rsid w:val="00754A12"/>
    <w:rsid w:val="00756507"/>
    <w:rsid w:val="00756EB3"/>
    <w:rsid w:val="007570DC"/>
    <w:rsid w:val="00757719"/>
    <w:rsid w:val="00757A89"/>
    <w:rsid w:val="0076131A"/>
    <w:rsid w:val="00761A5B"/>
    <w:rsid w:val="00762FE3"/>
    <w:rsid w:val="00763F8B"/>
    <w:rsid w:val="0076529C"/>
    <w:rsid w:val="00767773"/>
    <w:rsid w:val="00770108"/>
    <w:rsid w:val="007705E9"/>
    <w:rsid w:val="007718A1"/>
    <w:rsid w:val="00771ACA"/>
    <w:rsid w:val="007724FA"/>
    <w:rsid w:val="0077251F"/>
    <w:rsid w:val="007739A1"/>
    <w:rsid w:val="00774403"/>
    <w:rsid w:val="00775A40"/>
    <w:rsid w:val="00775E54"/>
    <w:rsid w:val="007762FD"/>
    <w:rsid w:val="0077672D"/>
    <w:rsid w:val="00777B5F"/>
    <w:rsid w:val="0078036F"/>
    <w:rsid w:val="00780AD1"/>
    <w:rsid w:val="00781907"/>
    <w:rsid w:val="00782B61"/>
    <w:rsid w:val="00782EE1"/>
    <w:rsid w:val="007836B4"/>
    <w:rsid w:val="007840ED"/>
    <w:rsid w:val="00784407"/>
    <w:rsid w:val="00784ECC"/>
    <w:rsid w:val="00785F7D"/>
    <w:rsid w:val="00786616"/>
    <w:rsid w:val="0078664D"/>
    <w:rsid w:val="007870E7"/>
    <w:rsid w:val="00787D45"/>
    <w:rsid w:val="00787F4F"/>
    <w:rsid w:val="007904AC"/>
    <w:rsid w:val="00791D12"/>
    <w:rsid w:val="007923CE"/>
    <w:rsid w:val="00793F48"/>
    <w:rsid w:val="00794662"/>
    <w:rsid w:val="00795074"/>
    <w:rsid w:val="007955B9"/>
    <w:rsid w:val="007957E4"/>
    <w:rsid w:val="00795E89"/>
    <w:rsid w:val="00796B16"/>
    <w:rsid w:val="00797FF8"/>
    <w:rsid w:val="007A0B38"/>
    <w:rsid w:val="007A0BD8"/>
    <w:rsid w:val="007A0ED1"/>
    <w:rsid w:val="007A1677"/>
    <w:rsid w:val="007A1EE9"/>
    <w:rsid w:val="007A2C3A"/>
    <w:rsid w:val="007A2F34"/>
    <w:rsid w:val="007A3276"/>
    <w:rsid w:val="007A3DE8"/>
    <w:rsid w:val="007A3EB8"/>
    <w:rsid w:val="007A60AB"/>
    <w:rsid w:val="007A635E"/>
    <w:rsid w:val="007A7045"/>
    <w:rsid w:val="007B0C06"/>
    <w:rsid w:val="007B0F31"/>
    <w:rsid w:val="007B1530"/>
    <w:rsid w:val="007B28A2"/>
    <w:rsid w:val="007B4219"/>
    <w:rsid w:val="007B4542"/>
    <w:rsid w:val="007B46F5"/>
    <w:rsid w:val="007B470B"/>
    <w:rsid w:val="007B5155"/>
    <w:rsid w:val="007B5E43"/>
    <w:rsid w:val="007B6288"/>
    <w:rsid w:val="007B64E7"/>
    <w:rsid w:val="007B6A44"/>
    <w:rsid w:val="007C03E6"/>
    <w:rsid w:val="007C07C5"/>
    <w:rsid w:val="007C154C"/>
    <w:rsid w:val="007C26C3"/>
    <w:rsid w:val="007C2D87"/>
    <w:rsid w:val="007C3392"/>
    <w:rsid w:val="007C3B81"/>
    <w:rsid w:val="007C63CA"/>
    <w:rsid w:val="007C6C3D"/>
    <w:rsid w:val="007C6EA1"/>
    <w:rsid w:val="007D11C1"/>
    <w:rsid w:val="007D12C1"/>
    <w:rsid w:val="007D196C"/>
    <w:rsid w:val="007D2050"/>
    <w:rsid w:val="007D254F"/>
    <w:rsid w:val="007D3E65"/>
    <w:rsid w:val="007D4ABC"/>
    <w:rsid w:val="007D5150"/>
    <w:rsid w:val="007D57DE"/>
    <w:rsid w:val="007D5C62"/>
    <w:rsid w:val="007D5F31"/>
    <w:rsid w:val="007D7AFC"/>
    <w:rsid w:val="007E0540"/>
    <w:rsid w:val="007E0563"/>
    <w:rsid w:val="007E072D"/>
    <w:rsid w:val="007E0C34"/>
    <w:rsid w:val="007E12F8"/>
    <w:rsid w:val="007E1F89"/>
    <w:rsid w:val="007E2061"/>
    <w:rsid w:val="007E2C55"/>
    <w:rsid w:val="007E3190"/>
    <w:rsid w:val="007E32F2"/>
    <w:rsid w:val="007E4086"/>
    <w:rsid w:val="007E4F38"/>
    <w:rsid w:val="007E5EC6"/>
    <w:rsid w:val="007E64A9"/>
    <w:rsid w:val="007E7A2D"/>
    <w:rsid w:val="007F0293"/>
    <w:rsid w:val="007F17F4"/>
    <w:rsid w:val="007F2599"/>
    <w:rsid w:val="007F2615"/>
    <w:rsid w:val="007F2F93"/>
    <w:rsid w:val="007F38F7"/>
    <w:rsid w:val="007F46E9"/>
    <w:rsid w:val="007F4B5E"/>
    <w:rsid w:val="007F54AD"/>
    <w:rsid w:val="007F6494"/>
    <w:rsid w:val="007F67BE"/>
    <w:rsid w:val="007F6A99"/>
    <w:rsid w:val="007F702A"/>
    <w:rsid w:val="007F74E0"/>
    <w:rsid w:val="00801EC0"/>
    <w:rsid w:val="00802D16"/>
    <w:rsid w:val="00803EC2"/>
    <w:rsid w:val="00804694"/>
    <w:rsid w:val="00805A65"/>
    <w:rsid w:val="00805CD4"/>
    <w:rsid w:val="008064DA"/>
    <w:rsid w:val="008076A1"/>
    <w:rsid w:val="0081012B"/>
    <w:rsid w:val="008106A8"/>
    <w:rsid w:val="008106B0"/>
    <w:rsid w:val="00810CF4"/>
    <w:rsid w:val="008118E3"/>
    <w:rsid w:val="00812036"/>
    <w:rsid w:val="00812440"/>
    <w:rsid w:val="008124A8"/>
    <w:rsid w:val="00812EE5"/>
    <w:rsid w:val="008146FC"/>
    <w:rsid w:val="00814F0D"/>
    <w:rsid w:val="008153AF"/>
    <w:rsid w:val="0081561C"/>
    <w:rsid w:val="00815DC3"/>
    <w:rsid w:val="00816037"/>
    <w:rsid w:val="0081778C"/>
    <w:rsid w:val="00820BCF"/>
    <w:rsid w:val="00821847"/>
    <w:rsid w:val="00821E31"/>
    <w:rsid w:val="00821FAA"/>
    <w:rsid w:val="00821FFC"/>
    <w:rsid w:val="00822483"/>
    <w:rsid w:val="00822BE8"/>
    <w:rsid w:val="00822E40"/>
    <w:rsid w:val="00822F90"/>
    <w:rsid w:val="0082423E"/>
    <w:rsid w:val="008251B6"/>
    <w:rsid w:val="00825472"/>
    <w:rsid w:val="00825BE0"/>
    <w:rsid w:val="0082619D"/>
    <w:rsid w:val="0082650F"/>
    <w:rsid w:val="008269B1"/>
    <w:rsid w:val="00827FB3"/>
    <w:rsid w:val="00827FE3"/>
    <w:rsid w:val="0083008F"/>
    <w:rsid w:val="0083022D"/>
    <w:rsid w:val="008302EB"/>
    <w:rsid w:val="00831FFA"/>
    <w:rsid w:val="008326D5"/>
    <w:rsid w:val="00833069"/>
    <w:rsid w:val="0083398F"/>
    <w:rsid w:val="00834380"/>
    <w:rsid w:val="00836249"/>
    <w:rsid w:val="00836CA5"/>
    <w:rsid w:val="00837D26"/>
    <w:rsid w:val="00837FA5"/>
    <w:rsid w:val="0084163F"/>
    <w:rsid w:val="00841DA4"/>
    <w:rsid w:val="008427D6"/>
    <w:rsid w:val="00843A09"/>
    <w:rsid w:val="00843DFC"/>
    <w:rsid w:val="008446BD"/>
    <w:rsid w:val="00844746"/>
    <w:rsid w:val="008455A1"/>
    <w:rsid w:val="00845925"/>
    <w:rsid w:val="00845A35"/>
    <w:rsid w:val="00846442"/>
    <w:rsid w:val="00846D4E"/>
    <w:rsid w:val="00846FAC"/>
    <w:rsid w:val="00847B6E"/>
    <w:rsid w:val="00850818"/>
    <w:rsid w:val="00851148"/>
    <w:rsid w:val="00851608"/>
    <w:rsid w:val="008525CA"/>
    <w:rsid w:val="00852DA8"/>
    <w:rsid w:val="00852EC8"/>
    <w:rsid w:val="00853342"/>
    <w:rsid w:val="008544C9"/>
    <w:rsid w:val="00854BEC"/>
    <w:rsid w:val="008558DD"/>
    <w:rsid w:val="00855E7B"/>
    <w:rsid w:val="00856AD9"/>
    <w:rsid w:val="00856B14"/>
    <w:rsid w:val="00857196"/>
    <w:rsid w:val="00860D7B"/>
    <w:rsid w:val="0086111A"/>
    <w:rsid w:val="008621FB"/>
    <w:rsid w:val="00862AA6"/>
    <w:rsid w:val="00862CA5"/>
    <w:rsid w:val="00863BEC"/>
    <w:rsid w:val="00863F56"/>
    <w:rsid w:val="00864822"/>
    <w:rsid w:val="00864AA2"/>
    <w:rsid w:val="00864BA6"/>
    <w:rsid w:val="00866032"/>
    <w:rsid w:val="00866F7C"/>
    <w:rsid w:val="008675A5"/>
    <w:rsid w:val="008700A9"/>
    <w:rsid w:val="008703FF"/>
    <w:rsid w:val="00870B20"/>
    <w:rsid w:val="00870C43"/>
    <w:rsid w:val="00872890"/>
    <w:rsid w:val="00872928"/>
    <w:rsid w:val="00872DD6"/>
    <w:rsid w:val="0087436C"/>
    <w:rsid w:val="00874B0D"/>
    <w:rsid w:val="0087573D"/>
    <w:rsid w:val="008758A1"/>
    <w:rsid w:val="008761B7"/>
    <w:rsid w:val="00876531"/>
    <w:rsid w:val="00877387"/>
    <w:rsid w:val="008776FB"/>
    <w:rsid w:val="008805AD"/>
    <w:rsid w:val="008805B1"/>
    <w:rsid w:val="00881239"/>
    <w:rsid w:val="008815C4"/>
    <w:rsid w:val="008815C6"/>
    <w:rsid w:val="0088191C"/>
    <w:rsid w:val="008823B3"/>
    <w:rsid w:val="00883413"/>
    <w:rsid w:val="00883FFA"/>
    <w:rsid w:val="00884543"/>
    <w:rsid w:val="00885770"/>
    <w:rsid w:val="008858C6"/>
    <w:rsid w:val="008864A2"/>
    <w:rsid w:val="008878CC"/>
    <w:rsid w:val="00887F89"/>
    <w:rsid w:val="0089057D"/>
    <w:rsid w:val="008914D3"/>
    <w:rsid w:val="00892BB6"/>
    <w:rsid w:val="00893BAB"/>
    <w:rsid w:val="00896096"/>
    <w:rsid w:val="00896467"/>
    <w:rsid w:val="00896D34"/>
    <w:rsid w:val="00896EB7"/>
    <w:rsid w:val="0089721C"/>
    <w:rsid w:val="0089753C"/>
    <w:rsid w:val="008978DA"/>
    <w:rsid w:val="008A13C7"/>
    <w:rsid w:val="008A1DB9"/>
    <w:rsid w:val="008A3C93"/>
    <w:rsid w:val="008A4102"/>
    <w:rsid w:val="008A4E6D"/>
    <w:rsid w:val="008A5505"/>
    <w:rsid w:val="008A5B2F"/>
    <w:rsid w:val="008A60B8"/>
    <w:rsid w:val="008A6602"/>
    <w:rsid w:val="008A69D5"/>
    <w:rsid w:val="008A75E9"/>
    <w:rsid w:val="008A7F92"/>
    <w:rsid w:val="008B10BC"/>
    <w:rsid w:val="008B3D97"/>
    <w:rsid w:val="008B3E90"/>
    <w:rsid w:val="008B450C"/>
    <w:rsid w:val="008B5F4C"/>
    <w:rsid w:val="008B688B"/>
    <w:rsid w:val="008B79CD"/>
    <w:rsid w:val="008C0B68"/>
    <w:rsid w:val="008C0D2C"/>
    <w:rsid w:val="008C0F73"/>
    <w:rsid w:val="008C13EB"/>
    <w:rsid w:val="008C2AFF"/>
    <w:rsid w:val="008C3CAA"/>
    <w:rsid w:val="008C3EDD"/>
    <w:rsid w:val="008C4A78"/>
    <w:rsid w:val="008C5021"/>
    <w:rsid w:val="008C5722"/>
    <w:rsid w:val="008C614F"/>
    <w:rsid w:val="008C63C3"/>
    <w:rsid w:val="008C6B3B"/>
    <w:rsid w:val="008D0084"/>
    <w:rsid w:val="008D1A27"/>
    <w:rsid w:val="008D310A"/>
    <w:rsid w:val="008D32B8"/>
    <w:rsid w:val="008D3997"/>
    <w:rsid w:val="008D3E6B"/>
    <w:rsid w:val="008D4172"/>
    <w:rsid w:val="008D41FA"/>
    <w:rsid w:val="008D4239"/>
    <w:rsid w:val="008D655B"/>
    <w:rsid w:val="008D70D5"/>
    <w:rsid w:val="008D70FF"/>
    <w:rsid w:val="008D7416"/>
    <w:rsid w:val="008D7DC3"/>
    <w:rsid w:val="008E0B0B"/>
    <w:rsid w:val="008E0EE3"/>
    <w:rsid w:val="008E2939"/>
    <w:rsid w:val="008E2C84"/>
    <w:rsid w:val="008E2CE3"/>
    <w:rsid w:val="008E3B23"/>
    <w:rsid w:val="008E4188"/>
    <w:rsid w:val="008E421D"/>
    <w:rsid w:val="008E49ED"/>
    <w:rsid w:val="008E5C8B"/>
    <w:rsid w:val="008E5FC6"/>
    <w:rsid w:val="008E6261"/>
    <w:rsid w:val="008E630E"/>
    <w:rsid w:val="008E641B"/>
    <w:rsid w:val="008E7A67"/>
    <w:rsid w:val="008F013C"/>
    <w:rsid w:val="008F0833"/>
    <w:rsid w:val="008F1088"/>
    <w:rsid w:val="008F16ED"/>
    <w:rsid w:val="008F43AC"/>
    <w:rsid w:val="008F465E"/>
    <w:rsid w:val="008F49F4"/>
    <w:rsid w:val="008F4FD6"/>
    <w:rsid w:val="008F5422"/>
    <w:rsid w:val="008F5DC3"/>
    <w:rsid w:val="008F6511"/>
    <w:rsid w:val="008F713C"/>
    <w:rsid w:val="008F762F"/>
    <w:rsid w:val="008F7866"/>
    <w:rsid w:val="0090011F"/>
    <w:rsid w:val="00900E36"/>
    <w:rsid w:val="0090175F"/>
    <w:rsid w:val="00902D82"/>
    <w:rsid w:val="00902E4A"/>
    <w:rsid w:val="00902E94"/>
    <w:rsid w:val="00904A0F"/>
    <w:rsid w:val="00905623"/>
    <w:rsid w:val="00905A57"/>
    <w:rsid w:val="00905D1C"/>
    <w:rsid w:val="0090651D"/>
    <w:rsid w:val="009070FF"/>
    <w:rsid w:val="00907A00"/>
    <w:rsid w:val="00910E78"/>
    <w:rsid w:val="00911668"/>
    <w:rsid w:val="00911897"/>
    <w:rsid w:val="00911C8E"/>
    <w:rsid w:val="00911D20"/>
    <w:rsid w:val="009120AC"/>
    <w:rsid w:val="009131CD"/>
    <w:rsid w:val="00913B3B"/>
    <w:rsid w:val="00913D18"/>
    <w:rsid w:val="00913FE7"/>
    <w:rsid w:val="009152DB"/>
    <w:rsid w:val="009154E0"/>
    <w:rsid w:val="0091585D"/>
    <w:rsid w:val="00915A29"/>
    <w:rsid w:val="00915F37"/>
    <w:rsid w:val="009165D6"/>
    <w:rsid w:val="009169CD"/>
    <w:rsid w:val="00916B2B"/>
    <w:rsid w:val="00917ABA"/>
    <w:rsid w:val="00917B05"/>
    <w:rsid w:val="00917D0B"/>
    <w:rsid w:val="00920523"/>
    <w:rsid w:val="00920934"/>
    <w:rsid w:val="009209D2"/>
    <w:rsid w:val="00920EB6"/>
    <w:rsid w:val="0092176F"/>
    <w:rsid w:val="00922505"/>
    <w:rsid w:val="00922740"/>
    <w:rsid w:val="00922A1A"/>
    <w:rsid w:val="00922A9A"/>
    <w:rsid w:val="00922D69"/>
    <w:rsid w:val="0092332E"/>
    <w:rsid w:val="00923841"/>
    <w:rsid w:val="00924A4E"/>
    <w:rsid w:val="00925913"/>
    <w:rsid w:val="009259BB"/>
    <w:rsid w:val="00925D98"/>
    <w:rsid w:val="00926200"/>
    <w:rsid w:val="00926D65"/>
    <w:rsid w:val="009276E8"/>
    <w:rsid w:val="00927C3A"/>
    <w:rsid w:val="00927F24"/>
    <w:rsid w:val="00930648"/>
    <w:rsid w:val="00931976"/>
    <w:rsid w:val="00933243"/>
    <w:rsid w:val="00933494"/>
    <w:rsid w:val="00933BFD"/>
    <w:rsid w:val="009340C4"/>
    <w:rsid w:val="009347A4"/>
    <w:rsid w:val="00934883"/>
    <w:rsid w:val="00936262"/>
    <w:rsid w:val="00936647"/>
    <w:rsid w:val="00937022"/>
    <w:rsid w:val="00937A03"/>
    <w:rsid w:val="00937AE1"/>
    <w:rsid w:val="00937B6E"/>
    <w:rsid w:val="00937C36"/>
    <w:rsid w:val="009402DF"/>
    <w:rsid w:val="009405A3"/>
    <w:rsid w:val="00940653"/>
    <w:rsid w:val="0094065F"/>
    <w:rsid w:val="009408A1"/>
    <w:rsid w:val="00941076"/>
    <w:rsid w:val="00941F95"/>
    <w:rsid w:val="00942431"/>
    <w:rsid w:val="00942688"/>
    <w:rsid w:val="009432DA"/>
    <w:rsid w:val="0094366E"/>
    <w:rsid w:val="00943B88"/>
    <w:rsid w:val="00943E5E"/>
    <w:rsid w:val="00944001"/>
    <w:rsid w:val="00944E83"/>
    <w:rsid w:val="0094502F"/>
    <w:rsid w:val="0094570D"/>
    <w:rsid w:val="00945CCB"/>
    <w:rsid w:val="00947069"/>
    <w:rsid w:val="00950038"/>
    <w:rsid w:val="00950A3D"/>
    <w:rsid w:val="00951BD4"/>
    <w:rsid w:val="009520A7"/>
    <w:rsid w:val="0095213C"/>
    <w:rsid w:val="0095388C"/>
    <w:rsid w:val="00953914"/>
    <w:rsid w:val="00953B2D"/>
    <w:rsid w:val="00954349"/>
    <w:rsid w:val="009547F1"/>
    <w:rsid w:val="00954B48"/>
    <w:rsid w:val="00954E25"/>
    <w:rsid w:val="0095511B"/>
    <w:rsid w:val="009555E1"/>
    <w:rsid w:val="009559F1"/>
    <w:rsid w:val="00955BE1"/>
    <w:rsid w:val="00956BCD"/>
    <w:rsid w:val="00956C20"/>
    <w:rsid w:val="00956C46"/>
    <w:rsid w:val="00960075"/>
    <w:rsid w:val="00960D88"/>
    <w:rsid w:val="00961060"/>
    <w:rsid w:val="00961674"/>
    <w:rsid w:val="00961CEA"/>
    <w:rsid w:val="00962541"/>
    <w:rsid w:val="0096285A"/>
    <w:rsid w:val="009636C9"/>
    <w:rsid w:val="0096376F"/>
    <w:rsid w:val="00964021"/>
    <w:rsid w:val="00964A78"/>
    <w:rsid w:val="00964EFA"/>
    <w:rsid w:val="00965756"/>
    <w:rsid w:val="00965D70"/>
    <w:rsid w:val="00967861"/>
    <w:rsid w:val="009708E7"/>
    <w:rsid w:val="009711F2"/>
    <w:rsid w:val="00972BD9"/>
    <w:rsid w:val="00972EAE"/>
    <w:rsid w:val="00974343"/>
    <w:rsid w:val="00974356"/>
    <w:rsid w:val="00974618"/>
    <w:rsid w:val="0097485D"/>
    <w:rsid w:val="009749A9"/>
    <w:rsid w:val="00974CB0"/>
    <w:rsid w:val="00974E08"/>
    <w:rsid w:val="009750B2"/>
    <w:rsid w:val="009753AB"/>
    <w:rsid w:val="009771B0"/>
    <w:rsid w:val="00977264"/>
    <w:rsid w:val="009775C9"/>
    <w:rsid w:val="00977CAF"/>
    <w:rsid w:val="00977F9E"/>
    <w:rsid w:val="0098032C"/>
    <w:rsid w:val="009805D8"/>
    <w:rsid w:val="0098095C"/>
    <w:rsid w:val="009814C2"/>
    <w:rsid w:val="00982036"/>
    <w:rsid w:val="00983536"/>
    <w:rsid w:val="009842E4"/>
    <w:rsid w:val="00984AE2"/>
    <w:rsid w:val="00984E6A"/>
    <w:rsid w:val="0098608F"/>
    <w:rsid w:val="00986E0D"/>
    <w:rsid w:val="00990F00"/>
    <w:rsid w:val="00991594"/>
    <w:rsid w:val="009920B5"/>
    <w:rsid w:val="009921BA"/>
    <w:rsid w:val="0099255D"/>
    <w:rsid w:val="00993077"/>
    <w:rsid w:val="0099490A"/>
    <w:rsid w:val="009952F3"/>
    <w:rsid w:val="009960D9"/>
    <w:rsid w:val="00996D13"/>
    <w:rsid w:val="00997E39"/>
    <w:rsid w:val="009A0370"/>
    <w:rsid w:val="009A107F"/>
    <w:rsid w:val="009A1CB1"/>
    <w:rsid w:val="009A2775"/>
    <w:rsid w:val="009A33E6"/>
    <w:rsid w:val="009A38ED"/>
    <w:rsid w:val="009A3E25"/>
    <w:rsid w:val="009A3F4F"/>
    <w:rsid w:val="009A4226"/>
    <w:rsid w:val="009A49B3"/>
    <w:rsid w:val="009A4FCB"/>
    <w:rsid w:val="009A5128"/>
    <w:rsid w:val="009A5E93"/>
    <w:rsid w:val="009A6155"/>
    <w:rsid w:val="009A65C0"/>
    <w:rsid w:val="009A6A6C"/>
    <w:rsid w:val="009A6D08"/>
    <w:rsid w:val="009B0467"/>
    <w:rsid w:val="009B08BB"/>
    <w:rsid w:val="009B0AE6"/>
    <w:rsid w:val="009B1227"/>
    <w:rsid w:val="009B252C"/>
    <w:rsid w:val="009B25E6"/>
    <w:rsid w:val="009B2954"/>
    <w:rsid w:val="009B4CE8"/>
    <w:rsid w:val="009B524F"/>
    <w:rsid w:val="009B559D"/>
    <w:rsid w:val="009B63C3"/>
    <w:rsid w:val="009B6ACA"/>
    <w:rsid w:val="009B6B51"/>
    <w:rsid w:val="009B7823"/>
    <w:rsid w:val="009B7D00"/>
    <w:rsid w:val="009B7D72"/>
    <w:rsid w:val="009C0488"/>
    <w:rsid w:val="009C0726"/>
    <w:rsid w:val="009C0AD9"/>
    <w:rsid w:val="009C14C3"/>
    <w:rsid w:val="009C1BB8"/>
    <w:rsid w:val="009C20BE"/>
    <w:rsid w:val="009C221A"/>
    <w:rsid w:val="009C2504"/>
    <w:rsid w:val="009C253C"/>
    <w:rsid w:val="009C4064"/>
    <w:rsid w:val="009C4BF4"/>
    <w:rsid w:val="009C5BB3"/>
    <w:rsid w:val="009C5C69"/>
    <w:rsid w:val="009C5CA7"/>
    <w:rsid w:val="009C60B2"/>
    <w:rsid w:val="009C6132"/>
    <w:rsid w:val="009C7840"/>
    <w:rsid w:val="009D02A4"/>
    <w:rsid w:val="009D03C6"/>
    <w:rsid w:val="009D0AE9"/>
    <w:rsid w:val="009D0DE0"/>
    <w:rsid w:val="009D14DB"/>
    <w:rsid w:val="009D1FD5"/>
    <w:rsid w:val="009D2053"/>
    <w:rsid w:val="009D3BDA"/>
    <w:rsid w:val="009D44E1"/>
    <w:rsid w:val="009D461A"/>
    <w:rsid w:val="009D502B"/>
    <w:rsid w:val="009D6190"/>
    <w:rsid w:val="009D6749"/>
    <w:rsid w:val="009D6C45"/>
    <w:rsid w:val="009E058B"/>
    <w:rsid w:val="009E0C99"/>
    <w:rsid w:val="009E1994"/>
    <w:rsid w:val="009E19D8"/>
    <w:rsid w:val="009E2ED1"/>
    <w:rsid w:val="009E4872"/>
    <w:rsid w:val="009E5313"/>
    <w:rsid w:val="009E55D3"/>
    <w:rsid w:val="009E6071"/>
    <w:rsid w:val="009E6D3D"/>
    <w:rsid w:val="009E70FD"/>
    <w:rsid w:val="009E7690"/>
    <w:rsid w:val="009E79BF"/>
    <w:rsid w:val="009F12DC"/>
    <w:rsid w:val="009F1347"/>
    <w:rsid w:val="009F325C"/>
    <w:rsid w:val="009F3553"/>
    <w:rsid w:val="009F3900"/>
    <w:rsid w:val="009F3BFB"/>
    <w:rsid w:val="009F4784"/>
    <w:rsid w:val="009F4929"/>
    <w:rsid w:val="009F55B0"/>
    <w:rsid w:val="009F566B"/>
    <w:rsid w:val="009F5883"/>
    <w:rsid w:val="009F59A8"/>
    <w:rsid w:val="009F5AC5"/>
    <w:rsid w:val="009F5B49"/>
    <w:rsid w:val="009F68AA"/>
    <w:rsid w:val="00A00C33"/>
    <w:rsid w:val="00A011D6"/>
    <w:rsid w:val="00A01872"/>
    <w:rsid w:val="00A01B28"/>
    <w:rsid w:val="00A01EF7"/>
    <w:rsid w:val="00A02076"/>
    <w:rsid w:val="00A02EFA"/>
    <w:rsid w:val="00A03113"/>
    <w:rsid w:val="00A03305"/>
    <w:rsid w:val="00A036A0"/>
    <w:rsid w:val="00A03A73"/>
    <w:rsid w:val="00A03D31"/>
    <w:rsid w:val="00A043C2"/>
    <w:rsid w:val="00A04A79"/>
    <w:rsid w:val="00A04D0A"/>
    <w:rsid w:val="00A0550B"/>
    <w:rsid w:val="00A05B96"/>
    <w:rsid w:val="00A06EE8"/>
    <w:rsid w:val="00A06EF6"/>
    <w:rsid w:val="00A07A8F"/>
    <w:rsid w:val="00A11238"/>
    <w:rsid w:val="00A11A21"/>
    <w:rsid w:val="00A11AE5"/>
    <w:rsid w:val="00A11FC1"/>
    <w:rsid w:val="00A12137"/>
    <w:rsid w:val="00A1265C"/>
    <w:rsid w:val="00A132E3"/>
    <w:rsid w:val="00A13DAB"/>
    <w:rsid w:val="00A142A0"/>
    <w:rsid w:val="00A14C93"/>
    <w:rsid w:val="00A1563E"/>
    <w:rsid w:val="00A15FD1"/>
    <w:rsid w:val="00A16229"/>
    <w:rsid w:val="00A1672F"/>
    <w:rsid w:val="00A173F1"/>
    <w:rsid w:val="00A177C9"/>
    <w:rsid w:val="00A17AF9"/>
    <w:rsid w:val="00A17CA9"/>
    <w:rsid w:val="00A20816"/>
    <w:rsid w:val="00A21D12"/>
    <w:rsid w:val="00A22BE8"/>
    <w:rsid w:val="00A22C00"/>
    <w:rsid w:val="00A24EB4"/>
    <w:rsid w:val="00A25037"/>
    <w:rsid w:val="00A25889"/>
    <w:rsid w:val="00A25B52"/>
    <w:rsid w:val="00A26FC3"/>
    <w:rsid w:val="00A275BF"/>
    <w:rsid w:val="00A32343"/>
    <w:rsid w:val="00A32D04"/>
    <w:rsid w:val="00A32F15"/>
    <w:rsid w:val="00A342E7"/>
    <w:rsid w:val="00A3539B"/>
    <w:rsid w:val="00A3582E"/>
    <w:rsid w:val="00A36858"/>
    <w:rsid w:val="00A3787D"/>
    <w:rsid w:val="00A37BBA"/>
    <w:rsid w:val="00A4107E"/>
    <w:rsid w:val="00A42030"/>
    <w:rsid w:val="00A425D6"/>
    <w:rsid w:val="00A42EE0"/>
    <w:rsid w:val="00A439CB"/>
    <w:rsid w:val="00A43A0A"/>
    <w:rsid w:val="00A4436B"/>
    <w:rsid w:val="00A451A9"/>
    <w:rsid w:val="00A45CA8"/>
    <w:rsid w:val="00A464DD"/>
    <w:rsid w:val="00A468B0"/>
    <w:rsid w:val="00A46EAE"/>
    <w:rsid w:val="00A47816"/>
    <w:rsid w:val="00A47886"/>
    <w:rsid w:val="00A47A17"/>
    <w:rsid w:val="00A5089E"/>
    <w:rsid w:val="00A5127D"/>
    <w:rsid w:val="00A51332"/>
    <w:rsid w:val="00A515A0"/>
    <w:rsid w:val="00A516E0"/>
    <w:rsid w:val="00A51B9F"/>
    <w:rsid w:val="00A52E82"/>
    <w:rsid w:val="00A52F42"/>
    <w:rsid w:val="00A5326A"/>
    <w:rsid w:val="00A53AFE"/>
    <w:rsid w:val="00A54487"/>
    <w:rsid w:val="00A551B7"/>
    <w:rsid w:val="00A557A4"/>
    <w:rsid w:val="00A55B87"/>
    <w:rsid w:val="00A5606D"/>
    <w:rsid w:val="00A5658C"/>
    <w:rsid w:val="00A56703"/>
    <w:rsid w:val="00A56C7A"/>
    <w:rsid w:val="00A56CDD"/>
    <w:rsid w:val="00A57092"/>
    <w:rsid w:val="00A5716C"/>
    <w:rsid w:val="00A60202"/>
    <w:rsid w:val="00A60434"/>
    <w:rsid w:val="00A6047B"/>
    <w:rsid w:val="00A60CD7"/>
    <w:rsid w:val="00A611A2"/>
    <w:rsid w:val="00A6126A"/>
    <w:rsid w:val="00A612FA"/>
    <w:rsid w:val="00A6179A"/>
    <w:rsid w:val="00A619CF"/>
    <w:rsid w:val="00A61A25"/>
    <w:rsid w:val="00A623A1"/>
    <w:rsid w:val="00A644E9"/>
    <w:rsid w:val="00A647B6"/>
    <w:rsid w:val="00A64AF4"/>
    <w:rsid w:val="00A65356"/>
    <w:rsid w:val="00A6543E"/>
    <w:rsid w:val="00A65C02"/>
    <w:rsid w:val="00A65D7D"/>
    <w:rsid w:val="00A666F1"/>
    <w:rsid w:val="00A670EF"/>
    <w:rsid w:val="00A676A1"/>
    <w:rsid w:val="00A67F14"/>
    <w:rsid w:val="00A703C7"/>
    <w:rsid w:val="00A707FB"/>
    <w:rsid w:val="00A70B80"/>
    <w:rsid w:val="00A70F9A"/>
    <w:rsid w:val="00A71CF8"/>
    <w:rsid w:val="00A72E71"/>
    <w:rsid w:val="00A72F1A"/>
    <w:rsid w:val="00A73792"/>
    <w:rsid w:val="00A7382B"/>
    <w:rsid w:val="00A73E82"/>
    <w:rsid w:val="00A7489B"/>
    <w:rsid w:val="00A74E2A"/>
    <w:rsid w:val="00A75100"/>
    <w:rsid w:val="00A760C7"/>
    <w:rsid w:val="00A767F3"/>
    <w:rsid w:val="00A76B90"/>
    <w:rsid w:val="00A807F8"/>
    <w:rsid w:val="00A810C6"/>
    <w:rsid w:val="00A8121A"/>
    <w:rsid w:val="00A818EB"/>
    <w:rsid w:val="00A82042"/>
    <w:rsid w:val="00A8212F"/>
    <w:rsid w:val="00A82EE7"/>
    <w:rsid w:val="00A84031"/>
    <w:rsid w:val="00A84133"/>
    <w:rsid w:val="00A85AB0"/>
    <w:rsid w:val="00A86313"/>
    <w:rsid w:val="00A865A1"/>
    <w:rsid w:val="00A879EB"/>
    <w:rsid w:val="00A90020"/>
    <w:rsid w:val="00A91527"/>
    <w:rsid w:val="00A91A28"/>
    <w:rsid w:val="00A91BE0"/>
    <w:rsid w:val="00A93E18"/>
    <w:rsid w:val="00A93FCF"/>
    <w:rsid w:val="00A94D5E"/>
    <w:rsid w:val="00A9533A"/>
    <w:rsid w:val="00A9549D"/>
    <w:rsid w:val="00A960E8"/>
    <w:rsid w:val="00A963B5"/>
    <w:rsid w:val="00A9653F"/>
    <w:rsid w:val="00A96722"/>
    <w:rsid w:val="00A968FD"/>
    <w:rsid w:val="00AA0075"/>
    <w:rsid w:val="00AA07CF"/>
    <w:rsid w:val="00AA0F49"/>
    <w:rsid w:val="00AA4E4A"/>
    <w:rsid w:val="00AA53A9"/>
    <w:rsid w:val="00AA5CAF"/>
    <w:rsid w:val="00AA600A"/>
    <w:rsid w:val="00AA66A6"/>
    <w:rsid w:val="00AA6B90"/>
    <w:rsid w:val="00AA70AD"/>
    <w:rsid w:val="00AA7A65"/>
    <w:rsid w:val="00AB0162"/>
    <w:rsid w:val="00AB08F5"/>
    <w:rsid w:val="00AB0C68"/>
    <w:rsid w:val="00AB102B"/>
    <w:rsid w:val="00AB1484"/>
    <w:rsid w:val="00AB1AA5"/>
    <w:rsid w:val="00AB1C39"/>
    <w:rsid w:val="00AB309E"/>
    <w:rsid w:val="00AB3D48"/>
    <w:rsid w:val="00AB5576"/>
    <w:rsid w:val="00AB7694"/>
    <w:rsid w:val="00AB7A64"/>
    <w:rsid w:val="00AB7AA5"/>
    <w:rsid w:val="00AB7ABF"/>
    <w:rsid w:val="00AC07A9"/>
    <w:rsid w:val="00AC37B9"/>
    <w:rsid w:val="00AC3AB5"/>
    <w:rsid w:val="00AC441E"/>
    <w:rsid w:val="00AC44B8"/>
    <w:rsid w:val="00AC4BC6"/>
    <w:rsid w:val="00AC4D1F"/>
    <w:rsid w:val="00AC578D"/>
    <w:rsid w:val="00AC6857"/>
    <w:rsid w:val="00AC6A17"/>
    <w:rsid w:val="00AC70B9"/>
    <w:rsid w:val="00AC76BE"/>
    <w:rsid w:val="00AD00C2"/>
    <w:rsid w:val="00AD059C"/>
    <w:rsid w:val="00AD07D5"/>
    <w:rsid w:val="00AD1195"/>
    <w:rsid w:val="00AD138C"/>
    <w:rsid w:val="00AD14C8"/>
    <w:rsid w:val="00AD1C44"/>
    <w:rsid w:val="00AD1E26"/>
    <w:rsid w:val="00AD1E77"/>
    <w:rsid w:val="00AD2052"/>
    <w:rsid w:val="00AD2B76"/>
    <w:rsid w:val="00AD2E8D"/>
    <w:rsid w:val="00AD2F53"/>
    <w:rsid w:val="00AD3F7C"/>
    <w:rsid w:val="00AD3FB0"/>
    <w:rsid w:val="00AD4556"/>
    <w:rsid w:val="00AD4C2A"/>
    <w:rsid w:val="00AD5E3B"/>
    <w:rsid w:val="00AD66EC"/>
    <w:rsid w:val="00AD7761"/>
    <w:rsid w:val="00AE0D41"/>
    <w:rsid w:val="00AE16F1"/>
    <w:rsid w:val="00AE24DB"/>
    <w:rsid w:val="00AE371E"/>
    <w:rsid w:val="00AE4C13"/>
    <w:rsid w:val="00AE58B2"/>
    <w:rsid w:val="00AE612F"/>
    <w:rsid w:val="00AE6CD8"/>
    <w:rsid w:val="00AE7100"/>
    <w:rsid w:val="00AE7890"/>
    <w:rsid w:val="00AF075B"/>
    <w:rsid w:val="00AF095C"/>
    <w:rsid w:val="00AF0A6E"/>
    <w:rsid w:val="00AF12B3"/>
    <w:rsid w:val="00AF3516"/>
    <w:rsid w:val="00AF3E16"/>
    <w:rsid w:val="00AF5055"/>
    <w:rsid w:val="00AF5FB8"/>
    <w:rsid w:val="00AF62A2"/>
    <w:rsid w:val="00AF6BB4"/>
    <w:rsid w:val="00AF7FA6"/>
    <w:rsid w:val="00B00254"/>
    <w:rsid w:val="00B019FD"/>
    <w:rsid w:val="00B02136"/>
    <w:rsid w:val="00B02D3D"/>
    <w:rsid w:val="00B03046"/>
    <w:rsid w:val="00B03409"/>
    <w:rsid w:val="00B04E0D"/>
    <w:rsid w:val="00B050B0"/>
    <w:rsid w:val="00B050FA"/>
    <w:rsid w:val="00B06379"/>
    <w:rsid w:val="00B06389"/>
    <w:rsid w:val="00B066CC"/>
    <w:rsid w:val="00B06D40"/>
    <w:rsid w:val="00B06F33"/>
    <w:rsid w:val="00B073EB"/>
    <w:rsid w:val="00B077D0"/>
    <w:rsid w:val="00B10200"/>
    <w:rsid w:val="00B10690"/>
    <w:rsid w:val="00B10D0D"/>
    <w:rsid w:val="00B11780"/>
    <w:rsid w:val="00B128A7"/>
    <w:rsid w:val="00B1339C"/>
    <w:rsid w:val="00B1354B"/>
    <w:rsid w:val="00B13AA0"/>
    <w:rsid w:val="00B14BFB"/>
    <w:rsid w:val="00B155DD"/>
    <w:rsid w:val="00B158ED"/>
    <w:rsid w:val="00B15D90"/>
    <w:rsid w:val="00B16247"/>
    <w:rsid w:val="00B16305"/>
    <w:rsid w:val="00B16C54"/>
    <w:rsid w:val="00B16ED2"/>
    <w:rsid w:val="00B173BF"/>
    <w:rsid w:val="00B17B7D"/>
    <w:rsid w:val="00B2053F"/>
    <w:rsid w:val="00B205A3"/>
    <w:rsid w:val="00B22115"/>
    <w:rsid w:val="00B22C68"/>
    <w:rsid w:val="00B23D41"/>
    <w:rsid w:val="00B25A82"/>
    <w:rsid w:val="00B26174"/>
    <w:rsid w:val="00B26E94"/>
    <w:rsid w:val="00B2726C"/>
    <w:rsid w:val="00B276E1"/>
    <w:rsid w:val="00B27F7F"/>
    <w:rsid w:val="00B30356"/>
    <w:rsid w:val="00B309D0"/>
    <w:rsid w:val="00B30DE1"/>
    <w:rsid w:val="00B31186"/>
    <w:rsid w:val="00B31590"/>
    <w:rsid w:val="00B3170E"/>
    <w:rsid w:val="00B32887"/>
    <w:rsid w:val="00B330A4"/>
    <w:rsid w:val="00B33FBE"/>
    <w:rsid w:val="00B3488A"/>
    <w:rsid w:val="00B35481"/>
    <w:rsid w:val="00B3584F"/>
    <w:rsid w:val="00B35935"/>
    <w:rsid w:val="00B36802"/>
    <w:rsid w:val="00B37109"/>
    <w:rsid w:val="00B373D0"/>
    <w:rsid w:val="00B37ED8"/>
    <w:rsid w:val="00B40425"/>
    <w:rsid w:val="00B40976"/>
    <w:rsid w:val="00B40FFF"/>
    <w:rsid w:val="00B419AD"/>
    <w:rsid w:val="00B41B6D"/>
    <w:rsid w:val="00B41C03"/>
    <w:rsid w:val="00B42B05"/>
    <w:rsid w:val="00B4357B"/>
    <w:rsid w:val="00B43E38"/>
    <w:rsid w:val="00B44F5C"/>
    <w:rsid w:val="00B45A4F"/>
    <w:rsid w:val="00B4652C"/>
    <w:rsid w:val="00B46673"/>
    <w:rsid w:val="00B47350"/>
    <w:rsid w:val="00B4782C"/>
    <w:rsid w:val="00B50523"/>
    <w:rsid w:val="00B50A75"/>
    <w:rsid w:val="00B5166C"/>
    <w:rsid w:val="00B52175"/>
    <w:rsid w:val="00B52B7A"/>
    <w:rsid w:val="00B52FCC"/>
    <w:rsid w:val="00B53022"/>
    <w:rsid w:val="00B532FB"/>
    <w:rsid w:val="00B54294"/>
    <w:rsid w:val="00B55936"/>
    <w:rsid w:val="00B56108"/>
    <w:rsid w:val="00B567F6"/>
    <w:rsid w:val="00B56BBE"/>
    <w:rsid w:val="00B57642"/>
    <w:rsid w:val="00B57D60"/>
    <w:rsid w:val="00B600DE"/>
    <w:rsid w:val="00B60690"/>
    <w:rsid w:val="00B612FF"/>
    <w:rsid w:val="00B61859"/>
    <w:rsid w:val="00B62DCE"/>
    <w:rsid w:val="00B6385D"/>
    <w:rsid w:val="00B63B0D"/>
    <w:rsid w:val="00B63E23"/>
    <w:rsid w:val="00B6439F"/>
    <w:rsid w:val="00B64447"/>
    <w:rsid w:val="00B64B29"/>
    <w:rsid w:val="00B65699"/>
    <w:rsid w:val="00B66656"/>
    <w:rsid w:val="00B67206"/>
    <w:rsid w:val="00B67C12"/>
    <w:rsid w:val="00B701C3"/>
    <w:rsid w:val="00B70E25"/>
    <w:rsid w:val="00B711E8"/>
    <w:rsid w:val="00B72280"/>
    <w:rsid w:val="00B72CA2"/>
    <w:rsid w:val="00B72F20"/>
    <w:rsid w:val="00B72F2D"/>
    <w:rsid w:val="00B73329"/>
    <w:rsid w:val="00B73431"/>
    <w:rsid w:val="00B73764"/>
    <w:rsid w:val="00B7403F"/>
    <w:rsid w:val="00B74344"/>
    <w:rsid w:val="00B745E1"/>
    <w:rsid w:val="00B74A25"/>
    <w:rsid w:val="00B74CF8"/>
    <w:rsid w:val="00B74DC6"/>
    <w:rsid w:val="00B75CD9"/>
    <w:rsid w:val="00B76024"/>
    <w:rsid w:val="00B76F67"/>
    <w:rsid w:val="00B76FC2"/>
    <w:rsid w:val="00B77E20"/>
    <w:rsid w:val="00B77F44"/>
    <w:rsid w:val="00B802A8"/>
    <w:rsid w:val="00B82FF2"/>
    <w:rsid w:val="00B8411C"/>
    <w:rsid w:val="00B84CC8"/>
    <w:rsid w:val="00B85556"/>
    <w:rsid w:val="00B85889"/>
    <w:rsid w:val="00B8639E"/>
    <w:rsid w:val="00B86D53"/>
    <w:rsid w:val="00B87D3B"/>
    <w:rsid w:val="00B902E5"/>
    <w:rsid w:val="00B907AB"/>
    <w:rsid w:val="00B915B6"/>
    <w:rsid w:val="00B916F7"/>
    <w:rsid w:val="00B91E54"/>
    <w:rsid w:val="00B927F7"/>
    <w:rsid w:val="00B92B24"/>
    <w:rsid w:val="00B93039"/>
    <w:rsid w:val="00B94333"/>
    <w:rsid w:val="00B945F8"/>
    <w:rsid w:val="00B94618"/>
    <w:rsid w:val="00B95776"/>
    <w:rsid w:val="00B959AD"/>
    <w:rsid w:val="00B95CBD"/>
    <w:rsid w:val="00B9746B"/>
    <w:rsid w:val="00B97713"/>
    <w:rsid w:val="00BA06F3"/>
    <w:rsid w:val="00BA1401"/>
    <w:rsid w:val="00BA198A"/>
    <w:rsid w:val="00BA1DF1"/>
    <w:rsid w:val="00BA4131"/>
    <w:rsid w:val="00BA45C1"/>
    <w:rsid w:val="00BA4748"/>
    <w:rsid w:val="00BA4B20"/>
    <w:rsid w:val="00BA5320"/>
    <w:rsid w:val="00BA654E"/>
    <w:rsid w:val="00BA6C78"/>
    <w:rsid w:val="00BA780C"/>
    <w:rsid w:val="00BA7A55"/>
    <w:rsid w:val="00BB17DB"/>
    <w:rsid w:val="00BB277B"/>
    <w:rsid w:val="00BB2CA4"/>
    <w:rsid w:val="00BB2F6D"/>
    <w:rsid w:val="00BB3485"/>
    <w:rsid w:val="00BB3674"/>
    <w:rsid w:val="00BB38B7"/>
    <w:rsid w:val="00BB4FEA"/>
    <w:rsid w:val="00BB5AF2"/>
    <w:rsid w:val="00BB5DDE"/>
    <w:rsid w:val="00BB6076"/>
    <w:rsid w:val="00BB6427"/>
    <w:rsid w:val="00BB706D"/>
    <w:rsid w:val="00BB73F9"/>
    <w:rsid w:val="00BB7700"/>
    <w:rsid w:val="00BB7FE8"/>
    <w:rsid w:val="00BC0735"/>
    <w:rsid w:val="00BC1E0C"/>
    <w:rsid w:val="00BC1E56"/>
    <w:rsid w:val="00BC2A21"/>
    <w:rsid w:val="00BC360C"/>
    <w:rsid w:val="00BC3976"/>
    <w:rsid w:val="00BC40B2"/>
    <w:rsid w:val="00BC53F8"/>
    <w:rsid w:val="00BC6039"/>
    <w:rsid w:val="00BC6AFD"/>
    <w:rsid w:val="00BC7730"/>
    <w:rsid w:val="00BC7C89"/>
    <w:rsid w:val="00BD00FC"/>
    <w:rsid w:val="00BD0950"/>
    <w:rsid w:val="00BD0A90"/>
    <w:rsid w:val="00BD0DC1"/>
    <w:rsid w:val="00BD10CB"/>
    <w:rsid w:val="00BD2C4E"/>
    <w:rsid w:val="00BD32F8"/>
    <w:rsid w:val="00BD37F4"/>
    <w:rsid w:val="00BD38B2"/>
    <w:rsid w:val="00BD41FE"/>
    <w:rsid w:val="00BD42C3"/>
    <w:rsid w:val="00BD4791"/>
    <w:rsid w:val="00BD4DDB"/>
    <w:rsid w:val="00BD5450"/>
    <w:rsid w:val="00BD560E"/>
    <w:rsid w:val="00BD5629"/>
    <w:rsid w:val="00BD58C8"/>
    <w:rsid w:val="00BD650C"/>
    <w:rsid w:val="00BD6952"/>
    <w:rsid w:val="00BD6B27"/>
    <w:rsid w:val="00BE05D8"/>
    <w:rsid w:val="00BE0BA5"/>
    <w:rsid w:val="00BE1DCC"/>
    <w:rsid w:val="00BE29E8"/>
    <w:rsid w:val="00BE2E62"/>
    <w:rsid w:val="00BE327D"/>
    <w:rsid w:val="00BE40FB"/>
    <w:rsid w:val="00BE431D"/>
    <w:rsid w:val="00BE47FF"/>
    <w:rsid w:val="00BE5D9C"/>
    <w:rsid w:val="00BE5FD2"/>
    <w:rsid w:val="00BE60D6"/>
    <w:rsid w:val="00BE6999"/>
    <w:rsid w:val="00BF00E3"/>
    <w:rsid w:val="00BF05CC"/>
    <w:rsid w:val="00BF09DE"/>
    <w:rsid w:val="00BF0E8E"/>
    <w:rsid w:val="00BF1438"/>
    <w:rsid w:val="00BF1F96"/>
    <w:rsid w:val="00BF222B"/>
    <w:rsid w:val="00BF2731"/>
    <w:rsid w:val="00BF2F5D"/>
    <w:rsid w:val="00BF348A"/>
    <w:rsid w:val="00BF369C"/>
    <w:rsid w:val="00BF3FD5"/>
    <w:rsid w:val="00BF4280"/>
    <w:rsid w:val="00BF451C"/>
    <w:rsid w:val="00BF50EF"/>
    <w:rsid w:val="00BF5520"/>
    <w:rsid w:val="00BF57A5"/>
    <w:rsid w:val="00BF5A97"/>
    <w:rsid w:val="00BF5FC0"/>
    <w:rsid w:val="00BF5FE0"/>
    <w:rsid w:val="00BF7106"/>
    <w:rsid w:val="00BF7250"/>
    <w:rsid w:val="00BF78F9"/>
    <w:rsid w:val="00C000C5"/>
    <w:rsid w:val="00C00867"/>
    <w:rsid w:val="00C01E1B"/>
    <w:rsid w:val="00C024C4"/>
    <w:rsid w:val="00C02E65"/>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3FAE"/>
    <w:rsid w:val="00C143F7"/>
    <w:rsid w:val="00C14597"/>
    <w:rsid w:val="00C14C52"/>
    <w:rsid w:val="00C14F12"/>
    <w:rsid w:val="00C15149"/>
    <w:rsid w:val="00C15AFA"/>
    <w:rsid w:val="00C16D69"/>
    <w:rsid w:val="00C178EE"/>
    <w:rsid w:val="00C17AF2"/>
    <w:rsid w:val="00C2040E"/>
    <w:rsid w:val="00C20F04"/>
    <w:rsid w:val="00C212BE"/>
    <w:rsid w:val="00C213D0"/>
    <w:rsid w:val="00C21C0A"/>
    <w:rsid w:val="00C21D23"/>
    <w:rsid w:val="00C221C8"/>
    <w:rsid w:val="00C223BC"/>
    <w:rsid w:val="00C24157"/>
    <w:rsid w:val="00C24A88"/>
    <w:rsid w:val="00C24B2A"/>
    <w:rsid w:val="00C24DBD"/>
    <w:rsid w:val="00C24E47"/>
    <w:rsid w:val="00C24F7B"/>
    <w:rsid w:val="00C2520A"/>
    <w:rsid w:val="00C26346"/>
    <w:rsid w:val="00C26417"/>
    <w:rsid w:val="00C2692A"/>
    <w:rsid w:val="00C274AD"/>
    <w:rsid w:val="00C275C2"/>
    <w:rsid w:val="00C2788A"/>
    <w:rsid w:val="00C27DD0"/>
    <w:rsid w:val="00C30E0A"/>
    <w:rsid w:val="00C30FC3"/>
    <w:rsid w:val="00C3104E"/>
    <w:rsid w:val="00C311AB"/>
    <w:rsid w:val="00C31D99"/>
    <w:rsid w:val="00C321DA"/>
    <w:rsid w:val="00C3225A"/>
    <w:rsid w:val="00C3487E"/>
    <w:rsid w:val="00C355C2"/>
    <w:rsid w:val="00C369EE"/>
    <w:rsid w:val="00C36A7A"/>
    <w:rsid w:val="00C37673"/>
    <w:rsid w:val="00C403FA"/>
    <w:rsid w:val="00C4187C"/>
    <w:rsid w:val="00C41C56"/>
    <w:rsid w:val="00C42507"/>
    <w:rsid w:val="00C42E00"/>
    <w:rsid w:val="00C4346C"/>
    <w:rsid w:val="00C440CD"/>
    <w:rsid w:val="00C45436"/>
    <w:rsid w:val="00C45E37"/>
    <w:rsid w:val="00C45F51"/>
    <w:rsid w:val="00C479A7"/>
    <w:rsid w:val="00C47E24"/>
    <w:rsid w:val="00C50FD5"/>
    <w:rsid w:val="00C5296E"/>
    <w:rsid w:val="00C53967"/>
    <w:rsid w:val="00C53A01"/>
    <w:rsid w:val="00C5511C"/>
    <w:rsid w:val="00C55298"/>
    <w:rsid w:val="00C558AA"/>
    <w:rsid w:val="00C55CAE"/>
    <w:rsid w:val="00C56101"/>
    <w:rsid w:val="00C5680A"/>
    <w:rsid w:val="00C575F1"/>
    <w:rsid w:val="00C578D7"/>
    <w:rsid w:val="00C57D74"/>
    <w:rsid w:val="00C57F71"/>
    <w:rsid w:val="00C60355"/>
    <w:rsid w:val="00C603D1"/>
    <w:rsid w:val="00C625F6"/>
    <w:rsid w:val="00C64280"/>
    <w:rsid w:val="00C64CFF"/>
    <w:rsid w:val="00C65425"/>
    <w:rsid w:val="00C65FC9"/>
    <w:rsid w:val="00C66D38"/>
    <w:rsid w:val="00C66E45"/>
    <w:rsid w:val="00C670F7"/>
    <w:rsid w:val="00C70BF2"/>
    <w:rsid w:val="00C71457"/>
    <w:rsid w:val="00C71917"/>
    <w:rsid w:val="00C72608"/>
    <w:rsid w:val="00C72709"/>
    <w:rsid w:val="00C73136"/>
    <w:rsid w:val="00C73431"/>
    <w:rsid w:val="00C744F5"/>
    <w:rsid w:val="00C7464B"/>
    <w:rsid w:val="00C7523F"/>
    <w:rsid w:val="00C75303"/>
    <w:rsid w:val="00C75F99"/>
    <w:rsid w:val="00C764A9"/>
    <w:rsid w:val="00C7727B"/>
    <w:rsid w:val="00C80146"/>
    <w:rsid w:val="00C804B4"/>
    <w:rsid w:val="00C806BF"/>
    <w:rsid w:val="00C806C6"/>
    <w:rsid w:val="00C80A69"/>
    <w:rsid w:val="00C80C60"/>
    <w:rsid w:val="00C815D3"/>
    <w:rsid w:val="00C81F24"/>
    <w:rsid w:val="00C81F4B"/>
    <w:rsid w:val="00C83CE2"/>
    <w:rsid w:val="00C849FF"/>
    <w:rsid w:val="00C851AC"/>
    <w:rsid w:val="00C858F2"/>
    <w:rsid w:val="00C85D59"/>
    <w:rsid w:val="00C865E8"/>
    <w:rsid w:val="00C86746"/>
    <w:rsid w:val="00C86B9C"/>
    <w:rsid w:val="00C874DE"/>
    <w:rsid w:val="00C87F9F"/>
    <w:rsid w:val="00C906EB"/>
    <w:rsid w:val="00C90942"/>
    <w:rsid w:val="00C92290"/>
    <w:rsid w:val="00C92A77"/>
    <w:rsid w:val="00C92E70"/>
    <w:rsid w:val="00C933E2"/>
    <w:rsid w:val="00C93482"/>
    <w:rsid w:val="00C946B6"/>
    <w:rsid w:val="00C95C9D"/>
    <w:rsid w:val="00C967BA"/>
    <w:rsid w:val="00CA0011"/>
    <w:rsid w:val="00CA0114"/>
    <w:rsid w:val="00CA030A"/>
    <w:rsid w:val="00CA03BD"/>
    <w:rsid w:val="00CA089D"/>
    <w:rsid w:val="00CA093D"/>
    <w:rsid w:val="00CA0FF6"/>
    <w:rsid w:val="00CA125D"/>
    <w:rsid w:val="00CA1791"/>
    <w:rsid w:val="00CA1C0D"/>
    <w:rsid w:val="00CA1D98"/>
    <w:rsid w:val="00CA214B"/>
    <w:rsid w:val="00CA2388"/>
    <w:rsid w:val="00CA2A9A"/>
    <w:rsid w:val="00CA4013"/>
    <w:rsid w:val="00CA52A3"/>
    <w:rsid w:val="00CA5532"/>
    <w:rsid w:val="00CA5838"/>
    <w:rsid w:val="00CA58BF"/>
    <w:rsid w:val="00CA5ED2"/>
    <w:rsid w:val="00CA64E4"/>
    <w:rsid w:val="00CA6878"/>
    <w:rsid w:val="00CA797D"/>
    <w:rsid w:val="00CB065B"/>
    <w:rsid w:val="00CB0B7D"/>
    <w:rsid w:val="00CB1960"/>
    <w:rsid w:val="00CB19C1"/>
    <w:rsid w:val="00CB1C8D"/>
    <w:rsid w:val="00CB1C95"/>
    <w:rsid w:val="00CB216E"/>
    <w:rsid w:val="00CB2C56"/>
    <w:rsid w:val="00CB2D27"/>
    <w:rsid w:val="00CB2EF3"/>
    <w:rsid w:val="00CB32A7"/>
    <w:rsid w:val="00CB3423"/>
    <w:rsid w:val="00CB51A8"/>
    <w:rsid w:val="00CB5505"/>
    <w:rsid w:val="00CB59BE"/>
    <w:rsid w:val="00CB6143"/>
    <w:rsid w:val="00CB6864"/>
    <w:rsid w:val="00CB6C92"/>
    <w:rsid w:val="00CB7801"/>
    <w:rsid w:val="00CB7DB9"/>
    <w:rsid w:val="00CC0240"/>
    <w:rsid w:val="00CC0DFF"/>
    <w:rsid w:val="00CC1B3B"/>
    <w:rsid w:val="00CC214C"/>
    <w:rsid w:val="00CC2802"/>
    <w:rsid w:val="00CC3184"/>
    <w:rsid w:val="00CC3636"/>
    <w:rsid w:val="00CC4909"/>
    <w:rsid w:val="00CC494D"/>
    <w:rsid w:val="00CC5122"/>
    <w:rsid w:val="00CC6F71"/>
    <w:rsid w:val="00CD2346"/>
    <w:rsid w:val="00CD3237"/>
    <w:rsid w:val="00CD3446"/>
    <w:rsid w:val="00CD55EC"/>
    <w:rsid w:val="00CD5B0F"/>
    <w:rsid w:val="00CD773C"/>
    <w:rsid w:val="00CD7BE9"/>
    <w:rsid w:val="00CE07DD"/>
    <w:rsid w:val="00CE0A2E"/>
    <w:rsid w:val="00CE0BA0"/>
    <w:rsid w:val="00CE0D95"/>
    <w:rsid w:val="00CE1945"/>
    <w:rsid w:val="00CE2C5B"/>
    <w:rsid w:val="00CE3DA4"/>
    <w:rsid w:val="00CE4CED"/>
    <w:rsid w:val="00CE5032"/>
    <w:rsid w:val="00CE549E"/>
    <w:rsid w:val="00CE6159"/>
    <w:rsid w:val="00CE63DD"/>
    <w:rsid w:val="00CE758F"/>
    <w:rsid w:val="00CE7E18"/>
    <w:rsid w:val="00CF1144"/>
    <w:rsid w:val="00CF2359"/>
    <w:rsid w:val="00CF3258"/>
    <w:rsid w:val="00CF3690"/>
    <w:rsid w:val="00CF3F7A"/>
    <w:rsid w:val="00CF4467"/>
    <w:rsid w:val="00CF491D"/>
    <w:rsid w:val="00CF49A6"/>
    <w:rsid w:val="00CF4B2E"/>
    <w:rsid w:val="00CF4BFE"/>
    <w:rsid w:val="00CF4EC3"/>
    <w:rsid w:val="00CF6D44"/>
    <w:rsid w:val="00CF6DCF"/>
    <w:rsid w:val="00CF7DDF"/>
    <w:rsid w:val="00CF7ECC"/>
    <w:rsid w:val="00D00612"/>
    <w:rsid w:val="00D008F9"/>
    <w:rsid w:val="00D00BA9"/>
    <w:rsid w:val="00D00C0E"/>
    <w:rsid w:val="00D01051"/>
    <w:rsid w:val="00D0155A"/>
    <w:rsid w:val="00D01623"/>
    <w:rsid w:val="00D01BB0"/>
    <w:rsid w:val="00D01D16"/>
    <w:rsid w:val="00D01EA8"/>
    <w:rsid w:val="00D0233D"/>
    <w:rsid w:val="00D02674"/>
    <w:rsid w:val="00D02ACA"/>
    <w:rsid w:val="00D03EF6"/>
    <w:rsid w:val="00D048E0"/>
    <w:rsid w:val="00D0496E"/>
    <w:rsid w:val="00D06148"/>
    <w:rsid w:val="00D06CCF"/>
    <w:rsid w:val="00D06E57"/>
    <w:rsid w:val="00D07C49"/>
    <w:rsid w:val="00D07D37"/>
    <w:rsid w:val="00D119B6"/>
    <w:rsid w:val="00D11CC8"/>
    <w:rsid w:val="00D125F8"/>
    <w:rsid w:val="00D12785"/>
    <w:rsid w:val="00D13A95"/>
    <w:rsid w:val="00D13BFF"/>
    <w:rsid w:val="00D13CC1"/>
    <w:rsid w:val="00D14470"/>
    <w:rsid w:val="00D1519F"/>
    <w:rsid w:val="00D15B5D"/>
    <w:rsid w:val="00D16184"/>
    <w:rsid w:val="00D16615"/>
    <w:rsid w:val="00D1713C"/>
    <w:rsid w:val="00D17147"/>
    <w:rsid w:val="00D176BC"/>
    <w:rsid w:val="00D17701"/>
    <w:rsid w:val="00D200B3"/>
    <w:rsid w:val="00D20109"/>
    <w:rsid w:val="00D20245"/>
    <w:rsid w:val="00D215E6"/>
    <w:rsid w:val="00D21C33"/>
    <w:rsid w:val="00D21DC6"/>
    <w:rsid w:val="00D2343A"/>
    <w:rsid w:val="00D23832"/>
    <w:rsid w:val="00D2457C"/>
    <w:rsid w:val="00D24E0A"/>
    <w:rsid w:val="00D24E13"/>
    <w:rsid w:val="00D25260"/>
    <w:rsid w:val="00D262C8"/>
    <w:rsid w:val="00D26C5B"/>
    <w:rsid w:val="00D2731A"/>
    <w:rsid w:val="00D27DEA"/>
    <w:rsid w:val="00D30629"/>
    <w:rsid w:val="00D30CD9"/>
    <w:rsid w:val="00D30D90"/>
    <w:rsid w:val="00D3112A"/>
    <w:rsid w:val="00D31641"/>
    <w:rsid w:val="00D328B2"/>
    <w:rsid w:val="00D33333"/>
    <w:rsid w:val="00D33B21"/>
    <w:rsid w:val="00D33BA7"/>
    <w:rsid w:val="00D33C63"/>
    <w:rsid w:val="00D34865"/>
    <w:rsid w:val="00D34D65"/>
    <w:rsid w:val="00D3651F"/>
    <w:rsid w:val="00D37533"/>
    <w:rsid w:val="00D40088"/>
    <w:rsid w:val="00D41353"/>
    <w:rsid w:val="00D457F6"/>
    <w:rsid w:val="00D45908"/>
    <w:rsid w:val="00D46754"/>
    <w:rsid w:val="00D467E8"/>
    <w:rsid w:val="00D4684D"/>
    <w:rsid w:val="00D46BEB"/>
    <w:rsid w:val="00D47028"/>
    <w:rsid w:val="00D47336"/>
    <w:rsid w:val="00D47E96"/>
    <w:rsid w:val="00D50719"/>
    <w:rsid w:val="00D50A9D"/>
    <w:rsid w:val="00D50FF5"/>
    <w:rsid w:val="00D51995"/>
    <w:rsid w:val="00D51CF8"/>
    <w:rsid w:val="00D51EFF"/>
    <w:rsid w:val="00D52294"/>
    <w:rsid w:val="00D527CF"/>
    <w:rsid w:val="00D52DDF"/>
    <w:rsid w:val="00D532F8"/>
    <w:rsid w:val="00D53BA7"/>
    <w:rsid w:val="00D53D7C"/>
    <w:rsid w:val="00D5460B"/>
    <w:rsid w:val="00D54655"/>
    <w:rsid w:val="00D573E1"/>
    <w:rsid w:val="00D57CED"/>
    <w:rsid w:val="00D60D1C"/>
    <w:rsid w:val="00D61323"/>
    <w:rsid w:val="00D61431"/>
    <w:rsid w:val="00D63A59"/>
    <w:rsid w:val="00D63C3F"/>
    <w:rsid w:val="00D63D7E"/>
    <w:rsid w:val="00D6447A"/>
    <w:rsid w:val="00D6453A"/>
    <w:rsid w:val="00D64F07"/>
    <w:rsid w:val="00D64FAB"/>
    <w:rsid w:val="00D65045"/>
    <w:rsid w:val="00D666CC"/>
    <w:rsid w:val="00D66910"/>
    <w:rsid w:val="00D66C14"/>
    <w:rsid w:val="00D66C8E"/>
    <w:rsid w:val="00D67241"/>
    <w:rsid w:val="00D708F3"/>
    <w:rsid w:val="00D70933"/>
    <w:rsid w:val="00D70EF5"/>
    <w:rsid w:val="00D71387"/>
    <w:rsid w:val="00D7155E"/>
    <w:rsid w:val="00D71744"/>
    <w:rsid w:val="00D7183B"/>
    <w:rsid w:val="00D719AB"/>
    <w:rsid w:val="00D71B73"/>
    <w:rsid w:val="00D722CF"/>
    <w:rsid w:val="00D7293D"/>
    <w:rsid w:val="00D7363F"/>
    <w:rsid w:val="00D73F43"/>
    <w:rsid w:val="00D75AE3"/>
    <w:rsid w:val="00D76C81"/>
    <w:rsid w:val="00D76F13"/>
    <w:rsid w:val="00D80CBB"/>
    <w:rsid w:val="00D815C2"/>
    <w:rsid w:val="00D81ADC"/>
    <w:rsid w:val="00D81ADE"/>
    <w:rsid w:val="00D820A6"/>
    <w:rsid w:val="00D833F4"/>
    <w:rsid w:val="00D84327"/>
    <w:rsid w:val="00D859E3"/>
    <w:rsid w:val="00D865D7"/>
    <w:rsid w:val="00D86BE3"/>
    <w:rsid w:val="00D87168"/>
    <w:rsid w:val="00D87CA3"/>
    <w:rsid w:val="00D91596"/>
    <w:rsid w:val="00D91A89"/>
    <w:rsid w:val="00D91DF4"/>
    <w:rsid w:val="00D92541"/>
    <w:rsid w:val="00D926F3"/>
    <w:rsid w:val="00D93DC9"/>
    <w:rsid w:val="00D95D67"/>
    <w:rsid w:val="00D96F01"/>
    <w:rsid w:val="00D96F29"/>
    <w:rsid w:val="00D97E7C"/>
    <w:rsid w:val="00DA0054"/>
    <w:rsid w:val="00DA00B5"/>
    <w:rsid w:val="00DA08C9"/>
    <w:rsid w:val="00DA0A86"/>
    <w:rsid w:val="00DA0AFE"/>
    <w:rsid w:val="00DA1EAB"/>
    <w:rsid w:val="00DA27A1"/>
    <w:rsid w:val="00DA290B"/>
    <w:rsid w:val="00DA2AC1"/>
    <w:rsid w:val="00DA2F85"/>
    <w:rsid w:val="00DA3459"/>
    <w:rsid w:val="00DA34BD"/>
    <w:rsid w:val="00DA4A5D"/>
    <w:rsid w:val="00DA6180"/>
    <w:rsid w:val="00DA625D"/>
    <w:rsid w:val="00DA698B"/>
    <w:rsid w:val="00DB0635"/>
    <w:rsid w:val="00DB0C6A"/>
    <w:rsid w:val="00DB1C3C"/>
    <w:rsid w:val="00DB2611"/>
    <w:rsid w:val="00DB2D32"/>
    <w:rsid w:val="00DB3AFE"/>
    <w:rsid w:val="00DB425A"/>
    <w:rsid w:val="00DB4F6C"/>
    <w:rsid w:val="00DB5859"/>
    <w:rsid w:val="00DB59B4"/>
    <w:rsid w:val="00DB5AD4"/>
    <w:rsid w:val="00DB6234"/>
    <w:rsid w:val="00DB6372"/>
    <w:rsid w:val="00DB6373"/>
    <w:rsid w:val="00DB69AC"/>
    <w:rsid w:val="00DB6BD1"/>
    <w:rsid w:val="00DB7BDB"/>
    <w:rsid w:val="00DB7EF1"/>
    <w:rsid w:val="00DB7EFB"/>
    <w:rsid w:val="00DC0933"/>
    <w:rsid w:val="00DC119D"/>
    <w:rsid w:val="00DC1F1F"/>
    <w:rsid w:val="00DC2BCB"/>
    <w:rsid w:val="00DC3325"/>
    <w:rsid w:val="00DC4521"/>
    <w:rsid w:val="00DC5F10"/>
    <w:rsid w:val="00DC6565"/>
    <w:rsid w:val="00DC724A"/>
    <w:rsid w:val="00DD170F"/>
    <w:rsid w:val="00DD1DC7"/>
    <w:rsid w:val="00DD21EE"/>
    <w:rsid w:val="00DD29F9"/>
    <w:rsid w:val="00DD2C69"/>
    <w:rsid w:val="00DD2D8E"/>
    <w:rsid w:val="00DD2DBB"/>
    <w:rsid w:val="00DD3502"/>
    <w:rsid w:val="00DD3602"/>
    <w:rsid w:val="00DD3D19"/>
    <w:rsid w:val="00DD3F6C"/>
    <w:rsid w:val="00DD4ACE"/>
    <w:rsid w:val="00DD5353"/>
    <w:rsid w:val="00DD5F36"/>
    <w:rsid w:val="00DD632E"/>
    <w:rsid w:val="00DD6B5D"/>
    <w:rsid w:val="00DD72CB"/>
    <w:rsid w:val="00DD7D0C"/>
    <w:rsid w:val="00DE0A9B"/>
    <w:rsid w:val="00DE1FC2"/>
    <w:rsid w:val="00DE22E7"/>
    <w:rsid w:val="00DE2E92"/>
    <w:rsid w:val="00DE3522"/>
    <w:rsid w:val="00DE3E13"/>
    <w:rsid w:val="00DE4553"/>
    <w:rsid w:val="00DE45EE"/>
    <w:rsid w:val="00DE46F3"/>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4828"/>
    <w:rsid w:val="00DF4B4B"/>
    <w:rsid w:val="00DF4D80"/>
    <w:rsid w:val="00DF6AFB"/>
    <w:rsid w:val="00DF6BA3"/>
    <w:rsid w:val="00DF7987"/>
    <w:rsid w:val="00DF79DB"/>
    <w:rsid w:val="00E004D9"/>
    <w:rsid w:val="00E00D7C"/>
    <w:rsid w:val="00E01672"/>
    <w:rsid w:val="00E025F7"/>
    <w:rsid w:val="00E02B34"/>
    <w:rsid w:val="00E03098"/>
    <w:rsid w:val="00E036A6"/>
    <w:rsid w:val="00E0374D"/>
    <w:rsid w:val="00E041EF"/>
    <w:rsid w:val="00E048A3"/>
    <w:rsid w:val="00E04BA1"/>
    <w:rsid w:val="00E05434"/>
    <w:rsid w:val="00E05BE2"/>
    <w:rsid w:val="00E05C6E"/>
    <w:rsid w:val="00E06C2A"/>
    <w:rsid w:val="00E0710E"/>
    <w:rsid w:val="00E07937"/>
    <w:rsid w:val="00E100AD"/>
    <w:rsid w:val="00E10944"/>
    <w:rsid w:val="00E10A3F"/>
    <w:rsid w:val="00E11333"/>
    <w:rsid w:val="00E117E4"/>
    <w:rsid w:val="00E119B4"/>
    <w:rsid w:val="00E11B41"/>
    <w:rsid w:val="00E15375"/>
    <w:rsid w:val="00E15F2A"/>
    <w:rsid w:val="00E171A3"/>
    <w:rsid w:val="00E178D4"/>
    <w:rsid w:val="00E222E7"/>
    <w:rsid w:val="00E22D5F"/>
    <w:rsid w:val="00E248DF"/>
    <w:rsid w:val="00E24EF9"/>
    <w:rsid w:val="00E25FD1"/>
    <w:rsid w:val="00E262B1"/>
    <w:rsid w:val="00E26D0E"/>
    <w:rsid w:val="00E270E9"/>
    <w:rsid w:val="00E31A25"/>
    <w:rsid w:val="00E31B0C"/>
    <w:rsid w:val="00E31C60"/>
    <w:rsid w:val="00E342F5"/>
    <w:rsid w:val="00E3495E"/>
    <w:rsid w:val="00E34B78"/>
    <w:rsid w:val="00E34DD0"/>
    <w:rsid w:val="00E34EA7"/>
    <w:rsid w:val="00E355F7"/>
    <w:rsid w:val="00E35E91"/>
    <w:rsid w:val="00E367FD"/>
    <w:rsid w:val="00E36D6B"/>
    <w:rsid w:val="00E3798B"/>
    <w:rsid w:val="00E37A56"/>
    <w:rsid w:val="00E4039C"/>
    <w:rsid w:val="00E40DC9"/>
    <w:rsid w:val="00E4130D"/>
    <w:rsid w:val="00E413F0"/>
    <w:rsid w:val="00E41AF6"/>
    <w:rsid w:val="00E41D7A"/>
    <w:rsid w:val="00E425EC"/>
    <w:rsid w:val="00E433DF"/>
    <w:rsid w:val="00E43BEF"/>
    <w:rsid w:val="00E43C5F"/>
    <w:rsid w:val="00E44BDE"/>
    <w:rsid w:val="00E454EE"/>
    <w:rsid w:val="00E46589"/>
    <w:rsid w:val="00E47323"/>
    <w:rsid w:val="00E504BA"/>
    <w:rsid w:val="00E50F76"/>
    <w:rsid w:val="00E51A1F"/>
    <w:rsid w:val="00E51F7B"/>
    <w:rsid w:val="00E52627"/>
    <w:rsid w:val="00E52868"/>
    <w:rsid w:val="00E52925"/>
    <w:rsid w:val="00E52C78"/>
    <w:rsid w:val="00E52D10"/>
    <w:rsid w:val="00E53628"/>
    <w:rsid w:val="00E53EF0"/>
    <w:rsid w:val="00E54164"/>
    <w:rsid w:val="00E54931"/>
    <w:rsid w:val="00E54A5C"/>
    <w:rsid w:val="00E54A8F"/>
    <w:rsid w:val="00E5528E"/>
    <w:rsid w:val="00E55DB7"/>
    <w:rsid w:val="00E5621F"/>
    <w:rsid w:val="00E5673A"/>
    <w:rsid w:val="00E57C7F"/>
    <w:rsid w:val="00E604BA"/>
    <w:rsid w:val="00E609CA"/>
    <w:rsid w:val="00E60ABF"/>
    <w:rsid w:val="00E613B7"/>
    <w:rsid w:val="00E61CB1"/>
    <w:rsid w:val="00E623EE"/>
    <w:rsid w:val="00E6300A"/>
    <w:rsid w:val="00E63461"/>
    <w:rsid w:val="00E6361C"/>
    <w:rsid w:val="00E63A66"/>
    <w:rsid w:val="00E65108"/>
    <w:rsid w:val="00E656B5"/>
    <w:rsid w:val="00E66BD9"/>
    <w:rsid w:val="00E6760A"/>
    <w:rsid w:val="00E71235"/>
    <w:rsid w:val="00E718B1"/>
    <w:rsid w:val="00E71BCD"/>
    <w:rsid w:val="00E7201F"/>
    <w:rsid w:val="00E7319E"/>
    <w:rsid w:val="00E734EA"/>
    <w:rsid w:val="00E74C18"/>
    <w:rsid w:val="00E750D9"/>
    <w:rsid w:val="00E75229"/>
    <w:rsid w:val="00E768DE"/>
    <w:rsid w:val="00E779EF"/>
    <w:rsid w:val="00E77BCC"/>
    <w:rsid w:val="00E77C54"/>
    <w:rsid w:val="00E80ACF"/>
    <w:rsid w:val="00E81E18"/>
    <w:rsid w:val="00E8322D"/>
    <w:rsid w:val="00E83A37"/>
    <w:rsid w:val="00E83EF5"/>
    <w:rsid w:val="00E84762"/>
    <w:rsid w:val="00E84930"/>
    <w:rsid w:val="00E84C2A"/>
    <w:rsid w:val="00E85033"/>
    <w:rsid w:val="00E853D9"/>
    <w:rsid w:val="00E857C5"/>
    <w:rsid w:val="00E85904"/>
    <w:rsid w:val="00E8590D"/>
    <w:rsid w:val="00E85BBA"/>
    <w:rsid w:val="00E86454"/>
    <w:rsid w:val="00E8690D"/>
    <w:rsid w:val="00E86E98"/>
    <w:rsid w:val="00E874D5"/>
    <w:rsid w:val="00E902C9"/>
    <w:rsid w:val="00E9075E"/>
    <w:rsid w:val="00E90969"/>
    <w:rsid w:val="00E90DB4"/>
    <w:rsid w:val="00E91AC6"/>
    <w:rsid w:val="00E91D8C"/>
    <w:rsid w:val="00E92083"/>
    <w:rsid w:val="00E92DFB"/>
    <w:rsid w:val="00E92ECD"/>
    <w:rsid w:val="00E93024"/>
    <w:rsid w:val="00E934CA"/>
    <w:rsid w:val="00E93770"/>
    <w:rsid w:val="00E9445B"/>
    <w:rsid w:val="00E947C5"/>
    <w:rsid w:val="00E9501B"/>
    <w:rsid w:val="00E96040"/>
    <w:rsid w:val="00E974BA"/>
    <w:rsid w:val="00E97FB2"/>
    <w:rsid w:val="00EA02BF"/>
    <w:rsid w:val="00EA07B4"/>
    <w:rsid w:val="00EA0FE4"/>
    <w:rsid w:val="00EA1543"/>
    <w:rsid w:val="00EA1616"/>
    <w:rsid w:val="00EA173A"/>
    <w:rsid w:val="00EA1B4E"/>
    <w:rsid w:val="00EA24A3"/>
    <w:rsid w:val="00EA32AB"/>
    <w:rsid w:val="00EA4403"/>
    <w:rsid w:val="00EA6B87"/>
    <w:rsid w:val="00EA6D0E"/>
    <w:rsid w:val="00EB0451"/>
    <w:rsid w:val="00EB0520"/>
    <w:rsid w:val="00EB0629"/>
    <w:rsid w:val="00EB0781"/>
    <w:rsid w:val="00EB0E52"/>
    <w:rsid w:val="00EB2619"/>
    <w:rsid w:val="00EB3B70"/>
    <w:rsid w:val="00EB4F02"/>
    <w:rsid w:val="00EB5144"/>
    <w:rsid w:val="00EB5D26"/>
    <w:rsid w:val="00EB6619"/>
    <w:rsid w:val="00EB746A"/>
    <w:rsid w:val="00EB755B"/>
    <w:rsid w:val="00EB7D03"/>
    <w:rsid w:val="00EC0E67"/>
    <w:rsid w:val="00EC0F52"/>
    <w:rsid w:val="00EC1198"/>
    <w:rsid w:val="00EC122A"/>
    <w:rsid w:val="00EC16C9"/>
    <w:rsid w:val="00EC1B45"/>
    <w:rsid w:val="00EC1CC5"/>
    <w:rsid w:val="00EC1D4B"/>
    <w:rsid w:val="00EC23FD"/>
    <w:rsid w:val="00EC27D7"/>
    <w:rsid w:val="00EC3CDD"/>
    <w:rsid w:val="00EC4107"/>
    <w:rsid w:val="00EC68DD"/>
    <w:rsid w:val="00EC695D"/>
    <w:rsid w:val="00EC6E2D"/>
    <w:rsid w:val="00EC7562"/>
    <w:rsid w:val="00ED046F"/>
    <w:rsid w:val="00ED050A"/>
    <w:rsid w:val="00ED09D3"/>
    <w:rsid w:val="00ED0D9E"/>
    <w:rsid w:val="00ED0E73"/>
    <w:rsid w:val="00ED1FA1"/>
    <w:rsid w:val="00ED23C1"/>
    <w:rsid w:val="00ED2E76"/>
    <w:rsid w:val="00ED2FFC"/>
    <w:rsid w:val="00ED3014"/>
    <w:rsid w:val="00ED31EA"/>
    <w:rsid w:val="00ED3AB6"/>
    <w:rsid w:val="00ED3B1B"/>
    <w:rsid w:val="00ED3C33"/>
    <w:rsid w:val="00ED64B2"/>
    <w:rsid w:val="00ED74F1"/>
    <w:rsid w:val="00ED7F57"/>
    <w:rsid w:val="00EE0722"/>
    <w:rsid w:val="00EE16B7"/>
    <w:rsid w:val="00EE21A7"/>
    <w:rsid w:val="00EE26C4"/>
    <w:rsid w:val="00EE30D3"/>
    <w:rsid w:val="00EE34A0"/>
    <w:rsid w:val="00EE35BB"/>
    <w:rsid w:val="00EE3854"/>
    <w:rsid w:val="00EE39B7"/>
    <w:rsid w:val="00EE39CE"/>
    <w:rsid w:val="00EE3DD6"/>
    <w:rsid w:val="00EE44D9"/>
    <w:rsid w:val="00EE4554"/>
    <w:rsid w:val="00EE48EE"/>
    <w:rsid w:val="00EE4993"/>
    <w:rsid w:val="00EE4A33"/>
    <w:rsid w:val="00EE4E96"/>
    <w:rsid w:val="00EE4EC6"/>
    <w:rsid w:val="00EE5A04"/>
    <w:rsid w:val="00EE6A20"/>
    <w:rsid w:val="00EE7A11"/>
    <w:rsid w:val="00EF0994"/>
    <w:rsid w:val="00EF0AC0"/>
    <w:rsid w:val="00EF100D"/>
    <w:rsid w:val="00EF13B1"/>
    <w:rsid w:val="00EF16DB"/>
    <w:rsid w:val="00EF1DF4"/>
    <w:rsid w:val="00EF1F6C"/>
    <w:rsid w:val="00EF27FA"/>
    <w:rsid w:val="00EF3C92"/>
    <w:rsid w:val="00EF4AB6"/>
    <w:rsid w:val="00EF4CE6"/>
    <w:rsid w:val="00EF5C6F"/>
    <w:rsid w:val="00EF653A"/>
    <w:rsid w:val="00EF6666"/>
    <w:rsid w:val="00EF6AC5"/>
    <w:rsid w:val="00EF6C54"/>
    <w:rsid w:val="00EF7190"/>
    <w:rsid w:val="00EF7805"/>
    <w:rsid w:val="00EF7AE1"/>
    <w:rsid w:val="00EF7B9B"/>
    <w:rsid w:val="00F005B4"/>
    <w:rsid w:val="00F01550"/>
    <w:rsid w:val="00F0175A"/>
    <w:rsid w:val="00F01912"/>
    <w:rsid w:val="00F025BA"/>
    <w:rsid w:val="00F030EA"/>
    <w:rsid w:val="00F03298"/>
    <w:rsid w:val="00F03848"/>
    <w:rsid w:val="00F04EF4"/>
    <w:rsid w:val="00F0557C"/>
    <w:rsid w:val="00F05AF7"/>
    <w:rsid w:val="00F06080"/>
    <w:rsid w:val="00F06A09"/>
    <w:rsid w:val="00F07638"/>
    <w:rsid w:val="00F07711"/>
    <w:rsid w:val="00F07B5D"/>
    <w:rsid w:val="00F07BC2"/>
    <w:rsid w:val="00F07ED8"/>
    <w:rsid w:val="00F10584"/>
    <w:rsid w:val="00F11E3E"/>
    <w:rsid w:val="00F12DC2"/>
    <w:rsid w:val="00F13574"/>
    <w:rsid w:val="00F137B5"/>
    <w:rsid w:val="00F14E3F"/>
    <w:rsid w:val="00F1503A"/>
    <w:rsid w:val="00F151FF"/>
    <w:rsid w:val="00F15C3B"/>
    <w:rsid w:val="00F1763F"/>
    <w:rsid w:val="00F17BD1"/>
    <w:rsid w:val="00F17C5F"/>
    <w:rsid w:val="00F20332"/>
    <w:rsid w:val="00F2057A"/>
    <w:rsid w:val="00F20CC8"/>
    <w:rsid w:val="00F20D77"/>
    <w:rsid w:val="00F2244C"/>
    <w:rsid w:val="00F2498E"/>
    <w:rsid w:val="00F24FA5"/>
    <w:rsid w:val="00F25621"/>
    <w:rsid w:val="00F26983"/>
    <w:rsid w:val="00F26CD8"/>
    <w:rsid w:val="00F313A4"/>
    <w:rsid w:val="00F31F5A"/>
    <w:rsid w:val="00F31F94"/>
    <w:rsid w:val="00F33A7D"/>
    <w:rsid w:val="00F342FC"/>
    <w:rsid w:val="00F35418"/>
    <w:rsid w:val="00F35B0D"/>
    <w:rsid w:val="00F35BC1"/>
    <w:rsid w:val="00F35E85"/>
    <w:rsid w:val="00F363BC"/>
    <w:rsid w:val="00F376F0"/>
    <w:rsid w:val="00F402FF"/>
    <w:rsid w:val="00F40B1F"/>
    <w:rsid w:val="00F40CB5"/>
    <w:rsid w:val="00F415AC"/>
    <w:rsid w:val="00F41C32"/>
    <w:rsid w:val="00F427E5"/>
    <w:rsid w:val="00F42951"/>
    <w:rsid w:val="00F43449"/>
    <w:rsid w:val="00F434A4"/>
    <w:rsid w:val="00F43803"/>
    <w:rsid w:val="00F43C61"/>
    <w:rsid w:val="00F43DC9"/>
    <w:rsid w:val="00F45519"/>
    <w:rsid w:val="00F45D8C"/>
    <w:rsid w:val="00F47FB5"/>
    <w:rsid w:val="00F5080B"/>
    <w:rsid w:val="00F50C67"/>
    <w:rsid w:val="00F50F97"/>
    <w:rsid w:val="00F521E0"/>
    <w:rsid w:val="00F5352D"/>
    <w:rsid w:val="00F540D9"/>
    <w:rsid w:val="00F54227"/>
    <w:rsid w:val="00F56AE9"/>
    <w:rsid w:val="00F5704D"/>
    <w:rsid w:val="00F60BFA"/>
    <w:rsid w:val="00F60CAB"/>
    <w:rsid w:val="00F6162F"/>
    <w:rsid w:val="00F61AEE"/>
    <w:rsid w:val="00F631A8"/>
    <w:rsid w:val="00F636A1"/>
    <w:rsid w:val="00F63E20"/>
    <w:rsid w:val="00F63EF7"/>
    <w:rsid w:val="00F640E8"/>
    <w:rsid w:val="00F64D88"/>
    <w:rsid w:val="00F651FD"/>
    <w:rsid w:val="00F65587"/>
    <w:rsid w:val="00F65658"/>
    <w:rsid w:val="00F65C1D"/>
    <w:rsid w:val="00F676BD"/>
    <w:rsid w:val="00F676FE"/>
    <w:rsid w:val="00F70C61"/>
    <w:rsid w:val="00F70D6C"/>
    <w:rsid w:val="00F70F9B"/>
    <w:rsid w:val="00F710F5"/>
    <w:rsid w:val="00F71768"/>
    <w:rsid w:val="00F717A9"/>
    <w:rsid w:val="00F71935"/>
    <w:rsid w:val="00F71D7D"/>
    <w:rsid w:val="00F72CA7"/>
    <w:rsid w:val="00F73342"/>
    <w:rsid w:val="00F74663"/>
    <w:rsid w:val="00F746A0"/>
    <w:rsid w:val="00F74DF3"/>
    <w:rsid w:val="00F75225"/>
    <w:rsid w:val="00F7555E"/>
    <w:rsid w:val="00F769D6"/>
    <w:rsid w:val="00F77D7B"/>
    <w:rsid w:val="00F77F36"/>
    <w:rsid w:val="00F800A1"/>
    <w:rsid w:val="00F823A7"/>
    <w:rsid w:val="00F839DF"/>
    <w:rsid w:val="00F842F5"/>
    <w:rsid w:val="00F8440A"/>
    <w:rsid w:val="00F84BFC"/>
    <w:rsid w:val="00F860AC"/>
    <w:rsid w:val="00F8648F"/>
    <w:rsid w:val="00F86AD6"/>
    <w:rsid w:val="00F86F04"/>
    <w:rsid w:val="00F872B5"/>
    <w:rsid w:val="00F9116B"/>
    <w:rsid w:val="00F92FD8"/>
    <w:rsid w:val="00F933BB"/>
    <w:rsid w:val="00F93438"/>
    <w:rsid w:val="00F942CC"/>
    <w:rsid w:val="00F944C0"/>
    <w:rsid w:val="00F9670B"/>
    <w:rsid w:val="00F96C4D"/>
    <w:rsid w:val="00F96C84"/>
    <w:rsid w:val="00F9761F"/>
    <w:rsid w:val="00F978BD"/>
    <w:rsid w:val="00FA046B"/>
    <w:rsid w:val="00FA1E54"/>
    <w:rsid w:val="00FA20E8"/>
    <w:rsid w:val="00FA22D8"/>
    <w:rsid w:val="00FA25A0"/>
    <w:rsid w:val="00FA2601"/>
    <w:rsid w:val="00FA2FF5"/>
    <w:rsid w:val="00FA3FDD"/>
    <w:rsid w:val="00FA49A9"/>
    <w:rsid w:val="00FA4C64"/>
    <w:rsid w:val="00FA5509"/>
    <w:rsid w:val="00FA56A2"/>
    <w:rsid w:val="00FA5F9C"/>
    <w:rsid w:val="00FA6A0A"/>
    <w:rsid w:val="00FB0274"/>
    <w:rsid w:val="00FB09A7"/>
    <w:rsid w:val="00FB0C14"/>
    <w:rsid w:val="00FB1469"/>
    <w:rsid w:val="00FB1C38"/>
    <w:rsid w:val="00FB1CAF"/>
    <w:rsid w:val="00FB2501"/>
    <w:rsid w:val="00FB68D0"/>
    <w:rsid w:val="00FB7685"/>
    <w:rsid w:val="00FB77B7"/>
    <w:rsid w:val="00FB78F7"/>
    <w:rsid w:val="00FB7A5F"/>
    <w:rsid w:val="00FB7CB3"/>
    <w:rsid w:val="00FC0E62"/>
    <w:rsid w:val="00FC0F43"/>
    <w:rsid w:val="00FC16B1"/>
    <w:rsid w:val="00FC256A"/>
    <w:rsid w:val="00FC268C"/>
    <w:rsid w:val="00FC26CA"/>
    <w:rsid w:val="00FC2F9E"/>
    <w:rsid w:val="00FC4AEF"/>
    <w:rsid w:val="00FC4B2C"/>
    <w:rsid w:val="00FC50A5"/>
    <w:rsid w:val="00FC548E"/>
    <w:rsid w:val="00FC63D3"/>
    <w:rsid w:val="00FC641A"/>
    <w:rsid w:val="00FC6557"/>
    <w:rsid w:val="00FC6852"/>
    <w:rsid w:val="00FC6F8D"/>
    <w:rsid w:val="00FC7234"/>
    <w:rsid w:val="00FC7599"/>
    <w:rsid w:val="00FC7A2F"/>
    <w:rsid w:val="00FC7F62"/>
    <w:rsid w:val="00FC7FB4"/>
    <w:rsid w:val="00FD018A"/>
    <w:rsid w:val="00FD0263"/>
    <w:rsid w:val="00FD0663"/>
    <w:rsid w:val="00FD0D65"/>
    <w:rsid w:val="00FD1FC6"/>
    <w:rsid w:val="00FD2B4D"/>
    <w:rsid w:val="00FD3666"/>
    <w:rsid w:val="00FD4008"/>
    <w:rsid w:val="00FD4624"/>
    <w:rsid w:val="00FD49C2"/>
    <w:rsid w:val="00FD4CAD"/>
    <w:rsid w:val="00FD589C"/>
    <w:rsid w:val="00FD5A00"/>
    <w:rsid w:val="00FD6D44"/>
    <w:rsid w:val="00FD79B9"/>
    <w:rsid w:val="00FD7D44"/>
    <w:rsid w:val="00FD7E53"/>
    <w:rsid w:val="00FE0DF6"/>
    <w:rsid w:val="00FE1282"/>
    <w:rsid w:val="00FE1914"/>
    <w:rsid w:val="00FE1C8D"/>
    <w:rsid w:val="00FE3399"/>
    <w:rsid w:val="00FE35E1"/>
    <w:rsid w:val="00FE3A0E"/>
    <w:rsid w:val="00FE4D8E"/>
    <w:rsid w:val="00FE5213"/>
    <w:rsid w:val="00FE59D8"/>
    <w:rsid w:val="00FE6160"/>
    <w:rsid w:val="00FE6599"/>
    <w:rsid w:val="00FF01D1"/>
    <w:rsid w:val="00FF021B"/>
    <w:rsid w:val="00FF0471"/>
    <w:rsid w:val="00FF0B18"/>
    <w:rsid w:val="00FF0F3E"/>
    <w:rsid w:val="00FF1063"/>
    <w:rsid w:val="00FF175B"/>
    <w:rsid w:val="00FF1D0E"/>
    <w:rsid w:val="00FF2345"/>
    <w:rsid w:val="00FF2D56"/>
    <w:rsid w:val="00FF2E31"/>
    <w:rsid w:val="00FF2E92"/>
    <w:rsid w:val="00FF333B"/>
    <w:rsid w:val="00FF3530"/>
    <w:rsid w:val="00FF37E0"/>
    <w:rsid w:val="00FF38B9"/>
    <w:rsid w:val="00FF3FA5"/>
    <w:rsid w:val="00FF44C7"/>
    <w:rsid w:val="00FF6147"/>
    <w:rsid w:val="00FF63F9"/>
    <w:rsid w:val="00FF6CE1"/>
    <w:rsid w:val="00FF6CEA"/>
    <w:rsid w:val="00FF6EAE"/>
    <w:rsid w:val="00FF73C5"/>
    <w:rsid w:val="00FF7466"/>
    <w:rsid w:val="00FF7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ft Ch"/>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o,fr,Style 3,Style 24,Style 17,Style 11,Style 28,Style 8,Style 13,Style 12,Style 15,Style 9,o1,fr1,o2,fr2,o3,fr3,Style 18,(NECG) Footnote Reference,Style 20,Style 7,Style 19"/>
    <w:basedOn w:val="DefaultParagraphFont"/>
    <w:uiPriority w:val="99"/>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135A1A"/>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135A1A"/>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4E3A4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indent">
    <w:name w:val="indent"/>
    <w:basedOn w:val="Normal"/>
    <w:rsid w:val="00722F77"/>
    <w:pPr>
      <w:spacing w:before="100" w:beforeAutospacing="1" w:after="100" w:afterAutospacing="1"/>
    </w:pPr>
    <w:rPr>
      <w:lang w:eastAsia="zh-CN"/>
    </w:rPr>
  </w:style>
  <w:style w:type="character" w:customStyle="1" w:styleId="smbody">
    <w:name w:val="smbody"/>
    <w:basedOn w:val="DefaultParagraphFont"/>
    <w:rsid w:val="00722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ft Ch"/>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o,fr,Style 3,Style 24,Style 17,Style 11,Style 28,Style 8,Style 13,Style 12,Style 15,Style 9,o1,fr1,o2,fr2,o3,fr3,Style 18,(NECG) Footnote Reference,Style 20,Style 7,Style 19"/>
    <w:basedOn w:val="DefaultParagraphFont"/>
    <w:uiPriority w:val="99"/>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135A1A"/>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135A1A"/>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4E3A4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indent">
    <w:name w:val="indent"/>
    <w:basedOn w:val="Normal"/>
    <w:rsid w:val="00722F77"/>
    <w:pPr>
      <w:spacing w:before="100" w:beforeAutospacing="1" w:after="100" w:afterAutospacing="1"/>
    </w:pPr>
    <w:rPr>
      <w:lang w:eastAsia="zh-CN"/>
    </w:rPr>
  </w:style>
  <w:style w:type="character" w:customStyle="1" w:styleId="smbody">
    <w:name w:val="smbody"/>
    <w:basedOn w:val="DefaultParagraphFont"/>
    <w:rsid w:val="00722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37433798">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62800918">
      <w:bodyDiv w:val="1"/>
      <w:marLeft w:val="0"/>
      <w:marRight w:val="0"/>
      <w:marTop w:val="0"/>
      <w:marBottom w:val="0"/>
      <w:divBdr>
        <w:top w:val="none" w:sz="0" w:space="0" w:color="auto"/>
        <w:left w:val="none" w:sz="0" w:space="0" w:color="auto"/>
        <w:bottom w:val="none" w:sz="0" w:space="0" w:color="auto"/>
        <w:right w:val="none" w:sz="0" w:space="0" w:color="auto"/>
      </w:divBdr>
    </w:div>
    <w:div w:id="63651560">
      <w:bodyDiv w:val="1"/>
      <w:marLeft w:val="0"/>
      <w:marRight w:val="0"/>
      <w:marTop w:val="0"/>
      <w:marBottom w:val="0"/>
      <w:divBdr>
        <w:top w:val="none" w:sz="0" w:space="0" w:color="auto"/>
        <w:left w:val="none" w:sz="0" w:space="0" w:color="auto"/>
        <w:bottom w:val="none" w:sz="0" w:space="0" w:color="auto"/>
        <w:right w:val="none" w:sz="0" w:space="0" w:color="auto"/>
      </w:divBdr>
    </w:div>
    <w:div w:id="66659559">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572">
      <w:bodyDiv w:val="1"/>
      <w:marLeft w:val="0"/>
      <w:marRight w:val="0"/>
      <w:marTop w:val="0"/>
      <w:marBottom w:val="0"/>
      <w:divBdr>
        <w:top w:val="none" w:sz="0" w:space="0" w:color="auto"/>
        <w:left w:val="none" w:sz="0" w:space="0" w:color="auto"/>
        <w:bottom w:val="none" w:sz="0" w:space="0" w:color="auto"/>
        <w:right w:val="none" w:sz="0" w:space="0" w:color="auto"/>
      </w:divBdr>
      <w:divsChild>
        <w:div w:id="1699042009">
          <w:marLeft w:val="0"/>
          <w:marRight w:val="0"/>
          <w:marTop w:val="0"/>
          <w:marBottom w:val="345"/>
          <w:divBdr>
            <w:top w:val="none" w:sz="0" w:space="0" w:color="auto"/>
            <w:left w:val="none" w:sz="0" w:space="0" w:color="auto"/>
            <w:bottom w:val="none" w:sz="0" w:space="0" w:color="auto"/>
            <w:right w:val="none" w:sz="0" w:space="0" w:color="auto"/>
          </w:divBdr>
          <w:divsChild>
            <w:div w:id="1019157605">
              <w:marLeft w:val="0"/>
              <w:marRight w:val="0"/>
              <w:marTop w:val="0"/>
              <w:marBottom w:val="0"/>
              <w:divBdr>
                <w:top w:val="none" w:sz="0" w:space="0" w:color="auto"/>
                <w:left w:val="none" w:sz="0" w:space="0" w:color="auto"/>
                <w:bottom w:val="none" w:sz="0" w:space="0" w:color="auto"/>
                <w:right w:val="none" w:sz="0" w:space="0" w:color="auto"/>
              </w:divBdr>
              <w:divsChild>
                <w:div w:id="1267343954">
                  <w:marLeft w:val="0"/>
                  <w:marRight w:val="0"/>
                  <w:marTop w:val="0"/>
                  <w:marBottom w:val="0"/>
                  <w:divBdr>
                    <w:top w:val="none" w:sz="0" w:space="0" w:color="auto"/>
                    <w:left w:val="none" w:sz="0" w:space="0" w:color="auto"/>
                    <w:bottom w:val="none" w:sz="0" w:space="0" w:color="auto"/>
                    <w:right w:val="none" w:sz="0" w:space="0" w:color="auto"/>
                  </w:divBdr>
                  <w:divsChild>
                    <w:div w:id="448623446">
                      <w:marLeft w:val="0"/>
                      <w:marRight w:val="0"/>
                      <w:marTop w:val="0"/>
                      <w:marBottom w:val="0"/>
                      <w:divBdr>
                        <w:top w:val="none" w:sz="0" w:space="0" w:color="auto"/>
                        <w:left w:val="none" w:sz="0" w:space="0" w:color="auto"/>
                        <w:bottom w:val="none" w:sz="0" w:space="0" w:color="auto"/>
                        <w:right w:val="none" w:sz="0" w:space="0" w:color="auto"/>
                      </w:divBdr>
                      <w:divsChild>
                        <w:div w:id="112292275">
                          <w:marLeft w:val="0"/>
                          <w:marRight w:val="0"/>
                          <w:marTop w:val="0"/>
                          <w:marBottom w:val="0"/>
                          <w:divBdr>
                            <w:top w:val="none" w:sz="0" w:space="0" w:color="auto"/>
                            <w:left w:val="none" w:sz="0" w:space="0" w:color="auto"/>
                            <w:bottom w:val="none" w:sz="0" w:space="0" w:color="auto"/>
                            <w:right w:val="none" w:sz="0" w:space="0" w:color="auto"/>
                          </w:divBdr>
                          <w:divsChild>
                            <w:div w:id="315649732">
                              <w:marLeft w:val="60"/>
                              <w:marRight w:val="0"/>
                              <w:marTop w:val="0"/>
                              <w:marBottom w:val="0"/>
                              <w:divBdr>
                                <w:top w:val="none" w:sz="0" w:space="0" w:color="auto"/>
                                <w:left w:val="none" w:sz="0" w:space="0" w:color="auto"/>
                                <w:bottom w:val="none" w:sz="0" w:space="0" w:color="auto"/>
                                <w:right w:val="none" w:sz="0" w:space="0" w:color="auto"/>
                              </w:divBdr>
                              <w:divsChild>
                                <w:div w:id="614101714">
                                  <w:marLeft w:val="0"/>
                                  <w:marRight w:val="0"/>
                                  <w:marTop w:val="0"/>
                                  <w:marBottom w:val="0"/>
                                  <w:divBdr>
                                    <w:top w:val="none" w:sz="0" w:space="0" w:color="auto"/>
                                    <w:left w:val="none" w:sz="0" w:space="0" w:color="auto"/>
                                    <w:bottom w:val="none" w:sz="0" w:space="0" w:color="auto"/>
                                    <w:right w:val="none" w:sz="0" w:space="0" w:color="auto"/>
                                  </w:divBdr>
                                </w:div>
                              </w:divsChild>
                            </w:div>
                            <w:div w:id="2141418315">
                              <w:marLeft w:val="45"/>
                              <w:marRight w:val="45"/>
                              <w:marTop w:val="0"/>
                              <w:marBottom w:val="0"/>
                              <w:divBdr>
                                <w:top w:val="none" w:sz="0" w:space="0" w:color="auto"/>
                                <w:left w:val="none" w:sz="0" w:space="0" w:color="auto"/>
                                <w:bottom w:val="none" w:sz="0" w:space="0" w:color="auto"/>
                                <w:right w:val="none" w:sz="0" w:space="0" w:color="auto"/>
                              </w:divBdr>
                              <w:divsChild>
                                <w:div w:id="9548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3416">
      <w:bodyDiv w:val="1"/>
      <w:marLeft w:val="0"/>
      <w:marRight w:val="0"/>
      <w:marTop w:val="0"/>
      <w:marBottom w:val="0"/>
      <w:divBdr>
        <w:top w:val="none" w:sz="0" w:space="0" w:color="auto"/>
        <w:left w:val="none" w:sz="0" w:space="0" w:color="auto"/>
        <w:bottom w:val="none" w:sz="0" w:space="0" w:color="auto"/>
        <w:right w:val="none" w:sz="0" w:space="0" w:color="auto"/>
      </w:divBdr>
    </w:div>
    <w:div w:id="144124045">
      <w:bodyDiv w:val="1"/>
      <w:marLeft w:val="0"/>
      <w:marRight w:val="0"/>
      <w:marTop w:val="0"/>
      <w:marBottom w:val="0"/>
      <w:divBdr>
        <w:top w:val="none" w:sz="0" w:space="0" w:color="auto"/>
        <w:left w:val="none" w:sz="0" w:space="0" w:color="auto"/>
        <w:bottom w:val="none" w:sz="0" w:space="0" w:color="auto"/>
        <w:right w:val="none" w:sz="0" w:space="0" w:color="auto"/>
      </w:divBdr>
    </w:div>
    <w:div w:id="145323262">
      <w:bodyDiv w:val="1"/>
      <w:marLeft w:val="0"/>
      <w:marRight w:val="0"/>
      <w:marTop w:val="0"/>
      <w:marBottom w:val="0"/>
      <w:divBdr>
        <w:top w:val="none" w:sz="0" w:space="0" w:color="auto"/>
        <w:left w:val="none" w:sz="0" w:space="0" w:color="auto"/>
        <w:bottom w:val="none" w:sz="0" w:space="0" w:color="auto"/>
        <w:right w:val="none" w:sz="0" w:space="0" w:color="auto"/>
      </w:divBdr>
    </w:div>
    <w:div w:id="156043876">
      <w:bodyDiv w:val="1"/>
      <w:marLeft w:val="0"/>
      <w:marRight w:val="0"/>
      <w:marTop w:val="0"/>
      <w:marBottom w:val="0"/>
      <w:divBdr>
        <w:top w:val="none" w:sz="0" w:space="0" w:color="auto"/>
        <w:left w:val="none" w:sz="0" w:space="0" w:color="auto"/>
        <w:bottom w:val="none" w:sz="0" w:space="0" w:color="auto"/>
        <w:right w:val="none" w:sz="0" w:space="0" w:color="auto"/>
      </w:divBdr>
    </w:div>
    <w:div w:id="160895543">
      <w:bodyDiv w:val="1"/>
      <w:marLeft w:val="0"/>
      <w:marRight w:val="0"/>
      <w:marTop w:val="0"/>
      <w:marBottom w:val="0"/>
      <w:divBdr>
        <w:top w:val="none" w:sz="0" w:space="0" w:color="auto"/>
        <w:left w:val="none" w:sz="0" w:space="0" w:color="auto"/>
        <w:bottom w:val="none" w:sz="0" w:space="0" w:color="auto"/>
        <w:right w:val="none" w:sz="0" w:space="0" w:color="auto"/>
      </w:divBdr>
    </w:div>
    <w:div w:id="187180952">
      <w:bodyDiv w:val="1"/>
      <w:marLeft w:val="0"/>
      <w:marRight w:val="0"/>
      <w:marTop w:val="0"/>
      <w:marBottom w:val="0"/>
      <w:divBdr>
        <w:top w:val="none" w:sz="0" w:space="0" w:color="auto"/>
        <w:left w:val="none" w:sz="0" w:space="0" w:color="auto"/>
        <w:bottom w:val="none" w:sz="0" w:space="0" w:color="auto"/>
        <w:right w:val="none" w:sz="0" w:space="0" w:color="auto"/>
      </w:divBdr>
    </w:div>
    <w:div w:id="228924697">
      <w:bodyDiv w:val="1"/>
      <w:marLeft w:val="0"/>
      <w:marRight w:val="0"/>
      <w:marTop w:val="0"/>
      <w:marBottom w:val="0"/>
      <w:divBdr>
        <w:top w:val="none" w:sz="0" w:space="0" w:color="auto"/>
        <w:left w:val="none" w:sz="0" w:space="0" w:color="auto"/>
        <w:bottom w:val="none" w:sz="0" w:space="0" w:color="auto"/>
        <w:right w:val="none" w:sz="0" w:space="0" w:color="auto"/>
      </w:divBdr>
    </w:div>
    <w:div w:id="244607452">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317734163">
      <w:bodyDiv w:val="1"/>
      <w:marLeft w:val="0"/>
      <w:marRight w:val="0"/>
      <w:marTop w:val="0"/>
      <w:marBottom w:val="0"/>
      <w:divBdr>
        <w:top w:val="none" w:sz="0" w:space="0" w:color="auto"/>
        <w:left w:val="none" w:sz="0" w:space="0" w:color="auto"/>
        <w:bottom w:val="none" w:sz="0" w:space="0" w:color="auto"/>
        <w:right w:val="none" w:sz="0" w:space="0" w:color="auto"/>
      </w:divBdr>
    </w:div>
    <w:div w:id="318269837">
      <w:bodyDiv w:val="1"/>
      <w:marLeft w:val="0"/>
      <w:marRight w:val="0"/>
      <w:marTop w:val="0"/>
      <w:marBottom w:val="0"/>
      <w:divBdr>
        <w:top w:val="none" w:sz="0" w:space="0" w:color="auto"/>
        <w:left w:val="none" w:sz="0" w:space="0" w:color="auto"/>
        <w:bottom w:val="none" w:sz="0" w:space="0" w:color="auto"/>
        <w:right w:val="none" w:sz="0" w:space="0" w:color="auto"/>
      </w:divBdr>
    </w:div>
    <w:div w:id="319501940">
      <w:bodyDiv w:val="1"/>
      <w:marLeft w:val="0"/>
      <w:marRight w:val="0"/>
      <w:marTop w:val="0"/>
      <w:marBottom w:val="0"/>
      <w:divBdr>
        <w:top w:val="none" w:sz="0" w:space="0" w:color="auto"/>
        <w:left w:val="none" w:sz="0" w:space="0" w:color="auto"/>
        <w:bottom w:val="none" w:sz="0" w:space="0" w:color="auto"/>
        <w:right w:val="none" w:sz="0" w:space="0" w:color="auto"/>
      </w:divBdr>
    </w:div>
    <w:div w:id="339551988">
      <w:bodyDiv w:val="1"/>
      <w:marLeft w:val="0"/>
      <w:marRight w:val="0"/>
      <w:marTop w:val="0"/>
      <w:marBottom w:val="0"/>
      <w:divBdr>
        <w:top w:val="none" w:sz="0" w:space="0" w:color="auto"/>
        <w:left w:val="none" w:sz="0" w:space="0" w:color="auto"/>
        <w:bottom w:val="none" w:sz="0" w:space="0" w:color="auto"/>
        <w:right w:val="none" w:sz="0" w:space="0" w:color="auto"/>
      </w:divBdr>
    </w:div>
    <w:div w:id="341052374">
      <w:bodyDiv w:val="1"/>
      <w:marLeft w:val="0"/>
      <w:marRight w:val="0"/>
      <w:marTop w:val="0"/>
      <w:marBottom w:val="0"/>
      <w:divBdr>
        <w:top w:val="none" w:sz="0" w:space="0" w:color="auto"/>
        <w:left w:val="none" w:sz="0" w:space="0" w:color="auto"/>
        <w:bottom w:val="none" w:sz="0" w:space="0" w:color="auto"/>
        <w:right w:val="none" w:sz="0" w:space="0" w:color="auto"/>
      </w:divBdr>
    </w:div>
    <w:div w:id="364718396">
      <w:bodyDiv w:val="1"/>
      <w:marLeft w:val="0"/>
      <w:marRight w:val="0"/>
      <w:marTop w:val="0"/>
      <w:marBottom w:val="0"/>
      <w:divBdr>
        <w:top w:val="none" w:sz="0" w:space="0" w:color="auto"/>
        <w:left w:val="none" w:sz="0" w:space="0" w:color="auto"/>
        <w:bottom w:val="none" w:sz="0" w:space="0" w:color="auto"/>
        <w:right w:val="none" w:sz="0" w:space="0" w:color="auto"/>
      </w:divBdr>
    </w:div>
    <w:div w:id="366101439">
      <w:bodyDiv w:val="1"/>
      <w:marLeft w:val="0"/>
      <w:marRight w:val="0"/>
      <w:marTop w:val="0"/>
      <w:marBottom w:val="0"/>
      <w:divBdr>
        <w:top w:val="none" w:sz="0" w:space="0" w:color="auto"/>
        <w:left w:val="none" w:sz="0" w:space="0" w:color="auto"/>
        <w:bottom w:val="none" w:sz="0" w:space="0" w:color="auto"/>
        <w:right w:val="none" w:sz="0" w:space="0" w:color="auto"/>
      </w:divBdr>
    </w:div>
    <w:div w:id="38511025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392578760">
      <w:bodyDiv w:val="1"/>
      <w:marLeft w:val="0"/>
      <w:marRight w:val="0"/>
      <w:marTop w:val="0"/>
      <w:marBottom w:val="0"/>
      <w:divBdr>
        <w:top w:val="none" w:sz="0" w:space="0" w:color="auto"/>
        <w:left w:val="none" w:sz="0" w:space="0" w:color="auto"/>
        <w:bottom w:val="none" w:sz="0" w:space="0" w:color="auto"/>
        <w:right w:val="none" w:sz="0" w:space="0" w:color="auto"/>
      </w:divBdr>
    </w:div>
    <w:div w:id="39690287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34131934">
      <w:bodyDiv w:val="1"/>
      <w:marLeft w:val="0"/>
      <w:marRight w:val="0"/>
      <w:marTop w:val="0"/>
      <w:marBottom w:val="0"/>
      <w:divBdr>
        <w:top w:val="none" w:sz="0" w:space="0" w:color="auto"/>
        <w:left w:val="none" w:sz="0" w:space="0" w:color="auto"/>
        <w:bottom w:val="none" w:sz="0" w:space="0" w:color="auto"/>
        <w:right w:val="none" w:sz="0" w:space="0" w:color="auto"/>
      </w:divBdr>
    </w:div>
    <w:div w:id="468674332">
      <w:bodyDiv w:val="1"/>
      <w:marLeft w:val="0"/>
      <w:marRight w:val="0"/>
      <w:marTop w:val="0"/>
      <w:marBottom w:val="0"/>
      <w:divBdr>
        <w:top w:val="none" w:sz="0" w:space="0" w:color="auto"/>
        <w:left w:val="none" w:sz="0" w:space="0" w:color="auto"/>
        <w:bottom w:val="none" w:sz="0" w:space="0" w:color="auto"/>
        <w:right w:val="none" w:sz="0" w:space="0" w:color="auto"/>
      </w:divBdr>
    </w:div>
    <w:div w:id="477497758">
      <w:bodyDiv w:val="1"/>
      <w:marLeft w:val="0"/>
      <w:marRight w:val="0"/>
      <w:marTop w:val="0"/>
      <w:marBottom w:val="0"/>
      <w:divBdr>
        <w:top w:val="none" w:sz="0" w:space="0" w:color="auto"/>
        <w:left w:val="none" w:sz="0" w:space="0" w:color="auto"/>
        <w:bottom w:val="none" w:sz="0" w:space="0" w:color="auto"/>
        <w:right w:val="none" w:sz="0" w:space="0" w:color="auto"/>
      </w:divBdr>
    </w:div>
    <w:div w:id="494567247">
      <w:bodyDiv w:val="1"/>
      <w:marLeft w:val="0"/>
      <w:marRight w:val="0"/>
      <w:marTop w:val="0"/>
      <w:marBottom w:val="0"/>
      <w:divBdr>
        <w:top w:val="none" w:sz="0" w:space="0" w:color="auto"/>
        <w:left w:val="none" w:sz="0" w:space="0" w:color="auto"/>
        <w:bottom w:val="none" w:sz="0" w:space="0" w:color="auto"/>
        <w:right w:val="none" w:sz="0" w:space="0" w:color="auto"/>
      </w:divBdr>
    </w:div>
    <w:div w:id="512379588">
      <w:bodyDiv w:val="1"/>
      <w:marLeft w:val="0"/>
      <w:marRight w:val="0"/>
      <w:marTop w:val="0"/>
      <w:marBottom w:val="0"/>
      <w:divBdr>
        <w:top w:val="none" w:sz="0" w:space="0" w:color="auto"/>
        <w:left w:val="none" w:sz="0" w:space="0" w:color="auto"/>
        <w:bottom w:val="none" w:sz="0" w:space="0" w:color="auto"/>
        <w:right w:val="none" w:sz="0" w:space="0" w:color="auto"/>
      </w:divBdr>
    </w:div>
    <w:div w:id="540095460">
      <w:bodyDiv w:val="1"/>
      <w:marLeft w:val="0"/>
      <w:marRight w:val="0"/>
      <w:marTop w:val="0"/>
      <w:marBottom w:val="0"/>
      <w:divBdr>
        <w:top w:val="none" w:sz="0" w:space="0" w:color="auto"/>
        <w:left w:val="none" w:sz="0" w:space="0" w:color="auto"/>
        <w:bottom w:val="none" w:sz="0" w:space="0" w:color="auto"/>
        <w:right w:val="none" w:sz="0" w:space="0" w:color="auto"/>
      </w:divBdr>
    </w:div>
    <w:div w:id="555433748">
      <w:bodyDiv w:val="1"/>
      <w:marLeft w:val="0"/>
      <w:marRight w:val="0"/>
      <w:marTop w:val="0"/>
      <w:marBottom w:val="0"/>
      <w:divBdr>
        <w:top w:val="none" w:sz="0" w:space="0" w:color="auto"/>
        <w:left w:val="none" w:sz="0" w:space="0" w:color="auto"/>
        <w:bottom w:val="none" w:sz="0" w:space="0" w:color="auto"/>
        <w:right w:val="none" w:sz="0" w:space="0" w:color="auto"/>
      </w:divBdr>
    </w:div>
    <w:div w:id="556093723">
      <w:bodyDiv w:val="1"/>
      <w:marLeft w:val="0"/>
      <w:marRight w:val="0"/>
      <w:marTop w:val="0"/>
      <w:marBottom w:val="0"/>
      <w:divBdr>
        <w:top w:val="none" w:sz="0" w:space="0" w:color="auto"/>
        <w:left w:val="none" w:sz="0" w:space="0" w:color="auto"/>
        <w:bottom w:val="none" w:sz="0" w:space="0" w:color="auto"/>
        <w:right w:val="none" w:sz="0" w:space="0" w:color="auto"/>
      </w:divBdr>
    </w:div>
    <w:div w:id="582570423">
      <w:bodyDiv w:val="1"/>
      <w:marLeft w:val="0"/>
      <w:marRight w:val="0"/>
      <w:marTop w:val="0"/>
      <w:marBottom w:val="0"/>
      <w:divBdr>
        <w:top w:val="none" w:sz="0" w:space="0" w:color="auto"/>
        <w:left w:val="none" w:sz="0" w:space="0" w:color="auto"/>
        <w:bottom w:val="none" w:sz="0" w:space="0" w:color="auto"/>
        <w:right w:val="none" w:sz="0" w:space="0" w:color="auto"/>
      </w:divBdr>
    </w:div>
    <w:div w:id="595940605">
      <w:bodyDiv w:val="1"/>
      <w:marLeft w:val="0"/>
      <w:marRight w:val="0"/>
      <w:marTop w:val="0"/>
      <w:marBottom w:val="0"/>
      <w:divBdr>
        <w:top w:val="none" w:sz="0" w:space="0" w:color="auto"/>
        <w:left w:val="none" w:sz="0" w:space="0" w:color="auto"/>
        <w:bottom w:val="none" w:sz="0" w:space="0" w:color="auto"/>
        <w:right w:val="none" w:sz="0" w:space="0" w:color="auto"/>
      </w:divBdr>
    </w:div>
    <w:div w:id="59729691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16522514">
      <w:bodyDiv w:val="1"/>
      <w:marLeft w:val="0"/>
      <w:marRight w:val="0"/>
      <w:marTop w:val="0"/>
      <w:marBottom w:val="0"/>
      <w:divBdr>
        <w:top w:val="none" w:sz="0" w:space="0" w:color="auto"/>
        <w:left w:val="none" w:sz="0" w:space="0" w:color="auto"/>
        <w:bottom w:val="none" w:sz="0" w:space="0" w:color="auto"/>
        <w:right w:val="none" w:sz="0" w:space="0" w:color="auto"/>
      </w:divBdr>
    </w:div>
    <w:div w:id="618414238">
      <w:bodyDiv w:val="1"/>
      <w:marLeft w:val="0"/>
      <w:marRight w:val="0"/>
      <w:marTop w:val="0"/>
      <w:marBottom w:val="0"/>
      <w:divBdr>
        <w:top w:val="none" w:sz="0" w:space="0" w:color="auto"/>
        <w:left w:val="none" w:sz="0" w:space="0" w:color="auto"/>
        <w:bottom w:val="none" w:sz="0" w:space="0" w:color="auto"/>
        <w:right w:val="none" w:sz="0" w:space="0" w:color="auto"/>
      </w:divBdr>
    </w:div>
    <w:div w:id="632905833">
      <w:bodyDiv w:val="1"/>
      <w:marLeft w:val="0"/>
      <w:marRight w:val="0"/>
      <w:marTop w:val="0"/>
      <w:marBottom w:val="0"/>
      <w:divBdr>
        <w:top w:val="none" w:sz="0" w:space="0" w:color="auto"/>
        <w:left w:val="none" w:sz="0" w:space="0" w:color="auto"/>
        <w:bottom w:val="none" w:sz="0" w:space="0" w:color="auto"/>
        <w:right w:val="none" w:sz="0" w:space="0" w:color="auto"/>
      </w:divBdr>
    </w:div>
    <w:div w:id="636688082">
      <w:bodyDiv w:val="1"/>
      <w:marLeft w:val="0"/>
      <w:marRight w:val="0"/>
      <w:marTop w:val="0"/>
      <w:marBottom w:val="0"/>
      <w:divBdr>
        <w:top w:val="none" w:sz="0" w:space="0" w:color="auto"/>
        <w:left w:val="none" w:sz="0" w:space="0" w:color="auto"/>
        <w:bottom w:val="none" w:sz="0" w:space="0" w:color="auto"/>
        <w:right w:val="none" w:sz="0" w:space="0" w:color="auto"/>
      </w:divBdr>
    </w:div>
    <w:div w:id="676081272">
      <w:bodyDiv w:val="1"/>
      <w:marLeft w:val="0"/>
      <w:marRight w:val="0"/>
      <w:marTop w:val="0"/>
      <w:marBottom w:val="0"/>
      <w:divBdr>
        <w:top w:val="none" w:sz="0" w:space="0" w:color="auto"/>
        <w:left w:val="none" w:sz="0" w:space="0" w:color="auto"/>
        <w:bottom w:val="none" w:sz="0" w:space="0" w:color="auto"/>
        <w:right w:val="none" w:sz="0" w:space="0" w:color="auto"/>
      </w:divBdr>
    </w:div>
    <w:div w:id="679161470">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31196118">
      <w:bodyDiv w:val="1"/>
      <w:marLeft w:val="0"/>
      <w:marRight w:val="0"/>
      <w:marTop w:val="0"/>
      <w:marBottom w:val="0"/>
      <w:divBdr>
        <w:top w:val="none" w:sz="0" w:space="0" w:color="auto"/>
        <w:left w:val="none" w:sz="0" w:space="0" w:color="auto"/>
        <w:bottom w:val="none" w:sz="0" w:space="0" w:color="auto"/>
        <w:right w:val="none" w:sz="0" w:space="0" w:color="auto"/>
      </w:divBdr>
    </w:div>
    <w:div w:id="731199299">
      <w:bodyDiv w:val="1"/>
      <w:marLeft w:val="0"/>
      <w:marRight w:val="0"/>
      <w:marTop w:val="0"/>
      <w:marBottom w:val="0"/>
      <w:divBdr>
        <w:top w:val="none" w:sz="0" w:space="0" w:color="auto"/>
        <w:left w:val="none" w:sz="0" w:space="0" w:color="auto"/>
        <w:bottom w:val="none" w:sz="0" w:space="0" w:color="auto"/>
        <w:right w:val="none" w:sz="0" w:space="0" w:color="auto"/>
      </w:divBdr>
    </w:div>
    <w:div w:id="731923693">
      <w:bodyDiv w:val="1"/>
      <w:marLeft w:val="0"/>
      <w:marRight w:val="0"/>
      <w:marTop w:val="0"/>
      <w:marBottom w:val="0"/>
      <w:divBdr>
        <w:top w:val="none" w:sz="0" w:space="0" w:color="auto"/>
        <w:left w:val="none" w:sz="0" w:space="0" w:color="auto"/>
        <w:bottom w:val="none" w:sz="0" w:space="0" w:color="auto"/>
        <w:right w:val="none" w:sz="0" w:space="0" w:color="auto"/>
      </w:divBdr>
    </w:div>
    <w:div w:id="737171983">
      <w:bodyDiv w:val="1"/>
      <w:marLeft w:val="0"/>
      <w:marRight w:val="0"/>
      <w:marTop w:val="0"/>
      <w:marBottom w:val="0"/>
      <w:divBdr>
        <w:top w:val="none" w:sz="0" w:space="0" w:color="auto"/>
        <w:left w:val="none" w:sz="0" w:space="0" w:color="auto"/>
        <w:bottom w:val="none" w:sz="0" w:space="0" w:color="auto"/>
        <w:right w:val="none" w:sz="0" w:space="0" w:color="auto"/>
      </w:divBdr>
    </w:div>
    <w:div w:id="739710653">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79030299">
      <w:bodyDiv w:val="1"/>
      <w:marLeft w:val="0"/>
      <w:marRight w:val="0"/>
      <w:marTop w:val="0"/>
      <w:marBottom w:val="0"/>
      <w:divBdr>
        <w:top w:val="none" w:sz="0" w:space="0" w:color="auto"/>
        <w:left w:val="none" w:sz="0" w:space="0" w:color="auto"/>
        <w:bottom w:val="none" w:sz="0" w:space="0" w:color="auto"/>
        <w:right w:val="none" w:sz="0" w:space="0" w:color="auto"/>
      </w:divBdr>
    </w:div>
    <w:div w:id="780994334">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4424325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875969288">
      <w:bodyDiv w:val="1"/>
      <w:marLeft w:val="0"/>
      <w:marRight w:val="0"/>
      <w:marTop w:val="0"/>
      <w:marBottom w:val="0"/>
      <w:divBdr>
        <w:top w:val="none" w:sz="0" w:space="0" w:color="auto"/>
        <w:left w:val="none" w:sz="0" w:space="0" w:color="auto"/>
        <w:bottom w:val="none" w:sz="0" w:space="0" w:color="auto"/>
        <w:right w:val="none" w:sz="0" w:space="0" w:color="auto"/>
      </w:divBdr>
    </w:div>
    <w:div w:id="879243451">
      <w:bodyDiv w:val="1"/>
      <w:marLeft w:val="0"/>
      <w:marRight w:val="0"/>
      <w:marTop w:val="0"/>
      <w:marBottom w:val="0"/>
      <w:divBdr>
        <w:top w:val="none" w:sz="0" w:space="0" w:color="auto"/>
        <w:left w:val="none" w:sz="0" w:space="0" w:color="auto"/>
        <w:bottom w:val="none" w:sz="0" w:space="0" w:color="auto"/>
        <w:right w:val="none" w:sz="0" w:space="0" w:color="auto"/>
      </w:divBdr>
    </w:div>
    <w:div w:id="904337186">
      <w:bodyDiv w:val="1"/>
      <w:marLeft w:val="0"/>
      <w:marRight w:val="0"/>
      <w:marTop w:val="0"/>
      <w:marBottom w:val="0"/>
      <w:divBdr>
        <w:top w:val="none" w:sz="0" w:space="0" w:color="auto"/>
        <w:left w:val="none" w:sz="0" w:space="0" w:color="auto"/>
        <w:bottom w:val="none" w:sz="0" w:space="0" w:color="auto"/>
        <w:right w:val="none" w:sz="0" w:space="0" w:color="auto"/>
      </w:divBdr>
    </w:div>
    <w:div w:id="915434588">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41835692">
      <w:bodyDiv w:val="1"/>
      <w:marLeft w:val="0"/>
      <w:marRight w:val="0"/>
      <w:marTop w:val="0"/>
      <w:marBottom w:val="0"/>
      <w:divBdr>
        <w:top w:val="none" w:sz="0" w:space="0" w:color="auto"/>
        <w:left w:val="none" w:sz="0" w:space="0" w:color="auto"/>
        <w:bottom w:val="none" w:sz="0" w:space="0" w:color="auto"/>
        <w:right w:val="none" w:sz="0" w:space="0" w:color="auto"/>
      </w:divBdr>
    </w:div>
    <w:div w:id="952202397">
      <w:bodyDiv w:val="1"/>
      <w:marLeft w:val="0"/>
      <w:marRight w:val="0"/>
      <w:marTop w:val="0"/>
      <w:marBottom w:val="0"/>
      <w:divBdr>
        <w:top w:val="none" w:sz="0" w:space="0" w:color="auto"/>
        <w:left w:val="none" w:sz="0" w:space="0" w:color="auto"/>
        <w:bottom w:val="none" w:sz="0" w:space="0" w:color="auto"/>
        <w:right w:val="none" w:sz="0" w:space="0" w:color="auto"/>
      </w:divBdr>
    </w:div>
    <w:div w:id="954673034">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1546261">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466718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22628356">
      <w:bodyDiv w:val="1"/>
      <w:marLeft w:val="0"/>
      <w:marRight w:val="0"/>
      <w:marTop w:val="0"/>
      <w:marBottom w:val="0"/>
      <w:divBdr>
        <w:top w:val="none" w:sz="0" w:space="0" w:color="auto"/>
        <w:left w:val="none" w:sz="0" w:space="0" w:color="auto"/>
        <w:bottom w:val="none" w:sz="0" w:space="0" w:color="auto"/>
        <w:right w:val="none" w:sz="0" w:space="0" w:color="auto"/>
      </w:divBdr>
    </w:div>
    <w:div w:id="1022782797">
      <w:bodyDiv w:val="1"/>
      <w:marLeft w:val="0"/>
      <w:marRight w:val="0"/>
      <w:marTop w:val="0"/>
      <w:marBottom w:val="0"/>
      <w:divBdr>
        <w:top w:val="none" w:sz="0" w:space="0" w:color="auto"/>
        <w:left w:val="none" w:sz="0" w:space="0" w:color="auto"/>
        <w:bottom w:val="none" w:sz="0" w:space="0" w:color="auto"/>
        <w:right w:val="none" w:sz="0" w:space="0" w:color="auto"/>
      </w:divBdr>
    </w:div>
    <w:div w:id="1027489309">
      <w:bodyDiv w:val="1"/>
      <w:marLeft w:val="0"/>
      <w:marRight w:val="0"/>
      <w:marTop w:val="0"/>
      <w:marBottom w:val="0"/>
      <w:divBdr>
        <w:top w:val="none" w:sz="0" w:space="0" w:color="auto"/>
        <w:left w:val="none" w:sz="0" w:space="0" w:color="auto"/>
        <w:bottom w:val="none" w:sz="0" w:space="0" w:color="auto"/>
        <w:right w:val="none" w:sz="0" w:space="0" w:color="auto"/>
      </w:divBdr>
      <w:divsChild>
        <w:div w:id="735472642">
          <w:marLeft w:val="-225"/>
          <w:marRight w:val="-225"/>
          <w:marTop w:val="0"/>
          <w:marBottom w:val="0"/>
          <w:divBdr>
            <w:top w:val="none" w:sz="0" w:space="0" w:color="auto"/>
            <w:left w:val="none" w:sz="0" w:space="0" w:color="auto"/>
            <w:bottom w:val="none" w:sz="0" w:space="0" w:color="auto"/>
            <w:right w:val="none" w:sz="0" w:space="0" w:color="auto"/>
          </w:divBdr>
          <w:divsChild>
            <w:div w:id="155845737">
              <w:marLeft w:val="0"/>
              <w:marRight w:val="0"/>
              <w:marTop w:val="0"/>
              <w:marBottom w:val="0"/>
              <w:divBdr>
                <w:top w:val="none" w:sz="0" w:space="0" w:color="auto"/>
                <w:left w:val="none" w:sz="0" w:space="0" w:color="auto"/>
                <w:bottom w:val="none" w:sz="0" w:space="0" w:color="auto"/>
                <w:right w:val="none" w:sz="0" w:space="0" w:color="auto"/>
              </w:divBdr>
            </w:div>
          </w:divsChild>
        </w:div>
        <w:div w:id="70010659">
          <w:marLeft w:val="-225"/>
          <w:marRight w:val="-225"/>
          <w:marTop w:val="0"/>
          <w:marBottom w:val="0"/>
          <w:divBdr>
            <w:top w:val="none" w:sz="0" w:space="0" w:color="auto"/>
            <w:left w:val="none" w:sz="0" w:space="0" w:color="auto"/>
            <w:bottom w:val="none" w:sz="0" w:space="0" w:color="auto"/>
            <w:right w:val="none" w:sz="0" w:space="0" w:color="auto"/>
          </w:divBdr>
          <w:divsChild>
            <w:div w:id="9727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0585">
      <w:bodyDiv w:val="1"/>
      <w:marLeft w:val="0"/>
      <w:marRight w:val="0"/>
      <w:marTop w:val="0"/>
      <w:marBottom w:val="0"/>
      <w:divBdr>
        <w:top w:val="none" w:sz="0" w:space="0" w:color="auto"/>
        <w:left w:val="none" w:sz="0" w:space="0" w:color="auto"/>
        <w:bottom w:val="none" w:sz="0" w:space="0" w:color="auto"/>
        <w:right w:val="none" w:sz="0" w:space="0" w:color="auto"/>
      </w:divBdr>
    </w:div>
    <w:div w:id="1041440513">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082292926">
      <w:bodyDiv w:val="1"/>
      <w:marLeft w:val="0"/>
      <w:marRight w:val="0"/>
      <w:marTop w:val="0"/>
      <w:marBottom w:val="0"/>
      <w:divBdr>
        <w:top w:val="none" w:sz="0" w:space="0" w:color="auto"/>
        <w:left w:val="none" w:sz="0" w:space="0" w:color="auto"/>
        <w:bottom w:val="none" w:sz="0" w:space="0" w:color="auto"/>
        <w:right w:val="none" w:sz="0" w:space="0" w:color="auto"/>
      </w:divBdr>
    </w:div>
    <w:div w:id="1160586449">
      <w:bodyDiv w:val="1"/>
      <w:marLeft w:val="0"/>
      <w:marRight w:val="0"/>
      <w:marTop w:val="0"/>
      <w:marBottom w:val="0"/>
      <w:divBdr>
        <w:top w:val="none" w:sz="0" w:space="0" w:color="auto"/>
        <w:left w:val="none" w:sz="0" w:space="0" w:color="auto"/>
        <w:bottom w:val="none" w:sz="0" w:space="0" w:color="auto"/>
        <w:right w:val="none" w:sz="0" w:space="0" w:color="auto"/>
      </w:divBdr>
    </w:div>
    <w:div w:id="1169753618">
      <w:bodyDiv w:val="1"/>
      <w:marLeft w:val="0"/>
      <w:marRight w:val="0"/>
      <w:marTop w:val="0"/>
      <w:marBottom w:val="0"/>
      <w:divBdr>
        <w:top w:val="none" w:sz="0" w:space="0" w:color="auto"/>
        <w:left w:val="none" w:sz="0" w:space="0" w:color="auto"/>
        <w:bottom w:val="none" w:sz="0" w:space="0" w:color="auto"/>
        <w:right w:val="none" w:sz="0" w:space="0" w:color="auto"/>
      </w:divBdr>
    </w:div>
    <w:div w:id="1179930557">
      <w:bodyDiv w:val="1"/>
      <w:marLeft w:val="0"/>
      <w:marRight w:val="0"/>
      <w:marTop w:val="0"/>
      <w:marBottom w:val="0"/>
      <w:divBdr>
        <w:top w:val="none" w:sz="0" w:space="0" w:color="auto"/>
        <w:left w:val="none" w:sz="0" w:space="0" w:color="auto"/>
        <w:bottom w:val="none" w:sz="0" w:space="0" w:color="auto"/>
        <w:right w:val="none" w:sz="0" w:space="0" w:color="auto"/>
      </w:divBdr>
    </w:div>
    <w:div w:id="1188059562">
      <w:bodyDiv w:val="1"/>
      <w:marLeft w:val="0"/>
      <w:marRight w:val="0"/>
      <w:marTop w:val="0"/>
      <w:marBottom w:val="0"/>
      <w:divBdr>
        <w:top w:val="none" w:sz="0" w:space="0" w:color="auto"/>
        <w:left w:val="none" w:sz="0" w:space="0" w:color="auto"/>
        <w:bottom w:val="none" w:sz="0" w:space="0" w:color="auto"/>
        <w:right w:val="none" w:sz="0" w:space="0" w:color="auto"/>
      </w:divBdr>
    </w:div>
    <w:div w:id="1228032128">
      <w:bodyDiv w:val="1"/>
      <w:marLeft w:val="0"/>
      <w:marRight w:val="0"/>
      <w:marTop w:val="0"/>
      <w:marBottom w:val="0"/>
      <w:divBdr>
        <w:top w:val="none" w:sz="0" w:space="0" w:color="auto"/>
        <w:left w:val="none" w:sz="0" w:space="0" w:color="auto"/>
        <w:bottom w:val="none" w:sz="0" w:space="0" w:color="auto"/>
        <w:right w:val="none" w:sz="0" w:space="0" w:color="auto"/>
      </w:divBdr>
    </w:div>
    <w:div w:id="1256476114">
      <w:bodyDiv w:val="1"/>
      <w:marLeft w:val="0"/>
      <w:marRight w:val="0"/>
      <w:marTop w:val="0"/>
      <w:marBottom w:val="0"/>
      <w:divBdr>
        <w:top w:val="none" w:sz="0" w:space="0" w:color="auto"/>
        <w:left w:val="none" w:sz="0" w:space="0" w:color="auto"/>
        <w:bottom w:val="none" w:sz="0" w:space="0" w:color="auto"/>
        <w:right w:val="none" w:sz="0" w:space="0" w:color="auto"/>
      </w:divBdr>
    </w:div>
    <w:div w:id="1258253186">
      <w:bodyDiv w:val="1"/>
      <w:marLeft w:val="0"/>
      <w:marRight w:val="0"/>
      <w:marTop w:val="0"/>
      <w:marBottom w:val="0"/>
      <w:divBdr>
        <w:top w:val="none" w:sz="0" w:space="0" w:color="auto"/>
        <w:left w:val="none" w:sz="0" w:space="0" w:color="auto"/>
        <w:bottom w:val="none" w:sz="0" w:space="0" w:color="auto"/>
        <w:right w:val="none" w:sz="0" w:space="0" w:color="auto"/>
      </w:divBdr>
    </w:div>
    <w:div w:id="1268005105">
      <w:bodyDiv w:val="1"/>
      <w:marLeft w:val="0"/>
      <w:marRight w:val="0"/>
      <w:marTop w:val="0"/>
      <w:marBottom w:val="0"/>
      <w:divBdr>
        <w:top w:val="none" w:sz="0" w:space="0" w:color="auto"/>
        <w:left w:val="none" w:sz="0" w:space="0" w:color="auto"/>
        <w:bottom w:val="none" w:sz="0" w:space="0" w:color="auto"/>
        <w:right w:val="none" w:sz="0" w:space="0" w:color="auto"/>
      </w:divBdr>
    </w:div>
    <w:div w:id="1278831266">
      <w:bodyDiv w:val="1"/>
      <w:marLeft w:val="0"/>
      <w:marRight w:val="0"/>
      <w:marTop w:val="0"/>
      <w:marBottom w:val="0"/>
      <w:divBdr>
        <w:top w:val="none" w:sz="0" w:space="0" w:color="auto"/>
        <w:left w:val="none" w:sz="0" w:space="0" w:color="auto"/>
        <w:bottom w:val="none" w:sz="0" w:space="0" w:color="auto"/>
        <w:right w:val="none" w:sz="0" w:space="0" w:color="auto"/>
      </w:divBdr>
    </w:div>
    <w:div w:id="1303465478">
      <w:bodyDiv w:val="1"/>
      <w:marLeft w:val="0"/>
      <w:marRight w:val="0"/>
      <w:marTop w:val="0"/>
      <w:marBottom w:val="0"/>
      <w:divBdr>
        <w:top w:val="none" w:sz="0" w:space="0" w:color="auto"/>
        <w:left w:val="none" w:sz="0" w:space="0" w:color="auto"/>
        <w:bottom w:val="none" w:sz="0" w:space="0" w:color="auto"/>
        <w:right w:val="none" w:sz="0" w:space="0" w:color="auto"/>
      </w:divBdr>
    </w:div>
    <w:div w:id="1310478078">
      <w:bodyDiv w:val="1"/>
      <w:marLeft w:val="0"/>
      <w:marRight w:val="0"/>
      <w:marTop w:val="0"/>
      <w:marBottom w:val="0"/>
      <w:divBdr>
        <w:top w:val="none" w:sz="0" w:space="0" w:color="auto"/>
        <w:left w:val="none" w:sz="0" w:space="0" w:color="auto"/>
        <w:bottom w:val="none" w:sz="0" w:space="0" w:color="auto"/>
        <w:right w:val="none" w:sz="0" w:space="0" w:color="auto"/>
      </w:divBdr>
    </w:div>
    <w:div w:id="1326400097">
      <w:bodyDiv w:val="1"/>
      <w:marLeft w:val="0"/>
      <w:marRight w:val="0"/>
      <w:marTop w:val="0"/>
      <w:marBottom w:val="0"/>
      <w:divBdr>
        <w:top w:val="none" w:sz="0" w:space="0" w:color="auto"/>
        <w:left w:val="none" w:sz="0" w:space="0" w:color="auto"/>
        <w:bottom w:val="none" w:sz="0" w:space="0" w:color="auto"/>
        <w:right w:val="none" w:sz="0" w:space="0" w:color="auto"/>
      </w:divBdr>
    </w:div>
    <w:div w:id="1341203007">
      <w:bodyDiv w:val="1"/>
      <w:marLeft w:val="0"/>
      <w:marRight w:val="0"/>
      <w:marTop w:val="0"/>
      <w:marBottom w:val="0"/>
      <w:divBdr>
        <w:top w:val="none" w:sz="0" w:space="0" w:color="auto"/>
        <w:left w:val="none" w:sz="0" w:space="0" w:color="auto"/>
        <w:bottom w:val="none" w:sz="0" w:space="0" w:color="auto"/>
        <w:right w:val="none" w:sz="0" w:space="0" w:color="auto"/>
      </w:divBdr>
    </w:div>
    <w:div w:id="1383745057">
      <w:bodyDiv w:val="1"/>
      <w:marLeft w:val="0"/>
      <w:marRight w:val="0"/>
      <w:marTop w:val="0"/>
      <w:marBottom w:val="0"/>
      <w:divBdr>
        <w:top w:val="none" w:sz="0" w:space="0" w:color="auto"/>
        <w:left w:val="none" w:sz="0" w:space="0" w:color="auto"/>
        <w:bottom w:val="none" w:sz="0" w:space="0" w:color="auto"/>
        <w:right w:val="none" w:sz="0" w:space="0" w:color="auto"/>
      </w:divBdr>
    </w:div>
    <w:div w:id="1429765782">
      <w:bodyDiv w:val="1"/>
      <w:marLeft w:val="0"/>
      <w:marRight w:val="0"/>
      <w:marTop w:val="0"/>
      <w:marBottom w:val="0"/>
      <w:divBdr>
        <w:top w:val="none" w:sz="0" w:space="0" w:color="auto"/>
        <w:left w:val="none" w:sz="0" w:space="0" w:color="auto"/>
        <w:bottom w:val="none" w:sz="0" w:space="0" w:color="auto"/>
        <w:right w:val="none" w:sz="0" w:space="0" w:color="auto"/>
      </w:divBdr>
    </w:div>
    <w:div w:id="1440102983">
      <w:bodyDiv w:val="1"/>
      <w:marLeft w:val="0"/>
      <w:marRight w:val="0"/>
      <w:marTop w:val="0"/>
      <w:marBottom w:val="0"/>
      <w:divBdr>
        <w:top w:val="none" w:sz="0" w:space="0" w:color="auto"/>
        <w:left w:val="none" w:sz="0" w:space="0" w:color="auto"/>
        <w:bottom w:val="none" w:sz="0" w:space="0" w:color="auto"/>
        <w:right w:val="none" w:sz="0" w:space="0" w:color="auto"/>
      </w:divBdr>
    </w:div>
    <w:div w:id="1486165254">
      <w:bodyDiv w:val="1"/>
      <w:marLeft w:val="0"/>
      <w:marRight w:val="0"/>
      <w:marTop w:val="0"/>
      <w:marBottom w:val="0"/>
      <w:divBdr>
        <w:top w:val="none" w:sz="0" w:space="0" w:color="auto"/>
        <w:left w:val="none" w:sz="0" w:space="0" w:color="auto"/>
        <w:bottom w:val="none" w:sz="0" w:space="0" w:color="auto"/>
        <w:right w:val="none" w:sz="0" w:space="0" w:color="auto"/>
      </w:divBdr>
    </w:div>
    <w:div w:id="1493374080">
      <w:bodyDiv w:val="1"/>
      <w:marLeft w:val="0"/>
      <w:marRight w:val="0"/>
      <w:marTop w:val="0"/>
      <w:marBottom w:val="0"/>
      <w:divBdr>
        <w:top w:val="none" w:sz="0" w:space="0" w:color="auto"/>
        <w:left w:val="none" w:sz="0" w:space="0" w:color="auto"/>
        <w:bottom w:val="none" w:sz="0" w:space="0" w:color="auto"/>
        <w:right w:val="none" w:sz="0" w:space="0" w:color="auto"/>
      </w:divBdr>
    </w:div>
    <w:div w:id="1494879817">
      <w:bodyDiv w:val="1"/>
      <w:marLeft w:val="0"/>
      <w:marRight w:val="0"/>
      <w:marTop w:val="0"/>
      <w:marBottom w:val="0"/>
      <w:divBdr>
        <w:top w:val="none" w:sz="0" w:space="0" w:color="auto"/>
        <w:left w:val="none" w:sz="0" w:space="0" w:color="auto"/>
        <w:bottom w:val="none" w:sz="0" w:space="0" w:color="auto"/>
        <w:right w:val="none" w:sz="0" w:space="0" w:color="auto"/>
      </w:divBdr>
    </w:div>
    <w:div w:id="1509363931">
      <w:bodyDiv w:val="1"/>
      <w:marLeft w:val="0"/>
      <w:marRight w:val="0"/>
      <w:marTop w:val="0"/>
      <w:marBottom w:val="0"/>
      <w:divBdr>
        <w:top w:val="none" w:sz="0" w:space="0" w:color="auto"/>
        <w:left w:val="none" w:sz="0" w:space="0" w:color="auto"/>
        <w:bottom w:val="none" w:sz="0" w:space="0" w:color="auto"/>
        <w:right w:val="none" w:sz="0" w:space="0" w:color="auto"/>
      </w:divBdr>
    </w:div>
    <w:div w:id="1513689439">
      <w:bodyDiv w:val="1"/>
      <w:marLeft w:val="0"/>
      <w:marRight w:val="0"/>
      <w:marTop w:val="0"/>
      <w:marBottom w:val="0"/>
      <w:divBdr>
        <w:top w:val="none" w:sz="0" w:space="0" w:color="auto"/>
        <w:left w:val="none" w:sz="0" w:space="0" w:color="auto"/>
        <w:bottom w:val="none" w:sz="0" w:space="0" w:color="auto"/>
        <w:right w:val="none" w:sz="0" w:space="0" w:color="auto"/>
      </w:divBdr>
    </w:div>
    <w:div w:id="1516534486">
      <w:bodyDiv w:val="1"/>
      <w:marLeft w:val="0"/>
      <w:marRight w:val="0"/>
      <w:marTop w:val="0"/>
      <w:marBottom w:val="0"/>
      <w:divBdr>
        <w:top w:val="none" w:sz="0" w:space="0" w:color="auto"/>
        <w:left w:val="none" w:sz="0" w:space="0" w:color="auto"/>
        <w:bottom w:val="none" w:sz="0" w:space="0" w:color="auto"/>
        <w:right w:val="none" w:sz="0" w:space="0" w:color="auto"/>
      </w:divBdr>
    </w:div>
    <w:div w:id="1524517345">
      <w:bodyDiv w:val="1"/>
      <w:marLeft w:val="0"/>
      <w:marRight w:val="0"/>
      <w:marTop w:val="0"/>
      <w:marBottom w:val="0"/>
      <w:divBdr>
        <w:top w:val="none" w:sz="0" w:space="0" w:color="auto"/>
        <w:left w:val="none" w:sz="0" w:space="0" w:color="auto"/>
        <w:bottom w:val="none" w:sz="0" w:space="0" w:color="auto"/>
        <w:right w:val="none" w:sz="0" w:space="0" w:color="auto"/>
      </w:divBdr>
    </w:div>
    <w:div w:id="1524855731">
      <w:bodyDiv w:val="1"/>
      <w:marLeft w:val="0"/>
      <w:marRight w:val="0"/>
      <w:marTop w:val="0"/>
      <w:marBottom w:val="0"/>
      <w:divBdr>
        <w:top w:val="none" w:sz="0" w:space="0" w:color="auto"/>
        <w:left w:val="none" w:sz="0" w:space="0" w:color="auto"/>
        <w:bottom w:val="none" w:sz="0" w:space="0" w:color="auto"/>
        <w:right w:val="none" w:sz="0" w:space="0" w:color="auto"/>
      </w:divBdr>
    </w:div>
    <w:div w:id="1527794541">
      <w:bodyDiv w:val="1"/>
      <w:marLeft w:val="0"/>
      <w:marRight w:val="0"/>
      <w:marTop w:val="0"/>
      <w:marBottom w:val="0"/>
      <w:divBdr>
        <w:top w:val="none" w:sz="0" w:space="0" w:color="auto"/>
        <w:left w:val="none" w:sz="0" w:space="0" w:color="auto"/>
        <w:bottom w:val="none" w:sz="0" w:space="0" w:color="auto"/>
        <w:right w:val="none" w:sz="0" w:space="0" w:color="auto"/>
      </w:divBdr>
    </w:div>
    <w:div w:id="1544749785">
      <w:bodyDiv w:val="1"/>
      <w:marLeft w:val="0"/>
      <w:marRight w:val="0"/>
      <w:marTop w:val="0"/>
      <w:marBottom w:val="0"/>
      <w:divBdr>
        <w:top w:val="none" w:sz="0" w:space="0" w:color="auto"/>
        <w:left w:val="none" w:sz="0" w:space="0" w:color="auto"/>
        <w:bottom w:val="none" w:sz="0" w:space="0" w:color="auto"/>
        <w:right w:val="none" w:sz="0" w:space="0" w:color="auto"/>
      </w:divBdr>
    </w:div>
    <w:div w:id="1553422712">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574848183">
      <w:bodyDiv w:val="1"/>
      <w:marLeft w:val="0"/>
      <w:marRight w:val="0"/>
      <w:marTop w:val="0"/>
      <w:marBottom w:val="0"/>
      <w:divBdr>
        <w:top w:val="none" w:sz="0" w:space="0" w:color="auto"/>
        <w:left w:val="none" w:sz="0" w:space="0" w:color="auto"/>
        <w:bottom w:val="none" w:sz="0" w:space="0" w:color="auto"/>
        <w:right w:val="none" w:sz="0" w:space="0" w:color="auto"/>
      </w:divBdr>
    </w:div>
    <w:div w:id="1576360667">
      <w:bodyDiv w:val="1"/>
      <w:marLeft w:val="0"/>
      <w:marRight w:val="0"/>
      <w:marTop w:val="0"/>
      <w:marBottom w:val="0"/>
      <w:divBdr>
        <w:top w:val="none" w:sz="0" w:space="0" w:color="auto"/>
        <w:left w:val="none" w:sz="0" w:space="0" w:color="auto"/>
        <w:bottom w:val="none" w:sz="0" w:space="0" w:color="auto"/>
        <w:right w:val="none" w:sz="0" w:space="0" w:color="auto"/>
      </w:divBdr>
    </w:div>
    <w:div w:id="1580679140">
      <w:bodyDiv w:val="1"/>
      <w:marLeft w:val="0"/>
      <w:marRight w:val="0"/>
      <w:marTop w:val="0"/>
      <w:marBottom w:val="0"/>
      <w:divBdr>
        <w:top w:val="none" w:sz="0" w:space="0" w:color="auto"/>
        <w:left w:val="none" w:sz="0" w:space="0" w:color="auto"/>
        <w:bottom w:val="none" w:sz="0" w:space="0" w:color="auto"/>
        <w:right w:val="none" w:sz="0" w:space="0" w:color="auto"/>
      </w:divBdr>
    </w:div>
    <w:div w:id="1584298202">
      <w:bodyDiv w:val="1"/>
      <w:marLeft w:val="0"/>
      <w:marRight w:val="0"/>
      <w:marTop w:val="0"/>
      <w:marBottom w:val="0"/>
      <w:divBdr>
        <w:top w:val="none" w:sz="0" w:space="0" w:color="auto"/>
        <w:left w:val="none" w:sz="0" w:space="0" w:color="auto"/>
        <w:bottom w:val="none" w:sz="0" w:space="0" w:color="auto"/>
        <w:right w:val="none" w:sz="0" w:space="0" w:color="auto"/>
      </w:divBdr>
    </w:div>
    <w:div w:id="1589657029">
      <w:bodyDiv w:val="1"/>
      <w:marLeft w:val="0"/>
      <w:marRight w:val="0"/>
      <w:marTop w:val="0"/>
      <w:marBottom w:val="0"/>
      <w:divBdr>
        <w:top w:val="none" w:sz="0" w:space="0" w:color="auto"/>
        <w:left w:val="none" w:sz="0" w:space="0" w:color="auto"/>
        <w:bottom w:val="none" w:sz="0" w:space="0" w:color="auto"/>
        <w:right w:val="none" w:sz="0" w:space="0" w:color="auto"/>
      </w:divBdr>
    </w:div>
    <w:div w:id="1622683349">
      <w:bodyDiv w:val="1"/>
      <w:marLeft w:val="0"/>
      <w:marRight w:val="0"/>
      <w:marTop w:val="0"/>
      <w:marBottom w:val="0"/>
      <w:divBdr>
        <w:top w:val="none" w:sz="0" w:space="0" w:color="auto"/>
        <w:left w:val="none" w:sz="0" w:space="0" w:color="auto"/>
        <w:bottom w:val="none" w:sz="0" w:space="0" w:color="auto"/>
        <w:right w:val="none" w:sz="0" w:space="0" w:color="auto"/>
      </w:divBdr>
    </w:div>
    <w:div w:id="1630548282">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77077874">
      <w:bodyDiv w:val="1"/>
      <w:marLeft w:val="0"/>
      <w:marRight w:val="0"/>
      <w:marTop w:val="0"/>
      <w:marBottom w:val="0"/>
      <w:divBdr>
        <w:top w:val="none" w:sz="0" w:space="0" w:color="auto"/>
        <w:left w:val="none" w:sz="0" w:space="0" w:color="auto"/>
        <w:bottom w:val="none" w:sz="0" w:space="0" w:color="auto"/>
        <w:right w:val="none" w:sz="0" w:space="0" w:color="auto"/>
      </w:divBdr>
    </w:div>
    <w:div w:id="1682047679">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687170832">
      <w:bodyDiv w:val="1"/>
      <w:marLeft w:val="0"/>
      <w:marRight w:val="0"/>
      <w:marTop w:val="0"/>
      <w:marBottom w:val="0"/>
      <w:divBdr>
        <w:top w:val="none" w:sz="0" w:space="0" w:color="auto"/>
        <w:left w:val="none" w:sz="0" w:space="0" w:color="auto"/>
        <w:bottom w:val="none" w:sz="0" w:space="0" w:color="auto"/>
        <w:right w:val="none" w:sz="0" w:space="0" w:color="auto"/>
      </w:divBdr>
      <w:divsChild>
        <w:div w:id="745344889">
          <w:marLeft w:val="0"/>
          <w:marRight w:val="0"/>
          <w:marTop w:val="0"/>
          <w:marBottom w:val="0"/>
          <w:divBdr>
            <w:top w:val="none" w:sz="0" w:space="0" w:color="auto"/>
            <w:left w:val="none" w:sz="0" w:space="0" w:color="auto"/>
            <w:bottom w:val="none" w:sz="0" w:space="0" w:color="auto"/>
            <w:right w:val="none" w:sz="0" w:space="0" w:color="auto"/>
          </w:divBdr>
          <w:divsChild>
            <w:div w:id="18518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46235">
      <w:bodyDiv w:val="1"/>
      <w:marLeft w:val="0"/>
      <w:marRight w:val="0"/>
      <w:marTop w:val="0"/>
      <w:marBottom w:val="0"/>
      <w:divBdr>
        <w:top w:val="none" w:sz="0" w:space="0" w:color="auto"/>
        <w:left w:val="none" w:sz="0" w:space="0" w:color="auto"/>
        <w:bottom w:val="none" w:sz="0" w:space="0" w:color="auto"/>
        <w:right w:val="none" w:sz="0" w:space="0" w:color="auto"/>
      </w:divBdr>
    </w:div>
    <w:div w:id="1689798000">
      <w:bodyDiv w:val="1"/>
      <w:marLeft w:val="0"/>
      <w:marRight w:val="0"/>
      <w:marTop w:val="0"/>
      <w:marBottom w:val="0"/>
      <w:divBdr>
        <w:top w:val="none" w:sz="0" w:space="0" w:color="auto"/>
        <w:left w:val="none" w:sz="0" w:space="0" w:color="auto"/>
        <w:bottom w:val="none" w:sz="0" w:space="0" w:color="auto"/>
        <w:right w:val="none" w:sz="0" w:space="0" w:color="auto"/>
      </w:divBdr>
      <w:divsChild>
        <w:div w:id="748308054">
          <w:marLeft w:val="-225"/>
          <w:marRight w:val="-225"/>
          <w:marTop w:val="0"/>
          <w:marBottom w:val="0"/>
          <w:divBdr>
            <w:top w:val="none" w:sz="0" w:space="0" w:color="auto"/>
            <w:left w:val="none" w:sz="0" w:space="0" w:color="auto"/>
            <w:bottom w:val="none" w:sz="0" w:space="0" w:color="auto"/>
            <w:right w:val="none" w:sz="0" w:space="0" w:color="auto"/>
          </w:divBdr>
          <w:divsChild>
            <w:div w:id="1777944829">
              <w:marLeft w:val="0"/>
              <w:marRight w:val="0"/>
              <w:marTop w:val="0"/>
              <w:marBottom w:val="0"/>
              <w:divBdr>
                <w:top w:val="none" w:sz="0" w:space="0" w:color="auto"/>
                <w:left w:val="none" w:sz="0" w:space="0" w:color="auto"/>
                <w:bottom w:val="none" w:sz="0" w:space="0" w:color="auto"/>
                <w:right w:val="none" w:sz="0" w:space="0" w:color="auto"/>
              </w:divBdr>
            </w:div>
          </w:divsChild>
        </w:div>
        <w:div w:id="1315329926">
          <w:marLeft w:val="-225"/>
          <w:marRight w:val="-225"/>
          <w:marTop w:val="0"/>
          <w:marBottom w:val="0"/>
          <w:divBdr>
            <w:top w:val="none" w:sz="0" w:space="0" w:color="auto"/>
            <w:left w:val="none" w:sz="0" w:space="0" w:color="auto"/>
            <w:bottom w:val="none" w:sz="0" w:space="0" w:color="auto"/>
            <w:right w:val="none" w:sz="0" w:space="0" w:color="auto"/>
          </w:divBdr>
          <w:divsChild>
            <w:div w:id="18485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03019112">
      <w:bodyDiv w:val="1"/>
      <w:marLeft w:val="0"/>
      <w:marRight w:val="0"/>
      <w:marTop w:val="0"/>
      <w:marBottom w:val="0"/>
      <w:divBdr>
        <w:top w:val="none" w:sz="0" w:space="0" w:color="auto"/>
        <w:left w:val="none" w:sz="0" w:space="0" w:color="auto"/>
        <w:bottom w:val="none" w:sz="0" w:space="0" w:color="auto"/>
        <w:right w:val="none" w:sz="0" w:space="0" w:color="auto"/>
      </w:divBdr>
    </w:div>
    <w:div w:id="1717311365">
      <w:bodyDiv w:val="1"/>
      <w:marLeft w:val="0"/>
      <w:marRight w:val="0"/>
      <w:marTop w:val="0"/>
      <w:marBottom w:val="0"/>
      <w:divBdr>
        <w:top w:val="none" w:sz="0" w:space="0" w:color="auto"/>
        <w:left w:val="none" w:sz="0" w:space="0" w:color="auto"/>
        <w:bottom w:val="none" w:sz="0" w:space="0" w:color="auto"/>
        <w:right w:val="none" w:sz="0" w:space="0" w:color="auto"/>
      </w:divBdr>
    </w:div>
    <w:div w:id="1731267472">
      <w:bodyDiv w:val="1"/>
      <w:marLeft w:val="0"/>
      <w:marRight w:val="0"/>
      <w:marTop w:val="0"/>
      <w:marBottom w:val="0"/>
      <w:divBdr>
        <w:top w:val="none" w:sz="0" w:space="0" w:color="auto"/>
        <w:left w:val="none" w:sz="0" w:space="0" w:color="auto"/>
        <w:bottom w:val="none" w:sz="0" w:space="0" w:color="auto"/>
        <w:right w:val="none" w:sz="0" w:space="0" w:color="auto"/>
      </w:divBdr>
    </w:div>
    <w:div w:id="1732582816">
      <w:bodyDiv w:val="1"/>
      <w:marLeft w:val="0"/>
      <w:marRight w:val="0"/>
      <w:marTop w:val="0"/>
      <w:marBottom w:val="0"/>
      <w:divBdr>
        <w:top w:val="none" w:sz="0" w:space="0" w:color="auto"/>
        <w:left w:val="none" w:sz="0" w:space="0" w:color="auto"/>
        <w:bottom w:val="none" w:sz="0" w:space="0" w:color="auto"/>
        <w:right w:val="none" w:sz="0" w:space="0" w:color="auto"/>
      </w:divBdr>
    </w:div>
    <w:div w:id="1746028035">
      <w:bodyDiv w:val="1"/>
      <w:marLeft w:val="0"/>
      <w:marRight w:val="0"/>
      <w:marTop w:val="0"/>
      <w:marBottom w:val="0"/>
      <w:divBdr>
        <w:top w:val="none" w:sz="0" w:space="0" w:color="auto"/>
        <w:left w:val="none" w:sz="0" w:space="0" w:color="auto"/>
        <w:bottom w:val="none" w:sz="0" w:space="0" w:color="auto"/>
        <w:right w:val="none" w:sz="0" w:space="0" w:color="auto"/>
      </w:divBdr>
    </w:div>
    <w:div w:id="1769812801">
      <w:bodyDiv w:val="1"/>
      <w:marLeft w:val="0"/>
      <w:marRight w:val="0"/>
      <w:marTop w:val="0"/>
      <w:marBottom w:val="0"/>
      <w:divBdr>
        <w:top w:val="none" w:sz="0" w:space="0" w:color="auto"/>
        <w:left w:val="none" w:sz="0" w:space="0" w:color="auto"/>
        <w:bottom w:val="none" w:sz="0" w:space="0" w:color="auto"/>
        <w:right w:val="none" w:sz="0" w:space="0" w:color="auto"/>
      </w:divBdr>
    </w:div>
    <w:div w:id="1781871556">
      <w:bodyDiv w:val="1"/>
      <w:marLeft w:val="0"/>
      <w:marRight w:val="0"/>
      <w:marTop w:val="0"/>
      <w:marBottom w:val="0"/>
      <w:divBdr>
        <w:top w:val="none" w:sz="0" w:space="0" w:color="auto"/>
        <w:left w:val="none" w:sz="0" w:space="0" w:color="auto"/>
        <w:bottom w:val="none" w:sz="0" w:space="0" w:color="auto"/>
        <w:right w:val="none" w:sz="0" w:space="0" w:color="auto"/>
      </w:divBdr>
    </w:div>
    <w:div w:id="1787043989">
      <w:bodyDiv w:val="1"/>
      <w:marLeft w:val="0"/>
      <w:marRight w:val="0"/>
      <w:marTop w:val="0"/>
      <w:marBottom w:val="0"/>
      <w:divBdr>
        <w:top w:val="none" w:sz="0" w:space="0" w:color="auto"/>
        <w:left w:val="none" w:sz="0" w:space="0" w:color="auto"/>
        <w:bottom w:val="none" w:sz="0" w:space="0" w:color="auto"/>
        <w:right w:val="none" w:sz="0" w:space="0" w:color="auto"/>
      </w:divBdr>
    </w:div>
    <w:div w:id="1829468965">
      <w:bodyDiv w:val="1"/>
      <w:marLeft w:val="0"/>
      <w:marRight w:val="0"/>
      <w:marTop w:val="0"/>
      <w:marBottom w:val="0"/>
      <w:divBdr>
        <w:top w:val="none" w:sz="0" w:space="0" w:color="auto"/>
        <w:left w:val="none" w:sz="0" w:space="0" w:color="auto"/>
        <w:bottom w:val="none" w:sz="0" w:space="0" w:color="auto"/>
        <w:right w:val="none" w:sz="0" w:space="0" w:color="auto"/>
      </w:divBdr>
    </w:div>
    <w:div w:id="1846359083">
      <w:bodyDiv w:val="1"/>
      <w:marLeft w:val="0"/>
      <w:marRight w:val="0"/>
      <w:marTop w:val="0"/>
      <w:marBottom w:val="0"/>
      <w:divBdr>
        <w:top w:val="none" w:sz="0" w:space="0" w:color="auto"/>
        <w:left w:val="none" w:sz="0" w:space="0" w:color="auto"/>
        <w:bottom w:val="none" w:sz="0" w:space="0" w:color="auto"/>
        <w:right w:val="none" w:sz="0" w:space="0" w:color="auto"/>
      </w:divBdr>
      <w:divsChild>
        <w:div w:id="1955211037">
          <w:marLeft w:val="0"/>
          <w:marRight w:val="0"/>
          <w:marTop w:val="0"/>
          <w:marBottom w:val="0"/>
          <w:divBdr>
            <w:top w:val="none" w:sz="0" w:space="0" w:color="auto"/>
            <w:left w:val="none" w:sz="0" w:space="0" w:color="auto"/>
            <w:bottom w:val="none" w:sz="0" w:space="0" w:color="auto"/>
            <w:right w:val="none" w:sz="0" w:space="0" w:color="auto"/>
          </w:divBdr>
        </w:div>
        <w:div w:id="556742082">
          <w:marLeft w:val="0"/>
          <w:marRight w:val="0"/>
          <w:marTop w:val="240"/>
          <w:marBottom w:val="0"/>
          <w:divBdr>
            <w:top w:val="none" w:sz="0" w:space="0" w:color="auto"/>
            <w:left w:val="none" w:sz="0" w:space="0" w:color="auto"/>
            <w:bottom w:val="none" w:sz="0" w:space="0" w:color="auto"/>
            <w:right w:val="none" w:sz="0" w:space="0" w:color="auto"/>
          </w:divBdr>
        </w:div>
      </w:divsChild>
    </w:div>
    <w:div w:id="1855992036">
      <w:bodyDiv w:val="1"/>
      <w:marLeft w:val="0"/>
      <w:marRight w:val="0"/>
      <w:marTop w:val="0"/>
      <w:marBottom w:val="0"/>
      <w:divBdr>
        <w:top w:val="none" w:sz="0" w:space="0" w:color="auto"/>
        <w:left w:val="none" w:sz="0" w:space="0" w:color="auto"/>
        <w:bottom w:val="none" w:sz="0" w:space="0" w:color="auto"/>
        <w:right w:val="none" w:sz="0" w:space="0" w:color="auto"/>
      </w:divBdr>
    </w:div>
    <w:div w:id="1856111528">
      <w:bodyDiv w:val="1"/>
      <w:marLeft w:val="0"/>
      <w:marRight w:val="0"/>
      <w:marTop w:val="0"/>
      <w:marBottom w:val="0"/>
      <w:divBdr>
        <w:top w:val="none" w:sz="0" w:space="0" w:color="auto"/>
        <w:left w:val="none" w:sz="0" w:space="0" w:color="auto"/>
        <w:bottom w:val="none" w:sz="0" w:space="0" w:color="auto"/>
        <w:right w:val="none" w:sz="0" w:space="0" w:color="auto"/>
      </w:divBdr>
    </w:div>
    <w:div w:id="1889493101">
      <w:bodyDiv w:val="1"/>
      <w:marLeft w:val="0"/>
      <w:marRight w:val="0"/>
      <w:marTop w:val="0"/>
      <w:marBottom w:val="0"/>
      <w:divBdr>
        <w:top w:val="none" w:sz="0" w:space="0" w:color="auto"/>
        <w:left w:val="none" w:sz="0" w:space="0" w:color="auto"/>
        <w:bottom w:val="none" w:sz="0" w:space="0" w:color="auto"/>
        <w:right w:val="none" w:sz="0" w:space="0" w:color="auto"/>
      </w:divBdr>
    </w:div>
    <w:div w:id="189615741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1600665">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0214062">
      <w:bodyDiv w:val="1"/>
      <w:marLeft w:val="0"/>
      <w:marRight w:val="0"/>
      <w:marTop w:val="0"/>
      <w:marBottom w:val="0"/>
      <w:divBdr>
        <w:top w:val="none" w:sz="0" w:space="0" w:color="auto"/>
        <w:left w:val="none" w:sz="0" w:space="0" w:color="auto"/>
        <w:bottom w:val="none" w:sz="0" w:space="0" w:color="auto"/>
        <w:right w:val="none" w:sz="0" w:space="0" w:color="auto"/>
      </w:divBdr>
    </w:div>
    <w:div w:id="1949727761">
      <w:bodyDiv w:val="1"/>
      <w:marLeft w:val="0"/>
      <w:marRight w:val="0"/>
      <w:marTop w:val="0"/>
      <w:marBottom w:val="0"/>
      <w:divBdr>
        <w:top w:val="none" w:sz="0" w:space="0" w:color="auto"/>
        <w:left w:val="none" w:sz="0" w:space="0" w:color="auto"/>
        <w:bottom w:val="none" w:sz="0" w:space="0" w:color="auto"/>
        <w:right w:val="none" w:sz="0" w:space="0" w:color="auto"/>
      </w:divBdr>
    </w:div>
    <w:div w:id="1962690229">
      <w:bodyDiv w:val="1"/>
      <w:marLeft w:val="0"/>
      <w:marRight w:val="0"/>
      <w:marTop w:val="0"/>
      <w:marBottom w:val="0"/>
      <w:divBdr>
        <w:top w:val="none" w:sz="0" w:space="0" w:color="auto"/>
        <w:left w:val="none" w:sz="0" w:space="0" w:color="auto"/>
        <w:bottom w:val="none" w:sz="0" w:space="0" w:color="auto"/>
        <w:right w:val="none" w:sz="0" w:space="0" w:color="auto"/>
      </w:divBdr>
    </w:div>
    <w:div w:id="1964922222">
      <w:bodyDiv w:val="1"/>
      <w:marLeft w:val="0"/>
      <w:marRight w:val="0"/>
      <w:marTop w:val="0"/>
      <w:marBottom w:val="0"/>
      <w:divBdr>
        <w:top w:val="none" w:sz="0" w:space="0" w:color="auto"/>
        <w:left w:val="none" w:sz="0" w:space="0" w:color="auto"/>
        <w:bottom w:val="none" w:sz="0" w:space="0" w:color="auto"/>
        <w:right w:val="none" w:sz="0" w:space="0" w:color="auto"/>
      </w:divBdr>
    </w:div>
    <w:div w:id="1966428456">
      <w:bodyDiv w:val="1"/>
      <w:marLeft w:val="0"/>
      <w:marRight w:val="0"/>
      <w:marTop w:val="0"/>
      <w:marBottom w:val="0"/>
      <w:divBdr>
        <w:top w:val="none" w:sz="0" w:space="0" w:color="auto"/>
        <w:left w:val="none" w:sz="0" w:space="0" w:color="auto"/>
        <w:bottom w:val="none" w:sz="0" w:space="0" w:color="auto"/>
        <w:right w:val="none" w:sz="0" w:space="0" w:color="auto"/>
      </w:divBdr>
    </w:div>
    <w:div w:id="2044402201">
      <w:bodyDiv w:val="1"/>
      <w:marLeft w:val="0"/>
      <w:marRight w:val="0"/>
      <w:marTop w:val="0"/>
      <w:marBottom w:val="0"/>
      <w:divBdr>
        <w:top w:val="none" w:sz="0" w:space="0" w:color="auto"/>
        <w:left w:val="none" w:sz="0" w:space="0" w:color="auto"/>
        <w:bottom w:val="none" w:sz="0" w:space="0" w:color="auto"/>
        <w:right w:val="none" w:sz="0" w:space="0" w:color="auto"/>
      </w:divBdr>
    </w:div>
    <w:div w:id="2045710361">
      <w:bodyDiv w:val="1"/>
      <w:marLeft w:val="0"/>
      <w:marRight w:val="0"/>
      <w:marTop w:val="0"/>
      <w:marBottom w:val="0"/>
      <w:divBdr>
        <w:top w:val="none" w:sz="0" w:space="0" w:color="auto"/>
        <w:left w:val="none" w:sz="0" w:space="0" w:color="auto"/>
        <w:bottom w:val="none" w:sz="0" w:space="0" w:color="auto"/>
        <w:right w:val="none" w:sz="0" w:space="0" w:color="auto"/>
      </w:divBdr>
    </w:div>
    <w:div w:id="2057118983">
      <w:bodyDiv w:val="1"/>
      <w:marLeft w:val="0"/>
      <w:marRight w:val="0"/>
      <w:marTop w:val="0"/>
      <w:marBottom w:val="0"/>
      <w:divBdr>
        <w:top w:val="none" w:sz="0" w:space="0" w:color="auto"/>
        <w:left w:val="none" w:sz="0" w:space="0" w:color="auto"/>
        <w:bottom w:val="none" w:sz="0" w:space="0" w:color="auto"/>
        <w:right w:val="none" w:sz="0" w:space="0" w:color="auto"/>
      </w:divBdr>
    </w:div>
    <w:div w:id="2076387736">
      <w:bodyDiv w:val="1"/>
      <w:marLeft w:val="0"/>
      <w:marRight w:val="0"/>
      <w:marTop w:val="0"/>
      <w:marBottom w:val="0"/>
      <w:divBdr>
        <w:top w:val="none" w:sz="0" w:space="0" w:color="auto"/>
        <w:left w:val="none" w:sz="0" w:space="0" w:color="auto"/>
        <w:bottom w:val="none" w:sz="0" w:space="0" w:color="auto"/>
        <w:right w:val="none" w:sz="0" w:space="0" w:color="auto"/>
      </w:divBdr>
    </w:div>
    <w:div w:id="2088265121">
      <w:bodyDiv w:val="1"/>
      <w:marLeft w:val="0"/>
      <w:marRight w:val="0"/>
      <w:marTop w:val="0"/>
      <w:marBottom w:val="0"/>
      <w:divBdr>
        <w:top w:val="none" w:sz="0" w:space="0" w:color="auto"/>
        <w:left w:val="none" w:sz="0" w:space="0" w:color="auto"/>
        <w:bottom w:val="none" w:sz="0" w:space="0" w:color="auto"/>
        <w:right w:val="none" w:sz="0" w:space="0" w:color="auto"/>
      </w:divBdr>
    </w:div>
    <w:div w:id="2093155720">
      <w:bodyDiv w:val="1"/>
      <w:marLeft w:val="0"/>
      <w:marRight w:val="0"/>
      <w:marTop w:val="0"/>
      <w:marBottom w:val="0"/>
      <w:divBdr>
        <w:top w:val="none" w:sz="0" w:space="0" w:color="auto"/>
        <w:left w:val="none" w:sz="0" w:space="0" w:color="auto"/>
        <w:bottom w:val="none" w:sz="0" w:space="0" w:color="auto"/>
        <w:right w:val="none" w:sz="0" w:space="0" w:color="auto"/>
      </w:divBdr>
    </w:div>
    <w:div w:id="2095320875">
      <w:bodyDiv w:val="1"/>
      <w:marLeft w:val="0"/>
      <w:marRight w:val="0"/>
      <w:marTop w:val="0"/>
      <w:marBottom w:val="0"/>
      <w:divBdr>
        <w:top w:val="none" w:sz="0" w:space="0" w:color="auto"/>
        <w:left w:val="none" w:sz="0" w:space="0" w:color="auto"/>
        <w:bottom w:val="none" w:sz="0" w:space="0" w:color="auto"/>
        <w:right w:val="none" w:sz="0" w:space="0" w:color="auto"/>
      </w:divBdr>
    </w:div>
    <w:div w:id="2098599742">
      <w:bodyDiv w:val="1"/>
      <w:marLeft w:val="0"/>
      <w:marRight w:val="0"/>
      <w:marTop w:val="0"/>
      <w:marBottom w:val="0"/>
      <w:divBdr>
        <w:top w:val="none" w:sz="0" w:space="0" w:color="auto"/>
        <w:left w:val="none" w:sz="0" w:space="0" w:color="auto"/>
        <w:bottom w:val="none" w:sz="0" w:space="0" w:color="auto"/>
        <w:right w:val="none" w:sz="0" w:space="0" w:color="auto"/>
      </w:divBdr>
    </w:div>
    <w:div w:id="21221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emf"/><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2017-01-13T08:00:00+00:00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170033</DocketNumber>
    <DelegatedOrder xmlns="dc463f71-b30c-4ab2-9473-d307f9d35888">false</DelegatedOrder>
    <Visibility xmlns="dc463f71-b30c-4ab2-9473-d307f9d35888">Full Visibility</Visibility>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E504-B992-4035-9702-B2C6B64CCC40}">
  <ds:schemaRefs>
    <ds:schemaRef ds:uri="http://schemas.microsoft.com/office/2006/metadata/properties"/>
    <ds:schemaRef ds:uri="http://schemas.microsoft.com/office/infopath/2007/PartnerControls"/>
    <ds:schemaRef ds:uri="dc463f71-b30c-4ab2-9473-d307f9d35888"/>
  </ds:schemaRefs>
</ds:datastoreItem>
</file>

<file path=customXml/itemProps2.xml><?xml version="1.0" encoding="utf-8"?>
<ds:datastoreItem xmlns:ds="http://schemas.openxmlformats.org/officeDocument/2006/customXml" ds:itemID="{E67C76D3-FEE2-4AF4-873C-D92C055CE72B}"/>
</file>

<file path=customXml/itemProps3.xml><?xml version="1.0" encoding="utf-8"?>
<ds:datastoreItem xmlns:ds="http://schemas.openxmlformats.org/officeDocument/2006/customXml" ds:itemID="{2D015D2B-CF7F-4C13-AD3A-99BC4F933A23}">
  <ds:schemaRefs>
    <ds:schemaRef ds:uri="http://schemas.microsoft.com/sharepoint/v3/contenttype/forms"/>
  </ds:schemaRefs>
</ds:datastoreItem>
</file>

<file path=customXml/itemProps4.xml><?xml version="1.0" encoding="utf-8"?>
<ds:datastoreItem xmlns:ds="http://schemas.openxmlformats.org/officeDocument/2006/customXml" ds:itemID="{B0B81466-367C-4BFE-BD8A-F46EBCB7F2A1}">
  <ds:schemaRefs>
    <ds:schemaRef ds:uri="http://schemas.microsoft.com/office/2006/metadata/longProperties"/>
  </ds:schemaRefs>
</ds:datastoreItem>
</file>

<file path=customXml/itemProps5.xml><?xml version="1.0" encoding="utf-8"?>
<ds:datastoreItem xmlns:ds="http://schemas.openxmlformats.org/officeDocument/2006/customXml" ds:itemID="{A0F0B412-AF26-4D81-8D16-008A024EC473}"/>
</file>

<file path=customXml/itemProps6.xml><?xml version="1.0" encoding="utf-8"?>
<ds:datastoreItem xmlns:ds="http://schemas.openxmlformats.org/officeDocument/2006/customXml" ds:itemID="{6C1D2A92-651E-430E-B8DC-1D0C779B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51</Pages>
  <Words>11018</Words>
  <Characters>62807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73678</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Kuzma, Jason (BEL)</dc:creator>
  <cp:lastModifiedBy>No Name</cp:lastModifiedBy>
  <cp:revision>25</cp:revision>
  <cp:lastPrinted>2017-01-05T19:30:00Z</cp:lastPrinted>
  <dcterms:created xsi:type="dcterms:W3CDTF">2017-01-03T00:00:00Z</dcterms:created>
  <dcterms:modified xsi:type="dcterms:W3CDTF">2017-01-06T19:08:00Z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0FAA7+zFiN7nU6xlOBBbbq1n/luIXanyFsGKImPaiOdML/2rkZTN5vVzX+oiLEJKA5vLGnZmT22ZWg3u
slGj7Xuzt8G9ycoOHSrJk2W4yK9KcDzB7XSNg60KJKKmOTyMDb7LRuIQWL4Z+p+Ai2e+e4mVCF+s
sJaK+xm0z3vj8mLQFhXCPJnWZ5EwHC2zvKqbwWXdnxLIlXdNnqC0c1DpQPi7KW0Fxyu4fEy0AkRM
yUspNmo/JvCAakcJg</vt:lpwstr>
  </property>
  <property fmtid="{D5CDD505-2E9C-101B-9397-08002B2CF9AE}" pid="3" name="MAIL_MSG_ID2">
    <vt:lpwstr>Ve3y+ZQShLfwQ/AhI+pcHvdBm8fWs5hqKMp8OezEFigccldaP67+2cQbry4
HI11/m5+RnZpyAa331TsjmxJj/aalC3H52cEeqzYmmWbXgz7Rn0CHAylKRY=</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