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BA" w:rsidRDefault="00B2754C" w:rsidP="009554BA">
      <w:pPr>
        <w:pStyle w:val="Header"/>
        <w:jc w:val="right"/>
      </w:pPr>
      <w:r>
        <w:t>Exhibit ________ (CWK-1T)</w:t>
      </w:r>
    </w:p>
    <w:p w:rsidR="00770369" w:rsidRDefault="00770369" w:rsidP="00852329">
      <w:pPr>
        <w:tabs>
          <w:tab w:val="center" w:pos="4320"/>
        </w:tabs>
        <w:jc w:val="center"/>
        <w:rPr>
          <w:b/>
        </w:rPr>
      </w:pPr>
    </w:p>
    <w:p w:rsidR="00283EE3" w:rsidRPr="00712894" w:rsidRDefault="00283EE3" w:rsidP="00283EE3">
      <w:pPr>
        <w:pStyle w:val="CourtName"/>
        <w:rPr>
          <w:b/>
          <w:caps/>
        </w:rPr>
      </w:pPr>
      <w:bookmarkStart w:id="0" w:name="TitleOfPleading"/>
      <w:bookmarkEnd w:id="0"/>
      <w:r w:rsidRPr="00712894">
        <w:rPr>
          <w:b/>
          <w:caps/>
        </w:rPr>
        <w:t>BEFORE THE WASHINGTON STATE</w:t>
      </w:r>
    </w:p>
    <w:p w:rsidR="00283EE3" w:rsidRPr="00712894" w:rsidRDefault="00283EE3" w:rsidP="00283EE3">
      <w:pPr>
        <w:pStyle w:val="CourtName"/>
        <w:rPr>
          <w:b/>
          <w:caps/>
        </w:rPr>
      </w:pPr>
      <w:r w:rsidRPr="00712894">
        <w:rPr>
          <w:b/>
          <w:caps/>
        </w:rPr>
        <w:t>UTILITIES AND TRANSPORTATION COMMISSION</w:t>
      </w:r>
    </w:p>
    <w:p w:rsidR="00283EE3" w:rsidRPr="00712894" w:rsidRDefault="00283EE3" w:rsidP="00283EE3">
      <w:pPr>
        <w:jc w:val="center"/>
        <w:rPr>
          <w:b/>
        </w:rPr>
      </w:pPr>
    </w:p>
    <w:p w:rsidR="00283EE3" w:rsidRPr="00712894" w:rsidRDefault="00283EE3" w:rsidP="00283EE3">
      <w:pPr>
        <w:ind w:left="-360"/>
      </w:pPr>
      <w:bookmarkStart w:id="1" w:name="Appellant_Name"/>
      <w:bookmarkStart w:id="2" w:name="Caption"/>
      <w:bookmarkEnd w:id="1"/>
    </w:p>
    <w:tbl>
      <w:tblPr>
        <w:tblW w:w="0" w:type="auto"/>
        <w:tblLook w:val="0000"/>
      </w:tblPr>
      <w:tblGrid>
        <w:gridCol w:w="4248"/>
        <w:gridCol w:w="360"/>
        <w:gridCol w:w="4248"/>
      </w:tblGrid>
      <w:tr w:rsidR="00283EE3" w:rsidRPr="00712894" w:rsidTr="00283EE3">
        <w:tc>
          <w:tcPr>
            <w:tcW w:w="4248" w:type="dxa"/>
          </w:tcPr>
          <w:bookmarkEnd w:id="2"/>
          <w:p w:rsidR="00283EE3" w:rsidRPr="00712894" w:rsidRDefault="00283EE3" w:rsidP="00283EE3">
            <w:pPr>
              <w:tabs>
                <w:tab w:val="left" w:pos="2160"/>
              </w:tabs>
              <w:rPr>
                <w:bCs/>
              </w:rPr>
            </w:pPr>
            <w:r w:rsidRPr="00712894">
              <w:rPr>
                <w:bCs/>
              </w:rPr>
              <w:t>In the Matter of the Joint Application of</w:t>
            </w:r>
          </w:p>
          <w:p w:rsidR="00283EE3" w:rsidRPr="00712894" w:rsidRDefault="00283EE3" w:rsidP="00283EE3">
            <w:pPr>
              <w:tabs>
                <w:tab w:val="left" w:pos="2160"/>
              </w:tabs>
              <w:rPr>
                <w:bCs/>
              </w:rPr>
            </w:pPr>
          </w:p>
          <w:p w:rsidR="00283EE3" w:rsidRPr="00712894" w:rsidRDefault="00283EE3" w:rsidP="00283EE3">
            <w:pPr>
              <w:tabs>
                <w:tab w:val="left" w:pos="2160"/>
              </w:tabs>
              <w:rPr>
                <w:bCs/>
              </w:rPr>
            </w:pPr>
            <w:r w:rsidRPr="00712894">
              <w:rPr>
                <w:bCs/>
              </w:rPr>
              <w:t>VERIZON COMMUNICATIONS INC. AND FRONTIER COMMUNICATIONS CORPORATION</w:t>
            </w:r>
          </w:p>
          <w:p w:rsidR="00283EE3" w:rsidRPr="00712894" w:rsidRDefault="00283EE3" w:rsidP="00283EE3">
            <w:pPr>
              <w:tabs>
                <w:tab w:val="left" w:pos="2160"/>
              </w:tabs>
              <w:rPr>
                <w:bCs/>
              </w:rPr>
            </w:pPr>
          </w:p>
          <w:p w:rsidR="00283EE3" w:rsidRPr="00712894" w:rsidRDefault="00283EE3" w:rsidP="00283EE3">
            <w:pPr>
              <w:tabs>
                <w:tab w:val="left" w:pos="2160"/>
              </w:tabs>
              <w:rPr>
                <w:bCs/>
              </w:rPr>
            </w:pPr>
            <w:r w:rsidRPr="00712894">
              <w:rPr>
                <w:bCs/>
              </w:rPr>
              <w:t>For An Order Declining to Assert Jurisdiction Over, or, in the Alternative, Approving the Indirect Transfer of Control of Verizon Northwest Inc.</w:t>
            </w:r>
          </w:p>
          <w:p w:rsidR="00283EE3" w:rsidRPr="00712894" w:rsidRDefault="00283EE3" w:rsidP="00283EE3">
            <w:pPr>
              <w:tabs>
                <w:tab w:val="left" w:pos="2160"/>
              </w:tabs>
            </w:pPr>
          </w:p>
          <w:p w:rsidR="00283EE3" w:rsidRPr="00712894" w:rsidRDefault="00283EE3" w:rsidP="00283EE3">
            <w:pPr>
              <w:tabs>
                <w:tab w:val="left" w:pos="2160"/>
              </w:tabs>
            </w:pPr>
            <w:r w:rsidRPr="00712894">
              <w:t>_________________________________</w:t>
            </w:r>
          </w:p>
        </w:tc>
        <w:tc>
          <w:tcPr>
            <w:tcW w:w="360" w:type="dxa"/>
          </w:tcPr>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r w:rsidRPr="00712894">
              <w:rPr>
                <w:sz w:val="25"/>
                <w:szCs w:val="25"/>
              </w:rPr>
              <w:t>)</w:t>
            </w:r>
          </w:p>
          <w:p w:rsidR="00283EE3" w:rsidRPr="00712894" w:rsidRDefault="00283EE3" w:rsidP="00283EE3">
            <w:pPr>
              <w:rPr>
                <w:sz w:val="25"/>
                <w:szCs w:val="25"/>
              </w:rPr>
            </w:pPr>
          </w:p>
        </w:tc>
        <w:tc>
          <w:tcPr>
            <w:tcW w:w="4248" w:type="dxa"/>
          </w:tcPr>
          <w:p w:rsidR="006052AD" w:rsidRDefault="006052AD" w:rsidP="00283EE3"/>
          <w:p w:rsidR="006052AD" w:rsidRDefault="006052AD" w:rsidP="00283EE3"/>
          <w:p w:rsidR="006052AD" w:rsidRDefault="006052AD" w:rsidP="00283EE3"/>
          <w:p w:rsidR="006052AD" w:rsidRDefault="006052AD" w:rsidP="00283EE3"/>
          <w:p w:rsidR="00283EE3" w:rsidRPr="00712894" w:rsidRDefault="00283EE3" w:rsidP="00283EE3">
            <w:r w:rsidRPr="00712894">
              <w:t>DOCKET NO. UT-090842</w:t>
            </w:r>
          </w:p>
          <w:p w:rsidR="00283EE3" w:rsidRPr="00712894" w:rsidRDefault="00283EE3" w:rsidP="00283EE3"/>
          <w:p w:rsidR="00283EE3" w:rsidRPr="00712894" w:rsidRDefault="00283EE3" w:rsidP="00283EE3">
            <w:pPr>
              <w:pStyle w:val="Header"/>
              <w:tabs>
                <w:tab w:val="clear" w:pos="4320"/>
                <w:tab w:val="clear" w:pos="8640"/>
              </w:tabs>
            </w:pPr>
          </w:p>
          <w:p w:rsidR="00283EE3" w:rsidRPr="00712894" w:rsidRDefault="00283EE3" w:rsidP="00283EE3"/>
          <w:p w:rsidR="00283EE3" w:rsidRPr="00712894" w:rsidRDefault="00283EE3" w:rsidP="00283EE3"/>
          <w:p w:rsidR="00283EE3" w:rsidRPr="00712894" w:rsidRDefault="00283EE3" w:rsidP="00283EE3"/>
          <w:p w:rsidR="00283EE3" w:rsidRPr="00712894" w:rsidRDefault="00283EE3" w:rsidP="00283EE3"/>
          <w:p w:rsidR="00283EE3" w:rsidRPr="00712894" w:rsidRDefault="00283EE3" w:rsidP="00283EE3"/>
        </w:tc>
      </w:tr>
    </w:tbl>
    <w:p w:rsidR="00852329" w:rsidRDefault="00852329" w:rsidP="005D629E">
      <w:pPr>
        <w:tabs>
          <w:tab w:val="center" w:pos="4320"/>
        </w:tabs>
      </w:pPr>
    </w:p>
    <w:p w:rsidR="00283EE3" w:rsidRDefault="00283EE3" w:rsidP="005D629E">
      <w:pPr>
        <w:tabs>
          <w:tab w:val="center" w:pos="4320"/>
        </w:tabs>
      </w:pPr>
    </w:p>
    <w:p w:rsidR="00283EE3" w:rsidRDefault="00283EE3" w:rsidP="005D629E">
      <w:pPr>
        <w:tabs>
          <w:tab w:val="center" w:pos="4320"/>
        </w:tabs>
      </w:pPr>
    </w:p>
    <w:p w:rsidR="00283EE3" w:rsidRDefault="00283EE3" w:rsidP="005D629E">
      <w:pPr>
        <w:tabs>
          <w:tab w:val="center" w:pos="4320"/>
        </w:tabs>
      </w:pPr>
    </w:p>
    <w:p w:rsidR="002C1D0C" w:rsidRDefault="002C1D0C" w:rsidP="005D629E">
      <w:pPr>
        <w:tabs>
          <w:tab w:val="center" w:pos="4320"/>
        </w:tabs>
      </w:pPr>
    </w:p>
    <w:p w:rsidR="005D629E" w:rsidRDefault="00283EE3" w:rsidP="005D629E">
      <w:pPr>
        <w:tabs>
          <w:tab w:val="center" w:pos="4320"/>
        </w:tabs>
        <w:jc w:val="center"/>
        <w:rPr>
          <w:b/>
        </w:rPr>
      </w:pPr>
      <w:r>
        <w:rPr>
          <w:b/>
        </w:rPr>
        <w:t xml:space="preserve">RESPONSIVE </w:t>
      </w:r>
      <w:r w:rsidR="005D629E">
        <w:rPr>
          <w:b/>
        </w:rPr>
        <w:t xml:space="preserve">TESTIMONY OF </w:t>
      </w:r>
    </w:p>
    <w:p w:rsidR="005D629E" w:rsidRDefault="005D629E" w:rsidP="005D629E">
      <w:pPr>
        <w:tabs>
          <w:tab w:val="center" w:pos="4320"/>
        </w:tabs>
        <w:jc w:val="center"/>
        <w:rPr>
          <w:b/>
        </w:rPr>
      </w:pPr>
    </w:p>
    <w:p w:rsidR="005D629E" w:rsidRDefault="005D629E" w:rsidP="005D629E">
      <w:pPr>
        <w:tabs>
          <w:tab w:val="center" w:pos="4320"/>
        </w:tabs>
        <w:jc w:val="center"/>
        <w:rPr>
          <w:b/>
        </w:rPr>
      </w:pPr>
      <w:r>
        <w:rPr>
          <w:b/>
        </w:rPr>
        <w:t>CHARLES W. KING</w:t>
      </w:r>
    </w:p>
    <w:p w:rsidR="005D629E" w:rsidRPr="005D629E" w:rsidRDefault="005D629E" w:rsidP="005D629E">
      <w:pPr>
        <w:tabs>
          <w:tab w:val="center" w:pos="4320"/>
        </w:tabs>
        <w:jc w:val="center"/>
        <w:rPr>
          <w:b/>
        </w:rPr>
      </w:pPr>
    </w:p>
    <w:p w:rsidR="005D629E" w:rsidRDefault="005D629E" w:rsidP="005D629E">
      <w:pPr>
        <w:jc w:val="center"/>
        <w:rPr>
          <w:b/>
        </w:rPr>
      </w:pPr>
      <w:r>
        <w:rPr>
          <w:b/>
        </w:rPr>
        <w:t xml:space="preserve">  </w:t>
      </w:r>
    </w:p>
    <w:p w:rsidR="00283EE3" w:rsidRDefault="00283EE3" w:rsidP="00283EE3">
      <w:pPr>
        <w:jc w:val="center"/>
      </w:pPr>
      <w:r>
        <w:t xml:space="preserve">On Behalf of </w:t>
      </w:r>
    </w:p>
    <w:p w:rsidR="00283EE3" w:rsidRPr="005D629E" w:rsidRDefault="006052AD" w:rsidP="00283EE3">
      <w:pPr>
        <w:jc w:val="center"/>
        <w:rPr>
          <w:b/>
        </w:rPr>
      </w:pPr>
      <w:r>
        <w:rPr>
          <w:b/>
        </w:rPr>
        <w:t xml:space="preserve">THE </w:t>
      </w:r>
      <w:r w:rsidR="00283EE3">
        <w:rPr>
          <w:b/>
        </w:rPr>
        <w:t>U</w:t>
      </w:r>
      <w:r>
        <w:rPr>
          <w:b/>
        </w:rPr>
        <w:t xml:space="preserve">NITED </w:t>
      </w:r>
      <w:r w:rsidR="00416A35">
        <w:rPr>
          <w:b/>
        </w:rPr>
        <w:t xml:space="preserve">STATES </w:t>
      </w:r>
      <w:r w:rsidR="00416A35" w:rsidRPr="005D629E">
        <w:rPr>
          <w:b/>
        </w:rPr>
        <w:t>DEPARTMENT</w:t>
      </w:r>
      <w:r w:rsidR="00283EE3" w:rsidRPr="005D629E">
        <w:rPr>
          <w:b/>
        </w:rPr>
        <w:t xml:space="preserve"> OF DEFENSE </w:t>
      </w:r>
    </w:p>
    <w:p w:rsidR="00283EE3" w:rsidRDefault="00283EE3" w:rsidP="00283EE3">
      <w:pPr>
        <w:jc w:val="center"/>
      </w:pPr>
      <w:r w:rsidRPr="005D629E">
        <w:t>And</w:t>
      </w:r>
      <w:r>
        <w:t xml:space="preserve"> </w:t>
      </w:r>
    </w:p>
    <w:p w:rsidR="00283EE3" w:rsidRPr="005D629E" w:rsidRDefault="00283EE3" w:rsidP="00283EE3">
      <w:pPr>
        <w:jc w:val="center"/>
        <w:rPr>
          <w:b/>
        </w:rPr>
      </w:pPr>
      <w:r>
        <w:rPr>
          <w:b/>
        </w:rPr>
        <w:t xml:space="preserve">ALL OTHER </w:t>
      </w:r>
      <w:r w:rsidRPr="005D629E">
        <w:rPr>
          <w:b/>
        </w:rPr>
        <w:t>FEDERAL EXECUTIVE AGENCIES</w:t>
      </w:r>
    </w:p>
    <w:p w:rsidR="00283EE3" w:rsidRDefault="00283EE3" w:rsidP="00283EE3">
      <w:pPr>
        <w:jc w:val="center"/>
        <w:rPr>
          <w:b/>
        </w:rPr>
      </w:pPr>
    </w:p>
    <w:p w:rsidR="00283EE3" w:rsidRDefault="00283EE3" w:rsidP="00283EE3"/>
    <w:p w:rsidR="00283EE3" w:rsidRDefault="00283EE3" w:rsidP="00283EE3"/>
    <w:p w:rsidR="00283EE3" w:rsidRDefault="00283EE3" w:rsidP="00283EE3"/>
    <w:p w:rsidR="00283EE3" w:rsidRDefault="00283EE3" w:rsidP="00283EE3"/>
    <w:p w:rsidR="00283EE3" w:rsidRDefault="00283EE3" w:rsidP="00283EE3"/>
    <w:p w:rsidR="00283EE3" w:rsidRDefault="00283EE3" w:rsidP="00283EE3">
      <w:pPr>
        <w:jc w:val="center"/>
      </w:pPr>
      <w:r>
        <w:t>November 3, 2009</w:t>
      </w:r>
    </w:p>
    <w:p w:rsidR="00D468AA" w:rsidRDefault="00D468AA" w:rsidP="005D629E">
      <w:pPr>
        <w:rPr>
          <w:b/>
        </w:rPr>
      </w:pPr>
    </w:p>
    <w:p w:rsidR="002300D9" w:rsidRDefault="002300D9" w:rsidP="005D629E">
      <w:pPr>
        <w:rPr>
          <w:b/>
        </w:rPr>
      </w:pPr>
    </w:p>
    <w:p w:rsidR="002300D9" w:rsidRDefault="002300D9" w:rsidP="002300D9">
      <w:pPr>
        <w:jc w:val="center"/>
        <w:rPr>
          <w:b/>
        </w:rPr>
      </w:pPr>
      <w:r>
        <w:rPr>
          <w:b/>
        </w:rPr>
        <w:br w:type="page"/>
      </w:r>
      <w:r>
        <w:rPr>
          <w:b/>
        </w:rPr>
        <w:lastRenderedPageBreak/>
        <w:t>CONTENTS</w:t>
      </w:r>
    </w:p>
    <w:p w:rsidR="002300D9" w:rsidRDefault="002300D9" w:rsidP="002300D9">
      <w:pPr>
        <w:jc w:val="center"/>
        <w:rPr>
          <w:b/>
        </w:rPr>
      </w:pPr>
    </w:p>
    <w:p w:rsidR="002300D9" w:rsidRPr="002300D9" w:rsidRDefault="002300D9" w:rsidP="002300D9"/>
    <w:p w:rsidR="002300D9" w:rsidRDefault="002300D9" w:rsidP="002300D9">
      <w:pPr>
        <w:ind w:firstLine="720"/>
      </w:pPr>
      <w:r w:rsidRPr="002300D9">
        <w:t>Qualifications……………………………………………………………………</w:t>
      </w:r>
      <w:r w:rsidR="005A13EC">
        <w:t>.</w:t>
      </w:r>
      <w:r>
        <w:t>1</w:t>
      </w:r>
    </w:p>
    <w:p w:rsidR="002300D9" w:rsidRDefault="002300D9" w:rsidP="002300D9">
      <w:pPr>
        <w:ind w:firstLine="720"/>
      </w:pPr>
    </w:p>
    <w:p w:rsidR="002300D9" w:rsidRDefault="002300D9" w:rsidP="002300D9">
      <w:pPr>
        <w:spacing w:line="480" w:lineRule="auto"/>
        <w:ind w:firstLine="720"/>
      </w:pPr>
      <w:r>
        <w:t>Interests of DoD/FEA……………………………………………………………2</w:t>
      </w:r>
    </w:p>
    <w:p w:rsidR="002300D9" w:rsidRDefault="005A13EC" w:rsidP="002300D9">
      <w:pPr>
        <w:spacing w:line="480" w:lineRule="auto"/>
        <w:ind w:firstLine="720"/>
      </w:pPr>
      <w:r>
        <w:t>Previous Verizon Spinoffs……………………………………………………….</w:t>
      </w:r>
      <w:r w:rsidR="00BB23C2">
        <w:t>4</w:t>
      </w:r>
    </w:p>
    <w:p w:rsidR="005A13EC" w:rsidRDefault="005A13EC" w:rsidP="002300D9">
      <w:pPr>
        <w:spacing w:line="480" w:lineRule="auto"/>
        <w:ind w:firstLine="720"/>
      </w:pPr>
      <w:r>
        <w:t>Objective of this I</w:t>
      </w:r>
      <w:r w:rsidR="00BB23C2">
        <w:t>ntervention……………………………………………………11</w:t>
      </w:r>
    </w:p>
    <w:p w:rsidR="005A13EC" w:rsidRDefault="005A13EC" w:rsidP="002300D9">
      <w:pPr>
        <w:spacing w:line="480" w:lineRule="auto"/>
        <w:ind w:firstLine="720"/>
      </w:pPr>
      <w:r>
        <w:t xml:space="preserve">Financial Health of </w:t>
      </w:r>
      <w:r w:rsidR="00E30DB5">
        <w:t>W</w:t>
      </w:r>
      <w:r w:rsidR="002C1D0C">
        <w:t>ashington</w:t>
      </w:r>
      <w:r w:rsidR="00E30DB5">
        <w:t xml:space="preserve"> O</w:t>
      </w:r>
      <w:r>
        <w:t>perations…………………………………</w:t>
      </w:r>
      <w:r w:rsidR="00BB23C2">
        <w:t>….12</w:t>
      </w:r>
    </w:p>
    <w:p w:rsidR="005A13EC" w:rsidRDefault="005A13EC" w:rsidP="002300D9">
      <w:pPr>
        <w:spacing w:line="480" w:lineRule="auto"/>
        <w:ind w:firstLine="720"/>
      </w:pPr>
      <w:r>
        <w:t xml:space="preserve">Service Quality </w:t>
      </w:r>
      <w:r w:rsidR="00BB23C2">
        <w:t>Concerns……………………………………………………….21</w:t>
      </w:r>
    </w:p>
    <w:p w:rsidR="005A13EC" w:rsidRDefault="005A13EC" w:rsidP="002300D9">
      <w:pPr>
        <w:spacing w:line="480" w:lineRule="auto"/>
        <w:ind w:firstLine="720"/>
      </w:pPr>
      <w:r>
        <w:t>Sanctions for Poor Pe</w:t>
      </w:r>
      <w:r w:rsidR="00BB23C2">
        <w:t>rformance………………………………………………...25</w:t>
      </w:r>
    </w:p>
    <w:p w:rsidR="00E30DB5" w:rsidRDefault="00E30DB5" w:rsidP="002300D9">
      <w:pPr>
        <w:spacing w:line="480" w:lineRule="auto"/>
        <w:ind w:firstLine="720"/>
      </w:pPr>
      <w:r>
        <w:t>Further Protections………………………………………………………</w:t>
      </w:r>
      <w:r w:rsidR="00BB23C2">
        <w:t>………29</w:t>
      </w:r>
    </w:p>
    <w:p w:rsidR="005A13EC" w:rsidRDefault="005A13EC" w:rsidP="002300D9">
      <w:pPr>
        <w:spacing w:line="480" w:lineRule="auto"/>
        <w:ind w:firstLine="720"/>
      </w:pPr>
      <w:r>
        <w:t>Summary of Recomm</w:t>
      </w:r>
      <w:r w:rsidR="00BB23C2">
        <w:t>endations………………………………………………....32</w:t>
      </w:r>
    </w:p>
    <w:p w:rsidR="005A13EC" w:rsidRDefault="005A13EC" w:rsidP="002300D9">
      <w:pPr>
        <w:spacing w:line="480" w:lineRule="auto"/>
        <w:ind w:firstLine="720"/>
      </w:pPr>
    </w:p>
    <w:p w:rsidR="005A13EC" w:rsidRDefault="005A13EC" w:rsidP="002300D9">
      <w:pPr>
        <w:spacing w:line="480" w:lineRule="auto"/>
        <w:ind w:firstLine="720"/>
      </w:pPr>
      <w:r>
        <w:t>Attachment A………………………………………..Resume of Charles W. King</w:t>
      </w:r>
    </w:p>
    <w:p w:rsidR="005A13EC" w:rsidRDefault="005A13EC" w:rsidP="002300D9">
      <w:pPr>
        <w:spacing w:line="480" w:lineRule="auto"/>
        <w:ind w:firstLine="720"/>
      </w:pPr>
      <w:r>
        <w:t>Attachment B……Appearances of Charles W. King before Regulatory Agencies</w:t>
      </w:r>
    </w:p>
    <w:p w:rsidR="005A13EC" w:rsidRDefault="005A13EC" w:rsidP="002300D9">
      <w:pPr>
        <w:spacing w:line="480" w:lineRule="auto"/>
        <w:ind w:firstLine="720"/>
      </w:pPr>
      <w:r>
        <w:t>Attachment C…Statement of David Hauser, CEO of FairPoint Communications</w:t>
      </w:r>
    </w:p>
    <w:p w:rsidR="005A13EC" w:rsidRDefault="005A13EC" w:rsidP="00421508">
      <w:pPr>
        <w:ind w:left="1440" w:hanging="720"/>
      </w:pPr>
      <w:r>
        <w:t>Attachment D</w:t>
      </w:r>
      <w:r w:rsidR="00421508">
        <w:t>..................</w:t>
      </w:r>
      <w:r>
        <w:t>Joint Stipulation and Agreement, N.Y.P.S.C. Case Nos. 93-C0103 and 93-C-</w:t>
      </w:r>
      <w:r w:rsidR="00421508">
        <w:t>0</w:t>
      </w:r>
      <w:r>
        <w:t>033</w:t>
      </w:r>
    </w:p>
    <w:p w:rsidR="00421508" w:rsidRDefault="00421508" w:rsidP="00421508">
      <w:pPr>
        <w:ind w:left="1440" w:hanging="720"/>
      </w:pPr>
    </w:p>
    <w:p w:rsidR="00421508" w:rsidRDefault="00421508" w:rsidP="00421508">
      <w:pPr>
        <w:ind w:left="1440" w:hanging="720"/>
      </w:pPr>
      <w:r>
        <w:t>Attachment E………</w:t>
      </w:r>
      <w:r w:rsidR="004551BE">
        <w:t>Applicants’ r</w:t>
      </w:r>
      <w:r>
        <w:t xml:space="preserve">esponse to CWA Data Request No. 19, </w:t>
      </w:r>
      <w:smartTag w:uri="urn:schemas-microsoft-com:office:smarttags" w:element="place">
        <w:smartTag w:uri="urn:schemas-microsoft-com:office:smarttags" w:element="State">
          <w:r>
            <w:t>West Virginia</w:t>
          </w:r>
        </w:smartTag>
      </w:smartTag>
      <w:r>
        <w:t xml:space="preserve"> P.S.C.</w:t>
      </w:r>
      <w:r w:rsidR="004551BE">
        <w:t xml:space="preserve"> Case No.</w:t>
      </w:r>
      <w:r>
        <w:t xml:space="preserve"> 09-0871-T-PC </w:t>
      </w:r>
    </w:p>
    <w:p w:rsidR="00016466" w:rsidRDefault="00016466" w:rsidP="00421508">
      <w:pPr>
        <w:ind w:left="1440" w:hanging="720"/>
      </w:pPr>
    </w:p>
    <w:p w:rsidR="00E30DB5" w:rsidRPr="002215C0" w:rsidRDefault="00016466" w:rsidP="00E30DB5">
      <w:pPr>
        <w:autoSpaceDE w:val="0"/>
        <w:autoSpaceDN w:val="0"/>
        <w:adjustRightInd w:val="0"/>
        <w:ind w:left="1440" w:hanging="720"/>
        <w:rPr>
          <w:u w:val="single"/>
        </w:rPr>
      </w:pPr>
      <w:r>
        <w:t>Attachment F</w:t>
      </w:r>
      <w:r w:rsidR="00E30DB5">
        <w:t>………..</w:t>
      </w:r>
      <w:r w:rsidR="00E30DB5" w:rsidRPr="00E30DB5">
        <w:t xml:space="preserve"> Docket No. UT-991358, Ninth Supplemental Order Approving and Adopting Settlement Agreements and Gran</w:t>
      </w:r>
      <w:r w:rsidR="00E30DB5">
        <w:t>ting Application, June 29, 2000, ¶30.</w:t>
      </w:r>
    </w:p>
    <w:p w:rsidR="00016466" w:rsidRDefault="00016466" w:rsidP="00421508">
      <w:pPr>
        <w:ind w:left="1440" w:hanging="720"/>
      </w:pPr>
    </w:p>
    <w:p w:rsidR="00421508" w:rsidRDefault="00421508" w:rsidP="00421508">
      <w:pPr>
        <w:ind w:left="1440" w:hanging="720"/>
      </w:pPr>
    </w:p>
    <w:p w:rsidR="00421508" w:rsidRDefault="00421508" w:rsidP="00421508">
      <w:pPr>
        <w:ind w:left="1440" w:hanging="720"/>
      </w:pPr>
    </w:p>
    <w:p w:rsidR="005A13EC" w:rsidRDefault="005A13EC" w:rsidP="002300D9">
      <w:pPr>
        <w:spacing w:line="480" w:lineRule="auto"/>
        <w:ind w:firstLine="720"/>
      </w:pPr>
    </w:p>
    <w:p w:rsidR="005A13EC" w:rsidRDefault="005A13EC" w:rsidP="002300D9">
      <w:pPr>
        <w:spacing w:line="480" w:lineRule="auto"/>
        <w:ind w:firstLine="720"/>
      </w:pPr>
    </w:p>
    <w:p w:rsidR="002300D9" w:rsidRPr="002300D9" w:rsidRDefault="002300D9" w:rsidP="002300D9">
      <w:pPr>
        <w:sectPr w:rsidR="002300D9" w:rsidRPr="002300D9" w:rsidSect="008A39BE">
          <w:headerReference w:type="default" r:id="rId7"/>
          <w:footerReference w:type="even" r:id="rId8"/>
          <w:footerReference w:type="default" r:id="rId9"/>
          <w:pgSz w:w="12240" w:h="15840"/>
          <w:pgMar w:top="1440" w:right="1800" w:bottom="1440" w:left="1800" w:header="720" w:footer="720" w:gutter="0"/>
          <w:pgNumType w:fmt="lowerRoman" w:start="1"/>
          <w:cols w:space="720"/>
          <w:titlePg/>
          <w:docGrid w:linePitch="360"/>
        </w:sectPr>
      </w:pPr>
    </w:p>
    <w:p w:rsidR="00D468AA" w:rsidRDefault="008A39BE" w:rsidP="009D1CCC">
      <w:pPr>
        <w:pStyle w:val="Heading2"/>
        <w:spacing w:after="180"/>
      </w:pPr>
      <w:r>
        <w:lastRenderedPageBreak/>
        <w:t>RESPONSIVE</w:t>
      </w:r>
      <w:r w:rsidR="00D468AA">
        <w:t xml:space="preserve"> TESTIMONY OF</w:t>
      </w:r>
    </w:p>
    <w:p w:rsidR="00D468AA" w:rsidRDefault="00D468AA" w:rsidP="009D1CCC">
      <w:pPr>
        <w:tabs>
          <w:tab w:val="center" w:pos="4680"/>
        </w:tabs>
        <w:spacing w:after="180"/>
        <w:jc w:val="center"/>
        <w:rPr>
          <w:b/>
        </w:rPr>
      </w:pPr>
      <w:r>
        <w:rPr>
          <w:b/>
        </w:rPr>
        <w:t>CHARLES W. KING</w:t>
      </w:r>
    </w:p>
    <w:p w:rsidR="00D468AA" w:rsidRDefault="00D468AA" w:rsidP="0005108C">
      <w:pPr>
        <w:spacing w:after="180" w:line="480" w:lineRule="auto"/>
      </w:pPr>
      <w:r>
        <w:rPr>
          <w:b/>
          <w:u w:val="single"/>
        </w:rPr>
        <w:t>QUALIFICATIONS</w:t>
      </w:r>
    </w:p>
    <w:p w:rsidR="00D468AA" w:rsidRDefault="00D468AA" w:rsidP="0005108C">
      <w:pPr>
        <w:spacing w:after="180" w:line="480" w:lineRule="auto"/>
      </w:pPr>
      <w:r>
        <w:rPr>
          <w:b/>
        </w:rPr>
        <w:t>Q.</w:t>
      </w:r>
      <w:r>
        <w:rPr>
          <w:b/>
        </w:rPr>
        <w:tab/>
        <w:t>PLEASE STATE YOUR NAME, POSITION AND BUSINESS ADDRESS.</w:t>
      </w:r>
    </w:p>
    <w:p w:rsidR="00D468AA" w:rsidRDefault="00D468AA" w:rsidP="0005108C">
      <w:pPr>
        <w:tabs>
          <w:tab w:val="left" w:pos="-1440"/>
        </w:tabs>
        <w:spacing w:after="180" w:line="480" w:lineRule="auto"/>
        <w:ind w:left="720" w:hanging="720"/>
        <w:jc w:val="both"/>
      </w:pPr>
      <w:r>
        <w:t>A.</w:t>
      </w:r>
      <w:r>
        <w:tab/>
        <w:t xml:space="preserve">My name is Charles W. King.  I am President of the economic consulting firm of Snavely King Majoros O'Connor &amp; </w:t>
      </w:r>
      <w:r w:rsidR="009D1CCC">
        <w:t>Bedell</w:t>
      </w:r>
      <w:r>
        <w:t xml:space="preserve">, Inc. ("Snavely King").  My business address is </w:t>
      </w:r>
      <w:smartTag w:uri="urn:schemas-microsoft-com:office:smarttags" w:element="address">
        <w:smartTag w:uri="urn:schemas-microsoft-com:office:smarttags" w:element="Street">
          <w:r>
            <w:t>1111 14</w:t>
          </w:r>
          <w:r w:rsidRPr="008F04A6">
            <w:rPr>
              <w:vertAlign w:val="superscript"/>
            </w:rPr>
            <w:t>th</w:t>
          </w:r>
          <w:r>
            <w:t xml:space="preserve"> Street, N.W., Suite 300</w:t>
          </w:r>
        </w:smartTag>
        <w:r>
          <w:t xml:space="preserve">, </w:t>
        </w:r>
        <w:smartTag w:uri="urn:schemas-microsoft-com:office:smarttags" w:element="City">
          <w:r>
            <w:t>Washington</w:t>
          </w:r>
        </w:smartTag>
        <w:r>
          <w:t xml:space="preserve">, </w:t>
        </w:r>
        <w:smartTag w:uri="urn:schemas-microsoft-com:office:smarttags" w:element="State">
          <w:r>
            <w:t>D.C.</w:t>
          </w:r>
        </w:smartTag>
      </w:smartTag>
      <w:r>
        <w:t xml:space="preserve">  20005.</w:t>
      </w:r>
    </w:p>
    <w:p w:rsidR="00D468AA" w:rsidRDefault="00D468AA" w:rsidP="0005108C">
      <w:pPr>
        <w:spacing w:after="180" w:line="480" w:lineRule="auto"/>
      </w:pPr>
      <w:r>
        <w:rPr>
          <w:b/>
        </w:rPr>
        <w:t>Q.</w:t>
      </w:r>
      <w:r>
        <w:rPr>
          <w:b/>
        </w:rPr>
        <w:tab/>
        <w:t>PLEASE DESCRIBE SNAVELY KING.</w:t>
      </w:r>
    </w:p>
    <w:p w:rsidR="00D468AA" w:rsidRDefault="00D468AA" w:rsidP="0005108C">
      <w:pPr>
        <w:spacing w:after="180" w:line="480" w:lineRule="auto"/>
        <w:ind w:left="720" w:hanging="720"/>
        <w:jc w:val="both"/>
      </w:pPr>
      <w:r>
        <w:t>A.</w:t>
      </w:r>
      <w:r>
        <w:tab/>
        <w:t xml:space="preserve">Snavely King, formerly Snavely, King &amp; Associates, Inc., was founded by the late Carl M. Snavely and myself in 1970 to conduct research on a consulting basis into the rates, revenues, costs and economic performance of regulated firms and industries.  The firm has a professional staff of 12 economists, accountants, engineers and cost analysts.  Most of its work involves the development, preparation and presentation of expert witness testimony before federal and state regulatory agencies.  Over the course of its 39-year history, members of the firm have participated in over 1000 proceedings before almost all of the state commissions and all Federal commissions that regulate </w:t>
      </w:r>
      <w:r w:rsidR="003979E7">
        <w:t xml:space="preserve">telecommunications, </w:t>
      </w:r>
      <w:r>
        <w:t>utilities or transportation industries.</w:t>
      </w:r>
    </w:p>
    <w:p w:rsidR="00D468AA" w:rsidRDefault="00D468AA" w:rsidP="0005108C">
      <w:pPr>
        <w:spacing w:after="180" w:line="480" w:lineRule="auto"/>
        <w:ind w:left="720" w:hanging="720"/>
        <w:jc w:val="both"/>
      </w:pPr>
      <w:r>
        <w:rPr>
          <w:b/>
        </w:rPr>
        <w:t>Q.</w:t>
      </w:r>
      <w:r>
        <w:rPr>
          <w:b/>
        </w:rPr>
        <w:tab/>
        <w:t>HAVE YOU PREPARED A SUMMARY OF YOUR QUALIFICATIONS AND EXPERIENCE?</w:t>
      </w:r>
    </w:p>
    <w:p w:rsidR="00D468AA" w:rsidRDefault="00D468AA" w:rsidP="0005108C">
      <w:pPr>
        <w:tabs>
          <w:tab w:val="left" w:pos="-1440"/>
        </w:tabs>
        <w:spacing w:after="180" w:line="480" w:lineRule="auto"/>
        <w:ind w:left="720" w:hanging="720"/>
        <w:jc w:val="both"/>
      </w:pPr>
      <w:r>
        <w:t>A.</w:t>
      </w:r>
      <w:r>
        <w:tab/>
        <w:t>Yes.   Attachment A is a summary of my qualifications and experience.</w:t>
      </w:r>
    </w:p>
    <w:p w:rsidR="00D468AA" w:rsidRDefault="00D468AA" w:rsidP="0005108C">
      <w:pPr>
        <w:spacing w:after="180" w:line="480" w:lineRule="auto"/>
        <w:ind w:left="720" w:hanging="720"/>
        <w:jc w:val="both"/>
      </w:pPr>
      <w:r>
        <w:rPr>
          <w:b/>
        </w:rPr>
        <w:lastRenderedPageBreak/>
        <w:t>Q.</w:t>
      </w:r>
      <w:r>
        <w:rPr>
          <w:b/>
        </w:rPr>
        <w:tab/>
        <w:t>HAVE YOU PREVIOUSLY SUBMITTED TESTIMONY IN REGULATORY PROCEEDINGS?</w:t>
      </w:r>
    </w:p>
    <w:p w:rsidR="00D468AA" w:rsidRDefault="00D468AA" w:rsidP="0005108C">
      <w:pPr>
        <w:spacing w:after="180" w:line="480" w:lineRule="auto"/>
        <w:ind w:left="720" w:hanging="720"/>
        <w:jc w:val="both"/>
      </w:pPr>
      <w:r>
        <w:t>A.</w:t>
      </w:r>
      <w:r>
        <w:tab/>
        <w:t>Yes.  Attachment B is a tabulation of my appearances as an expert witness before state and federal regulatory agencies.</w:t>
      </w:r>
      <w:r w:rsidR="00490B0F">
        <w:t xml:space="preserve">  It shows that I have testified before the public utility commissions of over 40 states</w:t>
      </w:r>
      <w:r w:rsidR="00607706">
        <w:t xml:space="preserve">, including </w:t>
      </w:r>
      <w:smartTag w:uri="urn:schemas-microsoft-com:office:smarttags" w:element="State">
        <w:smartTag w:uri="urn:schemas-microsoft-com:office:smarttags" w:element="place">
          <w:r w:rsidR="002C1D0C">
            <w:t>Washington</w:t>
          </w:r>
        </w:smartTag>
      </w:smartTag>
      <w:r w:rsidR="00607706">
        <w:t>,</w:t>
      </w:r>
      <w:r w:rsidR="00490B0F">
        <w:t xml:space="preserve"> and I have appeared before all federal agencies that regulate </w:t>
      </w:r>
      <w:r w:rsidR="003979E7">
        <w:t xml:space="preserve">telecommunications, </w:t>
      </w:r>
      <w:r w:rsidR="00490B0F">
        <w:t>utilities, transportation and postal services.</w:t>
      </w:r>
    </w:p>
    <w:p w:rsidR="00D468AA" w:rsidRPr="00A171D1" w:rsidRDefault="00D468AA" w:rsidP="0005108C">
      <w:pPr>
        <w:spacing w:after="180" w:line="480" w:lineRule="auto"/>
        <w:ind w:left="720" w:hanging="720"/>
        <w:jc w:val="both"/>
      </w:pPr>
      <w:r>
        <w:rPr>
          <w:b/>
        </w:rPr>
        <w:t>Q.</w:t>
      </w:r>
      <w:r>
        <w:rPr>
          <w:b/>
        </w:rPr>
        <w:tab/>
        <w:t>FOR WHOM ARE YOU APPEARING IN THIS PROCEEDING?</w:t>
      </w:r>
    </w:p>
    <w:p w:rsidR="00D468AA" w:rsidRDefault="00D468AA" w:rsidP="0005108C">
      <w:pPr>
        <w:spacing w:line="480" w:lineRule="auto"/>
        <w:ind w:left="720"/>
      </w:pPr>
      <w:r w:rsidRPr="0042259D">
        <w:t>I am appearing on behalf of</w:t>
      </w:r>
      <w:r>
        <w:t xml:space="preserve"> the </w:t>
      </w:r>
      <w:r w:rsidR="00E54EB5">
        <w:t>consumer</w:t>
      </w:r>
      <w:r w:rsidR="00490B0F">
        <w:t xml:space="preserve"> interests of the </w:t>
      </w:r>
      <w:r>
        <w:t xml:space="preserve">Department of Defense (“DoD”) </w:t>
      </w:r>
      <w:r w:rsidR="003979E7">
        <w:t>and</w:t>
      </w:r>
      <w:r>
        <w:t xml:space="preserve"> all</w:t>
      </w:r>
      <w:r w:rsidR="00770369">
        <w:t xml:space="preserve"> other</w:t>
      </w:r>
      <w:r>
        <w:t xml:space="preserve"> Federal Executive Agencies (“FEA”) in </w:t>
      </w:r>
      <w:smartTag w:uri="urn:schemas-microsoft-com:office:smarttags" w:element="State">
        <w:smartTag w:uri="urn:schemas-microsoft-com:office:smarttags" w:element="place">
          <w:r w:rsidR="002C1D0C">
            <w:t>Washington</w:t>
          </w:r>
        </w:smartTag>
      </w:smartTag>
      <w:r>
        <w:t>.</w:t>
      </w:r>
    </w:p>
    <w:p w:rsidR="00D468AA" w:rsidRDefault="00D468AA" w:rsidP="0005108C">
      <w:pPr>
        <w:spacing w:line="480" w:lineRule="auto"/>
      </w:pPr>
    </w:p>
    <w:p w:rsidR="00D468AA" w:rsidRDefault="00D468AA" w:rsidP="0005108C">
      <w:pPr>
        <w:spacing w:line="480" w:lineRule="auto"/>
        <w:rPr>
          <w:b/>
          <w:u w:val="single"/>
        </w:rPr>
      </w:pPr>
      <w:r w:rsidRPr="00D468AA">
        <w:rPr>
          <w:b/>
          <w:u w:val="single"/>
        </w:rPr>
        <w:t>INTEREST</w:t>
      </w:r>
      <w:r>
        <w:rPr>
          <w:b/>
          <w:u w:val="single"/>
        </w:rPr>
        <w:t>S</w:t>
      </w:r>
      <w:r w:rsidRPr="00D468AA">
        <w:rPr>
          <w:b/>
          <w:u w:val="single"/>
        </w:rPr>
        <w:t xml:space="preserve"> OF DoD/FEA</w:t>
      </w:r>
    </w:p>
    <w:p w:rsidR="00606525" w:rsidRDefault="00606525" w:rsidP="0005108C">
      <w:pPr>
        <w:spacing w:line="480" w:lineRule="auto"/>
        <w:rPr>
          <w:b/>
          <w:u w:val="single"/>
        </w:rPr>
      </w:pPr>
    </w:p>
    <w:p w:rsidR="00606525" w:rsidRDefault="00606525" w:rsidP="0005108C">
      <w:pPr>
        <w:spacing w:line="480" w:lineRule="auto"/>
        <w:rPr>
          <w:b/>
        </w:rPr>
      </w:pPr>
      <w:r>
        <w:rPr>
          <w:b/>
        </w:rPr>
        <w:t>Q.</w:t>
      </w:r>
      <w:r>
        <w:rPr>
          <w:b/>
        </w:rPr>
        <w:tab/>
        <w:t>WHY HAS DoD/FEA INTERVENED IN THIS CASE?</w:t>
      </w:r>
    </w:p>
    <w:p w:rsidR="00852329" w:rsidRDefault="00852329" w:rsidP="0005108C">
      <w:pPr>
        <w:spacing w:line="480" w:lineRule="auto"/>
        <w:rPr>
          <w:b/>
        </w:rPr>
      </w:pPr>
    </w:p>
    <w:p w:rsidR="00070FDC" w:rsidRPr="00F31705" w:rsidRDefault="00852329" w:rsidP="0005108C">
      <w:pPr>
        <w:spacing w:line="480" w:lineRule="auto"/>
        <w:ind w:left="720" w:hanging="720"/>
        <w:jc w:val="both"/>
      </w:pPr>
      <w:r>
        <w:t>A.</w:t>
      </w:r>
      <w:r>
        <w:tab/>
        <w:t>The Department of Defense and</w:t>
      </w:r>
      <w:r w:rsidR="00835948">
        <w:t xml:space="preserve"> all</w:t>
      </w:r>
      <w:r>
        <w:t xml:space="preserve"> </w:t>
      </w:r>
      <w:r w:rsidR="00835948">
        <w:t>o</w:t>
      </w:r>
      <w:r>
        <w:t xml:space="preserve">ther Federal Executive Agencies have a substantial presence in the State of </w:t>
      </w:r>
      <w:smartTag w:uri="urn:schemas-microsoft-com:office:smarttags" w:element="State">
        <w:smartTag w:uri="urn:schemas-microsoft-com:office:smarttags" w:element="place">
          <w:r w:rsidR="002C1D0C">
            <w:t>Washington</w:t>
          </w:r>
        </w:smartTag>
      </w:smartTag>
      <w:r>
        <w:t>.</w:t>
      </w:r>
      <w:r w:rsidR="003118B4">
        <w:t xml:space="preserve">  </w:t>
      </w:r>
      <w:r w:rsidR="00070FDC" w:rsidRPr="00F31705">
        <w:t xml:space="preserve">Total federal employment in all </w:t>
      </w:r>
      <w:smartTag w:uri="urn:schemas-microsoft-com:office:smarttags" w:element="place">
        <w:smartTag w:uri="urn:schemas-microsoft-com:office:smarttags" w:element="PlaceName">
          <w:r w:rsidR="00070FDC" w:rsidRPr="00F31705">
            <w:t>Washington</w:t>
          </w:r>
        </w:smartTag>
        <w:r w:rsidR="00070FDC" w:rsidRPr="00F31705">
          <w:t xml:space="preserve"> </w:t>
        </w:r>
        <w:smartTag w:uri="urn:schemas-microsoft-com:office:smarttags" w:element="PlaceType">
          <w:r w:rsidR="00070FDC" w:rsidRPr="00F31705">
            <w:t>State</w:t>
          </w:r>
        </w:smartTag>
      </w:smartTag>
      <w:r w:rsidR="00016466">
        <w:t>, both civilian and</w:t>
      </w:r>
      <w:r w:rsidR="00935434">
        <w:t xml:space="preserve"> active</w:t>
      </w:r>
      <w:r w:rsidR="00016466">
        <w:t xml:space="preserve"> military, is about 100,000</w:t>
      </w:r>
      <w:r w:rsidR="00A11EC1" w:rsidRPr="00F31705">
        <w:t xml:space="preserve"> personnel</w:t>
      </w:r>
      <w:r w:rsidR="00070FDC" w:rsidRPr="00F31705">
        <w:t>. </w:t>
      </w:r>
      <w:r w:rsidR="00A11EC1" w:rsidRPr="00F31705">
        <w:t xml:space="preserve">  Major military facilities include </w:t>
      </w:r>
      <w:smartTag w:uri="urn:schemas-microsoft-com:office:smarttags" w:element="place">
        <w:smartTag w:uri="urn:schemas-microsoft-com:office:smarttags" w:element="PlaceType">
          <w:r w:rsidR="00A11EC1" w:rsidRPr="00F31705">
            <w:t>Fort</w:t>
          </w:r>
        </w:smartTag>
        <w:r w:rsidR="00A11EC1" w:rsidRPr="00F31705">
          <w:t xml:space="preserve"> </w:t>
        </w:r>
        <w:smartTag w:uri="urn:schemas-microsoft-com:office:smarttags" w:element="PlaceName">
          <w:r w:rsidR="00A11EC1" w:rsidRPr="00F31705">
            <w:t>Lewis</w:t>
          </w:r>
        </w:smartTag>
      </w:smartTag>
      <w:r w:rsidR="00A11EC1" w:rsidRPr="00F31705">
        <w:t>, McChord Air Force Base, the Puget Sound Naval Shipyard, and the Whidbey Island Naval Air Station.</w:t>
      </w:r>
      <w:r w:rsidR="00070FDC" w:rsidRPr="00F31705">
        <w:t xml:space="preserve">  </w:t>
      </w:r>
    </w:p>
    <w:p w:rsidR="00852329" w:rsidRPr="00F31705" w:rsidRDefault="00852329" w:rsidP="0005108C">
      <w:pPr>
        <w:spacing w:line="480" w:lineRule="auto"/>
        <w:jc w:val="both"/>
      </w:pPr>
    </w:p>
    <w:p w:rsidR="00A11EC1" w:rsidRPr="00F31705" w:rsidRDefault="00D75605" w:rsidP="0005108C">
      <w:pPr>
        <w:spacing w:line="480" w:lineRule="auto"/>
        <w:ind w:left="720"/>
        <w:jc w:val="both"/>
      </w:pPr>
      <w:r w:rsidRPr="00F31705">
        <w:lastRenderedPageBreak/>
        <w:t xml:space="preserve">This case involves the transfer of </w:t>
      </w:r>
      <w:r w:rsidR="00016466">
        <w:t xml:space="preserve">the </w:t>
      </w:r>
      <w:smartTag w:uri="urn:schemas-microsoft-com:office:smarttags" w:element="State">
        <w:smartTag w:uri="urn:schemas-microsoft-com:office:smarttags" w:element="place">
          <w:r w:rsidR="00016466">
            <w:t>Washington</w:t>
          </w:r>
        </w:smartTag>
      </w:smartTag>
      <w:r w:rsidR="00016466">
        <w:t xml:space="preserve"> exchanges </w:t>
      </w:r>
      <w:r w:rsidR="00016466" w:rsidRPr="00F31705">
        <w:t>and associated long distance services</w:t>
      </w:r>
      <w:r w:rsidR="00016466">
        <w:t xml:space="preserve"> of </w:t>
      </w:r>
      <w:r w:rsidRPr="00F31705">
        <w:t>Verizon</w:t>
      </w:r>
      <w:r w:rsidR="00016466">
        <w:t xml:space="preserve"> Communications Inc.’s subsidiary, Verizon Northwest (“Verizon”)</w:t>
      </w:r>
      <w:r w:rsidRPr="00F31705">
        <w:t xml:space="preserve"> to Frontier Communications</w:t>
      </w:r>
      <w:r w:rsidR="00016466">
        <w:t xml:space="preserve"> Corporation (“Frontier”)</w:t>
      </w:r>
      <w:r w:rsidRPr="00F31705">
        <w:t xml:space="preserve">.  </w:t>
      </w:r>
      <w:r w:rsidR="00852329" w:rsidRPr="00F31705">
        <w:t>Verizon serve</w:t>
      </w:r>
      <w:r w:rsidR="00A46C5F" w:rsidRPr="00F31705">
        <w:t>s approximately 578,000 access line</w:t>
      </w:r>
      <w:r w:rsidR="00F31705">
        <w:t xml:space="preserve">s in a large area </w:t>
      </w:r>
      <w:r w:rsidR="00016466">
        <w:t xml:space="preserve">around Puget Sound and </w:t>
      </w:r>
      <w:r w:rsidR="00F31705">
        <w:t>north and east</w:t>
      </w:r>
      <w:r w:rsidR="00A46C5F" w:rsidRPr="00F31705">
        <w:t xml:space="preserve"> of </w:t>
      </w:r>
      <w:smartTag w:uri="urn:schemas-microsoft-com:office:smarttags" w:element="City">
        <w:smartTag w:uri="urn:schemas-microsoft-com:office:smarttags" w:element="place">
          <w:r w:rsidR="00A46C5F" w:rsidRPr="00F31705">
            <w:t>Seattle</w:t>
          </w:r>
        </w:smartTag>
      </w:smartTag>
      <w:r w:rsidR="00A46C5F" w:rsidRPr="00F31705">
        <w:t xml:space="preserve">, along with some smaller territories elsewhere in the state. </w:t>
      </w:r>
      <w:r w:rsidRPr="00F31705">
        <w:t xml:space="preserve">The exchanges in these </w:t>
      </w:r>
      <w:r w:rsidR="00A46C5F" w:rsidRPr="00F31705">
        <w:t>areas</w:t>
      </w:r>
      <w:r w:rsidRPr="00F31705">
        <w:t xml:space="preserve"> </w:t>
      </w:r>
      <w:r w:rsidR="00852329" w:rsidRPr="00F31705">
        <w:t>will transfer to Frontier under the proposed plan. </w:t>
      </w:r>
    </w:p>
    <w:p w:rsidR="00A11EC1" w:rsidRPr="00F31705" w:rsidRDefault="00A11EC1" w:rsidP="0005108C">
      <w:pPr>
        <w:spacing w:line="480" w:lineRule="auto"/>
        <w:ind w:left="720"/>
        <w:jc w:val="both"/>
      </w:pPr>
    </w:p>
    <w:p w:rsidR="00606525" w:rsidRPr="00F31705" w:rsidRDefault="00A11EC1" w:rsidP="0005108C">
      <w:pPr>
        <w:spacing w:line="480" w:lineRule="auto"/>
        <w:ind w:left="720"/>
        <w:jc w:val="both"/>
      </w:pPr>
      <w:r w:rsidRPr="00F31705">
        <w:t xml:space="preserve">The Verizon exchanges to be transferred to Frontier include those on the Canadian border where the Federal government has customs and immigrations offices.  Also, DoD has several major military installations and facilities in the </w:t>
      </w:r>
      <w:r w:rsidR="00F31705" w:rsidRPr="00F31705">
        <w:t xml:space="preserve">service </w:t>
      </w:r>
      <w:r w:rsidRPr="00F31705">
        <w:t>area</w:t>
      </w:r>
      <w:r w:rsidR="00F31705" w:rsidRPr="00F31705">
        <w:t xml:space="preserve">s that </w:t>
      </w:r>
      <w:r w:rsidRPr="00F31705">
        <w:t>will be transferred.  These include the Whidbey Island Naval Air Station, a</w:t>
      </w:r>
      <w:r w:rsidR="00F31705">
        <w:t>n</w:t>
      </w:r>
      <w:r w:rsidRPr="00F31705">
        <w:t xml:space="preserve"> active military installation that includes a hospital, Navy electronic warfare and patrol squadrons, support facilities for various Navy activities</w:t>
      </w:r>
      <w:r w:rsidR="00F31705">
        <w:t>,</w:t>
      </w:r>
      <w:r w:rsidRPr="00F31705">
        <w:t xml:space="preserve"> and a center for Navy and Marine Corps reserve training.</w:t>
      </w:r>
      <w:r w:rsidR="00F31705" w:rsidRPr="00F31705">
        <w:t xml:space="preserve">  The “official” telecommunications services at </w:t>
      </w:r>
      <w:smartTag w:uri="urn:schemas-microsoft-com:office:smarttags" w:element="place">
        <w:r w:rsidR="00F31705" w:rsidRPr="00F31705">
          <w:t>Whidbey Island</w:t>
        </w:r>
      </w:smartTag>
      <w:r w:rsidR="00F31705" w:rsidRPr="00F31705">
        <w:t xml:space="preserve"> are procured under a federal contract that will not be subject to the Verizon</w:t>
      </w:r>
      <w:r w:rsidR="00F31705">
        <w:t>-</w:t>
      </w:r>
      <w:r w:rsidR="00F31705" w:rsidRPr="00F31705">
        <w:t>to</w:t>
      </w:r>
      <w:r w:rsidR="00F31705">
        <w:t>-</w:t>
      </w:r>
      <w:r w:rsidR="00F31705" w:rsidRPr="00F31705">
        <w:t>F</w:t>
      </w:r>
      <w:r w:rsidR="00F31705">
        <w:t>rontier transfer.  However,</w:t>
      </w:r>
      <w:r w:rsidR="00F31705" w:rsidRPr="00F31705">
        <w:t xml:space="preserve"> there are numerous “unofficial” lines to base housing and concessionaires that will be transfer</w:t>
      </w:r>
      <w:r w:rsidR="00F31705">
        <w:t>red</w:t>
      </w:r>
      <w:r w:rsidR="00F31705" w:rsidRPr="00F31705">
        <w:t xml:space="preserve">.  </w:t>
      </w:r>
      <w:r w:rsidR="00232C5C" w:rsidRPr="00F31705">
        <w:t xml:space="preserve">It is </w:t>
      </w:r>
      <w:r w:rsidR="00F31705" w:rsidRPr="00F31705">
        <w:t xml:space="preserve">therefore </w:t>
      </w:r>
      <w:r w:rsidR="00232C5C" w:rsidRPr="00F31705">
        <w:t>vital to Federal end users</w:t>
      </w:r>
      <w:r w:rsidR="00B873F6" w:rsidRPr="00F31705">
        <w:t xml:space="preserve"> that the transition</w:t>
      </w:r>
      <w:r w:rsidR="003118B4" w:rsidRPr="00F31705">
        <w:t xml:space="preserve"> from Verizon to Frontier</w:t>
      </w:r>
      <w:r w:rsidR="00B873F6" w:rsidRPr="00F31705">
        <w:t xml:space="preserve"> be made seamlessly and without degradation of service quality or efficiency.</w:t>
      </w:r>
    </w:p>
    <w:p w:rsidR="00B873F6" w:rsidRDefault="00B873F6" w:rsidP="0005108C">
      <w:pPr>
        <w:spacing w:line="480" w:lineRule="auto"/>
        <w:ind w:left="720"/>
        <w:jc w:val="both"/>
      </w:pPr>
    </w:p>
    <w:p w:rsidR="00B873F6" w:rsidRDefault="00D66088" w:rsidP="0005108C">
      <w:pPr>
        <w:spacing w:line="480" w:lineRule="auto"/>
        <w:ind w:left="720"/>
        <w:jc w:val="both"/>
      </w:pPr>
      <w:r>
        <w:lastRenderedPageBreak/>
        <w:t>Moreover, t</w:t>
      </w:r>
      <w:r w:rsidR="00B873F6">
        <w:t>he DoD/FEA interest goes beyond the locations directly affected by the transition.  Most DoD and FEA telecommunications services are procured under contract t</w:t>
      </w:r>
      <w:r w:rsidR="00A900D0">
        <w:t>h</w:t>
      </w:r>
      <w:r w:rsidR="00B873F6">
        <w:t>rough competitive bidding procurement.  The effectiveness of the competitive procurement process is, of course,</w:t>
      </w:r>
      <w:r w:rsidR="001B46DB">
        <w:t xml:space="preserve"> dependent</w:t>
      </w:r>
      <w:r w:rsidR="00B873F6">
        <w:t xml:space="preserve"> </w:t>
      </w:r>
      <w:r w:rsidR="001B46DB">
        <w:t>up</w:t>
      </w:r>
      <w:r w:rsidR="00B873F6">
        <w:t>on</w:t>
      </w:r>
      <w:r w:rsidR="001B46DB">
        <w:t xml:space="preserve"> </w:t>
      </w:r>
      <w:r w:rsidR="00B873F6">
        <w:t xml:space="preserve">there being a number of financially strong and technically capable entities that can </w:t>
      </w:r>
      <w:r w:rsidR="001B46DB">
        <w:t xml:space="preserve">submit </w:t>
      </w:r>
      <w:r w:rsidR="00B873F6">
        <w:t>bid</w:t>
      </w:r>
      <w:r w:rsidR="001B46DB">
        <w:t>s.</w:t>
      </w:r>
      <w:r w:rsidR="00B873F6">
        <w:t xml:space="preserve">   It is therefore important to the DoD/FEA</w:t>
      </w:r>
      <w:r w:rsidR="001B46DB">
        <w:t xml:space="preserve"> that the </w:t>
      </w:r>
      <w:smartTag w:uri="urn:schemas-microsoft-com:office:smarttags" w:element="State">
        <w:smartTag w:uri="urn:schemas-microsoft-com:office:smarttags" w:element="place">
          <w:r w:rsidR="002C1D0C">
            <w:t>Washington</w:t>
          </w:r>
        </w:smartTag>
      </w:smartTag>
      <w:r w:rsidR="001B46DB">
        <w:t xml:space="preserve"> successor to Verizon, the second largest telecommunications company in the nation, be a viable, financially sound and technologically sophisticated company that will be able to bid competitively in Federal telecommunication procurements, not just in its own service territory, but throughout the state.</w:t>
      </w:r>
      <w:r w:rsidR="00B873F6">
        <w:t xml:space="preserve">  </w:t>
      </w:r>
    </w:p>
    <w:p w:rsidR="00607706" w:rsidRDefault="00607706" w:rsidP="0005108C">
      <w:pPr>
        <w:spacing w:line="480" w:lineRule="auto"/>
        <w:ind w:left="720"/>
        <w:jc w:val="both"/>
      </w:pPr>
    </w:p>
    <w:p w:rsidR="00607706" w:rsidRDefault="00607706" w:rsidP="0005108C">
      <w:pPr>
        <w:spacing w:line="480" w:lineRule="auto"/>
        <w:ind w:left="720"/>
        <w:jc w:val="both"/>
      </w:pPr>
      <w:r>
        <w:t>Additionally</w:t>
      </w:r>
      <w:r w:rsidR="005C2E7B">
        <w:t>, the successor to Verizon will be</w:t>
      </w:r>
      <w:r>
        <w:t xml:space="preserve"> a wholesale provider of services and facilities to competitive ret</w:t>
      </w:r>
      <w:r w:rsidR="005C2E7B">
        <w:t>a</w:t>
      </w:r>
      <w:r>
        <w:t xml:space="preserve">il </w:t>
      </w:r>
      <w:r w:rsidR="005C2E7B">
        <w:t xml:space="preserve">telecommunications </w:t>
      </w:r>
      <w:r>
        <w:t>providers</w:t>
      </w:r>
      <w:r w:rsidR="005C2E7B">
        <w:t>. T</w:t>
      </w:r>
      <w:r>
        <w:t xml:space="preserve">he service quality </w:t>
      </w:r>
      <w:r w:rsidR="005C2E7B">
        <w:t>per</w:t>
      </w:r>
      <w:r>
        <w:t xml:space="preserve">formance, </w:t>
      </w:r>
      <w:r w:rsidR="005C2E7B">
        <w:t xml:space="preserve">the </w:t>
      </w:r>
      <w:r>
        <w:t>practices</w:t>
      </w:r>
      <w:r w:rsidR="00B51749">
        <w:t>,</w:t>
      </w:r>
      <w:r>
        <w:t xml:space="preserve"> and </w:t>
      </w:r>
      <w:r w:rsidR="005C2E7B">
        <w:t xml:space="preserve">the </w:t>
      </w:r>
      <w:r>
        <w:t xml:space="preserve">operations of </w:t>
      </w:r>
      <w:r w:rsidR="005C2E7B">
        <w:t>this successor must support effective</w:t>
      </w:r>
      <w:r>
        <w:t xml:space="preserve"> competiti</w:t>
      </w:r>
      <w:r w:rsidR="005C2E7B">
        <w:t>on among carriers in</w:t>
      </w:r>
      <w:r w:rsidR="00D66088">
        <w:t xml:space="preserve"> providing services to contract customers and the general public in</w:t>
      </w:r>
      <w:r w:rsidR="005C2E7B">
        <w:t xml:space="preserve"> </w:t>
      </w:r>
      <w:smartTag w:uri="urn:schemas-microsoft-com:office:smarttags" w:element="State">
        <w:smartTag w:uri="urn:schemas-microsoft-com:office:smarttags" w:element="place">
          <w:r w:rsidR="002C1D0C">
            <w:t>Washington</w:t>
          </w:r>
        </w:smartTag>
      </w:smartTag>
      <w:r w:rsidR="005C2E7B">
        <w:t>.</w:t>
      </w:r>
    </w:p>
    <w:p w:rsidR="00710893" w:rsidRDefault="00710893" w:rsidP="0005108C">
      <w:pPr>
        <w:spacing w:line="480" w:lineRule="auto"/>
        <w:ind w:left="720"/>
        <w:jc w:val="both"/>
      </w:pPr>
    </w:p>
    <w:p w:rsidR="00710893" w:rsidRDefault="00710893" w:rsidP="0005108C">
      <w:pPr>
        <w:spacing w:line="480" w:lineRule="auto"/>
        <w:ind w:left="720"/>
        <w:jc w:val="both"/>
      </w:pPr>
      <w:r>
        <w:t xml:space="preserve">Unfortunately, the record of </w:t>
      </w:r>
      <w:r w:rsidR="00E54EB5">
        <w:t>two recent</w:t>
      </w:r>
      <w:r>
        <w:t xml:space="preserve"> Verizon spin-offs has not been encouraging.</w:t>
      </w:r>
    </w:p>
    <w:p w:rsidR="001B46DB" w:rsidRDefault="001B46DB" w:rsidP="0005108C">
      <w:pPr>
        <w:spacing w:line="480" w:lineRule="auto"/>
        <w:jc w:val="both"/>
      </w:pPr>
    </w:p>
    <w:p w:rsidR="00DD33A2" w:rsidRDefault="003A13DE" w:rsidP="0005108C">
      <w:pPr>
        <w:spacing w:line="480" w:lineRule="auto"/>
        <w:jc w:val="both"/>
        <w:rPr>
          <w:b/>
          <w:u w:val="single"/>
        </w:rPr>
      </w:pPr>
      <w:r>
        <w:rPr>
          <w:b/>
          <w:u w:val="single"/>
        </w:rPr>
        <w:t>PREVIOUS</w:t>
      </w:r>
      <w:r w:rsidR="00DD33A2">
        <w:rPr>
          <w:b/>
          <w:u w:val="single"/>
        </w:rPr>
        <w:t xml:space="preserve"> VERIZON SPIN-OFFS</w:t>
      </w:r>
    </w:p>
    <w:p w:rsidR="00DD33A2" w:rsidRDefault="00DD33A2" w:rsidP="0005108C">
      <w:pPr>
        <w:spacing w:line="480" w:lineRule="auto"/>
        <w:jc w:val="both"/>
        <w:rPr>
          <w:b/>
          <w:u w:val="single"/>
        </w:rPr>
      </w:pPr>
    </w:p>
    <w:p w:rsidR="00710893" w:rsidRDefault="00DD33A2" w:rsidP="0005108C">
      <w:pPr>
        <w:spacing w:line="480" w:lineRule="auto"/>
        <w:ind w:left="720" w:hanging="720"/>
        <w:jc w:val="both"/>
        <w:rPr>
          <w:b/>
        </w:rPr>
      </w:pPr>
      <w:r>
        <w:rPr>
          <w:b/>
        </w:rPr>
        <w:t>Q.</w:t>
      </w:r>
      <w:r>
        <w:rPr>
          <w:b/>
        </w:rPr>
        <w:tab/>
      </w:r>
      <w:r w:rsidR="00710893">
        <w:rPr>
          <w:b/>
        </w:rPr>
        <w:t>WHAT PREVIOUS VERIZON SPIN-OFFS ARE YOU REFERRING TO?</w:t>
      </w:r>
    </w:p>
    <w:p w:rsidR="00DD33A2" w:rsidRDefault="00710893" w:rsidP="0005108C">
      <w:pPr>
        <w:spacing w:line="480" w:lineRule="auto"/>
        <w:ind w:left="720" w:hanging="720"/>
        <w:jc w:val="both"/>
        <w:rPr>
          <w:b/>
        </w:rPr>
      </w:pPr>
      <w:r>
        <w:rPr>
          <w:b/>
        </w:rPr>
        <w:lastRenderedPageBreak/>
        <w:t xml:space="preserve"> </w:t>
      </w:r>
    </w:p>
    <w:p w:rsidR="00DD33A2" w:rsidRDefault="00710893" w:rsidP="0005108C">
      <w:pPr>
        <w:spacing w:line="480" w:lineRule="auto"/>
        <w:ind w:left="720" w:hanging="720"/>
        <w:jc w:val="both"/>
      </w:pPr>
      <w:r>
        <w:t>A.</w:t>
      </w:r>
      <w:r>
        <w:tab/>
      </w:r>
      <w:r w:rsidR="00607706">
        <w:t>Recently</w:t>
      </w:r>
      <w:r w:rsidR="005C2E7B">
        <w:t>,</w:t>
      </w:r>
      <w:r w:rsidR="00607706">
        <w:t xml:space="preserve"> </w:t>
      </w:r>
      <w:r w:rsidR="005C2E7B">
        <w:t>t</w:t>
      </w:r>
      <w:r w:rsidR="00DD33A2">
        <w:t>here have been two major</w:t>
      </w:r>
      <w:r>
        <w:t xml:space="preserve"> Verizon</w:t>
      </w:r>
      <w:r w:rsidR="00DD33A2">
        <w:t xml:space="preserve"> </w:t>
      </w:r>
      <w:r w:rsidR="00770369">
        <w:t>land</w:t>
      </w:r>
      <w:r w:rsidR="00607706">
        <w:t xml:space="preserve">line </w:t>
      </w:r>
      <w:r w:rsidR="00DD33A2">
        <w:t xml:space="preserve">spin-offs.  The first was the sale of </w:t>
      </w:r>
      <w:r w:rsidR="00835948">
        <w:t>Verizon’s</w:t>
      </w:r>
      <w:r w:rsidR="00DD33A2">
        <w:t xml:space="preserve"> Hawaiian </w:t>
      </w:r>
      <w:r w:rsidR="00835948">
        <w:t>landline</w:t>
      </w:r>
      <w:r>
        <w:t xml:space="preserve"> assets</w:t>
      </w:r>
      <w:r w:rsidR="00DD33A2">
        <w:t xml:space="preserve"> to </w:t>
      </w:r>
      <w:r w:rsidR="00607706">
        <w:t>T</w:t>
      </w:r>
      <w:r w:rsidR="00DD33A2">
        <w:t>he Carlyle Group</w:t>
      </w:r>
      <w:r w:rsidR="00607706">
        <w:t xml:space="preserve"> (“</w:t>
      </w:r>
      <w:r w:rsidR="005C2E7B">
        <w:t>Car</w:t>
      </w:r>
      <w:r w:rsidR="00607706">
        <w:t>lyle”)</w:t>
      </w:r>
      <w:r w:rsidR="00DD33A2">
        <w:t xml:space="preserve">.  The second was the sale of Verizon’s northern </w:t>
      </w:r>
      <w:smartTag w:uri="urn:schemas-microsoft-com:office:smarttags" w:element="place">
        <w:r w:rsidR="00DD33A2">
          <w:t>New England</w:t>
        </w:r>
      </w:smartTag>
      <w:r>
        <w:t xml:space="preserve"> </w:t>
      </w:r>
      <w:r w:rsidR="00607706">
        <w:t xml:space="preserve">wireline </w:t>
      </w:r>
      <w:r>
        <w:t>operations to Fair</w:t>
      </w:r>
      <w:r w:rsidR="00DD33A2">
        <w:t>Point Communications</w:t>
      </w:r>
      <w:r w:rsidR="00835948">
        <w:t xml:space="preserve"> (“FairPoint”)</w:t>
      </w:r>
      <w:r w:rsidR="00DD33A2">
        <w:t>.</w:t>
      </w:r>
    </w:p>
    <w:p w:rsidR="00DD33A2" w:rsidRDefault="00DD33A2" w:rsidP="0005108C">
      <w:pPr>
        <w:spacing w:line="480" w:lineRule="auto"/>
        <w:ind w:left="720" w:hanging="720"/>
        <w:jc w:val="both"/>
      </w:pPr>
    </w:p>
    <w:p w:rsidR="00DD33A2" w:rsidRDefault="00DD33A2" w:rsidP="0005108C">
      <w:pPr>
        <w:spacing w:line="480" w:lineRule="auto"/>
        <w:ind w:left="720" w:hanging="720"/>
        <w:jc w:val="both"/>
        <w:rPr>
          <w:b/>
        </w:rPr>
      </w:pPr>
      <w:r>
        <w:rPr>
          <w:b/>
        </w:rPr>
        <w:t>Q.</w:t>
      </w:r>
      <w:r>
        <w:rPr>
          <w:b/>
        </w:rPr>
        <w:tab/>
        <w:t>PLEASE DESCRIBE THE HAWAIIAN TELEPHONE</w:t>
      </w:r>
      <w:r w:rsidR="00835948">
        <w:rPr>
          <w:b/>
        </w:rPr>
        <w:t xml:space="preserve"> TRANSACTION</w:t>
      </w:r>
      <w:r>
        <w:rPr>
          <w:b/>
        </w:rPr>
        <w:t>.</w:t>
      </w:r>
    </w:p>
    <w:p w:rsidR="00DD33A2" w:rsidRDefault="00DD33A2" w:rsidP="0005108C">
      <w:pPr>
        <w:spacing w:line="480" w:lineRule="auto"/>
        <w:ind w:left="720" w:hanging="720"/>
        <w:jc w:val="both"/>
        <w:rPr>
          <w:b/>
        </w:rPr>
      </w:pPr>
    </w:p>
    <w:p w:rsidR="008162CB" w:rsidRDefault="00DD33A2" w:rsidP="0005108C">
      <w:pPr>
        <w:spacing w:line="480" w:lineRule="auto"/>
        <w:ind w:left="720" w:hanging="720"/>
        <w:jc w:val="both"/>
      </w:pPr>
      <w:r>
        <w:t>A.</w:t>
      </w:r>
      <w:r>
        <w:tab/>
        <w:t xml:space="preserve">The Hawaiian Telephone Company was created in the 1880’s under the laws of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Hawaii</w:t>
          </w:r>
        </w:smartTag>
      </w:smartTag>
      <w:r>
        <w:t>.  In the mid-20th century it was acquired by General Telephone and Electronics, later the GTE Corporation.   It became part of the Verizon family of companies when Verizon acq</w:t>
      </w:r>
      <w:r w:rsidR="0088167A">
        <w:t>uired GTE in the 1990s.  In 2004</w:t>
      </w:r>
      <w:r>
        <w:t xml:space="preserve">, Verizon </w:t>
      </w:r>
      <w:r w:rsidR="008162CB">
        <w:t>sought approval to sell</w:t>
      </w:r>
      <w:r>
        <w:t xml:space="preserve"> </w:t>
      </w:r>
      <w:r w:rsidR="006E1224">
        <w:t>its Hawaiian assets</w:t>
      </w:r>
      <w:r>
        <w:t xml:space="preserve"> to Carlyle, a private equity enterprise.</w:t>
      </w:r>
      <w:r w:rsidR="008162CB">
        <w:t xml:space="preserve"> </w:t>
      </w:r>
      <w:r w:rsidR="006E1224">
        <w:t>Carlyle cr</w:t>
      </w:r>
      <w:r w:rsidR="004D4A54">
        <w:t>eate</w:t>
      </w:r>
      <w:r w:rsidR="00D66088">
        <w:t>d</w:t>
      </w:r>
      <w:r w:rsidR="004D4A54">
        <w:t xml:space="preserve"> a new entity, Hawaiian Tel</w:t>
      </w:r>
      <w:r w:rsidR="006E1224">
        <w:t>com</w:t>
      </w:r>
      <w:r w:rsidR="00607706">
        <w:t>, Inc.</w:t>
      </w:r>
      <w:r w:rsidR="006E1224">
        <w:t xml:space="preserve"> (“HT”), t</w:t>
      </w:r>
      <w:r w:rsidR="00D66088">
        <w:t>o</w:t>
      </w:r>
      <w:r w:rsidR="006E1224">
        <w:t xml:space="preserve"> provide the local exchange services previously offered by Hawaiian Telephone.  </w:t>
      </w:r>
      <w:r w:rsidR="00C22657">
        <w:t>The applicants</w:t>
      </w:r>
      <w:r w:rsidR="00E54EB5">
        <w:t xml:space="preserve"> in that case</w:t>
      </w:r>
      <w:r w:rsidR="00C22657">
        <w:t xml:space="preserve"> stated that after the transition HT “will have the financial fitness and ability to fund the continuing operations of Verizon </w:t>
      </w:r>
      <w:smartTag w:uri="urn:schemas-microsoft-com:office:smarttags" w:element="place">
        <w:smartTag w:uri="urn:schemas-microsoft-com:office:smarttags" w:element="State">
          <w:r w:rsidR="00C22657">
            <w:t>Hawaii</w:t>
          </w:r>
        </w:smartTag>
      </w:smartTag>
      <w:r w:rsidR="00C22657">
        <w:t xml:space="preserve"> through the revenue generated from the existing and proposed operations.</w:t>
      </w:r>
      <w:r w:rsidR="00E54EB5">
        <w:t>”</w:t>
      </w:r>
      <w:r w:rsidR="00C22657">
        <w:rPr>
          <w:rStyle w:val="FootnoteReference"/>
        </w:rPr>
        <w:footnoteReference w:id="1"/>
      </w:r>
      <w:r w:rsidR="00C22657">
        <w:t xml:space="preserve">  Likewise, the applicants stated that they “. . . acknowledge the importance of </w:t>
      </w:r>
      <w:r w:rsidR="007371D8">
        <w:t>en</w:t>
      </w:r>
      <w:r w:rsidR="00C22657">
        <w:t xml:space="preserve">suring a seamless transition for customers and have conducted a rigorous process to select a world-class systems integrator to replicate the full functionality </w:t>
      </w:r>
      <w:r w:rsidR="00C22657">
        <w:lastRenderedPageBreak/>
        <w:t>of the systems currently provided by Verizon.”</w:t>
      </w:r>
      <w:r w:rsidR="00C22657">
        <w:rPr>
          <w:rStyle w:val="FootnoteReference"/>
        </w:rPr>
        <w:footnoteReference w:id="2"/>
      </w:r>
      <w:r w:rsidR="00C22657">
        <w:t xml:space="preserve">  </w:t>
      </w:r>
      <w:r w:rsidR="008162CB">
        <w:t xml:space="preserve">In </w:t>
      </w:r>
      <w:r w:rsidR="0088167A">
        <w:t>2005,</w:t>
      </w:r>
      <w:r w:rsidR="00D66088">
        <w:t xml:space="preserve"> t</w:t>
      </w:r>
      <w:r w:rsidR="008162CB">
        <w:t xml:space="preserve">he </w:t>
      </w:r>
      <w:r w:rsidR="00D66088">
        <w:t xml:space="preserve">Hawaii </w:t>
      </w:r>
      <w:r w:rsidR="008162CB">
        <w:t>Public Utilities Commission (“HPUC”) approved the transfer subject to numerous conditions.</w:t>
      </w:r>
      <w:r w:rsidR="008162CB">
        <w:rPr>
          <w:rStyle w:val="FootnoteReference"/>
        </w:rPr>
        <w:footnoteReference w:id="3"/>
      </w:r>
      <w:r w:rsidR="008162CB">
        <w:t xml:space="preserve">  </w:t>
      </w:r>
    </w:p>
    <w:p w:rsidR="008162CB" w:rsidRDefault="008162CB" w:rsidP="0005108C">
      <w:pPr>
        <w:spacing w:line="480" w:lineRule="auto"/>
        <w:ind w:left="720" w:hanging="720"/>
      </w:pPr>
    </w:p>
    <w:p w:rsidR="00ED1683" w:rsidRDefault="008162CB" w:rsidP="0005108C">
      <w:pPr>
        <w:spacing w:line="480" w:lineRule="auto"/>
        <w:ind w:left="720"/>
        <w:jc w:val="both"/>
      </w:pPr>
      <w:r>
        <w:t xml:space="preserve">In its decision approving the sale, the HPUC stated that it would initiate an investigation of </w:t>
      </w:r>
      <w:r w:rsidR="006E1224">
        <w:t>HT</w:t>
      </w:r>
      <w:r>
        <w:t xml:space="preserve">’s service quality approximately six months after </w:t>
      </w:r>
      <w:r w:rsidR="006E1224">
        <w:t>HT</w:t>
      </w:r>
      <w:r w:rsidR="00EE38FC">
        <w:t xml:space="preserve"> assumed the </w:t>
      </w:r>
      <w:r w:rsidR="00BD459E">
        <w:t>back-office</w:t>
      </w:r>
      <w:r>
        <w:t xml:space="preserve"> operations </w:t>
      </w:r>
      <w:r w:rsidR="00EE38FC">
        <w:t xml:space="preserve">that </w:t>
      </w:r>
      <w:r>
        <w:t>Verizon</w:t>
      </w:r>
      <w:r w:rsidR="00EE38FC">
        <w:t xml:space="preserve"> previous</w:t>
      </w:r>
      <w:r w:rsidR="00BB15BB">
        <w:t>ly</w:t>
      </w:r>
      <w:r w:rsidR="00EE38FC">
        <w:t xml:space="preserve"> provided on a national basis </w:t>
      </w:r>
      <w:r w:rsidR="00EE2081">
        <w:t>to</w:t>
      </w:r>
      <w:r w:rsidR="00EE38FC">
        <w:t xml:space="preserve"> all of its service territories, including </w:t>
      </w:r>
      <w:smartTag w:uri="urn:schemas-microsoft-com:office:smarttags" w:element="place">
        <w:smartTag w:uri="urn:schemas-microsoft-com:office:smarttags" w:element="State">
          <w:r w:rsidR="00EE38FC">
            <w:t>Hawaii</w:t>
          </w:r>
        </w:smartTag>
      </w:smartTag>
      <w:r>
        <w:t>.  Th</w:t>
      </w:r>
      <w:r w:rsidR="005C2E7B">
        <w:t>is</w:t>
      </w:r>
      <w:r>
        <w:t xml:space="preserve"> service quality proceeding, HPUC Docket No. 2006-0400, </w:t>
      </w:r>
      <w:r w:rsidR="00EE2081">
        <w:t>confirmed</w:t>
      </w:r>
      <w:r>
        <w:t xml:space="preserve"> that the transition from Verizon was far from seamless or </w:t>
      </w:r>
      <w:r w:rsidR="002654C8">
        <w:t>harmless</w:t>
      </w:r>
      <w:r>
        <w:t xml:space="preserve"> to customers.  Although the HPUC has not yet rendered a decision in that proceeding, it is undisputed that for more than a year following the cutover from Verizon’s </w:t>
      </w:r>
      <w:r w:rsidR="00BD459E">
        <w:t>back-office</w:t>
      </w:r>
      <w:r>
        <w:t xml:space="preserve"> operations, </w:t>
      </w:r>
      <w:r w:rsidR="006E1224">
        <w:t>HT</w:t>
      </w:r>
      <w:r>
        <w:t xml:space="preserve"> was unable to collect data – even manually – as to </w:t>
      </w:r>
      <w:r w:rsidR="00C22657">
        <w:t>six</w:t>
      </w:r>
      <w:r>
        <w:t xml:space="preserve"> service standards for which the HPUC required reports.</w:t>
      </w:r>
      <w:r>
        <w:rPr>
          <w:rStyle w:val="FootnoteReference"/>
        </w:rPr>
        <w:footnoteReference w:id="4"/>
      </w:r>
      <w:r>
        <w:t xml:space="preserve">  Thus, the full extent of the problems associated with the transfer could not even be quantified.</w:t>
      </w:r>
      <w:r w:rsidR="00BB15BB">
        <w:t xml:space="preserve"> </w:t>
      </w:r>
    </w:p>
    <w:p w:rsidR="00ED1683" w:rsidRDefault="00ED1683" w:rsidP="0005108C">
      <w:pPr>
        <w:spacing w:line="480" w:lineRule="auto"/>
        <w:ind w:left="720"/>
        <w:jc w:val="both"/>
      </w:pPr>
    </w:p>
    <w:p w:rsidR="008162CB" w:rsidRDefault="00ED1683" w:rsidP="0005108C">
      <w:pPr>
        <w:spacing w:line="480" w:lineRule="auto"/>
        <w:ind w:left="720"/>
        <w:jc w:val="both"/>
      </w:pPr>
      <w:r>
        <w:t>As to the seven service standards for which HT</w:t>
      </w:r>
      <w:r w:rsidR="00B51749">
        <w:t xml:space="preserve"> </w:t>
      </w:r>
      <w:r w:rsidRPr="00ED1683">
        <w:rPr>
          <w:u w:val="single"/>
        </w:rPr>
        <w:t>was</w:t>
      </w:r>
      <w:r>
        <w:t xml:space="preserve"> able to file reports, five dealt with call answering time.  HT’s ability to answer calls was lacking compared to the experience under Verizon.  For example, during the nine months following the cut-over, HT’s percent of residential installation and billing office calls answered in 20 seconds ranged from a low of 8.01 percent to a high of 70.37 percent, </w:t>
      </w:r>
      <w:r>
        <w:lastRenderedPageBreak/>
        <w:t>compared to the objective of 85 percent and Verizon’s 2005 percentage of 87.46 percent. Likewise, the answering time achieved for business installation and billing office calls following the cut-over ranged from 12.83 percent to 78.82 percent compared with the objective of 85 percent and Verizon’s achieved rate of 88.23 percent.</w:t>
      </w:r>
      <w:r w:rsidRPr="00ED1683">
        <w:rPr>
          <w:rStyle w:val="FootnoteReference"/>
        </w:rPr>
        <w:t xml:space="preserve"> </w:t>
      </w:r>
      <w:r>
        <w:rPr>
          <w:rStyle w:val="FootnoteReference"/>
        </w:rPr>
        <w:footnoteReference w:id="5"/>
      </w:r>
      <w:r>
        <w:t xml:space="preserve"> </w:t>
      </w:r>
      <w:r w:rsidR="008162CB">
        <w:t xml:space="preserve">  In an effort to repair the damage caused by </w:t>
      </w:r>
      <w:r>
        <w:t xml:space="preserve">the </w:t>
      </w:r>
      <w:r w:rsidR="008162CB">
        <w:t xml:space="preserve">non-functioning systems, </w:t>
      </w:r>
      <w:r w:rsidR="006E1224">
        <w:t>HT</w:t>
      </w:r>
      <w:r w:rsidR="008162CB">
        <w:t xml:space="preserve"> had to replace the contractor working on the transition.</w:t>
      </w:r>
      <w:r w:rsidR="00EE2081">
        <w:rPr>
          <w:rStyle w:val="FootnoteReference"/>
        </w:rPr>
        <w:footnoteReference w:id="6"/>
      </w:r>
    </w:p>
    <w:p w:rsidR="008162CB" w:rsidRDefault="008162CB" w:rsidP="0005108C">
      <w:pPr>
        <w:spacing w:line="480" w:lineRule="auto"/>
        <w:ind w:left="720"/>
        <w:jc w:val="both"/>
      </w:pPr>
    </w:p>
    <w:p w:rsidR="008162CB" w:rsidRDefault="006E1224" w:rsidP="0005108C">
      <w:pPr>
        <w:spacing w:line="480" w:lineRule="auto"/>
        <w:ind w:left="720"/>
        <w:jc w:val="both"/>
      </w:pPr>
      <w:r>
        <w:t>HT</w:t>
      </w:r>
      <w:r w:rsidR="008162CB">
        <w:t xml:space="preserve"> admitted in its pleadings</w:t>
      </w:r>
      <w:r w:rsidR="00F74D11">
        <w:t xml:space="preserve"> </w:t>
      </w:r>
      <w:r w:rsidR="008162CB">
        <w:t>that service suffered as a result of the transition from Verizon</w:t>
      </w:r>
      <w:r w:rsidR="00F74D11">
        <w:t xml:space="preserve"> and that </w:t>
      </w:r>
      <w:r w:rsidR="008162CB">
        <w:t xml:space="preserve">it </w:t>
      </w:r>
      <w:r w:rsidR="004D4A54">
        <w:t xml:space="preserve">created erroneous bills and </w:t>
      </w:r>
      <w:r w:rsidR="008162CB">
        <w:t>was unable to handle adequately incoming calls.</w:t>
      </w:r>
      <w:r w:rsidR="008162CB">
        <w:rPr>
          <w:rStyle w:val="FootnoteReference"/>
        </w:rPr>
        <w:footnoteReference w:id="7"/>
      </w:r>
      <w:r w:rsidR="008162CB">
        <w:t xml:space="preserve">  </w:t>
      </w:r>
      <w:r w:rsidR="002654C8">
        <w:t xml:space="preserve">HT </w:t>
      </w:r>
      <w:r w:rsidR="008162CB">
        <w:t>candidly admitted that “… the cutover did unfortunately create some negative impacts on its customers.”</w:t>
      </w:r>
      <w:r w:rsidR="008162CB" w:rsidRPr="002D752C">
        <w:rPr>
          <w:rStyle w:val="FootnoteReference"/>
        </w:rPr>
        <w:t xml:space="preserve"> </w:t>
      </w:r>
      <w:r w:rsidR="008162CB">
        <w:rPr>
          <w:rStyle w:val="FootnoteReference"/>
        </w:rPr>
        <w:footnoteReference w:id="8"/>
      </w:r>
      <w:r w:rsidR="008162CB">
        <w:t xml:space="preserve">  Finally, </w:t>
      </w:r>
      <w:r>
        <w:t>HT</w:t>
      </w:r>
      <w:r w:rsidR="008162CB">
        <w:t xml:space="preserve"> agreed with the assessment of the Consumer </w:t>
      </w:r>
      <w:r w:rsidR="004D4A54">
        <w:t>Advocate</w:t>
      </w:r>
      <w:r w:rsidR="008162CB">
        <w:t xml:space="preserve"> that its “… retail customers following cutover experienced long waiting times to reach [its] contact center, extremely slow and long transaction processing times, high levels of fall out, long waiting times to repair, missed or delayed installation and repair commitments and billing errors.”</w:t>
      </w:r>
      <w:r w:rsidR="008162CB">
        <w:rPr>
          <w:rStyle w:val="FootnoteReference"/>
        </w:rPr>
        <w:footnoteReference w:id="9"/>
      </w:r>
    </w:p>
    <w:p w:rsidR="008162CB" w:rsidRDefault="008162CB" w:rsidP="0005108C">
      <w:pPr>
        <w:spacing w:line="480" w:lineRule="auto"/>
        <w:ind w:left="720"/>
        <w:jc w:val="both"/>
      </w:pPr>
    </w:p>
    <w:p w:rsidR="008162CB" w:rsidRDefault="008162CB" w:rsidP="0005108C">
      <w:pPr>
        <w:spacing w:line="480" w:lineRule="auto"/>
        <w:ind w:left="720"/>
        <w:jc w:val="both"/>
      </w:pPr>
      <w:r>
        <w:t xml:space="preserve">The cutover from Verizon’s </w:t>
      </w:r>
      <w:r w:rsidR="00BD459E">
        <w:t>back-office</w:t>
      </w:r>
      <w:r>
        <w:t xml:space="preserve"> operations also caused</w:t>
      </w:r>
      <w:r w:rsidR="00ED1683">
        <w:t xml:space="preserve"> s</w:t>
      </w:r>
      <w:r w:rsidR="00BB15BB">
        <w:t>igni</w:t>
      </w:r>
      <w:r w:rsidR="00ED1683">
        <w:t>fi</w:t>
      </w:r>
      <w:r w:rsidR="00BB15BB">
        <w:t xml:space="preserve">cant </w:t>
      </w:r>
      <w:r>
        <w:t xml:space="preserve">problems for </w:t>
      </w:r>
      <w:r w:rsidR="006E1224">
        <w:t>HT</w:t>
      </w:r>
      <w:r>
        <w:t xml:space="preserve">’s wholesale customers.  One </w:t>
      </w:r>
      <w:r w:rsidR="00EE38FC">
        <w:t>Competitive L</w:t>
      </w:r>
      <w:r>
        <w:t xml:space="preserve">ocal </w:t>
      </w:r>
      <w:r w:rsidR="00EE38FC">
        <w:t>E</w:t>
      </w:r>
      <w:r>
        <w:t xml:space="preserve">xchange </w:t>
      </w:r>
      <w:r w:rsidR="00EE38FC">
        <w:t>C</w:t>
      </w:r>
      <w:r>
        <w:t>arrier</w:t>
      </w:r>
      <w:r w:rsidR="0001744D">
        <w:t xml:space="preserve"> </w:t>
      </w:r>
      <w:r w:rsidR="00EE38FC">
        <w:t>(“CLEC”)</w:t>
      </w:r>
      <w:r>
        <w:t>, Time Warne</w:t>
      </w:r>
      <w:r w:rsidR="00294D3F">
        <w:t xml:space="preserve">r Telecom of </w:t>
      </w:r>
      <w:smartTag w:uri="urn:schemas-microsoft-com:office:smarttags" w:element="place">
        <w:smartTag w:uri="urn:schemas-microsoft-com:office:smarttags" w:element="State">
          <w:r w:rsidR="00294D3F">
            <w:t>Hawaii</w:t>
          </w:r>
        </w:smartTag>
      </w:smartTag>
      <w:r w:rsidR="00294D3F">
        <w:t>, L.P.</w:t>
      </w:r>
      <w:r w:rsidR="00BB15BB">
        <w:t xml:space="preserve"> </w:t>
      </w:r>
      <w:r w:rsidR="00ED1683">
        <w:t>(</w:t>
      </w:r>
      <w:r w:rsidR="00BB15BB">
        <w:t>“TWTC”)</w:t>
      </w:r>
      <w:r>
        <w:t xml:space="preserve">, </w:t>
      </w:r>
      <w:r w:rsidR="00ED1683">
        <w:t>s</w:t>
      </w:r>
      <w:r>
        <w:t>ummarized the problems as follows:</w:t>
      </w:r>
    </w:p>
    <w:p w:rsidR="004D4A54" w:rsidRDefault="008162CB" w:rsidP="0036532D">
      <w:pPr>
        <w:ind w:left="1152" w:right="864"/>
        <w:jc w:val="both"/>
      </w:pPr>
      <w:r>
        <w:lastRenderedPageBreak/>
        <w:t xml:space="preserve">HT’s conversion to its new back office systems was a failure by any measure. Immediately following cutover, virtually none of the wholesale back office systems were functioning.  Today, 19 months after cutover, they are still not functioning at the same level as the Verizon systems.  Although HT has made significant progress in addressing its issues, </w:t>
      </w:r>
      <w:r w:rsidR="004D4A54">
        <w:t>those efforts are not complete.</w:t>
      </w:r>
    </w:p>
    <w:p w:rsidR="004D4A54" w:rsidRDefault="004D4A54" w:rsidP="0036532D">
      <w:pPr>
        <w:ind w:left="1152" w:right="864"/>
        <w:jc w:val="both"/>
      </w:pPr>
    </w:p>
    <w:p w:rsidR="00EE2081" w:rsidRDefault="008162CB" w:rsidP="00EE2081">
      <w:pPr>
        <w:ind w:left="1152" w:right="864"/>
        <w:jc w:val="both"/>
      </w:pPr>
      <w:r>
        <w:t xml:space="preserve">HT violated the Merger Decision and the Stipulation by failing to provide the same or similar functionality for wholesale service as previously provided by Verizon, and by failing to remain on the Verizon systems until HT’s new systems were fully tested and operational.  These violations significantly harmed </w:t>
      </w:r>
      <w:smartTag w:uri="urn:schemas-microsoft-com:office:smarttags" w:element="stockticker">
        <w:r>
          <w:t>TWTC</w:t>
        </w:r>
      </w:smartTag>
      <w:r>
        <w:t xml:space="preserve"> and HT’s other customers. </w:t>
      </w:r>
      <w:r>
        <w:rPr>
          <w:rStyle w:val="FootnoteReference"/>
        </w:rPr>
        <w:footnoteReference w:id="10"/>
      </w:r>
    </w:p>
    <w:p w:rsidR="006E1224" w:rsidRDefault="006E1224" w:rsidP="0036532D">
      <w:pPr>
        <w:ind w:left="1152" w:right="864"/>
        <w:jc w:val="both"/>
      </w:pPr>
    </w:p>
    <w:p w:rsidR="000E0F6F" w:rsidRDefault="000E0F6F" w:rsidP="0005108C">
      <w:pPr>
        <w:spacing w:line="480" w:lineRule="auto"/>
        <w:ind w:left="720"/>
        <w:jc w:val="both"/>
      </w:pPr>
      <w:r>
        <w:t xml:space="preserve">In summary, the applicants in the Hawaii sale promised a seamless transition to HT’s </w:t>
      </w:r>
      <w:r w:rsidR="00BD459E">
        <w:t>back-office</w:t>
      </w:r>
      <w:r>
        <w:t xml:space="preserve"> systems, but the </w:t>
      </w:r>
      <w:r w:rsidR="007A601D">
        <w:t>record</w:t>
      </w:r>
      <w:r>
        <w:t xml:space="preserve"> in that case – including HT’s own pleadings -- show</w:t>
      </w:r>
      <w:r w:rsidR="007A601D">
        <w:t>s</w:t>
      </w:r>
      <w:r>
        <w:t xml:space="preserve"> that both wholesale and retail customers suffered</w:t>
      </w:r>
      <w:r w:rsidR="007A601D">
        <w:t xml:space="preserve"> significantly</w:t>
      </w:r>
      <w:r>
        <w:t xml:space="preserve"> from the failure of automated systems, dropped calls, long call answering and holding times, billing errors and costly manual efforts to correct the deficiencies.  HT was not able to track repair and installation times, so that data </w:t>
      </w:r>
      <w:r w:rsidR="007A601D">
        <w:t>for</w:t>
      </w:r>
      <w:r>
        <w:t xml:space="preserve"> these critical </w:t>
      </w:r>
      <w:r w:rsidR="007A601D">
        <w:t>ser</w:t>
      </w:r>
      <w:r w:rsidR="00ED0A02">
        <w:t>v</w:t>
      </w:r>
      <w:r w:rsidR="007A601D">
        <w:t xml:space="preserve">ice quality </w:t>
      </w:r>
      <w:r>
        <w:t>metrics could not even be assessed in determining the adverse effects of the transition to HT’s systems.</w:t>
      </w:r>
    </w:p>
    <w:p w:rsidR="000F2EF4" w:rsidRDefault="000F2EF4" w:rsidP="0005108C">
      <w:pPr>
        <w:spacing w:line="480" w:lineRule="auto"/>
        <w:ind w:left="720"/>
        <w:jc w:val="both"/>
      </w:pPr>
    </w:p>
    <w:p w:rsidR="00765061" w:rsidRDefault="006E1224" w:rsidP="0005108C">
      <w:pPr>
        <w:spacing w:line="480" w:lineRule="auto"/>
        <w:ind w:left="720"/>
        <w:jc w:val="both"/>
      </w:pPr>
      <w:r>
        <w:t>On December 1, 2008, HT filed for Chapter 11 bankruptcy protection</w:t>
      </w:r>
      <w:r w:rsidR="0001744D">
        <w:t>.</w:t>
      </w:r>
      <w:r w:rsidR="0001744D">
        <w:rPr>
          <w:rStyle w:val="FootnoteReference"/>
        </w:rPr>
        <w:footnoteReference w:id="11"/>
      </w:r>
      <w:r w:rsidR="007A601D">
        <w:t xml:space="preserve"> The public explanation for the bankruptcy was</w:t>
      </w:r>
      <w:r w:rsidR="00835948">
        <w:t xml:space="preserve"> the</w:t>
      </w:r>
      <w:r w:rsidR="007A601D">
        <w:t xml:space="preserve"> </w:t>
      </w:r>
      <w:r w:rsidR="00835948">
        <w:t xml:space="preserve">impending inability to refinance its </w:t>
      </w:r>
      <w:r w:rsidR="007A601D">
        <w:lastRenderedPageBreak/>
        <w:t>debt</w:t>
      </w:r>
      <w:r w:rsidR="00ED0A02">
        <w:t>, but the costs and lost customers resulting from HT’s poor service quality probably contributed to the Company’s inability to service its debt.</w:t>
      </w:r>
    </w:p>
    <w:p w:rsidR="0001744D" w:rsidRDefault="0001744D" w:rsidP="0005108C">
      <w:pPr>
        <w:spacing w:line="480" w:lineRule="auto"/>
        <w:jc w:val="both"/>
      </w:pPr>
    </w:p>
    <w:p w:rsidR="006E1224" w:rsidRDefault="006E1224" w:rsidP="0005108C">
      <w:pPr>
        <w:spacing w:line="480" w:lineRule="auto"/>
        <w:ind w:left="720" w:hanging="720"/>
        <w:jc w:val="both"/>
        <w:rPr>
          <w:b/>
        </w:rPr>
      </w:pPr>
      <w:r>
        <w:rPr>
          <w:b/>
        </w:rPr>
        <w:t>Q.</w:t>
      </w:r>
      <w:r>
        <w:rPr>
          <w:b/>
        </w:rPr>
        <w:tab/>
      </w:r>
      <w:r w:rsidR="00896721">
        <w:rPr>
          <w:b/>
        </w:rPr>
        <w:t>PLEASE DESCRIBE</w:t>
      </w:r>
      <w:r w:rsidR="00ED0A02">
        <w:rPr>
          <w:b/>
        </w:rPr>
        <w:t xml:space="preserve"> </w:t>
      </w:r>
      <w:r w:rsidR="00896721">
        <w:rPr>
          <w:b/>
        </w:rPr>
        <w:t xml:space="preserve">VERIZON’S </w:t>
      </w:r>
      <w:smartTag w:uri="urn:schemas-microsoft-com:office:smarttags" w:element="City">
        <w:r w:rsidR="00896721">
          <w:rPr>
            <w:b/>
          </w:rPr>
          <w:t>SALE</w:t>
        </w:r>
      </w:smartTag>
      <w:r w:rsidR="00896721">
        <w:rPr>
          <w:b/>
        </w:rPr>
        <w:t xml:space="preserve"> OF </w:t>
      </w:r>
      <w:smartTag w:uri="urn:schemas-microsoft-com:office:smarttags" w:element="place">
        <w:r w:rsidR="00896721">
          <w:rPr>
            <w:b/>
          </w:rPr>
          <w:t>NEW ENGLAND</w:t>
        </w:r>
      </w:smartTag>
      <w:r w:rsidR="00710893">
        <w:rPr>
          <w:b/>
        </w:rPr>
        <w:t xml:space="preserve"> OPERATIONS TO FAIR</w:t>
      </w:r>
      <w:r w:rsidR="00896721">
        <w:rPr>
          <w:b/>
        </w:rPr>
        <w:t>POINT.</w:t>
      </w:r>
    </w:p>
    <w:p w:rsidR="00896721" w:rsidRDefault="00896721" w:rsidP="0005108C">
      <w:pPr>
        <w:spacing w:line="480" w:lineRule="auto"/>
        <w:ind w:left="720" w:hanging="720"/>
        <w:jc w:val="both"/>
        <w:rPr>
          <w:b/>
        </w:rPr>
      </w:pPr>
    </w:p>
    <w:p w:rsidR="00896721" w:rsidRDefault="00896721" w:rsidP="0005108C">
      <w:pPr>
        <w:spacing w:line="480" w:lineRule="auto"/>
        <w:ind w:left="720" w:hanging="720"/>
        <w:jc w:val="both"/>
      </w:pPr>
      <w:r>
        <w:t>A</w:t>
      </w:r>
      <w:r>
        <w:tab/>
      </w:r>
      <w:r w:rsidR="009821C8">
        <w:t>At the beginning of 2007, FairPoint</w:t>
      </w:r>
      <w:r w:rsidR="00D66088">
        <w:t xml:space="preserve"> </w:t>
      </w:r>
      <w:r w:rsidR="009821C8">
        <w:t xml:space="preserve">was an incumbent local exchange telecommunications company with about 330,000 access lines. </w:t>
      </w:r>
      <w:r w:rsidR="00483B05">
        <w:t xml:space="preserve">In </w:t>
      </w:r>
      <w:r w:rsidR="009821C8">
        <w:t>that year</w:t>
      </w:r>
      <w:r w:rsidR="00483B05">
        <w:t xml:space="preserve">, </w:t>
      </w:r>
      <w:r>
        <w:t>Verizon New England, Inc.</w:t>
      </w:r>
      <w:r w:rsidR="007A601D">
        <w:t>,</w:t>
      </w:r>
      <w:r>
        <w:t xml:space="preserve"> Fair</w:t>
      </w:r>
      <w:r w:rsidR="00483B05">
        <w:t>P</w:t>
      </w:r>
      <w:r>
        <w:t>oin</w:t>
      </w:r>
      <w:r w:rsidR="00483B05">
        <w:t>t</w:t>
      </w:r>
      <w:r w:rsidR="007A601D">
        <w:t>,</w:t>
      </w:r>
      <w:r w:rsidR="00483B05">
        <w:t xml:space="preserve"> and affiliated firms announced a planned $2.4 billion transaction, generally similar to that propose</w:t>
      </w:r>
      <w:r w:rsidR="00BB7441">
        <w:t>d</w:t>
      </w:r>
      <w:r w:rsidR="00483B05">
        <w:t xml:space="preserve"> in </w:t>
      </w:r>
      <w:smartTag w:uri="urn:schemas-microsoft-com:office:smarttags" w:element="State">
        <w:r w:rsidR="002C1D0C">
          <w:t>Washington</w:t>
        </w:r>
      </w:smartTag>
      <w:r w:rsidR="00483B05">
        <w:t xml:space="preserve">, under which FairPoint would obtain Verizon’s landline businesses in </w:t>
      </w:r>
      <w:smartTag w:uri="urn:schemas-microsoft-com:office:smarttags" w:element="State">
        <w:r w:rsidR="00483B05">
          <w:t>Maine</w:t>
        </w:r>
      </w:smartTag>
      <w:r w:rsidR="00483B05">
        <w:t xml:space="preserve">, </w:t>
      </w:r>
      <w:smartTag w:uri="urn:schemas-microsoft-com:office:smarttags" w:element="State">
        <w:r w:rsidR="00483B05">
          <w:t>New Hampshire</w:t>
        </w:r>
      </w:smartTag>
      <w:r w:rsidR="00483B05">
        <w:t xml:space="preserve"> and </w:t>
      </w:r>
      <w:smartTag w:uri="urn:schemas-microsoft-com:office:smarttags" w:element="place">
        <w:smartTag w:uri="urn:schemas-microsoft-com:office:smarttags" w:element="State">
          <w:r w:rsidR="00483B05">
            <w:t>Vermont</w:t>
          </w:r>
        </w:smartTag>
      </w:smartTag>
      <w:r w:rsidR="00483B05">
        <w:t>.</w:t>
      </w:r>
    </w:p>
    <w:p w:rsidR="009821C8" w:rsidRDefault="009821C8" w:rsidP="0005108C">
      <w:pPr>
        <w:spacing w:line="480" w:lineRule="auto"/>
        <w:ind w:left="720" w:hanging="720"/>
        <w:jc w:val="both"/>
      </w:pPr>
    </w:p>
    <w:p w:rsidR="00483B05" w:rsidRDefault="00483B05" w:rsidP="0005108C">
      <w:pPr>
        <w:spacing w:line="480" w:lineRule="auto"/>
        <w:ind w:left="720" w:hanging="720"/>
        <w:jc w:val="both"/>
      </w:pPr>
      <w:r>
        <w:tab/>
        <w:t xml:space="preserve">The proposed transaction </w:t>
      </w:r>
      <w:r w:rsidR="009821C8">
        <w:t>was controversial</w:t>
      </w:r>
      <w:r w:rsidR="005F24B4">
        <w:t xml:space="preserve"> </w:t>
      </w:r>
      <w:r w:rsidR="00ED0A02">
        <w:t xml:space="preserve">and </w:t>
      </w:r>
      <w:r w:rsidR="005F24B4">
        <w:t>the implementation o</w:t>
      </w:r>
      <w:r w:rsidR="00ED0A02">
        <w:t>f the sale was seriously flawed</w:t>
      </w:r>
      <w:r w:rsidR="009821C8">
        <w:t xml:space="preserve">.  </w:t>
      </w:r>
      <w:r w:rsidR="00ED0A02">
        <w:t xml:space="preserve">In </w:t>
      </w:r>
      <w:smartTag w:uri="urn:schemas-microsoft-com:office:smarttags" w:element="place">
        <w:smartTag w:uri="urn:schemas-microsoft-com:office:smarttags" w:element="State">
          <w:r w:rsidR="00ED0A02">
            <w:t>Vermont</w:t>
          </w:r>
        </w:smartTag>
      </w:smartTag>
      <w:r w:rsidR="00ED0A02">
        <w:t>, f</w:t>
      </w:r>
      <w:r w:rsidR="00232C5C">
        <w:t xml:space="preserve">or example, the </w:t>
      </w:r>
      <w:r>
        <w:t>Public Service Board initially den</w:t>
      </w:r>
      <w:r w:rsidR="009821C8">
        <w:t>ied</w:t>
      </w:r>
      <w:r>
        <w:t xml:space="preserve"> the </w:t>
      </w:r>
      <w:r w:rsidR="009821C8">
        <w:t>application</w:t>
      </w:r>
      <w:r>
        <w:t>.  The petitione</w:t>
      </w:r>
      <w:r w:rsidR="00B51749">
        <w:t>rs submitted a revised proposal</w:t>
      </w:r>
      <w:r>
        <w:t xml:space="preserve"> in</w:t>
      </w:r>
      <w:r w:rsidR="009821C8">
        <w:t xml:space="preserve"> </w:t>
      </w:r>
      <w:r>
        <w:t>whi</w:t>
      </w:r>
      <w:r w:rsidR="009821C8">
        <w:t>c</w:t>
      </w:r>
      <w:r>
        <w:t>h they improved the transaction from the standpoint of rat</w:t>
      </w:r>
      <w:r w:rsidR="009821C8">
        <w:t>epa</w:t>
      </w:r>
      <w:r>
        <w:t>yers in several wa</w:t>
      </w:r>
      <w:r w:rsidR="009821C8">
        <w:t>y</w:t>
      </w:r>
      <w:r w:rsidR="00F74D11">
        <w:t>s.  T</w:t>
      </w:r>
      <w:r>
        <w:t>h</w:t>
      </w:r>
      <w:r w:rsidR="009821C8">
        <w:t>e revised proposal bettered Fair</w:t>
      </w:r>
      <w:r>
        <w:t>Point’s financial standing after the acquisition by substantially reducing the initial debt an</w:t>
      </w:r>
      <w:r w:rsidR="00F74D11">
        <w:t>d</w:t>
      </w:r>
      <w:r>
        <w:t xml:space="preserve"> decreasing dividends.  In addition, the proposal was revised to include a Performance Enhancement Plan, which was designed to prompt more investment and improve s</w:t>
      </w:r>
      <w:r w:rsidR="00710893">
        <w:t>ervice quality by mandating that Fa</w:t>
      </w:r>
      <w:r>
        <w:t>irPoint set aside funds when it fails to meet certain specified service standards.  Also</w:t>
      </w:r>
      <w:r w:rsidR="00D66088">
        <w:t>,</w:t>
      </w:r>
      <w:r>
        <w:t xml:space="preserve"> FairPoint agreed to an independent monitor of the transition </w:t>
      </w:r>
      <w:r>
        <w:lastRenderedPageBreak/>
        <w:t xml:space="preserve">from Verizon’s systems to its own, </w:t>
      </w:r>
      <w:r w:rsidR="00EE38FC">
        <w:t xml:space="preserve">with the objective of </w:t>
      </w:r>
      <w:r>
        <w:t>mak</w:t>
      </w:r>
      <w:r w:rsidR="00EE38FC">
        <w:t>ing</w:t>
      </w:r>
      <w:r>
        <w:t xml:space="preserve"> the transition more seamless and further safeguard</w:t>
      </w:r>
      <w:r w:rsidR="00B51749">
        <w:t>ing</w:t>
      </w:r>
      <w:r>
        <w:t xml:space="preserve"> </w:t>
      </w:r>
      <w:r w:rsidR="00441D48">
        <w:t>c</w:t>
      </w:r>
      <w:r>
        <w:t>onsumers.</w:t>
      </w:r>
      <w:r w:rsidR="0001744D">
        <w:rPr>
          <w:rStyle w:val="FootnoteReference"/>
        </w:rPr>
        <w:footnoteReference w:id="12"/>
      </w:r>
    </w:p>
    <w:p w:rsidR="00483B05" w:rsidRDefault="00483B05" w:rsidP="0005108C">
      <w:pPr>
        <w:spacing w:line="480" w:lineRule="auto"/>
        <w:ind w:left="720" w:hanging="720"/>
        <w:jc w:val="both"/>
      </w:pPr>
    </w:p>
    <w:p w:rsidR="00F74D11" w:rsidRDefault="00483B05" w:rsidP="0005108C">
      <w:pPr>
        <w:spacing w:line="480" w:lineRule="auto"/>
        <w:ind w:left="720"/>
        <w:jc w:val="both"/>
      </w:pPr>
      <w:r>
        <w:t xml:space="preserve">The Vermont Public Service Board approved the transfer </w:t>
      </w:r>
      <w:r w:rsidR="00710893">
        <w:t>wi</w:t>
      </w:r>
      <w:r>
        <w:t>th additional conditions on February 15, 2008</w:t>
      </w:r>
      <w:r w:rsidR="00710893">
        <w:t>.</w:t>
      </w:r>
      <w:r w:rsidR="00710893">
        <w:rPr>
          <w:rStyle w:val="FootnoteReference"/>
        </w:rPr>
        <w:footnoteReference w:id="13"/>
      </w:r>
      <w:r>
        <w:t xml:space="preserve"> </w:t>
      </w:r>
      <w:r w:rsidR="00A8333A">
        <w:t>Following the transaction,</w:t>
      </w:r>
      <w:r w:rsidR="00710893">
        <w:t xml:space="preserve"> </w:t>
      </w:r>
      <w:r w:rsidR="00A8333A">
        <w:t xml:space="preserve">there </w:t>
      </w:r>
      <w:r w:rsidR="00C7764E">
        <w:t xml:space="preserve">began a series of </w:t>
      </w:r>
      <w:r w:rsidR="00A8333A">
        <w:t xml:space="preserve">“cutover” </w:t>
      </w:r>
      <w:r w:rsidR="00710893">
        <w:t>problems</w:t>
      </w:r>
      <w:r w:rsidR="00FB06DE">
        <w:t xml:space="preserve"> that are still not</w:t>
      </w:r>
      <w:r w:rsidR="00C7764E">
        <w:t xml:space="preserve"> fully</w:t>
      </w:r>
      <w:r w:rsidR="00FB06DE">
        <w:t xml:space="preserve"> resolved</w:t>
      </w:r>
      <w:r>
        <w:t xml:space="preserve">.  Indeed, service </w:t>
      </w:r>
      <w:r w:rsidR="00710893">
        <w:t>deteriorated to the e</w:t>
      </w:r>
      <w:r>
        <w:t>xtent that the Board called for an investigation in</w:t>
      </w:r>
      <w:r w:rsidR="00710893">
        <w:t>to whether th</w:t>
      </w:r>
      <w:r>
        <w:t>e</w:t>
      </w:r>
      <w:r w:rsidR="00710893">
        <w:t xml:space="preserve"> </w:t>
      </w:r>
      <w:r>
        <w:t>Company s</w:t>
      </w:r>
      <w:r w:rsidR="00710893">
        <w:t>hould be allowed to continue it</w:t>
      </w:r>
      <w:r>
        <w:t>s operations in the state if it cannot overcome its customer service, bill</w:t>
      </w:r>
      <w:r w:rsidR="00710893">
        <w:t>ing</w:t>
      </w:r>
      <w:r>
        <w:t xml:space="preserve"> and operational problems.</w:t>
      </w:r>
      <w:r w:rsidR="0001744D">
        <w:rPr>
          <w:rStyle w:val="FootnoteReference"/>
        </w:rPr>
        <w:footnoteReference w:id="14"/>
      </w:r>
    </w:p>
    <w:p w:rsidR="00AE353E" w:rsidRDefault="00AE353E" w:rsidP="0005108C">
      <w:pPr>
        <w:spacing w:line="480" w:lineRule="auto"/>
        <w:ind w:left="720"/>
        <w:jc w:val="both"/>
      </w:pPr>
    </w:p>
    <w:p w:rsidR="005A00B9" w:rsidRDefault="005A00B9" w:rsidP="0005108C">
      <w:pPr>
        <w:spacing w:line="480" w:lineRule="auto"/>
        <w:ind w:left="720"/>
        <w:jc w:val="both"/>
      </w:pPr>
      <w:r>
        <w:t xml:space="preserve">On July 1, 2009, FairPoint’s new CEO, David Hauser, candidly acknowledged that FairPoint’s reputation has been damaged by operational problems following the takeover of Verizon’s northern </w:t>
      </w:r>
      <w:smartTag w:uri="urn:schemas-microsoft-com:office:smarttags" w:element="place">
        <w:r>
          <w:t>New England</w:t>
        </w:r>
      </w:smartTag>
      <w:r>
        <w:t xml:space="preserve"> landline telephone and Internet business.  Attachment </w:t>
      </w:r>
      <w:r w:rsidR="00A8333A">
        <w:t>C</w:t>
      </w:r>
      <w:r>
        <w:t xml:space="preserve"> to this testimony is a complete copy of Mr. Hauser’s statement.</w:t>
      </w:r>
    </w:p>
    <w:p w:rsidR="002B45D9" w:rsidRDefault="00667FEA" w:rsidP="0005108C">
      <w:pPr>
        <w:pStyle w:val="NormalWeb"/>
        <w:spacing w:line="480" w:lineRule="auto"/>
        <w:ind w:left="720"/>
        <w:jc w:val="both"/>
      </w:pPr>
      <w:r>
        <w:t>On October 26</w:t>
      </w:r>
      <w:r w:rsidR="00F31705">
        <w:t xml:space="preserve">, 2009, </w:t>
      </w:r>
      <w:r>
        <w:t xml:space="preserve">eight </w:t>
      </w:r>
      <w:r w:rsidR="00D66088">
        <w:t xml:space="preserve">days </w:t>
      </w:r>
      <w:r w:rsidR="00F31705">
        <w:t xml:space="preserve">before the filing of this testimony, </w:t>
      </w:r>
      <w:r w:rsidR="0042190F">
        <w:t>FairPoint</w:t>
      </w:r>
      <w:r w:rsidR="00F31705">
        <w:t xml:space="preserve"> </w:t>
      </w:r>
      <w:r w:rsidR="00935434">
        <w:t xml:space="preserve">announced that it had filed </w:t>
      </w:r>
      <w:r w:rsidR="00F31705">
        <w:t xml:space="preserve">for </w:t>
      </w:r>
      <w:r w:rsidR="00AE353E">
        <w:t>Chapter 11 bankruptcy protection.</w:t>
      </w:r>
      <w:r w:rsidR="00645E5D">
        <w:t xml:space="preserve"> </w:t>
      </w:r>
      <w:r w:rsidR="002B58FB">
        <w:rPr>
          <w:rStyle w:val="FootnoteReference"/>
        </w:rPr>
        <w:footnoteReference w:id="15"/>
      </w:r>
      <w:r w:rsidR="00645E5D">
        <w:t xml:space="preserve"> </w:t>
      </w:r>
      <w:bookmarkStart w:id="3" w:name="Service_areas"/>
      <w:bookmarkEnd w:id="3"/>
    </w:p>
    <w:p w:rsidR="00710893" w:rsidRPr="002B45D9" w:rsidRDefault="00710893" w:rsidP="0005108C">
      <w:pPr>
        <w:pStyle w:val="NormalWeb"/>
        <w:spacing w:line="480" w:lineRule="auto"/>
        <w:ind w:left="720" w:hanging="720"/>
        <w:jc w:val="both"/>
        <w:rPr>
          <w:b/>
        </w:rPr>
      </w:pPr>
      <w:r w:rsidRPr="002B45D9">
        <w:rPr>
          <w:b/>
        </w:rPr>
        <w:t>Q.</w:t>
      </w:r>
      <w:r w:rsidRPr="002B45D9">
        <w:rPr>
          <w:b/>
        </w:rPr>
        <w:tab/>
        <w:t>WHAT IS THE LESSON FROM THESE PREVIOUS VERIZON SPIN-OFFS?</w:t>
      </w:r>
    </w:p>
    <w:p w:rsidR="008162CB" w:rsidRDefault="00710893" w:rsidP="0005108C">
      <w:pPr>
        <w:spacing w:line="480" w:lineRule="auto"/>
        <w:ind w:left="720" w:hanging="720"/>
        <w:jc w:val="both"/>
      </w:pPr>
      <w:r>
        <w:lastRenderedPageBreak/>
        <w:t>A.</w:t>
      </w:r>
      <w:r>
        <w:tab/>
      </w:r>
      <w:r w:rsidR="00CA4B52">
        <w:t xml:space="preserve">Both the </w:t>
      </w:r>
      <w:smartTag w:uri="urn:schemas-microsoft-com:office:smarttags" w:element="State">
        <w:r w:rsidR="00645E5D">
          <w:t>Hawaii</w:t>
        </w:r>
      </w:smartTag>
      <w:r w:rsidR="00645E5D">
        <w:t xml:space="preserve"> and </w:t>
      </w:r>
      <w:r w:rsidR="00CA4B52">
        <w:t xml:space="preserve">the </w:t>
      </w:r>
      <w:r w:rsidR="00645E5D">
        <w:t>FairPoin</w:t>
      </w:r>
      <w:r w:rsidR="00CA4B52">
        <w:t>t</w:t>
      </w:r>
      <w:r>
        <w:t xml:space="preserve"> transaction</w:t>
      </w:r>
      <w:r w:rsidR="00CA4B52">
        <w:t>s</w:t>
      </w:r>
      <w:r>
        <w:t xml:space="preserve"> </w:t>
      </w:r>
      <w:r w:rsidR="00CA4B52">
        <w:t>were</w:t>
      </w:r>
      <w:r w:rsidR="00342BFA">
        <w:t xml:space="preserve"> described as seamless and </w:t>
      </w:r>
      <w:r w:rsidR="00441D48">
        <w:t>of no harm to consumers</w:t>
      </w:r>
      <w:r w:rsidR="00342BFA">
        <w:t xml:space="preserve">, much as </w:t>
      </w:r>
      <w:r w:rsidR="005F24B4">
        <w:t xml:space="preserve">this </w:t>
      </w:r>
      <w:r w:rsidR="00342BFA">
        <w:t xml:space="preserve">transaction </w:t>
      </w:r>
      <w:r w:rsidR="005F24B4">
        <w:t xml:space="preserve">in </w:t>
      </w:r>
      <w:smartTag w:uri="urn:schemas-microsoft-com:office:smarttags" w:element="State">
        <w:smartTag w:uri="urn:schemas-microsoft-com:office:smarttags" w:element="place">
          <w:r w:rsidR="002C1D0C">
            <w:t>Washington</w:t>
          </w:r>
        </w:smartTag>
      </w:smartTag>
      <w:r w:rsidR="00F6797D">
        <w:t xml:space="preserve"> </w:t>
      </w:r>
      <w:r w:rsidR="00342BFA">
        <w:t>has been described by Frontier and Verizon. Events proved otherwise in each case.  In view of this</w:t>
      </w:r>
      <w:r w:rsidR="00F6797D">
        <w:t xml:space="preserve"> history, this</w:t>
      </w:r>
      <w:r w:rsidR="008162CB">
        <w:t xml:space="preserve"> Commission must view with great suspicion any statements by Verizon and Frontier </w:t>
      </w:r>
      <w:r w:rsidR="00342BFA">
        <w:t>that there will be</w:t>
      </w:r>
      <w:r w:rsidR="002654C8">
        <w:t xml:space="preserve"> </w:t>
      </w:r>
      <w:r w:rsidR="008162CB">
        <w:t>no impact on customers</w:t>
      </w:r>
      <w:r w:rsidR="00342BFA">
        <w:t xml:space="preserve"> from the</w:t>
      </w:r>
      <w:r w:rsidR="008162CB">
        <w:t xml:space="preserve"> transfer.</w:t>
      </w:r>
      <w:r w:rsidR="00645E5D">
        <w:t xml:space="preserve">  </w:t>
      </w:r>
    </w:p>
    <w:p w:rsidR="008162CB" w:rsidRPr="00055E90" w:rsidRDefault="008162CB" w:rsidP="0005108C">
      <w:pPr>
        <w:spacing w:line="480" w:lineRule="auto"/>
      </w:pPr>
    </w:p>
    <w:p w:rsidR="00182F43" w:rsidRDefault="005F24B4" w:rsidP="0005108C">
      <w:pPr>
        <w:spacing w:line="480" w:lineRule="auto"/>
        <w:ind w:left="720"/>
        <w:jc w:val="both"/>
      </w:pPr>
      <w:r>
        <w:t>I</w:t>
      </w:r>
      <w:r w:rsidR="00F6797D">
        <w:t xml:space="preserve"> therefore</w:t>
      </w:r>
      <w:r w:rsidR="001F3D1E">
        <w:t xml:space="preserve"> believe it is</w:t>
      </w:r>
      <w:r w:rsidR="005A00B9">
        <w:t xml:space="preserve"> </w:t>
      </w:r>
      <w:r>
        <w:t xml:space="preserve">important </w:t>
      </w:r>
      <w:r w:rsidR="00FA3C87">
        <w:t>that th</w:t>
      </w:r>
      <w:r w:rsidR="00CA4B52">
        <w:t xml:space="preserve">is Commission establish safeguards </w:t>
      </w:r>
      <w:r w:rsidR="000A1BF1">
        <w:t xml:space="preserve">to </w:t>
      </w:r>
      <w:r w:rsidR="00CA4B52">
        <w:t>ensure that the</w:t>
      </w:r>
      <w:r w:rsidR="00FA3C87">
        <w:t xml:space="preserve"> difficulties</w:t>
      </w:r>
      <w:r w:rsidR="00342BFA">
        <w:t xml:space="preserve"> that arose in these previous spin-offs </w:t>
      </w:r>
      <w:r w:rsidR="00CA4B52">
        <w:t xml:space="preserve">will </w:t>
      </w:r>
      <w:r w:rsidR="00FA3C87">
        <w:t xml:space="preserve">not be repeated in </w:t>
      </w:r>
      <w:smartTag w:uri="urn:schemas-microsoft-com:office:smarttags" w:element="State">
        <w:smartTag w:uri="urn:schemas-microsoft-com:office:smarttags" w:element="place">
          <w:r w:rsidR="002C1D0C">
            <w:t>Washington</w:t>
          </w:r>
        </w:smartTag>
      </w:smartTag>
      <w:r w:rsidR="00342BFA">
        <w:t>.</w:t>
      </w:r>
    </w:p>
    <w:p w:rsidR="00182F43" w:rsidRDefault="00182F43" w:rsidP="0005108C">
      <w:pPr>
        <w:spacing w:line="480" w:lineRule="auto"/>
        <w:jc w:val="both"/>
      </w:pPr>
    </w:p>
    <w:p w:rsidR="00F74D11" w:rsidRPr="00F74D11" w:rsidRDefault="00F74D11" w:rsidP="0005108C">
      <w:pPr>
        <w:spacing w:line="480" w:lineRule="auto"/>
        <w:jc w:val="both"/>
        <w:rPr>
          <w:b/>
          <w:u w:val="single"/>
        </w:rPr>
      </w:pPr>
      <w:r>
        <w:rPr>
          <w:b/>
          <w:u w:val="single"/>
        </w:rPr>
        <w:t>OBJECTIVE</w:t>
      </w:r>
      <w:r w:rsidR="000A1BF1">
        <w:rPr>
          <w:b/>
          <w:u w:val="single"/>
        </w:rPr>
        <w:t xml:space="preserve"> OF THIS INTERVENTION</w:t>
      </w:r>
    </w:p>
    <w:p w:rsidR="00376E13" w:rsidRDefault="00376E13" w:rsidP="0005108C">
      <w:pPr>
        <w:spacing w:line="480" w:lineRule="auto"/>
        <w:jc w:val="both"/>
      </w:pPr>
    </w:p>
    <w:p w:rsidR="00376E13" w:rsidRDefault="00376E13" w:rsidP="0005108C">
      <w:pPr>
        <w:spacing w:line="480" w:lineRule="auto"/>
        <w:jc w:val="both"/>
        <w:rPr>
          <w:b/>
        </w:rPr>
      </w:pPr>
      <w:r>
        <w:rPr>
          <w:b/>
        </w:rPr>
        <w:t>Q.</w:t>
      </w:r>
      <w:r w:rsidR="000A1BF1">
        <w:rPr>
          <w:b/>
        </w:rPr>
        <w:tab/>
        <w:t xml:space="preserve">DO YOU </w:t>
      </w:r>
      <w:r>
        <w:rPr>
          <w:b/>
        </w:rPr>
        <w:t>OPPOSE THIS TRANSACTION?</w:t>
      </w:r>
    </w:p>
    <w:p w:rsidR="00376E13" w:rsidRDefault="00376E13" w:rsidP="0005108C">
      <w:pPr>
        <w:spacing w:line="480" w:lineRule="auto"/>
        <w:jc w:val="both"/>
        <w:rPr>
          <w:b/>
        </w:rPr>
      </w:pPr>
    </w:p>
    <w:p w:rsidR="00376E13" w:rsidRDefault="00376E13" w:rsidP="0005108C">
      <w:pPr>
        <w:spacing w:line="480" w:lineRule="auto"/>
        <w:ind w:left="720" w:hanging="720"/>
        <w:jc w:val="both"/>
      </w:pPr>
      <w:r>
        <w:t>A.</w:t>
      </w:r>
      <w:r>
        <w:tab/>
      </w:r>
      <w:r w:rsidR="00182F43">
        <w:t>As it is now structured, I do.  However, w</w:t>
      </w:r>
      <w:r w:rsidR="0061076F">
        <w:t xml:space="preserve">ith </w:t>
      </w:r>
      <w:r w:rsidR="000A1BF1">
        <w:t>adequate and</w:t>
      </w:r>
      <w:r w:rsidR="0061076F">
        <w:t xml:space="preserve"> focused safeguards</w:t>
      </w:r>
      <w:r w:rsidR="00182F43">
        <w:t xml:space="preserve"> such as I will describe in this testimony</w:t>
      </w:r>
      <w:r w:rsidR="000A1BF1">
        <w:t>, t</w:t>
      </w:r>
      <w:r>
        <w:t>h</w:t>
      </w:r>
      <w:r w:rsidR="00CA4B52">
        <w:t>is</w:t>
      </w:r>
      <w:r>
        <w:t xml:space="preserve"> transaction </w:t>
      </w:r>
      <w:r w:rsidR="00182F43">
        <w:t>c</w:t>
      </w:r>
      <w:r w:rsidR="00034762">
        <w:t>ould be</w:t>
      </w:r>
      <w:r>
        <w:t xml:space="preserve"> in the public interest.  As Frontier’s witness states in his testimony, Frontier is a rurally oriented local exchange carrier with </w:t>
      </w:r>
      <w:r w:rsidR="000A3660">
        <w:t xml:space="preserve">many </w:t>
      </w:r>
      <w:r>
        <w:t>years</w:t>
      </w:r>
      <w:r w:rsidR="000A3660">
        <w:t xml:space="preserve"> of</w:t>
      </w:r>
      <w:r>
        <w:t xml:space="preserve"> experience.</w:t>
      </w:r>
      <w:r w:rsidR="004D6811">
        <w:rPr>
          <w:rStyle w:val="FootnoteReference"/>
        </w:rPr>
        <w:footnoteReference w:id="16"/>
      </w:r>
      <w:r>
        <w:t xml:space="preserve">  It appears eager to expand the scope of services offered in </w:t>
      </w:r>
      <w:smartTag w:uri="urn:schemas-microsoft-com:office:smarttags" w:element="State">
        <w:smartTag w:uri="urn:schemas-microsoft-com:office:smarttags" w:element="place">
          <w:r w:rsidR="002C1D0C">
            <w:t>Washington</w:t>
          </w:r>
        </w:smartTag>
      </w:smartTag>
      <w:r w:rsidR="000A3660">
        <w:t xml:space="preserve">, </w:t>
      </w:r>
      <w:r>
        <w:t>particular</w:t>
      </w:r>
      <w:r w:rsidR="000A3660">
        <w:t>ly</w:t>
      </w:r>
      <w:r>
        <w:t xml:space="preserve"> high-speed Internet</w:t>
      </w:r>
      <w:r w:rsidR="000A3660">
        <w:t xml:space="preserve"> service</w:t>
      </w:r>
      <w:r>
        <w:t>.  To deny this transaction would be to require Verizon to continue to serv</w:t>
      </w:r>
      <w:r w:rsidR="000A3660">
        <w:t xml:space="preserve">e exchanges it would prefer to </w:t>
      </w:r>
      <w:r>
        <w:t xml:space="preserve">exit and customers it would prefer not to </w:t>
      </w:r>
      <w:r>
        <w:lastRenderedPageBreak/>
        <w:t>have.  This would not be</w:t>
      </w:r>
      <w:r w:rsidR="00034762">
        <w:t xml:space="preserve"> a</w:t>
      </w:r>
      <w:r>
        <w:t xml:space="preserve"> prescription for reliable, efficient and responsive telecommunications service.  </w:t>
      </w:r>
    </w:p>
    <w:p w:rsidR="00376E13" w:rsidRDefault="00376E13" w:rsidP="0005108C">
      <w:pPr>
        <w:spacing w:line="480" w:lineRule="auto"/>
        <w:ind w:left="720" w:hanging="720"/>
        <w:jc w:val="both"/>
      </w:pPr>
    </w:p>
    <w:p w:rsidR="00376E13" w:rsidRDefault="00376E13" w:rsidP="0005108C">
      <w:pPr>
        <w:spacing w:line="480" w:lineRule="auto"/>
        <w:ind w:left="720" w:hanging="720"/>
        <w:jc w:val="both"/>
        <w:rPr>
          <w:b/>
        </w:rPr>
      </w:pPr>
      <w:r>
        <w:rPr>
          <w:b/>
        </w:rPr>
        <w:t>Q.</w:t>
      </w:r>
      <w:r>
        <w:rPr>
          <w:b/>
        </w:rPr>
        <w:tab/>
        <w:t xml:space="preserve">WHAT, THEN, IS </w:t>
      </w:r>
      <w:r w:rsidR="000A1BF1">
        <w:rPr>
          <w:b/>
        </w:rPr>
        <w:t xml:space="preserve">YOUR </w:t>
      </w:r>
      <w:r w:rsidR="00034762">
        <w:rPr>
          <w:b/>
        </w:rPr>
        <w:t>CONCERN</w:t>
      </w:r>
      <w:r>
        <w:rPr>
          <w:b/>
        </w:rPr>
        <w:t xml:space="preserve"> IN THIS PROCEEDING?</w:t>
      </w:r>
    </w:p>
    <w:p w:rsidR="00376E13" w:rsidRDefault="00376E13" w:rsidP="0005108C">
      <w:pPr>
        <w:spacing w:line="480" w:lineRule="auto"/>
        <w:ind w:left="720" w:hanging="720"/>
        <w:jc w:val="both"/>
        <w:rPr>
          <w:b/>
        </w:rPr>
      </w:pPr>
    </w:p>
    <w:p w:rsidR="00376E13" w:rsidRDefault="000A1BF1" w:rsidP="0005108C">
      <w:pPr>
        <w:spacing w:line="480" w:lineRule="auto"/>
        <w:ind w:left="720" w:hanging="720"/>
        <w:jc w:val="both"/>
      </w:pPr>
      <w:r>
        <w:t>A.</w:t>
      </w:r>
      <w:r>
        <w:tab/>
      </w:r>
      <w:r w:rsidR="0061076F">
        <w:t xml:space="preserve">I am </w:t>
      </w:r>
      <w:r w:rsidR="00034762">
        <w:t>conce</w:t>
      </w:r>
      <w:r w:rsidR="00CA4B52">
        <w:t>r</w:t>
      </w:r>
      <w:r w:rsidR="00D56DCE">
        <w:t>ned</w:t>
      </w:r>
      <w:r w:rsidR="00376E13">
        <w:t xml:space="preserve"> that the transition from Verizon to Frontier </w:t>
      </w:r>
      <w:r w:rsidR="000F2EF4">
        <w:t>be</w:t>
      </w:r>
      <w:r w:rsidR="00376E13">
        <w:t xml:space="preserve"> as seamless as poss</w:t>
      </w:r>
      <w:r w:rsidR="000A3660">
        <w:t>ible and that there</w:t>
      </w:r>
      <w:r w:rsidR="0061076F">
        <w:t xml:space="preserve"> be</w:t>
      </w:r>
      <w:r w:rsidR="000A3660">
        <w:t xml:space="preserve"> no </w:t>
      </w:r>
      <w:r w:rsidR="00A8333A">
        <w:t>rate</w:t>
      </w:r>
      <w:r w:rsidR="00376E13">
        <w:t xml:space="preserve"> increases</w:t>
      </w:r>
      <w:r w:rsidR="004945D2">
        <w:t>, disruptions,</w:t>
      </w:r>
      <w:r w:rsidR="00376E13">
        <w:t xml:space="preserve"> or </w:t>
      </w:r>
      <w:r w:rsidR="004945D2">
        <w:t xml:space="preserve">other </w:t>
      </w:r>
      <w:r w:rsidR="00376E13">
        <w:t>service quality losses</w:t>
      </w:r>
      <w:r w:rsidR="001F3D1E">
        <w:t xml:space="preserve"> arising from this transaction</w:t>
      </w:r>
      <w:r w:rsidR="00376E13">
        <w:t xml:space="preserve">.  In this testimony, I recommend several </w:t>
      </w:r>
      <w:r w:rsidR="00E17520">
        <w:t>conditions that should be imposed on Frontier</w:t>
      </w:r>
      <w:r w:rsidR="00182F43">
        <w:t xml:space="preserve"> and Verizon</w:t>
      </w:r>
      <w:r w:rsidR="00E17520">
        <w:t xml:space="preserve"> as part of the approval of the transaction.  If</w:t>
      </w:r>
      <w:r w:rsidR="00182F43">
        <w:t xml:space="preserve"> these two companies are</w:t>
      </w:r>
      <w:r w:rsidR="00E17520">
        <w:t xml:space="preserve"> prepared to</w:t>
      </w:r>
      <w:r w:rsidR="00CA4B52">
        <w:t xml:space="preserve"> meet the commitment </w:t>
      </w:r>
      <w:r w:rsidR="00182F43">
        <w:t>they</w:t>
      </w:r>
      <w:r w:rsidR="00CA4B52">
        <w:t xml:space="preserve"> ha</w:t>
      </w:r>
      <w:r w:rsidR="00182F43">
        <w:t>ve</w:t>
      </w:r>
      <w:r w:rsidR="00CA4B52">
        <w:t xml:space="preserve"> made</w:t>
      </w:r>
      <w:r w:rsidR="000F2EF4">
        <w:t xml:space="preserve"> to</w:t>
      </w:r>
      <w:r w:rsidR="00CA4B52">
        <w:t xml:space="preserve"> transparency and seamlessness, </w:t>
      </w:r>
      <w:r w:rsidR="00E17520">
        <w:t>then these conditions should be al</w:t>
      </w:r>
      <w:r w:rsidR="000A3660">
        <w:t>together painless</w:t>
      </w:r>
      <w:r w:rsidR="00E17520">
        <w:t>.</w:t>
      </w:r>
    </w:p>
    <w:p w:rsidR="00E17520" w:rsidRDefault="00E17520" w:rsidP="0005108C">
      <w:pPr>
        <w:spacing w:line="480" w:lineRule="auto"/>
        <w:ind w:left="720" w:hanging="720"/>
        <w:jc w:val="both"/>
      </w:pPr>
    </w:p>
    <w:p w:rsidR="00E17520" w:rsidRDefault="00E17520" w:rsidP="0005108C">
      <w:pPr>
        <w:spacing w:line="480" w:lineRule="auto"/>
        <w:ind w:left="720" w:hanging="720"/>
        <w:jc w:val="both"/>
      </w:pPr>
      <w:r>
        <w:tab/>
        <w:t xml:space="preserve">These conditions relate to two </w:t>
      </w:r>
      <w:r w:rsidR="00CA4B52">
        <w:t xml:space="preserve">principal </w:t>
      </w:r>
      <w:r>
        <w:t xml:space="preserve">areas of concern to DoD/FEA.  The first is the financial health of the </w:t>
      </w:r>
      <w:smartTag w:uri="urn:schemas-microsoft-com:office:smarttags" w:element="State">
        <w:smartTag w:uri="urn:schemas-microsoft-com:office:smarttags" w:element="place">
          <w:r w:rsidR="002C1D0C">
            <w:t>Washington</w:t>
          </w:r>
        </w:smartTag>
      </w:smartTag>
      <w:r>
        <w:t xml:space="preserve"> operation.  The second is the maintenance of adequate service quality in the </w:t>
      </w:r>
      <w:smartTag w:uri="urn:schemas-microsoft-com:office:smarttags" w:element="State">
        <w:smartTag w:uri="urn:schemas-microsoft-com:office:smarttags" w:element="place">
          <w:r w:rsidR="002C1D0C">
            <w:t>Washington</w:t>
          </w:r>
        </w:smartTag>
      </w:smartTag>
      <w:r>
        <w:t xml:space="preserve"> exchanges.</w:t>
      </w:r>
    </w:p>
    <w:p w:rsidR="00E17520" w:rsidRDefault="00E17520" w:rsidP="0005108C">
      <w:pPr>
        <w:spacing w:line="480" w:lineRule="auto"/>
        <w:ind w:left="720" w:hanging="720"/>
        <w:jc w:val="both"/>
      </w:pPr>
    </w:p>
    <w:p w:rsidR="00E30DB5" w:rsidRDefault="00E30DB5" w:rsidP="0005108C">
      <w:pPr>
        <w:spacing w:line="480" w:lineRule="auto"/>
        <w:ind w:left="720" w:hanging="720"/>
        <w:jc w:val="both"/>
      </w:pPr>
    </w:p>
    <w:p w:rsidR="00E17520" w:rsidRDefault="00E17520" w:rsidP="0005108C">
      <w:pPr>
        <w:spacing w:line="480" w:lineRule="auto"/>
        <w:ind w:left="720" w:hanging="720"/>
        <w:jc w:val="both"/>
        <w:rPr>
          <w:b/>
          <w:u w:val="single"/>
        </w:rPr>
      </w:pPr>
      <w:r>
        <w:rPr>
          <w:b/>
          <w:u w:val="single"/>
        </w:rPr>
        <w:t xml:space="preserve">FINANCIAL HEALTH OF </w:t>
      </w:r>
      <w:smartTag w:uri="urn:schemas-microsoft-com:office:smarttags" w:element="place">
        <w:smartTag w:uri="urn:schemas-microsoft-com:office:smarttags" w:element="State">
          <w:r w:rsidR="002C1D0C">
            <w:rPr>
              <w:b/>
              <w:u w:val="single"/>
            </w:rPr>
            <w:t>WASHINGTON</w:t>
          </w:r>
        </w:smartTag>
      </w:smartTag>
      <w:r>
        <w:rPr>
          <w:b/>
          <w:u w:val="single"/>
        </w:rPr>
        <w:t xml:space="preserve"> OPERATIONS</w:t>
      </w:r>
    </w:p>
    <w:p w:rsidR="00E17520" w:rsidRDefault="00E17520" w:rsidP="0005108C">
      <w:pPr>
        <w:spacing w:line="480" w:lineRule="auto"/>
        <w:ind w:left="720" w:hanging="720"/>
        <w:jc w:val="both"/>
        <w:rPr>
          <w:b/>
          <w:u w:val="single"/>
        </w:rPr>
      </w:pPr>
    </w:p>
    <w:p w:rsidR="00E17520" w:rsidRDefault="00E17520" w:rsidP="0005108C">
      <w:pPr>
        <w:spacing w:line="480" w:lineRule="auto"/>
        <w:ind w:left="720" w:hanging="720"/>
        <w:jc w:val="both"/>
        <w:rPr>
          <w:b/>
        </w:rPr>
      </w:pPr>
      <w:r>
        <w:rPr>
          <w:b/>
        </w:rPr>
        <w:t>Q.</w:t>
      </w:r>
      <w:r>
        <w:rPr>
          <w:b/>
        </w:rPr>
        <w:tab/>
        <w:t xml:space="preserve">WHY </w:t>
      </w:r>
      <w:r w:rsidR="000A1BF1">
        <w:rPr>
          <w:b/>
        </w:rPr>
        <w:t>ARE YOU</w:t>
      </w:r>
      <w:r>
        <w:rPr>
          <w:b/>
        </w:rPr>
        <w:t xml:space="preserve"> CONCERNED ABOUT THE FINANCIAL HEALTH OF THE </w:t>
      </w:r>
      <w:smartTag w:uri="urn:schemas-microsoft-com:office:smarttags" w:element="State">
        <w:smartTag w:uri="urn:schemas-microsoft-com:office:smarttags" w:element="place">
          <w:r w:rsidR="002C1D0C">
            <w:rPr>
              <w:b/>
            </w:rPr>
            <w:t>WASHINGTON</w:t>
          </w:r>
        </w:smartTag>
      </w:smartTag>
      <w:r>
        <w:rPr>
          <w:b/>
        </w:rPr>
        <w:t xml:space="preserve"> OPERATIONS?</w:t>
      </w:r>
    </w:p>
    <w:p w:rsidR="00E17520" w:rsidRDefault="00E17520" w:rsidP="0005108C">
      <w:pPr>
        <w:spacing w:line="480" w:lineRule="auto"/>
        <w:ind w:left="720" w:hanging="720"/>
        <w:jc w:val="both"/>
        <w:rPr>
          <w:b/>
        </w:rPr>
      </w:pPr>
    </w:p>
    <w:p w:rsidR="0086733E" w:rsidRDefault="004E5F56" w:rsidP="0005108C">
      <w:pPr>
        <w:spacing w:line="480" w:lineRule="auto"/>
        <w:ind w:left="720" w:hanging="720"/>
        <w:jc w:val="both"/>
      </w:pPr>
      <w:r>
        <w:lastRenderedPageBreak/>
        <w:t>A.</w:t>
      </w:r>
      <w:r>
        <w:tab/>
        <w:t xml:space="preserve">Some historical numbers </w:t>
      </w:r>
      <w:r w:rsidR="002654C8">
        <w:t xml:space="preserve">describing </w:t>
      </w:r>
      <w:r>
        <w:t>Frontier will explain this concern:</w:t>
      </w:r>
    </w:p>
    <w:p w:rsidR="0086733E" w:rsidRDefault="0086733E" w:rsidP="00376E13">
      <w:pPr>
        <w:spacing w:line="360" w:lineRule="auto"/>
        <w:ind w:left="720" w:hanging="720"/>
        <w:jc w:val="both"/>
      </w:pPr>
    </w:p>
    <w:tbl>
      <w:tblPr>
        <w:tblW w:w="8862" w:type="dxa"/>
        <w:tblInd w:w="93" w:type="dxa"/>
        <w:tblLook w:val="0000"/>
      </w:tblPr>
      <w:tblGrid>
        <w:gridCol w:w="2407"/>
        <w:gridCol w:w="1096"/>
        <w:gridCol w:w="1096"/>
        <w:gridCol w:w="1096"/>
        <w:gridCol w:w="1096"/>
        <w:gridCol w:w="1096"/>
        <w:gridCol w:w="1096"/>
      </w:tblGrid>
      <w:tr w:rsidR="0086733E" w:rsidTr="0086733E">
        <w:trPr>
          <w:trHeight w:val="315"/>
        </w:trPr>
        <w:tc>
          <w:tcPr>
            <w:tcW w:w="7782" w:type="dxa"/>
            <w:gridSpan w:val="6"/>
            <w:tcBorders>
              <w:top w:val="nil"/>
              <w:left w:val="nil"/>
              <w:bottom w:val="nil"/>
              <w:right w:val="nil"/>
            </w:tcBorders>
            <w:shd w:val="clear" w:color="auto" w:fill="auto"/>
            <w:noWrap/>
            <w:vAlign w:val="bottom"/>
          </w:tcPr>
          <w:p w:rsidR="0086733E" w:rsidRDefault="0086733E">
            <w:pPr>
              <w:jc w:val="center"/>
              <w:rPr>
                <w:rFonts w:ascii="Arial" w:hAnsi="Arial" w:cs="Arial"/>
                <w:b/>
                <w:bCs/>
              </w:rPr>
            </w:pPr>
            <w:r>
              <w:rPr>
                <w:rFonts w:ascii="Arial" w:hAnsi="Arial" w:cs="Arial"/>
                <w:b/>
                <w:bCs/>
              </w:rPr>
              <w:t>Frontier Communications</w:t>
            </w:r>
          </w:p>
        </w:tc>
        <w:tc>
          <w:tcPr>
            <w:tcW w:w="1080" w:type="dxa"/>
            <w:tcBorders>
              <w:top w:val="nil"/>
              <w:left w:val="nil"/>
              <w:bottom w:val="nil"/>
              <w:right w:val="nil"/>
            </w:tcBorders>
            <w:shd w:val="clear" w:color="auto" w:fill="auto"/>
            <w:noWrap/>
            <w:vAlign w:val="bottom"/>
          </w:tcPr>
          <w:p w:rsidR="0086733E" w:rsidRDefault="0086733E">
            <w:pPr>
              <w:rPr>
                <w:rFonts w:ascii="Arial" w:hAnsi="Arial" w:cs="Arial"/>
                <w:sz w:val="20"/>
                <w:szCs w:val="20"/>
              </w:rPr>
            </w:pPr>
          </w:p>
        </w:tc>
      </w:tr>
      <w:tr w:rsidR="0086733E" w:rsidTr="0086733E">
        <w:trPr>
          <w:trHeight w:val="300"/>
        </w:trPr>
        <w:tc>
          <w:tcPr>
            <w:tcW w:w="2407" w:type="dxa"/>
            <w:tcBorders>
              <w:top w:val="nil"/>
              <w:left w:val="nil"/>
              <w:bottom w:val="nil"/>
              <w:right w:val="nil"/>
            </w:tcBorders>
            <w:shd w:val="clear" w:color="auto" w:fill="auto"/>
            <w:noWrap/>
            <w:vAlign w:val="bottom"/>
          </w:tcPr>
          <w:p w:rsidR="0086733E" w:rsidRDefault="0086733E">
            <w:pPr>
              <w:jc w:val="center"/>
              <w:rPr>
                <w:sz w:val="22"/>
                <w:szCs w:val="22"/>
              </w:rPr>
            </w:pPr>
          </w:p>
        </w:tc>
        <w:tc>
          <w:tcPr>
            <w:tcW w:w="1075" w:type="dxa"/>
            <w:tcBorders>
              <w:top w:val="nil"/>
              <w:left w:val="nil"/>
              <w:bottom w:val="nil"/>
              <w:right w:val="nil"/>
            </w:tcBorders>
            <w:shd w:val="clear" w:color="auto" w:fill="auto"/>
            <w:noWrap/>
            <w:vAlign w:val="bottom"/>
          </w:tcPr>
          <w:p w:rsidR="0086733E" w:rsidRDefault="0086733E">
            <w:pPr>
              <w:jc w:val="center"/>
              <w:rPr>
                <w:sz w:val="22"/>
                <w:szCs w:val="22"/>
              </w:rPr>
            </w:pPr>
            <w:r>
              <w:rPr>
                <w:sz w:val="22"/>
                <w:szCs w:val="22"/>
              </w:rPr>
              <w:t>2004</w:t>
            </w:r>
          </w:p>
        </w:tc>
        <w:tc>
          <w:tcPr>
            <w:tcW w:w="1075" w:type="dxa"/>
            <w:tcBorders>
              <w:top w:val="nil"/>
              <w:left w:val="nil"/>
              <w:bottom w:val="nil"/>
              <w:right w:val="nil"/>
            </w:tcBorders>
            <w:shd w:val="clear" w:color="auto" w:fill="auto"/>
            <w:noWrap/>
            <w:vAlign w:val="bottom"/>
          </w:tcPr>
          <w:p w:rsidR="0086733E" w:rsidRDefault="0086733E">
            <w:pPr>
              <w:jc w:val="center"/>
              <w:rPr>
                <w:sz w:val="22"/>
                <w:szCs w:val="22"/>
              </w:rPr>
            </w:pPr>
            <w:r>
              <w:rPr>
                <w:sz w:val="22"/>
                <w:szCs w:val="22"/>
              </w:rPr>
              <w:t>2005</w:t>
            </w:r>
          </w:p>
        </w:tc>
        <w:tc>
          <w:tcPr>
            <w:tcW w:w="1075" w:type="dxa"/>
            <w:tcBorders>
              <w:top w:val="nil"/>
              <w:left w:val="nil"/>
              <w:bottom w:val="nil"/>
              <w:right w:val="nil"/>
            </w:tcBorders>
            <w:shd w:val="clear" w:color="auto" w:fill="auto"/>
            <w:noWrap/>
            <w:vAlign w:val="bottom"/>
          </w:tcPr>
          <w:p w:rsidR="0086733E" w:rsidRDefault="0086733E">
            <w:pPr>
              <w:jc w:val="center"/>
              <w:rPr>
                <w:sz w:val="22"/>
                <w:szCs w:val="22"/>
              </w:rPr>
            </w:pPr>
            <w:r>
              <w:rPr>
                <w:sz w:val="22"/>
                <w:szCs w:val="22"/>
              </w:rPr>
              <w:t>2006</w:t>
            </w:r>
          </w:p>
        </w:tc>
        <w:tc>
          <w:tcPr>
            <w:tcW w:w="1075" w:type="dxa"/>
            <w:tcBorders>
              <w:top w:val="nil"/>
              <w:left w:val="nil"/>
              <w:bottom w:val="nil"/>
              <w:right w:val="nil"/>
            </w:tcBorders>
            <w:shd w:val="clear" w:color="auto" w:fill="auto"/>
            <w:noWrap/>
            <w:vAlign w:val="bottom"/>
          </w:tcPr>
          <w:p w:rsidR="0086733E" w:rsidRDefault="0086733E">
            <w:pPr>
              <w:jc w:val="center"/>
              <w:rPr>
                <w:sz w:val="22"/>
                <w:szCs w:val="22"/>
              </w:rPr>
            </w:pPr>
            <w:r>
              <w:rPr>
                <w:sz w:val="22"/>
                <w:szCs w:val="22"/>
              </w:rPr>
              <w:t>2007</w:t>
            </w:r>
          </w:p>
        </w:tc>
        <w:tc>
          <w:tcPr>
            <w:tcW w:w="1075" w:type="dxa"/>
            <w:tcBorders>
              <w:top w:val="nil"/>
              <w:left w:val="nil"/>
              <w:bottom w:val="nil"/>
              <w:right w:val="nil"/>
            </w:tcBorders>
            <w:shd w:val="clear" w:color="auto" w:fill="auto"/>
            <w:noWrap/>
            <w:vAlign w:val="bottom"/>
          </w:tcPr>
          <w:p w:rsidR="0086733E" w:rsidRDefault="0086733E">
            <w:pPr>
              <w:jc w:val="center"/>
              <w:rPr>
                <w:sz w:val="22"/>
                <w:szCs w:val="22"/>
              </w:rPr>
            </w:pPr>
            <w:r>
              <w:rPr>
                <w:sz w:val="22"/>
                <w:szCs w:val="22"/>
              </w:rPr>
              <w:t>2008</w:t>
            </w:r>
          </w:p>
        </w:tc>
        <w:tc>
          <w:tcPr>
            <w:tcW w:w="1080" w:type="dxa"/>
            <w:tcBorders>
              <w:top w:val="nil"/>
              <w:left w:val="nil"/>
              <w:bottom w:val="nil"/>
              <w:right w:val="nil"/>
            </w:tcBorders>
            <w:shd w:val="clear" w:color="auto" w:fill="auto"/>
            <w:noWrap/>
            <w:vAlign w:val="bottom"/>
          </w:tcPr>
          <w:p w:rsidR="0086733E" w:rsidRDefault="001F3D1E">
            <w:pPr>
              <w:jc w:val="center"/>
              <w:rPr>
                <w:sz w:val="22"/>
                <w:szCs w:val="22"/>
              </w:rPr>
            </w:pPr>
            <w:r>
              <w:rPr>
                <w:sz w:val="22"/>
                <w:szCs w:val="22"/>
              </w:rPr>
              <w:t>6 Mos.</w:t>
            </w:r>
            <w:r w:rsidR="0086733E">
              <w:rPr>
                <w:sz w:val="22"/>
                <w:szCs w:val="22"/>
              </w:rPr>
              <w:t xml:space="preserve"> 2009</w:t>
            </w:r>
          </w:p>
        </w:tc>
      </w:tr>
      <w:tr w:rsidR="0086733E" w:rsidTr="0086733E">
        <w:trPr>
          <w:trHeight w:val="300"/>
        </w:trPr>
        <w:tc>
          <w:tcPr>
            <w:tcW w:w="2407" w:type="dxa"/>
            <w:tcBorders>
              <w:top w:val="nil"/>
              <w:left w:val="nil"/>
              <w:bottom w:val="nil"/>
              <w:right w:val="nil"/>
            </w:tcBorders>
            <w:shd w:val="clear" w:color="auto" w:fill="auto"/>
            <w:noWrap/>
            <w:vAlign w:val="bottom"/>
          </w:tcPr>
          <w:p w:rsidR="0086733E" w:rsidRDefault="0086733E">
            <w:pPr>
              <w:rPr>
                <w:sz w:val="22"/>
                <w:szCs w:val="22"/>
              </w:rPr>
            </w:pPr>
            <w:r>
              <w:rPr>
                <w:sz w:val="22"/>
                <w:szCs w:val="22"/>
              </w:rPr>
              <w:t>Earnings per Share</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$0.23 </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$0.60 </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$1.06 </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$0.65 </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$0.57 </w:t>
            </w:r>
          </w:p>
        </w:tc>
        <w:tc>
          <w:tcPr>
            <w:tcW w:w="1080"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$0.20 </w:t>
            </w:r>
          </w:p>
        </w:tc>
      </w:tr>
      <w:tr w:rsidR="0086733E" w:rsidTr="0086733E">
        <w:trPr>
          <w:trHeight w:val="300"/>
        </w:trPr>
        <w:tc>
          <w:tcPr>
            <w:tcW w:w="2407" w:type="dxa"/>
            <w:tcBorders>
              <w:top w:val="nil"/>
              <w:left w:val="nil"/>
              <w:bottom w:val="nil"/>
              <w:right w:val="nil"/>
            </w:tcBorders>
            <w:shd w:val="clear" w:color="auto" w:fill="auto"/>
            <w:noWrap/>
            <w:vAlign w:val="bottom"/>
          </w:tcPr>
          <w:p w:rsidR="0086733E" w:rsidRDefault="0086733E">
            <w:pPr>
              <w:rPr>
                <w:sz w:val="22"/>
                <w:szCs w:val="22"/>
              </w:rPr>
            </w:pPr>
            <w:r>
              <w:rPr>
                <w:sz w:val="22"/>
                <w:szCs w:val="22"/>
              </w:rPr>
              <w:t>Dividends per Share</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$2.50 </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$1.00 </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$1.00 </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$1.00 </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$1.00 </w:t>
            </w:r>
          </w:p>
        </w:tc>
        <w:tc>
          <w:tcPr>
            <w:tcW w:w="1080"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 xml:space="preserve">$0.50 </w:t>
            </w:r>
          </w:p>
        </w:tc>
      </w:tr>
      <w:tr w:rsidR="0086733E" w:rsidTr="0086733E">
        <w:trPr>
          <w:trHeight w:val="300"/>
        </w:trPr>
        <w:tc>
          <w:tcPr>
            <w:tcW w:w="2407" w:type="dxa"/>
            <w:tcBorders>
              <w:top w:val="nil"/>
              <w:left w:val="nil"/>
              <w:bottom w:val="nil"/>
              <w:right w:val="nil"/>
            </w:tcBorders>
            <w:shd w:val="clear" w:color="auto" w:fill="auto"/>
            <w:noWrap/>
            <w:vAlign w:val="bottom"/>
          </w:tcPr>
          <w:p w:rsidR="0086733E" w:rsidRPr="00935434" w:rsidRDefault="0086733E">
            <w:pPr>
              <w:rPr>
                <w:sz w:val="22"/>
                <w:szCs w:val="22"/>
                <w:u w:val="single"/>
              </w:rPr>
            </w:pPr>
            <w:r w:rsidRPr="00935434">
              <w:rPr>
                <w:sz w:val="22"/>
                <w:szCs w:val="22"/>
                <w:u w:val="single"/>
              </w:rPr>
              <w:t>Book Capital Structure:</w:t>
            </w:r>
          </w:p>
        </w:tc>
        <w:tc>
          <w:tcPr>
            <w:tcW w:w="1075" w:type="dxa"/>
            <w:tcBorders>
              <w:top w:val="nil"/>
              <w:left w:val="nil"/>
              <w:bottom w:val="nil"/>
              <w:right w:val="nil"/>
            </w:tcBorders>
            <w:shd w:val="clear" w:color="auto" w:fill="auto"/>
            <w:noWrap/>
            <w:vAlign w:val="bottom"/>
          </w:tcPr>
          <w:p w:rsidR="0086733E" w:rsidRDefault="0086733E">
            <w:pPr>
              <w:jc w:val="center"/>
              <w:rPr>
                <w:sz w:val="22"/>
                <w:szCs w:val="22"/>
              </w:rPr>
            </w:pPr>
          </w:p>
        </w:tc>
        <w:tc>
          <w:tcPr>
            <w:tcW w:w="1075" w:type="dxa"/>
            <w:tcBorders>
              <w:top w:val="nil"/>
              <w:left w:val="nil"/>
              <w:bottom w:val="nil"/>
              <w:right w:val="nil"/>
            </w:tcBorders>
            <w:shd w:val="clear" w:color="auto" w:fill="auto"/>
            <w:noWrap/>
            <w:vAlign w:val="bottom"/>
          </w:tcPr>
          <w:p w:rsidR="0086733E" w:rsidRDefault="0086733E">
            <w:pPr>
              <w:jc w:val="center"/>
              <w:rPr>
                <w:sz w:val="22"/>
                <w:szCs w:val="22"/>
              </w:rPr>
            </w:pPr>
          </w:p>
        </w:tc>
        <w:tc>
          <w:tcPr>
            <w:tcW w:w="1075" w:type="dxa"/>
            <w:tcBorders>
              <w:top w:val="nil"/>
              <w:left w:val="nil"/>
              <w:bottom w:val="nil"/>
              <w:right w:val="nil"/>
            </w:tcBorders>
            <w:shd w:val="clear" w:color="auto" w:fill="auto"/>
            <w:noWrap/>
            <w:vAlign w:val="bottom"/>
          </w:tcPr>
          <w:p w:rsidR="0086733E" w:rsidRDefault="0086733E">
            <w:pPr>
              <w:jc w:val="center"/>
              <w:rPr>
                <w:sz w:val="22"/>
                <w:szCs w:val="22"/>
              </w:rPr>
            </w:pPr>
          </w:p>
        </w:tc>
        <w:tc>
          <w:tcPr>
            <w:tcW w:w="1075" w:type="dxa"/>
            <w:tcBorders>
              <w:top w:val="nil"/>
              <w:left w:val="nil"/>
              <w:bottom w:val="nil"/>
              <w:right w:val="nil"/>
            </w:tcBorders>
            <w:shd w:val="clear" w:color="auto" w:fill="auto"/>
            <w:noWrap/>
            <w:vAlign w:val="bottom"/>
          </w:tcPr>
          <w:p w:rsidR="0086733E" w:rsidRDefault="0086733E">
            <w:pPr>
              <w:jc w:val="center"/>
              <w:rPr>
                <w:sz w:val="22"/>
                <w:szCs w:val="22"/>
              </w:rPr>
            </w:pPr>
          </w:p>
        </w:tc>
        <w:tc>
          <w:tcPr>
            <w:tcW w:w="1075" w:type="dxa"/>
            <w:tcBorders>
              <w:top w:val="nil"/>
              <w:left w:val="nil"/>
              <w:bottom w:val="nil"/>
              <w:right w:val="nil"/>
            </w:tcBorders>
            <w:shd w:val="clear" w:color="auto" w:fill="auto"/>
            <w:noWrap/>
            <w:vAlign w:val="bottom"/>
          </w:tcPr>
          <w:p w:rsidR="0086733E" w:rsidRDefault="0086733E">
            <w:pPr>
              <w:jc w:val="center"/>
              <w:rPr>
                <w:sz w:val="22"/>
                <w:szCs w:val="22"/>
              </w:rPr>
            </w:pPr>
          </w:p>
        </w:tc>
        <w:tc>
          <w:tcPr>
            <w:tcW w:w="1080" w:type="dxa"/>
            <w:tcBorders>
              <w:top w:val="nil"/>
              <w:left w:val="nil"/>
              <w:bottom w:val="nil"/>
              <w:right w:val="nil"/>
            </w:tcBorders>
            <w:shd w:val="clear" w:color="auto" w:fill="auto"/>
            <w:noWrap/>
            <w:vAlign w:val="bottom"/>
          </w:tcPr>
          <w:p w:rsidR="0086733E" w:rsidRDefault="0086733E">
            <w:pPr>
              <w:rPr>
                <w:sz w:val="22"/>
                <w:szCs w:val="22"/>
              </w:rPr>
            </w:pPr>
          </w:p>
        </w:tc>
      </w:tr>
      <w:tr w:rsidR="0086733E" w:rsidTr="0086733E">
        <w:trPr>
          <w:trHeight w:val="300"/>
        </w:trPr>
        <w:tc>
          <w:tcPr>
            <w:tcW w:w="2407" w:type="dxa"/>
            <w:tcBorders>
              <w:top w:val="nil"/>
              <w:left w:val="nil"/>
              <w:bottom w:val="nil"/>
              <w:right w:val="nil"/>
            </w:tcBorders>
            <w:shd w:val="clear" w:color="auto" w:fill="auto"/>
            <w:noWrap/>
            <w:vAlign w:val="bottom"/>
          </w:tcPr>
          <w:p w:rsidR="0086733E" w:rsidRDefault="0086733E">
            <w:pPr>
              <w:rPr>
                <w:sz w:val="22"/>
                <w:szCs w:val="22"/>
              </w:rPr>
            </w:pPr>
            <w:r>
              <w:rPr>
                <w:sz w:val="22"/>
                <w:szCs w:val="22"/>
              </w:rPr>
              <w:t>Long-term Debt ($</w:t>
            </w:r>
            <w:r w:rsidR="001F3D1E">
              <w:rPr>
                <w:sz w:val="22"/>
                <w:szCs w:val="22"/>
              </w:rPr>
              <w:t>000</w:t>
            </w:r>
            <w:r>
              <w:rPr>
                <w:sz w:val="22"/>
                <w:szCs w:val="22"/>
              </w:rPr>
              <w:t>)</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4,266,998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3,999,376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4,467,086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4,736,897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4,721,685 </w:t>
            </w:r>
          </w:p>
        </w:tc>
        <w:tc>
          <w:tcPr>
            <w:tcW w:w="1080"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4,944,989 </w:t>
            </w:r>
          </w:p>
        </w:tc>
      </w:tr>
      <w:tr w:rsidR="0086733E" w:rsidTr="0086733E">
        <w:trPr>
          <w:trHeight w:val="300"/>
        </w:trPr>
        <w:tc>
          <w:tcPr>
            <w:tcW w:w="2407" w:type="dxa"/>
            <w:tcBorders>
              <w:top w:val="nil"/>
              <w:left w:val="nil"/>
              <w:bottom w:val="nil"/>
              <w:right w:val="nil"/>
            </w:tcBorders>
            <w:shd w:val="clear" w:color="auto" w:fill="auto"/>
            <w:noWrap/>
            <w:vAlign w:val="bottom"/>
          </w:tcPr>
          <w:p w:rsidR="0086733E" w:rsidRDefault="0086733E">
            <w:pPr>
              <w:rPr>
                <w:sz w:val="22"/>
                <w:szCs w:val="22"/>
              </w:rPr>
            </w:pPr>
            <w:r>
              <w:rPr>
                <w:sz w:val="22"/>
                <w:szCs w:val="22"/>
              </w:rPr>
              <w:t xml:space="preserve">Equity             </w:t>
            </w:r>
            <w:r w:rsidR="00B86A99">
              <w:rPr>
                <w:sz w:val="22"/>
                <w:szCs w:val="22"/>
              </w:rPr>
              <w:t xml:space="preserve">   </w:t>
            </w:r>
            <w:r>
              <w:rPr>
                <w:sz w:val="22"/>
                <w:szCs w:val="22"/>
              </w:rPr>
              <w:t xml:space="preserve"> ($</w:t>
            </w:r>
            <w:r w:rsidR="001F3D1E">
              <w:rPr>
                <w:sz w:val="22"/>
                <w:szCs w:val="22"/>
              </w:rPr>
              <w:t>000</w:t>
            </w:r>
            <w:r>
              <w:rPr>
                <w:sz w:val="22"/>
                <w:szCs w:val="22"/>
              </w:rPr>
              <w:t>)</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1,362,240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1,041,809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1,058,032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997,899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519,045 </w:t>
            </w:r>
          </w:p>
        </w:tc>
        <w:tc>
          <w:tcPr>
            <w:tcW w:w="1080"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448,161 </w:t>
            </w:r>
          </w:p>
        </w:tc>
      </w:tr>
      <w:tr w:rsidR="0086733E" w:rsidTr="0086733E">
        <w:trPr>
          <w:trHeight w:val="300"/>
        </w:trPr>
        <w:tc>
          <w:tcPr>
            <w:tcW w:w="2407" w:type="dxa"/>
            <w:tcBorders>
              <w:top w:val="nil"/>
              <w:left w:val="nil"/>
              <w:bottom w:val="nil"/>
              <w:right w:val="nil"/>
            </w:tcBorders>
            <w:shd w:val="clear" w:color="auto" w:fill="auto"/>
            <w:noWrap/>
            <w:vAlign w:val="bottom"/>
          </w:tcPr>
          <w:p w:rsidR="0086733E" w:rsidRDefault="00935434">
            <w:pPr>
              <w:rPr>
                <w:sz w:val="22"/>
                <w:szCs w:val="22"/>
              </w:rPr>
            </w:pPr>
            <w:r>
              <w:rPr>
                <w:sz w:val="22"/>
                <w:szCs w:val="22"/>
              </w:rPr>
              <w:t xml:space="preserve">  </w:t>
            </w:r>
            <w:r w:rsidR="0086733E">
              <w:rPr>
                <w:sz w:val="22"/>
                <w:szCs w:val="22"/>
              </w:rPr>
              <w:t>Total Capital    ($</w:t>
            </w:r>
            <w:r w:rsidR="001F3D1E">
              <w:rPr>
                <w:sz w:val="22"/>
                <w:szCs w:val="22"/>
              </w:rPr>
              <w:t>000</w:t>
            </w:r>
            <w:r w:rsidR="0086733E">
              <w:rPr>
                <w:sz w:val="22"/>
                <w:szCs w:val="22"/>
              </w:rPr>
              <w:t>)</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5,629,238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5,041,185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5,525,118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5,734,796 </w:t>
            </w:r>
          </w:p>
        </w:tc>
        <w:tc>
          <w:tcPr>
            <w:tcW w:w="1075"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5,240,730 </w:t>
            </w:r>
          </w:p>
        </w:tc>
        <w:tc>
          <w:tcPr>
            <w:tcW w:w="1080" w:type="dxa"/>
            <w:tcBorders>
              <w:top w:val="nil"/>
              <w:left w:val="nil"/>
              <w:bottom w:val="nil"/>
              <w:right w:val="nil"/>
            </w:tcBorders>
            <w:shd w:val="clear" w:color="auto" w:fill="auto"/>
            <w:noWrap/>
            <w:vAlign w:val="bottom"/>
          </w:tcPr>
          <w:p w:rsidR="0086733E" w:rsidRDefault="0086733E" w:rsidP="0086733E">
            <w:pPr>
              <w:jc w:val="right"/>
              <w:rPr>
                <w:sz w:val="22"/>
                <w:szCs w:val="22"/>
              </w:rPr>
            </w:pPr>
            <w:r>
              <w:rPr>
                <w:sz w:val="22"/>
                <w:szCs w:val="22"/>
              </w:rPr>
              <w:t xml:space="preserve">  5,393,150 </w:t>
            </w:r>
          </w:p>
        </w:tc>
      </w:tr>
      <w:tr w:rsidR="0086733E" w:rsidTr="0086733E">
        <w:trPr>
          <w:trHeight w:val="300"/>
        </w:trPr>
        <w:tc>
          <w:tcPr>
            <w:tcW w:w="2407" w:type="dxa"/>
            <w:tcBorders>
              <w:top w:val="nil"/>
              <w:left w:val="nil"/>
              <w:bottom w:val="nil"/>
              <w:right w:val="nil"/>
            </w:tcBorders>
            <w:shd w:val="clear" w:color="auto" w:fill="auto"/>
            <w:noWrap/>
            <w:vAlign w:val="bottom"/>
          </w:tcPr>
          <w:p w:rsidR="0086733E" w:rsidRPr="00935434" w:rsidRDefault="0086733E">
            <w:pPr>
              <w:rPr>
                <w:sz w:val="22"/>
                <w:szCs w:val="22"/>
                <w:u w:val="single"/>
              </w:rPr>
            </w:pPr>
            <w:r>
              <w:rPr>
                <w:sz w:val="22"/>
                <w:szCs w:val="22"/>
              </w:rPr>
              <w:t xml:space="preserve">   </w:t>
            </w:r>
            <w:r w:rsidRPr="00935434">
              <w:rPr>
                <w:sz w:val="22"/>
                <w:szCs w:val="22"/>
                <w:u w:val="single"/>
              </w:rPr>
              <w:t>Percentages</w:t>
            </w:r>
          </w:p>
        </w:tc>
        <w:tc>
          <w:tcPr>
            <w:tcW w:w="1075" w:type="dxa"/>
            <w:tcBorders>
              <w:top w:val="nil"/>
              <w:left w:val="nil"/>
              <w:bottom w:val="nil"/>
              <w:right w:val="nil"/>
            </w:tcBorders>
            <w:shd w:val="clear" w:color="auto" w:fill="auto"/>
            <w:noWrap/>
            <w:vAlign w:val="bottom"/>
          </w:tcPr>
          <w:p w:rsidR="0086733E" w:rsidRDefault="0086733E">
            <w:pPr>
              <w:rPr>
                <w:sz w:val="22"/>
                <w:szCs w:val="22"/>
              </w:rPr>
            </w:pPr>
          </w:p>
        </w:tc>
        <w:tc>
          <w:tcPr>
            <w:tcW w:w="1075" w:type="dxa"/>
            <w:tcBorders>
              <w:top w:val="nil"/>
              <w:left w:val="nil"/>
              <w:bottom w:val="nil"/>
              <w:right w:val="nil"/>
            </w:tcBorders>
            <w:shd w:val="clear" w:color="auto" w:fill="auto"/>
            <w:noWrap/>
            <w:vAlign w:val="bottom"/>
          </w:tcPr>
          <w:p w:rsidR="0086733E" w:rsidRDefault="0086733E">
            <w:pPr>
              <w:rPr>
                <w:sz w:val="22"/>
                <w:szCs w:val="22"/>
              </w:rPr>
            </w:pPr>
          </w:p>
        </w:tc>
        <w:tc>
          <w:tcPr>
            <w:tcW w:w="1075" w:type="dxa"/>
            <w:tcBorders>
              <w:top w:val="nil"/>
              <w:left w:val="nil"/>
              <w:bottom w:val="nil"/>
              <w:right w:val="nil"/>
            </w:tcBorders>
            <w:shd w:val="clear" w:color="auto" w:fill="auto"/>
            <w:noWrap/>
            <w:vAlign w:val="bottom"/>
          </w:tcPr>
          <w:p w:rsidR="0086733E" w:rsidRDefault="0086733E">
            <w:pPr>
              <w:rPr>
                <w:sz w:val="22"/>
                <w:szCs w:val="22"/>
              </w:rPr>
            </w:pPr>
          </w:p>
        </w:tc>
        <w:tc>
          <w:tcPr>
            <w:tcW w:w="1075" w:type="dxa"/>
            <w:tcBorders>
              <w:top w:val="nil"/>
              <w:left w:val="nil"/>
              <w:bottom w:val="nil"/>
              <w:right w:val="nil"/>
            </w:tcBorders>
            <w:shd w:val="clear" w:color="auto" w:fill="auto"/>
            <w:noWrap/>
            <w:vAlign w:val="bottom"/>
          </w:tcPr>
          <w:p w:rsidR="0086733E" w:rsidRDefault="0086733E">
            <w:pPr>
              <w:rPr>
                <w:sz w:val="22"/>
                <w:szCs w:val="22"/>
              </w:rPr>
            </w:pPr>
          </w:p>
        </w:tc>
        <w:tc>
          <w:tcPr>
            <w:tcW w:w="1075" w:type="dxa"/>
            <w:tcBorders>
              <w:top w:val="nil"/>
              <w:left w:val="nil"/>
              <w:bottom w:val="nil"/>
              <w:right w:val="nil"/>
            </w:tcBorders>
            <w:shd w:val="clear" w:color="auto" w:fill="auto"/>
            <w:noWrap/>
            <w:vAlign w:val="bottom"/>
          </w:tcPr>
          <w:p w:rsidR="0086733E" w:rsidRDefault="0086733E">
            <w:pPr>
              <w:rPr>
                <w:sz w:val="22"/>
                <w:szCs w:val="22"/>
              </w:rPr>
            </w:pPr>
          </w:p>
        </w:tc>
        <w:tc>
          <w:tcPr>
            <w:tcW w:w="1080" w:type="dxa"/>
            <w:tcBorders>
              <w:top w:val="nil"/>
              <w:left w:val="nil"/>
              <w:bottom w:val="nil"/>
              <w:right w:val="nil"/>
            </w:tcBorders>
            <w:shd w:val="clear" w:color="auto" w:fill="auto"/>
            <w:noWrap/>
            <w:vAlign w:val="bottom"/>
          </w:tcPr>
          <w:p w:rsidR="0086733E" w:rsidRDefault="0086733E">
            <w:pPr>
              <w:rPr>
                <w:sz w:val="22"/>
                <w:szCs w:val="22"/>
              </w:rPr>
            </w:pPr>
          </w:p>
        </w:tc>
      </w:tr>
      <w:tr w:rsidR="0086733E" w:rsidTr="0086733E">
        <w:trPr>
          <w:trHeight w:val="300"/>
        </w:trPr>
        <w:tc>
          <w:tcPr>
            <w:tcW w:w="2407" w:type="dxa"/>
            <w:tcBorders>
              <w:top w:val="nil"/>
              <w:left w:val="nil"/>
              <w:bottom w:val="nil"/>
              <w:right w:val="nil"/>
            </w:tcBorders>
            <w:shd w:val="clear" w:color="auto" w:fill="auto"/>
            <w:noWrap/>
            <w:vAlign w:val="bottom"/>
          </w:tcPr>
          <w:p w:rsidR="0086733E" w:rsidRDefault="0086733E">
            <w:pPr>
              <w:rPr>
                <w:sz w:val="22"/>
                <w:szCs w:val="22"/>
              </w:rPr>
            </w:pPr>
            <w:r>
              <w:rPr>
                <w:sz w:val="22"/>
                <w:szCs w:val="22"/>
              </w:rPr>
              <w:t>Long-term Debt</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75.8%</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79.3%</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80.9%</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82.6%</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90.1%</w:t>
            </w:r>
          </w:p>
        </w:tc>
        <w:tc>
          <w:tcPr>
            <w:tcW w:w="1080"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91.7%</w:t>
            </w:r>
          </w:p>
        </w:tc>
      </w:tr>
      <w:tr w:rsidR="0086733E" w:rsidTr="0086733E">
        <w:trPr>
          <w:trHeight w:val="300"/>
        </w:trPr>
        <w:tc>
          <w:tcPr>
            <w:tcW w:w="2407" w:type="dxa"/>
            <w:tcBorders>
              <w:top w:val="nil"/>
              <w:left w:val="nil"/>
              <w:bottom w:val="nil"/>
              <w:right w:val="nil"/>
            </w:tcBorders>
            <w:shd w:val="clear" w:color="auto" w:fill="auto"/>
            <w:noWrap/>
            <w:vAlign w:val="bottom"/>
          </w:tcPr>
          <w:p w:rsidR="0086733E" w:rsidRDefault="0086733E">
            <w:pPr>
              <w:rPr>
                <w:sz w:val="22"/>
                <w:szCs w:val="22"/>
              </w:rPr>
            </w:pPr>
            <w:r>
              <w:rPr>
                <w:sz w:val="22"/>
                <w:szCs w:val="22"/>
              </w:rPr>
              <w:t xml:space="preserve">Equity </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24.2%</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20.7%</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19.1%</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17.4%</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9.9%</w:t>
            </w:r>
          </w:p>
        </w:tc>
        <w:tc>
          <w:tcPr>
            <w:tcW w:w="1080"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8.3%</w:t>
            </w:r>
          </w:p>
        </w:tc>
      </w:tr>
      <w:tr w:rsidR="0086733E" w:rsidTr="0086733E">
        <w:trPr>
          <w:trHeight w:val="300"/>
        </w:trPr>
        <w:tc>
          <w:tcPr>
            <w:tcW w:w="2407" w:type="dxa"/>
            <w:tcBorders>
              <w:top w:val="nil"/>
              <w:left w:val="nil"/>
              <w:bottom w:val="nil"/>
              <w:right w:val="nil"/>
            </w:tcBorders>
            <w:shd w:val="clear" w:color="auto" w:fill="auto"/>
            <w:noWrap/>
            <w:vAlign w:val="bottom"/>
          </w:tcPr>
          <w:p w:rsidR="0086733E" w:rsidRDefault="00935434">
            <w:pPr>
              <w:rPr>
                <w:sz w:val="22"/>
                <w:szCs w:val="22"/>
              </w:rPr>
            </w:pPr>
            <w:r>
              <w:rPr>
                <w:sz w:val="22"/>
                <w:szCs w:val="22"/>
              </w:rPr>
              <w:t xml:space="preserve">  </w:t>
            </w:r>
            <w:r w:rsidR="0086733E">
              <w:rPr>
                <w:sz w:val="22"/>
                <w:szCs w:val="22"/>
              </w:rPr>
              <w:t>Total Capital</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100.0%</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100.0%</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100.0%</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100.0%</w:t>
            </w:r>
          </w:p>
        </w:tc>
        <w:tc>
          <w:tcPr>
            <w:tcW w:w="1075"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100.0%</w:t>
            </w:r>
          </w:p>
        </w:tc>
        <w:tc>
          <w:tcPr>
            <w:tcW w:w="1080" w:type="dxa"/>
            <w:tcBorders>
              <w:top w:val="nil"/>
              <w:left w:val="nil"/>
              <w:bottom w:val="nil"/>
              <w:right w:val="nil"/>
            </w:tcBorders>
            <w:shd w:val="clear" w:color="auto" w:fill="auto"/>
            <w:noWrap/>
            <w:vAlign w:val="bottom"/>
          </w:tcPr>
          <w:p w:rsidR="0086733E" w:rsidRDefault="0086733E">
            <w:pPr>
              <w:jc w:val="right"/>
              <w:rPr>
                <w:sz w:val="22"/>
                <w:szCs w:val="22"/>
              </w:rPr>
            </w:pPr>
            <w:r>
              <w:rPr>
                <w:sz w:val="22"/>
                <w:szCs w:val="22"/>
              </w:rPr>
              <w:t>100.0%</w:t>
            </w:r>
          </w:p>
        </w:tc>
      </w:tr>
    </w:tbl>
    <w:p w:rsidR="0086733E" w:rsidRDefault="0086733E" w:rsidP="00376E13">
      <w:pPr>
        <w:spacing w:line="360" w:lineRule="auto"/>
        <w:ind w:left="720" w:hanging="720"/>
        <w:jc w:val="both"/>
      </w:pPr>
    </w:p>
    <w:p w:rsidR="00B51749" w:rsidRDefault="0086733E" w:rsidP="00376E13">
      <w:pPr>
        <w:spacing w:line="360" w:lineRule="auto"/>
        <w:ind w:left="720" w:hanging="720"/>
        <w:jc w:val="both"/>
      </w:pPr>
      <w:r>
        <w:t xml:space="preserve"> </w:t>
      </w:r>
      <w:r w:rsidR="00935434">
        <w:t>Source: Frontier SEC Forms 10-K and 10-Q</w:t>
      </w:r>
      <w:r w:rsidR="00B86A99">
        <w:t>.</w:t>
      </w:r>
    </w:p>
    <w:p w:rsidR="006B3CE4" w:rsidRDefault="006B3CE4" w:rsidP="00376E13">
      <w:pPr>
        <w:spacing w:line="360" w:lineRule="auto"/>
        <w:ind w:left="720" w:hanging="720"/>
        <w:jc w:val="both"/>
      </w:pPr>
    </w:p>
    <w:p w:rsidR="009A5E3C" w:rsidRDefault="004E5F56" w:rsidP="0005108C">
      <w:pPr>
        <w:spacing w:line="480" w:lineRule="auto"/>
        <w:ind w:left="720" w:hanging="720"/>
        <w:jc w:val="both"/>
      </w:pPr>
      <w:r>
        <w:tab/>
        <w:t xml:space="preserve">This table demonstrates that Frontier has </w:t>
      </w:r>
      <w:r w:rsidR="0088167A">
        <w:t>repeatedly</w:t>
      </w:r>
      <w:r>
        <w:t xml:space="preserve"> issued dividends well in excess of its net income</w:t>
      </w:r>
      <w:r w:rsidR="0067283D">
        <w:t xml:space="preserve"> with the result that the equity portion of its capital structure has declined from an already low level of </w:t>
      </w:r>
      <w:r w:rsidR="006B3CE4">
        <w:t>24.2 percent in 2004 to only 8.3</w:t>
      </w:r>
      <w:r w:rsidR="0067283D">
        <w:t xml:space="preserve"> percent </w:t>
      </w:r>
      <w:r w:rsidR="006B3CE4">
        <w:t>as of June 30, 2009</w:t>
      </w:r>
      <w:r w:rsidR="0067283D">
        <w:t xml:space="preserve">.  </w:t>
      </w:r>
    </w:p>
    <w:p w:rsidR="0067283D" w:rsidRDefault="0067283D" w:rsidP="0005108C">
      <w:pPr>
        <w:spacing w:line="480" w:lineRule="auto"/>
        <w:ind w:left="720" w:hanging="720"/>
        <w:jc w:val="both"/>
      </w:pPr>
    </w:p>
    <w:p w:rsidR="00761255" w:rsidRDefault="009A5E3C" w:rsidP="0005108C">
      <w:pPr>
        <w:spacing w:line="480" w:lineRule="auto"/>
        <w:ind w:left="720"/>
        <w:jc w:val="both"/>
      </w:pPr>
      <w:r>
        <w:t>Frontier has promised to reduce its</w:t>
      </w:r>
      <w:r w:rsidR="00CA4B52">
        <w:t xml:space="preserve"> post-</w:t>
      </w:r>
      <w:r w:rsidR="007802FE">
        <w:t>transaction</w:t>
      </w:r>
      <w:r>
        <w:t xml:space="preserve"> dividend to $0.75 per share.  Unless earnings per share improve dramatically, this reduction</w:t>
      </w:r>
      <w:r w:rsidR="00C95487">
        <w:t xml:space="preserve"> will </w:t>
      </w:r>
      <w:r w:rsidR="007802FE">
        <w:t>still result in a divid</w:t>
      </w:r>
      <w:r w:rsidR="00CA4B52">
        <w:t xml:space="preserve">end </w:t>
      </w:r>
      <w:r w:rsidR="007802FE">
        <w:t>gr</w:t>
      </w:r>
      <w:r w:rsidR="00CA4B52">
        <w:t>e</w:t>
      </w:r>
      <w:r w:rsidR="007802FE">
        <w:t>ater</w:t>
      </w:r>
      <w:r w:rsidR="00CA4B52">
        <w:t xml:space="preserve"> than net income</w:t>
      </w:r>
      <w:r w:rsidR="00C95487">
        <w:t>.</w:t>
      </w:r>
      <w:r>
        <w:t xml:space="preserve">  </w:t>
      </w:r>
      <w:r w:rsidR="00CA4B52">
        <w:t>A $0.75</w:t>
      </w:r>
      <w:r>
        <w:t xml:space="preserve"> dividend </w:t>
      </w:r>
      <w:r w:rsidR="00CA4B52">
        <w:t>is</w:t>
      </w:r>
      <w:r>
        <w:t xml:space="preserve"> </w:t>
      </w:r>
      <w:r w:rsidR="0067283D">
        <w:t xml:space="preserve">more than </w:t>
      </w:r>
      <w:r>
        <w:t>30 percent greater than the</w:t>
      </w:r>
      <w:r w:rsidR="00CA4B52">
        <w:t xml:space="preserve"> Company’s</w:t>
      </w:r>
      <w:r>
        <w:t xml:space="preserve"> 2008 earnings</w:t>
      </w:r>
      <w:r w:rsidR="00CA4B52">
        <w:t xml:space="preserve"> per share</w:t>
      </w:r>
      <w:r>
        <w:t>.</w:t>
      </w:r>
      <w:r w:rsidR="00761255">
        <w:t xml:space="preserve">  </w:t>
      </w:r>
      <w:r w:rsidR="001F3D1E">
        <w:t>Moreover, a</w:t>
      </w:r>
      <w:r w:rsidR="00761255">
        <w:t xml:space="preserve">s of the second quarter of 2009, Frontier’s earnings are down </w:t>
      </w:r>
      <w:r w:rsidR="00FB06DE">
        <w:t xml:space="preserve">significantly </w:t>
      </w:r>
      <w:r w:rsidR="00761255">
        <w:t>from 2008.</w:t>
      </w:r>
      <w:r w:rsidR="004945D2">
        <w:t xml:space="preserve"> </w:t>
      </w:r>
      <w:r w:rsidR="00533063">
        <w:t xml:space="preserve"> </w:t>
      </w:r>
    </w:p>
    <w:p w:rsidR="00C95487" w:rsidRDefault="00C95487" w:rsidP="0005108C">
      <w:pPr>
        <w:spacing w:line="480" w:lineRule="auto"/>
        <w:ind w:left="720" w:hanging="720"/>
        <w:jc w:val="both"/>
      </w:pPr>
    </w:p>
    <w:p w:rsidR="004E5F56" w:rsidRDefault="009A5E3C" w:rsidP="0005108C">
      <w:pPr>
        <w:spacing w:line="480" w:lineRule="auto"/>
        <w:ind w:left="720"/>
        <w:jc w:val="both"/>
      </w:pPr>
      <w:r>
        <w:lastRenderedPageBreak/>
        <w:t>As a result of this over-generous dividend policy,</w:t>
      </w:r>
      <w:r w:rsidR="001B1E27">
        <w:t xml:space="preserve"> Frontier’s stock price, </w:t>
      </w:r>
      <w:r w:rsidR="000A3660">
        <w:t xml:space="preserve">currently </w:t>
      </w:r>
      <w:r w:rsidR="001B1E27">
        <w:t xml:space="preserve">at </w:t>
      </w:r>
      <w:r w:rsidR="00342BFA">
        <w:t xml:space="preserve">about </w:t>
      </w:r>
      <w:r w:rsidR="006B3CE4">
        <w:t>$7.20</w:t>
      </w:r>
      <w:r w:rsidR="001B1E27">
        <w:t xml:space="preserve"> per share</w:t>
      </w:r>
      <w:r w:rsidR="002D2EF6">
        <w:t>,</w:t>
      </w:r>
      <w:r w:rsidR="001B1E27">
        <w:t xml:space="preserve"> is over four times its book value.  Even at the reduced dividend of $.75, the divi</w:t>
      </w:r>
      <w:r w:rsidR="002D2EF6">
        <w:t>dend yield</w:t>
      </w:r>
      <w:r w:rsidR="006B3CE4">
        <w:t xml:space="preserve"> is close to</w:t>
      </w:r>
      <w:r w:rsidR="00761255">
        <w:t xml:space="preserve"> 10</w:t>
      </w:r>
      <w:r w:rsidR="001B1E27">
        <w:t xml:space="preserve"> percent.  This very high dividend yield indicates that investors h</w:t>
      </w:r>
      <w:r w:rsidR="002D2EF6">
        <w:t>ave little expectation of further</w:t>
      </w:r>
      <w:r w:rsidR="001B1E27">
        <w:t xml:space="preserve"> stock appreciation, not a good harbinger </w:t>
      </w:r>
      <w:r w:rsidR="002D2EF6">
        <w:t>for</w:t>
      </w:r>
      <w:r w:rsidR="001B1E27">
        <w:t xml:space="preserve"> the future.  </w:t>
      </w:r>
    </w:p>
    <w:p w:rsidR="001B1E27" w:rsidRDefault="001B1E27" w:rsidP="0005108C">
      <w:pPr>
        <w:spacing w:line="480" w:lineRule="auto"/>
        <w:ind w:left="720" w:hanging="720"/>
        <w:jc w:val="both"/>
      </w:pPr>
    </w:p>
    <w:p w:rsidR="009D1CCC" w:rsidRDefault="001B1E27" w:rsidP="0005108C">
      <w:pPr>
        <w:spacing w:line="480" w:lineRule="auto"/>
        <w:ind w:left="720" w:hanging="720"/>
        <w:jc w:val="both"/>
      </w:pPr>
      <w:r>
        <w:tab/>
      </w:r>
      <w:r w:rsidR="0098507B">
        <w:t>This strategy of paying</w:t>
      </w:r>
      <w:r>
        <w:t xml:space="preserve"> shareholders </w:t>
      </w:r>
      <w:r w:rsidR="0067283D">
        <w:t>in excess of the Company’s earnings</w:t>
      </w:r>
      <w:r>
        <w:t xml:space="preserve"> i</w:t>
      </w:r>
      <w:r w:rsidR="000A3660">
        <w:t xml:space="preserve">s </w:t>
      </w:r>
      <w:r>
        <w:t>unsustainable.  The book value of Frontier’s equity is now only abou</w:t>
      </w:r>
      <w:r w:rsidR="002D2EF6">
        <w:t xml:space="preserve">t </w:t>
      </w:r>
      <w:r w:rsidR="006B3CE4">
        <w:t>eight</w:t>
      </w:r>
      <w:r w:rsidR="002D2EF6">
        <w:t xml:space="preserve"> percent of the total </w:t>
      </w:r>
      <w:r>
        <w:t>asset value of the Company.  Thanks to Frontier’s very generous treatment of its shareholders, the market value of its equity is considerably higher</w:t>
      </w:r>
      <w:r w:rsidR="002D2EF6">
        <w:t>,</w:t>
      </w:r>
      <w:r w:rsidR="0067283D">
        <w:t xml:space="preserve"> so that i</w:t>
      </w:r>
      <w:r w:rsidR="002B58FB">
        <w:t>t</w:t>
      </w:r>
      <w:r w:rsidR="0067283D">
        <w:t>s market capitalization (as opposed to book capitalization) is</w:t>
      </w:r>
      <w:r w:rsidR="002D2EF6">
        <w:t xml:space="preserve"> about 35</w:t>
      </w:r>
      <w:r w:rsidR="0098507B">
        <w:t xml:space="preserve"> percent</w:t>
      </w:r>
      <w:r w:rsidR="0067283D">
        <w:t xml:space="preserve"> equity</w:t>
      </w:r>
      <w:r w:rsidR="0098507B">
        <w:t>. But Frontier cannot continue indefinitely to issue dividends greater than its net income</w:t>
      </w:r>
      <w:r w:rsidR="002075C8">
        <w:t xml:space="preserve"> because otherwise its </w:t>
      </w:r>
      <w:r w:rsidR="0067283D">
        <w:t>b</w:t>
      </w:r>
      <w:r w:rsidR="002075C8">
        <w:t>ook equity will be wiped out altogether.</w:t>
      </w:r>
      <w:r w:rsidR="0098507B">
        <w:t xml:space="preserve">  Either </w:t>
      </w:r>
      <w:r w:rsidR="001F3D1E">
        <w:t>Frontier</w:t>
      </w:r>
      <w:r w:rsidR="0098507B">
        <w:t xml:space="preserve"> must dramatically increase its earnings per share or it must reduce further its dividend.  If </w:t>
      </w:r>
      <w:r w:rsidR="001F3D1E">
        <w:t>the Company</w:t>
      </w:r>
      <w:r w:rsidR="0098507B">
        <w:t xml:space="preserve"> reduces its dividend, the market value of its stock will likely </w:t>
      </w:r>
      <w:r w:rsidR="009D1CCC">
        <w:t>decline</w:t>
      </w:r>
      <w:r w:rsidR="0098507B">
        <w:t xml:space="preserve"> and the Company will become severely over-leveraged. </w:t>
      </w:r>
    </w:p>
    <w:p w:rsidR="009D1CCC" w:rsidRDefault="009D1CCC" w:rsidP="0005108C">
      <w:pPr>
        <w:spacing w:line="480" w:lineRule="auto"/>
        <w:ind w:left="720" w:hanging="720"/>
        <w:jc w:val="both"/>
      </w:pPr>
    </w:p>
    <w:p w:rsidR="001B1E27" w:rsidRDefault="009D1CCC" w:rsidP="0005108C">
      <w:pPr>
        <w:spacing w:line="480" w:lineRule="auto"/>
        <w:ind w:left="720"/>
        <w:jc w:val="both"/>
      </w:pPr>
      <w:r>
        <w:t xml:space="preserve">Frontier must change its ways; otherwise it will be unable to </w:t>
      </w:r>
      <w:r w:rsidR="0098507B">
        <w:t>raise further capital. Even now, Frontier bears an S&amp;P rating of BB, below the level</w:t>
      </w:r>
      <w:r w:rsidR="00C84E39">
        <w:t xml:space="preserve"> acceptable </w:t>
      </w:r>
      <w:r w:rsidR="001F3D1E">
        <w:t>for investment by</w:t>
      </w:r>
      <w:r w:rsidR="00C84E39">
        <w:t xml:space="preserve"> pension and benefit funds.</w:t>
      </w:r>
      <w:r w:rsidR="0098507B">
        <w:t xml:space="preserve">  </w:t>
      </w:r>
      <w:r>
        <w:t>Any further deterioration of Frontier’s</w:t>
      </w:r>
      <w:r w:rsidR="0098507B">
        <w:t xml:space="preserve"> financial condition will </w:t>
      </w:r>
      <w:r w:rsidR="007802FE">
        <w:t>constrain</w:t>
      </w:r>
      <w:r>
        <w:t xml:space="preserve"> Frontier</w:t>
      </w:r>
      <w:r w:rsidR="007802FE">
        <w:t xml:space="preserve">’s </w:t>
      </w:r>
      <w:r>
        <w:t xml:space="preserve">access to </w:t>
      </w:r>
      <w:r w:rsidR="00C84E39">
        <w:t>both</w:t>
      </w:r>
      <w:r>
        <w:t xml:space="preserve"> debt </w:t>
      </w:r>
      <w:r w:rsidR="00C84E39">
        <w:t>and</w:t>
      </w:r>
      <w:r>
        <w:t xml:space="preserve"> equity capital, </w:t>
      </w:r>
      <w:r>
        <w:lastRenderedPageBreak/>
        <w:t xml:space="preserve">and that will </w:t>
      </w:r>
      <w:r w:rsidR="00C84E39">
        <w:t>threaten</w:t>
      </w:r>
      <w:r>
        <w:t xml:space="preserve"> </w:t>
      </w:r>
      <w:r w:rsidR="0098507B">
        <w:t>the investments</w:t>
      </w:r>
      <w:r w:rsidR="002D2EF6">
        <w:t xml:space="preserve"> that Frontier has indicated that it will make in its newly acquired </w:t>
      </w:r>
      <w:smartTag w:uri="urn:schemas-microsoft-com:office:smarttags" w:element="State">
        <w:smartTag w:uri="urn:schemas-microsoft-com:office:smarttags" w:element="place">
          <w:r w:rsidR="002C1D0C">
            <w:t>Washington</w:t>
          </w:r>
        </w:smartTag>
      </w:smartTag>
      <w:r w:rsidR="002D2EF6">
        <w:t xml:space="preserve"> exchanges.</w:t>
      </w:r>
      <w:r w:rsidR="0084135F">
        <w:rPr>
          <w:rStyle w:val="FootnoteReference"/>
        </w:rPr>
        <w:footnoteReference w:id="17"/>
      </w:r>
      <w:r w:rsidR="0098507B">
        <w:t xml:space="preserve"> </w:t>
      </w:r>
    </w:p>
    <w:p w:rsidR="002D2EF6" w:rsidRDefault="002D2EF6" w:rsidP="0005108C">
      <w:pPr>
        <w:spacing w:line="480" w:lineRule="auto"/>
        <w:jc w:val="both"/>
      </w:pPr>
    </w:p>
    <w:p w:rsidR="002D2EF6" w:rsidRDefault="002D2EF6" w:rsidP="0005108C">
      <w:pPr>
        <w:spacing w:line="480" w:lineRule="auto"/>
        <w:ind w:left="720" w:hanging="720"/>
        <w:jc w:val="both"/>
        <w:rPr>
          <w:b/>
        </w:rPr>
      </w:pPr>
      <w:r>
        <w:rPr>
          <w:b/>
        </w:rPr>
        <w:t>Q.</w:t>
      </w:r>
      <w:r>
        <w:rPr>
          <w:b/>
        </w:rPr>
        <w:tab/>
        <w:t>W</w:t>
      </w:r>
      <w:r w:rsidR="006A77DE">
        <w:rPr>
          <w:b/>
        </w:rPr>
        <w:t xml:space="preserve">HAT WILL BE THE EFFECT OF THIS </w:t>
      </w:r>
      <w:r>
        <w:rPr>
          <w:b/>
        </w:rPr>
        <w:t xml:space="preserve">TRANSACTION </w:t>
      </w:r>
      <w:r w:rsidR="006A77DE">
        <w:rPr>
          <w:b/>
        </w:rPr>
        <w:t>ON FRONTIER’S HEALTH</w:t>
      </w:r>
      <w:r>
        <w:rPr>
          <w:b/>
        </w:rPr>
        <w:t>?</w:t>
      </w:r>
    </w:p>
    <w:p w:rsidR="00132385" w:rsidRDefault="00132385" w:rsidP="0005108C">
      <w:pPr>
        <w:spacing w:line="480" w:lineRule="auto"/>
        <w:jc w:val="both"/>
        <w:rPr>
          <w:b/>
        </w:rPr>
      </w:pPr>
    </w:p>
    <w:p w:rsidR="00132385" w:rsidRDefault="002D2EF6" w:rsidP="0005108C">
      <w:pPr>
        <w:spacing w:line="480" w:lineRule="auto"/>
        <w:jc w:val="both"/>
      </w:pPr>
      <w:r>
        <w:t>A.</w:t>
      </w:r>
      <w:r>
        <w:tab/>
      </w:r>
      <w:r w:rsidR="00C84E39">
        <w:t>Frontier is absorbing an entity</w:t>
      </w:r>
      <w:r w:rsidR="001F3D1E">
        <w:t xml:space="preserve"> more than</w:t>
      </w:r>
      <w:r w:rsidR="00C84E39">
        <w:t xml:space="preserve"> twice its size:</w:t>
      </w:r>
      <w:r w:rsidR="000A1BF1">
        <w:rPr>
          <w:rStyle w:val="FootnoteReference"/>
        </w:rPr>
        <w:footnoteReference w:id="18"/>
      </w:r>
    </w:p>
    <w:p w:rsidR="006A77DE" w:rsidRPr="006A77DE" w:rsidRDefault="006A77DE" w:rsidP="00132385">
      <w:pPr>
        <w:spacing w:line="360" w:lineRule="auto"/>
        <w:ind w:left="2880" w:firstLine="720"/>
        <w:jc w:val="both"/>
        <w:rPr>
          <w:u w:val="single"/>
        </w:rPr>
      </w:pPr>
      <w:r w:rsidRPr="006A77DE">
        <w:rPr>
          <w:u w:val="single"/>
        </w:rPr>
        <w:t>Frontier</w:t>
      </w:r>
      <w:r w:rsidRPr="006A77DE">
        <w:tab/>
      </w:r>
      <w:r w:rsidRPr="006A77DE">
        <w:rPr>
          <w:u w:val="single"/>
        </w:rPr>
        <w:t>Verizon Lines (“SpinCo”)</w:t>
      </w:r>
    </w:p>
    <w:p w:rsidR="006A77DE" w:rsidRPr="006A77DE" w:rsidRDefault="006A77DE" w:rsidP="006A77DE">
      <w:r w:rsidRPr="006A77DE">
        <w:tab/>
        <w:t>Lines</w:t>
      </w:r>
      <w:r w:rsidRPr="006A77DE">
        <w:tab/>
      </w:r>
      <w:r w:rsidRPr="006A77DE">
        <w:tab/>
      </w:r>
      <w:r w:rsidRPr="006A77DE">
        <w:tab/>
      </w:r>
      <w:r w:rsidRPr="006A77DE">
        <w:tab/>
      </w:r>
      <w:r>
        <w:t>2,254,333</w:t>
      </w:r>
      <w:r>
        <w:tab/>
      </w:r>
      <w:r>
        <w:tab/>
      </w:r>
      <w:r w:rsidRPr="006A77DE">
        <w:t>4,790,673</w:t>
      </w:r>
    </w:p>
    <w:p w:rsidR="002D2EF6" w:rsidRDefault="006A77DE" w:rsidP="009425B7">
      <w:r w:rsidRPr="006A77DE">
        <w:tab/>
        <w:t xml:space="preserve">Revenues (Millions)        </w:t>
      </w:r>
      <w:r w:rsidRPr="006A77DE">
        <w:tab/>
        <w:t xml:space="preserve">   $2,137</w:t>
      </w:r>
      <w:r w:rsidRPr="006A77DE">
        <w:tab/>
      </w:r>
      <w:r w:rsidRPr="006A77DE">
        <w:tab/>
        <w:t xml:space="preserve">   $4,287</w:t>
      </w:r>
    </w:p>
    <w:p w:rsidR="009425B7" w:rsidRDefault="009425B7" w:rsidP="009425B7"/>
    <w:p w:rsidR="005A07D9" w:rsidRDefault="006A77DE" w:rsidP="0005108C">
      <w:pPr>
        <w:spacing w:line="480" w:lineRule="auto"/>
        <w:ind w:left="720"/>
        <w:jc w:val="both"/>
      </w:pPr>
      <w:r>
        <w:t>The</w:t>
      </w:r>
      <w:r w:rsidR="00C84E39">
        <w:t>re are</w:t>
      </w:r>
      <w:r>
        <w:t xml:space="preserve"> important financial and service implications</w:t>
      </w:r>
      <w:r w:rsidR="00C84E39">
        <w:t xml:space="preserve"> from his relationship</w:t>
      </w:r>
      <w:r>
        <w:t>.  The pr</w:t>
      </w:r>
      <w:r w:rsidR="000A3660">
        <w:t>incipal financial implication i</w:t>
      </w:r>
      <w:r>
        <w:t>s that Frontier’s balance sheet and income statement will be very significantly impacted by the debt/equity mix and profitability of the newly acquired exchanges.  In the near term, the impact will be quite positive</w:t>
      </w:r>
      <w:r w:rsidR="00533063">
        <w:t xml:space="preserve"> thanks to the financial strength of the acquired assets</w:t>
      </w:r>
      <w:r>
        <w:t>.  The</w:t>
      </w:r>
      <w:r w:rsidR="005A07D9">
        <w:t xml:space="preserve"> approximately 60 percent </w:t>
      </w:r>
      <w:r w:rsidR="00C53663">
        <w:t>(</w:t>
      </w:r>
      <w:r w:rsidR="000A3660">
        <w:t>$</w:t>
      </w:r>
      <w:r w:rsidR="00C53663">
        <w:t>5,247 million) of the value of the transferred assets ($8,580 million) will take the form</w:t>
      </w:r>
      <w:r w:rsidR="005A07D9">
        <w:t xml:space="preserve"> of </w:t>
      </w:r>
      <w:r>
        <w:t xml:space="preserve">a transfer of equity.  Verizon will create a temporary corporation, </w:t>
      </w:r>
      <w:r w:rsidR="001F3D1E">
        <w:t>term</w:t>
      </w:r>
      <w:r w:rsidR="005A3988">
        <w:t>ed</w:t>
      </w:r>
      <w:r>
        <w:t xml:space="preserve"> “Spin</w:t>
      </w:r>
      <w:r w:rsidR="00D56DCE">
        <w:t>C</w:t>
      </w:r>
      <w:r>
        <w:t>o,” the stock of which will be distributed to Verizon’s existing shareholders.  That stock will then be transferred to Frontier, so that each Verizon shareholder will become a shareholder in Front</w:t>
      </w:r>
      <w:r w:rsidR="002B58FB">
        <w:t>ier.  This is a tax</w:t>
      </w:r>
      <w:r>
        <w:t>-free transaction for Frontier</w:t>
      </w:r>
      <w:r w:rsidR="00A65E24">
        <w:t>,</w:t>
      </w:r>
      <w:r w:rsidR="005A07D9">
        <w:t xml:space="preserve"> Verizon</w:t>
      </w:r>
      <w:r w:rsidR="002B58FB">
        <w:t xml:space="preserve"> and Verizon’s shareholders</w:t>
      </w:r>
      <w:r>
        <w:t>.</w:t>
      </w:r>
      <w:r w:rsidR="005A07D9">
        <w:t xml:space="preserve">  The </w:t>
      </w:r>
      <w:r w:rsidR="005A07D9">
        <w:lastRenderedPageBreak/>
        <w:t>remaining 40 percent ($3,333 million) will be debt (or debt relief) that the new entity, Spin</w:t>
      </w:r>
      <w:r w:rsidR="00D56DCE">
        <w:t>C</w:t>
      </w:r>
      <w:r w:rsidR="005A07D9">
        <w:t xml:space="preserve">o, </w:t>
      </w:r>
      <w:r w:rsidR="00D56DCE">
        <w:t xml:space="preserve">will </w:t>
      </w:r>
      <w:r w:rsidR="005A07D9">
        <w:t>pay to Verizon.</w:t>
      </w:r>
      <w:r w:rsidR="000A3660">
        <w:rPr>
          <w:rStyle w:val="FootnoteReference"/>
        </w:rPr>
        <w:footnoteReference w:id="19"/>
      </w:r>
    </w:p>
    <w:p w:rsidR="005A07D9" w:rsidRDefault="005A07D9" w:rsidP="0005108C">
      <w:pPr>
        <w:spacing w:line="480" w:lineRule="auto"/>
        <w:ind w:left="720"/>
        <w:jc w:val="both"/>
      </w:pPr>
    </w:p>
    <w:p w:rsidR="00C53663" w:rsidRDefault="005A07D9" w:rsidP="0005108C">
      <w:pPr>
        <w:spacing w:line="480" w:lineRule="auto"/>
        <w:ind w:left="720"/>
        <w:jc w:val="both"/>
      </w:pPr>
      <w:r>
        <w:t>The result of this transaction will be a Frontier that is considerably less leveraged than the existing</w:t>
      </w:r>
      <w:r w:rsidR="004D6811">
        <w:t xml:space="preserve"> company.  Its equity proportion of total</w:t>
      </w:r>
      <w:r w:rsidR="0067283D">
        <w:t xml:space="preserve"> market</w:t>
      </w:r>
      <w:r w:rsidR="004D6811">
        <w:t xml:space="preserve"> capital</w:t>
      </w:r>
      <w:r w:rsidR="0067283D">
        <w:t>ization</w:t>
      </w:r>
      <w:r>
        <w:t xml:space="preserve"> will increase from 35 percent to 49 percent, and its debt </w:t>
      </w:r>
      <w:r w:rsidR="004D6811">
        <w:t>proportion</w:t>
      </w:r>
      <w:r>
        <w:t xml:space="preserve"> will fall correspondingly from 65 percent to 51 percent.</w:t>
      </w:r>
      <w:r w:rsidR="00C53663">
        <w:t xml:space="preserve">  The ratio of net debt to Earnings Before Interest, Taxes, </w:t>
      </w:r>
      <w:r w:rsidR="00416A35">
        <w:t>Depreciation</w:t>
      </w:r>
      <w:r w:rsidR="00C53663">
        <w:t xml:space="preserve"> and Amortization (“EBITDA”) will decline from 3.8 times to 2.2 times. </w:t>
      </w:r>
      <w:r>
        <w:t xml:space="preserve"> Other ratios will improve as well, although not quite so dramatically. </w:t>
      </w:r>
      <w:r w:rsidR="001F3D1E">
        <w:t>For example, t</w:t>
      </w:r>
      <w:r>
        <w:t>he ratio of</w:t>
      </w:r>
      <w:r w:rsidR="00E229FD">
        <w:t xml:space="preserve"> EBITDA to total</w:t>
      </w:r>
      <w:r>
        <w:t xml:space="preserve"> revenue will increase from 54.3 percent to</w:t>
      </w:r>
      <w:r w:rsidR="00C53663">
        <w:t xml:space="preserve"> 55.7 percent, and the free cash flow per share of stock will increase from $1.58 to $1.75.  </w:t>
      </w:r>
    </w:p>
    <w:p w:rsidR="00C53663" w:rsidRDefault="00C53663" w:rsidP="0005108C">
      <w:pPr>
        <w:spacing w:line="480" w:lineRule="auto"/>
        <w:ind w:left="720"/>
        <w:jc w:val="both"/>
      </w:pPr>
    </w:p>
    <w:p w:rsidR="00C53663" w:rsidRDefault="00C53663" w:rsidP="0005108C">
      <w:pPr>
        <w:spacing w:line="480" w:lineRule="auto"/>
        <w:ind w:left="720" w:hanging="720"/>
        <w:jc w:val="both"/>
      </w:pPr>
      <w:r>
        <w:rPr>
          <w:b/>
        </w:rPr>
        <w:t>Q.</w:t>
      </w:r>
      <w:r>
        <w:rPr>
          <w:b/>
        </w:rPr>
        <w:tab/>
        <w:t xml:space="preserve">WILL THESE IMPROVED FINANCIAL RATIOS </w:t>
      </w:r>
      <w:r w:rsidR="00874DF2">
        <w:rPr>
          <w:b/>
        </w:rPr>
        <w:t xml:space="preserve">ALLEVIATE </w:t>
      </w:r>
      <w:r>
        <w:rPr>
          <w:b/>
        </w:rPr>
        <w:t>YOUR CONCERN ABOUT FRONTIER’S FINANCIAL HEALTH?</w:t>
      </w:r>
      <w:r w:rsidR="005A07D9">
        <w:t xml:space="preserve"> </w:t>
      </w:r>
    </w:p>
    <w:p w:rsidR="00C53663" w:rsidRDefault="00C53663" w:rsidP="0005108C">
      <w:pPr>
        <w:spacing w:line="480" w:lineRule="auto"/>
        <w:jc w:val="both"/>
      </w:pPr>
    </w:p>
    <w:p w:rsidR="006A77DE" w:rsidRDefault="00C53663" w:rsidP="0005108C">
      <w:pPr>
        <w:spacing w:line="480" w:lineRule="auto"/>
        <w:ind w:left="720" w:hanging="720"/>
        <w:jc w:val="both"/>
      </w:pPr>
      <w:r>
        <w:t>A.</w:t>
      </w:r>
      <w:r>
        <w:tab/>
        <w:t xml:space="preserve">No.  I am concerned that this improvement in Frontier’s financial </w:t>
      </w:r>
      <w:r w:rsidR="00B5005C">
        <w:t>condition</w:t>
      </w:r>
      <w:r>
        <w:t xml:space="preserve"> will</w:t>
      </w:r>
      <w:r w:rsidR="00B5005C">
        <w:t xml:space="preserve"> serve merely to perpetuate the</w:t>
      </w:r>
      <w:r>
        <w:t xml:space="preserve"> past pattern of paying shareholders </w:t>
      </w:r>
      <w:r w:rsidR="002654C8">
        <w:t>more than</w:t>
      </w:r>
      <w:r>
        <w:t xml:space="preserve"> the earnings of the Compa</w:t>
      </w:r>
      <w:r w:rsidR="00B5005C">
        <w:t xml:space="preserve">ny.  Unless Frontier is willing to limit its dividends to the level of earnings per share, it will again erode its ability to raise capital for the investments needed to expand services to its customers in </w:t>
      </w:r>
      <w:smartTag w:uri="urn:schemas-microsoft-com:office:smarttags" w:element="State">
        <w:smartTag w:uri="urn:schemas-microsoft-com:office:smarttags" w:element="place">
          <w:r w:rsidR="002C1D0C">
            <w:t>Washington</w:t>
          </w:r>
        </w:smartTag>
      </w:smartTag>
      <w:r w:rsidR="00B5005C">
        <w:t>.</w:t>
      </w:r>
    </w:p>
    <w:p w:rsidR="00B5005C" w:rsidRDefault="00B5005C" w:rsidP="0005108C">
      <w:pPr>
        <w:spacing w:line="480" w:lineRule="auto"/>
        <w:ind w:left="720" w:hanging="720"/>
        <w:jc w:val="both"/>
      </w:pPr>
    </w:p>
    <w:p w:rsidR="00B5005C" w:rsidRDefault="00B5005C" w:rsidP="0005108C">
      <w:pPr>
        <w:spacing w:line="480" w:lineRule="auto"/>
        <w:ind w:left="720" w:hanging="720"/>
        <w:jc w:val="both"/>
        <w:rPr>
          <w:b/>
        </w:rPr>
      </w:pPr>
      <w:r>
        <w:rPr>
          <w:b/>
        </w:rPr>
        <w:lastRenderedPageBreak/>
        <w:t>Q.</w:t>
      </w:r>
      <w:r>
        <w:rPr>
          <w:b/>
        </w:rPr>
        <w:tab/>
        <w:t xml:space="preserve">WHAT CAN THE </w:t>
      </w:r>
      <w:smartTag w:uri="urn:schemas-microsoft-com:office:smarttags" w:element="State">
        <w:smartTag w:uri="urn:schemas-microsoft-com:office:smarttags" w:element="place">
          <w:r w:rsidR="002C1D0C">
            <w:rPr>
              <w:b/>
            </w:rPr>
            <w:t>WASHINGTON</w:t>
          </w:r>
        </w:smartTag>
      </w:smartTag>
      <w:r>
        <w:rPr>
          <w:b/>
        </w:rPr>
        <w:t xml:space="preserve"> COMMISSION DO ABOUT THIS SITUATION?</w:t>
      </w:r>
    </w:p>
    <w:p w:rsidR="00B5005C" w:rsidRDefault="00B5005C" w:rsidP="0005108C">
      <w:pPr>
        <w:spacing w:line="480" w:lineRule="auto"/>
        <w:ind w:left="720" w:hanging="720"/>
        <w:jc w:val="both"/>
        <w:rPr>
          <w:b/>
        </w:rPr>
      </w:pPr>
    </w:p>
    <w:p w:rsidR="00900A36" w:rsidRDefault="00B5005C" w:rsidP="0005108C">
      <w:pPr>
        <w:spacing w:line="480" w:lineRule="auto"/>
        <w:ind w:left="720" w:hanging="720"/>
        <w:jc w:val="both"/>
      </w:pPr>
      <w:r>
        <w:t>A.</w:t>
      </w:r>
      <w:r w:rsidR="00100E3C">
        <w:tab/>
        <w:t>I doubt that t</w:t>
      </w:r>
      <w:r>
        <w:t xml:space="preserve">he </w:t>
      </w:r>
      <w:r w:rsidR="002C1D0C">
        <w:t>Washington</w:t>
      </w:r>
      <w:r>
        <w:t xml:space="preserve"> Commission</w:t>
      </w:r>
      <w:r w:rsidR="00100E3C">
        <w:t xml:space="preserve"> is interested in </w:t>
      </w:r>
      <w:r w:rsidR="00132385">
        <w:t>micro-</w:t>
      </w:r>
      <w:r w:rsidR="00100E3C">
        <w:t xml:space="preserve">managing Frontier, or that it wishes to </w:t>
      </w:r>
      <w:r>
        <w:t xml:space="preserve">dictate </w:t>
      </w:r>
      <w:r w:rsidR="00100E3C">
        <w:t xml:space="preserve">the nation-wide </w:t>
      </w:r>
      <w:r w:rsidR="0061076F">
        <w:t xml:space="preserve">financial </w:t>
      </w:r>
      <w:r>
        <w:t>polic</w:t>
      </w:r>
      <w:r w:rsidR="00100E3C">
        <w:t>ies</w:t>
      </w:r>
      <w:r>
        <w:t xml:space="preserve"> of the Frontier Communications Corporation.  </w:t>
      </w:r>
      <w:r w:rsidR="00100E3C">
        <w:t>The Commission’s focus is</w:t>
      </w:r>
      <w:r>
        <w:t xml:space="preserve"> on </w:t>
      </w:r>
      <w:r w:rsidR="00100E3C">
        <w:t>telecommunications</w:t>
      </w:r>
      <w:r>
        <w:t xml:space="preserve"> services in </w:t>
      </w:r>
      <w:smartTag w:uri="urn:schemas-microsoft-com:office:smarttags" w:element="State">
        <w:smartTag w:uri="urn:schemas-microsoft-com:office:smarttags" w:element="place">
          <w:r w:rsidR="002C1D0C">
            <w:t>Washington</w:t>
          </w:r>
        </w:smartTag>
      </w:smartTag>
      <w:r>
        <w:t>.</w:t>
      </w:r>
    </w:p>
    <w:p w:rsidR="00715EB5" w:rsidRDefault="00715EB5" w:rsidP="0005108C">
      <w:pPr>
        <w:spacing w:line="480" w:lineRule="auto"/>
        <w:ind w:left="720" w:hanging="720"/>
        <w:jc w:val="both"/>
      </w:pPr>
    </w:p>
    <w:p w:rsidR="00900A36" w:rsidRDefault="00900A36" w:rsidP="0005108C">
      <w:pPr>
        <w:spacing w:line="480" w:lineRule="auto"/>
        <w:ind w:left="720"/>
        <w:jc w:val="both"/>
      </w:pPr>
      <w:r>
        <w:t xml:space="preserve">The </w:t>
      </w:r>
      <w:smartTag w:uri="urn:schemas-microsoft-com:office:smarttags" w:element="State">
        <w:smartTag w:uri="urn:schemas-microsoft-com:office:smarttags" w:element="place">
          <w:r w:rsidR="002C1D0C">
            <w:t>Washington</w:t>
          </w:r>
        </w:smartTag>
      </w:smartTag>
      <w:r>
        <w:t xml:space="preserve"> exchanges transferred from Verizon to Frontier will be served by </w:t>
      </w:r>
      <w:r w:rsidR="00715EB5">
        <w:t xml:space="preserve">a Frontier </w:t>
      </w:r>
      <w:r>
        <w:t>subsidiar</w:t>
      </w:r>
      <w:r w:rsidR="00715EB5">
        <w:t>y successor to Verizon Northwest.</w:t>
      </w:r>
      <w:r>
        <w:t xml:space="preserve">  Th</w:t>
      </w:r>
      <w:r w:rsidR="00715EB5">
        <w:t xml:space="preserve">at </w:t>
      </w:r>
      <w:r>
        <w:t>subsidiar</w:t>
      </w:r>
      <w:r w:rsidR="00715EB5">
        <w:t xml:space="preserve">y will certainly prepare </w:t>
      </w:r>
      <w:r>
        <w:t>balance sheet</w:t>
      </w:r>
      <w:r w:rsidR="00715EB5">
        <w:t>s</w:t>
      </w:r>
      <w:r>
        <w:t>, income statement</w:t>
      </w:r>
      <w:r w:rsidR="00715EB5">
        <w:t>s</w:t>
      </w:r>
      <w:r>
        <w:t xml:space="preserve"> and cash flow statement</w:t>
      </w:r>
      <w:r w:rsidR="00715EB5">
        <w:t>s for the subsidiary</w:t>
      </w:r>
      <w:r w:rsidR="00D57BA8">
        <w:t xml:space="preserve"> as a whole and for </w:t>
      </w:r>
      <w:r w:rsidR="00715EB5">
        <w:t>its</w:t>
      </w:r>
      <w:r w:rsidR="00D57BA8">
        <w:t xml:space="preserve"> </w:t>
      </w:r>
      <w:smartTag w:uri="urn:schemas-microsoft-com:office:smarttags" w:element="State">
        <w:smartTag w:uri="urn:schemas-microsoft-com:office:smarttags" w:element="place">
          <w:r w:rsidR="002C1D0C">
            <w:t>Washington</w:t>
          </w:r>
        </w:smartTag>
      </w:smartTag>
      <w:r w:rsidR="00D57BA8">
        <w:t xml:space="preserve"> operations.  The</w:t>
      </w:r>
      <w:r>
        <w:t xml:space="preserve"> income statement</w:t>
      </w:r>
      <w:r w:rsidR="00D57BA8">
        <w:t xml:space="preserve">s </w:t>
      </w:r>
      <w:r>
        <w:t>will identify the income for the previous year.  The cash flow statement</w:t>
      </w:r>
      <w:r w:rsidR="00D57BA8">
        <w:t>s</w:t>
      </w:r>
      <w:r>
        <w:t xml:space="preserve"> will identify the dividends that </w:t>
      </w:r>
      <w:r w:rsidR="00D57BA8">
        <w:t xml:space="preserve">the </w:t>
      </w:r>
      <w:r w:rsidR="00715EB5">
        <w:t>subsidiary</w:t>
      </w:r>
      <w:r w:rsidR="00D57BA8">
        <w:t xml:space="preserve"> pay</w:t>
      </w:r>
      <w:r w:rsidR="00715EB5">
        <w:t>s</w:t>
      </w:r>
      <w:r w:rsidR="00D57BA8">
        <w:t xml:space="preserve"> to </w:t>
      </w:r>
      <w:r w:rsidR="00715EB5">
        <w:t>its</w:t>
      </w:r>
      <w:r w:rsidR="00D57BA8">
        <w:t xml:space="preserve"> </w:t>
      </w:r>
      <w:r>
        <w:t>parent.</w:t>
      </w:r>
    </w:p>
    <w:p w:rsidR="00900A36" w:rsidRDefault="00900A36" w:rsidP="0005108C">
      <w:pPr>
        <w:spacing w:line="480" w:lineRule="auto"/>
        <w:ind w:left="720" w:hanging="720"/>
        <w:jc w:val="both"/>
      </w:pPr>
    </w:p>
    <w:p w:rsidR="00056F31" w:rsidRDefault="00D7722E" w:rsidP="0005108C">
      <w:pPr>
        <w:spacing w:line="480" w:lineRule="auto"/>
        <w:ind w:left="720"/>
        <w:jc w:val="both"/>
      </w:pPr>
      <w:r>
        <w:t>I recommend that the</w:t>
      </w:r>
      <w:r w:rsidR="00900A36">
        <w:t xml:space="preserve"> Commission </w:t>
      </w:r>
      <w:r>
        <w:t>take t</w:t>
      </w:r>
      <w:r w:rsidR="00A65E24">
        <w:t>w</w:t>
      </w:r>
      <w:r>
        <w:t xml:space="preserve">o actions to protect the financial integrity of the </w:t>
      </w:r>
      <w:smartTag w:uri="urn:schemas-microsoft-com:office:smarttags" w:element="State">
        <w:smartTag w:uri="urn:schemas-microsoft-com:office:smarttags" w:element="place">
          <w:r>
            <w:t>Washington</w:t>
          </w:r>
        </w:smartTag>
      </w:smartTag>
      <w:r>
        <w:t xml:space="preserve"> operations.</w:t>
      </w:r>
      <w:r w:rsidR="00900A36">
        <w:t xml:space="preserve">  The first is to </w:t>
      </w:r>
      <w:r w:rsidR="00743EA9">
        <w:t xml:space="preserve">replicate the limitation that was embodied in the Settlement among CenturyTel, Inc., Embarq </w:t>
      </w:r>
      <w:r w:rsidR="00715EB5">
        <w:t>Corporation,</w:t>
      </w:r>
      <w:r w:rsidR="00743EA9">
        <w:t xml:space="preserve"> the Commission Staff and the Public Counsel when CenturyTel and Embarq merged.  That limitation, found in paragraph 2a of the Agreement, was as follows:</w:t>
      </w:r>
    </w:p>
    <w:p w:rsidR="00935434" w:rsidRDefault="00935434" w:rsidP="009B656B">
      <w:pPr>
        <w:spacing w:line="360" w:lineRule="auto"/>
        <w:ind w:left="720"/>
        <w:jc w:val="both"/>
      </w:pPr>
    </w:p>
    <w:p w:rsidR="00743EA9" w:rsidRDefault="00743EA9" w:rsidP="00935434">
      <w:pPr>
        <w:ind w:left="720"/>
        <w:jc w:val="both"/>
      </w:pPr>
      <w:r>
        <w:t xml:space="preserve">2.a.  For three (3) years from the close of the merger, at any time when the condition in subsection 2.a.i exists, the Merged Company ILECs will limit payments of dividends on common equity distributed to CenturyTel [the surviving parent], or any other subsidiary or affiliate of CenturyTel, in any year to an amount not more than 50 percent of net income in the prior fiscal year.  The </w:t>
      </w:r>
      <w:r>
        <w:lastRenderedPageBreak/>
        <w:t>Merged Company ILECs will limit payment of dividends on common equity in any quarter, if dividends are distributed quarterly, to not more than one-fourth of the annual limitation amount.</w:t>
      </w:r>
    </w:p>
    <w:p w:rsidR="003C3773" w:rsidRDefault="003C3773" w:rsidP="00743EA9">
      <w:pPr>
        <w:ind w:left="720"/>
        <w:jc w:val="both"/>
      </w:pPr>
    </w:p>
    <w:p w:rsidR="003C3773" w:rsidRDefault="003C3773" w:rsidP="003C3773">
      <w:pPr>
        <w:ind w:left="1440"/>
        <w:jc w:val="both"/>
      </w:pPr>
      <w:r>
        <w:t>i.  The average market value of CenturyTel’s common equity is less than 50 percent of the book value of CenturyTel’s net debt.  The average market value of CenturyTel’s common equity will be calculated by multiplying the average stock price by the average number of fully-diluted common stock shares outstanding during the preceding 120 calendar day period.  As used in this section, “net debt” means total long-term debt less cash.  This test will be calculated prior to the determination of each declaration of dividends by the Merged Company ILECs, whether quarterly, special, or other.</w:t>
      </w:r>
      <w:r>
        <w:rPr>
          <w:rStyle w:val="FootnoteReference"/>
        </w:rPr>
        <w:footnoteReference w:id="20"/>
      </w:r>
    </w:p>
    <w:p w:rsidR="00743EA9" w:rsidRDefault="00743EA9" w:rsidP="00743EA9">
      <w:pPr>
        <w:ind w:left="720"/>
        <w:jc w:val="both"/>
      </w:pPr>
    </w:p>
    <w:p w:rsidR="00B5005C" w:rsidRDefault="00D7722E" w:rsidP="0005108C">
      <w:pPr>
        <w:spacing w:line="480" w:lineRule="auto"/>
        <w:ind w:left="720"/>
        <w:jc w:val="both"/>
      </w:pPr>
      <w:r>
        <w:t>The sec</w:t>
      </w:r>
      <w:r w:rsidR="00900A36">
        <w:t xml:space="preserve">ond </w:t>
      </w:r>
      <w:r>
        <w:t>action</w:t>
      </w:r>
      <w:r w:rsidR="00900A36">
        <w:t xml:space="preserve"> is to tie</w:t>
      </w:r>
      <w:r w:rsidR="001139F1">
        <w:t xml:space="preserve"> the resolution of the</w:t>
      </w:r>
      <w:r w:rsidR="00900A36">
        <w:t xml:space="preserve"> </w:t>
      </w:r>
      <w:r w:rsidR="001139F1">
        <w:t>two concerns</w:t>
      </w:r>
      <w:r w:rsidR="00900A36">
        <w:t xml:space="preserve"> I have with this transaction</w:t>
      </w:r>
      <w:r w:rsidR="001139F1">
        <w:t xml:space="preserve"> -- financial and service quality – together.  </w:t>
      </w:r>
      <w:r w:rsidR="00900A36">
        <w:t xml:space="preserve">The </w:t>
      </w:r>
      <w:r w:rsidR="00C41824">
        <w:t>Commission</w:t>
      </w:r>
      <w:r w:rsidR="00900A36">
        <w:t xml:space="preserve"> can condition any dividend </w:t>
      </w:r>
      <w:r w:rsidR="00B72517">
        <w:t xml:space="preserve">from </w:t>
      </w:r>
      <w:r w:rsidR="00D57BA8">
        <w:t xml:space="preserve">the </w:t>
      </w:r>
      <w:smartTag w:uri="urn:schemas-microsoft-com:office:smarttags" w:element="State">
        <w:smartTag w:uri="urn:schemas-microsoft-com:office:smarttags" w:element="place">
          <w:r w:rsidR="002C1D0C">
            <w:t>Washington</w:t>
          </w:r>
        </w:smartTag>
      </w:smartTag>
      <w:r w:rsidR="00D57BA8">
        <w:t xml:space="preserve"> operations</w:t>
      </w:r>
      <w:r w:rsidR="00B72517">
        <w:t xml:space="preserve"> </w:t>
      </w:r>
      <w:r w:rsidR="00900A36">
        <w:t xml:space="preserve">on </w:t>
      </w:r>
      <w:r w:rsidR="00B72517">
        <w:t>the</w:t>
      </w:r>
      <w:r w:rsidR="00D57BA8">
        <w:t>ir</w:t>
      </w:r>
      <w:r w:rsidR="00900A36">
        <w:t xml:space="preserve"> meeting the</w:t>
      </w:r>
      <w:r w:rsidR="001139F1">
        <w:t xml:space="preserve"> </w:t>
      </w:r>
      <w:r w:rsidR="00A55071">
        <w:t xml:space="preserve">safety </w:t>
      </w:r>
      <w:r w:rsidR="00454BE8">
        <w:t xml:space="preserve">and </w:t>
      </w:r>
      <w:r w:rsidR="00197F11">
        <w:t>service quali</w:t>
      </w:r>
      <w:r w:rsidR="002405D7">
        <w:t>t</w:t>
      </w:r>
      <w:r w:rsidR="00197F11">
        <w:t>y</w:t>
      </w:r>
      <w:r w:rsidR="00A55071">
        <w:t xml:space="preserve"> standards set forth in WAC-480-12</w:t>
      </w:r>
      <w:r w:rsidR="001F3D1E">
        <w:t>0</w:t>
      </w:r>
      <w:r w:rsidR="00A55071">
        <w:t xml:space="preserve">-401 through </w:t>
      </w:r>
      <w:r w:rsidR="00A65E24">
        <w:t>-</w:t>
      </w:r>
      <w:r w:rsidR="00A55071">
        <w:t>560</w:t>
      </w:r>
      <w:r w:rsidR="00C41824">
        <w:t xml:space="preserve">. </w:t>
      </w:r>
      <w:r w:rsidR="00900A36">
        <w:t xml:space="preserve"> </w:t>
      </w:r>
      <w:r w:rsidR="002C29CB">
        <w:t xml:space="preserve">This provision will </w:t>
      </w:r>
      <w:r w:rsidR="00FA183B">
        <w:t xml:space="preserve">help </w:t>
      </w:r>
      <w:r w:rsidR="002C29CB">
        <w:t xml:space="preserve">keep </w:t>
      </w:r>
      <w:smartTag w:uri="urn:schemas-microsoft-com:office:smarttags" w:element="State">
        <w:r w:rsidR="002C1D0C">
          <w:t>Washington</w:t>
        </w:r>
      </w:smartTag>
      <w:r w:rsidR="002C29CB">
        <w:t xml:space="preserve"> secure from </w:t>
      </w:r>
      <w:r w:rsidR="00056F31">
        <w:t>any raid by the parent compan</w:t>
      </w:r>
      <w:r w:rsidR="00D57BA8">
        <w:t>ies</w:t>
      </w:r>
      <w:r w:rsidR="002C29CB">
        <w:t xml:space="preserve"> on the cash generation of the </w:t>
      </w:r>
      <w:smartTag w:uri="urn:schemas-microsoft-com:office:smarttags" w:element="State">
        <w:r w:rsidR="002C1D0C">
          <w:t>Washington</w:t>
        </w:r>
      </w:smartTag>
      <w:r w:rsidR="00D57BA8">
        <w:t xml:space="preserve"> operations</w:t>
      </w:r>
      <w:r w:rsidR="00197F11">
        <w:t xml:space="preserve"> when it is clear that further </w:t>
      </w:r>
      <w:smartTag w:uri="urn:schemas-microsoft-com:office:smarttags" w:element="State">
        <w:smartTag w:uri="urn:schemas-microsoft-com:office:smarttags" w:element="place">
          <w:r w:rsidR="002C1D0C">
            <w:t>Washington</w:t>
          </w:r>
        </w:smartTag>
      </w:smartTag>
      <w:r w:rsidR="00197F11">
        <w:t xml:space="preserve"> investments</w:t>
      </w:r>
      <w:r w:rsidR="002405D7">
        <w:t xml:space="preserve"> are</w:t>
      </w:r>
      <w:r w:rsidR="00197F11">
        <w:t xml:space="preserve"> needed</w:t>
      </w:r>
      <w:r w:rsidR="00761255">
        <w:t>.</w:t>
      </w:r>
      <w:r w:rsidR="002C29CB">
        <w:t xml:space="preserve"> </w:t>
      </w:r>
      <w:r w:rsidR="00C41824">
        <w:t xml:space="preserve"> This provision, too, should remain in effect for at least three years following the closing of the transaction.</w:t>
      </w:r>
    </w:p>
    <w:p w:rsidR="00D91670" w:rsidRDefault="00D91670" w:rsidP="0005108C">
      <w:pPr>
        <w:spacing w:line="480" w:lineRule="auto"/>
        <w:ind w:left="720"/>
        <w:jc w:val="both"/>
      </w:pPr>
    </w:p>
    <w:p w:rsidR="00F72934" w:rsidRDefault="00C95487" w:rsidP="0005108C">
      <w:pPr>
        <w:spacing w:line="480" w:lineRule="auto"/>
        <w:ind w:left="720" w:hanging="720"/>
        <w:jc w:val="both"/>
      </w:pPr>
      <w:r>
        <w:tab/>
        <w:t>These</w:t>
      </w:r>
      <w:r w:rsidR="002C29CB">
        <w:t xml:space="preserve"> </w:t>
      </w:r>
      <w:r w:rsidR="00B72517">
        <w:t xml:space="preserve">two </w:t>
      </w:r>
      <w:r w:rsidR="002C29CB">
        <w:t>requirement</w:t>
      </w:r>
      <w:r>
        <w:t>s</w:t>
      </w:r>
      <w:r w:rsidR="002C29CB">
        <w:t xml:space="preserve"> can be enforced by </w:t>
      </w:r>
      <w:r w:rsidR="00132385">
        <w:t>periodic audits</w:t>
      </w:r>
      <w:r w:rsidR="00A55071">
        <w:t xml:space="preserve"> described in the CenturyTel/Embarq Settlement Agreement</w:t>
      </w:r>
      <w:r w:rsidR="00715EB5">
        <w:t>,</w:t>
      </w:r>
      <w:r w:rsidR="00A55071">
        <w:t xml:space="preserve"> the reports required by WAC 480-120-439,</w:t>
      </w:r>
      <w:r w:rsidR="00100E3C">
        <w:t xml:space="preserve"> and</w:t>
      </w:r>
      <w:r w:rsidR="00FA183B">
        <w:t xml:space="preserve"> </w:t>
      </w:r>
      <w:r w:rsidR="002C29CB">
        <w:t xml:space="preserve">the application of </w:t>
      </w:r>
      <w:r w:rsidR="00100E3C">
        <w:t xml:space="preserve">the </w:t>
      </w:r>
      <w:r w:rsidR="00F72934">
        <w:t xml:space="preserve">Commission’s existing general powers to enforce its </w:t>
      </w:r>
      <w:r w:rsidR="00A55071">
        <w:t xml:space="preserve">rules and </w:t>
      </w:r>
      <w:r w:rsidR="00F72934">
        <w:t>orders.</w:t>
      </w:r>
      <w:r w:rsidR="00F72934" w:rsidDel="00F72934">
        <w:t xml:space="preserve"> </w:t>
      </w:r>
    </w:p>
    <w:p w:rsidR="00DF05C4" w:rsidRDefault="00DF05C4" w:rsidP="0005108C">
      <w:pPr>
        <w:spacing w:line="480" w:lineRule="auto"/>
        <w:ind w:left="720" w:hanging="720"/>
        <w:jc w:val="both"/>
      </w:pPr>
    </w:p>
    <w:p w:rsidR="00197F11" w:rsidRDefault="00197F11" w:rsidP="0005108C">
      <w:pPr>
        <w:spacing w:line="480" w:lineRule="auto"/>
        <w:ind w:left="720" w:hanging="720"/>
        <w:jc w:val="both"/>
        <w:rPr>
          <w:b/>
        </w:rPr>
      </w:pPr>
      <w:r>
        <w:rPr>
          <w:b/>
        </w:rPr>
        <w:t>Q.</w:t>
      </w:r>
      <w:r>
        <w:rPr>
          <w:b/>
        </w:rPr>
        <w:tab/>
      </w:r>
      <w:r w:rsidR="0030219B">
        <w:rPr>
          <w:b/>
        </w:rPr>
        <w:t>ARE</w:t>
      </w:r>
      <w:r>
        <w:rPr>
          <w:b/>
        </w:rPr>
        <w:t xml:space="preserve"> THERE ANY PRECEDENT</w:t>
      </w:r>
      <w:r w:rsidR="0030219B">
        <w:rPr>
          <w:b/>
        </w:rPr>
        <w:t>S</w:t>
      </w:r>
      <w:r>
        <w:rPr>
          <w:b/>
        </w:rPr>
        <w:t xml:space="preserve"> FOR TH</w:t>
      </w:r>
      <w:r w:rsidR="00C41824">
        <w:rPr>
          <w:b/>
        </w:rPr>
        <w:t>ESE</w:t>
      </w:r>
      <w:r>
        <w:rPr>
          <w:b/>
        </w:rPr>
        <w:t xml:space="preserve"> REQUIREMENT</w:t>
      </w:r>
      <w:r w:rsidR="00C41824">
        <w:rPr>
          <w:b/>
        </w:rPr>
        <w:t>S</w:t>
      </w:r>
      <w:r>
        <w:rPr>
          <w:b/>
        </w:rPr>
        <w:t>?</w:t>
      </w:r>
    </w:p>
    <w:p w:rsidR="00197F11" w:rsidRDefault="00197F11" w:rsidP="0005108C">
      <w:pPr>
        <w:spacing w:line="480" w:lineRule="auto"/>
        <w:ind w:left="720" w:hanging="720"/>
        <w:jc w:val="both"/>
        <w:rPr>
          <w:b/>
        </w:rPr>
      </w:pPr>
    </w:p>
    <w:p w:rsidR="00197F11" w:rsidRDefault="00197F11" w:rsidP="0005108C">
      <w:pPr>
        <w:spacing w:line="480" w:lineRule="auto"/>
        <w:ind w:left="720" w:hanging="720"/>
        <w:jc w:val="both"/>
      </w:pPr>
      <w:r>
        <w:t>A.</w:t>
      </w:r>
      <w:r>
        <w:tab/>
        <w:t>Yes.</w:t>
      </w:r>
      <w:r w:rsidR="0030219B">
        <w:t xml:space="preserve">  </w:t>
      </w:r>
      <w:r w:rsidR="00A55071">
        <w:t>As noted, the f</w:t>
      </w:r>
      <w:r w:rsidR="0030219B">
        <w:t xml:space="preserve">irst restriction </w:t>
      </w:r>
      <w:r w:rsidR="00942480">
        <w:t>–</w:t>
      </w:r>
      <w:r>
        <w:t xml:space="preserve"> </w:t>
      </w:r>
      <w:r w:rsidR="00942480">
        <w:t>no dividends in excess of net income -- was imposed</w:t>
      </w:r>
      <w:r w:rsidR="00A55071">
        <w:t xml:space="preserve"> on CenturyTel and Embarq as a condition of their merger. </w:t>
      </w:r>
      <w:r w:rsidR="00942480">
        <w:t xml:space="preserve">As regards the second restriction – no dividends if service quality is inadequate – there is precedent relating directly to Frontier.  </w:t>
      </w:r>
      <w:r>
        <w:t>Last year, Frontier, the</w:t>
      </w:r>
      <w:r w:rsidR="00DA36E4">
        <w:t xml:space="preserve"> New York</w:t>
      </w:r>
      <w:r>
        <w:t xml:space="preserve"> Commission Staff and the Consumer Pr</w:t>
      </w:r>
      <w:r w:rsidR="00AF282C">
        <w:t xml:space="preserve">otection Board </w:t>
      </w:r>
      <w:r w:rsidR="004551BE">
        <w:t xml:space="preserve">signed an agreement </w:t>
      </w:r>
      <w:r w:rsidR="00AF282C">
        <w:t xml:space="preserve">whereby Frontier’s </w:t>
      </w:r>
      <w:smartTag w:uri="urn:schemas-microsoft-com:office:smarttags" w:element="State">
        <w:smartTag w:uri="urn:schemas-microsoft-com:office:smarttags" w:element="place">
          <w:r w:rsidR="00AF282C">
            <w:t>New York</w:t>
          </w:r>
        </w:smartTag>
      </w:smartTag>
      <w:r w:rsidR="00AF282C">
        <w:t xml:space="preserve"> subsidiary </w:t>
      </w:r>
      <w:r>
        <w:t xml:space="preserve">would </w:t>
      </w:r>
      <w:r w:rsidR="00AF282C">
        <w:t>not be allowed to issue dividends to its parent if its service quality fell below certain levels specified in the agreement.</w:t>
      </w:r>
      <w:r>
        <w:t xml:space="preserve"> This provision was among a number of conditions relating to finances, corporate governance and </w:t>
      </w:r>
      <w:r w:rsidR="00AF282C">
        <w:t>reporting</w:t>
      </w:r>
      <w:r>
        <w:t xml:space="preserve">.  </w:t>
      </w:r>
      <w:r w:rsidR="005456E5">
        <w:t>It replaces</w:t>
      </w:r>
      <w:r>
        <w:t xml:space="preserve"> a much more restrictive regime known as the “Open Market Plan” that was adopted when the Rochester Telephone Company</w:t>
      </w:r>
      <w:r w:rsidR="00AF282C">
        <w:t xml:space="preserve"> merged with </w:t>
      </w:r>
      <w:r>
        <w:t>other corporate entities</w:t>
      </w:r>
      <w:r w:rsidR="00AF282C">
        <w:t xml:space="preserve"> to form Frontier Communications</w:t>
      </w:r>
      <w:r>
        <w:t xml:space="preserve">. </w:t>
      </w:r>
      <w:r w:rsidR="001373DE">
        <w:rPr>
          <w:rStyle w:val="FootnoteReference"/>
        </w:rPr>
        <w:footnoteReference w:id="21"/>
      </w:r>
    </w:p>
    <w:p w:rsidR="007F2D5D" w:rsidRDefault="00197F11" w:rsidP="0005108C">
      <w:pPr>
        <w:spacing w:line="480" w:lineRule="auto"/>
        <w:ind w:left="720" w:hanging="720"/>
        <w:jc w:val="both"/>
      </w:pPr>
      <w:r>
        <w:t xml:space="preserve"> </w:t>
      </w:r>
    </w:p>
    <w:p w:rsidR="007F2D5D" w:rsidRDefault="007F2D5D" w:rsidP="0005108C">
      <w:pPr>
        <w:spacing w:line="480" w:lineRule="auto"/>
        <w:ind w:left="720" w:hanging="720"/>
        <w:jc w:val="both"/>
        <w:rPr>
          <w:b/>
        </w:rPr>
      </w:pPr>
      <w:r>
        <w:rPr>
          <w:b/>
        </w:rPr>
        <w:t>Q.</w:t>
      </w:r>
      <w:r>
        <w:rPr>
          <w:b/>
        </w:rPr>
        <w:tab/>
        <w:t>ARE THERE ANY OTHER CONCERNS REGARDING FRONTIER’S FINANCES?</w:t>
      </w:r>
    </w:p>
    <w:p w:rsidR="007F2D5D" w:rsidRDefault="007F2D5D" w:rsidP="0005108C">
      <w:pPr>
        <w:spacing w:line="480" w:lineRule="auto"/>
        <w:ind w:left="720" w:hanging="720"/>
        <w:jc w:val="both"/>
        <w:rPr>
          <w:b/>
        </w:rPr>
      </w:pPr>
    </w:p>
    <w:p w:rsidR="007F2D5D" w:rsidRDefault="007F2D5D" w:rsidP="0005108C">
      <w:pPr>
        <w:spacing w:line="480" w:lineRule="auto"/>
        <w:ind w:left="720" w:hanging="720"/>
        <w:jc w:val="both"/>
      </w:pPr>
      <w:r>
        <w:t>A.</w:t>
      </w:r>
      <w:r>
        <w:tab/>
        <w:t>Yes.  As I have noted, the $0.75 dividend that Frontier proposes to pay to its shareholders still exceeds its 2008 earnings per share by about 30 percent</w:t>
      </w:r>
      <w:r w:rsidR="00B72517">
        <w:t>, and it appears it may exceed 2009 earnings by a yet larger margin</w:t>
      </w:r>
      <w:r>
        <w:t xml:space="preserve">.  Frontier is therefore under fairly severe pressure to increase its earnings.  This pressure could result in </w:t>
      </w:r>
      <w:r>
        <w:lastRenderedPageBreak/>
        <w:t>a campaign of rate increases that would burden ratepayers who remain dependent on Frontier’s landline telephone services</w:t>
      </w:r>
      <w:r w:rsidR="00B72517">
        <w:t>.</w:t>
      </w:r>
    </w:p>
    <w:p w:rsidR="007F2D5D" w:rsidRDefault="007F2D5D" w:rsidP="0005108C">
      <w:pPr>
        <w:spacing w:line="480" w:lineRule="auto"/>
        <w:ind w:left="720" w:hanging="720"/>
        <w:jc w:val="both"/>
      </w:pPr>
    </w:p>
    <w:p w:rsidR="007F2D5D" w:rsidRDefault="007F2D5D" w:rsidP="0005108C">
      <w:pPr>
        <w:spacing w:line="480" w:lineRule="auto"/>
        <w:ind w:left="720" w:hanging="720"/>
        <w:jc w:val="both"/>
        <w:rPr>
          <w:b/>
        </w:rPr>
      </w:pPr>
      <w:r>
        <w:rPr>
          <w:b/>
        </w:rPr>
        <w:t>Q.</w:t>
      </w:r>
      <w:r>
        <w:rPr>
          <w:b/>
        </w:rPr>
        <w:tab/>
        <w:t>WHAT CAN THE COMMISSION DO TO AVERT THIS OUTCOME?</w:t>
      </w:r>
    </w:p>
    <w:p w:rsidR="007F2D5D" w:rsidRDefault="007F2D5D" w:rsidP="0005108C">
      <w:pPr>
        <w:spacing w:line="480" w:lineRule="auto"/>
        <w:ind w:left="720" w:hanging="720"/>
        <w:jc w:val="both"/>
        <w:rPr>
          <w:b/>
        </w:rPr>
      </w:pPr>
    </w:p>
    <w:p w:rsidR="007F2D5D" w:rsidRPr="007F2D5D" w:rsidRDefault="00DA36E4" w:rsidP="0005108C">
      <w:pPr>
        <w:spacing w:line="480" w:lineRule="auto"/>
        <w:ind w:left="720" w:hanging="720"/>
        <w:jc w:val="both"/>
      </w:pPr>
      <w:r>
        <w:t>A.</w:t>
      </w:r>
      <w:r>
        <w:tab/>
      </w:r>
      <w:r w:rsidR="007F2D5D">
        <w:t xml:space="preserve">Verizon </w:t>
      </w:r>
      <w:r w:rsidR="002A489A">
        <w:t>is</w:t>
      </w:r>
      <w:r w:rsidR="007F2D5D">
        <w:t xml:space="preserve"> subject to rate base/rate-of-return regulation</w:t>
      </w:r>
      <w:r w:rsidR="0030219B">
        <w:t xml:space="preserve"> in </w:t>
      </w:r>
      <w:smartTag w:uri="urn:schemas-microsoft-com:office:smarttags" w:element="State">
        <w:smartTag w:uri="urn:schemas-microsoft-com:office:smarttags" w:element="place">
          <w:r w:rsidR="002C1D0C">
            <w:t>Washington</w:t>
          </w:r>
        </w:smartTag>
      </w:smartTag>
      <w:r w:rsidR="00D874BF">
        <w:t>,</w:t>
      </w:r>
      <w:r w:rsidR="002A489A">
        <w:t xml:space="preserve"> and presumably </w:t>
      </w:r>
      <w:r w:rsidR="00D874BF">
        <w:t xml:space="preserve">the Frontier subsidiary </w:t>
      </w:r>
      <w:r w:rsidR="002A489A">
        <w:t>will be regulated similarly once the transfer is made</w:t>
      </w:r>
      <w:r w:rsidR="007F2D5D">
        <w:t xml:space="preserve">.  This means that the Commission can exert its authority to allow rate increases only when they are tied to legitimate cost increases.  Among the costs that the Commission should </w:t>
      </w:r>
      <w:r w:rsidR="007F2D5D">
        <w:rPr>
          <w:u w:val="single"/>
        </w:rPr>
        <w:t>not</w:t>
      </w:r>
      <w:r w:rsidR="007F2D5D">
        <w:t xml:space="preserve"> allow are those associated with this transaction.</w:t>
      </w:r>
      <w:r w:rsidR="00E97FCF">
        <w:t xml:space="preserve"> By “associated with this transaction” I mean not just the legal and accounting costs of implementing the transaction, but also any other cost increases</w:t>
      </w:r>
      <w:r w:rsidR="00BF19DE">
        <w:t xml:space="preserve"> such as the added costs of duplicating Verizon’s systems and protocols</w:t>
      </w:r>
      <w:r w:rsidR="00E97FCF">
        <w:t xml:space="preserve"> and cost increases arising from changes in the operations and </w:t>
      </w:r>
      <w:r w:rsidR="00BF19DE">
        <w:t xml:space="preserve">the </w:t>
      </w:r>
      <w:r w:rsidR="00E97FCF">
        <w:t>financial condition of the Washington subsidiary.</w:t>
      </w:r>
      <w:r w:rsidR="007F2D5D">
        <w:t xml:space="preserve">  </w:t>
      </w:r>
      <w:r w:rsidR="00B72517">
        <w:t>Since t</w:t>
      </w:r>
      <w:r w:rsidR="007F2D5D">
        <w:t>hose costs would not be incurred were the exchanges still with Verizon</w:t>
      </w:r>
      <w:r w:rsidR="00B72517">
        <w:t xml:space="preserve">, they are </w:t>
      </w:r>
      <w:r w:rsidR="007F2D5D">
        <w:t xml:space="preserve">not the ratepayers’ responsibility.  Other costs that are not ratepayers’ responsibility are the higher debt and equity returns that may result from </w:t>
      </w:r>
      <w:r w:rsidR="00900A36">
        <w:t>Frontier’s over-leveraged condition and</w:t>
      </w:r>
      <w:r w:rsidR="00B72517">
        <w:t xml:space="preserve"> from</w:t>
      </w:r>
      <w:r w:rsidR="00900A36">
        <w:t xml:space="preserve"> </w:t>
      </w:r>
      <w:r w:rsidR="007F2D5D">
        <w:t>the transfer from a company with an S&amp;P</w:t>
      </w:r>
      <w:r w:rsidR="00900A36">
        <w:t xml:space="preserve"> rating of A to one with a rating of BB.</w:t>
      </w:r>
      <w:r w:rsidR="002A489A">
        <w:rPr>
          <w:rStyle w:val="FootnoteReference"/>
        </w:rPr>
        <w:footnoteReference w:id="22"/>
      </w:r>
      <w:r w:rsidR="00454BE8">
        <w:t xml:space="preserve">  In addition, the Commission should transfer </w:t>
      </w:r>
      <w:r w:rsidR="00BF19DE">
        <w:t xml:space="preserve">from Verizon to Frontier </w:t>
      </w:r>
      <w:r w:rsidR="00454BE8">
        <w:t>the revenue imputation for directory services that it adopted in Docket No. UT-061777.</w:t>
      </w:r>
      <w:r w:rsidR="00454BE8">
        <w:rPr>
          <w:rStyle w:val="FootnoteReference"/>
        </w:rPr>
        <w:footnoteReference w:id="23"/>
      </w:r>
    </w:p>
    <w:p w:rsidR="00197F11" w:rsidRPr="00197F11" w:rsidRDefault="00197F11" w:rsidP="0005108C">
      <w:pPr>
        <w:spacing w:line="480" w:lineRule="auto"/>
        <w:ind w:left="720" w:hanging="720"/>
        <w:jc w:val="both"/>
      </w:pPr>
    </w:p>
    <w:p w:rsidR="00DF05C4" w:rsidRDefault="00DF05C4" w:rsidP="0005108C">
      <w:pPr>
        <w:spacing w:line="480" w:lineRule="auto"/>
        <w:ind w:left="720" w:hanging="720"/>
        <w:jc w:val="both"/>
        <w:rPr>
          <w:b/>
          <w:u w:val="single"/>
        </w:rPr>
      </w:pPr>
      <w:r>
        <w:rPr>
          <w:b/>
          <w:u w:val="single"/>
        </w:rPr>
        <w:lastRenderedPageBreak/>
        <w:t>SERVICE QUALITY CONCERNS</w:t>
      </w:r>
    </w:p>
    <w:p w:rsidR="00DF05C4" w:rsidRDefault="00DF05C4" w:rsidP="0005108C">
      <w:pPr>
        <w:spacing w:line="480" w:lineRule="auto"/>
        <w:ind w:left="720" w:hanging="720"/>
        <w:jc w:val="both"/>
        <w:rPr>
          <w:b/>
          <w:u w:val="single"/>
        </w:rPr>
      </w:pPr>
    </w:p>
    <w:p w:rsidR="00DF05C4" w:rsidRDefault="00DF05C4" w:rsidP="0005108C">
      <w:pPr>
        <w:spacing w:line="480" w:lineRule="auto"/>
        <w:ind w:left="720" w:hanging="720"/>
        <w:jc w:val="both"/>
        <w:rPr>
          <w:b/>
        </w:rPr>
      </w:pPr>
      <w:r>
        <w:rPr>
          <w:b/>
        </w:rPr>
        <w:t>Q.</w:t>
      </w:r>
      <w:r>
        <w:rPr>
          <w:b/>
        </w:rPr>
        <w:tab/>
        <w:t xml:space="preserve">WHY </w:t>
      </w:r>
      <w:r w:rsidR="001D3BB6">
        <w:rPr>
          <w:b/>
        </w:rPr>
        <w:t xml:space="preserve">ARE YOU </w:t>
      </w:r>
      <w:r>
        <w:rPr>
          <w:b/>
        </w:rPr>
        <w:t>CONCERNED ABOUT THE SERVICE QUALITY RESULTING FROM THIS TRANSACTION?</w:t>
      </w:r>
    </w:p>
    <w:p w:rsidR="00DF05C4" w:rsidRDefault="00DF05C4" w:rsidP="0005108C">
      <w:pPr>
        <w:spacing w:line="480" w:lineRule="auto"/>
        <w:ind w:left="720" w:hanging="720"/>
        <w:jc w:val="both"/>
        <w:rPr>
          <w:b/>
        </w:rPr>
      </w:pPr>
    </w:p>
    <w:p w:rsidR="00B56AAD" w:rsidRDefault="00DF05C4" w:rsidP="0005108C">
      <w:pPr>
        <w:spacing w:line="480" w:lineRule="auto"/>
        <w:ind w:left="720" w:hanging="720"/>
        <w:jc w:val="both"/>
      </w:pPr>
      <w:r>
        <w:t>A.</w:t>
      </w:r>
      <w:r>
        <w:tab/>
        <w:t xml:space="preserve">As noted earlier in my testimony, the two </w:t>
      </w:r>
      <w:r w:rsidR="00C82E80">
        <w:t>recent</w:t>
      </w:r>
      <w:r>
        <w:t xml:space="preserve"> large Verizon spin-offs have resulted in severe service quality degradation.  </w:t>
      </w:r>
      <w:r w:rsidR="00F72934">
        <w:t>I am</w:t>
      </w:r>
      <w:r>
        <w:t xml:space="preserve"> concerned that this pattern not be repeated in </w:t>
      </w:r>
      <w:smartTag w:uri="urn:schemas-microsoft-com:office:smarttags" w:element="State">
        <w:smartTag w:uri="urn:schemas-microsoft-com:office:smarttags" w:element="place">
          <w:r w:rsidR="002C1D0C">
            <w:t>Washington</w:t>
          </w:r>
        </w:smartTag>
      </w:smartTag>
      <w:r>
        <w:t xml:space="preserve"> following the Verizon-to-Frontier transition.  This concern is amplified by the following service quality indicators published by the Federal Communications Commission (“FCC”):</w:t>
      </w:r>
    </w:p>
    <w:p w:rsidR="00B56AAD" w:rsidRDefault="00B56AAD" w:rsidP="002A489A">
      <w:pPr>
        <w:spacing w:line="360" w:lineRule="auto"/>
        <w:ind w:left="720" w:hanging="720"/>
        <w:jc w:val="both"/>
      </w:pPr>
      <w:r>
        <w:br w:type="page"/>
      </w:r>
    </w:p>
    <w:p w:rsidR="00044E58" w:rsidRPr="00D45AA7" w:rsidRDefault="00044E58" w:rsidP="00B56AAD">
      <w:pPr>
        <w:spacing w:line="360" w:lineRule="auto"/>
        <w:ind w:left="3600" w:firstLine="720"/>
        <w:jc w:val="both"/>
        <w:rPr>
          <w:u w:val="single"/>
        </w:rPr>
      </w:pPr>
      <w:r w:rsidRPr="00044E58">
        <w:rPr>
          <w:u w:val="single"/>
        </w:rPr>
        <w:t>Nationwide</w:t>
      </w:r>
      <w:r w:rsidR="00D45AA7">
        <w:tab/>
      </w:r>
      <w:r w:rsidR="00D45AA7">
        <w:tab/>
        <w:t xml:space="preserve">     </w:t>
      </w:r>
      <w:smartTag w:uri="urn:schemas-microsoft-com:office:smarttags" w:element="place">
        <w:smartTag w:uri="urn:schemas-microsoft-com:office:smarttags" w:element="State">
          <w:r w:rsidR="002C1D0C">
            <w:rPr>
              <w:u w:val="single"/>
            </w:rPr>
            <w:t>Washington</w:t>
          </w:r>
        </w:smartTag>
      </w:smartTag>
    </w:p>
    <w:p w:rsidR="00D45AA7" w:rsidRDefault="00044E58" w:rsidP="00D45AA7">
      <w:pPr>
        <w:pStyle w:val="ListBullet2"/>
        <w:numPr>
          <w:ilvl w:val="0"/>
          <w:numId w:val="0"/>
        </w:numPr>
        <w:ind w:left="1080"/>
      </w:pPr>
      <w:r>
        <w:tab/>
      </w:r>
      <w:r>
        <w:tab/>
      </w:r>
      <w:r>
        <w:tab/>
      </w:r>
      <w:r>
        <w:tab/>
      </w:r>
      <w:r w:rsidR="00F16E54">
        <w:t xml:space="preserve">         </w:t>
      </w:r>
      <w:r w:rsidR="00E215F3">
        <w:t xml:space="preserve">Frontier      </w:t>
      </w:r>
      <w:r>
        <w:t xml:space="preserve">Verizon </w:t>
      </w:r>
      <w:r>
        <w:tab/>
      </w:r>
      <w:bookmarkStart w:id="4" w:name="OLE_LINK1"/>
      <w:bookmarkStart w:id="5" w:name="OLE_LINK2"/>
      <w:r w:rsidR="00E215F3">
        <w:t xml:space="preserve">  </w:t>
      </w:r>
      <w:r w:rsidR="00D45AA7">
        <w:t>Verizon</w:t>
      </w:r>
      <w:r w:rsidR="00E215F3">
        <w:t xml:space="preserve">   VZ-Contel</w:t>
      </w:r>
    </w:p>
    <w:p w:rsidR="00044E58" w:rsidRPr="00044E58" w:rsidRDefault="004D6811" w:rsidP="00D45AA7">
      <w:pPr>
        <w:pStyle w:val="ListBullet2"/>
        <w:numPr>
          <w:ilvl w:val="0"/>
          <w:numId w:val="0"/>
        </w:numPr>
        <w:rPr>
          <w:u w:val="single"/>
        </w:rPr>
      </w:pPr>
      <w:r>
        <w:t xml:space="preserve">1.  </w:t>
      </w:r>
      <w:r w:rsidR="00044E58" w:rsidRPr="00044E58">
        <w:rPr>
          <w:u w:val="single"/>
        </w:rPr>
        <w:t>Installation I</w:t>
      </w:r>
      <w:r w:rsidR="00044E58">
        <w:rPr>
          <w:u w:val="single"/>
        </w:rPr>
        <w:t>nterval (days)</w:t>
      </w:r>
    </w:p>
    <w:p w:rsidR="00044E58" w:rsidRPr="00044E58" w:rsidRDefault="00D45AA7" w:rsidP="00044E58">
      <w:pPr>
        <w:pStyle w:val="ListBullet2"/>
        <w:numPr>
          <w:ilvl w:val="0"/>
          <w:numId w:val="0"/>
        </w:numPr>
        <w:ind w:left="3600" w:hanging="2160"/>
      </w:pPr>
      <w:r>
        <w:t xml:space="preserve">Business Lines       </w:t>
      </w:r>
      <w:r>
        <w:tab/>
      </w:r>
      <w:r>
        <w:tab/>
        <w:t>5.9</w:t>
      </w:r>
      <w:r>
        <w:tab/>
      </w:r>
      <w:r w:rsidR="00E215F3">
        <w:t xml:space="preserve">     </w:t>
      </w:r>
      <w:r>
        <w:t xml:space="preserve">  </w:t>
      </w:r>
      <w:r w:rsidR="00044E58" w:rsidRPr="00044E58">
        <w:t>1.9</w:t>
      </w:r>
      <w:r w:rsidR="00044E58" w:rsidRPr="00044E58">
        <w:tab/>
      </w:r>
      <w:r>
        <w:t xml:space="preserve">   </w:t>
      </w:r>
      <w:r w:rsidR="00E215F3">
        <w:t xml:space="preserve">  </w:t>
      </w:r>
      <w:r>
        <w:t xml:space="preserve"> </w:t>
      </w:r>
      <w:r w:rsidR="00E215F3">
        <w:t>2.2</w:t>
      </w:r>
      <w:r w:rsidR="00E332C1">
        <w:tab/>
      </w:r>
      <w:r w:rsidR="00E332C1">
        <w:tab/>
        <w:t>1.7</w:t>
      </w:r>
    </w:p>
    <w:p w:rsidR="004D6811" w:rsidRDefault="0030219B" w:rsidP="004D6811">
      <w:pPr>
        <w:pStyle w:val="ListBullet2"/>
        <w:numPr>
          <w:ilvl w:val="0"/>
          <w:numId w:val="0"/>
        </w:numPr>
        <w:ind w:left="720" w:hanging="360"/>
      </w:pPr>
      <w:r>
        <w:tab/>
      </w:r>
      <w:r w:rsidR="00044E58" w:rsidRPr="00044E58">
        <w:tab/>
        <w:t>All L</w:t>
      </w:r>
      <w:r w:rsidR="00E215F3">
        <w:t>ines</w:t>
      </w:r>
      <w:r w:rsidR="00E215F3">
        <w:tab/>
        <w:t xml:space="preserve">       </w:t>
      </w:r>
      <w:r w:rsidR="00E215F3">
        <w:tab/>
      </w:r>
      <w:r w:rsidR="00E215F3">
        <w:tab/>
        <w:t xml:space="preserve">5.6              </w:t>
      </w:r>
      <w:r w:rsidR="00D45AA7">
        <w:t>1.7</w:t>
      </w:r>
      <w:r w:rsidR="00D45AA7">
        <w:tab/>
        <w:t xml:space="preserve">     </w:t>
      </w:r>
      <w:r w:rsidR="00E215F3">
        <w:t xml:space="preserve"> 1.2</w:t>
      </w:r>
      <w:r w:rsidR="00E332C1">
        <w:tab/>
      </w:r>
      <w:r w:rsidR="00E332C1">
        <w:tab/>
        <w:t>0.9</w:t>
      </w:r>
    </w:p>
    <w:p w:rsidR="00044E58" w:rsidRPr="004D6811" w:rsidRDefault="004D6811" w:rsidP="004D6811">
      <w:pPr>
        <w:pStyle w:val="ListBullet2"/>
        <w:numPr>
          <w:ilvl w:val="0"/>
          <w:numId w:val="0"/>
        </w:numPr>
      </w:pPr>
      <w:r>
        <w:t xml:space="preserve">2.  </w:t>
      </w:r>
      <w:r w:rsidR="00044E58" w:rsidRPr="00044E58">
        <w:rPr>
          <w:u w:val="single"/>
        </w:rPr>
        <w:t xml:space="preserve"> % Local Installation Commitments Not Met</w:t>
      </w:r>
    </w:p>
    <w:p w:rsidR="00044E58" w:rsidRPr="00044E58" w:rsidRDefault="00044E58" w:rsidP="00044E58">
      <w:pPr>
        <w:pStyle w:val="ListBullet2"/>
        <w:numPr>
          <w:ilvl w:val="0"/>
          <w:numId w:val="0"/>
        </w:numPr>
        <w:ind w:left="720" w:hanging="360"/>
      </w:pPr>
      <w:r w:rsidRPr="00044E58">
        <w:tab/>
      </w:r>
      <w:r w:rsidRPr="00044E58">
        <w:tab/>
        <w:t>Business Lines</w:t>
      </w:r>
      <w:r w:rsidRPr="00044E58">
        <w:tab/>
      </w:r>
      <w:r w:rsidRPr="00044E58">
        <w:tab/>
        <w:t>4.3%</w:t>
      </w:r>
      <w:r w:rsidRPr="00044E58">
        <w:tab/>
        <w:t xml:space="preserve">    </w:t>
      </w:r>
      <w:r w:rsidR="00E215F3">
        <w:t xml:space="preserve">   </w:t>
      </w:r>
      <w:r w:rsidR="00D45AA7">
        <w:t>2.8%</w:t>
      </w:r>
      <w:r w:rsidR="00D45AA7">
        <w:tab/>
      </w:r>
      <w:r w:rsidR="00E215F3">
        <w:t xml:space="preserve">      3.5</w:t>
      </w:r>
      <w:r w:rsidRPr="00044E58">
        <w:t xml:space="preserve">% </w:t>
      </w:r>
      <w:r w:rsidR="00E332C1">
        <w:tab/>
        <w:t>2.6%</w:t>
      </w:r>
    </w:p>
    <w:p w:rsidR="002A489A" w:rsidRDefault="00044E58" w:rsidP="002A489A">
      <w:pPr>
        <w:pStyle w:val="ListBullet2"/>
        <w:numPr>
          <w:ilvl w:val="0"/>
          <w:numId w:val="0"/>
        </w:numPr>
        <w:ind w:left="360" w:hanging="360"/>
      </w:pPr>
      <w:r w:rsidRPr="00044E58">
        <w:tab/>
      </w:r>
      <w:r w:rsidRPr="00044E58">
        <w:tab/>
      </w:r>
      <w:r w:rsidR="009C5A24">
        <w:tab/>
      </w:r>
      <w:r w:rsidRPr="00044E58">
        <w:t>All Lines</w:t>
      </w:r>
      <w:r w:rsidRPr="00044E58">
        <w:tab/>
      </w:r>
      <w:r w:rsidRPr="00044E58">
        <w:tab/>
      </w:r>
      <w:r w:rsidRPr="00044E58">
        <w:tab/>
        <w:t xml:space="preserve">3.7%           </w:t>
      </w:r>
      <w:r w:rsidR="00E215F3">
        <w:t>1</w:t>
      </w:r>
      <w:r w:rsidRPr="00044E58">
        <w:t xml:space="preserve">.7% </w:t>
      </w:r>
      <w:r>
        <w:t xml:space="preserve">  </w:t>
      </w:r>
      <w:r w:rsidR="00D45AA7">
        <w:t xml:space="preserve">      </w:t>
      </w:r>
      <w:r w:rsidR="00E215F3">
        <w:t xml:space="preserve"> </w:t>
      </w:r>
      <w:r w:rsidR="00D45AA7">
        <w:t xml:space="preserve">    </w:t>
      </w:r>
      <w:r w:rsidR="00E215F3">
        <w:t xml:space="preserve"> 2.3</w:t>
      </w:r>
      <w:r w:rsidR="00D45AA7">
        <w:t xml:space="preserve">%         </w:t>
      </w:r>
      <w:r w:rsidR="00E332C1">
        <w:t>2.2%</w:t>
      </w:r>
      <w:r w:rsidR="00D45AA7">
        <w:t xml:space="preserve">   </w:t>
      </w:r>
    </w:p>
    <w:p w:rsidR="009C5A24" w:rsidRDefault="004D6811" w:rsidP="002A489A">
      <w:pPr>
        <w:pStyle w:val="ListBullet2"/>
        <w:numPr>
          <w:ilvl w:val="0"/>
          <w:numId w:val="0"/>
        </w:numPr>
        <w:ind w:left="360" w:hanging="360"/>
      </w:pPr>
      <w:r>
        <w:t xml:space="preserve">3.  </w:t>
      </w:r>
      <w:r w:rsidR="00044E58" w:rsidRPr="00044E58">
        <w:rPr>
          <w:u w:val="single"/>
        </w:rPr>
        <w:t>Trouble Reports per Month per 100 Lines</w:t>
      </w:r>
    </w:p>
    <w:p w:rsidR="00044E58" w:rsidRPr="00044E58" w:rsidRDefault="00D45AA7" w:rsidP="00044E58">
      <w:pPr>
        <w:pStyle w:val="ListBullet2"/>
        <w:numPr>
          <w:ilvl w:val="0"/>
          <w:numId w:val="0"/>
        </w:numPr>
        <w:ind w:left="720" w:hanging="360"/>
      </w:pPr>
      <w:r>
        <w:tab/>
      </w:r>
      <w:r w:rsidR="009C5A24">
        <w:tab/>
      </w:r>
      <w:r w:rsidR="00E215F3">
        <w:t>Business Lines</w:t>
      </w:r>
      <w:r w:rsidR="00E215F3">
        <w:tab/>
      </w:r>
      <w:r w:rsidR="00E215F3">
        <w:tab/>
        <w:t>1.58</w:t>
      </w:r>
      <w:r w:rsidR="00E215F3">
        <w:tab/>
        <w:t xml:space="preserve">       </w:t>
      </w:r>
      <w:r w:rsidR="00044E58" w:rsidRPr="00044E58">
        <w:t xml:space="preserve">0.77          </w:t>
      </w:r>
      <w:r w:rsidR="00E215F3">
        <w:t xml:space="preserve"> </w:t>
      </w:r>
      <w:r>
        <w:t xml:space="preserve">      </w:t>
      </w:r>
      <w:r w:rsidR="00E215F3">
        <w:t>0.51</w:t>
      </w:r>
      <w:r w:rsidR="00EC0B69">
        <w:tab/>
        <w:t>0.59</w:t>
      </w:r>
    </w:p>
    <w:p w:rsidR="001373DE" w:rsidRDefault="00E215F3" w:rsidP="00F16E54">
      <w:pPr>
        <w:pStyle w:val="ListBullet2"/>
        <w:numPr>
          <w:ilvl w:val="0"/>
          <w:numId w:val="0"/>
        </w:numPr>
      </w:pPr>
      <w:r>
        <w:tab/>
      </w:r>
      <w:r>
        <w:tab/>
        <w:t>All Lines</w:t>
      </w:r>
      <w:r>
        <w:tab/>
      </w:r>
      <w:r>
        <w:tab/>
      </w:r>
      <w:r>
        <w:tab/>
        <w:t>2.78</w:t>
      </w:r>
      <w:r>
        <w:tab/>
        <w:t xml:space="preserve">      </w:t>
      </w:r>
      <w:r w:rsidR="00D45AA7">
        <w:t xml:space="preserve"> 1.63</w:t>
      </w:r>
      <w:r w:rsidR="00D45AA7">
        <w:tab/>
        <w:t xml:space="preserve"> </w:t>
      </w:r>
      <w:r w:rsidR="002A489A">
        <w:t xml:space="preserve"> </w:t>
      </w:r>
      <w:r w:rsidR="00D45AA7">
        <w:t xml:space="preserve">     </w:t>
      </w:r>
      <w:r>
        <w:t>0.97</w:t>
      </w:r>
      <w:r w:rsidR="004D6811">
        <w:t xml:space="preserve">  </w:t>
      </w:r>
      <w:r w:rsidR="00EC0B69">
        <w:tab/>
        <w:t>0.96</w:t>
      </w:r>
    </w:p>
    <w:p w:rsidR="00044E58" w:rsidRPr="00044E58" w:rsidRDefault="004D6811" w:rsidP="00F16E54">
      <w:pPr>
        <w:pStyle w:val="ListBullet2"/>
        <w:numPr>
          <w:ilvl w:val="0"/>
          <w:numId w:val="0"/>
        </w:numPr>
        <w:rPr>
          <w:u w:val="single"/>
        </w:rPr>
      </w:pPr>
      <w:r>
        <w:t xml:space="preserve">4.  </w:t>
      </w:r>
      <w:r w:rsidR="00044E58" w:rsidRPr="00044E58">
        <w:rPr>
          <w:u w:val="single"/>
        </w:rPr>
        <w:t xml:space="preserve">Complaints to Regulatory Agencies </w:t>
      </w:r>
    </w:p>
    <w:p w:rsidR="00044E58" w:rsidRPr="00044E58" w:rsidRDefault="00044E58" w:rsidP="00044E58">
      <w:pPr>
        <w:pStyle w:val="ListBullet2"/>
        <w:numPr>
          <w:ilvl w:val="0"/>
          <w:numId w:val="0"/>
        </w:numPr>
        <w:ind w:left="720" w:hanging="360"/>
      </w:pPr>
      <w:r w:rsidRPr="00044E58">
        <w:tab/>
        <w:t xml:space="preserve"> </w:t>
      </w:r>
      <w:r w:rsidR="00F16E54">
        <w:t>(</w:t>
      </w:r>
      <w:r w:rsidRPr="00044E58">
        <w:t>Per Million Lines</w:t>
      </w:r>
      <w:r w:rsidR="00F16E54">
        <w:t>)</w:t>
      </w:r>
    </w:p>
    <w:p w:rsidR="00044E58" w:rsidRPr="00044E58" w:rsidRDefault="00E215F3" w:rsidP="00044E58">
      <w:pPr>
        <w:pStyle w:val="ListBullet2"/>
        <w:numPr>
          <w:ilvl w:val="0"/>
          <w:numId w:val="0"/>
        </w:numPr>
        <w:ind w:left="720" w:hanging="360"/>
      </w:pPr>
      <w:r>
        <w:tab/>
      </w:r>
      <w:r>
        <w:tab/>
        <w:t>Business Lines</w:t>
      </w:r>
      <w:r>
        <w:tab/>
      </w:r>
      <w:r>
        <w:tab/>
        <w:t>112</w:t>
      </w:r>
      <w:r>
        <w:tab/>
        <w:t xml:space="preserve">     </w:t>
      </w:r>
      <w:r w:rsidR="00E332C1">
        <w:t xml:space="preserve">  </w:t>
      </w:r>
      <w:r>
        <w:t xml:space="preserve"> </w:t>
      </w:r>
      <w:r w:rsidR="00044E58" w:rsidRPr="00044E58">
        <w:t>50</w:t>
      </w:r>
      <w:r w:rsidR="00044E58" w:rsidRPr="00044E58">
        <w:tab/>
      </w:r>
      <w:r w:rsidR="00D45AA7">
        <w:t xml:space="preserve">     </w:t>
      </w:r>
      <w:r w:rsidR="002A489A">
        <w:t xml:space="preserve">    </w:t>
      </w:r>
      <w:r>
        <w:t>30</w:t>
      </w:r>
      <w:r w:rsidR="00D45AA7">
        <w:tab/>
      </w:r>
      <w:r w:rsidR="00E332C1">
        <w:t>47</w:t>
      </w:r>
    </w:p>
    <w:p w:rsidR="007D79D1" w:rsidRDefault="00E332C1" w:rsidP="007D79D1">
      <w:pPr>
        <w:pStyle w:val="ListBullet2"/>
        <w:numPr>
          <w:ilvl w:val="0"/>
          <w:numId w:val="0"/>
        </w:numPr>
        <w:ind w:left="720" w:hanging="360"/>
      </w:pPr>
      <w:r>
        <w:tab/>
      </w:r>
      <w:r>
        <w:tab/>
        <w:t>All Lines</w:t>
      </w:r>
      <w:r>
        <w:tab/>
      </w:r>
      <w:r>
        <w:tab/>
      </w:r>
      <w:r>
        <w:tab/>
        <w:t xml:space="preserve">352             </w:t>
      </w:r>
      <w:r w:rsidR="00D45AA7">
        <w:t xml:space="preserve">350                   </w:t>
      </w:r>
      <w:r>
        <w:t>111</w:t>
      </w:r>
      <w:r w:rsidR="00D45AA7">
        <w:t xml:space="preserve">  </w:t>
      </w:r>
      <w:r>
        <w:tab/>
        <w:t>71</w:t>
      </w:r>
    </w:p>
    <w:p w:rsidR="00044E58" w:rsidRPr="00F16E54" w:rsidRDefault="004D6811" w:rsidP="007D79D1">
      <w:pPr>
        <w:pStyle w:val="ListBullet2"/>
        <w:numPr>
          <w:ilvl w:val="0"/>
          <w:numId w:val="0"/>
        </w:numPr>
        <w:ind w:left="360" w:hanging="360"/>
        <w:rPr>
          <w:u w:val="single"/>
        </w:rPr>
      </w:pPr>
      <w:r>
        <w:t xml:space="preserve">5.  </w:t>
      </w:r>
      <w:r w:rsidR="00044E58" w:rsidRPr="00F16E54">
        <w:rPr>
          <w:u w:val="single"/>
        </w:rPr>
        <w:t>Repeat Out of Service Trouble Reports as a Percentage</w:t>
      </w:r>
    </w:p>
    <w:p w:rsidR="00044E58" w:rsidRPr="00F16E54" w:rsidRDefault="00044E58" w:rsidP="00044E58">
      <w:pPr>
        <w:pStyle w:val="ListBullet2"/>
        <w:numPr>
          <w:ilvl w:val="0"/>
          <w:numId w:val="0"/>
        </w:numPr>
        <w:ind w:left="720" w:hanging="360"/>
        <w:rPr>
          <w:u w:val="single"/>
        </w:rPr>
      </w:pPr>
      <w:r w:rsidRPr="00F16E54">
        <w:rPr>
          <w:u w:val="single"/>
        </w:rPr>
        <w:t xml:space="preserve"> Of Initial Out of Service Trouble Reports</w:t>
      </w:r>
    </w:p>
    <w:p w:rsidR="00044E58" w:rsidRPr="00044E58" w:rsidRDefault="00044E58" w:rsidP="00044E58">
      <w:pPr>
        <w:pStyle w:val="ListBullet2"/>
        <w:numPr>
          <w:ilvl w:val="0"/>
          <w:numId w:val="0"/>
        </w:numPr>
        <w:ind w:left="720" w:hanging="360"/>
      </w:pPr>
      <w:r w:rsidRPr="00044E58">
        <w:tab/>
      </w:r>
      <w:r w:rsidRPr="00044E58">
        <w:tab/>
        <w:t>Business Lines</w:t>
      </w:r>
      <w:r w:rsidRPr="00044E58">
        <w:tab/>
      </w:r>
      <w:r w:rsidRPr="00044E58">
        <w:tab/>
        <w:t>13.4%</w:t>
      </w:r>
      <w:r w:rsidRPr="00044E58">
        <w:tab/>
        <w:t xml:space="preserve">   </w:t>
      </w:r>
      <w:r w:rsidR="00A445E5">
        <w:t xml:space="preserve">      </w:t>
      </w:r>
      <w:r w:rsidR="00790EF8">
        <w:t>13.7%</w:t>
      </w:r>
      <w:r w:rsidR="00790EF8">
        <w:tab/>
        <w:t xml:space="preserve">       </w:t>
      </w:r>
      <w:r w:rsidR="00E332C1">
        <w:t>10.8%</w:t>
      </w:r>
      <w:r w:rsidR="00790EF8">
        <w:t xml:space="preserve">      </w:t>
      </w:r>
      <w:r w:rsidR="00E332C1">
        <w:t>8.8%</w:t>
      </w:r>
      <w:r w:rsidR="00790EF8">
        <w:t xml:space="preserve"> </w:t>
      </w:r>
    </w:p>
    <w:p w:rsidR="00044E58" w:rsidRPr="00044E58" w:rsidRDefault="00044E58" w:rsidP="00044E58">
      <w:pPr>
        <w:pStyle w:val="ListBullet2"/>
        <w:numPr>
          <w:ilvl w:val="0"/>
          <w:numId w:val="0"/>
        </w:numPr>
        <w:ind w:left="720" w:hanging="360"/>
      </w:pPr>
      <w:r w:rsidRPr="00044E58">
        <w:tab/>
      </w:r>
      <w:r w:rsidRPr="00044E58">
        <w:tab/>
        <w:t>All Lines</w:t>
      </w:r>
      <w:r w:rsidRPr="00044E58">
        <w:tab/>
      </w:r>
      <w:r w:rsidRPr="00044E58">
        <w:tab/>
      </w:r>
      <w:r w:rsidRPr="00044E58">
        <w:tab/>
        <w:t>16.9</w:t>
      </w:r>
      <w:r w:rsidR="00F16E54">
        <w:t>%</w:t>
      </w:r>
      <w:r w:rsidR="00F16E54">
        <w:tab/>
        <w:t xml:space="preserve">         1</w:t>
      </w:r>
      <w:r w:rsidR="00790EF8">
        <w:t xml:space="preserve">5.5%    </w:t>
      </w:r>
      <w:r w:rsidR="00A445E5">
        <w:t xml:space="preserve">   </w:t>
      </w:r>
      <w:r w:rsidR="00790EF8">
        <w:t xml:space="preserve">   </w:t>
      </w:r>
      <w:r w:rsidR="002A489A">
        <w:t xml:space="preserve"> </w:t>
      </w:r>
      <w:r w:rsidR="00E332C1">
        <w:t xml:space="preserve"> 11.1%      9.8%</w:t>
      </w:r>
      <w:r w:rsidR="00790EF8">
        <w:t xml:space="preserve">  </w:t>
      </w:r>
    </w:p>
    <w:p w:rsidR="00044E58" w:rsidRPr="00044E58" w:rsidRDefault="004D6811" w:rsidP="00F16E54">
      <w:pPr>
        <w:pStyle w:val="ListBullet2"/>
        <w:numPr>
          <w:ilvl w:val="0"/>
          <w:numId w:val="0"/>
        </w:numPr>
      </w:pPr>
      <w:r>
        <w:t xml:space="preserve">6.  </w:t>
      </w:r>
      <w:r w:rsidR="00044E58" w:rsidRPr="00F16E54">
        <w:rPr>
          <w:u w:val="single"/>
        </w:rPr>
        <w:t>Out of Service Repair Interval (hours)</w:t>
      </w:r>
    </w:p>
    <w:p w:rsidR="00790EF8" w:rsidRDefault="00A445E5" w:rsidP="00044E58">
      <w:pPr>
        <w:pStyle w:val="ListBullet2"/>
        <w:numPr>
          <w:ilvl w:val="0"/>
          <w:numId w:val="0"/>
        </w:numPr>
        <w:ind w:left="720" w:hanging="360"/>
      </w:pPr>
      <w:r>
        <w:tab/>
      </w:r>
      <w:r>
        <w:tab/>
        <w:t>Business Lines</w:t>
      </w:r>
      <w:r>
        <w:tab/>
      </w:r>
      <w:r>
        <w:tab/>
        <w:t>21.3</w:t>
      </w:r>
      <w:r>
        <w:tab/>
        <w:t xml:space="preserve">          </w:t>
      </w:r>
      <w:r w:rsidR="00790EF8">
        <w:t xml:space="preserve">18.9           </w:t>
      </w:r>
      <w:r w:rsidR="00E332C1">
        <w:t xml:space="preserve"> </w:t>
      </w:r>
      <w:r>
        <w:t xml:space="preserve">   </w:t>
      </w:r>
      <w:r w:rsidR="00E332C1">
        <w:t>15.5         15.0</w:t>
      </w:r>
    </w:p>
    <w:p w:rsidR="00044E58" w:rsidRPr="00044E58" w:rsidRDefault="00A445E5" w:rsidP="00790EF8">
      <w:pPr>
        <w:pStyle w:val="ListBullet2"/>
        <w:numPr>
          <w:ilvl w:val="0"/>
          <w:numId w:val="0"/>
        </w:numPr>
        <w:ind w:left="720" w:firstLine="720"/>
      </w:pPr>
      <w:r>
        <w:t>All Lines</w:t>
      </w:r>
      <w:r>
        <w:tab/>
      </w:r>
      <w:r>
        <w:tab/>
      </w:r>
      <w:r>
        <w:tab/>
        <w:t>24.2</w:t>
      </w:r>
      <w:r>
        <w:tab/>
        <w:t xml:space="preserve">          3</w:t>
      </w:r>
      <w:r w:rsidR="00044E58" w:rsidRPr="00044E58">
        <w:t>5.5</w:t>
      </w:r>
      <w:r w:rsidR="00044E58" w:rsidRPr="00044E58">
        <w:tab/>
      </w:r>
      <w:r w:rsidR="00790EF8">
        <w:t xml:space="preserve">      </w:t>
      </w:r>
      <w:r w:rsidR="00E332C1">
        <w:t xml:space="preserve">  2</w:t>
      </w:r>
      <w:r w:rsidR="00790EF8">
        <w:t>5.4</w:t>
      </w:r>
      <w:r w:rsidR="00E332C1">
        <w:tab/>
        <w:t>21.8</w:t>
      </w:r>
    </w:p>
    <w:p w:rsidR="00044E58" w:rsidRDefault="00044E58" w:rsidP="00044E58">
      <w:pPr>
        <w:pStyle w:val="ListBullet2"/>
        <w:numPr>
          <w:ilvl w:val="0"/>
          <w:numId w:val="0"/>
        </w:numPr>
        <w:ind w:left="720" w:hanging="360"/>
        <w:rPr>
          <w:b/>
          <w:sz w:val="32"/>
          <w:szCs w:val="32"/>
        </w:rPr>
      </w:pPr>
    </w:p>
    <w:bookmarkEnd w:id="4"/>
    <w:bookmarkEnd w:id="5"/>
    <w:p w:rsidR="00044E58" w:rsidRPr="00F16E54" w:rsidRDefault="00044E58" w:rsidP="00044E58">
      <w:pPr>
        <w:pStyle w:val="ListBullet2"/>
        <w:numPr>
          <w:ilvl w:val="0"/>
          <w:numId w:val="0"/>
        </w:numPr>
        <w:ind w:left="720" w:hanging="360"/>
      </w:pPr>
      <w:r w:rsidRPr="00F16E54">
        <w:t>Source: 2008 FCC ARMIS 43-05 Reports</w:t>
      </w:r>
    </w:p>
    <w:p w:rsidR="00044E58" w:rsidRDefault="00F16E54" w:rsidP="00F16E54">
      <w:pPr>
        <w:pStyle w:val="ListBullet2"/>
        <w:numPr>
          <w:ilvl w:val="0"/>
          <w:numId w:val="0"/>
        </w:numPr>
        <w:spacing w:before="120" w:line="360" w:lineRule="auto"/>
      </w:pPr>
      <w:r>
        <w:rPr>
          <w:sz w:val="32"/>
          <w:szCs w:val="32"/>
        </w:rPr>
        <w:tab/>
      </w:r>
    </w:p>
    <w:p w:rsidR="00B4683C" w:rsidRDefault="00F16E54" w:rsidP="0005108C">
      <w:pPr>
        <w:pStyle w:val="ListBullet2"/>
        <w:numPr>
          <w:ilvl w:val="0"/>
          <w:numId w:val="0"/>
        </w:numPr>
        <w:spacing w:before="120" w:line="480" w:lineRule="auto"/>
        <w:ind w:left="720"/>
        <w:jc w:val="both"/>
      </w:pPr>
      <w:r>
        <w:t xml:space="preserve">In every case but </w:t>
      </w:r>
      <w:r w:rsidR="004D6811">
        <w:t>two</w:t>
      </w:r>
      <w:r>
        <w:t xml:space="preserve">, Frontier scores worse nationally than Verizon nationally. </w:t>
      </w:r>
      <w:r w:rsidR="00B4683C">
        <w:t xml:space="preserve"> In every case but one, Verizon performs better in </w:t>
      </w:r>
      <w:smartTag w:uri="urn:schemas-microsoft-com:office:smarttags" w:element="State">
        <w:smartTag w:uri="urn:schemas-microsoft-com:office:smarttags" w:element="place">
          <w:r w:rsidR="00B4683C">
            <w:t>Washington</w:t>
          </w:r>
        </w:smartTag>
      </w:smartTag>
      <w:r w:rsidR="00B4683C">
        <w:t xml:space="preserve"> than Frontier does nationally, and that one is only marginally better than one</w:t>
      </w:r>
      <w:r w:rsidR="00D874BF">
        <w:t xml:space="preserve"> of the two Verizon operations</w:t>
      </w:r>
      <w:r w:rsidR="00B4683C">
        <w:t xml:space="preserve"> in Washington</w:t>
      </w:r>
      <w:r w:rsidR="00B56AAD">
        <w:t xml:space="preserve">, Verizon and Verizon </w:t>
      </w:r>
      <w:r w:rsidR="00BF19DE">
        <w:t>Contel</w:t>
      </w:r>
      <w:r w:rsidR="00B4683C">
        <w:t>.</w:t>
      </w:r>
    </w:p>
    <w:p w:rsidR="00416F83" w:rsidRDefault="00416F83" w:rsidP="0005108C">
      <w:pPr>
        <w:pStyle w:val="ListBullet2"/>
        <w:numPr>
          <w:ilvl w:val="0"/>
          <w:numId w:val="0"/>
        </w:numPr>
        <w:spacing w:before="120" w:line="480" w:lineRule="auto"/>
        <w:ind w:left="720"/>
        <w:jc w:val="both"/>
      </w:pPr>
      <w:r>
        <w:t xml:space="preserve">These comparisons do not bode well for the service quality that can be expected following the transfer of Verizon’s </w:t>
      </w:r>
      <w:smartTag w:uri="urn:schemas-microsoft-com:office:smarttags" w:element="place">
        <w:smartTag w:uri="urn:schemas-microsoft-com:office:smarttags" w:element="State">
          <w:r w:rsidR="002C1D0C">
            <w:t>Washington</w:t>
          </w:r>
        </w:smartTag>
      </w:smartTag>
      <w:r>
        <w:t xml:space="preserve"> operations to Frontier.</w:t>
      </w:r>
      <w:r w:rsidR="00670632">
        <w:t xml:space="preserve">  They are of particular concern given that Frontier has </w:t>
      </w:r>
      <w:r w:rsidR="00B4683C">
        <w:t xml:space="preserve">no existing operations in </w:t>
      </w:r>
      <w:smartTag w:uri="urn:schemas-microsoft-com:office:smarttags" w:element="State">
        <w:smartTag w:uri="urn:schemas-microsoft-com:office:smarttags" w:element="place">
          <w:r w:rsidR="00B4683C">
            <w:t>Washington</w:t>
          </w:r>
        </w:smartTag>
      </w:smartTag>
      <w:r w:rsidR="00B4683C">
        <w:t xml:space="preserve"> and will be entering the state for the first time.</w:t>
      </w:r>
      <w:r w:rsidR="00670632">
        <w:t xml:space="preserve"> Frontier will be operating</w:t>
      </w:r>
      <w:r w:rsidR="00790EF8">
        <w:t xml:space="preserve"> </w:t>
      </w:r>
      <w:r w:rsidR="00670632">
        <w:t xml:space="preserve">with </w:t>
      </w:r>
      <w:r w:rsidR="00DA36E4">
        <w:t>previous</w:t>
      </w:r>
      <w:r w:rsidR="00790EF8">
        <w:t xml:space="preserve"> </w:t>
      </w:r>
      <w:r w:rsidR="00670632">
        <w:t>employees</w:t>
      </w:r>
      <w:r w:rsidR="00DA36E4">
        <w:t xml:space="preserve"> of Verizon</w:t>
      </w:r>
      <w:r w:rsidR="00670632">
        <w:t>,</w:t>
      </w:r>
      <w:r w:rsidR="00B56AAD">
        <w:t xml:space="preserve"> as well as Ver</w:t>
      </w:r>
      <w:r w:rsidR="00DA36E4">
        <w:t>izon’s</w:t>
      </w:r>
      <w:r w:rsidR="00670632">
        <w:t xml:space="preserve"> protocols and I</w:t>
      </w:r>
      <w:r w:rsidR="00F72934">
        <w:t>nformation</w:t>
      </w:r>
      <w:r w:rsidR="00790EF8">
        <w:t xml:space="preserve"> </w:t>
      </w:r>
      <w:r w:rsidR="00670632">
        <w:lastRenderedPageBreak/>
        <w:t>T</w:t>
      </w:r>
      <w:r w:rsidR="00F72934">
        <w:t>echnology</w:t>
      </w:r>
      <w:r w:rsidR="00670632">
        <w:t xml:space="preserve"> systems with which</w:t>
      </w:r>
      <w:r w:rsidR="00100E3C">
        <w:t xml:space="preserve"> F</w:t>
      </w:r>
      <w:r w:rsidR="00C82E80">
        <w:t>rontier</w:t>
      </w:r>
      <w:r w:rsidR="00100E3C">
        <w:t>’s</w:t>
      </w:r>
      <w:r w:rsidR="00C82E80">
        <w:t xml:space="preserve"> management</w:t>
      </w:r>
      <w:r w:rsidR="00670632">
        <w:t xml:space="preserve"> </w:t>
      </w:r>
      <w:r w:rsidR="00DA36E4">
        <w:t xml:space="preserve">and staff </w:t>
      </w:r>
      <w:r w:rsidR="00670632">
        <w:t>will not be familiar.</w:t>
      </w:r>
    </w:p>
    <w:p w:rsidR="003536D5" w:rsidRDefault="003536D5" w:rsidP="0005108C">
      <w:pPr>
        <w:pStyle w:val="ListBullet2"/>
        <w:numPr>
          <w:ilvl w:val="0"/>
          <w:numId w:val="0"/>
        </w:numPr>
        <w:spacing w:before="120" w:line="480" w:lineRule="auto"/>
        <w:ind w:left="720" w:hanging="720"/>
        <w:jc w:val="both"/>
        <w:rPr>
          <w:b/>
        </w:rPr>
      </w:pPr>
      <w:r>
        <w:rPr>
          <w:b/>
        </w:rPr>
        <w:t>Q.</w:t>
      </w:r>
      <w:r>
        <w:rPr>
          <w:b/>
        </w:rPr>
        <w:tab/>
        <w:t>FRONTIER</w:t>
      </w:r>
      <w:r w:rsidR="007D79D1">
        <w:rPr>
          <w:b/>
        </w:rPr>
        <w:t xml:space="preserve"> WITNESS </w:t>
      </w:r>
      <w:r w:rsidR="00B56AAD">
        <w:rPr>
          <w:b/>
        </w:rPr>
        <w:t>McCARTHY</w:t>
      </w:r>
      <w:r w:rsidR="007D79D1">
        <w:rPr>
          <w:b/>
        </w:rPr>
        <w:t xml:space="preserve"> </w:t>
      </w:r>
      <w:r>
        <w:rPr>
          <w:b/>
        </w:rPr>
        <w:t>ARGUE</w:t>
      </w:r>
      <w:r w:rsidR="0030219B">
        <w:rPr>
          <w:b/>
        </w:rPr>
        <w:t>S</w:t>
      </w:r>
      <w:r>
        <w:rPr>
          <w:b/>
        </w:rPr>
        <w:t xml:space="preserve"> THAT FRONTIER WILL NOT ENCOUNTER THE SERVICE PROBLEMS THAT PLAGUED THE TWO PREVIOUS VERIZON SPIN-OFFS.  WHAT IS YOUR RESPONSE?</w:t>
      </w:r>
    </w:p>
    <w:p w:rsidR="003536D5" w:rsidRDefault="003536D5" w:rsidP="0005108C">
      <w:pPr>
        <w:pStyle w:val="ListBullet2"/>
        <w:numPr>
          <w:ilvl w:val="0"/>
          <w:numId w:val="0"/>
        </w:numPr>
        <w:spacing w:before="120" w:line="480" w:lineRule="auto"/>
        <w:ind w:left="720" w:hanging="720"/>
        <w:jc w:val="both"/>
      </w:pPr>
      <w:r>
        <w:t>A.</w:t>
      </w:r>
      <w:r>
        <w:tab/>
      </w:r>
      <w:r w:rsidR="007D79D1">
        <w:t>Mr. McCarthy’s</w:t>
      </w:r>
      <w:r w:rsidR="00D874BF">
        <w:t xml:space="preserve"> position is that </w:t>
      </w:r>
      <w:r>
        <w:t>Frontier is already a substantial operating company with established billing, operational and customer service systems in place</w:t>
      </w:r>
      <w:r w:rsidR="00D874BF">
        <w:t>.  Furthermore</w:t>
      </w:r>
      <w:r>
        <w:t>,</w:t>
      </w:r>
      <w:r w:rsidR="00D874BF">
        <w:t xml:space="preserve"> for the previous Verizon exchanges in all states except </w:t>
      </w:r>
      <w:smartTag w:uri="urn:schemas-microsoft-com:office:smarttags" w:element="State">
        <w:r w:rsidR="00D874BF">
          <w:t>West Virginia</w:t>
        </w:r>
      </w:smartTag>
      <w:r w:rsidR="00CB1328">
        <w:t>,</w:t>
      </w:r>
      <w:r w:rsidR="00D874BF">
        <w:t xml:space="preserve"> </w:t>
      </w:r>
      <w:r w:rsidR="00CB1328">
        <w:t xml:space="preserve">these </w:t>
      </w:r>
      <w:r w:rsidR="00BD459E">
        <w:t>back-office</w:t>
      </w:r>
      <w:r w:rsidR="00CB1328">
        <w:t xml:space="preserve"> functions </w:t>
      </w:r>
      <w:r w:rsidR="00D874BF">
        <w:t xml:space="preserve">will be handled through a data center in </w:t>
      </w:r>
      <w:smartTag w:uri="urn:schemas-microsoft-com:office:smarttags" w:element="place">
        <w:smartTag w:uri="urn:schemas-microsoft-com:office:smarttags" w:element="City">
          <w:r w:rsidR="00D874BF">
            <w:t>Ft. Wayne</w:t>
          </w:r>
        </w:smartTag>
        <w:r w:rsidR="00D874BF">
          <w:t xml:space="preserve">, </w:t>
        </w:r>
        <w:smartTag w:uri="urn:schemas-microsoft-com:office:smarttags" w:element="State">
          <w:r w:rsidR="00D874BF">
            <w:t>Indiana</w:t>
          </w:r>
        </w:smartTag>
      </w:smartTag>
      <w:r w:rsidR="00D874BF">
        <w:t xml:space="preserve"> that is </w:t>
      </w:r>
      <w:r w:rsidR="00B56AAD">
        <w:t xml:space="preserve">designed </w:t>
      </w:r>
      <w:r w:rsidR="00D874BF">
        <w:t xml:space="preserve">to replicate Verizon’s </w:t>
      </w:r>
      <w:r w:rsidR="00BD459E">
        <w:t>back-office</w:t>
      </w:r>
      <w:r w:rsidR="00D874BF">
        <w:t xml:space="preserve"> system. Only later – possibly much later --</w:t>
      </w:r>
      <w:r>
        <w:t xml:space="preserve"> will </w:t>
      </w:r>
      <w:r w:rsidR="00D874BF">
        <w:t>Frontier</w:t>
      </w:r>
      <w:r>
        <w:t xml:space="preserve"> transition </w:t>
      </w:r>
      <w:r w:rsidR="00D874BF">
        <w:t xml:space="preserve">these functions onto its own software and hardware systems.  According to Mr. McCarthy, this plan will </w:t>
      </w:r>
      <w:r w:rsidR="00CB1328">
        <w:t>en</w:t>
      </w:r>
      <w:r w:rsidR="00D874BF">
        <w:t xml:space="preserve">sure that </w:t>
      </w:r>
      <w:r w:rsidR="00CB1328">
        <w:t>Frontier’s</w:t>
      </w:r>
      <w:r>
        <w:t xml:space="preserve"> new service territories </w:t>
      </w:r>
      <w:r w:rsidR="00CB1328">
        <w:t xml:space="preserve">will be transferred </w:t>
      </w:r>
      <w:r>
        <w:t>seamlessly and without any deterioration in service quality.</w:t>
      </w:r>
    </w:p>
    <w:p w:rsidR="003536D5" w:rsidRDefault="003536D5" w:rsidP="0005108C">
      <w:pPr>
        <w:pStyle w:val="ListBullet2"/>
        <w:numPr>
          <w:ilvl w:val="0"/>
          <w:numId w:val="0"/>
        </w:numPr>
        <w:spacing w:before="120" w:line="480" w:lineRule="auto"/>
        <w:ind w:left="720" w:hanging="720"/>
        <w:jc w:val="both"/>
      </w:pPr>
      <w:r>
        <w:tab/>
        <w:t xml:space="preserve">I very much hope </w:t>
      </w:r>
      <w:r w:rsidR="007D79D1">
        <w:t>Mr. McCarthy</w:t>
      </w:r>
      <w:r>
        <w:t xml:space="preserve"> </w:t>
      </w:r>
      <w:r w:rsidR="00D874BF">
        <w:t xml:space="preserve">is </w:t>
      </w:r>
      <w:r>
        <w:t xml:space="preserve">correct.  However, the reality is that Verizon’s billing, operating and customer service systems are not the same as Frontier’s, and if Frontier is to have uniform systems nationwide, it will eventually have to cut the Verizon protocols over to its systems.  </w:t>
      </w:r>
      <w:r w:rsidR="00B56AAD">
        <w:t>As I have noted, in previous cases</w:t>
      </w:r>
      <w:r>
        <w:t xml:space="preserve"> this cutove</w:t>
      </w:r>
      <w:r w:rsidR="00CB1328">
        <w:t>r has proved to be difficult,</w:t>
      </w:r>
      <w:r>
        <w:t xml:space="preserve"> costly</w:t>
      </w:r>
      <w:r w:rsidR="00CB1328">
        <w:t xml:space="preserve"> and highly disruptive to both retail and wholesale customers</w:t>
      </w:r>
      <w:r>
        <w:t xml:space="preserve">.  </w:t>
      </w:r>
    </w:p>
    <w:p w:rsidR="003536D5" w:rsidRDefault="003536D5" w:rsidP="0005108C">
      <w:pPr>
        <w:pStyle w:val="ListBullet2"/>
        <w:numPr>
          <w:ilvl w:val="0"/>
          <w:numId w:val="0"/>
        </w:numPr>
        <w:spacing w:before="120" w:line="480" w:lineRule="auto"/>
        <w:ind w:left="720"/>
        <w:jc w:val="both"/>
      </w:pPr>
      <w:r>
        <w:t xml:space="preserve">Another concern relates to planning.  In response to a data request in the </w:t>
      </w:r>
      <w:smartTag w:uri="urn:schemas-microsoft-com:office:smarttags" w:element="State">
        <w:smartTag w:uri="urn:schemas-microsoft-com:office:smarttags" w:element="place">
          <w:r>
            <w:t>West Virginia</w:t>
          </w:r>
        </w:smartTag>
      </w:smartTag>
      <w:r>
        <w:t xml:space="preserve"> proceeding parallel to this one, Frontier stated that it had no</w:t>
      </w:r>
      <w:r w:rsidR="002C4B78">
        <w:t xml:space="preserve"> </w:t>
      </w:r>
      <w:r w:rsidR="00CB1328">
        <w:t xml:space="preserve">detailed </w:t>
      </w:r>
      <w:r>
        <w:lastRenderedPageBreak/>
        <w:t>capital budget for the year 2010.</w:t>
      </w:r>
      <w:r>
        <w:rPr>
          <w:rStyle w:val="FootnoteReference"/>
        </w:rPr>
        <w:footnoteReference w:id="24"/>
      </w:r>
      <w:r>
        <w:t xml:space="preserve"> This is ominous because most utility companies have capital budgets five years out.  If Frontier has no plan for capital expenditures, the Commission should question the seriousness</w:t>
      </w:r>
      <w:r w:rsidR="00DA36E4">
        <w:t xml:space="preserve"> of</w:t>
      </w:r>
      <w:r>
        <w:t xml:space="preserve"> its promise to increase greatly the proportion of </w:t>
      </w:r>
      <w:smartTag w:uri="urn:schemas-microsoft-com:office:smarttags" w:element="State">
        <w:smartTag w:uri="urn:schemas-microsoft-com:office:smarttags" w:element="place">
          <w:r w:rsidR="002C1D0C">
            <w:t>Washington</w:t>
          </w:r>
        </w:smartTag>
      </w:smartTag>
      <w:r>
        <w:t xml:space="preserve"> subscribers with access to the Internet.</w:t>
      </w:r>
      <w:r w:rsidR="00D53CE1">
        <w:rPr>
          <w:rStyle w:val="FootnoteReference"/>
        </w:rPr>
        <w:footnoteReference w:id="25"/>
      </w:r>
      <w:r>
        <w:t xml:space="preserve"> </w:t>
      </w:r>
    </w:p>
    <w:p w:rsidR="003536D5" w:rsidRDefault="003536D5" w:rsidP="0005108C">
      <w:pPr>
        <w:pStyle w:val="ListBullet2"/>
        <w:numPr>
          <w:ilvl w:val="0"/>
          <w:numId w:val="0"/>
        </w:numPr>
        <w:spacing w:before="120" w:line="480" w:lineRule="auto"/>
        <w:ind w:left="720"/>
        <w:jc w:val="both"/>
      </w:pPr>
      <w:r>
        <w:t xml:space="preserve">For these reasons, it is important for the </w:t>
      </w:r>
      <w:r w:rsidR="002C1D0C">
        <w:t>Washington</w:t>
      </w:r>
      <w:r>
        <w:t xml:space="preserve"> Commission to monitor Frontier’s service performance.  To be a deterrent against service degradation, the Commission should be prepared to impose sanctions if service performance deteriorates.</w:t>
      </w:r>
    </w:p>
    <w:p w:rsidR="003536D5" w:rsidRDefault="003536D5" w:rsidP="0005108C">
      <w:pPr>
        <w:spacing w:line="480" w:lineRule="auto"/>
        <w:jc w:val="both"/>
      </w:pPr>
    </w:p>
    <w:p w:rsidR="001373DE" w:rsidRDefault="004D71E4" w:rsidP="0005108C">
      <w:pPr>
        <w:pStyle w:val="ListBullet2"/>
        <w:numPr>
          <w:ilvl w:val="0"/>
          <w:numId w:val="0"/>
        </w:numPr>
        <w:spacing w:before="120" w:line="480" w:lineRule="auto"/>
        <w:ind w:left="720" w:hanging="720"/>
        <w:jc w:val="both"/>
      </w:pPr>
      <w:r>
        <w:rPr>
          <w:b/>
        </w:rPr>
        <w:t>Q.</w:t>
      </w:r>
      <w:r>
        <w:rPr>
          <w:b/>
        </w:rPr>
        <w:tab/>
        <w:t xml:space="preserve">DOES THE </w:t>
      </w:r>
      <w:smartTag w:uri="urn:schemas-microsoft-com:office:smarttags" w:element="State">
        <w:smartTag w:uri="urn:schemas-microsoft-com:office:smarttags" w:element="place">
          <w:r w:rsidR="002C1D0C">
            <w:rPr>
              <w:b/>
            </w:rPr>
            <w:t>WASHINGTON</w:t>
          </w:r>
        </w:smartTag>
      </w:smartTag>
      <w:r>
        <w:rPr>
          <w:b/>
        </w:rPr>
        <w:t xml:space="preserve"> </w:t>
      </w:r>
      <w:r w:rsidR="00761255">
        <w:rPr>
          <w:b/>
        </w:rPr>
        <w:t>C</w:t>
      </w:r>
      <w:r>
        <w:rPr>
          <w:b/>
        </w:rPr>
        <w:t xml:space="preserve">OMMISSION HAVE ESTABLISHED </w:t>
      </w:r>
      <w:r w:rsidR="00613F03">
        <w:rPr>
          <w:b/>
        </w:rPr>
        <w:t xml:space="preserve">SERVICE QUALITY </w:t>
      </w:r>
      <w:r>
        <w:rPr>
          <w:b/>
        </w:rPr>
        <w:t>STANDARDS</w:t>
      </w:r>
      <w:r w:rsidR="00790EF8">
        <w:rPr>
          <w:b/>
        </w:rPr>
        <w:t xml:space="preserve"> FOR TELECOMMUNICATIONS SERVICE</w:t>
      </w:r>
      <w:r w:rsidR="001373DE">
        <w:rPr>
          <w:b/>
        </w:rPr>
        <w:t>?</w:t>
      </w:r>
      <w:r>
        <w:tab/>
      </w:r>
    </w:p>
    <w:p w:rsidR="001373DE" w:rsidRDefault="001373DE" w:rsidP="0005108C">
      <w:pPr>
        <w:spacing w:line="480" w:lineRule="auto"/>
      </w:pPr>
    </w:p>
    <w:p w:rsidR="003536D5" w:rsidRDefault="001373DE" w:rsidP="0005108C">
      <w:pPr>
        <w:spacing w:line="480" w:lineRule="auto"/>
        <w:ind w:left="720" w:hanging="720"/>
        <w:jc w:val="both"/>
      </w:pPr>
      <w:r>
        <w:t>A.</w:t>
      </w:r>
      <w:r>
        <w:tab/>
        <w:t>Yes.</w:t>
      </w:r>
      <w:r w:rsidR="00613F03">
        <w:t xml:space="preserve">  </w:t>
      </w:r>
      <w:r w:rsidR="0061686D">
        <w:t>WAC</w:t>
      </w:r>
      <w:r w:rsidR="00776A48">
        <w:t xml:space="preserve"> 480-120-401 through </w:t>
      </w:r>
      <w:r w:rsidR="00DA36E4">
        <w:t>480-120-</w:t>
      </w:r>
      <w:r w:rsidR="00776A48">
        <w:t xml:space="preserve">560 </w:t>
      </w:r>
      <w:r w:rsidR="00613F03">
        <w:t>contain</w:t>
      </w:r>
      <w:r w:rsidR="00776A48">
        <w:t xml:space="preserve"> safety and</w:t>
      </w:r>
      <w:r w:rsidR="00613F03">
        <w:t xml:space="preserve"> service quality standards</w:t>
      </w:r>
      <w:r w:rsidR="003536D5">
        <w:t xml:space="preserve"> for </w:t>
      </w:r>
      <w:r w:rsidR="00776A48">
        <w:t>most</w:t>
      </w:r>
      <w:r w:rsidR="00613F03">
        <w:t xml:space="preserve"> categories of local exchange telephone service.</w:t>
      </w:r>
      <w:r w:rsidR="00776A48">
        <w:t xml:space="preserve">  </w:t>
      </w:r>
      <w:r w:rsidR="00613F03">
        <w:t xml:space="preserve"> </w:t>
      </w:r>
      <w:r w:rsidR="00776A48">
        <w:t>For example, WAC 480-120-438 contains the standard f</w:t>
      </w:r>
      <w:r w:rsidR="00B56AAD">
        <w:t xml:space="preserve">or trouble reports.  WAC 480-120-440 </w:t>
      </w:r>
      <w:r w:rsidR="00776A48">
        <w:t>provides standards for repai</w:t>
      </w:r>
      <w:r w:rsidR="00DA36E4">
        <w:t>r</w:t>
      </w:r>
      <w:r w:rsidR="00776A48">
        <w:t>s for service interruptions and impairments.</w:t>
      </w:r>
      <w:r w:rsidR="00613F03">
        <w:t xml:space="preserve"> </w:t>
      </w:r>
      <w:r w:rsidR="00776A48">
        <w:t>WAC 480-120-439 contains the service quality reporting requirements.</w:t>
      </w:r>
    </w:p>
    <w:p w:rsidR="00776A48" w:rsidRDefault="00776A48" w:rsidP="0005108C">
      <w:pPr>
        <w:spacing w:line="480" w:lineRule="auto"/>
        <w:ind w:left="720" w:hanging="720"/>
        <w:jc w:val="both"/>
      </w:pPr>
    </w:p>
    <w:p w:rsidR="00D223B2" w:rsidRDefault="00D223B2" w:rsidP="0005108C">
      <w:pPr>
        <w:spacing w:line="480" w:lineRule="auto"/>
        <w:ind w:left="720" w:hanging="720"/>
        <w:jc w:val="both"/>
      </w:pPr>
    </w:p>
    <w:p w:rsidR="00D223B2" w:rsidRDefault="00D223B2" w:rsidP="0005108C">
      <w:pPr>
        <w:spacing w:line="480" w:lineRule="auto"/>
        <w:ind w:left="720" w:hanging="720"/>
        <w:jc w:val="both"/>
      </w:pPr>
    </w:p>
    <w:p w:rsidR="004E680E" w:rsidRDefault="004E680E" w:rsidP="0005108C">
      <w:pPr>
        <w:spacing w:line="480" w:lineRule="auto"/>
        <w:ind w:left="720" w:hanging="720"/>
        <w:jc w:val="both"/>
        <w:rPr>
          <w:b/>
          <w:u w:val="single"/>
        </w:rPr>
      </w:pPr>
      <w:r w:rsidRPr="004E680E">
        <w:rPr>
          <w:b/>
          <w:u w:val="single"/>
        </w:rPr>
        <w:lastRenderedPageBreak/>
        <w:t>SANCTIONS FOR POOR PERFORMANC</w:t>
      </w:r>
      <w:r>
        <w:rPr>
          <w:b/>
          <w:u w:val="single"/>
        </w:rPr>
        <w:t>E</w:t>
      </w:r>
    </w:p>
    <w:p w:rsidR="004E680E" w:rsidRPr="004E680E" w:rsidRDefault="004E680E" w:rsidP="0005108C">
      <w:pPr>
        <w:spacing w:line="480" w:lineRule="auto"/>
        <w:ind w:left="720" w:hanging="720"/>
        <w:jc w:val="both"/>
        <w:rPr>
          <w:b/>
          <w:u w:val="single"/>
        </w:rPr>
      </w:pPr>
    </w:p>
    <w:p w:rsidR="00776A48" w:rsidRDefault="00776A48" w:rsidP="0005108C">
      <w:pPr>
        <w:spacing w:line="480" w:lineRule="auto"/>
        <w:ind w:left="720" w:hanging="720"/>
        <w:jc w:val="both"/>
        <w:rPr>
          <w:b/>
        </w:rPr>
      </w:pPr>
      <w:r>
        <w:rPr>
          <w:b/>
        </w:rPr>
        <w:t>Q.</w:t>
      </w:r>
      <w:r>
        <w:rPr>
          <w:b/>
        </w:rPr>
        <w:tab/>
        <w:t>DOES THE COMMISSION HAVE THE POWER TO ENFORCE THESE STANDARDS?</w:t>
      </w:r>
    </w:p>
    <w:p w:rsidR="00776A48" w:rsidRDefault="00776A48" w:rsidP="0005108C">
      <w:pPr>
        <w:spacing w:line="480" w:lineRule="auto"/>
        <w:ind w:left="720" w:hanging="720"/>
        <w:jc w:val="both"/>
        <w:rPr>
          <w:b/>
        </w:rPr>
      </w:pPr>
    </w:p>
    <w:p w:rsidR="004E680E" w:rsidRDefault="00776A48" w:rsidP="0005108C">
      <w:pPr>
        <w:spacing w:line="480" w:lineRule="auto"/>
      </w:pPr>
      <w:r>
        <w:t>A.</w:t>
      </w:r>
      <w:r>
        <w:tab/>
        <w:t xml:space="preserve">Yes.  </w:t>
      </w:r>
      <w:r w:rsidR="004E680E">
        <w:t>WAC 480-120-019 provides as follows:</w:t>
      </w:r>
    </w:p>
    <w:p w:rsidR="004E680E" w:rsidRDefault="004E680E" w:rsidP="004E680E"/>
    <w:p w:rsidR="00776A48" w:rsidRDefault="004E680E" w:rsidP="004E680E">
      <w:pPr>
        <w:ind w:left="720"/>
        <w:jc w:val="both"/>
        <w:rPr>
          <w:rStyle w:val="Strong"/>
          <w:b w:val="0"/>
        </w:rPr>
      </w:pPr>
      <w:r w:rsidRPr="004E680E">
        <w:rPr>
          <w:rStyle w:val="Strong"/>
          <w:b w:val="0"/>
        </w:rPr>
        <w:t xml:space="preserve">The commission may enforce the performance requirements set forth in this chapter by imposing administrative penalties under RCW </w:t>
      </w:r>
      <w:hyperlink r:id="rId10" w:history="1">
        <w:r w:rsidRPr="004E680E">
          <w:rPr>
            <w:rStyle w:val="Strong"/>
            <w:b w:val="0"/>
            <w:u w:val="single"/>
          </w:rPr>
          <w:t>80.04.405</w:t>
        </w:r>
      </w:hyperlink>
      <w:r w:rsidRPr="004E680E">
        <w:rPr>
          <w:rStyle w:val="Strong"/>
          <w:b w:val="0"/>
        </w:rPr>
        <w:t xml:space="preserve">, </w:t>
      </w:r>
      <w:hyperlink r:id="rId11" w:history="1">
        <w:r w:rsidRPr="004E680E">
          <w:rPr>
            <w:rStyle w:val="Strong"/>
            <w:b w:val="0"/>
            <w:u w:val="single"/>
          </w:rPr>
          <w:t>80.04.380</w:t>
        </w:r>
      </w:hyperlink>
      <w:r w:rsidRPr="004E680E">
        <w:rPr>
          <w:rStyle w:val="Strong"/>
          <w:b w:val="0"/>
        </w:rPr>
        <w:t xml:space="preserve">, or other appropriate penalty statutes. </w:t>
      </w:r>
    </w:p>
    <w:p w:rsidR="004E680E" w:rsidRPr="00776A48" w:rsidRDefault="004E680E" w:rsidP="004E680E">
      <w:pPr>
        <w:ind w:left="720"/>
        <w:jc w:val="both"/>
        <w:rPr>
          <w:u w:val="single"/>
        </w:rPr>
      </w:pPr>
    </w:p>
    <w:p w:rsidR="001D3BB6" w:rsidRDefault="00E45BA6" w:rsidP="0005108C">
      <w:pPr>
        <w:pStyle w:val="ListBullet2"/>
        <w:numPr>
          <w:ilvl w:val="0"/>
          <w:numId w:val="0"/>
        </w:numPr>
        <w:spacing w:before="120" w:line="480" w:lineRule="auto"/>
        <w:ind w:left="720" w:hanging="720"/>
        <w:jc w:val="both"/>
        <w:rPr>
          <w:b/>
        </w:rPr>
      </w:pPr>
      <w:r>
        <w:rPr>
          <w:b/>
        </w:rPr>
        <w:t>Q.</w:t>
      </w:r>
      <w:r>
        <w:rPr>
          <w:b/>
        </w:rPr>
        <w:tab/>
        <w:t xml:space="preserve">WHAT </w:t>
      </w:r>
      <w:r w:rsidR="00613F03">
        <w:rPr>
          <w:b/>
        </w:rPr>
        <w:t xml:space="preserve">ADDITIONAL ENFORCEMENT </w:t>
      </w:r>
      <w:r w:rsidR="009174E7">
        <w:rPr>
          <w:b/>
        </w:rPr>
        <w:t>MECHANISM</w:t>
      </w:r>
      <w:r w:rsidR="003536D5">
        <w:rPr>
          <w:b/>
        </w:rPr>
        <w:t>S</w:t>
      </w:r>
      <w:r w:rsidR="009174E7">
        <w:rPr>
          <w:b/>
        </w:rPr>
        <w:t xml:space="preserve"> COULD YOU SUGGEST</w:t>
      </w:r>
      <w:r w:rsidR="00613F03">
        <w:rPr>
          <w:b/>
        </w:rPr>
        <w:t xml:space="preserve"> </w:t>
      </w:r>
      <w:r w:rsidR="004E680E">
        <w:rPr>
          <w:b/>
        </w:rPr>
        <w:t>IN ADDITION TO THOSE CURRENTLY IN THE RULES?</w:t>
      </w:r>
    </w:p>
    <w:p w:rsidR="002A5EA0" w:rsidRDefault="002A5EA0" w:rsidP="0005108C">
      <w:pPr>
        <w:pStyle w:val="ListBullet2"/>
        <w:numPr>
          <w:ilvl w:val="0"/>
          <w:numId w:val="0"/>
        </w:numPr>
        <w:spacing w:line="480" w:lineRule="auto"/>
        <w:ind w:left="720" w:hanging="720"/>
        <w:jc w:val="both"/>
      </w:pPr>
    </w:p>
    <w:p w:rsidR="004135D2" w:rsidRPr="00044E58" w:rsidRDefault="009174E7" w:rsidP="0005108C">
      <w:pPr>
        <w:pStyle w:val="ListBullet2"/>
        <w:numPr>
          <w:ilvl w:val="0"/>
          <w:numId w:val="0"/>
        </w:numPr>
        <w:spacing w:line="480" w:lineRule="auto"/>
        <w:ind w:left="720" w:hanging="720"/>
        <w:jc w:val="both"/>
      </w:pPr>
      <w:r>
        <w:t>A.</w:t>
      </w:r>
      <w:r>
        <w:tab/>
      </w:r>
      <w:r w:rsidR="00F33464">
        <w:t xml:space="preserve">As an initial step, </w:t>
      </w:r>
      <w:r>
        <w:t xml:space="preserve">I </w:t>
      </w:r>
      <w:r w:rsidR="00904ABC">
        <w:t xml:space="preserve">have already </w:t>
      </w:r>
      <w:r>
        <w:t>recommend</w:t>
      </w:r>
      <w:r w:rsidR="00904ABC">
        <w:t>ed</w:t>
      </w:r>
      <w:r>
        <w:t xml:space="preserve"> </w:t>
      </w:r>
      <w:r w:rsidR="003536D5">
        <w:t>that as a condition of approving the transaction,</w:t>
      </w:r>
      <w:r>
        <w:t xml:space="preserve"> </w:t>
      </w:r>
      <w:r w:rsidR="003536D5">
        <w:t xml:space="preserve">the Commission adopt </w:t>
      </w:r>
      <w:r>
        <w:t xml:space="preserve">the mechanism currently in place for Frontier in </w:t>
      </w:r>
      <w:smartTag w:uri="urn:schemas-microsoft-com:office:smarttags" w:element="place">
        <w:smartTag w:uri="urn:schemas-microsoft-com:office:smarttags" w:element="PlaceName">
          <w:r>
            <w:t>New</w:t>
          </w:r>
          <w:r w:rsidR="00613F03">
            <w:t xml:space="preserve"> </w:t>
          </w:r>
          <w:r>
            <w:t>York</w:t>
          </w:r>
        </w:smartTag>
        <w:r>
          <w:t xml:space="preserve"> </w:t>
        </w:r>
        <w:smartTag w:uri="urn:schemas-microsoft-com:office:smarttags" w:element="PlaceType">
          <w:r>
            <w:t>State</w:t>
          </w:r>
        </w:smartTag>
      </w:smartTag>
      <w:r>
        <w:t xml:space="preserve">.  If the service quality metrics currently being reported </w:t>
      </w:r>
      <w:r w:rsidR="00613F03">
        <w:t xml:space="preserve">to the Commission fall </w:t>
      </w:r>
      <w:r w:rsidR="00C01318">
        <w:t xml:space="preserve">below those specified in WAC 480-120-400 to 500 </w:t>
      </w:r>
      <w:r w:rsidR="002C4B78">
        <w:t>series</w:t>
      </w:r>
      <w:r w:rsidR="00205AEB">
        <w:t xml:space="preserve"> during any quarter</w:t>
      </w:r>
      <w:r w:rsidR="00613F03">
        <w:t xml:space="preserve">, </w:t>
      </w:r>
      <w:r>
        <w:t>then the Frontier subsidiar</w:t>
      </w:r>
      <w:r w:rsidR="00C01318">
        <w:t>y</w:t>
      </w:r>
      <w:r>
        <w:t xml:space="preserve"> operating in </w:t>
      </w:r>
      <w:r w:rsidR="002C1D0C">
        <w:t>Washington</w:t>
      </w:r>
      <w:r>
        <w:t xml:space="preserve"> will be preclud</w:t>
      </w:r>
      <w:r w:rsidR="00C01318">
        <w:t>ed from issuing dividends to its</w:t>
      </w:r>
      <w:r w:rsidR="002610EE">
        <w:t xml:space="preserve"> parent</w:t>
      </w:r>
      <w:r w:rsidR="00205AEB">
        <w:t xml:space="preserve"> in the following quarter.</w:t>
      </w:r>
      <w:r w:rsidR="002A5EA0">
        <w:t xml:space="preserve"> </w:t>
      </w:r>
      <w:r w:rsidR="004E680E">
        <w:t xml:space="preserve"> Of course, the Commission can excuse the Company from these provisions if it can demonstrate that it was not responsible for the failure to achieve the service quality thresholds.</w:t>
      </w:r>
    </w:p>
    <w:p w:rsidR="00021BDA" w:rsidRDefault="00021BDA" w:rsidP="0005108C">
      <w:pPr>
        <w:spacing w:line="480" w:lineRule="auto"/>
        <w:jc w:val="both"/>
        <w:rPr>
          <w:b/>
          <w:u w:val="single"/>
        </w:rPr>
      </w:pPr>
    </w:p>
    <w:p w:rsidR="00070F89" w:rsidRDefault="00021BDA" w:rsidP="0005108C">
      <w:pPr>
        <w:spacing w:line="480" w:lineRule="auto"/>
        <w:ind w:left="720" w:hanging="720"/>
        <w:jc w:val="both"/>
        <w:rPr>
          <w:b/>
        </w:rPr>
      </w:pPr>
      <w:r>
        <w:rPr>
          <w:b/>
        </w:rPr>
        <w:lastRenderedPageBreak/>
        <w:t>Q.</w:t>
      </w:r>
      <w:r>
        <w:rPr>
          <w:b/>
        </w:rPr>
        <w:tab/>
      </w:r>
      <w:r w:rsidR="009174E7">
        <w:rPr>
          <w:b/>
        </w:rPr>
        <w:t xml:space="preserve">ASIDE FROM DIVIDEND RESTRICTIONS, </w:t>
      </w:r>
      <w:r>
        <w:rPr>
          <w:b/>
        </w:rPr>
        <w:t xml:space="preserve">WHAT </w:t>
      </w:r>
      <w:r w:rsidR="009174E7">
        <w:rPr>
          <w:b/>
        </w:rPr>
        <w:t xml:space="preserve">FURTHER </w:t>
      </w:r>
      <w:r>
        <w:rPr>
          <w:b/>
        </w:rPr>
        <w:t xml:space="preserve">SANCTIONS </w:t>
      </w:r>
      <w:r w:rsidR="00A86314">
        <w:rPr>
          <w:b/>
        </w:rPr>
        <w:t>SHOULD</w:t>
      </w:r>
      <w:r>
        <w:rPr>
          <w:b/>
        </w:rPr>
        <w:t xml:space="preserve"> THE COMMISSION IMPOSE </w:t>
      </w:r>
      <w:r w:rsidR="00070F89">
        <w:rPr>
          <w:b/>
        </w:rPr>
        <w:t>IN ORDER TO ENSURE ADEQUATE SERVICE QUALITY?</w:t>
      </w:r>
    </w:p>
    <w:p w:rsidR="00070F89" w:rsidRDefault="00070F89" w:rsidP="0005108C">
      <w:pPr>
        <w:spacing w:line="480" w:lineRule="auto"/>
        <w:jc w:val="both"/>
        <w:rPr>
          <w:b/>
        </w:rPr>
      </w:pPr>
    </w:p>
    <w:p w:rsidR="00D7722E" w:rsidRDefault="00070F89" w:rsidP="0005108C">
      <w:pPr>
        <w:spacing w:line="480" w:lineRule="auto"/>
        <w:ind w:left="720" w:hanging="720"/>
        <w:jc w:val="both"/>
      </w:pPr>
      <w:r>
        <w:t>A.</w:t>
      </w:r>
      <w:r>
        <w:tab/>
      </w:r>
      <w:r w:rsidR="009174E7">
        <w:t>T</w:t>
      </w:r>
      <w:r>
        <w:t xml:space="preserve">here are three </w:t>
      </w:r>
      <w:r w:rsidR="009174E7">
        <w:t>types of sanctions</w:t>
      </w:r>
      <w:r w:rsidR="001824CA">
        <w:t xml:space="preserve"> which the Commission c</w:t>
      </w:r>
      <w:r w:rsidR="00A86314">
        <w:t>an</w:t>
      </w:r>
      <w:r w:rsidR="001824CA">
        <w:t xml:space="preserve"> impose</w:t>
      </w:r>
      <w:r w:rsidR="00960BCB">
        <w:t xml:space="preserve"> for poor service quality</w:t>
      </w:r>
      <w:r w:rsidR="001824CA">
        <w:t>:</w:t>
      </w:r>
    </w:p>
    <w:p w:rsidR="00D7722E" w:rsidRDefault="00D7722E" w:rsidP="0005108C">
      <w:pPr>
        <w:spacing w:line="480" w:lineRule="auto"/>
        <w:ind w:left="720" w:hanging="720"/>
        <w:jc w:val="both"/>
      </w:pPr>
    </w:p>
    <w:p w:rsidR="001824CA" w:rsidRDefault="001824CA" w:rsidP="0005108C">
      <w:pPr>
        <w:numPr>
          <w:ilvl w:val="0"/>
          <w:numId w:val="3"/>
        </w:numPr>
        <w:spacing w:line="480" w:lineRule="auto"/>
        <w:jc w:val="both"/>
      </w:pPr>
      <w:r>
        <w:t xml:space="preserve">Require annual credits to the bills of all </w:t>
      </w:r>
      <w:r w:rsidR="00F036DD">
        <w:t>Frontier</w:t>
      </w:r>
      <w:r>
        <w:t xml:space="preserve"> customers for </w:t>
      </w:r>
      <w:r w:rsidR="00F036DD">
        <w:t>Frontier</w:t>
      </w:r>
      <w:r>
        <w:t>’s failure to meet service standards s</w:t>
      </w:r>
      <w:r w:rsidR="005F616C">
        <w:t>tate</w:t>
      </w:r>
      <w:r>
        <w:t>-wide for a consecutive number of months, or for a total number of months during a year.</w:t>
      </w:r>
    </w:p>
    <w:p w:rsidR="00D7722E" w:rsidRDefault="00D7722E" w:rsidP="0005108C">
      <w:pPr>
        <w:spacing w:line="480" w:lineRule="auto"/>
        <w:ind w:left="720"/>
        <w:jc w:val="both"/>
      </w:pPr>
    </w:p>
    <w:p w:rsidR="001824CA" w:rsidRDefault="001824CA" w:rsidP="0005108C">
      <w:pPr>
        <w:numPr>
          <w:ilvl w:val="0"/>
          <w:numId w:val="3"/>
        </w:numPr>
        <w:spacing w:line="480" w:lineRule="auto"/>
        <w:jc w:val="both"/>
      </w:pPr>
      <w:r>
        <w:t xml:space="preserve">Impose a fine on </w:t>
      </w:r>
      <w:r w:rsidR="00F036DD">
        <w:t>Frontier</w:t>
      </w:r>
      <w:r>
        <w:t xml:space="preserve">, payable to the Commission or to the state treasury, as appropriate, for its failure to meet service quality standards for a certain consecutive or total monthly period during a year. </w:t>
      </w:r>
    </w:p>
    <w:p w:rsidR="00D7722E" w:rsidRDefault="00D7722E" w:rsidP="0005108C">
      <w:pPr>
        <w:spacing w:line="480" w:lineRule="auto"/>
        <w:ind w:left="720"/>
        <w:jc w:val="both"/>
      </w:pPr>
    </w:p>
    <w:p w:rsidR="00AB106D" w:rsidRDefault="00AB106D" w:rsidP="0005108C">
      <w:pPr>
        <w:numPr>
          <w:ilvl w:val="0"/>
          <w:numId w:val="3"/>
        </w:numPr>
        <w:spacing w:line="480" w:lineRule="auto"/>
        <w:jc w:val="both"/>
      </w:pPr>
      <w:r>
        <w:t xml:space="preserve">Require credits to </w:t>
      </w:r>
      <w:r w:rsidR="00F036DD">
        <w:t>Frontier</w:t>
      </w:r>
      <w:r>
        <w:t xml:space="preserve">’s customers on a customer-by-customer basis for failure to meet a </w:t>
      </w:r>
      <w:r w:rsidRPr="00F036DD">
        <w:t>Commission-mandated</w:t>
      </w:r>
      <w:r>
        <w:t xml:space="preserve"> provisioning or restoration standard in a particular instance, with a credit applied to the bill following the failure.</w:t>
      </w:r>
    </w:p>
    <w:p w:rsidR="00F036DD" w:rsidRDefault="00F036DD" w:rsidP="0005108C">
      <w:pPr>
        <w:spacing w:line="480" w:lineRule="auto"/>
        <w:ind w:left="360"/>
        <w:jc w:val="both"/>
      </w:pPr>
    </w:p>
    <w:p w:rsidR="001824CA" w:rsidRDefault="001824CA" w:rsidP="0005108C">
      <w:pPr>
        <w:spacing w:line="480" w:lineRule="auto"/>
        <w:ind w:left="720"/>
        <w:jc w:val="both"/>
      </w:pPr>
      <w:r>
        <w:t xml:space="preserve">The </w:t>
      </w:r>
      <w:r w:rsidR="00F036DD">
        <w:t>first</w:t>
      </w:r>
      <w:r>
        <w:t xml:space="preserve"> approach would provide an incentive to </w:t>
      </w:r>
      <w:r w:rsidR="00F036DD">
        <w:t>Frontier</w:t>
      </w:r>
      <w:r>
        <w:t xml:space="preserve"> to provide service according to </w:t>
      </w:r>
      <w:r w:rsidR="00F036DD">
        <w:t xml:space="preserve">the </w:t>
      </w:r>
      <w:r>
        <w:t xml:space="preserve">prescribed standards.  The disadvantage, however, is that the annual credit is spread over the general ratepayer base and may be seen as </w:t>
      </w:r>
      <w:r>
        <w:lastRenderedPageBreak/>
        <w:t xml:space="preserve">inadequate for customers who experienced severe problems.  Moreover, because the credit is annual, a customer who experienced problems may have moved or changed carriers by the time that the credit is issued.  In that respect, the benefit is received by new customers whose service was not affected negatively.  The approach </w:t>
      </w:r>
      <w:r w:rsidR="00F036DD">
        <w:t xml:space="preserve">would </w:t>
      </w:r>
      <w:r>
        <w:t xml:space="preserve">be of value in a situation where service problems are extended and severe, and the credit is large in amount, because the action would heighten public awareness of the carrier’s service deficiencies and bring pressure to improve.  </w:t>
      </w:r>
    </w:p>
    <w:p w:rsidR="00F036DD" w:rsidRDefault="00F036DD" w:rsidP="0005108C">
      <w:pPr>
        <w:spacing w:line="480" w:lineRule="auto"/>
        <w:ind w:left="720"/>
        <w:jc w:val="both"/>
      </w:pPr>
    </w:p>
    <w:p w:rsidR="001824CA" w:rsidRPr="00AF07F9" w:rsidRDefault="001824CA" w:rsidP="0005108C">
      <w:pPr>
        <w:spacing w:line="480" w:lineRule="auto"/>
        <w:ind w:left="720"/>
        <w:jc w:val="both"/>
      </w:pPr>
      <w:r w:rsidRPr="00AF07F9">
        <w:t xml:space="preserve">The </w:t>
      </w:r>
      <w:r w:rsidR="00F036DD">
        <w:t>second</w:t>
      </w:r>
      <w:r w:rsidRPr="00AF07F9">
        <w:t xml:space="preserve"> approach – payment of penalties for failure to meet service standards – has merit as an incentive to the carrier to meet the designated service criteria.  The approach, however, provides no compensation to customers who received poor service.  Rather, it is a punishment that reduces the carrier’s earnings and generates negative publicity if the fine is issued in a significant amount.  </w:t>
      </w:r>
      <w:r w:rsidR="00F036DD">
        <w:t>Frontier</w:t>
      </w:r>
      <w:r w:rsidRPr="00AF07F9">
        <w:t>’s failure to provide service quality reports for an extended period is the type of situation that this approach should encompass.  This approach could be combined</w:t>
      </w:r>
      <w:r>
        <w:t xml:space="preserve"> with the prior approach in</w:t>
      </w:r>
      <w:r w:rsidRPr="00AF07F9">
        <w:t xml:space="preserve"> egregious situations to preserve the Commission’s processes and orders</w:t>
      </w:r>
      <w:r>
        <w:t xml:space="preserve"> while making whole the affected customers.</w:t>
      </w:r>
    </w:p>
    <w:p w:rsidR="00F036DD" w:rsidRDefault="00AB106D" w:rsidP="0005108C">
      <w:pPr>
        <w:spacing w:line="480" w:lineRule="auto"/>
        <w:jc w:val="both"/>
      </w:pPr>
      <w:r>
        <w:tab/>
      </w:r>
    </w:p>
    <w:p w:rsidR="00AB106D" w:rsidRDefault="002203D0" w:rsidP="0005108C">
      <w:pPr>
        <w:spacing w:line="480" w:lineRule="auto"/>
        <w:ind w:left="720"/>
        <w:jc w:val="both"/>
      </w:pPr>
      <w:r>
        <w:t xml:space="preserve">Arguably </w:t>
      </w:r>
      <w:r w:rsidR="00F036DD">
        <w:t xml:space="preserve">most appropriate </w:t>
      </w:r>
      <w:r>
        <w:t>is</w:t>
      </w:r>
      <w:r w:rsidR="00F036DD">
        <w:t xml:space="preserve"> the third approach</w:t>
      </w:r>
      <w:r w:rsidR="00AB106D" w:rsidRPr="00AF07F9">
        <w:t xml:space="preserve"> – immediate credits to individual customers’ bills.  Customers who do not receive the quality of service according to the standard that the Commission specifies should not be expected to pay full price for what they received.  This approach – which has been adopted elsewhere </w:t>
      </w:r>
      <w:r w:rsidR="00AB106D" w:rsidRPr="00AF07F9">
        <w:lastRenderedPageBreak/>
        <w:t xml:space="preserve">for both retail and wholesale customers – provides a financial incentive for </w:t>
      </w:r>
      <w:r w:rsidR="00F036DD">
        <w:t>Frontier</w:t>
      </w:r>
      <w:r w:rsidR="00AB106D" w:rsidRPr="00AF07F9">
        <w:t xml:space="preserve"> to provide high quality service, and the beneficiaries of the credit are the individual customers who suffered.  Importantly, the immediate nature of the credit guarantees that the customer directly affected receives the full benefit of </w:t>
      </w:r>
      <w:r w:rsidR="00F036DD">
        <w:t>Frontier</w:t>
      </w:r>
      <w:r w:rsidR="00AB106D" w:rsidRPr="00AF07F9">
        <w:t xml:space="preserve">’s obligation to redress service failures.  </w:t>
      </w:r>
    </w:p>
    <w:p w:rsidR="00A86314" w:rsidRDefault="00A86314" w:rsidP="0005108C">
      <w:pPr>
        <w:spacing w:line="480" w:lineRule="auto"/>
        <w:ind w:left="720"/>
        <w:jc w:val="both"/>
      </w:pPr>
    </w:p>
    <w:p w:rsidR="00FE0837" w:rsidRDefault="00FE0837" w:rsidP="0005108C">
      <w:pPr>
        <w:spacing w:line="480" w:lineRule="auto"/>
        <w:ind w:left="720" w:hanging="720"/>
        <w:rPr>
          <w:b/>
        </w:rPr>
      </w:pPr>
      <w:r>
        <w:rPr>
          <w:b/>
        </w:rPr>
        <w:t>Q.</w:t>
      </w:r>
      <w:r>
        <w:rPr>
          <w:b/>
        </w:rPr>
        <w:tab/>
        <w:t xml:space="preserve">YOU HAVE NOTED THAT THE COMMISSION HAS THE POWER TO IMPOSE FINES, BUT ARE THERE ANY </w:t>
      </w:r>
      <w:smartTag w:uri="urn:schemas-microsoft-com:office:smarttags" w:element="Street">
        <w:smartTag w:uri="urn:schemas-microsoft-com:office:smarttags" w:element="address">
          <w:r>
            <w:rPr>
              <w:b/>
            </w:rPr>
            <w:t>PROVISIONS IN PLACE</w:t>
          </w:r>
        </w:smartTag>
      </w:smartTag>
      <w:r>
        <w:rPr>
          <w:b/>
        </w:rPr>
        <w:t xml:space="preserve"> FOR CUSTOMER CREDITS?</w:t>
      </w:r>
    </w:p>
    <w:p w:rsidR="00FE0837" w:rsidRDefault="00FE0837" w:rsidP="0005108C">
      <w:pPr>
        <w:spacing w:line="480" w:lineRule="auto"/>
        <w:ind w:left="720" w:hanging="720"/>
        <w:rPr>
          <w:b/>
        </w:rPr>
      </w:pPr>
    </w:p>
    <w:p w:rsidR="00E27214" w:rsidRPr="00624D50" w:rsidRDefault="00FE0837" w:rsidP="0005108C">
      <w:pPr>
        <w:spacing w:line="480" w:lineRule="auto"/>
        <w:ind w:left="720" w:hanging="720"/>
        <w:jc w:val="both"/>
      </w:pPr>
      <w:r>
        <w:t>A</w:t>
      </w:r>
      <w:r>
        <w:tab/>
        <w:t xml:space="preserve">Verizon’s tariff contains some limited provisions for customer credits.  Section 2.C.7.d, part of the General and Local Exchange Tariff, contains a “Service Performance Guarantee” which states that if an installation or repair “is not completed as agreed” Verizon will credit a business $100 and a residence $25.  Section 2.C.7.e states that if a customer is without service for more than 24 hours, Verizon will give a prorated credit for the outage time, except in cases of </w:t>
      </w:r>
      <w:r w:rsidR="00C1170C">
        <w:rPr>
          <w:i/>
        </w:rPr>
        <w:t>f</w:t>
      </w:r>
      <w:r>
        <w:rPr>
          <w:i/>
        </w:rPr>
        <w:t>orc</w:t>
      </w:r>
      <w:r w:rsidR="00C1170C">
        <w:rPr>
          <w:i/>
        </w:rPr>
        <w:t>e majeure.</w:t>
      </w:r>
      <w:r w:rsidR="00624D50">
        <w:t xml:space="preserve">  Frontier has committed to continue all Verizon tariffs unchanged.</w:t>
      </w:r>
      <w:r w:rsidR="00624D50">
        <w:rPr>
          <w:rStyle w:val="FootnoteReference"/>
        </w:rPr>
        <w:footnoteReference w:id="26"/>
      </w:r>
    </w:p>
    <w:p w:rsidR="00E27214" w:rsidRDefault="00E27214" w:rsidP="0005108C">
      <w:pPr>
        <w:spacing w:line="480" w:lineRule="auto"/>
        <w:ind w:left="720" w:hanging="720"/>
        <w:rPr>
          <w:i/>
        </w:rPr>
      </w:pPr>
    </w:p>
    <w:p w:rsidR="00E27214" w:rsidRDefault="00E27214" w:rsidP="0005108C">
      <w:pPr>
        <w:spacing w:line="480" w:lineRule="auto"/>
        <w:ind w:left="720" w:hanging="720"/>
        <w:jc w:val="both"/>
        <w:rPr>
          <w:b/>
        </w:rPr>
      </w:pPr>
      <w:r>
        <w:rPr>
          <w:b/>
        </w:rPr>
        <w:t>Q.</w:t>
      </w:r>
      <w:r>
        <w:rPr>
          <w:b/>
        </w:rPr>
        <w:tab/>
        <w:t>CAN YOU RECOMMEND ANY FURTHER CUSTOMER GUARANTEES?</w:t>
      </w:r>
    </w:p>
    <w:p w:rsidR="00E27214" w:rsidRDefault="00E27214" w:rsidP="0005108C">
      <w:pPr>
        <w:spacing w:line="480" w:lineRule="auto"/>
        <w:ind w:left="720" w:hanging="720"/>
        <w:rPr>
          <w:b/>
        </w:rPr>
      </w:pPr>
    </w:p>
    <w:p w:rsidR="00FE0837" w:rsidRDefault="00E27214" w:rsidP="0005108C">
      <w:pPr>
        <w:spacing w:line="480" w:lineRule="auto"/>
        <w:ind w:left="720" w:hanging="720"/>
        <w:jc w:val="both"/>
      </w:pPr>
      <w:r>
        <w:lastRenderedPageBreak/>
        <w:t>A.</w:t>
      </w:r>
      <w:r>
        <w:tab/>
        <w:t>Yes.  I recommend the customer guarantees and credits that were set forth</w:t>
      </w:r>
      <w:r w:rsidR="00477695">
        <w:t xml:space="preserve"> in paragraph 30 of this</w:t>
      </w:r>
      <w:r>
        <w:t xml:space="preserve"> Commission</w:t>
      </w:r>
      <w:r w:rsidR="00477695">
        <w:t>’s</w:t>
      </w:r>
      <w:r>
        <w:t xml:space="preserve"> order in Docket No. UT-991358 approving the</w:t>
      </w:r>
      <w:r w:rsidR="00667FEA">
        <w:t xml:space="preserve"> merger agreement between US WEST and Quest</w:t>
      </w:r>
      <w:r>
        <w:t>.</w:t>
      </w:r>
      <w:r>
        <w:rPr>
          <w:rStyle w:val="FootnoteReference"/>
        </w:rPr>
        <w:footnoteReference w:id="27"/>
      </w:r>
      <w:r w:rsidR="00C1170C">
        <w:rPr>
          <w:i/>
        </w:rPr>
        <w:t xml:space="preserve"> </w:t>
      </w:r>
      <w:r w:rsidR="00FE0837">
        <w:t xml:space="preserve"> </w:t>
      </w:r>
      <w:r>
        <w:t>A copy of these provisions is Attachment F to this testimony.</w:t>
      </w:r>
    </w:p>
    <w:p w:rsidR="00E27214" w:rsidRDefault="00E27214" w:rsidP="0005108C">
      <w:pPr>
        <w:spacing w:line="480" w:lineRule="auto"/>
        <w:ind w:left="720" w:hanging="720"/>
      </w:pPr>
    </w:p>
    <w:p w:rsidR="00F255A2" w:rsidRDefault="00657718" w:rsidP="0005108C">
      <w:pPr>
        <w:spacing w:line="480" w:lineRule="auto"/>
        <w:rPr>
          <w:b/>
          <w:u w:val="single"/>
        </w:rPr>
      </w:pPr>
      <w:r>
        <w:rPr>
          <w:b/>
          <w:u w:val="single"/>
        </w:rPr>
        <w:t>FURTHER PROTECTIONS</w:t>
      </w:r>
    </w:p>
    <w:p w:rsidR="00F255A2" w:rsidRDefault="00F255A2" w:rsidP="0005108C">
      <w:pPr>
        <w:spacing w:line="480" w:lineRule="auto"/>
        <w:rPr>
          <w:b/>
          <w:u w:val="single"/>
        </w:rPr>
      </w:pPr>
    </w:p>
    <w:p w:rsidR="00E27214" w:rsidRDefault="00F255A2" w:rsidP="0005108C">
      <w:pPr>
        <w:spacing w:line="480" w:lineRule="auto"/>
        <w:ind w:left="720" w:hanging="720"/>
        <w:jc w:val="both"/>
        <w:rPr>
          <w:b/>
        </w:rPr>
      </w:pPr>
      <w:r>
        <w:rPr>
          <w:b/>
        </w:rPr>
        <w:t>Q.</w:t>
      </w:r>
      <w:r>
        <w:rPr>
          <w:b/>
        </w:rPr>
        <w:tab/>
        <w:t xml:space="preserve">ARE THE SAFEGUARDS YOU HAVE </w:t>
      </w:r>
      <w:r w:rsidR="00477695">
        <w:rPr>
          <w:b/>
        </w:rPr>
        <w:tab/>
        <w:t>RECOMMENDED</w:t>
      </w:r>
      <w:r w:rsidR="00624D50">
        <w:rPr>
          <w:b/>
        </w:rPr>
        <w:t xml:space="preserve"> FU</w:t>
      </w:r>
      <w:r>
        <w:rPr>
          <w:b/>
        </w:rPr>
        <w:t>LLY ADEQUATE TO PROTECT C</w:t>
      </w:r>
      <w:r w:rsidR="00657718">
        <w:rPr>
          <w:b/>
        </w:rPr>
        <w:t>USTOMERS</w:t>
      </w:r>
      <w:r>
        <w:rPr>
          <w:b/>
        </w:rPr>
        <w:t xml:space="preserve"> FROM SERVICE DETERIORATION?</w:t>
      </w:r>
    </w:p>
    <w:p w:rsidR="00F255A2" w:rsidRDefault="00F255A2" w:rsidP="0005108C">
      <w:pPr>
        <w:spacing w:line="480" w:lineRule="auto"/>
        <w:ind w:left="720" w:hanging="720"/>
        <w:rPr>
          <w:b/>
        </w:rPr>
      </w:pPr>
    </w:p>
    <w:p w:rsidR="00F255A2" w:rsidRDefault="00F255A2" w:rsidP="0005108C">
      <w:pPr>
        <w:spacing w:line="480" w:lineRule="auto"/>
        <w:ind w:left="720" w:hanging="720"/>
        <w:jc w:val="both"/>
      </w:pPr>
      <w:r>
        <w:t>A.</w:t>
      </w:r>
      <w:r>
        <w:tab/>
        <w:t xml:space="preserve">No.  The safeguards I have </w:t>
      </w:r>
      <w:r w:rsidR="00477695">
        <w:t>recommended</w:t>
      </w:r>
      <w:r>
        <w:t xml:space="preserve"> are probably adequate so long as Frontier is a healthy, fully functional provider of local exchange telecommunications services.  But if Frontier’s financial condition deteriorates in similar manner as </w:t>
      </w:r>
      <w:r w:rsidR="00DC5B4F">
        <w:t>Hawaiian Tel</w:t>
      </w:r>
      <w:r>
        <w:t xml:space="preserve">com and FairPoint have deteriorated, these protections will be of little value </w:t>
      </w:r>
      <w:r w:rsidR="00657718">
        <w:t>from the custo</w:t>
      </w:r>
      <w:r>
        <w:t xml:space="preserve">mers’ standpoint.  The limitations on dividend payments would be irrelevant </w:t>
      </w:r>
      <w:r w:rsidR="00657718">
        <w:t>when</w:t>
      </w:r>
      <w:r>
        <w:t xml:space="preserve"> there </w:t>
      </w:r>
      <w:r w:rsidR="00657718">
        <w:t>is</w:t>
      </w:r>
      <w:r>
        <w:t xml:space="preserve"> little or no net income from which to pay dividends.  The fines and credits for poor service would offer little incentive to improve performance </w:t>
      </w:r>
      <w:r w:rsidR="00B616F5">
        <w:t>when there is</w:t>
      </w:r>
      <w:r w:rsidR="00657718">
        <w:t xml:space="preserve"> no </w:t>
      </w:r>
      <w:r w:rsidR="00454BE8">
        <w:t>money</w:t>
      </w:r>
      <w:r w:rsidR="00657718">
        <w:t xml:space="preserve"> to </w:t>
      </w:r>
      <w:r w:rsidR="00454BE8">
        <w:t>fund the improvements</w:t>
      </w:r>
      <w:r w:rsidR="00657718">
        <w:t xml:space="preserve">.  Indeed, the sanctions </w:t>
      </w:r>
      <w:r>
        <w:t>wo</w:t>
      </w:r>
      <w:r w:rsidR="00477695">
        <w:t>uld only aggra</w:t>
      </w:r>
      <w:r>
        <w:t xml:space="preserve">vate the Company’s deteriorating financial condition. </w:t>
      </w:r>
    </w:p>
    <w:p w:rsidR="009959E9" w:rsidRDefault="009959E9" w:rsidP="0005108C">
      <w:pPr>
        <w:spacing w:line="480" w:lineRule="auto"/>
        <w:ind w:left="720" w:hanging="720"/>
        <w:jc w:val="both"/>
      </w:pPr>
    </w:p>
    <w:p w:rsidR="009959E9" w:rsidRDefault="009959E9" w:rsidP="0005108C">
      <w:pPr>
        <w:spacing w:line="480" w:lineRule="auto"/>
        <w:ind w:left="720" w:hanging="720"/>
        <w:jc w:val="both"/>
        <w:rPr>
          <w:b/>
        </w:rPr>
      </w:pPr>
      <w:r>
        <w:rPr>
          <w:b/>
        </w:rPr>
        <w:lastRenderedPageBreak/>
        <w:t>Q.</w:t>
      </w:r>
      <w:r>
        <w:rPr>
          <w:b/>
        </w:rPr>
        <w:tab/>
        <w:t>HOW M</w:t>
      </w:r>
      <w:r w:rsidR="00B616F5">
        <w:rPr>
          <w:b/>
        </w:rPr>
        <w:t>IGHT THE COMMISSION SAFEGUARD CUSTOMERS</w:t>
      </w:r>
      <w:r>
        <w:rPr>
          <w:b/>
        </w:rPr>
        <w:t xml:space="preserve"> AGAINST THE POSSIBILITY OF FRONTIER’S BANKRUPTCY?</w:t>
      </w:r>
    </w:p>
    <w:p w:rsidR="009959E9" w:rsidRDefault="009959E9" w:rsidP="0005108C">
      <w:pPr>
        <w:spacing w:line="480" w:lineRule="auto"/>
        <w:ind w:left="720" w:hanging="720"/>
        <w:jc w:val="both"/>
        <w:rPr>
          <w:b/>
        </w:rPr>
      </w:pPr>
    </w:p>
    <w:p w:rsidR="009959E9" w:rsidRDefault="009959E9" w:rsidP="0005108C">
      <w:pPr>
        <w:spacing w:line="480" w:lineRule="auto"/>
        <w:ind w:left="720" w:hanging="720"/>
        <w:jc w:val="both"/>
      </w:pPr>
      <w:r>
        <w:t>A.</w:t>
      </w:r>
      <w:r>
        <w:tab/>
        <w:t xml:space="preserve">If Frontier’s financial condition deteriorates, it will likely be the result of the failure of the </w:t>
      </w:r>
      <w:r w:rsidR="00BD459E">
        <w:t>back-office</w:t>
      </w:r>
      <w:r>
        <w:t xml:space="preserve"> functions to perform properly.  That was certainly the case on the Hawaiian Telcom and FairPoint spin-offs.  Except in </w:t>
      </w:r>
      <w:smartTag w:uri="urn:schemas-microsoft-com:office:smarttags" w:element="place">
        <w:smartTag w:uri="urn:schemas-microsoft-com:office:smarttags" w:element="State">
          <w:r>
            <w:t>West Virginia</w:t>
          </w:r>
        </w:smartTag>
      </w:smartTag>
      <w:r>
        <w:t xml:space="preserve">, the </w:t>
      </w:r>
      <w:r w:rsidR="00BD459E">
        <w:t>back-office</w:t>
      </w:r>
      <w:r>
        <w:t xml:space="preserve"> systems that might fail will be </w:t>
      </w:r>
      <w:r w:rsidR="00477695">
        <w:t xml:space="preserve">the legacy of Verizon.  </w:t>
      </w:r>
      <w:r w:rsidR="00B616F5">
        <w:t>Verizon is currently preparing</w:t>
      </w:r>
      <w:r w:rsidR="00E91CF8">
        <w:t xml:space="preserve"> a data center in </w:t>
      </w:r>
      <w:smartTag w:uri="urn:schemas-microsoft-com:office:smarttags" w:element="place">
        <w:smartTag w:uri="urn:schemas-microsoft-com:office:smarttags" w:element="City">
          <w:r w:rsidR="00E91CF8">
            <w:t>Fort Wayne</w:t>
          </w:r>
        </w:smartTag>
        <w:r w:rsidR="00E91CF8">
          <w:t xml:space="preserve">, </w:t>
        </w:r>
        <w:smartTag w:uri="urn:schemas-microsoft-com:office:smarttags" w:element="State">
          <w:r w:rsidR="00E91CF8">
            <w:t>Indiana</w:t>
          </w:r>
        </w:smartTag>
      </w:smartTag>
      <w:r w:rsidR="00E91CF8">
        <w:t xml:space="preserve"> that will</w:t>
      </w:r>
      <w:r>
        <w:t xml:space="preserve"> </w:t>
      </w:r>
      <w:r w:rsidR="00B616F5">
        <w:t xml:space="preserve">either </w:t>
      </w:r>
      <w:r>
        <w:t>replicate</w:t>
      </w:r>
      <w:r w:rsidR="00B616F5">
        <w:t xml:space="preserve"> or provide access to</w:t>
      </w:r>
      <w:r>
        <w:t xml:space="preserve"> Verizon’s own </w:t>
      </w:r>
      <w:r w:rsidR="00BD459E">
        <w:t>back-office</w:t>
      </w:r>
      <w:r>
        <w:t xml:space="preserve"> programs and systems.</w:t>
      </w:r>
      <w:r w:rsidR="00E91CF8">
        <w:t xml:space="preserve">  That center will be turned over to Frontier when this transaction is consummated. </w:t>
      </w:r>
      <w:r w:rsidR="00B616F5">
        <w:t xml:space="preserve"> Subsequently, Frontier will probably transition the functions provided through this center into its own </w:t>
      </w:r>
      <w:r w:rsidR="00BD459E">
        <w:t>back-office</w:t>
      </w:r>
      <w:r w:rsidR="00B616F5">
        <w:t xml:space="preserve"> operations.</w:t>
      </w:r>
    </w:p>
    <w:p w:rsidR="009959E9" w:rsidRDefault="009959E9" w:rsidP="0005108C">
      <w:pPr>
        <w:spacing w:line="480" w:lineRule="auto"/>
        <w:ind w:left="720" w:hanging="720"/>
        <w:jc w:val="both"/>
      </w:pPr>
    </w:p>
    <w:p w:rsidR="009959E9" w:rsidRDefault="009959E9" w:rsidP="0005108C">
      <w:pPr>
        <w:spacing w:line="480" w:lineRule="auto"/>
        <w:ind w:left="720"/>
        <w:jc w:val="both"/>
      </w:pPr>
      <w:r>
        <w:t xml:space="preserve">One of the more disturbing aspects of this transaction, as with the previous transactions, is the extent to which Verizon walks away from </w:t>
      </w:r>
      <w:r w:rsidR="00E91CF8">
        <w:t xml:space="preserve">it </w:t>
      </w:r>
      <w:r>
        <w:t xml:space="preserve">after </w:t>
      </w:r>
      <w:r w:rsidR="00E91CF8">
        <w:t xml:space="preserve">it </w:t>
      </w:r>
      <w:r w:rsidR="00657718">
        <w:t>is consummated</w:t>
      </w:r>
      <w:r>
        <w:t xml:space="preserve">.  Once the transfer is completed, Verizon will </w:t>
      </w:r>
      <w:r w:rsidR="00E91CF8">
        <w:t xml:space="preserve">take no further </w:t>
      </w:r>
      <w:r>
        <w:t>responsibility for the perf</w:t>
      </w:r>
      <w:r w:rsidR="00E91CF8">
        <w:t xml:space="preserve">ormance of the </w:t>
      </w:r>
      <w:smartTag w:uri="urn:schemas-microsoft-com:office:smarttags" w:element="City">
        <w:smartTag w:uri="urn:schemas-microsoft-com:office:smarttags" w:element="place">
          <w:r w:rsidR="00E91CF8">
            <w:t>Fort Wayne</w:t>
          </w:r>
        </w:smartTag>
      </w:smartTag>
      <w:r w:rsidR="00E91CF8">
        <w:t xml:space="preserve"> data center or the services it will provide.  For a very substantial fee, Verizon will “maintain” the facility, but Verizon has made</w:t>
      </w:r>
      <w:r w:rsidR="00477695">
        <w:t xml:space="preserve"> no</w:t>
      </w:r>
      <w:r w:rsidR="00E91CF8">
        <w:t xml:space="preserve"> commitment</w:t>
      </w:r>
      <w:r w:rsidR="00657718">
        <w:t xml:space="preserve"> to guarantee its performance </w:t>
      </w:r>
      <w:r w:rsidR="00E91CF8">
        <w:t>or to compensate Frontier for failures in the center’s operations.</w:t>
      </w:r>
    </w:p>
    <w:p w:rsidR="00E91CF8" w:rsidRDefault="00E91CF8" w:rsidP="0005108C">
      <w:pPr>
        <w:spacing w:line="480" w:lineRule="auto"/>
        <w:ind w:left="720" w:hanging="720"/>
        <w:jc w:val="both"/>
      </w:pPr>
    </w:p>
    <w:p w:rsidR="00E91CF8" w:rsidRDefault="00477695" w:rsidP="0005108C">
      <w:pPr>
        <w:spacing w:line="480" w:lineRule="auto"/>
        <w:ind w:left="720" w:hanging="720"/>
        <w:jc w:val="both"/>
      </w:pPr>
      <w:r>
        <w:tab/>
        <w:t>I recommend that the Commission challenge Verizon’s</w:t>
      </w:r>
      <w:r w:rsidR="00E91CF8">
        <w:t xml:space="preserve"> </w:t>
      </w:r>
      <w:r w:rsidR="00B01A16">
        <w:t xml:space="preserve">lack of responsibility </w:t>
      </w:r>
      <w:r w:rsidR="00E91CF8">
        <w:t>for the performance of the data center</w:t>
      </w:r>
      <w:r>
        <w:t>.</w:t>
      </w:r>
      <w:r w:rsidR="00E91CF8">
        <w:t xml:space="preserve">  The Commission should require that Verizon </w:t>
      </w:r>
      <w:r w:rsidR="00E91CF8">
        <w:lastRenderedPageBreak/>
        <w:t>continue its involvement with the data center and with Frontier’s performance in general</w:t>
      </w:r>
      <w:r w:rsidR="00041A7B">
        <w:t>.</w:t>
      </w:r>
      <w:r w:rsidR="00E91CF8">
        <w:t xml:space="preserve">  The length of that involvement would depend on the </w:t>
      </w:r>
      <w:r w:rsidR="00657718">
        <w:t>effectiveness of Frontier’s operations, management and financial arrangements.  Only when Frontier has demonst</w:t>
      </w:r>
      <w:r w:rsidR="00041A7B">
        <w:t xml:space="preserve">rated that it can provide </w:t>
      </w:r>
      <w:r w:rsidR="00657718">
        <w:t xml:space="preserve">adequate service to its customers in </w:t>
      </w:r>
      <w:smartTag w:uri="urn:schemas-microsoft-com:office:smarttags" w:element="State">
        <w:smartTag w:uri="urn:schemas-microsoft-com:office:smarttags" w:element="place">
          <w:r w:rsidR="00657718">
            <w:t>Washington</w:t>
          </w:r>
        </w:smartTag>
      </w:smartTag>
      <w:r w:rsidR="00657718">
        <w:t xml:space="preserve"> should the Commission let Verizon “off the hook” for its former operations in the state. </w:t>
      </w:r>
      <w:r w:rsidR="00B01A16">
        <w:t xml:space="preserve"> This commitment by Verizon should also continue until all of its systems and programs have been transitioned over to Frontier’s own </w:t>
      </w:r>
      <w:r w:rsidR="00BD459E">
        <w:t>back-office</w:t>
      </w:r>
      <w:r w:rsidR="00B01A16">
        <w:t xml:space="preserve"> operations.</w:t>
      </w:r>
    </w:p>
    <w:p w:rsidR="00041A7B" w:rsidRDefault="00041A7B" w:rsidP="0005108C">
      <w:pPr>
        <w:spacing w:line="480" w:lineRule="auto"/>
        <w:ind w:left="720" w:hanging="720"/>
        <w:jc w:val="both"/>
      </w:pPr>
    </w:p>
    <w:p w:rsidR="00041A7B" w:rsidRDefault="00041A7B" w:rsidP="0005108C">
      <w:pPr>
        <w:spacing w:line="480" w:lineRule="auto"/>
        <w:ind w:left="720" w:hanging="720"/>
        <w:jc w:val="both"/>
      </w:pPr>
      <w:r>
        <w:tab/>
        <w:t>There are a variety of ways that this involvement could be maintained.  Among the possibilities are:</w:t>
      </w:r>
    </w:p>
    <w:p w:rsidR="00041A7B" w:rsidRDefault="00041A7B" w:rsidP="0005108C">
      <w:pPr>
        <w:numPr>
          <w:ilvl w:val="0"/>
          <w:numId w:val="13"/>
        </w:numPr>
        <w:spacing w:line="480" w:lineRule="auto"/>
        <w:jc w:val="both"/>
      </w:pPr>
      <w:r>
        <w:t xml:space="preserve">Require Verizon to operate </w:t>
      </w:r>
      <w:r w:rsidR="00470E7F">
        <w:t xml:space="preserve">its legacy systems </w:t>
      </w:r>
      <w:r>
        <w:t xml:space="preserve">until </w:t>
      </w:r>
      <w:r w:rsidR="00470E7F">
        <w:t>they are</w:t>
      </w:r>
      <w:r>
        <w:t xml:space="preserve"> </w:t>
      </w:r>
      <w:r w:rsidR="00470E7F">
        <w:t xml:space="preserve">integrated into </w:t>
      </w:r>
      <w:r>
        <w:t xml:space="preserve">Frontier’s </w:t>
      </w:r>
      <w:r w:rsidR="00470E7F">
        <w:t xml:space="preserve">own </w:t>
      </w:r>
      <w:r>
        <w:t>systems.</w:t>
      </w:r>
    </w:p>
    <w:p w:rsidR="00041A7B" w:rsidRDefault="00041A7B" w:rsidP="0005108C">
      <w:pPr>
        <w:numPr>
          <w:ilvl w:val="0"/>
          <w:numId w:val="13"/>
        </w:numPr>
        <w:spacing w:line="480" w:lineRule="auto"/>
        <w:jc w:val="both"/>
      </w:pPr>
      <w:r>
        <w:t xml:space="preserve">Require Verizon and Frontier jointly to </w:t>
      </w:r>
      <w:r w:rsidR="004C6836">
        <w:t xml:space="preserve">plan and execute any </w:t>
      </w:r>
      <w:r w:rsidR="006E25E6">
        <w:t>cut</w:t>
      </w:r>
      <w:r w:rsidR="004C6836">
        <w:t xml:space="preserve">over of former Verizon systems to </w:t>
      </w:r>
      <w:r>
        <w:t>Frontier’s systems</w:t>
      </w:r>
      <w:r w:rsidR="00470E7F">
        <w:t>,</w:t>
      </w:r>
      <w:r w:rsidR="000479A6">
        <w:t xml:space="preserve"> take joint responsibility for any </w:t>
      </w:r>
      <w:r w:rsidR="004C6836">
        <w:t xml:space="preserve">necessary corrective actions, </w:t>
      </w:r>
      <w:r w:rsidR="00470E7F">
        <w:t>and assume joint liability for sanctions</w:t>
      </w:r>
      <w:r w:rsidR="004C6836">
        <w:t xml:space="preserve"> that may </w:t>
      </w:r>
      <w:r w:rsidR="00470E7F">
        <w:t xml:space="preserve">be imposed for service problems </w:t>
      </w:r>
      <w:r w:rsidR="000479A6">
        <w:t>result</w:t>
      </w:r>
      <w:r w:rsidR="00470E7F">
        <w:t>ing</w:t>
      </w:r>
      <w:r w:rsidR="000479A6">
        <w:t xml:space="preserve"> from the cutover</w:t>
      </w:r>
      <w:r>
        <w:t>.</w:t>
      </w:r>
    </w:p>
    <w:p w:rsidR="00041A7B" w:rsidRDefault="00041A7B" w:rsidP="0005108C">
      <w:pPr>
        <w:numPr>
          <w:ilvl w:val="0"/>
          <w:numId w:val="13"/>
        </w:numPr>
        <w:spacing w:line="480" w:lineRule="auto"/>
        <w:jc w:val="both"/>
      </w:pPr>
      <w:r>
        <w:t xml:space="preserve">Require Verizon </w:t>
      </w:r>
      <w:r w:rsidR="00470E7F">
        <w:t>to</w:t>
      </w:r>
      <w:r>
        <w:t xml:space="preserve"> compensate Frontier for failures of </w:t>
      </w:r>
      <w:r w:rsidR="00470E7F">
        <w:t>its</w:t>
      </w:r>
      <w:r>
        <w:t xml:space="preserve"> </w:t>
      </w:r>
      <w:r w:rsidR="00470E7F">
        <w:t>legacy systems.</w:t>
      </w:r>
    </w:p>
    <w:p w:rsidR="00041A7B" w:rsidRDefault="00041A7B" w:rsidP="0005108C">
      <w:pPr>
        <w:numPr>
          <w:ilvl w:val="0"/>
          <w:numId w:val="13"/>
        </w:numPr>
        <w:spacing w:line="480" w:lineRule="auto"/>
        <w:jc w:val="both"/>
      </w:pPr>
      <w:r>
        <w:t>Require Verizon to retain a portion of the stock in “</w:t>
      </w:r>
      <w:proofErr w:type="spellStart"/>
      <w:r w:rsidR="00BD459E">
        <w:t>SpinCo</w:t>
      </w:r>
      <w:proofErr w:type="spellEnd"/>
      <w:r>
        <w:t xml:space="preserve">” that it would otherwise </w:t>
      </w:r>
      <w:r w:rsidR="000479A6">
        <w:t>distribute to its shareholders.</w:t>
      </w:r>
    </w:p>
    <w:p w:rsidR="000479A6" w:rsidRDefault="000479A6" w:rsidP="0005108C">
      <w:pPr>
        <w:numPr>
          <w:ilvl w:val="0"/>
          <w:numId w:val="13"/>
        </w:numPr>
        <w:spacing w:line="480" w:lineRule="auto"/>
        <w:jc w:val="both"/>
      </w:pPr>
      <w:r>
        <w:t xml:space="preserve">Condition the transfer of the </w:t>
      </w:r>
      <w:smartTag w:uri="urn:schemas-microsoft-com:office:smarttags" w:element="State">
        <w:smartTag w:uri="urn:schemas-microsoft-com:office:smarttags" w:element="place">
          <w:r>
            <w:t>Washington</w:t>
          </w:r>
        </w:smartTag>
      </w:smartTag>
      <w:r>
        <w:t xml:space="preserve"> operating authority on Frontier’s performance </w:t>
      </w:r>
      <w:r w:rsidR="004C6836">
        <w:t>and financial health so that if conditions</w:t>
      </w:r>
      <w:r>
        <w:t xml:space="preserve"> deteriorate, the authority reverts to Verizon.</w:t>
      </w:r>
    </w:p>
    <w:p w:rsidR="00B01A16" w:rsidRDefault="00470E7F" w:rsidP="0005108C">
      <w:pPr>
        <w:numPr>
          <w:ilvl w:val="0"/>
          <w:numId w:val="13"/>
        </w:numPr>
        <w:spacing w:line="480" w:lineRule="auto"/>
        <w:jc w:val="both"/>
      </w:pPr>
      <w:r>
        <w:lastRenderedPageBreak/>
        <w:t xml:space="preserve">Prior to the </w:t>
      </w:r>
      <w:r w:rsidR="0019068E">
        <w:t>integration</w:t>
      </w:r>
      <w:r>
        <w:t xml:space="preserve"> of any </w:t>
      </w:r>
      <w:r w:rsidR="00BD459E">
        <w:t>back-office</w:t>
      </w:r>
      <w:r>
        <w:t xml:space="preserve"> operation into Frontier, r</w:t>
      </w:r>
      <w:r w:rsidR="00B01A16">
        <w:t xml:space="preserve">equire a third party certification that </w:t>
      </w:r>
      <w:r w:rsidR="0019068E">
        <w:t>it</w:t>
      </w:r>
      <w:r w:rsidR="00B01A16">
        <w:t xml:space="preserve"> fully replicates all functionalities provided by the Verizon system(s) it</w:t>
      </w:r>
      <w:r>
        <w:t xml:space="preserve"> will replace</w:t>
      </w:r>
      <w:r w:rsidR="00B01A16">
        <w:t>.</w:t>
      </w:r>
      <w:r w:rsidR="00B01A16">
        <w:rPr>
          <w:rStyle w:val="FootnoteReference"/>
        </w:rPr>
        <w:footnoteReference w:id="28"/>
      </w:r>
    </w:p>
    <w:p w:rsidR="000479A6" w:rsidRDefault="000479A6" w:rsidP="0005108C">
      <w:pPr>
        <w:spacing w:line="480" w:lineRule="auto"/>
        <w:ind w:left="720"/>
        <w:jc w:val="both"/>
      </w:pPr>
    </w:p>
    <w:p w:rsidR="000479A6" w:rsidRDefault="00477695" w:rsidP="0005108C">
      <w:pPr>
        <w:spacing w:line="480" w:lineRule="auto"/>
        <w:ind w:left="720"/>
        <w:jc w:val="both"/>
      </w:pPr>
      <w:r>
        <w:t xml:space="preserve">Each of these alternatives could involve significant operational, financial and possibly legal complications.  For this reason, </w:t>
      </w:r>
      <w:r w:rsidR="000479A6">
        <w:t>I do not specifically recommend any one of these approaches.  I do recommend, however, that</w:t>
      </w:r>
      <w:r w:rsidR="00470E7F">
        <w:t xml:space="preserve"> the Commission require the joint</w:t>
      </w:r>
      <w:r w:rsidR="000479A6">
        <w:t xml:space="preserve"> parties to devise terms and conditions acceptable to both that will maintain Verizon’s involvement</w:t>
      </w:r>
      <w:r w:rsidR="004C6836">
        <w:t xml:space="preserve"> and responsibility through the </w:t>
      </w:r>
      <w:r w:rsidR="0019068E">
        <w:t>integration</w:t>
      </w:r>
      <w:r w:rsidR="004C6836">
        <w:t xml:space="preserve"> of Verizon’s systems </w:t>
      </w:r>
      <w:r w:rsidR="0019068E">
        <w:t>in</w:t>
      </w:r>
      <w:r w:rsidR="004C6836">
        <w:t>to those of Frontier.  Such a plan should be filed for Commission approval after interested parties have had an opportunity to provide comments.</w:t>
      </w:r>
    </w:p>
    <w:p w:rsidR="00F255A2" w:rsidRPr="00E27214" w:rsidRDefault="00F255A2" w:rsidP="0005108C">
      <w:pPr>
        <w:spacing w:line="480" w:lineRule="auto"/>
        <w:rPr>
          <w:b/>
          <w:u w:val="single"/>
        </w:rPr>
      </w:pPr>
    </w:p>
    <w:p w:rsidR="00C56BA8" w:rsidRPr="000C242B" w:rsidRDefault="000C242B" w:rsidP="0005108C">
      <w:pPr>
        <w:spacing w:line="480" w:lineRule="auto"/>
        <w:rPr>
          <w:b/>
          <w:u w:val="single"/>
        </w:rPr>
      </w:pPr>
      <w:r>
        <w:rPr>
          <w:b/>
          <w:u w:val="single"/>
        </w:rPr>
        <w:t xml:space="preserve">SUMMARY OF </w:t>
      </w:r>
      <w:r w:rsidRPr="001D559F">
        <w:rPr>
          <w:b/>
          <w:u w:val="single"/>
        </w:rPr>
        <w:t>RECOMMENDATIONS</w:t>
      </w:r>
    </w:p>
    <w:p w:rsidR="00C56BA8" w:rsidRDefault="00C56BA8" w:rsidP="0005108C">
      <w:pPr>
        <w:spacing w:line="480" w:lineRule="auto"/>
      </w:pPr>
    </w:p>
    <w:p w:rsidR="000C242B" w:rsidRDefault="000C242B" w:rsidP="0005108C">
      <w:pPr>
        <w:spacing w:line="480" w:lineRule="auto"/>
        <w:rPr>
          <w:b/>
        </w:rPr>
      </w:pPr>
      <w:r>
        <w:rPr>
          <w:b/>
        </w:rPr>
        <w:t>Q.</w:t>
      </w:r>
      <w:r>
        <w:rPr>
          <w:b/>
        </w:rPr>
        <w:tab/>
        <w:t>PLEASE SUMMARIZE YOUR RECOMMENDATIONS.</w:t>
      </w:r>
    </w:p>
    <w:p w:rsidR="000C242B" w:rsidRDefault="000C242B" w:rsidP="0005108C">
      <w:pPr>
        <w:spacing w:line="480" w:lineRule="auto"/>
        <w:jc w:val="both"/>
        <w:rPr>
          <w:b/>
        </w:rPr>
      </w:pPr>
    </w:p>
    <w:p w:rsidR="009B656B" w:rsidRDefault="002203D0" w:rsidP="0005108C">
      <w:pPr>
        <w:pStyle w:val="ListBullet2"/>
        <w:numPr>
          <w:ilvl w:val="0"/>
          <w:numId w:val="0"/>
        </w:numPr>
        <w:spacing w:line="480" w:lineRule="auto"/>
        <w:jc w:val="both"/>
      </w:pPr>
      <w:r>
        <w:t>A.</w:t>
      </w:r>
      <w:r>
        <w:tab/>
      </w:r>
      <w:r w:rsidR="000C242B">
        <w:t>In this testimony, I have recommended that :</w:t>
      </w:r>
    </w:p>
    <w:p w:rsidR="007A1AB9" w:rsidRDefault="000479A6" w:rsidP="0005108C">
      <w:pPr>
        <w:pStyle w:val="ListBullet2"/>
        <w:numPr>
          <w:ilvl w:val="0"/>
          <w:numId w:val="18"/>
        </w:numPr>
        <w:spacing w:line="480" w:lineRule="auto"/>
        <w:jc w:val="both"/>
      </w:pPr>
      <w:r>
        <w:lastRenderedPageBreak/>
        <w:t xml:space="preserve">The Commission impose the same dividend limitations on the Frontier successor to Verizon Northwest as were imposed in the merger of CenturyTel and Embarq. </w:t>
      </w:r>
    </w:p>
    <w:p w:rsidR="00DC5B4F" w:rsidRDefault="00DC5B4F" w:rsidP="0005108C">
      <w:pPr>
        <w:pStyle w:val="ListBullet2"/>
        <w:numPr>
          <w:ilvl w:val="0"/>
          <w:numId w:val="0"/>
        </w:numPr>
        <w:spacing w:line="480" w:lineRule="auto"/>
        <w:ind w:left="720"/>
        <w:jc w:val="both"/>
      </w:pPr>
    </w:p>
    <w:p w:rsidR="000479A6" w:rsidRDefault="00D1566A" w:rsidP="0005108C">
      <w:pPr>
        <w:pStyle w:val="ListBullet2"/>
        <w:numPr>
          <w:ilvl w:val="0"/>
          <w:numId w:val="18"/>
        </w:numPr>
        <w:spacing w:line="480" w:lineRule="auto"/>
        <w:jc w:val="both"/>
      </w:pPr>
      <w:r>
        <w:t xml:space="preserve">For at least the first three years following the closing of the transaction, if any of the service quality metrics in the Commission’s rules </w:t>
      </w:r>
      <w:r w:rsidR="00DE6EA7">
        <w:t xml:space="preserve">consistently </w:t>
      </w:r>
      <w:r>
        <w:t>fall below their prescribed level during any quarter, then the Frontier subsidiaries operating in Washington be constrained from issuing dividends to their parent co</w:t>
      </w:r>
      <w:r w:rsidR="00DC5B4F">
        <w:t>mpany in the following quarter.</w:t>
      </w:r>
    </w:p>
    <w:p w:rsidR="00DC5B4F" w:rsidRDefault="00DC5B4F" w:rsidP="0005108C">
      <w:pPr>
        <w:pStyle w:val="ListBullet2"/>
        <w:numPr>
          <w:ilvl w:val="0"/>
          <w:numId w:val="0"/>
        </w:numPr>
        <w:spacing w:line="480" w:lineRule="auto"/>
        <w:jc w:val="both"/>
      </w:pPr>
    </w:p>
    <w:p w:rsidR="00A86314" w:rsidRDefault="00A86314" w:rsidP="0005108C">
      <w:pPr>
        <w:pStyle w:val="ListBullet2"/>
        <w:numPr>
          <w:ilvl w:val="0"/>
          <w:numId w:val="18"/>
        </w:numPr>
        <w:spacing w:line="480" w:lineRule="auto"/>
        <w:jc w:val="both"/>
      </w:pPr>
      <w:r>
        <w:t xml:space="preserve">In any rate case involving Frontier, the Commission </w:t>
      </w:r>
      <w:r w:rsidR="00C7764E">
        <w:t>disallow all costs associated with the transaction and any added return to capital resulting from the lower credit rating of Frontier relative to Verizon.</w:t>
      </w:r>
    </w:p>
    <w:p w:rsidR="00667FEA" w:rsidRDefault="00667FEA" w:rsidP="0005108C">
      <w:pPr>
        <w:pStyle w:val="ListBullet2"/>
        <w:numPr>
          <w:ilvl w:val="0"/>
          <w:numId w:val="0"/>
        </w:numPr>
        <w:spacing w:line="480" w:lineRule="auto"/>
        <w:jc w:val="both"/>
      </w:pPr>
    </w:p>
    <w:p w:rsidR="00667FEA" w:rsidRDefault="0019068E" w:rsidP="0005108C">
      <w:pPr>
        <w:pStyle w:val="ListBullet2"/>
        <w:numPr>
          <w:ilvl w:val="0"/>
          <w:numId w:val="18"/>
        </w:numPr>
        <w:spacing w:line="480" w:lineRule="auto"/>
        <w:jc w:val="both"/>
      </w:pPr>
      <w:r>
        <w:t>The Commission t</w:t>
      </w:r>
      <w:r w:rsidR="00667FEA">
        <w:t xml:space="preserve">ransfer </w:t>
      </w:r>
      <w:r w:rsidR="006E25E6">
        <w:t xml:space="preserve">to Frontier </w:t>
      </w:r>
      <w:r w:rsidR="00667FEA">
        <w:t>the revenue imputation for directory services that it adopted in Docket No. UT-061777.</w:t>
      </w:r>
    </w:p>
    <w:p w:rsidR="00DC5B4F" w:rsidRDefault="00DC5B4F" w:rsidP="0005108C">
      <w:pPr>
        <w:pStyle w:val="ListBullet2"/>
        <w:numPr>
          <w:ilvl w:val="0"/>
          <w:numId w:val="0"/>
        </w:numPr>
        <w:spacing w:line="480" w:lineRule="auto"/>
        <w:jc w:val="both"/>
      </w:pPr>
    </w:p>
    <w:p w:rsidR="002203D0" w:rsidRDefault="00A86314" w:rsidP="0005108C">
      <w:pPr>
        <w:pStyle w:val="ListBullet2"/>
        <w:numPr>
          <w:ilvl w:val="0"/>
          <w:numId w:val="18"/>
        </w:numPr>
        <w:spacing w:line="480" w:lineRule="auto"/>
        <w:jc w:val="both"/>
      </w:pPr>
      <w:r>
        <w:t>If service quality deteriorates following the merger, t</w:t>
      </w:r>
      <w:r w:rsidR="002203D0">
        <w:t>he Commission consider imposing fine</w:t>
      </w:r>
      <w:r>
        <w:t>s</w:t>
      </w:r>
      <w:r w:rsidR="002203D0">
        <w:t xml:space="preserve"> for each failure </w:t>
      </w:r>
      <w:r w:rsidR="001F4067">
        <w:t xml:space="preserve">to </w:t>
      </w:r>
      <w:r w:rsidR="002203D0">
        <w:t>achieve the performance measures</w:t>
      </w:r>
      <w:r w:rsidR="006912B0">
        <w:t xml:space="preserve"> listed in </w:t>
      </w:r>
      <w:r w:rsidR="00D1566A">
        <w:t>its rules.</w:t>
      </w:r>
    </w:p>
    <w:p w:rsidR="00DC5B4F" w:rsidRDefault="00DC5B4F" w:rsidP="0005108C">
      <w:pPr>
        <w:pStyle w:val="ListBullet2"/>
        <w:numPr>
          <w:ilvl w:val="0"/>
          <w:numId w:val="0"/>
        </w:numPr>
        <w:spacing w:line="480" w:lineRule="auto"/>
        <w:jc w:val="both"/>
      </w:pPr>
    </w:p>
    <w:p w:rsidR="00D1566A" w:rsidRDefault="00D1566A" w:rsidP="0005108C">
      <w:pPr>
        <w:pStyle w:val="ListBullet2"/>
        <w:numPr>
          <w:ilvl w:val="0"/>
          <w:numId w:val="18"/>
        </w:numPr>
        <w:spacing w:line="480" w:lineRule="auto"/>
        <w:jc w:val="both"/>
      </w:pPr>
      <w:r>
        <w:lastRenderedPageBreak/>
        <w:t>The Commission adopt the customer credit terms and conditions that were embodied i</w:t>
      </w:r>
      <w:r w:rsidR="00667FEA">
        <w:t>n its</w:t>
      </w:r>
      <w:r>
        <w:t xml:space="preserve"> </w:t>
      </w:r>
      <w:r w:rsidR="00667FEA">
        <w:t xml:space="preserve">order approving the </w:t>
      </w:r>
      <w:r>
        <w:t>merger agreement between US WEST and Quest.</w:t>
      </w:r>
    </w:p>
    <w:p w:rsidR="00DC5B4F" w:rsidRDefault="00DC5B4F" w:rsidP="0005108C">
      <w:pPr>
        <w:pStyle w:val="ListBullet2"/>
        <w:numPr>
          <w:ilvl w:val="0"/>
          <w:numId w:val="0"/>
        </w:numPr>
        <w:spacing w:line="480" w:lineRule="auto"/>
        <w:jc w:val="both"/>
      </w:pPr>
    </w:p>
    <w:p w:rsidR="00667FEA" w:rsidRDefault="00D1566A" w:rsidP="0005108C">
      <w:pPr>
        <w:pStyle w:val="ListBullet2"/>
        <w:numPr>
          <w:ilvl w:val="0"/>
          <w:numId w:val="18"/>
        </w:numPr>
        <w:spacing w:line="480" w:lineRule="auto"/>
        <w:jc w:val="both"/>
      </w:pPr>
      <w:r>
        <w:t xml:space="preserve">The Commission direct the parties to the transaction to develop terms and conditions whereby Verizon retains responsibility for performance of </w:t>
      </w:r>
      <w:r w:rsidR="00667FEA">
        <w:t xml:space="preserve">its legacy </w:t>
      </w:r>
      <w:r w:rsidR="006E25E6">
        <w:t xml:space="preserve">systems </w:t>
      </w:r>
      <w:r w:rsidR="00667FEA">
        <w:t xml:space="preserve">through the </w:t>
      </w:r>
      <w:r w:rsidR="0019068E">
        <w:t xml:space="preserve">integration </w:t>
      </w:r>
      <w:r w:rsidR="00667FEA">
        <w:t xml:space="preserve">of those systems </w:t>
      </w:r>
      <w:r w:rsidR="0019068E">
        <w:t>in</w:t>
      </w:r>
      <w:r w:rsidR="00667FEA">
        <w:t>to those of Frontier.</w:t>
      </w:r>
    </w:p>
    <w:p w:rsidR="00667FEA" w:rsidRDefault="00667FEA" w:rsidP="0005108C">
      <w:pPr>
        <w:pStyle w:val="ListBullet2"/>
        <w:numPr>
          <w:ilvl w:val="0"/>
          <w:numId w:val="0"/>
        </w:numPr>
        <w:spacing w:line="480" w:lineRule="auto"/>
        <w:jc w:val="both"/>
      </w:pPr>
    </w:p>
    <w:p w:rsidR="002203D0" w:rsidRDefault="00667FEA" w:rsidP="0005108C">
      <w:pPr>
        <w:pStyle w:val="ListBullet2"/>
        <w:numPr>
          <w:ilvl w:val="0"/>
          <w:numId w:val="0"/>
        </w:numPr>
        <w:spacing w:line="480" w:lineRule="auto"/>
        <w:ind w:left="360" w:hanging="360"/>
        <w:jc w:val="both"/>
      </w:pPr>
      <w:r>
        <w:t xml:space="preserve"> </w:t>
      </w:r>
    </w:p>
    <w:p w:rsidR="000C242B" w:rsidRPr="002203D0" w:rsidRDefault="002203D0" w:rsidP="0005108C">
      <w:pPr>
        <w:pStyle w:val="ListBullet2"/>
        <w:numPr>
          <w:ilvl w:val="0"/>
          <w:numId w:val="0"/>
        </w:numPr>
        <w:spacing w:line="480" w:lineRule="auto"/>
        <w:rPr>
          <w:b/>
        </w:rPr>
      </w:pPr>
      <w:r>
        <w:rPr>
          <w:b/>
        </w:rPr>
        <w:t>Q.</w:t>
      </w:r>
      <w:r>
        <w:rPr>
          <w:b/>
        </w:rPr>
        <w:tab/>
        <w:t>DOES THIS COMPLETE YOUR TESTIMONY?</w:t>
      </w:r>
    </w:p>
    <w:p w:rsidR="00C56BA8" w:rsidRDefault="00C56BA8" w:rsidP="0005108C">
      <w:pPr>
        <w:spacing w:line="480" w:lineRule="auto"/>
      </w:pPr>
      <w:r>
        <w:t xml:space="preserve"> </w:t>
      </w:r>
    </w:p>
    <w:p w:rsidR="00C82E80" w:rsidRPr="00DF05C4" w:rsidRDefault="002203D0" w:rsidP="0005108C">
      <w:pPr>
        <w:spacing w:line="480" w:lineRule="auto"/>
        <w:ind w:left="720" w:hanging="720"/>
        <w:jc w:val="both"/>
      </w:pPr>
      <w:r>
        <w:t>A.</w:t>
      </w:r>
      <w:r>
        <w:tab/>
        <w:t>Yes.  It does</w:t>
      </w:r>
      <w:r w:rsidR="0019068E">
        <w:t xml:space="preserve">, although I should note that there are some aspects of this transaction that I have not addressed.  These </w:t>
      </w:r>
      <w:r w:rsidR="00CA75C7">
        <w:t>include</w:t>
      </w:r>
      <w:r w:rsidR="0019068E">
        <w:t xml:space="preserve"> such issues as the likelihood of cost savings from the transaction or the quality of the broadband services that Frontier offers</w:t>
      </w:r>
      <w:r w:rsidR="00960BCB">
        <w:t>.</w:t>
      </w:r>
      <w:r w:rsidR="0019068E">
        <w:t xml:space="preserve">  My silence on such issues does not mean that they are not important to DoD/FEA or that DoD/FEA will not address them later in this proceeding.</w:t>
      </w:r>
    </w:p>
    <w:sectPr w:rsidR="00C82E80" w:rsidRPr="00DF05C4" w:rsidSect="00A46C5F">
      <w:pgSz w:w="12240" w:h="15840" w:code="1"/>
      <w:pgMar w:top="1440" w:right="1800" w:bottom="1440" w:left="1800" w:header="720" w:footer="720" w:gutter="0"/>
      <w:lnNumType w:countBy="1"/>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08C" w:rsidRDefault="0005108C">
      <w:r>
        <w:separator/>
      </w:r>
    </w:p>
  </w:endnote>
  <w:endnote w:type="continuationSeparator" w:id="0">
    <w:p w:rsidR="0005108C" w:rsidRDefault="000510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8C" w:rsidRDefault="0005108C" w:rsidP="00D468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08C" w:rsidRDefault="000510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8C" w:rsidRDefault="0005108C">
    <w:pPr>
      <w:pStyle w:val="Footer"/>
      <w:jc w:val="center"/>
    </w:pPr>
    <w:fldSimple w:instr=" PAGE   \* MERGEFORMAT ">
      <w:r w:rsidR="00BB23C2">
        <w:rPr>
          <w:noProof/>
        </w:rPr>
        <w:t>ii</w:t>
      </w:r>
    </w:fldSimple>
  </w:p>
  <w:p w:rsidR="0005108C" w:rsidRDefault="00051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08C" w:rsidRDefault="0005108C">
      <w:r>
        <w:separator/>
      </w:r>
    </w:p>
  </w:footnote>
  <w:footnote w:type="continuationSeparator" w:id="0">
    <w:p w:rsidR="0005108C" w:rsidRDefault="0005108C">
      <w:r>
        <w:continuationSeparator/>
      </w:r>
    </w:p>
  </w:footnote>
  <w:footnote w:id="1">
    <w:p w:rsidR="0005108C" w:rsidRDefault="0005108C">
      <w:pPr>
        <w:pStyle w:val="FootnoteText"/>
      </w:pPr>
      <w:r>
        <w:rPr>
          <w:rStyle w:val="FootnoteReference"/>
        </w:rPr>
        <w:footnoteRef/>
      </w:r>
      <w:r>
        <w:t xml:space="preserve"> Application, Docket No. 04-0140, June 21, 2004, pp. 13-14.</w:t>
      </w:r>
    </w:p>
  </w:footnote>
  <w:footnote w:id="2">
    <w:p w:rsidR="0005108C" w:rsidRDefault="0005108C">
      <w:pPr>
        <w:pStyle w:val="FootnoteText"/>
      </w:pPr>
      <w:r>
        <w:rPr>
          <w:rStyle w:val="FootnoteReference"/>
        </w:rPr>
        <w:footnoteRef/>
      </w:r>
      <w:r>
        <w:t xml:space="preserve"> </w:t>
      </w:r>
      <w:smartTag w:uri="urn:schemas-microsoft-com:office:smarttags" w:element="State">
        <w:smartTag w:uri="urn:schemas-microsoft-com:office:smarttags" w:element="place">
          <w:r w:rsidRPr="00C22657">
            <w:rPr>
              <w:i/>
            </w:rPr>
            <w:t>Id</w:t>
          </w:r>
          <w:r>
            <w:t>.</w:t>
          </w:r>
        </w:smartTag>
      </w:smartTag>
      <w:r>
        <w:t>, p. 15.</w:t>
      </w:r>
    </w:p>
  </w:footnote>
  <w:footnote w:id="3">
    <w:p w:rsidR="0005108C" w:rsidRDefault="0005108C" w:rsidP="008162CB">
      <w:pPr>
        <w:pStyle w:val="FootnoteText"/>
      </w:pPr>
      <w:r>
        <w:rPr>
          <w:rStyle w:val="FootnoteReference"/>
        </w:rPr>
        <w:footnoteRef/>
      </w:r>
      <w:r>
        <w:t xml:space="preserve"> Docket No. 04-0140, Decision and Order No. 21696, </w:t>
      </w:r>
      <w:smartTag w:uri="urn:schemas-microsoft-com:office:smarttags" w:element="date">
        <w:smartTagPr>
          <w:attr w:name="Month" w:val="3"/>
          <w:attr w:name="Day" w:val="16"/>
          <w:attr w:name="Year" w:val="2005"/>
        </w:smartTagPr>
        <w:r>
          <w:t>March 16, 2005</w:t>
        </w:r>
      </w:smartTag>
      <w:r>
        <w:t>.</w:t>
      </w:r>
    </w:p>
  </w:footnote>
  <w:footnote w:id="4">
    <w:p w:rsidR="0005108C" w:rsidRDefault="0005108C" w:rsidP="008162CB">
      <w:pPr>
        <w:pStyle w:val="FootnoteText"/>
      </w:pPr>
      <w:r>
        <w:rPr>
          <w:rStyle w:val="FootnoteReference"/>
        </w:rPr>
        <w:footnoteRef/>
      </w:r>
      <w:r>
        <w:t xml:space="preserve"> HT’s Post-Hearing Brief, HPUC Docket No. 2006-0400, filed November 9, 2007 at p. 118, note 101.  The missing reports included crucial data such as the percent of trouble reports cleared within 24 hours, the percent of installation and repair commitments met and customer trouble reports per 100 lines.</w:t>
      </w:r>
    </w:p>
  </w:footnote>
  <w:footnote w:id="5">
    <w:p w:rsidR="0005108C" w:rsidRDefault="0005108C" w:rsidP="00ED1683">
      <w:pPr>
        <w:pStyle w:val="FootnoteText"/>
      </w:pPr>
      <w:r>
        <w:rPr>
          <w:rStyle w:val="FootnoteReference"/>
        </w:rPr>
        <w:footnoteRef/>
      </w:r>
      <w:r>
        <w:t xml:space="preserve"> HT’s February 15, 2007 Statement of Position, HPUC Docket No 2006-0400, pp. 39-41.</w:t>
      </w:r>
    </w:p>
  </w:footnote>
  <w:footnote w:id="6">
    <w:p w:rsidR="0005108C" w:rsidRDefault="0005108C">
      <w:pPr>
        <w:pStyle w:val="FootnoteText"/>
      </w:pPr>
      <w:r>
        <w:rPr>
          <w:rStyle w:val="FootnoteReference"/>
        </w:rPr>
        <w:footnoteRef/>
      </w:r>
      <w:r>
        <w:t xml:space="preserve"> </w:t>
      </w:r>
      <w:smartTag w:uri="urn:schemas-microsoft-com:office:smarttags" w:element="place">
        <w:smartTag w:uri="urn:schemas-microsoft-com:office:smarttags" w:element="State">
          <w:r w:rsidRPr="00D53CE1">
            <w:rPr>
              <w:i/>
            </w:rPr>
            <w:t>Id.</w:t>
          </w:r>
        </w:smartTag>
      </w:smartTag>
      <w:r w:rsidRPr="00770369">
        <w:rPr>
          <w:i/>
        </w:rPr>
        <w:t>,</w:t>
      </w:r>
      <w:r>
        <w:t xml:space="preserve"> pp. 74-77.</w:t>
      </w:r>
    </w:p>
  </w:footnote>
  <w:footnote w:id="7">
    <w:p w:rsidR="0005108C" w:rsidRDefault="0005108C" w:rsidP="008162CB">
      <w:pPr>
        <w:pStyle w:val="FootnoteText"/>
      </w:pPr>
      <w:r>
        <w:rPr>
          <w:rStyle w:val="FootnoteReference"/>
        </w:rPr>
        <w:footnoteRef/>
      </w:r>
      <w:r>
        <w:t xml:space="preserve"> </w:t>
      </w:r>
      <w:smartTag w:uri="urn:schemas-microsoft-com:office:smarttags" w:element="State">
        <w:smartTag w:uri="urn:schemas-microsoft-com:office:smarttags" w:element="place">
          <w:r w:rsidRPr="00D53CE1">
            <w:rPr>
              <w:i/>
            </w:rPr>
            <w:t>Id.</w:t>
          </w:r>
        </w:smartTag>
      </w:smartTag>
      <w:r w:rsidRPr="00D53CE1">
        <w:rPr>
          <w:i/>
        </w:rPr>
        <w:t>,</w:t>
      </w:r>
      <w:r>
        <w:t xml:space="preserve"> pp. 53-57. </w:t>
      </w:r>
    </w:p>
  </w:footnote>
  <w:footnote w:id="8">
    <w:p w:rsidR="0005108C" w:rsidRDefault="0005108C" w:rsidP="008162CB">
      <w:pPr>
        <w:pStyle w:val="FootnoteText"/>
      </w:pPr>
      <w:r>
        <w:rPr>
          <w:rStyle w:val="FootnoteReference"/>
        </w:rPr>
        <w:footnoteRef/>
      </w:r>
      <w:r>
        <w:t xml:space="preserve"> HT’s August 31, 2007 Final Position Statement, HPUC Docket No. 2006-0400, p. 21.</w:t>
      </w:r>
    </w:p>
  </w:footnote>
  <w:footnote w:id="9">
    <w:p w:rsidR="0005108C" w:rsidRDefault="0005108C" w:rsidP="008162CB">
      <w:pPr>
        <w:pStyle w:val="FootnoteText"/>
      </w:pPr>
      <w:r>
        <w:rPr>
          <w:rStyle w:val="FootnoteReference"/>
        </w:rPr>
        <w:footnoteRef/>
      </w:r>
      <w:r>
        <w:t xml:space="preserve"> </w:t>
      </w:r>
      <w:smartTag w:uri="urn:schemas-microsoft-com:office:smarttags" w:element="place">
        <w:smartTag w:uri="urn:schemas-microsoft-com:office:smarttags" w:element="State">
          <w:r w:rsidRPr="004D4E12">
            <w:rPr>
              <w:i/>
            </w:rPr>
            <w:t>Id.</w:t>
          </w:r>
        </w:smartTag>
      </w:smartTag>
      <w:r w:rsidRPr="00770369">
        <w:rPr>
          <w:i/>
        </w:rPr>
        <w:t>,</w:t>
      </w:r>
      <w:r>
        <w:t xml:space="preserve"> p. 7.</w:t>
      </w:r>
    </w:p>
  </w:footnote>
  <w:footnote w:id="10">
    <w:p w:rsidR="0005108C" w:rsidRPr="007F1D98" w:rsidRDefault="0005108C" w:rsidP="00501473">
      <w:r w:rsidRPr="007F1D98">
        <w:rPr>
          <w:rStyle w:val="FootnoteReference"/>
        </w:rPr>
        <w:footnoteRef/>
      </w:r>
      <w:proofErr w:type="gramStart"/>
      <w:r>
        <w:rPr>
          <w:bCs/>
          <w:sz w:val="20"/>
          <w:szCs w:val="20"/>
        </w:rPr>
        <w:t xml:space="preserve">Time Warner Telecom of </w:t>
      </w:r>
      <w:smartTag w:uri="urn:schemas-microsoft-com:office:smarttags" w:element="place">
        <w:smartTag w:uri="urn:schemas-microsoft-com:office:smarttags" w:element="State">
          <w:r>
            <w:rPr>
              <w:bCs/>
              <w:sz w:val="20"/>
              <w:szCs w:val="20"/>
            </w:rPr>
            <w:t>Hawaii</w:t>
          </w:r>
        </w:smartTag>
      </w:smartTag>
      <w:r>
        <w:rPr>
          <w:bCs/>
          <w:sz w:val="20"/>
          <w:szCs w:val="20"/>
        </w:rPr>
        <w:t>, L.P., dba Oceanic Communications</w:t>
      </w:r>
      <w:r w:rsidRPr="007F1D98">
        <w:rPr>
          <w:bCs/>
          <w:sz w:val="20"/>
          <w:szCs w:val="20"/>
        </w:rPr>
        <w:t xml:space="preserve">’ </w:t>
      </w:r>
      <w:r>
        <w:rPr>
          <w:sz w:val="20"/>
          <w:szCs w:val="20"/>
        </w:rPr>
        <w:t>Post-hearing Brief, HPUC Docket No. 2006-0400, November 9, 2007, p. 2.</w:t>
      </w:r>
      <w:proofErr w:type="gramEnd"/>
      <w:r>
        <w:rPr>
          <w:sz w:val="20"/>
          <w:szCs w:val="20"/>
        </w:rPr>
        <w:t xml:space="preserve"> (footnote omitted).  The text of the brief contains a detailed description of HT’s numerous failures in connection with providing wholesale service after acquiring the Verizon exchanges, and the adverse impact that the failures had on Time Warner and its customers.  Another CLEC, Pacific LightNet, Inc., filed a Post-hearing Brief asserting that the flawed transfer of operations caused it to incur additional expense to resolve interconnection problems and billing errors.</w:t>
      </w:r>
    </w:p>
  </w:footnote>
  <w:footnote w:id="11">
    <w:p w:rsidR="0005108C" w:rsidRDefault="0005108C">
      <w:pPr>
        <w:pStyle w:val="FootnoteText"/>
      </w:pPr>
      <w:r>
        <w:rPr>
          <w:rStyle w:val="FootnoteReference"/>
        </w:rPr>
        <w:footnoteRef/>
      </w:r>
      <w:r>
        <w:t xml:space="preserve"> See Hawaiian Telcom Communications, Inc., Securities and Exchange Commission Form 8-K filed December 1, 2008, and HT’s December 1, 2008 Press Release contained in that filing. </w:t>
      </w:r>
    </w:p>
  </w:footnote>
  <w:footnote w:id="12">
    <w:p w:rsidR="0005108C" w:rsidRDefault="0005108C">
      <w:pPr>
        <w:pStyle w:val="FootnoteText"/>
      </w:pPr>
      <w:r>
        <w:rPr>
          <w:rStyle w:val="FootnoteReference"/>
        </w:rPr>
        <w:footnoteRef/>
      </w:r>
      <w:r>
        <w:t xml:space="preserve"> </w:t>
      </w:r>
      <w:smartTag w:uri="urn:schemas-microsoft-com:office:smarttags" w:element="State">
        <w:smartTag w:uri="urn:schemas-microsoft-com:office:smarttags" w:element="place">
          <w:r>
            <w:t>Vermont</w:t>
          </w:r>
        </w:smartTag>
      </w:smartTag>
      <w:r>
        <w:t xml:space="preserve"> Public Service Board Docket No. 7270, Order entered February 15, 2008. </w:t>
      </w:r>
    </w:p>
  </w:footnote>
  <w:footnote w:id="13">
    <w:p w:rsidR="0005108C" w:rsidRDefault="0005108C">
      <w:pPr>
        <w:pStyle w:val="FootnoteText"/>
      </w:pPr>
      <w:r>
        <w:rPr>
          <w:rStyle w:val="FootnoteReference"/>
        </w:rPr>
        <w:footnoteRef/>
      </w:r>
      <w:r>
        <w:t xml:space="preserve"> </w:t>
      </w:r>
      <w:smartTag w:uri="urn:schemas-microsoft-com:office:smarttags" w:element="State">
        <w:smartTag w:uri="urn:schemas-microsoft-com:office:smarttags" w:element="place">
          <w:r w:rsidRPr="005F24B4">
            <w:rPr>
              <w:i/>
            </w:rPr>
            <w:t>Id.</w:t>
          </w:r>
        </w:smartTag>
      </w:smartTag>
      <w:r>
        <w:t xml:space="preserve"> </w:t>
      </w:r>
    </w:p>
  </w:footnote>
  <w:footnote w:id="14">
    <w:p w:rsidR="0005108C" w:rsidRDefault="0005108C">
      <w:pPr>
        <w:pStyle w:val="FootnoteText"/>
      </w:pPr>
      <w:r>
        <w:rPr>
          <w:rStyle w:val="FootnoteReference"/>
        </w:rPr>
        <w:footnoteRef/>
      </w:r>
      <w:r>
        <w:t xml:space="preserve"> </w:t>
      </w:r>
      <w:smartTag w:uri="urn:schemas-microsoft-com:office:smarttags" w:element="State">
        <w:smartTag w:uri="urn:schemas-microsoft-com:office:smarttags" w:element="place">
          <w:r>
            <w:t>Vermont</w:t>
          </w:r>
        </w:smartTag>
      </w:smartTag>
      <w:r>
        <w:t xml:space="preserve"> Docket No. 7270 Information Page at http://www.state.vt.us/psb/document/. This testimony has focused on </w:t>
      </w:r>
      <w:smartTag w:uri="urn:schemas-microsoft-com:office:smarttags" w:element="place">
        <w:smartTag w:uri="urn:schemas-microsoft-com:office:smarttags" w:element="State">
          <w:r>
            <w:t>Vermont</w:t>
          </w:r>
        </w:smartTag>
      </w:smartTag>
      <w:r>
        <w:t xml:space="preserve">, but the problems exist in the other states as well.  For example, on July 29, 2009, the </w:t>
      </w:r>
      <w:r>
        <w:rPr>
          <w:i/>
        </w:rPr>
        <w:t>Bangor Daily News</w:t>
      </w:r>
      <w:r>
        <w:t xml:space="preserve"> reported that the Maine Public Utility Commission refused to waive the financial penalties that FairPoint had incurred for poor service performance.</w:t>
      </w:r>
    </w:p>
  </w:footnote>
  <w:footnote w:id="15">
    <w:p w:rsidR="0005108C" w:rsidRDefault="0005108C">
      <w:pPr>
        <w:pStyle w:val="FootnoteText"/>
      </w:pPr>
      <w:r>
        <w:rPr>
          <w:rStyle w:val="FootnoteReference"/>
        </w:rPr>
        <w:footnoteRef/>
      </w:r>
      <w:r>
        <w:t xml:space="preserve"> FairPoint Form 8-K, filed with the Securities and Exchange Commission, October 26, 2009.</w:t>
      </w:r>
    </w:p>
  </w:footnote>
  <w:footnote w:id="16">
    <w:p w:rsidR="0005108C" w:rsidRDefault="0005108C">
      <w:pPr>
        <w:pStyle w:val="FootnoteText"/>
      </w:pPr>
      <w:r>
        <w:rPr>
          <w:rStyle w:val="FootnoteReference"/>
        </w:rPr>
        <w:footnoteRef/>
      </w:r>
      <w:r>
        <w:t xml:space="preserve"> Direct Testimony of Daniel McCarthy, page 4.</w:t>
      </w:r>
    </w:p>
  </w:footnote>
  <w:footnote w:id="17">
    <w:p w:rsidR="0005108C" w:rsidRDefault="0005108C">
      <w:pPr>
        <w:pStyle w:val="FootnoteText"/>
      </w:pPr>
      <w:r>
        <w:rPr>
          <w:rStyle w:val="FootnoteReference"/>
        </w:rPr>
        <w:footnoteRef/>
      </w:r>
      <w:r>
        <w:t xml:space="preserve"> On September 29, 2009, Fitch, one of the bond rating agencies, reported that it had evaluated 30 companies with what it termed “junk bond” ratings.  It found that Frontier was among the three companies most in danger of breaching lender requirements.  On September 30, Fitch clarified that this assessment was based on the pre-merger condition of Frontier and that the merger will improve that condition.  </w:t>
      </w:r>
    </w:p>
  </w:footnote>
  <w:footnote w:id="18">
    <w:p w:rsidR="0005108C" w:rsidRDefault="0005108C">
      <w:pPr>
        <w:pStyle w:val="FootnoteText"/>
      </w:pPr>
      <w:r>
        <w:rPr>
          <w:rStyle w:val="FootnoteReference"/>
        </w:rPr>
        <w:footnoteRef/>
      </w:r>
      <w:r>
        <w:t xml:space="preserve"> Presentation of Frontier Communications at the Barclays Capital Worldwide Wireless and Wireline Conference, May 2009, pages 19 and 24.</w:t>
      </w:r>
    </w:p>
  </w:footnote>
  <w:footnote w:id="19">
    <w:p w:rsidR="0005108C" w:rsidRDefault="0005108C">
      <w:pPr>
        <w:pStyle w:val="FootnoteText"/>
      </w:pPr>
      <w:r>
        <w:rPr>
          <w:rStyle w:val="FootnoteReference"/>
        </w:rPr>
        <w:footnoteRef/>
      </w:r>
      <w:r>
        <w:t xml:space="preserve"> </w:t>
      </w:r>
      <w:smartTag w:uri="urn:schemas-microsoft-com:office:smarttags" w:element="place">
        <w:smartTag w:uri="urn:schemas-microsoft-com:office:smarttags" w:element="State">
          <w:r>
            <w:rPr>
              <w:i/>
            </w:rPr>
            <w:t>Id.</w:t>
          </w:r>
        </w:smartTag>
      </w:smartTag>
      <w:r>
        <w:rPr>
          <w:i/>
        </w:rPr>
        <w:t xml:space="preserve">, </w:t>
      </w:r>
      <w:r>
        <w:t>pages 15 and 19.</w:t>
      </w:r>
    </w:p>
  </w:footnote>
  <w:footnote w:id="20">
    <w:p w:rsidR="0005108C" w:rsidRDefault="0005108C">
      <w:pPr>
        <w:pStyle w:val="FootnoteText"/>
      </w:pPr>
      <w:r>
        <w:rPr>
          <w:rStyle w:val="FootnoteReference"/>
        </w:rPr>
        <w:footnoteRef/>
      </w:r>
      <w:r>
        <w:t xml:space="preserve"> Settlement Agreement dated April 22, 2009, and approved with modifications in WUTC Order 05, Docket UT-082119, May 28, 2009.</w:t>
      </w:r>
    </w:p>
  </w:footnote>
  <w:footnote w:id="21">
    <w:p w:rsidR="0005108C" w:rsidRDefault="0005108C">
      <w:pPr>
        <w:pStyle w:val="FootnoteText"/>
      </w:pPr>
      <w:r>
        <w:rPr>
          <w:rStyle w:val="FootnoteReference"/>
        </w:rPr>
        <w:footnoteRef/>
      </w:r>
      <w:r>
        <w:t xml:space="preserve"> A copy of this agreement is Attachment D to this testimony.</w:t>
      </w:r>
    </w:p>
  </w:footnote>
  <w:footnote w:id="22">
    <w:p w:rsidR="0005108C" w:rsidRDefault="0005108C">
      <w:pPr>
        <w:pStyle w:val="FootnoteText"/>
      </w:pPr>
      <w:r>
        <w:rPr>
          <w:rStyle w:val="FootnoteReference"/>
        </w:rPr>
        <w:footnoteRef/>
      </w:r>
      <w:r>
        <w:t xml:space="preserve"> This limitation was embodied in Section 2c of the CenturyTel/Embarq Settlement Agreement. </w:t>
      </w:r>
    </w:p>
  </w:footnote>
  <w:footnote w:id="23">
    <w:p w:rsidR="0005108C" w:rsidRDefault="0005108C">
      <w:pPr>
        <w:pStyle w:val="FootnoteText"/>
      </w:pPr>
      <w:r>
        <w:rPr>
          <w:rStyle w:val="FootnoteReference"/>
        </w:rPr>
        <w:footnoteRef/>
      </w:r>
      <w:r>
        <w:t xml:space="preserve"> WUTC Docket No. 061777, Order 01, Initial Order Approving and Adopting Settlement Agreement, June 30, 2008; Notice of Finality July 21, 2008.</w:t>
      </w:r>
    </w:p>
  </w:footnote>
  <w:footnote w:id="24">
    <w:p w:rsidR="0005108C" w:rsidRDefault="0005108C" w:rsidP="003536D5">
      <w:pPr>
        <w:pStyle w:val="FootnoteText"/>
      </w:pPr>
      <w:r>
        <w:rPr>
          <w:rStyle w:val="FootnoteReference"/>
        </w:rPr>
        <w:footnoteRef/>
      </w:r>
      <w:r>
        <w:t xml:space="preserve"> Attachment E is a copy of this data request and its response.</w:t>
      </w:r>
    </w:p>
  </w:footnote>
  <w:footnote w:id="25">
    <w:p w:rsidR="0005108C" w:rsidRDefault="0005108C">
      <w:pPr>
        <w:pStyle w:val="FootnoteText"/>
      </w:pPr>
      <w:r>
        <w:rPr>
          <w:rStyle w:val="FootnoteReference"/>
        </w:rPr>
        <w:footnoteRef/>
      </w:r>
      <w:r>
        <w:t xml:space="preserve"> Joint Application of Verizon and Frontier to the WUTC, May 29, 2009, ¶28.</w:t>
      </w:r>
    </w:p>
  </w:footnote>
  <w:footnote w:id="26">
    <w:p w:rsidR="0005108C" w:rsidRDefault="0005108C">
      <w:pPr>
        <w:pStyle w:val="FootnoteText"/>
      </w:pPr>
      <w:r>
        <w:rPr>
          <w:rStyle w:val="FootnoteReference"/>
        </w:rPr>
        <w:footnoteRef/>
      </w:r>
      <w:r>
        <w:t xml:space="preserve"> </w:t>
      </w:r>
      <w:r>
        <w:rPr>
          <w:i/>
        </w:rPr>
        <w:t>Id</w:t>
      </w:r>
      <w:r w:rsidRPr="00F07DEF">
        <w:t>.,</w:t>
      </w:r>
      <w:r>
        <w:rPr>
          <w:i/>
        </w:rPr>
        <w:t xml:space="preserve"> </w:t>
      </w:r>
      <w:r>
        <w:t>¶4.</w:t>
      </w:r>
    </w:p>
  </w:footnote>
  <w:footnote w:id="27">
    <w:p w:rsidR="0005108C" w:rsidRDefault="0005108C">
      <w:pPr>
        <w:pStyle w:val="FootnoteText"/>
      </w:pPr>
      <w:r>
        <w:rPr>
          <w:rStyle w:val="FootnoteReference"/>
        </w:rPr>
        <w:footnoteRef/>
      </w:r>
      <w:r>
        <w:t xml:space="preserve"> Docket No. UT-991358, Ninth Supplemental Order Approving and Adopting Settlement Agreements and Granting Application, June 29, 2000.</w:t>
      </w:r>
    </w:p>
  </w:footnote>
  <w:footnote w:id="28">
    <w:p w:rsidR="0005108C" w:rsidRDefault="0005108C" w:rsidP="006E25E6">
      <w:pPr>
        <w:pStyle w:val="FootnoteText"/>
      </w:pPr>
      <w:r>
        <w:rPr>
          <w:rStyle w:val="FootnoteReference"/>
        </w:rPr>
        <w:footnoteRef/>
      </w:r>
      <w:r>
        <w:t xml:space="preserve"> In approving this transaction, the South Carolina Public Service Commission imposed the condition that Frontier notify it of each change or replacement of former Verizon systems and  provide  it assurance that all systems have been tested and certified before any irreversible cutover is made.  South Carolina Public Service Commission Docket No. 2009-220-C, Order No. 2009-769 Approving Transfer of Assets, Authority, and Certificates, October 29, 2009, p. 21, decretal ¶10. h.</w:t>
      </w:r>
    </w:p>
    <w:p w:rsidR="0005108C" w:rsidRDefault="0005108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8C" w:rsidRDefault="0005108C" w:rsidP="001D3BB6">
    <w:pPr>
      <w:pStyle w:val="Header"/>
      <w:jc w:val="right"/>
    </w:pPr>
    <w:r>
      <w:t xml:space="preserve"> Exhibit ________ (CWK-1T)</w:t>
    </w:r>
  </w:p>
  <w:p w:rsidR="0005108C" w:rsidRDefault="0005108C" w:rsidP="001D3BB6">
    <w:pPr>
      <w:pStyle w:val="Header"/>
      <w:jc w:val="right"/>
    </w:pPr>
    <w:r>
      <w:t>Responsive Testimony of Charles W. King</w:t>
    </w:r>
  </w:p>
  <w:p w:rsidR="0005108C" w:rsidRDefault="0005108C" w:rsidP="001D3BB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52EBEDA"/>
    <w:lvl w:ilvl="0">
      <w:start w:val="1"/>
      <w:numFmt w:val="bullet"/>
      <w:lvlText w:val=""/>
      <w:lvlJc w:val="left"/>
      <w:pPr>
        <w:tabs>
          <w:tab w:val="num" w:pos="720"/>
        </w:tabs>
        <w:ind w:left="720" w:hanging="360"/>
      </w:pPr>
      <w:rPr>
        <w:rFonts w:ascii="Symbol" w:hAnsi="Symbol" w:hint="default"/>
      </w:rPr>
    </w:lvl>
  </w:abstractNum>
  <w:abstractNum w:abstractNumId="1">
    <w:nsid w:val="07B8560E"/>
    <w:multiLevelType w:val="hybridMultilevel"/>
    <w:tmpl w:val="293C52EE"/>
    <w:lvl w:ilvl="0" w:tplc="CA6887D8">
      <w:start w:val="1"/>
      <w:numFmt w:val="bullet"/>
      <w:lvlText w:val=""/>
      <w:lvlJc w:val="left"/>
      <w:pPr>
        <w:tabs>
          <w:tab w:val="num" w:pos="72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E5E87"/>
    <w:multiLevelType w:val="multilevel"/>
    <w:tmpl w:val="474A794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DB87C65"/>
    <w:multiLevelType w:val="hybridMultilevel"/>
    <w:tmpl w:val="474A794A"/>
    <w:lvl w:ilvl="0" w:tplc="DF2053CA">
      <w:start w:val="1"/>
      <w:numFmt w:val="bullet"/>
      <w:pStyle w:val="ListBullet2"/>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176709"/>
    <w:multiLevelType w:val="hybridMultilevel"/>
    <w:tmpl w:val="5816D9E0"/>
    <w:lvl w:ilvl="0" w:tplc="34FCEE6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0140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5125DE1"/>
    <w:multiLevelType w:val="multilevel"/>
    <w:tmpl w:val="6D2A574C"/>
    <w:lvl w:ilvl="0">
      <w:start w:val="1"/>
      <w:numFmt w:val="bullet"/>
      <w:lvlText w:val=""/>
      <w:lvlJc w:val="left"/>
      <w:pPr>
        <w:tabs>
          <w:tab w:val="num" w:pos="1440"/>
        </w:tabs>
        <w:ind w:left="1728"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2E24743"/>
    <w:multiLevelType w:val="hybridMultilevel"/>
    <w:tmpl w:val="41E8B07C"/>
    <w:lvl w:ilvl="0" w:tplc="45009D1C">
      <w:start w:val="1"/>
      <w:numFmt w:val="bullet"/>
      <w:lvlText w:val=""/>
      <w:lvlJc w:val="left"/>
      <w:pPr>
        <w:tabs>
          <w:tab w:val="num" w:pos="720"/>
        </w:tabs>
        <w:ind w:left="1440" w:hanging="72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5495CE1"/>
    <w:multiLevelType w:val="hybridMultilevel"/>
    <w:tmpl w:val="F6E8C9C4"/>
    <w:lvl w:ilvl="0" w:tplc="55BEC018">
      <w:start w:val="1"/>
      <w:numFmt w:val="bullet"/>
      <w:lvlText w:val=""/>
      <w:lvlJc w:val="left"/>
      <w:pPr>
        <w:tabs>
          <w:tab w:val="num" w:pos="1440"/>
        </w:tabs>
        <w:ind w:left="2160" w:hanging="72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9D559AE"/>
    <w:multiLevelType w:val="hybridMultilevel"/>
    <w:tmpl w:val="52FE72F2"/>
    <w:lvl w:ilvl="0" w:tplc="1DD860B4">
      <w:start w:val="1"/>
      <w:numFmt w:val="bullet"/>
      <w:lvlText w:val=""/>
      <w:lvlJc w:val="left"/>
      <w:pPr>
        <w:tabs>
          <w:tab w:val="num" w:pos="1152"/>
        </w:tabs>
        <w:ind w:left="1440" w:firstLine="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40E84E31"/>
    <w:multiLevelType w:val="hybridMultilevel"/>
    <w:tmpl w:val="FEE07FF0"/>
    <w:lvl w:ilvl="0" w:tplc="04090001">
      <w:start w:val="1"/>
      <w:numFmt w:val="bullet"/>
      <w:lvlText w:val=""/>
      <w:lvlJc w:val="left"/>
      <w:pPr>
        <w:tabs>
          <w:tab w:val="num" w:pos="1740"/>
        </w:tabs>
        <w:ind w:left="174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1">
    <w:nsid w:val="465863AD"/>
    <w:multiLevelType w:val="multilevel"/>
    <w:tmpl w:val="767E44C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bullet"/>
      <w:lvlText w:val=""/>
      <w:lvlJc w:val="left"/>
      <w:pPr>
        <w:tabs>
          <w:tab w:val="num" w:pos="2880"/>
        </w:tabs>
        <w:ind w:left="2880" w:hanging="360"/>
      </w:pPr>
      <w:rPr>
        <w:rFonts w:ascii="Symbol" w:hAnsi="Symbol" w:hint="default"/>
      </w:rPr>
    </w:lvl>
    <w:lvl w:ilvl="8">
      <w:start w:val="1"/>
      <w:numFmt w:val="lowerRoman"/>
      <w:lvlText w:val="%9."/>
      <w:lvlJc w:val="left"/>
      <w:pPr>
        <w:tabs>
          <w:tab w:val="num" w:pos="3240"/>
        </w:tabs>
        <w:ind w:left="3240" w:hanging="360"/>
      </w:pPr>
    </w:lvl>
  </w:abstractNum>
  <w:abstractNum w:abstractNumId="12">
    <w:nsid w:val="47E84B44"/>
    <w:multiLevelType w:val="multilevel"/>
    <w:tmpl w:val="853A70F0"/>
    <w:lvl w:ilvl="0">
      <w:start w:val="1"/>
      <w:numFmt w:val="decimal"/>
      <w:lvlText w:val="%1."/>
      <w:lvlJc w:val="left"/>
      <w:pPr>
        <w:tabs>
          <w:tab w:val="num" w:pos="1440"/>
        </w:tabs>
        <w:ind w:left="72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D027A2"/>
    <w:multiLevelType w:val="hybridMultilevel"/>
    <w:tmpl w:val="6D2A574C"/>
    <w:lvl w:ilvl="0" w:tplc="4FCA7B32">
      <w:start w:val="1"/>
      <w:numFmt w:val="bullet"/>
      <w:lvlText w:val=""/>
      <w:lvlJc w:val="left"/>
      <w:pPr>
        <w:tabs>
          <w:tab w:val="num" w:pos="1440"/>
        </w:tabs>
        <w:ind w:left="1728"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FC4BBA"/>
    <w:multiLevelType w:val="hybridMultilevel"/>
    <w:tmpl w:val="E236D7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B3004C2"/>
    <w:multiLevelType w:val="multilevel"/>
    <w:tmpl w:val="F6E8C9C4"/>
    <w:lvl w:ilvl="0">
      <w:start w:val="1"/>
      <w:numFmt w:val="bullet"/>
      <w:lvlText w:val=""/>
      <w:lvlJc w:val="left"/>
      <w:pPr>
        <w:tabs>
          <w:tab w:val="num" w:pos="1440"/>
        </w:tabs>
        <w:ind w:left="2160" w:hanging="72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61DA2EC8"/>
    <w:multiLevelType w:val="hybridMultilevel"/>
    <w:tmpl w:val="CB007342"/>
    <w:lvl w:ilvl="0" w:tplc="A87ADF72">
      <w:start w:val="1"/>
      <w:numFmt w:val="bullet"/>
      <w:lvlText w:val=""/>
      <w:lvlJc w:val="left"/>
      <w:pPr>
        <w:tabs>
          <w:tab w:val="num" w:pos="1440"/>
        </w:tabs>
        <w:ind w:left="1728"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C7F5FE5"/>
    <w:multiLevelType w:val="hybridMultilevel"/>
    <w:tmpl w:val="3074184E"/>
    <w:lvl w:ilvl="0" w:tplc="A9A0C9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5"/>
  </w:num>
  <w:num w:numId="5">
    <w:abstractNumId w:val="10"/>
  </w:num>
  <w:num w:numId="6">
    <w:abstractNumId w:val="11"/>
  </w:num>
  <w:num w:numId="7">
    <w:abstractNumId w:val="14"/>
  </w:num>
  <w:num w:numId="8">
    <w:abstractNumId w:val="17"/>
  </w:num>
  <w:num w:numId="9">
    <w:abstractNumId w:val="16"/>
  </w:num>
  <w:num w:numId="10">
    <w:abstractNumId w:val="13"/>
  </w:num>
  <w:num w:numId="11">
    <w:abstractNumId w:val="6"/>
  </w:num>
  <w:num w:numId="12">
    <w:abstractNumId w:val="9"/>
  </w:num>
  <w:num w:numId="13">
    <w:abstractNumId w:val="1"/>
  </w:num>
  <w:num w:numId="14">
    <w:abstractNumId w:val="12"/>
  </w:num>
  <w:num w:numId="15">
    <w:abstractNumId w:val="2"/>
  </w:num>
  <w:num w:numId="16">
    <w:abstractNumId w:val="8"/>
  </w:num>
  <w:num w:numId="17">
    <w:abstractNumId w:val="1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629E"/>
    <w:rsid w:val="0000029D"/>
    <w:rsid w:val="00000464"/>
    <w:rsid w:val="00000E3E"/>
    <w:rsid w:val="00000F70"/>
    <w:rsid w:val="00002559"/>
    <w:rsid w:val="00003C98"/>
    <w:rsid w:val="00003F58"/>
    <w:rsid w:val="00004687"/>
    <w:rsid w:val="0000477F"/>
    <w:rsid w:val="00004A72"/>
    <w:rsid w:val="00004C8C"/>
    <w:rsid w:val="00006242"/>
    <w:rsid w:val="0000648F"/>
    <w:rsid w:val="00006613"/>
    <w:rsid w:val="0000789A"/>
    <w:rsid w:val="00007B34"/>
    <w:rsid w:val="0001022B"/>
    <w:rsid w:val="000104E6"/>
    <w:rsid w:val="00010528"/>
    <w:rsid w:val="00010A93"/>
    <w:rsid w:val="00010CC2"/>
    <w:rsid w:val="00011067"/>
    <w:rsid w:val="00011647"/>
    <w:rsid w:val="000116FB"/>
    <w:rsid w:val="0001313C"/>
    <w:rsid w:val="0001320E"/>
    <w:rsid w:val="00013E3D"/>
    <w:rsid w:val="000145A2"/>
    <w:rsid w:val="00014F83"/>
    <w:rsid w:val="0001608F"/>
    <w:rsid w:val="000160DA"/>
    <w:rsid w:val="00016287"/>
    <w:rsid w:val="00016466"/>
    <w:rsid w:val="00016726"/>
    <w:rsid w:val="00016A6D"/>
    <w:rsid w:val="00016E7C"/>
    <w:rsid w:val="00016F64"/>
    <w:rsid w:val="0001744D"/>
    <w:rsid w:val="00017B33"/>
    <w:rsid w:val="00017BB7"/>
    <w:rsid w:val="00017F94"/>
    <w:rsid w:val="00020669"/>
    <w:rsid w:val="000211D6"/>
    <w:rsid w:val="000211F8"/>
    <w:rsid w:val="00021BDA"/>
    <w:rsid w:val="000220CE"/>
    <w:rsid w:val="00023AC0"/>
    <w:rsid w:val="00023DDF"/>
    <w:rsid w:val="000240B5"/>
    <w:rsid w:val="0002434E"/>
    <w:rsid w:val="000246C0"/>
    <w:rsid w:val="00025E6C"/>
    <w:rsid w:val="00026276"/>
    <w:rsid w:val="00026292"/>
    <w:rsid w:val="0002631B"/>
    <w:rsid w:val="00027219"/>
    <w:rsid w:val="00027254"/>
    <w:rsid w:val="0002734C"/>
    <w:rsid w:val="000277E5"/>
    <w:rsid w:val="00027AC3"/>
    <w:rsid w:val="00031F02"/>
    <w:rsid w:val="00032A93"/>
    <w:rsid w:val="00033DC8"/>
    <w:rsid w:val="00034762"/>
    <w:rsid w:val="0003481B"/>
    <w:rsid w:val="0003663B"/>
    <w:rsid w:val="00036FC2"/>
    <w:rsid w:val="0003731E"/>
    <w:rsid w:val="000375F4"/>
    <w:rsid w:val="000401DF"/>
    <w:rsid w:val="00041105"/>
    <w:rsid w:val="000412F9"/>
    <w:rsid w:val="00041354"/>
    <w:rsid w:val="00041465"/>
    <w:rsid w:val="0004172B"/>
    <w:rsid w:val="00041A7B"/>
    <w:rsid w:val="00041C91"/>
    <w:rsid w:val="00041DCC"/>
    <w:rsid w:val="00043901"/>
    <w:rsid w:val="00043ABD"/>
    <w:rsid w:val="00044561"/>
    <w:rsid w:val="000445A1"/>
    <w:rsid w:val="00044E58"/>
    <w:rsid w:val="00044F18"/>
    <w:rsid w:val="0004543A"/>
    <w:rsid w:val="00045C2A"/>
    <w:rsid w:val="0004612E"/>
    <w:rsid w:val="00046491"/>
    <w:rsid w:val="00046A72"/>
    <w:rsid w:val="000477B1"/>
    <w:rsid w:val="000479A6"/>
    <w:rsid w:val="00050069"/>
    <w:rsid w:val="000500E4"/>
    <w:rsid w:val="00050EA2"/>
    <w:rsid w:val="0005108C"/>
    <w:rsid w:val="00051DBA"/>
    <w:rsid w:val="0005245F"/>
    <w:rsid w:val="00052794"/>
    <w:rsid w:val="000533BC"/>
    <w:rsid w:val="00054349"/>
    <w:rsid w:val="0005653D"/>
    <w:rsid w:val="0005658C"/>
    <w:rsid w:val="00056F31"/>
    <w:rsid w:val="00057631"/>
    <w:rsid w:val="00060867"/>
    <w:rsid w:val="00060C9F"/>
    <w:rsid w:val="00060D73"/>
    <w:rsid w:val="00062388"/>
    <w:rsid w:val="00062831"/>
    <w:rsid w:val="000631C9"/>
    <w:rsid w:val="00063236"/>
    <w:rsid w:val="0006354E"/>
    <w:rsid w:val="00063839"/>
    <w:rsid w:val="00063EC2"/>
    <w:rsid w:val="00064024"/>
    <w:rsid w:val="000656A9"/>
    <w:rsid w:val="0006623B"/>
    <w:rsid w:val="000665CC"/>
    <w:rsid w:val="000669C2"/>
    <w:rsid w:val="00066B18"/>
    <w:rsid w:val="00067272"/>
    <w:rsid w:val="0006765C"/>
    <w:rsid w:val="00067A5D"/>
    <w:rsid w:val="00070B2D"/>
    <w:rsid w:val="00070F89"/>
    <w:rsid w:val="00070FDC"/>
    <w:rsid w:val="000710A6"/>
    <w:rsid w:val="0007120D"/>
    <w:rsid w:val="0007148B"/>
    <w:rsid w:val="0007313D"/>
    <w:rsid w:val="0007342B"/>
    <w:rsid w:val="00074B95"/>
    <w:rsid w:val="00074D51"/>
    <w:rsid w:val="000758A4"/>
    <w:rsid w:val="00075AB0"/>
    <w:rsid w:val="000760FB"/>
    <w:rsid w:val="00076A35"/>
    <w:rsid w:val="0007705B"/>
    <w:rsid w:val="000770BD"/>
    <w:rsid w:val="00077C5E"/>
    <w:rsid w:val="00081037"/>
    <w:rsid w:val="00081855"/>
    <w:rsid w:val="00082056"/>
    <w:rsid w:val="000820A3"/>
    <w:rsid w:val="000825FF"/>
    <w:rsid w:val="000831DF"/>
    <w:rsid w:val="000839EE"/>
    <w:rsid w:val="00083EDF"/>
    <w:rsid w:val="0008463B"/>
    <w:rsid w:val="00085EC6"/>
    <w:rsid w:val="00085FB4"/>
    <w:rsid w:val="0008686E"/>
    <w:rsid w:val="00086F92"/>
    <w:rsid w:val="0008709C"/>
    <w:rsid w:val="00087154"/>
    <w:rsid w:val="0008716A"/>
    <w:rsid w:val="0008717B"/>
    <w:rsid w:val="000877DF"/>
    <w:rsid w:val="00087E5E"/>
    <w:rsid w:val="000903A5"/>
    <w:rsid w:val="000904E5"/>
    <w:rsid w:val="000914EA"/>
    <w:rsid w:val="000915D3"/>
    <w:rsid w:val="00091A89"/>
    <w:rsid w:val="00091D89"/>
    <w:rsid w:val="00092229"/>
    <w:rsid w:val="0009245F"/>
    <w:rsid w:val="0009346B"/>
    <w:rsid w:val="00093F70"/>
    <w:rsid w:val="00094470"/>
    <w:rsid w:val="0009522F"/>
    <w:rsid w:val="000957F1"/>
    <w:rsid w:val="0009591B"/>
    <w:rsid w:val="00095A6E"/>
    <w:rsid w:val="00095E4A"/>
    <w:rsid w:val="000964AE"/>
    <w:rsid w:val="00096B06"/>
    <w:rsid w:val="00096B12"/>
    <w:rsid w:val="000972A7"/>
    <w:rsid w:val="00097504"/>
    <w:rsid w:val="00097743"/>
    <w:rsid w:val="00097871"/>
    <w:rsid w:val="00097AC6"/>
    <w:rsid w:val="00097E40"/>
    <w:rsid w:val="00097FB1"/>
    <w:rsid w:val="000A0589"/>
    <w:rsid w:val="000A1BF1"/>
    <w:rsid w:val="000A3044"/>
    <w:rsid w:val="000A312C"/>
    <w:rsid w:val="000A34D7"/>
    <w:rsid w:val="000A3660"/>
    <w:rsid w:val="000A3986"/>
    <w:rsid w:val="000A430A"/>
    <w:rsid w:val="000A58DD"/>
    <w:rsid w:val="000A646E"/>
    <w:rsid w:val="000A7057"/>
    <w:rsid w:val="000B0782"/>
    <w:rsid w:val="000B0D0C"/>
    <w:rsid w:val="000B206E"/>
    <w:rsid w:val="000B2E5C"/>
    <w:rsid w:val="000B3BEA"/>
    <w:rsid w:val="000B43CE"/>
    <w:rsid w:val="000B469D"/>
    <w:rsid w:val="000B4F82"/>
    <w:rsid w:val="000B52D3"/>
    <w:rsid w:val="000B53A7"/>
    <w:rsid w:val="000B5FBC"/>
    <w:rsid w:val="000B7168"/>
    <w:rsid w:val="000B74B8"/>
    <w:rsid w:val="000C01A2"/>
    <w:rsid w:val="000C034D"/>
    <w:rsid w:val="000C0BB7"/>
    <w:rsid w:val="000C0CF9"/>
    <w:rsid w:val="000C13AF"/>
    <w:rsid w:val="000C1B8C"/>
    <w:rsid w:val="000C1F2D"/>
    <w:rsid w:val="000C242B"/>
    <w:rsid w:val="000C339F"/>
    <w:rsid w:val="000C33DE"/>
    <w:rsid w:val="000C3542"/>
    <w:rsid w:val="000C44EB"/>
    <w:rsid w:val="000C4B9A"/>
    <w:rsid w:val="000C59D9"/>
    <w:rsid w:val="000C6291"/>
    <w:rsid w:val="000C69C9"/>
    <w:rsid w:val="000C7F3B"/>
    <w:rsid w:val="000D26D7"/>
    <w:rsid w:val="000D3EF4"/>
    <w:rsid w:val="000D4421"/>
    <w:rsid w:val="000D45FD"/>
    <w:rsid w:val="000D4D02"/>
    <w:rsid w:val="000D53E7"/>
    <w:rsid w:val="000D61AA"/>
    <w:rsid w:val="000D737E"/>
    <w:rsid w:val="000D7A75"/>
    <w:rsid w:val="000D7EA0"/>
    <w:rsid w:val="000E02F3"/>
    <w:rsid w:val="000E06F0"/>
    <w:rsid w:val="000E087A"/>
    <w:rsid w:val="000E09BF"/>
    <w:rsid w:val="000E0F6F"/>
    <w:rsid w:val="000E1CB5"/>
    <w:rsid w:val="000E24D1"/>
    <w:rsid w:val="000E27EF"/>
    <w:rsid w:val="000E2853"/>
    <w:rsid w:val="000E287E"/>
    <w:rsid w:val="000E2F71"/>
    <w:rsid w:val="000E3365"/>
    <w:rsid w:val="000E3964"/>
    <w:rsid w:val="000E44B8"/>
    <w:rsid w:val="000E5130"/>
    <w:rsid w:val="000E58F2"/>
    <w:rsid w:val="000E5AE3"/>
    <w:rsid w:val="000E5DD1"/>
    <w:rsid w:val="000E5F3D"/>
    <w:rsid w:val="000E6BE3"/>
    <w:rsid w:val="000F0B08"/>
    <w:rsid w:val="000F139C"/>
    <w:rsid w:val="000F15F5"/>
    <w:rsid w:val="000F173A"/>
    <w:rsid w:val="000F18FA"/>
    <w:rsid w:val="000F1F61"/>
    <w:rsid w:val="000F256B"/>
    <w:rsid w:val="000F26BE"/>
    <w:rsid w:val="000F2EF4"/>
    <w:rsid w:val="000F3933"/>
    <w:rsid w:val="000F3F60"/>
    <w:rsid w:val="000F4A6D"/>
    <w:rsid w:val="000F4CEF"/>
    <w:rsid w:val="000F4F36"/>
    <w:rsid w:val="000F5ABE"/>
    <w:rsid w:val="000F5FCB"/>
    <w:rsid w:val="000F60C2"/>
    <w:rsid w:val="000F61D7"/>
    <w:rsid w:val="000F736A"/>
    <w:rsid w:val="000F7A9E"/>
    <w:rsid w:val="000F7CE0"/>
    <w:rsid w:val="00100079"/>
    <w:rsid w:val="00100E3C"/>
    <w:rsid w:val="00101F07"/>
    <w:rsid w:val="001027C3"/>
    <w:rsid w:val="00102EC7"/>
    <w:rsid w:val="00103251"/>
    <w:rsid w:val="001033BD"/>
    <w:rsid w:val="00104064"/>
    <w:rsid w:val="001049A6"/>
    <w:rsid w:val="00104B5E"/>
    <w:rsid w:val="0010547A"/>
    <w:rsid w:val="00105843"/>
    <w:rsid w:val="00105978"/>
    <w:rsid w:val="00105A73"/>
    <w:rsid w:val="00105BA4"/>
    <w:rsid w:val="00105C25"/>
    <w:rsid w:val="00110E6D"/>
    <w:rsid w:val="00111C15"/>
    <w:rsid w:val="0011283B"/>
    <w:rsid w:val="00112F6B"/>
    <w:rsid w:val="001139F1"/>
    <w:rsid w:val="00114347"/>
    <w:rsid w:val="0011497A"/>
    <w:rsid w:val="00114E31"/>
    <w:rsid w:val="00115547"/>
    <w:rsid w:val="00115684"/>
    <w:rsid w:val="00115CC1"/>
    <w:rsid w:val="001160CC"/>
    <w:rsid w:val="00116F52"/>
    <w:rsid w:val="0011790E"/>
    <w:rsid w:val="00121681"/>
    <w:rsid w:val="00121CD3"/>
    <w:rsid w:val="001224B5"/>
    <w:rsid w:val="001235A8"/>
    <w:rsid w:val="001235C7"/>
    <w:rsid w:val="0012370F"/>
    <w:rsid w:val="00123F85"/>
    <w:rsid w:val="00124CDE"/>
    <w:rsid w:val="00126238"/>
    <w:rsid w:val="00126886"/>
    <w:rsid w:val="00130063"/>
    <w:rsid w:val="00130411"/>
    <w:rsid w:val="00130636"/>
    <w:rsid w:val="00130DF1"/>
    <w:rsid w:val="001315BB"/>
    <w:rsid w:val="00131B32"/>
    <w:rsid w:val="00132385"/>
    <w:rsid w:val="0013239B"/>
    <w:rsid w:val="00132496"/>
    <w:rsid w:val="00132C14"/>
    <w:rsid w:val="0013300E"/>
    <w:rsid w:val="001330E4"/>
    <w:rsid w:val="001334AB"/>
    <w:rsid w:val="00133765"/>
    <w:rsid w:val="001342BD"/>
    <w:rsid w:val="0013433A"/>
    <w:rsid w:val="00134A43"/>
    <w:rsid w:val="001353BD"/>
    <w:rsid w:val="00135F50"/>
    <w:rsid w:val="00136418"/>
    <w:rsid w:val="00136FD6"/>
    <w:rsid w:val="001372CC"/>
    <w:rsid w:val="001373DE"/>
    <w:rsid w:val="00140139"/>
    <w:rsid w:val="001407F3"/>
    <w:rsid w:val="00140873"/>
    <w:rsid w:val="00142377"/>
    <w:rsid w:val="00142686"/>
    <w:rsid w:val="0014268D"/>
    <w:rsid w:val="001432F0"/>
    <w:rsid w:val="00143309"/>
    <w:rsid w:val="00143B3E"/>
    <w:rsid w:val="0014477C"/>
    <w:rsid w:val="00144962"/>
    <w:rsid w:val="0014617F"/>
    <w:rsid w:val="00146D86"/>
    <w:rsid w:val="00146E92"/>
    <w:rsid w:val="00147F29"/>
    <w:rsid w:val="0015056D"/>
    <w:rsid w:val="00151708"/>
    <w:rsid w:val="001518E1"/>
    <w:rsid w:val="001520FF"/>
    <w:rsid w:val="0015289D"/>
    <w:rsid w:val="00152C25"/>
    <w:rsid w:val="0015316D"/>
    <w:rsid w:val="00153846"/>
    <w:rsid w:val="00153D6B"/>
    <w:rsid w:val="0015455E"/>
    <w:rsid w:val="00155D99"/>
    <w:rsid w:val="0015626E"/>
    <w:rsid w:val="0015633C"/>
    <w:rsid w:val="00156A16"/>
    <w:rsid w:val="00156CB1"/>
    <w:rsid w:val="0015752F"/>
    <w:rsid w:val="00160290"/>
    <w:rsid w:val="001602DF"/>
    <w:rsid w:val="0016115D"/>
    <w:rsid w:val="001611A5"/>
    <w:rsid w:val="001611C1"/>
    <w:rsid w:val="00161279"/>
    <w:rsid w:val="0016182F"/>
    <w:rsid w:val="0016286C"/>
    <w:rsid w:val="001637A4"/>
    <w:rsid w:val="001640D4"/>
    <w:rsid w:val="00164974"/>
    <w:rsid w:val="001658B4"/>
    <w:rsid w:val="00167B55"/>
    <w:rsid w:val="001701DE"/>
    <w:rsid w:val="00170454"/>
    <w:rsid w:val="0017071C"/>
    <w:rsid w:val="00170DC7"/>
    <w:rsid w:val="00171336"/>
    <w:rsid w:val="00172AC1"/>
    <w:rsid w:val="00173A36"/>
    <w:rsid w:val="0017473E"/>
    <w:rsid w:val="0017597D"/>
    <w:rsid w:val="001759A0"/>
    <w:rsid w:val="00176383"/>
    <w:rsid w:val="00180353"/>
    <w:rsid w:val="00180779"/>
    <w:rsid w:val="00181B7D"/>
    <w:rsid w:val="001824CA"/>
    <w:rsid w:val="001825D8"/>
    <w:rsid w:val="00182849"/>
    <w:rsid w:val="00182F43"/>
    <w:rsid w:val="001832F3"/>
    <w:rsid w:val="00183467"/>
    <w:rsid w:val="001837C6"/>
    <w:rsid w:val="0018381A"/>
    <w:rsid w:val="00184396"/>
    <w:rsid w:val="001844DB"/>
    <w:rsid w:val="00184698"/>
    <w:rsid w:val="00184717"/>
    <w:rsid w:val="001848E1"/>
    <w:rsid w:val="00184925"/>
    <w:rsid w:val="001851C3"/>
    <w:rsid w:val="00186E20"/>
    <w:rsid w:val="00187349"/>
    <w:rsid w:val="00187725"/>
    <w:rsid w:val="0019034A"/>
    <w:rsid w:val="0019068E"/>
    <w:rsid w:val="00190C39"/>
    <w:rsid w:val="00191452"/>
    <w:rsid w:val="0019179F"/>
    <w:rsid w:val="001918DE"/>
    <w:rsid w:val="00192024"/>
    <w:rsid w:val="00192417"/>
    <w:rsid w:val="00192757"/>
    <w:rsid w:val="0019276F"/>
    <w:rsid w:val="00192BCC"/>
    <w:rsid w:val="00192D6C"/>
    <w:rsid w:val="00192D88"/>
    <w:rsid w:val="001932D6"/>
    <w:rsid w:val="001935F3"/>
    <w:rsid w:val="00193F54"/>
    <w:rsid w:val="00194377"/>
    <w:rsid w:val="00194B1E"/>
    <w:rsid w:val="00194E4E"/>
    <w:rsid w:val="00195247"/>
    <w:rsid w:val="001954BF"/>
    <w:rsid w:val="0019550F"/>
    <w:rsid w:val="00195B2C"/>
    <w:rsid w:val="00195BC7"/>
    <w:rsid w:val="00195E6D"/>
    <w:rsid w:val="001961A6"/>
    <w:rsid w:val="00196A33"/>
    <w:rsid w:val="00196A5A"/>
    <w:rsid w:val="00196EE9"/>
    <w:rsid w:val="00197F11"/>
    <w:rsid w:val="001A0501"/>
    <w:rsid w:val="001A05F0"/>
    <w:rsid w:val="001A0A70"/>
    <w:rsid w:val="001A1318"/>
    <w:rsid w:val="001A1886"/>
    <w:rsid w:val="001A1A73"/>
    <w:rsid w:val="001A1D16"/>
    <w:rsid w:val="001A1FD3"/>
    <w:rsid w:val="001A2066"/>
    <w:rsid w:val="001A30E9"/>
    <w:rsid w:val="001A3CA0"/>
    <w:rsid w:val="001A3D23"/>
    <w:rsid w:val="001A4073"/>
    <w:rsid w:val="001A4273"/>
    <w:rsid w:val="001A4B03"/>
    <w:rsid w:val="001A4FD5"/>
    <w:rsid w:val="001A50BF"/>
    <w:rsid w:val="001A50D0"/>
    <w:rsid w:val="001A56A3"/>
    <w:rsid w:val="001A66A9"/>
    <w:rsid w:val="001A66BD"/>
    <w:rsid w:val="001A6B05"/>
    <w:rsid w:val="001A6EFB"/>
    <w:rsid w:val="001A7278"/>
    <w:rsid w:val="001A72E5"/>
    <w:rsid w:val="001A77A1"/>
    <w:rsid w:val="001A7DAF"/>
    <w:rsid w:val="001B00D8"/>
    <w:rsid w:val="001B0C28"/>
    <w:rsid w:val="001B0C79"/>
    <w:rsid w:val="001B11D4"/>
    <w:rsid w:val="001B1E27"/>
    <w:rsid w:val="001B2C92"/>
    <w:rsid w:val="001B419C"/>
    <w:rsid w:val="001B44A9"/>
    <w:rsid w:val="001B45C6"/>
    <w:rsid w:val="001B46DB"/>
    <w:rsid w:val="001B4772"/>
    <w:rsid w:val="001B4AA8"/>
    <w:rsid w:val="001B543C"/>
    <w:rsid w:val="001B55BA"/>
    <w:rsid w:val="001B5FD5"/>
    <w:rsid w:val="001B622C"/>
    <w:rsid w:val="001B728F"/>
    <w:rsid w:val="001B7FA5"/>
    <w:rsid w:val="001C0551"/>
    <w:rsid w:val="001C05D9"/>
    <w:rsid w:val="001C06A7"/>
    <w:rsid w:val="001C0F4E"/>
    <w:rsid w:val="001C18B7"/>
    <w:rsid w:val="001C25B3"/>
    <w:rsid w:val="001C2CC4"/>
    <w:rsid w:val="001C3792"/>
    <w:rsid w:val="001C45CD"/>
    <w:rsid w:val="001C4650"/>
    <w:rsid w:val="001C4698"/>
    <w:rsid w:val="001C4960"/>
    <w:rsid w:val="001C4CAD"/>
    <w:rsid w:val="001C4EB9"/>
    <w:rsid w:val="001C5209"/>
    <w:rsid w:val="001C5A43"/>
    <w:rsid w:val="001C5B02"/>
    <w:rsid w:val="001C5CC7"/>
    <w:rsid w:val="001C5E3D"/>
    <w:rsid w:val="001C61F4"/>
    <w:rsid w:val="001C6B8C"/>
    <w:rsid w:val="001D02DA"/>
    <w:rsid w:val="001D0597"/>
    <w:rsid w:val="001D0ACD"/>
    <w:rsid w:val="001D0B64"/>
    <w:rsid w:val="001D16B6"/>
    <w:rsid w:val="001D1D4D"/>
    <w:rsid w:val="001D1FD7"/>
    <w:rsid w:val="001D3BB6"/>
    <w:rsid w:val="001D41F2"/>
    <w:rsid w:val="001D49EA"/>
    <w:rsid w:val="001D4B71"/>
    <w:rsid w:val="001D4B7E"/>
    <w:rsid w:val="001D539E"/>
    <w:rsid w:val="001D559F"/>
    <w:rsid w:val="001D5B39"/>
    <w:rsid w:val="001D6036"/>
    <w:rsid w:val="001D63EC"/>
    <w:rsid w:val="001D645C"/>
    <w:rsid w:val="001D68FD"/>
    <w:rsid w:val="001D6ADB"/>
    <w:rsid w:val="001D735E"/>
    <w:rsid w:val="001D795A"/>
    <w:rsid w:val="001D7C4C"/>
    <w:rsid w:val="001E00A1"/>
    <w:rsid w:val="001E081F"/>
    <w:rsid w:val="001E0FB9"/>
    <w:rsid w:val="001E1232"/>
    <w:rsid w:val="001E16CB"/>
    <w:rsid w:val="001E1DE5"/>
    <w:rsid w:val="001E1F5D"/>
    <w:rsid w:val="001E21D7"/>
    <w:rsid w:val="001E295D"/>
    <w:rsid w:val="001E29DC"/>
    <w:rsid w:val="001E32E9"/>
    <w:rsid w:val="001E3688"/>
    <w:rsid w:val="001E37BE"/>
    <w:rsid w:val="001E5347"/>
    <w:rsid w:val="001E5698"/>
    <w:rsid w:val="001E5E0B"/>
    <w:rsid w:val="001E5F3B"/>
    <w:rsid w:val="001E66E6"/>
    <w:rsid w:val="001E7509"/>
    <w:rsid w:val="001F0B0F"/>
    <w:rsid w:val="001F1B90"/>
    <w:rsid w:val="001F2B35"/>
    <w:rsid w:val="001F2BB1"/>
    <w:rsid w:val="001F3D1E"/>
    <w:rsid w:val="001F3D54"/>
    <w:rsid w:val="001F4067"/>
    <w:rsid w:val="001F4844"/>
    <w:rsid w:val="001F4C5B"/>
    <w:rsid w:val="001F4E71"/>
    <w:rsid w:val="001F741D"/>
    <w:rsid w:val="001F7B65"/>
    <w:rsid w:val="001F7BF1"/>
    <w:rsid w:val="001F7D20"/>
    <w:rsid w:val="002005F7"/>
    <w:rsid w:val="0020073A"/>
    <w:rsid w:val="00201427"/>
    <w:rsid w:val="00201F41"/>
    <w:rsid w:val="00202108"/>
    <w:rsid w:val="00203E3B"/>
    <w:rsid w:val="0020585C"/>
    <w:rsid w:val="0020595C"/>
    <w:rsid w:val="00205AEB"/>
    <w:rsid w:val="00205EE3"/>
    <w:rsid w:val="002071DB"/>
    <w:rsid w:val="002075C8"/>
    <w:rsid w:val="00207685"/>
    <w:rsid w:val="00207A64"/>
    <w:rsid w:val="00207AE3"/>
    <w:rsid w:val="002107B3"/>
    <w:rsid w:val="00210FED"/>
    <w:rsid w:val="00211155"/>
    <w:rsid w:val="002111A4"/>
    <w:rsid w:val="00211613"/>
    <w:rsid w:val="00211C51"/>
    <w:rsid w:val="002128B1"/>
    <w:rsid w:val="00212BE6"/>
    <w:rsid w:val="00213EA7"/>
    <w:rsid w:val="00213F2E"/>
    <w:rsid w:val="0021484E"/>
    <w:rsid w:val="00214C99"/>
    <w:rsid w:val="002154D8"/>
    <w:rsid w:val="00215824"/>
    <w:rsid w:val="002158C7"/>
    <w:rsid w:val="00217585"/>
    <w:rsid w:val="00217826"/>
    <w:rsid w:val="00217D2F"/>
    <w:rsid w:val="002201DA"/>
    <w:rsid w:val="002203D0"/>
    <w:rsid w:val="00221961"/>
    <w:rsid w:val="00221A62"/>
    <w:rsid w:val="00221B14"/>
    <w:rsid w:val="0022287E"/>
    <w:rsid w:val="002239DE"/>
    <w:rsid w:val="00223E16"/>
    <w:rsid w:val="002240A2"/>
    <w:rsid w:val="002243A0"/>
    <w:rsid w:val="00224EBC"/>
    <w:rsid w:val="002252CE"/>
    <w:rsid w:val="00226383"/>
    <w:rsid w:val="00226A24"/>
    <w:rsid w:val="00226B8B"/>
    <w:rsid w:val="002273B3"/>
    <w:rsid w:val="0023003B"/>
    <w:rsid w:val="002300D9"/>
    <w:rsid w:val="002302D7"/>
    <w:rsid w:val="00230BF3"/>
    <w:rsid w:val="00231C45"/>
    <w:rsid w:val="00231D05"/>
    <w:rsid w:val="00231D59"/>
    <w:rsid w:val="00232446"/>
    <w:rsid w:val="00232450"/>
    <w:rsid w:val="00232B2F"/>
    <w:rsid w:val="00232C5C"/>
    <w:rsid w:val="00232E49"/>
    <w:rsid w:val="0023389B"/>
    <w:rsid w:val="00233D35"/>
    <w:rsid w:val="00234DCB"/>
    <w:rsid w:val="00234FA0"/>
    <w:rsid w:val="00235458"/>
    <w:rsid w:val="00235F9C"/>
    <w:rsid w:val="0023639C"/>
    <w:rsid w:val="0023659A"/>
    <w:rsid w:val="002365A9"/>
    <w:rsid w:val="00237365"/>
    <w:rsid w:val="00237525"/>
    <w:rsid w:val="0023761D"/>
    <w:rsid w:val="00237879"/>
    <w:rsid w:val="002405D7"/>
    <w:rsid w:val="00240AEE"/>
    <w:rsid w:val="00242672"/>
    <w:rsid w:val="00242F15"/>
    <w:rsid w:val="0024350A"/>
    <w:rsid w:val="00244521"/>
    <w:rsid w:val="002447DC"/>
    <w:rsid w:val="00244BE2"/>
    <w:rsid w:val="00244C86"/>
    <w:rsid w:val="00245307"/>
    <w:rsid w:val="0024566D"/>
    <w:rsid w:val="0024582A"/>
    <w:rsid w:val="0024608F"/>
    <w:rsid w:val="00246126"/>
    <w:rsid w:val="002461D2"/>
    <w:rsid w:val="002464DF"/>
    <w:rsid w:val="00246C5E"/>
    <w:rsid w:val="0024780D"/>
    <w:rsid w:val="00250669"/>
    <w:rsid w:val="002523CD"/>
    <w:rsid w:val="00252E0E"/>
    <w:rsid w:val="00253713"/>
    <w:rsid w:val="0025389E"/>
    <w:rsid w:val="00254C41"/>
    <w:rsid w:val="002563FC"/>
    <w:rsid w:val="00256861"/>
    <w:rsid w:val="002610EE"/>
    <w:rsid w:val="002618BE"/>
    <w:rsid w:val="002618D5"/>
    <w:rsid w:val="00261E66"/>
    <w:rsid w:val="00262CBF"/>
    <w:rsid w:val="00263118"/>
    <w:rsid w:val="00264413"/>
    <w:rsid w:val="002645AC"/>
    <w:rsid w:val="00265312"/>
    <w:rsid w:val="002654C8"/>
    <w:rsid w:val="00265AE7"/>
    <w:rsid w:val="00265F77"/>
    <w:rsid w:val="00267928"/>
    <w:rsid w:val="00267C08"/>
    <w:rsid w:val="0027053F"/>
    <w:rsid w:val="00270DC3"/>
    <w:rsid w:val="00271960"/>
    <w:rsid w:val="00271C74"/>
    <w:rsid w:val="002733AF"/>
    <w:rsid w:val="00273628"/>
    <w:rsid w:val="00273692"/>
    <w:rsid w:val="00273893"/>
    <w:rsid w:val="00273E82"/>
    <w:rsid w:val="00274112"/>
    <w:rsid w:val="0027471F"/>
    <w:rsid w:val="002749DE"/>
    <w:rsid w:val="00274D28"/>
    <w:rsid w:val="002757C4"/>
    <w:rsid w:val="00276663"/>
    <w:rsid w:val="0027791E"/>
    <w:rsid w:val="0027793C"/>
    <w:rsid w:val="00277BF6"/>
    <w:rsid w:val="0028197E"/>
    <w:rsid w:val="00282192"/>
    <w:rsid w:val="00282AF3"/>
    <w:rsid w:val="00282E64"/>
    <w:rsid w:val="002836DB"/>
    <w:rsid w:val="00283EE3"/>
    <w:rsid w:val="00284456"/>
    <w:rsid w:val="002847B5"/>
    <w:rsid w:val="00284BF8"/>
    <w:rsid w:val="00285460"/>
    <w:rsid w:val="002859C4"/>
    <w:rsid w:val="00286585"/>
    <w:rsid w:val="0028715A"/>
    <w:rsid w:val="00287B13"/>
    <w:rsid w:val="00287BB3"/>
    <w:rsid w:val="00290818"/>
    <w:rsid w:val="00290A78"/>
    <w:rsid w:val="00290DB7"/>
    <w:rsid w:val="00291969"/>
    <w:rsid w:val="00291A74"/>
    <w:rsid w:val="00292027"/>
    <w:rsid w:val="00294061"/>
    <w:rsid w:val="002947C3"/>
    <w:rsid w:val="00294D3F"/>
    <w:rsid w:val="002957C5"/>
    <w:rsid w:val="0029657C"/>
    <w:rsid w:val="00296A49"/>
    <w:rsid w:val="00296C72"/>
    <w:rsid w:val="00296E8E"/>
    <w:rsid w:val="0029704B"/>
    <w:rsid w:val="00297087"/>
    <w:rsid w:val="002A0263"/>
    <w:rsid w:val="002A19F9"/>
    <w:rsid w:val="002A2331"/>
    <w:rsid w:val="002A2868"/>
    <w:rsid w:val="002A2B1C"/>
    <w:rsid w:val="002A2E77"/>
    <w:rsid w:val="002A45D0"/>
    <w:rsid w:val="002A489A"/>
    <w:rsid w:val="002A49F0"/>
    <w:rsid w:val="002A55BE"/>
    <w:rsid w:val="002A59F4"/>
    <w:rsid w:val="002A5EA0"/>
    <w:rsid w:val="002A6216"/>
    <w:rsid w:val="002A6C24"/>
    <w:rsid w:val="002A7317"/>
    <w:rsid w:val="002A75E2"/>
    <w:rsid w:val="002A7806"/>
    <w:rsid w:val="002A7936"/>
    <w:rsid w:val="002A7B27"/>
    <w:rsid w:val="002A7BEF"/>
    <w:rsid w:val="002B0363"/>
    <w:rsid w:val="002B0950"/>
    <w:rsid w:val="002B0DAF"/>
    <w:rsid w:val="002B11AE"/>
    <w:rsid w:val="002B17A8"/>
    <w:rsid w:val="002B1D45"/>
    <w:rsid w:val="002B237C"/>
    <w:rsid w:val="002B2CB7"/>
    <w:rsid w:val="002B2F86"/>
    <w:rsid w:val="002B35F5"/>
    <w:rsid w:val="002B3C62"/>
    <w:rsid w:val="002B4047"/>
    <w:rsid w:val="002B45D9"/>
    <w:rsid w:val="002B58FB"/>
    <w:rsid w:val="002B5A1A"/>
    <w:rsid w:val="002B5E34"/>
    <w:rsid w:val="002B6269"/>
    <w:rsid w:val="002B64EF"/>
    <w:rsid w:val="002B696B"/>
    <w:rsid w:val="002B78EF"/>
    <w:rsid w:val="002C09C0"/>
    <w:rsid w:val="002C1191"/>
    <w:rsid w:val="002C1351"/>
    <w:rsid w:val="002C1836"/>
    <w:rsid w:val="002C1D0C"/>
    <w:rsid w:val="002C1DC6"/>
    <w:rsid w:val="002C29CB"/>
    <w:rsid w:val="002C2A77"/>
    <w:rsid w:val="002C2C98"/>
    <w:rsid w:val="002C2FAF"/>
    <w:rsid w:val="002C3A6D"/>
    <w:rsid w:val="002C410A"/>
    <w:rsid w:val="002C4B78"/>
    <w:rsid w:val="002C4EE2"/>
    <w:rsid w:val="002C5050"/>
    <w:rsid w:val="002C53BE"/>
    <w:rsid w:val="002C70EB"/>
    <w:rsid w:val="002C7446"/>
    <w:rsid w:val="002C74C3"/>
    <w:rsid w:val="002D0195"/>
    <w:rsid w:val="002D0255"/>
    <w:rsid w:val="002D06E6"/>
    <w:rsid w:val="002D1549"/>
    <w:rsid w:val="002D16E2"/>
    <w:rsid w:val="002D17EB"/>
    <w:rsid w:val="002D1B9A"/>
    <w:rsid w:val="002D2A41"/>
    <w:rsid w:val="002D2EF6"/>
    <w:rsid w:val="002D4429"/>
    <w:rsid w:val="002D470E"/>
    <w:rsid w:val="002D5118"/>
    <w:rsid w:val="002D55B0"/>
    <w:rsid w:val="002D614E"/>
    <w:rsid w:val="002D6D57"/>
    <w:rsid w:val="002D7399"/>
    <w:rsid w:val="002D77BF"/>
    <w:rsid w:val="002E052B"/>
    <w:rsid w:val="002E0754"/>
    <w:rsid w:val="002E0B4C"/>
    <w:rsid w:val="002E1861"/>
    <w:rsid w:val="002E1C93"/>
    <w:rsid w:val="002E2D08"/>
    <w:rsid w:val="002E3904"/>
    <w:rsid w:val="002E4181"/>
    <w:rsid w:val="002E45C7"/>
    <w:rsid w:val="002E4C06"/>
    <w:rsid w:val="002E4F59"/>
    <w:rsid w:val="002E5527"/>
    <w:rsid w:val="002E5603"/>
    <w:rsid w:val="002E6215"/>
    <w:rsid w:val="002E753B"/>
    <w:rsid w:val="002E76A8"/>
    <w:rsid w:val="002E7E20"/>
    <w:rsid w:val="002F0038"/>
    <w:rsid w:val="002F08EA"/>
    <w:rsid w:val="002F0C0F"/>
    <w:rsid w:val="002F1118"/>
    <w:rsid w:val="002F1368"/>
    <w:rsid w:val="002F2C61"/>
    <w:rsid w:val="002F2EAA"/>
    <w:rsid w:val="002F2FEA"/>
    <w:rsid w:val="002F308A"/>
    <w:rsid w:val="002F320E"/>
    <w:rsid w:val="002F34F8"/>
    <w:rsid w:val="002F35D3"/>
    <w:rsid w:val="002F3C14"/>
    <w:rsid w:val="002F3D1B"/>
    <w:rsid w:val="002F4A6D"/>
    <w:rsid w:val="002F4E9C"/>
    <w:rsid w:val="002F5306"/>
    <w:rsid w:val="002F5BE9"/>
    <w:rsid w:val="002F6267"/>
    <w:rsid w:val="002F6EF2"/>
    <w:rsid w:val="002F6FD4"/>
    <w:rsid w:val="002F74C1"/>
    <w:rsid w:val="002F7538"/>
    <w:rsid w:val="002F7778"/>
    <w:rsid w:val="002F7B05"/>
    <w:rsid w:val="002F7CEE"/>
    <w:rsid w:val="003009E4"/>
    <w:rsid w:val="0030219B"/>
    <w:rsid w:val="0030254A"/>
    <w:rsid w:val="00302D9B"/>
    <w:rsid w:val="00302F37"/>
    <w:rsid w:val="00304327"/>
    <w:rsid w:val="003045D9"/>
    <w:rsid w:val="003046F6"/>
    <w:rsid w:val="0030474A"/>
    <w:rsid w:val="00304EA3"/>
    <w:rsid w:val="003051E9"/>
    <w:rsid w:val="00305F00"/>
    <w:rsid w:val="00306F4F"/>
    <w:rsid w:val="00307CF3"/>
    <w:rsid w:val="0031009C"/>
    <w:rsid w:val="003102DC"/>
    <w:rsid w:val="0031093B"/>
    <w:rsid w:val="00311590"/>
    <w:rsid w:val="003118B4"/>
    <w:rsid w:val="003118F5"/>
    <w:rsid w:val="003119A0"/>
    <w:rsid w:val="00311C8D"/>
    <w:rsid w:val="00312602"/>
    <w:rsid w:val="00312B91"/>
    <w:rsid w:val="00313135"/>
    <w:rsid w:val="003133A7"/>
    <w:rsid w:val="0031505B"/>
    <w:rsid w:val="00315366"/>
    <w:rsid w:val="00315D43"/>
    <w:rsid w:val="00316CDC"/>
    <w:rsid w:val="00317184"/>
    <w:rsid w:val="0032007F"/>
    <w:rsid w:val="003202A4"/>
    <w:rsid w:val="003213BC"/>
    <w:rsid w:val="00323923"/>
    <w:rsid w:val="0032457C"/>
    <w:rsid w:val="003249A0"/>
    <w:rsid w:val="0032672C"/>
    <w:rsid w:val="003267C8"/>
    <w:rsid w:val="00326CF1"/>
    <w:rsid w:val="00327137"/>
    <w:rsid w:val="00327E0B"/>
    <w:rsid w:val="003306A1"/>
    <w:rsid w:val="00330AB7"/>
    <w:rsid w:val="0033209A"/>
    <w:rsid w:val="0033211D"/>
    <w:rsid w:val="00332BC3"/>
    <w:rsid w:val="00332ED5"/>
    <w:rsid w:val="00332EF3"/>
    <w:rsid w:val="00333010"/>
    <w:rsid w:val="00333074"/>
    <w:rsid w:val="00333592"/>
    <w:rsid w:val="00334073"/>
    <w:rsid w:val="003352C4"/>
    <w:rsid w:val="00335791"/>
    <w:rsid w:val="00336939"/>
    <w:rsid w:val="00337D80"/>
    <w:rsid w:val="0034037C"/>
    <w:rsid w:val="0034199E"/>
    <w:rsid w:val="003419BC"/>
    <w:rsid w:val="003420AD"/>
    <w:rsid w:val="00342208"/>
    <w:rsid w:val="00342BFA"/>
    <w:rsid w:val="00342F9D"/>
    <w:rsid w:val="00343306"/>
    <w:rsid w:val="0034376B"/>
    <w:rsid w:val="003439E9"/>
    <w:rsid w:val="00344395"/>
    <w:rsid w:val="00344783"/>
    <w:rsid w:val="003447ED"/>
    <w:rsid w:val="00344FE1"/>
    <w:rsid w:val="0034504E"/>
    <w:rsid w:val="003453A4"/>
    <w:rsid w:val="00345477"/>
    <w:rsid w:val="00345C96"/>
    <w:rsid w:val="00345E5D"/>
    <w:rsid w:val="00345E80"/>
    <w:rsid w:val="00346DDD"/>
    <w:rsid w:val="00346ED9"/>
    <w:rsid w:val="00347D24"/>
    <w:rsid w:val="00347E34"/>
    <w:rsid w:val="00347F23"/>
    <w:rsid w:val="00350AFC"/>
    <w:rsid w:val="00350E76"/>
    <w:rsid w:val="003517B1"/>
    <w:rsid w:val="00351EA0"/>
    <w:rsid w:val="003524FF"/>
    <w:rsid w:val="0035264E"/>
    <w:rsid w:val="00353306"/>
    <w:rsid w:val="003536D5"/>
    <w:rsid w:val="00354322"/>
    <w:rsid w:val="00355375"/>
    <w:rsid w:val="00355403"/>
    <w:rsid w:val="00355EE6"/>
    <w:rsid w:val="00355FFA"/>
    <w:rsid w:val="003561F3"/>
    <w:rsid w:val="0035652F"/>
    <w:rsid w:val="00356C07"/>
    <w:rsid w:val="003574F1"/>
    <w:rsid w:val="00357615"/>
    <w:rsid w:val="00357BFD"/>
    <w:rsid w:val="00357F56"/>
    <w:rsid w:val="00360923"/>
    <w:rsid w:val="00360B91"/>
    <w:rsid w:val="00361350"/>
    <w:rsid w:val="00361FC5"/>
    <w:rsid w:val="00362248"/>
    <w:rsid w:val="0036235F"/>
    <w:rsid w:val="00362F28"/>
    <w:rsid w:val="00363109"/>
    <w:rsid w:val="00363236"/>
    <w:rsid w:val="003642C4"/>
    <w:rsid w:val="003642E7"/>
    <w:rsid w:val="003643A6"/>
    <w:rsid w:val="003647E7"/>
    <w:rsid w:val="0036532D"/>
    <w:rsid w:val="00365B9F"/>
    <w:rsid w:val="00365DBA"/>
    <w:rsid w:val="0036682C"/>
    <w:rsid w:val="00366C1F"/>
    <w:rsid w:val="00366D59"/>
    <w:rsid w:val="0036732E"/>
    <w:rsid w:val="00370BBD"/>
    <w:rsid w:val="0037139C"/>
    <w:rsid w:val="0037207C"/>
    <w:rsid w:val="003727D5"/>
    <w:rsid w:val="003735C9"/>
    <w:rsid w:val="00373765"/>
    <w:rsid w:val="00373BF2"/>
    <w:rsid w:val="00373D6A"/>
    <w:rsid w:val="00373DC9"/>
    <w:rsid w:val="00375441"/>
    <w:rsid w:val="00375AA1"/>
    <w:rsid w:val="00375C19"/>
    <w:rsid w:val="00375EF4"/>
    <w:rsid w:val="00376158"/>
    <w:rsid w:val="00376213"/>
    <w:rsid w:val="00376374"/>
    <w:rsid w:val="0037665A"/>
    <w:rsid w:val="00376724"/>
    <w:rsid w:val="00376E13"/>
    <w:rsid w:val="003772AB"/>
    <w:rsid w:val="00377363"/>
    <w:rsid w:val="003776CA"/>
    <w:rsid w:val="00377B1D"/>
    <w:rsid w:val="003806E3"/>
    <w:rsid w:val="0038115E"/>
    <w:rsid w:val="0038136D"/>
    <w:rsid w:val="00381B43"/>
    <w:rsid w:val="00381D97"/>
    <w:rsid w:val="00382086"/>
    <w:rsid w:val="00382820"/>
    <w:rsid w:val="00383687"/>
    <w:rsid w:val="00384253"/>
    <w:rsid w:val="00384548"/>
    <w:rsid w:val="00384F8F"/>
    <w:rsid w:val="00385242"/>
    <w:rsid w:val="00385552"/>
    <w:rsid w:val="00385722"/>
    <w:rsid w:val="0038656E"/>
    <w:rsid w:val="00386DF6"/>
    <w:rsid w:val="003870D1"/>
    <w:rsid w:val="00387605"/>
    <w:rsid w:val="00387BFB"/>
    <w:rsid w:val="00387CB8"/>
    <w:rsid w:val="003901D1"/>
    <w:rsid w:val="00390884"/>
    <w:rsid w:val="00390B65"/>
    <w:rsid w:val="00390C56"/>
    <w:rsid w:val="0039109F"/>
    <w:rsid w:val="003914A5"/>
    <w:rsid w:val="003914A9"/>
    <w:rsid w:val="003917E9"/>
    <w:rsid w:val="00391F90"/>
    <w:rsid w:val="003933D9"/>
    <w:rsid w:val="003938D7"/>
    <w:rsid w:val="003947BC"/>
    <w:rsid w:val="00394C5E"/>
    <w:rsid w:val="0039510C"/>
    <w:rsid w:val="00395D18"/>
    <w:rsid w:val="00395F0D"/>
    <w:rsid w:val="003963C9"/>
    <w:rsid w:val="00396576"/>
    <w:rsid w:val="00397697"/>
    <w:rsid w:val="003979E7"/>
    <w:rsid w:val="003A0098"/>
    <w:rsid w:val="003A03BD"/>
    <w:rsid w:val="003A1151"/>
    <w:rsid w:val="003A13DE"/>
    <w:rsid w:val="003A1E5B"/>
    <w:rsid w:val="003A250B"/>
    <w:rsid w:val="003A25D0"/>
    <w:rsid w:val="003A2F6E"/>
    <w:rsid w:val="003A373C"/>
    <w:rsid w:val="003A3784"/>
    <w:rsid w:val="003A3C5F"/>
    <w:rsid w:val="003A3D57"/>
    <w:rsid w:val="003A3ED2"/>
    <w:rsid w:val="003A4401"/>
    <w:rsid w:val="003A51DA"/>
    <w:rsid w:val="003A52F8"/>
    <w:rsid w:val="003A55EC"/>
    <w:rsid w:val="003A56F7"/>
    <w:rsid w:val="003A5966"/>
    <w:rsid w:val="003A61D5"/>
    <w:rsid w:val="003A7A5E"/>
    <w:rsid w:val="003B01C4"/>
    <w:rsid w:val="003B1248"/>
    <w:rsid w:val="003B1B9C"/>
    <w:rsid w:val="003B1E96"/>
    <w:rsid w:val="003B3103"/>
    <w:rsid w:val="003B3A65"/>
    <w:rsid w:val="003B3DDE"/>
    <w:rsid w:val="003B441C"/>
    <w:rsid w:val="003B44CB"/>
    <w:rsid w:val="003B46A5"/>
    <w:rsid w:val="003B49D0"/>
    <w:rsid w:val="003B5538"/>
    <w:rsid w:val="003B6378"/>
    <w:rsid w:val="003B6A28"/>
    <w:rsid w:val="003B74FF"/>
    <w:rsid w:val="003C0235"/>
    <w:rsid w:val="003C14E5"/>
    <w:rsid w:val="003C1953"/>
    <w:rsid w:val="003C2361"/>
    <w:rsid w:val="003C2562"/>
    <w:rsid w:val="003C2BE0"/>
    <w:rsid w:val="003C3153"/>
    <w:rsid w:val="003C323B"/>
    <w:rsid w:val="003C35AE"/>
    <w:rsid w:val="003C3773"/>
    <w:rsid w:val="003C42A4"/>
    <w:rsid w:val="003C5077"/>
    <w:rsid w:val="003C5228"/>
    <w:rsid w:val="003C5560"/>
    <w:rsid w:val="003C556B"/>
    <w:rsid w:val="003C6036"/>
    <w:rsid w:val="003C6170"/>
    <w:rsid w:val="003C62DE"/>
    <w:rsid w:val="003C6526"/>
    <w:rsid w:val="003C6965"/>
    <w:rsid w:val="003C6D6E"/>
    <w:rsid w:val="003C736C"/>
    <w:rsid w:val="003C75FD"/>
    <w:rsid w:val="003C7FE9"/>
    <w:rsid w:val="003D0E71"/>
    <w:rsid w:val="003D1752"/>
    <w:rsid w:val="003D1868"/>
    <w:rsid w:val="003D18BB"/>
    <w:rsid w:val="003D1F7C"/>
    <w:rsid w:val="003D1F83"/>
    <w:rsid w:val="003D2036"/>
    <w:rsid w:val="003D206D"/>
    <w:rsid w:val="003D26E4"/>
    <w:rsid w:val="003D4187"/>
    <w:rsid w:val="003D446B"/>
    <w:rsid w:val="003D5A94"/>
    <w:rsid w:val="003D5CA4"/>
    <w:rsid w:val="003D6113"/>
    <w:rsid w:val="003D65A5"/>
    <w:rsid w:val="003D6BF7"/>
    <w:rsid w:val="003D735F"/>
    <w:rsid w:val="003D77A0"/>
    <w:rsid w:val="003D7FCB"/>
    <w:rsid w:val="003E14EC"/>
    <w:rsid w:val="003E16F6"/>
    <w:rsid w:val="003E1F4C"/>
    <w:rsid w:val="003E2649"/>
    <w:rsid w:val="003E299E"/>
    <w:rsid w:val="003E2A93"/>
    <w:rsid w:val="003E32B7"/>
    <w:rsid w:val="003E37A8"/>
    <w:rsid w:val="003E3C58"/>
    <w:rsid w:val="003E43A3"/>
    <w:rsid w:val="003E493A"/>
    <w:rsid w:val="003E5152"/>
    <w:rsid w:val="003E6C74"/>
    <w:rsid w:val="003E6CE0"/>
    <w:rsid w:val="003E7260"/>
    <w:rsid w:val="003E7D40"/>
    <w:rsid w:val="003F0324"/>
    <w:rsid w:val="003F0BDA"/>
    <w:rsid w:val="003F1088"/>
    <w:rsid w:val="003F10AC"/>
    <w:rsid w:val="003F18A2"/>
    <w:rsid w:val="003F1EFB"/>
    <w:rsid w:val="003F22BD"/>
    <w:rsid w:val="003F2A3E"/>
    <w:rsid w:val="003F2DC9"/>
    <w:rsid w:val="003F2FDE"/>
    <w:rsid w:val="003F3592"/>
    <w:rsid w:val="003F388E"/>
    <w:rsid w:val="003F3A86"/>
    <w:rsid w:val="003F43F6"/>
    <w:rsid w:val="003F5EEB"/>
    <w:rsid w:val="003F6F3D"/>
    <w:rsid w:val="003F7738"/>
    <w:rsid w:val="003F7DD9"/>
    <w:rsid w:val="00400B38"/>
    <w:rsid w:val="00400BC6"/>
    <w:rsid w:val="00400EBC"/>
    <w:rsid w:val="004033FD"/>
    <w:rsid w:val="00403991"/>
    <w:rsid w:val="00403D97"/>
    <w:rsid w:val="0040474C"/>
    <w:rsid w:val="004053F4"/>
    <w:rsid w:val="004056EE"/>
    <w:rsid w:val="00405AB2"/>
    <w:rsid w:val="004069CE"/>
    <w:rsid w:val="00406EC0"/>
    <w:rsid w:val="004073CE"/>
    <w:rsid w:val="0040766B"/>
    <w:rsid w:val="004104B4"/>
    <w:rsid w:val="00410740"/>
    <w:rsid w:val="00411180"/>
    <w:rsid w:val="004112E7"/>
    <w:rsid w:val="004118B9"/>
    <w:rsid w:val="00411A6A"/>
    <w:rsid w:val="00412341"/>
    <w:rsid w:val="004125A8"/>
    <w:rsid w:val="00412EC4"/>
    <w:rsid w:val="004135D2"/>
    <w:rsid w:val="00413BC9"/>
    <w:rsid w:val="004140BD"/>
    <w:rsid w:val="00414294"/>
    <w:rsid w:val="00414E6B"/>
    <w:rsid w:val="0041500A"/>
    <w:rsid w:val="0041576F"/>
    <w:rsid w:val="00415CF1"/>
    <w:rsid w:val="00416807"/>
    <w:rsid w:val="00416A35"/>
    <w:rsid w:val="00416E94"/>
    <w:rsid w:val="00416F83"/>
    <w:rsid w:val="00417362"/>
    <w:rsid w:val="004179F1"/>
    <w:rsid w:val="00420195"/>
    <w:rsid w:val="0042083E"/>
    <w:rsid w:val="00420873"/>
    <w:rsid w:val="004209E8"/>
    <w:rsid w:val="00420A95"/>
    <w:rsid w:val="00421200"/>
    <w:rsid w:val="00421508"/>
    <w:rsid w:val="0042190F"/>
    <w:rsid w:val="00421FC0"/>
    <w:rsid w:val="004220A3"/>
    <w:rsid w:val="00422C68"/>
    <w:rsid w:val="004247BE"/>
    <w:rsid w:val="00424BA8"/>
    <w:rsid w:val="00424F78"/>
    <w:rsid w:val="00425A4D"/>
    <w:rsid w:val="004275B5"/>
    <w:rsid w:val="00427A9F"/>
    <w:rsid w:val="00427AC4"/>
    <w:rsid w:val="00427B2D"/>
    <w:rsid w:val="004312BB"/>
    <w:rsid w:val="00431339"/>
    <w:rsid w:val="004326E9"/>
    <w:rsid w:val="00433278"/>
    <w:rsid w:val="00434116"/>
    <w:rsid w:val="0043440B"/>
    <w:rsid w:val="00434B47"/>
    <w:rsid w:val="00434E9D"/>
    <w:rsid w:val="00435484"/>
    <w:rsid w:val="00437502"/>
    <w:rsid w:val="00437C6F"/>
    <w:rsid w:val="004405D7"/>
    <w:rsid w:val="0044090F"/>
    <w:rsid w:val="00440EA9"/>
    <w:rsid w:val="004419D9"/>
    <w:rsid w:val="00441D48"/>
    <w:rsid w:val="00442B9F"/>
    <w:rsid w:val="00442F69"/>
    <w:rsid w:val="00443F42"/>
    <w:rsid w:val="00444C24"/>
    <w:rsid w:val="00445A64"/>
    <w:rsid w:val="00445AA9"/>
    <w:rsid w:val="00445E29"/>
    <w:rsid w:val="00446164"/>
    <w:rsid w:val="00446638"/>
    <w:rsid w:val="0044786E"/>
    <w:rsid w:val="00447C34"/>
    <w:rsid w:val="00447DA8"/>
    <w:rsid w:val="00450452"/>
    <w:rsid w:val="00450A8E"/>
    <w:rsid w:val="004519E8"/>
    <w:rsid w:val="00451D3A"/>
    <w:rsid w:val="00452D69"/>
    <w:rsid w:val="004535FD"/>
    <w:rsid w:val="0045365E"/>
    <w:rsid w:val="00453685"/>
    <w:rsid w:val="00453AC6"/>
    <w:rsid w:val="00454459"/>
    <w:rsid w:val="00454BE8"/>
    <w:rsid w:val="004551BE"/>
    <w:rsid w:val="004557C5"/>
    <w:rsid w:val="004558BA"/>
    <w:rsid w:val="00455EC3"/>
    <w:rsid w:val="00456BDE"/>
    <w:rsid w:val="00456DE0"/>
    <w:rsid w:val="00457648"/>
    <w:rsid w:val="00460A4C"/>
    <w:rsid w:val="00461A6E"/>
    <w:rsid w:val="00461ABB"/>
    <w:rsid w:val="00461D73"/>
    <w:rsid w:val="004630E5"/>
    <w:rsid w:val="00463225"/>
    <w:rsid w:val="004634B2"/>
    <w:rsid w:val="00463DA9"/>
    <w:rsid w:val="00464D05"/>
    <w:rsid w:val="00465CE3"/>
    <w:rsid w:val="00465CF2"/>
    <w:rsid w:val="00466D42"/>
    <w:rsid w:val="00466DAE"/>
    <w:rsid w:val="00466E5A"/>
    <w:rsid w:val="0046706F"/>
    <w:rsid w:val="00467997"/>
    <w:rsid w:val="00470971"/>
    <w:rsid w:val="00470C2E"/>
    <w:rsid w:val="00470E7F"/>
    <w:rsid w:val="00471723"/>
    <w:rsid w:val="00471AC6"/>
    <w:rsid w:val="00471F22"/>
    <w:rsid w:val="004724D1"/>
    <w:rsid w:val="00472AC0"/>
    <w:rsid w:val="00473080"/>
    <w:rsid w:val="00475BA3"/>
    <w:rsid w:val="00476F1A"/>
    <w:rsid w:val="00477218"/>
    <w:rsid w:val="00477695"/>
    <w:rsid w:val="00477888"/>
    <w:rsid w:val="00477F24"/>
    <w:rsid w:val="0048015C"/>
    <w:rsid w:val="0048105F"/>
    <w:rsid w:val="0048118B"/>
    <w:rsid w:val="00481F4A"/>
    <w:rsid w:val="00483166"/>
    <w:rsid w:val="00483B05"/>
    <w:rsid w:val="00484000"/>
    <w:rsid w:val="0048450F"/>
    <w:rsid w:val="00484772"/>
    <w:rsid w:val="004849BB"/>
    <w:rsid w:val="0048531F"/>
    <w:rsid w:val="004867D0"/>
    <w:rsid w:val="00486A12"/>
    <w:rsid w:val="00486AD8"/>
    <w:rsid w:val="00486F05"/>
    <w:rsid w:val="004873E1"/>
    <w:rsid w:val="0048778A"/>
    <w:rsid w:val="00490A1F"/>
    <w:rsid w:val="00490AFA"/>
    <w:rsid w:val="00490B0F"/>
    <w:rsid w:val="00490CB2"/>
    <w:rsid w:val="00490CB4"/>
    <w:rsid w:val="00491A04"/>
    <w:rsid w:val="00491F8C"/>
    <w:rsid w:val="00491FB7"/>
    <w:rsid w:val="00493150"/>
    <w:rsid w:val="00493D46"/>
    <w:rsid w:val="004945D2"/>
    <w:rsid w:val="004946A5"/>
    <w:rsid w:val="00494D78"/>
    <w:rsid w:val="00495BF6"/>
    <w:rsid w:val="00495CA4"/>
    <w:rsid w:val="00495EDA"/>
    <w:rsid w:val="0049649C"/>
    <w:rsid w:val="00496DB0"/>
    <w:rsid w:val="004976C2"/>
    <w:rsid w:val="00497859"/>
    <w:rsid w:val="004A0843"/>
    <w:rsid w:val="004A0E23"/>
    <w:rsid w:val="004A1451"/>
    <w:rsid w:val="004A186F"/>
    <w:rsid w:val="004A2548"/>
    <w:rsid w:val="004A472E"/>
    <w:rsid w:val="004A5624"/>
    <w:rsid w:val="004A5E11"/>
    <w:rsid w:val="004A60FA"/>
    <w:rsid w:val="004A6741"/>
    <w:rsid w:val="004A6BDB"/>
    <w:rsid w:val="004A6DE2"/>
    <w:rsid w:val="004A6E28"/>
    <w:rsid w:val="004A72DD"/>
    <w:rsid w:val="004A7990"/>
    <w:rsid w:val="004B01CE"/>
    <w:rsid w:val="004B0A86"/>
    <w:rsid w:val="004B0D63"/>
    <w:rsid w:val="004B108B"/>
    <w:rsid w:val="004B17AB"/>
    <w:rsid w:val="004B1ABD"/>
    <w:rsid w:val="004B210E"/>
    <w:rsid w:val="004B2646"/>
    <w:rsid w:val="004B295A"/>
    <w:rsid w:val="004B357E"/>
    <w:rsid w:val="004B49CE"/>
    <w:rsid w:val="004B4A2C"/>
    <w:rsid w:val="004B4FA2"/>
    <w:rsid w:val="004B5F8C"/>
    <w:rsid w:val="004B7333"/>
    <w:rsid w:val="004C03C2"/>
    <w:rsid w:val="004C110B"/>
    <w:rsid w:val="004C16C8"/>
    <w:rsid w:val="004C193F"/>
    <w:rsid w:val="004C2952"/>
    <w:rsid w:val="004C2AB4"/>
    <w:rsid w:val="004C49CF"/>
    <w:rsid w:val="004C4B26"/>
    <w:rsid w:val="004C4EA6"/>
    <w:rsid w:val="004C51F2"/>
    <w:rsid w:val="004C575D"/>
    <w:rsid w:val="004C5EAF"/>
    <w:rsid w:val="004C63E3"/>
    <w:rsid w:val="004C6836"/>
    <w:rsid w:val="004C6CC7"/>
    <w:rsid w:val="004C6DBE"/>
    <w:rsid w:val="004C7938"/>
    <w:rsid w:val="004D0264"/>
    <w:rsid w:val="004D04D9"/>
    <w:rsid w:val="004D0582"/>
    <w:rsid w:val="004D0621"/>
    <w:rsid w:val="004D0F58"/>
    <w:rsid w:val="004D1082"/>
    <w:rsid w:val="004D1C8D"/>
    <w:rsid w:val="004D2975"/>
    <w:rsid w:val="004D2BD7"/>
    <w:rsid w:val="004D2F47"/>
    <w:rsid w:val="004D36C6"/>
    <w:rsid w:val="004D3913"/>
    <w:rsid w:val="004D4A54"/>
    <w:rsid w:val="004D53E9"/>
    <w:rsid w:val="004D547A"/>
    <w:rsid w:val="004D549D"/>
    <w:rsid w:val="004D5A4F"/>
    <w:rsid w:val="004D5BAB"/>
    <w:rsid w:val="004D5C31"/>
    <w:rsid w:val="004D666D"/>
    <w:rsid w:val="004D6811"/>
    <w:rsid w:val="004D7154"/>
    <w:rsid w:val="004D71E4"/>
    <w:rsid w:val="004D7C8D"/>
    <w:rsid w:val="004E0F07"/>
    <w:rsid w:val="004E1FBF"/>
    <w:rsid w:val="004E2284"/>
    <w:rsid w:val="004E27D9"/>
    <w:rsid w:val="004E3CFA"/>
    <w:rsid w:val="004E44DF"/>
    <w:rsid w:val="004E5089"/>
    <w:rsid w:val="004E5F56"/>
    <w:rsid w:val="004E6786"/>
    <w:rsid w:val="004E680E"/>
    <w:rsid w:val="004E6BA4"/>
    <w:rsid w:val="004E7EC3"/>
    <w:rsid w:val="004F009F"/>
    <w:rsid w:val="004F031B"/>
    <w:rsid w:val="004F059D"/>
    <w:rsid w:val="004F1652"/>
    <w:rsid w:val="004F1BC8"/>
    <w:rsid w:val="004F2379"/>
    <w:rsid w:val="004F3470"/>
    <w:rsid w:val="004F3770"/>
    <w:rsid w:val="004F3DB5"/>
    <w:rsid w:val="004F47B2"/>
    <w:rsid w:val="004F5042"/>
    <w:rsid w:val="004F6029"/>
    <w:rsid w:val="004F62BB"/>
    <w:rsid w:val="004F656C"/>
    <w:rsid w:val="004F69AB"/>
    <w:rsid w:val="00500B77"/>
    <w:rsid w:val="00501473"/>
    <w:rsid w:val="00501755"/>
    <w:rsid w:val="00502347"/>
    <w:rsid w:val="00502385"/>
    <w:rsid w:val="005025BE"/>
    <w:rsid w:val="0050394C"/>
    <w:rsid w:val="00503FF6"/>
    <w:rsid w:val="00504034"/>
    <w:rsid w:val="00504071"/>
    <w:rsid w:val="005043D0"/>
    <w:rsid w:val="005043FF"/>
    <w:rsid w:val="005046CB"/>
    <w:rsid w:val="00504AB2"/>
    <w:rsid w:val="00505391"/>
    <w:rsid w:val="00505B77"/>
    <w:rsid w:val="00505C9E"/>
    <w:rsid w:val="00505D60"/>
    <w:rsid w:val="005060CE"/>
    <w:rsid w:val="00506F89"/>
    <w:rsid w:val="00511734"/>
    <w:rsid w:val="00512117"/>
    <w:rsid w:val="00512AF5"/>
    <w:rsid w:val="00513C8F"/>
    <w:rsid w:val="005146EF"/>
    <w:rsid w:val="005150AA"/>
    <w:rsid w:val="0051569D"/>
    <w:rsid w:val="00515752"/>
    <w:rsid w:val="0051593A"/>
    <w:rsid w:val="0051593B"/>
    <w:rsid w:val="00516572"/>
    <w:rsid w:val="00516586"/>
    <w:rsid w:val="00516608"/>
    <w:rsid w:val="005170ED"/>
    <w:rsid w:val="00517DC2"/>
    <w:rsid w:val="00520411"/>
    <w:rsid w:val="00521478"/>
    <w:rsid w:val="00521F66"/>
    <w:rsid w:val="00522894"/>
    <w:rsid w:val="00522B6E"/>
    <w:rsid w:val="00522E43"/>
    <w:rsid w:val="005242EA"/>
    <w:rsid w:val="005248BD"/>
    <w:rsid w:val="0052495F"/>
    <w:rsid w:val="005250E9"/>
    <w:rsid w:val="005259BA"/>
    <w:rsid w:val="0052635A"/>
    <w:rsid w:val="00526A37"/>
    <w:rsid w:val="00526D7A"/>
    <w:rsid w:val="005270C1"/>
    <w:rsid w:val="00527569"/>
    <w:rsid w:val="0052773E"/>
    <w:rsid w:val="00527A55"/>
    <w:rsid w:val="00527B70"/>
    <w:rsid w:val="005318E6"/>
    <w:rsid w:val="00531A66"/>
    <w:rsid w:val="00531F87"/>
    <w:rsid w:val="0053277F"/>
    <w:rsid w:val="00532EF6"/>
    <w:rsid w:val="00533063"/>
    <w:rsid w:val="005337B1"/>
    <w:rsid w:val="00533A19"/>
    <w:rsid w:val="0053531D"/>
    <w:rsid w:val="00535E8D"/>
    <w:rsid w:val="00536B57"/>
    <w:rsid w:val="00540382"/>
    <w:rsid w:val="005406E7"/>
    <w:rsid w:val="00540ED3"/>
    <w:rsid w:val="00542D28"/>
    <w:rsid w:val="00543E33"/>
    <w:rsid w:val="0054459F"/>
    <w:rsid w:val="005456E5"/>
    <w:rsid w:val="005466CF"/>
    <w:rsid w:val="00546BC4"/>
    <w:rsid w:val="00547936"/>
    <w:rsid w:val="005500A1"/>
    <w:rsid w:val="00550220"/>
    <w:rsid w:val="005506A4"/>
    <w:rsid w:val="00550912"/>
    <w:rsid w:val="00550C89"/>
    <w:rsid w:val="00551A7C"/>
    <w:rsid w:val="00551D82"/>
    <w:rsid w:val="00552C2E"/>
    <w:rsid w:val="0055348C"/>
    <w:rsid w:val="005536DB"/>
    <w:rsid w:val="00554421"/>
    <w:rsid w:val="005550E6"/>
    <w:rsid w:val="00555117"/>
    <w:rsid w:val="00555D36"/>
    <w:rsid w:val="005561CA"/>
    <w:rsid w:val="0055628F"/>
    <w:rsid w:val="00557A25"/>
    <w:rsid w:val="005603F8"/>
    <w:rsid w:val="00560D77"/>
    <w:rsid w:val="00561275"/>
    <w:rsid w:val="00561EAA"/>
    <w:rsid w:val="00561EE7"/>
    <w:rsid w:val="005622F4"/>
    <w:rsid w:val="00562820"/>
    <w:rsid w:val="00562BB7"/>
    <w:rsid w:val="00563616"/>
    <w:rsid w:val="0056362B"/>
    <w:rsid w:val="00563925"/>
    <w:rsid w:val="00563A2D"/>
    <w:rsid w:val="00564141"/>
    <w:rsid w:val="005642D2"/>
    <w:rsid w:val="00564D0C"/>
    <w:rsid w:val="00565F46"/>
    <w:rsid w:val="005660BF"/>
    <w:rsid w:val="005664E2"/>
    <w:rsid w:val="00566ADB"/>
    <w:rsid w:val="00566DBA"/>
    <w:rsid w:val="00566EC5"/>
    <w:rsid w:val="00567277"/>
    <w:rsid w:val="005674D5"/>
    <w:rsid w:val="005710B7"/>
    <w:rsid w:val="0057241B"/>
    <w:rsid w:val="00572C14"/>
    <w:rsid w:val="00573DC3"/>
    <w:rsid w:val="005741C2"/>
    <w:rsid w:val="00574DCB"/>
    <w:rsid w:val="005754AF"/>
    <w:rsid w:val="005761CF"/>
    <w:rsid w:val="0057651A"/>
    <w:rsid w:val="0057669E"/>
    <w:rsid w:val="00576E05"/>
    <w:rsid w:val="00577238"/>
    <w:rsid w:val="00577A11"/>
    <w:rsid w:val="00577C0D"/>
    <w:rsid w:val="00577CA0"/>
    <w:rsid w:val="00580473"/>
    <w:rsid w:val="00580FBD"/>
    <w:rsid w:val="00581E35"/>
    <w:rsid w:val="005823B8"/>
    <w:rsid w:val="00582CF5"/>
    <w:rsid w:val="005839E3"/>
    <w:rsid w:val="00584097"/>
    <w:rsid w:val="0058542D"/>
    <w:rsid w:val="005870A7"/>
    <w:rsid w:val="00590366"/>
    <w:rsid w:val="00590CCC"/>
    <w:rsid w:val="00590DE2"/>
    <w:rsid w:val="005913BD"/>
    <w:rsid w:val="005916FD"/>
    <w:rsid w:val="005918D0"/>
    <w:rsid w:val="00591DD5"/>
    <w:rsid w:val="005922D5"/>
    <w:rsid w:val="00592BF5"/>
    <w:rsid w:val="00594013"/>
    <w:rsid w:val="0059490B"/>
    <w:rsid w:val="00594A41"/>
    <w:rsid w:val="00594DC6"/>
    <w:rsid w:val="00595117"/>
    <w:rsid w:val="005953F2"/>
    <w:rsid w:val="00595F47"/>
    <w:rsid w:val="0059696F"/>
    <w:rsid w:val="005977AC"/>
    <w:rsid w:val="005A00B9"/>
    <w:rsid w:val="005A07D9"/>
    <w:rsid w:val="005A090A"/>
    <w:rsid w:val="005A13EC"/>
    <w:rsid w:val="005A307A"/>
    <w:rsid w:val="005A396B"/>
    <w:rsid w:val="005A3988"/>
    <w:rsid w:val="005A424A"/>
    <w:rsid w:val="005A4D2E"/>
    <w:rsid w:val="005A5756"/>
    <w:rsid w:val="005A5A8B"/>
    <w:rsid w:val="005A5DCC"/>
    <w:rsid w:val="005A6365"/>
    <w:rsid w:val="005A731A"/>
    <w:rsid w:val="005A7AB5"/>
    <w:rsid w:val="005B04CE"/>
    <w:rsid w:val="005B0A33"/>
    <w:rsid w:val="005B101B"/>
    <w:rsid w:val="005B1EDF"/>
    <w:rsid w:val="005B2098"/>
    <w:rsid w:val="005B238F"/>
    <w:rsid w:val="005B2715"/>
    <w:rsid w:val="005B2EF4"/>
    <w:rsid w:val="005B2FBE"/>
    <w:rsid w:val="005B30C2"/>
    <w:rsid w:val="005B3542"/>
    <w:rsid w:val="005B36D5"/>
    <w:rsid w:val="005B3DFC"/>
    <w:rsid w:val="005B4681"/>
    <w:rsid w:val="005B4C46"/>
    <w:rsid w:val="005B62E1"/>
    <w:rsid w:val="005B65D2"/>
    <w:rsid w:val="005B667C"/>
    <w:rsid w:val="005B7429"/>
    <w:rsid w:val="005C0305"/>
    <w:rsid w:val="005C0FCF"/>
    <w:rsid w:val="005C1428"/>
    <w:rsid w:val="005C24DD"/>
    <w:rsid w:val="005C2E7B"/>
    <w:rsid w:val="005C3159"/>
    <w:rsid w:val="005C364A"/>
    <w:rsid w:val="005C3F94"/>
    <w:rsid w:val="005C4A3D"/>
    <w:rsid w:val="005C5DB7"/>
    <w:rsid w:val="005C5ED3"/>
    <w:rsid w:val="005C6EEA"/>
    <w:rsid w:val="005C6F54"/>
    <w:rsid w:val="005C73DC"/>
    <w:rsid w:val="005C75D4"/>
    <w:rsid w:val="005C7844"/>
    <w:rsid w:val="005C7F35"/>
    <w:rsid w:val="005D0A91"/>
    <w:rsid w:val="005D0CE4"/>
    <w:rsid w:val="005D0EEB"/>
    <w:rsid w:val="005D178A"/>
    <w:rsid w:val="005D1906"/>
    <w:rsid w:val="005D1B6C"/>
    <w:rsid w:val="005D22A8"/>
    <w:rsid w:val="005D2437"/>
    <w:rsid w:val="005D2498"/>
    <w:rsid w:val="005D5C13"/>
    <w:rsid w:val="005D5DB9"/>
    <w:rsid w:val="005D5F42"/>
    <w:rsid w:val="005D629E"/>
    <w:rsid w:val="005D6736"/>
    <w:rsid w:val="005D7BB9"/>
    <w:rsid w:val="005D7F3B"/>
    <w:rsid w:val="005E0569"/>
    <w:rsid w:val="005E0B18"/>
    <w:rsid w:val="005E0C04"/>
    <w:rsid w:val="005E1042"/>
    <w:rsid w:val="005E1140"/>
    <w:rsid w:val="005E1187"/>
    <w:rsid w:val="005E11CA"/>
    <w:rsid w:val="005E11D6"/>
    <w:rsid w:val="005E1F0F"/>
    <w:rsid w:val="005E33E2"/>
    <w:rsid w:val="005E3584"/>
    <w:rsid w:val="005E3849"/>
    <w:rsid w:val="005E3FEB"/>
    <w:rsid w:val="005E4057"/>
    <w:rsid w:val="005E4086"/>
    <w:rsid w:val="005E40EA"/>
    <w:rsid w:val="005E4D0C"/>
    <w:rsid w:val="005E5004"/>
    <w:rsid w:val="005E566E"/>
    <w:rsid w:val="005E589E"/>
    <w:rsid w:val="005E68A3"/>
    <w:rsid w:val="005E68D1"/>
    <w:rsid w:val="005E69F8"/>
    <w:rsid w:val="005E6E2F"/>
    <w:rsid w:val="005E738F"/>
    <w:rsid w:val="005E7923"/>
    <w:rsid w:val="005E7DA9"/>
    <w:rsid w:val="005E7FBE"/>
    <w:rsid w:val="005F02CF"/>
    <w:rsid w:val="005F0E30"/>
    <w:rsid w:val="005F1195"/>
    <w:rsid w:val="005F1CD7"/>
    <w:rsid w:val="005F2325"/>
    <w:rsid w:val="005F243D"/>
    <w:rsid w:val="005F24B4"/>
    <w:rsid w:val="005F29E1"/>
    <w:rsid w:val="005F2EAC"/>
    <w:rsid w:val="005F339A"/>
    <w:rsid w:val="005F3772"/>
    <w:rsid w:val="005F41F7"/>
    <w:rsid w:val="005F4AEB"/>
    <w:rsid w:val="005F616C"/>
    <w:rsid w:val="005F6E4B"/>
    <w:rsid w:val="00603EDB"/>
    <w:rsid w:val="00604B52"/>
    <w:rsid w:val="00604DA8"/>
    <w:rsid w:val="006052AD"/>
    <w:rsid w:val="00606525"/>
    <w:rsid w:val="00606959"/>
    <w:rsid w:val="00606BD4"/>
    <w:rsid w:val="00607331"/>
    <w:rsid w:val="00607706"/>
    <w:rsid w:val="00607A57"/>
    <w:rsid w:val="00607ADF"/>
    <w:rsid w:val="0061076F"/>
    <w:rsid w:val="00610A46"/>
    <w:rsid w:val="00611455"/>
    <w:rsid w:val="0061206E"/>
    <w:rsid w:val="00612517"/>
    <w:rsid w:val="00613F03"/>
    <w:rsid w:val="00614776"/>
    <w:rsid w:val="0061487A"/>
    <w:rsid w:val="00614C90"/>
    <w:rsid w:val="00615098"/>
    <w:rsid w:val="00615A13"/>
    <w:rsid w:val="00615AD7"/>
    <w:rsid w:val="00616635"/>
    <w:rsid w:val="0061686D"/>
    <w:rsid w:val="00617706"/>
    <w:rsid w:val="00617965"/>
    <w:rsid w:val="00617B20"/>
    <w:rsid w:val="00617BD1"/>
    <w:rsid w:val="00620080"/>
    <w:rsid w:val="00620593"/>
    <w:rsid w:val="006208C2"/>
    <w:rsid w:val="0062258C"/>
    <w:rsid w:val="00624650"/>
    <w:rsid w:val="00624A72"/>
    <w:rsid w:val="00624C52"/>
    <w:rsid w:val="00624D50"/>
    <w:rsid w:val="00625AFB"/>
    <w:rsid w:val="00625C37"/>
    <w:rsid w:val="00625F84"/>
    <w:rsid w:val="006263CE"/>
    <w:rsid w:val="00626795"/>
    <w:rsid w:val="00626C4D"/>
    <w:rsid w:val="00626D5C"/>
    <w:rsid w:val="00626FF9"/>
    <w:rsid w:val="0062700C"/>
    <w:rsid w:val="0062707E"/>
    <w:rsid w:val="00627107"/>
    <w:rsid w:val="006277D9"/>
    <w:rsid w:val="00627F6B"/>
    <w:rsid w:val="00630240"/>
    <w:rsid w:val="00630494"/>
    <w:rsid w:val="006304A1"/>
    <w:rsid w:val="00630506"/>
    <w:rsid w:val="0063127E"/>
    <w:rsid w:val="00631BA9"/>
    <w:rsid w:val="00631FD1"/>
    <w:rsid w:val="00632A4D"/>
    <w:rsid w:val="00633F04"/>
    <w:rsid w:val="00633F7D"/>
    <w:rsid w:val="00634013"/>
    <w:rsid w:val="006342F2"/>
    <w:rsid w:val="0063448A"/>
    <w:rsid w:val="00634F9C"/>
    <w:rsid w:val="00636175"/>
    <w:rsid w:val="0063662D"/>
    <w:rsid w:val="00636749"/>
    <w:rsid w:val="00636B31"/>
    <w:rsid w:val="006376B1"/>
    <w:rsid w:val="00637938"/>
    <w:rsid w:val="00637D06"/>
    <w:rsid w:val="00640128"/>
    <w:rsid w:val="006402A3"/>
    <w:rsid w:val="006402BC"/>
    <w:rsid w:val="006408D6"/>
    <w:rsid w:val="00640B83"/>
    <w:rsid w:val="00641036"/>
    <w:rsid w:val="006436D2"/>
    <w:rsid w:val="00643BE3"/>
    <w:rsid w:val="00643CBD"/>
    <w:rsid w:val="006444DC"/>
    <w:rsid w:val="00645498"/>
    <w:rsid w:val="00645A01"/>
    <w:rsid w:val="00645BBC"/>
    <w:rsid w:val="00645E5D"/>
    <w:rsid w:val="00645F92"/>
    <w:rsid w:val="00646315"/>
    <w:rsid w:val="006473A9"/>
    <w:rsid w:val="00647837"/>
    <w:rsid w:val="006479A0"/>
    <w:rsid w:val="006479C2"/>
    <w:rsid w:val="00647B97"/>
    <w:rsid w:val="00647E1F"/>
    <w:rsid w:val="00650090"/>
    <w:rsid w:val="006504F2"/>
    <w:rsid w:val="00650F16"/>
    <w:rsid w:val="00651B4C"/>
    <w:rsid w:val="006520F8"/>
    <w:rsid w:val="00652A96"/>
    <w:rsid w:val="00652E1A"/>
    <w:rsid w:val="0065491C"/>
    <w:rsid w:val="00654FD1"/>
    <w:rsid w:val="006556BD"/>
    <w:rsid w:val="00655875"/>
    <w:rsid w:val="006558F3"/>
    <w:rsid w:val="00655D00"/>
    <w:rsid w:val="00656B7B"/>
    <w:rsid w:val="00657718"/>
    <w:rsid w:val="006579B6"/>
    <w:rsid w:val="00660344"/>
    <w:rsid w:val="0066162D"/>
    <w:rsid w:val="006616B1"/>
    <w:rsid w:val="0066172A"/>
    <w:rsid w:val="00662787"/>
    <w:rsid w:val="00662811"/>
    <w:rsid w:val="00663395"/>
    <w:rsid w:val="006638A6"/>
    <w:rsid w:val="00664402"/>
    <w:rsid w:val="0066449B"/>
    <w:rsid w:val="00665D2B"/>
    <w:rsid w:val="00666420"/>
    <w:rsid w:val="006669B0"/>
    <w:rsid w:val="00667351"/>
    <w:rsid w:val="00667422"/>
    <w:rsid w:val="006678A8"/>
    <w:rsid w:val="00667C2A"/>
    <w:rsid w:val="00667FEA"/>
    <w:rsid w:val="006702B7"/>
    <w:rsid w:val="00670632"/>
    <w:rsid w:val="0067099C"/>
    <w:rsid w:val="0067151A"/>
    <w:rsid w:val="0067283D"/>
    <w:rsid w:val="00672FE2"/>
    <w:rsid w:val="00673148"/>
    <w:rsid w:val="006741B4"/>
    <w:rsid w:val="00674DDF"/>
    <w:rsid w:val="0067508F"/>
    <w:rsid w:val="00675330"/>
    <w:rsid w:val="006760A8"/>
    <w:rsid w:val="006763FA"/>
    <w:rsid w:val="0067770B"/>
    <w:rsid w:val="00677BD0"/>
    <w:rsid w:val="00677C5D"/>
    <w:rsid w:val="00680499"/>
    <w:rsid w:val="006807C5"/>
    <w:rsid w:val="00680D39"/>
    <w:rsid w:val="00680E25"/>
    <w:rsid w:val="0068140B"/>
    <w:rsid w:val="006817C3"/>
    <w:rsid w:val="006819B3"/>
    <w:rsid w:val="00681B05"/>
    <w:rsid w:val="006822B8"/>
    <w:rsid w:val="006822DB"/>
    <w:rsid w:val="00682581"/>
    <w:rsid w:val="0068266C"/>
    <w:rsid w:val="006827AA"/>
    <w:rsid w:val="00682BA1"/>
    <w:rsid w:val="00682F87"/>
    <w:rsid w:val="006831D5"/>
    <w:rsid w:val="00683AAF"/>
    <w:rsid w:val="00683B22"/>
    <w:rsid w:val="00683B83"/>
    <w:rsid w:val="00684A30"/>
    <w:rsid w:val="00684AB0"/>
    <w:rsid w:val="00684E7C"/>
    <w:rsid w:val="00686D92"/>
    <w:rsid w:val="00686E39"/>
    <w:rsid w:val="00687783"/>
    <w:rsid w:val="006878F8"/>
    <w:rsid w:val="00690717"/>
    <w:rsid w:val="006908C7"/>
    <w:rsid w:val="00690AC8"/>
    <w:rsid w:val="00690B2D"/>
    <w:rsid w:val="00690DC7"/>
    <w:rsid w:val="00690E5D"/>
    <w:rsid w:val="0069118B"/>
    <w:rsid w:val="006912B0"/>
    <w:rsid w:val="0069161C"/>
    <w:rsid w:val="006928D9"/>
    <w:rsid w:val="00692BA3"/>
    <w:rsid w:val="00692C25"/>
    <w:rsid w:val="00693519"/>
    <w:rsid w:val="00693672"/>
    <w:rsid w:val="00693805"/>
    <w:rsid w:val="00693AD9"/>
    <w:rsid w:val="00694357"/>
    <w:rsid w:val="006949BC"/>
    <w:rsid w:val="00696332"/>
    <w:rsid w:val="006969F8"/>
    <w:rsid w:val="00696F59"/>
    <w:rsid w:val="00697CE9"/>
    <w:rsid w:val="006A02E5"/>
    <w:rsid w:val="006A0546"/>
    <w:rsid w:val="006A138C"/>
    <w:rsid w:val="006A2CA0"/>
    <w:rsid w:val="006A3043"/>
    <w:rsid w:val="006A38BB"/>
    <w:rsid w:val="006A39E9"/>
    <w:rsid w:val="006A3FCD"/>
    <w:rsid w:val="006A3FF5"/>
    <w:rsid w:val="006A46FA"/>
    <w:rsid w:val="006A4C6A"/>
    <w:rsid w:val="006A5B5A"/>
    <w:rsid w:val="006A5F14"/>
    <w:rsid w:val="006A5FC7"/>
    <w:rsid w:val="006A74C7"/>
    <w:rsid w:val="006A77DE"/>
    <w:rsid w:val="006A7E03"/>
    <w:rsid w:val="006B0267"/>
    <w:rsid w:val="006B0B0A"/>
    <w:rsid w:val="006B142D"/>
    <w:rsid w:val="006B146D"/>
    <w:rsid w:val="006B1ED2"/>
    <w:rsid w:val="006B207C"/>
    <w:rsid w:val="006B2767"/>
    <w:rsid w:val="006B2DBA"/>
    <w:rsid w:val="006B35C0"/>
    <w:rsid w:val="006B3CE4"/>
    <w:rsid w:val="006B3D77"/>
    <w:rsid w:val="006B3E63"/>
    <w:rsid w:val="006B43A0"/>
    <w:rsid w:val="006B4B61"/>
    <w:rsid w:val="006B55ED"/>
    <w:rsid w:val="006B5676"/>
    <w:rsid w:val="006B5B37"/>
    <w:rsid w:val="006B5DD0"/>
    <w:rsid w:val="006B63D2"/>
    <w:rsid w:val="006B65AC"/>
    <w:rsid w:val="006B6F3B"/>
    <w:rsid w:val="006B72C6"/>
    <w:rsid w:val="006B7A12"/>
    <w:rsid w:val="006C0456"/>
    <w:rsid w:val="006C06F4"/>
    <w:rsid w:val="006C07C9"/>
    <w:rsid w:val="006C0A86"/>
    <w:rsid w:val="006C0C7D"/>
    <w:rsid w:val="006C0D76"/>
    <w:rsid w:val="006C11D3"/>
    <w:rsid w:val="006C26C9"/>
    <w:rsid w:val="006C2A79"/>
    <w:rsid w:val="006C3390"/>
    <w:rsid w:val="006C4FDF"/>
    <w:rsid w:val="006C5017"/>
    <w:rsid w:val="006C51D7"/>
    <w:rsid w:val="006C54DF"/>
    <w:rsid w:val="006C5822"/>
    <w:rsid w:val="006C6388"/>
    <w:rsid w:val="006C69D4"/>
    <w:rsid w:val="006C763A"/>
    <w:rsid w:val="006D000B"/>
    <w:rsid w:val="006D0388"/>
    <w:rsid w:val="006D1363"/>
    <w:rsid w:val="006D2182"/>
    <w:rsid w:val="006D2B67"/>
    <w:rsid w:val="006D41E5"/>
    <w:rsid w:val="006D4A3C"/>
    <w:rsid w:val="006D553B"/>
    <w:rsid w:val="006D56CD"/>
    <w:rsid w:val="006D5D51"/>
    <w:rsid w:val="006D623D"/>
    <w:rsid w:val="006D63C2"/>
    <w:rsid w:val="006D7286"/>
    <w:rsid w:val="006D794F"/>
    <w:rsid w:val="006D79DC"/>
    <w:rsid w:val="006E091D"/>
    <w:rsid w:val="006E1224"/>
    <w:rsid w:val="006E22E1"/>
    <w:rsid w:val="006E25E6"/>
    <w:rsid w:val="006E274A"/>
    <w:rsid w:val="006E29CC"/>
    <w:rsid w:val="006E2BC2"/>
    <w:rsid w:val="006E2D57"/>
    <w:rsid w:val="006E337A"/>
    <w:rsid w:val="006E3BC2"/>
    <w:rsid w:val="006E4B36"/>
    <w:rsid w:val="006E55B7"/>
    <w:rsid w:val="006E5793"/>
    <w:rsid w:val="006E5A41"/>
    <w:rsid w:val="006E6366"/>
    <w:rsid w:val="006E6BC4"/>
    <w:rsid w:val="006E727A"/>
    <w:rsid w:val="006F0F4F"/>
    <w:rsid w:val="006F23C3"/>
    <w:rsid w:val="006F2EB2"/>
    <w:rsid w:val="006F32A1"/>
    <w:rsid w:val="006F3436"/>
    <w:rsid w:val="006F3BCE"/>
    <w:rsid w:val="006F587A"/>
    <w:rsid w:val="006F5CE7"/>
    <w:rsid w:val="006F7401"/>
    <w:rsid w:val="006F7836"/>
    <w:rsid w:val="00700BE1"/>
    <w:rsid w:val="007011D2"/>
    <w:rsid w:val="007014DB"/>
    <w:rsid w:val="007019FA"/>
    <w:rsid w:val="007020BB"/>
    <w:rsid w:val="00702732"/>
    <w:rsid w:val="007027A0"/>
    <w:rsid w:val="00702BFD"/>
    <w:rsid w:val="00703510"/>
    <w:rsid w:val="00705644"/>
    <w:rsid w:val="0070612B"/>
    <w:rsid w:val="0071028A"/>
    <w:rsid w:val="007102AB"/>
    <w:rsid w:val="00710893"/>
    <w:rsid w:val="00710AD3"/>
    <w:rsid w:val="00711057"/>
    <w:rsid w:val="00711C27"/>
    <w:rsid w:val="00713079"/>
    <w:rsid w:val="00713249"/>
    <w:rsid w:val="007134B4"/>
    <w:rsid w:val="00713A68"/>
    <w:rsid w:val="00713AF2"/>
    <w:rsid w:val="00713E7E"/>
    <w:rsid w:val="007152BC"/>
    <w:rsid w:val="0071533D"/>
    <w:rsid w:val="00715BAC"/>
    <w:rsid w:val="00715E31"/>
    <w:rsid w:val="00715EB5"/>
    <w:rsid w:val="0071646C"/>
    <w:rsid w:val="007168ED"/>
    <w:rsid w:val="00716F5A"/>
    <w:rsid w:val="007178F0"/>
    <w:rsid w:val="00717FAF"/>
    <w:rsid w:val="00720061"/>
    <w:rsid w:val="007204A0"/>
    <w:rsid w:val="00720513"/>
    <w:rsid w:val="00721B67"/>
    <w:rsid w:val="00721E6B"/>
    <w:rsid w:val="00721EB4"/>
    <w:rsid w:val="00722509"/>
    <w:rsid w:val="00722D7C"/>
    <w:rsid w:val="00722F5F"/>
    <w:rsid w:val="007231FB"/>
    <w:rsid w:val="0072354C"/>
    <w:rsid w:val="007240C0"/>
    <w:rsid w:val="007248C0"/>
    <w:rsid w:val="0072544F"/>
    <w:rsid w:val="007268E9"/>
    <w:rsid w:val="00726B4F"/>
    <w:rsid w:val="00727F54"/>
    <w:rsid w:val="00730698"/>
    <w:rsid w:val="00730D97"/>
    <w:rsid w:val="00730E38"/>
    <w:rsid w:val="00731180"/>
    <w:rsid w:val="007318C0"/>
    <w:rsid w:val="00731BEA"/>
    <w:rsid w:val="00731C6E"/>
    <w:rsid w:val="00731F92"/>
    <w:rsid w:val="00732510"/>
    <w:rsid w:val="007326D7"/>
    <w:rsid w:val="0073419B"/>
    <w:rsid w:val="007347EB"/>
    <w:rsid w:val="00734BEC"/>
    <w:rsid w:val="00734C92"/>
    <w:rsid w:val="00734CE9"/>
    <w:rsid w:val="00734E87"/>
    <w:rsid w:val="0073599F"/>
    <w:rsid w:val="00735CE9"/>
    <w:rsid w:val="0073649F"/>
    <w:rsid w:val="00736A33"/>
    <w:rsid w:val="00736F39"/>
    <w:rsid w:val="007371D8"/>
    <w:rsid w:val="0073722B"/>
    <w:rsid w:val="00737643"/>
    <w:rsid w:val="00737DFB"/>
    <w:rsid w:val="007407C9"/>
    <w:rsid w:val="00740AE1"/>
    <w:rsid w:val="007413FE"/>
    <w:rsid w:val="007417CA"/>
    <w:rsid w:val="0074280D"/>
    <w:rsid w:val="00742900"/>
    <w:rsid w:val="00742962"/>
    <w:rsid w:val="00743065"/>
    <w:rsid w:val="00743DC1"/>
    <w:rsid w:val="00743EA9"/>
    <w:rsid w:val="007444BD"/>
    <w:rsid w:val="007449C9"/>
    <w:rsid w:val="00745603"/>
    <w:rsid w:val="00745B68"/>
    <w:rsid w:val="00747480"/>
    <w:rsid w:val="00747676"/>
    <w:rsid w:val="00750171"/>
    <w:rsid w:val="0075039D"/>
    <w:rsid w:val="00750644"/>
    <w:rsid w:val="00750673"/>
    <w:rsid w:val="00750755"/>
    <w:rsid w:val="007508F8"/>
    <w:rsid w:val="00750928"/>
    <w:rsid w:val="00750CA9"/>
    <w:rsid w:val="00752868"/>
    <w:rsid w:val="00752896"/>
    <w:rsid w:val="00752BE6"/>
    <w:rsid w:val="00752DE9"/>
    <w:rsid w:val="0075313B"/>
    <w:rsid w:val="007531ED"/>
    <w:rsid w:val="0075323A"/>
    <w:rsid w:val="00754085"/>
    <w:rsid w:val="00754575"/>
    <w:rsid w:val="00754C2B"/>
    <w:rsid w:val="00754C8E"/>
    <w:rsid w:val="007563C8"/>
    <w:rsid w:val="00756D8B"/>
    <w:rsid w:val="00757A4E"/>
    <w:rsid w:val="00760CFB"/>
    <w:rsid w:val="00761255"/>
    <w:rsid w:val="007614EA"/>
    <w:rsid w:val="00761DAC"/>
    <w:rsid w:val="00761F00"/>
    <w:rsid w:val="0076243E"/>
    <w:rsid w:val="007632DC"/>
    <w:rsid w:val="007635CB"/>
    <w:rsid w:val="007638E5"/>
    <w:rsid w:val="00763D2A"/>
    <w:rsid w:val="00764147"/>
    <w:rsid w:val="00765061"/>
    <w:rsid w:val="00765218"/>
    <w:rsid w:val="0076575B"/>
    <w:rsid w:val="00765859"/>
    <w:rsid w:val="00765BD4"/>
    <w:rsid w:val="007666A2"/>
    <w:rsid w:val="00766F35"/>
    <w:rsid w:val="00767A04"/>
    <w:rsid w:val="00767D22"/>
    <w:rsid w:val="00770107"/>
    <w:rsid w:val="00770369"/>
    <w:rsid w:val="00770FD0"/>
    <w:rsid w:val="00771543"/>
    <w:rsid w:val="00771693"/>
    <w:rsid w:val="00772AB7"/>
    <w:rsid w:val="00772F67"/>
    <w:rsid w:val="00773572"/>
    <w:rsid w:val="0077369B"/>
    <w:rsid w:val="0077399E"/>
    <w:rsid w:val="007744FA"/>
    <w:rsid w:val="00775841"/>
    <w:rsid w:val="00775D3E"/>
    <w:rsid w:val="00775F23"/>
    <w:rsid w:val="0077637E"/>
    <w:rsid w:val="007765A5"/>
    <w:rsid w:val="007769F1"/>
    <w:rsid w:val="00776A48"/>
    <w:rsid w:val="0077752E"/>
    <w:rsid w:val="00777B13"/>
    <w:rsid w:val="007802FE"/>
    <w:rsid w:val="00780824"/>
    <w:rsid w:val="007808C7"/>
    <w:rsid w:val="00780983"/>
    <w:rsid w:val="00780C78"/>
    <w:rsid w:val="00780ECA"/>
    <w:rsid w:val="00781286"/>
    <w:rsid w:val="007815E1"/>
    <w:rsid w:val="0078236F"/>
    <w:rsid w:val="00782523"/>
    <w:rsid w:val="007830B2"/>
    <w:rsid w:val="007831F0"/>
    <w:rsid w:val="00783579"/>
    <w:rsid w:val="00783F12"/>
    <w:rsid w:val="00783FB7"/>
    <w:rsid w:val="007843E3"/>
    <w:rsid w:val="00784747"/>
    <w:rsid w:val="00784D66"/>
    <w:rsid w:val="007863E6"/>
    <w:rsid w:val="00786B93"/>
    <w:rsid w:val="00790117"/>
    <w:rsid w:val="00790753"/>
    <w:rsid w:val="007909B3"/>
    <w:rsid w:val="007909B6"/>
    <w:rsid w:val="00790D7F"/>
    <w:rsid w:val="00790EEE"/>
    <w:rsid w:val="00790EF8"/>
    <w:rsid w:val="00791761"/>
    <w:rsid w:val="00793580"/>
    <w:rsid w:val="007937AD"/>
    <w:rsid w:val="0079382B"/>
    <w:rsid w:val="00793A9C"/>
    <w:rsid w:val="00795852"/>
    <w:rsid w:val="007960CB"/>
    <w:rsid w:val="007967CC"/>
    <w:rsid w:val="00796AC3"/>
    <w:rsid w:val="00796E60"/>
    <w:rsid w:val="007973BB"/>
    <w:rsid w:val="00797D6B"/>
    <w:rsid w:val="00797F42"/>
    <w:rsid w:val="00797F7C"/>
    <w:rsid w:val="007A027F"/>
    <w:rsid w:val="007A11D7"/>
    <w:rsid w:val="007A18EA"/>
    <w:rsid w:val="007A1AB9"/>
    <w:rsid w:val="007A1F49"/>
    <w:rsid w:val="007A2720"/>
    <w:rsid w:val="007A299E"/>
    <w:rsid w:val="007A2DC4"/>
    <w:rsid w:val="007A4BE9"/>
    <w:rsid w:val="007A4CF8"/>
    <w:rsid w:val="007A4D2D"/>
    <w:rsid w:val="007A5011"/>
    <w:rsid w:val="007A5EDF"/>
    <w:rsid w:val="007A601D"/>
    <w:rsid w:val="007A6590"/>
    <w:rsid w:val="007A6671"/>
    <w:rsid w:val="007A6F93"/>
    <w:rsid w:val="007A7279"/>
    <w:rsid w:val="007A72C5"/>
    <w:rsid w:val="007B0201"/>
    <w:rsid w:val="007B02A5"/>
    <w:rsid w:val="007B0599"/>
    <w:rsid w:val="007B0D83"/>
    <w:rsid w:val="007B1AF8"/>
    <w:rsid w:val="007B20DA"/>
    <w:rsid w:val="007B212E"/>
    <w:rsid w:val="007B33B9"/>
    <w:rsid w:val="007B3445"/>
    <w:rsid w:val="007B3BA0"/>
    <w:rsid w:val="007B3D4E"/>
    <w:rsid w:val="007B4330"/>
    <w:rsid w:val="007B48F3"/>
    <w:rsid w:val="007B507B"/>
    <w:rsid w:val="007B51D2"/>
    <w:rsid w:val="007B5C9D"/>
    <w:rsid w:val="007B639E"/>
    <w:rsid w:val="007B70E3"/>
    <w:rsid w:val="007B799A"/>
    <w:rsid w:val="007B7AC9"/>
    <w:rsid w:val="007B7DDE"/>
    <w:rsid w:val="007C0933"/>
    <w:rsid w:val="007C1E42"/>
    <w:rsid w:val="007C461F"/>
    <w:rsid w:val="007C54E4"/>
    <w:rsid w:val="007C553F"/>
    <w:rsid w:val="007C59C1"/>
    <w:rsid w:val="007C5FB2"/>
    <w:rsid w:val="007C60EF"/>
    <w:rsid w:val="007C6427"/>
    <w:rsid w:val="007C67B9"/>
    <w:rsid w:val="007C70DB"/>
    <w:rsid w:val="007C7F45"/>
    <w:rsid w:val="007D00B2"/>
    <w:rsid w:val="007D0B0A"/>
    <w:rsid w:val="007D198A"/>
    <w:rsid w:val="007D1B42"/>
    <w:rsid w:val="007D275E"/>
    <w:rsid w:val="007D33AB"/>
    <w:rsid w:val="007D3744"/>
    <w:rsid w:val="007D3D7A"/>
    <w:rsid w:val="007D3DB6"/>
    <w:rsid w:val="007D3EEE"/>
    <w:rsid w:val="007D407B"/>
    <w:rsid w:val="007D41E4"/>
    <w:rsid w:val="007D426B"/>
    <w:rsid w:val="007D4608"/>
    <w:rsid w:val="007D47F9"/>
    <w:rsid w:val="007D4B42"/>
    <w:rsid w:val="007D4FE3"/>
    <w:rsid w:val="007D54C6"/>
    <w:rsid w:val="007D5627"/>
    <w:rsid w:val="007D5C11"/>
    <w:rsid w:val="007D5F9F"/>
    <w:rsid w:val="007D6686"/>
    <w:rsid w:val="007D6AAC"/>
    <w:rsid w:val="007D6F2E"/>
    <w:rsid w:val="007D6F51"/>
    <w:rsid w:val="007D79D1"/>
    <w:rsid w:val="007D79D6"/>
    <w:rsid w:val="007E122D"/>
    <w:rsid w:val="007E19EB"/>
    <w:rsid w:val="007E20E5"/>
    <w:rsid w:val="007E238C"/>
    <w:rsid w:val="007E28A1"/>
    <w:rsid w:val="007E2D1C"/>
    <w:rsid w:val="007E35E0"/>
    <w:rsid w:val="007E3D97"/>
    <w:rsid w:val="007E5031"/>
    <w:rsid w:val="007F0B8D"/>
    <w:rsid w:val="007F151D"/>
    <w:rsid w:val="007F19E7"/>
    <w:rsid w:val="007F1B17"/>
    <w:rsid w:val="007F1CEF"/>
    <w:rsid w:val="007F1E44"/>
    <w:rsid w:val="007F22B6"/>
    <w:rsid w:val="007F2D5D"/>
    <w:rsid w:val="007F4553"/>
    <w:rsid w:val="007F4AEE"/>
    <w:rsid w:val="007F50C8"/>
    <w:rsid w:val="007F5122"/>
    <w:rsid w:val="007F520A"/>
    <w:rsid w:val="007F5C63"/>
    <w:rsid w:val="007F6E3E"/>
    <w:rsid w:val="007F728A"/>
    <w:rsid w:val="0080008A"/>
    <w:rsid w:val="008021C6"/>
    <w:rsid w:val="008028C0"/>
    <w:rsid w:val="0080381B"/>
    <w:rsid w:val="0080403C"/>
    <w:rsid w:val="00804608"/>
    <w:rsid w:val="0080484D"/>
    <w:rsid w:val="008053AE"/>
    <w:rsid w:val="00806225"/>
    <w:rsid w:val="00806894"/>
    <w:rsid w:val="00807442"/>
    <w:rsid w:val="008074BD"/>
    <w:rsid w:val="00807D6D"/>
    <w:rsid w:val="00810189"/>
    <w:rsid w:val="00810349"/>
    <w:rsid w:val="00810E28"/>
    <w:rsid w:val="008112CB"/>
    <w:rsid w:val="00811370"/>
    <w:rsid w:val="008115CA"/>
    <w:rsid w:val="00811AF7"/>
    <w:rsid w:val="0081204C"/>
    <w:rsid w:val="00812707"/>
    <w:rsid w:val="00812DE1"/>
    <w:rsid w:val="00813535"/>
    <w:rsid w:val="00813AC0"/>
    <w:rsid w:val="00813AF9"/>
    <w:rsid w:val="00813EA7"/>
    <w:rsid w:val="008162CB"/>
    <w:rsid w:val="0081667D"/>
    <w:rsid w:val="008168B8"/>
    <w:rsid w:val="0081754A"/>
    <w:rsid w:val="0081758A"/>
    <w:rsid w:val="00817B9C"/>
    <w:rsid w:val="00820039"/>
    <w:rsid w:val="00822D3C"/>
    <w:rsid w:val="00822D7E"/>
    <w:rsid w:val="0082399B"/>
    <w:rsid w:val="00823C07"/>
    <w:rsid w:val="00823F15"/>
    <w:rsid w:val="0082419D"/>
    <w:rsid w:val="00824281"/>
    <w:rsid w:val="00824304"/>
    <w:rsid w:val="0082499C"/>
    <w:rsid w:val="008249CC"/>
    <w:rsid w:val="00824A72"/>
    <w:rsid w:val="00825C75"/>
    <w:rsid w:val="00825F73"/>
    <w:rsid w:val="00826122"/>
    <w:rsid w:val="008273E7"/>
    <w:rsid w:val="00827B05"/>
    <w:rsid w:val="008303E5"/>
    <w:rsid w:val="0083057C"/>
    <w:rsid w:val="00830F59"/>
    <w:rsid w:val="00830F6F"/>
    <w:rsid w:val="0083183A"/>
    <w:rsid w:val="008318D1"/>
    <w:rsid w:val="00831E9A"/>
    <w:rsid w:val="0083268E"/>
    <w:rsid w:val="00832AE0"/>
    <w:rsid w:val="00832CA2"/>
    <w:rsid w:val="0083354F"/>
    <w:rsid w:val="0083362D"/>
    <w:rsid w:val="008341F3"/>
    <w:rsid w:val="0083458A"/>
    <w:rsid w:val="00835948"/>
    <w:rsid w:val="00835B1E"/>
    <w:rsid w:val="00835DB3"/>
    <w:rsid w:val="0083677A"/>
    <w:rsid w:val="00837FCA"/>
    <w:rsid w:val="00840126"/>
    <w:rsid w:val="00840A0B"/>
    <w:rsid w:val="00840BD7"/>
    <w:rsid w:val="00840DB3"/>
    <w:rsid w:val="0084135F"/>
    <w:rsid w:val="008426BB"/>
    <w:rsid w:val="00842D73"/>
    <w:rsid w:val="0084329C"/>
    <w:rsid w:val="008438C4"/>
    <w:rsid w:val="00843D1E"/>
    <w:rsid w:val="00843E6D"/>
    <w:rsid w:val="00844062"/>
    <w:rsid w:val="00844146"/>
    <w:rsid w:val="008446F2"/>
    <w:rsid w:val="00844A58"/>
    <w:rsid w:val="00844CBA"/>
    <w:rsid w:val="008455AF"/>
    <w:rsid w:val="0084568D"/>
    <w:rsid w:val="00845A4E"/>
    <w:rsid w:val="00845AD7"/>
    <w:rsid w:val="00845C10"/>
    <w:rsid w:val="00845C40"/>
    <w:rsid w:val="00846698"/>
    <w:rsid w:val="00846A6A"/>
    <w:rsid w:val="00847041"/>
    <w:rsid w:val="008472C5"/>
    <w:rsid w:val="008479A0"/>
    <w:rsid w:val="00847AFA"/>
    <w:rsid w:val="00851933"/>
    <w:rsid w:val="00851CA4"/>
    <w:rsid w:val="00851CEC"/>
    <w:rsid w:val="00852329"/>
    <w:rsid w:val="0085238C"/>
    <w:rsid w:val="00852DC7"/>
    <w:rsid w:val="00853060"/>
    <w:rsid w:val="008540F0"/>
    <w:rsid w:val="008542A5"/>
    <w:rsid w:val="00854464"/>
    <w:rsid w:val="00854A0B"/>
    <w:rsid w:val="00855C4F"/>
    <w:rsid w:val="008564E3"/>
    <w:rsid w:val="0085729D"/>
    <w:rsid w:val="00860210"/>
    <w:rsid w:val="008602F8"/>
    <w:rsid w:val="00860945"/>
    <w:rsid w:val="008619C0"/>
    <w:rsid w:val="00861B9C"/>
    <w:rsid w:val="00862BB4"/>
    <w:rsid w:val="00863AAB"/>
    <w:rsid w:val="00863CE7"/>
    <w:rsid w:val="00864D7C"/>
    <w:rsid w:val="00865486"/>
    <w:rsid w:val="0086661D"/>
    <w:rsid w:val="00866772"/>
    <w:rsid w:val="0086733E"/>
    <w:rsid w:val="00867888"/>
    <w:rsid w:val="00867DF7"/>
    <w:rsid w:val="0087017A"/>
    <w:rsid w:val="0087161E"/>
    <w:rsid w:val="00871961"/>
    <w:rsid w:val="00871E32"/>
    <w:rsid w:val="008723F9"/>
    <w:rsid w:val="00872D19"/>
    <w:rsid w:val="00872F67"/>
    <w:rsid w:val="0087461A"/>
    <w:rsid w:val="00874BCF"/>
    <w:rsid w:val="00874DF2"/>
    <w:rsid w:val="00875081"/>
    <w:rsid w:val="0087533B"/>
    <w:rsid w:val="008763A7"/>
    <w:rsid w:val="0087670D"/>
    <w:rsid w:val="008767C8"/>
    <w:rsid w:val="00876A0A"/>
    <w:rsid w:val="008771F0"/>
    <w:rsid w:val="0087770C"/>
    <w:rsid w:val="0087785F"/>
    <w:rsid w:val="00880677"/>
    <w:rsid w:val="008806C9"/>
    <w:rsid w:val="00880C02"/>
    <w:rsid w:val="00881034"/>
    <w:rsid w:val="0088167A"/>
    <w:rsid w:val="00882C06"/>
    <w:rsid w:val="0088301A"/>
    <w:rsid w:val="00883278"/>
    <w:rsid w:val="00883AF9"/>
    <w:rsid w:val="00886144"/>
    <w:rsid w:val="0088633E"/>
    <w:rsid w:val="008865C6"/>
    <w:rsid w:val="008865DD"/>
    <w:rsid w:val="008873B5"/>
    <w:rsid w:val="0088795E"/>
    <w:rsid w:val="00887E7F"/>
    <w:rsid w:val="00890498"/>
    <w:rsid w:val="00890665"/>
    <w:rsid w:val="00890EFD"/>
    <w:rsid w:val="008922D7"/>
    <w:rsid w:val="00893AFE"/>
    <w:rsid w:val="00893C3D"/>
    <w:rsid w:val="00893DB3"/>
    <w:rsid w:val="0089444C"/>
    <w:rsid w:val="0089459F"/>
    <w:rsid w:val="00895F5B"/>
    <w:rsid w:val="00896721"/>
    <w:rsid w:val="00896C51"/>
    <w:rsid w:val="00897360"/>
    <w:rsid w:val="00897F21"/>
    <w:rsid w:val="008A12D1"/>
    <w:rsid w:val="008A1FB0"/>
    <w:rsid w:val="008A27B7"/>
    <w:rsid w:val="008A2AEC"/>
    <w:rsid w:val="008A2F49"/>
    <w:rsid w:val="008A30DB"/>
    <w:rsid w:val="008A39BE"/>
    <w:rsid w:val="008A3FC1"/>
    <w:rsid w:val="008A4232"/>
    <w:rsid w:val="008A4681"/>
    <w:rsid w:val="008A62D2"/>
    <w:rsid w:val="008A6349"/>
    <w:rsid w:val="008A675D"/>
    <w:rsid w:val="008A7072"/>
    <w:rsid w:val="008A76EC"/>
    <w:rsid w:val="008A7E25"/>
    <w:rsid w:val="008B0BEA"/>
    <w:rsid w:val="008B1481"/>
    <w:rsid w:val="008B14F8"/>
    <w:rsid w:val="008B1AE8"/>
    <w:rsid w:val="008B1B5E"/>
    <w:rsid w:val="008B2591"/>
    <w:rsid w:val="008B2847"/>
    <w:rsid w:val="008B2EE2"/>
    <w:rsid w:val="008B326D"/>
    <w:rsid w:val="008B424B"/>
    <w:rsid w:val="008B5201"/>
    <w:rsid w:val="008B5FFE"/>
    <w:rsid w:val="008B6096"/>
    <w:rsid w:val="008B676B"/>
    <w:rsid w:val="008B6A39"/>
    <w:rsid w:val="008B6C4E"/>
    <w:rsid w:val="008B759B"/>
    <w:rsid w:val="008C00FF"/>
    <w:rsid w:val="008C0211"/>
    <w:rsid w:val="008C0767"/>
    <w:rsid w:val="008C080B"/>
    <w:rsid w:val="008C0D88"/>
    <w:rsid w:val="008C12FF"/>
    <w:rsid w:val="008C204B"/>
    <w:rsid w:val="008C2058"/>
    <w:rsid w:val="008C298D"/>
    <w:rsid w:val="008C2AA8"/>
    <w:rsid w:val="008C3262"/>
    <w:rsid w:val="008C338C"/>
    <w:rsid w:val="008C35D1"/>
    <w:rsid w:val="008C3D2F"/>
    <w:rsid w:val="008C3D9B"/>
    <w:rsid w:val="008C41D0"/>
    <w:rsid w:val="008C4DDC"/>
    <w:rsid w:val="008C5056"/>
    <w:rsid w:val="008C52B0"/>
    <w:rsid w:val="008C6096"/>
    <w:rsid w:val="008C60A3"/>
    <w:rsid w:val="008C6473"/>
    <w:rsid w:val="008C69F4"/>
    <w:rsid w:val="008C7EFD"/>
    <w:rsid w:val="008D09B7"/>
    <w:rsid w:val="008D0BE8"/>
    <w:rsid w:val="008D13D5"/>
    <w:rsid w:val="008D14B1"/>
    <w:rsid w:val="008D196D"/>
    <w:rsid w:val="008D2C5B"/>
    <w:rsid w:val="008D2EC8"/>
    <w:rsid w:val="008D32C9"/>
    <w:rsid w:val="008D332F"/>
    <w:rsid w:val="008D352E"/>
    <w:rsid w:val="008D487F"/>
    <w:rsid w:val="008D48BB"/>
    <w:rsid w:val="008D4E37"/>
    <w:rsid w:val="008D4EF5"/>
    <w:rsid w:val="008D55CB"/>
    <w:rsid w:val="008D58CF"/>
    <w:rsid w:val="008D5972"/>
    <w:rsid w:val="008D606F"/>
    <w:rsid w:val="008D662E"/>
    <w:rsid w:val="008D66E6"/>
    <w:rsid w:val="008D7967"/>
    <w:rsid w:val="008D7B7C"/>
    <w:rsid w:val="008D7CEA"/>
    <w:rsid w:val="008E02A9"/>
    <w:rsid w:val="008E0D91"/>
    <w:rsid w:val="008E17E0"/>
    <w:rsid w:val="008E3322"/>
    <w:rsid w:val="008E36FA"/>
    <w:rsid w:val="008E4683"/>
    <w:rsid w:val="008E49BA"/>
    <w:rsid w:val="008E4B14"/>
    <w:rsid w:val="008E595F"/>
    <w:rsid w:val="008E5C01"/>
    <w:rsid w:val="008E64E4"/>
    <w:rsid w:val="008E6537"/>
    <w:rsid w:val="008E69C9"/>
    <w:rsid w:val="008E754B"/>
    <w:rsid w:val="008F10FE"/>
    <w:rsid w:val="008F1DE7"/>
    <w:rsid w:val="008F22A0"/>
    <w:rsid w:val="008F288F"/>
    <w:rsid w:val="008F297E"/>
    <w:rsid w:val="008F2B56"/>
    <w:rsid w:val="008F2D41"/>
    <w:rsid w:val="008F2D68"/>
    <w:rsid w:val="008F2D72"/>
    <w:rsid w:val="008F2DF8"/>
    <w:rsid w:val="008F30EC"/>
    <w:rsid w:val="008F3CAD"/>
    <w:rsid w:val="008F47B6"/>
    <w:rsid w:val="008F4B3C"/>
    <w:rsid w:val="008F6D0D"/>
    <w:rsid w:val="008F7849"/>
    <w:rsid w:val="008F7D5B"/>
    <w:rsid w:val="008F7F3E"/>
    <w:rsid w:val="00900391"/>
    <w:rsid w:val="00900A36"/>
    <w:rsid w:val="00901834"/>
    <w:rsid w:val="00902305"/>
    <w:rsid w:val="00902315"/>
    <w:rsid w:val="00902A90"/>
    <w:rsid w:val="009036DA"/>
    <w:rsid w:val="00904ABC"/>
    <w:rsid w:val="009050C4"/>
    <w:rsid w:val="009050CE"/>
    <w:rsid w:val="0090561D"/>
    <w:rsid w:val="00905FB3"/>
    <w:rsid w:val="009064C7"/>
    <w:rsid w:val="00906838"/>
    <w:rsid w:val="009068D9"/>
    <w:rsid w:val="00907F8D"/>
    <w:rsid w:val="00911401"/>
    <w:rsid w:val="00911530"/>
    <w:rsid w:val="00912182"/>
    <w:rsid w:val="00912682"/>
    <w:rsid w:val="00912689"/>
    <w:rsid w:val="0091291D"/>
    <w:rsid w:val="00912AC5"/>
    <w:rsid w:val="00913206"/>
    <w:rsid w:val="00913250"/>
    <w:rsid w:val="00914EB5"/>
    <w:rsid w:val="00916B02"/>
    <w:rsid w:val="009170E1"/>
    <w:rsid w:val="00917439"/>
    <w:rsid w:val="009174E7"/>
    <w:rsid w:val="00917BE7"/>
    <w:rsid w:val="00920325"/>
    <w:rsid w:val="009212ED"/>
    <w:rsid w:val="00921500"/>
    <w:rsid w:val="00922C17"/>
    <w:rsid w:val="0092390B"/>
    <w:rsid w:val="0092408E"/>
    <w:rsid w:val="00924214"/>
    <w:rsid w:val="0092454A"/>
    <w:rsid w:val="00924D55"/>
    <w:rsid w:val="00924E05"/>
    <w:rsid w:val="0092541C"/>
    <w:rsid w:val="00925B12"/>
    <w:rsid w:val="009267C3"/>
    <w:rsid w:val="009268F3"/>
    <w:rsid w:val="009269EB"/>
    <w:rsid w:val="00927C8B"/>
    <w:rsid w:val="00930356"/>
    <w:rsid w:val="00930538"/>
    <w:rsid w:val="009305F4"/>
    <w:rsid w:val="00931B79"/>
    <w:rsid w:val="00931F63"/>
    <w:rsid w:val="0093275E"/>
    <w:rsid w:val="00932FE8"/>
    <w:rsid w:val="009331FB"/>
    <w:rsid w:val="00933882"/>
    <w:rsid w:val="0093469C"/>
    <w:rsid w:val="00934E5A"/>
    <w:rsid w:val="00935434"/>
    <w:rsid w:val="00935CAA"/>
    <w:rsid w:val="00935F0F"/>
    <w:rsid w:val="00935FFA"/>
    <w:rsid w:val="00936275"/>
    <w:rsid w:val="009362DB"/>
    <w:rsid w:val="00936977"/>
    <w:rsid w:val="00936FCA"/>
    <w:rsid w:val="00937ABD"/>
    <w:rsid w:val="00937C79"/>
    <w:rsid w:val="00937CC1"/>
    <w:rsid w:val="0094036A"/>
    <w:rsid w:val="0094150A"/>
    <w:rsid w:val="00941E7F"/>
    <w:rsid w:val="00941F85"/>
    <w:rsid w:val="00942480"/>
    <w:rsid w:val="009425B7"/>
    <w:rsid w:val="00942726"/>
    <w:rsid w:val="00942E62"/>
    <w:rsid w:val="009433E3"/>
    <w:rsid w:val="009434A3"/>
    <w:rsid w:val="00943701"/>
    <w:rsid w:val="0094458F"/>
    <w:rsid w:val="00944617"/>
    <w:rsid w:val="009447E1"/>
    <w:rsid w:val="00944CA3"/>
    <w:rsid w:val="00945C88"/>
    <w:rsid w:val="0094638D"/>
    <w:rsid w:val="009464B2"/>
    <w:rsid w:val="0094691A"/>
    <w:rsid w:val="00946C67"/>
    <w:rsid w:val="00947108"/>
    <w:rsid w:val="00947209"/>
    <w:rsid w:val="009476CB"/>
    <w:rsid w:val="00947EEE"/>
    <w:rsid w:val="00947FAC"/>
    <w:rsid w:val="00950045"/>
    <w:rsid w:val="00950CDB"/>
    <w:rsid w:val="00950F27"/>
    <w:rsid w:val="00951292"/>
    <w:rsid w:val="009512D5"/>
    <w:rsid w:val="00951C12"/>
    <w:rsid w:val="009523FF"/>
    <w:rsid w:val="00952842"/>
    <w:rsid w:val="009539F0"/>
    <w:rsid w:val="00953C7E"/>
    <w:rsid w:val="00953E69"/>
    <w:rsid w:val="0095440C"/>
    <w:rsid w:val="009547C4"/>
    <w:rsid w:val="009549BF"/>
    <w:rsid w:val="00954F3B"/>
    <w:rsid w:val="009551A5"/>
    <w:rsid w:val="009551D5"/>
    <w:rsid w:val="00955303"/>
    <w:rsid w:val="009554BA"/>
    <w:rsid w:val="009557CB"/>
    <w:rsid w:val="00956C11"/>
    <w:rsid w:val="009574F0"/>
    <w:rsid w:val="00957E1B"/>
    <w:rsid w:val="00960BCB"/>
    <w:rsid w:val="009618AA"/>
    <w:rsid w:val="00962399"/>
    <w:rsid w:val="00963C38"/>
    <w:rsid w:val="009641B0"/>
    <w:rsid w:val="009648FD"/>
    <w:rsid w:val="00965222"/>
    <w:rsid w:val="0096561F"/>
    <w:rsid w:val="009657AB"/>
    <w:rsid w:val="00965867"/>
    <w:rsid w:val="009663FA"/>
    <w:rsid w:val="00966415"/>
    <w:rsid w:val="00966694"/>
    <w:rsid w:val="00966F09"/>
    <w:rsid w:val="00967094"/>
    <w:rsid w:val="009678E5"/>
    <w:rsid w:val="00970BD9"/>
    <w:rsid w:val="009710F2"/>
    <w:rsid w:val="0097141F"/>
    <w:rsid w:val="00971903"/>
    <w:rsid w:val="00972E7C"/>
    <w:rsid w:val="00973340"/>
    <w:rsid w:val="00973A96"/>
    <w:rsid w:val="00974193"/>
    <w:rsid w:val="00974BE1"/>
    <w:rsid w:val="00977192"/>
    <w:rsid w:val="00980F69"/>
    <w:rsid w:val="00981601"/>
    <w:rsid w:val="00981B2C"/>
    <w:rsid w:val="00981C89"/>
    <w:rsid w:val="009821C8"/>
    <w:rsid w:val="00983C69"/>
    <w:rsid w:val="00983E7B"/>
    <w:rsid w:val="00983F33"/>
    <w:rsid w:val="00984049"/>
    <w:rsid w:val="0098430B"/>
    <w:rsid w:val="0098475E"/>
    <w:rsid w:val="0098507B"/>
    <w:rsid w:val="00986115"/>
    <w:rsid w:val="00986FA2"/>
    <w:rsid w:val="00990EF7"/>
    <w:rsid w:val="009910DC"/>
    <w:rsid w:val="00992577"/>
    <w:rsid w:val="00992C88"/>
    <w:rsid w:val="009936C6"/>
    <w:rsid w:val="00993A85"/>
    <w:rsid w:val="0099471F"/>
    <w:rsid w:val="00994CE5"/>
    <w:rsid w:val="009959E9"/>
    <w:rsid w:val="009959EE"/>
    <w:rsid w:val="0099752D"/>
    <w:rsid w:val="00997756"/>
    <w:rsid w:val="009A016F"/>
    <w:rsid w:val="009A0341"/>
    <w:rsid w:val="009A0B5A"/>
    <w:rsid w:val="009A1150"/>
    <w:rsid w:val="009A14C6"/>
    <w:rsid w:val="009A2FA7"/>
    <w:rsid w:val="009A301F"/>
    <w:rsid w:val="009A3941"/>
    <w:rsid w:val="009A39A9"/>
    <w:rsid w:val="009A445C"/>
    <w:rsid w:val="009A5E3C"/>
    <w:rsid w:val="009A678A"/>
    <w:rsid w:val="009A6ACE"/>
    <w:rsid w:val="009A7037"/>
    <w:rsid w:val="009A746B"/>
    <w:rsid w:val="009A7A2B"/>
    <w:rsid w:val="009A7E9B"/>
    <w:rsid w:val="009A7F7F"/>
    <w:rsid w:val="009B0A98"/>
    <w:rsid w:val="009B0C54"/>
    <w:rsid w:val="009B26D9"/>
    <w:rsid w:val="009B2772"/>
    <w:rsid w:val="009B3628"/>
    <w:rsid w:val="009B40D5"/>
    <w:rsid w:val="009B40EE"/>
    <w:rsid w:val="009B43FA"/>
    <w:rsid w:val="009B48C1"/>
    <w:rsid w:val="009B4EF7"/>
    <w:rsid w:val="009B4F09"/>
    <w:rsid w:val="009B501F"/>
    <w:rsid w:val="009B53BA"/>
    <w:rsid w:val="009B5BEC"/>
    <w:rsid w:val="009B656B"/>
    <w:rsid w:val="009B6A43"/>
    <w:rsid w:val="009B6B45"/>
    <w:rsid w:val="009B6CC4"/>
    <w:rsid w:val="009B702B"/>
    <w:rsid w:val="009B7054"/>
    <w:rsid w:val="009B77CA"/>
    <w:rsid w:val="009C1038"/>
    <w:rsid w:val="009C2B9E"/>
    <w:rsid w:val="009C2C51"/>
    <w:rsid w:val="009C392E"/>
    <w:rsid w:val="009C3BF3"/>
    <w:rsid w:val="009C3CF7"/>
    <w:rsid w:val="009C4477"/>
    <w:rsid w:val="009C49FC"/>
    <w:rsid w:val="009C4EED"/>
    <w:rsid w:val="009C5A24"/>
    <w:rsid w:val="009C7B44"/>
    <w:rsid w:val="009D05F1"/>
    <w:rsid w:val="009D1CCC"/>
    <w:rsid w:val="009D1DE2"/>
    <w:rsid w:val="009D1E80"/>
    <w:rsid w:val="009D20C4"/>
    <w:rsid w:val="009D2458"/>
    <w:rsid w:val="009D26AC"/>
    <w:rsid w:val="009D2E50"/>
    <w:rsid w:val="009D3DD3"/>
    <w:rsid w:val="009D3F3F"/>
    <w:rsid w:val="009D4885"/>
    <w:rsid w:val="009D4A42"/>
    <w:rsid w:val="009D524E"/>
    <w:rsid w:val="009D5373"/>
    <w:rsid w:val="009D5C5B"/>
    <w:rsid w:val="009D631A"/>
    <w:rsid w:val="009D66FD"/>
    <w:rsid w:val="009D6923"/>
    <w:rsid w:val="009D6968"/>
    <w:rsid w:val="009D6A6E"/>
    <w:rsid w:val="009E00DE"/>
    <w:rsid w:val="009E0637"/>
    <w:rsid w:val="009E1361"/>
    <w:rsid w:val="009E170E"/>
    <w:rsid w:val="009E24A8"/>
    <w:rsid w:val="009E3124"/>
    <w:rsid w:val="009E3EC5"/>
    <w:rsid w:val="009E45F5"/>
    <w:rsid w:val="009E4E04"/>
    <w:rsid w:val="009E5329"/>
    <w:rsid w:val="009E5467"/>
    <w:rsid w:val="009E60A7"/>
    <w:rsid w:val="009E61BF"/>
    <w:rsid w:val="009E70E6"/>
    <w:rsid w:val="009E7565"/>
    <w:rsid w:val="009E7F5E"/>
    <w:rsid w:val="009F05DF"/>
    <w:rsid w:val="009F0BE4"/>
    <w:rsid w:val="009F0CF2"/>
    <w:rsid w:val="009F0DE4"/>
    <w:rsid w:val="009F2438"/>
    <w:rsid w:val="009F2451"/>
    <w:rsid w:val="009F3545"/>
    <w:rsid w:val="009F4598"/>
    <w:rsid w:val="009F54FB"/>
    <w:rsid w:val="009F5A17"/>
    <w:rsid w:val="009F5AC7"/>
    <w:rsid w:val="009F5B79"/>
    <w:rsid w:val="009F5D00"/>
    <w:rsid w:val="009F662C"/>
    <w:rsid w:val="009F6A18"/>
    <w:rsid w:val="009F70E3"/>
    <w:rsid w:val="009F7704"/>
    <w:rsid w:val="00A00E3C"/>
    <w:rsid w:val="00A0112C"/>
    <w:rsid w:val="00A01305"/>
    <w:rsid w:val="00A016C7"/>
    <w:rsid w:val="00A01731"/>
    <w:rsid w:val="00A0190F"/>
    <w:rsid w:val="00A0295A"/>
    <w:rsid w:val="00A02BBB"/>
    <w:rsid w:val="00A02C68"/>
    <w:rsid w:val="00A034AA"/>
    <w:rsid w:val="00A03861"/>
    <w:rsid w:val="00A045FB"/>
    <w:rsid w:val="00A05B4B"/>
    <w:rsid w:val="00A063D4"/>
    <w:rsid w:val="00A06F69"/>
    <w:rsid w:val="00A0732D"/>
    <w:rsid w:val="00A0792B"/>
    <w:rsid w:val="00A07E73"/>
    <w:rsid w:val="00A100F0"/>
    <w:rsid w:val="00A1063B"/>
    <w:rsid w:val="00A107A5"/>
    <w:rsid w:val="00A10FD3"/>
    <w:rsid w:val="00A11AAF"/>
    <w:rsid w:val="00A11EC1"/>
    <w:rsid w:val="00A12328"/>
    <w:rsid w:val="00A1369C"/>
    <w:rsid w:val="00A13A32"/>
    <w:rsid w:val="00A13BA2"/>
    <w:rsid w:val="00A14111"/>
    <w:rsid w:val="00A14E4A"/>
    <w:rsid w:val="00A1502F"/>
    <w:rsid w:val="00A150E3"/>
    <w:rsid w:val="00A1691A"/>
    <w:rsid w:val="00A1796D"/>
    <w:rsid w:val="00A17AC4"/>
    <w:rsid w:val="00A20272"/>
    <w:rsid w:val="00A21398"/>
    <w:rsid w:val="00A21FE3"/>
    <w:rsid w:val="00A22CCC"/>
    <w:rsid w:val="00A22D06"/>
    <w:rsid w:val="00A22D92"/>
    <w:rsid w:val="00A232F3"/>
    <w:rsid w:val="00A24237"/>
    <w:rsid w:val="00A250C7"/>
    <w:rsid w:val="00A255B5"/>
    <w:rsid w:val="00A26730"/>
    <w:rsid w:val="00A2736F"/>
    <w:rsid w:val="00A27F79"/>
    <w:rsid w:val="00A27FC3"/>
    <w:rsid w:val="00A30D8A"/>
    <w:rsid w:val="00A31097"/>
    <w:rsid w:val="00A31109"/>
    <w:rsid w:val="00A32265"/>
    <w:rsid w:val="00A3275B"/>
    <w:rsid w:val="00A32C6D"/>
    <w:rsid w:val="00A333A0"/>
    <w:rsid w:val="00A33832"/>
    <w:rsid w:val="00A33F79"/>
    <w:rsid w:val="00A3431D"/>
    <w:rsid w:val="00A34824"/>
    <w:rsid w:val="00A34B94"/>
    <w:rsid w:val="00A35789"/>
    <w:rsid w:val="00A35A1E"/>
    <w:rsid w:val="00A35B65"/>
    <w:rsid w:val="00A35C37"/>
    <w:rsid w:val="00A35D32"/>
    <w:rsid w:val="00A369F2"/>
    <w:rsid w:val="00A3734F"/>
    <w:rsid w:val="00A3753C"/>
    <w:rsid w:val="00A400C0"/>
    <w:rsid w:val="00A405FA"/>
    <w:rsid w:val="00A40D03"/>
    <w:rsid w:val="00A413D9"/>
    <w:rsid w:val="00A419D0"/>
    <w:rsid w:val="00A421E9"/>
    <w:rsid w:val="00A42391"/>
    <w:rsid w:val="00A42C3A"/>
    <w:rsid w:val="00A445E5"/>
    <w:rsid w:val="00A452E1"/>
    <w:rsid w:val="00A45C34"/>
    <w:rsid w:val="00A4616F"/>
    <w:rsid w:val="00A46509"/>
    <w:rsid w:val="00A465D2"/>
    <w:rsid w:val="00A46B3D"/>
    <w:rsid w:val="00A46C5F"/>
    <w:rsid w:val="00A46CC6"/>
    <w:rsid w:val="00A46EE8"/>
    <w:rsid w:val="00A503F1"/>
    <w:rsid w:val="00A50E3B"/>
    <w:rsid w:val="00A51044"/>
    <w:rsid w:val="00A515D4"/>
    <w:rsid w:val="00A5195C"/>
    <w:rsid w:val="00A51C0F"/>
    <w:rsid w:val="00A52A73"/>
    <w:rsid w:val="00A52E3E"/>
    <w:rsid w:val="00A53312"/>
    <w:rsid w:val="00A53F26"/>
    <w:rsid w:val="00A545C2"/>
    <w:rsid w:val="00A54EA8"/>
    <w:rsid w:val="00A55071"/>
    <w:rsid w:val="00A5692C"/>
    <w:rsid w:val="00A56F41"/>
    <w:rsid w:val="00A57105"/>
    <w:rsid w:val="00A572DF"/>
    <w:rsid w:val="00A57332"/>
    <w:rsid w:val="00A61C7A"/>
    <w:rsid w:val="00A62C71"/>
    <w:rsid w:val="00A63EA5"/>
    <w:rsid w:val="00A64D01"/>
    <w:rsid w:val="00A64F2E"/>
    <w:rsid w:val="00A6510C"/>
    <w:rsid w:val="00A65250"/>
    <w:rsid w:val="00A653D1"/>
    <w:rsid w:val="00A654AB"/>
    <w:rsid w:val="00A65E24"/>
    <w:rsid w:val="00A660FA"/>
    <w:rsid w:val="00A6662D"/>
    <w:rsid w:val="00A66B9F"/>
    <w:rsid w:val="00A66BF6"/>
    <w:rsid w:val="00A66CFA"/>
    <w:rsid w:val="00A66DC3"/>
    <w:rsid w:val="00A67364"/>
    <w:rsid w:val="00A675E8"/>
    <w:rsid w:val="00A67D08"/>
    <w:rsid w:val="00A67F6A"/>
    <w:rsid w:val="00A708F9"/>
    <w:rsid w:val="00A70958"/>
    <w:rsid w:val="00A70D39"/>
    <w:rsid w:val="00A71049"/>
    <w:rsid w:val="00A71216"/>
    <w:rsid w:val="00A71ADA"/>
    <w:rsid w:val="00A722B6"/>
    <w:rsid w:val="00A7322D"/>
    <w:rsid w:val="00A744EF"/>
    <w:rsid w:val="00A75E21"/>
    <w:rsid w:val="00A778D1"/>
    <w:rsid w:val="00A779A1"/>
    <w:rsid w:val="00A77BCD"/>
    <w:rsid w:val="00A80178"/>
    <w:rsid w:val="00A803A8"/>
    <w:rsid w:val="00A803ED"/>
    <w:rsid w:val="00A80633"/>
    <w:rsid w:val="00A806D8"/>
    <w:rsid w:val="00A80D1C"/>
    <w:rsid w:val="00A81ADC"/>
    <w:rsid w:val="00A8257E"/>
    <w:rsid w:val="00A825A1"/>
    <w:rsid w:val="00A82FA5"/>
    <w:rsid w:val="00A831E4"/>
    <w:rsid w:val="00A8333A"/>
    <w:rsid w:val="00A83855"/>
    <w:rsid w:val="00A83FB3"/>
    <w:rsid w:val="00A84013"/>
    <w:rsid w:val="00A84014"/>
    <w:rsid w:val="00A84B00"/>
    <w:rsid w:val="00A84F28"/>
    <w:rsid w:val="00A8609B"/>
    <w:rsid w:val="00A86314"/>
    <w:rsid w:val="00A8650B"/>
    <w:rsid w:val="00A87AEC"/>
    <w:rsid w:val="00A900D0"/>
    <w:rsid w:val="00A90205"/>
    <w:rsid w:val="00A90AF5"/>
    <w:rsid w:val="00A9104D"/>
    <w:rsid w:val="00A920C2"/>
    <w:rsid w:val="00A92254"/>
    <w:rsid w:val="00A92391"/>
    <w:rsid w:val="00A92527"/>
    <w:rsid w:val="00A933B4"/>
    <w:rsid w:val="00A93750"/>
    <w:rsid w:val="00A93DCF"/>
    <w:rsid w:val="00A940B0"/>
    <w:rsid w:val="00A943F4"/>
    <w:rsid w:val="00A944AF"/>
    <w:rsid w:val="00A9474C"/>
    <w:rsid w:val="00A95804"/>
    <w:rsid w:val="00A958FD"/>
    <w:rsid w:val="00A95FE7"/>
    <w:rsid w:val="00A9684F"/>
    <w:rsid w:val="00A97F5A"/>
    <w:rsid w:val="00AA14D0"/>
    <w:rsid w:val="00AA1BBD"/>
    <w:rsid w:val="00AA1D64"/>
    <w:rsid w:val="00AA2623"/>
    <w:rsid w:val="00AA2897"/>
    <w:rsid w:val="00AA2FCE"/>
    <w:rsid w:val="00AA3979"/>
    <w:rsid w:val="00AA491F"/>
    <w:rsid w:val="00AA513F"/>
    <w:rsid w:val="00AA522E"/>
    <w:rsid w:val="00AA6305"/>
    <w:rsid w:val="00AA6496"/>
    <w:rsid w:val="00AB106D"/>
    <w:rsid w:val="00AB15CE"/>
    <w:rsid w:val="00AB1AD5"/>
    <w:rsid w:val="00AB227B"/>
    <w:rsid w:val="00AB228F"/>
    <w:rsid w:val="00AB251C"/>
    <w:rsid w:val="00AB2A4E"/>
    <w:rsid w:val="00AB3218"/>
    <w:rsid w:val="00AB32B7"/>
    <w:rsid w:val="00AB3F60"/>
    <w:rsid w:val="00AB44EB"/>
    <w:rsid w:val="00AB4C9C"/>
    <w:rsid w:val="00AB5DA3"/>
    <w:rsid w:val="00AB63F7"/>
    <w:rsid w:val="00AB6D9E"/>
    <w:rsid w:val="00AB6DA6"/>
    <w:rsid w:val="00AC1018"/>
    <w:rsid w:val="00AC18F1"/>
    <w:rsid w:val="00AC1AB7"/>
    <w:rsid w:val="00AC3427"/>
    <w:rsid w:val="00AC35B7"/>
    <w:rsid w:val="00AC3CA5"/>
    <w:rsid w:val="00AC3D46"/>
    <w:rsid w:val="00AC5563"/>
    <w:rsid w:val="00AC592A"/>
    <w:rsid w:val="00AC5A2A"/>
    <w:rsid w:val="00AC6C8C"/>
    <w:rsid w:val="00AC736D"/>
    <w:rsid w:val="00AC7495"/>
    <w:rsid w:val="00AD0E1E"/>
    <w:rsid w:val="00AD1016"/>
    <w:rsid w:val="00AD2244"/>
    <w:rsid w:val="00AD421C"/>
    <w:rsid w:val="00AD4570"/>
    <w:rsid w:val="00AD47FA"/>
    <w:rsid w:val="00AD4A0D"/>
    <w:rsid w:val="00AD5A98"/>
    <w:rsid w:val="00AD699B"/>
    <w:rsid w:val="00AD7335"/>
    <w:rsid w:val="00AE0E5E"/>
    <w:rsid w:val="00AE1379"/>
    <w:rsid w:val="00AE1912"/>
    <w:rsid w:val="00AE1947"/>
    <w:rsid w:val="00AE2441"/>
    <w:rsid w:val="00AE2AFF"/>
    <w:rsid w:val="00AE33CC"/>
    <w:rsid w:val="00AE353E"/>
    <w:rsid w:val="00AE3CC7"/>
    <w:rsid w:val="00AE408D"/>
    <w:rsid w:val="00AE4A6A"/>
    <w:rsid w:val="00AE4B46"/>
    <w:rsid w:val="00AE4D57"/>
    <w:rsid w:val="00AE6004"/>
    <w:rsid w:val="00AE6213"/>
    <w:rsid w:val="00AE6DFD"/>
    <w:rsid w:val="00AE7214"/>
    <w:rsid w:val="00AE7863"/>
    <w:rsid w:val="00AF0A4F"/>
    <w:rsid w:val="00AF0B43"/>
    <w:rsid w:val="00AF1333"/>
    <w:rsid w:val="00AF13BC"/>
    <w:rsid w:val="00AF1433"/>
    <w:rsid w:val="00AF19A4"/>
    <w:rsid w:val="00AF1C8E"/>
    <w:rsid w:val="00AF1E0D"/>
    <w:rsid w:val="00AF2331"/>
    <w:rsid w:val="00AF25AF"/>
    <w:rsid w:val="00AF282C"/>
    <w:rsid w:val="00AF2977"/>
    <w:rsid w:val="00AF2B8C"/>
    <w:rsid w:val="00AF336B"/>
    <w:rsid w:val="00AF345E"/>
    <w:rsid w:val="00AF36FE"/>
    <w:rsid w:val="00AF3DC9"/>
    <w:rsid w:val="00AF4614"/>
    <w:rsid w:val="00AF4785"/>
    <w:rsid w:val="00AF499B"/>
    <w:rsid w:val="00AF510A"/>
    <w:rsid w:val="00AF51FF"/>
    <w:rsid w:val="00AF5F0B"/>
    <w:rsid w:val="00AF6557"/>
    <w:rsid w:val="00AF70FA"/>
    <w:rsid w:val="00AF76A7"/>
    <w:rsid w:val="00AF79CC"/>
    <w:rsid w:val="00AF7EFA"/>
    <w:rsid w:val="00B000CF"/>
    <w:rsid w:val="00B001A0"/>
    <w:rsid w:val="00B0051D"/>
    <w:rsid w:val="00B00868"/>
    <w:rsid w:val="00B00998"/>
    <w:rsid w:val="00B01A16"/>
    <w:rsid w:val="00B02138"/>
    <w:rsid w:val="00B0299E"/>
    <w:rsid w:val="00B02F03"/>
    <w:rsid w:val="00B035C1"/>
    <w:rsid w:val="00B0365F"/>
    <w:rsid w:val="00B04250"/>
    <w:rsid w:val="00B047D9"/>
    <w:rsid w:val="00B04FAE"/>
    <w:rsid w:val="00B05352"/>
    <w:rsid w:val="00B05608"/>
    <w:rsid w:val="00B0589F"/>
    <w:rsid w:val="00B05ECC"/>
    <w:rsid w:val="00B05EE7"/>
    <w:rsid w:val="00B06520"/>
    <w:rsid w:val="00B06C69"/>
    <w:rsid w:val="00B06D67"/>
    <w:rsid w:val="00B077FD"/>
    <w:rsid w:val="00B1121F"/>
    <w:rsid w:val="00B1206C"/>
    <w:rsid w:val="00B12697"/>
    <w:rsid w:val="00B140D8"/>
    <w:rsid w:val="00B143DF"/>
    <w:rsid w:val="00B14E43"/>
    <w:rsid w:val="00B14EB2"/>
    <w:rsid w:val="00B1520F"/>
    <w:rsid w:val="00B156FD"/>
    <w:rsid w:val="00B164D9"/>
    <w:rsid w:val="00B165CE"/>
    <w:rsid w:val="00B167A7"/>
    <w:rsid w:val="00B16866"/>
    <w:rsid w:val="00B16AA7"/>
    <w:rsid w:val="00B171EE"/>
    <w:rsid w:val="00B17601"/>
    <w:rsid w:val="00B17830"/>
    <w:rsid w:val="00B17BA5"/>
    <w:rsid w:val="00B17E24"/>
    <w:rsid w:val="00B17F06"/>
    <w:rsid w:val="00B2057E"/>
    <w:rsid w:val="00B2077D"/>
    <w:rsid w:val="00B216C7"/>
    <w:rsid w:val="00B2182F"/>
    <w:rsid w:val="00B22312"/>
    <w:rsid w:val="00B23E86"/>
    <w:rsid w:val="00B2457A"/>
    <w:rsid w:val="00B24871"/>
    <w:rsid w:val="00B24C58"/>
    <w:rsid w:val="00B25E22"/>
    <w:rsid w:val="00B26071"/>
    <w:rsid w:val="00B26D23"/>
    <w:rsid w:val="00B27271"/>
    <w:rsid w:val="00B2754C"/>
    <w:rsid w:val="00B27595"/>
    <w:rsid w:val="00B278CD"/>
    <w:rsid w:val="00B31778"/>
    <w:rsid w:val="00B3249D"/>
    <w:rsid w:val="00B32E27"/>
    <w:rsid w:val="00B3308D"/>
    <w:rsid w:val="00B333F0"/>
    <w:rsid w:val="00B33579"/>
    <w:rsid w:val="00B3400E"/>
    <w:rsid w:val="00B34864"/>
    <w:rsid w:val="00B34AFE"/>
    <w:rsid w:val="00B34CED"/>
    <w:rsid w:val="00B3533B"/>
    <w:rsid w:val="00B363E5"/>
    <w:rsid w:val="00B36BBC"/>
    <w:rsid w:val="00B36CF2"/>
    <w:rsid w:val="00B371A4"/>
    <w:rsid w:val="00B40531"/>
    <w:rsid w:val="00B4071E"/>
    <w:rsid w:val="00B4091F"/>
    <w:rsid w:val="00B412D0"/>
    <w:rsid w:val="00B414AA"/>
    <w:rsid w:val="00B42559"/>
    <w:rsid w:val="00B4269D"/>
    <w:rsid w:val="00B42E65"/>
    <w:rsid w:val="00B42FD2"/>
    <w:rsid w:val="00B4322B"/>
    <w:rsid w:val="00B43F9A"/>
    <w:rsid w:val="00B43FDA"/>
    <w:rsid w:val="00B4430A"/>
    <w:rsid w:val="00B443E6"/>
    <w:rsid w:val="00B44422"/>
    <w:rsid w:val="00B4452A"/>
    <w:rsid w:val="00B44AAF"/>
    <w:rsid w:val="00B44FB1"/>
    <w:rsid w:val="00B45481"/>
    <w:rsid w:val="00B45E2F"/>
    <w:rsid w:val="00B4683C"/>
    <w:rsid w:val="00B46F29"/>
    <w:rsid w:val="00B47461"/>
    <w:rsid w:val="00B47E08"/>
    <w:rsid w:val="00B47FE4"/>
    <w:rsid w:val="00B5005C"/>
    <w:rsid w:val="00B5007D"/>
    <w:rsid w:val="00B501B1"/>
    <w:rsid w:val="00B51247"/>
    <w:rsid w:val="00B51277"/>
    <w:rsid w:val="00B514BB"/>
    <w:rsid w:val="00B51749"/>
    <w:rsid w:val="00B52564"/>
    <w:rsid w:val="00B536F0"/>
    <w:rsid w:val="00B53A72"/>
    <w:rsid w:val="00B54B39"/>
    <w:rsid w:val="00B54BB2"/>
    <w:rsid w:val="00B54E1A"/>
    <w:rsid w:val="00B5506C"/>
    <w:rsid w:val="00B56069"/>
    <w:rsid w:val="00B561A3"/>
    <w:rsid w:val="00B56486"/>
    <w:rsid w:val="00B56693"/>
    <w:rsid w:val="00B567DA"/>
    <w:rsid w:val="00B56AAD"/>
    <w:rsid w:val="00B56BB9"/>
    <w:rsid w:val="00B57081"/>
    <w:rsid w:val="00B57487"/>
    <w:rsid w:val="00B60E5D"/>
    <w:rsid w:val="00B613FA"/>
    <w:rsid w:val="00B616F5"/>
    <w:rsid w:val="00B619C5"/>
    <w:rsid w:val="00B61D16"/>
    <w:rsid w:val="00B62F1A"/>
    <w:rsid w:val="00B6331C"/>
    <w:rsid w:val="00B63347"/>
    <w:rsid w:val="00B636CF"/>
    <w:rsid w:val="00B64044"/>
    <w:rsid w:val="00B64ADE"/>
    <w:rsid w:val="00B64B89"/>
    <w:rsid w:val="00B64C7D"/>
    <w:rsid w:val="00B65948"/>
    <w:rsid w:val="00B659A8"/>
    <w:rsid w:val="00B67A8B"/>
    <w:rsid w:val="00B67B66"/>
    <w:rsid w:val="00B70744"/>
    <w:rsid w:val="00B7184A"/>
    <w:rsid w:val="00B71BB2"/>
    <w:rsid w:val="00B72517"/>
    <w:rsid w:val="00B735A2"/>
    <w:rsid w:val="00B735D9"/>
    <w:rsid w:val="00B73AC8"/>
    <w:rsid w:val="00B74768"/>
    <w:rsid w:val="00B74AA8"/>
    <w:rsid w:val="00B74CA4"/>
    <w:rsid w:val="00B7584C"/>
    <w:rsid w:val="00B75F15"/>
    <w:rsid w:val="00B760BA"/>
    <w:rsid w:val="00B76553"/>
    <w:rsid w:val="00B771B2"/>
    <w:rsid w:val="00B77272"/>
    <w:rsid w:val="00B77B9A"/>
    <w:rsid w:val="00B77F42"/>
    <w:rsid w:val="00B77F7E"/>
    <w:rsid w:val="00B80922"/>
    <w:rsid w:val="00B80977"/>
    <w:rsid w:val="00B80DD0"/>
    <w:rsid w:val="00B814FD"/>
    <w:rsid w:val="00B81568"/>
    <w:rsid w:val="00B81C12"/>
    <w:rsid w:val="00B81FD4"/>
    <w:rsid w:val="00B82938"/>
    <w:rsid w:val="00B82D85"/>
    <w:rsid w:val="00B82E1E"/>
    <w:rsid w:val="00B8388E"/>
    <w:rsid w:val="00B8480F"/>
    <w:rsid w:val="00B84B1F"/>
    <w:rsid w:val="00B85009"/>
    <w:rsid w:val="00B85A5C"/>
    <w:rsid w:val="00B865AA"/>
    <w:rsid w:val="00B866D2"/>
    <w:rsid w:val="00B86A61"/>
    <w:rsid w:val="00B86A99"/>
    <w:rsid w:val="00B86B4A"/>
    <w:rsid w:val="00B86D6C"/>
    <w:rsid w:val="00B86F3F"/>
    <w:rsid w:val="00B871B9"/>
    <w:rsid w:val="00B873F6"/>
    <w:rsid w:val="00B8748F"/>
    <w:rsid w:val="00B8777E"/>
    <w:rsid w:val="00B91100"/>
    <w:rsid w:val="00B91445"/>
    <w:rsid w:val="00B914AF"/>
    <w:rsid w:val="00B91A68"/>
    <w:rsid w:val="00B92808"/>
    <w:rsid w:val="00B92A1E"/>
    <w:rsid w:val="00B930B3"/>
    <w:rsid w:val="00B93E29"/>
    <w:rsid w:val="00B94133"/>
    <w:rsid w:val="00B94D69"/>
    <w:rsid w:val="00B94DC4"/>
    <w:rsid w:val="00B950AA"/>
    <w:rsid w:val="00B96221"/>
    <w:rsid w:val="00B966A0"/>
    <w:rsid w:val="00B96C91"/>
    <w:rsid w:val="00B97497"/>
    <w:rsid w:val="00BA0451"/>
    <w:rsid w:val="00BA0527"/>
    <w:rsid w:val="00BA0AD7"/>
    <w:rsid w:val="00BA0F62"/>
    <w:rsid w:val="00BA189F"/>
    <w:rsid w:val="00BA246F"/>
    <w:rsid w:val="00BA2BC9"/>
    <w:rsid w:val="00BA3A23"/>
    <w:rsid w:val="00BA3C48"/>
    <w:rsid w:val="00BA433D"/>
    <w:rsid w:val="00BA4434"/>
    <w:rsid w:val="00BA4637"/>
    <w:rsid w:val="00BA532F"/>
    <w:rsid w:val="00BA556E"/>
    <w:rsid w:val="00BA566C"/>
    <w:rsid w:val="00BA693D"/>
    <w:rsid w:val="00BA6ABF"/>
    <w:rsid w:val="00BA6DFE"/>
    <w:rsid w:val="00BA76B9"/>
    <w:rsid w:val="00BA77EF"/>
    <w:rsid w:val="00BA7A7E"/>
    <w:rsid w:val="00BB02CB"/>
    <w:rsid w:val="00BB081D"/>
    <w:rsid w:val="00BB0989"/>
    <w:rsid w:val="00BB0CFE"/>
    <w:rsid w:val="00BB0FBA"/>
    <w:rsid w:val="00BB15BB"/>
    <w:rsid w:val="00BB23C2"/>
    <w:rsid w:val="00BB2DC2"/>
    <w:rsid w:val="00BB2F69"/>
    <w:rsid w:val="00BB380B"/>
    <w:rsid w:val="00BB3BCC"/>
    <w:rsid w:val="00BB3DB6"/>
    <w:rsid w:val="00BB4611"/>
    <w:rsid w:val="00BB4889"/>
    <w:rsid w:val="00BB4D21"/>
    <w:rsid w:val="00BB4F34"/>
    <w:rsid w:val="00BB5992"/>
    <w:rsid w:val="00BB5BEF"/>
    <w:rsid w:val="00BB5CE2"/>
    <w:rsid w:val="00BB6D33"/>
    <w:rsid w:val="00BB7397"/>
    <w:rsid w:val="00BB7441"/>
    <w:rsid w:val="00BC0E07"/>
    <w:rsid w:val="00BC1164"/>
    <w:rsid w:val="00BC129F"/>
    <w:rsid w:val="00BC1686"/>
    <w:rsid w:val="00BC256A"/>
    <w:rsid w:val="00BC295D"/>
    <w:rsid w:val="00BC3C00"/>
    <w:rsid w:val="00BC3F01"/>
    <w:rsid w:val="00BC40EF"/>
    <w:rsid w:val="00BC4911"/>
    <w:rsid w:val="00BC4F5B"/>
    <w:rsid w:val="00BC579D"/>
    <w:rsid w:val="00BC6D21"/>
    <w:rsid w:val="00BD05F9"/>
    <w:rsid w:val="00BD0F31"/>
    <w:rsid w:val="00BD15F0"/>
    <w:rsid w:val="00BD227A"/>
    <w:rsid w:val="00BD22E0"/>
    <w:rsid w:val="00BD2625"/>
    <w:rsid w:val="00BD2A26"/>
    <w:rsid w:val="00BD2AAC"/>
    <w:rsid w:val="00BD308D"/>
    <w:rsid w:val="00BD3D37"/>
    <w:rsid w:val="00BD4217"/>
    <w:rsid w:val="00BD459E"/>
    <w:rsid w:val="00BD4A56"/>
    <w:rsid w:val="00BD4ABE"/>
    <w:rsid w:val="00BD4F73"/>
    <w:rsid w:val="00BD50D3"/>
    <w:rsid w:val="00BD58B6"/>
    <w:rsid w:val="00BD610A"/>
    <w:rsid w:val="00BD642A"/>
    <w:rsid w:val="00BD6BF3"/>
    <w:rsid w:val="00BD6F28"/>
    <w:rsid w:val="00BD70E9"/>
    <w:rsid w:val="00BD7630"/>
    <w:rsid w:val="00BD7BEC"/>
    <w:rsid w:val="00BD7E23"/>
    <w:rsid w:val="00BD7FB0"/>
    <w:rsid w:val="00BE00D2"/>
    <w:rsid w:val="00BE0E0C"/>
    <w:rsid w:val="00BE19BA"/>
    <w:rsid w:val="00BE390B"/>
    <w:rsid w:val="00BE3E5C"/>
    <w:rsid w:val="00BE3EDA"/>
    <w:rsid w:val="00BE3F65"/>
    <w:rsid w:val="00BE4155"/>
    <w:rsid w:val="00BE4F3B"/>
    <w:rsid w:val="00BE6412"/>
    <w:rsid w:val="00BE6AA0"/>
    <w:rsid w:val="00BE6E3C"/>
    <w:rsid w:val="00BE7253"/>
    <w:rsid w:val="00BE7C93"/>
    <w:rsid w:val="00BF01D9"/>
    <w:rsid w:val="00BF05FA"/>
    <w:rsid w:val="00BF0BCD"/>
    <w:rsid w:val="00BF12E1"/>
    <w:rsid w:val="00BF19DE"/>
    <w:rsid w:val="00BF1B31"/>
    <w:rsid w:val="00BF1DF3"/>
    <w:rsid w:val="00BF3898"/>
    <w:rsid w:val="00BF3A27"/>
    <w:rsid w:val="00BF4C6E"/>
    <w:rsid w:val="00BF6017"/>
    <w:rsid w:val="00BF660D"/>
    <w:rsid w:val="00BF69E8"/>
    <w:rsid w:val="00BF7854"/>
    <w:rsid w:val="00BF7D6E"/>
    <w:rsid w:val="00C000B7"/>
    <w:rsid w:val="00C00495"/>
    <w:rsid w:val="00C00905"/>
    <w:rsid w:val="00C01318"/>
    <w:rsid w:val="00C01714"/>
    <w:rsid w:val="00C01A74"/>
    <w:rsid w:val="00C027B3"/>
    <w:rsid w:val="00C02CBA"/>
    <w:rsid w:val="00C03249"/>
    <w:rsid w:val="00C033CC"/>
    <w:rsid w:val="00C0380F"/>
    <w:rsid w:val="00C0384F"/>
    <w:rsid w:val="00C0417A"/>
    <w:rsid w:val="00C04292"/>
    <w:rsid w:val="00C046CB"/>
    <w:rsid w:val="00C04C49"/>
    <w:rsid w:val="00C0532F"/>
    <w:rsid w:val="00C054CE"/>
    <w:rsid w:val="00C06379"/>
    <w:rsid w:val="00C06EE7"/>
    <w:rsid w:val="00C07A7D"/>
    <w:rsid w:val="00C07B0A"/>
    <w:rsid w:val="00C105EF"/>
    <w:rsid w:val="00C1170C"/>
    <w:rsid w:val="00C11DFE"/>
    <w:rsid w:val="00C11E24"/>
    <w:rsid w:val="00C1249E"/>
    <w:rsid w:val="00C13144"/>
    <w:rsid w:val="00C1317D"/>
    <w:rsid w:val="00C13D0A"/>
    <w:rsid w:val="00C14446"/>
    <w:rsid w:val="00C14973"/>
    <w:rsid w:val="00C1670B"/>
    <w:rsid w:val="00C17EBA"/>
    <w:rsid w:val="00C20319"/>
    <w:rsid w:val="00C20355"/>
    <w:rsid w:val="00C2067B"/>
    <w:rsid w:val="00C208A6"/>
    <w:rsid w:val="00C22657"/>
    <w:rsid w:val="00C2421F"/>
    <w:rsid w:val="00C25164"/>
    <w:rsid w:val="00C25334"/>
    <w:rsid w:val="00C2583D"/>
    <w:rsid w:val="00C26474"/>
    <w:rsid w:val="00C2664B"/>
    <w:rsid w:val="00C26DD7"/>
    <w:rsid w:val="00C303ED"/>
    <w:rsid w:val="00C314A0"/>
    <w:rsid w:val="00C31AC7"/>
    <w:rsid w:val="00C31D73"/>
    <w:rsid w:val="00C31E04"/>
    <w:rsid w:val="00C326D2"/>
    <w:rsid w:val="00C32DC0"/>
    <w:rsid w:val="00C33244"/>
    <w:rsid w:val="00C33CFF"/>
    <w:rsid w:val="00C343B1"/>
    <w:rsid w:val="00C34737"/>
    <w:rsid w:val="00C35128"/>
    <w:rsid w:val="00C3551E"/>
    <w:rsid w:val="00C365DB"/>
    <w:rsid w:val="00C36A9A"/>
    <w:rsid w:val="00C37637"/>
    <w:rsid w:val="00C3791B"/>
    <w:rsid w:val="00C37DB6"/>
    <w:rsid w:val="00C40097"/>
    <w:rsid w:val="00C40D1A"/>
    <w:rsid w:val="00C40EA5"/>
    <w:rsid w:val="00C41824"/>
    <w:rsid w:val="00C4224D"/>
    <w:rsid w:val="00C432A5"/>
    <w:rsid w:val="00C44703"/>
    <w:rsid w:val="00C45170"/>
    <w:rsid w:val="00C46ED5"/>
    <w:rsid w:val="00C47002"/>
    <w:rsid w:val="00C473B9"/>
    <w:rsid w:val="00C4748F"/>
    <w:rsid w:val="00C47550"/>
    <w:rsid w:val="00C50B4B"/>
    <w:rsid w:val="00C50B50"/>
    <w:rsid w:val="00C50F81"/>
    <w:rsid w:val="00C514B8"/>
    <w:rsid w:val="00C51F4C"/>
    <w:rsid w:val="00C521AC"/>
    <w:rsid w:val="00C528DF"/>
    <w:rsid w:val="00C528E1"/>
    <w:rsid w:val="00C52AD1"/>
    <w:rsid w:val="00C52C66"/>
    <w:rsid w:val="00C52F97"/>
    <w:rsid w:val="00C534F5"/>
    <w:rsid w:val="00C53663"/>
    <w:rsid w:val="00C53E2B"/>
    <w:rsid w:val="00C54575"/>
    <w:rsid w:val="00C54A74"/>
    <w:rsid w:val="00C55626"/>
    <w:rsid w:val="00C55AA7"/>
    <w:rsid w:val="00C55E21"/>
    <w:rsid w:val="00C5647F"/>
    <w:rsid w:val="00C56BA8"/>
    <w:rsid w:val="00C56C22"/>
    <w:rsid w:val="00C5777F"/>
    <w:rsid w:val="00C60E13"/>
    <w:rsid w:val="00C60F2F"/>
    <w:rsid w:val="00C60FCB"/>
    <w:rsid w:val="00C61487"/>
    <w:rsid w:val="00C61E73"/>
    <w:rsid w:val="00C61E78"/>
    <w:rsid w:val="00C62BEA"/>
    <w:rsid w:val="00C634E7"/>
    <w:rsid w:val="00C63523"/>
    <w:rsid w:val="00C63D65"/>
    <w:rsid w:val="00C63D9D"/>
    <w:rsid w:val="00C64841"/>
    <w:rsid w:val="00C64FE3"/>
    <w:rsid w:val="00C65499"/>
    <w:rsid w:val="00C65A99"/>
    <w:rsid w:val="00C65AF0"/>
    <w:rsid w:val="00C65D28"/>
    <w:rsid w:val="00C65E57"/>
    <w:rsid w:val="00C666D7"/>
    <w:rsid w:val="00C667B0"/>
    <w:rsid w:val="00C66BFE"/>
    <w:rsid w:val="00C670F2"/>
    <w:rsid w:val="00C701B0"/>
    <w:rsid w:val="00C709EC"/>
    <w:rsid w:val="00C713EF"/>
    <w:rsid w:val="00C716F8"/>
    <w:rsid w:val="00C71CF0"/>
    <w:rsid w:val="00C71FFF"/>
    <w:rsid w:val="00C72162"/>
    <w:rsid w:val="00C7237A"/>
    <w:rsid w:val="00C730C5"/>
    <w:rsid w:val="00C7319F"/>
    <w:rsid w:val="00C73651"/>
    <w:rsid w:val="00C73CB7"/>
    <w:rsid w:val="00C73FDC"/>
    <w:rsid w:val="00C74149"/>
    <w:rsid w:val="00C747CC"/>
    <w:rsid w:val="00C7485E"/>
    <w:rsid w:val="00C748C2"/>
    <w:rsid w:val="00C75617"/>
    <w:rsid w:val="00C75B91"/>
    <w:rsid w:val="00C75C7B"/>
    <w:rsid w:val="00C75FBF"/>
    <w:rsid w:val="00C76600"/>
    <w:rsid w:val="00C768F6"/>
    <w:rsid w:val="00C77239"/>
    <w:rsid w:val="00C7764E"/>
    <w:rsid w:val="00C77701"/>
    <w:rsid w:val="00C7781C"/>
    <w:rsid w:val="00C77C30"/>
    <w:rsid w:val="00C77E09"/>
    <w:rsid w:val="00C80082"/>
    <w:rsid w:val="00C8088B"/>
    <w:rsid w:val="00C8098C"/>
    <w:rsid w:val="00C80E14"/>
    <w:rsid w:val="00C82B43"/>
    <w:rsid w:val="00C82E56"/>
    <w:rsid w:val="00C82E80"/>
    <w:rsid w:val="00C8311C"/>
    <w:rsid w:val="00C831E3"/>
    <w:rsid w:val="00C83274"/>
    <w:rsid w:val="00C833B9"/>
    <w:rsid w:val="00C83961"/>
    <w:rsid w:val="00C83D8E"/>
    <w:rsid w:val="00C84269"/>
    <w:rsid w:val="00C843BD"/>
    <w:rsid w:val="00C84E39"/>
    <w:rsid w:val="00C85459"/>
    <w:rsid w:val="00C868FB"/>
    <w:rsid w:val="00C86F75"/>
    <w:rsid w:val="00C8750D"/>
    <w:rsid w:val="00C9010B"/>
    <w:rsid w:val="00C90690"/>
    <w:rsid w:val="00C906FF"/>
    <w:rsid w:val="00C911ED"/>
    <w:rsid w:val="00C91295"/>
    <w:rsid w:val="00C91382"/>
    <w:rsid w:val="00C9182F"/>
    <w:rsid w:val="00C919E5"/>
    <w:rsid w:val="00C91A47"/>
    <w:rsid w:val="00C9281F"/>
    <w:rsid w:val="00C9292C"/>
    <w:rsid w:val="00C92FF2"/>
    <w:rsid w:val="00C93963"/>
    <w:rsid w:val="00C93E56"/>
    <w:rsid w:val="00C9418C"/>
    <w:rsid w:val="00C94B97"/>
    <w:rsid w:val="00C94BE9"/>
    <w:rsid w:val="00C953C1"/>
    <w:rsid w:val="00C95487"/>
    <w:rsid w:val="00C95EF9"/>
    <w:rsid w:val="00C96617"/>
    <w:rsid w:val="00C97159"/>
    <w:rsid w:val="00C97579"/>
    <w:rsid w:val="00C9767C"/>
    <w:rsid w:val="00C97A9E"/>
    <w:rsid w:val="00CA09F9"/>
    <w:rsid w:val="00CA0FB9"/>
    <w:rsid w:val="00CA1679"/>
    <w:rsid w:val="00CA1D17"/>
    <w:rsid w:val="00CA349C"/>
    <w:rsid w:val="00CA3570"/>
    <w:rsid w:val="00CA385D"/>
    <w:rsid w:val="00CA38A6"/>
    <w:rsid w:val="00CA3E7C"/>
    <w:rsid w:val="00CA3FB2"/>
    <w:rsid w:val="00CA416E"/>
    <w:rsid w:val="00CA4801"/>
    <w:rsid w:val="00CA4B52"/>
    <w:rsid w:val="00CA536A"/>
    <w:rsid w:val="00CA622E"/>
    <w:rsid w:val="00CA6977"/>
    <w:rsid w:val="00CA6A58"/>
    <w:rsid w:val="00CA6D1C"/>
    <w:rsid w:val="00CA75C7"/>
    <w:rsid w:val="00CA7672"/>
    <w:rsid w:val="00CA77C9"/>
    <w:rsid w:val="00CA79AC"/>
    <w:rsid w:val="00CA7CA1"/>
    <w:rsid w:val="00CB0809"/>
    <w:rsid w:val="00CB0986"/>
    <w:rsid w:val="00CB1328"/>
    <w:rsid w:val="00CB2998"/>
    <w:rsid w:val="00CB2A6B"/>
    <w:rsid w:val="00CB2AD6"/>
    <w:rsid w:val="00CB2FF4"/>
    <w:rsid w:val="00CB3458"/>
    <w:rsid w:val="00CB3E1E"/>
    <w:rsid w:val="00CB4271"/>
    <w:rsid w:val="00CB43AB"/>
    <w:rsid w:val="00CB44F3"/>
    <w:rsid w:val="00CB48BF"/>
    <w:rsid w:val="00CB4B18"/>
    <w:rsid w:val="00CB4FAE"/>
    <w:rsid w:val="00CB510B"/>
    <w:rsid w:val="00CB5284"/>
    <w:rsid w:val="00CB6383"/>
    <w:rsid w:val="00CB6604"/>
    <w:rsid w:val="00CB6749"/>
    <w:rsid w:val="00CB6E45"/>
    <w:rsid w:val="00CB7342"/>
    <w:rsid w:val="00CC0089"/>
    <w:rsid w:val="00CC0AAE"/>
    <w:rsid w:val="00CC10AD"/>
    <w:rsid w:val="00CC1DFD"/>
    <w:rsid w:val="00CC251E"/>
    <w:rsid w:val="00CC2A6F"/>
    <w:rsid w:val="00CC2DA2"/>
    <w:rsid w:val="00CC3116"/>
    <w:rsid w:val="00CC3440"/>
    <w:rsid w:val="00CC350D"/>
    <w:rsid w:val="00CC44FB"/>
    <w:rsid w:val="00CC4A24"/>
    <w:rsid w:val="00CC5196"/>
    <w:rsid w:val="00CC5552"/>
    <w:rsid w:val="00CC57AE"/>
    <w:rsid w:val="00CC633C"/>
    <w:rsid w:val="00CC6525"/>
    <w:rsid w:val="00CC6C23"/>
    <w:rsid w:val="00CC6DF6"/>
    <w:rsid w:val="00CC7F29"/>
    <w:rsid w:val="00CD0E70"/>
    <w:rsid w:val="00CD10F8"/>
    <w:rsid w:val="00CD244B"/>
    <w:rsid w:val="00CD2B88"/>
    <w:rsid w:val="00CD3037"/>
    <w:rsid w:val="00CD337D"/>
    <w:rsid w:val="00CD3565"/>
    <w:rsid w:val="00CD3ABC"/>
    <w:rsid w:val="00CD3C31"/>
    <w:rsid w:val="00CD3EFF"/>
    <w:rsid w:val="00CD4A68"/>
    <w:rsid w:val="00CD4E2B"/>
    <w:rsid w:val="00CD50E4"/>
    <w:rsid w:val="00CD5F14"/>
    <w:rsid w:val="00CD6578"/>
    <w:rsid w:val="00CD696B"/>
    <w:rsid w:val="00CD6C83"/>
    <w:rsid w:val="00CD7870"/>
    <w:rsid w:val="00CD7BBF"/>
    <w:rsid w:val="00CE015A"/>
    <w:rsid w:val="00CE0683"/>
    <w:rsid w:val="00CE0A00"/>
    <w:rsid w:val="00CE0F00"/>
    <w:rsid w:val="00CE15B8"/>
    <w:rsid w:val="00CE194F"/>
    <w:rsid w:val="00CE1958"/>
    <w:rsid w:val="00CE1D7E"/>
    <w:rsid w:val="00CE22C1"/>
    <w:rsid w:val="00CE2E9C"/>
    <w:rsid w:val="00CE3C5A"/>
    <w:rsid w:val="00CE414F"/>
    <w:rsid w:val="00CE4227"/>
    <w:rsid w:val="00CE472C"/>
    <w:rsid w:val="00CE49BC"/>
    <w:rsid w:val="00CE6873"/>
    <w:rsid w:val="00CE76B7"/>
    <w:rsid w:val="00CE78DC"/>
    <w:rsid w:val="00CF02BD"/>
    <w:rsid w:val="00CF057A"/>
    <w:rsid w:val="00CF0690"/>
    <w:rsid w:val="00CF186E"/>
    <w:rsid w:val="00CF2A26"/>
    <w:rsid w:val="00CF2E86"/>
    <w:rsid w:val="00CF416C"/>
    <w:rsid w:val="00CF4F06"/>
    <w:rsid w:val="00CF4FE2"/>
    <w:rsid w:val="00CF54EA"/>
    <w:rsid w:val="00CF5DDC"/>
    <w:rsid w:val="00CF60C0"/>
    <w:rsid w:val="00CF67F7"/>
    <w:rsid w:val="00CF6B9B"/>
    <w:rsid w:val="00CF6F22"/>
    <w:rsid w:val="00CF7C4A"/>
    <w:rsid w:val="00CF7F05"/>
    <w:rsid w:val="00D003C3"/>
    <w:rsid w:val="00D0079C"/>
    <w:rsid w:val="00D00C31"/>
    <w:rsid w:val="00D01260"/>
    <w:rsid w:val="00D01FC0"/>
    <w:rsid w:val="00D0219E"/>
    <w:rsid w:val="00D02A59"/>
    <w:rsid w:val="00D032B8"/>
    <w:rsid w:val="00D0361A"/>
    <w:rsid w:val="00D03B98"/>
    <w:rsid w:val="00D0418A"/>
    <w:rsid w:val="00D041E9"/>
    <w:rsid w:val="00D045C6"/>
    <w:rsid w:val="00D057CA"/>
    <w:rsid w:val="00D05B94"/>
    <w:rsid w:val="00D068A1"/>
    <w:rsid w:val="00D06D0B"/>
    <w:rsid w:val="00D073D9"/>
    <w:rsid w:val="00D07BF7"/>
    <w:rsid w:val="00D10300"/>
    <w:rsid w:val="00D10C4A"/>
    <w:rsid w:val="00D10EE4"/>
    <w:rsid w:val="00D117AC"/>
    <w:rsid w:val="00D11835"/>
    <w:rsid w:val="00D11973"/>
    <w:rsid w:val="00D11DEB"/>
    <w:rsid w:val="00D11F6F"/>
    <w:rsid w:val="00D124EB"/>
    <w:rsid w:val="00D12E91"/>
    <w:rsid w:val="00D13B8E"/>
    <w:rsid w:val="00D13F40"/>
    <w:rsid w:val="00D14FCE"/>
    <w:rsid w:val="00D1566A"/>
    <w:rsid w:val="00D15789"/>
    <w:rsid w:val="00D15D2C"/>
    <w:rsid w:val="00D16045"/>
    <w:rsid w:val="00D1645C"/>
    <w:rsid w:val="00D17227"/>
    <w:rsid w:val="00D1742C"/>
    <w:rsid w:val="00D17B0B"/>
    <w:rsid w:val="00D20AB9"/>
    <w:rsid w:val="00D21061"/>
    <w:rsid w:val="00D21223"/>
    <w:rsid w:val="00D2184B"/>
    <w:rsid w:val="00D223B2"/>
    <w:rsid w:val="00D22FD0"/>
    <w:rsid w:val="00D23AB3"/>
    <w:rsid w:val="00D23B33"/>
    <w:rsid w:val="00D23C54"/>
    <w:rsid w:val="00D23D43"/>
    <w:rsid w:val="00D24124"/>
    <w:rsid w:val="00D2418A"/>
    <w:rsid w:val="00D241C1"/>
    <w:rsid w:val="00D24781"/>
    <w:rsid w:val="00D24A89"/>
    <w:rsid w:val="00D255D7"/>
    <w:rsid w:val="00D26061"/>
    <w:rsid w:val="00D269E3"/>
    <w:rsid w:val="00D27AA5"/>
    <w:rsid w:val="00D27B00"/>
    <w:rsid w:val="00D30173"/>
    <w:rsid w:val="00D31C03"/>
    <w:rsid w:val="00D32541"/>
    <w:rsid w:val="00D325C5"/>
    <w:rsid w:val="00D3271A"/>
    <w:rsid w:val="00D33116"/>
    <w:rsid w:val="00D333BB"/>
    <w:rsid w:val="00D34F6B"/>
    <w:rsid w:val="00D353A7"/>
    <w:rsid w:val="00D35A87"/>
    <w:rsid w:val="00D35B76"/>
    <w:rsid w:val="00D35CA3"/>
    <w:rsid w:val="00D367BD"/>
    <w:rsid w:val="00D403D1"/>
    <w:rsid w:val="00D40466"/>
    <w:rsid w:val="00D40741"/>
    <w:rsid w:val="00D41123"/>
    <w:rsid w:val="00D425BB"/>
    <w:rsid w:val="00D43113"/>
    <w:rsid w:val="00D4353E"/>
    <w:rsid w:val="00D43558"/>
    <w:rsid w:val="00D435FD"/>
    <w:rsid w:val="00D436C9"/>
    <w:rsid w:val="00D43A70"/>
    <w:rsid w:val="00D43BDD"/>
    <w:rsid w:val="00D43F5B"/>
    <w:rsid w:val="00D4481E"/>
    <w:rsid w:val="00D4489E"/>
    <w:rsid w:val="00D44DDC"/>
    <w:rsid w:val="00D450D6"/>
    <w:rsid w:val="00D451AC"/>
    <w:rsid w:val="00D4582E"/>
    <w:rsid w:val="00D45930"/>
    <w:rsid w:val="00D45AA7"/>
    <w:rsid w:val="00D464A1"/>
    <w:rsid w:val="00D46793"/>
    <w:rsid w:val="00D46872"/>
    <w:rsid w:val="00D468AA"/>
    <w:rsid w:val="00D46A57"/>
    <w:rsid w:val="00D4749A"/>
    <w:rsid w:val="00D476B9"/>
    <w:rsid w:val="00D50DFB"/>
    <w:rsid w:val="00D518B5"/>
    <w:rsid w:val="00D51CF3"/>
    <w:rsid w:val="00D51CFA"/>
    <w:rsid w:val="00D5327B"/>
    <w:rsid w:val="00D53604"/>
    <w:rsid w:val="00D53CE1"/>
    <w:rsid w:val="00D5491C"/>
    <w:rsid w:val="00D54FC5"/>
    <w:rsid w:val="00D558FE"/>
    <w:rsid w:val="00D55D80"/>
    <w:rsid w:val="00D564EA"/>
    <w:rsid w:val="00D56DCE"/>
    <w:rsid w:val="00D571CF"/>
    <w:rsid w:val="00D579DF"/>
    <w:rsid w:val="00D57AC3"/>
    <w:rsid w:val="00D57BA8"/>
    <w:rsid w:val="00D603A1"/>
    <w:rsid w:val="00D604C1"/>
    <w:rsid w:val="00D60AAF"/>
    <w:rsid w:val="00D611C6"/>
    <w:rsid w:val="00D61637"/>
    <w:rsid w:val="00D6174A"/>
    <w:rsid w:val="00D61E26"/>
    <w:rsid w:val="00D61FAB"/>
    <w:rsid w:val="00D6229C"/>
    <w:rsid w:val="00D63003"/>
    <w:rsid w:val="00D639AF"/>
    <w:rsid w:val="00D64BB9"/>
    <w:rsid w:val="00D64CF5"/>
    <w:rsid w:val="00D656C0"/>
    <w:rsid w:val="00D66088"/>
    <w:rsid w:val="00D71736"/>
    <w:rsid w:val="00D7182A"/>
    <w:rsid w:val="00D71A7B"/>
    <w:rsid w:val="00D7209F"/>
    <w:rsid w:val="00D747D8"/>
    <w:rsid w:val="00D74BEF"/>
    <w:rsid w:val="00D75605"/>
    <w:rsid w:val="00D758CB"/>
    <w:rsid w:val="00D7722E"/>
    <w:rsid w:val="00D774AD"/>
    <w:rsid w:val="00D8086C"/>
    <w:rsid w:val="00D808D8"/>
    <w:rsid w:val="00D80C97"/>
    <w:rsid w:val="00D80D02"/>
    <w:rsid w:val="00D81B58"/>
    <w:rsid w:val="00D82C8C"/>
    <w:rsid w:val="00D830A9"/>
    <w:rsid w:val="00D8412E"/>
    <w:rsid w:val="00D84C23"/>
    <w:rsid w:val="00D85678"/>
    <w:rsid w:val="00D85851"/>
    <w:rsid w:val="00D8593B"/>
    <w:rsid w:val="00D874BF"/>
    <w:rsid w:val="00D90023"/>
    <w:rsid w:val="00D9009F"/>
    <w:rsid w:val="00D903E3"/>
    <w:rsid w:val="00D90FDB"/>
    <w:rsid w:val="00D911E0"/>
    <w:rsid w:val="00D9149B"/>
    <w:rsid w:val="00D91670"/>
    <w:rsid w:val="00D91EBE"/>
    <w:rsid w:val="00D91F61"/>
    <w:rsid w:val="00D9331B"/>
    <w:rsid w:val="00D93A47"/>
    <w:rsid w:val="00D940AC"/>
    <w:rsid w:val="00D94103"/>
    <w:rsid w:val="00D96D9A"/>
    <w:rsid w:val="00D970AC"/>
    <w:rsid w:val="00DA04A5"/>
    <w:rsid w:val="00DA04D7"/>
    <w:rsid w:val="00DA1136"/>
    <w:rsid w:val="00DA1314"/>
    <w:rsid w:val="00DA1694"/>
    <w:rsid w:val="00DA244E"/>
    <w:rsid w:val="00DA2CBE"/>
    <w:rsid w:val="00DA2E5B"/>
    <w:rsid w:val="00DA36E4"/>
    <w:rsid w:val="00DA3A60"/>
    <w:rsid w:val="00DA3B85"/>
    <w:rsid w:val="00DA403B"/>
    <w:rsid w:val="00DA6217"/>
    <w:rsid w:val="00DA6C46"/>
    <w:rsid w:val="00DA6C80"/>
    <w:rsid w:val="00DB029F"/>
    <w:rsid w:val="00DB0501"/>
    <w:rsid w:val="00DB2114"/>
    <w:rsid w:val="00DB2B72"/>
    <w:rsid w:val="00DB2FB8"/>
    <w:rsid w:val="00DB37C0"/>
    <w:rsid w:val="00DB3DE6"/>
    <w:rsid w:val="00DB4704"/>
    <w:rsid w:val="00DB4AAF"/>
    <w:rsid w:val="00DB4BFE"/>
    <w:rsid w:val="00DB4C3E"/>
    <w:rsid w:val="00DB4FDC"/>
    <w:rsid w:val="00DB5321"/>
    <w:rsid w:val="00DB58BB"/>
    <w:rsid w:val="00DB5983"/>
    <w:rsid w:val="00DB74F2"/>
    <w:rsid w:val="00DC11EC"/>
    <w:rsid w:val="00DC169F"/>
    <w:rsid w:val="00DC16AE"/>
    <w:rsid w:val="00DC1B7F"/>
    <w:rsid w:val="00DC3406"/>
    <w:rsid w:val="00DC416F"/>
    <w:rsid w:val="00DC48CC"/>
    <w:rsid w:val="00DC4EB1"/>
    <w:rsid w:val="00DC557B"/>
    <w:rsid w:val="00DC5937"/>
    <w:rsid w:val="00DC5A35"/>
    <w:rsid w:val="00DC5B4F"/>
    <w:rsid w:val="00DC6084"/>
    <w:rsid w:val="00DC662C"/>
    <w:rsid w:val="00DC7135"/>
    <w:rsid w:val="00DC7ADF"/>
    <w:rsid w:val="00DC7B9C"/>
    <w:rsid w:val="00DD185F"/>
    <w:rsid w:val="00DD18BE"/>
    <w:rsid w:val="00DD1A63"/>
    <w:rsid w:val="00DD1D95"/>
    <w:rsid w:val="00DD23E4"/>
    <w:rsid w:val="00DD2605"/>
    <w:rsid w:val="00DD2649"/>
    <w:rsid w:val="00DD28FA"/>
    <w:rsid w:val="00DD2B8D"/>
    <w:rsid w:val="00DD33A2"/>
    <w:rsid w:val="00DD3EC8"/>
    <w:rsid w:val="00DD4366"/>
    <w:rsid w:val="00DD5EB8"/>
    <w:rsid w:val="00DD5F29"/>
    <w:rsid w:val="00DD65C7"/>
    <w:rsid w:val="00DD6B33"/>
    <w:rsid w:val="00DD6FAF"/>
    <w:rsid w:val="00DD7A35"/>
    <w:rsid w:val="00DD7AAE"/>
    <w:rsid w:val="00DE01C9"/>
    <w:rsid w:val="00DE1578"/>
    <w:rsid w:val="00DE1940"/>
    <w:rsid w:val="00DE19AC"/>
    <w:rsid w:val="00DE1E6A"/>
    <w:rsid w:val="00DE2203"/>
    <w:rsid w:val="00DE282A"/>
    <w:rsid w:val="00DE2A35"/>
    <w:rsid w:val="00DE3091"/>
    <w:rsid w:val="00DE3B1F"/>
    <w:rsid w:val="00DE3F96"/>
    <w:rsid w:val="00DE4226"/>
    <w:rsid w:val="00DE4333"/>
    <w:rsid w:val="00DE4547"/>
    <w:rsid w:val="00DE4590"/>
    <w:rsid w:val="00DE5E0C"/>
    <w:rsid w:val="00DE5EBD"/>
    <w:rsid w:val="00DE633C"/>
    <w:rsid w:val="00DE66CE"/>
    <w:rsid w:val="00DE6A88"/>
    <w:rsid w:val="00DE6EA7"/>
    <w:rsid w:val="00DE77D7"/>
    <w:rsid w:val="00DE7DF1"/>
    <w:rsid w:val="00DF0104"/>
    <w:rsid w:val="00DF05C4"/>
    <w:rsid w:val="00DF0AF0"/>
    <w:rsid w:val="00DF162C"/>
    <w:rsid w:val="00DF1712"/>
    <w:rsid w:val="00DF1A3B"/>
    <w:rsid w:val="00DF30D3"/>
    <w:rsid w:val="00DF31DC"/>
    <w:rsid w:val="00DF34A9"/>
    <w:rsid w:val="00DF3548"/>
    <w:rsid w:val="00DF378C"/>
    <w:rsid w:val="00DF43F9"/>
    <w:rsid w:val="00DF4B86"/>
    <w:rsid w:val="00DF4BBF"/>
    <w:rsid w:val="00DF5053"/>
    <w:rsid w:val="00DF5196"/>
    <w:rsid w:val="00DF53FE"/>
    <w:rsid w:val="00DF54DE"/>
    <w:rsid w:val="00DF55D5"/>
    <w:rsid w:val="00DF58E0"/>
    <w:rsid w:val="00DF5A17"/>
    <w:rsid w:val="00DF5DBC"/>
    <w:rsid w:val="00DF66F5"/>
    <w:rsid w:val="00DF6D00"/>
    <w:rsid w:val="00DF6F6E"/>
    <w:rsid w:val="00DF70A4"/>
    <w:rsid w:val="00DF75C2"/>
    <w:rsid w:val="00E00DED"/>
    <w:rsid w:val="00E01880"/>
    <w:rsid w:val="00E01AF3"/>
    <w:rsid w:val="00E01F4E"/>
    <w:rsid w:val="00E01FB0"/>
    <w:rsid w:val="00E02EF9"/>
    <w:rsid w:val="00E034E7"/>
    <w:rsid w:val="00E045BA"/>
    <w:rsid w:val="00E04969"/>
    <w:rsid w:val="00E0511E"/>
    <w:rsid w:val="00E0544A"/>
    <w:rsid w:val="00E05BCE"/>
    <w:rsid w:val="00E0613F"/>
    <w:rsid w:val="00E0643A"/>
    <w:rsid w:val="00E06508"/>
    <w:rsid w:val="00E06541"/>
    <w:rsid w:val="00E065FB"/>
    <w:rsid w:val="00E06BDE"/>
    <w:rsid w:val="00E06F80"/>
    <w:rsid w:val="00E07A36"/>
    <w:rsid w:val="00E1151C"/>
    <w:rsid w:val="00E11AC4"/>
    <w:rsid w:val="00E12C77"/>
    <w:rsid w:val="00E13382"/>
    <w:rsid w:val="00E135F1"/>
    <w:rsid w:val="00E13646"/>
    <w:rsid w:val="00E145CB"/>
    <w:rsid w:val="00E14F14"/>
    <w:rsid w:val="00E150DD"/>
    <w:rsid w:val="00E15372"/>
    <w:rsid w:val="00E15422"/>
    <w:rsid w:val="00E155FC"/>
    <w:rsid w:val="00E156AD"/>
    <w:rsid w:val="00E1697D"/>
    <w:rsid w:val="00E17520"/>
    <w:rsid w:val="00E200AE"/>
    <w:rsid w:val="00E20859"/>
    <w:rsid w:val="00E20BA4"/>
    <w:rsid w:val="00E20CCB"/>
    <w:rsid w:val="00E21374"/>
    <w:rsid w:val="00E215F3"/>
    <w:rsid w:val="00E21E04"/>
    <w:rsid w:val="00E22667"/>
    <w:rsid w:val="00E229FD"/>
    <w:rsid w:val="00E23071"/>
    <w:rsid w:val="00E23391"/>
    <w:rsid w:val="00E24730"/>
    <w:rsid w:val="00E247FD"/>
    <w:rsid w:val="00E2540D"/>
    <w:rsid w:val="00E263B9"/>
    <w:rsid w:val="00E26498"/>
    <w:rsid w:val="00E26CC6"/>
    <w:rsid w:val="00E26F78"/>
    <w:rsid w:val="00E27214"/>
    <w:rsid w:val="00E27ADC"/>
    <w:rsid w:val="00E307D7"/>
    <w:rsid w:val="00E30A43"/>
    <w:rsid w:val="00E30DB5"/>
    <w:rsid w:val="00E3120F"/>
    <w:rsid w:val="00E325CD"/>
    <w:rsid w:val="00E32C43"/>
    <w:rsid w:val="00E32CCE"/>
    <w:rsid w:val="00E332C1"/>
    <w:rsid w:val="00E333B4"/>
    <w:rsid w:val="00E33F0B"/>
    <w:rsid w:val="00E34770"/>
    <w:rsid w:val="00E35360"/>
    <w:rsid w:val="00E36DE5"/>
    <w:rsid w:val="00E372C2"/>
    <w:rsid w:val="00E3732C"/>
    <w:rsid w:val="00E377F8"/>
    <w:rsid w:val="00E37A06"/>
    <w:rsid w:val="00E37BFF"/>
    <w:rsid w:val="00E40109"/>
    <w:rsid w:val="00E4055E"/>
    <w:rsid w:val="00E4066D"/>
    <w:rsid w:val="00E4130A"/>
    <w:rsid w:val="00E416D8"/>
    <w:rsid w:val="00E41996"/>
    <w:rsid w:val="00E42018"/>
    <w:rsid w:val="00E42195"/>
    <w:rsid w:val="00E4242F"/>
    <w:rsid w:val="00E426B0"/>
    <w:rsid w:val="00E43C4E"/>
    <w:rsid w:val="00E43CD9"/>
    <w:rsid w:val="00E43D34"/>
    <w:rsid w:val="00E441A3"/>
    <w:rsid w:val="00E44A5E"/>
    <w:rsid w:val="00E4504A"/>
    <w:rsid w:val="00E452E6"/>
    <w:rsid w:val="00E45BA6"/>
    <w:rsid w:val="00E468D6"/>
    <w:rsid w:val="00E473CE"/>
    <w:rsid w:val="00E47A02"/>
    <w:rsid w:val="00E50192"/>
    <w:rsid w:val="00E502F8"/>
    <w:rsid w:val="00E50DF8"/>
    <w:rsid w:val="00E50F6E"/>
    <w:rsid w:val="00E51103"/>
    <w:rsid w:val="00E51134"/>
    <w:rsid w:val="00E515D6"/>
    <w:rsid w:val="00E51DA3"/>
    <w:rsid w:val="00E51EDF"/>
    <w:rsid w:val="00E52AF9"/>
    <w:rsid w:val="00E52C03"/>
    <w:rsid w:val="00E53437"/>
    <w:rsid w:val="00E5374C"/>
    <w:rsid w:val="00E53774"/>
    <w:rsid w:val="00E53796"/>
    <w:rsid w:val="00E53B1F"/>
    <w:rsid w:val="00E54287"/>
    <w:rsid w:val="00E54EB5"/>
    <w:rsid w:val="00E552EA"/>
    <w:rsid w:val="00E55B39"/>
    <w:rsid w:val="00E5613B"/>
    <w:rsid w:val="00E56977"/>
    <w:rsid w:val="00E571ED"/>
    <w:rsid w:val="00E57605"/>
    <w:rsid w:val="00E57D9E"/>
    <w:rsid w:val="00E57FB1"/>
    <w:rsid w:val="00E60A89"/>
    <w:rsid w:val="00E60D43"/>
    <w:rsid w:val="00E62953"/>
    <w:rsid w:val="00E631AE"/>
    <w:rsid w:val="00E63D75"/>
    <w:rsid w:val="00E640DD"/>
    <w:rsid w:val="00E64253"/>
    <w:rsid w:val="00E64906"/>
    <w:rsid w:val="00E64C0C"/>
    <w:rsid w:val="00E6508C"/>
    <w:rsid w:val="00E65875"/>
    <w:rsid w:val="00E659DD"/>
    <w:rsid w:val="00E6674A"/>
    <w:rsid w:val="00E66A63"/>
    <w:rsid w:val="00E6709D"/>
    <w:rsid w:val="00E670E8"/>
    <w:rsid w:val="00E67103"/>
    <w:rsid w:val="00E6738D"/>
    <w:rsid w:val="00E673B6"/>
    <w:rsid w:val="00E673DE"/>
    <w:rsid w:val="00E70379"/>
    <w:rsid w:val="00E70398"/>
    <w:rsid w:val="00E7093E"/>
    <w:rsid w:val="00E70D4C"/>
    <w:rsid w:val="00E71E99"/>
    <w:rsid w:val="00E727E8"/>
    <w:rsid w:val="00E72833"/>
    <w:rsid w:val="00E72A79"/>
    <w:rsid w:val="00E72BB0"/>
    <w:rsid w:val="00E740D7"/>
    <w:rsid w:val="00E74B1E"/>
    <w:rsid w:val="00E7528A"/>
    <w:rsid w:val="00E75DB4"/>
    <w:rsid w:val="00E75E2C"/>
    <w:rsid w:val="00E76137"/>
    <w:rsid w:val="00E7701C"/>
    <w:rsid w:val="00E77C3D"/>
    <w:rsid w:val="00E80998"/>
    <w:rsid w:val="00E831D7"/>
    <w:rsid w:val="00E83B5E"/>
    <w:rsid w:val="00E83CE4"/>
    <w:rsid w:val="00E8418D"/>
    <w:rsid w:val="00E848A1"/>
    <w:rsid w:val="00E84BE5"/>
    <w:rsid w:val="00E84CFA"/>
    <w:rsid w:val="00E84DCB"/>
    <w:rsid w:val="00E84F5D"/>
    <w:rsid w:val="00E8506A"/>
    <w:rsid w:val="00E863C8"/>
    <w:rsid w:val="00E86987"/>
    <w:rsid w:val="00E87258"/>
    <w:rsid w:val="00E91CF8"/>
    <w:rsid w:val="00E92124"/>
    <w:rsid w:val="00E92635"/>
    <w:rsid w:val="00E929B7"/>
    <w:rsid w:val="00E92BD5"/>
    <w:rsid w:val="00E933E8"/>
    <w:rsid w:val="00E93CBA"/>
    <w:rsid w:val="00E9458C"/>
    <w:rsid w:val="00E94AE6"/>
    <w:rsid w:val="00E95344"/>
    <w:rsid w:val="00E96B94"/>
    <w:rsid w:val="00E96C17"/>
    <w:rsid w:val="00E96F6A"/>
    <w:rsid w:val="00E97FCF"/>
    <w:rsid w:val="00EA000E"/>
    <w:rsid w:val="00EA02DB"/>
    <w:rsid w:val="00EA05A4"/>
    <w:rsid w:val="00EA05C8"/>
    <w:rsid w:val="00EA05C9"/>
    <w:rsid w:val="00EA0CAF"/>
    <w:rsid w:val="00EA19A1"/>
    <w:rsid w:val="00EA1F64"/>
    <w:rsid w:val="00EA2136"/>
    <w:rsid w:val="00EA26E7"/>
    <w:rsid w:val="00EA33FB"/>
    <w:rsid w:val="00EA36B5"/>
    <w:rsid w:val="00EA3C10"/>
    <w:rsid w:val="00EA4398"/>
    <w:rsid w:val="00EA536B"/>
    <w:rsid w:val="00EA57AC"/>
    <w:rsid w:val="00EA5EC0"/>
    <w:rsid w:val="00EA62C5"/>
    <w:rsid w:val="00EA64AE"/>
    <w:rsid w:val="00EA661C"/>
    <w:rsid w:val="00EA6895"/>
    <w:rsid w:val="00EA6F85"/>
    <w:rsid w:val="00EA7B15"/>
    <w:rsid w:val="00EB0134"/>
    <w:rsid w:val="00EB19EE"/>
    <w:rsid w:val="00EB1A27"/>
    <w:rsid w:val="00EB285D"/>
    <w:rsid w:val="00EB28D8"/>
    <w:rsid w:val="00EB2B1B"/>
    <w:rsid w:val="00EB2B7D"/>
    <w:rsid w:val="00EB36F0"/>
    <w:rsid w:val="00EB4713"/>
    <w:rsid w:val="00EB4F77"/>
    <w:rsid w:val="00EB50E1"/>
    <w:rsid w:val="00EB52CF"/>
    <w:rsid w:val="00EB53D7"/>
    <w:rsid w:val="00EB5CCF"/>
    <w:rsid w:val="00EB6027"/>
    <w:rsid w:val="00EB6208"/>
    <w:rsid w:val="00EB655C"/>
    <w:rsid w:val="00EB671F"/>
    <w:rsid w:val="00EB679F"/>
    <w:rsid w:val="00EB733B"/>
    <w:rsid w:val="00EC0735"/>
    <w:rsid w:val="00EC0B69"/>
    <w:rsid w:val="00EC123F"/>
    <w:rsid w:val="00EC1A29"/>
    <w:rsid w:val="00EC2013"/>
    <w:rsid w:val="00EC2144"/>
    <w:rsid w:val="00EC227D"/>
    <w:rsid w:val="00EC28D2"/>
    <w:rsid w:val="00EC2EFB"/>
    <w:rsid w:val="00EC37B6"/>
    <w:rsid w:val="00EC3D12"/>
    <w:rsid w:val="00EC3FDC"/>
    <w:rsid w:val="00EC4B35"/>
    <w:rsid w:val="00EC52B6"/>
    <w:rsid w:val="00EC5627"/>
    <w:rsid w:val="00EC5AE1"/>
    <w:rsid w:val="00EC61E3"/>
    <w:rsid w:val="00EC63E4"/>
    <w:rsid w:val="00EC64FB"/>
    <w:rsid w:val="00EC6C5E"/>
    <w:rsid w:val="00EC6D70"/>
    <w:rsid w:val="00EC71A4"/>
    <w:rsid w:val="00EC7457"/>
    <w:rsid w:val="00EC7CA3"/>
    <w:rsid w:val="00ED0A02"/>
    <w:rsid w:val="00ED11DE"/>
    <w:rsid w:val="00ED14C1"/>
    <w:rsid w:val="00ED1683"/>
    <w:rsid w:val="00ED229D"/>
    <w:rsid w:val="00ED2BBE"/>
    <w:rsid w:val="00ED2E6F"/>
    <w:rsid w:val="00ED42BA"/>
    <w:rsid w:val="00ED5006"/>
    <w:rsid w:val="00ED5178"/>
    <w:rsid w:val="00ED58A0"/>
    <w:rsid w:val="00EE07A1"/>
    <w:rsid w:val="00EE0C61"/>
    <w:rsid w:val="00EE2081"/>
    <w:rsid w:val="00EE2563"/>
    <w:rsid w:val="00EE31FB"/>
    <w:rsid w:val="00EE3891"/>
    <w:rsid w:val="00EE38FC"/>
    <w:rsid w:val="00EE3AB0"/>
    <w:rsid w:val="00EE3DC9"/>
    <w:rsid w:val="00EE57C6"/>
    <w:rsid w:val="00EE5DAC"/>
    <w:rsid w:val="00EE6EE2"/>
    <w:rsid w:val="00EE72DB"/>
    <w:rsid w:val="00EE7419"/>
    <w:rsid w:val="00EE792F"/>
    <w:rsid w:val="00EE793E"/>
    <w:rsid w:val="00EF0105"/>
    <w:rsid w:val="00EF070A"/>
    <w:rsid w:val="00EF0A46"/>
    <w:rsid w:val="00EF0F4E"/>
    <w:rsid w:val="00EF1100"/>
    <w:rsid w:val="00EF135E"/>
    <w:rsid w:val="00EF1815"/>
    <w:rsid w:val="00EF2191"/>
    <w:rsid w:val="00EF2E91"/>
    <w:rsid w:val="00EF4F31"/>
    <w:rsid w:val="00EF53CA"/>
    <w:rsid w:val="00EF54FA"/>
    <w:rsid w:val="00EF5503"/>
    <w:rsid w:val="00EF6736"/>
    <w:rsid w:val="00EF6A85"/>
    <w:rsid w:val="00EF745B"/>
    <w:rsid w:val="00EF757E"/>
    <w:rsid w:val="00EF7765"/>
    <w:rsid w:val="00F0002B"/>
    <w:rsid w:val="00F008A0"/>
    <w:rsid w:val="00F00DF8"/>
    <w:rsid w:val="00F00F63"/>
    <w:rsid w:val="00F01A2D"/>
    <w:rsid w:val="00F022EF"/>
    <w:rsid w:val="00F026FC"/>
    <w:rsid w:val="00F030E8"/>
    <w:rsid w:val="00F036DD"/>
    <w:rsid w:val="00F0407A"/>
    <w:rsid w:val="00F04529"/>
    <w:rsid w:val="00F048AC"/>
    <w:rsid w:val="00F04A2B"/>
    <w:rsid w:val="00F053E5"/>
    <w:rsid w:val="00F06081"/>
    <w:rsid w:val="00F062AB"/>
    <w:rsid w:val="00F06CE5"/>
    <w:rsid w:val="00F06DFD"/>
    <w:rsid w:val="00F0728B"/>
    <w:rsid w:val="00F07DEF"/>
    <w:rsid w:val="00F101BA"/>
    <w:rsid w:val="00F10AF3"/>
    <w:rsid w:val="00F110AF"/>
    <w:rsid w:val="00F110F4"/>
    <w:rsid w:val="00F115DB"/>
    <w:rsid w:val="00F11958"/>
    <w:rsid w:val="00F11AFB"/>
    <w:rsid w:val="00F125FA"/>
    <w:rsid w:val="00F1286A"/>
    <w:rsid w:val="00F1326B"/>
    <w:rsid w:val="00F14070"/>
    <w:rsid w:val="00F144EA"/>
    <w:rsid w:val="00F1481B"/>
    <w:rsid w:val="00F16461"/>
    <w:rsid w:val="00F16E54"/>
    <w:rsid w:val="00F16E96"/>
    <w:rsid w:val="00F16FA7"/>
    <w:rsid w:val="00F17098"/>
    <w:rsid w:val="00F1771B"/>
    <w:rsid w:val="00F179A5"/>
    <w:rsid w:val="00F17B83"/>
    <w:rsid w:val="00F20B0F"/>
    <w:rsid w:val="00F20DEA"/>
    <w:rsid w:val="00F212FB"/>
    <w:rsid w:val="00F21858"/>
    <w:rsid w:val="00F21B24"/>
    <w:rsid w:val="00F21BA4"/>
    <w:rsid w:val="00F21F35"/>
    <w:rsid w:val="00F225AD"/>
    <w:rsid w:val="00F23392"/>
    <w:rsid w:val="00F23E9E"/>
    <w:rsid w:val="00F24462"/>
    <w:rsid w:val="00F255A2"/>
    <w:rsid w:val="00F25B6D"/>
    <w:rsid w:val="00F26224"/>
    <w:rsid w:val="00F27823"/>
    <w:rsid w:val="00F27F12"/>
    <w:rsid w:val="00F30D8A"/>
    <w:rsid w:val="00F30E02"/>
    <w:rsid w:val="00F30F25"/>
    <w:rsid w:val="00F30FAD"/>
    <w:rsid w:val="00F31705"/>
    <w:rsid w:val="00F3247E"/>
    <w:rsid w:val="00F32DD9"/>
    <w:rsid w:val="00F331E2"/>
    <w:rsid w:val="00F331FA"/>
    <w:rsid w:val="00F33439"/>
    <w:rsid w:val="00F33464"/>
    <w:rsid w:val="00F33DAF"/>
    <w:rsid w:val="00F345ED"/>
    <w:rsid w:val="00F34608"/>
    <w:rsid w:val="00F34609"/>
    <w:rsid w:val="00F3471A"/>
    <w:rsid w:val="00F35BD4"/>
    <w:rsid w:val="00F366C6"/>
    <w:rsid w:val="00F36AF0"/>
    <w:rsid w:val="00F36E71"/>
    <w:rsid w:val="00F37298"/>
    <w:rsid w:val="00F37A97"/>
    <w:rsid w:val="00F403AD"/>
    <w:rsid w:val="00F40478"/>
    <w:rsid w:val="00F40905"/>
    <w:rsid w:val="00F411C5"/>
    <w:rsid w:val="00F422DD"/>
    <w:rsid w:val="00F42CB3"/>
    <w:rsid w:val="00F44233"/>
    <w:rsid w:val="00F44549"/>
    <w:rsid w:val="00F44B02"/>
    <w:rsid w:val="00F456CD"/>
    <w:rsid w:val="00F460AF"/>
    <w:rsid w:val="00F468E7"/>
    <w:rsid w:val="00F46B1B"/>
    <w:rsid w:val="00F47079"/>
    <w:rsid w:val="00F473E5"/>
    <w:rsid w:val="00F47A43"/>
    <w:rsid w:val="00F47BF7"/>
    <w:rsid w:val="00F50559"/>
    <w:rsid w:val="00F50C1C"/>
    <w:rsid w:val="00F50C48"/>
    <w:rsid w:val="00F50DBD"/>
    <w:rsid w:val="00F51C61"/>
    <w:rsid w:val="00F52E58"/>
    <w:rsid w:val="00F52FAE"/>
    <w:rsid w:val="00F5377B"/>
    <w:rsid w:val="00F53EBB"/>
    <w:rsid w:val="00F54710"/>
    <w:rsid w:val="00F55CD2"/>
    <w:rsid w:val="00F5638F"/>
    <w:rsid w:val="00F566B2"/>
    <w:rsid w:val="00F56777"/>
    <w:rsid w:val="00F56A62"/>
    <w:rsid w:val="00F5712F"/>
    <w:rsid w:val="00F57896"/>
    <w:rsid w:val="00F57B9A"/>
    <w:rsid w:val="00F57BBE"/>
    <w:rsid w:val="00F60DB3"/>
    <w:rsid w:val="00F61EF7"/>
    <w:rsid w:val="00F62C3C"/>
    <w:rsid w:val="00F6304E"/>
    <w:rsid w:val="00F63129"/>
    <w:rsid w:val="00F6340D"/>
    <w:rsid w:val="00F63595"/>
    <w:rsid w:val="00F63629"/>
    <w:rsid w:val="00F63B63"/>
    <w:rsid w:val="00F6500A"/>
    <w:rsid w:val="00F652FC"/>
    <w:rsid w:val="00F65382"/>
    <w:rsid w:val="00F658CC"/>
    <w:rsid w:val="00F65B2E"/>
    <w:rsid w:val="00F6702A"/>
    <w:rsid w:val="00F6715C"/>
    <w:rsid w:val="00F67792"/>
    <w:rsid w:val="00F6797D"/>
    <w:rsid w:val="00F700A8"/>
    <w:rsid w:val="00F7026A"/>
    <w:rsid w:val="00F703AA"/>
    <w:rsid w:val="00F712B9"/>
    <w:rsid w:val="00F71333"/>
    <w:rsid w:val="00F72169"/>
    <w:rsid w:val="00F72934"/>
    <w:rsid w:val="00F7373F"/>
    <w:rsid w:val="00F74395"/>
    <w:rsid w:val="00F74977"/>
    <w:rsid w:val="00F74D11"/>
    <w:rsid w:val="00F74D6D"/>
    <w:rsid w:val="00F759ED"/>
    <w:rsid w:val="00F7736F"/>
    <w:rsid w:val="00F77E93"/>
    <w:rsid w:val="00F8033D"/>
    <w:rsid w:val="00F80675"/>
    <w:rsid w:val="00F80930"/>
    <w:rsid w:val="00F80E2E"/>
    <w:rsid w:val="00F812DA"/>
    <w:rsid w:val="00F81522"/>
    <w:rsid w:val="00F8186E"/>
    <w:rsid w:val="00F81FFA"/>
    <w:rsid w:val="00F830CE"/>
    <w:rsid w:val="00F83A67"/>
    <w:rsid w:val="00F83B13"/>
    <w:rsid w:val="00F83FBC"/>
    <w:rsid w:val="00F842C5"/>
    <w:rsid w:val="00F844A8"/>
    <w:rsid w:val="00F84EB5"/>
    <w:rsid w:val="00F853E4"/>
    <w:rsid w:val="00F870AF"/>
    <w:rsid w:val="00F8717A"/>
    <w:rsid w:val="00F87B24"/>
    <w:rsid w:val="00F87BD3"/>
    <w:rsid w:val="00F87DD3"/>
    <w:rsid w:val="00F907DB"/>
    <w:rsid w:val="00F91041"/>
    <w:rsid w:val="00F9123A"/>
    <w:rsid w:val="00F91E18"/>
    <w:rsid w:val="00F934CA"/>
    <w:rsid w:val="00F935E8"/>
    <w:rsid w:val="00F93B78"/>
    <w:rsid w:val="00F93C08"/>
    <w:rsid w:val="00F93E4F"/>
    <w:rsid w:val="00F94010"/>
    <w:rsid w:val="00F94BCE"/>
    <w:rsid w:val="00F9792A"/>
    <w:rsid w:val="00F97CEC"/>
    <w:rsid w:val="00FA0189"/>
    <w:rsid w:val="00FA0688"/>
    <w:rsid w:val="00FA085E"/>
    <w:rsid w:val="00FA0D4A"/>
    <w:rsid w:val="00FA1520"/>
    <w:rsid w:val="00FA183B"/>
    <w:rsid w:val="00FA196D"/>
    <w:rsid w:val="00FA34A4"/>
    <w:rsid w:val="00FA3984"/>
    <w:rsid w:val="00FA3A02"/>
    <w:rsid w:val="00FA3C87"/>
    <w:rsid w:val="00FA3EB0"/>
    <w:rsid w:val="00FA494B"/>
    <w:rsid w:val="00FA5DA6"/>
    <w:rsid w:val="00FA654F"/>
    <w:rsid w:val="00FA680B"/>
    <w:rsid w:val="00FA6D1F"/>
    <w:rsid w:val="00FA6F16"/>
    <w:rsid w:val="00FA7662"/>
    <w:rsid w:val="00FA76FB"/>
    <w:rsid w:val="00FA79A1"/>
    <w:rsid w:val="00FA7D39"/>
    <w:rsid w:val="00FB06DE"/>
    <w:rsid w:val="00FB0D0C"/>
    <w:rsid w:val="00FB0E69"/>
    <w:rsid w:val="00FB1D18"/>
    <w:rsid w:val="00FB27AF"/>
    <w:rsid w:val="00FB288F"/>
    <w:rsid w:val="00FB402A"/>
    <w:rsid w:val="00FB5106"/>
    <w:rsid w:val="00FB51CC"/>
    <w:rsid w:val="00FB61E5"/>
    <w:rsid w:val="00FB6907"/>
    <w:rsid w:val="00FB6E2E"/>
    <w:rsid w:val="00FC0668"/>
    <w:rsid w:val="00FC1079"/>
    <w:rsid w:val="00FC1EFB"/>
    <w:rsid w:val="00FC1FD9"/>
    <w:rsid w:val="00FC24AB"/>
    <w:rsid w:val="00FC2EEC"/>
    <w:rsid w:val="00FC3466"/>
    <w:rsid w:val="00FC41F7"/>
    <w:rsid w:val="00FC42A3"/>
    <w:rsid w:val="00FC4637"/>
    <w:rsid w:val="00FC4921"/>
    <w:rsid w:val="00FC4ABC"/>
    <w:rsid w:val="00FC5E2E"/>
    <w:rsid w:val="00FC67F9"/>
    <w:rsid w:val="00FC6BF0"/>
    <w:rsid w:val="00FC76F8"/>
    <w:rsid w:val="00FD0215"/>
    <w:rsid w:val="00FD02A8"/>
    <w:rsid w:val="00FD0644"/>
    <w:rsid w:val="00FD0CFB"/>
    <w:rsid w:val="00FD0F1A"/>
    <w:rsid w:val="00FD0F50"/>
    <w:rsid w:val="00FD11B9"/>
    <w:rsid w:val="00FD1476"/>
    <w:rsid w:val="00FD1511"/>
    <w:rsid w:val="00FD1B37"/>
    <w:rsid w:val="00FD1B60"/>
    <w:rsid w:val="00FD1C86"/>
    <w:rsid w:val="00FD34CF"/>
    <w:rsid w:val="00FD411C"/>
    <w:rsid w:val="00FD4B38"/>
    <w:rsid w:val="00FD66B1"/>
    <w:rsid w:val="00FD70E0"/>
    <w:rsid w:val="00FE0837"/>
    <w:rsid w:val="00FE0A6A"/>
    <w:rsid w:val="00FE34F5"/>
    <w:rsid w:val="00FE4442"/>
    <w:rsid w:val="00FE4605"/>
    <w:rsid w:val="00FE4AFA"/>
    <w:rsid w:val="00FE4F39"/>
    <w:rsid w:val="00FE56EB"/>
    <w:rsid w:val="00FE63E8"/>
    <w:rsid w:val="00FE650F"/>
    <w:rsid w:val="00FF0143"/>
    <w:rsid w:val="00FF15DD"/>
    <w:rsid w:val="00FF1C6A"/>
    <w:rsid w:val="00FF21D4"/>
    <w:rsid w:val="00FF21E8"/>
    <w:rsid w:val="00FF27F3"/>
    <w:rsid w:val="00FF32FB"/>
    <w:rsid w:val="00FF4E4F"/>
    <w:rsid w:val="00FF595B"/>
    <w:rsid w:val="00FF5BEE"/>
    <w:rsid w:val="00FF63D5"/>
    <w:rsid w:val="00FF6F88"/>
    <w:rsid w:val="00FF73AA"/>
    <w:rsid w:val="00FF7436"/>
    <w:rsid w:val="00FF75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3C3"/>
    <w:rPr>
      <w:sz w:val="24"/>
      <w:szCs w:val="24"/>
    </w:rPr>
  </w:style>
  <w:style w:type="paragraph" w:styleId="Heading1">
    <w:name w:val="heading 1"/>
    <w:basedOn w:val="Normal"/>
    <w:next w:val="Normal"/>
    <w:qFormat/>
    <w:rsid w:val="00C56BA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68AA"/>
    <w:pPr>
      <w:keepNext/>
      <w:widowControl w:val="0"/>
      <w:tabs>
        <w:tab w:val="center" w:pos="4680"/>
      </w:tabs>
      <w:jc w:val="center"/>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68AA"/>
    <w:pPr>
      <w:tabs>
        <w:tab w:val="center" w:pos="4320"/>
        <w:tab w:val="right" w:pos="8640"/>
      </w:tabs>
    </w:pPr>
  </w:style>
  <w:style w:type="character" w:styleId="PageNumber">
    <w:name w:val="page number"/>
    <w:basedOn w:val="DefaultParagraphFont"/>
    <w:rsid w:val="00D468AA"/>
  </w:style>
  <w:style w:type="character" w:styleId="LineNumber">
    <w:name w:val="line number"/>
    <w:basedOn w:val="DefaultParagraphFont"/>
    <w:rsid w:val="00D468AA"/>
  </w:style>
  <w:style w:type="paragraph" w:styleId="Header">
    <w:name w:val="header"/>
    <w:basedOn w:val="Normal"/>
    <w:rsid w:val="009D1CCC"/>
    <w:pPr>
      <w:tabs>
        <w:tab w:val="center" w:pos="4320"/>
        <w:tab w:val="right" w:pos="8640"/>
      </w:tabs>
    </w:pPr>
  </w:style>
  <w:style w:type="paragraph" w:styleId="FootnoteText">
    <w:name w:val="footnote text"/>
    <w:aliases w:val="Footnote Text Char,Footnote Text Char1 Char,Footnote Text Char1 Char Char Char,Footnote Text Char Char Char Char Char,Footnote Text Char Char1 Char,Footnote Text Char1 Char1 Char,ALTS FOOTNOTE,fn,Footnote Text "/>
    <w:basedOn w:val="Normal"/>
    <w:link w:val="FootnoteTextChar1"/>
    <w:semiHidden/>
    <w:rsid w:val="000A3660"/>
    <w:rPr>
      <w:sz w:val="20"/>
      <w:szCs w:val="20"/>
    </w:rPr>
  </w:style>
  <w:style w:type="character" w:styleId="FootnoteReference">
    <w:name w:val="footnote reference"/>
    <w:aliases w:val="fr,o,Style 6"/>
    <w:basedOn w:val="DefaultParagraphFont"/>
    <w:semiHidden/>
    <w:rsid w:val="000A3660"/>
    <w:rPr>
      <w:vertAlign w:val="superscript"/>
    </w:rPr>
  </w:style>
  <w:style w:type="character" w:customStyle="1" w:styleId="FootnoteTextChar1">
    <w:name w:val="Footnote Text Char1"/>
    <w:aliases w:val="Footnote Text Char Char1,Footnote Text Char1 Char Char1,Footnote Text Char1 Char Char Char Char1,Footnote Text Char Char Char Char Char Char1,Footnote Text Char Char1 Char Char1,Footnote Text Char1 Char1 Char Char1,ALTS FOOTNOTE Char"/>
    <w:basedOn w:val="DefaultParagraphFont"/>
    <w:link w:val="FootnoteText"/>
    <w:rsid w:val="008162CB"/>
    <w:rPr>
      <w:lang w:val="en-US" w:eastAsia="en-US" w:bidi="ar-SA"/>
    </w:rPr>
  </w:style>
  <w:style w:type="character" w:styleId="Hyperlink">
    <w:name w:val="Hyperlink"/>
    <w:basedOn w:val="DefaultParagraphFont"/>
    <w:rsid w:val="009821C8"/>
    <w:rPr>
      <w:color w:val="0000FF"/>
      <w:u w:val="single"/>
    </w:rPr>
  </w:style>
  <w:style w:type="paragraph" w:styleId="NormalWeb">
    <w:name w:val="Normal (Web)"/>
    <w:basedOn w:val="Normal"/>
    <w:rsid w:val="009821C8"/>
    <w:pPr>
      <w:spacing w:before="100" w:beforeAutospacing="1" w:after="100" w:afterAutospacing="1"/>
    </w:pPr>
  </w:style>
  <w:style w:type="character" w:customStyle="1" w:styleId="editsection">
    <w:name w:val="editsection"/>
    <w:basedOn w:val="DefaultParagraphFont"/>
    <w:rsid w:val="009821C8"/>
  </w:style>
  <w:style w:type="character" w:customStyle="1" w:styleId="mw-headline">
    <w:name w:val="mw-headline"/>
    <w:basedOn w:val="DefaultParagraphFont"/>
    <w:rsid w:val="009821C8"/>
  </w:style>
  <w:style w:type="paragraph" w:styleId="ListBullet2">
    <w:name w:val="List Bullet 2"/>
    <w:basedOn w:val="Normal"/>
    <w:rsid w:val="00044E58"/>
    <w:pPr>
      <w:numPr>
        <w:numId w:val="1"/>
      </w:numPr>
    </w:pPr>
  </w:style>
  <w:style w:type="character" w:customStyle="1" w:styleId="FootnoteTextCharChar">
    <w:name w:val="Footnote Text Char Char"/>
    <w:aliases w:val="Footnote Text Char1 Char Char,Footnote Text Char Char Char Char,Footnote Text Char1 Char Char Char Char,Footnote Text Char Char Char Char Char Char,Footnote Text Char Char1 Char Char,Footnote Text Char1 Char1 Char Char,fn Char"/>
    <w:basedOn w:val="DefaultParagraphFont"/>
    <w:rsid w:val="00C56BA8"/>
    <w:rPr>
      <w:rFonts w:ascii="Palatino Linotype" w:hAnsi="Palatino Linotype"/>
      <w:lang w:val="en-US" w:eastAsia="en-US" w:bidi="ar-SA"/>
    </w:rPr>
  </w:style>
  <w:style w:type="paragraph" w:customStyle="1" w:styleId="L6HeadingText">
    <w:name w:val="L6Heading &amp; Text"/>
    <w:basedOn w:val="Normal"/>
    <w:rsid w:val="00C56BA8"/>
    <w:pPr>
      <w:tabs>
        <w:tab w:val="decimal" w:pos="600"/>
        <w:tab w:val="left" w:pos="840"/>
      </w:tabs>
      <w:spacing w:line="240" w:lineRule="exact"/>
      <w:ind w:left="840" w:hanging="840"/>
      <w:jc w:val="both"/>
    </w:pPr>
    <w:rPr>
      <w:szCs w:val="20"/>
    </w:rPr>
  </w:style>
  <w:style w:type="paragraph" w:styleId="BalloonText">
    <w:name w:val="Balloon Text"/>
    <w:basedOn w:val="Normal"/>
    <w:semiHidden/>
    <w:rsid w:val="00C56BA8"/>
    <w:rPr>
      <w:rFonts w:ascii="Tahoma" w:hAnsi="Tahoma" w:cs="Tahoma"/>
      <w:sz w:val="16"/>
      <w:szCs w:val="16"/>
    </w:rPr>
  </w:style>
  <w:style w:type="character" w:styleId="Strong">
    <w:name w:val="Strong"/>
    <w:basedOn w:val="DefaultParagraphFont"/>
    <w:qFormat/>
    <w:rsid w:val="004E680E"/>
    <w:rPr>
      <w:b/>
      <w:bCs/>
    </w:rPr>
  </w:style>
  <w:style w:type="paragraph" w:customStyle="1" w:styleId="CourtName">
    <w:name w:val="CourtName"/>
    <w:basedOn w:val="Normal"/>
    <w:rsid w:val="00283EE3"/>
    <w:pPr>
      <w:spacing w:line="240" w:lineRule="exact"/>
      <w:jc w:val="center"/>
    </w:pPr>
    <w:rPr>
      <w:szCs w:val="20"/>
    </w:rPr>
  </w:style>
  <w:style w:type="paragraph" w:styleId="BodyText">
    <w:name w:val="Body Text"/>
    <w:basedOn w:val="Normal"/>
    <w:link w:val="BodyTextChar"/>
    <w:rsid w:val="00283EE3"/>
    <w:pPr>
      <w:jc w:val="center"/>
    </w:pPr>
    <w:rPr>
      <w:b/>
      <w:szCs w:val="20"/>
    </w:rPr>
  </w:style>
  <w:style w:type="character" w:customStyle="1" w:styleId="BodyTextChar">
    <w:name w:val="Body Text Char"/>
    <w:basedOn w:val="DefaultParagraphFont"/>
    <w:link w:val="BodyText"/>
    <w:rsid w:val="00283EE3"/>
    <w:rPr>
      <w:b/>
      <w:sz w:val="24"/>
    </w:rPr>
  </w:style>
  <w:style w:type="character" w:customStyle="1" w:styleId="FooterChar">
    <w:name w:val="Footer Char"/>
    <w:basedOn w:val="DefaultParagraphFont"/>
    <w:link w:val="Footer"/>
    <w:uiPriority w:val="99"/>
    <w:rsid w:val="008A39BE"/>
    <w:rPr>
      <w:sz w:val="24"/>
      <w:szCs w:val="24"/>
    </w:rPr>
  </w:style>
</w:styles>
</file>

<file path=word/webSettings.xml><?xml version="1.0" encoding="utf-8"?>
<w:webSettings xmlns:r="http://schemas.openxmlformats.org/officeDocument/2006/relationships" xmlns:w="http://schemas.openxmlformats.org/wordprocessingml/2006/main">
  <w:divs>
    <w:div w:id="254481866">
      <w:bodyDiv w:val="1"/>
      <w:marLeft w:val="0"/>
      <w:marRight w:val="0"/>
      <w:marTop w:val="0"/>
      <w:marBottom w:val="0"/>
      <w:divBdr>
        <w:top w:val="none" w:sz="0" w:space="0" w:color="auto"/>
        <w:left w:val="none" w:sz="0" w:space="0" w:color="auto"/>
        <w:bottom w:val="none" w:sz="0" w:space="0" w:color="auto"/>
        <w:right w:val="none" w:sz="0" w:space="0" w:color="auto"/>
      </w:divBdr>
    </w:div>
    <w:div w:id="348259100">
      <w:bodyDiv w:val="1"/>
      <w:marLeft w:val="0"/>
      <w:marRight w:val="0"/>
      <w:marTop w:val="0"/>
      <w:marBottom w:val="0"/>
      <w:divBdr>
        <w:top w:val="none" w:sz="0" w:space="0" w:color="auto"/>
        <w:left w:val="none" w:sz="0" w:space="0" w:color="auto"/>
        <w:bottom w:val="none" w:sz="0" w:space="0" w:color="auto"/>
        <w:right w:val="none" w:sz="0" w:space="0" w:color="auto"/>
      </w:divBdr>
    </w:div>
    <w:div w:id="353919693">
      <w:bodyDiv w:val="1"/>
      <w:marLeft w:val="0"/>
      <w:marRight w:val="0"/>
      <w:marTop w:val="0"/>
      <w:marBottom w:val="0"/>
      <w:divBdr>
        <w:top w:val="none" w:sz="0" w:space="0" w:color="auto"/>
        <w:left w:val="none" w:sz="0" w:space="0" w:color="auto"/>
        <w:bottom w:val="none" w:sz="0" w:space="0" w:color="auto"/>
        <w:right w:val="none" w:sz="0" w:space="0" w:color="auto"/>
      </w:divBdr>
      <w:divsChild>
        <w:div w:id="2041010156">
          <w:marLeft w:val="0"/>
          <w:marRight w:val="0"/>
          <w:marTop w:val="0"/>
          <w:marBottom w:val="0"/>
          <w:divBdr>
            <w:top w:val="none" w:sz="0" w:space="0" w:color="auto"/>
            <w:left w:val="none" w:sz="0" w:space="0" w:color="auto"/>
            <w:bottom w:val="none" w:sz="0" w:space="0" w:color="auto"/>
            <w:right w:val="none" w:sz="0" w:space="0" w:color="auto"/>
          </w:divBdr>
          <w:divsChild>
            <w:div w:id="2034766279">
              <w:marLeft w:val="0"/>
              <w:marRight w:val="0"/>
              <w:marTop w:val="0"/>
              <w:marBottom w:val="0"/>
              <w:divBdr>
                <w:top w:val="none" w:sz="0" w:space="0" w:color="auto"/>
                <w:left w:val="none" w:sz="0" w:space="0" w:color="auto"/>
                <w:bottom w:val="none" w:sz="0" w:space="0" w:color="auto"/>
                <w:right w:val="none" w:sz="0" w:space="0" w:color="auto"/>
              </w:divBdr>
              <w:divsChild>
                <w:div w:id="2030987017">
                  <w:marLeft w:val="0"/>
                  <w:marRight w:val="0"/>
                  <w:marTop w:val="0"/>
                  <w:marBottom w:val="0"/>
                  <w:divBdr>
                    <w:top w:val="none" w:sz="0" w:space="0" w:color="auto"/>
                    <w:left w:val="none" w:sz="0" w:space="0" w:color="auto"/>
                    <w:bottom w:val="none" w:sz="0" w:space="0" w:color="auto"/>
                    <w:right w:val="none" w:sz="0" w:space="0" w:color="auto"/>
                  </w:divBdr>
                  <w:divsChild>
                    <w:div w:id="21293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159059">
      <w:bodyDiv w:val="1"/>
      <w:marLeft w:val="0"/>
      <w:marRight w:val="0"/>
      <w:marTop w:val="0"/>
      <w:marBottom w:val="0"/>
      <w:divBdr>
        <w:top w:val="none" w:sz="0" w:space="0" w:color="auto"/>
        <w:left w:val="none" w:sz="0" w:space="0" w:color="auto"/>
        <w:bottom w:val="none" w:sz="0" w:space="0" w:color="auto"/>
        <w:right w:val="none" w:sz="0" w:space="0" w:color="auto"/>
      </w:divBdr>
    </w:div>
    <w:div w:id="550001639">
      <w:bodyDiv w:val="1"/>
      <w:marLeft w:val="0"/>
      <w:marRight w:val="0"/>
      <w:marTop w:val="0"/>
      <w:marBottom w:val="0"/>
      <w:divBdr>
        <w:top w:val="none" w:sz="0" w:space="0" w:color="auto"/>
        <w:left w:val="none" w:sz="0" w:space="0" w:color="auto"/>
        <w:bottom w:val="none" w:sz="0" w:space="0" w:color="auto"/>
        <w:right w:val="none" w:sz="0" w:space="0" w:color="auto"/>
      </w:divBdr>
    </w:div>
    <w:div w:id="570045436">
      <w:bodyDiv w:val="1"/>
      <w:marLeft w:val="0"/>
      <w:marRight w:val="0"/>
      <w:marTop w:val="0"/>
      <w:marBottom w:val="0"/>
      <w:divBdr>
        <w:top w:val="none" w:sz="0" w:space="0" w:color="auto"/>
        <w:left w:val="none" w:sz="0" w:space="0" w:color="auto"/>
        <w:bottom w:val="none" w:sz="0" w:space="0" w:color="auto"/>
        <w:right w:val="none" w:sz="0" w:space="0" w:color="auto"/>
      </w:divBdr>
    </w:div>
    <w:div w:id="694042101">
      <w:bodyDiv w:val="1"/>
      <w:marLeft w:val="0"/>
      <w:marRight w:val="0"/>
      <w:marTop w:val="0"/>
      <w:marBottom w:val="0"/>
      <w:divBdr>
        <w:top w:val="none" w:sz="0" w:space="0" w:color="auto"/>
        <w:left w:val="none" w:sz="0" w:space="0" w:color="auto"/>
        <w:bottom w:val="none" w:sz="0" w:space="0" w:color="auto"/>
        <w:right w:val="none" w:sz="0" w:space="0" w:color="auto"/>
      </w:divBdr>
    </w:div>
    <w:div w:id="1009911984">
      <w:bodyDiv w:val="1"/>
      <w:marLeft w:val="0"/>
      <w:marRight w:val="0"/>
      <w:marTop w:val="0"/>
      <w:marBottom w:val="0"/>
      <w:divBdr>
        <w:top w:val="none" w:sz="0" w:space="0" w:color="auto"/>
        <w:left w:val="none" w:sz="0" w:space="0" w:color="auto"/>
        <w:bottom w:val="none" w:sz="0" w:space="0" w:color="auto"/>
        <w:right w:val="none" w:sz="0" w:space="0" w:color="auto"/>
      </w:divBdr>
    </w:div>
    <w:div w:id="1316758999">
      <w:bodyDiv w:val="1"/>
      <w:marLeft w:val="0"/>
      <w:marRight w:val="0"/>
      <w:marTop w:val="0"/>
      <w:marBottom w:val="0"/>
      <w:divBdr>
        <w:top w:val="none" w:sz="0" w:space="0" w:color="auto"/>
        <w:left w:val="none" w:sz="0" w:space="0" w:color="auto"/>
        <w:bottom w:val="none" w:sz="0" w:space="0" w:color="auto"/>
        <w:right w:val="none" w:sz="0" w:space="0" w:color="auto"/>
      </w:divBdr>
    </w:div>
    <w:div w:id="1941445871">
      <w:bodyDiv w:val="1"/>
      <w:marLeft w:val="2"/>
      <w:marRight w:val="2"/>
      <w:marTop w:val="0"/>
      <w:marBottom w:val="0"/>
      <w:divBdr>
        <w:top w:val="none" w:sz="0" w:space="0" w:color="auto"/>
        <w:left w:val="none" w:sz="0" w:space="0" w:color="auto"/>
        <w:bottom w:val="none" w:sz="0" w:space="0" w:color="auto"/>
        <w:right w:val="none" w:sz="0" w:space="0" w:color="auto"/>
      </w:divBdr>
      <w:divsChild>
        <w:div w:id="1193418700">
          <w:marLeft w:val="0"/>
          <w:marRight w:val="0"/>
          <w:marTop w:val="180"/>
          <w:marBottom w:val="0"/>
          <w:divBdr>
            <w:top w:val="none" w:sz="0" w:space="0" w:color="auto"/>
            <w:left w:val="none" w:sz="0" w:space="0" w:color="auto"/>
            <w:bottom w:val="none" w:sz="0" w:space="0" w:color="auto"/>
            <w:right w:val="none" w:sz="0" w:space="0" w:color="auto"/>
          </w:divBdr>
          <w:divsChild>
            <w:div w:id="1828470730">
              <w:marLeft w:val="0"/>
              <w:marRight w:val="0"/>
              <w:marTop w:val="0"/>
              <w:marBottom w:val="0"/>
              <w:divBdr>
                <w:top w:val="none" w:sz="0" w:space="0" w:color="auto"/>
                <w:left w:val="none" w:sz="0" w:space="0" w:color="auto"/>
                <w:bottom w:val="none" w:sz="0" w:space="0" w:color="auto"/>
                <w:right w:val="none" w:sz="0" w:space="0" w:color="auto"/>
              </w:divBdr>
              <w:divsChild>
                <w:div w:id="546920187">
                  <w:marLeft w:val="0"/>
                  <w:marRight w:val="0"/>
                  <w:marTop w:val="0"/>
                  <w:marBottom w:val="0"/>
                  <w:divBdr>
                    <w:top w:val="none" w:sz="0" w:space="0" w:color="auto"/>
                    <w:left w:val="none" w:sz="0" w:space="0" w:color="auto"/>
                    <w:bottom w:val="none" w:sz="0" w:space="0" w:color="auto"/>
                    <w:right w:val="none" w:sz="0" w:space="0" w:color="auto"/>
                  </w:divBdr>
                  <w:divsChild>
                    <w:div w:id="695548299">
                      <w:marLeft w:val="0"/>
                      <w:marRight w:val="0"/>
                      <w:marTop w:val="0"/>
                      <w:marBottom w:val="0"/>
                      <w:divBdr>
                        <w:top w:val="none" w:sz="0" w:space="0" w:color="auto"/>
                        <w:left w:val="none" w:sz="0" w:space="0" w:color="auto"/>
                        <w:bottom w:val="none" w:sz="0" w:space="0" w:color="auto"/>
                        <w:right w:val="none" w:sz="0" w:space="0" w:color="auto"/>
                      </w:divBdr>
                      <w:divsChild>
                        <w:div w:id="545795790">
                          <w:marLeft w:val="0"/>
                          <w:marRight w:val="0"/>
                          <w:marTop w:val="0"/>
                          <w:marBottom w:val="0"/>
                          <w:divBdr>
                            <w:top w:val="none" w:sz="0" w:space="0" w:color="auto"/>
                            <w:left w:val="none" w:sz="0" w:space="0" w:color="auto"/>
                            <w:bottom w:val="none" w:sz="0" w:space="0" w:color="auto"/>
                            <w:right w:val="none" w:sz="0" w:space="0" w:color="auto"/>
                          </w:divBdr>
                          <w:divsChild>
                            <w:div w:id="402728356">
                              <w:marLeft w:val="0"/>
                              <w:marRight w:val="0"/>
                              <w:marTop w:val="0"/>
                              <w:marBottom w:val="0"/>
                              <w:divBdr>
                                <w:top w:val="none" w:sz="0" w:space="0" w:color="auto"/>
                                <w:left w:val="none" w:sz="0" w:space="0" w:color="auto"/>
                                <w:bottom w:val="none" w:sz="0" w:space="0" w:color="auto"/>
                                <w:right w:val="none" w:sz="0" w:space="0" w:color="auto"/>
                              </w:divBdr>
                              <w:divsChild>
                                <w:div w:id="2070421924">
                                  <w:marLeft w:val="0"/>
                                  <w:marRight w:val="0"/>
                                  <w:marTop w:val="0"/>
                                  <w:marBottom w:val="0"/>
                                  <w:divBdr>
                                    <w:top w:val="none" w:sz="0" w:space="0" w:color="auto"/>
                                    <w:left w:val="none" w:sz="0" w:space="0" w:color="auto"/>
                                    <w:bottom w:val="none" w:sz="0" w:space="0" w:color="auto"/>
                                    <w:right w:val="none" w:sz="0" w:space="0" w:color="auto"/>
                                  </w:divBdr>
                                  <w:divsChild>
                                    <w:div w:id="144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s.leg.wa.gov/RCW/default.aspx?cite=80.04.380"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apps.leg.wa.gov/RCW/default.aspx?cite=80.04.405"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f1b76-b32e-440f-80a7-f0ca4d8a872c" ContentTypeId="0x0101006E56B4D1795A2E4DB2F0B01679ED314A"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Testimony</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2009-11-03T08:00:00+00:00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62215ABE-DDFD-4163-BE4B-4EFB52EA4F55}"/>
</file>

<file path=customXml/itemProps2.xml><?xml version="1.0" encoding="utf-8"?>
<ds:datastoreItem xmlns:ds="http://schemas.openxmlformats.org/officeDocument/2006/customXml" ds:itemID="{EAEEB562-2336-4DAE-8DC0-E7E59B1F9AAB}"/>
</file>

<file path=customXml/itemProps3.xml><?xml version="1.0" encoding="utf-8"?>
<ds:datastoreItem xmlns:ds="http://schemas.openxmlformats.org/officeDocument/2006/customXml" ds:itemID="{05FA1E77-4C5B-40ED-A2FF-1D3898B296DB}"/>
</file>

<file path=customXml/itemProps4.xml><?xml version="1.0" encoding="utf-8"?>
<ds:datastoreItem xmlns:ds="http://schemas.openxmlformats.org/officeDocument/2006/customXml" ds:itemID="{C3704A00-A2C0-4B6A-B40D-BC58F79F8B40}"/>
</file>

<file path=docProps/app.xml><?xml version="1.0" encoding="utf-8"?>
<Properties xmlns="http://schemas.openxmlformats.org/officeDocument/2006/extended-properties" xmlns:vt="http://schemas.openxmlformats.org/officeDocument/2006/docPropsVTypes">
  <Template>Normal.dotm</Template>
  <TotalTime>123</TotalTime>
  <Pages>36</Pages>
  <Words>6806</Words>
  <Characters>38796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BEFORE THE PUBLIC SERVICE COMMISSION </vt:lpstr>
    </vt:vector>
  </TitlesOfParts>
  <Company>Snavely King Majoros O'Connor &amp; Lee</Company>
  <LinksUpToDate>false</LinksUpToDate>
  <CharactersWithSpaces>45511</CharactersWithSpaces>
  <SharedDoc>false</SharedDoc>
  <HLinks>
    <vt:vector size="12" baseType="variant">
      <vt:variant>
        <vt:i4>2752549</vt:i4>
      </vt:variant>
      <vt:variant>
        <vt:i4>3</vt:i4>
      </vt:variant>
      <vt:variant>
        <vt:i4>0</vt:i4>
      </vt:variant>
      <vt:variant>
        <vt:i4>5</vt:i4>
      </vt:variant>
      <vt:variant>
        <vt:lpwstr>http://apps.leg.wa.gov/RCW/default.aspx?cite=80.04.380</vt:lpwstr>
      </vt:variant>
      <vt:variant>
        <vt:lpwstr/>
      </vt:variant>
      <vt:variant>
        <vt:i4>2621485</vt:i4>
      </vt:variant>
      <vt:variant>
        <vt:i4>0</vt:i4>
      </vt:variant>
      <vt:variant>
        <vt:i4>0</vt:i4>
      </vt:variant>
      <vt:variant>
        <vt:i4>5</vt:i4>
      </vt:variant>
      <vt:variant>
        <vt:lpwstr>http://apps.leg.wa.gov/RCW/default.aspx?cite=80.04.405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 </dc:title>
  <dc:subject/>
  <dc:creator>Snavely King Laptop</dc:creator>
  <cp:keywords/>
  <dc:description/>
  <cp:lastModifiedBy>Melnikoff, Stephen S Mr OTJAG</cp:lastModifiedBy>
  <cp:revision>10</cp:revision>
  <cp:lastPrinted>2009-11-03T23:31:00Z</cp:lastPrinted>
  <dcterms:created xsi:type="dcterms:W3CDTF">2009-11-03T21:10:00Z</dcterms:created>
  <dcterms:modified xsi:type="dcterms:W3CDTF">2009-11-03T23:35:00Z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