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DC" w:rsidRDefault="00B81307" w:rsidP="00CB3E68">
      <w:pPr>
        <w:ind w:left="5400"/>
        <w:rPr>
          <w:b/>
        </w:rPr>
      </w:pPr>
      <w:bookmarkStart w:id="0" w:name="_GoBack"/>
      <w:bookmarkEnd w:id="0"/>
      <w:r>
        <w:rPr>
          <w:b/>
        </w:rPr>
        <w:t>Exhibit No. ___</w:t>
      </w:r>
      <w:r w:rsidR="00B244CE">
        <w:rPr>
          <w:b/>
        </w:rPr>
        <w:t xml:space="preserve"> </w:t>
      </w:r>
      <w:r w:rsidR="002E38DC">
        <w:rPr>
          <w:b/>
        </w:rPr>
        <w:t>(WHW-1T)</w:t>
      </w:r>
    </w:p>
    <w:p w:rsidR="00B814E2" w:rsidRPr="00B814E2" w:rsidRDefault="00B814E2" w:rsidP="00CB3E68">
      <w:pPr>
        <w:ind w:left="5400"/>
        <w:rPr>
          <w:b/>
        </w:rPr>
      </w:pPr>
      <w:r w:rsidRPr="00B814E2">
        <w:rPr>
          <w:b/>
        </w:rPr>
        <w:t xml:space="preserve">Docket </w:t>
      </w:r>
      <w:r w:rsidR="00FA51DB">
        <w:rPr>
          <w:b/>
        </w:rPr>
        <w:t>UT-121994</w:t>
      </w:r>
    </w:p>
    <w:p w:rsidR="00B814E2" w:rsidRPr="00B814E2" w:rsidRDefault="0046251D" w:rsidP="00CB3E68">
      <w:pPr>
        <w:ind w:left="5400"/>
        <w:rPr>
          <w:b/>
        </w:rPr>
      </w:pPr>
      <w:r>
        <w:rPr>
          <w:b/>
        </w:rPr>
        <w:t xml:space="preserve">Witness:  </w:t>
      </w:r>
      <w:r w:rsidR="00FD1E48">
        <w:rPr>
          <w:b/>
        </w:rPr>
        <w:t>William H. Weinman</w:t>
      </w:r>
      <w:r w:rsidR="00B814E2" w:rsidRPr="00B814E2">
        <w:rPr>
          <w:b/>
        </w:rPr>
        <w:t xml:space="preserve"> </w:t>
      </w:r>
    </w:p>
    <w:p w:rsidR="00B814E2" w:rsidRPr="00B814E2" w:rsidRDefault="00B814E2" w:rsidP="00B814E2">
      <w:pPr>
        <w:rPr>
          <w:b/>
        </w:rPr>
      </w:pPr>
    </w:p>
    <w:p w:rsidR="00B814E2" w:rsidRPr="00B814E2" w:rsidRDefault="00B814E2" w:rsidP="00B814E2">
      <w:pPr>
        <w:rPr>
          <w:b/>
        </w:rPr>
      </w:pPr>
    </w:p>
    <w:p w:rsidR="00B814E2" w:rsidRPr="00B814E2" w:rsidRDefault="00B814E2" w:rsidP="00B814E2">
      <w:pPr>
        <w:ind w:left="-360" w:right="-252"/>
        <w:jc w:val="center"/>
        <w:rPr>
          <w:b/>
        </w:rPr>
      </w:pPr>
      <w:r w:rsidRPr="00B814E2">
        <w:rPr>
          <w:b/>
        </w:rPr>
        <w:t>BEFORE THE WASHINGTON UTILITIES AND TRANSPORTATION COMMISSION</w:t>
      </w:r>
    </w:p>
    <w:p w:rsidR="00B814E2" w:rsidRPr="00B814E2" w:rsidRDefault="00B814E2" w:rsidP="00B814E2">
      <w:pPr>
        <w:rPr>
          <w:b/>
        </w:rPr>
      </w:pPr>
    </w:p>
    <w:p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Tr="00AC67DA">
        <w:tc>
          <w:tcPr>
            <w:tcW w:w="4590" w:type="dxa"/>
            <w:tcBorders>
              <w:top w:val="single" w:sz="6" w:space="0" w:color="FFFFFF"/>
              <w:left w:val="single" w:sz="6" w:space="0" w:color="FFFFFF"/>
              <w:bottom w:val="single" w:sz="7" w:space="0" w:color="000000"/>
              <w:right w:val="single" w:sz="6" w:space="0" w:color="FFFFFF"/>
            </w:tcBorders>
          </w:tcPr>
          <w:p w:rsidR="00B814E2" w:rsidRDefault="00FA51DB" w:rsidP="00AC67DA">
            <w:pPr>
              <w:spacing w:after="19"/>
              <w:rPr>
                <w:b/>
                <w:bCs/>
              </w:rPr>
            </w:pPr>
            <w:r w:rsidRPr="00FA51DB">
              <w:rPr>
                <w:b/>
                <w:bCs/>
              </w:rPr>
              <w:t>In the Matter of Frontier Communications Northwest, Inc.’s Petition to be Regulated as a Competitive Telecommunications Company Pursuant to RCW 80.26.320</w:t>
            </w:r>
          </w:p>
          <w:p w:rsidR="00FA51DB" w:rsidRDefault="00FA51DB" w:rsidP="00AC67DA">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rsidR="00B814E2" w:rsidRDefault="00B814E2" w:rsidP="00AC67DA">
            <w:pPr>
              <w:ind w:firstLine="720"/>
              <w:rPr>
                <w:b/>
                <w:bCs/>
              </w:rPr>
            </w:pPr>
            <w:r>
              <w:rPr>
                <w:b/>
                <w:bCs/>
              </w:rPr>
              <w:t xml:space="preserve">DOCKET </w:t>
            </w:r>
            <w:r w:rsidR="00FA51DB">
              <w:rPr>
                <w:b/>
                <w:bCs/>
              </w:rPr>
              <w:t>UT-121994</w:t>
            </w:r>
          </w:p>
          <w:p w:rsidR="00B814E2" w:rsidRDefault="00B814E2" w:rsidP="00AC67DA">
            <w:pPr>
              <w:rPr>
                <w:b/>
                <w:bCs/>
              </w:rPr>
            </w:pPr>
          </w:p>
          <w:p w:rsidR="00B814E2" w:rsidRDefault="00B814E2" w:rsidP="00AC67DA">
            <w:pPr>
              <w:spacing w:after="19"/>
              <w:ind w:left="720"/>
              <w:rPr>
                <w:b/>
                <w:bCs/>
              </w:rPr>
            </w:pPr>
          </w:p>
        </w:tc>
      </w:tr>
    </w:tbl>
    <w:p w:rsidR="00B814E2" w:rsidRDefault="00B814E2" w:rsidP="00B814E2">
      <w:pPr>
        <w:jc w:val="both"/>
      </w:pPr>
    </w:p>
    <w:p w:rsidR="00B814E2" w:rsidRDefault="00B814E2" w:rsidP="00B814E2">
      <w:pPr>
        <w:rPr>
          <w:b/>
          <w:bCs/>
        </w:rPr>
      </w:pPr>
    </w:p>
    <w:p w:rsidR="00B814E2" w:rsidRDefault="00B814E2" w:rsidP="00B814E2">
      <w:pPr>
        <w:rPr>
          <w:b/>
          <w:bCs/>
        </w:rPr>
      </w:pPr>
    </w:p>
    <w:p w:rsidR="00B814E2" w:rsidRDefault="00B814E2" w:rsidP="00B814E2">
      <w:pPr>
        <w:tabs>
          <w:tab w:val="center" w:pos="4680"/>
        </w:tabs>
        <w:jc w:val="center"/>
        <w:rPr>
          <w:b/>
          <w:bCs/>
        </w:rPr>
      </w:pPr>
      <w:r>
        <w:rPr>
          <w:b/>
          <w:bCs/>
        </w:rPr>
        <w:t>TESTIMONY OF</w:t>
      </w:r>
    </w:p>
    <w:p w:rsidR="00B814E2" w:rsidRDefault="00B814E2" w:rsidP="00B814E2">
      <w:pPr>
        <w:jc w:val="center"/>
        <w:rPr>
          <w:b/>
          <w:bCs/>
        </w:rPr>
      </w:pPr>
    </w:p>
    <w:p w:rsidR="00B814E2" w:rsidRDefault="00325DBB" w:rsidP="00B814E2">
      <w:pPr>
        <w:tabs>
          <w:tab w:val="center" w:pos="4680"/>
        </w:tabs>
        <w:jc w:val="center"/>
        <w:rPr>
          <w:b/>
          <w:bCs/>
        </w:rPr>
      </w:pPr>
      <w:r>
        <w:rPr>
          <w:b/>
          <w:bCs/>
        </w:rPr>
        <w:t>WILLIAM H. WEINMAN</w:t>
      </w:r>
    </w:p>
    <w:p w:rsidR="00B814E2" w:rsidRDefault="00B814E2" w:rsidP="00B814E2">
      <w:pPr>
        <w:tabs>
          <w:tab w:val="center" w:pos="4680"/>
        </w:tabs>
        <w:jc w:val="center"/>
        <w:rPr>
          <w:b/>
          <w:bCs/>
        </w:rPr>
      </w:pPr>
    </w:p>
    <w:p w:rsidR="00B814E2" w:rsidRDefault="00B814E2" w:rsidP="00B814E2">
      <w:pPr>
        <w:tabs>
          <w:tab w:val="center" w:pos="4680"/>
        </w:tabs>
        <w:jc w:val="center"/>
        <w:rPr>
          <w:b/>
          <w:bCs/>
        </w:rPr>
      </w:pPr>
      <w:r>
        <w:rPr>
          <w:b/>
          <w:bCs/>
        </w:rPr>
        <w:t>STAFF OF</w:t>
      </w:r>
    </w:p>
    <w:p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B814E2" w:rsidRDefault="00B814E2" w:rsidP="00B814E2">
      <w:pPr>
        <w:tabs>
          <w:tab w:val="center" w:pos="4680"/>
        </w:tabs>
        <w:jc w:val="center"/>
        <w:rPr>
          <w:b/>
          <w:bCs/>
        </w:rPr>
      </w:pPr>
      <w:r>
        <w:rPr>
          <w:b/>
          <w:bCs/>
        </w:rPr>
        <w:t>TRANSPORTATION COMMISSION</w:t>
      </w:r>
    </w:p>
    <w:p w:rsidR="00B814E2" w:rsidRDefault="00B814E2" w:rsidP="00B814E2">
      <w:pPr>
        <w:jc w:val="center"/>
        <w:rPr>
          <w:b/>
          <w:bCs/>
        </w:rPr>
      </w:pPr>
    </w:p>
    <w:p w:rsidR="00B814E2" w:rsidRDefault="00B814E2" w:rsidP="00B814E2">
      <w:pPr>
        <w:rPr>
          <w:b/>
          <w:bCs/>
        </w:rPr>
      </w:pPr>
    </w:p>
    <w:p w:rsidR="00B814E2" w:rsidRDefault="00B814E2" w:rsidP="00B814E2">
      <w:pPr>
        <w:rPr>
          <w:b/>
          <w:bCs/>
        </w:rPr>
      </w:pPr>
    </w:p>
    <w:p w:rsidR="00B814E2" w:rsidRDefault="00B814E2" w:rsidP="00B814E2">
      <w:pPr>
        <w:rPr>
          <w:b/>
          <w:bCs/>
        </w:rPr>
      </w:pPr>
    </w:p>
    <w:p w:rsidR="00710045" w:rsidRDefault="00710045" w:rsidP="00B814E2">
      <w:pPr>
        <w:rPr>
          <w:b/>
          <w:bCs/>
        </w:rPr>
      </w:pPr>
    </w:p>
    <w:p w:rsidR="00B814E2" w:rsidRDefault="00B814E2" w:rsidP="00B814E2">
      <w:pPr>
        <w:rPr>
          <w:b/>
          <w:bCs/>
        </w:rPr>
      </w:pPr>
    </w:p>
    <w:p w:rsidR="00B814E2" w:rsidRDefault="00B244CE" w:rsidP="00B814E2">
      <w:pPr>
        <w:jc w:val="center"/>
        <w:rPr>
          <w:b/>
          <w:bCs/>
        </w:rPr>
      </w:pPr>
      <w:r>
        <w:rPr>
          <w:b/>
          <w:bCs/>
        </w:rPr>
        <w:t>April 25</w:t>
      </w:r>
      <w:r w:rsidR="003D3297">
        <w:rPr>
          <w:b/>
          <w:bCs/>
        </w:rPr>
        <w:t>, 2013</w:t>
      </w:r>
    </w:p>
    <w:p w:rsidR="00B814E2" w:rsidRDefault="00B814E2" w:rsidP="00B814E2"/>
    <w:p w:rsidR="00B814E2" w:rsidRDefault="00B814E2" w:rsidP="00B814E2"/>
    <w:p w:rsidR="00B814E2" w:rsidRDefault="00B814E2" w:rsidP="00B814E2">
      <w:pPr>
        <w:sectPr w:rsidR="00B814E2" w:rsidSect="00B814E2">
          <w:pgSz w:w="12240" w:h="15840"/>
          <w:pgMar w:top="1440" w:right="1440" w:bottom="1440" w:left="1872" w:header="720" w:footer="720" w:gutter="0"/>
          <w:cols w:space="720"/>
          <w:docGrid w:linePitch="360"/>
        </w:sectPr>
      </w:pPr>
    </w:p>
    <w:p w:rsidR="00B814E2" w:rsidRDefault="00B814E2" w:rsidP="00B814E2">
      <w:pPr>
        <w:jc w:val="center"/>
      </w:pPr>
      <w:r>
        <w:rPr>
          <w:b/>
        </w:rPr>
        <w:lastRenderedPageBreak/>
        <w:t>TABLE OF CONTENTS</w:t>
      </w:r>
    </w:p>
    <w:p w:rsidR="00B814E2" w:rsidRDefault="00B814E2" w:rsidP="00B814E2"/>
    <w:p w:rsidR="00B814E2" w:rsidRDefault="00B814E2" w:rsidP="00B814E2"/>
    <w:p w:rsidR="00B814E2" w:rsidRDefault="00B814E2" w:rsidP="00B814E2">
      <w:pPr>
        <w:tabs>
          <w:tab w:val="left" w:pos="720"/>
          <w:tab w:val="left" w:pos="1440"/>
          <w:tab w:val="left" w:pos="2160"/>
          <w:tab w:val="right" w:leader="dot" w:pos="8820"/>
        </w:tabs>
      </w:pPr>
      <w:r>
        <w:t>I.</w:t>
      </w:r>
      <w:r>
        <w:tab/>
        <w:t xml:space="preserve">INTRODUCTION </w:t>
      </w:r>
      <w:r>
        <w:tab/>
        <w:t>1</w:t>
      </w: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r>
        <w:t>II.</w:t>
      </w:r>
      <w:r>
        <w:tab/>
        <w:t xml:space="preserve">SCOPE AND SUMMARY OF TESTIMONY </w:t>
      </w:r>
      <w:r>
        <w:tab/>
      </w:r>
      <w:r w:rsidR="00CF4BD6">
        <w:t>2</w:t>
      </w:r>
    </w:p>
    <w:p w:rsidR="00632EB8" w:rsidRDefault="00632EB8" w:rsidP="00B814E2">
      <w:pPr>
        <w:tabs>
          <w:tab w:val="left" w:pos="720"/>
          <w:tab w:val="left" w:pos="1440"/>
          <w:tab w:val="left" w:pos="2160"/>
          <w:tab w:val="right" w:leader="dot" w:pos="8820"/>
        </w:tabs>
      </w:pPr>
    </w:p>
    <w:p w:rsidR="00632EB8" w:rsidRDefault="00632EB8" w:rsidP="00B814E2">
      <w:pPr>
        <w:tabs>
          <w:tab w:val="left" w:pos="720"/>
          <w:tab w:val="left" w:pos="1440"/>
          <w:tab w:val="left" w:pos="2160"/>
          <w:tab w:val="right" w:leader="dot" w:pos="8820"/>
        </w:tabs>
      </w:pPr>
      <w:r>
        <w:t>III.</w:t>
      </w:r>
      <w:r>
        <w:tab/>
        <w:t>POLICIES AND STANDARDS</w:t>
      </w:r>
      <w:r w:rsidR="00AA1E71">
        <w:tab/>
        <w:t>4</w:t>
      </w:r>
    </w:p>
    <w:p w:rsidR="00632EB8" w:rsidRDefault="00632EB8" w:rsidP="00B814E2">
      <w:pPr>
        <w:tabs>
          <w:tab w:val="left" w:pos="720"/>
          <w:tab w:val="left" w:pos="1440"/>
          <w:tab w:val="left" w:pos="2160"/>
          <w:tab w:val="right" w:leader="dot" w:pos="8820"/>
        </w:tabs>
      </w:pPr>
    </w:p>
    <w:p w:rsidR="00710045" w:rsidRDefault="00632EB8" w:rsidP="00710045">
      <w:pPr>
        <w:tabs>
          <w:tab w:val="left" w:pos="720"/>
          <w:tab w:val="left" w:pos="1440"/>
          <w:tab w:val="left" w:pos="2160"/>
          <w:tab w:val="right" w:leader="dot" w:pos="8820"/>
        </w:tabs>
      </w:pPr>
      <w:r>
        <w:t>IV.</w:t>
      </w:r>
      <w:r>
        <w:tab/>
        <w:t>INTRASTATE ACCESS</w:t>
      </w:r>
      <w:r w:rsidR="007C1367">
        <w:t xml:space="preserve"> TARIFF</w:t>
      </w:r>
      <w:r w:rsidR="00AA1E71">
        <w:tab/>
        <w:t>10</w:t>
      </w:r>
    </w:p>
    <w:p w:rsidR="00710045" w:rsidRDefault="00710045" w:rsidP="00710045">
      <w:pPr>
        <w:tabs>
          <w:tab w:val="left" w:pos="720"/>
          <w:tab w:val="left" w:pos="1440"/>
          <w:tab w:val="left" w:pos="2160"/>
          <w:tab w:val="right" w:leader="dot" w:pos="8820"/>
        </w:tabs>
      </w:pPr>
    </w:p>
    <w:p w:rsidR="00632EB8" w:rsidRDefault="00632EB8" w:rsidP="00710045">
      <w:pPr>
        <w:tabs>
          <w:tab w:val="left" w:pos="720"/>
          <w:tab w:val="left" w:pos="1440"/>
          <w:tab w:val="left" w:pos="2160"/>
          <w:tab w:val="right" w:leader="dot" w:pos="8820"/>
        </w:tabs>
      </w:pPr>
      <w:r>
        <w:t>V.</w:t>
      </w:r>
      <w:r>
        <w:tab/>
        <w:t>WAIVER</w:t>
      </w:r>
      <w:r w:rsidR="00F974D8">
        <w:t xml:space="preserve"> REQUESTS</w:t>
      </w:r>
      <w:r w:rsidR="00710045">
        <w:tab/>
        <w:t>13</w:t>
      </w:r>
    </w:p>
    <w:p w:rsidR="00CB2B68" w:rsidRDefault="00CB2B68" w:rsidP="00B814E2">
      <w:pPr>
        <w:tabs>
          <w:tab w:val="left" w:pos="720"/>
          <w:tab w:val="left" w:pos="1440"/>
          <w:tab w:val="left" w:pos="2160"/>
          <w:tab w:val="right" w:leader="dot" w:pos="8820"/>
        </w:tabs>
      </w:pPr>
    </w:p>
    <w:p w:rsidR="00CB2B68" w:rsidRDefault="00CB2B68" w:rsidP="002514CE">
      <w:pPr>
        <w:tabs>
          <w:tab w:val="left" w:pos="720"/>
          <w:tab w:val="left" w:pos="1440"/>
          <w:tab w:val="left" w:pos="2160"/>
          <w:tab w:val="right" w:leader="dot" w:pos="8820"/>
        </w:tabs>
      </w:pPr>
      <w:r>
        <w:t>VI.</w:t>
      </w:r>
      <w:r>
        <w:tab/>
        <w:t>SERVICE QUALITY</w:t>
      </w:r>
      <w:r w:rsidR="00710045">
        <w:tab/>
        <w:t>1</w:t>
      </w:r>
      <w:r w:rsidR="00965FD8">
        <w:t>5</w:t>
      </w:r>
    </w:p>
    <w:p w:rsidR="00B814E2" w:rsidRDefault="00B814E2" w:rsidP="00B814E2">
      <w:pPr>
        <w:tabs>
          <w:tab w:val="left" w:pos="720"/>
          <w:tab w:val="left" w:pos="1440"/>
          <w:tab w:val="left" w:pos="2160"/>
          <w:tab w:val="right" w:leader="dot" w:pos="8820"/>
        </w:tabs>
      </w:pPr>
    </w:p>
    <w:p w:rsidR="002D0E71" w:rsidRDefault="002514CE" w:rsidP="00B814E2">
      <w:pPr>
        <w:tabs>
          <w:tab w:val="left" w:pos="720"/>
          <w:tab w:val="left" w:pos="1440"/>
          <w:tab w:val="left" w:pos="2160"/>
          <w:tab w:val="right" w:leader="dot" w:pos="8820"/>
        </w:tabs>
      </w:pPr>
      <w:r>
        <w:t>V</w:t>
      </w:r>
      <w:r w:rsidR="002D0E71">
        <w:t>II.</w:t>
      </w:r>
      <w:r w:rsidR="002D0E71">
        <w:tab/>
        <w:t>RECOMMENDATION</w:t>
      </w:r>
      <w:r w:rsidR="00710045">
        <w:tab/>
        <w:t>1</w:t>
      </w:r>
      <w:r w:rsidR="00563C51">
        <w:t>5</w:t>
      </w: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p>
    <w:p w:rsidR="00B814E2" w:rsidRDefault="00B814E2" w:rsidP="00B814E2"/>
    <w:p w:rsidR="00B814E2" w:rsidRDefault="00710045" w:rsidP="00B814E2">
      <w:pPr>
        <w:jc w:val="center"/>
      </w:pPr>
      <w:r>
        <w:rPr>
          <w:b/>
        </w:rPr>
        <w:t>EXHIBIT</w:t>
      </w:r>
    </w:p>
    <w:p w:rsidR="00B814E2" w:rsidRDefault="00B814E2" w:rsidP="00B814E2"/>
    <w:p w:rsidR="00B814E2" w:rsidRDefault="00B814E2" w:rsidP="00710045">
      <w:pPr>
        <w:ind w:left="2880" w:hanging="2880"/>
      </w:pPr>
      <w:r>
        <w:t xml:space="preserve">Exhibit No. </w:t>
      </w:r>
      <w:r w:rsidR="00B9163D">
        <w:t>_</w:t>
      </w:r>
      <w:r w:rsidR="00710045">
        <w:t>_</w:t>
      </w:r>
      <w:r w:rsidR="00B9163D">
        <w:t>_ (</w:t>
      </w:r>
      <w:r w:rsidR="00325DBB">
        <w:t>WHW</w:t>
      </w:r>
      <w:r>
        <w:t>-2</w:t>
      </w:r>
      <w:r w:rsidR="00B9163D">
        <w:t>)</w:t>
      </w:r>
      <w:r w:rsidR="00710045">
        <w:tab/>
      </w:r>
      <w:r w:rsidR="00B9163D">
        <w:t>Staff Recommendation on Waiver Provision</w:t>
      </w:r>
      <w:r w:rsidR="00847C71">
        <w:t>s</w:t>
      </w:r>
      <w:r w:rsidR="00B9163D">
        <w:t xml:space="preserve"> of WAC 480-121-063 </w:t>
      </w:r>
    </w:p>
    <w:p w:rsidR="00B814E2" w:rsidRDefault="00B814E2" w:rsidP="00B814E2"/>
    <w:p w:rsidR="00B814E2" w:rsidRDefault="00B814E2" w:rsidP="00B814E2"/>
    <w:p w:rsidR="00B814E2" w:rsidRDefault="00B814E2" w:rsidP="00B814E2">
      <w:pPr>
        <w:sectPr w:rsidR="00B814E2" w:rsidSect="0015026F">
          <w:footerReference w:type="default" r:id="rId9"/>
          <w:pgSz w:w="12240" w:h="15840"/>
          <w:pgMar w:top="1440" w:right="1440" w:bottom="1440" w:left="1872" w:header="720" w:footer="720" w:gutter="0"/>
          <w:pgNumType w:fmt="lowerRoman" w:start="1"/>
          <w:cols w:space="720"/>
          <w:docGrid w:linePitch="360"/>
        </w:sectPr>
      </w:pPr>
    </w:p>
    <w:p w:rsidR="00B814E2" w:rsidRDefault="00B814E2" w:rsidP="00B814E2">
      <w:pPr>
        <w:spacing w:line="480" w:lineRule="auto"/>
        <w:jc w:val="center"/>
        <w:rPr>
          <w:b/>
        </w:rPr>
      </w:pPr>
      <w:r>
        <w:rPr>
          <w:b/>
        </w:rPr>
        <w:lastRenderedPageBreak/>
        <w:t>I.</w:t>
      </w:r>
      <w:r>
        <w:rPr>
          <w:b/>
        </w:rPr>
        <w:tab/>
        <w:t>INTRODUCTION</w:t>
      </w:r>
    </w:p>
    <w:p w:rsidR="00B814E2" w:rsidRDefault="00B814E2" w:rsidP="00B814E2">
      <w:pPr>
        <w:spacing w:line="480" w:lineRule="auto"/>
        <w:rPr>
          <w:b/>
        </w:rPr>
      </w:pPr>
    </w:p>
    <w:p w:rsidR="00B814E2" w:rsidRDefault="00B814E2" w:rsidP="00B814E2">
      <w:pPr>
        <w:spacing w:line="480" w:lineRule="auto"/>
      </w:pPr>
      <w:r>
        <w:rPr>
          <w:b/>
        </w:rPr>
        <w:t>Q.</w:t>
      </w:r>
      <w:r>
        <w:rPr>
          <w:b/>
        </w:rPr>
        <w:tab/>
        <w:t xml:space="preserve">Please state your name and business address.  </w:t>
      </w:r>
    </w:p>
    <w:p w:rsidR="00B814E2" w:rsidRDefault="00B814E2" w:rsidP="00B814E2">
      <w:pPr>
        <w:spacing w:line="480" w:lineRule="auto"/>
        <w:ind w:left="720" w:hanging="720"/>
      </w:pPr>
      <w:r>
        <w:t>A.</w:t>
      </w:r>
      <w:r>
        <w:tab/>
      </w:r>
      <w:r w:rsidR="00525D88">
        <w:t>My name is</w:t>
      </w:r>
      <w:r>
        <w:t xml:space="preserve"> </w:t>
      </w:r>
      <w:r w:rsidR="00FD1E48">
        <w:t>William H. Weinman</w:t>
      </w:r>
      <w:r>
        <w:t xml:space="preserve">.  My business address is 1300 S. Evergreen Park Drive S.W., P.O. Box 47250, Olympia, WA  98504.  </w:t>
      </w:r>
    </w:p>
    <w:p w:rsidR="00B814E2" w:rsidRDefault="00B814E2" w:rsidP="00B814E2">
      <w:pPr>
        <w:spacing w:line="480" w:lineRule="auto"/>
        <w:ind w:left="720" w:hanging="720"/>
      </w:pPr>
    </w:p>
    <w:p w:rsidR="00B814E2" w:rsidRDefault="00B814E2" w:rsidP="00B814E2">
      <w:pPr>
        <w:spacing w:line="480" w:lineRule="auto"/>
        <w:ind w:left="720" w:hanging="720"/>
      </w:pPr>
      <w:r>
        <w:rPr>
          <w:b/>
        </w:rPr>
        <w:t>Q.</w:t>
      </w:r>
      <w:r>
        <w:rPr>
          <w:b/>
        </w:rPr>
        <w:tab/>
        <w:t xml:space="preserve">By whom are you employed and in what capacity?  </w:t>
      </w:r>
    </w:p>
    <w:p w:rsidR="00B814E2" w:rsidRDefault="00B814E2" w:rsidP="00B814E2">
      <w:pPr>
        <w:spacing w:line="480" w:lineRule="auto"/>
        <w:ind w:left="720" w:hanging="720"/>
      </w:pPr>
      <w:r>
        <w:t>A.</w:t>
      </w:r>
      <w:r>
        <w:tab/>
        <w:t>I am employed by the Washington Utilities and Transportation Commission</w:t>
      </w:r>
      <w:r w:rsidR="00FD1E48">
        <w:t xml:space="preserve"> (UTC or Commission)</w:t>
      </w:r>
      <w:r>
        <w:t xml:space="preserve"> as the </w:t>
      </w:r>
      <w:r w:rsidR="00FD1E48">
        <w:t>Assistant Director - Telecommunications</w:t>
      </w:r>
      <w:r>
        <w:t xml:space="preserve">.  </w:t>
      </w:r>
    </w:p>
    <w:p w:rsidR="00B814E2" w:rsidRDefault="00B814E2" w:rsidP="00B814E2">
      <w:pPr>
        <w:spacing w:line="480" w:lineRule="auto"/>
        <w:ind w:left="720" w:hanging="720"/>
      </w:pPr>
    </w:p>
    <w:p w:rsidR="00B814E2" w:rsidRDefault="00B814E2" w:rsidP="00B814E2">
      <w:pPr>
        <w:spacing w:line="480" w:lineRule="auto"/>
        <w:ind w:left="720" w:hanging="720"/>
      </w:pPr>
      <w:r>
        <w:rPr>
          <w:b/>
        </w:rPr>
        <w:t>Q.</w:t>
      </w:r>
      <w:r>
        <w:rPr>
          <w:b/>
        </w:rPr>
        <w:tab/>
        <w:t>How long have you been employed by the Commission?</w:t>
      </w:r>
    </w:p>
    <w:p w:rsidR="00B814E2" w:rsidRDefault="00B814E2" w:rsidP="00B814E2">
      <w:pPr>
        <w:spacing w:line="480" w:lineRule="auto"/>
        <w:ind w:left="720" w:hanging="720"/>
      </w:pPr>
      <w:r>
        <w:t>A.</w:t>
      </w:r>
      <w:r>
        <w:tab/>
      </w:r>
      <w:r w:rsidR="00E27E25">
        <w:t xml:space="preserve">I have been employed with the UTC since June 2007. </w:t>
      </w:r>
      <w:r w:rsidR="00AC67DA">
        <w:t xml:space="preserve"> </w:t>
      </w:r>
      <w:r w:rsidR="00E27E25">
        <w:t xml:space="preserve">I was also employed by the Commission in a </w:t>
      </w:r>
      <w:r w:rsidR="00D6514A">
        <w:t xml:space="preserve">regulatory analyst </w:t>
      </w:r>
      <w:r w:rsidR="00E27E25">
        <w:t xml:space="preserve">position from 1974 to 1978.  I have been in the </w:t>
      </w:r>
      <w:r w:rsidR="00710045">
        <w:t>a</w:t>
      </w:r>
      <w:r w:rsidR="00E27E25">
        <w:t xml:space="preserve">cting </w:t>
      </w:r>
      <w:r w:rsidR="00710045">
        <w:t>a</w:t>
      </w:r>
      <w:r w:rsidR="00E27E25">
        <w:t xml:space="preserve">ssistant </w:t>
      </w:r>
      <w:r w:rsidR="00710045">
        <w:t>d</w:t>
      </w:r>
      <w:r w:rsidR="00E27E25">
        <w:t xml:space="preserve">irector or </w:t>
      </w:r>
      <w:r w:rsidR="00710045">
        <w:t>a</w:t>
      </w:r>
      <w:r w:rsidR="00E27E25">
        <w:t xml:space="preserve">ssistant </w:t>
      </w:r>
      <w:r w:rsidR="00710045">
        <w:t>d</w:t>
      </w:r>
      <w:r w:rsidR="00E27E25">
        <w:t>irector positions of the Telecommunications Section since October 1, 2008.</w:t>
      </w:r>
      <w:r w:rsidR="00152CD4">
        <w:t xml:space="preserve"> </w:t>
      </w:r>
      <w:r w:rsidR="00B244CE">
        <w:t xml:space="preserve"> </w:t>
      </w:r>
      <w:r w:rsidR="00152CD4">
        <w:t xml:space="preserve">Between my prior and current employments with the Commission, I </w:t>
      </w:r>
      <w:r w:rsidR="009F3464">
        <w:t>was</w:t>
      </w:r>
      <w:r w:rsidR="00152CD4">
        <w:t xml:space="preserve"> employed in</w:t>
      </w:r>
      <w:r w:rsidR="00D6514A">
        <w:t xml:space="preserve"> the</w:t>
      </w:r>
      <w:r w:rsidR="00152CD4">
        <w:t xml:space="preserve"> telecommunications industry with assignments in both accounting and operations.</w:t>
      </w:r>
    </w:p>
    <w:p w:rsidR="00B814E2" w:rsidRDefault="00B814E2" w:rsidP="00B814E2">
      <w:pPr>
        <w:spacing w:line="480" w:lineRule="auto"/>
        <w:ind w:left="720" w:hanging="720"/>
      </w:pPr>
    </w:p>
    <w:p w:rsidR="00B814E2" w:rsidRDefault="00B814E2" w:rsidP="00B814E2">
      <w:pPr>
        <w:spacing w:line="480" w:lineRule="auto"/>
        <w:ind w:left="720" w:hanging="720"/>
      </w:pPr>
      <w:r>
        <w:rPr>
          <w:b/>
        </w:rPr>
        <w:t xml:space="preserve">Q </w:t>
      </w:r>
      <w:r>
        <w:rPr>
          <w:b/>
        </w:rPr>
        <w:tab/>
        <w:t>Would you please state your educational and professional background?</w:t>
      </w:r>
    </w:p>
    <w:p w:rsidR="00D67A13" w:rsidRDefault="00B814E2" w:rsidP="00B814E2">
      <w:pPr>
        <w:spacing w:line="480" w:lineRule="auto"/>
        <w:ind w:left="720" w:hanging="720"/>
      </w:pPr>
      <w:r>
        <w:t>A.</w:t>
      </w:r>
      <w:r>
        <w:tab/>
      </w:r>
      <w:r w:rsidR="00E27E25">
        <w:t xml:space="preserve">I graduated from Washington State University in 1971 receiving a Bachelor of Arts in </w:t>
      </w:r>
      <w:r w:rsidR="00525D88">
        <w:t>b</w:t>
      </w:r>
      <w:r w:rsidR="00E27E25">
        <w:t xml:space="preserve">usiness </w:t>
      </w:r>
      <w:r w:rsidR="00525D88">
        <w:t>a</w:t>
      </w:r>
      <w:r w:rsidR="00E27E25">
        <w:t>dministration with a major in accounting.</w:t>
      </w:r>
      <w:r w:rsidR="00710045">
        <w:t xml:space="preserve"> </w:t>
      </w:r>
      <w:r w:rsidR="00E27E25">
        <w:t xml:space="preserve"> I am a member of the American Institute of Certified Public Accountants.</w:t>
      </w:r>
    </w:p>
    <w:p w:rsidR="00B814E2" w:rsidRDefault="00D67A13" w:rsidP="00B814E2">
      <w:pPr>
        <w:spacing w:line="480" w:lineRule="auto"/>
        <w:ind w:left="720" w:hanging="720"/>
      </w:pPr>
      <w:r>
        <w:tab/>
      </w:r>
      <w:r w:rsidR="00710045">
        <w:tab/>
      </w:r>
      <w:r>
        <w:t xml:space="preserve">My current responsibilities at the UTC generally </w:t>
      </w:r>
      <w:r w:rsidR="00272B1F">
        <w:t xml:space="preserve">consist of </w:t>
      </w:r>
      <w:r w:rsidR="004506A5">
        <w:t xml:space="preserve">working on </w:t>
      </w:r>
      <w:r>
        <w:t>all issues in the Telecom</w:t>
      </w:r>
      <w:r w:rsidR="004506A5">
        <w:t>munications</w:t>
      </w:r>
      <w:r>
        <w:t xml:space="preserve"> </w:t>
      </w:r>
      <w:r w:rsidR="004506A5">
        <w:t>S</w:t>
      </w:r>
      <w:r>
        <w:t>ection</w:t>
      </w:r>
      <w:r w:rsidR="004506A5">
        <w:t xml:space="preserve"> as well as </w:t>
      </w:r>
      <w:r w:rsidR="00272B1F">
        <w:t>directing the work of the section</w:t>
      </w:r>
      <w:r w:rsidR="004506A5">
        <w:t xml:space="preserve">; </w:t>
      </w:r>
      <w:r w:rsidR="00272B1F">
        <w:t xml:space="preserve">including, </w:t>
      </w:r>
      <w:r w:rsidR="004506A5">
        <w:t>for example,</w:t>
      </w:r>
      <w:r>
        <w:t xml:space="preserve"> assigning dockets to staff, analyzing financial and accounting issues, reviewing interconnection contracts between carriers, ensuring compliance with Commission orders, reviewing intrastate access </w:t>
      </w:r>
      <w:r w:rsidR="00067803">
        <w:t>matters</w:t>
      </w:r>
      <w:r>
        <w:t xml:space="preserve">, </w:t>
      </w:r>
      <w:r w:rsidR="00272B1F">
        <w:t xml:space="preserve">and providing </w:t>
      </w:r>
      <w:r>
        <w:t xml:space="preserve">analysis in general rate proceedings. </w:t>
      </w:r>
      <w:r w:rsidR="00B244CE">
        <w:t xml:space="preserve"> </w:t>
      </w:r>
      <w:r>
        <w:t>I provided testimony in the Embarq Corporation and CenturyTel, Inc. petition to approve a transfer of control, Docket UT-</w:t>
      </w:r>
      <w:r w:rsidR="00F90157">
        <w:t>08</w:t>
      </w:r>
      <w:r>
        <w:t xml:space="preserve">2119. </w:t>
      </w:r>
      <w:r w:rsidR="00525D88">
        <w:t xml:space="preserve"> </w:t>
      </w:r>
      <w:r w:rsidR="00F90157">
        <w:t xml:space="preserve">I also provided testimony in the Verizon Communications Inc. and Frontier Communications Corporation petition to approve an indirect transfer of control, Docket UT-090842. </w:t>
      </w:r>
      <w:r w:rsidR="00E27E25">
        <w:t xml:space="preserve"> </w:t>
      </w:r>
    </w:p>
    <w:p w:rsidR="00B814E2" w:rsidRDefault="00B814E2" w:rsidP="00B814E2">
      <w:pPr>
        <w:spacing w:line="480" w:lineRule="auto"/>
        <w:ind w:left="720" w:hanging="720"/>
      </w:pPr>
    </w:p>
    <w:p w:rsidR="00B814E2" w:rsidRDefault="00B814E2" w:rsidP="00B814E2">
      <w:pPr>
        <w:spacing w:line="480" w:lineRule="auto"/>
        <w:ind w:left="720" w:hanging="720"/>
        <w:jc w:val="center"/>
      </w:pPr>
      <w:r>
        <w:rPr>
          <w:b/>
        </w:rPr>
        <w:t>II.</w:t>
      </w:r>
      <w:r>
        <w:rPr>
          <w:b/>
        </w:rPr>
        <w:tab/>
        <w:t>SCOPE AND SUMMARY OF TESTIMONY</w:t>
      </w:r>
    </w:p>
    <w:p w:rsidR="00B814E2" w:rsidRDefault="00B814E2" w:rsidP="00B814E2">
      <w:pPr>
        <w:spacing w:line="480" w:lineRule="auto"/>
        <w:ind w:left="720" w:hanging="720"/>
      </w:pPr>
    </w:p>
    <w:p w:rsidR="0074621B" w:rsidRDefault="00B814E2" w:rsidP="0074621B">
      <w:pPr>
        <w:spacing w:line="480" w:lineRule="auto"/>
        <w:ind w:left="720" w:hanging="720"/>
        <w:rPr>
          <w:b/>
        </w:rPr>
      </w:pPr>
      <w:r>
        <w:rPr>
          <w:b/>
        </w:rPr>
        <w:t>Q.</w:t>
      </w:r>
      <w:r>
        <w:rPr>
          <w:b/>
        </w:rPr>
        <w:tab/>
      </w:r>
      <w:r w:rsidR="0074621B">
        <w:rPr>
          <w:b/>
        </w:rPr>
        <w:t>Please describe the scope of your testimony.</w:t>
      </w:r>
    </w:p>
    <w:p w:rsidR="00152CD4" w:rsidRDefault="00B814E2" w:rsidP="00B814E2">
      <w:pPr>
        <w:spacing w:line="480" w:lineRule="auto"/>
        <w:ind w:left="720" w:hanging="720"/>
      </w:pPr>
      <w:r>
        <w:t>A.</w:t>
      </w:r>
      <w:r w:rsidR="0074621B">
        <w:tab/>
      </w:r>
      <w:r w:rsidR="00150AE3">
        <w:t xml:space="preserve">My testimony addresses the general policy foundation for Staff’s position </w:t>
      </w:r>
      <w:r w:rsidR="00927299">
        <w:t xml:space="preserve">concerning </w:t>
      </w:r>
      <w:r w:rsidR="00150AE3">
        <w:t>Frontier Communications Northwest Inc.’s (F</w:t>
      </w:r>
      <w:r w:rsidR="00927299">
        <w:t xml:space="preserve">rontier or Company) </w:t>
      </w:r>
      <w:r w:rsidR="00CC1239">
        <w:t>p</w:t>
      </w:r>
      <w:r w:rsidR="00927299">
        <w:t xml:space="preserve">etition to be </w:t>
      </w:r>
      <w:r w:rsidR="00CC1239">
        <w:t xml:space="preserve">regulated </w:t>
      </w:r>
      <w:r w:rsidR="00927299">
        <w:t xml:space="preserve">as a competitive telecommunications company </w:t>
      </w:r>
      <w:r w:rsidR="00CC1239">
        <w:t xml:space="preserve">pursuant to </w:t>
      </w:r>
      <w:r w:rsidR="00927299">
        <w:t xml:space="preserve">RCW 80.36.320 </w:t>
      </w:r>
      <w:r w:rsidR="00CC1239">
        <w:t>(Petition)</w:t>
      </w:r>
      <w:r w:rsidR="00927299">
        <w:t>.</w:t>
      </w:r>
      <w:r w:rsidR="00525D88">
        <w:t xml:space="preserve"> </w:t>
      </w:r>
      <w:r w:rsidR="00927299">
        <w:t xml:space="preserve"> It also provides context for </w:t>
      </w:r>
      <w:r w:rsidR="00AE5634">
        <w:t xml:space="preserve">the testimonies of </w:t>
      </w:r>
      <w:r w:rsidR="00927299">
        <w:t xml:space="preserve">Ms. Jing Roth and Ms. Jing Liu concerning </w:t>
      </w:r>
      <w:r w:rsidR="00A61EB7">
        <w:t>retail service</w:t>
      </w:r>
      <w:r w:rsidR="00927299">
        <w:t xml:space="preserve"> issues </w:t>
      </w:r>
      <w:r w:rsidR="00A61EB7">
        <w:t>in</w:t>
      </w:r>
      <w:r w:rsidR="00927299">
        <w:t xml:space="preserve"> th</w:t>
      </w:r>
      <w:r w:rsidR="00A61EB7">
        <w:t>e</w:t>
      </w:r>
      <w:r w:rsidR="00927299">
        <w:t xml:space="preserve"> </w:t>
      </w:r>
      <w:r w:rsidR="00F233D8">
        <w:t>P</w:t>
      </w:r>
      <w:r w:rsidR="00927299">
        <w:t>etition.</w:t>
      </w:r>
      <w:r w:rsidR="00B17E35">
        <w:t xml:space="preserve"> </w:t>
      </w:r>
      <w:r w:rsidR="00965FD8">
        <w:t xml:space="preserve"> </w:t>
      </w:r>
      <w:r w:rsidR="00B17E35">
        <w:t xml:space="preserve">In addition, I discuss </w:t>
      </w:r>
      <w:r w:rsidR="00F974D8">
        <w:t xml:space="preserve">Frontier’s showing with respect to special access services and also </w:t>
      </w:r>
      <w:r w:rsidR="00B17E35">
        <w:t xml:space="preserve">the impact of the filing on </w:t>
      </w:r>
      <w:r w:rsidR="00F974D8">
        <w:t>switched access</w:t>
      </w:r>
      <w:r w:rsidR="00B17E35">
        <w:t>.</w:t>
      </w:r>
      <w:r w:rsidR="00E06AE7">
        <w:t xml:space="preserve">  Further, I discuss the Company’s request that the Commission waive particular laws and rules.  Finally, I briefly address service quality reporting.</w:t>
      </w:r>
    </w:p>
    <w:p w:rsidR="00B814E2" w:rsidRDefault="00B814E2" w:rsidP="00B814E2">
      <w:pPr>
        <w:spacing w:line="480" w:lineRule="auto"/>
        <w:ind w:left="720" w:hanging="720"/>
      </w:pPr>
    </w:p>
    <w:p w:rsidR="00152CD4" w:rsidRDefault="00152CD4" w:rsidP="00152CD4">
      <w:pPr>
        <w:spacing w:line="480" w:lineRule="auto"/>
        <w:ind w:left="720" w:hanging="720"/>
        <w:rPr>
          <w:b/>
        </w:rPr>
      </w:pPr>
      <w:r>
        <w:rPr>
          <w:b/>
        </w:rPr>
        <w:t>Q.</w:t>
      </w:r>
      <w:r>
        <w:rPr>
          <w:b/>
        </w:rPr>
        <w:tab/>
      </w:r>
      <w:r w:rsidR="00D74989">
        <w:rPr>
          <w:b/>
        </w:rPr>
        <w:t>Please summarize your testimony.</w:t>
      </w:r>
    </w:p>
    <w:p w:rsidR="00066EEA" w:rsidRDefault="00152CD4" w:rsidP="00152CD4">
      <w:pPr>
        <w:spacing w:line="480" w:lineRule="auto"/>
        <w:ind w:left="720" w:hanging="720"/>
      </w:pPr>
      <w:r>
        <w:t>A.</w:t>
      </w:r>
      <w:r w:rsidR="00D74989">
        <w:tab/>
      </w:r>
      <w:r w:rsidR="00C3241A">
        <w:t xml:space="preserve">Staff </w:t>
      </w:r>
      <w:r w:rsidR="00A61EB7">
        <w:t>has</w:t>
      </w:r>
      <w:r w:rsidR="00C3241A">
        <w:t xml:space="preserve"> stud</w:t>
      </w:r>
      <w:r w:rsidR="00A61EB7">
        <w:t>ied</w:t>
      </w:r>
      <w:r w:rsidR="00C3241A">
        <w:t xml:space="preserve"> and </w:t>
      </w:r>
      <w:r w:rsidR="00A61EB7">
        <w:t xml:space="preserve">analyzed </w:t>
      </w:r>
      <w:r w:rsidR="00B9163D">
        <w:t xml:space="preserve">the </w:t>
      </w:r>
      <w:r w:rsidR="0019750B">
        <w:t xml:space="preserve">responses to </w:t>
      </w:r>
      <w:r w:rsidR="00AE5634">
        <w:t xml:space="preserve">over 150 </w:t>
      </w:r>
      <w:r w:rsidR="00A61EB7">
        <w:t>data request</w:t>
      </w:r>
      <w:r w:rsidR="0019750B">
        <w:t>s issued</w:t>
      </w:r>
      <w:r w:rsidR="00A61EB7">
        <w:t xml:space="preserve"> by Staff </w:t>
      </w:r>
      <w:r w:rsidR="0019750B">
        <w:t xml:space="preserve">along with </w:t>
      </w:r>
      <w:r w:rsidR="00AE5634">
        <w:t xml:space="preserve">responses to </w:t>
      </w:r>
      <w:r w:rsidR="0019750B">
        <w:t>data request</w:t>
      </w:r>
      <w:r w:rsidR="00AE5634">
        <w:t>s issued by</w:t>
      </w:r>
      <w:r w:rsidR="0019750B">
        <w:t xml:space="preserve"> </w:t>
      </w:r>
      <w:r w:rsidR="00A61EB7">
        <w:t>other parties in</w:t>
      </w:r>
      <w:r w:rsidR="00C3241A">
        <w:t xml:space="preserve"> </w:t>
      </w:r>
      <w:r w:rsidR="00A61EB7">
        <w:t>this proceeding</w:t>
      </w:r>
      <w:r w:rsidR="00C3241A">
        <w:t xml:space="preserve">. </w:t>
      </w:r>
      <w:r w:rsidR="006651EF">
        <w:t xml:space="preserve"> </w:t>
      </w:r>
      <w:r w:rsidR="00C3241A">
        <w:t xml:space="preserve">Staff </w:t>
      </w:r>
      <w:r w:rsidR="00A61EB7">
        <w:t>concludes</w:t>
      </w:r>
      <w:r w:rsidR="0019750B">
        <w:t xml:space="preserve"> </w:t>
      </w:r>
      <w:r w:rsidR="00AE5634">
        <w:t xml:space="preserve">that </w:t>
      </w:r>
      <w:r w:rsidR="0019750B">
        <w:t>the</w:t>
      </w:r>
      <w:r w:rsidR="00C3241A">
        <w:t xml:space="preserve"> Company has not met the burden of proof</w:t>
      </w:r>
      <w:r w:rsidR="00A61EB7">
        <w:t xml:space="preserve"> </w:t>
      </w:r>
      <w:r w:rsidR="00DE7454">
        <w:t>to be classified as a competitive company</w:t>
      </w:r>
      <w:r w:rsidR="00066EEA">
        <w:t xml:space="preserve"> pursuant to RCW 80.35.320 because effective competition is absent in the business and residential markets for basic stand-alone local service</w:t>
      </w:r>
      <w:r w:rsidR="00B17E35">
        <w:t xml:space="preserve"> </w:t>
      </w:r>
      <w:r w:rsidR="00B17E35" w:rsidRPr="00E06AE7">
        <w:t xml:space="preserve">and </w:t>
      </w:r>
      <w:r w:rsidR="00E06AE7">
        <w:t>because Frontier has made no showing with respect to competition in the provision of special access service</w:t>
      </w:r>
      <w:r w:rsidR="00066EEA">
        <w:t>.  Ms. Roth and Ms. Liu discuss in detail the</w:t>
      </w:r>
      <w:r w:rsidR="00027E56">
        <w:t xml:space="preserve">ir evaluations of competition in Frontier’s service territory with respect to </w:t>
      </w:r>
      <w:r w:rsidR="00066EEA">
        <w:t xml:space="preserve">business </w:t>
      </w:r>
      <w:r w:rsidR="00027E56">
        <w:t xml:space="preserve">and </w:t>
      </w:r>
      <w:r w:rsidR="00066EEA">
        <w:t>residential service</w:t>
      </w:r>
      <w:r w:rsidR="000A26F0">
        <w:t xml:space="preserve">s currently offered in Frontier’s </w:t>
      </w:r>
      <w:r w:rsidR="00380001">
        <w:t>General and Local Exchange Tariff, WN U-17</w:t>
      </w:r>
      <w:r w:rsidR="00066EEA">
        <w:t>.</w:t>
      </w:r>
    </w:p>
    <w:p w:rsidR="00F92DA5" w:rsidRDefault="00710045" w:rsidP="00CB3E68">
      <w:pPr>
        <w:spacing w:line="480" w:lineRule="auto"/>
        <w:ind w:left="720"/>
      </w:pPr>
      <w:r>
        <w:tab/>
      </w:r>
      <w:r w:rsidR="00A61EB7">
        <w:t xml:space="preserve">Frontier proposes </w:t>
      </w:r>
      <w:r w:rsidR="0036300A">
        <w:t>withdrawing</w:t>
      </w:r>
      <w:r w:rsidR="00D6514A">
        <w:t xml:space="preserve"> </w:t>
      </w:r>
      <w:r w:rsidR="0036300A">
        <w:t>its</w:t>
      </w:r>
      <w:r w:rsidR="00A61EB7">
        <w:t xml:space="preserve"> service</w:t>
      </w:r>
      <w:r w:rsidR="0019750B">
        <w:t>s</w:t>
      </w:r>
      <w:r w:rsidR="00A61EB7">
        <w:t xml:space="preserve"> from tariff and</w:t>
      </w:r>
      <w:r w:rsidR="00D6514A">
        <w:t xml:space="preserve"> </w:t>
      </w:r>
      <w:r w:rsidR="00A61EB7">
        <w:t>offer</w:t>
      </w:r>
      <w:r w:rsidR="0036300A">
        <w:t>ing</w:t>
      </w:r>
      <w:r w:rsidR="00A61EB7">
        <w:t xml:space="preserve"> those services to </w:t>
      </w:r>
      <w:r w:rsidR="0036300A">
        <w:t xml:space="preserve">its </w:t>
      </w:r>
      <w:r w:rsidR="00A61EB7">
        <w:t xml:space="preserve">customers </w:t>
      </w:r>
      <w:r w:rsidR="0036300A">
        <w:t xml:space="preserve">in </w:t>
      </w:r>
      <w:r w:rsidR="00A61EB7">
        <w:t>service catalog</w:t>
      </w:r>
      <w:r w:rsidR="0036300A">
        <w:t>s</w:t>
      </w:r>
      <w:r w:rsidR="00A61EB7">
        <w:t xml:space="preserve">. </w:t>
      </w:r>
      <w:r w:rsidR="00C8156A">
        <w:t xml:space="preserve"> This proposal includes not only retail services but wholesale services as well.  While </w:t>
      </w:r>
      <w:r w:rsidR="00661974">
        <w:t xml:space="preserve">Staff </w:t>
      </w:r>
      <w:r w:rsidR="00A17922">
        <w:t xml:space="preserve">concludes </w:t>
      </w:r>
      <w:r w:rsidR="00C8156A">
        <w:t xml:space="preserve">that </w:t>
      </w:r>
      <w:r w:rsidR="00A17922">
        <w:t xml:space="preserve">the Company’s </w:t>
      </w:r>
      <w:r w:rsidR="00C8156A">
        <w:t>P</w:t>
      </w:r>
      <w:r w:rsidR="00A17922">
        <w:t>etition for competitive classification should be denied under RCW 80.36.320 and WAC 480-121-061</w:t>
      </w:r>
      <w:r w:rsidR="00C8156A">
        <w:t xml:space="preserve">, Staff </w:t>
      </w:r>
      <w:r w:rsidR="00661974">
        <w:t>supports de-tariffing</w:t>
      </w:r>
      <w:r w:rsidR="001F7B87">
        <w:t xml:space="preserve"> </w:t>
      </w:r>
      <w:r w:rsidR="00661974">
        <w:t>most retail services</w:t>
      </w:r>
      <w:r w:rsidR="000A4A74" w:rsidRPr="000A4A74">
        <w:t xml:space="preserve"> </w:t>
      </w:r>
      <w:r w:rsidR="000A4A74">
        <w:t>under RCW 80.36.330</w:t>
      </w:r>
      <w:r w:rsidR="00C8156A">
        <w:t>, with the exception of basic stand-alon</w:t>
      </w:r>
      <w:r w:rsidR="00525D88">
        <w:t>e</w:t>
      </w:r>
      <w:r w:rsidR="00C8156A">
        <w:t xml:space="preserve"> local business and residential service</w:t>
      </w:r>
      <w:r w:rsidR="00B9163D">
        <w:t>s</w:t>
      </w:r>
      <w:r w:rsidR="000A4A74">
        <w:t xml:space="preserve"> and</w:t>
      </w:r>
      <w:r w:rsidR="00B9163D">
        <w:t xml:space="preserve"> </w:t>
      </w:r>
      <w:r w:rsidR="000915CC">
        <w:t>line extensions</w:t>
      </w:r>
      <w:r w:rsidR="00E06AE7">
        <w:t xml:space="preserve">. </w:t>
      </w:r>
      <w:r w:rsidR="00A17922">
        <w:t xml:space="preserve"> </w:t>
      </w:r>
      <w:r w:rsidR="00C8156A">
        <w:t xml:space="preserve">Regarding </w:t>
      </w:r>
      <w:r w:rsidR="00E06AE7">
        <w:t xml:space="preserve">services in “wholesale” tariffs, </w:t>
      </w:r>
      <w:r w:rsidR="00C8156A">
        <w:t xml:space="preserve">Staff </w:t>
      </w:r>
      <w:r w:rsidR="00E06AE7">
        <w:t xml:space="preserve">recommends that retail special access services remain tariffed because Frontier has not demonstrated that there is effective competition in the market; and recommends that switched access also remain tariffed because </w:t>
      </w:r>
      <w:r w:rsidR="00216D63">
        <w:t>the UTC should not rely on the Federal Communications Commission</w:t>
      </w:r>
      <w:r w:rsidR="000A4A74">
        <w:t xml:space="preserve"> (FCC)</w:t>
      </w:r>
      <w:r w:rsidR="00216D63">
        <w:t xml:space="preserve"> to regulate Washington’s intrastate switched access</w:t>
      </w:r>
      <w:r w:rsidR="00FF0EAB">
        <w:t>.</w:t>
      </w:r>
    </w:p>
    <w:p w:rsidR="00216D63" w:rsidRDefault="00710045" w:rsidP="00CB3E68">
      <w:pPr>
        <w:spacing w:line="480" w:lineRule="auto"/>
        <w:ind w:left="720"/>
      </w:pPr>
      <w:r>
        <w:tab/>
      </w:r>
      <w:r w:rsidR="00216D63">
        <w:t>Frontier has requested that the Commission waive certain laws and rules.  In the current environment, many of these requirements are appropriate for waiver.  If the Commission grants competitive classification to selected services, as Staff proposes, I recommend that the Commission also grant Frontier’s requests with respect to many of the rules and laws Frontier proposes be waived.</w:t>
      </w:r>
    </w:p>
    <w:p w:rsidR="00E72B17" w:rsidRDefault="00E72B17" w:rsidP="00152CD4">
      <w:pPr>
        <w:spacing w:line="480" w:lineRule="auto"/>
        <w:ind w:left="720" w:hanging="720"/>
      </w:pPr>
    </w:p>
    <w:p w:rsidR="00793B04" w:rsidRPr="00CB3E68" w:rsidRDefault="00793B04" w:rsidP="00CB3E68">
      <w:pPr>
        <w:spacing w:line="480" w:lineRule="auto"/>
        <w:ind w:left="720" w:hanging="720"/>
        <w:jc w:val="center"/>
        <w:rPr>
          <w:b/>
        </w:rPr>
      </w:pPr>
      <w:r>
        <w:rPr>
          <w:b/>
        </w:rPr>
        <w:t>III.</w:t>
      </w:r>
      <w:r>
        <w:rPr>
          <w:b/>
        </w:rPr>
        <w:tab/>
      </w:r>
      <w:r w:rsidR="008A3266">
        <w:rPr>
          <w:b/>
        </w:rPr>
        <w:t>POLICIES AND STANDARDS</w:t>
      </w:r>
    </w:p>
    <w:p w:rsidR="00D964AB" w:rsidRDefault="00D964AB" w:rsidP="00152CD4">
      <w:pPr>
        <w:spacing w:line="480" w:lineRule="auto"/>
        <w:ind w:left="720" w:hanging="720"/>
        <w:rPr>
          <w:b/>
        </w:rPr>
      </w:pPr>
    </w:p>
    <w:p w:rsidR="00D964AB" w:rsidRDefault="00D964AB" w:rsidP="00D964AB">
      <w:pPr>
        <w:spacing w:line="480" w:lineRule="auto"/>
        <w:ind w:left="720" w:hanging="720"/>
        <w:rPr>
          <w:b/>
        </w:rPr>
      </w:pPr>
      <w:r>
        <w:rPr>
          <w:b/>
        </w:rPr>
        <w:t>Q.</w:t>
      </w:r>
      <w:r>
        <w:rPr>
          <w:b/>
        </w:rPr>
        <w:tab/>
        <w:t>Will you briefly describe Frontier’s filing?</w:t>
      </w:r>
    </w:p>
    <w:p w:rsidR="00D964AB" w:rsidRDefault="00D964AB" w:rsidP="00D964AB">
      <w:pPr>
        <w:spacing w:line="480" w:lineRule="auto"/>
        <w:ind w:left="720" w:hanging="720"/>
      </w:pPr>
      <w:r>
        <w:t>A.</w:t>
      </w:r>
      <w:r>
        <w:tab/>
        <w:t xml:space="preserve">Frontier is asking the Commission to competitively classify the Company under RCW 80.36.320 and WAC 480-121-061.  The effect of this </w:t>
      </w:r>
      <w:r w:rsidR="00EA4A37">
        <w:t>classification</w:t>
      </w:r>
      <w:r>
        <w:t xml:space="preserve"> would change the Company’s status for intrastate purposes from an Incumbent Local Exchange Carrier (ILEC) to a Competitive Local Exchange Carrier (CLEC).  The Company proposes withdrawing both wholesale and retail tariffs and offering these services to customers from a service catalog or price list.  Frontier is the first ILEC to request release from economic regulation under RCW 80.36.320.  If Frontier’s Petition were granted, all of the services it offers would be subject to market pricing and minimal regulation.</w:t>
      </w:r>
    </w:p>
    <w:p w:rsidR="00D964AB" w:rsidRDefault="00D964AB" w:rsidP="00CB3E68">
      <w:pPr>
        <w:spacing w:line="480" w:lineRule="auto"/>
        <w:ind w:left="720" w:hanging="720"/>
      </w:pPr>
      <w:r>
        <w:tab/>
      </w:r>
      <w:r w:rsidR="00710045">
        <w:tab/>
      </w:r>
      <w:r>
        <w:t>The Company states in its Petition that competitive classification would have no impact on the following:</w:t>
      </w:r>
    </w:p>
    <w:p w:rsidR="00D964AB" w:rsidRDefault="00710045" w:rsidP="00710045">
      <w:pPr>
        <w:ind w:left="1440"/>
      </w:pPr>
      <w:r>
        <w:t>1.</w:t>
      </w:r>
      <w:r>
        <w:tab/>
      </w:r>
      <w:r w:rsidR="00D964AB">
        <w:t>Low-income and hearing impaired programs;</w:t>
      </w:r>
    </w:p>
    <w:p w:rsidR="00710045" w:rsidRDefault="00710045" w:rsidP="00710045">
      <w:pPr>
        <w:ind w:left="1440"/>
      </w:pPr>
    </w:p>
    <w:p w:rsidR="00D964AB" w:rsidRDefault="00710045" w:rsidP="00710045">
      <w:pPr>
        <w:ind w:left="1440"/>
      </w:pPr>
      <w:r>
        <w:t>2.</w:t>
      </w:r>
      <w:r>
        <w:tab/>
      </w:r>
      <w:r w:rsidR="00D964AB">
        <w:t>E-911;</w:t>
      </w:r>
    </w:p>
    <w:p w:rsidR="00710045" w:rsidRDefault="00710045" w:rsidP="00710045">
      <w:pPr>
        <w:ind w:left="1440"/>
      </w:pPr>
    </w:p>
    <w:p w:rsidR="00D964AB" w:rsidRDefault="00710045" w:rsidP="00710045">
      <w:pPr>
        <w:ind w:left="1440"/>
      </w:pPr>
      <w:r>
        <w:t>3.</w:t>
      </w:r>
      <w:r>
        <w:tab/>
      </w:r>
      <w:r w:rsidR="00D964AB">
        <w:t xml:space="preserve">Eligible Telecommunications Carrier </w:t>
      </w:r>
      <w:r w:rsidR="00593BE7">
        <w:t xml:space="preserve">(ETC) </w:t>
      </w:r>
      <w:r w:rsidR="00D964AB">
        <w:t>Status;</w:t>
      </w:r>
    </w:p>
    <w:p w:rsidR="00710045" w:rsidRDefault="00710045" w:rsidP="00710045">
      <w:pPr>
        <w:ind w:left="1440"/>
      </w:pPr>
    </w:p>
    <w:p w:rsidR="00D964AB" w:rsidRDefault="00710045" w:rsidP="00710045">
      <w:pPr>
        <w:ind w:left="1440"/>
      </w:pPr>
      <w:r>
        <w:t>4.</w:t>
      </w:r>
      <w:r>
        <w:tab/>
      </w:r>
      <w:r w:rsidR="00D964AB">
        <w:t>Carrier of Last Resort;</w:t>
      </w:r>
    </w:p>
    <w:p w:rsidR="00710045" w:rsidRDefault="00710045" w:rsidP="00710045">
      <w:pPr>
        <w:ind w:left="1440"/>
      </w:pPr>
    </w:p>
    <w:p w:rsidR="00D964AB" w:rsidRDefault="00710045" w:rsidP="00710045">
      <w:pPr>
        <w:ind w:left="2160" w:hanging="720"/>
      </w:pPr>
      <w:r>
        <w:t>5.</w:t>
      </w:r>
      <w:r>
        <w:tab/>
      </w:r>
      <w:r w:rsidR="00EC166C">
        <w:t>I</w:t>
      </w:r>
      <w:r w:rsidR="00D964AB">
        <w:t>nterconnection and wholesale obligations under the 1996 Telecommunications Act (the Act)</w:t>
      </w:r>
      <w:r w:rsidR="00EC166C">
        <w:t>, sections 251 and 252</w:t>
      </w:r>
      <w:r w:rsidR="00D964AB">
        <w:t>.</w:t>
      </w:r>
    </w:p>
    <w:p w:rsidR="00710045" w:rsidRDefault="00710045" w:rsidP="00710045">
      <w:pPr>
        <w:ind w:left="1440"/>
      </w:pPr>
    </w:p>
    <w:p w:rsidR="00593BE7" w:rsidRDefault="00593BE7" w:rsidP="005101C0">
      <w:pPr>
        <w:spacing w:line="480" w:lineRule="auto"/>
        <w:ind w:firstLine="720"/>
      </w:pPr>
      <w:r>
        <w:t>Staff has specific concerns related to Frontier’s status as an ETC and carrier of last resort, which Ms. Liu addresses in her testimony.</w:t>
      </w:r>
    </w:p>
    <w:p w:rsidR="00D964AB" w:rsidRDefault="00D964AB" w:rsidP="00152CD4">
      <w:pPr>
        <w:spacing w:line="480" w:lineRule="auto"/>
        <w:ind w:left="720" w:hanging="720"/>
        <w:rPr>
          <w:b/>
        </w:rPr>
      </w:pPr>
    </w:p>
    <w:p w:rsidR="006819AD" w:rsidRPr="00CB3E68" w:rsidRDefault="006819AD" w:rsidP="00152CD4">
      <w:pPr>
        <w:spacing w:line="480" w:lineRule="auto"/>
        <w:ind w:left="720" w:hanging="720"/>
        <w:rPr>
          <w:b/>
        </w:rPr>
      </w:pPr>
      <w:r>
        <w:rPr>
          <w:b/>
        </w:rPr>
        <w:t>Q.</w:t>
      </w:r>
      <w:r>
        <w:rPr>
          <w:b/>
        </w:rPr>
        <w:tab/>
        <w:t>What policies should the Commission consider when it evaluates the Petition?</w:t>
      </w:r>
    </w:p>
    <w:p w:rsidR="00E72B17" w:rsidRDefault="006819AD" w:rsidP="00152CD4">
      <w:pPr>
        <w:spacing w:line="480" w:lineRule="auto"/>
        <w:ind w:left="720" w:hanging="720"/>
      </w:pPr>
      <w:r>
        <w:t>A.</w:t>
      </w:r>
      <w:r w:rsidR="00E72B17">
        <w:tab/>
      </w:r>
      <w:r>
        <w:t xml:space="preserve">At the same time that the legislature enacted the competitive classification statutes that Frontier has petitioned under, the </w:t>
      </w:r>
      <w:r w:rsidR="00680EBB">
        <w:t>legislature</w:t>
      </w:r>
      <w:r w:rsidR="00E72B17">
        <w:t xml:space="preserve"> </w:t>
      </w:r>
      <w:r w:rsidR="0011388D">
        <w:t xml:space="preserve">adopted </w:t>
      </w:r>
      <w:r>
        <w:t xml:space="preserve">a policy declaration, which is codified at </w:t>
      </w:r>
      <w:r w:rsidR="00E72B17">
        <w:t xml:space="preserve">RCW 80.36.300. </w:t>
      </w:r>
      <w:r>
        <w:t xml:space="preserve"> </w:t>
      </w:r>
      <w:r w:rsidR="00E72B17">
        <w:t xml:space="preserve">The declaration </w:t>
      </w:r>
      <w:r w:rsidR="0011388D">
        <w:t xml:space="preserve">enunciates </w:t>
      </w:r>
      <w:r>
        <w:t>the following policies</w:t>
      </w:r>
      <w:r w:rsidR="00E72B17">
        <w:t>:</w:t>
      </w:r>
    </w:p>
    <w:p w:rsidR="00710045" w:rsidRDefault="00710045" w:rsidP="00710045">
      <w:pPr>
        <w:ind w:left="2160" w:hanging="720"/>
      </w:pPr>
      <w:r>
        <w:t>1.</w:t>
      </w:r>
      <w:r>
        <w:tab/>
      </w:r>
      <w:r w:rsidR="00E72B17">
        <w:t xml:space="preserve">Preserve affordable universal telecommunications </w:t>
      </w:r>
      <w:r w:rsidR="00680EBB">
        <w:t>s</w:t>
      </w:r>
      <w:r w:rsidR="00E72B17">
        <w:t>ervice;</w:t>
      </w:r>
    </w:p>
    <w:p w:rsidR="00710045" w:rsidRDefault="00710045" w:rsidP="00710045">
      <w:pPr>
        <w:ind w:left="2160" w:hanging="720"/>
      </w:pPr>
    </w:p>
    <w:p w:rsidR="00E72B17" w:rsidRDefault="00710045" w:rsidP="00710045">
      <w:pPr>
        <w:ind w:left="2160" w:hanging="720"/>
      </w:pPr>
      <w:r>
        <w:t>2.</w:t>
      </w:r>
      <w:r>
        <w:tab/>
      </w:r>
      <w:r w:rsidR="00E72B17">
        <w:t>Maintain and advance the efficiency and availability of telecommunications service</w:t>
      </w:r>
      <w:r w:rsidR="00680EBB">
        <w:t>;</w:t>
      </w:r>
    </w:p>
    <w:p w:rsidR="00710045" w:rsidRDefault="00710045" w:rsidP="00710045">
      <w:pPr>
        <w:ind w:left="2160" w:hanging="720"/>
      </w:pPr>
    </w:p>
    <w:p w:rsidR="00710045" w:rsidRDefault="00710045" w:rsidP="00710045">
      <w:pPr>
        <w:ind w:left="2160" w:hanging="720"/>
      </w:pPr>
      <w:r>
        <w:t>3.</w:t>
      </w:r>
      <w:r>
        <w:tab/>
      </w:r>
      <w:r w:rsidR="00680EBB">
        <w:t>Ensure that customers pay only reasonable charges for telecommunications service;</w:t>
      </w:r>
    </w:p>
    <w:p w:rsidR="00710045" w:rsidRDefault="00710045" w:rsidP="00710045">
      <w:pPr>
        <w:ind w:left="2160" w:hanging="720"/>
      </w:pPr>
    </w:p>
    <w:p w:rsidR="00710045" w:rsidRDefault="00710045" w:rsidP="00710045">
      <w:pPr>
        <w:ind w:left="2160" w:hanging="720"/>
      </w:pPr>
      <w:r>
        <w:t>4.</w:t>
      </w:r>
      <w:r>
        <w:tab/>
      </w:r>
      <w:r w:rsidR="00680EBB">
        <w:t>Ensure that rates for noncompetitive telecommunications services do not subsidize the competitive ventures of regulated telecommunications companies;</w:t>
      </w:r>
    </w:p>
    <w:p w:rsidR="00710045" w:rsidRDefault="00710045" w:rsidP="00710045">
      <w:pPr>
        <w:ind w:left="2160" w:hanging="720"/>
      </w:pPr>
    </w:p>
    <w:p w:rsidR="00710045" w:rsidRDefault="00710045" w:rsidP="00710045">
      <w:pPr>
        <w:ind w:left="2160" w:hanging="720"/>
      </w:pPr>
      <w:r>
        <w:t>5.</w:t>
      </w:r>
      <w:r>
        <w:tab/>
      </w:r>
      <w:r w:rsidR="00680EBB">
        <w:t>Promote diversity in the supply of telecommunications services and products in telecommunications markets throughout the state; and</w:t>
      </w:r>
    </w:p>
    <w:p w:rsidR="00710045" w:rsidRDefault="00710045" w:rsidP="00710045">
      <w:pPr>
        <w:ind w:left="2160" w:hanging="720"/>
      </w:pPr>
    </w:p>
    <w:p w:rsidR="00680EBB" w:rsidRDefault="00710045" w:rsidP="00710045">
      <w:pPr>
        <w:ind w:left="2160" w:hanging="720"/>
      </w:pPr>
      <w:r>
        <w:t>6.</w:t>
      </w:r>
      <w:r>
        <w:tab/>
      </w:r>
      <w:r w:rsidR="00680EBB">
        <w:t>Permit flexible regulation of competitive telecommunications companies and services.</w:t>
      </w:r>
    </w:p>
    <w:p w:rsidR="00710045" w:rsidRDefault="00710045" w:rsidP="00710045">
      <w:pPr>
        <w:ind w:left="2160" w:hanging="720"/>
      </w:pPr>
    </w:p>
    <w:p w:rsidR="001A715B" w:rsidRDefault="00710045" w:rsidP="005C3A92">
      <w:pPr>
        <w:spacing w:line="480" w:lineRule="auto"/>
        <w:ind w:left="720"/>
      </w:pPr>
      <w:r>
        <w:tab/>
      </w:r>
      <w:r w:rsidR="00214766">
        <w:t xml:space="preserve">All of these policies are relevant to Frontier’s Petition.  </w:t>
      </w:r>
      <w:r w:rsidR="0080337C">
        <w:t xml:space="preserve">In his direct testimony, </w:t>
      </w:r>
      <w:r w:rsidR="001A715B">
        <w:t>Company witness Mr. Phillips quotes item number</w:t>
      </w:r>
      <w:r w:rsidR="00EC166C">
        <w:t>s</w:t>
      </w:r>
      <w:r w:rsidR="001A715B">
        <w:t xml:space="preserve"> five and six of the policy declaration and then discusses the magnitude of Frontier’s investment in facilities and infrastructure in Washington between July 1, 2010</w:t>
      </w:r>
      <w:r w:rsidR="001A715B">
        <w:rPr>
          <w:rStyle w:val="FootnoteReference"/>
        </w:rPr>
        <w:footnoteReference w:id="1"/>
      </w:r>
      <w:r w:rsidR="001A715B">
        <w:t xml:space="preserve"> and December, 2012.</w:t>
      </w:r>
      <w:r w:rsidR="005B7C47">
        <w:rPr>
          <w:rStyle w:val="FootnoteReference"/>
        </w:rPr>
        <w:footnoteReference w:id="2"/>
      </w:r>
      <w:r w:rsidR="001A715B">
        <w:t xml:space="preserve"> </w:t>
      </w:r>
      <w:r w:rsidR="0080337C">
        <w:t xml:space="preserve"> </w:t>
      </w:r>
      <w:r w:rsidR="001A715B">
        <w:t xml:space="preserve">Mr. Phillips </w:t>
      </w:r>
      <w:r w:rsidR="007E571A">
        <w:t>implies</w:t>
      </w:r>
      <w:r w:rsidR="001A715B">
        <w:t xml:space="preserve"> that </w:t>
      </w:r>
      <w:r w:rsidR="0080337C">
        <w:t xml:space="preserve">the policies </w:t>
      </w:r>
      <w:r w:rsidR="001A715B">
        <w:t>number</w:t>
      </w:r>
      <w:r w:rsidR="0080337C">
        <w:t>ed</w:t>
      </w:r>
      <w:r w:rsidR="001A715B">
        <w:t xml:space="preserve"> five and six </w:t>
      </w:r>
      <w:r w:rsidR="0021520F">
        <w:t xml:space="preserve">are the </w:t>
      </w:r>
      <w:r w:rsidR="007E571A">
        <w:t xml:space="preserve">only </w:t>
      </w:r>
      <w:r w:rsidR="0021520F">
        <w:t>policies relevant to the Petition</w:t>
      </w:r>
      <w:r w:rsidR="00EC166C">
        <w:t>,</w:t>
      </w:r>
      <w:r w:rsidR="0021520F">
        <w:t xml:space="preserve"> and </w:t>
      </w:r>
      <w:r w:rsidR="00EC166C">
        <w:t xml:space="preserve">he </w:t>
      </w:r>
      <w:r w:rsidR="00176EEB">
        <w:t>contends that they</w:t>
      </w:r>
      <w:r w:rsidR="0021520F">
        <w:t xml:space="preserve"> suppo</w:t>
      </w:r>
      <w:r w:rsidR="00176EEB">
        <w:t>rt</w:t>
      </w:r>
      <w:r w:rsidR="0021520F">
        <w:t xml:space="preserve"> granting</w:t>
      </w:r>
      <w:r w:rsidR="001A715B">
        <w:t xml:space="preserve"> </w:t>
      </w:r>
      <w:r w:rsidR="007E571A">
        <w:t>it</w:t>
      </w:r>
      <w:r w:rsidR="001A715B">
        <w:t xml:space="preserve">. </w:t>
      </w:r>
    </w:p>
    <w:p w:rsidR="0011388D" w:rsidRDefault="00710045" w:rsidP="001A715B">
      <w:pPr>
        <w:spacing w:line="480" w:lineRule="auto"/>
        <w:ind w:left="720"/>
      </w:pPr>
      <w:r>
        <w:tab/>
      </w:r>
      <w:r w:rsidR="007E571A">
        <w:t xml:space="preserve">Policies </w:t>
      </w:r>
      <w:r w:rsidR="001A715B">
        <w:t>one</w:t>
      </w:r>
      <w:r w:rsidR="00DE3C7E">
        <w:t xml:space="preserve">, two, and </w:t>
      </w:r>
      <w:r w:rsidR="007E571A">
        <w:t xml:space="preserve">three, preserving universal telecommunications service, </w:t>
      </w:r>
      <w:r w:rsidR="00391DE4">
        <w:t>maintaining</w:t>
      </w:r>
      <w:r w:rsidR="008D2024">
        <w:t xml:space="preserve"> and advancing</w:t>
      </w:r>
      <w:r w:rsidR="007E571A">
        <w:t xml:space="preserve"> the efficiency </w:t>
      </w:r>
      <w:r w:rsidR="00391DE4">
        <w:t xml:space="preserve">and availability </w:t>
      </w:r>
      <w:r w:rsidR="007E571A">
        <w:t xml:space="preserve">of telecommunications service, and ensuring customers pay a reasonable price for service, also </w:t>
      </w:r>
      <w:r w:rsidR="001A715B">
        <w:t xml:space="preserve">are </w:t>
      </w:r>
      <w:r w:rsidR="007E571A">
        <w:t xml:space="preserve">directly </w:t>
      </w:r>
      <w:r w:rsidR="001A715B">
        <w:t xml:space="preserve">relevant </w:t>
      </w:r>
      <w:r w:rsidR="007E571A">
        <w:t>to the question of whether there is effective competition</w:t>
      </w:r>
      <w:r w:rsidR="00DE3C7E">
        <w:t>.</w:t>
      </w:r>
      <w:r w:rsidR="007E571A">
        <w:t xml:space="preserve">  Where there is effective competition, </w:t>
      </w:r>
      <w:r w:rsidR="00DE3C7E">
        <w:t xml:space="preserve">regulation may be loosened and </w:t>
      </w:r>
      <w:r w:rsidR="007E571A">
        <w:t xml:space="preserve">these policies </w:t>
      </w:r>
      <w:r w:rsidR="00DE3C7E">
        <w:t xml:space="preserve">still </w:t>
      </w:r>
      <w:r w:rsidR="007E571A">
        <w:t xml:space="preserve">will be supported.  Where there is an unregulated monopoly, </w:t>
      </w:r>
      <w:r w:rsidR="00DE3C7E">
        <w:t xml:space="preserve">end-users </w:t>
      </w:r>
      <w:r w:rsidR="00C11983">
        <w:t>require</w:t>
      </w:r>
      <w:r w:rsidR="00DE3C7E">
        <w:t xml:space="preserve"> the protection of regulation,</w:t>
      </w:r>
      <w:r w:rsidR="00C11983">
        <w:t xml:space="preserve"> and</w:t>
      </w:r>
      <w:r w:rsidR="00DE3C7E">
        <w:t xml:space="preserve"> </w:t>
      </w:r>
      <w:r w:rsidR="000B30AB">
        <w:t xml:space="preserve">there is no assurance that these policies will be advanced.  </w:t>
      </w:r>
      <w:r w:rsidR="007E571A">
        <w:t>Policy four</w:t>
      </w:r>
      <w:r w:rsidR="000B30AB">
        <w:t xml:space="preserve">, ensuring </w:t>
      </w:r>
      <w:r w:rsidR="00EC166C">
        <w:t xml:space="preserve">that </w:t>
      </w:r>
      <w:r w:rsidR="000B30AB">
        <w:t>rates for noncompetitive services do not subsidize competitive services,</w:t>
      </w:r>
      <w:r w:rsidR="007E571A">
        <w:t xml:space="preserve"> remains </w:t>
      </w:r>
      <w:r w:rsidR="000B30AB">
        <w:t>relevant</w:t>
      </w:r>
      <w:r w:rsidR="007E571A">
        <w:t xml:space="preserve"> </w:t>
      </w:r>
      <w:r w:rsidR="000B30AB">
        <w:t xml:space="preserve">in this case </w:t>
      </w:r>
      <w:r w:rsidR="007E571A">
        <w:t xml:space="preserve">because Frontier </w:t>
      </w:r>
      <w:r w:rsidR="00003BA0">
        <w:t>has not met its burden to show that the services it offers should be competitively classified</w:t>
      </w:r>
      <w:r w:rsidR="007E571A">
        <w:t>.</w:t>
      </w:r>
    </w:p>
    <w:p w:rsidR="001A715B" w:rsidRDefault="00710045" w:rsidP="001A715B">
      <w:pPr>
        <w:spacing w:line="480" w:lineRule="auto"/>
        <w:ind w:left="720"/>
      </w:pPr>
      <w:r>
        <w:tab/>
      </w:r>
      <w:r w:rsidR="0011388D">
        <w:t>With regard to p</w:t>
      </w:r>
      <w:r w:rsidR="00CD417F">
        <w:t>olicy five, promot</w:t>
      </w:r>
      <w:r w:rsidR="0011388D">
        <w:t>ing</w:t>
      </w:r>
      <w:r w:rsidR="00CD417F">
        <w:t xml:space="preserve"> diversity in the supply of telecommunications services and products in telecommunications markets throughout the state</w:t>
      </w:r>
      <w:r w:rsidR="00055F23">
        <w:t>,</w:t>
      </w:r>
      <w:r w:rsidR="00CD417F">
        <w:t xml:space="preserve"> </w:t>
      </w:r>
      <w:r w:rsidR="00055F23">
        <w:t>t</w:t>
      </w:r>
      <w:r w:rsidR="00CD417F">
        <w:t xml:space="preserve">he </w:t>
      </w:r>
      <w:r w:rsidR="0011388D">
        <w:t xml:space="preserve">Company’s request for flexible pricing of its services provides no indication that granting the Petition </w:t>
      </w:r>
      <w:r w:rsidR="00055F23">
        <w:t xml:space="preserve">will further the goals of policy </w:t>
      </w:r>
      <w:r w:rsidR="00EC166C">
        <w:t>five</w:t>
      </w:r>
      <w:r w:rsidR="00055F23">
        <w:t xml:space="preserve">. </w:t>
      </w:r>
      <w:r w:rsidR="0011388D">
        <w:t xml:space="preserve"> The Commission has several means of advancing p</w:t>
      </w:r>
      <w:r w:rsidR="00055F23">
        <w:t>olicy six, permit</w:t>
      </w:r>
      <w:r w:rsidR="0011388D">
        <w:t>ting</w:t>
      </w:r>
      <w:r w:rsidR="00055F23">
        <w:t xml:space="preserve"> flexible regulation of competitive telecommunications companies and services</w:t>
      </w:r>
      <w:r w:rsidR="0011388D">
        <w:t>,</w:t>
      </w:r>
      <w:r w:rsidR="00055F23">
        <w:t xml:space="preserve"> </w:t>
      </w:r>
      <w:r w:rsidR="0011388D">
        <w:t>other</w:t>
      </w:r>
      <w:r w:rsidR="00055F23">
        <w:t xml:space="preserve"> than </w:t>
      </w:r>
      <w:r w:rsidR="0011388D">
        <w:t xml:space="preserve">granting </w:t>
      </w:r>
      <w:r w:rsidR="00055F23">
        <w:t>the Company competitive status under RCW 80.36.320.</w:t>
      </w:r>
      <w:r w:rsidR="0068195F">
        <w:t xml:space="preserve">  Under Staff’s analysis, other means, such as classifying individual services as competitive under RCW 80.36.330, offer an alternative given Staff’s conclusion that Frontier has not met its burden under RCW 80.36.320.</w:t>
      </w:r>
    </w:p>
    <w:p w:rsidR="00680EBB" w:rsidRDefault="00710045" w:rsidP="00680EBB">
      <w:pPr>
        <w:spacing w:line="480" w:lineRule="auto"/>
        <w:ind w:left="720"/>
      </w:pPr>
      <w:r>
        <w:tab/>
      </w:r>
      <w:r w:rsidR="00391DE4">
        <w:t xml:space="preserve">With regard to the policy of maintaining </w:t>
      </w:r>
      <w:r w:rsidR="008D2024">
        <w:t xml:space="preserve">and advancing </w:t>
      </w:r>
      <w:r w:rsidR="00391DE4">
        <w:t>the efficiency and availability of telecommunications service, it</w:t>
      </w:r>
      <w:r w:rsidR="008F4472">
        <w:t xml:space="preserve"> is important </w:t>
      </w:r>
      <w:r w:rsidR="00391DE4">
        <w:t xml:space="preserve">also </w:t>
      </w:r>
      <w:r w:rsidR="008F4472">
        <w:t xml:space="preserve">to acknowledge </w:t>
      </w:r>
      <w:r w:rsidR="00391DE4">
        <w:t xml:space="preserve">Frontier’s responsibility for ensuring its own viability.  In connection with </w:t>
      </w:r>
      <w:r w:rsidR="008F4472">
        <w:t>Frontier</w:t>
      </w:r>
      <w:r w:rsidR="00253E98">
        <w:t xml:space="preserve">’s acquisition of </w:t>
      </w:r>
      <w:r w:rsidR="008F4472">
        <w:t>Verizon</w:t>
      </w:r>
      <w:r w:rsidR="00253E98">
        <w:t xml:space="preserve"> Northwest, Inc.</w:t>
      </w:r>
      <w:r w:rsidR="00CC33F9">
        <w:t xml:space="preserve"> (Verizon)</w:t>
      </w:r>
      <w:r w:rsidR="00391DE4">
        <w:t xml:space="preserve">, </w:t>
      </w:r>
      <w:r w:rsidR="00253E98">
        <w:t xml:space="preserve">Frontier </w:t>
      </w:r>
      <w:r w:rsidR="00391DE4">
        <w:t xml:space="preserve">committed </w:t>
      </w:r>
      <w:r w:rsidR="00253E98">
        <w:t xml:space="preserve">to </w:t>
      </w:r>
      <w:r w:rsidR="00391DE4">
        <w:t>investing in the expansion of</w:t>
      </w:r>
      <w:r w:rsidR="00253E98">
        <w:t xml:space="preserve"> broadband service in Washington</w:t>
      </w:r>
      <w:r w:rsidR="00C75B4B">
        <w:t xml:space="preserve"> and</w:t>
      </w:r>
      <w:r w:rsidR="00253E98">
        <w:t xml:space="preserve"> </w:t>
      </w:r>
      <w:r w:rsidR="00391DE4">
        <w:t>planned to</w:t>
      </w:r>
      <w:r w:rsidR="00253E98">
        <w:t xml:space="preserve"> convert Verizon</w:t>
      </w:r>
      <w:r w:rsidR="000420ED">
        <w:t>’s IT</w:t>
      </w:r>
      <w:r w:rsidR="00253E98">
        <w:t xml:space="preserve"> systems to Frontier’s </w:t>
      </w:r>
      <w:r w:rsidR="00391DE4">
        <w:t>o</w:t>
      </w:r>
      <w:r w:rsidR="00253E98">
        <w:t>perating systems</w:t>
      </w:r>
      <w:r w:rsidR="00C75B4B">
        <w:t>.</w:t>
      </w:r>
      <w:r w:rsidR="00253E98">
        <w:t xml:space="preserve"> </w:t>
      </w:r>
      <w:r w:rsidR="004006E8">
        <w:t xml:space="preserve"> </w:t>
      </w:r>
      <w:r w:rsidR="00253E98">
        <w:t>Frontier understood that Verizon had been losing both business and residential customers since</w:t>
      </w:r>
      <w:r w:rsidR="001A715B">
        <w:t xml:space="preserve"> the year</w:t>
      </w:r>
      <w:r w:rsidR="00253E98">
        <w:t xml:space="preserve"> 2000</w:t>
      </w:r>
      <w:r w:rsidR="00EC166C">
        <w:t>,</w:t>
      </w:r>
      <w:r w:rsidR="00C75B4B">
        <w:t xml:space="preserve"> and the Company also understood </w:t>
      </w:r>
      <w:r w:rsidR="0012219D">
        <w:t>there would be substantial capital requirements to convert Verizon</w:t>
      </w:r>
      <w:r w:rsidR="000420ED">
        <w:t>’s</w:t>
      </w:r>
      <w:r w:rsidR="0012219D">
        <w:t xml:space="preserve"> operating systems</w:t>
      </w:r>
      <w:r w:rsidR="000420ED">
        <w:t xml:space="preserve"> to Frontier’s systems</w:t>
      </w:r>
      <w:r w:rsidR="0012219D">
        <w:t xml:space="preserve">. </w:t>
      </w:r>
      <w:r w:rsidR="004006E8">
        <w:t xml:space="preserve"> </w:t>
      </w:r>
      <w:r w:rsidR="0012219D">
        <w:t xml:space="preserve">Company personnel stood before the Commission during the acquisition proceedings assuring the Commissioners it would succeed as an ILEC despite the line loss issues Verizon was experiencing. </w:t>
      </w:r>
      <w:r w:rsidR="004006E8">
        <w:t xml:space="preserve"> </w:t>
      </w:r>
      <w:r w:rsidR="00B7137F">
        <w:t>In its final order, t</w:t>
      </w:r>
      <w:r w:rsidR="00E54E17">
        <w:t>he Commission invited Frontier to file a plan for alternative form of regulation</w:t>
      </w:r>
      <w:r w:rsidR="00EC166C">
        <w:t>.</w:t>
      </w:r>
      <w:r w:rsidR="00417B59">
        <w:rPr>
          <w:rStyle w:val="FootnoteReference"/>
        </w:rPr>
        <w:footnoteReference w:id="3"/>
      </w:r>
      <w:r w:rsidR="00E54E17">
        <w:t xml:space="preserve">  At the time, it was contemplated that reducing regulation in some areas might be appropriate.  None of this history, however, </w:t>
      </w:r>
      <w:r w:rsidR="00AC4C4F">
        <w:t>demonstrates</w:t>
      </w:r>
      <w:r w:rsidR="00CC33F9">
        <w:t xml:space="preserve"> that </w:t>
      </w:r>
      <w:r w:rsidR="00CF38D4">
        <w:t xml:space="preserve">competitively classifying the Company </w:t>
      </w:r>
      <w:r w:rsidR="00B7137F">
        <w:t>would</w:t>
      </w:r>
      <w:r w:rsidR="00CF38D4">
        <w:t xml:space="preserve"> help it regain or preserve its market share</w:t>
      </w:r>
      <w:r w:rsidR="00C25032">
        <w:t xml:space="preserve"> or result in greater customer choice of reasonably priced, ubiquitously available and efficient telecommunications services</w:t>
      </w:r>
      <w:r w:rsidR="00CF38D4">
        <w:t>.</w:t>
      </w:r>
    </w:p>
    <w:p w:rsidR="00152CD4" w:rsidRDefault="00152CD4" w:rsidP="00F92DA5">
      <w:pPr>
        <w:spacing w:line="480" w:lineRule="auto"/>
      </w:pPr>
    </w:p>
    <w:p w:rsidR="00506AC8" w:rsidRDefault="00506AC8" w:rsidP="00506AC8">
      <w:pPr>
        <w:spacing w:line="480" w:lineRule="auto"/>
        <w:ind w:left="720" w:hanging="720"/>
        <w:rPr>
          <w:b/>
        </w:rPr>
      </w:pPr>
      <w:r>
        <w:rPr>
          <w:b/>
        </w:rPr>
        <w:t>Q.</w:t>
      </w:r>
      <w:r>
        <w:rPr>
          <w:b/>
        </w:rPr>
        <w:tab/>
        <w:t>What are the requirements for Frontier to obtain competitive classification under RCW 80.36.320?</w:t>
      </w:r>
    </w:p>
    <w:p w:rsidR="00506AC8" w:rsidRDefault="00506AC8" w:rsidP="00506AC8">
      <w:pPr>
        <w:spacing w:line="480" w:lineRule="auto"/>
        <w:ind w:left="720" w:hanging="720"/>
      </w:pPr>
      <w:r>
        <w:t>A.</w:t>
      </w:r>
      <w:r>
        <w:tab/>
        <w:t>The statute allows the Commission to “classify a company as competitive” if it meets the following criteria:</w:t>
      </w:r>
    </w:p>
    <w:p w:rsidR="000B5FF1" w:rsidRDefault="000B5FF1" w:rsidP="000B5FF1">
      <w:pPr>
        <w:pStyle w:val="NormalWeb"/>
        <w:ind w:left="1440" w:hanging="720"/>
      </w:pPr>
      <w:r>
        <w:t>(1)</w:t>
      </w:r>
      <w:r>
        <w:tab/>
      </w:r>
      <w:r w:rsidR="00506AC8" w:rsidRPr="009B4D4B">
        <w:t>The commission shall classify a telecommunications company as a competitive telecommunications company if the services it offers are subject to effective competition</w:t>
      </w:r>
      <w:r w:rsidR="00506AC8" w:rsidRPr="003B56EF">
        <w:t xml:space="preserve">. </w:t>
      </w:r>
      <w:r w:rsidR="00EC166C">
        <w:t xml:space="preserve"> </w:t>
      </w:r>
      <w:r w:rsidR="00506AC8" w:rsidRPr="003B56EF">
        <w:rPr>
          <w:i/>
        </w:rPr>
        <w:t>Effective competition means that the company</w:t>
      </w:r>
      <w:r w:rsidR="00EC166C">
        <w:rPr>
          <w:i/>
        </w:rPr>
        <w:t>’</w:t>
      </w:r>
      <w:r w:rsidR="00506AC8" w:rsidRPr="003B56EF">
        <w:rPr>
          <w:i/>
        </w:rPr>
        <w:t>s customers have reasonably available alternatives and that the company does not have a significant captive customer base.</w:t>
      </w:r>
      <w:r w:rsidR="00506AC8">
        <w:rPr>
          <w:rStyle w:val="FootnoteReference"/>
          <w:i/>
        </w:rPr>
        <w:footnoteReference w:id="4"/>
      </w:r>
      <w:r w:rsidR="00506AC8" w:rsidRPr="009B4D4B">
        <w:t xml:space="preserve"> In determining whether a company is competitive, factors the commission shall consider includ</w:t>
      </w:r>
      <w:r>
        <w:t>e but are not limited to:</w:t>
      </w:r>
    </w:p>
    <w:p w:rsidR="00EC166C" w:rsidRDefault="00506AC8" w:rsidP="00EC166C">
      <w:pPr>
        <w:pStyle w:val="NormalWeb"/>
        <w:ind w:left="1980" w:hanging="540"/>
      </w:pPr>
      <w:r w:rsidRPr="009B4D4B">
        <w:t>(a)</w:t>
      </w:r>
      <w:r w:rsidR="00EC166C">
        <w:tab/>
      </w:r>
      <w:r w:rsidRPr="009B4D4B">
        <w:t>The number and sizes of alt</w:t>
      </w:r>
      <w:r w:rsidR="00EC166C">
        <w:t>ernative providers of service;</w:t>
      </w:r>
    </w:p>
    <w:p w:rsidR="00EC166C" w:rsidRDefault="00506AC8" w:rsidP="00EC166C">
      <w:pPr>
        <w:pStyle w:val="NormalWeb"/>
        <w:ind w:left="1980" w:hanging="540"/>
      </w:pPr>
      <w:r w:rsidRPr="009B4D4B">
        <w:t>(b)</w:t>
      </w:r>
      <w:r w:rsidR="00EC166C">
        <w:tab/>
      </w:r>
      <w:r w:rsidRPr="009B4D4B">
        <w:t>The extent to which services are available from alternative pro</w:t>
      </w:r>
      <w:r w:rsidR="00EC166C">
        <w:t>viders in the relevant market;</w:t>
      </w:r>
    </w:p>
    <w:p w:rsidR="00EC166C" w:rsidRDefault="00506AC8" w:rsidP="00EC166C">
      <w:pPr>
        <w:pStyle w:val="NormalWeb"/>
        <w:ind w:left="1980" w:hanging="540"/>
      </w:pPr>
      <w:r w:rsidRPr="009B4D4B">
        <w:t>(c)</w:t>
      </w:r>
      <w:r w:rsidR="00EC166C">
        <w:tab/>
      </w:r>
      <w:r w:rsidRPr="009B4D4B">
        <w:t>The ability of alternative providers to make functionally equivalent or substitute services readily available at competitive rat</w:t>
      </w:r>
      <w:r w:rsidR="00EC166C">
        <w:t>es, terms, and conditions; and</w:t>
      </w:r>
    </w:p>
    <w:p w:rsidR="00FE6856" w:rsidRDefault="00506AC8" w:rsidP="00EC166C">
      <w:pPr>
        <w:pStyle w:val="NormalWeb"/>
        <w:ind w:left="1980" w:hanging="540"/>
      </w:pPr>
      <w:r w:rsidRPr="009B4D4B">
        <w:t>(d)</w:t>
      </w:r>
      <w:r w:rsidR="00EC166C">
        <w:tab/>
      </w:r>
      <w:r w:rsidRPr="009B4D4B">
        <w:t xml:space="preserve">Other indicators of market power which may include market share, growth in market share, ease of entry, and the affiliation </w:t>
      </w:r>
      <w:r>
        <w:t>of providers of services.</w:t>
      </w:r>
    </w:p>
    <w:p w:rsidR="00506AC8" w:rsidRDefault="000B5FF1" w:rsidP="00CB3E68">
      <w:pPr>
        <w:spacing w:line="480" w:lineRule="auto"/>
        <w:ind w:left="720"/>
      </w:pPr>
      <w:r>
        <w:tab/>
      </w:r>
      <w:r w:rsidR="00DA7FD2">
        <w:t>Furthermore, u</w:t>
      </w:r>
      <w:r w:rsidR="00FE6856">
        <w:t>nder the Commission’s rule, WAC 480-121-061, the telecommunications company has the burden of demonstrating that the company or specific service is subject to effective competition.</w:t>
      </w:r>
    </w:p>
    <w:p w:rsidR="00C84B68" w:rsidRDefault="00C84B68" w:rsidP="000B5FF1">
      <w:pPr>
        <w:spacing w:line="480" w:lineRule="auto"/>
        <w:ind w:left="720" w:hanging="720"/>
      </w:pPr>
    </w:p>
    <w:p w:rsidR="00C84B68" w:rsidRDefault="00C84B68" w:rsidP="000B5FF1">
      <w:pPr>
        <w:spacing w:line="480" w:lineRule="auto"/>
        <w:ind w:left="720" w:hanging="720"/>
      </w:pPr>
      <w:r>
        <w:rPr>
          <w:b/>
        </w:rPr>
        <w:t>Q.</w:t>
      </w:r>
      <w:r>
        <w:rPr>
          <w:b/>
        </w:rPr>
        <w:tab/>
        <w:t xml:space="preserve">Does the standard encompass wholesale </w:t>
      </w:r>
      <w:r w:rsidR="00586992">
        <w:rPr>
          <w:b/>
        </w:rPr>
        <w:t>as well as</w:t>
      </w:r>
      <w:r>
        <w:rPr>
          <w:b/>
        </w:rPr>
        <w:t xml:space="preserve"> retail services?</w:t>
      </w:r>
    </w:p>
    <w:p w:rsidR="00C84B68" w:rsidRPr="00C84B68" w:rsidRDefault="00C84B68" w:rsidP="000B5FF1">
      <w:pPr>
        <w:spacing w:line="480" w:lineRule="auto"/>
        <w:ind w:left="720" w:hanging="720"/>
      </w:pPr>
      <w:r>
        <w:t>A.</w:t>
      </w:r>
      <w:r>
        <w:tab/>
      </w:r>
      <w:r w:rsidR="00F568C2">
        <w:t>Generally</w:t>
      </w:r>
      <w:r w:rsidR="001E48D5">
        <w:t>, no</w:t>
      </w:r>
      <w:r w:rsidR="00586992">
        <w:t xml:space="preserve">.  On March 29, 2013, </w:t>
      </w:r>
      <w:r w:rsidR="00427D26">
        <w:t>t</w:t>
      </w:r>
      <w:r w:rsidR="00586992">
        <w:t>he Commission issued Order 04, Order Denying CLEC Intervenor Motion to Dismiss Petition</w:t>
      </w:r>
      <w:r w:rsidR="001E48D5">
        <w:t xml:space="preserve">, </w:t>
      </w:r>
      <w:r w:rsidR="00F46406">
        <w:t>in which the Commission decided</w:t>
      </w:r>
      <w:r w:rsidR="00427D26">
        <w:t xml:space="preserve"> that RCW 80.36.320 generally </w:t>
      </w:r>
      <w:r w:rsidR="001E48D5">
        <w:t>applies</w:t>
      </w:r>
      <w:r w:rsidR="00427D26">
        <w:t xml:space="preserve"> only </w:t>
      </w:r>
      <w:r w:rsidR="001E48D5">
        <w:t xml:space="preserve">to </w:t>
      </w:r>
      <w:r w:rsidR="00427D26">
        <w:t xml:space="preserve">those services </w:t>
      </w:r>
      <w:r w:rsidR="00B64051">
        <w:t xml:space="preserve">Frontier </w:t>
      </w:r>
      <w:r w:rsidR="001E48D5">
        <w:t>provides</w:t>
      </w:r>
      <w:r w:rsidR="00427D26">
        <w:t xml:space="preserve"> to end users</w:t>
      </w:r>
      <w:r w:rsidR="000B5FF1">
        <w:t>.</w:t>
      </w:r>
      <w:r w:rsidR="00771F83">
        <w:rPr>
          <w:rStyle w:val="FootnoteReference"/>
        </w:rPr>
        <w:footnoteReference w:id="5"/>
      </w:r>
    </w:p>
    <w:p w:rsidR="00FE6856" w:rsidRDefault="00FE6856" w:rsidP="000B5FF1">
      <w:pPr>
        <w:spacing w:line="480" w:lineRule="auto"/>
        <w:ind w:left="720" w:hanging="720"/>
      </w:pPr>
    </w:p>
    <w:p w:rsidR="000F3A6C" w:rsidRPr="00CB3E68" w:rsidRDefault="000F3A6C" w:rsidP="00FD0866">
      <w:pPr>
        <w:keepNext/>
        <w:spacing w:line="480" w:lineRule="auto"/>
        <w:ind w:left="720" w:hanging="720"/>
        <w:rPr>
          <w:b/>
        </w:rPr>
      </w:pPr>
      <w:r>
        <w:rPr>
          <w:b/>
        </w:rPr>
        <w:t>Q.</w:t>
      </w:r>
      <w:r>
        <w:rPr>
          <w:b/>
        </w:rPr>
        <w:tab/>
        <w:t xml:space="preserve">Has Frontier met </w:t>
      </w:r>
      <w:r w:rsidR="00DA7FD2">
        <w:rPr>
          <w:b/>
        </w:rPr>
        <w:t>the standard</w:t>
      </w:r>
      <w:r>
        <w:rPr>
          <w:b/>
        </w:rPr>
        <w:t>?</w:t>
      </w:r>
    </w:p>
    <w:p w:rsidR="00EA4A37" w:rsidRDefault="000F3A6C" w:rsidP="00EA4A37">
      <w:pPr>
        <w:keepNext/>
        <w:spacing w:line="480" w:lineRule="auto"/>
        <w:ind w:left="720" w:hanging="720"/>
      </w:pPr>
      <w:r>
        <w:t>A.</w:t>
      </w:r>
      <w:r>
        <w:tab/>
        <w:t xml:space="preserve">No, it has not.  </w:t>
      </w:r>
      <w:r w:rsidR="002E6A0E">
        <w:t>A telecommunications company will be competitively classified “</w:t>
      </w:r>
      <w:r w:rsidR="002E6A0E" w:rsidRPr="009B4D4B">
        <w:t>if the services it offers are subject to effective competition</w:t>
      </w:r>
      <w:r w:rsidR="002E6A0E">
        <w:t xml:space="preserve">.”  </w:t>
      </w:r>
      <w:r>
        <w:t xml:space="preserve">As I understand the standard, Frontier must demonstrate that the services it wishes to </w:t>
      </w:r>
      <w:r w:rsidR="00271699">
        <w:t>transfer</w:t>
      </w:r>
      <w:r>
        <w:t xml:space="preserve"> to market pricing are subject to effective competition. </w:t>
      </w:r>
      <w:r w:rsidR="00FE6856">
        <w:t xml:space="preserve"> </w:t>
      </w:r>
      <w:r w:rsidR="000A0A15">
        <w:t>The Company</w:t>
      </w:r>
      <w:r w:rsidR="00A248B5">
        <w:t xml:space="preserve"> has not </w:t>
      </w:r>
      <w:r w:rsidR="000A0A15">
        <w:t xml:space="preserve">shown that there is effective competition </w:t>
      </w:r>
      <w:r w:rsidR="00A248B5">
        <w:t>with respect to all of these services</w:t>
      </w:r>
      <w:r w:rsidR="000A0A15">
        <w:t xml:space="preserve"> and therefore has not demonstrated that Frontier can be competitively classified as a company</w:t>
      </w:r>
      <w:r w:rsidR="00A248B5">
        <w:t xml:space="preserve">.  </w:t>
      </w:r>
      <w:r w:rsidR="001C4C35">
        <w:t>Ms. Roth concludes</w:t>
      </w:r>
      <w:r w:rsidR="00DE5D45">
        <w:t xml:space="preserve"> that effective competition is not present in </w:t>
      </w:r>
      <w:r w:rsidR="00A248B5">
        <w:t xml:space="preserve">Frontier’s service territory for the stand-alone basic business line.  Ms. Liu </w:t>
      </w:r>
      <w:r w:rsidR="001C4C35">
        <w:t xml:space="preserve">discusses competition in the market for basic residential service and determines that reasonable alternatives </w:t>
      </w:r>
      <w:r w:rsidR="00EB7E95">
        <w:t xml:space="preserve">to Frontier </w:t>
      </w:r>
      <w:r w:rsidR="001C4C35">
        <w:t xml:space="preserve">do not exist in all areas of </w:t>
      </w:r>
      <w:r w:rsidR="00EB7E95">
        <w:t>the Company’s</w:t>
      </w:r>
      <w:r w:rsidR="001C4C35">
        <w:t xml:space="preserve"> service territory.</w:t>
      </w:r>
      <w:r w:rsidR="00EB7E95">
        <w:t xml:space="preserve"> </w:t>
      </w:r>
    </w:p>
    <w:p w:rsidR="00364700" w:rsidRDefault="000B5FF1" w:rsidP="00EA4A37">
      <w:pPr>
        <w:keepNext/>
        <w:spacing w:line="480" w:lineRule="auto"/>
        <w:ind w:left="720" w:hanging="720"/>
      </w:pPr>
      <w:r>
        <w:tab/>
      </w:r>
      <w:r w:rsidR="00EA4A37">
        <w:tab/>
      </w:r>
      <w:r w:rsidR="00364700">
        <w:t>Although Frontier has not met the</w:t>
      </w:r>
      <w:r w:rsidR="00B64C11">
        <w:t xml:space="preserve"> competitive classification</w:t>
      </w:r>
      <w:r w:rsidR="00364700">
        <w:t xml:space="preserve"> standard </w:t>
      </w:r>
      <w:r w:rsidR="00B64C11">
        <w:t xml:space="preserve">as a company, </w:t>
      </w:r>
      <w:r w:rsidR="00364700">
        <w:t>Staff</w:t>
      </w:r>
      <w:r w:rsidR="00B64C11">
        <w:t xml:space="preserve">’s analysis indicates </w:t>
      </w:r>
      <w:r w:rsidR="00364700">
        <w:t xml:space="preserve">that many of Frontier’s </w:t>
      </w:r>
      <w:r w:rsidR="00364700" w:rsidRPr="00CB3E68">
        <w:rPr>
          <w:i/>
        </w:rPr>
        <w:t>services</w:t>
      </w:r>
      <w:r w:rsidR="00364700">
        <w:t xml:space="preserve"> do meet the criteria for competitive classification.  </w:t>
      </w:r>
      <w:r w:rsidR="00B64C11">
        <w:t xml:space="preserve">Staff recommends that </w:t>
      </w:r>
      <w:r w:rsidR="00364700">
        <w:t xml:space="preserve">the Commission </w:t>
      </w:r>
      <w:r w:rsidR="00B64C11">
        <w:t xml:space="preserve">deny Frontier’s Petition under RCW 80.36.320, but recognizes that the Commission </w:t>
      </w:r>
      <w:r w:rsidR="00364700">
        <w:t xml:space="preserve">could </w:t>
      </w:r>
      <w:r w:rsidR="00B64C11">
        <w:t>grant an amended Petition that requested competitive classification of particular services under RCW 80</w:t>
      </w:r>
      <w:r w:rsidR="00364700">
        <w:t>.36.330.</w:t>
      </w:r>
      <w:r w:rsidR="00B612E7">
        <w:t xml:space="preserve">  Therefore, </w:t>
      </w:r>
      <w:r w:rsidR="000A0A15">
        <w:t xml:space="preserve">Staff has analyzed effective </w:t>
      </w:r>
      <w:r w:rsidR="00EF4D5D">
        <w:t>competition</w:t>
      </w:r>
      <w:r w:rsidR="000A0A15">
        <w:t xml:space="preserve"> for particular services under RCW 80.36.330, which contains language that is nearly identical to the standard in RCW 80.36.320.</w:t>
      </w:r>
    </w:p>
    <w:p w:rsidR="00506AC8" w:rsidRDefault="00506AC8" w:rsidP="00F92DA5">
      <w:pPr>
        <w:spacing w:line="480" w:lineRule="auto"/>
      </w:pPr>
    </w:p>
    <w:p w:rsidR="007816B7" w:rsidRPr="007816B7" w:rsidRDefault="006336B8" w:rsidP="000B5FF1">
      <w:pPr>
        <w:keepNext/>
        <w:spacing w:line="480" w:lineRule="auto"/>
        <w:ind w:left="720" w:hanging="720"/>
        <w:jc w:val="center"/>
        <w:rPr>
          <w:b/>
        </w:rPr>
      </w:pPr>
      <w:r>
        <w:rPr>
          <w:b/>
        </w:rPr>
        <w:t>IV.</w:t>
      </w:r>
      <w:r>
        <w:rPr>
          <w:b/>
        </w:rPr>
        <w:tab/>
      </w:r>
      <w:r w:rsidR="002E38DC" w:rsidRPr="00CB3E68">
        <w:rPr>
          <w:b/>
          <w:caps/>
        </w:rPr>
        <w:t xml:space="preserve">Intrastate </w:t>
      </w:r>
      <w:r w:rsidR="007816B7" w:rsidRPr="00CB3E68">
        <w:rPr>
          <w:b/>
          <w:caps/>
        </w:rPr>
        <w:t xml:space="preserve">Access </w:t>
      </w:r>
      <w:r w:rsidR="00FF59F9" w:rsidRPr="00CB3E68">
        <w:rPr>
          <w:b/>
          <w:caps/>
        </w:rPr>
        <w:t>T</w:t>
      </w:r>
      <w:r w:rsidR="007816B7" w:rsidRPr="00CB3E68">
        <w:rPr>
          <w:b/>
          <w:caps/>
        </w:rPr>
        <w:t>ariff</w:t>
      </w:r>
    </w:p>
    <w:p w:rsidR="0078588A" w:rsidRDefault="0078588A" w:rsidP="000B5FF1">
      <w:pPr>
        <w:keepNext/>
        <w:spacing w:line="480" w:lineRule="auto"/>
        <w:ind w:left="720" w:hanging="720"/>
      </w:pPr>
    </w:p>
    <w:p w:rsidR="0078588A" w:rsidRDefault="0078588A" w:rsidP="000B5FF1">
      <w:pPr>
        <w:keepNext/>
        <w:spacing w:line="480" w:lineRule="auto"/>
        <w:ind w:left="720" w:hanging="720"/>
      </w:pPr>
      <w:r>
        <w:rPr>
          <w:b/>
        </w:rPr>
        <w:t>Q.</w:t>
      </w:r>
      <w:r>
        <w:rPr>
          <w:b/>
        </w:rPr>
        <w:tab/>
        <w:t xml:space="preserve">Does Frontier have any wholesale tariffs that should be considered in the Commission’s </w:t>
      </w:r>
      <w:r w:rsidR="00375460">
        <w:rPr>
          <w:b/>
        </w:rPr>
        <w:t>evaluation</w:t>
      </w:r>
      <w:r>
        <w:rPr>
          <w:b/>
        </w:rPr>
        <w:t xml:space="preserve"> of the Company’s Petition?</w:t>
      </w:r>
    </w:p>
    <w:p w:rsidR="00A06D5A" w:rsidRDefault="0078588A" w:rsidP="00152CD4">
      <w:pPr>
        <w:spacing w:line="480" w:lineRule="auto"/>
        <w:ind w:left="720" w:hanging="720"/>
      </w:pPr>
      <w:r>
        <w:t>A.</w:t>
      </w:r>
      <w:r>
        <w:tab/>
        <w:t xml:space="preserve">Yes.  </w:t>
      </w:r>
      <w:r w:rsidR="00121C90">
        <w:t>One</w:t>
      </w:r>
      <w:r w:rsidR="00226CCD">
        <w:t xml:space="preserve"> of the </w:t>
      </w:r>
      <w:r>
        <w:t xml:space="preserve">six </w:t>
      </w:r>
      <w:r w:rsidR="00121C90">
        <w:t xml:space="preserve">Frontier </w:t>
      </w:r>
      <w:r>
        <w:t xml:space="preserve">tariffs from which wholesale customers </w:t>
      </w:r>
      <w:r w:rsidR="009E1B3D">
        <w:t xml:space="preserve">can </w:t>
      </w:r>
      <w:r>
        <w:t>order service</w:t>
      </w:r>
      <w:r w:rsidR="009E1B3D">
        <w:t>s</w:t>
      </w:r>
      <w:r w:rsidR="003066A4">
        <w:rPr>
          <w:rStyle w:val="FootnoteReference"/>
        </w:rPr>
        <w:footnoteReference w:id="6"/>
      </w:r>
      <w:r w:rsidR="003066A4">
        <w:t xml:space="preserve"> </w:t>
      </w:r>
      <w:r w:rsidR="00226CCD">
        <w:t>raise</w:t>
      </w:r>
      <w:r w:rsidR="00121C90">
        <w:t>s</w:t>
      </w:r>
      <w:r w:rsidR="00226CCD">
        <w:t xml:space="preserve"> particular issues: </w:t>
      </w:r>
      <w:r w:rsidR="000B5FF1">
        <w:t xml:space="preserve"> </w:t>
      </w:r>
      <w:r w:rsidR="00121C90">
        <w:t>WN U-16, Facilities for Intrastate A</w:t>
      </w:r>
      <w:r w:rsidR="00226CCD">
        <w:t xml:space="preserve">ccess </w:t>
      </w:r>
      <w:r w:rsidR="00121C90">
        <w:t>(Intrastate Access Tariff)</w:t>
      </w:r>
      <w:r w:rsidR="00226CCD">
        <w:t>.</w:t>
      </w:r>
      <w:r w:rsidR="00121C90">
        <w:t xml:space="preserve">  The Intrastate Access Tariff includes special access and switched access services, and</w:t>
      </w:r>
      <w:r w:rsidR="00226CCD">
        <w:t xml:space="preserve"> </w:t>
      </w:r>
      <w:r w:rsidR="00A06D5A">
        <w:t xml:space="preserve">Frontier addresses </w:t>
      </w:r>
      <w:r w:rsidR="00226CCD">
        <w:t>each</w:t>
      </w:r>
      <w:r w:rsidR="003066A4">
        <w:t xml:space="preserve"> of</w:t>
      </w:r>
      <w:r w:rsidR="00A06D5A">
        <w:t xml:space="preserve"> them individually in its direct testimony</w:t>
      </w:r>
      <w:r w:rsidR="00226CCD">
        <w:t>.</w:t>
      </w:r>
      <w:r w:rsidR="00F40EAD">
        <w:rPr>
          <w:rStyle w:val="FootnoteReference"/>
        </w:rPr>
        <w:footnoteReference w:id="7"/>
      </w:r>
      <w:r w:rsidR="00121C90">
        <w:t xml:space="preserve">  </w:t>
      </w:r>
      <w:r w:rsidR="00AD4591">
        <w:t>Company witness Mr. Gregg testifies that Frontier is seeking pricing flexibility for special access services.</w:t>
      </w:r>
      <w:r w:rsidR="00F40EAD">
        <w:rPr>
          <w:rStyle w:val="FootnoteReference"/>
        </w:rPr>
        <w:footnoteReference w:id="8"/>
      </w:r>
      <w:r w:rsidR="00AD4591">
        <w:t xml:space="preserve">  R</w:t>
      </w:r>
      <w:r w:rsidR="007E788F">
        <w:t xml:space="preserve">etail customers as well as wholesale customers can order </w:t>
      </w:r>
      <w:r w:rsidR="00AD4591">
        <w:t>special access</w:t>
      </w:r>
      <w:r w:rsidR="00EC6052">
        <w:t xml:space="preserve"> </w:t>
      </w:r>
      <w:r w:rsidR="007E788F">
        <w:t>services out of the Intrastate Access Tariff.</w:t>
      </w:r>
    </w:p>
    <w:p w:rsidR="00152CD4" w:rsidRDefault="00152CD4" w:rsidP="004F0CB0">
      <w:pPr>
        <w:spacing w:line="480" w:lineRule="auto"/>
      </w:pPr>
    </w:p>
    <w:p w:rsidR="00152CD4" w:rsidRDefault="00152CD4" w:rsidP="00152CD4">
      <w:pPr>
        <w:spacing w:line="480" w:lineRule="auto"/>
        <w:ind w:left="720" w:hanging="720"/>
        <w:rPr>
          <w:b/>
        </w:rPr>
      </w:pPr>
      <w:r>
        <w:rPr>
          <w:b/>
        </w:rPr>
        <w:t>Q.</w:t>
      </w:r>
      <w:r>
        <w:rPr>
          <w:b/>
        </w:rPr>
        <w:tab/>
      </w:r>
      <w:r w:rsidR="006F4585">
        <w:rPr>
          <w:b/>
        </w:rPr>
        <w:t>What would happen to Frontier’s</w:t>
      </w:r>
      <w:r w:rsidR="00375460">
        <w:rPr>
          <w:b/>
        </w:rPr>
        <w:t xml:space="preserve"> Intrastate Access Tariff</w:t>
      </w:r>
      <w:r w:rsidR="006F4585">
        <w:rPr>
          <w:b/>
        </w:rPr>
        <w:t xml:space="preserve"> if the Commission granted competitive classification to the Company?</w:t>
      </w:r>
    </w:p>
    <w:p w:rsidR="00AE2FE3" w:rsidRDefault="00152CD4" w:rsidP="001E08B2">
      <w:pPr>
        <w:spacing w:line="480" w:lineRule="auto"/>
        <w:ind w:left="720" w:hanging="720"/>
      </w:pPr>
      <w:r>
        <w:t>A.</w:t>
      </w:r>
      <w:r w:rsidR="00AE2FE3">
        <w:tab/>
      </w:r>
      <w:r w:rsidR="000A26F0">
        <w:t xml:space="preserve">Classifying </w:t>
      </w:r>
      <w:r w:rsidR="002E38DC">
        <w:t xml:space="preserve">the Company </w:t>
      </w:r>
      <w:r w:rsidR="000A26F0">
        <w:t xml:space="preserve">as </w:t>
      </w:r>
      <w:r w:rsidR="002E38DC">
        <w:t xml:space="preserve">competitive </w:t>
      </w:r>
      <w:r w:rsidR="00AC0E95">
        <w:t xml:space="preserve">under RCW 80.36.320 would </w:t>
      </w:r>
      <w:r w:rsidR="00FC3B6C">
        <w:t>allow Frontier to eliminate</w:t>
      </w:r>
      <w:r w:rsidR="006F4585">
        <w:t xml:space="preserve"> tariffs offering </w:t>
      </w:r>
      <w:r w:rsidR="00D951A4">
        <w:t>wholesale service</w:t>
      </w:r>
      <w:r w:rsidR="006F4585">
        <w:t>s</w:t>
      </w:r>
      <w:r w:rsidR="00FF59F9">
        <w:t xml:space="preserve"> </w:t>
      </w:r>
      <w:r w:rsidR="00FC3B6C">
        <w:t>and offer</w:t>
      </w:r>
      <w:r w:rsidR="00D951A4">
        <w:t xml:space="preserve"> </w:t>
      </w:r>
      <w:r w:rsidR="00375460">
        <w:t>those</w:t>
      </w:r>
      <w:r w:rsidR="00D951A4">
        <w:t xml:space="preserve"> services through a service catalog.  The service catalog essentially </w:t>
      </w:r>
      <w:r w:rsidR="006F4585">
        <w:t xml:space="preserve">would </w:t>
      </w:r>
      <w:r w:rsidR="00D951A4">
        <w:t>become a non-regulated price list available to CLECs and other customers</w:t>
      </w:r>
      <w:r w:rsidR="001E08B2">
        <w:t>.</w:t>
      </w:r>
      <w:r w:rsidR="00FF59F9">
        <w:t xml:space="preserve"> </w:t>
      </w:r>
      <w:r w:rsidR="00FC3B6C">
        <w:t xml:space="preserve"> </w:t>
      </w:r>
      <w:r w:rsidR="00FF59F9">
        <w:t xml:space="preserve">The Company would no longer </w:t>
      </w:r>
      <w:r w:rsidR="00FC3B6C">
        <w:t xml:space="preserve">need to </w:t>
      </w:r>
      <w:r w:rsidR="00FF59F9">
        <w:t xml:space="preserve">seek UTC approval to change </w:t>
      </w:r>
      <w:r w:rsidR="00375460">
        <w:t xml:space="preserve">its special access rates or </w:t>
      </w:r>
      <w:r w:rsidR="00FF59F9">
        <w:t xml:space="preserve">intrastate access </w:t>
      </w:r>
      <w:r w:rsidR="008E4D7F">
        <w:t>rates</w:t>
      </w:r>
      <w:r w:rsidR="00FF59F9">
        <w:t>.</w:t>
      </w:r>
    </w:p>
    <w:p w:rsidR="00FB5C1A" w:rsidRDefault="00FB5C1A" w:rsidP="00FD0866">
      <w:pPr>
        <w:spacing w:line="480" w:lineRule="auto"/>
        <w:ind w:left="720" w:hanging="720"/>
      </w:pPr>
    </w:p>
    <w:p w:rsidR="00FB5C1A" w:rsidRDefault="00FB5C1A" w:rsidP="00FD0866">
      <w:pPr>
        <w:spacing w:line="480" w:lineRule="auto"/>
        <w:ind w:left="720" w:hanging="720"/>
      </w:pPr>
      <w:r>
        <w:rPr>
          <w:b/>
        </w:rPr>
        <w:t>Q.</w:t>
      </w:r>
      <w:r>
        <w:rPr>
          <w:b/>
        </w:rPr>
        <w:tab/>
        <w:t>Does Frontier have to show that the services offered in its Intrastate Access Tariff meet the standards of RCW 80.36.320?</w:t>
      </w:r>
    </w:p>
    <w:p w:rsidR="00FD0866" w:rsidRDefault="00FB5C1A" w:rsidP="00FD0866">
      <w:pPr>
        <w:spacing w:line="480" w:lineRule="auto"/>
        <w:ind w:left="720" w:hanging="720"/>
      </w:pPr>
      <w:r>
        <w:t>A.</w:t>
      </w:r>
      <w:r>
        <w:tab/>
        <w:t>With respect to services offered to end users, yes.  Accordingly, Frontier must show that its special access services are subject to effective competition in the retail market.</w:t>
      </w:r>
    </w:p>
    <w:p w:rsidR="00FD0866" w:rsidRDefault="00FD0866" w:rsidP="00FD0866">
      <w:pPr>
        <w:spacing w:line="480" w:lineRule="auto"/>
        <w:ind w:left="720" w:hanging="720"/>
      </w:pPr>
    </w:p>
    <w:p w:rsidR="0078509B" w:rsidRPr="00CB3E68" w:rsidRDefault="00D24DF1" w:rsidP="00FD0866">
      <w:pPr>
        <w:spacing w:line="480" w:lineRule="auto"/>
        <w:ind w:left="720" w:hanging="720"/>
        <w:rPr>
          <w:b/>
        </w:rPr>
      </w:pPr>
      <w:r>
        <w:rPr>
          <w:b/>
        </w:rPr>
        <w:t>Q.</w:t>
      </w:r>
      <w:r w:rsidR="00E470D9">
        <w:tab/>
      </w:r>
      <w:r w:rsidR="007971F5" w:rsidRPr="00CB3E68">
        <w:rPr>
          <w:b/>
        </w:rPr>
        <w:t xml:space="preserve">Has Frontier demonstrated </w:t>
      </w:r>
      <w:r w:rsidR="009B5EA0">
        <w:rPr>
          <w:b/>
        </w:rPr>
        <w:t xml:space="preserve">in its testimony </w:t>
      </w:r>
      <w:r w:rsidR="007971F5" w:rsidRPr="00CB3E68">
        <w:rPr>
          <w:b/>
        </w:rPr>
        <w:t xml:space="preserve">that </w:t>
      </w:r>
      <w:r w:rsidR="00D06C19">
        <w:rPr>
          <w:b/>
        </w:rPr>
        <w:t>the Company</w:t>
      </w:r>
      <w:r w:rsidR="007971F5" w:rsidRPr="00CB3E68">
        <w:rPr>
          <w:b/>
        </w:rPr>
        <w:t xml:space="preserve"> meets </w:t>
      </w:r>
      <w:r w:rsidR="00E470D9" w:rsidRPr="00CB3E68">
        <w:rPr>
          <w:b/>
        </w:rPr>
        <w:t>the standard of RCW 80.36.320</w:t>
      </w:r>
      <w:r w:rsidR="007971F5" w:rsidRPr="00CB3E68">
        <w:rPr>
          <w:b/>
        </w:rPr>
        <w:t xml:space="preserve"> with respect to special access services</w:t>
      </w:r>
      <w:r w:rsidR="00E470D9" w:rsidRPr="00CB3E68">
        <w:rPr>
          <w:b/>
        </w:rPr>
        <w:t>?</w:t>
      </w:r>
    </w:p>
    <w:p w:rsidR="009B5EA0" w:rsidRDefault="007971F5" w:rsidP="009B5EA0">
      <w:pPr>
        <w:spacing w:line="480" w:lineRule="auto"/>
        <w:ind w:left="720" w:hanging="720"/>
      </w:pPr>
      <w:r>
        <w:t>A.</w:t>
      </w:r>
      <w:r>
        <w:tab/>
      </w:r>
      <w:r w:rsidR="009800A3">
        <w:t>N</w:t>
      </w:r>
      <w:r w:rsidR="00E470D9">
        <w:t>o.</w:t>
      </w:r>
      <w:r w:rsidR="00B52015">
        <w:t xml:space="preserve"> </w:t>
      </w:r>
      <w:r w:rsidR="00E470D9">
        <w:t xml:space="preserve"> </w:t>
      </w:r>
      <w:r w:rsidR="009B5EA0">
        <w:t xml:space="preserve">Company witness Mr. Gregg states, </w:t>
      </w:r>
    </w:p>
    <w:p w:rsidR="009B5EA0" w:rsidRDefault="009B5EA0" w:rsidP="000B5FF1">
      <w:pPr>
        <w:ind w:left="1440"/>
      </w:pPr>
      <w:r>
        <w:t>“Frontier can only offer special access services to its retail customers at its tariffed rates.  It does not have the ability to offer different rates to different customers to respond to competition.  In other words, Frontier has no ability to change special access rates without going through the tariff change process</w:t>
      </w:r>
      <w:r w:rsidR="00847C71">
        <w:t xml:space="preserve">. . . . </w:t>
      </w:r>
      <w:r>
        <w:t>”</w:t>
      </w:r>
      <w:r>
        <w:rPr>
          <w:rStyle w:val="FootnoteReference"/>
        </w:rPr>
        <w:footnoteReference w:id="9"/>
      </w:r>
    </w:p>
    <w:p w:rsidR="003A37B7" w:rsidRDefault="003A37B7" w:rsidP="000B5FF1">
      <w:pPr>
        <w:ind w:left="1440"/>
      </w:pPr>
    </w:p>
    <w:p w:rsidR="009B5EA0" w:rsidRDefault="000B5FF1" w:rsidP="009B5EA0">
      <w:pPr>
        <w:spacing w:line="480" w:lineRule="auto"/>
        <w:ind w:left="720" w:hanging="720"/>
      </w:pPr>
      <w:r>
        <w:tab/>
      </w:r>
      <w:r w:rsidR="009B5EA0">
        <w:tab/>
        <w:t xml:space="preserve">This paragraph implies </w:t>
      </w:r>
      <w:r w:rsidR="009800A3">
        <w:t>that the</w:t>
      </w:r>
      <w:r w:rsidR="009B5EA0">
        <w:t xml:space="preserve"> Company </w:t>
      </w:r>
      <w:r w:rsidR="00D06C19">
        <w:t>wants to</w:t>
      </w:r>
      <w:r w:rsidR="009B5EA0">
        <w:t xml:space="preserve"> have special access service competitively classified</w:t>
      </w:r>
      <w:r w:rsidR="00D06C19">
        <w:t>,</w:t>
      </w:r>
      <w:r w:rsidR="009B5EA0">
        <w:t xml:space="preserve"> but Frontier has made no effort to demonstrate that that there is effective competition in the special access market</w:t>
      </w:r>
      <w:r w:rsidR="00445E29">
        <w:t>.</w:t>
      </w:r>
    </w:p>
    <w:p w:rsidR="009B4D4B" w:rsidRDefault="000B5FF1" w:rsidP="00CB3E68">
      <w:pPr>
        <w:spacing w:line="480" w:lineRule="auto"/>
        <w:ind w:left="720"/>
      </w:pPr>
      <w:r>
        <w:tab/>
      </w:r>
      <w:r w:rsidR="009B5EA0">
        <w:t xml:space="preserve">Furthermore, </w:t>
      </w:r>
      <w:r w:rsidR="002109E3">
        <w:t>Frontier does not offer any evidence that</w:t>
      </w:r>
      <w:r w:rsidR="00506942">
        <w:t xml:space="preserve"> </w:t>
      </w:r>
      <w:r w:rsidR="007971F5">
        <w:t xml:space="preserve">special </w:t>
      </w:r>
      <w:r w:rsidR="00DC3FDA">
        <w:t>access</w:t>
      </w:r>
      <w:r w:rsidR="002109E3">
        <w:t xml:space="preserve"> </w:t>
      </w:r>
      <w:r w:rsidR="00956D1A">
        <w:t xml:space="preserve">customers </w:t>
      </w:r>
      <w:r w:rsidR="002109E3">
        <w:t>have reasonably available alternatives or that the Company does not have a significant cap</w:t>
      </w:r>
      <w:r w:rsidR="002766A5">
        <w:t xml:space="preserve">tive customer base. </w:t>
      </w:r>
      <w:r w:rsidR="00B52015">
        <w:t xml:space="preserve"> </w:t>
      </w:r>
      <w:r w:rsidR="002766A5">
        <w:t xml:space="preserve">The Company </w:t>
      </w:r>
      <w:r w:rsidR="00B52015">
        <w:t>seeks</w:t>
      </w:r>
      <w:r w:rsidR="002766A5">
        <w:t xml:space="preserve"> </w:t>
      </w:r>
      <w:r w:rsidR="007971F5">
        <w:t xml:space="preserve">permission </w:t>
      </w:r>
      <w:r w:rsidR="00B52015">
        <w:t xml:space="preserve">in its Petition </w:t>
      </w:r>
      <w:r w:rsidR="007971F5">
        <w:t xml:space="preserve">to </w:t>
      </w:r>
      <w:r w:rsidR="00455567">
        <w:t>withdrawal of</w:t>
      </w:r>
      <w:r w:rsidR="002766A5">
        <w:t xml:space="preserve"> </w:t>
      </w:r>
      <w:r w:rsidR="00B52015">
        <w:t xml:space="preserve">its </w:t>
      </w:r>
      <w:r w:rsidR="002766A5">
        <w:t>wholesale tariffs</w:t>
      </w:r>
      <w:r w:rsidR="00455567">
        <w:t>, including WN U-16,</w:t>
      </w:r>
      <w:r w:rsidR="002766A5">
        <w:t xml:space="preserve"> on a statewide basis but does not</w:t>
      </w:r>
      <w:r w:rsidR="00FC0AED">
        <w:t xml:space="preserve"> </w:t>
      </w:r>
      <w:r w:rsidR="00B52015">
        <w:t xml:space="preserve">demonstrate </w:t>
      </w:r>
      <w:r w:rsidR="00FC0AED">
        <w:t xml:space="preserve">that effective competition exists in its </w:t>
      </w:r>
      <w:r w:rsidR="00C57F18">
        <w:t xml:space="preserve">exchanges or </w:t>
      </w:r>
      <w:r w:rsidR="00B52015">
        <w:t>any other</w:t>
      </w:r>
      <w:r w:rsidR="00924683">
        <w:t xml:space="preserve"> type of</w:t>
      </w:r>
      <w:r w:rsidR="00C57F18">
        <w:t xml:space="preserve"> relevant market</w:t>
      </w:r>
      <w:r w:rsidR="00FC0AED">
        <w:t>.</w:t>
      </w:r>
      <w:r w:rsidR="002766A5">
        <w:t xml:space="preserve"> </w:t>
      </w:r>
      <w:r w:rsidR="007971F5">
        <w:t xml:space="preserve"> </w:t>
      </w:r>
      <w:r w:rsidR="002766A5">
        <w:t>Instead</w:t>
      </w:r>
      <w:r w:rsidR="003A37B7">
        <w:t>,</w:t>
      </w:r>
      <w:r w:rsidR="002766A5">
        <w:t xml:space="preserve"> it looks at competition on</w:t>
      </w:r>
      <w:r w:rsidR="00C57F18">
        <w:t xml:space="preserve"> </w:t>
      </w:r>
      <w:r w:rsidR="002766A5">
        <w:t xml:space="preserve">a statewide basis through FCC data and assumes its operating </w:t>
      </w:r>
      <w:r w:rsidR="005E1EA4">
        <w:t>characteristics</w:t>
      </w:r>
      <w:r w:rsidR="002766A5">
        <w:t xml:space="preserve"> replicate the FCC</w:t>
      </w:r>
      <w:r w:rsidR="007971F5">
        <w:t xml:space="preserve"> </w:t>
      </w:r>
      <w:r w:rsidR="002766A5">
        <w:t>statewide data.</w:t>
      </w:r>
      <w:r w:rsidR="002A0A37">
        <w:t xml:space="preserve"> </w:t>
      </w:r>
      <w:r w:rsidR="00924683">
        <w:t xml:space="preserve"> </w:t>
      </w:r>
      <w:r w:rsidR="0014381B">
        <w:t>Frontier serves urban,</w:t>
      </w:r>
      <w:r w:rsidR="00245EB0">
        <w:t xml:space="preserve"> </w:t>
      </w:r>
      <w:r w:rsidR="0014381B">
        <w:t>suburban and rural</w:t>
      </w:r>
      <w:r w:rsidR="00956D1A">
        <w:t xml:space="preserve"> markets</w:t>
      </w:r>
      <w:r w:rsidR="0014381B">
        <w:t xml:space="preserve"> throughout the state. </w:t>
      </w:r>
      <w:r w:rsidR="00D85535">
        <w:t xml:space="preserve"> </w:t>
      </w:r>
      <w:r w:rsidR="0014381B">
        <w:t>There is no basis</w:t>
      </w:r>
      <w:r w:rsidR="00956D1A">
        <w:t xml:space="preserve"> or</w:t>
      </w:r>
      <w:r w:rsidR="00C57F18">
        <w:t xml:space="preserve"> </w:t>
      </w:r>
      <w:r w:rsidR="00956D1A">
        <w:t>data in the C</w:t>
      </w:r>
      <w:r w:rsidR="0014381B">
        <w:t xml:space="preserve">ompany’s testimony </w:t>
      </w:r>
      <w:r w:rsidR="00890147">
        <w:t>that</w:t>
      </w:r>
      <w:r w:rsidR="00956D1A">
        <w:t xml:space="preserve"> support</w:t>
      </w:r>
      <w:r w:rsidR="00890147">
        <w:t xml:space="preserve">s </w:t>
      </w:r>
      <w:r w:rsidR="0014381B">
        <w:t>Frontier’s</w:t>
      </w:r>
      <w:r w:rsidR="00924683">
        <w:t xml:space="preserve"> tacit assumption that its</w:t>
      </w:r>
      <w:r w:rsidR="0014381B">
        <w:t xml:space="preserve"> </w:t>
      </w:r>
      <w:r w:rsidR="00EA4A37">
        <w:t xml:space="preserve">special access </w:t>
      </w:r>
      <w:r w:rsidR="0014381B">
        <w:t xml:space="preserve">market </w:t>
      </w:r>
      <w:r w:rsidR="00EA4A37">
        <w:t>is subject to effective competition</w:t>
      </w:r>
      <w:r w:rsidR="0014381B">
        <w:t>.</w:t>
      </w:r>
      <w:r w:rsidR="006F300A">
        <w:t xml:space="preserve"> </w:t>
      </w:r>
    </w:p>
    <w:p w:rsidR="00152CD4" w:rsidRDefault="00152CD4" w:rsidP="00957124">
      <w:pPr>
        <w:spacing w:line="480" w:lineRule="auto"/>
      </w:pPr>
    </w:p>
    <w:p w:rsidR="00152CD4" w:rsidRDefault="00152CD4" w:rsidP="00152CD4">
      <w:pPr>
        <w:spacing w:line="480" w:lineRule="auto"/>
        <w:ind w:left="720" w:hanging="720"/>
        <w:rPr>
          <w:b/>
        </w:rPr>
      </w:pPr>
      <w:r>
        <w:rPr>
          <w:b/>
        </w:rPr>
        <w:t>Q.</w:t>
      </w:r>
      <w:r>
        <w:rPr>
          <w:b/>
        </w:rPr>
        <w:tab/>
      </w:r>
      <w:r w:rsidR="000309DC">
        <w:rPr>
          <w:b/>
        </w:rPr>
        <w:t xml:space="preserve">Does the Company offer </w:t>
      </w:r>
      <w:r w:rsidR="00217163">
        <w:rPr>
          <w:b/>
        </w:rPr>
        <w:t xml:space="preserve">a </w:t>
      </w:r>
      <w:r w:rsidR="000309DC">
        <w:rPr>
          <w:b/>
        </w:rPr>
        <w:t>rational</w:t>
      </w:r>
      <w:r w:rsidR="00217163">
        <w:rPr>
          <w:b/>
        </w:rPr>
        <w:t>e</w:t>
      </w:r>
      <w:r w:rsidR="000309DC">
        <w:rPr>
          <w:b/>
        </w:rPr>
        <w:t xml:space="preserve"> or explain why the UTC should</w:t>
      </w:r>
      <w:r w:rsidR="00BF6867">
        <w:rPr>
          <w:b/>
        </w:rPr>
        <w:t xml:space="preserve"> allow </w:t>
      </w:r>
      <w:r w:rsidR="009A47AF">
        <w:rPr>
          <w:b/>
        </w:rPr>
        <w:t>switched access rates to be removed from tariff</w:t>
      </w:r>
      <w:r w:rsidR="00EB2924">
        <w:rPr>
          <w:b/>
        </w:rPr>
        <w:t>?</w:t>
      </w:r>
      <w:r w:rsidR="000309DC">
        <w:rPr>
          <w:b/>
        </w:rPr>
        <w:t xml:space="preserve"> </w:t>
      </w:r>
    </w:p>
    <w:p w:rsidR="00152CD4" w:rsidRDefault="009A47AF" w:rsidP="00152CD4">
      <w:pPr>
        <w:spacing w:line="480" w:lineRule="auto"/>
        <w:ind w:left="720" w:hanging="720"/>
      </w:pPr>
      <w:r>
        <w:t>A.</w:t>
      </w:r>
      <w:r w:rsidR="00807EEC">
        <w:tab/>
      </w:r>
      <w:r w:rsidR="00B17005">
        <w:t>Frontier</w:t>
      </w:r>
      <w:r w:rsidR="00833DE3">
        <w:t xml:space="preserve"> is defined by the FCC </w:t>
      </w:r>
      <w:r w:rsidR="00B17005">
        <w:t>as a “Price Cap</w:t>
      </w:r>
      <w:r w:rsidR="00833DE3">
        <w:t xml:space="preserve"> Carrier</w:t>
      </w:r>
      <w:r w:rsidR="004B7670">
        <w:t>.</w:t>
      </w:r>
      <w:r w:rsidR="00B17005">
        <w:t xml:space="preserve">” </w:t>
      </w:r>
      <w:r w:rsidR="00275513">
        <w:t xml:space="preserve"> </w:t>
      </w:r>
      <w:r w:rsidR="00B17005">
        <w:t xml:space="preserve">In the FCC’s </w:t>
      </w:r>
      <w:r w:rsidR="001662E8">
        <w:t>Connect America Fund (CAF)</w:t>
      </w:r>
      <w:r w:rsidR="00B17005">
        <w:t xml:space="preserve"> Order</w:t>
      </w:r>
      <w:r w:rsidR="00563C51">
        <w:t>,</w:t>
      </w:r>
      <w:r w:rsidR="00B17005">
        <w:t xml:space="preserve"> released November 18, 2011</w:t>
      </w:r>
      <w:r w:rsidR="00EE03E0">
        <w:t>, in FCC 11-161</w:t>
      </w:r>
      <w:r w:rsidR="00B17005">
        <w:t xml:space="preserve">, the agency </w:t>
      </w:r>
      <w:r w:rsidR="00275513">
        <w:t xml:space="preserve">initiated </w:t>
      </w:r>
      <w:r w:rsidR="00B17005">
        <w:t>an Intercarrier Compensation reform transition</w:t>
      </w:r>
      <w:r w:rsidR="00833DE3">
        <w:t>ing</w:t>
      </w:r>
      <w:r w:rsidR="00B17005">
        <w:t xml:space="preserve"> all interstate and intrastate access </w:t>
      </w:r>
      <w:r w:rsidR="00833DE3">
        <w:t xml:space="preserve">elements for both Price Cap Carriers and Rate of Return </w:t>
      </w:r>
      <w:r w:rsidR="00B17005">
        <w:t>ILECs</w:t>
      </w:r>
      <w:r w:rsidR="00833DE3">
        <w:t>. Price Cap Carriers</w:t>
      </w:r>
      <w:r w:rsidR="004B7670">
        <w:t>’</w:t>
      </w:r>
      <w:r w:rsidR="00833DE3">
        <w:t xml:space="preserve"> interstate </w:t>
      </w:r>
      <w:r w:rsidR="00833DE3" w:rsidRPr="005101C0">
        <w:rPr>
          <w:i/>
        </w:rPr>
        <w:t>and intrastate</w:t>
      </w:r>
      <w:r w:rsidR="00833DE3">
        <w:t xml:space="preserve"> rates were capped for originating, terminating and </w:t>
      </w:r>
      <w:r w:rsidR="00DC3FDA">
        <w:t>reciprocal compensation at the rates it was charging on December 29, 2011.</w:t>
      </w:r>
      <w:r w:rsidR="00275513">
        <w:t xml:space="preserve"> </w:t>
      </w:r>
      <w:r w:rsidR="00DC3FDA">
        <w:t xml:space="preserve"> </w:t>
      </w:r>
      <w:r w:rsidR="009A68D0">
        <w:t>The</w:t>
      </w:r>
      <w:r w:rsidR="004724DD">
        <w:t xml:space="preserve"> Company</w:t>
      </w:r>
      <w:r w:rsidR="009A68D0">
        <w:t xml:space="preserve"> </w:t>
      </w:r>
      <w:r w:rsidR="004724DD">
        <w:t>is essentially asking the Commission to rely on a regulatory body</w:t>
      </w:r>
      <w:r w:rsidR="004B7670">
        <w:t xml:space="preserve"> (the FCC)</w:t>
      </w:r>
      <w:r w:rsidR="004724DD">
        <w:t xml:space="preserve"> </w:t>
      </w:r>
      <w:r w:rsidR="00585752">
        <w:t>that</w:t>
      </w:r>
      <w:r w:rsidR="004724DD">
        <w:t xml:space="preserve"> has jurisdiction </w:t>
      </w:r>
      <w:r w:rsidR="00275513">
        <w:t>over</w:t>
      </w:r>
      <w:r w:rsidR="004724DD">
        <w:t xml:space="preserve"> interstate telecommunications services </w:t>
      </w:r>
      <w:r w:rsidR="00197E20">
        <w:t>t</w:t>
      </w:r>
      <w:r w:rsidR="004724DD">
        <w:t xml:space="preserve">o ensure Frontier’s proposed </w:t>
      </w:r>
      <w:r w:rsidR="001662E8">
        <w:t xml:space="preserve">intrastate access </w:t>
      </w:r>
      <w:r w:rsidR="00197E20">
        <w:t xml:space="preserve">service catalog will not </w:t>
      </w:r>
      <w:r w:rsidR="00417DD7">
        <w:t>cause harm to CLECs</w:t>
      </w:r>
      <w:r w:rsidR="004B7670">
        <w:t xml:space="preserve"> competing with Frontier</w:t>
      </w:r>
      <w:r w:rsidR="00417DD7">
        <w:t xml:space="preserve"> in Washington</w:t>
      </w:r>
      <w:r w:rsidR="00197E20">
        <w:t>.</w:t>
      </w:r>
    </w:p>
    <w:p w:rsidR="00152CD4" w:rsidRDefault="00152CD4" w:rsidP="00152CD4">
      <w:pPr>
        <w:spacing w:line="480" w:lineRule="auto"/>
        <w:ind w:left="720" w:hanging="720"/>
      </w:pPr>
    </w:p>
    <w:p w:rsidR="00152CD4" w:rsidRDefault="00152CD4" w:rsidP="00152CD4">
      <w:pPr>
        <w:spacing w:line="480" w:lineRule="auto"/>
        <w:ind w:left="720" w:hanging="720"/>
        <w:rPr>
          <w:b/>
        </w:rPr>
      </w:pPr>
      <w:r>
        <w:rPr>
          <w:b/>
        </w:rPr>
        <w:t>Q.</w:t>
      </w:r>
      <w:r w:rsidR="00197E20">
        <w:rPr>
          <w:b/>
        </w:rPr>
        <w:tab/>
        <w:t>Does this create a problem</w:t>
      </w:r>
      <w:r w:rsidR="00BC23EC">
        <w:rPr>
          <w:b/>
        </w:rPr>
        <w:t>?</w:t>
      </w:r>
    </w:p>
    <w:p w:rsidR="0065391B" w:rsidRDefault="00152CD4" w:rsidP="00FC49EF">
      <w:pPr>
        <w:spacing w:line="480" w:lineRule="auto"/>
        <w:ind w:left="720" w:hanging="720"/>
      </w:pPr>
      <w:r>
        <w:t>A.</w:t>
      </w:r>
      <w:r w:rsidR="00BC23EC">
        <w:tab/>
      </w:r>
      <w:r w:rsidR="00EA4A37">
        <w:t xml:space="preserve">Yes.  </w:t>
      </w:r>
      <w:r w:rsidR="009E7285">
        <w:t xml:space="preserve">The </w:t>
      </w:r>
      <w:r w:rsidR="001662E8">
        <w:t>CAF</w:t>
      </w:r>
      <w:r w:rsidR="009E7285">
        <w:t xml:space="preserve"> Order has been appealed to </w:t>
      </w:r>
      <w:r w:rsidR="00FC49EF">
        <w:t>f</w:t>
      </w:r>
      <w:r w:rsidR="009E7285">
        <w:t>ederal</w:t>
      </w:r>
      <w:r w:rsidR="00413861">
        <w:t xml:space="preserve"> </w:t>
      </w:r>
      <w:r w:rsidR="00FC49EF">
        <w:t>c</w:t>
      </w:r>
      <w:r w:rsidR="009E7285">
        <w:t>ourt</w:t>
      </w:r>
      <w:r w:rsidR="00417DD7">
        <w:t>.</w:t>
      </w:r>
      <w:r w:rsidR="00120ADB">
        <w:rPr>
          <w:rStyle w:val="FootnoteReference"/>
        </w:rPr>
        <w:footnoteReference w:id="10"/>
      </w:r>
      <w:r w:rsidR="00417DD7">
        <w:t xml:space="preserve"> </w:t>
      </w:r>
      <w:r w:rsidR="00845859">
        <w:t xml:space="preserve"> </w:t>
      </w:r>
      <w:r w:rsidR="00417DD7">
        <w:t xml:space="preserve">My understanding is </w:t>
      </w:r>
      <w:r w:rsidR="00FC49EF">
        <w:t xml:space="preserve">that </w:t>
      </w:r>
      <w:r w:rsidR="00417DD7">
        <w:t>the FCC’s authority capping intrastate access rates is an issue.</w:t>
      </w:r>
      <w:r w:rsidR="00FC49EF">
        <w:t xml:space="preserve">  </w:t>
      </w:r>
      <w:r w:rsidR="00417DD7">
        <w:t xml:space="preserve">If the court determines </w:t>
      </w:r>
      <w:r w:rsidR="00563C51">
        <w:t xml:space="preserve">that </w:t>
      </w:r>
      <w:r w:rsidR="00417DD7">
        <w:t xml:space="preserve">the FCC does not have the authority to </w:t>
      </w:r>
      <w:r w:rsidR="00FC49EF">
        <w:t xml:space="preserve">set </w:t>
      </w:r>
      <w:r w:rsidR="00417DD7">
        <w:t>intrastate access rates and the UTC allows wholesale rates to be de-tariffed,</w:t>
      </w:r>
      <w:r w:rsidR="001662E8">
        <w:t xml:space="preserve"> </w:t>
      </w:r>
      <w:r w:rsidR="00135D27">
        <w:t xml:space="preserve">a </w:t>
      </w:r>
      <w:r w:rsidR="00845859">
        <w:t xml:space="preserve">regulatory </w:t>
      </w:r>
      <w:r w:rsidR="00DC3FDA">
        <w:t>void</w:t>
      </w:r>
      <w:r w:rsidR="00135D27">
        <w:t xml:space="preserve"> </w:t>
      </w:r>
      <w:r w:rsidR="00845859">
        <w:t xml:space="preserve">may result, </w:t>
      </w:r>
      <w:r w:rsidR="00D2776E">
        <w:t xml:space="preserve">leaving </w:t>
      </w:r>
      <w:r w:rsidR="00135D27">
        <w:t>Frontier’s intrastate access rates free of any regulatory scrutiny.</w:t>
      </w:r>
      <w:r w:rsidR="001662E8">
        <w:t xml:space="preserve"> </w:t>
      </w:r>
    </w:p>
    <w:p w:rsidR="001A7837" w:rsidRDefault="001A7837" w:rsidP="001A7837">
      <w:pPr>
        <w:spacing w:line="480" w:lineRule="auto"/>
        <w:ind w:left="720" w:hanging="720"/>
        <w:jc w:val="center"/>
        <w:rPr>
          <w:b/>
        </w:rPr>
      </w:pPr>
      <w:r w:rsidRPr="001A7837">
        <w:rPr>
          <w:b/>
        </w:rPr>
        <w:t>V.</w:t>
      </w:r>
      <w:r w:rsidR="00F974D8">
        <w:rPr>
          <w:b/>
        </w:rPr>
        <w:tab/>
      </w:r>
      <w:r w:rsidR="00481199">
        <w:rPr>
          <w:b/>
        </w:rPr>
        <w:t>WAIVER REQUESTS</w:t>
      </w:r>
    </w:p>
    <w:p w:rsidR="000B5FF1" w:rsidRPr="001A7837" w:rsidRDefault="000B5FF1" w:rsidP="001A7837">
      <w:pPr>
        <w:spacing w:line="480" w:lineRule="auto"/>
        <w:ind w:left="720" w:hanging="720"/>
        <w:jc w:val="center"/>
        <w:rPr>
          <w:b/>
        </w:rPr>
      </w:pPr>
    </w:p>
    <w:p w:rsidR="001A7837" w:rsidRPr="001A7837" w:rsidRDefault="001A7837" w:rsidP="0065391B">
      <w:pPr>
        <w:spacing w:line="480" w:lineRule="auto"/>
        <w:ind w:left="720" w:hanging="720"/>
        <w:rPr>
          <w:b/>
        </w:rPr>
      </w:pPr>
      <w:r w:rsidRPr="001A7837">
        <w:rPr>
          <w:b/>
        </w:rPr>
        <w:t>Q.</w:t>
      </w:r>
      <w:r>
        <w:rPr>
          <w:b/>
        </w:rPr>
        <w:tab/>
      </w:r>
      <w:r w:rsidR="0023157B">
        <w:rPr>
          <w:b/>
        </w:rPr>
        <w:t xml:space="preserve">The Company is requesting waiver of </w:t>
      </w:r>
      <w:r w:rsidR="00562793">
        <w:rPr>
          <w:b/>
        </w:rPr>
        <w:t>certain laws and rules</w:t>
      </w:r>
      <w:r w:rsidR="0023157B">
        <w:rPr>
          <w:b/>
        </w:rPr>
        <w:t xml:space="preserve">. </w:t>
      </w:r>
      <w:r w:rsidR="00562793">
        <w:rPr>
          <w:b/>
        </w:rPr>
        <w:t xml:space="preserve"> </w:t>
      </w:r>
      <w:r w:rsidR="0023157B">
        <w:rPr>
          <w:b/>
        </w:rPr>
        <w:t xml:space="preserve">Does Staff support </w:t>
      </w:r>
      <w:r w:rsidR="00562793">
        <w:rPr>
          <w:b/>
        </w:rPr>
        <w:t>any of the requested waivers</w:t>
      </w:r>
      <w:r w:rsidR="0023157B">
        <w:rPr>
          <w:b/>
        </w:rPr>
        <w:t>?</w:t>
      </w:r>
    </w:p>
    <w:p w:rsidR="00EA4A37" w:rsidRDefault="0023157B" w:rsidP="0065391B">
      <w:pPr>
        <w:spacing w:line="480" w:lineRule="auto"/>
        <w:ind w:left="720" w:hanging="720"/>
      </w:pPr>
      <w:r>
        <w:t>A.</w:t>
      </w:r>
      <w:r>
        <w:tab/>
      </w:r>
      <w:r w:rsidR="00EA4A37">
        <w:t>Frontier has requested waivers of most of the laws and rules waived for CLECS under WAC 480-121-063.  If the Commission classifies most of the Company’s services as competitive services under RCW 80.36.330, Staff supports most of the waivers the Company is requesting but not all.</w:t>
      </w:r>
      <w:r w:rsidR="00CB2BC1">
        <w:t xml:space="preserve"> </w:t>
      </w:r>
      <w:r w:rsidR="00562793">
        <w:t xml:space="preserve"> </w:t>
      </w:r>
    </w:p>
    <w:p w:rsidR="00EA4A37" w:rsidRDefault="00EA4A37" w:rsidP="00EA4A37">
      <w:pPr>
        <w:pStyle w:val="ListParagraph"/>
        <w:spacing w:line="480" w:lineRule="auto"/>
      </w:pPr>
      <w:r>
        <w:tab/>
        <w:t>Commission Staff is sensitive to the changes within the telecommunications markets and the need to relax reporting requirements as competition grows.  The companies competing with Frontier do not have the same Commission reporting requirements as the ILECs.  Staff believes that waiving for Frontier many of the laws and rules waived for CLECs, with some exceptions, is in the public interest.</w:t>
      </w:r>
    </w:p>
    <w:p w:rsidR="007146B3" w:rsidRDefault="00EA4A37" w:rsidP="0065391B">
      <w:pPr>
        <w:spacing w:line="480" w:lineRule="auto"/>
        <w:ind w:left="720" w:hanging="720"/>
      </w:pPr>
      <w:r>
        <w:tab/>
      </w:r>
      <w:r>
        <w:tab/>
      </w:r>
      <w:r w:rsidR="003476F6">
        <w:t xml:space="preserve">I have </w:t>
      </w:r>
      <w:r w:rsidR="00352179">
        <w:t xml:space="preserve">prepared Exhibit No. </w:t>
      </w:r>
      <w:proofErr w:type="gramStart"/>
      <w:r w:rsidR="000B5FF1">
        <w:t>_</w:t>
      </w:r>
      <w:r w:rsidR="00352179">
        <w:t>__</w:t>
      </w:r>
      <w:r w:rsidR="00081F57">
        <w:t xml:space="preserve"> </w:t>
      </w:r>
      <w:r w:rsidR="00352179">
        <w:t>(WHW-2)</w:t>
      </w:r>
      <w:r w:rsidR="00081F57">
        <w:t xml:space="preserve"> as a summary of Staff’s recommendations with respect to waiver</w:t>
      </w:r>
      <w:r w:rsidR="00A05D61">
        <w:t xml:space="preserve"> provisions of WAC 480-121-063</w:t>
      </w:r>
      <w:r w:rsidR="00352179">
        <w:t>.</w:t>
      </w:r>
      <w:proofErr w:type="gramEnd"/>
      <w:r w:rsidR="00A05D61">
        <w:t xml:space="preserve"> </w:t>
      </w:r>
      <w:r w:rsidR="00352179">
        <w:t xml:space="preserve"> This exhibit </w:t>
      </w:r>
      <w:r w:rsidR="00030D79">
        <w:t>categorizes the RCWs and WACs by</w:t>
      </w:r>
      <w:r w:rsidR="007146B3">
        <w:t xml:space="preserve"> the following</w:t>
      </w:r>
      <w:r w:rsidR="00030D79">
        <w:t xml:space="preserve"> major categor</w:t>
      </w:r>
      <w:r w:rsidR="007146B3">
        <w:t>ies:</w:t>
      </w:r>
    </w:p>
    <w:p w:rsidR="007146B3" w:rsidRDefault="007146B3" w:rsidP="00563C51">
      <w:pPr>
        <w:pStyle w:val="ListParagraph"/>
        <w:numPr>
          <w:ilvl w:val="0"/>
          <w:numId w:val="6"/>
        </w:numPr>
        <w:spacing w:line="480" w:lineRule="auto"/>
        <w:ind w:left="1440" w:hanging="720"/>
      </w:pPr>
      <w:r w:rsidRPr="00563C51">
        <w:rPr>
          <w:u w:val="single"/>
        </w:rPr>
        <w:t>Budgets</w:t>
      </w:r>
      <w:r w:rsidR="00563C51">
        <w:t xml:space="preserve">:  </w:t>
      </w:r>
      <w:r w:rsidR="00A827AF">
        <w:t xml:space="preserve">Staff agrees </w:t>
      </w:r>
      <w:r>
        <w:t>waiver</w:t>
      </w:r>
      <w:r w:rsidR="00A827AF">
        <w:t>s</w:t>
      </w:r>
      <w:r>
        <w:t xml:space="preserve"> should be granted for </w:t>
      </w:r>
      <w:r w:rsidR="00A827AF">
        <w:t>this category</w:t>
      </w:r>
      <w:r>
        <w:t>. WAC 480-140-040 requires telecommunications companies</w:t>
      </w:r>
      <w:r w:rsidR="00D40316">
        <w:t xml:space="preserve"> file major projects with the Commission where the jurisdictional share of the project is greater than one million dollars.</w:t>
      </w:r>
      <w:r w:rsidR="00563C51">
        <w:t xml:space="preserve"> </w:t>
      </w:r>
      <w:r w:rsidR="00D40316">
        <w:t xml:space="preserve"> This information does not provide any value to Staff.</w:t>
      </w:r>
    </w:p>
    <w:p w:rsidR="00D40316" w:rsidRDefault="00D40316" w:rsidP="00563C51">
      <w:pPr>
        <w:pStyle w:val="ListParagraph"/>
        <w:numPr>
          <w:ilvl w:val="0"/>
          <w:numId w:val="6"/>
        </w:numPr>
        <w:spacing w:line="480" w:lineRule="auto"/>
        <w:ind w:left="1440" w:hanging="720"/>
      </w:pPr>
      <w:r w:rsidRPr="00563C51">
        <w:rPr>
          <w:u w:val="single"/>
        </w:rPr>
        <w:t>Affiliated Interest</w:t>
      </w:r>
      <w:r w:rsidR="00563C51">
        <w:t xml:space="preserve">:  </w:t>
      </w:r>
      <w:r w:rsidR="00A827AF">
        <w:t>Staff agrees waivers should be granted for this category. Competition and the use of economic cost models have reduced the need to review affiliated transactions in the current environment.</w:t>
      </w:r>
    </w:p>
    <w:p w:rsidR="00A827AF" w:rsidRDefault="00A827AF" w:rsidP="00563C51">
      <w:pPr>
        <w:pStyle w:val="ListParagraph"/>
        <w:numPr>
          <w:ilvl w:val="0"/>
          <w:numId w:val="6"/>
        </w:numPr>
        <w:spacing w:line="480" w:lineRule="auto"/>
        <w:ind w:left="1440" w:hanging="720"/>
      </w:pPr>
      <w:r w:rsidRPr="00563C51">
        <w:rPr>
          <w:u w:val="single"/>
        </w:rPr>
        <w:t>Securities</w:t>
      </w:r>
      <w:r w:rsidR="00563C51">
        <w:t xml:space="preserve">:  </w:t>
      </w:r>
      <w:r>
        <w:t xml:space="preserve">Staff agrees waivers should be granted for this category. Generally, the financing needs for Frontier are executed through the parent. </w:t>
      </w:r>
      <w:r w:rsidR="00EB5EB1">
        <w:t xml:space="preserve"> </w:t>
      </w:r>
      <w:r w:rsidR="00A823E9">
        <w:t xml:space="preserve">Cash needs for the operating company and the parent </w:t>
      </w:r>
      <w:r w:rsidR="00EB5EB1">
        <w:t xml:space="preserve">are </w:t>
      </w:r>
      <w:r w:rsidR="00A823E9">
        <w:t>recorded in intercompany receivables and payables accounts.</w:t>
      </w:r>
    </w:p>
    <w:p w:rsidR="0064688C" w:rsidRDefault="00A823E9" w:rsidP="00563C51">
      <w:pPr>
        <w:pStyle w:val="ListParagraph"/>
        <w:keepNext/>
        <w:numPr>
          <w:ilvl w:val="0"/>
          <w:numId w:val="6"/>
        </w:numPr>
        <w:spacing w:line="480" w:lineRule="auto"/>
        <w:ind w:leftChars="300" w:left="1440" w:hangingChars="300" w:hanging="720"/>
      </w:pPr>
      <w:r w:rsidRPr="00563C51">
        <w:rPr>
          <w:u w:val="single"/>
        </w:rPr>
        <w:t>Other</w:t>
      </w:r>
      <w:r w:rsidR="00563C51">
        <w:t xml:space="preserve">:  </w:t>
      </w:r>
      <w:r>
        <w:t>Staff agrees waiver</w:t>
      </w:r>
      <w:r w:rsidR="00EB5EB1">
        <w:t>s</w:t>
      </w:r>
      <w:r>
        <w:t xml:space="preserve"> should be granted for this category. These </w:t>
      </w:r>
      <w:r w:rsidR="001A3117">
        <w:t xml:space="preserve">are miscellaneous </w:t>
      </w:r>
      <w:r>
        <w:t>items</w:t>
      </w:r>
      <w:r w:rsidR="001A3117">
        <w:t xml:space="preserve"> waived for the CLECs. </w:t>
      </w:r>
      <w:r w:rsidR="0064688C">
        <w:t xml:space="preserve">Staff </w:t>
      </w:r>
      <w:r w:rsidR="001A3117">
        <w:t>does not have any reason Frontier</w:t>
      </w:r>
      <w:r w:rsidR="0064688C">
        <w:t xml:space="preserve"> should be bound by these items.</w:t>
      </w:r>
    </w:p>
    <w:p w:rsidR="0064688C" w:rsidRDefault="0064688C" w:rsidP="00563C51">
      <w:pPr>
        <w:pStyle w:val="ListParagraph"/>
        <w:numPr>
          <w:ilvl w:val="0"/>
          <w:numId w:val="6"/>
        </w:numPr>
        <w:spacing w:line="480" w:lineRule="auto"/>
        <w:ind w:left="1440" w:hanging="720"/>
      </w:pPr>
      <w:r w:rsidRPr="00563C51">
        <w:rPr>
          <w:u w:val="single"/>
        </w:rPr>
        <w:t>Transfers of Property</w:t>
      </w:r>
      <w:r w:rsidR="00563C51">
        <w:t xml:space="preserve">:  </w:t>
      </w:r>
      <w:r>
        <w:t>Staff recommends there be a partial waiver of this category.</w:t>
      </w:r>
      <w:r w:rsidR="001A3117">
        <w:t xml:space="preserve"> </w:t>
      </w:r>
      <w:r>
        <w:t>Staff believes the Company should file with the Commission transfer of property request for sales of exchanges or nonaffiliated mergers.</w:t>
      </w:r>
    </w:p>
    <w:p w:rsidR="00773B83" w:rsidRDefault="0064688C" w:rsidP="00563C51">
      <w:pPr>
        <w:pStyle w:val="ListParagraph"/>
        <w:numPr>
          <w:ilvl w:val="0"/>
          <w:numId w:val="6"/>
        </w:numPr>
        <w:spacing w:line="480" w:lineRule="auto"/>
        <w:ind w:left="1440" w:hanging="720"/>
      </w:pPr>
      <w:r w:rsidRPr="00563C51">
        <w:rPr>
          <w:u w:val="single"/>
        </w:rPr>
        <w:t>Tariffs</w:t>
      </w:r>
      <w:r w:rsidR="00563C51">
        <w:t xml:space="preserve">:  </w:t>
      </w:r>
      <w:r>
        <w:t xml:space="preserve">Staff recommends </w:t>
      </w:r>
      <w:r w:rsidR="00EB5EB1">
        <w:t xml:space="preserve">that waiver requests in </w:t>
      </w:r>
      <w:r>
        <w:t xml:space="preserve">this category be denied. </w:t>
      </w:r>
      <w:r w:rsidR="00E833C1">
        <w:t xml:space="preserve"> </w:t>
      </w:r>
      <w:r>
        <w:t>Staff propose</w:t>
      </w:r>
      <w:r w:rsidR="00EB5EB1">
        <w:t>s that</w:t>
      </w:r>
      <w:r>
        <w:t xml:space="preserve"> </w:t>
      </w:r>
      <w:r w:rsidR="00EB5EB1">
        <w:t xml:space="preserve">the Company continue to offer </w:t>
      </w:r>
      <w:r>
        <w:t xml:space="preserve">a limited number of services </w:t>
      </w:r>
      <w:r w:rsidR="00EB5EB1">
        <w:t>in tariff</w:t>
      </w:r>
      <w:r>
        <w:t>.</w:t>
      </w:r>
      <w:r w:rsidR="00EB5EB1">
        <w:t xml:space="preserve"> </w:t>
      </w:r>
      <w:r>
        <w:t xml:space="preserve"> If the Commission accepts Staff’s recommendation, the </w:t>
      </w:r>
      <w:r w:rsidR="00913536">
        <w:t>statutes and rules</w:t>
      </w:r>
      <w:r>
        <w:t xml:space="preserve"> pertaining to tariff</w:t>
      </w:r>
      <w:r w:rsidR="00840A9D">
        <w:t>s will be necessary.</w:t>
      </w:r>
    </w:p>
    <w:p w:rsidR="00825B30" w:rsidRDefault="000B5FF1" w:rsidP="003D553D">
      <w:pPr>
        <w:spacing w:line="480" w:lineRule="auto"/>
        <w:ind w:left="720"/>
      </w:pPr>
      <w:r>
        <w:tab/>
      </w:r>
      <w:r w:rsidR="00F60BB9">
        <w:t xml:space="preserve">Under RCW 80.36.330, </w:t>
      </w:r>
      <w:r w:rsidR="00913536">
        <w:t xml:space="preserve">which governs </w:t>
      </w:r>
      <w:r w:rsidR="00F60BB9">
        <w:t xml:space="preserve">classification </w:t>
      </w:r>
      <w:r w:rsidR="00913536">
        <w:t>of one or more telecommunications services as</w:t>
      </w:r>
      <w:r w:rsidR="00F60BB9">
        <w:t xml:space="preserve"> competitive</w:t>
      </w:r>
      <w:r w:rsidR="00825B30">
        <w:t>,</w:t>
      </w:r>
      <w:r w:rsidR="00F60BB9">
        <w:t xml:space="preserve"> the </w:t>
      </w:r>
      <w:r w:rsidR="00913536">
        <w:t>C</w:t>
      </w:r>
      <w:r w:rsidR="00F60BB9">
        <w:t xml:space="preserve">ommission may waive RCW 80.36.170 or </w:t>
      </w:r>
      <w:r w:rsidR="00825B30">
        <w:t>80.36.180 (</w:t>
      </w:r>
      <w:r w:rsidR="00913536">
        <w:t>u</w:t>
      </w:r>
      <w:r w:rsidR="00825B30">
        <w:t xml:space="preserve">nreasonable </w:t>
      </w:r>
      <w:r w:rsidR="00913536">
        <w:t>p</w:t>
      </w:r>
      <w:r w:rsidR="00825B30">
        <w:t xml:space="preserve">reference and </w:t>
      </w:r>
      <w:r w:rsidR="00913536">
        <w:t>r</w:t>
      </w:r>
      <w:r w:rsidR="00825B30">
        <w:t xml:space="preserve">ate </w:t>
      </w:r>
      <w:r w:rsidR="00913536">
        <w:t>d</w:t>
      </w:r>
      <w:r w:rsidR="00825B30">
        <w:t xml:space="preserve">iscrimination </w:t>
      </w:r>
      <w:r w:rsidR="00913536">
        <w:t>p</w:t>
      </w:r>
      <w:r w:rsidR="00825B30">
        <w:t xml:space="preserve">rohibitions) </w:t>
      </w:r>
      <w:r w:rsidR="00913536">
        <w:t xml:space="preserve">under subsection (8) </w:t>
      </w:r>
      <w:r w:rsidR="00825B30">
        <w:t>if it finds that competition will serve the same purpose and protect the public interest.</w:t>
      </w:r>
      <w:r w:rsidR="003D553D">
        <w:t xml:space="preserve">  Because Frontier has failed to show that there is effective competition for certain services, </w:t>
      </w:r>
      <w:r w:rsidR="00825B30">
        <w:t>Staff does not recommend waiving any of the requirements of RCW 80.36.170 or RCW 80.36.180.</w:t>
      </w:r>
    </w:p>
    <w:p w:rsidR="0065391B" w:rsidRDefault="000B5FF1" w:rsidP="00EA4A37">
      <w:pPr>
        <w:pStyle w:val="ListParagraph"/>
        <w:spacing w:line="480" w:lineRule="auto"/>
      </w:pPr>
      <w:r>
        <w:tab/>
      </w:r>
    </w:p>
    <w:p w:rsidR="00EA4A37" w:rsidRDefault="00EA4A37" w:rsidP="00EA4A37">
      <w:pPr>
        <w:pStyle w:val="ListParagraph"/>
        <w:spacing w:line="480" w:lineRule="auto"/>
      </w:pPr>
    </w:p>
    <w:p w:rsidR="00AA378C" w:rsidRPr="00AA378C" w:rsidRDefault="00AA378C" w:rsidP="00AA378C">
      <w:pPr>
        <w:spacing w:line="480" w:lineRule="auto"/>
        <w:ind w:left="720" w:hanging="720"/>
        <w:jc w:val="center"/>
        <w:rPr>
          <w:b/>
        </w:rPr>
      </w:pPr>
      <w:r w:rsidRPr="00AA378C">
        <w:rPr>
          <w:b/>
        </w:rPr>
        <w:t>VI.</w:t>
      </w:r>
      <w:r w:rsidR="00653516">
        <w:rPr>
          <w:b/>
        </w:rPr>
        <w:tab/>
        <w:t>SERVICE QUALITY</w:t>
      </w:r>
    </w:p>
    <w:p w:rsidR="00AA378C" w:rsidRDefault="00AA378C" w:rsidP="0065391B">
      <w:pPr>
        <w:spacing w:line="480" w:lineRule="auto"/>
        <w:ind w:left="720" w:hanging="720"/>
      </w:pPr>
    </w:p>
    <w:p w:rsidR="0065391B" w:rsidRDefault="0065391B" w:rsidP="0065391B">
      <w:pPr>
        <w:spacing w:line="480" w:lineRule="auto"/>
        <w:ind w:left="720" w:hanging="720"/>
        <w:rPr>
          <w:b/>
        </w:rPr>
      </w:pPr>
      <w:r>
        <w:rPr>
          <w:b/>
        </w:rPr>
        <w:t>Q.</w:t>
      </w:r>
      <w:r>
        <w:rPr>
          <w:b/>
        </w:rPr>
        <w:tab/>
      </w:r>
      <w:r w:rsidR="00C946F6">
        <w:rPr>
          <w:b/>
        </w:rPr>
        <w:t xml:space="preserve">If the Commission grants Frontier </w:t>
      </w:r>
      <w:r w:rsidR="00C11E14">
        <w:rPr>
          <w:b/>
        </w:rPr>
        <w:t>competitive classification</w:t>
      </w:r>
      <w:r w:rsidR="00D11CF3">
        <w:rPr>
          <w:b/>
        </w:rPr>
        <w:t xml:space="preserve"> under RCW 80.36.320</w:t>
      </w:r>
      <w:r w:rsidR="00C11E14">
        <w:rPr>
          <w:b/>
        </w:rPr>
        <w:t>, will the Company be free of reporting customer service statistics to the Commission?</w:t>
      </w:r>
    </w:p>
    <w:p w:rsidR="0065391B" w:rsidRPr="008C72AD" w:rsidRDefault="0065391B" w:rsidP="008C72AD">
      <w:pPr>
        <w:spacing w:line="480" w:lineRule="auto"/>
        <w:ind w:left="720" w:hanging="720"/>
      </w:pPr>
      <w:r>
        <w:t>A.</w:t>
      </w:r>
      <w:r w:rsidR="00C11E14">
        <w:tab/>
        <w:t xml:space="preserve">No. </w:t>
      </w:r>
      <w:r w:rsidR="00563C51">
        <w:t xml:space="preserve"> </w:t>
      </w:r>
      <w:r w:rsidR="00C11E14">
        <w:t>Frontier will still be classified as a Class A company</w:t>
      </w:r>
      <w:r w:rsidR="00D11CF3">
        <w:t>, and will continue to be required to</w:t>
      </w:r>
      <w:r w:rsidR="00C11E14">
        <w:t xml:space="preserve"> </w:t>
      </w:r>
      <w:r w:rsidR="00235D4D">
        <w:t>report</w:t>
      </w:r>
      <w:r w:rsidR="008C72AD">
        <w:t xml:space="preserve"> customer service data to the Commission </w:t>
      </w:r>
      <w:r w:rsidR="00C11E14">
        <w:t>just like</w:t>
      </w:r>
      <w:r w:rsidR="00235D4D">
        <w:t xml:space="preserve"> the CLEC</w:t>
      </w:r>
      <w:r w:rsidR="00C11E14">
        <w:t xml:space="preserve"> Integra</w:t>
      </w:r>
      <w:r w:rsidR="008C72AD">
        <w:t xml:space="preserve"> does today.</w:t>
      </w:r>
      <w:r w:rsidR="00C11E14">
        <w:t xml:space="preserve"> </w:t>
      </w:r>
    </w:p>
    <w:p w:rsidR="002D0E71" w:rsidRDefault="002D0E71" w:rsidP="0065391B">
      <w:pPr>
        <w:spacing w:line="480" w:lineRule="auto"/>
        <w:ind w:left="720" w:hanging="720"/>
      </w:pPr>
    </w:p>
    <w:p w:rsidR="002D0E71" w:rsidRPr="005101C0" w:rsidRDefault="002514CE" w:rsidP="005101C0">
      <w:pPr>
        <w:spacing w:line="480" w:lineRule="auto"/>
        <w:ind w:left="720" w:hanging="720"/>
        <w:jc w:val="center"/>
        <w:rPr>
          <w:b/>
        </w:rPr>
      </w:pPr>
      <w:r>
        <w:rPr>
          <w:b/>
        </w:rPr>
        <w:t>VI</w:t>
      </w:r>
      <w:r w:rsidR="002D0E71">
        <w:rPr>
          <w:b/>
        </w:rPr>
        <w:t>I</w:t>
      </w:r>
      <w:r w:rsidR="002D0E71" w:rsidRPr="005101C0">
        <w:rPr>
          <w:b/>
        </w:rPr>
        <w:t>.</w:t>
      </w:r>
      <w:r w:rsidR="002D0E71" w:rsidRPr="005101C0">
        <w:rPr>
          <w:b/>
        </w:rPr>
        <w:tab/>
        <w:t>RECOMMENDATION</w:t>
      </w:r>
    </w:p>
    <w:p w:rsidR="00F17C3B" w:rsidRDefault="00F17C3B" w:rsidP="0065391B">
      <w:pPr>
        <w:spacing w:line="480" w:lineRule="auto"/>
        <w:ind w:left="720" w:hanging="720"/>
      </w:pPr>
    </w:p>
    <w:p w:rsidR="00B814E2" w:rsidRDefault="00F17C3B" w:rsidP="0065391B">
      <w:pPr>
        <w:spacing w:line="480" w:lineRule="auto"/>
        <w:ind w:left="720" w:hanging="720"/>
      </w:pPr>
      <w:r>
        <w:rPr>
          <w:b/>
        </w:rPr>
        <w:t>Q.</w:t>
      </w:r>
      <w:r>
        <w:rPr>
          <w:b/>
        </w:rPr>
        <w:tab/>
        <w:t>Can you please summarize Staff’s recommendations with respect to the Petition?</w:t>
      </w:r>
    </w:p>
    <w:p w:rsidR="002D0E71" w:rsidRDefault="002D0E71" w:rsidP="002D0E71">
      <w:pPr>
        <w:spacing w:line="480" w:lineRule="auto"/>
        <w:ind w:left="720" w:hanging="720"/>
      </w:pPr>
      <w:r>
        <w:t>A.</w:t>
      </w:r>
      <w:r>
        <w:tab/>
      </w:r>
      <w:r w:rsidR="00F17C3B">
        <w:t xml:space="preserve">Yes.  </w:t>
      </w:r>
      <w:r>
        <w:t xml:space="preserve">Staff recommends that the Commission deny </w:t>
      </w:r>
      <w:r w:rsidR="00F17C3B">
        <w:t xml:space="preserve">the Company’s Petition under RCW 80.36.320.  </w:t>
      </w:r>
      <w:r>
        <w:t xml:space="preserve">This classification, if the Petition were granted by the Commission, would </w:t>
      </w:r>
      <w:r w:rsidR="001D3CFF">
        <w:t>result in the removal of all of Frontier’s services from economic regulation although Frontier has not demonstrated that stand-alone basic local residential service, single-line basic business service, and retail special access service are subject to effective competition in Frontier’s service territory.</w:t>
      </w:r>
      <w:r>
        <w:t xml:space="preserve">  </w:t>
      </w:r>
      <w:r w:rsidR="00222D72">
        <w:t xml:space="preserve">Although Frontier has not made the showing necessary under RCW 80.36.320 for competitive classification of the </w:t>
      </w:r>
      <w:r w:rsidR="00563C51">
        <w:t>C</w:t>
      </w:r>
      <w:r w:rsidR="00222D72">
        <w:t>ompany, Staff’s analysis</w:t>
      </w:r>
      <w:r w:rsidR="00D97C26">
        <w:t>, as described in Ms. Roth’s and Ms. Liu’s testimonies,</w:t>
      </w:r>
      <w:r w:rsidR="00222D72">
        <w:t xml:space="preserve"> indicates that some of the services Frontier offers could be competitively classified under RCW 80.36.330.  If the Petition were amended to request competitive classification of services under RCW 80.36.330, </w:t>
      </w:r>
      <w:r>
        <w:t xml:space="preserve">Staff </w:t>
      </w:r>
      <w:r w:rsidR="00222D72">
        <w:t>would</w:t>
      </w:r>
      <w:r>
        <w:t xml:space="preserve"> </w:t>
      </w:r>
      <w:r w:rsidR="00222D72">
        <w:t>support</w:t>
      </w:r>
      <w:r>
        <w:t xml:space="preserve"> classifying some services </w:t>
      </w:r>
      <w:r w:rsidR="00222D72">
        <w:t xml:space="preserve">as competitive </w:t>
      </w:r>
      <w:r>
        <w:t>under RCW 80.36.330</w:t>
      </w:r>
      <w:r w:rsidR="009B1FF0">
        <w:t xml:space="preserve"> and waiving </w:t>
      </w:r>
      <w:r w:rsidR="0061501E">
        <w:t xml:space="preserve">the application of </w:t>
      </w:r>
      <w:r w:rsidR="009B1FF0">
        <w:t>a number of laws and rules</w:t>
      </w:r>
      <w:r>
        <w:t>.</w:t>
      </w:r>
    </w:p>
    <w:p w:rsidR="002D0E71" w:rsidRDefault="002D0E71" w:rsidP="0065391B">
      <w:pPr>
        <w:spacing w:line="480" w:lineRule="auto"/>
        <w:ind w:left="720" w:hanging="720"/>
      </w:pPr>
    </w:p>
    <w:p w:rsidR="00B814E2" w:rsidRDefault="00B814E2" w:rsidP="00B814E2">
      <w:pPr>
        <w:spacing w:line="480" w:lineRule="auto"/>
        <w:ind w:left="720" w:hanging="720"/>
        <w:rPr>
          <w:b/>
        </w:rPr>
      </w:pPr>
      <w:r>
        <w:rPr>
          <w:b/>
        </w:rPr>
        <w:t>Q.</w:t>
      </w:r>
      <w:r>
        <w:rPr>
          <w:b/>
        </w:rPr>
        <w:tab/>
        <w:t xml:space="preserve">Does this conclude your testimony?  </w:t>
      </w:r>
    </w:p>
    <w:p w:rsidR="00B814E2" w:rsidRPr="00B814E2" w:rsidRDefault="00B814E2" w:rsidP="00B814E2">
      <w:pPr>
        <w:spacing w:line="480" w:lineRule="auto"/>
        <w:ind w:left="720" w:hanging="720"/>
      </w:pPr>
      <w:r>
        <w:t>A.</w:t>
      </w:r>
      <w:r>
        <w:tab/>
        <w:t xml:space="preserve">Yes. </w:t>
      </w:r>
    </w:p>
    <w:sectPr w:rsidR="00B814E2" w:rsidRPr="00B814E2" w:rsidSect="0015026F">
      <w:footerReference w:type="default" r:id="rId10"/>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CE" w:rsidRDefault="006134CE" w:rsidP="0015026F">
      <w:r>
        <w:separator/>
      </w:r>
    </w:p>
  </w:endnote>
  <w:endnote w:type="continuationSeparator" w:id="0">
    <w:p w:rsidR="006134CE" w:rsidRDefault="006134CE"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CE" w:rsidRPr="0015026F" w:rsidRDefault="006134CE" w:rsidP="0015026F">
    <w:pPr>
      <w:pStyle w:val="Footer"/>
      <w:tabs>
        <w:tab w:val="clear" w:pos="9360"/>
        <w:tab w:val="right" w:pos="8910"/>
      </w:tabs>
      <w:rPr>
        <w:sz w:val="20"/>
        <w:szCs w:val="20"/>
      </w:rPr>
    </w:pPr>
  </w:p>
  <w:p w:rsidR="006134CE" w:rsidRPr="0015026F" w:rsidRDefault="006134CE" w:rsidP="0015026F">
    <w:pPr>
      <w:pStyle w:val="Footer"/>
      <w:tabs>
        <w:tab w:val="clear" w:pos="9360"/>
        <w:tab w:val="right" w:pos="8910"/>
      </w:tabs>
      <w:rPr>
        <w:sz w:val="20"/>
        <w:szCs w:val="20"/>
      </w:rPr>
    </w:pPr>
    <w:r w:rsidRPr="0015026F">
      <w:rPr>
        <w:sz w:val="20"/>
        <w:szCs w:val="20"/>
      </w:rPr>
      <w:t xml:space="preserve">TESTIMONY OF </w:t>
    </w:r>
    <w:r>
      <w:rPr>
        <w:sz w:val="20"/>
        <w:szCs w:val="20"/>
      </w:rPr>
      <w:t>WILLIAM H. WEINMAN</w:t>
    </w:r>
    <w:r w:rsidRPr="0015026F">
      <w:rPr>
        <w:sz w:val="20"/>
        <w:szCs w:val="20"/>
      </w:rPr>
      <w:t xml:space="preserve"> </w:t>
    </w:r>
    <w:r w:rsidRPr="0015026F">
      <w:rPr>
        <w:sz w:val="20"/>
        <w:szCs w:val="20"/>
      </w:rPr>
      <w:tab/>
    </w:r>
    <w:r w:rsidRPr="0015026F">
      <w:rPr>
        <w:sz w:val="20"/>
        <w:szCs w:val="20"/>
      </w:rPr>
      <w:tab/>
      <w:t xml:space="preserve">Exhibit No. </w:t>
    </w:r>
    <w:r w:rsidR="004B3B29">
      <w:rPr>
        <w:sz w:val="20"/>
        <w:szCs w:val="20"/>
      </w:rPr>
      <w:t>___ (</w:t>
    </w:r>
    <w:r>
      <w:rPr>
        <w:sz w:val="20"/>
        <w:szCs w:val="20"/>
      </w:rPr>
      <w:t>WHW</w:t>
    </w:r>
    <w:r w:rsidRPr="0015026F">
      <w:rPr>
        <w:sz w:val="20"/>
        <w:szCs w:val="20"/>
      </w:rPr>
      <w:t>-</w:t>
    </w:r>
    <w:r>
      <w:rPr>
        <w:sz w:val="20"/>
        <w:szCs w:val="20"/>
      </w:rPr>
      <w:t>1</w:t>
    </w:r>
    <w:r w:rsidRPr="0015026F">
      <w:rPr>
        <w:sz w:val="20"/>
        <w:szCs w:val="20"/>
      </w:rPr>
      <w:t>T</w:t>
    </w:r>
    <w:r w:rsidR="004B3B29">
      <w:rPr>
        <w:sz w:val="20"/>
        <w:szCs w:val="20"/>
      </w:rPr>
      <w:t>)</w:t>
    </w:r>
  </w:p>
  <w:p w:rsidR="006134CE" w:rsidRPr="0015026F" w:rsidRDefault="006134CE" w:rsidP="0015026F">
    <w:pPr>
      <w:pStyle w:val="Footer"/>
      <w:tabs>
        <w:tab w:val="clear" w:pos="9360"/>
        <w:tab w:val="right" w:pos="8910"/>
      </w:tabs>
      <w:rPr>
        <w:sz w:val="20"/>
        <w:szCs w:val="20"/>
      </w:rPr>
    </w:pPr>
    <w:r w:rsidRPr="0015026F">
      <w:rPr>
        <w:sz w:val="20"/>
        <w:szCs w:val="20"/>
      </w:rPr>
      <w:t xml:space="preserve">Docket </w:t>
    </w:r>
    <w:r>
      <w:rPr>
        <w:sz w:val="20"/>
        <w:szCs w:val="20"/>
      </w:rPr>
      <w:t>UT-121994</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4B3B29">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CE" w:rsidRPr="0015026F" w:rsidRDefault="006134CE" w:rsidP="0015026F">
    <w:pPr>
      <w:pStyle w:val="Footer"/>
      <w:tabs>
        <w:tab w:val="clear" w:pos="9360"/>
        <w:tab w:val="right" w:pos="8910"/>
      </w:tabs>
      <w:rPr>
        <w:sz w:val="20"/>
        <w:szCs w:val="20"/>
      </w:rPr>
    </w:pPr>
  </w:p>
  <w:p w:rsidR="006134CE" w:rsidRPr="0015026F" w:rsidRDefault="006134CE" w:rsidP="0015026F">
    <w:pPr>
      <w:pStyle w:val="Footer"/>
      <w:tabs>
        <w:tab w:val="clear" w:pos="9360"/>
        <w:tab w:val="right" w:pos="8910"/>
      </w:tabs>
      <w:rPr>
        <w:sz w:val="20"/>
        <w:szCs w:val="20"/>
      </w:rPr>
    </w:pPr>
    <w:r w:rsidRPr="0015026F">
      <w:rPr>
        <w:sz w:val="20"/>
        <w:szCs w:val="20"/>
      </w:rPr>
      <w:t xml:space="preserve">TESTIMONY OF </w:t>
    </w:r>
    <w:r w:rsidR="006D7F25">
      <w:rPr>
        <w:sz w:val="20"/>
        <w:szCs w:val="20"/>
      </w:rPr>
      <w:t>WILLIAM H. WEINMAN</w:t>
    </w:r>
    <w:r w:rsidR="006D7F25" w:rsidRPr="0015026F">
      <w:rPr>
        <w:sz w:val="20"/>
        <w:szCs w:val="20"/>
      </w:rPr>
      <w:t xml:space="preserve"> </w:t>
    </w:r>
    <w:r w:rsidRPr="0015026F">
      <w:rPr>
        <w:sz w:val="20"/>
        <w:szCs w:val="20"/>
      </w:rPr>
      <w:tab/>
    </w:r>
    <w:r w:rsidRPr="0015026F">
      <w:rPr>
        <w:sz w:val="20"/>
        <w:szCs w:val="20"/>
      </w:rPr>
      <w:tab/>
      <w:t>Exhibit No.</w:t>
    </w:r>
    <w:r w:rsidR="004B3B29">
      <w:rPr>
        <w:sz w:val="20"/>
        <w:szCs w:val="20"/>
      </w:rPr>
      <w:t xml:space="preserve"> ___</w:t>
    </w:r>
    <w:r w:rsidRPr="0015026F">
      <w:rPr>
        <w:sz w:val="20"/>
        <w:szCs w:val="20"/>
      </w:rPr>
      <w:t xml:space="preserve"> </w:t>
    </w:r>
    <w:r w:rsidR="004B3B29">
      <w:rPr>
        <w:sz w:val="20"/>
        <w:szCs w:val="20"/>
      </w:rPr>
      <w:t>(</w:t>
    </w:r>
    <w:r>
      <w:rPr>
        <w:sz w:val="20"/>
        <w:szCs w:val="20"/>
      </w:rPr>
      <w:t>WHW</w:t>
    </w:r>
    <w:r w:rsidRPr="0015026F">
      <w:rPr>
        <w:sz w:val="20"/>
        <w:szCs w:val="20"/>
      </w:rPr>
      <w:t>-</w:t>
    </w:r>
    <w:r>
      <w:rPr>
        <w:sz w:val="20"/>
        <w:szCs w:val="20"/>
      </w:rPr>
      <w:t>1</w:t>
    </w:r>
    <w:r w:rsidRPr="0015026F">
      <w:rPr>
        <w:sz w:val="20"/>
        <w:szCs w:val="20"/>
      </w:rPr>
      <w:t>T</w:t>
    </w:r>
    <w:r w:rsidR="004B3B29">
      <w:rPr>
        <w:sz w:val="20"/>
        <w:szCs w:val="20"/>
      </w:rPr>
      <w:t>)</w:t>
    </w:r>
  </w:p>
  <w:p w:rsidR="006134CE" w:rsidRPr="0015026F" w:rsidRDefault="006134CE" w:rsidP="0015026F">
    <w:pPr>
      <w:pStyle w:val="Footer"/>
      <w:tabs>
        <w:tab w:val="clear" w:pos="9360"/>
        <w:tab w:val="right" w:pos="8910"/>
      </w:tabs>
      <w:rPr>
        <w:sz w:val="20"/>
        <w:szCs w:val="20"/>
      </w:rPr>
    </w:pPr>
    <w:r w:rsidRPr="0015026F">
      <w:rPr>
        <w:sz w:val="20"/>
        <w:szCs w:val="20"/>
      </w:rPr>
      <w:t xml:space="preserve">Docket </w:t>
    </w:r>
    <w:r>
      <w:rPr>
        <w:sz w:val="20"/>
        <w:szCs w:val="20"/>
      </w:rPr>
      <w:t>UT-121994</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4B3B29">
      <w:rPr>
        <w:noProof/>
        <w:sz w:val="20"/>
        <w:szCs w:val="20"/>
      </w:rPr>
      <w:t>3</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CE" w:rsidRDefault="006134CE" w:rsidP="0015026F">
      <w:r>
        <w:separator/>
      </w:r>
    </w:p>
  </w:footnote>
  <w:footnote w:type="continuationSeparator" w:id="0">
    <w:p w:rsidR="006134CE" w:rsidRDefault="006134CE" w:rsidP="0015026F">
      <w:r>
        <w:continuationSeparator/>
      </w:r>
    </w:p>
  </w:footnote>
  <w:footnote w:id="1">
    <w:p w:rsidR="006134CE" w:rsidRDefault="006134CE" w:rsidP="001A715B">
      <w:pPr>
        <w:pStyle w:val="FootnoteText"/>
      </w:pPr>
      <w:r>
        <w:rPr>
          <w:rStyle w:val="FootnoteReference"/>
        </w:rPr>
        <w:footnoteRef/>
      </w:r>
      <w:r>
        <w:t xml:space="preserve"> July 1, 2010, is the date Verizon Northwest, Inc. came under the control of Frontier.</w:t>
      </w:r>
    </w:p>
  </w:footnote>
  <w:footnote w:id="2">
    <w:p w:rsidR="006134CE" w:rsidRDefault="006134CE">
      <w:pPr>
        <w:pStyle w:val="FootnoteText"/>
      </w:pPr>
      <w:r>
        <w:rPr>
          <w:rStyle w:val="FootnoteReference"/>
        </w:rPr>
        <w:footnoteRef/>
      </w:r>
      <w:r>
        <w:t xml:space="preserve"> Phillips, Exhibit No. ___ (JP-1T</w:t>
      </w:r>
      <w:r w:rsidRPr="00BF7762">
        <w:t xml:space="preserve">) </w:t>
      </w:r>
      <w:r w:rsidRPr="005101C0">
        <w:t>51:15-52:3.</w:t>
      </w:r>
    </w:p>
  </w:footnote>
  <w:footnote w:id="3">
    <w:p w:rsidR="006134CE" w:rsidRDefault="006134CE">
      <w:pPr>
        <w:pStyle w:val="FootnoteText"/>
      </w:pPr>
      <w:r>
        <w:rPr>
          <w:rStyle w:val="FootnoteReference"/>
        </w:rPr>
        <w:footnoteRef/>
      </w:r>
      <w:r>
        <w:t xml:space="preserve"> </w:t>
      </w:r>
      <w:r w:rsidRPr="00CB3E68">
        <w:rPr>
          <w:i/>
        </w:rPr>
        <w:t xml:space="preserve">In the Matter of the Joint Application of Verizon Communications, Inc., and Frontier Communications Corporation </w:t>
      </w:r>
      <w:r>
        <w:rPr>
          <w:i/>
        </w:rPr>
        <w:t>f</w:t>
      </w:r>
      <w:r w:rsidRPr="00CB3E68">
        <w:rPr>
          <w:i/>
        </w:rPr>
        <w:t>or an Order Declining to Assert Jurisdiction Over, or, in the Alternative, Approving the Indirect Transfer of Control of Verizon Northwest, Inc.</w:t>
      </w:r>
      <w:r>
        <w:t>,</w:t>
      </w:r>
      <w:r w:rsidRPr="002C497F">
        <w:t xml:space="preserve"> </w:t>
      </w:r>
      <w:r>
        <w:t>D</w:t>
      </w:r>
      <w:r w:rsidRPr="002C497F">
        <w:t>ocket UT-090842</w:t>
      </w:r>
      <w:r>
        <w:t>, Order 06 (April 16, 2010), ¶ 213, p. 88.</w:t>
      </w:r>
    </w:p>
  </w:footnote>
  <w:footnote w:id="4">
    <w:p w:rsidR="006134CE" w:rsidRDefault="006134CE" w:rsidP="00506AC8">
      <w:pPr>
        <w:pStyle w:val="FootnoteText"/>
      </w:pPr>
      <w:r>
        <w:rPr>
          <w:rStyle w:val="FootnoteReference"/>
        </w:rPr>
        <w:footnoteRef/>
      </w:r>
      <w:r>
        <w:t xml:space="preserve"> Italics added for emphasis.</w:t>
      </w:r>
    </w:p>
  </w:footnote>
  <w:footnote w:id="5">
    <w:p w:rsidR="006134CE" w:rsidRDefault="006134CE">
      <w:pPr>
        <w:pStyle w:val="FootnoteText"/>
      </w:pPr>
      <w:r>
        <w:rPr>
          <w:rStyle w:val="FootnoteReference"/>
        </w:rPr>
        <w:footnoteRef/>
      </w:r>
      <w:r>
        <w:t xml:space="preserve"> Order 04, at ¶ 14, pp. 4-5.</w:t>
      </w:r>
    </w:p>
  </w:footnote>
  <w:footnote w:id="6">
    <w:p w:rsidR="006134CE" w:rsidRPr="00CB3E68" w:rsidRDefault="006134CE" w:rsidP="003066A4">
      <w:pPr>
        <w:rPr>
          <w:sz w:val="20"/>
          <w:szCs w:val="20"/>
        </w:rPr>
      </w:pPr>
      <w:r w:rsidRPr="00FD0866">
        <w:rPr>
          <w:rStyle w:val="FootnoteReference"/>
          <w:sz w:val="20"/>
          <w:szCs w:val="20"/>
        </w:rPr>
        <w:footnoteRef/>
      </w:r>
      <w:r>
        <w:t xml:space="preserve"> </w:t>
      </w:r>
      <w:r w:rsidRPr="00CB3E68">
        <w:rPr>
          <w:sz w:val="20"/>
          <w:szCs w:val="20"/>
        </w:rPr>
        <w:t>WN U-16 Facilities for Intrastate Access</w:t>
      </w:r>
      <w:r>
        <w:rPr>
          <w:sz w:val="20"/>
          <w:szCs w:val="20"/>
        </w:rPr>
        <w:t xml:space="preserve">; </w:t>
      </w:r>
      <w:r w:rsidRPr="00CB3E68">
        <w:rPr>
          <w:sz w:val="20"/>
          <w:szCs w:val="20"/>
        </w:rPr>
        <w:t>WN U-18 Network Interconnection Access Service</w:t>
      </w:r>
      <w:r>
        <w:rPr>
          <w:sz w:val="20"/>
          <w:szCs w:val="20"/>
        </w:rPr>
        <w:t xml:space="preserve">; </w:t>
      </w:r>
      <w:r w:rsidRPr="00CB3E68">
        <w:rPr>
          <w:sz w:val="20"/>
          <w:szCs w:val="20"/>
        </w:rPr>
        <w:t>WN U-20 Collocation Service</w:t>
      </w:r>
      <w:r>
        <w:rPr>
          <w:sz w:val="20"/>
          <w:szCs w:val="20"/>
        </w:rPr>
        <w:t xml:space="preserve">; </w:t>
      </w:r>
      <w:r w:rsidRPr="00CB3E68">
        <w:rPr>
          <w:sz w:val="20"/>
          <w:szCs w:val="20"/>
        </w:rPr>
        <w:t>WN U-21 Unbundled Networks Elements</w:t>
      </w:r>
      <w:r>
        <w:rPr>
          <w:sz w:val="20"/>
          <w:szCs w:val="20"/>
        </w:rPr>
        <w:t xml:space="preserve">; </w:t>
      </w:r>
      <w:r w:rsidRPr="00CB3E68">
        <w:rPr>
          <w:sz w:val="20"/>
          <w:szCs w:val="20"/>
        </w:rPr>
        <w:t>WN U-22 Resale Local Exchange Services</w:t>
      </w:r>
      <w:r>
        <w:rPr>
          <w:sz w:val="20"/>
          <w:szCs w:val="20"/>
        </w:rPr>
        <w:t xml:space="preserve">; </w:t>
      </w:r>
    </w:p>
    <w:p w:rsidR="006134CE" w:rsidRPr="00FD0866" w:rsidRDefault="006134CE" w:rsidP="00FD0866">
      <w:pPr>
        <w:rPr>
          <w:sz w:val="20"/>
          <w:szCs w:val="20"/>
        </w:rPr>
      </w:pPr>
      <w:proofErr w:type="gramStart"/>
      <w:r w:rsidRPr="00CB3E68">
        <w:rPr>
          <w:sz w:val="20"/>
          <w:szCs w:val="20"/>
        </w:rPr>
        <w:t>WN U-23 Advanced Data Services</w:t>
      </w:r>
      <w:r>
        <w:rPr>
          <w:sz w:val="20"/>
          <w:szCs w:val="20"/>
        </w:rPr>
        <w:t>.</w:t>
      </w:r>
      <w:proofErr w:type="gramEnd"/>
    </w:p>
  </w:footnote>
  <w:footnote w:id="7">
    <w:p w:rsidR="006134CE" w:rsidRDefault="006134CE">
      <w:pPr>
        <w:pStyle w:val="FootnoteText"/>
      </w:pPr>
      <w:r>
        <w:rPr>
          <w:rStyle w:val="FootnoteReference"/>
        </w:rPr>
        <w:footnoteRef/>
      </w:r>
      <w:r>
        <w:t xml:space="preserve"> Exhibit No. ___ (BJG-2T) 6:1-8:19.</w:t>
      </w:r>
    </w:p>
  </w:footnote>
  <w:footnote w:id="8">
    <w:p w:rsidR="006134CE" w:rsidRDefault="006134CE">
      <w:pPr>
        <w:pStyle w:val="FootnoteText"/>
      </w:pPr>
      <w:r>
        <w:rPr>
          <w:rStyle w:val="FootnoteReference"/>
        </w:rPr>
        <w:footnoteRef/>
      </w:r>
      <w:r>
        <w:t xml:space="preserve"> Exhibit No. ___ (BJG-2T) 8:1-11:8.</w:t>
      </w:r>
    </w:p>
  </w:footnote>
  <w:footnote w:id="9">
    <w:p w:rsidR="006134CE" w:rsidRDefault="006134CE" w:rsidP="009B5EA0">
      <w:pPr>
        <w:pStyle w:val="FootnoteText"/>
      </w:pPr>
      <w:r>
        <w:rPr>
          <w:rStyle w:val="FootnoteReference"/>
        </w:rPr>
        <w:footnoteRef/>
      </w:r>
      <w:r>
        <w:t xml:space="preserve"> Exhibit No. ___ (BJG-2T) 8:9-12.</w:t>
      </w:r>
    </w:p>
  </w:footnote>
  <w:footnote w:id="10">
    <w:p w:rsidR="006134CE" w:rsidRPr="00ED1343" w:rsidRDefault="006134CE" w:rsidP="00120ADB">
      <w:pPr>
        <w:rPr>
          <w:sz w:val="20"/>
          <w:szCs w:val="20"/>
        </w:rPr>
      </w:pPr>
      <w:r>
        <w:rPr>
          <w:rStyle w:val="FootnoteReference"/>
        </w:rPr>
        <w:footnoteRef/>
      </w:r>
      <w:r>
        <w:t xml:space="preserve"> </w:t>
      </w:r>
      <w:r w:rsidRPr="00710045">
        <w:rPr>
          <w:i/>
          <w:sz w:val="20"/>
          <w:szCs w:val="20"/>
        </w:rPr>
        <w:t>In Re: FCC-161</w:t>
      </w:r>
      <w:r w:rsidRPr="00ED1343">
        <w:rPr>
          <w:sz w:val="20"/>
          <w:szCs w:val="20"/>
        </w:rPr>
        <w:t>, No. 11-9900, U.S. Court of Appeals for the Tenth Circuit</w:t>
      </w:r>
      <w:r>
        <w:rPr>
          <w:sz w:val="20"/>
          <w:szCs w:val="20"/>
        </w:rPr>
        <w:t>.</w:t>
      </w:r>
    </w:p>
    <w:p w:rsidR="006134CE" w:rsidRDefault="006134C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178F"/>
    <w:multiLevelType w:val="hybridMultilevel"/>
    <w:tmpl w:val="8C32D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A3314"/>
    <w:multiLevelType w:val="hybridMultilevel"/>
    <w:tmpl w:val="68C02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12A27"/>
    <w:multiLevelType w:val="hybridMultilevel"/>
    <w:tmpl w:val="B2620E90"/>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nsid w:val="2CB73556"/>
    <w:multiLevelType w:val="hybridMultilevel"/>
    <w:tmpl w:val="330CD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6BC010A"/>
    <w:multiLevelType w:val="hybridMultilevel"/>
    <w:tmpl w:val="19727654"/>
    <w:lvl w:ilvl="0" w:tplc="EFC84D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E2"/>
    <w:rsid w:val="0000397E"/>
    <w:rsid w:val="00003BA0"/>
    <w:rsid w:val="00005DF2"/>
    <w:rsid w:val="00012AB8"/>
    <w:rsid w:val="00013E9F"/>
    <w:rsid w:val="00013ECC"/>
    <w:rsid w:val="00014895"/>
    <w:rsid w:val="00022560"/>
    <w:rsid w:val="00023DE7"/>
    <w:rsid w:val="00027E56"/>
    <w:rsid w:val="00030207"/>
    <w:rsid w:val="000309DC"/>
    <w:rsid w:val="00030D79"/>
    <w:rsid w:val="00036CC7"/>
    <w:rsid w:val="000420ED"/>
    <w:rsid w:val="00051C55"/>
    <w:rsid w:val="00055F23"/>
    <w:rsid w:val="00064CBB"/>
    <w:rsid w:val="0006589C"/>
    <w:rsid w:val="00066EEA"/>
    <w:rsid w:val="00067803"/>
    <w:rsid w:val="0007004B"/>
    <w:rsid w:val="00072613"/>
    <w:rsid w:val="000800B6"/>
    <w:rsid w:val="00081F57"/>
    <w:rsid w:val="00085DE8"/>
    <w:rsid w:val="000915CC"/>
    <w:rsid w:val="00093002"/>
    <w:rsid w:val="00096DA6"/>
    <w:rsid w:val="000A0A15"/>
    <w:rsid w:val="000A26F0"/>
    <w:rsid w:val="000A4A74"/>
    <w:rsid w:val="000B14C5"/>
    <w:rsid w:val="000B30AB"/>
    <w:rsid w:val="000B5100"/>
    <w:rsid w:val="000B5FF1"/>
    <w:rsid w:val="000B7F36"/>
    <w:rsid w:val="000C23D5"/>
    <w:rsid w:val="000C561F"/>
    <w:rsid w:val="000C590F"/>
    <w:rsid w:val="000D05D4"/>
    <w:rsid w:val="000D2FEB"/>
    <w:rsid w:val="000F3A6C"/>
    <w:rsid w:val="001027D5"/>
    <w:rsid w:val="00105BD7"/>
    <w:rsid w:val="0011388D"/>
    <w:rsid w:val="00120ADB"/>
    <w:rsid w:val="00121C90"/>
    <w:rsid w:val="0012219D"/>
    <w:rsid w:val="00135D27"/>
    <w:rsid w:val="001372EE"/>
    <w:rsid w:val="001378DD"/>
    <w:rsid w:val="00141FCE"/>
    <w:rsid w:val="0014381B"/>
    <w:rsid w:val="0015026F"/>
    <w:rsid w:val="00150AE3"/>
    <w:rsid w:val="00152CD4"/>
    <w:rsid w:val="001565A7"/>
    <w:rsid w:val="00157020"/>
    <w:rsid w:val="00161716"/>
    <w:rsid w:val="001662E8"/>
    <w:rsid w:val="00166E73"/>
    <w:rsid w:val="00176EEB"/>
    <w:rsid w:val="00180772"/>
    <w:rsid w:val="00180A69"/>
    <w:rsid w:val="00183D3F"/>
    <w:rsid w:val="00185D2B"/>
    <w:rsid w:val="00186CBC"/>
    <w:rsid w:val="00187439"/>
    <w:rsid w:val="0019750B"/>
    <w:rsid w:val="00197E20"/>
    <w:rsid w:val="001A0F2A"/>
    <w:rsid w:val="001A3117"/>
    <w:rsid w:val="001A483A"/>
    <w:rsid w:val="001A715B"/>
    <w:rsid w:val="001A7837"/>
    <w:rsid w:val="001B231E"/>
    <w:rsid w:val="001B3170"/>
    <w:rsid w:val="001B36DB"/>
    <w:rsid w:val="001C2B07"/>
    <w:rsid w:val="001C4C35"/>
    <w:rsid w:val="001D3CFF"/>
    <w:rsid w:val="001D784B"/>
    <w:rsid w:val="001E08B2"/>
    <w:rsid w:val="001E0E1B"/>
    <w:rsid w:val="001E48D5"/>
    <w:rsid w:val="001F05A0"/>
    <w:rsid w:val="001F79BD"/>
    <w:rsid w:val="001F7B87"/>
    <w:rsid w:val="0020584E"/>
    <w:rsid w:val="002109E3"/>
    <w:rsid w:val="00212E8C"/>
    <w:rsid w:val="00214766"/>
    <w:rsid w:val="0021520F"/>
    <w:rsid w:val="00216D63"/>
    <w:rsid w:val="00217163"/>
    <w:rsid w:val="00222D72"/>
    <w:rsid w:val="00222DB5"/>
    <w:rsid w:val="00226CCD"/>
    <w:rsid w:val="0023157B"/>
    <w:rsid w:val="00235D4D"/>
    <w:rsid w:val="00245324"/>
    <w:rsid w:val="00245EB0"/>
    <w:rsid w:val="002502E4"/>
    <w:rsid w:val="002514CE"/>
    <w:rsid w:val="00253E98"/>
    <w:rsid w:val="002653C9"/>
    <w:rsid w:val="00271699"/>
    <w:rsid w:val="00272B1F"/>
    <w:rsid w:val="00275513"/>
    <w:rsid w:val="002766A5"/>
    <w:rsid w:val="0028283C"/>
    <w:rsid w:val="002A0A37"/>
    <w:rsid w:val="002A2682"/>
    <w:rsid w:val="002A3B31"/>
    <w:rsid w:val="002B7EFD"/>
    <w:rsid w:val="002D0E71"/>
    <w:rsid w:val="002E38DC"/>
    <w:rsid w:val="002E6A0E"/>
    <w:rsid w:val="003045B4"/>
    <w:rsid w:val="003060EF"/>
    <w:rsid w:val="003066A4"/>
    <w:rsid w:val="00306837"/>
    <w:rsid w:val="00322B84"/>
    <w:rsid w:val="00325DBB"/>
    <w:rsid w:val="00330B01"/>
    <w:rsid w:val="003367D1"/>
    <w:rsid w:val="003475FC"/>
    <w:rsid w:val="003476F6"/>
    <w:rsid w:val="00352179"/>
    <w:rsid w:val="003532F5"/>
    <w:rsid w:val="00357A58"/>
    <w:rsid w:val="0036300A"/>
    <w:rsid w:val="00364700"/>
    <w:rsid w:val="00366392"/>
    <w:rsid w:val="0036682E"/>
    <w:rsid w:val="0036726C"/>
    <w:rsid w:val="00375460"/>
    <w:rsid w:val="00380001"/>
    <w:rsid w:val="00384334"/>
    <w:rsid w:val="00391DE4"/>
    <w:rsid w:val="003A1C86"/>
    <w:rsid w:val="003A37B7"/>
    <w:rsid w:val="003B1A76"/>
    <w:rsid w:val="003B552F"/>
    <w:rsid w:val="003B56EF"/>
    <w:rsid w:val="003C0FF2"/>
    <w:rsid w:val="003C620D"/>
    <w:rsid w:val="003D0A46"/>
    <w:rsid w:val="003D3297"/>
    <w:rsid w:val="003D3DEE"/>
    <w:rsid w:val="003D553D"/>
    <w:rsid w:val="004006E8"/>
    <w:rsid w:val="00402783"/>
    <w:rsid w:val="00402C72"/>
    <w:rsid w:val="00405C7F"/>
    <w:rsid w:val="00411EE3"/>
    <w:rsid w:val="0041247D"/>
    <w:rsid w:val="00413861"/>
    <w:rsid w:val="004171C0"/>
    <w:rsid w:val="00417B59"/>
    <w:rsid w:val="00417DD7"/>
    <w:rsid w:val="00427D26"/>
    <w:rsid w:val="00433D22"/>
    <w:rsid w:val="0043765E"/>
    <w:rsid w:val="00442482"/>
    <w:rsid w:val="00445E29"/>
    <w:rsid w:val="004506A5"/>
    <w:rsid w:val="00455567"/>
    <w:rsid w:val="0046251D"/>
    <w:rsid w:val="00471C8A"/>
    <w:rsid w:val="004724DD"/>
    <w:rsid w:val="00475DD4"/>
    <w:rsid w:val="00481199"/>
    <w:rsid w:val="00482F8D"/>
    <w:rsid w:val="004836BC"/>
    <w:rsid w:val="0048515F"/>
    <w:rsid w:val="004931AF"/>
    <w:rsid w:val="00493979"/>
    <w:rsid w:val="004A15E3"/>
    <w:rsid w:val="004B23DA"/>
    <w:rsid w:val="004B3B29"/>
    <w:rsid w:val="004B4E2E"/>
    <w:rsid w:val="004B4E67"/>
    <w:rsid w:val="004B7670"/>
    <w:rsid w:val="004C2D44"/>
    <w:rsid w:val="004C779A"/>
    <w:rsid w:val="004D0761"/>
    <w:rsid w:val="004D20EB"/>
    <w:rsid w:val="004D6016"/>
    <w:rsid w:val="004E7483"/>
    <w:rsid w:val="004F0CB0"/>
    <w:rsid w:val="004F3B21"/>
    <w:rsid w:val="00501B1D"/>
    <w:rsid w:val="00506942"/>
    <w:rsid w:val="00506AC8"/>
    <w:rsid w:val="00507925"/>
    <w:rsid w:val="005101C0"/>
    <w:rsid w:val="00520C37"/>
    <w:rsid w:val="00525D88"/>
    <w:rsid w:val="00547864"/>
    <w:rsid w:val="005544F2"/>
    <w:rsid w:val="00556AB8"/>
    <w:rsid w:val="00562793"/>
    <w:rsid w:val="00563C51"/>
    <w:rsid w:val="005755BE"/>
    <w:rsid w:val="0057781A"/>
    <w:rsid w:val="00585752"/>
    <w:rsid w:val="00586992"/>
    <w:rsid w:val="00593379"/>
    <w:rsid w:val="00593BE7"/>
    <w:rsid w:val="005B15CF"/>
    <w:rsid w:val="005B5888"/>
    <w:rsid w:val="005B7C47"/>
    <w:rsid w:val="005B7D5C"/>
    <w:rsid w:val="005C1AE0"/>
    <w:rsid w:val="005C3A92"/>
    <w:rsid w:val="005D1BBF"/>
    <w:rsid w:val="005E1DDB"/>
    <w:rsid w:val="005E1EA4"/>
    <w:rsid w:val="005E3487"/>
    <w:rsid w:val="005F2721"/>
    <w:rsid w:val="005F627D"/>
    <w:rsid w:val="006134CE"/>
    <w:rsid w:val="0061501E"/>
    <w:rsid w:val="00621881"/>
    <w:rsid w:val="00632EB8"/>
    <w:rsid w:val="006336B8"/>
    <w:rsid w:val="0064688C"/>
    <w:rsid w:val="00652448"/>
    <w:rsid w:val="00653516"/>
    <w:rsid w:val="0065391B"/>
    <w:rsid w:val="00656CF8"/>
    <w:rsid w:val="00661974"/>
    <w:rsid w:val="006628B5"/>
    <w:rsid w:val="006651EF"/>
    <w:rsid w:val="00673599"/>
    <w:rsid w:val="00680EBB"/>
    <w:rsid w:val="00681733"/>
    <w:rsid w:val="0068195F"/>
    <w:rsid w:val="006819AD"/>
    <w:rsid w:val="00684317"/>
    <w:rsid w:val="0069065F"/>
    <w:rsid w:val="00694E3B"/>
    <w:rsid w:val="006C1FF9"/>
    <w:rsid w:val="006D2FD7"/>
    <w:rsid w:val="006D6E5E"/>
    <w:rsid w:val="006D722C"/>
    <w:rsid w:val="006D7F25"/>
    <w:rsid w:val="006E1775"/>
    <w:rsid w:val="006E3A6C"/>
    <w:rsid w:val="006F300A"/>
    <w:rsid w:val="006F4585"/>
    <w:rsid w:val="006F61CF"/>
    <w:rsid w:val="0070200F"/>
    <w:rsid w:val="00703E2F"/>
    <w:rsid w:val="00707716"/>
    <w:rsid w:val="00710045"/>
    <w:rsid w:val="007146B3"/>
    <w:rsid w:val="0071692F"/>
    <w:rsid w:val="00717FB9"/>
    <w:rsid w:val="007264C4"/>
    <w:rsid w:val="00735FC6"/>
    <w:rsid w:val="007403A2"/>
    <w:rsid w:val="00745502"/>
    <w:rsid w:val="007456D7"/>
    <w:rsid w:val="0074621B"/>
    <w:rsid w:val="007465CF"/>
    <w:rsid w:val="00746E22"/>
    <w:rsid w:val="00771F83"/>
    <w:rsid w:val="00773062"/>
    <w:rsid w:val="00773B83"/>
    <w:rsid w:val="007816B7"/>
    <w:rsid w:val="0078509B"/>
    <w:rsid w:val="0078588A"/>
    <w:rsid w:val="00793B04"/>
    <w:rsid w:val="00796903"/>
    <w:rsid w:val="007971F5"/>
    <w:rsid w:val="007A1611"/>
    <w:rsid w:val="007B4BBF"/>
    <w:rsid w:val="007C1367"/>
    <w:rsid w:val="007C1CD2"/>
    <w:rsid w:val="007C219F"/>
    <w:rsid w:val="007C4979"/>
    <w:rsid w:val="007D0A55"/>
    <w:rsid w:val="007E10B2"/>
    <w:rsid w:val="007E4956"/>
    <w:rsid w:val="007E571A"/>
    <w:rsid w:val="007E788F"/>
    <w:rsid w:val="007F5497"/>
    <w:rsid w:val="007F5E0B"/>
    <w:rsid w:val="007F6041"/>
    <w:rsid w:val="00803138"/>
    <w:rsid w:val="0080337C"/>
    <w:rsid w:val="008041EB"/>
    <w:rsid w:val="00807EEC"/>
    <w:rsid w:val="008153B1"/>
    <w:rsid w:val="00825B30"/>
    <w:rsid w:val="00830705"/>
    <w:rsid w:val="008309A7"/>
    <w:rsid w:val="00833DE3"/>
    <w:rsid w:val="008360B3"/>
    <w:rsid w:val="00840A9D"/>
    <w:rsid w:val="00843682"/>
    <w:rsid w:val="00845859"/>
    <w:rsid w:val="00845E1F"/>
    <w:rsid w:val="00847C71"/>
    <w:rsid w:val="008539B0"/>
    <w:rsid w:val="0085604F"/>
    <w:rsid w:val="008669AD"/>
    <w:rsid w:val="0087666A"/>
    <w:rsid w:val="008808D8"/>
    <w:rsid w:val="00890147"/>
    <w:rsid w:val="0089272E"/>
    <w:rsid w:val="0089399F"/>
    <w:rsid w:val="0089707C"/>
    <w:rsid w:val="008A2791"/>
    <w:rsid w:val="008A2CD6"/>
    <w:rsid w:val="008A3266"/>
    <w:rsid w:val="008B57D8"/>
    <w:rsid w:val="008B605F"/>
    <w:rsid w:val="008B7F5B"/>
    <w:rsid w:val="008C051E"/>
    <w:rsid w:val="008C6D59"/>
    <w:rsid w:val="008C72AD"/>
    <w:rsid w:val="008D2024"/>
    <w:rsid w:val="008E4D7F"/>
    <w:rsid w:val="008E6302"/>
    <w:rsid w:val="008F0ABD"/>
    <w:rsid w:val="008F2710"/>
    <w:rsid w:val="008F4472"/>
    <w:rsid w:val="008F6555"/>
    <w:rsid w:val="00901D98"/>
    <w:rsid w:val="00902F08"/>
    <w:rsid w:val="00903228"/>
    <w:rsid w:val="00904F80"/>
    <w:rsid w:val="00913536"/>
    <w:rsid w:val="0091433C"/>
    <w:rsid w:val="00924683"/>
    <w:rsid w:val="00924B3D"/>
    <w:rsid w:val="00927299"/>
    <w:rsid w:val="0092779D"/>
    <w:rsid w:val="00945CAD"/>
    <w:rsid w:val="009479BD"/>
    <w:rsid w:val="00953A79"/>
    <w:rsid w:val="00956D1A"/>
    <w:rsid w:val="00957124"/>
    <w:rsid w:val="00963BF7"/>
    <w:rsid w:val="00965FD8"/>
    <w:rsid w:val="009800A3"/>
    <w:rsid w:val="009A4221"/>
    <w:rsid w:val="009A47AF"/>
    <w:rsid w:val="009A68D0"/>
    <w:rsid w:val="009B1FF0"/>
    <w:rsid w:val="009B3180"/>
    <w:rsid w:val="009B4D4B"/>
    <w:rsid w:val="009B5EA0"/>
    <w:rsid w:val="009E1B3D"/>
    <w:rsid w:val="009E51FA"/>
    <w:rsid w:val="009E7285"/>
    <w:rsid w:val="009F3464"/>
    <w:rsid w:val="009F5F51"/>
    <w:rsid w:val="00A05D61"/>
    <w:rsid w:val="00A06D5A"/>
    <w:rsid w:val="00A06EBE"/>
    <w:rsid w:val="00A14A4C"/>
    <w:rsid w:val="00A17922"/>
    <w:rsid w:val="00A248B5"/>
    <w:rsid w:val="00A317D9"/>
    <w:rsid w:val="00A31AE5"/>
    <w:rsid w:val="00A431C8"/>
    <w:rsid w:val="00A46136"/>
    <w:rsid w:val="00A61EB7"/>
    <w:rsid w:val="00A64BAA"/>
    <w:rsid w:val="00A65E3C"/>
    <w:rsid w:val="00A66BB4"/>
    <w:rsid w:val="00A75A02"/>
    <w:rsid w:val="00A80CAC"/>
    <w:rsid w:val="00A823E9"/>
    <w:rsid w:val="00A827AF"/>
    <w:rsid w:val="00A953FD"/>
    <w:rsid w:val="00AA1E71"/>
    <w:rsid w:val="00AA273E"/>
    <w:rsid w:val="00AA378C"/>
    <w:rsid w:val="00AB106C"/>
    <w:rsid w:val="00AC0E95"/>
    <w:rsid w:val="00AC4C4F"/>
    <w:rsid w:val="00AC67DA"/>
    <w:rsid w:val="00AD3C59"/>
    <w:rsid w:val="00AD4591"/>
    <w:rsid w:val="00AE0E80"/>
    <w:rsid w:val="00AE2FE3"/>
    <w:rsid w:val="00AE3724"/>
    <w:rsid w:val="00AE5634"/>
    <w:rsid w:val="00AF5C9A"/>
    <w:rsid w:val="00B02F5F"/>
    <w:rsid w:val="00B17005"/>
    <w:rsid w:val="00B17E35"/>
    <w:rsid w:val="00B2429C"/>
    <w:rsid w:val="00B244CE"/>
    <w:rsid w:val="00B33694"/>
    <w:rsid w:val="00B52015"/>
    <w:rsid w:val="00B612E7"/>
    <w:rsid w:val="00B62F16"/>
    <w:rsid w:val="00B63581"/>
    <w:rsid w:val="00B64051"/>
    <w:rsid w:val="00B64C11"/>
    <w:rsid w:val="00B7137F"/>
    <w:rsid w:val="00B81307"/>
    <w:rsid w:val="00B814E2"/>
    <w:rsid w:val="00B870F1"/>
    <w:rsid w:val="00B9163D"/>
    <w:rsid w:val="00B91D31"/>
    <w:rsid w:val="00BB0D65"/>
    <w:rsid w:val="00BC23EC"/>
    <w:rsid w:val="00BC6193"/>
    <w:rsid w:val="00BF6867"/>
    <w:rsid w:val="00BF6C3C"/>
    <w:rsid w:val="00BF7762"/>
    <w:rsid w:val="00C03474"/>
    <w:rsid w:val="00C0665B"/>
    <w:rsid w:val="00C11983"/>
    <w:rsid w:val="00C11E14"/>
    <w:rsid w:val="00C15D6B"/>
    <w:rsid w:val="00C25032"/>
    <w:rsid w:val="00C27459"/>
    <w:rsid w:val="00C3241A"/>
    <w:rsid w:val="00C42F1D"/>
    <w:rsid w:val="00C44B8C"/>
    <w:rsid w:val="00C50456"/>
    <w:rsid w:val="00C526F7"/>
    <w:rsid w:val="00C56245"/>
    <w:rsid w:val="00C579BC"/>
    <w:rsid w:val="00C57F18"/>
    <w:rsid w:val="00C67F4A"/>
    <w:rsid w:val="00C75B4B"/>
    <w:rsid w:val="00C764CE"/>
    <w:rsid w:val="00C8156A"/>
    <w:rsid w:val="00C81C99"/>
    <w:rsid w:val="00C84B68"/>
    <w:rsid w:val="00C946F6"/>
    <w:rsid w:val="00CA4DBD"/>
    <w:rsid w:val="00CB210C"/>
    <w:rsid w:val="00CB2B68"/>
    <w:rsid w:val="00CB2BC1"/>
    <w:rsid w:val="00CB3E68"/>
    <w:rsid w:val="00CC1238"/>
    <w:rsid w:val="00CC1239"/>
    <w:rsid w:val="00CC33F9"/>
    <w:rsid w:val="00CD417F"/>
    <w:rsid w:val="00CD4437"/>
    <w:rsid w:val="00CD65B0"/>
    <w:rsid w:val="00CE01BD"/>
    <w:rsid w:val="00CE39B5"/>
    <w:rsid w:val="00CE7AD2"/>
    <w:rsid w:val="00CF38D4"/>
    <w:rsid w:val="00CF4BD6"/>
    <w:rsid w:val="00D06C19"/>
    <w:rsid w:val="00D11CF3"/>
    <w:rsid w:val="00D17484"/>
    <w:rsid w:val="00D24DF1"/>
    <w:rsid w:val="00D2776E"/>
    <w:rsid w:val="00D40316"/>
    <w:rsid w:val="00D40EF9"/>
    <w:rsid w:val="00D52717"/>
    <w:rsid w:val="00D6242B"/>
    <w:rsid w:val="00D6514A"/>
    <w:rsid w:val="00D66F5D"/>
    <w:rsid w:val="00D67A13"/>
    <w:rsid w:val="00D74989"/>
    <w:rsid w:val="00D752E7"/>
    <w:rsid w:val="00D75783"/>
    <w:rsid w:val="00D82947"/>
    <w:rsid w:val="00D85535"/>
    <w:rsid w:val="00D90A8D"/>
    <w:rsid w:val="00D928F7"/>
    <w:rsid w:val="00D92EB0"/>
    <w:rsid w:val="00D951A4"/>
    <w:rsid w:val="00D964AB"/>
    <w:rsid w:val="00D97C26"/>
    <w:rsid w:val="00DA1D35"/>
    <w:rsid w:val="00DA7DAC"/>
    <w:rsid w:val="00DA7FD2"/>
    <w:rsid w:val="00DC0FBE"/>
    <w:rsid w:val="00DC3FDA"/>
    <w:rsid w:val="00DD634C"/>
    <w:rsid w:val="00DE3C7E"/>
    <w:rsid w:val="00DE5D45"/>
    <w:rsid w:val="00DE72D3"/>
    <w:rsid w:val="00DE7454"/>
    <w:rsid w:val="00DE74BC"/>
    <w:rsid w:val="00DF05CA"/>
    <w:rsid w:val="00DF13E9"/>
    <w:rsid w:val="00E06AE7"/>
    <w:rsid w:val="00E234D1"/>
    <w:rsid w:val="00E27E25"/>
    <w:rsid w:val="00E42C11"/>
    <w:rsid w:val="00E470D9"/>
    <w:rsid w:val="00E50BE2"/>
    <w:rsid w:val="00E54E17"/>
    <w:rsid w:val="00E5579B"/>
    <w:rsid w:val="00E674CA"/>
    <w:rsid w:val="00E72927"/>
    <w:rsid w:val="00E72B17"/>
    <w:rsid w:val="00E749EC"/>
    <w:rsid w:val="00E77074"/>
    <w:rsid w:val="00E833C1"/>
    <w:rsid w:val="00E8349C"/>
    <w:rsid w:val="00E84565"/>
    <w:rsid w:val="00E92E99"/>
    <w:rsid w:val="00EA3B48"/>
    <w:rsid w:val="00EA4A37"/>
    <w:rsid w:val="00EB18DB"/>
    <w:rsid w:val="00EB2924"/>
    <w:rsid w:val="00EB5EB1"/>
    <w:rsid w:val="00EB7E95"/>
    <w:rsid w:val="00EC166C"/>
    <w:rsid w:val="00EC1B16"/>
    <w:rsid w:val="00EC5D57"/>
    <w:rsid w:val="00EC6052"/>
    <w:rsid w:val="00EE03E0"/>
    <w:rsid w:val="00EF44D3"/>
    <w:rsid w:val="00EF4D5D"/>
    <w:rsid w:val="00F10DEB"/>
    <w:rsid w:val="00F17C3B"/>
    <w:rsid w:val="00F233D8"/>
    <w:rsid w:val="00F27BA6"/>
    <w:rsid w:val="00F40EAD"/>
    <w:rsid w:val="00F46406"/>
    <w:rsid w:val="00F464A8"/>
    <w:rsid w:val="00F568C2"/>
    <w:rsid w:val="00F60BB9"/>
    <w:rsid w:val="00F750AC"/>
    <w:rsid w:val="00F90126"/>
    <w:rsid w:val="00F90157"/>
    <w:rsid w:val="00F92DA5"/>
    <w:rsid w:val="00F974D8"/>
    <w:rsid w:val="00FA077E"/>
    <w:rsid w:val="00FA361A"/>
    <w:rsid w:val="00FA51DB"/>
    <w:rsid w:val="00FB5C1A"/>
    <w:rsid w:val="00FC0AED"/>
    <w:rsid w:val="00FC3B6C"/>
    <w:rsid w:val="00FC49EF"/>
    <w:rsid w:val="00FD0866"/>
    <w:rsid w:val="00FD1E48"/>
    <w:rsid w:val="00FE105C"/>
    <w:rsid w:val="00FE66CC"/>
    <w:rsid w:val="00FE6856"/>
    <w:rsid w:val="00FE6EAD"/>
    <w:rsid w:val="00FF0EAB"/>
    <w:rsid w:val="00FF59F9"/>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Hyperlink">
    <w:name w:val="Hyperlink"/>
    <w:basedOn w:val="DefaultParagraphFont"/>
    <w:uiPriority w:val="99"/>
    <w:semiHidden/>
    <w:unhideWhenUsed/>
    <w:rsid w:val="009B4D4B"/>
    <w:rPr>
      <w:color w:val="2B674D"/>
      <w:u w:val="single"/>
    </w:rPr>
  </w:style>
  <w:style w:type="paragraph" w:styleId="NormalWeb">
    <w:name w:val="Normal (Web)"/>
    <w:basedOn w:val="Normal"/>
    <w:uiPriority w:val="99"/>
    <w:unhideWhenUsed/>
    <w:rsid w:val="009B4D4B"/>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9E7285"/>
    <w:rPr>
      <w:sz w:val="16"/>
      <w:szCs w:val="16"/>
    </w:rPr>
  </w:style>
  <w:style w:type="paragraph" w:styleId="CommentText">
    <w:name w:val="annotation text"/>
    <w:basedOn w:val="Normal"/>
    <w:link w:val="CommentTextChar"/>
    <w:uiPriority w:val="99"/>
    <w:semiHidden/>
    <w:unhideWhenUsed/>
    <w:rsid w:val="009E7285"/>
    <w:rPr>
      <w:sz w:val="20"/>
      <w:szCs w:val="20"/>
    </w:rPr>
  </w:style>
  <w:style w:type="character" w:customStyle="1" w:styleId="CommentTextChar">
    <w:name w:val="Comment Text Char"/>
    <w:basedOn w:val="DefaultParagraphFont"/>
    <w:link w:val="CommentText"/>
    <w:uiPriority w:val="99"/>
    <w:semiHidden/>
    <w:rsid w:val="009E7285"/>
    <w:rPr>
      <w:sz w:val="20"/>
      <w:szCs w:val="20"/>
    </w:rPr>
  </w:style>
  <w:style w:type="paragraph" w:styleId="CommentSubject">
    <w:name w:val="annotation subject"/>
    <w:basedOn w:val="CommentText"/>
    <w:next w:val="CommentText"/>
    <w:link w:val="CommentSubjectChar"/>
    <w:uiPriority w:val="99"/>
    <w:semiHidden/>
    <w:unhideWhenUsed/>
    <w:rsid w:val="009E7285"/>
    <w:rPr>
      <w:b/>
      <w:bCs/>
    </w:rPr>
  </w:style>
  <w:style w:type="character" w:customStyle="1" w:styleId="CommentSubjectChar">
    <w:name w:val="Comment Subject Char"/>
    <w:basedOn w:val="CommentTextChar"/>
    <w:link w:val="CommentSubject"/>
    <w:uiPriority w:val="99"/>
    <w:semiHidden/>
    <w:rsid w:val="009E7285"/>
    <w:rPr>
      <w:b/>
      <w:bCs/>
      <w:sz w:val="20"/>
      <w:szCs w:val="20"/>
    </w:rPr>
  </w:style>
  <w:style w:type="paragraph" w:styleId="BalloonText">
    <w:name w:val="Balloon Text"/>
    <w:basedOn w:val="Normal"/>
    <w:link w:val="BalloonTextChar"/>
    <w:uiPriority w:val="99"/>
    <w:semiHidden/>
    <w:unhideWhenUsed/>
    <w:rsid w:val="009E7285"/>
    <w:rPr>
      <w:rFonts w:ascii="Tahoma" w:hAnsi="Tahoma" w:cs="Tahoma"/>
      <w:sz w:val="16"/>
      <w:szCs w:val="16"/>
    </w:rPr>
  </w:style>
  <w:style w:type="character" w:customStyle="1" w:styleId="BalloonTextChar">
    <w:name w:val="Balloon Text Char"/>
    <w:basedOn w:val="DefaultParagraphFont"/>
    <w:link w:val="BalloonText"/>
    <w:uiPriority w:val="99"/>
    <w:semiHidden/>
    <w:rsid w:val="009E7285"/>
    <w:rPr>
      <w:rFonts w:ascii="Tahoma" w:hAnsi="Tahoma" w:cs="Tahoma"/>
      <w:sz w:val="16"/>
      <w:szCs w:val="16"/>
    </w:rPr>
  </w:style>
  <w:style w:type="paragraph" w:styleId="EndnoteText">
    <w:name w:val="endnote text"/>
    <w:basedOn w:val="Normal"/>
    <w:link w:val="EndnoteTextChar"/>
    <w:uiPriority w:val="99"/>
    <w:semiHidden/>
    <w:unhideWhenUsed/>
    <w:rsid w:val="00520C37"/>
    <w:rPr>
      <w:sz w:val="20"/>
      <w:szCs w:val="20"/>
    </w:rPr>
  </w:style>
  <w:style w:type="character" w:customStyle="1" w:styleId="EndnoteTextChar">
    <w:name w:val="Endnote Text Char"/>
    <w:basedOn w:val="DefaultParagraphFont"/>
    <w:link w:val="EndnoteText"/>
    <w:uiPriority w:val="99"/>
    <w:semiHidden/>
    <w:rsid w:val="00520C37"/>
    <w:rPr>
      <w:sz w:val="20"/>
      <w:szCs w:val="20"/>
    </w:rPr>
  </w:style>
  <w:style w:type="character" w:styleId="EndnoteReference">
    <w:name w:val="endnote reference"/>
    <w:basedOn w:val="DefaultParagraphFont"/>
    <w:uiPriority w:val="99"/>
    <w:semiHidden/>
    <w:unhideWhenUsed/>
    <w:rsid w:val="00520C37"/>
    <w:rPr>
      <w:vertAlign w:val="superscript"/>
    </w:rPr>
  </w:style>
  <w:style w:type="paragraph" w:styleId="FootnoteText">
    <w:name w:val="footnote text"/>
    <w:basedOn w:val="Normal"/>
    <w:link w:val="FootnoteTextChar"/>
    <w:uiPriority w:val="99"/>
    <w:semiHidden/>
    <w:unhideWhenUsed/>
    <w:rsid w:val="00520C37"/>
    <w:rPr>
      <w:sz w:val="20"/>
      <w:szCs w:val="20"/>
    </w:rPr>
  </w:style>
  <w:style w:type="character" w:customStyle="1" w:styleId="FootnoteTextChar">
    <w:name w:val="Footnote Text Char"/>
    <w:basedOn w:val="DefaultParagraphFont"/>
    <w:link w:val="FootnoteText"/>
    <w:uiPriority w:val="99"/>
    <w:semiHidden/>
    <w:rsid w:val="00520C37"/>
    <w:rPr>
      <w:sz w:val="20"/>
      <w:szCs w:val="20"/>
    </w:rPr>
  </w:style>
  <w:style w:type="character" w:styleId="FootnoteReference">
    <w:name w:val="footnote reference"/>
    <w:basedOn w:val="DefaultParagraphFont"/>
    <w:uiPriority w:val="99"/>
    <w:semiHidden/>
    <w:unhideWhenUsed/>
    <w:rsid w:val="00520C37"/>
    <w:rPr>
      <w:vertAlign w:val="superscript"/>
    </w:rPr>
  </w:style>
  <w:style w:type="paragraph" w:styleId="Title">
    <w:name w:val="Title"/>
    <w:basedOn w:val="Normal"/>
    <w:next w:val="Normal"/>
    <w:link w:val="TitleChar"/>
    <w:uiPriority w:val="10"/>
    <w:qFormat/>
    <w:rsid w:val="002E38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8DC"/>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AC67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Hyperlink">
    <w:name w:val="Hyperlink"/>
    <w:basedOn w:val="DefaultParagraphFont"/>
    <w:uiPriority w:val="99"/>
    <w:semiHidden/>
    <w:unhideWhenUsed/>
    <w:rsid w:val="009B4D4B"/>
    <w:rPr>
      <w:color w:val="2B674D"/>
      <w:u w:val="single"/>
    </w:rPr>
  </w:style>
  <w:style w:type="paragraph" w:styleId="NormalWeb">
    <w:name w:val="Normal (Web)"/>
    <w:basedOn w:val="Normal"/>
    <w:uiPriority w:val="99"/>
    <w:unhideWhenUsed/>
    <w:rsid w:val="009B4D4B"/>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9E7285"/>
    <w:rPr>
      <w:sz w:val="16"/>
      <w:szCs w:val="16"/>
    </w:rPr>
  </w:style>
  <w:style w:type="paragraph" w:styleId="CommentText">
    <w:name w:val="annotation text"/>
    <w:basedOn w:val="Normal"/>
    <w:link w:val="CommentTextChar"/>
    <w:uiPriority w:val="99"/>
    <w:semiHidden/>
    <w:unhideWhenUsed/>
    <w:rsid w:val="009E7285"/>
    <w:rPr>
      <w:sz w:val="20"/>
      <w:szCs w:val="20"/>
    </w:rPr>
  </w:style>
  <w:style w:type="character" w:customStyle="1" w:styleId="CommentTextChar">
    <w:name w:val="Comment Text Char"/>
    <w:basedOn w:val="DefaultParagraphFont"/>
    <w:link w:val="CommentText"/>
    <w:uiPriority w:val="99"/>
    <w:semiHidden/>
    <w:rsid w:val="009E7285"/>
    <w:rPr>
      <w:sz w:val="20"/>
      <w:szCs w:val="20"/>
    </w:rPr>
  </w:style>
  <w:style w:type="paragraph" w:styleId="CommentSubject">
    <w:name w:val="annotation subject"/>
    <w:basedOn w:val="CommentText"/>
    <w:next w:val="CommentText"/>
    <w:link w:val="CommentSubjectChar"/>
    <w:uiPriority w:val="99"/>
    <w:semiHidden/>
    <w:unhideWhenUsed/>
    <w:rsid w:val="009E7285"/>
    <w:rPr>
      <w:b/>
      <w:bCs/>
    </w:rPr>
  </w:style>
  <w:style w:type="character" w:customStyle="1" w:styleId="CommentSubjectChar">
    <w:name w:val="Comment Subject Char"/>
    <w:basedOn w:val="CommentTextChar"/>
    <w:link w:val="CommentSubject"/>
    <w:uiPriority w:val="99"/>
    <w:semiHidden/>
    <w:rsid w:val="009E7285"/>
    <w:rPr>
      <w:b/>
      <w:bCs/>
      <w:sz w:val="20"/>
      <w:szCs w:val="20"/>
    </w:rPr>
  </w:style>
  <w:style w:type="paragraph" w:styleId="BalloonText">
    <w:name w:val="Balloon Text"/>
    <w:basedOn w:val="Normal"/>
    <w:link w:val="BalloonTextChar"/>
    <w:uiPriority w:val="99"/>
    <w:semiHidden/>
    <w:unhideWhenUsed/>
    <w:rsid w:val="009E7285"/>
    <w:rPr>
      <w:rFonts w:ascii="Tahoma" w:hAnsi="Tahoma" w:cs="Tahoma"/>
      <w:sz w:val="16"/>
      <w:szCs w:val="16"/>
    </w:rPr>
  </w:style>
  <w:style w:type="character" w:customStyle="1" w:styleId="BalloonTextChar">
    <w:name w:val="Balloon Text Char"/>
    <w:basedOn w:val="DefaultParagraphFont"/>
    <w:link w:val="BalloonText"/>
    <w:uiPriority w:val="99"/>
    <w:semiHidden/>
    <w:rsid w:val="009E7285"/>
    <w:rPr>
      <w:rFonts w:ascii="Tahoma" w:hAnsi="Tahoma" w:cs="Tahoma"/>
      <w:sz w:val="16"/>
      <w:szCs w:val="16"/>
    </w:rPr>
  </w:style>
  <w:style w:type="paragraph" w:styleId="EndnoteText">
    <w:name w:val="endnote text"/>
    <w:basedOn w:val="Normal"/>
    <w:link w:val="EndnoteTextChar"/>
    <w:uiPriority w:val="99"/>
    <w:semiHidden/>
    <w:unhideWhenUsed/>
    <w:rsid w:val="00520C37"/>
    <w:rPr>
      <w:sz w:val="20"/>
      <w:szCs w:val="20"/>
    </w:rPr>
  </w:style>
  <w:style w:type="character" w:customStyle="1" w:styleId="EndnoteTextChar">
    <w:name w:val="Endnote Text Char"/>
    <w:basedOn w:val="DefaultParagraphFont"/>
    <w:link w:val="EndnoteText"/>
    <w:uiPriority w:val="99"/>
    <w:semiHidden/>
    <w:rsid w:val="00520C37"/>
    <w:rPr>
      <w:sz w:val="20"/>
      <w:szCs w:val="20"/>
    </w:rPr>
  </w:style>
  <w:style w:type="character" w:styleId="EndnoteReference">
    <w:name w:val="endnote reference"/>
    <w:basedOn w:val="DefaultParagraphFont"/>
    <w:uiPriority w:val="99"/>
    <w:semiHidden/>
    <w:unhideWhenUsed/>
    <w:rsid w:val="00520C37"/>
    <w:rPr>
      <w:vertAlign w:val="superscript"/>
    </w:rPr>
  </w:style>
  <w:style w:type="paragraph" w:styleId="FootnoteText">
    <w:name w:val="footnote text"/>
    <w:basedOn w:val="Normal"/>
    <w:link w:val="FootnoteTextChar"/>
    <w:uiPriority w:val="99"/>
    <w:semiHidden/>
    <w:unhideWhenUsed/>
    <w:rsid w:val="00520C37"/>
    <w:rPr>
      <w:sz w:val="20"/>
      <w:szCs w:val="20"/>
    </w:rPr>
  </w:style>
  <w:style w:type="character" w:customStyle="1" w:styleId="FootnoteTextChar">
    <w:name w:val="Footnote Text Char"/>
    <w:basedOn w:val="DefaultParagraphFont"/>
    <w:link w:val="FootnoteText"/>
    <w:uiPriority w:val="99"/>
    <w:semiHidden/>
    <w:rsid w:val="00520C37"/>
    <w:rPr>
      <w:sz w:val="20"/>
      <w:szCs w:val="20"/>
    </w:rPr>
  </w:style>
  <w:style w:type="character" w:styleId="FootnoteReference">
    <w:name w:val="footnote reference"/>
    <w:basedOn w:val="DefaultParagraphFont"/>
    <w:uiPriority w:val="99"/>
    <w:semiHidden/>
    <w:unhideWhenUsed/>
    <w:rsid w:val="00520C37"/>
    <w:rPr>
      <w:vertAlign w:val="superscript"/>
    </w:rPr>
  </w:style>
  <w:style w:type="paragraph" w:styleId="Title">
    <w:name w:val="Title"/>
    <w:basedOn w:val="Normal"/>
    <w:next w:val="Normal"/>
    <w:link w:val="TitleChar"/>
    <w:uiPriority w:val="10"/>
    <w:qFormat/>
    <w:rsid w:val="002E38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8DC"/>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AC6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6107">
      <w:bodyDiv w:val="1"/>
      <w:marLeft w:val="0"/>
      <w:marRight w:val="0"/>
      <w:marTop w:val="0"/>
      <w:marBottom w:val="0"/>
      <w:divBdr>
        <w:top w:val="none" w:sz="0" w:space="0" w:color="auto"/>
        <w:left w:val="none" w:sz="0" w:space="0" w:color="auto"/>
        <w:bottom w:val="none" w:sz="0" w:space="0" w:color="auto"/>
        <w:right w:val="none" w:sz="0" w:space="0" w:color="auto"/>
      </w:divBdr>
    </w:div>
    <w:div w:id="410083169">
      <w:bodyDiv w:val="1"/>
      <w:marLeft w:val="0"/>
      <w:marRight w:val="0"/>
      <w:marTop w:val="0"/>
      <w:marBottom w:val="0"/>
      <w:divBdr>
        <w:top w:val="none" w:sz="0" w:space="0" w:color="auto"/>
        <w:left w:val="none" w:sz="0" w:space="0" w:color="auto"/>
        <w:bottom w:val="none" w:sz="0" w:space="0" w:color="auto"/>
        <w:right w:val="none" w:sz="0" w:space="0" w:color="auto"/>
      </w:divBdr>
    </w:div>
    <w:div w:id="540627659">
      <w:bodyDiv w:val="1"/>
      <w:marLeft w:val="0"/>
      <w:marRight w:val="0"/>
      <w:marTop w:val="0"/>
      <w:marBottom w:val="0"/>
      <w:divBdr>
        <w:top w:val="none" w:sz="0" w:space="0" w:color="auto"/>
        <w:left w:val="none" w:sz="0" w:space="0" w:color="auto"/>
        <w:bottom w:val="none" w:sz="0" w:space="0" w:color="auto"/>
        <w:right w:val="none" w:sz="0" w:space="0" w:color="auto"/>
      </w:divBdr>
    </w:div>
    <w:div w:id="581256598">
      <w:bodyDiv w:val="1"/>
      <w:marLeft w:val="0"/>
      <w:marRight w:val="0"/>
      <w:marTop w:val="0"/>
      <w:marBottom w:val="0"/>
      <w:divBdr>
        <w:top w:val="none" w:sz="0" w:space="0" w:color="auto"/>
        <w:left w:val="none" w:sz="0" w:space="0" w:color="auto"/>
        <w:bottom w:val="none" w:sz="0" w:space="0" w:color="auto"/>
        <w:right w:val="none" w:sz="0" w:space="0" w:color="auto"/>
      </w:divBdr>
      <w:divsChild>
        <w:div w:id="663703445">
          <w:marLeft w:val="0"/>
          <w:marRight w:val="0"/>
          <w:marTop w:val="0"/>
          <w:marBottom w:val="0"/>
          <w:divBdr>
            <w:top w:val="none" w:sz="0" w:space="0" w:color="auto"/>
            <w:left w:val="none" w:sz="0" w:space="0" w:color="auto"/>
            <w:bottom w:val="none" w:sz="0" w:space="0" w:color="auto"/>
            <w:right w:val="none" w:sz="0" w:space="0" w:color="auto"/>
          </w:divBdr>
          <w:divsChild>
            <w:div w:id="16568016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95890229">
      <w:bodyDiv w:val="1"/>
      <w:marLeft w:val="0"/>
      <w:marRight w:val="0"/>
      <w:marTop w:val="0"/>
      <w:marBottom w:val="0"/>
      <w:divBdr>
        <w:top w:val="none" w:sz="0" w:space="0" w:color="auto"/>
        <w:left w:val="none" w:sz="0" w:space="0" w:color="auto"/>
        <w:bottom w:val="none" w:sz="0" w:space="0" w:color="auto"/>
        <w:right w:val="none" w:sz="0" w:space="0" w:color="auto"/>
      </w:divBdr>
    </w:div>
    <w:div w:id="775444108">
      <w:bodyDiv w:val="1"/>
      <w:marLeft w:val="0"/>
      <w:marRight w:val="0"/>
      <w:marTop w:val="0"/>
      <w:marBottom w:val="0"/>
      <w:divBdr>
        <w:top w:val="none" w:sz="0" w:space="0" w:color="auto"/>
        <w:left w:val="none" w:sz="0" w:space="0" w:color="auto"/>
        <w:bottom w:val="none" w:sz="0" w:space="0" w:color="auto"/>
        <w:right w:val="none" w:sz="0" w:space="0" w:color="auto"/>
      </w:divBdr>
    </w:div>
    <w:div w:id="1409695516">
      <w:bodyDiv w:val="1"/>
      <w:marLeft w:val="0"/>
      <w:marRight w:val="0"/>
      <w:marTop w:val="0"/>
      <w:marBottom w:val="0"/>
      <w:divBdr>
        <w:top w:val="none" w:sz="0" w:space="0" w:color="auto"/>
        <w:left w:val="none" w:sz="0" w:space="0" w:color="auto"/>
        <w:bottom w:val="none" w:sz="0" w:space="0" w:color="auto"/>
        <w:right w:val="none" w:sz="0" w:space="0" w:color="auto"/>
      </w:divBdr>
    </w:div>
    <w:div w:id="1678582476">
      <w:bodyDiv w:val="1"/>
      <w:marLeft w:val="0"/>
      <w:marRight w:val="0"/>
      <w:marTop w:val="0"/>
      <w:marBottom w:val="0"/>
      <w:divBdr>
        <w:top w:val="none" w:sz="0" w:space="0" w:color="auto"/>
        <w:left w:val="none" w:sz="0" w:space="0" w:color="auto"/>
        <w:bottom w:val="none" w:sz="0" w:space="0" w:color="auto"/>
        <w:right w:val="none" w:sz="0" w:space="0" w:color="auto"/>
      </w:divBdr>
    </w:div>
    <w:div w:id="16983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2012-12-21T08:00:00+00:00</OpenedDate>
    <Date1 xmlns="dc463f71-b30c-4ab2-9473-d307f9d35888">2013-04-25T07:00:00+00:00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C5E467-6E54-4EBA-8ED9-6BDEFB293C8D}"/>
</file>

<file path=customXml/itemProps2.xml><?xml version="1.0" encoding="utf-8"?>
<ds:datastoreItem xmlns:ds="http://schemas.openxmlformats.org/officeDocument/2006/customXml" ds:itemID="{AB9F75F0-4998-4CEB-900A-CE0FE99B37E2}"/>
</file>

<file path=customXml/itemProps3.xml><?xml version="1.0" encoding="utf-8"?>
<ds:datastoreItem xmlns:ds="http://schemas.openxmlformats.org/officeDocument/2006/customXml" ds:itemID="{A0FE8894-CFFD-4056-BB1F-2703A175EDED}"/>
</file>

<file path=customXml/itemProps4.xml><?xml version="1.0" encoding="utf-8"?>
<ds:datastoreItem xmlns:ds="http://schemas.openxmlformats.org/officeDocument/2006/customXml" ds:itemID="{BD173820-BA93-493C-BEDE-E5276F4C307F}"/>
</file>

<file path=customXml/itemProps5.xml><?xml version="1.0" encoding="utf-8"?>
<ds:datastoreItem xmlns:ds="http://schemas.openxmlformats.org/officeDocument/2006/customXml" ds:itemID="{1B406F55-304C-48DC-B0E6-E9B43C2E9F01}"/>
</file>

<file path=docProps/app.xml><?xml version="1.0" encoding="utf-8"?>
<Properties xmlns="http://schemas.openxmlformats.org/officeDocument/2006/extended-properties" xmlns:vt="http://schemas.openxmlformats.org/officeDocument/2006/docPropsVTypes">
  <Template>Normal.dotm</Template>
  <TotalTime>58</TotalTime>
  <Pages>18</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DeMarco, Betsy (UTC)</cp:lastModifiedBy>
  <cp:revision>9</cp:revision>
  <cp:lastPrinted>2013-04-12T17:30:00Z</cp:lastPrinted>
  <dcterms:created xsi:type="dcterms:W3CDTF">2013-04-25T21:23:00Z</dcterms:created>
  <dcterms:modified xsi:type="dcterms:W3CDTF">2013-04-25T22:32:00Z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