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A186" w14:textId="77777777" w:rsidR="003B18D4" w:rsidRPr="00A8301E" w:rsidRDefault="003B18D4" w:rsidP="00213901">
      <w:bookmarkStart w:id="0" w:name="_GoBack"/>
      <w:bookmarkEnd w:id="0"/>
      <w:r w:rsidRPr="00A8301E">
        <w:t>Agenda Date:</w:t>
      </w:r>
      <w:r w:rsidRPr="00A8301E">
        <w:tab/>
      </w:r>
      <w:r w:rsidRPr="00A8301E">
        <w:tab/>
      </w:r>
      <w:r w:rsidR="00557F55" w:rsidRPr="00A8301E">
        <w:t>May 29</w:t>
      </w:r>
      <w:r w:rsidR="00610ED4" w:rsidRPr="00A8301E">
        <w:t>, 2014</w:t>
      </w:r>
    </w:p>
    <w:p w14:paraId="00D3A187" w14:textId="56596CD4" w:rsidR="003B18D4" w:rsidRPr="00A8301E" w:rsidRDefault="003B18D4" w:rsidP="00213901">
      <w:r w:rsidRPr="00A8301E">
        <w:t>Item Number:</w:t>
      </w:r>
      <w:r w:rsidRPr="00A8301E">
        <w:tab/>
      </w:r>
      <w:r w:rsidR="00205A07">
        <w:tab/>
        <w:t>A3</w:t>
      </w:r>
    </w:p>
    <w:p w14:paraId="00D3A188" w14:textId="77777777" w:rsidR="003B18D4" w:rsidRPr="00A8301E" w:rsidRDefault="003B18D4" w:rsidP="00213901"/>
    <w:p w14:paraId="00D3A189" w14:textId="77777777" w:rsidR="00AB25BC" w:rsidRPr="002C7218" w:rsidRDefault="003B18D4" w:rsidP="00213901">
      <w:pPr>
        <w:rPr>
          <w:b/>
        </w:rPr>
      </w:pPr>
      <w:r w:rsidRPr="002C7218">
        <w:rPr>
          <w:b/>
        </w:rPr>
        <w:t>Docket:</w:t>
      </w:r>
      <w:r w:rsidRPr="002C7218">
        <w:rPr>
          <w:b/>
        </w:rPr>
        <w:tab/>
      </w:r>
      <w:r w:rsidRPr="002C7218">
        <w:rPr>
          <w:b/>
        </w:rPr>
        <w:tab/>
        <w:t>U</w:t>
      </w:r>
      <w:r w:rsidR="00610ED4" w:rsidRPr="002C7218">
        <w:rPr>
          <w:b/>
        </w:rPr>
        <w:t>E-140617</w:t>
      </w:r>
    </w:p>
    <w:p w14:paraId="00D3A18A" w14:textId="7CC2B785" w:rsidR="003B18D4" w:rsidRPr="00A8301E" w:rsidRDefault="00AB25BC" w:rsidP="00213901">
      <w:r w:rsidRPr="00A8301E">
        <w:t>Company:</w:t>
      </w:r>
      <w:r w:rsidRPr="00A8301E">
        <w:tab/>
      </w:r>
      <w:r w:rsidRPr="00A8301E">
        <w:tab/>
      </w:r>
      <w:r w:rsidR="00B16D32" w:rsidRPr="00A8301E">
        <w:t>Pacific Power &amp; Light Company</w:t>
      </w:r>
    </w:p>
    <w:p w14:paraId="00D3A18B" w14:textId="77777777" w:rsidR="003B18D4" w:rsidRPr="00A8301E" w:rsidRDefault="003B18D4" w:rsidP="00213901"/>
    <w:p w14:paraId="00D3A18C" w14:textId="77777777" w:rsidR="003B18D4" w:rsidRPr="00A8301E" w:rsidRDefault="003B18D4" w:rsidP="00213901">
      <w:r w:rsidRPr="00A8301E">
        <w:t>Staff:</w:t>
      </w:r>
      <w:r w:rsidRPr="00A8301E">
        <w:tab/>
      </w:r>
      <w:r w:rsidRPr="00A8301E">
        <w:tab/>
      </w:r>
      <w:r w:rsidRPr="00A8301E">
        <w:tab/>
        <w:t>Jason Ball, Regulatory Analyst</w:t>
      </w:r>
    </w:p>
    <w:p w14:paraId="00D3A18D" w14:textId="77777777" w:rsidR="00610ED4" w:rsidRPr="00A8301E" w:rsidRDefault="00610ED4" w:rsidP="00213901">
      <w:r w:rsidRPr="00A8301E">
        <w:tab/>
      </w:r>
      <w:r w:rsidRPr="00A8301E">
        <w:tab/>
      </w:r>
      <w:r w:rsidRPr="00A8301E">
        <w:tab/>
      </w:r>
      <w:r w:rsidR="001F028E" w:rsidRPr="00A8301E">
        <w:t>Juliana</w:t>
      </w:r>
      <w:r w:rsidRPr="00A8301E">
        <w:t xml:space="preserve"> Williams, Regulatory Analyst</w:t>
      </w:r>
    </w:p>
    <w:p w14:paraId="00D3A18E" w14:textId="77777777" w:rsidR="003B18D4" w:rsidRPr="00A8301E" w:rsidRDefault="003B18D4" w:rsidP="00213901"/>
    <w:p w14:paraId="00D3A18F" w14:textId="77777777" w:rsidR="003B18D4" w:rsidRPr="00A8301E" w:rsidRDefault="003B18D4" w:rsidP="00213901">
      <w:pPr>
        <w:pStyle w:val="Heading1"/>
      </w:pPr>
      <w:r w:rsidRPr="00A8301E">
        <w:t>Recommendation</w:t>
      </w:r>
    </w:p>
    <w:p w14:paraId="00D3A190" w14:textId="77777777" w:rsidR="003B18D4" w:rsidRPr="00A8301E" w:rsidRDefault="003B18D4" w:rsidP="00213901"/>
    <w:p w14:paraId="0D8877F9" w14:textId="29BF05BE" w:rsidR="000E7FDD" w:rsidRDefault="000E7FDD" w:rsidP="007F2959">
      <w:pPr>
        <w:pStyle w:val="ListParagraph"/>
        <w:numPr>
          <w:ilvl w:val="0"/>
          <w:numId w:val="1"/>
        </w:numPr>
      </w:pPr>
      <w:r w:rsidRPr="00F65E61">
        <w:t xml:space="preserve">Authorize </w:t>
      </w:r>
      <w:r w:rsidR="00C31AC8">
        <w:t>Pacific Power &amp; Light Company (Pacifi</w:t>
      </w:r>
      <w:r w:rsidR="00DC7274">
        <w:t>Corp</w:t>
      </w:r>
      <w:r w:rsidR="00925D02">
        <w:t xml:space="preserve"> or </w:t>
      </w:r>
      <w:r w:rsidR="00C31AC8">
        <w:t xml:space="preserve">company) </w:t>
      </w:r>
      <w:r w:rsidRPr="00F65E61">
        <w:t xml:space="preserve">to defer costs related to operation and maintenance expenses and depreciation </w:t>
      </w:r>
      <w:r w:rsidR="00C31AC8">
        <w:t>expense</w:t>
      </w:r>
      <w:r w:rsidR="00C31AC8" w:rsidRPr="00F65E61">
        <w:t xml:space="preserve"> for the Merwin Fish Collector </w:t>
      </w:r>
      <w:r w:rsidR="00C31AC8">
        <w:t>on</w:t>
      </w:r>
      <w:r w:rsidRPr="00F65E61">
        <w:t xml:space="preserve"> the condition that the </w:t>
      </w:r>
      <w:r w:rsidR="00D25C99">
        <w:t>c</w:t>
      </w:r>
      <w:r w:rsidRPr="00F65E61">
        <w:t xml:space="preserve">ompany </w:t>
      </w:r>
      <w:r w:rsidR="00C31AC8">
        <w:t xml:space="preserve">may </w:t>
      </w:r>
      <w:r w:rsidRPr="00F65E61">
        <w:t>not accrue interest on the balance</w:t>
      </w:r>
      <w:r>
        <w:t xml:space="preserve"> during the deferral period.</w:t>
      </w:r>
    </w:p>
    <w:p w14:paraId="5C4BA38E" w14:textId="08AFCF2C" w:rsidR="005E7E59" w:rsidRPr="00A8301E" w:rsidRDefault="00C31AC8" w:rsidP="007F2959">
      <w:pPr>
        <w:pStyle w:val="ListParagraph"/>
        <w:numPr>
          <w:ilvl w:val="0"/>
          <w:numId w:val="1"/>
        </w:numPr>
      </w:pPr>
      <w:r>
        <w:t>I</w:t>
      </w:r>
      <w:r w:rsidRPr="00A8301E">
        <w:t>ssue a</w:t>
      </w:r>
      <w:r w:rsidRPr="00836908">
        <w:t xml:space="preserve"> Complaint and Order Suspending the Tariff</w:t>
      </w:r>
      <w:r>
        <w:t>, i</w:t>
      </w:r>
      <w:r w:rsidR="00E27403" w:rsidRPr="00A8301E">
        <w:t xml:space="preserve">f </w:t>
      </w:r>
      <w:r w:rsidR="00DC7274" w:rsidRPr="00A8301E">
        <w:t>Power &amp; Light Company</w:t>
      </w:r>
      <w:r w:rsidR="00E27403" w:rsidRPr="00A8301E">
        <w:t xml:space="preserve"> does not withdraw the proposed Tariff</w:t>
      </w:r>
      <w:r w:rsidR="000E7FDD">
        <w:t xml:space="preserve">.  </w:t>
      </w:r>
    </w:p>
    <w:p w14:paraId="00D3A191" w14:textId="3FB0E173" w:rsidR="003B18D4" w:rsidRPr="00A8301E" w:rsidRDefault="005E7E59" w:rsidP="007F2959">
      <w:pPr>
        <w:pStyle w:val="ListParagraph"/>
        <w:numPr>
          <w:ilvl w:val="0"/>
          <w:numId w:val="1"/>
        </w:numPr>
      </w:pPr>
      <w:r w:rsidRPr="00A8301E">
        <w:t>Consolidate the Tariff filing</w:t>
      </w:r>
      <w:r w:rsidR="00247F85" w:rsidRPr="00A8301E">
        <w:t xml:space="preserve"> with </w:t>
      </w:r>
      <w:r w:rsidRPr="00A8301E">
        <w:t>the Pacific Power &amp; Light Company’s general rate case filed May 1, 2014</w:t>
      </w:r>
      <w:r w:rsidR="00205A07">
        <w:t>,</w:t>
      </w:r>
      <w:r w:rsidRPr="00A8301E">
        <w:t xml:space="preserve"> in d</w:t>
      </w:r>
      <w:r w:rsidR="00247F85" w:rsidRPr="00A8301E">
        <w:t>ocket UE-140762</w:t>
      </w:r>
      <w:r w:rsidR="00A8301E">
        <w:t>.</w:t>
      </w:r>
      <w:r w:rsidR="00934CFD" w:rsidRPr="00A8301E">
        <w:t xml:space="preserve">  </w:t>
      </w:r>
    </w:p>
    <w:p w14:paraId="00D3A192" w14:textId="77777777" w:rsidR="003B18D4" w:rsidRPr="00A8301E" w:rsidRDefault="003B18D4" w:rsidP="00213901"/>
    <w:p w14:paraId="00D3A193" w14:textId="77777777" w:rsidR="003B18D4" w:rsidRPr="00A8301E" w:rsidRDefault="003B18D4" w:rsidP="00213901">
      <w:pPr>
        <w:pStyle w:val="Heading1"/>
      </w:pPr>
      <w:r w:rsidRPr="007F2959">
        <w:t>Background</w:t>
      </w:r>
    </w:p>
    <w:p w14:paraId="00D3A194" w14:textId="77777777" w:rsidR="003B18D4" w:rsidRPr="00A8301E" w:rsidRDefault="003B18D4" w:rsidP="00213901"/>
    <w:p w14:paraId="00D3A195" w14:textId="6F928415" w:rsidR="00AA22D9" w:rsidRPr="00A8301E" w:rsidRDefault="00B16D32" w:rsidP="00AA22D9">
      <w:r w:rsidRPr="00A8301E">
        <w:t xml:space="preserve">On April 14, </w:t>
      </w:r>
      <w:r w:rsidR="00DC7274">
        <w:t>PacifiCorp</w:t>
      </w:r>
      <w:r w:rsidRPr="00A8301E">
        <w:t xml:space="preserve"> filed a new tariff</w:t>
      </w:r>
      <w:r w:rsidR="001D5602" w:rsidRPr="00A8301E">
        <w:t xml:space="preserve"> -</w:t>
      </w:r>
      <w:r w:rsidRPr="00A8301E">
        <w:t xml:space="preserve"> </w:t>
      </w:r>
      <w:r w:rsidR="005F7955" w:rsidRPr="00A8301E">
        <w:t>Schedule 90 titled</w:t>
      </w:r>
      <w:r w:rsidRPr="00A8301E">
        <w:t xml:space="preserve"> “Hydro Investment Adjustment.”</w:t>
      </w:r>
      <w:r w:rsidR="005F7955" w:rsidRPr="00A8301E">
        <w:t xml:space="preserve"> The purpose of this </w:t>
      </w:r>
      <w:r w:rsidR="002A7701" w:rsidRPr="00A8301E">
        <w:t xml:space="preserve">schedule is to recover </w:t>
      </w:r>
      <w:r w:rsidR="00070498" w:rsidRPr="00A8301E">
        <w:t>the “mandatory environmental investments”</w:t>
      </w:r>
      <w:r w:rsidR="00070498" w:rsidRPr="00A8301E">
        <w:rPr>
          <w:rStyle w:val="FootnoteReference"/>
        </w:rPr>
        <w:footnoteReference w:id="2"/>
      </w:r>
      <w:r w:rsidR="00070498" w:rsidRPr="00A8301E">
        <w:t xml:space="preserve"> and </w:t>
      </w:r>
      <w:r w:rsidR="002A7701" w:rsidRPr="00A8301E">
        <w:t xml:space="preserve">costs associated with the </w:t>
      </w:r>
      <w:r w:rsidR="004D1A42" w:rsidRPr="00A8301E">
        <w:t>Merwin Fish Collector p</w:t>
      </w:r>
      <w:r w:rsidR="00E86B0C" w:rsidRPr="00A8301E">
        <w:t>roject</w:t>
      </w:r>
      <w:r w:rsidR="00A62555" w:rsidRPr="00A8301E">
        <w:t xml:space="preserve"> (</w:t>
      </w:r>
      <w:r w:rsidR="00175E14" w:rsidRPr="00A8301E">
        <w:t>Merwin Project)</w:t>
      </w:r>
      <w:r w:rsidR="00070498" w:rsidRPr="00A8301E">
        <w:t>.</w:t>
      </w:r>
      <w:r w:rsidR="008625A3" w:rsidRPr="00A8301E">
        <w:t xml:space="preserve"> </w:t>
      </w:r>
      <w:r w:rsidR="00B87D6C" w:rsidRPr="00A8301E">
        <w:t xml:space="preserve">The proposed tariff would result in an overall increase </w:t>
      </w:r>
      <w:r w:rsidR="00C31AC8" w:rsidRPr="00A8301E">
        <w:t>of 0.5 percent</w:t>
      </w:r>
      <w:r w:rsidR="000021EB">
        <w:t>,</w:t>
      </w:r>
      <w:r w:rsidR="00C31AC8" w:rsidRPr="00A8301E">
        <w:t xml:space="preserve"> or $.60 per month</w:t>
      </w:r>
      <w:r w:rsidR="000021EB">
        <w:t>,</w:t>
      </w:r>
      <w:r w:rsidR="00C31AC8" w:rsidRPr="00A8301E" w:rsidDel="00C31AC8">
        <w:t xml:space="preserve"> </w:t>
      </w:r>
      <w:r w:rsidR="00C31AC8">
        <w:t>to</w:t>
      </w:r>
      <w:r w:rsidR="00C31AC8" w:rsidRPr="00A8301E">
        <w:t xml:space="preserve"> </w:t>
      </w:r>
      <w:r w:rsidR="00C31AC8">
        <w:t>the</w:t>
      </w:r>
      <w:r w:rsidR="00C31AC8" w:rsidRPr="00A8301E">
        <w:t xml:space="preserve"> </w:t>
      </w:r>
      <w:r w:rsidR="00B87D6C" w:rsidRPr="00A8301E">
        <w:t xml:space="preserve">average customer using 1,300 </w:t>
      </w:r>
      <w:r w:rsidR="00C31AC8" w:rsidRPr="00A8301E">
        <w:t>kilowatt</w:t>
      </w:r>
      <w:r w:rsidR="00C31AC8">
        <w:t>-</w:t>
      </w:r>
      <w:r w:rsidR="00B87D6C" w:rsidRPr="00A8301E">
        <w:t xml:space="preserve">hours per month. </w:t>
      </w:r>
      <w:r w:rsidR="00CE745E" w:rsidRPr="00A8301E">
        <w:t xml:space="preserve">As an alternative to the separate tariff rider, </w:t>
      </w:r>
      <w:r w:rsidR="00DC7274">
        <w:t>PacifiCorp</w:t>
      </w:r>
      <w:r w:rsidR="00C31AC8" w:rsidRPr="00A8301E">
        <w:t xml:space="preserve"> </w:t>
      </w:r>
      <w:r w:rsidR="00CE745E" w:rsidRPr="00A8301E">
        <w:t xml:space="preserve">also included in its filing an accounting petition </w:t>
      </w:r>
      <w:r w:rsidR="00D00E32" w:rsidRPr="00A8301E">
        <w:t>for authorization to defer the costs assoc</w:t>
      </w:r>
      <w:r w:rsidR="00B87D6C" w:rsidRPr="00A8301E">
        <w:t xml:space="preserve">iated with the Merwin Project. </w:t>
      </w:r>
    </w:p>
    <w:p w14:paraId="00D3A196" w14:textId="77777777" w:rsidR="00E86B0C" w:rsidRPr="00A8301E" w:rsidRDefault="00E86B0C" w:rsidP="00213901"/>
    <w:p w14:paraId="00D3A197" w14:textId="32388D8A" w:rsidR="00E86B0C" w:rsidRPr="00A8301E" w:rsidRDefault="00D25C99" w:rsidP="00213901">
      <w:r>
        <w:t>T</w:t>
      </w:r>
      <w:r w:rsidR="004D1A42" w:rsidRPr="00A8301E">
        <w:t>he Federal Energy Regulatory Commission</w:t>
      </w:r>
      <w:r w:rsidR="008B3EC8" w:rsidRPr="00A8301E">
        <w:t xml:space="preserve"> (FERC)</w:t>
      </w:r>
      <w:r w:rsidR="004D1A42" w:rsidRPr="00A8301E">
        <w:t xml:space="preserve"> license </w:t>
      </w:r>
      <w:r w:rsidR="007F37BB">
        <w:t xml:space="preserve">required </w:t>
      </w:r>
      <w:r>
        <w:t>t</w:t>
      </w:r>
      <w:r w:rsidRPr="00A8301E">
        <w:t xml:space="preserve">he Merwin Project </w:t>
      </w:r>
      <w:r>
        <w:t>as a condition to relicense</w:t>
      </w:r>
      <w:r w:rsidR="004D1A42" w:rsidRPr="00A8301E">
        <w:t xml:space="preserve"> the Lewis River hydroelectric project (License). </w:t>
      </w:r>
      <w:r w:rsidR="00DC7274">
        <w:t>PacifiCorp</w:t>
      </w:r>
      <w:r>
        <w:t xml:space="preserve"> reached a</w:t>
      </w:r>
      <w:r w:rsidRPr="00A8301E">
        <w:t xml:space="preserve"> </w:t>
      </w:r>
      <w:r w:rsidR="008B3EC8" w:rsidRPr="00A8301E">
        <w:t>settlement with 26 parties, including Cowl</w:t>
      </w:r>
      <w:r w:rsidR="00EA75E6" w:rsidRPr="00A8301E">
        <w:t xml:space="preserve">itz PUD, </w:t>
      </w:r>
      <w:r w:rsidR="008B3EC8" w:rsidRPr="00A8301E">
        <w:t xml:space="preserve">the </w:t>
      </w:r>
      <w:r w:rsidR="00C96B7F" w:rsidRPr="00A8301E">
        <w:t>Washington Department of Ecology,</w:t>
      </w:r>
      <w:r w:rsidR="00EA75E6" w:rsidRPr="00A8301E">
        <w:t xml:space="preserve"> </w:t>
      </w:r>
      <w:r w:rsidR="00A62555" w:rsidRPr="00A8301E">
        <w:t xml:space="preserve">and </w:t>
      </w:r>
      <w:r w:rsidR="00EA75E6" w:rsidRPr="00A8301E">
        <w:t>the Washington Department of Fish and Wild</w:t>
      </w:r>
      <w:r w:rsidR="002C49CA" w:rsidRPr="00A8301E">
        <w:t>life,</w:t>
      </w:r>
      <w:r w:rsidR="005E3429" w:rsidRPr="00A8301E">
        <w:t xml:space="preserve"> </w:t>
      </w:r>
      <w:r>
        <w:t>to</w:t>
      </w:r>
      <w:r w:rsidRPr="00A8301E">
        <w:t xml:space="preserve"> </w:t>
      </w:r>
      <w:r w:rsidR="005E3429" w:rsidRPr="00A8301E">
        <w:t>receive a 50-year License</w:t>
      </w:r>
      <w:r w:rsidR="00E544B1" w:rsidRPr="00A8301E">
        <w:t xml:space="preserve"> from the FERC</w:t>
      </w:r>
      <w:r w:rsidR="005E3429" w:rsidRPr="00A8301E">
        <w:t xml:space="preserve">. </w:t>
      </w:r>
      <w:r>
        <w:t>One</w:t>
      </w:r>
      <w:r w:rsidRPr="00A8301E">
        <w:t xml:space="preserve"> </w:t>
      </w:r>
      <w:r w:rsidR="005E3429" w:rsidRPr="00A8301E">
        <w:t>condition of the License was the construction of a fish passage system that collects and tran</w:t>
      </w:r>
      <w:r w:rsidR="00EA75E6" w:rsidRPr="00A8301E">
        <w:t>sports fish around the three dams covered by the License.</w:t>
      </w:r>
      <w:r w:rsidR="002C49CA" w:rsidRPr="00A8301E">
        <w:t xml:space="preserve"> The facility was designed, with PacifiCorp’s input, by the various </w:t>
      </w:r>
      <w:r w:rsidR="007F37BB" w:rsidRPr="00A8301E">
        <w:t>part</w:t>
      </w:r>
      <w:r w:rsidR="007F37BB">
        <w:t>ies</w:t>
      </w:r>
      <w:r w:rsidR="007F37BB" w:rsidRPr="00A8301E">
        <w:t xml:space="preserve"> </w:t>
      </w:r>
      <w:r w:rsidR="001F028E" w:rsidRPr="00A8301E">
        <w:t>to the settlement.</w:t>
      </w:r>
    </w:p>
    <w:p w14:paraId="00D3A198" w14:textId="77777777" w:rsidR="002C49CA" w:rsidRPr="00A8301E" w:rsidRDefault="002C49CA" w:rsidP="00213901"/>
    <w:p w14:paraId="00D3A199" w14:textId="3EDB9DA8" w:rsidR="001D5602" w:rsidRPr="00A8301E" w:rsidRDefault="00175E14" w:rsidP="001D5602">
      <w:r w:rsidRPr="00A8301E">
        <w:t xml:space="preserve">PacifiCorp </w:t>
      </w:r>
      <w:r w:rsidR="00A62555" w:rsidRPr="00A8301E">
        <w:t>requested</w:t>
      </w:r>
      <w:r w:rsidRPr="00A8301E">
        <w:t xml:space="preserve"> rate recovery of costs associated with the </w:t>
      </w:r>
      <w:r w:rsidR="00ED1143" w:rsidRPr="00A8301E">
        <w:t xml:space="preserve">Merwin Project in its last </w:t>
      </w:r>
      <w:r w:rsidR="00A62555" w:rsidRPr="00A8301E">
        <w:t>g</w:t>
      </w:r>
      <w:r w:rsidR="00ED1143" w:rsidRPr="00A8301E">
        <w:t xml:space="preserve">eneral </w:t>
      </w:r>
      <w:r w:rsidR="00A62555" w:rsidRPr="00A8301E">
        <w:t>r</w:t>
      </w:r>
      <w:r w:rsidR="00ED1143" w:rsidRPr="00A8301E">
        <w:t xml:space="preserve">ate </w:t>
      </w:r>
      <w:r w:rsidR="00A62555" w:rsidRPr="00A8301E">
        <w:t>c</w:t>
      </w:r>
      <w:r w:rsidR="00ED1143" w:rsidRPr="00A8301E">
        <w:t>ase</w:t>
      </w:r>
      <w:r w:rsidR="009F75B8" w:rsidRPr="00A8301E">
        <w:t xml:space="preserve"> (GRC)</w:t>
      </w:r>
      <w:r w:rsidR="00A62555" w:rsidRPr="00A8301E">
        <w:t xml:space="preserve">. </w:t>
      </w:r>
      <w:r w:rsidR="00ED1143" w:rsidRPr="00A8301E">
        <w:t>Staff testi</w:t>
      </w:r>
      <w:r w:rsidR="00B1424F" w:rsidRPr="00A8301E">
        <w:t>fied that the inclusion of the Merwin Pr</w:t>
      </w:r>
      <w:r w:rsidR="00F74004" w:rsidRPr="00A8301E">
        <w:t>oject in</w:t>
      </w:r>
      <w:r w:rsidR="001D5602" w:rsidRPr="00A8301E">
        <w:t xml:space="preserve"> the development of</w:t>
      </w:r>
      <w:r w:rsidR="00F74004" w:rsidRPr="00A8301E">
        <w:t xml:space="preserve"> rates was, at the time, premature.</w:t>
      </w:r>
      <w:r w:rsidR="00F74004" w:rsidRPr="00A8301E">
        <w:rPr>
          <w:rStyle w:val="FootnoteReference"/>
        </w:rPr>
        <w:footnoteReference w:id="3"/>
      </w:r>
      <w:r w:rsidR="00F74004" w:rsidRPr="00A8301E">
        <w:t xml:space="preserve"> Specifically, staff objected to the inclusion in rates</w:t>
      </w:r>
      <w:r w:rsidR="00CE745E" w:rsidRPr="00A8301E">
        <w:t xml:space="preserve"> of</w:t>
      </w:r>
      <w:r w:rsidR="00F74004" w:rsidRPr="00A8301E">
        <w:t xml:space="preserve"> a project </w:t>
      </w:r>
      <w:r w:rsidR="00F74004" w:rsidRPr="00A8301E">
        <w:lastRenderedPageBreak/>
        <w:t xml:space="preserve">that </w:t>
      </w:r>
      <w:r w:rsidR="001C6FDC">
        <w:t>was</w:t>
      </w:r>
      <w:r w:rsidR="001C6FDC" w:rsidRPr="00A8301E">
        <w:t xml:space="preserve"> </w:t>
      </w:r>
      <w:r w:rsidR="00F74004" w:rsidRPr="00A8301E">
        <w:t>not</w:t>
      </w:r>
      <w:r w:rsidR="00C15D99">
        <w:t xml:space="preserve"> </w:t>
      </w:r>
      <w:r w:rsidR="00F74004" w:rsidRPr="00A8301E">
        <w:t xml:space="preserve">used </w:t>
      </w:r>
      <w:r w:rsidR="009A4A9F" w:rsidRPr="00A8301E">
        <w:t>and useful</w:t>
      </w:r>
      <w:r w:rsidR="001C6FDC">
        <w:t xml:space="preserve"> at the time of the filing.</w:t>
      </w:r>
      <w:r w:rsidR="00E315D2">
        <w:t xml:space="preserve"> </w:t>
      </w:r>
      <w:r w:rsidR="009A4A9F" w:rsidRPr="00A8301E">
        <w:t xml:space="preserve">The </w:t>
      </w:r>
      <w:r w:rsidR="00D672D1" w:rsidRPr="00A8301E">
        <w:t xml:space="preserve">commission </w:t>
      </w:r>
      <w:r w:rsidR="00A57057" w:rsidRPr="00A8301E">
        <w:t xml:space="preserve">rejected </w:t>
      </w:r>
      <w:r w:rsidR="007F37BB" w:rsidRPr="00A8301E">
        <w:t>inclu</w:t>
      </w:r>
      <w:r w:rsidR="007F37BB">
        <w:t xml:space="preserve">sion </w:t>
      </w:r>
      <w:r w:rsidR="007F37BB" w:rsidRPr="00A8301E" w:rsidDel="00E315D2">
        <w:t>of</w:t>
      </w:r>
      <w:r w:rsidR="007F37BB" w:rsidRPr="00A8301E">
        <w:t xml:space="preserve"> </w:t>
      </w:r>
      <w:r w:rsidR="00A57057" w:rsidRPr="00A8301E">
        <w:t xml:space="preserve">the Merwin Project </w:t>
      </w:r>
      <w:r w:rsidR="001C6FDC">
        <w:t>on the basis that the project was not used and useful until after rates were effective</w:t>
      </w:r>
      <w:r w:rsidR="00A57057" w:rsidRPr="00A8301E">
        <w:t>.</w:t>
      </w:r>
      <w:r w:rsidR="00A57057" w:rsidRPr="00A8301E">
        <w:rPr>
          <w:rStyle w:val="FootnoteReference"/>
        </w:rPr>
        <w:footnoteReference w:id="4"/>
      </w:r>
      <w:r w:rsidR="00213901" w:rsidRPr="00A8301E">
        <w:t xml:space="preserve"> </w:t>
      </w:r>
      <w:r w:rsidR="00096A87" w:rsidRPr="00A8301E">
        <w:t xml:space="preserve">The prudency of the investment </w:t>
      </w:r>
      <w:r w:rsidR="00E315D2">
        <w:t xml:space="preserve">was not mentioned </w:t>
      </w:r>
      <w:r w:rsidR="00096A87" w:rsidRPr="00A8301E">
        <w:t xml:space="preserve">in </w:t>
      </w:r>
      <w:r w:rsidR="00E315D2">
        <w:t>O</w:t>
      </w:r>
      <w:r w:rsidR="00E315D2" w:rsidRPr="00A8301E">
        <w:t>rder</w:t>
      </w:r>
      <w:r w:rsidR="00E315D2">
        <w:t xml:space="preserve"> 05</w:t>
      </w:r>
      <w:r w:rsidR="00096A87" w:rsidRPr="00A8301E">
        <w:t xml:space="preserve">. </w:t>
      </w:r>
      <w:r w:rsidR="00213901" w:rsidRPr="00A8301E">
        <w:t xml:space="preserve">The Merwin Project went into service on March 28, 2014.  </w:t>
      </w:r>
    </w:p>
    <w:p w14:paraId="16CCD743" w14:textId="77777777" w:rsidR="0077673D" w:rsidRPr="00A8301E" w:rsidRDefault="0077673D" w:rsidP="001D5602"/>
    <w:p w14:paraId="4B6ADACD" w14:textId="61DD7833" w:rsidR="0077673D" w:rsidRPr="00A8301E" w:rsidRDefault="000D7EE9" w:rsidP="001D5602">
      <w:r w:rsidRPr="00A8301E">
        <w:t>T</w:t>
      </w:r>
      <w:r w:rsidR="0077673D" w:rsidRPr="00A8301E">
        <w:t xml:space="preserve">he company filed a GRC </w:t>
      </w:r>
      <w:r w:rsidRPr="00A8301E">
        <w:t>on May 1, 2014</w:t>
      </w:r>
      <w:r w:rsidR="00205A07">
        <w:t>,</w:t>
      </w:r>
      <w:r w:rsidRPr="00A8301E">
        <w:t xml:space="preserve"> in Docket UE-140762.</w:t>
      </w:r>
      <w:r w:rsidR="00B55D1C" w:rsidRPr="00A8301E">
        <w:t xml:space="preserve"> The company included the Merwin Fish Collector as a </w:t>
      </w:r>
      <w:r w:rsidR="005037B6">
        <w:t>r</w:t>
      </w:r>
      <w:r w:rsidR="00B55D1C" w:rsidRPr="00A8301E">
        <w:t>ate</w:t>
      </w:r>
      <w:r w:rsidR="007F37BB">
        <w:t xml:space="preserve"> </w:t>
      </w:r>
      <w:r w:rsidR="00B55D1C" w:rsidRPr="00A8301E">
        <w:t xml:space="preserve">base </w:t>
      </w:r>
      <w:r w:rsidR="00ED60F4" w:rsidRPr="00A8301E">
        <w:t xml:space="preserve">addition </w:t>
      </w:r>
      <w:r w:rsidR="007F37BB" w:rsidRPr="00A8301E">
        <w:t xml:space="preserve">in their filing </w:t>
      </w:r>
      <w:r w:rsidR="00ED60F4" w:rsidRPr="00A8301E">
        <w:t xml:space="preserve">and will update the GRC pending the result of the </w:t>
      </w:r>
      <w:r w:rsidR="00A36C91">
        <w:t xml:space="preserve">proposed </w:t>
      </w:r>
      <w:r w:rsidR="005037B6">
        <w:t>tariff</w:t>
      </w:r>
      <w:r w:rsidR="00ED60F4" w:rsidRPr="00A8301E">
        <w:t xml:space="preserve"> </w:t>
      </w:r>
      <w:r w:rsidR="005037B6">
        <w:t>filing</w:t>
      </w:r>
      <w:r w:rsidR="00A36C91">
        <w:t xml:space="preserve"> in the present docket</w:t>
      </w:r>
      <w:r w:rsidR="00ED60F4" w:rsidRPr="00A8301E">
        <w:t>.</w:t>
      </w:r>
      <w:r w:rsidR="005037B6" w:rsidRPr="00A8301E">
        <w:rPr>
          <w:rStyle w:val="FootnoteReference"/>
        </w:rPr>
        <w:footnoteReference w:id="5"/>
      </w:r>
      <w:r w:rsidR="00ED60F4" w:rsidRPr="00A8301E">
        <w:t xml:space="preserve">  </w:t>
      </w:r>
    </w:p>
    <w:p w14:paraId="00D3A19A" w14:textId="77777777" w:rsidR="008625A3" w:rsidRPr="00A8301E" w:rsidRDefault="008625A3" w:rsidP="001D5602"/>
    <w:p w14:paraId="00D3A19B" w14:textId="77777777" w:rsidR="00372035" w:rsidRPr="00A8301E" w:rsidRDefault="00372035" w:rsidP="00372035">
      <w:pPr>
        <w:pStyle w:val="Heading1"/>
      </w:pPr>
      <w:r w:rsidRPr="000500F7">
        <w:t>Analysis</w:t>
      </w:r>
    </w:p>
    <w:p w14:paraId="00D3A19C" w14:textId="77777777" w:rsidR="00CF2418" w:rsidRPr="00A8301E" w:rsidRDefault="00CF2418" w:rsidP="00CF2418"/>
    <w:p w14:paraId="00D3A19D" w14:textId="05F94946" w:rsidR="00372035" w:rsidRPr="00A8301E" w:rsidRDefault="00F864CF" w:rsidP="00213901">
      <w:r w:rsidRPr="00A8301E">
        <w:t xml:space="preserve">The </w:t>
      </w:r>
      <w:r w:rsidR="00D672D1" w:rsidRPr="00A8301E">
        <w:t xml:space="preserve">company’s </w:t>
      </w:r>
      <w:r w:rsidRPr="00A8301E">
        <w:t xml:space="preserve">proposed tariff rider implicitly requires that the </w:t>
      </w:r>
      <w:r w:rsidR="00D672D1" w:rsidRPr="00A8301E">
        <w:t xml:space="preserve">commission </w:t>
      </w:r>
      <w:r w:rsidRPr="00A8301E">
        <w:t xml:space="preserve">perform a prudence determination on the Merwin Project. </w:t>
      </w:r>
      <w:r w:rsidR="00B629EA" w:rsidRPr="00A8301E">
        <w:t xml:space="preserve">Staff has not yet performed a prudency review of the Merwin Project and believes the best forum for a </w:t>
      </w:r>
      <w:r w:rsidR="00A62555" w:rsidRPr="00A8301E">
        <w:t>recommendation on</w:t>
      </w:r>
      <w:r w:rsidR="00B629EA" w:rsidRPr="00A8301E">
        <w:t xml:space="preserve"> prudency continues to be a </w:t>
      </w:r>
      <w:r w:rsidR="00A62555" w:rsidRPr="00A8301E">
        <w:t>general rate case</w:t>
      </w:r>
      <w:r w:rsidR="00B629EA" w:rsidRPr="00A8301E">
        <w:t xml:space="preserve">. </w:t>
      </w:r>
    </w:p>
    <w:p w14:paraId="00D3A19E" w14:textId="77777777" w:rsidR="00B629EA" w:rsidRPr="00A8301E" w:rsidRDefault="00B629EA" w:rsidP="00213901"/>
    <w:p w14:paraId="00D3A19F" w14:textId="7C6490EA" w:rsidR="00764528" w:rsidRPr="00A8301E" w:rsidRDefault="00B629EA" w:rsidP="00764528">
      <w:r w:rsidRPr="00A8301E">
        <w:t xml:space="preserve">The </w:t>
      </w:r>
      <w:r w:rsidR="00D672D1" w:rsidRPr="00A8301E">
        <w:t xml:space="preserve">company’s </w:t>
      </w:r>
      <w:r w:rsidRPr="00A8301E">
        <w:t xml:space="preserve">alternative proposal is </w:t>
      </w:r>
      <w:r w:rsidR="00EC2390" w:rsidRPr="00A8301E">
        <w:t xml:space="preserve">to </w:t>
      </w:r>
      <w:r w:rsidRPr="00A8301E">
        <w:t>defer the revenue requirement associated with the Merwin Project</w:t>
      </w:r>
      <w:r w:rsidR="00F9213B" w:rsidRPr="00A8301E">
        <w:t xml:space="preserve"> for recovery at a later date. </w:t>
      </w:r>
      <w:r w:rsidR="00D06DC1" w:rsidRPr="00A8301E">
        <w:t xml:space="preserve">Staff sees the nature of </w:t>
      </w:r>
      <w:r w:rsidR="00357B54" w:rsidRPr="00A8301E">
        <w:t>a deferral</w:t>
      </w:r>
      <w:r w:rsidR="007C0812" w:rsidRPr="00A8301E">
        <w:t xml:space="preserve"> as more consistent with a prudency review proces</w:t>
      </w:r>
      <w:r w:rsidR="001A7A75" w:rsidRPr="00A8301E">
        <w:t xml:space="preserve">s. </w:t>
      </w:r>
      <w:r w:rsidR="00F9213B" w:rsidRPr="00A8301E">
        <w:t>As a general principle</w:t>
      </w:r>
      <w:r w:rsidR="00FE07BC" w:rsidRPr="00A8301E">
        <w:t xml:space="preserve">, </w:t>
      </w:r>
      <w:r w:rsidR="00D672D1" w:rsidRPr="00A8301E">
        <w:t xml:space="preserve">staff </w:t>
      </w:r>
      <w:r w:rsidR="00D06DC1" w:rsidRPr="00A8301E">
        <w:t>views</w:t>
      </w:r>
      <w:r w:rsidR="00F9213B" w:rsidRPr="00A8301E">
        <w:t xml:space="preserve"> the holistic review conducted </w:t>
      </w:r>
      <w:r w:rsidR="00FE07BC" w:rsidRPr="00A8301E">
        <w:t>in</w:t>
      </w:r>
      <w:r w:rsidR="00F9213B" w:rsidRPr="00A8301E">
        <w:t xml:space="preserve"> a</w:t>
      </w:r>
      <w:r w:rsidR="00764528" w:rsidRPr="00A8301E">
        <w:t xml:space="preserve"> </w:t>
      </w:r>
      <w:r w:rsidR="00F9213B" w:rsidRPr="00A8301E">
        <w:t>general rate case</w:t>
      </w:r>
      <w:r w:rsidR="00764528" w:rsidRPr="00A8301E">
        <w:t xml:space="preserve">, </w:t>
      </w:r>
      <w:r w:rsidR="00F9213B" w:rsidRPr="00A8301E">
        <w:t>expedited r</w:t>
      </w:r>
      <w:r w:rsidR="00764528" w:rsidRPr="00A8301E">
        <w:t xml:space="preserve">ate </w:t>
      </w:r>
      <w:r w:rsidR="00F9213B" w:rsidRPr="00A8301E">
        <w:t>filing</w:t>
      </w:r>
      <w:r w:rsidR="00764528" w:rsidRPr="00A8301E">
        <w:t xml:space="preserve">, </w:t>
      </w:r>
      <w:r w:rsidR="00487286" w:rsidRPr="00A8301E">
        <w:t xml:space="preserve">or other in-depth rate setting </w:t>
      </w:r>
      <w:r w:rsidR="00764528" w:rsidRPr="00A8301E">
        <w:t>mechanism</w:t>
      </w:r>
      <w:r w:rsidR="00487286" w:rsidRPr="00A8301E">
        <w:t>s</w:t>
      </w:r>
      <w:r w:rsidR="00764528" w:rsidRPr="00A8301E">
        <w:t xml:space="preserve"> </w:t>
      </w:r>
      <w:r w:rsidR="00FE07BC" w:rsidRPr="00A8301E">
        <w:t>to be t</w:t>
      </w:r>
      <w:r w:rsidR="00764528" w:rsidRPr="00A8301E">
        <w:t>he most appropriate forum</w:t>
      </w:r>
      <w:r w:rsidR="00487286" w:rsidRPr="00A8301E">
        <w:t xml:space="preserve"> for evaluating prospective </w:t>
      </w:r>
      <w:r w:rsidR="00FE07BC" w:rsidRPr="00A8301E">
        <w:t xml:space="preserve">rates </w:t>
      </w:r>
      <w:r w:rsidR="00487286" w:rsidRPr="00A8301E">
        <w:t xml:space="preserve">that reflect </w:t>
      </w:r>
      <w:r w:rsidR="00FE07BC" w:rsidRPr="00A8301E">
        <w:t>new rate</w:t>
      </w:r>
      <w:r w:rsidR="007F37BB">
        <w:t xml:space="preserve"> </w:t>
      </w:r>
      <w:r w:rsidR="00FE07BC" w:rsidRPr="00A8301E">
        <w:t xml:space="preserve">base additions. </w:t>
      </w:r>
      <w:r w:rsidR="008F6540" w:rsidRPr="00A8301E">
        <w:t>However, t</w:t>
      </w:r>
      <w:r w:rsidR="00FE07BC" w:rsidRPr="00A8301E">
        <w:t xml:space="preserve">he </w:t>
      </w:r>
      <w:r w:rsidR="00D672D1" w:rsidRPr="00A8301E">
        <w:t xml:space="preserve">commission </w:t>
      </w:r>
      <w:r w:rsidR="00764528" w:rsidRPr="00A8301E">
        <w:t>has stated that:</w:t>
      </w:r>
    </w:p>
    <w:p w14:paraId="00D3A1A0" w14:textId="77777777" w:rsidR="00764528" w:rsidRPr="00A8301E" w:rsidRDefault="00764528" w:rsidP="00764528"/>
    <w:p w14:paraId="00D3A1A1" w14:textId="39DC32D7" w:rsidR="00764528" w:rsidRPr="00A8301E" w:rsidRDefault="00764528" w:rsidP="00764528">
      <w:pPr>
        <w:ind w:left="720"/>
      </w:pPr>
      <w:r w:rsidRPr="00A8301E">
        <w:t xml:space="preserve">…there is nothing that precludes [the company] from seeking additions to rate base between rate cases so long as the amounts are not so large as to trigger a general rate proceeding under our rules. If the investments are shown to be prudent, the amounts are reasonable, and the plant is demonstrated to be used and useful, the </w:t>
      </w:r>
      <w:r w:rsidR="00D672D1" w:rsidRPr="00A8301E">
        <w:t xml:space="preserve">commission </w:t>
      </w:r>
      <w:r w:rsidRPr="00A8301E">
        <w:t xml:space="preserve">may exercise its discretion to allow recovery in rates. Important considerations guiding that discretion would be whether there has been a very recent general rate proceeding or the </w:t>
      </w:r>
      <w:r w:rsidR="00D672D1" w:rsidRPr="00A8301E">
        <w:t xml:space="preserve">company </w:t>
      </w:r>
      <w:r w:rsidRPr="00A8301E">
        <w:t>commits to making a general rate filing soon after the additions are allowed.</w:t>
      </w:r>
      <w:r w:rsidR="00AF04D2">
        <w:rPr>
          <w:rStyle w:val="FootnoteReference"/>
        </w:rPr>
        <w:footnoteReference w:id="6"/>
      </w:r>
    </w:p>
    <w:p w14:paraId="00D3A1A2" w14:textId="77777777" w:rsidR="00764528" w:rsidRPr="00A8301E" w:rsidRDefault="00764528" w:rsidP="00764528"/>
    <w:p w14:paraId="00D3A1A3" w14:textId="1196A893" w:rsidR="00764528" w:rsidRPr="00A8301E" w:rsidRDefault="00764528" w:rsidP="00764528">
      <w:r w:rsidRPr="00A8301E">
        <w:t xml:space="preserve">The nature of the Merwin Project, mandated </w:t>
      </w:r>
      <w:r w:rsidR="00487286" w:rsidRPr="00A8301E">
        <w:t xml:space="preserve">by </w:t>
      </w:r>
      <w:r w:rsidRPr="00A8301E">
        <w:t xml:space="preserve">the License, allows PacifiCorp to continue its operation of the Lewis River hydroelectric project and ratepayers to benefit from low cost hydropower. Further, the rejection of the Merwin Project in the previous GRC by the </w:t>
      </w:r>
      <w:r w:rsidR="00D672D1" w:rsidRPr="00A8301E">
        <w:t xml:space="preserve">commission </w:t>
      </w:r>
      <w:r w:rsidRPr="00A8301E">
        <w:t xml:space="preserve">was not related to the merits of the Merwin Project but rather because it was not yet </w:t>
      </w:r>
      <w:r w:rsidR="00E315D2">
        <w:lastRenderedPageBreak/>
        <w:t xml:space="preserve">in </w:t>
      </w:r>
      <w:r w:rsidRPr="00A8301E">
        <w:t>use to satisfy the requirements of the License.</w:t>
      </w:r>
      <w:r w:rsidRPr="00A8301E">
        <w:rPr>
          <w:rStyle w:val="FootnoteReference"/>
        </w:rPr>
        <w:footnoteReference w:id="7"/>
      </w:r>
      <w:r w:rsidR="008409AA" w:rsidRPr="00A8301E">
        <w:t xml:space="preserve"> </w:t>
      </w:r>
      <w:r w:rsidR="007C0812" w:rsidRPr="00A8301E">
        <w:t>T</w:t>
      </w:r>
      <w:r w:rsidR="00487286" w:rsidRPr="00A8301E">
        <w:t>he Merwin P</w:t>
      </w:r>
      <w:r w:rsidRPr="00A8301E">
        <w:t xml:space="preserve">roject is now in-service and although the </w:t>
      </w:r>
      <w:r w:rsidR="00D672D1" w:rsidRPr="00A8301E">
        <w:t xml:space="preserve">commission </w:t>
      </w:r>
      <w:r w:rsidRPr="00A8301E">
        <w:t xml:space="preserve">has not </w:t>
      </w:r>
      <w:r w:rsidR="00EA35BC" w:rsidRPr="00A8301E">
        <w:t xml:space="preserve">issued a determination of prudency, </w:t>
      </w:r>
      <w:r w:rsidRPr="00A8301E">
        <w:t>the project represent</w:t>
      </w:r>
      <w:r w:rsidR="00487286" w:rsidRPr="00A8301E">
        <w:t>s</w:t>
      </w:r>
      <w:r w:rsidRPr="00A8301E">
        <w:t xml:space="preserve"> a cos</w:t>
      </w:r>
      <w:r w:rsidR="000922F9" w:rsidRPr="00A8301E">
        <w:t xml:space="preserve">t </w:t>
      </w:r>
      <w:r w:rsidR="00E315D2" w:rsidRPr="00A8301E">
        <w:t>imposed by another agency</w:t>
      </w:r>
      <w:r w:rsidR="00E315D2" w:rsidRPr="00E315D2">
        <w:t xml:space="preserve"> </w:t>
      </w:r>
      <w:r w:rsidR="00E315D2" w:rsidRPr="00A8301E">
        <w:t xml:space="preserve">and </w:t>
      </w:r>
      <w:r w:rsidR="000922F9" w:rsidRPr="00A8301E">
        <w:t>occurring in between general rate proceedings</w:t>
      </w:r>
      <w:r w:rsidRPr="00A8301E">
        <w:t xml:space="preserve">.  </w:t>
      </w:r>
    </w:p>
    <w:p w14:paraId="00D3A1A4" w14:textId="77777777" w:rsidR="000922F9" w:rsidRPr="00A8301E" w:rsidRDefault="000922F9" w:rsidP="00764528"/>
    <w:p w14:paraId="00D3A1A5" w14:textId="77777777" w:rsidR="000922F9" w:rsidRPr="00A8301E" w:rsidRDefault="000922F9" w:rsidP="000922F9">
      <w:pPr>
        <w:pStyle w:val="Heading1"/>
      </w:pPr>
      <w:r w:rsidRPr="00724E03">
        <w:t>Conclusion</w:t>
      </w:r>
    </w:p>
    <w:p w14:paraId="00D3A1A6" w14:textId="77777777" w:rsidR="007C0812" w:rsidRPr="00A8301E" w:rsidRDefault="007C0812" w:rsidP="00764528"/>
    <w:p w14:paraId="1144E033" w14:textId="0CF6B5F8" w:rsidR="006521EF" w:rsidRPr="00A8301E" w:rsidRDefault="007C0812" w:rsidP="00213901">
      <w:r w:rsidRPr="00A8301E">
        <w:t>G</w:t>
      </w:r>
      <w:r w:rsidR="003E7745" w:rsidRPr="00A8301E">
        <w:t>iven the specific circumstances of the</w:t>
      </w:r>
      <w:r w:rsidR="00037B18" w:rsidRPr="00A8301E">
        <w:t xml:space="preserve"> Merwin Project, </w:t>
      </w:r>
      <w:r w:rsidR="00D672D1" w:rsidRPr="00A8301E">
        <w:t xml:space="preserve">staff </w:t>
      </w:r>
      <w:r w:rsidR="006E6D71" w:rsidRPr="00A8301E">
        <w:t xml:space="preserve">recommends that the </w:t>
      </w:r>
      <w:r w:rsidR="00D672D1" w:rsidRPr="00A8301E">
        <w:t xml:space="preserve">company </w:t>
      </w:r>
      <w:r w:rsidR="006E6D71" w:rsidRPr="00A8301E">
        <w:t>be allowed to defer</w:t>
      </w:r>
      <w:r w:rsidR="008F6540" w:rsidRPr="00A8301E">
        <w:t xml:space="preserve"> the operation and maintenance cost</w:t>
      </w:r>
      <w:r w:rsidR="007F37BB">
        <w:t>s</w:t>
      </w:r>
      <w:r w:rsidR="008F6540" w:rsidRPr="00A8301E">
        <w:t xml:space="preserve"> associated with the Merwin Project as well as the depreciation expense</w:t>
      </w:r>
      <w:r w:rsidR="003D04DE" w:rsidRPr="00A8301E">
        <w:t xml:space="preserve">. </w:t>
      </w:r>
      <w:r w:rsidR="00FA7AAB" w:rsidRPr="00A8301E">
        <w:t>This amount would be approximately $</w:t>
      </w:r>
      <w:r w:rsidR="002F7FF8">
        <w:t>486,470</w:t>
      </w:r>
      <w:r w:rsidR="00FA7AAB" w:rsidRPr="00A8301E">
        <w:t xml:space="preserve"> per year.</w:t>
      </w:r>
      <w:r w:rsidR="00FA7AAB" w:rsidRPr="00A8301E">
        <w:rPr>
          <w:rStyle w:val="FootnoteReference"/>
        </w:rPr>
        <w:footnoteReference w:id="8"/>
      </w:r>
      <w:r w:rsidR="00FA7AAB" w:rsidRPr="00A8301E">
        <w:t xml:space="preserve"> </w:t>
      </w:r>
      <w:r w:rsidR="00FC5A9B" w:rsidRPr="00A8301E">
        <w:t xml:space="preserve">Staff recommends that the prudence evaluation of the Merwin Project be included in the company’s recently filed GRC. As has been done </w:t>
      </w:r>
      <w:r w:rsidR="007F37BB">
        <w:t>in prior similar occasions</w:t>
      </w:r>
      <w:r w:rsidR="007F37BB" w:rsidRPr="00A8301E">
        <w:t>,</w:t>
      </w:r>
      <w:r w:rsidR="00FC5A9B" w:rsidRPr="00A8301E">
        <w:rPr>
          <w:rStyle w:val="FootnoteReference"/>
        </w:rPr>
        <w:footnoteReference w:id="9"/>
      </w:r>
      <w:r w:rsidR="00FC5A9B" w:rsidRPr="00A8301E">
        <w:t xml:space="preserve"> the company should not </w:t>
      </w:r>
      <w:r w:rsidR="007F37BB">
        <w:t xml:space="preserve">be allowed to </w:t>
      </w:r>
      <w:r w:rsidR="00FC5A9B" w:rsidRPr="00A8301E">
        <w:t>accrue interest on the deferral balance</w:t>
      </w:r>
      <w:r w:rsidR="00844258">
        <w:t xml:space="preserve"> during the deferral period</w:t>
      </w:r>
      <w:r w:rsidR="00FC5A9B" w:rsidRPr="00A8301E">
        <w:t>. This serves to address the commission’s concerns about inter-period adjustments to rate</w:t>
      </w:r>
      <w:r w:rsidR="007F37BB">
        <w:t xml:space="preserve"> </w:t>
      </w:r>
      <w:r w:rsidR="00FC5A9B" w:rsidRPr="00A8301E">
        <w:t>base, specifically the implications of these adjustments to the commission’s regulatory oversight.</w:t>
      </w:r>
      <w:r w:rsidR="00FC5A9B" w:rsidRPr="00A8301E">
        <w:rPr>
          <w:rStyle w:val="FootnoteReference"/>
        </w:rPr>
        <w:footnoteReference w:id="10"/>
      </w:r>
    </w:p>
    <w:p w14:paraId="7DA75F09" w14:textId="77777777" w:rsidR="006521EF" w:rsidRPr="00A8301E" w:rsidRDefault="006521EF" w:rsidP="00213901"/>
    <w:p w14:paraId="0DE84155" w14:textId="6154A41B" w:rsidR="00FC5A9B" w:rsidRPr="00A8301E" w:rsidRDefault="00D17932" w:rsidP="00FC5A9B">
      <w:r w:rsidRPr="00A8301E">
        <w:t>T</w:t>
      </w:r>
      <w:r w:rsidR="006521EF" w:rsidRPr="00A8301E">
        <w:t xml:space="preserve">he </w:t>
      </w:r>
      <w:r w:rsidR="00E02306">
        <w:t>c</w:t>
      </w:r>
      <w:r w:rsidR="006521EF" w:rsidRPr="00A8301E">
        <w:t xml:space="preserve">ompany proposed accounting treatment for the Merwin Project in its initial filing as an alternative to </w:t>
      </w:r>
      <w:r w:rsidRPr="00A8301E">
        <w:t>its proposed</w:t>
      </w:r>
      <w:r w:rsidR="006521EF" w:rsidRPr="00A8301E">
        <w:t xml:space="preserve"> Tariff</w:t>
      </w:r>
      <w:r w:rsidRPr="00A8301E">
        <w:t xml:space="preserve"> rider</w:t>
      </w:r>
      <w:r w:rsidR="00FC5A9B" w:rsidRPr="00A8301E">
        <w:t xml:space="preserve">. </w:t>
      </w:r>
      <w:r w:rsidRPr="00A8301E">
        <w:t>Therefore,</w:t>
      </w:r>
      <w:r w:rsidR="006521EF" w:rsidRPr="00A8301E">
        <w:t xml:space="preserve"> staff </w:t>
      </w:r>
      <w:r w:rsidR="007F37BB" w:rsidRPr="00A8301E">
        <w:t>hope</w:t>
      </w:r>
      <w:r w:rsidR="007F37BB">
        <w:t>s</w:t>
      </w:r>
      <w:r w:rsidR="006521EF" w:rsidRPr="00A8301E">
        <w:t xml:space="preserve"> the company will agree to withdraw </w:t>
      </w:r>
      <w:r w:rsidRPr="00A8301E">
        <w:t>the t</w:t>
      </w:r>
      <w:r w:rsidR="006521EF" w:rsidRPr="00A8301E">
        <w:t xml:space="preserve">ariff if the commission </w:t>
      </w:r>
      <w:r w:rsidRPr="00A8301E">
        <w:t>adopts</w:t>
      </w:r>
      <w:r w:rsidR="006521EF" w:rsidRPr="00A8301E">
        <w:t xml:space="preserve"> staff</w:t>
      </w:r>
      <w:r w:rsidR="00FC5A9B" w:rsidRPr="00A8301E">
        <w:t xml:space="preserve">’s proposal. If the commission does not agree with staff’s recommendation for approval of the accounting petition with conditions, </w:t>
      </w:r>
      <w:r w:rsidR="00A8301E" w:rsidRPr="00A8301E">
        <w:t xml:space="preserve">then staff recommends that the tariff be suspended and </w:t>
      </w:r>
      <w:r w:rsidR="00FC5A9B" w:rsidRPr="00A8301E">
        <w:t>consolida</w:t>
      </w:r>
      <w:r w:rsidR="00A8301E" w:rsidRPr="00A8301E">
        <w:t xml:space="preserve">ted into the company’s </w:t>
      </w:r>
      <w:r w:rsidR="00E02306">
        <w:t>pending</w:t>
      </w:r>
      <w:r w:rsidR="00A8301E" w:rsidRPr="00A8301E">
        <w:t xml:space="preserve"> GRC.</w:t>
      </w:r>
    </w:p>
    <w:p w14:paraId="00D3A1A8" w14:textId="77777777" w:rsidR="008F67E8" w:rsidRPr="00A8301E" w:rsidRDefault="008F67E8" w:rsidP="00213901"/>
    <w:p w14:paraId="00D3A1A9" w14:textId="671E24A0" w:rsidR="00083BAD" w:rsidRPr="00A8301E" w:rsidRDefault="00083BAD" w:rsidP="00213901">
      <w:r w:rsidRPr="00A8301E">
        <w:t xml:space="preserve">Staff </w:t>
      </w:r>
      <w:r w:rsidR="009737B5" w:rsidRPr="00A8301E">
        <w:t xml:space="preserve">notes </w:t>
      </w:r>
      <w:r w:rsidRPr="00A8301E">
        <w:t xml:space="preserve">that the conditions </w:t>
      </w:r>
      <w:r w:rsidR="009737B5" w:rsidRPr="00A8301E">
        <w:t>of</w:t>
      </w:r>
      <w:r w:rsidRPr="00A8301E">
        <w:t xml:space="preserve"> the Merwin Project are unique and out-of-period </w:t>
      </w:r>
      <w:r w:rsidR="00005F38" w:rsidRPr="00A8301E">
        <w:t>deferrals of additions to</w:t>
      </w:r>
      <w:r w:rsidRPr="00A8301E">
        <w:t xml:space="preserve"> </w:t>
      </w:r>
      <w:r w:rsidR="001C6FDC">
        <w:t>r</w:t>
      </w:r>
      <w:r w:rsidR="001C6FDC" w:rsidRPr="00A8301E">
        <w:t>ate</w:t>
      </w:r>
      <w:r w:rsidR="001C6FDC">
        <w:t xml:space="preserve"> </w:t>
      </w:r>
      <w:r w:rsidR="001C6FDC" w:rsidRPr="00A8301E">
        <w:t xml:space="preserve">base </w:t>
      </w:r>
      <w:r w:rsidRPr="00A8301E">
        <w:t>should be requested and allowed on an infrequent and unusual basis.</w:t>
      </w:r>
      <w:r w:rsidRPr="00A8301E" w:rsidDel="00D672D1">
        <w:t xml:space="preserve"> </w:t>
      </w:r>
      <w:r w:rsidRPr="00A8301E">
        <w:t xml:space="preserve">The specific circumstances of the </w:t>
      </w:r>
      <w:r w:rsidR="00005F38" w:rsidRPr="00A8301E">
        <w:t>requirements</w:t>
      </w:r>
      <w:r w:rsidRPr="00A8301E">
        <w:t xml:space="preserve"> imposed on PacifiCorp by the License</w:t>
      </w:r>
      <w:r w:rsidR="00B05208" w:rsidRPr="00A8301E">
        <w:t>, the size of the project,</w:t>
      </w:r>
      <w:r w:rsidRPr="00A8301E">
        <w:t xml:space="preserve"> and the timing of its inclusion</w:t>
      </w:r>
      <w:r w:rsidR="00005F38" w:rsidRPr="00A8301E">
        <w:t xml:space="preserve"> in a very recent GRC qualifies the Merw</w:t>
      </w:r>
      <w:r w:rsidR="00B05208" w:rsidRPr="00A8301E">
        <w:t xml:space="preserve">in Project as an “unusual case.”  </w:t>
      </w:r>
    </w:p>
    <w:p w14:paraId="00D3A1AC" w14:textId="77777777" w:rsidR="006A5D37" w:rsidRPr="00A8301E" w:rsidRDefault="006A5D37" w:rsidP="003D04DE"/>
    <w:p w14:paraId="00D3A1AD" w14:textId="77777777" w:rsidR="006A5D37" w:rsidRPr="00A8301E" w:rsidRDefault="006A5D37" w:rsidP="003D04DE">
      <w:pPr>
        <w:rPr>
          <w:b/>
          <w:u w:val="single"/>
        </w:rPr>
      </w:pPr>
      <w:r w:rsidRPr="00A8301E">
        <w:rPr>
          <w:b/>
          <w:u w:val="single"/>
        </w:rPr>
        <w:t>Accounting Treatment</w:t>
      </w:r>
    </w:p>
    <w:p w14:paraId="00D3A1AE" w14:textId="77777777" w:rsidR="003B18D4" w:rsidRPr="00A8301E" w:rsidRDefault="003B18D4" w:rsidP="00213901"/>
    <w:p w14:paraId="00D3A1AF" w14:textId="4BDCDBDE" w:rsidR="006A5D37" w:rsidRPr="00A8301E" w:rsidRDefault="00357B54" w:rsidP="00213901">
      <w:r w:rsidRPr="00A8301E">
        <w:t xml:space="preserve">Staff recommends that, beginning on the date of the application, PacifiCorp </w:t>
      </w:r>
      <w:r w:rsidR="001E7ABE" w:rsidRPr="00A8301E">
        <w:t xml:space="preserve">credit the </w:t>
      </w:r>
      <w:r w:rsidR="002F7FF8">
        <w:t xml:space="preserve">appropriate expense </w:t>
      </w:r>
      <w:r w:rsidR="00597C03">
        <w:t>and depreciation accounts</w:t>
      </w:r>
      <w:r w:rsidR="00D32AE0" w:rsidRPr="00A8301E">
        <w:t>, and debit the FERC account 182.3</w:t>
      </w:r>
      <w:r w:rsidR="001E7ABE" w:rsidRPr="00A8301E">
        <w:t xml:space="preserve"> </w:t>
      </w:r>
      <w:r w:rsidR="00D32AE0" w:rsidRPr="00A8301E">
        <w:t xml:space="preserve">for </w:t>
      </w:r>
      <w:r w:rsidR="001E7ABE" w:rsidRPr="00A8301E">
        <w:t xml:space="preserve">the operation </w:t>
      </w:r>
      <w:r w:rsidR="001C6FDC">
        <w:t>and</w:t>
      </w:r>
      <w:r w:rsidR="001C6FDC" w:rsidRPr="00A8301E">
        <w:t xml:space="preserve"> </w:t>
      </w:r>
      <w:r w:rsidR="001E7ABE" w:rsidRPr="00A8301E">
        <w:t>maintenance expense and depreciation expense assoc</w:t>
      </w:r>
      <w:r w:rsidR="00D32AE0" w:rsidRPr="00A8301E">
        <w:t xml:space="preserve">iated with the Merwin Project. </w:t>
      </w:r>
      <w:r w:rsidR="00937CFD" w:rsidRPr="00A8301E">
        <w:t xml:space="preserve">Staff recommends that the </w:t>
      </w:r>
      <w:r w:rsidR="00D672D1" w:rsidRPr="00A8301E">
        <w:t xml:space="preserve">company </w:t>
      </w:r>
      <w:r w:rsidR="00937CFD" w:rsidRPr="00A8301E">
        <w:t xml:space="preserve">not be allowed to </w:t>
      </w:r>
      <w:r w:rsidR="00992B1E" w:rsidRPr="00A8301E">
        <w:t xml:space="preserve">accrue interest on the deferral balance.  </w:t>
      </w:r>
    </w:p>
    <w:p w14:paraId="51AA3057" w14:textId="77777777" w:rsidR="00844258" w:rsidRPr="00A8301E" w:rsidRDefault="00844258" w:rsidP="00213901"/>
    <w:p w14:paraId="00D3A1B1" w14:textId="77777777" w:rsidR="003B18D4" w:rsidRPr="00A8301E" w:rsidRDefault="003B18D4" w:rsidP="00213901">
      <w:pPr>
        <w:pStyle w:val="Heading1"/>
      </w:pPr>
      <w:r w:rsidRPr="00724E03">
        <w:t>Recommendation</w:t>
      </w:r>
    </w:p>
    <w:p w14:paraId="00D3A1B2" w14:textId="77777777" w:rsidR="003B18D4" w:rsidRPr="00A8301E" w:rsidRDefault="003B18D4" w:rsidP="00213901"/>
    <w:p w14:paraId="10BC4382" w14:textId="03112FEE" w:rsidR="00A8301E" w:rsidRPr="00A8301E" w:rsidRDefault="00A8301E" w:rsidP="00213901">
      <w:r w:rsidRPr="00A8301E">
        <w:t>Staff recommends the following:</w:t>
      </w:r>
    </w:p>
    <w:p w14:paraId="715FCB8F" w14:textId="77777777" w:rsidR="00A8301E" w:rsidRPr="00A8301E" w:rsidRDefault="00A8301E" w:rsidP="00213901"/>
    <w:p w14:paraId="6BDC9615" w14:textId="5D527191" w:rsidR="00C31AC8" w:rsidRDefault="00C31AC8" w:rsidP="00C31AC8">
      <w:pPr>
        <w:pStyle w:val="ListParagraph"/>
        <w:numPr>
          <w:ilvl w:val="0"/>
          <w:numId w:val="1"/>
        </w:numPr>
      </w:pPr>
      <w:r w:rsidRPr="00F65E61">
        <w:t xml:space="preserve">Authorize </w:t>
      </w:r>
      <w:r>
        <w:t xml:space="preserve">Pacific Power &amp; Light Company </w:t>
      </w:r>
      <w:r w:rsidRPr="00F65E61">
        <w:t xml:space="preserve">to defer costs related to operation and maintenance expenses and depreciation </w:t>
      </w:r>
      <w:r>
        <w:t>expense</w:t>
      </w:r>
      <w:r w:rsidRPr="00F65E61">
        <w:t xml:space="preserve"> for the Merwin Fish Collector </w:t>
      </w:r>
      <w:r>
        <w:t>on</w:t>
      </w:r>
      <w:r w:rsidRPr="00F65E61">
        <w:t xml:space="preserve"> the condition that the </w:t>
      </w:r>
      <w:r w:rsidR="00DC7274">
        <w:t>c</w:t>
      </w:r>
      <w:r w:rsidRPr="00F65E61">
        <w:t xml:space="preserve">ompany </w:t>
      </w:r>
      <w:r>
        <w:t xml:space="preserve">may </w:t>
      </w:r>
      <w:r w:rsidRPr="00F65E61">
        <w:t>not accrue interest on the balance</w:t>
      </w:r>
      <w:r>
        <w:t xml:space="preserve"> during the deferral period.</w:t>
      </w:r>
    </w:p>
    <w:p w14:paraId="087687A9" w14:textId="0210E591" w:rsidR="00C31AC8" w:rsidRPr="00A8301E" w:rsidRDefault="00C31AC8" w:rsidP="00C31AC8">
      <w:pPr>
        <w:pStyle w:val="ListParagraph"/>
        <w:numPr>
          <w:ilvl w:val="0"/>
          <w:numId w:val="1"/>
        </w:numPr>
      </w:pPr>
      <w:r>
        <w:t>I</w:t>
      </w:r>
      <w:r w:rsidRPr="00A8301E">
        <w:t>ssue a</w:t>
      </w:r>
      <w:r w:rsidRPr="00836908">
        <w:t xml:space="preserve"> Complaint and Order Suspending the Tariff</w:t>
      </w:r>
      <w:r>
        <w:t>, i</w:t>
      </w:r>
      <w:r w:rsidRPr="00A8301E">
        <w:t xml:space="preserve">f </w:t>
      </w:r>
      <w:r w:rsidR="00DC7274" w:rsidRPr="00A8301E">
        <w:t xml:space="preserve">Power &amp; Light Company </w:t>
      </w:r>
      <w:r w:rsidRPr="00A8301E">
        <w:t>does not withdraw the proposed Tariff</w:t>
      </w:r>
      <w:r>
        <w:t xml:space="preserve">.  </w:t>
      </w:r>
    </w:p>
    <w:p w14:paraId="463F24C1" w14:textId="1BA4909F" w:rsidR="00C31AC8" w:rsidRPr="00A8301E" w:rsidRDefault="00C31AC8" w:rsidP="00C31AC8">
      <w:pPr>
        <w:pStyle w:val="ListParagraph"/>
        <w:numPr>
          <w:ilvl w:val="0"/>
          <w:numId w:val="1"/>
        </w:numPr>
      </w:pPr>
      <w:r w:rsidRPr="00A8301E">
        <w:t>Consolidate the Tariff filing</w:t>
      </w:r>
      <w:r>
        <w:t>, and/or the accounting petition,</w:t>
      </w:r>
      <w:r w:rsidRPr="00A8301E">
        <w:t xml:space="preserve"> with the </w:t>
      </w:r>
      <w:r w:rsidR="00DC7274" w:rsidRPr="00A8301E">
        <w:t>Power &amp; Light Company</w:t>
      </w:r>
      <w:r w:rsidRPr="00A8301E">
        <w:t>’s general rate case filed May 1, 2014</w:t>
      </w:r>
      <w:r w:rsidR="00205A07">
        <w:t>,</w:t>
      </w:r>
      <w:r w:rsidRPr="00A8301E">
        <w:t xml:space="preserve"> in docket UE-140762</w:t>
      </w:r>
      <w:r>
        <w:t>.</w:t>
      </w:r>
      <w:r w:rsidRPr="00A8301E">
        <w:t xml:space="preserve">  </w:t>
      </w:r>
    </w:p>
    <w:p w14:paraId="00D3A1B5" w14:textId="77777777" w:rsidR="00EB4AD1" w:rsidRPr="00A8301E" w:rsidRDefault="00EB4AD1" w:rsidP="00213901"/>
    <w:sectPr w:rsidR="00EB4AD1" w:rsidRPr="00A8301E">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3D59A" w14:textId="77777777" w:rsidR="00925D02" w:rsidRDefault="00925D02" w:rsidP="00213901">
      <w:r>
        <w:separator/>
      </w:r>
    </w:p>
    <w:p w14:paraId="323633BD" w14:textId="77777777" w:rsidR="00925D02" w:rsidRDefault="00925D02" w:rsidP="00213901"/>
  </w:endnote>
  <w:endnote w:type="continuationSeparator" w:id="0">
    <w:p w14:paraId="0E4E7B2A" w14:textId="77777777" w:rsidR="00925D02" w:rsidRDefault="00925D02" w:rsidP="00213901">
      <w:r>
        <w:continuationSeparator/>
      </w:r>
    </w:p>
    <w:p w14:paraId="73D7B453" w14:textId="77777777" w:rsidR="00925D02" w:rsidRDefault="00925D02" w:rsidP="00213901"/>
  </w:endnote>
  <w:endnote w:type="continuationNotice" w:id="1">
    <w:p w14:paraId="4AAA03CF" w14:textId="77777777" w:rsidR="00925D02" w:rsidRDefault="00925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2B42F" w14:textId="77777777" w:rsidR="00925D02" w:rsidRDefault="00925D02" w:rsidP="00213901">
      <w:r>
        <w:separator/>
      </w:r>
    </w:p>
    <w:p w14:paraId="4FF75E91" w14:textId="77777777" w:rsidR="00925D02" w:rsidRDefault="00925D02" w:rsidP="00213901"/>
  </w:footnote>
  <w:footnote w:type="continuationSeparator" w:id="0">
    <w:p w14:paraId="25E51901" w14:textId="77777777" w:rsidR="00925D02" w:rsidRDefault="00925D02" w:rsidP="00213901">
      <w:r>
        <w:continuationSeparator/>
      </w:r>
    </w:p>
    <w:p w14:paraId="60FD02C5" w14:textId="77777777" w:rsidR="00925D02" w:rsidRDefault="00925D02" w:rsidP="00213901"/>
  </w:footnote>
  <w:footnote w:type="continuationNotice" w:id="1">
    <w:p w14:paraId="43DCD14C" w14:textId="77777777" w:rsidR="00925D02" w:rsidRDefault="00925D02"/>
  </w:footnote>
  <w:footnote w:id="2">
    <w:p w14:paraId="639EF5FB" w14:textId="77777777" w:rsidR="00925D02" w:rsidRDefault="00925D02" w:rsidP="00070498">
      <w:pPr>
        <w:pStyle w:val="FootnoteText"/>
      </w:pPr>
      <w:r>
        <w:rPr>
          <w:rStyle w:val="FootnoteReference"/>
        </w:rPr>
        <w:footnoteRef/>
      </w:r>
      <w:r>
        <w:t xml:space="preserve"> </w:t>
      </w:r>
      <w:r w:rsidRPr="008625A3">
        <w:t xml:space="preserve">Petition of </w:t>
      </w:r>
      <w:r>
        <w:t>PacifiCorp at ¶7</w:t>
      </w:r>
    </w:p>
  </w:footnote>
  <w:footnote w:id="3">
    <w:p w14:paraId="00D3A1C3" w14:textId="75924EB5" w:rsidR="00925D02" w:rsidRPr="009E222A" w:rsidRDefault="00925D02" w:rsidP="00213901">
      <w:pPr>
        <w:pStyle w:val="FootnoteText"/>
      </w:pPr>
      <w:r>
        <w:rPr>
          <w:rStyle w:val="FootnoteReference"/>
        </w:rPr>
        <w:footnoteRef/>
      </w:r>
      <w:r>
        <w:t xml:space="preserve"> </w:t>
      </w:r>
      <w:r w:rsidRPr="009E222A">
        <w:rPr>
          <w:i/>
        </w:rPr>
        <w:t xml:space="preserve">Utilities &amp; Transp. </w:t>
      </w:r>
      <w:r>
        <w:rPr>
          <w:i/>
        </w:rPr>
        <w:t>Commission</w:t>
      </w:r>
      <w:r w:rsidRPr="009E222A">
        <w:rPr>
          <w:i/>
        </w:rPr>
        <w:t xml:space="preserve"> v. PacifiCorp,</w:t>
      </w:r>
      <w:r w:rsidRPr="009E222A">
        <w:t xml:space="preserve"> Docket No. UE-130043– Williams, Exhibit No. JMW-1CT at 5:18 – 6:3 (June 21, 2013). </w:t>
      </w:r>
    </w:p>
  </w:footnote>
  <w:footnote w:id="4">
    <w:p w14:paraId="49E69A7B" w14:textId="77777777" w:rsidR="00925D02" w:rsidRDefault="00925D02" w:rsidP="00213901">
      <w:pPr>
        <w:pStyle w:val="FootnoteText"/>
      </w:pPr>
      <w:r>
        <w:rPr>
          <w:rStyle w:val="FootnoteReference"/>
        </w:rPr>
        <w:footnoteRef/>
      </w:r>
      <w:r>
        <w:t xml:space="preserve"> </w:t>
      </w:r>
      <w:r w:rsidRPr="007E50F7">
        <w:rPr>
          <w:i/>
        </w:rPr>
        <w:t>Utilities &amp; Transp</w:t>
      </w:r>
      <w:r>
        <w:rPr>
          <w:i/>
        </w:rPr>
        <w:t>ortation</w:t>
      </w:r>
      <w:r w:rsidRPr="007E50F7">
        <w:rPr>
          <w:i/>
        </w:rPr>
        <w:t>. Comm</w:t>
      </w:r>
      <w:r>
        <w:rPr>
          <w:i/>
        </w:rPr>
        <w:t xml:space="preserve">ission </w:t>
      </w:r>
      <w:r w:rsidRPr="007E50F7">
        <w:rPr>
          <w:i/>
        </w:rPr>
        <w:t xml:space="preserve">v. </w:t>
      </w:r>
      <w:r>
        <w:rPr>
          <w:i/>
        </w:rPr>
        <w:t>PacifiCorp,</w:t>
      </w:r>
      <w:r w:rsidRPr="007E50F7">
        <w:t xml:space="preserve"> </w:t>
      </w:r>
      <w:r>
        <w:t xml:space="preserve">Docket No. UE-130043– Order </w:t>
      </w:r>
      <w:r w:rsidRPr="006A153F">
        <w:t>05 at ¶203 (December 14, 2013).</w:t>
      </w:r>
      <w:r>
        <w:t xml:space="preserve"> </w:t>
      </w:r>
    </w:p>
  </w:footnote>
  <w:footnote w:id="5">
    <w:p w14:paraId="20547489" w14:textId="77777777" w:rsidR="00925D02" w:rsidRDefault="00925D02" w:rsidP="005037B6">
      <w:pPr>
        <w:pStyle w:val="FootnoteText"/>
      </w:pPr>
      <w:r>
        <w:rPr>
          <w:rStyle w:val="FootnoteReference"/>
        </w:rPr>
        <w:footnoteRef/>
      </w:r>
      <w:r>
        <w:t xml:space="preserve"> </w:t>
      </w:r>
      <w:r w:rsidRPr="009E222A">
        <w:rPr>
          <w:i/>
        </w:rPr>
        <w:t>Utilities &amp; Transp</w:t>
      </w:r>
      <w:r>
        <w:rPr>
          <w:i/>
        </w:rPr>
        <w:t>ortation</w:t>
      </w:r>
      <w:r w:rsidRPr="009E222A">
        <w:rPr>
          <w:i/>
        </w:rPr>
        <w:t>. Comm</w:t>
      </w:r>
      <w:r>
        <w:rPr>
          <w:i/>
        </w:rPr>
        <w:t>ission</w:t>
      </w:r>
      <w:r w:rsidRPr="009E222A">
        <w:rPr>
          <w:i/>
        </w:rPr>
        <w:t xml:space="preserve"> v. PacifiCorp,</w:t>
      </w:r>
      <w:r w:rsidRPr="009E222A">
        <w:t xml:space="preserve"> Docket No. UE-1</w:t>
      </w:r>
      <w:r>
        <w:t>40762</w:t>
      </w:r>
      <w:r w:rsidRPr="009E222A">
        <w:t xml:space="preserve">– </w:t>
      </w:r>
      <w:r>
        <w:t>Siores</w:t>
      </w:r>
      <w:r w:rsidRPr="009E222A">
        <w:t xml:space="preserve">, Exhibit No. </w:t>
      </w:r>
      <w:r>
        <w:t>NCS</w:t>
      </w:r>
      <w:r w:rsidRPr="009E222A">
        <w:t xml:space="preserve">-1T at </w:t>
      </w:r>
      <w:r>
        <w:t>7:22 – 8:6</w:t>
      </w:r>
      <w:r w:rsidRPr="009E222A">
        <w:t xml:space="preserve"> (</w:t>
      </w:r>
      <w:r>
        <w:t>May 1, 2014</w:t>
      </w:r>
      <w:r w:rsidRPr="009E222A">
        <w:t>).</w:t>
      </w:r>
    </w:p>
  </w:footnote>
  <w:footnote w:id="6">
    <w:p w14:paraId="4F9728B0" w14:textId="5ADE4122" w:rsidR="00AF04D2" w:rsidRDefault="00AF04D2">
      <w:pPr>
        <w:pStyle w:val="FootnoteText"/>
      </w:pPr>
      <w:r>
        <w:rPr>
          <w:rStyle w:val="FootnoteReference"/>
        </w:rPr>
        <w:footnoteRef/>
      </w:r>
      <w:r>
        <w:t xml:space="preserve"> </w:t>
      </w:r>
      <w:r w:rsidRPr="00AF04D2">
        <w:rPr>
          <w:i/>
        </w:rPr>
        <w:t xml:space="preserve">Utilities &amp; Transp. Comm’n v. PSE, </w:t>
      </w:r>
      <w:r w:rsidRPr="00AF04D2">
        <w:t>Docket UE-060266, Order 08 ¶ 51 (January 5, 2007)</w:t>
      </w:r>
    </w:p>
  </w:footnote>
  <w:footnote w:id="7">
    <w:p w14:paraId="00D3A1C6" w14:textId="5A75D355" w:rsidR="00925D02" w:rsidRDefault="00925D02" w:rsidP="00764528">
      <w:pPr>
        <w:pStyle w:val="FootnoteText"/>
      </w:pPr>
      <w:r>
        <w:rPr>
          <w:rStyle w:val="FootnoteReference"/>
        </w:rPr>
        <w:footnoteRef/>
      </w:r>
      <w:r>
        <w:t xml:space="preserve"> </w:t>
      </w:r>
      <w:r w:rsidRPr="007E50F7">
        <w:rPr>
          <w:i/>
        </w:rPr>
        <w:t>Utilities &amp; Transp</w:t>
      </w:r>
      <w:r>
        <w:rPr>
          <w:i/>
        </w:rPr>
        <w:t>ortation</w:t>
      </w:r>
      <w:r w:rsidRPr="007E50F7">
        <w:rPr>
          <w:i/>
        </w:rPr>
        <w:t>. Comm</w:t>
      </w:r>
      <w:r>
        <w:rPr>
          <w:i/>
        </w:rPr>
        <w:t xml:space="preserve">ission </w:t>
      </w:r>
      <w:r w:rsidRPr="007E50F7">
        <w:rPr>
          <w:i/>
        </w:rPr>
        <w:t xml:space="preserve">v. </w:t>
      </w:r>
      <w:r>
        <w:rPr>
          <w:i/>
        </w:rPr>
        <w:t>PacifiCorp,</w:t>
      </w:r>
      <w:r w:rsidRPr="007E50F7">
        <w:t xml:space="preserve"> </w:t>
      </w:r>
      <w:r>
        <w:t xml:space="preserve">Docket No. UE-130043– Order </w:t>
      </w:r>
      <w:r w:rsidRPr="006A153F">
        <w:t>05 at ¶20</w:t>
      </w:r>
      <w:r>
        <w:t>4</w:t>
      </w:r>
      <w:r w:rsidRPr="006A153F">
        <w:t xml:space="preserve"> (December 14, 2013).</w:t>
      </w:r>
    </w:p>
  </w:footnote>
  <w:footnote w:id="8">
    <w:p w14:paraId="00D3A1C7" w14:textId="77777777" w:rsidR="00925D02" w:rsidRDefault="00925D02">
      <w:pPr>
        <w:pStyle w:val="FootnoteText"/>
      </w:pPr>
      <w:r>
        <w:rPr>
          <w:rStyle w:val="FootnoteReference"/>
        </w:rPr>
        <w:footnoteRef/>
      </w:r>
      <w:r>
        <w:t xml:space="preserve"> Based on the amounts included in attachment F to the company’s petition.  </w:t>
      </w:r>
    </w:p>
  </w:footnote>
  <w:footnote w:id="9">
    <w:p w14:paraId="564B36C9" w14:textId="77777777" w:rsidR="00925D02" w:rsidRDefault="00925D02" w:rsidP="00FC5A9B">
      <w:pPr>
        <w:pStyle w:val="FootnoteText"/>
      </w:pPr>
      <w:r>
        <w:rPr>
          <w:rStyle w:val="FootnoteReference"/>
        </w:rPr>
        <w:footnoteRef/>
      </w:r>
      <w:r>
        <w:t xml:space="preserve"> </w:t>
      </w:r>
      <w:r>
        <w:rPr>
          <w:i/>
        </w:rPr>
        <w:t>In the Matter of the Petition of Avista Corporation For an Accounting Order to Defer Costs Related to Improving Dissolved Oxygen Levels in Lake Spokane,</w:t>
      </w:r>
      <w:r w:rsidRPr="007E50F7">
        <w:t xml:space="preserve"> </w:t>
      </w:r>
      <w:r>
        <w:t xml:space="preserve">Docket No. UE-131576– Order </w:t>
      </w:r>
      <w:r w:rsidRPr="006A153F">
        <w:t>01 (September 26, 2013).</w:t>
      </w:r>
    </w:p>
  </w:footnote>
  <w:footnote w:id="10">
    <w:p w14:paraId="1E819B95" w14:textId="77777777" w:rsidR="00925D02" w:rsidRPr="006A153F" w:rsidRDefault="00925D02" w:rsidP="00FC5A9B">
      <w:pPr>
        <w:pStyle w:val="FootnoteText"/>
      </w:pPr>
      <w:r>
        <w:rPr>
          <w:rStyle w:val="FootnoteReference"/>
        </w:rPr>
        <w:footnoteRef/>
      </w:r>
      <w:r>
        <w:t xml:space="preserve"> </w:t>
      </w:r>
      <w:r w:rsidRPr="007E50F7">
        <w:rPr>
          <w:i/>
        </w:rPr>
        <w:t>Utilities &amp; Transp</w:t>
      </w:r>
      <w:r>
        <w:rPr>
          <w:i/>
        </w:rPr>
        <w:t>ortation</w:t>
      </w:r>
      <w:r w:rsidRPr="007E50F7">
        <w:rPr>
          <w:i/>
        </w:rPr>
        <w:t>. Comm</w:t>
      </w:r>
      <w:r>
        <w:rPr>
          <w:i/>
        </w:rPr>
        <w:t xml:space="preserve">ission </w:t>
      </w:r>
      <w:r w:rsidRPr="007E50F7">
        <w:rPr>
          <w:i/>
        </w:rPr>
        <w:t xml:space="preserve">v. </w:t>
      </w:r>
      <w:r>
        <w:rPr>
          <w:i/>
        </w:rPr>
        <w:t>Puget Sound Energy, Inc.,</w:t>
      </w:r>
      <w:r w:rsidRPr="007E50F7">
        <w:t xml:space="preserve"> </w:t>
      </w:r>
      <w:r>
        <w:t xml:space="preserve">Docket No. UE-060266 and UG-060267– Order 08 at ¶47 and </w:t>
      </w:r>
      <w:r w:rsidRPr="006A153F">
        <w:t>footnote 33 (January 5,</w:t>
      </w:r>
      <w:r>
        <w:t xml:space="preserve"> </w:t>
      </w:r>
      <w:r w:rsidRPr="006A153F">
        <w:t>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3A1BE" w14:textId="77777777" w:rsidR="00925D02" w:rsidRPr="002924C4" w:rsidRDefault="00925D02" w:rsidP="00213901">
    <w:pPr>
      <w:pStyle w:val="Header"/>
      <w:rPr>
        <w:sz w:val="20"/>
        <w:szCs w:val="20"/>
      </w:rPr>
    </w:pPr>
    <w:r w:rsidRPr="002924C4">
      <w:rPr>
        <w:sz w:val="20"/>
        <w:szCs w:val="20"/>
      </w:rPr>
      <w:t>DOCKET UE-140617</w:t>
    </w:r>
  </w:p>
  <w:p w14:paraId="00D3A1BF" w14:textId="148E5AEB" w:rsidR="00925D02" w:rsidRPr="002924C4" w:rsidRDefault="00925D02" w:rsidP="00213901">
    <w:pPr>
      <w:pStyle w:val="Header"/>
      <w:rPr>
        <w:sz w:val="20"/>
        <w:szCs w:val="20"/>
      </w:rPr>
    </w:pPr>
    <w:r>
      <w:rPr>
        <w:sz w:val="20"/>
        <w:szCs w:val="20"/>
      </w:rPr>
      <w:t>May 29, 2014</w:t>
    </w:r>
  </w:p>
  <w:p w14:paraId="00D3A1C0" w14:textId="77777777" w:rsidR="00925D02" w:rsidRPr="00D672D1" w:rsidRDefault="00925D02" w:rsidP="00213901">
    <w:pPr>
      <w:pStyle w:val="Header"/>
      <w:rPr>
        <w:rStyle w:val="PageNumber"/>
        <w:sz w:val="20"/>
        <w:szCs w:val="20"/>
      </w:rPr>
    </w:pPr>
    <w:r w:rsidRPr="00D672D1">
      <w:rPr>
        <w:sz w:val="20"/>
        <w:szCs w:val="20"/>
      </w:rPr>
      <w:t xml:space="preserve">Page </w:t>
    </w:r>
    <w:r w:rsidRPr="00724E03">
      <w:rPr>
        <w:rStyle w:val="PageNumber"/>
        <w:sz w:val="20"/>
      </w:rPr>
      <w:fldChar w:fldCharType="begin"/>
    </w:r>
    <w:r w:rsidRPr="000021EB">
      <w:rPr>
        <w:rStyle w:val="PageNumber"/>
        <w:sz w:val="20"/>
        <w:szCs w:val="20"/>
      </w:rPr>
      <w:instrText xml:space="preserve"> PAGE </w:instrText>
    </w:r>
    <w:r w:rsidRPr="00724E03">
      <w:rPr>
        <w:rStyle w:val="PageNumber"/>
        <w:sz w:val="20"/>
      </w:rPr>
      <w:fldChar w:fldCharType="separate"/>
    </w:r>
    <w:r w:rsidR="007E56A0">
      <w:rPr>
        <w:rStyle w:val="PageNumber"/>
        <w:noProof/>
        <w:sz w:val="20"/>
        <w:szCs w:val="20"/>
      </w:rPr>
      <w:t>4</w:t>
    </w:r>
    <w:r w:rsidRPr="00724E03">
      <w:rPr>
        <w:rStyle w:val="PageNumber"/>
        <w:sz w:val="20"/>
      </w:rPr>
      <w:fldChar w:fldCharType="end"/>
    </w:r>
  </w:p>
  <w:p w14:paraId="00D3A1C1" w14:textId="77777777" w:rsidR="00925D02" w:rsidRDefault="00925D02" w:rsidP="002139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62021"/>
    <w:multiLevelType w:val="hybridMultilevel"/>
    <w:tmpl w:val="A24C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D4"/>
    <w:rsid w:val="000021EB"/>
    <w:rsid w:val="00005F38"/>
    <w:rsid w:val="00007A4E"/>
    <w:rsid w:val="00037B18"/>
    <w:rsid w:val="000500F7"/>
    <w:rsid w:val="0006614E"/>
    <w:rsid w:val="00070498"/>
    <w:rsid w:val="00083BAD"/>
    <w:rsid w:val="000922F9"/>
    <w:rsid w:val="00096A87"/>
    <w:rsid w:val="000B1272"/>
    <w:rsid w:val="000D7EE9"/>
    <w:rsid w:val="000E7FDD"/>
    <w:rsid w:val="00162E7B"/>
    <w:rsid w:val="00175E14"/>
    <w:rsid w:val="001873F6"/>
    <w:rsid w:val="0019487D"/>
    <w:rsid w:val="001A7A75"/>
    <w:rsid w:val="001C6FDC"/>
    <w:rsid w:val="001D5602"/>
    <w:rsid w:val="001E7ABE"/>
    <w:rsid w:val="001F028E"/>
    <w:rsid w:val="00205A07"/>
    <w:rsid w:val="00213901"/>
    <w:rsid w:val="00247F85"/>
    <w:rsid w:val="0025281B"/>
    <w:rsid w:val="002924C4"/>
    <w:rsid w:val="002A7701"/>
    <w:rsid w:val="002C0A24"/>
    <w:rsid w:val="002C3304"/>
    <w:rsid w:val="002C49CA"/>
    <w:rsid w:val="002C7218"/>
    <w:rsid w:val="002E2894"/>
    <w:rsid w:val="002E7B1C"/>
    <w:rsid w:val="002F7FF8"/>
    <w:rsid w:val="00357B54"/>
    <w:rsid w:val="00372035"/>
    <w:rsid w:val="003B18D4"/>
    <w:rsid w:val="003C3362"/>
    <w:rsid w:val="003D04DE"/>
    <w:rsid w:val="003E7745"/>
    <w:rsid w:val="003F0367"/>
    <w:rsid w:val="00440DE5"/>
    <w:rsid w:val="00467C5D"/>
    <w:rsid w:val="00472C84"/>
    <w:rsid w:val="00487286"/>
    <w:rsid w:val="004D1A42"/>
    <w:rsid w:val="004D68E9"/>
    <w:rsid w:val="005037B6"/>
    <w:rsid w:val="00510C70"/>
    <w:rsid w:val="00557F55"/>
    <w:rsid w:val="00597C03"/>
    <w:rsid w:val="005E3429"/>
    <w:rsid w:val="005E386E"/>
    <w:rsid w:val="005E7E59"/>
    <w:rsid w:val="005F562B"/>
    <w:rsid w:val="005F7955"/>
    <w:rsid w:val="00610ED4"/>
    <w:rsid w:val="006521EF"/>
    <w:rsid w:val="00680544"/>
    <w:rsid w:val="006950B9"/>
    <w:rsid w:val="006A153F"/>
    <w:rsid w:val="006A5D37"/>
    <w:rsid w:val="006D3A07"/>
    <w:rsid w:val="006E6D71"/>
    <w:rsid w:val="00717D26"/>
    <w:rsid w:val="00724E03"/>
    <w:rsid w:val="00764528"/>
    <w:rsid w:val="007702A3"/>
    <w:rsid w:val="0077673D"/>
    <w:rsid w:val="00795715"/>
    <w:rsid w:val="007C0812"/>
    <w:rsid w:val="007E46FC"/>
    <w:rsid w:val="007E56A0"/>
    <w:rsid w:val="007F13D6"/>
    <w:rsid w:val="007F2959"/>
    <w:rsid w:val="007F37BB"/>
    <w:rsid w:val="00833204"/>
    <w:rsid w:val="008409AA"/>
    <w:rsid w:val="00844258"/>
    <w:rsid w:val="008625A3"/>
    <w:rsid w:val="008B3EC8"/>
    <w:rsid w:val="008B5DD8"/>
    <w:rsid w:val="008D5633"/>
    <w:rsid w:val="008F6540"/>
    <w:rsid w:val="008F67E8"/>
    <w:rsid w:val="008F6A92"/>
    <w:rsid w:val="00911C7E"/>
    <w:rsid w:val="00925D02"/>
    <w:rsid w:val="00926632"/>
    <w:rsid w:val="00933770"/>
    <w:rsid w:val="00934CFD"/>
    <w:rsid w:val="0093649B"/>
    <w:rsid w:val="00937CFD"/>
    <w:rsid w:val="00951B4A"/>
    <w:rsid w:val="009737B5"/>
    <w:rsid w:val="00992B1E"/>
    <w:rsid w:val="00995B34"/>
    <w:rsid w:val="009A4A9F"/>
    <w:rsid w:val="009A4D0A"/>
    <w:rsid w:val="009D252E"/>
    <w:rsid w:val="009E222A"/>
    <w:rsid w:val="009F2122"/>
    <w:rsid w:val="009F75B8"/>
    <w:rsid w:val="00A36C91"/>
    <w:rsid w:val="00A57057"/>
    <w:rsid w:val="00A62555"/>
    <w:rsid w:val="00A7722C"/>
    <w:rsid w:val="00A8301E"/>
    <w:rsid w:val="00AA0562"/>
    <w:rsid w:val="00AA22D9"/>
    <w:rsid w:val="00AA3F04"/>
    <w:rsid w:val="00AA4F42"/>
    <w:rsid w:val="00AB25BC"/>
    <w:rsid w:val="00AE7B87"/>
    <w:rsid w:val="00AF04D2"/>
    <w:rsid w:val="00B05208"/>
    <w:rsid w:val="00B1424F"/>
    <w:rsid w:val="00B16D32"/>
    <w:rsid w:val="00B22AF3"/>
    <w:rsid w:val="00B301FB"/>
    <w:rsid w:val="00B55D1C"/>
    <w:rsid w:val="00B629EA"/>
    <w:rsid w:val="00B65349"/>
    <w:rsid w:val="00B87D6C"/>
    <w:rsid w:val="00BD33BF"/>
    <w:rsid w:val="00BD7D49"/>
    <w:rsid w:val="00C00C52"/>
    <w:rsid w:val="00C15A50"/>
    <w:rsid w:val="00C15D99"/>
    <w:rsid w:val="00C31AC8"/>
    <w:rsid w:val="00C8087B"/>
    <w:rsid w:val="00C96B7F"/>
    <w:rsid w:val="00CE745E"/>
    <w:rsid w:val="00CF2418"/>
    <w:rsid w:val="00D00E32"/>
    <w:rsid w:val="00D06DC1"/>
    <w:rsid w:val="00D17932"/>
    <w:rsid w:val="00D25C99"/>
    <w:rsid w:val="00D32AE0"/>
    <w:rsid w:val="00D64C96"/>
    <w:rsid w:val="00D667FD"/>
    <w:rsid w:val="00D672D1"/>
    <w:rsid w:val="00D75222"/>
    <w:rsid w:val="00DC7274"/>
    <w:rsid w:val="00DE2F00"/>
    <w:rsid w:val="00E02306"/>
    <w:rsid w:val="00E05C05"/>
    <w:rsid w:val="00E27403"/>
    <w:rsid w:val="00E315D2"/>
    <w:rsid w:val="00E36059"/>
    <w:rsid w:val="00E3740D"/>
    <w:rsid w:val="00E544B1"/>
    <w:rsid w:val="00E710BB"/>
    <w:rsid w:val="00E86B0C"/>
    <w:rsid w:val="00EA15AF"/>
    <w:rsid w:val="00EA35BC"/>
    <w:rsid w:val="00EA43E4"/>
    <w:rsid w:val="00EA75E6"/>
    <w:rsid w:val="00EB4AD1"/>
    <w:rsid w:val="00EC2390"/>
    <w:rsid w:val="00ED1143"/>
    <w:rsid w:val="00ED274B"/>
    <w:rsid w:val="00ED5EE0"/>
    <w:rsid w:val="00ED60F4"/>
    <w:rsid w:val="00F00C0F"/>
    <w:rsid w:val="00F4308A"/>
    <w:rsid w:val="00F709F9"/>
    <w:rsid w:val="00F74004"/>
    <w:rsid w:val="00F864CF"/>
    <w:rsid w:val="00F9213B"/>
    <w:rsid w:val="00F94581"/>
    <w:rsid w:val="00FA7AAB"/>
    <w:rsid w:val="00FC48D9"/>
    <w:rsid w:val="00FC5A9B"/>
    <w:rsid w:val="00FC7170"/>
    <w:rsid w:val="00FE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D3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3901"/>
    <w:p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8D4"/>
    <w:pPr>
      <w:tabs>
        <w:tab w:val="center" w:pos="4320"/>
        <w:tab w:val="right" w:pos="8640"/>
      </w:tabs>
    </w:pPr>
  </w:style>
  <w:style w:type="character" w:customStyle="1" w:styleId="HeaderChar">
    <w:name w:val="Header Char"/>
    <w:basedOn w:val="DefaultParagraphFont"/>
    <w:link w:val="Header"/>
    <w:rsid w:val="003B18D4"/>
    <w:rPr>
      <w:rFonts w:ascii="Palatino Linotype" w:eastAsia="Times New Roman" w:hAnsi="Palatino Linotype" w:cs="Times New Roman"/>
      <w:sz w:val="24"/>
      <w:szCs w:val="24"/>
    </w:rPr>
  </w:style>
  <w:style w:type="character" w:styleId="PageNumber">
    <w:name w:val="page number"/>
    <w:basedOn w:val="DefaultParagraphFont"/>
    <w:rsid w:val="003B18D4"/>
  </w:style>
  <w:style w:type="paragraph" w:styleId="FootnoteText">
    <w:name w:val="footnote text"/>
    <w:basedOn w:val="Normal"/>
    <w:link w:val="FootnoteTextChar"/>
    <w:rsid w:val="003B18D4"/>
    <w:rPr>
      <w:sz w:val="20"/>
      <w:szCs w:val="20"/>
    </w:rPr>
  </w:style>
  <w:style w:type="character" w:customStyle="1" w:styleId="FootnoteTextChar">
    <w:name w:val="Footnote Text Char"/>
    <w:basedOn w:val="DefaultParagraphFont"/>
    <w:link w:val="FootnoteText"/>
    <w:rsid w:val="003B18D4"/>
    <w:rPr>
      <w:rFonts w:ascii="Palatino Linotype" w:eastAsia="Times New Roman" w:hAnsi="Palatino Linotype" w:cs="Times New Roman"/>
      <w:sz w:val="20"/>
      <w:szCs w:val="20"/>
    </w:rPr>
  </w:style>
  <w:style w:type="character" w:styleId="FootnoteReference">
    <w:name w:val="footnote reference"/>
    <w:basedOn w:val="DefaultParagraphFont"/>
    <w:rsid w:val="003B18D4"/>
    <w:rPr>
      <w:vertAlign w:val="superscript"/>
    </w:rPr>
  </w:style>
  <w:style w:type="character" w:customStyle="1" w:styleId="Heading1Char">
    <w:name w:val="Heading 1 Char"/>
    <w:basedOn w:val="DefaultParagraphFont"/>
    <w:link w:val="Heading1"/>
    <w:uiPriority w:val="9"/>
    <w:rsid w:val="00213901"/>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AA0562"/>
    <w:pPr>
      <w:tabs>
        <w:tab w:val="center" w:pos="4680"/>
        <w:tab w:val="right" w:pos="9360"/>
      </w:tabs>
    </w:pPr>
  </w:style>
  <w:style w:type="character" w:customStyle="1" w:styleId="FooterChar">
    <w:name w:val="Footer Char"/>
    <w:basedOn w:val="DefaultParagraphFont"/>
    <w:link w:val="Footer"/>
    <w:uiPriority w:val="99"/>
    <w:rsid w:val="00AA056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0498"/>
    <w:rPr>
      <w:sz w:val="16"/>
      <w:szCs w:val="16"/>
    </w:rPr>
  </w:style>
  <w:style w:type="paragraph" w:styleId="CommentText">
    <w:name w:val="annotation text"/>
    <w:basedOn w:val="Normal"/>
    <w:link w:val="CommentTextChar"/>
    <w:uiPriority w:val="99"/>
    <w:semiHidden/>
    <w:unhideWhenUsed/>
    <w:rsid w:val="00070498"/>
    <w:rPr>
      <w:sz w:val="20"/>
      <w:szCs w:val="20"/>
    </w:rPr>
  </w:style>
  <w:style w:type="character" w:customStyle="1" w:styleId="CommentTextChar">
    <w:name w:val="Comment Text Char"/>
    <w:basedOn w:val="DefaultParagraphFont"/>
    <w:link w:val="CommentText"/>
    <w:uiPriority w:val="99"/>
    <w:semiHidden/>
    <w:rsid w:val="000704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498"/>
    <w:rPr>
      <w:b/>
      <w:bCs/>
    </w:rPr>
  </w:style>
  <w:style w:type="character" w:customStyle="1" w:styleId="CommentSubjectChar">
    <w:name w:val="Comment Subject Char"/>
    <w:basedOn w:val="CommentTextChar"/>
    <w:link w:val="CommentSubject"/>
    <w:uiPriority w:val="99"/>
    <w:semiHidden/>
    <w:rsid w:val="000704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0498"/>
    <w:rPr>
      <w:rFonts w:ascii="Tahoma" w:hAnsi="Tahoma" w:cs="Tahoma"/>
      <w:sz w:val="16"/>
      <w:szCs w:val="16"/>
    </w:rPr>
  </w:style>
  <w:style w:type="character" w:customStyle="1" w:styleId="BalloonTextChar">
    <w:name w:val="Balloon Text Char"/>
    <w:basedOn w:val="DefaultParagraphFont"/>
    <w:link w:val="BalloonText"/>
    <w:uiPriority w:val="99"/>
    <w:semiHidden/>
    <w:rsid w:val="00070498"/>
    <w:rPr>
      <w:rFonts w:ascii="Tahoma" w:eastAsia="Times New Roman" w:hAnsi="Tahoma" w:cs="Tahoma"/>
      <w:sz w:val="16"/>
      <w:szCs w:val="16"/>
    </w:rPr>
  </w:style>
  <w:style w:type="paragraph" w:styleId="ListParagraph">
    <w:name w:val="List Paragraph"/>
    <w:basedOn w:val="Normal"/>
    <w:uiPriority w:val="34"/>
    <w:qFormat/>
    <w:rsid w:val="00247F85"/>
    <w:pPr>
      <w:ind w:left="720"/>
      <w:contextualSpacing/>
    </w:pPr>
  </w:style>
  <w:style w:type="paragraph" w:styleId="Revision">
    <w:name w:val="Revision"/>
    <w:hidden/>
    <w:uiPriority w:val="99"/>
    <w:semiHidden/>
    <w:rsid w:val="004D68E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3901"/>
    <w:p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18D4"/>
    <w:pPr>
      <w:tabs>
        <w:tab w:val="center" w:pos="4320"/>
        <w:tab w:val="right" w:pos="8640"/>
      </w:tabs>
    </w:pPr>
  </w:style>
  <w:style w:type="character" w:customStyle="1" w:styleId="HeaderChar">
    <w:name w:val="Header Char"/>
    <w:basedOn w:val="DefaultParagraphFont"/>
    <w:link w:val="Header"/>
    <w:rsid w:val="003B18D4"/>
    <w:rPr>
      <w:rFonts w:ascii="Palatino Linotype" w:eastAsia="Times New Roman" w:hAnsi="Palatino Linotype" w:cs="Times New Roman"/>
      <w:sz w:val="24"/>
      <w:szCs w:val="24"/>
    </w:rPr>
  </w:style>
  <w:style w:type="character" w:styleId="PageNumber">
    <w:name w:val="page number"/>
    <w:basedOn w:val="DefaultParagraphFont"/>
    <w:rsid w:val="003B18D4"/>
  </w:style>
  <w:style w:type="paragraph" w:styleId="FootnoteText">
    <w:name w:val="footnote text"/>
    <w:basedOn w:val="Normal"/>
    <w:link w:val="FootnoteTextChar"/>
    <w:rsid w:val="003B18D4"/>
    <w:rPr>
      <w:sz w:val="20"/>
      <w:szCs w:val="20"/>
    </w:rPr>
  </w:style>
  <w:style w:type="character" w:customStyle="1" w:styleId="FootnoteTextChar">
    <w:name w:val="Footnote Text Char"/>
    <w:basedOn w:val="DefaultParagraphFont"/>
    <w:link w:val="FootnoteText"/>
    <w:rsid w:val="003B18D4"/>
    <w:rPr>
      <w:rFonts w:ascii="Palatino Linotype" w:eastAsia="Times New Roman" w:hAnsi="Palatino Linotype" w:cs="Times New Roman"/>
      <w:sz w:val="20"/>
      <w:szCs w:val="20"/>
    </w:rPr>
  </w:style>
  <w:style w:type="character" w:styleId="FootnoteReference">
    <w:name w:val="footnote reference"/>
    <w:basedOn w:val="DefaultParagraphFont"/>
    <w:rsid w:val="003B18D4"/>
    <w:rPr>
      <w:vertAlign w:val="superscript"/>
    </w:rPr>
  </w:style>
  <w:style w:type="character" w:customStyle="1" w:styleId="Heading1Char">
    <w:name w:val="Heading 1 Char"/>
    <w:basedOn w:val="DefaultParagraphFont"/>
    <w:link w:val="Heading1"/>
    <w:uiPriority w:val="9"/>
    <w:rsid w:val="00213901"/>
    <w:rPr>
      <w:rFonts w:ascii="Times New Roman" w:eastAsia="Times New Roman" w:hAnsi="Times New Roman" w:cs="Times New Roman"/>
      <w:b/>
      <w:bCs/>
      <w:sz w:val="24"/>
      <w:szCs w:val="24"/>
      <w:u w:val="single"/>
    </w:rPr>
  </w:style>
  <w:style w:type="paragraph" w:styleId="Footer">
    <w:name w:val="footer"/>
    <w:basedOn w:val="Normal"/>
    <w:link w:val="FooterChar"/>
    <w:uiPriority w:val="99"/>
    <w:unhideWhenUsed/>
    <w:rsid w:val="00AA0562"/>
    <w:pPr>
      <w:tabs>
        <w:tab w:val="center" w:pos="4680"/>
        <w:tab w:val="right" w:pos="9360"/>
      </w:tabs>
    </w:pPr>
  </w:style>
  <w:style w:type="character" w:customStyle="1" w:styleId="FooterChar">
    <w:name w:val="Footer Char"/>
    <w:basedOn w:val="DefaultParagraphFont"/>
    <w:link w:val="Footer"/>
    <w:uiPriority w:val="99"/>
    <w:rsid w:val="00AA056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0498"/>
    <w:rPr>
      <w:sz w:val="16"/>
      <w:szCs w:val="16"/>
    </w:rPr>
  </w:style>
  <w:style w:type="paragraph" w:styleId="CommentText">
    <w:name w:val="annotation text"/>
    <w:basedOn w:val="Normal"/>
    <w:link w:val="CommentTextChar"/>
    <w:uiPriority w:val="99"/>
    <w:semiHidden/>
    <w:unhideWhenUsed/>
    <w:rsid w:val="00070498"/>
    <w:rPr>
      <w:sz w:val="20"/>
      <w:szCs w:val="20"/>
    </w:rPr>
  </w:style>
  <w:style w:type="character" w:customStyle="1" w:styleId="CommentTextChar">
    <w:name w:val="Comment Text Char"/>
    <w:basedOn w:val="DefaultParagraphFont"/>
    <w:link w:val="CommentText"/>
    <w:uiPriority w:val="99"/>
    <w:semiHidden/>
    <w:rsid w:val="000704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0498"/>
    <w:rPr>
      <w:b/>
      <w:bCs/>
    </w:rPr>
  </w:style>
  <w:style w:type="character" w:customStyle="1" w:styleId="CommentSubjectChar">
    <w:name w:val="Comment Subject Char"/>
    <w:basedOn w:val="CommentTextChar"/>
    <w:link w:val="CommentSubject"/>
    <w:uiPriority w:val="99"/>
    <w:semiHidden/>
    <w:rsid w:val="000704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0498"/>
    <w:rPr>
      <w:rFonts w:ascii="Tahoma" w:hAnsi="Tahoma" w:cs="Tahoma"/>
      <w:sz w:val="16"/>
      <w:szCs w:val="16"/>
    </w:rPr>
  </w:style>
  <w:style w:type="character" w:customStyle="1" w:styleId="BalloonTextChar">
    <w:name w:val="Balloon Text Char"/>
    <w:basedOn w:val="DefaultParagraphFont"/>
    <w:link w:val="BalloonText"/>
    <w:uiPriority w:val="99"/>
    <w:semiHidden/>
    <w:rsid w:val="00070498"/>
    <w:rPr>
      <w:rFonts w:ascii="Tahoma" w:eastAsia="Times New Roman" w:hAnsi="Tahoma" w:cs="Tahoma"/>
      <w:sz w:val="16"/>
      <w:szCs w:val="16"/>
    </w:rPr>
  </w:style>
  <w:style w:type="paragraph" w:styleId="ListParagraph">
    <w:name w:val="List Paragraph"/>
    <w:basedOn w:val="Normal"/>
    <w:uiPriority w:val="34"/>
    <w:qFormat/>
    <w:rsid w:val="00247F85"/>
    <w:pPr>
      <w:ind w:left="720"/>
      <w:contextualSpacing/>
    </w:pPr>
  </w:style>
  <w:style w:type="paragraph" w:styleId="Revision">
    <w:name w:val="Revision"/>
    <w:hidden/>
    <w:uiPriority w:val="99"/>
    <w:semiHidden/>
    <w:rsid w:val="004D68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2014-04-14T07:00:00+00:00</OpenedDate>
    <Date1 xmlns="dc463f71-b30c-4ab2-9473-d307f9d35888">2014-05-29T07:00:00+00:00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140617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0FF59ADDA17F4092979854FDF14FC1" ma:contentTypeVersion="175" ma:contentTypeDescription="" ma:contentTypeScope="" ma:versionID="27047b08c8edfe0b3eae034fac3fa06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46ADA-EF81-4A30-AE85-607A7133F8BC}"/>
</file>

<file path=customXml/itemProps2.xml><?xml version="1.0" encoding="utf-8"?>
<ds:datastoreItem xmlns:ds="http://schemas.openxmlformats.org/officeDocument/2006/customXml" ds:itemID="{F165E1F6-62FE-49B7-BF07-1DDAAF7BD3BF}"/>
</file>

<file path=customXml/itemProps3.xml><?xml version="1.0" encoding="utf-8"?>
<ds:datastoreItem xmlns:ds="http://schemas.openxmlformats.org/officeDocument/2006/customXml" ds:itemID="{40EE3FF0-BCC8-47F6-A98E-5F5AFAD4C233}"/>
</file>

<file path=customXml/itemProps4.xml><?xml version="1.0" encoding="utf-8"?>
<ds:datastoreItem xmlns:ds="http://schemas.openxmlformats.org/officeDocument/2006/customXml" ds:itemID="{977505DD-FA91-4CD8-B7AE-665093138F2B}"/>
</file>

<file path=customXml/itemProps5.xml><?xml version="1.0" encoding="utf-8"?>
<ds:datastoreItem xmlns:ds="http://schemas.openxmlformats.org/officeDocument/2006/customXml" ds:itemID="{DF3309B9-9E29-48B6-8EF1-B76CB66D4D75}"/>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Ball</dc:creator>
  <cp:lastModifiedBy>Lisa Wyse</cp:lastModifiedBy>
  <cp:revision>2</cp:revision>
  <dcterms:created xsi:type="dcterms:W3CDTF">2014-05-28T20:43:00Z</dcterms:created>
  <dcterms:modified xsi:type="dcterms:W3CDTF">2014-05-28T20:43:00Z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0x0101006E56B4D1795A2E4DB2F0B01679ED314A00830FF59ADDA17F4092979854FDF14FC1</vt:lpwstr>
  </property>
  <property fmtid="{D5CDD505-2E9C-101B-9397-08002B2CF9AE}" pid="3" name="_docset_NoMedatataSyncRequired">
    <vt:lpwstr>False</vt:lpwstr>
  </property>
</Properties>
</file>