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96911" w14:textId="1D7ABD26" w:rsidR="00657DEE" w:rsidRPr="00CF14AF" w:rsidRDefault="00657DEE">
      <w:pPr>
        <w:rPr>
          <w:rFonts w:ascii="Times New Roman" w:hAnsi="Times New Roman"/>
        </w:rPr>
      </w:pPr>
      <w:bookmarkStart w:id="0" w:name="_GoBack"/>
      <w:bookmarkEnd w:id="0"/>
      <w:r w:rsidRPr="00CF14AF">
        <w:rPr>
          <w:rFonts w:ascii="Times New Roman" w:hAnsi="Times New Roman"/>
        </w:rPr>
        <w:t>Agenda Date:</w:t>
      </w:r>
      <w:r w:rsidRPr="00CF14AF">
        <w:rPr>
          <w:rFonts w:ascii="Times New Roman" w:hAnsi="Times New Roman"/>
        </w:rPr>
        <w:tab/>
      </w:r>
      <w:r w:rsidR="00744C90" w:rsidRPr="00CF14AF">
        <w:rPr>
          <w:rFonts w:ascii="Times New Roman" w:hAnsi="Times New Roman"/>
        </w:rPr>
        <w:tab/>
      </w:r>
      <w:r w:rsidR="00F139E0" w:rsidRPr="00CF14AF">
        <w:rPr>
          <w:rFonts w:ascii="Times New Roman" w:hAnsi="Times New Roman"/>
        </w:rPr>
        <w:t xml:space="preserve">July </w:t>
      </w:r>
      <w:r w:rsidR="00C93BD4" w:rsidRPr="00CF14AF">
        <w:rPr>
          <w:rFonts w:ascii="Times New Roman" w:hAnsi="Times New Roman"/>
        </w:rPr>
        <w:t>10, 2014</w:t>
      </w:r>
    </w:p>
    <w:p w14:paraId="0C396912" w14:textId="392645D9" w:rsidR="00657DEE" w:rsidRPr="00AD4D61" w:rsidRDefault="00657DEE">
      <w:pPr>
        <w:ind w:left="2160" w:hanging="2160"/>
        <w:rPr>
          <w:rFonts w:ascii="Times New Roman" w:hAnsi="Times New Roman"/>
        </w:rPr>
      </w:pPr>
      <w:r w:rsidRPr="00AD4D61">
        <w:rPr>
          <w:rFonts w:ascii="Times New Roman" w:hAnsi="Times New Roman"/>
        </w:rPr>
        <w:t>Item Number:</w:t>
      </w:r>
      <w:r w:rsidRPr="00AD4D61">
        <w:rPr>
          <w:rFonts w:ascii="Times New Roman" w:hAnsi="Times New Roman"/>
        </w:rPr>
        <w:tab/>
      </w:r>
      <w:r w:rsidR="00C93BD4">
        <w:rPr>
          <w:rFonts w:ascii="Times New Roman" w:hAnsi="Times New Roman"/>
        </w:rPr>
        <w:t>E</w:t>
      </w:r>
      <w:r w:rsidR="0031518F">
        <w:rPr>
          <w:rFonts w:ascii="Times New Roman" w:hAnsi="Times New Roman"/>
        </w:rPr>
        <w:t>1</w:t>
      </w:r>
    </w:p>
    <w:p w14:paraId="0C396913" w14:textId="77777777" w:rsidR="00657DEE" w:rsidRPr="00AD4D61" w:rsidRDefault="00657DEE">
      <w:pPr>
        <w:rPr>
          <w:rFonts w:ascii="Times New Roman" w:hAnsi="Times New Roman"/>
        </w:rPr>
      </w:pPr>
    </w:p>
    <w:p w14:paraId="0C396914" w14:textId="4A7B4917" w:rsidR="00657DEE" w:rsidRPr="00AD4D61" w:rsidRDefault="00657DEE">
      <w:pPr>
        <w:rPr>
          <w:rFonts w:ascii="Times New Roman" w:hAnsi="Times New Roman"/>
          <w:b/>
          <w:bCs/>
        </w:rPr>
      </w:pPr>
      <w:r w:rsidRPr="00AD4D61">
        <w:rPr>
          <w:rFonts w:ascii="Times New Roman" w:hAnsi="Times New Roman"/>
          <w:b/>
          <w:bCs/>
        </w:rPr>
        <w:t>Docket:</w:t>
      </w:r>
      <w:r w:rsidRPr="00AD4D61">
        <w:rPr>
          <w:rFonts w:ascii="Times New Roman" w:hAnsi="Times New Roman"/>
          <w:b/>
          <w:bCs/>
        </w:rPr>
        <w:tab/>
      </w:r>
      <w:r w:rsidRPr="00AD4D61">
        <w:rPr>
          <w:rFonts w:ascii="Times New Roman" w:hAnsi="Times New Roman"/>
          <w:b/>
          <w:bCs/>
        </w:rPr>
        <w:tab/>
      </w:r>
      <w:r w:rsidR="00B84978">
        <w:rPr>
          <w:rFonts w:ascii="Times New Roman" w:hAnsi="Times New Roman"/>
          <w:b/>
          <w:bCs/>
        </w:rPr>
        <w:t>UE-</w:t>
      </w:r>
      <w:r w:rsidR="005206D7">
        <w:rPr>
          <w:rFonts w:ascii="Times New Roman" w:hAnsi="Times New Roman"/>
          <w:b/>
          <w:bCs/>
        </w:rPr>
        <w:t>1</w:t>
      </w:r>
      <w:r w:rsidR="004A1C6C">
        <w:rPr>
          <w:rFonts w:ascii="Times New Roman" w:hAnsi="Times New Roman"/>
          <w:b/>
          <w:bCs/>
        </w:rPr>
        <w:t>40540</w:t>
      </w:r>
    </w:p>
    <w:p w14:paraId="0C396915" w14:textId="0CFB32C7" w:rsidR="00657DEE" w:rsidRPr="00AD4D61" w:rsidRDefault="00FC0390">
      <w:pPr>
        <w:rPr>
          <w:rFonts w:ascii="Times New Roman" w:hAnsi="Times New Roman"/>
        </w:rPr>
      </w:pPr>
      <w:r>
        <w:rPr>
          <w:rFonts w:ascii="Times New Roman" w:hAnsi="Times New Roman"/>
        </w:rPr>
        <w:t>Company</w:t>
      </w:r>
      <w:r w:rsidR="00657DEE" w:rsidRPr="00AD4D61">
        <w:rPr>
          <w:rFonts w:ascii="Times New Roman" w:hAnsi="Times New Roman"/>
        </w:rPr>
        <w:t>:</w:t>
      </w:r>
      <w:r w:rsidR="00657DEE" w:rsidRPr="00AD4D61">
        <w:rPr>
          <w:rFonts w:ascii="Times New Roman" w:hAnsi="Times New Roman"/>
        </w:rPr>
        <w:tab/>
      </w:r>
      <w:r w:rsidR="00657DEE" w:rsidRPr="00AD4D61">
        <w:rPr>
          <w:rFonts w:ascii="Times New Roman" w:hAnsi="Times New Roman"/>
        </w:rPr>
        <w:tab/>
      </w:r>
      <w:r w:rsidR="00B84978">
        <w:rPr>
          <w:rFonts w:ascii="Times New Roman" w:hAnsi="Times New Roman"/>
        </w:rPr>
        <w:t>Avista Corporation</w:t>
      </w:r>
      <w:r w:rsidR="001B305D">
        <w:rPr>
          <w:rFonts w:ascii="Times New Roman" w:hAnsi="Times New Roman"/>
        </w:rPr>
        <w:t xml:space="preserve"> dba Avista Utilities</w:t>
      </w:r>
    </w:p>
    <w:p w14:paraId="0C396916" w14:textId="77777777" w:rsidR="00657DEE" w:rsidRPr="00AD4D61" w:rsidRDefault="00657DEE">
      <w:pPr>
        <w:rPr>
          <w:rFonts w:ascii="Times New Roman" w:hAnsi="Times New Roman"/>
        </w:rPr>
      </w:pPr>
    </w:p>
    <w:p w14:paraId="0B9A83DE" w14:textId="77777777" w:rsidR="005206D7" w:rsidRDefault="00657DEE" w:rsidP="00B84978">
      <w:pPr>
        <w:rPr>
          <w:rFonts w:ascii="Times New Roman" w:hAnsi="Times New Roman"/>
        </w:rPr>
      </w:pPr>
      <w:r w:rsidRPr="00AD4D61">
        <w:rPr>
          <w:rFonts w:ascii="Times New Roman" w:hAnsi="Times New Roman"/>
        </w:rPr>
        <w:t>Staff:</w:t>
      </w:r>
      <w:r w:rsidRPr="00AD4D61">
        <w:rPr>
          <w:rFonts w:ascii="Times New Roman" w:hAnsi="Times New Roman"/>
        </w:rPr>
        <w:tab/>
      </w:r>
      <w:r w:rsidRPr="00AD4D61">
        <w:rPr>
          <w:rFonts w:ascii="Times New Roman" w:hAnsi="Times New Roman"/>
        </w:rPr>
        <w:tab/>
      </w:r>
      <w:r w:rsidRPr="00AD4D61">
        <w:rPr>
          <w:rFonts w:ascii="Times New Roman" w:hAnsi="Times New Roman"/>
        </w:rPr>
        <w:tab/>
      </w:r>
      <w:r w:rsidR="005206D7">
        <w:rPr>
          <w:rFonts w:ascii="Times New Roman" w:hAnsi="Times New Roman"/>
        </w:rPr>
        <w:t xml:space="preserve">Alan Buckley, Regulatory Consultant </w:t>
      </w:r>
    </w:p>
    <w:p w14:paraId="0C396917" w14:textId="50586F96" w:rsidR="00657DEE" w:rsidRDefault="004A1C6C" w:rsidP="005206D7">
      <w:pPr>
        <w:ind w:left="1440" w:firstLine="720"/>
        <w:rPr>
          <w:rFonts w:ascii="Times New Roman" w:hAnsi="Times New Roman"/>
        </w:rPr>
      </w:pPr>
      <w:r>
        <w:rPr>
          <w:rFonts w:ascii="Times New Roman" w:hAnsi="Times New Roman"/>
        </w:rPr>
        <w:t>Jason Ball</w:t>
      </w:r>
      <w:r w:rsidR="006652DF">
        <w:rPr>
          <w:rFonts w:ascii="Times New Roman" w:hAnsi="Times New Roman"/>
        </w:rPr>
        <w:t>, Regulatory Ana</w:t>
      </w:r>
      <w:r w:rsidR="003900E8">
        <w:rPr>
          <w:rFonts w:ascii="Times New Roman" w:hAnsi="Times New Roman"/>
        </w:rPr>
        <w:t>lyst</w:t>
      </w:r>
    </w:p>
    <w:p w14:paraId="0C396918" w14:textId="0360E849" w:rsidR="000D3F1D" w:rsidRPr="00AD4D61" w:rsidRDefault="000D3F1D" w:rsidP="00B84978">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0C39691A" w14:textId="77777777" w:rsidR="00657DEE" w:rsidRPr="00672810" w:rsidRDefault="00842F1A">
      <w:pPr>
        <w:rPr>
          <w:rFonts w:ascii="Times New Roman" w:hAnsi="Times New Roman"/>
          <w:b/>
          <w:bCs/>
          <w:u w:val="single"/>
        </w:rPr>
      </w:pPr>
      <w:r w:rsidRPr="00672810">
        <w:rPr>
          <w:rFonts w:ascii="Times New Roman" w:hAnsi="Times New Roman"/>
          <w:b/>
          <w:bCs/>
          <w:u w:val="single"/>
        </w:rPr>
        <w:t>Recommendation</w:t>
      </w:r>
    </w:p>
    <w:p w14:paraId="0C39691B" w14:textId="77777777" w:rsidR="00170726" w:rsidRPr="00672810" w:rsidRDefault="00170726">
      <w:pPr>
        <w:rPr>
          <w:rFonts w:ascii="Times New Roman" w:hAnsi="Times New Roman"/>
        </w:rPr>
      </w:pPr>
    </w:p>
    <w:p w14:paraId="0C39691C" w14:textId="690AD40B" w:rsidR="00A93656" w:rsidRPr="00672810" w:rsidRDefault="00B84978" w:rsidP="000E64E1">
      <w:pPr>
        <w:spacing w:line="288" w:lineRule="auto"/>
        <w:rPr>
          <w:rFonts w:ascii="Times New Roman" w:hAnsi="Times New Roman"/>
        </w:rPr>
      </w:pPr>
      <w:r w:rsidRPr="00672810">
        <w:rPr>
          <w:rFonts w:ascii="Times New Roman" w:hAnsi="Times New Roman"/>
        </w:rPr>
        <w:t xml:space="preserve">Issue an order </w:t>
      </w:r>
      <w:r w:rsidR="005206D7">
        <w:rPr>
          <w:rFonts w:ascii="Times New Roman" w:hAnsi="Times New Roman"/>
        </w:rPr>
        <w:t>authorizing Energy Recovery Mechanism deferrals for calendar year 201</w:t>
      </w:r>
      <w:r w:rsidR="004A1C6C">
        <w:rPr>
          <w:rFonts w:ascii="Times New Roman" w:hAnsi="Times New Roman"/>
        </w:rPr>
        <w:t>3</w:t>
      </w:r>
      <w:r w:rsidR="005206D7">
        <w:rPr>
          <w:rFonts w:ascii="Times New Roman" w:hAnsi="Times New Roman"/>
        </w:rPr>
        <w:t>.</w:t>
      </w:r>
    </w:p>
    <w:p w14:paraId="0C39691D" w14:textId="77777777" w:rsidR="00A93656" w:rsidRPr="00672810" w:rsidRDefault="00A93656">
      <w:pPr>
        <w:rPr>
          <w:rFonts w:ascii="Times New Roman" w:hAnsi="Times New Roman"/>
        </w:rPr>
      </w:pPr>
    </w:p>
    <w:p w14:paraId="0C39691E" w14:textId="3038D876" w:rsidR="00170726" w:rsidRDefault="00657DEE">
      <w:pPr>
        <w:rPr>
          <w:rFonts w:ascii="Times New Roman" w:hAnsi="Times New Roman"/>
          <w:b/>
          <w:u w:val="single"/>
        </w:rPr>
      </w:pPr>
      <w:r w:rsidRPr="00672810">
        <w:rPr>
          <w:rFonts w:ascii="Times New Roman" w:hAnsi="Times New Roman"/>
          <w:b/>
          <w:u w:val="single"/>
        </w:rPr>
        <w:t>Discussion</w:t>
      </w:r>
    </w:p>
    <w:p w14:paraId="6FB3489C" w14:textId="77777777" w:rsidR="00F70AD6" w:rsidRPr="00672810" w:rsidRDefault="00F70AD6">
      <w:pPr>
        <w:rPr>
          <w:rFonts w:ascii="Times New Roman" w:hAnsi="Times New Roman"/>
        </w:rPr>
      </w:pPr>
    </w:p>
    <w:p w14:paraId="0C39691F" w14:textId="6647EDBD" w:rsidR="00657DEE" w:rsidRPr="00672810" w:rsidRDefault="00B646AC" w:rsidP="000E64E1">
      <w:pPr>
        <w:spacing w:line="288" w:lineRule="auto"/>
        <w:rPr>
          <w:rFonts w:ascii="Times New Roman" w:hAnsi="Times New Roman"/>
        </w:rPr>
      </w:pPr>
      <w:r w:rsidRPr="00672810">
        <w:rPr>
          <w:rFonts w:ascii="Times New Roman" w:hAnsi="Times New Roman"/>
        </w:rPr>
        <w:t xml:space="preserve">On March </w:t>
      </w:r>
      <w:r w:rsidR="005206D7">
        <w:rPr>
          <w:rFonts w:ascii="Times New Roman" w:hAnsi="Times New Roman"/>
        </w:rPr>
        <w:t>2</w:t>
      </w:r>
      <w:r w:rsidR="00E670D7">
        <w:rPr>
          <w:rFonts w:ascii="Times New Roman" w:hAnsi="Times New Roman"/>
        </w:rPr>
        <w:t>8</w:t>
      </w:r>
      <w:r w:rsidRPr="00672810">
        <w:rPr>
          <w:rFonts w:ascii="Times New Roman" w:hAnsi="Times New Roman"/>
        </w:rPr>
        <w:t>, 20</w:t>
      </w:r>
      <w:r w:rsidR="00A93656" w:rsidRPr="00672810">
        <w:rPr>
          <w:rFonts w:ascii="Times New Roman" w:hAnsi="Times New Roman"/>
        </w:rPr>
        <w:t>1</w:t>
      </w:r>
      <w:r w:rsidR="004A1C6C">
        <w:rPr>
          <w:rFonts w:ascii="Times New Roman" w:hAnsi="Times New Roman"/>
        </w:rPr>
        <w:t>4</w:t>
      </w:r>
      <w:r w:rsidRPr="00672810">
        <w:rPr>
          <w:rFonts w:ascii="Times New Roman" w:hAnsi="Times New Roman"/>
        </w:rPr>
        <w:t>, Avista Corporation</w:t>
      </w:r>
      <w:r w:rsidR="001B305D">
        <w:rPr>
          <w:rFonts w:ascii="Times New Roman" w:hAnsi="Times New Roman"/>
        </w:rPr>
        <w:t xml:space="preserve"> dba Avista Utilities</w:t>
      </w:r>
      <w:r w:rsidRPr="00672810">
        <w:rPr>
          <w:rFonts w:ascii="Times New Roman" w:hAnsi="Times New Roman"/>
        </w:rPr>
        <w:t xml:space="preserve"> (Avista or </w:t>
      </w:r>
      <w:r w:rsidR="00FC0390">
        <w:rPr>
          <w:rFonts w:ascii="Times New Roman" w:hAnsi="Times New Roman"/>
        </w:rPr>
        <w:t>company</w:t>
      </w:r>
      <w:r w:rsidRPr="00672810">
        <w:rPr>
          <w:rFonts w:ascii="Times New Roman" w:hAnsi="Times New Roman"/>
        </w:rPr>
        <w:t xml:space="preserve">) filed its </w:t>
      </w:r>
      <w:r w:rsidR="00A54AE4" w:rsidRPr="00672810">
        <w:rPr>
          <w:rFonts w:ascii="Times New Roman" w:hAnsi="Times New Roman"/>
        </w:rPr>
        <w:t>e</w:t>
      </w:r>
      <w:r w:rsidR="00BE6C47" w:rsidRPr="00672810">
        <w:rPr>
          <w:rFonts w:ascii="Times New Roman" w:hAnsi="Times New Roman"/>
        </w:rPr>
        <w:t xml:space="preserve">nergy </w:t>
      </w:r>
      <w:r w:rsidR="00A54AE4" w:rsidRPr="00672810">
        <w:rPr>
          <w:rFonts w:ascii="Times New Roman" w:hAnsi="Times New Roman"/>
        </w:rPr>
        <w:t>recovery m</w:t>
      </w:r>
      <w:r w:rsidR="00BE6C47" w:rsidRPr="00672810">
        <w:rPr>
          <w:rFonts w:ascii="Times New Roman" w:hAnsi="Times New Roman"/>
        </w:rPr>
        <w:t xml:space="preserve">echanism (ERM) </w:t>
      </w:r>
      <w:r w:rsidRPr="00672810">
        <w:rPr>
          <w:rFonts w:ascii="Times New Roman" w:hAnsi="Times New Roman"/>
        </w:rPr>
        <w:t xml:space="preserve">deferral </w:t>
      </w:r>
      <w:r w:rsidR="00A93656" w:rsidRPr="00672810">
        <w:rPr>
          <w:rFonts w:ascii="Times New Roman" w:hAnsi="Times New Roman"/>
        </w:rPr>
        <w:t>calculation</w:t>
      </w:r>
      <w:r w:rsidR="00A54AE4" w:rsidRPr="00672810">
        <w:rPr>
          <w:rFonts w:ascii="Times New Roman" w:hAnsi="Times New Roman"/>
        </w:rPr>
        <w:t>s for calendar year 20</w:t>
      </w:r>
      <w:r w:rsidR="00A93656" w:rsidRPr="00672810">
        <w:rPr>
          <w:rFonts w:ascii="Times New Roman" w:hAnsi="Times New Roman"/>
        </w:rPr>
        <w:t>1</w:t>
      </w:r>
      <w:r w:rsidR="004A1C6C">
        <w:rPr>
          <w:rFonts w:ascii="Times New Roman" w:hAnsi="Times New Roman"/>
        </w:rPr>
        <w:t>3</w:t>
      </w:r>
      <w:r w:rsidR="00C06680" w:rsidRPr="00672810">
        <w:rPr>
          <w:rFonts w:ascii="Times New Roman" w:hAnsi="Times New Roman"/>
        </w:rPr>
        <w:t xml:space="preserve">, </w:t>
      </w:r>
      <w:r w:rsidRPr="00672810">
        <w:rPr>
          <w:rFonts w:ascii="Times New Roman" w:hAnsi="Times New Roman"/>
        </w:rPr>
        <w:t xml:space="preserve">as required under </w:t>
      </w:r>
      <w:r w:rsidR="002E1A9F" w:rsidRPr="00672810">
        <w:rPr>
          <w:rFonts w:ascii="Times New Roman" w:hAnsi="Times New Roman"/>
        </w:rPr>
        <w:t>the</w:t>
      </w:r>
      <w:r w:rsidR="003900E8" w:rsidRPr="00672810">
        <w:rPr>
          <w:rFonts w:ascii="Times New Roman" w:hAnsi="Times New Roman"/>
        </w:rPr>
        <w:t xml:space="preserve"> </w:t>
      </w:r>
      <w:r w:rsidR="002E1A9F" w:rsidRPr="00672810">
        <w:rPr>
          <w:rFonts w:ascii="Times New Roman" w:hAnsi="Times New Roman"/>
        </w:rPr>
        <w:t>s</w:t>
      </w:r>
      <w:r w:rsidR="003900E8" w:rsidRPr="00672810">
        <w:rPr>
          <w:rFonts w:ascii="Times New Roman" w:hAnsi="Times New Roman"/>
        </w:rPr>
        <w:t xml:space="preserve">ettlement </w:t>
      </w:r>
      <w:r w:rsidR="002E1A9F" w:rsidRPr="00672810">
        <w:rPr>
          <w:rFonts w:ascii="Times New Roman" w:hAnsi="Times New Roman"/>
        </w:rPr>
        <w:t>s</w:t>
      </w:r>
      <w:r w:rsidR="003900E8" w:rsidRPr="00672810">
        <w:rPr>
          <w:rFonts w:ascii="Times New Roman" w:hAnsi="Times New Roman"/>
        </w:rPr>
        <w:t xml:space="preserve">tipulation approved by the </w:t>
      </w:r>
      <w:r w:rsidR="001A71D7" w:rsidRPr="00672810">
        <w:rPr>
          <w:rFonts w:ascii="Times New Roman" w:hAnsi="Times New Roman"/>
        </w:rPr>
        <w:t>Utilities and Transportation Commission (c</w:t>
      </w:r>
      <w:r w:rsidR="003900E8" w:rsidRPr="00672810">
        <w:rPr>
          <w:rFonts w:ascii="Times New Roman" w:hAnsi="Times New Roman"/>
        </w:rPr>
        <w:t>ommission</w:t>
      </w:r>
      <w:r w:rsidR="001A71D7" w:rsidRPr="00672810">
        <w:rPr>
          <w:rFonts w:ascii="Times New Roman" w:hAnsi="Times New Roman"/>
        </w:rPr>
        <w:t>)</w:t>
      </w:r>
      <w:r w:rsidR="003900E8" w:rsidRPr="00672810">
        <w:rPr>
          <w:rFonts w:ascii="Times New Roman" w:hAnsi="Times New Roman"/>
        </w:rPr>
        <w:t xml:space="preserve"> in Docket UE-011595 and clarified in </w:t>
      </w:r>
      <w:r w:rsidR="001A71D7" w:rsidRPr="00672810">
        <w:rPr>
          <w:rFonts w:ascii="Times New Roman" w:hAnsi="Times New Roman"/>
        </w:rPr>
        <w:t xml:space="preserve">Docket </w:t>
      </w:r>
      <w:r w:rsidR="003900E8" w:rsidRPr="00672810">
        <w:rPr>
          <w:rFonts w:ascii="Times New Roman" w:hAnsi="Times New Roman"/>
        </w:rPr>
        <w:t>UE-030751</w:t>
      </w:r>
      <w:r w:rsidR="002E1A9F" w:rsidRPr="00672810">
        <w:rPr>
          <w:rFonts w:ascii="Times New Roman" w:hAnsi="Times New Roman"/>
        </w:rPr>
        <w:t xml:space="preserve">. </w:t>
      </w:r>
      <w:r w:rsidR="003A6EDD" w:rsidRPr="00672810">
        <w:rPr>
          <w:rFonts w:ascii="Times New Roman" w:hAnsi="Times New Roman"/>
        </w:rPr>
        <w:t xml:space="preserve">The purpose for the annual filing is to allow both the commission and interested parties 90 days to </w:t>
      </w:r>
      <w:r w:rsidR="003625B8" w:rsidRPr="00672810">
        <w:rPr>
          <w:rFonts w:ascii="Times New Roman" w:hAnsi="Times New Roman"/>
        </w:rPr>
        <w:t xml:space="preserve">audit and </w:t>
      </w:r>
      <w:r w:rsidR="003A6EDD" w:rsidRPr="00672810">
        <w:rPr>
          <w:rFonts w:ascii="Times New Roman" w:hAnsi="Times New Roman"/>
        </w:rPr>
        <w:t xml:space="preserve">review the prudence of the ERM deferral entries for the prior calendar year. </w:t>
      </w:r>
      <w:r w:rsidR="002E1A9F" w:rsidRPr="00672810">
        <w:rPr>
          <w:rFonts w:ascii="Times New Roman" w:hAnsi="Times New Roman"/>
        </w:rPr>
        <w:t xml:space="preserve">The 90-day period </w:t>
      </w:r>
      <w:r w:rsidR="00373643" w:rsidRPr="00672810">
        <w:rPr>
          <w:rFonts w:ascii="Times New Roman" w:hAnsi="Times New Roman"/>
        </w:rPr>
        <w:t>end</w:t>
      </w:r>
      <w:r w:rsidR="00373643">
        <w:rPr>
          <w:rFonts w:ascii="Times New Roman" w:hAnsi="Times New Roman"/>
        </w:rPr>
        <w:t>s</w:t>
      </w:r>
      <w:r w:rsidR="00373643" w:rsidRPr="00672810">
        <w:rPr>
          <w:rFonts w:ascii="Times New Roman" w:hAnsi="Times New Roman"/>
        </w:rPr>
        <w:t xml:space="preserve"> </w:t>
      </w:r>
      <w:r w:rsidR="002E1A9F" w:rsidRPr="00672810">
        <w:rPr>
          <w:rFonts w:ascii="Times New Roman" w:hAnsi="Times New Roman"/>
        </w:rPr>
        <w:t xml:space="preserve">June </w:t>
      </w:r>
      <w:r w:rsidR="00E670D7">
        <w:rPr>
          <w:rFonts w:ascii="Times New Roman" w:hAnsi="Times New Roman"/>
        </w:rPr>
        <w:t>28</w:t>
      </w:r>
      <w:r w:rsidR="002E1A9F" w:rsidRPr="00672810">
        <w:rPr>
          <w:rFonts w:ascii="Times New Roman" w:hAnsi="Times New Roman"/>
        </w:rPr>
        <w:t>, 20</w:t>
      </w:r>
      <w:r w:rsidR="00A93656" w:rsidRPr="00672810">
        <w:rPr>
          <w:rFonts w:ascii="Times New Roman" w:hAnsi="Times New Roman"/>
        </w:rPr>
        <w:t>1</w:t>
      </w:r>
      <w:r w:rsidR="004A1C6C">
        <w:rPr>
          <w:rFonts w:ascii="Times New Roman" w:hAnsi="Times New Roman"/>
        </w:rPr>
        <w:t>4</w:t>
      </w:r>
      <w:r w:rsidR="002E1A9F" w:rsidRPr="00672810">
        <w:rPr>
          <w:rFonts w:ascii="Times New Roman" w:hAnsi="Times New Roman"/>
        </w:rPr>
        <w:t>.</w:t>
      </w:r>
    </w:p>
    <w:p w14:paraId="0C396967" w14:textId="77777777" w:rsidR="00657DEE" w:rsidRDefault="00657DEE">
      <w:pPr>
        <w:rPr>
          <w:rFonts w:ascii="Times New Roman" w:hAnsi="Times New Roman"/>
        </w:rPr>
      </w:pPr>
    </w:p>
    <w:p w14:paraId="7D4F0F5D" w14:textId="4B043167" w:rsidR="000E6534" w:rsidRDefault="00C74953" w:rsidP="00C908CD">
      <w:pPr>
        <w:spacing w:after="240" w:line="288" w:lineRule="auto"/>
        <w:rPr>
          <w:rFonts w:ascii="Times New Roman" w:hAnsi="Times New Roman"/>
        </w:rPr>
      </w:pPr>
      <w:r w:rsidRPr="00C74953">
        <w:rPr>
          <w:rFonts w:ascii="Times New Roman" w:hAnsi="Times New Roman"/>
        </w:rPr>
        <w:t>The base</w:t>
      </w:r>
      <w:r w:rsidR="00E670D7">
        <w:rPr>
          <w:rFonts w:ascii="Times New Roman" w:hAnsi="Times New Roman"/>
        </w:rPr>
        <w:t xml:space="preserve"> levels</w:t>
      </w:r>
      <w:r w:rsidRPr="00C74953">
        <w:rPr>
          <w:rFonts w:ascii="Times New Roman" w:hAnsi="Times New Roman"/>
        </w:rPr>
        <w:t xml:space="preserve"> for </w:t>
      </w:r>
      <w:r w:rsidR="00E670D7">
        <w:rPr>
          <w:rFonts w:ascii="Times New Roman" w:hAnsi="Times New Roman"/>
        </w:rPr>
        <w:t>201</w:t>
      </w:r>
      <w:r w:rsidR="004A1C6C">
        <w:rPr>
          <w:rFonts w:ascii="Times New Roman" w:hAnsi="Times New Roman"/>
        </w:rPr>
        <w:t>3</w:t>
      </w:r>
      <w:r w:rsidR="00E670D7">
        <w:rPr>
          <w:rFonts w:ascii="Times New Roman" w:hAnsi="Times New Roman"/>
        </w:rPr>
        <w:t xml:space="preserve"> result from the power supply revenues and expenses approved by the </w:t>
      </w:r>
      <w:r w:rsidR="0031005E">
        <w:rPr>
          <w:rFonts w:ascii="Times New Roman" w:hAnsi="Times New Roman"/>
        </w:rPr>
        <w:t>commission</w:t>
      </w:r>
      <w:r w:rsidR="00E670D7">
        <w:rPr>
          <w:rFonts w:ascii="Times New Roman" w:hAnsi="Times New Roman"/>
        </w:rPr>
        <w:t xml:space="preserve"> in Docket No. UE-</w:t>
      </w:r>
      <w:r w:rsidR="00DD6973">
        <w:rPr>
          <w:rFonts w:ascii="Times New Roman" w:hAnsi="Times New Roman"/>
        </w:rPr>
        <w:t>120436</w:t>
      </w:r>
      <w:r w:rsidR="00E670D7">
        <w:rPr>
          <w:rFonts w:ascii="Times New Roman" w:hAnsi="Times New Roman"/>
        </w:rPr>
        <w:t>.</w:t>
      </w:r>
      <w:r w:rsidR="0031005E">
        <w:rPr>
          <w:rFonts w:ascii="Times New Roman" w:hAnsi="Times New Roman"/>
        </w:rPr>
        <w:t xml:space="preserve"> </w:t>
      </w:r>
      <w:r w:rsidR="00E670D7">
        <w:rPr>
          <w:rFonts w:ascii="Times New Roman" w:hAnsi="Times New Roman"/>
        </w:rPr>
        <w:t>During 201</w:t>
      </w:r>
      <w:r w:rsidR="004A1C6C">
        <w:rPr>
          <w:rFonts w:ascii="Times New Roman" w:hAnsi="Times New Roman"/>
        </w:rPr>
        <w:t>3</w:t>
      </w:r>
      <w:r w:rsidR="00E670D7">
        <w:rPr>
          <w:rFonts w:ascii="Times New Roman" w:hAnsi="Times New Roman"/>
        </w:rPr>
        <w:t xml:space="preserve"> actual </w:t>
      </w:r>
      <w:r w:rsidR="0048712C">
        <w:rPr>
          <w:rFonts w:ascii="Times New Roman" w:hAnsi="Times New Roman"/>
        </w:rPr>
        <w:t xml:space="preserve">net power costs were </w:t>
      </w:r>
      <w:r w:rsidR="004A1C6C">
        <w:rPr>
          <w:rFonts w:ascii="Times New Roman" w:hAnsi="Times New Roman"/>
        </w:rPr>
        <w:t>higher</w:t>
      </w:r>
      <w:r w:rsidR="0048712C">
        <w:rPr>
          <w:rFonts w:ascii="Times New Roman" w:hAnsi="Times New Roman"/>
        </w:rPr>
        <w:t xml:space="preserve"> tha</w:t>
      </w:r>
      <w:r w:rsidR="004A1C6C">
        <w:rPr>
          <w:rFonts w:ascii="Times New Roman" w:hAnsi="Times New Roman"/>
        </w:rPr>
        <w:t>n</w:t>
      </w:r>
      <w:r w:rsidR="0048712C">
        <w:rPr>
          <w:rFonts w:ascii="Times New Roman" w:hAnsi="Times New Roman"/>
        </w:rPr>
        <w:t xml:space="preserve"> the authorized base level for the Washington jurisdiction by $</w:t>
      </w:r>
      <w:r w:rsidR="004A1C6C">
        <w:rPr>
          <w:rFonts w:ascii="Times New Roman" w:hAnsi="Times New Roman"/>
        </w:rPr>
        <w:t>5,037,302</w:t>
      </w:r>
      <w:r w:rsidR="000E6534">
        <w:rPr>
          <w:rFonts w:ascii="Times New Roman" w:hAnsi="Times New Roman"/>
        </w:rPr>
        <w:t>.</w:t>
      </w:r>
      <w:r w:rsidR="0031005E">
        <w:rPr>
          <w:rFonts w:ascii="Times New Roman" w:hAnsi="Times New Roman"/>
        </w:rPr>
        <w:t xml:space="preserve"> </w:t>
      </w:r>
      <w:r w:rsidR="000E6534">
        <w:rPr>
          <w:rFonts w:ascii="Times New Roman" w:hAnsi="Times New Roman"/>
        </w:rPr>
        <w:t>The results is</w:t>
      </w:r>
      <w:r w:rsidR="0048712C">
        <w:rPr>
          <w:rFonts w:ascii="Times New Roman" w:hAnsi="Times New Roman"/>
        </w:rPr>
        <w:t xml:space="preserve"> a deferral </w:t>
      </w:r>
      <w:r w:rsidR="004A1C6C">
        <w:rPr>
          <w:rFonts w:ascii="Times New Roman" w:hAnsi="Times New Roman"/>
        </w:rPr>
        <w:t xml:space="preserve">in the surcharge direction </w:t>
      </w:r>
      <w:r w:rsidR="0048712C">
        <w:rPr>
          <w:rFonts w:ascii="Times New Roman" w:hAnsi="Times New Roman"/>
        </w:rPr>
        <w:t>for 201</w:t>
      </w:r>
      <w:r w:rsidR="004A1C6C">
        <w:rPr>
          <w:rFonts w:ascii="Times New Roman" w:hAnsi="Times New Roman"/>
        </w:rPr>
        <w:t>3</w:t>
      </w:r>
      <w:r w:rsidR="0048712C">
        <w:rPr>
          <w:rFonts w:ascii="Times New Roman" w:hAnsi="Times New Roman"/>
        </w:rPr>
        <w:t xml:space="preserve"> of $</w:t>
      </w:r>
      <w:r w:rsidR="004A1C6C">
        <w:rPr>
          <w:rFonts w:ascii="Times New Roman" w:hAnsi="Times New Roman"/>
        </w:rPr>
        <w:t>1,256,651</w:t>
      </w:r>
      <w:r w:rsidR="003A4BC8">
        <w:rPr>
          <w:rFonts w:ascii="Times New Roman" w:hAnsi="Times New Roman"/>
        </w:rPr>
        <w:t xml:space="preserve">, after several additional adjustments and </w:t>
      </w:r>
      <w:r w:rsidR="0048712C">
        <w:rPr>
          <w:rFonts w:ascii="Times New Roman" w:hAnsi="Times New Roman"/>
        </w:rPr>
        <w:t>taking into consideration the ERM’s deadband and sharing bands.</w:t>
      </w:r>
      <w:r w:rsidR="0031005E">
        <w:rPr>
          <w:rFonts w:ascii="Times New Roman" w:hAnsi="Times New Roman"/>
        </w:rPr>
        <w:t xml:space="preserve"> </w:t>
      </w:r>
      <w:r w:rsidR="0048712C">
        <w:rPr>
          <w:rFonts w:ascii="Times New Roman" w:hAnsi="Times New Roman"/>
        </w:rPr>
        <w:t>The balance in the 201</w:t>
      </w:r>
      <w:r w:rsidR="004A1C6C">
        <w:rPr>
          <w:rFonts w:ascii="Times New Roman" w:hAnsi="Times New Roman"/>
        </w:rPr>
        <w:t>3</w:t>
      </w:r>
      <w:r w:rsidR="0048712C">
        <w:rPr>
          <w:rFonts w:ascii="Times New Roman" w:hAnsi="Times New Roman"/>
        </w:rPr>
        <w:t xml:space="preserve"> deferral account at December 31, 201</w:t>
      </w:r>
      <w:r w:rsidR="004A1C6C">
        <w:rPr>
          <w:rFonts w:ascii="Times New Roman" w:hAnsi="Times New Roman"/>
        </w:rPr>
        <w:t>3</w:t>
      </w:r>
      <w:r w:rsidR="0048712C">
        <w:rPr>
          <w:rFonts w:ascii="Times New Roman" w:hAnsi="Times New Roman"/>
        </w:rPr>
        <w:t xml:space="preserve"> was $</w:t>
      </w:r>
      <w:r w:rsidR="004A1C6C">
        <w:rPr>
          <w:rFonts w:ascii="Times New Roman" w:hAnsi="Times New Roman"/>
        </w:rPr>
        <w:t xml:space="preserve">17,903,588 in the </w:t>
      </w:r>
      <w:r w:rsidR="0048712C">
        <w:rPr>
          <w:rFonts w:ascii="Times New Roman" w:hAnsi="Times New Roman"/>
        </w:rPr>
        <w:t>rebate direction.</w:t>
      </w:r>
      <w:r w:rsidR="0031005E">
        <w:rPr>
          <w:rFonts w:ascii="Times New Roman" w:hAnsi="Times New Roman"/>
        </w:rPr>
        <w:t xml:space="preserve"> </w:t>
      </w:r>
    </w:p>
    <w:tbl>
      <w:tblPr>
        <w:tblStyle w:val="TableGrid"/>
        <w:tblW w:w="0" w:type="auto"/>
        <w:tblInd w:w="108" w:type="dxa"/>
        <w:tblLayout w:type="fixed"/>
        <w:tblLook w:val="04A0" w:firstRow="1" w:lastRow="0" w:firstColumn="1" w:lastColumn="0" w:noHBand="0" w:noVBand="1"/>
      </w:tblPr>
      <w:tblGrid>
        <w:gridCol w:w="5760"/>
        <w:gridCol w:w="1854"/>
        <w:gridCol w:w="1854"/>
      </w:tblGrid>
      <w:tr w:rsidR="000E6534" w14:paraId="4DD9F138" w14:textId="77777777" w:rsidTr="00063AA7">
        <w:tc>
          <w:tcPr>
            <w:tcW w:w="5760" w:type="dxa"/>
          </w:tcPr>
          <w:p w14:paraId="55703948" w14:textId="77777777" w:rsidR="000E6534" w:rsidRDefault="000E6534" w:rsidP="00686655">
            <w:pPr>
              <w:spacing w:line="288" w:lineRule="auto"/>
              <w:rPr>
                <w:rFonts w:ascii="Times New Roman" w:hAnsi="Times New Roman"/>
              </w:rPr>
            </w:pPr>
          </w:p>
        </w:tc>
        <w:tc>
          <w:tcPr>
            <w:tcW w:w="1854" w:type="dxa"/>
            <w:vAlign w:val="center"/>
          </w:tcPr>
          <w:p w14:paraId="4D52632F" w14:textId="38EDC054" w:rsidR="000E6534" w:rsidRDefault="008B0DF0" w:rsidP="008B0DF0">
            <w:pPr>
              <w:spacing w:line="288" w:lineRule="auto"/>
              <w:jc w:val="center"/>
              <w:rPr>
                <w:rFonts w:ascii="Times New Roman" w:hAnsi="Times New Roman"/>
              </w:rPr>
            </w:pPr>
            <w:r>
              <w:rPr>
                <w:rFonts w:ascii="Times New Roman" w:hAnsi="Times New Roman"/>
              </w:rPr>
              <w:t>Avista</w:t>
            </w:r>
          </w:p>
        </w:tc>
        <w:tc>
          <w:tcPr>
            <w:tcW w:w="1854" w:type="dxa"/>
            <w:vAlign w:val="center"/>
          </w:tcPr>
          <w:p w14:paraId="6CB3EEB8" w14:textId="3A3AE642" w:rsidR="000E6534" w:rsidRDefault="000E6534" w:rsidP="008B0DF0">
            <w:pPr>
              <w:spacing w:line="288" w:lineRule="auto"/>
              <w:jc w:val="center"/>
              <w:rPr>
                <w:rFonts w:ascii="Times New Roman" w:hAnsi="Times New Roman"/>
              </w:rPr>
            </w:pPr>
            <w:r>
              <w:rPr>
                <w:rFonts w:ascii="Times New Roman" w:hAnsi="Times New Roman"/>
              </w:rPr>
              <w:t>Ratepayers</w:t>
            </w:r>
          </w:p>
        </w:tc>
      </w:tr>
      <w:tr w:rsidR="000E6534" w14:paraId="77FA4E6E" w14:textId="77777777" w:rsidTr="00063AA7">
        <w:tc>
          <w:tcPr>
            <w:tcW w:w="5760" w:type="dxa"/>
          </w:tcPr>
          <w:p w14:paraId="3D07CC3B" w14:textId="5E147246" w:rsidR="000E6534" w:rsidRDefault="00132851" w:rsidP="00A63E06">
            <w:pPr>
              <w:spacing w:line="288" w:lineRule="auto"/>
              <w:rPr>
                <w:rFonts w:ascii="Times New Roman" w:hAnsi="Times New Roman"/>
              </w:rPr>
            </w:pPr>
            <w:r>
              <w:rPr>
                <w:rFonts w:ascii="Times New Roman" w:hAnsi="Times New Roman"/>
              </w:rPr>
              <w:t>Net Power Costs</w:t>
            </w:r>
            <w:r w:rsidR="00A63E06">
              <w:rPr>
                <w:rFonts w:ascii="Times New Roman" w:hAnsi="Times New Roman"/>
              </w:rPr>
              <w:t xml:space="preserve"> (after B</w:t>
            </w:r>
            <w:r w:rsidR="008B741A">
              <w:rPr>
                <w:rFonts w:ascii="Times New Roman" w:hAnsi="Times New Roman"/>
              </w:rPr>
              <w:t>and</w:t>
            </w:r>
            <w:r w:rsidR="008B0DF0">
              <w:rPr>
                <w:rFonts w:ascii="Times New Roman" w:hAnsi="Times New Roman"/>
              </w:rPr>
              <w:t xml:space="preserve"> sharing</w:t>
            </w:r>
            <w:r w:rsidR="008B741A">
              <w:rPr>
                <w:rFonts w:ascii="Times New Roman" w:hAnsi="Times New Roman"/>
              </w:rPr>
              <w:t>)</w:t>
            </w:r>
            <w:r w:rsidR="00C908CD">
              <w:rPr>
                <w:rStyle w:val="FootnoteReference"/>
                <w:rFonts w:ascii="Times New Roman" w:hAnsi="Times New Roman"/>
              </w:rPr>
              <w:footnoteReference w:id="1"/>
            </w:r>
          </w:p>
        </w:tc>
        <w:tc>
          <w:tcPr>
            <w:tcW w:w="1854" w:type="dxa"/>
          </w:tcPr>
          <w:p w14:paraId="6F32D9EF" w14:textId="6E7D829A" w:rsidR="000E6534" w:rsidRDefault="00132851" w:rsidP="008B0DF0">
            <w:pPr>
              <w:spacing w:line="288" w:lineRule="auto"/>
              <w:jc w:val="right"/>
              <w:rPr>
                <w:rFonts w:ascii="Times New Roman" w:hAnsi="Times New Roman"/>
              </w:rPr>
            </w:pPr>
            <w:r>
              <w:rPr>
                <w:rFonts w:ascii="Times New Roman" w:hAnsi="Times New Roman"/>
              </w:rPr>
              <w:t>$4,518,561</w:t>
            </w:r>
          </w:p>
        </w:tc>
        <w:tc>
          <w:tcPr>
            <w:tcW w:w="1854" w:type="dxa"/>
          </w:tcPr>
          <w:p w14:paraId="0CDF9240" w14:textId="6C972083" w:rsidR="000E6534" w:rsidRDefault="00132851" w:rsidP="008B0DF0">
            <w:pPr>
              <w:spacing w:line="288" w:lineRule="auto"/>
              <w:jc w:val="right"/>
              <w:rPr>
                <w:rFonts w:ascii="Times New Roman" w:hAnsi="Times New Roman"/>
              </w:rPr>
            </w:pPr>
            <w:r>
              <w:rPr>
                <w:rFonts w:ascii="Times New Roman" w:hAnsi="Times New Roman"/>
              </w:rPr>
              <w:t>$518,651</w:t>
            </w:r>
          </w:p>
        </w:tc>
      </w:tr>
      <w:tr w:rsidR="000E6534" w14:paraId="5FD07955" w14:textId="77777777" w:rsidTr="00063AA7">
        <w:tc>
          <w:tcPr>
            <w:tcW w:w="5760" w:type="dxa"/>
          </w:tcPr>
          <w:p w14:paraId="589FC01B" w14:textId="23141A90" w:rsidR="000E6534" w:rsidRDefault="00132851" w:rsidP="0023200F">
            <w:pPr>
              <w:spacing w:line="288" w:lineRule="auto"/>
              <w:rPr>
                <w:rFonts w:ascii="Times New Roman" w:hAnsi="Times New Roman"/>
              </w:rPr>
            </w:pPr>
            <w:r>
              <w:rPr>
                <w:rFonts w:ascii="Times New Roman" w:hAnsi="Times New Roman"/>
              </w:rPr>
              <w:t xml:space="preserve">Colstrip </w:t>
            </w:r>
            <w:r w:rsidR="0023200F">
              <w:rPr>
                <w:rFonts w:ascii="Times New Roman" w:hAnsi="Times New Roman"/>
              </w:rPr>
              <w:t>R</w:t>
            </w:r>
            <w:r>
              <w:rPr>
                <w:rFonts w:ascii="Times New Roman" w:hAnsi="Times New Roman"/>
              </w:rPr>
              <w:t>ebate</w:t>
            </w:r>
          </w:p>
        </w:tc>
        <w:tc>
          <w:tcPr>
            <w:tcW w:w="1854" w:type="dxa"/>
          </w:tcPr>
          <w:p w14:paraId="0399A640" w14:textId="753AC166" w:rsidR="000E6534" w:rsidRDefault="008B0DF0" w:rsidP="008B0DF0">
            <w:pPr>
              <w:spacing w:line="288" w:lineRule="auto"/>
              <w:jc w:val="right"/>
              <w:rPr>
                <w:rFonts w:ascii="Times New Roman" w:hAnsi="Times New Roman"/>
              </w:rPr>
            </w:pPr>
            <w:r>
              <w:rPr>
                <w:rFonts w:ascii="Times New Roman" w:hAnsi="Times New Roman"/>
              </w:rPr>
              <w:t>-</w:t>
            </w:r>
          </w:p>
        </w:tc>
        <w:tc>
          <w:tcPr>
            <w:tcW w:w="1854" w:type="dxa"/>
          </w:tcPr>
          <w:p w14:paraId="388BA1F1" w14:textId="60873C92" w:rsidR="000E6534" w:rsidRDefault="008B741A" w:rsidP="008B0DF0">
            <w:pPr>
              <w:spacing w:line="288" w:lineRule="auto"/>
              <w:jc w:val="right"/>
              <w:rPr>
                <w:rFonts w:ascii="Times New Roman" w:hAnsi="Times New Roman"/>
              </w:rPr>
            </w:pPr>
            <w:r>
              <w:rPr>
                <w:rFonts w:ascii="Times New Roman" w:hAnsi="Times New Roman"/>
              </w:rPr>
              <w:t>$(70,084)</w:t>
            </w:r>
          </w:p>
        </w:tc>
      </w:tr>
      <w:tr w:rsidR="000E6534" w14:paraId="0C4F16B2" w14:textId="77777777" w:rsidTr="00063AA7">
        <w:tc>
          <w:tcPr>
            <w:tcW w:w="5760" w:type="dxa"/>
          </w:tcPr>
          <w:p w14:paraId="5BCBA977" w14:textId="0483302C" w:rsidR="000E6534" w:rsidRDefault="008B741A" w:rsidP="00686655">
            <w:pPr>
              <w:spacing w:line="288" w:lineRule="auto"/>
              <w:rPr>
                <w:rFonts w:ascii="Times New Roman" w:hAnsi="Times New Roman"/>
              </w:rPr>
            </w:pPr>
            <w:r>
              <w:rPr>
                <w:rFonts w:ascii="Times New Roman" w:hAnsi="Times New Roman"/>
              </w:rPr>
              <w:t>Accounting Error</w:t>
            </w:r>
          </w:p>
        </w:tc>
        <w:tc>
          <w:tcPr>
            <w:tcW w:w="1854" w:type="dxa"/>
          </w:tcPr>
          <w:p w14:paraId="2F31102D" w14:textId="5C0F80A1" w:rsidR="000E6534" w:rsidRDefault="008B0DF0" w:rsidP="008B0DF0">
            <w:pPr>
              <w:spacing w:line="288" w:lineRule="auto"/>
              <w:jc w:val="right"/>
              <w:rPr>
                <w:rFonts w:ascii="Times New Roman" w:hAnsi="Times New Roman"/>
              </w:rPr>
            </w:pPr>
            <w:r>
              <w:rPr>
                <w:rFonts w:ascii="Times New Roman" w:hAnsi="Times New Roman"/>
              </w:rPr>
              <w:t>$279,568</w:t>
            </w:r>
          </w:p>
        </w:tc>
        <w:tc>
          <w:tcPr>
            <w:tcW w:w="1854" w:type="dxa"/>
          </w:tcPr>
          <w:p w14:paraId="08464EF1" w14:textId="1BB02122" w:rsidR="000E6534" w:rsidRDefault="008B0DF0" w:rsidP="008B0DF0">
            <w:pPr>
              <w:spacing w:line="288" w:lineRule="auto"/>
              <w:jc w:val="right"/>
              <w:rPr>
                <w:rFonts w:ascii="Times New Roman" w:hAnsi="Times New Roman"/>
              </w:rPr>
            </w:pPr>
            <w:r>
              <w:rPr>
                <w:rFonts w:ascii="Times New Roman" w:hAnsi="Times New Roman"/>
              </w:rPr>
              <w:t>$</w:t>
            </w:r>
            <w:r w:rsidR="008B741A">
              <w:rPr>
                <w:rFonts w:ascii="Times New Roman" w:hAnsi="Times New Roman"/>
              </w:rPr>
              <w:t>808,681</w:t>
            </w:r>
          </w:p>
        </w:tc>
      </w:tr>
      <w:tr w:rsidR="000E6534" w14:paraId="6D0F95F8" w14:textId="77777777" w:rsidTr="00063AA7">
        <w:tc>
          <w:tcPr>
            <w:tcW w:w="5760" w:type="dxa"/>
            <w:tcBorders>
              <w:bottom w:val="single" w:sz="12" w:space="0" w:color="auto"/>
            </w:tcBorders>
          </w:tcPr>
          <w:p w14:paraId="51266568" w14:textId="6441BAA8" w:rsidR="000E6534" w:rsidRDefault="008B0DF0" w:rsidP="0023200F">
            <w:pPr>
              <w:spacing w:line="288" w:lineRule="auto"/>
              <w:rPr>
                <w:rFonts w:ascii="Times New Roman" w:hAnsi="Times New Roman"/>
              </w:rPr>
            </w:pPr>
            <w:r>
              <w:rPr>
                <w:rFonts w:ascii="Times New Roman" w:hAnsi="Times New Roman"/>
              </w:rPr>
              <w:t>Interest</w:t>
            </w:r>
            <w:r w:rsidR="0023200F">
              <w:rPr>
                <w:rFonts w:ascii="Times New Roman" w:hAnsi="Times New Roman"/>
              </w:rPr>
              <w:t xml:space="preserve"> on Deferral</w:t>
            </w:r>
          </w:p>
        </w:tc>
        <w:tc>
          <w:tcPr>
            <w:tcW w:w="1854" w:type="dxa"/>
            <w:tcBorders>
              <w:bottom w:val="single" w:sz="12" w:space="0" w:color="auto"/>
            </w:tcBorders>
          </w:tcPr>
          <w:p w14:paraId="490D3035" w14:textId="1ECB3847" w:rsidR="000E6534" w:rsidRDefault="008B0DF0" w:rsidP="008B0DF0">
            <w:pPr>
              <w:spacing w:line="288" w:lineRule="auto"/>
              <w:jc w:val="right"/>
              <w:rPr>
                <w:rFonts w:ascii="Times New Roman" w:hAnsi="Times New Roman"/>
              </w:rPr>
            </w:pPr>
            <w:r>
              <w:rPr>
                <w:rFonts w:ascii="Times New Roman" w:hAnsi="Times New Roman"/>
              </w:rPr>
              <w:t>-</w:t>
            </w:r>
          </w:p>
        </w:tc>
        <w:tc>
          <w:tcPr>
            <w:tcW w:w="1854" w:type="dxa"/>
            <w:tcBorders>
              <w:bottom w:val="single" w:sz="12" w:space="0" w:color="auto"/>
            </w:tcBorders>
          </w:tcPr>
          <w:p w14:paraId="19FF2A89" w14:textId="10593498" w:rsidR="000E6534" w:rsidRDefault="008B0DF0" w:rsidP="008B0DF0">
            <w:pPr>
              <w:spacing w:line="288" w:lineRule="auto"/>
              <w:jc w:val="right"/>
              <w:rPr>
                <w:rFonts w:ascii="Times New Roman" w:hAnsi="Times New Roman"/>
              </w:rPr>
            </w:pPr>
            <w:r>
              <w:rPr>
                <w:rFonts w:ascii="Times New Roman" w:hAnsi="Times New Roman"/>
              </w:rPr>
              <w:t>$(801)</w:t>
            </w:r>
          </w:p>
        </w:tc>
      </w:tr>
      <w:tr w:rsidR="008B0DF0" w14:paraId="215D2E59" w14:textId="77777777" w:rsidTr="00063AA7">
        <w:tc>
          <w:tcPr>
            <w:tcW w:w="5760" w:type="dxa"/>
            <w:tcBorders>
              <w:top w:val="single" w:sz="12" w:space="0" w:color="auto"/>
              <w:bottom w:val="single" w:sz="4" w:space="0" w:color="auto"/>
            </w:tcBorders>
            <w:shd w:val="clear" w:color="auto" w:fill="auto"/>
          </w:tcPr>
          <w:p w14:paraId="4671561B" w14:textId="5D51FB2A" w:rsidR="008B0DF0" w:rsidRDefault="008B0DF0" w:rsidP="0023200F">
            <w:pPr>
              <w:spacing w:line="288" w:lineRule="auto"/>
              <w:rPr>
                <w:rFonts w:ascii="Times New Roman" w:hAnsi="Times New Roman"/>
              </w:rPr>
            </w:pPr>
            <w:r>
              <w:rPr>
                <w:rFonts w:ascii="Times New Roman" w:hAnsi="Times New Roman"/>
              </w:rPr>
              <w:t>Total</w:t>
            </w:r>
            <w:r w:rsidR="00A63E06">
              <w:rPr>
                <w:rFonts w:ascii="Times New Roman" w:hAnsi="Times New Roman"/>
              </w:rPr>
              <w:t xml:space="preserve"> </w:t>
            </w:r>
            <w:r w:rsidR="0023200F">
              <w:rPr>
                <w:rFonts w:ascii="Times New Roman" w:hAnsi="Times New Roman"/>
              </w:rPr>
              <w:t>2013 Related S</w:t>
            </w:r>
            <w:r w:rsidR="00A63E06">
              <w:rPr>
                <w:rFonts w:ascii="Times New Roman" w:hAnsi="Times New Roman"/>
              </w:rPr>
              <w:t>urcharge/(</w:t>
            </w:r>
            <w:r w:rsidR="0023200F">
              <w:rPr>
                <w:rFonts w:ascii="Times New Roman" w:hAnsi="Times New Roman"/>
              </w:rPr>
              <w:t>Rebate</w:t>
            </w:r>
            <w:r w:rsidR="00A63E06">
              <w:rPr>
                <w:rFonts w:ascii="Times New Roman" w:hAnsi="Times New Roman"/>
              </w:rPr>
              <w:t>)</w:t>
            </w:r>
          </w:p>
        </w:tc>
        <w:tc>
          <w:tcPr>
            <w:tcW w:w="1854" w:type="dxa"/>
            <w:tcBorders>
              <w:top w:val="single" w:sz="12" w:space="0" w:color="auto"/>
              <w:bottom w:val="single" w:sz="4" w:space="0" w:color="auto"/>
            </w:tcBorders>
          </w:tcPr>
          <w:p w14:paraId="05011B56" w14:textId="05251251" w:rsidR="008B0DF0" w:rsidRDefault="009C5214" w:rsidP="008B0DF0">
            <w:pPr>
              <w:spacing w:line="288" w:lineRule="auto"/>
              <w:jc w:val="right"/>
              <w:rPr>
                <w:rFonts w:ascii="Times New Roman" w:hAnsi="Times New Roman"/>
              </w:rPr>
            </w:pPr>
            <w:r>
              <w:rPr>
                <w:rFonts w:ascii="Times New Roman" w:hAnsi="Times New Roman"/>
              </w:rPr>
              <w:t>$4,798,129</w:t>
            </w:r>
          </w:p>
        </w:tc>
        <w:tc>
          <w:tcPr>
            <w:tcW w:w="1854" w:type="dxa"/>
            <w:tcBorders>
              <w:top w:val="single" w:sz="12" w:space="0" w:color="auto"/>
              <w:bottom w:val="single" w:sz="4" w:space="0" w:color="auto"/>
            </w:tcBorders>
          </w:tcPr>
          <w:p w14:paraId="16825756" w14:textId="7A3C598E" w:rsidR="008B0DF0" w:rsidRDefault="009C5214" w:rsidP="008B0DF0">
            <w:pPr>
              <w:spacing w:line="288" w:lineRule="auto"/>
              <w:jc w:val="right"/>
              <w:rPr>
                <w:rFonts w:ascii="Times New Roman" w:hAnsi="Times New Roman"/>
              </w:rPr>
            </w:pPr>
            <w:r>
              <w:rPr>
                <w:rFonts w:ascii="Times New Roman" w:hAnsi="Times New Roman"/>
              </w:rPr>
              <w:t>$1,256,447</w:t>
            </w:r>
          </w:p>
        </w:tc>
      </w:tr>
      <w:tr w:rsidR="0023200F" w14:paraId="2CC8BB08" w14:textId="77777777" w:rsidTr="00063AA7">
        <w:tc>
          <w:tcPr>
            <w:tcW w:w="5760" w:type="dxa"/>
            <w:tcBorders>
              <w:top w:val="single" w:sz="4" w:space="0" w:color="auto"/>
              <w:bottom w:val="single" w:sz="12" w:space="0" w:color="auto"/>
            </w:tcBorders>
            <w:shd w:val="clear" w:color="auto" w:fill="auto"/>
          </w:tcPr>
          <w:p w14:paraId="1F37EC7E" w14:textId="17C047C4" w:rsidR="0023200F" w:rsidRDefault="0023200F" w:rsidP="0023200F">
            <w:pPr>
              <w:spacing w:line="288" w:lineRule="auto"/>
              <w:rPr>
                <w:rFonts w:ascii="Times New Roman" w:hAnsi="Times New Roman"/>
              </w:rPr>
            </w:pPr>
            <w:r>
              <w:rPr>
                <w:rFonts w:ascii="Times New Roman" w:hAnsi="Times New Roman"/>
              </w:rPr>
              <w:t>Previous Deferral Account Balance</w:t>
            </w:r>
            <w:r w:rsidR="00063AA7">
              <w:rPr>
                <w:rFonts w:ascii="Times New Roman" w:hAnsi="Times New Roman"/>
              </w:rPr>
              <w:t xml:space="preserve"> Surcharge/(Rebate)</w:t>
            </w:r>
          </w:p>
        </w:tc>
        <w:tc>
          <w:tcPr>
            <w:tcW w:w="1854" w:type="dxa"/>
            <w:tcBorders>
              <w:top w:val="single" w:sz="4" w:space="0" w:color="auto"/>
              <w:bottom w:val="single" w:sz="12" w:space="0" w:color="auto"/>
            </w:tcBorders>
          </w:tcPr>
          <w:p w14:paraId="3F785200" w14:textId="2D1D63D5" w:rsidR="0023200F" w:rsidRDefault="0023200F" w:rsidP="008B0DF0">
            <w:pPr>
              <w:spacing w:line="288" w:lineRule="auto"/>
              <w:jc w:val="right"/>
              <w:rPr>
                <w:rFonts w:ascii="Times New Roman" w:hAnsi="Times New Roman"/>
              </w:rPr>
            </w:pPr>
            <w:r>
              <w:rPr>
                <w:rFonts w:ascii="Times New Roman" w:hAnsi="Times New Roman"/>
              </w:rPr>
              <w:t>-</w:t>
            </w:r>
          </w:p>
        </w:tc>
        <w:tc>
          <w:tcPr>
            <w:tcW w:w="1854" w:type="dxa"/>
            <w:tcBorders>
              <w:top w:val="single" w:sz="4" w:space="0" w:color="auto"/>
              <w:bottom w:val="single" w:sz="12" w:space="0" w:color="auto"/>
            </w:tcBorders>
          </w:tcPr>
          <w:p w14:paraId="05EE94A2" w14:textId="11E65823" w:rsidR="0023200F" w:rsidRDefault="0023200F" w:rsidP="008B0DF0">
            <w:pPr>
              <w:spacing w:line="288" w:lineRule="auto"/>
              <w:jc w:val="right"/>
              <w:rPr>
                <w:rFonts w:ascii="Times New Roman" w:hAnsi="Times New Roman"/>
              </w:rPr>
            </w:pPr>
            <w:r>
              <w:rPr>
                <w:rFonts w:ascii="Times New Roman" w:hAnsi="Times New Roman"/>
              </w:rPr>
              <w:t>$</w:t>
            </w:r>
            <w:r w:rsidR="00063AA7">
              <w:rPr>
                <w:rFonts w:ascii="Times New Roman" w:hAnsi="Times New Roman"/>
              </w:rPr>
              <w:t>(19,160,035)</w:t>
            </w:r>
          </w:p>
        </w:tc>
      </w:tr>
      <w:tr w:rsidR="0023200F" w14:paraId="3071FDC2" w14:textId="77777777" w:rsidTr="00063AA7">
        <w:tc>
          <w:tcPr>
            <w:tcW w:w="5760" w:type="dxa"/>
            <w:tcBorders>
              <w:top w:val="single" w:sz="12" w:space="0" w:color="auto"/>
            </w:tcBorders>
            <w:shd w:val="clear" w:color="auto" w:fill="auto"/>
          </w:tcPr>
          <w:p w14:paraId="25A6790B" w14:textId="4A774CEC" w:rsidR="0023200F" w:rsidRDefault="0023200F" w:rsidP="008418DF">
            <w:pPr>
              <w:spacing w:line="288" w:lineRule="auto"/>
              <w:rPr>
                <w:rFonts w:ascii="Times New Roman" w:hAnsi="Times New Roman"/>
              </w:rPr>
            </w:pPr>
            <w:r>
              <w:rPr>
                <w:rFonts w:ascii="Times New Roman" w:hAnsi="Times New Roman"/>
              </w:rPr>
              <w:t>Total Deferral Balance as of December 31, 2013</w:t>
            </w:r>
            <w:r w:rsidR="00063AA7">
              <w:rPr>
                <w:rFonts w:ascii="Times New Roman" w:hAnsi="Times New Roman"/>
              </w:rPr>
              <w:t xml:space="preserve"> </w:t>
            </w:r>
          </w:p>
        </w:tc>
        <w:tc>
          <w:tcPr>
            <w:tcW w:w="1854" w:type="dxa"/>
            <w:tcBorders>
              <w:top w:val="single" w:sz="12" w:space="0" w:color="auto"/>
            </w:tcBorders>
          </w:tcPr>
          <w:p w14:paraId="7E7E58E2" w14:textId="5B8BB998" w:rsidR="0023200F" w:rsidRDefault="0023200F" w:rsidP="008B0DF0">
            <w:pPr>
              <w:spacing w:line="288" w:lineRule="auto"/>
              <w:jc w:val="right"/>
              <w:rPr>
                <w:rFonts w:ascii="Times New Roman" w:hAnsi="Times New Roman"/>
              </w:rPr>
            </w:pPr>
            <w:r>
              <w:rPr>
                <w:rFonts w:ascii="Times New Roman" w:hAnsi="Times New Roman"/>
              </w:rPr>
              <w:t>-</w:t>
            </w:r>
          </w:p>
        </w:tc>
        <w:tc>
          <w:tcPr>
            <w:tcW w:w="1854" w:type="dxa"/>
            <w:tcBorders>
              <w:top w:val="single" w:sz="12" w:space="0" w:color="auto"/>
            </w:tcBorders>
          </w:tcPr>
          <w:p w14:paraId="5024D7A7" w14:textId="5DC2DDB5" w:rsidR="0023200F" w:rsidRDefault="00063AA7" w:rsidP="008B0DF0">
            <w:pPr>
              <w:spacing w:line="288" w:lineRule="auto"/>
              <w:jc w:val="right"/>
              <w:rPr>
                <w:rFonts w:ascii="Times New Roman" w:hAnsi="Times New Roman"/>
              </w:rPr>
            </w:pPr>
            <w:r>
              <w:rPr>
                <w:rFonts w:ascii="Times New Roman" w:hAnsi="Times New Roman"/>
              </w:rPr>
              <w:t>$(17,903,588)</w:t>
            </w:r>
          </w:p>
        </w:tc>
      </w:tr>
    </w:tbl>
    <w:p w14:paraId="70786497" w14:textId="77777777" w:rsidR="0041448D" w:rsidRDefault="0041448D" w:rsidP="00A63E06">
      <w:pPr>
        <w:spacing w:line="288" w:lineRule="auto"/>
        <w:rPr>
          <w:rFonts w:ascii="Times New Roman" w:hAnsi="Times New Roman"/>
          <w:u w:val="single"/>
        </w:rPr>
      </w:pPr>
    </w:p>
    <w:p w14:paraId="78E89EA4" w14:textId="15A0256D" w:rsidR="00A63E06" w:rsidRPr="00742CD4" w:rsidRDefault="00A63E06" w:rsidP="00A63E06">
      <w:pPr>
        <w:spacing w:line="288" w:lineRule="auto"/>
        <w:rPr>
          <w:rFonts w:ascii="Times New Roman" w:hAnsi="Times New Roman"/>
          <w:u w:val="single"/>
        </w:rPr>
      </w:pPr>
      <w:r w:rsidRPr="00742CD4">
        <w:rPr>
          <w:rFonts w:ascii="Times New Roman" w:hAnsi="Times New Roman"/>
          <w:u w:val="single"/>
        </w:rPr>
        <w:lastRenderedPageBreak/>
        <w:t>Colstrip Rebate</w:t>
      </w:r>
    </w:p>
    <w:p w14:paraId="0FAA5F92" w14:textId="0C5E3039" w:rsidR="00A63E06" w:rsidRDefault="00A63E06" w:rsidP="00016291">
      <w:pPr>
        <w:spacing w:line="288" w:lineRule="auto"/>
        <w:rPr>
          <w:rFonts w:ascii="Times New Roman" w:hAnsi="Times New Roman"/>
        </w:rPr>
      </w:pPr>
      <w:r>
        <w:rPr>
          <w:rFonts w:ascii="Times New Roman" w:hAnsi="Times New Roman"/>
        </w:rPr>
        <w:t xml:space="preserve">The </w:t>
      </w:r>
      <w:r w:rsidR="00FE294F">
        <w:rPr>
          <w:rFonts w:ascii="Times New Roman" w:hAnsi="Times New Roman"/>
        </w:rPr>
        <w:t>Colstrip</w:t>
      </w:r>
      <w:r w:rsidR="00281C3A" w:rsidRPr="00A63E06">
        <w:rPr>
          <w:rFonts w:ascii="Times New Roman" w:hAnsi="Times New Roman"/>
        </w:rPr>
        <w:t xml:space="preserve"> rebate of $70,084 </w:t>
      </w:r>
      <w:r w:rsidR="00CE076F">
        <w:rPr>
          <w:rFonts w:ascii="Times New Roman" w:hAnsi="Times New Roman"/>
        </w:rPr>
        <w:t xml:space="preserve">is </w:t>
      </w:r>
      <w:r w:rsidR="00281C3A" w:rsidRPr="00A63E06">
        <w:rPr>
          <w:rFonts w:ascii="Times New Roman" w:hAnsi="Times New Roman"/>
        </w:rPr>
        <w:t xml:space="preserve">related to </w:t>
      </w:r>
      <w:r w:rsidR="00FE294F">
        <w:rPr>
          <w:rFonts w:ascii="Times New Roman" w:hAnsi="Times New Roman"/>
        </w:rPr>
        <w:t>an extended outag</w:t>
      </w:r>
      <w:r w:rsidR="00C908CD">
        <w:rPr>
          <w:rFonts w:ascii="Times New Roman" w:hAnsi="Times New Roman"/>
        </w:rPr>
        <w:t>e</w:t>
      </w:r>
      <w:r w:rsidR="00FE294F">
        <w:rPr>
          <w:rFonts w:ascii="Times New Roman" w:hAnsi="Times New Roman"/>
        </w:rPr>
        <w:t xml:space="preserve"> </w:t>
      </w:r>
      <w:r w:rsidR="00CE076F">
        <w:rPr>
          <w:rFonts w:ascii="Times New Roman" w:hAnsi="Times New Roman"/>
        </w:rPr>
        <w:t xml:space="preserve">that </w:t>
      </w:r>
      <w:r w:rsidR="00016291">
        <w:rPr>
          <w:rFonts w:ascii="Times New Roman" w:hAnsi="Times New Roman"/>
        </w:rPr>
        <w:t>reduced</w:t>
      </w:r>
      <w:r w:rsidR="00CE076F">
        <w:rPr>
          <w:rFonts w:ascii="Times New Roman" w:hAnsi="Times New Roman"/>
        </w:rPr>
        <w:t xml:space="preserve"> </w:t>
      </w:r>
      <w:r w:rsidR="00FE294F">
        <w:rPr>
          <w:rFonts w:ascii="Times New Roman" w:hAnsi="Times New Roman"/>
        </w:rPr>
        <w:t>Colstrip’s</w:t>
      </w:r>
      <w:r w:rsidR="00281C3A" w:rsidRPr="00A63E06">
        <w:rPr>
          <w:rFonts w:ascii="Times New Roman" w:hAnsi="Times New Roman"/>
        </w:rPr>
        <w:t xml:space="preserve"> </w:t>
      </w:r>
      <w:r w:rsidR="000A0C15" w:rsidRPr="00A63E06">
        <w:rPr>
          <w:rFonts w:ascii="Times New Roman" w:hAnsi="Times New Roman"/>
        </w:rPr>
        <w:t xml:space="preserve">2013 </w:t>
      </w:r>
      <w:r w:rsidR="00016291" w:rsidRPr="00A63E06">
        <w:rPr>
          <w:rFonts w:ascii="Times New Roman" w:hAnsi="Times New Roman"/>
        </w:rPr>
        <w:t>availability</w:t>
      </w:r>
      <w:r w:rsidR="00016291">
        <w:rPr>
          <w:rFonts w:ascii="Times New Roman" w:hAnsi="Times New Roman"/>
        </w:rPr>
        <w:t xml:space="preserve"> factor to</w:t>
      </w:r>
      <w:r w:rsidR="00CE076F">
        <w:rPr>
          <w:rFonts w:ascii="Times New Roman" w:hAnsi="Times New Roman"/>
        </w:rPr>
        <w:t xml:space="preserve"> </w:t>
      </w:r>
      <w:r w:rsidR="00742CD4">
        <w:rPr>
          <w:rFonts w:ascii="Times New Roman" w:hAnsi="Times New Roman"/>
        </w:rPr>
        <w:t>65.8</w:t>
      </w:r>
      <w:r w:rsidR="00F20AE7">
        <w:rPr>
          <w:rFonts w:ascii="Times New Roman" w:hAnsi="Times New Roman"/>
        </w:rPr>
        <w:t xml:space="preserve"> percent</w:t>
      </w:r>
      <w:r w:rsidR="00CE076F">
        <w:rPr>
          <w:rFonts w:ascii="Times New Roman" w:hAnsi="Times New Roman"/>
        </w:rPr>
        <w:t>.</w:t>
      </w:r>
      <w:r w:rsidR="0031005E">
        <w:rPr>
          <w:rFonts w:ascii="Times New Roman" w:hAnsi="Times New Roman"/>
        </w:rPr>
        <w:t xml:space="preserve"> </w:t>
      </w:r>
      <w:r w:rsidR="00CE076F">
        <w:rPr>
          <w:rFonts w:ascii="Times New Roman" w:hAnsi="Times New Roman"/>
        </w:rPr>
        <w:t>P</w:t>
      </w:r>
      <w:r w:rsidR="00CE076F" w:rsidRPr="003A4BC8">
        <w:rPr>
          <w:rFonts w:ascii="Times New Roman" w:hAnsi="Times New Roman"/>
        </w:rPr>
        <w:t>er the 2006 Settlement Agreement in Docket No. UE-060181</w:t>
      </w:r>
      <w:r w:rsidR="00CE076F">
        <w:rPr>
          <w:rFonts w:ascii="Times New Roman" w:hAnsi="Times New Roman"/>
        </w:rPr>
        <w:t xml:space="preserve">, </w:t>
      </w:r>
      <w:r w:rsidR="00016291">
        <w:rPr>
          <w:rFonts w:ascii="Times New Roman" w:hAnsi="Times New Roman"/>
        </w:rPr>
        <w:t>if the availability factor falls below 70</w:t>
      </w:r>
      <w:r w:rsidR="00F20AE7">
        <w:rPr>
          <w:rFonts w:ascii="Times New Roman" w:hAnsi="Times New Roman"/>
        </w:rPr>
        <w:t xml:space="preserve"> percent</w:t>
      </w:r>
      <w:r w:rsidR="00FE294F">
        <w:rPr>
          <w:rFonts w:ascii="Times New Roman" w:hAnsi="Times New Roman"/>
        </w:rPr>
        <w:t>,</w:t>
      </w:r>
      <w:r w:rsidR="00016291">
        <w:rPr>
          <w:rFonts w:ascii="Times New Roman" w:hAnsi="Times New Roman"/>
        </w:rPr>
        <w:t xml:space="preserve"> </w:t>
      </w:r>
      <w:r w:rsidR="00FE294F">
        <w:rPr>
          <w:rFonts w:ascii="Times New Roman" w:hAnsi="Times New Roman"/>
        </w:rPr>
        <w:t>Avista</w:t>
      </w:r>
      <w:r w:rsidR="00016291">
        <w:rPr>
          <w:rFonts w:ascii="Times New Roman" w:hAnsi="Times New Roman"/>
        </w:rPr>
        <w:t xml:space="preserve"> must </w:t>
      </w:r>
      <w:r w:rsidR="00FE294F">
        <w:rPr>
          <w:rFonts w:ascii="Times New Roman" w:hAnsi="Times New Roman"/>
        </w:rPr>
        <w:t>show</w:t>
      </w:r>
      <w:r w:rsidR="00016291">
        <w:rPr>
          <w:rFonts w:ascii="Times New Roman" w:hAnsi="Times New Roman"/>
        </w:rPr>
        <w:t xml:space="preserve"> that the fix</w:t>
      </w:r>
      <w:r w:rsidR="00594BC4">
        <w:rPr>
          <w:rFonts w:ascii="Times New Roman" w:hAnsi="Times New Roman"/>
        </w:rPr>
        <w:t>ed costs in rates were</w:t>
      </w:r>
      <w:r w:rsidR="00016291">
        <w:rPr>
          <w:rFonts w:ascii="Times New Roman" w:hAnsi="Times New Roman"/>
        </w:rPr>
        <w:t xml:space="preserve"> incurred during the outage and that the outage was not t</w:t>
      </w:r>
      <w:r w:rsidR="00594BC4">
        <w:rPr>
          <w:rFonts w:ascii="Times New Roman" w:hAnsi="Times New Roman"/>
        </w:rPr>
        <w:t xml:space="preserve">he result of imprudent actions by the </w:t>
      </w:r>
      <w:r w:rsidR="00FC0390">
        <w:rPr>
          <w:rFonts w:ascii="Times New Roman" w:hAnsi="Times New Roman"/>
        </w:rPr>
        <w:t>company</w:t>
      </w:r>
      <w:r w:rsidR="00016291">
        <w:rPr>
          <w:rFonts w:ascii="Times New Roman" w:hAnsi="Times New Roman"/>
        </w:rPr>
        <w:t>.</w:t>
      </w:r>
      <w:r w:rsidR="000A0C15">
        <w:rPr>
          <w:rStyle w:val="FootnoteReference"/>
          <w:rFonts w:ascii="Times New Roman" w:hAnsi="Times New Roman"/>
        </w:rPr>
        <w:footnoteReference w:id="2"/>
      </w:r>
      <w:r w:rsidR="0031005E">
        <w:rPr>
          <w:rFonts w:ascii="Times New Roman" w:hAnsi="Times New Roman"/>
        </w:rPr>
        <w:t xml:space="preserve"> </w:t>
      </w:r>
      <w:r w:rsidR="006349C3">
        <w:rPr>
          <w:rFonts w:ascii="Times New Roman" w:hAnsi="Times New Roman"/>
        </w:rPr>
        <w:t>After careful review</w:t>
      </w:r>
      <w:r w:rsidR="000A0C15">
        <w:rPr>
          <w:rFonts w:ascii="Times New Roman" w:hAnsi="Times New Roman"/>
        </w:rPr>
        <w:t xml:space="preserve"> of the report prepared</w:t>
      </w:r>
      <w:r w:rsidR="00E038E0">
        <w:rPr>
          <w:rFonts w:ascii="Times New Roman" w:hAnsi="Times New Roman"/>
        </w:rPr>
        <w:t xml:space="preserve"> by an independent consulting firm</w:t>
      </w:r>
      <w:r w:rsidR="006349C3">
        <w:rPr>
          <w:rFonts w:ascii="Times New Roman" w:hAnsi="Times New Roman"/>
        </w:rPr>
        <w:t xml:space="preserve">, </w:t>
      </w:r>
      <w:r w:rsidR="001320F9">
        <w:rPr>
          <w:rFonts w:ascii="Times New Roman" w:hAnsi="Times New Roman"/>
        </w:rPr>
        <w:t>staff</w:t>
      </w:r>
      <w:r w:rsidR="006349C3">
        <w:rPr>
          <w:rFonts w:ascii="Times New Roman" w:hAnsi="Times New Roman"/>
        </w:rPr>
        <w:t xml:space="preserve"> agrees </w:t>
      </w:r>
      <w:r w:rsidR="004E2DAF">
        <w:rPr>
          <w:rFonts w:ascii="Times New Roman" w:hAnsi="Times New Roman"/>
        </w:rPr>
        <w:t xml:space="preserve">that the Colstrip outage was not the result of imprudent actions on the part of the </w:t>
      </w:r>
      <w:r w:rsidR="00FC0390">
        <w:rPr>
          <w:rFonts w:ascii="Times New Roman" w:hAnsi="Times New Roman"/>
        </w:rPr>
        <w:t>company</w:t>
      </w:r>
      <w:r w:rsidR="004E2DAF">
        <w:rPr>
          <w:rFonts w:ascii="Times New Roman" w:hAnsi="Times New Roman"/>
        </w:rPr>
        <w:t>.</w:t>
      </w:r>
      <w:r w:rsidR="0031005E">
        <w:rPr>
          <w:rFonts w:ascii="Times New Roman" w:hAnsi="Times New Roman"/>
        </w:rPr>
        <w:t xml:space="preserve"> </w:t>
      </w:r>
      <w:r w:rsidR="00E038E0">
        <w:rPr>
          <w:rFonts w:ascii="Times New Roman" w:hAnsi="Times New Roman"/>
        </w:rPr>
        <w:t xml:space="preserve">The $70,084 </w:t>
      </w:r>
      <w:r w:rsidR="00594BC4">
        <w:rPr>
          <w:rFonts w:ascii="Times New Roman" w:hAnsi="Times New Roman"/>
        </w:rPr>
        <w:t xml:space="preserve">rebate </w:t>
      </w:r>
      <w:r w:rsidR="004E2DAF">
        <w:rPr>
          <w:rFonts w:ascii="Times New Roman" w:hAnsi="Times New Roman"/>
        </w:rPr>
        <w:t xml:space="preserve">is </w:t>
      </w:r>
      <w:r w:rsidR="000A0C15">
        <w:rPr>
          <w:rFonts w:ascii="Times New Roman" w:hAnsi="Times New Roman"/>
        </w:rPr>
        <w:t xml:space="preserve">nessecary to reflect the difference between </w:t>
      </w:r>
      <w:r w:rsidR="00E038E0">
        <w:rPr>
          <w:rFonts w:ascii="Times New Roman" w:hAnsi="Times New Roman"/>
        </w:rPr>
        <w:t xml:space="preserve">2013 </w:t>
      </w:r>
      <w:r w:rsidR="000A0C15">
        <w:rPr>
          <w:rFonts w:ascii="Times New Roman" w:hAnsi="Times New Roman"/>
        </w:rPr>
        <w:t xml:space="preserve">fixed costs included in rates and </w:t>
      </w:r>
      <w:r w:rsidR="00594BC4">
        <w:rPr>
          <w:rFonts w:ascii="Times New Roman" w:hAnsi="Times New Roman"/>
        </w:rPr>
        <w:t xml:space="preserve">the </w:t>
      </w:r>
      <w:r w:rsidR="000A0C15">
        <w:rPr>
          <w:rFonts w:ascii="Times New Roman" w:hAnsi="Times New Roman"/>
        </w:rPr>
        <w:t xml:space="preserve">actual </w:t>
      </w:r>
      <w:r w:rsidR="00E038E0">
        <w:rPr>
          <w:rFonts w:ascii="Times New Roman" w:hAnsi="Times New Roman"/>
        </w:rPr>
        <w:t xml:space="preserve">fixed </w:t>
      </w:r>
      <w:r w:rsidR="000A0C15">
        <w:rPr>
          <w:rFonts w:ascii="Times New Roman" w:hAnsi="Times New Roman"/>
        </w:rPr>
        <w:t>costs incurred.</w:t>
      </w:r>
      <w:r w:rsidR="0031005E">
        <w:rPr>
          <w:rFonts w:ascii="Times New Roman" w:hAnsi="Times New Roman"/>
        </w:rPr>
        <w:t xml:space="preserve">  </w:t>
      </w:r>
    </w:p>
    <w:p w14:paraId="0F702A8A" w14:textId="36FAD6AA" w:rsidR="00A63E06" w:rsidRDefault="00A63E06" w:rsidP="00A63E06">
      <w:pPr>
        <w:spacing w:line="288" w:lineRule="auto"/>
        <w:rPr>
          <w:rFonts w:ascii="Times New Roman" w:hAnsi="Times New Roman"/>
        </w:rPr>
      </w:pPr>
    </w:p>
    <w:p w14:paraId="5D1CBAFC" w14:textId="77777777" w:rsidR="00A63E06" w:rsidRPr="00742CD4" w:rsidRDefault="00A63E06" w:rsidP="00A63E06">
      <w:pPr>
        <w:spacing w:line="288" w:lineRule="auto"/>
        <w:rPr>
          <w:rFonts w:ascii="Times New Roman" w:hAnsi="Times New Roman"/>
          <w:u w:val="single"/>
        </w:rPr>
      </w:pPr>
      <w:r w:rsidRPr="00742CD4">
        <w:rPr>
          <w:rFonts w:ascii="Times New Roman" w:hAnsi="Times New Roman"/>
          <w:u w:val="single"/>
        </w:rPr>
        <w:t>Accounting Error</w:t>
      </w:r>
    </w:p>
    <w:p w14:paraId="0C396968" w14:textId="7667AEFA" w:rsidR="00C74953" w:rsidRDefault="00803E41" w:rsidP="00A63E06">
      <w:pPr>
        <w:spacing w:line="288" w:lineRule="auto"/>
        <w:rPr>
          <w:rFonts w:ascii="Times New Roman" w:hAnsi="Times New Roman"/>
        </w:rPr>
      </w:pPr>
      <w:r>
        <w:rPr>
          <w:rFonts w:ascii="Times New Roman" w:hAnsi="Times New Roman"/>
        </w:rPr>
        <w:t xml:space="preserve">The accounting </w:t>
      </w:r>
      <w:r w:rsidR="00742CD4">
        <w:rPr>
          <w:rFonts w:ascii="Times New Roman" w:hAnsi="Times New Roman"/>
        </w:rPr>
        <w:t>error</w:t>
      </w:r>
      <w:r w:rsidR="00281C3A" w:rsidRPr="00A63E06">
        <w:rPr>
          <w:rFonts w:ascii="Times New Roman" w:hAnsi="Times New Roman"/>
        </w:rPr>
        <w:t xml:space="preserve"> of $808,681 i</w:t>
      </w:r>
      <w:r>
        <w:rPr>
          <w:rFonts w:ascii="Times New Roman" w:hAnsi="Times New Roman"/>
        </w:rPr>
        <w:t>s</w:t>
      </w:r>
      <w:r w:rsidR="00281C3A" w:rsidRPr="00A63E06">
        <w:rPr>
          <w:rFonts w:ascii="Times New Roman" w:hAnsi="Times New Roman"/>
        </w:rPr>
        <w:t xml:space="preserve"> related to the allocation of transport costs between </w:t>
      </w:r>
      <w:r w:rsidR="00742CD4">
        <w:rPr>
          <w:rFonts w:ascii="Times New Roman" w:hAnsi="Times New Roman"/>
        </w:rPr>
        <w:t xml:space="preserve">Power Supply Operations (Thermal) </w:t>
      </w:r>
      <w:r w:rsidR="00281C3A" w:rsidRPr="00A63E06">
        <w:rPr>
          <w:rFonts w:ascii="Times New Roman" w:hAnsi="Times New Roman"/>
        </w:rPr>
        <w:t xml:space="preserve">and </w:t>
      </w:r>
      <w:r w:rsidR="00D929A2">
        <w:rPr>
          <w:rFonts w:ascii="Times New Roman" w:hAnsi="Times New Roman"/>
        </w:rPr>
        <w:t>Natural Gas Operations (LDC)</w:t>
      </w:r>
      <w:r>
        <w:rPr>
          <w:rFonts w:ascii="Times New Roman" w:hAnsi="Times New Roman"/>
        </w:rPr>
        <w:t>.</w:t>
      </w:r>
      <w:r w:rsidR="0031005E">
        <w:rPr>
          <w:rFonts w:ascii="Times New Roman" w:hAnsi="Times New Roman"/>
        </w:rPr>
        <w:t xml:space="preserve"> </w:t>
      </w:r>
      <w:r>
        <w:rPr>
          <w:rFonts w:ascii="Times New Roman" w:hAnsi="Times New Roman"/>
        </w:rPr>
        <w:t xml:space="preserve">On November 1, 2011 a </w:t>
      </w:r>
      <w:r w:rsidR="00742CD4">
        <w:rPr>
          <w:rFonts w:ascii="Times New Roman" w:hAnsi="Times New Roman"/>
        </w:rPr>
        <w:t xml:space="preserve">Thermal </w:t>
      </w:r>
      <w:r>
        <w:rPr>
          <w:rFonts w:ascii="Times New Roman" w:hAnsi="Times New Roman"/>
        </w:rPr>
        <w:t xml:space="preserve">contract </w:t>
      </w:r>
      <w:r w:rsidR="00742CD4">
        <w:rPr>
          <w:rFonts w:ascii="Times New Roman" w:hAnsi="Times New Roman"/>
        </w:rPr>
        <w:t xml:space="preserve">for </w:t>
      </w:r>
      <w:r>
        <w:rPr>
          <w:rFonts w:ascii="Times New Roman" w:hAnsi="Times New Roman"/>
        </w:rPr>
        <w:t>10,</w:t>
      </w:r>
      <w:r w:rsidR="00742CD4">
        <w:rPr>
          <w:rFonts w:ascii="Times New Roman" w:hAnsi="Times New Roman"/>
        </w:rPr>
        <w:t>000 Dth/day</w:t>
      </w:r>
      <w:r w:rsidR="00D9031E">
        <w:rPr>
          <w:rFonts w:ascii="Times New Roman" w:hAnsi="Times New Roman"/>
        </w:rPr>
        <w:t xml:space="preserve"> </w:t>
      </w:r>
      <w:r>
        <w:rPr>
          <w:rFonts w:ascii="Times New Roman" w:hAnsi="Times New Roman"/>
        </w:rPr>
        <w:t>expired and was not renewed.</w:t>
      </w:r>
      <w:r w:rsidR="0031005E">
        <w:rPr>
          <w:rFonts w:ascii="Times New Roman" w:hAnsi="Times New Roman"/>
        </w:rPr>
        <w:t xml:space="preserve"> </w:t>
      </w:r>
      <w:r w:rsidR="002246A6">
        <w:rPr>
          <w:rFonts w:ascii="Times New Roman" w:hAnsi="Times New Roman"/>
        </w:rPr>
        <w:t>However from November, 2011 through September 2013,</w:t>
      </w:r>
      <w:r w:rsidR="00D9031E">
        <w:rPr>
          <w:rFonts w:ascii="Times New Roman" w:hAnsi="Times New Roman"/>
        </w:rPr>
        <w:t xml:space="preserve"> </w:t>
      </w:r>
      <w:r w:rsidR="00D929A2">
        <w:rPr>
          <w:rFonts w:ascii="Times New Roman" w:hAnsi="Times New Roman"/>
        </w:rPr>
        <w:t>LDC</w:t>
      </w:r>
      <w:r w:rsidR="00D9031E">
        <w:rPr>
          <w:rFonts w:ascii="Times New Roman" w:hAnsi="Times New Roman"/>
        </w:rPr>
        <w:t xml:space="preserve"> </w:t>
      </w:r>
      <w:r>
        <w:rPr>
          <w:rFonts w:ascii="Times New Roman" w:hAnsi="Times New Roman"/>
        </w:rPr>
        <w:t xml:space="preserve">continued to schedule natural gas </w:t>
      </w:r>
      <w:r w:rsidR="002246A6">
        <w:rPr>
          <w:rFonts w:ascii="Times New Roman" w:hAnsi="Times New Roman"/>
        </w:rPr>
        <w:t>delivery to meet the contractual requirements.</w:t>
      </w:r>
      <w:r w:rsidR="0031005E">
        <w:rPr>
          <w:rFonts w:ascii="Times New Roman" w:hAnsi="Times New Roman"/>
        </w:rPr>
        <w:t xml:space="preserve"> </w:t>
      </w:r>
      <w:r w:rsidR="002246A6">
        <w:rPr>
          <w:rFonts w:ascii="Times New Roman" w:hAnsi="Times New Roman"/>
        </w:rPr>
        <w:t>The deli</w:t>
      </w:r>
      <w:r w:rsidR="00B52003">
        <w:rPr>
          <w:rFonts w:ascii="Times New Roman" w:hAnsi="Times New Roman"/>
        </w:rPr>
        <w:t xml:space="preserve">evered therms were used to meet </w:t>
      </w:r>
      <w:r w:rsidR="00D9031E">
        <w:rPr>
          <w:rFonts w:ascii="Times New Roman" w:hAnsi="Times New Roman"/>
        </w:rPr>
        <w:t>power production</w:t>
      </w:r>
      <w:r w:rsidR="00B52003">
        <w:rPr>
          <w:rFonts w:ascii="Times New Roman" w:hAnsi="Times New Roman"/>
        </w:rPr>
        <w:t xml:space="preserve"> needs but </w:t>
      </w:r>
      <w:r w:rsidR="00D9031E">
        <w:rPr>
          <w:rFonts w:ascii="Times New Roman" w:hAnsi="Times New Roman"/>
        </w:rPr>
        <w:t>thermal was not charged for the delievered amounts.</w:t>
      </w:r>
      <w:r w:rsidR="0031005E">
        <w:rPr>
          <w:rFonts w:ascii="Times New Roman" w:hAnsi="Times New Roman"/>
        </w:rPr>
        <w:t xml:space="preserve"> </w:t>
      </w:r>
      <w:r w:rsidR="00D9031E">
        <w:rPr>
          <w:rFonts w:ascii="Times New Roman" w:hAnsi="Times New Roman"/>
        </w:rPr>
        <w:t xml:space="preserve">Consequently, the costs were incorrectly included in the </w:t>
      </w:r>
      <w:r w:rsidR="00D929A2">
        <w:rPr>
          <w:rFonts w:ascii="Times New Roman" w:hAnsi="Times New Roman"/>
        </w:rPr>
        <w:t>Purchased Gas Cost Adjustments</w:t>
      </w:r>
      <w:r w:rsidR="00D929A2">
        <w:rPr>
          <w:rStyle w:val="FootnoteReference"/>
          <w:rFonts w:ascii="Times New Roman" w:hAnsi="Times New Roman"/>
        </w:rPr>
        <w:footnoteReference w:id="3"/>
      </w:r>
      <w:r w:rsidR="00D9031E">
        <w:rPr>
          <w:rFonts w:ascii="Times New Roman" w:hAnsi="Times New Roman"/>
        </w:rPr>
        <w:t>.</w:t>
      </w:r>
      <w:r w:rsidR="0031005E">
        <w:rPr>
          <w:rFonts w:ascii="Times New Roman" w:hAnsi="Times New Roman"/>
        </w:rPr>
        <w:t xml:space="preserve"> </w:t>
      </w:r>
    </w:p>
    <w:p w14:paraId="74C77468" w14:textId="77777777" w:rsidR="00D9031E" w:rsidRDefault="00D9031E" w:rsidP="00A63E06">
      <w:pPr>
        <w:spacing w:line="288" w:lineRule="auto"/>
        <w:rPr>
          <w:rFonts w:ascii="Times New Roman" w:hAnsi="Times New Roman"/>
        </w:rPr>
      </w:pPr>
    </w:p>
    <w:p w14:paraId="2E139FC3" w14:textId="0F27E923" w:rsidR="00D9031E" w:rsidRPr="00A63E06" w:rsidRDefault="00D9031E" w:rsidP="00A63E06">
      <w:pPr>
        <w:spacing w:line="288" w:lineRule="auto"/>
        <w:rPr>
          <w:rFonts w:ascii="Times New Roman" w:hAnsi="Times New Roman"/>
        </w:rPr>
      </w:pPr>
      <w:r>
        <w:rPr>
          <w:rFonts w:ascii="Times New Roman" w:hAnsi="Times New Roman"/>
        </w:rPr>
        <w:t xml:space="preserve">The accounting adjustment taken by the </w:t>
      </w:r>
      <w:r w:rsidR="00FC0390">
        <w:rPr>
          <w:rFonts w:ascii="Times New Roman" w:hAnsi="Times New Roman"/>
        </w:rPr>
        <w:t>company</w:t>
      </w:r>
      <w:r>
        <w:rPr>
          <w:rFonts w:ascii="Times New Roman" w:hAnsi="Times New Roman"/>
        </w:rPr>
        <w:t xml:space="preserve"> reverses the charges between LDC and Thermal </w:t>
      </w:r>
      <w:r w:rsidR="00311CB8">
        <w:rPr>
          <w:rFonts w:ascii="Times New Roman" w:hAnsi="Times New Roman"/>
        </w:rPr>
        <w:t>for each PGA and ERM period from November 2011 to September 2013.</w:t>
      </w:r>
      <w:r w:rsidR="0031005E">
        <w:rPr>
          <w:rFonts w:ascii="Times New Roman" w:hAnsi="Times New Roman"/>
        </w:rPr>
        <w:t xml:space="preserve"> </w:t>
      </w:r>
      <w:r w:rsidR="00311CB8">
        <w:rPr>
          <w:rFonts w:ascii="Times New Roman" w:hAnsi="Times New Roman"/>
        </w:rPr>
        <w:t xml:space="preserve">The total amount of costs assigned to </w:t>
      </w:r>
      <w:r w:rsidR="000452B9">
        <w:rPr>
          <w:rFonts w:ascii="Times New Roman" w:hAnsi="Times New Roman"/>
        </w:rPr>
        <w:t>Washington ratepayers</w:t>
      </w:r>
      <w:r w:rsidR="00311CB8">
        <w:rPr>
          <w:rFonts w:ascii="Times New Roman" w:hAnsi="Times New Roman"/>
        </w:rPr>
        <w:t xml:space="preserve"> </w:t>
      </w:r>
      <w:r w:rsidR="00C908CD">
        <w:rPr>
          <w:rFonts w:ascii="Times New Roman" w:hAnsi="Times New Roman"/>
        </w:rPr>
        <w:t>through the ERM is $808,681.</w:t>
      </w:r>
      <w:r w:rsidR="0031005E">
        <w:rPr>
          <w:rFonts w:ascii="Times New Roman" w:hAnsi="Times New Roman"/>
        </w:rPr>
        <w:t xml:space="preserve"> </w:t>
      </w:r>
      <w:r w:rsidR="00C908CD">
        <w:rPr>
          <w:rFonts w:ascii="Times New Roman" w:hAnsi="Times New Roman"/>
        </w:rPr>
        <w:t>This amount includes the impacts of the sharing bands from November 2011 to September 2013.</w:t>
      </w:r>
      <w:r w:rsidR="0031005E">
        <w:rPr>
          <w:rFonts w:ascii="Times New Roman" w:hAnsi="Times New Roman"/>
        </w:rPr>
        <w:t xml:space="preserve"> </w:t>
      </w:r>
    </w:p>
    <w:p w14:paraId="0C39696D" w14:textId="77777777" w:rsidR="00681FA8" w:rsidRPr="003A4BC8" w:rsidRDefault="00681FA8">
      <w:pPr>
        <w:rPr>
          <w:rFonts w:ascii="Times New Roman" w:hAnsi="Times New Roman"/>
          <w:b/>
          <w:u w:val="single"/>
        </w:rPr>
      </w:pPr>
    </w:p>
    <w:p w14:paraId="0C39696E" w14:textId="77777777" w:rsidR="00D60E7F" w:rsidRPr="003A4BC8" w:rsidRDefault="00D60E7F">
      <w:pPr>
        <w:rPr>
          <w:rFonts w:ascii="Times New Roman" w:hAnsi="Times New Roman"/>
          <w:b/>
          <w:u w:val="single"/>
        </w:rPr>
      </w:pPr>
      <w:r w:rsidRPr="003A4BC8">
        <w:rPr>
          <w:rFonts w:ascii="Times New Roman" w:hAnsi="Times New Roman"/>
          <w:b/>
          <w:u w:val="single"/>
        </w:rPr>
        <w:t>Conclusion</w:t>
      </w:r>
    </w:p>
    <w:p w14:paraId="0C39696F" w14:textId="77777777" w:rsidR="00170726" w:rsidRPr="003A4BC8" w:rsidRDefault="00170726">
      <w:pPr>
        <w:rPr>
          <w:rFonts w:ascii="Times New Roman" w:hAnsi="Times New Roman"/>
        </w:rPr>
      </w:pPr>
    </w:p>
    <w:p w14:paraId="0C396970" w14:textId="09B4617F" w:rsidR="00C74953" w:rsidRPr="003A4BC8" w:rsidRDefault="00C74953" w:rsidP="00686655">
      <w:pPr>
        <w:spacing w:after="200" w:line="288" w:lineRule="auto"/>
        <w:rPr>
          <w:rFonts w:ascii="Times New Roman" w:hAnsi="Times New Roman"/>
        </w:rPr>
      </w:pPr>
      <w:r w:rsidRPr="003A4BC8">
        <w:rPr>
          <w:rFonts w:ascii="Times New Roman" w:hAnsi="Times New Roman"/>
        </w:rPr>
        <w:t xml:space="preserve">Staff has conducted a review of the </w:t>
      </w:r>
      <w:r w:rsidR="00FC0390">
        <w:rPr>
          <w:rFonts w:ascii="Times New Roman" w:hAnsi="Times New Roman"/>
        </w:rPr>
        <w:t>company</w:t>
      </w:r>
      <w:r w:rsidRPr="003A4BC8">
        <w:rPr>
          <w:rFonts w:ascii="Times New Roman" w:hAnsi="Times New Roman"/>
        </w:rPr>
        <w:t xml:space="preserve">’s ERM annual review filing in this docket, and is satisfied the </w:t>
      </w:r>
      <w:r w:rsidR="00FC0390">
        <w:rPr>
          <w:rFonts w:ascii="Times New Roman" w:hAnsi="Times New Roman"/>
        </w:rPr>
        <w:t>company</w:t>
      </w:r>
      <w:r w:rsidRPr="003A4BC8">
        <w:rPr>
          <w:rFonts w:ascii="Times New Roman" w:hAnsi="Times New Roman"/>
        </w:rPr>
        <w:t xml:space="preserve"> provided adequate documentation of its ERM power c</w:t>
      </w:r>
      <w:r w:rsidR="00C51216" w:rsidRPr="003A4BC8">
        <w:rPr>
          <w:rFonts w:ascii="Times New Roman" w:hAnsi="Times New Roman"/>
        </w:rPr>
        <w:t xml:space="preserve">ost revenue and expenses. </w:t>
      </w:r>
    </w:p>
    <w:p w14:paraId="592F19FC" w14:textId="77777777" w:rsidR="00302621" w:rsidRPr="003A4BC8" w:rsidRDefault="00302621" w:rsidP="00302621">
      <w:pPr>
        <w:rPr>
          <w:rFonts w:ascii="Times New Roman" w:hAnsi="Times New Roman"/>
          <w:b/>
          <w:bCs/>
          <w:u w:val="single"/>
        </w:rPr>
      </w:pPr>
      <w:r w:rsidRPr="003A4BC8">
        <w:rPr>
          <w:rFonts w:ascii="Times New Roman" w:hAnsi="Times New Roman"/>
          <w:b/>
          <w:bCs/>
          <w:u w:val="single"/>
        </w:rPr>
        <w:t>Recommendation</w:t>
      </w:r>
    </w:p>
    <w:p w14:paraId="7F04AE90" w14:textId="77777777" w:rsidR="00302621" w:rsidRPr="003A4BC8" w:rsidRDefault="00302621" w:rsidP="00302621">
      <w:pPr>
        <w:rPr>
          <w:rFonts w:ascii="Times New Roman" w:hAnsi="Times New Roman"/>
        </w:rPr>
      </w:pPr>
    </w:p>
    <w:p w14:paraId="0C396972" w14:textId="2F4858DE" w:rsidR="00777586" w:rsidRDefault="00302621" w:rsidP="00742CD4">
      <w:pPr>
        <w:spacing w:line="288" w:lineRule="auto"/>
        <w:rPr>
          <w:rFonts w:ascii="Times New Roman" w:hAnsi="Times New Roman"/>
        </w:rPr>
      </w:pPr>
      <w:r w:rsidRPr="003A4BC8">
        <w:rPr>
          <w:rFonts w:ascii="Times New Roman" w:hAnsi="Times New Roman"/>
        </w:rPr>
        <w:t xml:space="preserve">Issue an order </w:t>
      </w:r>
      <w:r w:rsidR="00F139E0" w:rsidRPr="003A4BC8">
        <w:rPr>
          <w:rFonts w:ascii="Times New Roman" w:hAnsi="Times New Roman"/>
        </w:rPr>
        <w:t>authorizing Energy Recovery Mechanism deferrals for calendar year 201</w:t>
      </w:r>
      <w:r w:rsidR="00DD6973" w:rsidRPr="003A4BC8">
        <w:rPr>
          <w:rFonts w:ascii="Times New Roman" w:hAnsi="Times New Roman"/>
        </w:rPr>
        <w:t>3.</w:t>
      </w:r>
    </w:p>
    <w:sectPr w:rsidR="00777586" w:rsidSect="00E9295E">
      <w:headerReference w:type="even" r:id="rId12"/>
      <w:headerReference w:type="default" r:id="rId13"/>
      <w:footerReference w:type="even" r:id="rId14"/>
      <w:footerReference w:type="default" r:id="rId15"/>
      <w:headerReference w:type="first" r:id="rId16"/>
      <w:footerReference w:type="first" r:id="rId17"/>
      <w:pgSz w:w="12240" w:h="15840"/>
      <w:pgMar w:top="1440" w:right="1152" w:bottom="1440" w:left="1440" w:header="129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68F4D" w14:textId="77777777" w:rsidR="00CF14AF" w:rsidRDefault="00CF14AF">
      <w:r>
        <w:separator/>
      </w:r>
    </w:p>
  </w:endnote>
  <w:endnote w:type="continuationSeparator" w:id="0">
    <w:p w14:paraId="47C210D1" w14:textId="77777777" w:rsidR="00CF14AF" w:rsidRDefault="00CF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AC32E" w14:textId="77777777" w:rsidR="00CF14AF" w:rsidRDefault="00CF14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3C53A" w14:textId="77777777" w:rsidR="00CF14AF" w:rsidRDefault="00CF14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0973E" w14:textId="77777777" w:rsidR="00CF14AF" w:rsidRDefault="00CF14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D5CDD" w14:textId="77777777" w:rsidR="00CF14AF" w:rsidRDefault="00CF14AF">
      <w:r>
        <w:separator/>
      </w:r>
    </w:p>
  </w:footnote>
  <w:footnote w:type="continuationSeparator" w:id="0">
    <w:p w14:paraId="2C658799" w14:textId="77777777" w:rsidR="00CF14AF" w:rsidRDefault="00CF14AF">
      <w:r>
        <w:continuationSeparator/>
      </w:r>
    </w:p>
  </w:footnote>
  <w:footnote w:id="1">
    <w:p w14:paraId="5170DA25" w14:textId="0F6F7E26" w:rsidR="00CF14AF" w:rsidRPr="00FC0390" w:rsidRDefault="00CF14AF">
      <w:pPr>
        <w:pStyle w:val="FootnoteText"/>
        <w:rPr>
          <w:rFonts w:ascii="Times New Roman" w:hAnsi="Times New Roman"/>
        </w:rPr>
      </w:pPr>
      <w:r w:rsidRPr="00FC0390">
        <w:rPr>
          <w:rStyle w:val="FootnoteReference"/>
          <w:rFonts w:ascii="Times New Roman" w:hAnsi="Times New Roman"/>
        </w:rPr>
        <w:footnoteRef/>
      </w:r>
      <w:r w:rsidRPr="00FC0390">
        <w:rPr>
          <w:rFonts w:ascii="Times New Roman" w:hAnsi="Times New Roman"/>
        </w:rPr>
        <w:t xml:space="preserve"> During 2013, Avista entered into one long-term power supply contract for a small (411kw) PURPA hydro plant. That contract is well under the 50MW threshold and therefor not subject to limitations on cost recovery for ERM review purposes.</w:t>
      </w:r>
    </w:p>
  </w:footnote>
  <w:footnote w:id="2">
    <w:p w14:paraId="3FE01C8B" w14:textId="53517BEF" w:rsidR="00CF14AF" w:rsidRPr="00FC0390" w:rsidRDefault="00CF14AF" w:rsidP="000A0C15">
      <w:pPr>
        <w:pStyle w:val="FootnoteText"/>
        <w:tabs>
          <w:tab w:val="left" w:pos="3834"/>
        </w:tabs>
        <w:rPr>
          <w:rFonts w:ascii="Times New Roman" w:hAnsi="Times New Roman"/>
        </w:rPr>
      </w:pPr>
      <w:r w:rsidRPr="00FC0390">
        <w:rPr>
          <w:rStyle w:val="FootnoteReference"/>
          <w:rFonts w:ascii="Times New Roman" w:hAnsi="Times New Roman"/>
        </w:rPr>
        <w:footnoteRef/>
      </w:r>
      <w:r w:rsidRPr="00FC0390">
        <w:rPr>
          <w:rFonts w:ascii="Times New Roman" w:hAnsi="Times New Roman"/>
        </w:rPr>
        <w:t xml:space="preserve"> </w:t>
      </w:r>
      <w:r>
        <w:rPr>
          <w:rFonts w:ascii="Times New Roman" w:hAnsi="Times New Roman"/>
          <w:i/>
        </w:rPr>
        <w:t>In the Matter of Petition of Avista Corporation d/b/a Avista Utilities For Continuation of the Company’s Energy Recovery Mechanism, with Certain Modifications</w:t>
      </w:r>
      <w:r>
        <w:rPr>
          <w:rFonts w:ascii="Times New Roman" w:hAnsi="Times New Roman"/>
        </w:rPr>
        <w:t>, Docket No. UE-060181</w:t>
      </w:r>
      <w:r w:rsidRPr="00FC0390">
        <w:rPr>
          <w:rFonts w:ascii="Times New Roman" w:hAnsi="Times New Roman"/>
        </w:rPr>
        <w:t xml:space="preserve">– </w:t>
      </w:r>
      <w:r>
        <w:rPr>
          <w:rFonts w:ascii="Times New Roman" w:hAnsi="Times New Roman"/>
        </w:rPr>
        <w:t>Order 03</w:t>
      </w:r>
      <w:r w:rsidRPr="00FC0390">
        <w:rPr>
          <w:rFonts w:ascii="Times New Roman" w:hAnsi="Times New Roman"/>
        </w:rPr>
        <w:t xml:space="preserve">, </w:t>
      </w:r>
      <w:r>
        <w:rPr>
          <w:rFonts w:ascii="Times New Roman" w:hAnsi="Times New Roman"/>
        </w:rPr>
        <w:t>Appendix A</w:t>
      </w:r>
      <w:r w:rsidRPr="00FC0390">
        <w:rPr>
          <w:rFonts w:ascii="Times New Roman" w:hAnsi="Times New Roman"/>
        </w:rPr>
        <w:t xml:space="preserve"> at </w:t>
      </w:r>
      <w:r>
        <w:rPr>
          <w:rFonts w:ascii="Times New Roman" w:hAnsi="Times New Roman"/>
        </w:rPr>
        <w:t>6</w:t>
      </w:r>
      <w:r w:rsidRPr="00FC0390">
        <w:rPr>
          <w:rFonts w:ascii="Times New Roman" w:hAnsi="Times New Roman"/>
        </w:rPr>
        <w:t xml:space="preserve"> (June </w:t>
      </w:r>
      <w:r>
        <w:rPr>
          <w:rFonts w:ascii="Times New Roman" w:hAnsi="Times New Roman"/>
        </w:rPr>
        <w:t>16</w:t>
      </w:r>
      <w:r w:rsidRPr="00FC0390">
        <w:rPr>
          <w:rFonts w:ascii="Times New Roman" w:hAnsi="Times New Roman"/>
        </w:rPr>
        <w:t>, 20</w:t>
      </w:r>
      <w:r>
        <w:rPr>
          <w:rFonts w:ascii="Times New Roman" w:hAnsi="Times New Roman"/>
        </w:rPr>
        <w:t>06)</w:t>
      </w:r>
    </w:p>
  </w:footnote>
  <w:footnote w:id="3">
    <w:p w14:paraId="2B062265" w14:textId="5C923C40" w:rsidR="00CF14AF" w:rsidRPr="00FC0390" w:rsidRDefault="00CF14AF">
      <w:pPr>
        <w:pStyle w:val="FootnoteText"/>
        <w:rPr>
          <w:rFonts w:ascii="Times New Roman" w:hAnsi="Times New Roman"/>
        </w:rPr>
      </w:pPr>
      <w:r w:rsidRPr="00FC0390">
        <w:rPr>
          <w:rStyle w:val="FootnoteReference"/>
          <w:rFonts w:ascii="Times New Roman" w:hAnsi="Times New Roman"/>
        </w:rPr>
        <w:footnoteRef/>
      </w:r>
      <w:r w:rsidRPr="00FC0390">
        <w:rPr>
          <w:rFonts w:ascii="Times New Roman" w:hAnsi="Times New Roman"/>
        </w:rPr>
        <w:t xml:space="preserve"> The company has informed </w:t>
      </w:r>
      <w:r>
        <w:rPr>
          <w:rFonts w:ascii="Times New Roman" w:hAnsi="Times New Roman"/>
        </w:rPr>
        <w:t>staff</w:t>
      </w:r>
      <w:r w:rsidRPr="00FC0390">
        <w:rPr>
          <w:rFonts w:ascii="Times New Roman" w:hAnsi="Times New Roman"/>
        </w:rPr>
        <w:t xml:space="preserve"> that an appropriate adjustment to the </w:t>
      </w:r>
      <w:r>
        <w:rPr>
          <w:rFonts w:ascii="Times New Roman" w:hAnsi="Times New Roman"/>
        </w:rPr>
        <w:t>PGA</w:t>
      </w:r>
      <w:r w:rsidRPr="00FC0390">
        <w:rPr>
          <w:rFonts w:ascii="Times New Roman" w:hAnsi="Times New Roman"/>
        </w:rPr>
        <w:t xml:space="preserve"> deferral will be included in the company’s next PGA filing.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7381B" w14:textId="77777777" w:rsidR="00CF14AF" w:rsidRDefault="00CF14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96977" w14:textId="2D5EC5E9" w:rsidR="00CF14AF" w:rsidRPr="00777586" w:rsidRDefault="00CF14AF">
    <w:pPr>
      <w:pStyle w:val="Header"/>
      <w:rPr>
        <w:rFonts w:ascii="Times New Roman" w:hAnsi="Times New Roman"/>
        <w:sz w:val="20"/>
        <w:szCs w:val="20"/>
      </w:rPr>
    </w:pPr>
    <w:r w:rsidRPr="00777586">
      <w:rPr>
        <w:rFonts w:ascii="Times New Roman" w:hAnsi="Times New Roman"/>
        <w:sz w:val="20"/>
        <w:szCs w:val="20"/>
      </w:rPr>
      <w:t xml:space="preserve">DOCKET </w:t>
    </w:r>
    <w:r>
      <w:rPr>
        <w:rFonts w:ascii="Times New Roman" w:hAnsi="Times New Roman"/>
        <w:sz w:val="20"/>
        <w:szCs w:val="20"/>
      </w:rPr>
      <w:t>UE-140540</w:t>
    </w:r>
  </w:p>
  <w:p w14:paraId="0C396978" w14:textId="3E2F4EBA" w:rsidR="00CF14AF" w:rsidRPr="00777586" w:rsidRDefault="00CF14AF">
    <w:pPr>
      <w:pStyle w:val="Header"/>
      <w:rPr>
        <w:rFonts w:ascii="Times New Roman" w:hAnsi="Times New Roman"/>
        <w:sz w:val="20"/>
        <w:szCs w:val="20"/>
      </w:rPr>
    </w:pPr>
    <w:r>
      <w:rPr>
        <w:rFonts w:ascii="Times New Roman" w:hAnsi="Times New Roman"/>
        <w:sz w:val="20"/>
        <w:szCs w:val="20"/>
      </w:rPr>
      <w:t>July 10, 2014</w:t>
    </w:r>
  </w:p>
  <w:p w14:paraId="0C396979" w14:textId="776571D0" w:rsidR="00CF14AF" w:rsidRPr="00777586" w:rsidRDefault="00CF14AF">
    <w:pPr>
      <w:pStyle w:val="Header"/>
      <w:rPr>
        <w:rStyle w:val="PageNumber"/>
        <w:rFonts w:ascii="Times New Roman" w:hAnsi="Times New Roman"/>
        <w:sz w:val="20"/>
        <w:szCs w:val="20"/>
      </w:rPr>
    </w:pPr>
    <w:r w:rsidRPr="00777586">
      <w:rPr>
        <w:rFonts w:ascii="Times New Roman" w:hAnsi="Times New Roman"/>
        <w:sz w:val="20"/>
        <w:szCs w:val="20"/>
      </w:rPr>
      <w:t xml:space="preserve">Page </w:t>
    </w:r>
    <w:r>
      <w:rPr>
        <w:rFonts w:ascii="Times New Roman" w:hAnsi="Times New Roman"/>
        <w:sz w:val="20"/>
        <w:szCs w:val="20"/>
      </w:rPr>
      <w:t>2</w:t>
    </w:r>
  </w:p>
  <w:p w14:paraId="0C39697A" w14:textId="77777777" w:rsidR="00CF14AF" w:rsidRDefault="00CF14AF">
    <w:pPr>
      <w:pStyle w:val="Header"/>
      <w:rPr>
        <w:rStyle w:val="PageNumbe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5705C" w14:textId="77777777" w:rsidR="00CF14AF" w:rsidRDefault="00CF14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163B"/>
    <w:multiLevelType w:val="hybridMultilevel"/>
    <w:tmpl w:val="DCDEA95E"/>
    <w:lvl w:ilvl="0" w:tplc="D1BC9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BD44336"/>
    <w:multiLevelType w:val="hybridMultilevel"/>
    <w:tmpl w:val="3926E01E"/>
    <w:lvl w:ilvl="0" w:tplc="F17A897C">
      <w:start w:val="1"/>
      <w:numFmt w:val="decimal"/>
      <w:lvlText w:val="%1"/>
      <w:lvlJc w:val="left"/>
      <w:pPr>
        <w:tabs>
          <w:tab w:val="num" w:pos="720"/>
        </w:tabs>
        <w:ind w:hanging="720"/>
      </w:pPr>
      <w:rPr>
        <w:rFonts w:ascii="Palatino Linotype" w:hAnsi="Palatino Linotype" w:cs="Times New Roman" w:hint="default"/>
        <w:b w:val="0"/>
        <w:i/>
        <w:sz w:val="20"/>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DF5"/>
    <w:rsid w:val="000007CB"/>
    <w:rsid w:val="000038AF"/>
    <w:rsid w:val="00010B50"/>
    <w:rsid w:val="0001152E"/>
    <w:rsid w:val="00016291"/>
    <w:rsid w:val="000222A8"/>
    <w:rsid w:val="00041921"/>
    <w:rsid w:val="000452B9"/>
    <w:rsid w:val="000637EA"/>
    <w:rsid w:val="00063AA7"/>
    <w:rsid w:val="00093ADD"/>
    <w:rsid w:val="0009772A"/>
    <w:rsid w:val="000A0C15"/>
    <w:rsid w:val="000C6A51"/>
    <w:rsid w:val="000C75FC"/>
    <w:rsid w:val="000D0AD2"/>
    <w:rsid w:val="000D3F1D"/>
    <w:rsid w:val="000D5043"/>
    <w:rsid w:val="000E64E1"/>
    <w:rsid w:val="000E6534"/>
    <w:rsid w:val="000F79DB"/>
    <w:rsid w:val="001320F9"/>
    <w:rsid w:val="00132851"/>
    <w:rsid w:val="0013567D"/>
    <w:rsid w:val="00147847"/>
    <w:rsid w:val="00170726"/>
    <w:rsid w:val="0017112D"/>
    <w:rsid w:val="00171713"/>
    <w:rsid w:val="00175EE9"/>
    <w:rsid w:val="001A71D7"/>
    <w:rsid w:val="001B305D"/>
    <w:rsid w:val="001E6C8A"/>
    <w:rsid w:val="001F5226"/>
    <w:rsid w:val="00204915"/>
    <w:rsid w:val="00205CAE"/>
    <w:rsid w:val="0020635F"/>
    <w:rsid w:val="002176D6"/>
    <w:rsid w:val="002246A6"/>
    <w:rsid w:val="0022715D"/>
    <w:rsid w:val="0023200F"/>
    <w:rsid w:val="00242044"/>
    <w:rsid w:val="0025381F"/>
    <w:rsid w:val="002713AB"/>
    <w:rsid w:val="00281C3A"/>
    <w:rsid w:val="002A42EB"/>
    <w:rsid w:val="002C0F6C"/>
    <w:rsid w:val="002C74B0"/>
    <w:rsid w:val="002D0EDE"/>
    <w:rsid w:val="002E1A9F"/>
    <w:rsid w:val="002E61FB"/>
    <w:rsid w:val="00302621"/>
    <w:rsid w:val="0031005E"/>
    <w:rsid w:val="00311CB8"/>
    <w:rsid w:val="0031518F"/>
    <w:rsid w:val="00356347"/>
    <w:rsid w:val="00357424"/>
    <w:rsid w:val="003625B8"/>
    <w:rsid w:val="00373643"/>
    <w:rsid w:val="003900E8"/>
    <w:rsid w:val="00393491"/>
    <w:rsid w:val="003A4BC8"/>
    <w:rsid w:val="003A683D"/>
    <w:rsid w:val="003A6EDD"/>
    <w:rsid w:val="003D656B"/>
    <w:rsid w:val="003F337D"/>
    <w:rsid w:val="0041448D"/>
    <w:rsid w:val="004145B3"/>
    <w:rsid w:val="00426D78"/>
    <w:rsid w:val="00466AF4"/>
    <w:rsid w:val="004804DD"/>
    <w:rsid w:val="0048712C"/>
    <w:rsid w:val="00491663"/>
    <w:rsid w:val="00495854"/>
    <w:rsid w:val="004A1C6C"/>
    <w:rsid w:val="004C6630"/>
    <w:rsid w:val="004D25BC"/>
    <w:rsid w:val="004E2DAF"/>
    <w:rsid w:val="0051269F"/>
    <w:rsid w:val="00514DF5"/>
    <w:rsid w:val="005206D7"/>
    <w:rsid w:val="00521DDB"/>
    <w:rsid w:val="00524B4F"/>
    <w:rsid w:val="00550C05"/>
    <w:rsid w:val="005641F8"/>
    <w:rsid w:val="00580BC5"/>
    <w:rsid w:val="005947C6"/>
    <w:rsid w:val="00594BC4"/>
    <w:rsid w:val="005B51E0"/>
    <w:rsid w:val="005C4D80"/>
    <w:rsid w:val="005C57D1"/>
    <w:rsid w:val="005E4D8B"/>
    <w:rsid w:val="005F0269"/>
    <w:rsid w:val="005F7616"/>
    <w:rsid w:val="006349C3"/>
    <w:rsid w:val="0063567A"/>
    <w:rsid w:val="00642976"/>
    <w:rsid w:val="00657DEE"/>
    <w:rsid w:val="006613A2"/>
    <w:rsid w:val="006652DF"/>
    <w:rsid w:val="00670544"/>
    <w:rsid w:val="00672810"/>
    <w:rsid w:val="00681FA8"/>
    <w:rsid w:val="00686655"/>
    <w:rsid w:val="006C5AD1"/>
    <w:rsid w:val="006F37F8"/>
    <w:rsid w:val="00726BA8"/>
    <w:rsid w:val="00730B7D"/>
    <w:rsid w:val="0073347F"/>
    <w:rsid w:val="007342A3"/>
    <w:rsid w:val="00734F63"/>
    <w:rsid w:val="00742CD4"/>
    <w:rsid w:val="00744C90"/>
    <w:rsid w:val="00752A00"/>
    <w:rsid w:val="00767FFB"/>
    <w:rsid w:val="00777586"/>
    <w:rsid w:val="00797614"/>
    <w:rsid w:val="00803E41"/>
    <w:rsid w:val="008127CE"/>
    <w:rsid w:val="008271C1"/>
    <w:rsid w:val="008334B7"/>
    <w:rsid w:val="008418DF"/>
    <w:rsid w:val="00842F1A"/>
    <w:rsid w:val="00862FFC"/>
    <w:rsid w:val="008636C7"/>
    <w:rsid w:val="00892680"/>
    <w:rsid w:val="00893B63"/>
    <w:rsid w:val="008A5C9E"/>
    <w:rsid w:val="008B0DF0"/>
    <w:rsid w:val="008B741A"/>
    <w:rsid w:val="008C54E3"/>
    <w:rsid w:val="008E4E8B"/>
    <w:rsid w:val="008F7AEB"/>
    <w:rsid w:val="009123DC"/>
    <w:rsid w:val="00920DDA"/>
    <w:rsid w:val="009250D1"/>
    <w:rsid w:val="0093757B"/>
    <w:rsid w:val="00940B77"/>
    <w:rsid w:val="00947AAF"/>
    <w:rsid w:val="00950A6C"/>
    <w:rsid w:val="00991D01"/>
    <w:rsid w:val="009C177D"/>
    <w:rsid w:val="009C5214"/>
    <w:rsid w:val="009D0015"/>
    <w:rsid w:val="009D6358"/>
    <w:rsid w:val="00A02B1B"/>
    <w:rsid w:val="00A32572"/>
    <w:rsid w:val="00A405AF"/>
    <w:rsid w:val="00A47727"/>
    <w:rsid w:val="00A54AE4"/>
    <w:rsid w:val="00A63E06"/>
    <w:rsid w:val="00A769BB"/>
    <w:rsid w:val="00A92BA7"/>
    <w:rsid w:val="00A93656"/>
    <w:rsid w:val="00AC1B4A"/>
    <w:rsid w:val="00AC271C"/>
    <w:rsid w:val="00AD4D61"/>
    <w:rsid w:val="00B10F8A"/>
    <w:rsid w:val="00B146E7"/>
    <w:rsid w:val="00B2731D"/>
    <w:rsid w:val="00B33E84"/>
    <w:rsid w:val="00B456AB"/>
    <w:rsid w:val="00B52003"/>
    <w:rsid w:val="00B619A9"/>
    <w:rsid w:val="00B646AC"/>
    <w:rsid w:val="00B84978"/>
    <w:rsid w:val="00BA5D23"/>
    <w:rsid w:val="00BA6408"/>
    <w:rsid w:val="00BD6CA0"/>
    <w:rsid w:val="00BE6C47"/>
    <w:rsid w:val="00BF5E4A"/>
    <w:rsid w:val="00C06680"/>
    <w:rsid w:val="00C36CF8"/>
    <w:rsid w:val="00C51216"/>
    <w:rsid w:val="00C74953"/>
    <w:rsid w:val="00C908CD"/>
    <w:rsid w:val="00C93BD4"/>
    <w:rsid w:val="00CA3E00"/>
    <w:rsid w:val="00CE076F"/>
    <w:rsid w:val="00CF14AF"/>
    <w:rsid w:val="00CF176F"/>
    <w:rsid w:val="00CF35F7"/>
    <w:rsid w:val="00D27E8E"/>
    <w:rsid w:val="00D60E7F"/>
    <w:rsid w:val="00D66B54"/>
    <w:rsid w:val="00D9031E"/>
    <w:rsid w:val="00D91FD8"/>
    <w:rsid w:val="00D929A2"/>
    <w:rsid w:val="00DA5982"/>
    <w:rsid w:val="00DC2633"/>
    <w:rsid w:val="00DC53C2"/>
    <w:rsid w:val="00DD6973"/>
    <w:rsid w:val="00DE1B77"/>
    <w:rsid w:val="00DE1C1E"/>
    <w:rsid w:val="00E0031A"/>
    <w:rsid w:val="00E038E0"/>
    <w:rsid w:val="00E06F66"/>
    <w:rsid w:val="00E11CE3"/>
    <w:rsid w:val="00E12F2E"/>
    <w:rsid w:val="00E146A0"/>
    <w:rsid w:val="00E56944"/>
    <w:rsid w:val="00E6663D"/>
    <w:rsid w:val="00E670D7"/>
    <w:rsid w:val="00E825E7"/>
    <w:rsid w:val="00E9295E"/>
    <w:rsid w:val="00EC0A3B"/>
    <w:rsid w:val="00EF3890"/>
    <w:rsid w:val="00EF53BA"/>
    <w:rsid w:val="00F12906"/>
    <w:rsid w:val="00F139E0"/>
    <w:rsid w:val="00F20AE7"/>
    <w:rsid w:val="00F276CE"/>
    <w:rsid w:val="00F302EF"/>
    <w:rsid w:val="00F34A33"/>
    <w:rsid w:val="00F70AD6"/>
    <w:rsid w:val="00F77BFE"/>
    <w:rsid w:val="00F94D21"/>
    <w:rsid w:val="00FC0390"/>
    <w:rsid w:val="00FC5ECC"/>
    <w:rsid w:val="00FC6D98"/>
    <w:rsid w:val="00FE2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9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67A"/>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567A"/>
    <w:pPr>
      <w:tabs>
        <w:tab w:val="center" w:pos="4320"/>
        <w:tab w:val="right" w:pos="8640"/>
      </w:tabs>
    </w:pPr>
  </w:style>
  <w:style w:type="paragraph" w:styleId="Footer">
    <w:name w:val="footer"/>
    <w:basedOn w:val="Normal"/>
    <w:rsid w:val="0063567A"/>
    <w:pPr>
      <w:tabs>
        <w:tab w:val="center" w:pos="4320"/>
        <w:tab w:val="right" w:pos="8640"/>
      </w:tabs>
    </w:pPr>
  </w:style>
  <w:style w:type="character" w:styleId="PageNumber">
    <w:name w:val="page number"/>
    <w:basedOn w:val="DefaultParagraphFont"/>
    <w:rsid w:val="0063567A"/>
  </w:style>
  <w:style w:type="table" w:styleId="TableClassic2">
    <w:name w:val="Table Classic 2"/>
    <w:basedOn w:val="TableNormal"/>
    <w:rsid w:val="004D25B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
    <w:name w:val="Table Grid"/>
    <w:basedOn w:val="TableNormal"/>
    <w:rsid w:val="0079761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6C5AD1"/>
    <w:rPr>
      <w:rFonts w:ascii="Tahoma" w:hAnsi="Tahoma" w:cs="Tahoma"/>
      <w:sz w:val="16"/>
      <w:szCs w:val="16"/>
    </w:rPr>
  </w:style>
  <w:style w:type="character" w:customStyle="1" w:styleId="BalloonTextChar">
    <w:name w:val="Balloon Text Char"/>
    <w:basedOn w:val="DefaultParagraphFont"/>
    <w:link w:val="BalloonText"/>
    <w:rsid w:val="006C5AD1"/>
    <w:rPr>
      <w:rFonts w:ascii="Tahoma" w:hAnsi="Tahoma" w:cs="Tahoma"/>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C74953"/>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C74953"/>
    <w:rPr>
      <w:rFonts w:ascii="Palatino Linotype" w:hAnsi="Palatino Linotype"/>
    </w:rPr>
  </w:style>
  <w:style w:type="character" w:styleId="FootnoteReference">
    <w:name w:val="footnote reference"/>
    <w:rsid w:val="00C74953"/>
    <w:rPr>
      <w:vertAlign w:val="superscript"/>
    </w:rPr>
  </w:style>
  <w:style w:type="character" w:styleId="CommentReference">
    <w:name w:val="annotation reference"/>
    <w:basedOn w:val="DefaultParagraphFont"/>
    <w:rsid w:val="00734F63"/>
    <w:rPr>
      <w:sz w:val="16"/>
      <w:szCs w:val="16"/>
    </w:rPr>
  </w:style>
  <w:style w:type="paragraph" w:styleId="CommentText">
    <w:name w:val="annotation text"/>
    <w:basedOn w:val="Normal"/>
    <w:link w:val="CommentTextChar"/>
    <w:rsid w:val="00734F63"/>
    <w:rPr>
      <w:sz w:val="20"/>
      <w:szCs w:val="20"/>
    </w:rPr>
  </w:style>
  <w:style w:type="character" w:customStyle="1" w:styleId="CommentTextChar">
    <w:name w:val="Comment Text Char"/>
    <w:basedOn w:val="DefaultParagraphFont"/>
    <w:link w:val="CommentText"/>
    <w:rsid w:val="00734F63"/>
    <w:rPr>
      <w:rFonts w:ascii="Palatino Linotype" w:hAnsi="Palatino Linotype"/>
    </w:rPr>
  </w:style>
  <w:style w:type="paragraph" w:styleId="CommentSubject">
    <w:name w:val="annotation subject"/>
    <w:basedOn w:val="CommentText"/>
    <w:next w:val="CommentText"/>
    <w:link w:val="CommentSubjectChar"/>
    <w:rsid w:val="00734F63"/>
    <w:rPr>
      <w:b/>
      <w:bCs/>
    </w:rPr>
  </w:style>
  <w:style w:type="character" w:customStyle="1" w:styleId="CommentSubjectChar">
    <w:name w:val="Comment Subject Char"/>
    <w:basedOn w:val="CommentTextChar"/>
    <w:link w:val="CommentSubject"/>
    <w:rsid w:val="00734F63"/>
    <w:rPr>
      <w:rFonts w:ascii="Palatino Linotype" w:hAnsi="Palatino Linotype"/>
      <w:b/>
      <w:bCs/>
    </w:rPr>
  </w:style>
  <w:style w:type="character" w:styleId="Emphasis">
    <w:name w:val="Emphasis"/>
    <w:basedOn w:val="DefaultParagraphFont"/>
    <w:qFormat/>
    <w:rsid w:val="005947C6"/>
    <w:rPr>
      <w:i/>
      <w:iCs/>
    </w:rPr>
  </w:style>
  <w:style w:type="paragraph" w:styleId="ListParagraph">
    <w:name w:val="List Paragraph"/>
    <w:basedOn w:val="Normal"/>
    <w:uiPriority w:val="34"/>
    <w:qFormat/>
    <w:rsid w:val="00A63E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67A"/>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567A"/>
    <w:pPr>
      <w:tabs>
        <w:tab w:val="center" w:pos="4320"/>
        <w:tab w:val="right" w:pos="8640"/>
      </w:tabs>
    </w:pPr>
  </w:style>
  <w:style w:type="paragraph" w:styleId="Footer">
    <w:name w:val="footer"/>
    <w:basedOn w:val="Normal"/>
    <w:rsid w:val="0063567A"/>
    <w:pPr>
      <w:tabs>
        <w:tab w:val="center" w:pos="4320"/>
        <w:tab w:val="right" w:pos="8640"/>
      </w:tabs>
    </w:pPr>
  </w:style>
  <w:style w:type="character" w:styleId="PageNumber">
    <w:name w:val="page number"/>
    <w:basedOn w:val="DefaultParagraphFont"/>
    <w:rsid w:val="0063567A"/>
  </w:style>
  <w:style w:type="table" w:styleId="TableClassic2">
    <w:name w:val="Table Classic 2"/>
    <w:basedOn w:val="TableNormal"/>
    <w:rsid w:val="004D25B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
    <w:name w:val="Table Grid"/>
    <w:basedOn w:val="TableNormal"/>
    <w:rsid w:val="0079761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6C5AD1"/>
    <w:rPr>
      <w:rFonts w:ascii="Tahoma" w:hAnsi="Tahoma" w:cs="Tahoma"/>
      <w:sz w:val="16"/>
      <w:szCs w:val="16"/>
    </w:rPr>
  </w:style>
  <w:style w:type="character" w:customStyle="1" w:styleId="BalloonTextChar">
    <w:name w:val="Balloon Text Char"/>
    <w:basedOn w:val="DefaultParagraphFont"/>
    <w:link w:val="BalloonText"/>
    <w:rsid w:val="006C5AD1"/>
    <w:rPr>
      <w:rFonts w:ascii="Tahoma" w:hAnsi="Tahoma" w:cs="Tahoma"/>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C74953"/>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C74953"/>
    <w:rPr>
      <w:rFonts w:ascii="Palatino Linotype" w:hAnsi="Palatino Linotype"/>
    </w:rPr>
  </w:style>
  <w:style w:type="character" w:styleId="FootnoteReference">
    <w:name w:val="footnote reference"/>
    <w:rsid w:val="00C74953"/>
    <w:rPr>
      <w:vertAlign w:val="superscript"/>
    </w:rPr>
  </w:style>
  <w:style w:type="character" w:styleId="CommentReference">
    <w:name w:val="annotation reference"/>
    <w:basedOn w:val="DefaultParagraphFont"/>
    <w:rsid w:val="00734F63"/>
    <w:rPr>
      <w:sz w:val="16"/>
      <w:szCs w:val="16"/>
    </w:rPr>
  </w:style>
  <w:style w:type="paragraph" w:styleId="CommentText">
    <w:name w:val="annotation text"/>
    <w:basedOn w:val="Normal"/>
    <w:link w:val="CommentTextChar"/>
    <w:rsid w:val="00734F63"/>
    <w:rPr>
      <w:sz w:val="20"/>
      <w:szCs w:val="20"/>
    </w:rPr>
  </w:style>
  <w:style w:type="character" w:customStyle="1" w:styleId="CommentTextChar">
    <w:name w:val="Comment Text Char"/>
    <w:basedOn w:val="DefaultParagraphFont"/>
    <w:link w:val="CommentText"/>
    <w:rsid w:val="00734F63"/>
    <w:rPr>
      <w:rFonts w:ascii="Palatino Linotype" w:hAnsi="Palatino Linotype"/>
    </w:rPr>
  </w:style>
  <w:style w:type="paragraph" w:styleId="CommentSubject">
    <w:name w:val="annotation subject"/>
    <w:basedOn w:val="CommentText"/>
    <w:next w:val="CommentText"/>
    <w:link w:val="CommentSubjectChar"/>
    <w:rsid w:val="00734F63"/>
    <w:rPr>
      <w:b/>
      <w:bCs/>
    </w:rPr>
  </w:style>
  <w:style w:type="character" w:customStyle="1" w:styleId="CommentSubjectChar">
    <w:name w:val="Comment Subject Char"/>
    <w:basedOn w:val="CommentTextChar"/>
    <w:link w:val="CommentSubject"/>
    <w:rsid w:val="00734F63"/>
    <w:rPr>
      <w:rFonts w:ascii="Palatino Linotype" w:hAnsi="Palatino Linotype"/>
      <w:b/>
      <w:bCs/>
    </w:rPr>
  </w:style>
  <w:style w:type="character" w:styleId="Emphasis">
    <w:name w:val="Emphasis"/>
    <w:basedOn w:val="DefaultParagraphFont"/>
    <w:qFormat/>
    <w:rsid w:val="005947C6"/>
    <w:rPr>
      <w:i/>
      <w:iCs/>
    </w:rPr>
  </w:style>
  <w:style w:type="paragraph" w:styleId="ListParagraph">
    <w:name w:val="List Paragraph"/>
    <w:basedOn w:val="Normal"/>
    <w:uiPriority w:val="34"/>
    <w:qFormat/>
    <w:rsid w:val="00A63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894407">
      <w:bodyDiv w:val="1"/>
      <w:marLeft w:val="0"/>
      <w:marRight w:val="0"/>
      <w:marTop w:val="0"/>
      <w:marBottom w:val="0"/>
      <w:divBdr>
        <w:top w:val="none" w:sz="0" w:space="0" w:color="auto"/>
        <w:left w:val="none" w:sz="0" w:space="0" w:color="auto"/>
        <w:bottom w:val="none" w:sz="0" w:space="0" w:color="auto"/>
        <w:right w:val="none" w:sz="0" w:space="0" w:color="auto"/>
      </w:divBdr>
    </w:div>
    <w:div w:id="1126586860">
      <w:bodyDiv w:val="1"/>
      <w:marLeft w:val="0"/>
      <w:marRight w:val="0"/>
      <w:marTop w:val="0"/>
      <w:marBottom w:val="0"/>
      <w:divBdr>
        <w:top w:val="none" w:sz="0" w:space="0" w:color="auto"/>
        <w:left w:val="none" w:sz="0" w:space="0" w:color="auto"/>
        <w:bottom w:val="none" w:sz="0" w:space="0" w:color="auto"/>
        <w:right w:val="none" w:sz="0" w:space="0" w:color="auto"/>
      </w:divBdr>
    </w:div>
    <w:div w:id="163775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A6A19F7A5701442B3D74F98C3D3BCDE" ma:contentTypeVersion="175" ma:contentTypeDescription="" ma:contentTypeScope="" ma:versionID="374792be438c0e2d28990fccf3bc6c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2014-03-31T07:00:00+00:00</OpenedDate>
    <Date1 xmlns="dc463f71-b30c-4ab2-9473-d307f9d35888">2014-07-10T07:00:00+00:00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140540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34F3D-9EF7-44F7-9C3E-AF4BE56439B4}"/>
</file>

<file path=customXml/itemProps2.xml><?xml version="1.0" encoding="utf-8"?>
<ds:datastoreItem xmlns:ds="http://schemas.openxmlformats.org/officeDocument/2006/customXml" ds:itemID="{AFB0036E-C93A-413B-95D9-C1920265F4E0}"/>
</file>

<file path=customXml/itemProps3.xml><?xml version="1.0" encoding="utf-8"?>
<ds:datastoreItem xmlns:ds="http://schemas.openxmlformats.org/officeDocument/2006/customXml" ds:itemID="{AA4827BB-0855-45BE-80AC-B67CE0F1E97F}"/>
</file>

<file path=customXml/itemProps4.xml><?xml version="1.0" encoding="utf-8"?>
<ds:datastoreItem xmlns:ds="http://schemas.openxmlformats.org/officeDocument/2006/customXml" ds:itemID="{255533C6-6BDC-4BE4-9095-214E0B5391D6}"/>
</file>

<file path=customXml/itemProps5.xml><?xml version="1.0" encoding="utf-8"?>
<ds:datastoreItem xmlns:ds="http://schemas.openxmlformats.org/officeDocument/2006/customXml" ds:itemID="{0F843644-1596-4C6E-BE1B-2568490205D7}"/>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UE-140540 Memo</vt:lpstr>
    </vt:vector>
  </TitlesOfParts>
  <Company>WUTC</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UE-140540 Memo</dc:title>
  <dc:creator>VDeferia</dc:creator>
  <cp:lastModifiedBy>Lisa Wyse</cp:lastModifiedBy>
  <cp:revision>2</cp:revision>
  <cp:lastPrinted>2009-07-13T17:35:00Z</cp:lastPrinted>
  <dcterms:created xsi:type="dcterms:W3CDTF">2014-07-08T23:26:00Z</dcterms:created>
  <dcterms:modified xsi:type="dcterms:W3CDTF">2014-07-08T23:26:00Z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0x0101006E56B4D1795A2E4DB2F0B01679ED314A00FA6A19F7A5701442B3D74F98C3D3BCDE</vt:lpwstr>
  </property>
  <property fmtid="{D5CDD505-2E9C-101B-9397-08002B2CF9AE}" pid="3" name="_docset_NoMedatataSyncRequired">
    <vt:lpwstr>False</vt:lpwstr>
  </property>
</Properties>
</file>