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901AAC" w:rsidRPr="00901AAC" w:rsidRDefault="00901AAC">
      <w:pPr>
        <w:jc w:val="center"/>
        <w:rPr>
          <w:caps/>
        </w:rPr>
      </w:pPr>
      <w:bookmarkStart w:id="0" w:name="TitleOfPleading"/>
      <w:bookmarkEnd w:id="0"/>
      <w:r w:rsidRPr="00901AAC">
        <w:rPr>
          <w:caps/>
        </w:rPr>
        <w:t xml:space="preserve">BEFORE THE WASHINGTON STATE </w:t>
      </w:r>
    </w:p>
    <w:p w:rsidR="00130F2B" w:rsidRPr="00901AAC" w:rsidRDefault="00901AAC">
      <w:pPr>
        <w:jc w:val="center"/>
        <w:rPr>
          <w:caps/>
        </w:rPr>
      </w:pPr>
      <w:r w:rsidRPr="00901AAC">
        <w:rPr>
          <w:caps/>
        </w:rPr>
        <w:t>UTILITIES AND TRANSPORTATION COMMISSION</w:t>
      </w:r>
    </w:p>
    <w:p w:rsidR="00130F2B" w:rsidRDefault="00130F2B">
      <w:pPr>
        <w:jc w:val="center"/>
      </w:pPr>
    </w:p>
    <w:tbl>
      <w:tblPr>
        <w:tblW w:w="0" w:type="auto"/>
        <w:tblInd w:w="360" w:type="dxa"/>
        <w:tblBorders>
          <w:bottom w:val="single" w:sz="6" w:space="0" w:color="auto"/>
        </w:tblBorders>
        <w:tblLayout w:type="fixed"/>
        <w:tblCellMar>
          <w:left w:w="360" w:type="dxa"/>
          <w:right w:w="360" w:type="dxa"/>
        </w:tblCellMar>
        <w:tblLook w:val="0000"/>
      </w:tblPr>
      <w:tblGrid>
        <w:gridCol w:w="4500"/>
        <w:gridCol w:w="4500"/>
      </w:tblGrid>
      <w:tr w:rsidR="00130F2B">
        <w:tc>
          <w:tcPr>
            <w:tcW w:w="4500" w:type="dxa"/>
            <w:tcBorders>
              <w:bottom w:val="single" w:sz="6" w:space="0" w:color="auto"/>
              <w:right w:val="single" w:sz="6" w:space="0" w:color="auto"/>
            </w:tcBorders>
          </w:tcPr>
          <w:p w:rsidR="00901AAC" w:rsidRDefault="00901AAC">
            <w:pPr>
              <w:ind w:left="-360"/>
            </w:pPr>
            <w:bookmarkStart w:id="1" w:name="Appellant_Name"/>
            <w:bookmarkStart w:id="2" w:name="tag1"/>
            <w:bookmarkStart w:id="3" w:name="Respondent_Name"/>
            <w:bookmarkStart w:id="4" w:name="tag2"/>
            <w:bookmarkStart w:id="5" w:name="Caption"/>
            <w:bookmarkEnd w:id="1"/>
            <w:bookmarkEnd w:id="2"/>
            <w:bookmarkEnd w:id="3"/>
            <w:bookmarkEnd w:id="4"/>
            <w:r>
              <w:t xml:space="preserve">WASHINGTON STATE DEPARTMENT OF TRANSPORTATION, </w:t>
            </w:r>
          </w:p>
          <w:p w:rsidR="00901AAC" w:rsidRDefault="00901AAC">
            <w:pPr>
              <w:ind w:left="-360"/>
            </w:pPr>
          </w:p>
          <w:p w:rsidR="00901AAC" w:rsidRDefault="00901AAC">
            <w:pPr>
              <w:ind w:left="-360"/>
            </w:pPr>
            <w:r>
              <w:tab/>
            </w:r>
            <w:r>
              <w:tab/>
            </w:r>
            <w:r>
              <w:tab/>
            </w:r>
            <w:r>
              <w:tab/>
              <w:t>Petitioner,</w:t>
            </w:r>
          </w:p>
          <w:p w:rsidR="00901AAC" w:rsidRDefault="00901AAC">
            <w:pPr>
              <w:ind w:left="-360"/>
            </w:pPr>
          </w:p>
          <w:p w:rsidR="00901AAC" w:rsidRDefault="00901AAC">
            <w:pPr>
              <w:ind w:left="-360"/>
            </w:pPr>
            <w:r>
              <w:t>v.</w:t>
            </w:r>
          </w:p>
          <w:p w:rsidR="009B7DAF" w:rsidRDefault="009B7DAF">
            <w:pPr>
              <w:ind w:left="-360"/>
            </w:pPr>
          </w:p>
          <w:p w:rsidR="00901AAC" w:rsidRDefault="00901AAC">
            <w:pPr>
              <w:ind w:left="-360"/>
            </w:pPr>
            <w:r>
              <w:t>CENTRAL PUGET SOUND REGIONAL TRANSPORTATION AUTHORITY</w:t>
            </w:r>
            <w:r w:rsidR="009B7DAF">
              <w:t xml:space="preserve"> (SOUND TRANSIT)</w:t>
            </w:r>
            <w:r>
              <w:t>; CITY OF LAKEWOOD</w:t>
            </w:r>
            <w:r w:rsidR="009B7DAF">
              <w:t>; and TACOMA RAIL</w:t>
            </w:r>
            <w:r>
              <w:t xml:space="preserve">, </w:t>
            </w:r>
          </w:p>
          <w:p w:rsidR="00901AAC" w:rsidRDefault="00901AAC">
            <w:pPr>
              <w:ind w:left="-360"/>
            </w:pPr>
          </w:p>
          <w:p w:rsidR="00130F2B" w:rsidRDefault="00901AAC">
            <w:pPr>
              <w:ind w:left="-360"/>
            </w:pPr>
            <w:r>
              <w:tab/>
            </w:r>
            <w:r>
              <w:tab/>
            </w:r>
            <w:r>
              <w:tab/>
            </w:r>
            <w:r>
              <w:tab/>
              <w:t>Respondents.</w:t>
            </w:r>
          </w:p>
        </w:tc>
        <w:tc>
          <w:tcPr>
            <w:tcW w:w="4500" w:type="dxa"/>
            <w:tcBorders>
              <w:left w:val="nil"/>
              <w:bottom w:val="nil"/>
            </w:tcBorders>
          </w:tcPr>
          <w:p w:rsidR="00F8354A" w:rsidRDefault="00F8354A" w:rsidP="00F8354A">
            <w:r w:rsidRPr="00571CD9">
              <w:t>DOCKET</w:t>
            </w:r>
            <w:r w:rsidR="00C2052D">
              <w:t>S</w:t>
            </w:r>
            <w:r w:rsidRPr="00571CD9">
              <w:t xml:space="preserve"> TR-</w:t>
            </w:r>
            <w:r>
              <w:t>081229</w:t>
            </w:r>
            <w:r w:rsidR="00C2052D">
              <w:t>, TR-081230, TR-081231, and TR-081232</w:t>
            </w:r>
          </w:p>
          <w:p w:rsidR="00FC6A19" w:rsidRPr="00FC6A19" w:rsidRDefault="00FC6A19" w:rsidP="00F8354A">
            <w:pPr>
              <w:rPr>
                <w:i/>
              </w:rPr>
            </w:pPr>
            <w:r w:rsidRPr="00FC6A19">
              <w:rPr>
                <w:i/>
              </w:rPr>
              <w:t>(Consolidated)</w:t>
            </w:r>
          </w:p>
          <w:p w:rsidR="00F8354A" w:rsidRPr="00571CD9" w:rsidRDefault="00F8354A" w:rsidP="00F8354A">
            <w:pPr>
              <w:rPr>
                <w:b/>
                <w:bCs/>
              </w:rPr>
            </w:pPr>
          </w:p>
          <w:p w:rsidR="00F8354A" w:rsidRDefault="00C2052D" w:rsidP="00F8354A">
            <w:r w:rsidRPr="00C2052D">
              <w:t>WSDOT</w:t>
            </w:r>
            <w:r w:rsidR="00970693">
              <w:t>’S</w:t>
            </w:r>
            <w:r w:rsidRPr="00C2052D">
              <w:t xml:space="preserve"> ANSWER IN OPPOSITION TO THE CITY OF LAKEWOOD’S MOTION </w:t>
            </w:r>
            <w:r w:rsidR="00970693">
              <w:t>TO RECONSIDER ORDER DENYING MOTIONS TO RESCIND FINAL ORDERS</w:t>
            </w:r>
          </w:p>
          <w:p w:rsidR="00F8354A" w:rsidRDefault="00F8354A" w:rsidP="00F8354A"/>
          <w:p w:rsidR="00F8354A" w:rsidRDefault="00F8354A" w:rsidP="00F8354A"/>
          <w:p w:rsidR="00130F2B" w:rsidRDefault="00130F2B" w:rsidP="00C2052D"/>
        </w:tc>
      </w:tr>
      <w:bookmarkEnd w:id="5"/>
    </w:tbl>
    <w:p w:rsidR="00130F2B" w:rsidRDefault="00130F2B">
      <w:pPr>
        <w:jc w:val="both"/>
      </w:pPr>
    </w:p>
    <w:p w:rsidR="00C2052D" w:rsidRDefault="00170EB9" w:rsidP="00C2052D">
      <w:pPr>
        <w:pStyle w:val="ListParagraph"/>
        <w:numPr>
          <w:ilvl w:val="0"/>
          <w:numId w:val="14"/>
        </w:numPr>
        <w:spacing w:line="480" w:lineRule="auto"/>
        <w:ind w:left="0" w:hanging="720"/>
        <w:jc w:val="both"/>
      </w:pPr>
      <w:bookmarkStart w:id="6" w:name="First_Paragraph"/>
      <w:bookmarkEnd w:id="6"/>
      <w:r>
        <w:tab/>
      </w:r>
      <w:r w:rsidR="001F742E">
        <w:t xml:space="preserve">The Washington State Department of Transportation </w:t>
      </w:r>
      <w:r w:rsidR="00C625A7">
        <w:t xml:space="preserve">(hereafter “WSDOT”) </w:t>
      </w:r>
      <w:r w:rsidR="00C2052D" w:rsidRPr="00C2052D">
        <w:t xml:space="preserve">responds to the </w:t>
      </w:r>
      <w:r w:rsidR="00C2052D">
        <w:t xml:space="preserve">Washington Utilities and Transportation </w:t>
      </w:r>
      <w:r w:rsidR="00C2052D" w:rsidRPr="00C2052D">
        <w:t>Commission</w:t>
      </w:r>
      <w:r w:rsidR="00C2052D">
        <w:t>’</w:t>
      </w:r>
      <w:r w:rsidR="00C2052D" w:rsidRPr="00C2052D">
        <w:t xml:space="preserve">s </w:t>
      </w:r>
      <w:r w:rsidR="00C2052D">
        <w:t xml:space="preserve">(hereafter “WUTC” or “Commission”) </w:t>
      </w:r>
      <w:r w:rsidR="00C2052D" w:rsidRPr="00C2052D">
        <w:t xml:space="preserve">Notice of Opportunity to File Answers to Motion for Reconsideration issued April 26, 2010, and respectfully requests that the Commission deny the City of Lakewood’s </w:t>
      </w:r>
      <w:r w:rsidR="00EF4A95">
        <w:t xml:space="preserve">(“City”) </w:t>
      </w:r>
      <w:r w:rsidR="00C2052D" w:rsidRPr="00C2052D">
        <w:t>Motion to Reconsider Order Denying Motions to Rescind Final Orders.</w:t>
      </w:r>
    </w:p>
    <w:p w:rsidR="00C2052D" w:rsidRPr="00C2052D" w:rsidRDefault="00970693" w:rsidP="00970693">
      <w:pPr>
        <w:pStyle w:val="ListParagraph"/>
        <w:numPr>
          <w:ilvl w:val="0"/>
          <w:numId w:val="14"/>
        </w:numPr>
        <w:spacing w:line="480" w:lineRule="auto"/>
        <w:ind w:left="0" w:hanging="720"/>
        <w:jc w:val="both"/>
      </w:pPr>
      <w:r>
        <w:tab/>
      </w:r>
      <w:r w:rsidR="00C2052D" w:rsidRPr="00C2052D">
        <w:t xml:space="preserve">The City argues two grounds in support of reconsideration: (1) </w:t>
      </w:r>
      <w:r>
        <w:t>t</w:t>
      </w:r>
      <w:r w:rsidR="00F16E88">
        <w:t>he “S</w:t>
      </w:r>
      <w:r w:rsidR="00C2052D" w:rsidRPr="00C2052D">
        <w:t>ystem</w:t>
      </w:r>
      <w:r w:rsidR="00F16E88">
        <w:t>s</w:t>
      </w:r>
      <w:r w:rsidR="00C2052D" w:rsidRPr="00C2052D">
        <w:t xml:space="preserve"> </w:t>
      </w:r>
      <w:r w:rsidR="00F16E88">
        <w:t>A</w:t>
      </w:r>
      <w:r w:rsidR="00C2052D" w:rsidRPr="00C2052D">
        <w:t>pproach” endorsed by the Fed</w:t>
      </w:r>
      <w:r w:rsidR="00F16E88">
        <w:t>eral Highway Administration (</w:t>
      </w:r>
      <w:r w:rsidR="00CB7AF1">
        <w:t>“</w:t>
      </w:r>
      <w:r w:rsidR="00F16E88">
        <w:t>FHW</w:t>
      </w:r>
      <w:r w:rsidR="00C2052D" w:rsidRPr="00C2052D">
        <w:t>A</w:t>
      </w:r>
      <w:r w:rsidR="00CB7AF1">
        <w:t>”</w:t>
      </w:r>
      <w:r w:rsidR="00C2052D" w:rsidRPr="00C2052D">
        <w:t xml:space="preserve">) requires the WUTC </w:t>
      </w:r>
      <w:r w:rsidR="00CB7AF1">
        <w:t xml:space="preserve">to </w:t>
      </w:r>
      <w:r w:rsidR="00C2052D" w:rsidRPr="00C2052D">
        <w:t>consider the proposed safety modifications for all seven cit</w:t>
      </w:r>
      <w:r w:rsidR="00F16E88">
        <w:t>y crossings together; and (2) t</w:t>
      </w:r>
      <w:r w:rsidR="00C2052D" w:rsidRPr="00C2052D">
        <w:t>he petitions filed in TR</w:t>
      </w:r>
      <w:r w:rsidR="00F16E88">
        <w:t>-</w:t>
      </w:r>
      <w:r w:rsidR="00C2052D" w:rsidRPr="00C2052D">
        <w:t xml:space="preserve">081229, </w:t>
      </w:r>
      <w:r w:rsidR="00F16E88">
        <w:t>TR-</w:t>
      </w:r>
      <w:r w:rsidR="00C2052D" w:rsidRPr="00C2052D">
        <w:t xml:space="preserve">081230, </w:t>
      </w:r>
      <w:r w:rsidR="00F16E88">
        <w:t>TR-</w:t>
      </w:r>
      <w:r w:rsidR="00C2052D" w:rsidRPr="00C2052D">
        <w:t>081231</w:t>
      </w:r>
      <w:r w:rsidR="00F16E88">
        <w:t>,</w:t>
      </w:r>
      <w:r w:rsidR="00C2052D" w:rsidRPr="00C2052D">
        <w:t xml:space="preserve"> and </w:t>
      </w:r>
      <w:r w:rsidR="00CB7AF1">
        <w:lastRenderedPageBreak/>
        <w:t>TR</w:t>
      </w:r>
      <w:r w:rsidR="00CB7AF1">
        <w:noBreakHyphen/>
      </w:r>
      <w:r w:rsidR="00C2052D" w:rsidRPr="00C2052D">
        <w:t xml:space="preserve">081232 were misleading and failed to provide adequate notice. </w:t>
      </w:r>
      <w:r w:rsidR="00F16E88">
        <w:t xml:space="preserve"> </w:t>
      </w:r>
      <w:r w:rsidR="00C2052D" w:rsidRPr="00C2052D">
        <w:t>Neither ground is supported by facts nor the authorities cited.</w:t>
      </w:r>
    </w:p>
    <w:p w:rsidR="00C2052D" w:rsidRDefault="00F16E88" w:rsidP="00970693">
      <w:pPr>
        <w:pStyle w:val="Heading2"/>
        <w:spacing w:before="0"/>
      </w:pPr>
      <w:r>
        <w:t>The FHW</w:t>
      </w:r>
      <w:r w:rsidR="00C2052D" w:rsidRPr="00C2052D">
        <w:t>A reco</w:t>
      </w:r>
      <w:r>
        <w:t>mmendation regarding a “Systems</w:t>
      </w:r>
      <w:r w:rsidR="00C2052D" w:rsidRPr="00C2052D">
        <w:t xml:space="preserve"> </w:t>
      </w:r>
      <w:r>
        <w:t>A</w:t>
      </w:r>
      <w:r w:rsidR="00C2052D" w:rsidRPr="00C2052D">
        <w:t>pproach” was used to design the pr</w:t>
      </w:r>
      <w:r>
        <w:t xml:space="preserve">oject as a whole, including </w:t>
      </w:r>
      <w:r w:rsidR="00C2052D" w:rsidRPr="00C2052D">
        <w:t>the proposed crossing safety modifications</w:t>
      </w:r>
      <w:r w:rsidR="00406B13">
        <w:t>.</w:t>
      </w:r>
    </w:p>
    <w:p w:rsidR="00970693" w:rsidRPr="00970693" w:rsidRDefault="00970693" w:rsidP="00970693"/>
    <w:p w:rsidR="00C2052D" w:rsidRPr="00C2052D" w:rsidRDefault="00970693" w:rsidP="00970693">
      <w:pPr>
        <w:pStyle w:val="ListParagraph"/>
        <w:numPr>
          <w:ilvl w:val="0"/>
          <w:numId w:val="14"/>
        </w:numPr>
        <w:spacing w:line="480" w:lineRule="auto"/>
        <w:ind w:left="0" w:hanging="720"/>
        <w:jc w:val="both"/>
      </w:pPr>
      <w:r>
        <w:tab/>
      </w:r>
      <w:r w:rsidR="00EF0BCD">
        <w:t>The s</w:t>
      </w:r>
      <w:r w:rsidR="00C2052D" w:rsidRPr="00C2052D">
        <w:t>ystem</w:t>
      </w:r>
      <w:r w:rsidR="00F16E88">
        <w:t>s</w:t>
      </w:r>
      <w:r w:rsidR="00C2052D" w:rsidRPr="00C2052D">
        <w:t xml:space="preserve"> </w:t>
      </w:r>
      <w:r w:rsidR="00EF0BCD">
        <w:t>a</w:t>
      </w:r>
      <w:r w:rsidR="00C2052D" w:rsidRPr="00C2052D">
        <w:t>pproach advocated by the F</w:t>
      </w:r>
      <w:r w:rsidR="00F16E88">
        <w:t>HW</w:t>
      </w:r>
      <w:r w:rsidR="00C2052D" w:rsidRPr="00C2052D">
        <w:t>A considers a railroad highway grade crossing to be part</w:t>
      </w:r>
      <w:r w:rsidR="00F16E88">
        <w:t xml:space="preserve"> of</w:t>
      </w:r>
      <w:r w:rsidR="00C2052D" w:rsidRPr="00C2052D">
        <w:t>, or a component of</w:t>
      </w:r>
      <w:r w:rsidR="00EF0BCD">
        <w:t>,</w:t>
      </w:r>
      <w:r w:rsidR="00C2052D" w:rsidRPr="00C2052D">
        <w:t xml:space="preserve"> a larger transportation system, with the objective to improve both safety and operations of the system. </w:t>
      </w:r>
      <w:r w:rsidR="00F16E88">
        <w:t xml:space="preserve"> </w:t>
      </w:r>
      <w:r w:rsidR="00C2052D" w:rsidRPr="00C2052D">
        <w:t xml:space="preserve">For example, to improve operating efficiency and safety over a specified segment of a rail line, all crossings would </w:t>
      </w:r>
      <w:r w:rsidR="00EF0BCD">
        <w:t xml:space="preserve">be considered in the evaluation. </w:t>
      </w:r>
      <w:r w:rsidR="00CB7AF1">
        <w:t xml:space="preserve"> </w:t>
      </w:r>
      <w:r w:rsidR="00EF0BCD">
        <w:t>M</w:t>
      </w:r>
      <w:r w:rsidR="00C2052D" w:rsidRPr="00C2052D">
        <w:t>odifications of train speeds may require the installation of active traffic control devices</w:t>
      </w:r>
      <w:r w:rsidR="00F16E88">
        <w:t>.</w:t>
      </w:r>
      <w:r w:rsidR="00C2052D" w:rsidRPr="00C2052D">
        <w:rPr>
          <w:vertAlign w:val="superscript"/>
        </w:rPr>
        <w:footnoteReference w:id="2"/>
      </w:r>
      <w:r w:rsidR="00C2052D" w:rsidRPr="00C2052D">
        <w:t xml:space="preserve"> </w:t>
      </w:r>
    </w:p>
    <w:p w:rsidR="006C27F1" w:rsidRDefault="00970693" w:rsidP="00970693">
      <w:pPr>
        <w:pStyle w:val="ListParagraph"/>
        <w:numPr>
          <w:ilvl w:val="0"/>
          <w:numId w:val="14"/>
        </w:numPr>
        <w:spacing w:line="480" w:lineRule="auto"/>
        <w:ind w:left="0" w:hanging="720"/>
        <w:jc w:val="both"/>
      </w:pPr>
      <w:r>
        <w:tab/>
      </w:r>
      <w:r w:rsidR="009C12BA" w:rsidRPr="00D47464">
        <w:t xml:space="preserve">While consolidation of </w:t>
      </w:r>
      <w:r w:rsidR="00EF0BCD" w:rsidRPr="00D47464">
        <w:t xml:space="preserve">a number of </w:t>
      </w:r>
      <w:r w:rsidR="009C12BA" w:rsidRPr="00D47464">
        <w:t xml:space="preserve">related crossing modification proposals for consideration together is perhaps one way to help ensure they are coordinated </w:t>
      </w:r>
      <w:r w:rsidR="00EF0BCD" w:rsidRPr="00D47464">
        <w:t>in a</w:t>
      </w:r>
      <w:r w:rsidR="009C12BA" w:rsidRPr="00D47464">
        <w:t xml:space="preserve"> system</w:t>
      </w:r>
      <w:r w:rsidR="001456F0" w:rsidRPr="00D47464">
        <w:t>s</w:t>
      </w:r>
      <w:r w:rsidR="009C12BA" w:rsidRPr="00D47464">
        <w:t xml:space="preserve"> approach, it is certainly not the only way.</w:t>
      </w:r>
      <w:r w:rsidR="009C12BA">
        <w:t xml:space="preserve"> </w:t>
      </w:r>
      <w:r w:rsidR="001456F0">
        <w:t xml:space="preserve"> </w:t>
      </w:r>
      <w:r w:rsidR="00C2052D" w:rsidRPr="00C2052D">
        <w:t xml:space="preserve">Even a cursory review </w:t>
      </w:r>
      <w:r w:rsidR="0061717A">
        <w:t xml:space="preserve">of the department’s development process </w:t>
      </w:r>
      <w:r w:rsidR="00C2052D" w:rsidRPr="00C2052D">
        <w:t>demonstrates that WSDO</w:t>
      </w:r>
      <w:r w:rsidR="00EF0BCD">
        <w:t>T did in fact take a s</w:t>
      </w:r>
      <w:r w:rsidR="00C2052D" w:rsidRPr="00C2052D">
        <w:t>ystem</w:t>
      </w:r>
      <w:r w:rsidR="002D2621">
        <w:t>s</w:t>
      </w:r>
      <w:r w:rsidR="00C2052D" w:rsidRPr="00C2052D">
        <w:t xml:space="preserve"> </w:t>
      </w:r>
      <w:r w:rsidR="00EF0BCD">
        <w:t>a</w:t>
      </w:r>
      <w:r w:rsidR="00C2052D" w:rsidRPr="00C2052D">
        <w:t>pproach in its design of the Point Defiance Bypass Pr</w:t>
      </w:r>
      <w:r w:rsidR="002D2621">
        <w:t>oject, both as part of its Long</w:t>
      </w:r>
      <w:r w:rsidR="002D2621">
        <w:noBreakHyphen/>
      </w:r>
      <w:r w:rsidR="00C2052D" w:rsidRPr="00C2052D">
        <w:t xml:space="preserve">Range Plan for the Amtrak </w:t>
      </w:r>
      <w:r w:rsidR="00C2052D" w:rsidRPr="00D47464">
        <w:rPr>
          <w:i/>
        </w:rPr>
        <w:t>Cascades</w:t>
      </w:r>
      <w:r w:rsidR="002D2621">
        <w:t>,</w:t>
      </w:r>
      <w:r w:rsidR="00C2052D" w:rsidRPr="00C2052D">
        <w:rPr>
          <w:vertAlign w:val="superscript"/>
        </w:rPr>
        <w:footnoteReference w:id="3"/>
      </w:r>
      <w:r w:rsidR="00C2052D" w:rsidRPr="00C2052D">
        <w:t xml:space="preserve"> as well as in the coordinated design of the proposed warning signals </w:t>
      </w:r>
      <w:r w:rsidR="00FD04A8">
        <w:t>an</w:t>
      </w:r>
      <w:r w:rsidR="001456F0">
        <w:t>d</w:t>
      </w:r>
      <w:r w:rsidR="00C2052D" w:rsidRPr="00C2052D">
        <w:t xml:space="preserve"> devices described in the</w:t>
      </w:r>
      <w:r w:rsidR="0061717A" w:rsidRPr="0061717A">
        <w:t xml:space="preserve"> </w:t>
      </w:r>
      <w:r w:rsidR="0061717A" w:rsidRPr="00C2052D">
        <w:t>TR</w:t>
      </w:r>
      <w:r w:rsidR="0061717A">
        <w:t>-</w:t>
      </w:r>
      <w:r w:rsidR="0061717A" w:rsidRPr="00C2052D">
        <w:t xml:space="preserve">081229, </w:t>
      </w:r>
      <w:r w:rsidR="0061717A">
        <w:t>TR-</w:t>
      </w:r>
      <w:r w:rsidR="0061717A" w:rsidRPr="00C2052D">
        <w:t xml:space="preserve">081230, </w:t>
      </w:r>
      <w:r w:rsidR="001456F0">
        <w:t>TR</w:t>
      </w:r>
      <w:r w:rsidR="001456F0">
        <w:noBreakHyphen/>
      </w:r>
      <w:r w:rsidR="0061717A" w:rsidRPr="00C2052D">
        <w:t>081231</w:t>
      </w:r>
      <w:r w:rsidR="0061717A">
        <w:t>,</w:t>
      </w:r>
      <w:r w:rsidR="0061717A" w:rsidRPr="00C2052D">
        <w:t xml:space="preserve"> and </w:t>
      </w:r>
      <w:r w:rsidR="0061717A">
        <w:t>TR-</w:t>
      </w:r>
      <w:r w:rsidR="0061717A" w:rsidRPr="00C2052D">
        <w:t xml:space="preserve">081232 </w:t>
      </w:r>
      <w:r w:rsidR="00C2052D" w:rsidRPr="00C2052D">
        <w:t xml:space="preserve">petitions. </w:t>
      </w:r>
      <w:r w:rsidR="002D2621">
        <w:t xml:space="preserve"> </w:t>
      </w:r>
      <w:r w:rsidR="00C2052D" w:rsidRPr="00C2052D">
        <w:t>The system</w:t>
      </w:r>
      <w:r w:rsidR="002D2621">
        <w:t xml:space="preserve">s approach is clearly </w:t>
      </w:r>
      <w:r w:rsidR="00C2052D" w:rsidRPr="00C2052D">
        <w:t xml:space="preserve">demonstrated by the proposed modifications which include upgrade to the railroad warning devices to </w:t>
      </w:r>
      <w:r w:rsidR="00C2052D" w:rsidRPr="00C2052D">
        <w:lastRenderedPageBreak/>
        <w:t>modern constant warning time units; interconnection between grade cr</w:t>
      </w:r>
      <w:r w:rsidR="002D2621">
        <w:t>ossings control equipment; and</w:t>
      </w:r>
      <w:r w:rsidR="00C2052D" w:rsidRPr="00C2052D">
        <w:t xml:space="preserve"> roadway signal equipment with new circuitry to allow additional advanced pre-emption time</w:t>
      </w:r>
      <w:r w:rsidR="00D55ED2">
        <w:t>, as well as modifications to the roadway configurations and approaches</w:t>
      </w:r>
      <w:r w:rsidR="00C2052D" w:rsidRPr="00C2052D">
        <w:t>.</w:t>
      </w:r>
      <w:r w:rsidR="00B76063">
        <w:t xml:space="preserve"> </w:t>
      </w:r>
      <w:r w:rsidR="00C2052D" w:rsidRPr="00C2052D">
        <w:t xml:space="preserve"> </w:t>
      </w:r>
      <w:r w:rsidR="00295999">
        <w:t xml:space="preserve">One can easily see that the proposed modifications take into consideration both train and motor vehicle </w:t>
      </w:r>
      <w:r w:rsidR="006C27F1">
        <w:t>traffic through</w:t>
      </w:r>
      <w:r w:rsidR="004D48D3">
        <w:t>out</w:t>
      </w:r>
      <w:r w:rsidR="006C27F1">
        <w:t xml:space="preserve"> the </w:t>
      </w:r>
      <w:r w:rsidR="004D48D3">
        <w:t xml:space="preserve">affected </w:t>
      </w:r>
      <w:r w:rsidR="006C27F1">
        <w:t xml:space="preserve">corridor. </w:t>
      </w:r>
      <w:r w:rsidR="00FD04A8">
        <w:t>T</w:t>
      </w:r>
      <w:r w:rsidR="00FD04A8" w:rsidRPr="00C2052D">
        <w:t>he City</w:t>
      </w:r>
      <w:r w:rsidR="00FD04A8">
        <w:t xml:space="preserve">’s concern </w:t>
      </w:r>
      <w:r w:rsidR="00FD04A8" w:rsidRPr="00C2052D">
        <w:t xml:space="preserve">that separate consideration of any single crossing </w:t>
      </w:r>
      <w:r w:rsidR="00FD04A8">
        <w:t xml:space="preserve">could </w:t>
      </w:r>
      <w:r w:rsidR="00FD04A8" w:rsidRPr="00C2052D">
        <w:t>result in a disparity between crossings that</w:t>
      </w:r>
      <w:r w:rsidR="00FD04A8">
        <w:t xml:space="preserve"> are all part of the same urban</w:t>
      </w:r>
      <w:r w:rsidR="00FD04A8" w:rsidRPr="00C2052D">
        <w:t xml:space="preserve"> area </w:t>
      </w:r>
      <w:r w:rsidR="00FD04A8">
        <w:t>is simply not supported by the facts in this case.</w:t>
      </w:r>
    </w:p>
    <w:p w:rsidR="00C2052D" w:rsidRPr="00C2052D" w:rsidRDefault="009C12BA" w:rsidP="00970693">
      <w:pPr>
        <w:pStyle w:val="ListParagraph"/>
        <w:numPr>
          <w:ilvl w:val="0"/>
          <w:numId w:val="14"/>
        </w:numPr>
        <w:spacing w:line="480" w:lineRule="auto"/>
        <w:ind w:left="0" w:hanging="720"/>
        <w:jc w:val="both"/>
      </w:pPr>
      <w:r>
        <w:tab/>
        <w:t xml:space="preserve">Nor is it required by law. </w:t>
      </w:r>
      <w:r w:rsidR="005C5048">
        <w:t xml:space="preserve"> </w:t>
      </w:r>
      <w:r w:rsidR="00C2052D" w:rsidRPr="00C2052D">
        <w:t>RCW 81.53.</w:t>
      </w:r>
      <w:r>
        <w:t>060, RCW 81.53.</w:t>
      </w:r>
      <w:r w:rsidR="00C2052D" w:rsidRPr="00C2052D">
        <w:t>261</w:t>
      </w:r>
      <w:r w:rsidR="00A86B0A">
        <w:t>, RCW 81.53.271</w:t>
      </w:r>
      <w:r w:rsidR="00515D7C">
        <w:t xml:space="preserve">, </w:t>
      </w:r>
      <w:r w:rsidR="00C2052D" w:rsidRPr="00C2052D">
        <w:t xml:space="preserve">and WAC 480-62-150 anticipate filing a separate petition for each crossing where modifications are proposed. </w:t>
      </w:r>
      <w:r w:rsidR="005C5048">
        <w:t xml:space="preserve"> </w:t>
      </w:r>
      <w:r w:rsidR="00C2052D" w:rsidRPr="00C2052D">
        <w:t xml:space="preserve">Neither </w:t>
      </w:r>
      <w:r w:rsidR="005C5048">
        <w:t>S</w:t>
      </w:r>
      <w:r w:rsidR="00C2052D" w:rsidRPr="00C2052D">
        <w:t xml:space="preserve">tate law nor the </w:t>
      </w:r>
      <w:r w:rsidR="00F16E88">
        <w:t>FHWA</w:t>
      </w:r>
      <w:r w:rsidR="00C2052D" w:rsidRPr="00C2052D">
        <w:t xml:space="preserve"> Railroad-Highway Grade Crossing Handbook compel multiple crossings be consolidated into a</w:t>
      </w:r>
      <w:r w:rsidR="00EF0BCD">
        <w:t xml:space="preserve"> single petition for approval. </w:t>
      </w:r>
      <w:r w:rsidR="005C5048">
        <w:t xml:space="preserve"> </w:t>
      </w:r>
      <w:r w:rsidR="00C2052D" w:rsidRPr="00C2052D">
        <w:t xml:space="preserve">The City’s </w:t>
      </w:r>
      <w:r w:rsidR="00D55ED2">
        <w:t>s</w:t>
      </w:r>
      <w:r w:rsidR="00C2052D" w:rsidRPr="00C2052D">
        <w:t>ystem</w:t>
      </w:r>
      <w:r w:rsidR="002D2621">
        <w:t>s</w:t>
      </w:r>
      <w:r w:rsidR="00C2052D" w:rsidRPr="00C2052D">
        <w:t xml:space="preserve"> </w:t>
      </w:r>
      <w:r w:rsidR="00D55ED2">
        <w:t>a</w:t>
      </w:r>
      <w:r w:rsidR="00C2052D" w:rsidRPr="00C2052D">
        <w:t xml:space="preserve">pproach argument </w:t>
      </w:r>
      <w:r w:rsidR="00EF0BCD">
        <w:t xml:space="preserve">fails to demonstrate error, and </w:t>
      </w:r>
      <w:r w:rsidR="00C2052D" w:rsidRPr="00C2052D">
        <w:t xml:space="preserve">should not be grounds to reconsider the </w:t>
      </w:r>
      <w:r w:rsidR="002D2621">
        <w:t>C</w:t>
      </w:r>
      <w:r w:rsidR="00C2052D" w:rsidRPr="00C2052D">
        <w:t xml:space="preserve">ommission’s </w:t>
      </w:r>
      <w:r w:rsidR="002D2621">
        <w:t>O</w:t>
      </w:r>
      <w:r w:rsidR="00C2052D" w:rsidRPr="00C2052D">
        <w:t xml:space="preserve">rder </w:t>
      </w:r>
      <w:r w:rsidR="002D2621">
        <w:t>d</w:t>
      </w:r>
      <w:r w:rsidR="00C2052D" w:rsidRPr="00C2052D">
        <w:t xml:space="preserve">enying </w:t>
      </w:r>
      <w:r w:rsidR="002D2621">
        <w:t>r</w:t>
      </w:r>
      <w:r w:rsidR="00C2052D" w:rsidRPr="00C2052D">
        <w:t xml:space="preserve">escission of these final orders. </w:t>
      </w:r>
    </w:p>
    <w:p w:rsidR="00C2052D" w:rsidRDefault="00C2052D" w:rsidP="00F12E17">
      <w:pPr>
        <w:pStyle w:val="Heading2"/>
        <w:spacing w:before="0"/>
      </w:pPr>
      <w:r w:rsidRPr="00C2052D">
        <w:t xml:space="preserve">The </w:t>
      </w:r>
      <w:r w:rsidR="000566BE">
        <w:t>p</w:t>
      </w:r>
      <w:r w:rsidRPr="00C2052D">
        <w:t>etitions provided notice adequate to disclose the nature of proposed safety modifications and the City was not misled.</w:t>
      </w:r>
    </w:p>
    <w:p w:rsidR="00F12E17" w:rsidRPr="00F12E17" w:rsidRDefault="00F12E17" w:rsidP="00F12E17"/>
    <w:p w:rsidR="00C2052D" w:rsidRPr="00C2052D" w:rsidRDefault="00F12E17" w:rsidP="00970693">
      <w:pPr>
        <w:pStyle w:val="ListParagraph"/>
        <w:numPr>
          <w:ilvl w:val="0"/>
          <w:numId w:val="14"/>
        </w:numPr>
        <w:spacing w:line="480" w:lineRule="auto"/>
        <w:ind w:left="0" w:hanging="720"/>
        <w:jc w:val="both"/>
      </w:pPr>
      <w:r>
        <w:tab/>
      </w:r>
      <w:r w:rsidR="00C2052D" w:rsidRPr="00C2052D">
        <w:t>As the City notes, adequacy of notice is settled law</w:t>
      </w:r>
      <w:r w:rsidR="004D48D3">
        <w:t>.  Notice</w:t>
      </w:r>
      <w:r w:rsidR="00584289">
        <w:t xml:space="preserve"> </w:t>
      </w:r>
      <w:r w:rsidR="00C2052D" w:rsidRPr="00C2052D">
        <w:t>is adequate if it discloses the nature of a proposed administrative action and if there is no showing that anyone was actually misled by the notice</w:t>
      </w:r>
      <w:r w:rsidR="002D2621">
        <w:t>.</w:t>
      </w:r>
      <w:r w:rsidR="00C2052D" w:rsidRPr="00C2052D">
        <w:rPr>
          <w:vertAlign w:val="superscript"/>
        </w:rPr>
        <w:footnoteReference w:id="4"/>
      </w:r>
      <w:r w:rsidR="00C2052D" w:rsidRPr="00C2052D">
        <w:t xml:space="preserve"> </w:t>
      </w:r>
    </w:p>
    <w:p w:rsidR="00C2052D" w:rsidRPr="00C2052D" w:rsidRDefault="00F12E17" w:rsidP="00970693">
      <w:pPr>
        <w:pStyle w:val="ListParagraph"/>
        <w:numPr>
          <w:ilvl w:val="0"/>
          <w:numId w:val="14"/>
        </w:numPr>
        <w:spacing w:line="480" w:lineRule="auto"/>
        <w:ind w:left="0" w:hanging="720"/>
        <w:jc w:val="both"/>
      </w:pPr>
      <w:r>
        <w:lastRenderedPageBreak/>
        <w:tab/>
      </w:r>
      <w:r w:rsidR="00C2052D" w:rsidRPr="00C2052D">
        <w:t xml:space="preserve">The petitions </w:t>
      </w:r>
      <w:r w:rsidR="00BD1804">
        <w:t xml:space="preserve">in these cases </w:t>
      </w:r>
      <w:r w:rsidR="00C2052D" w:rsidRPr="00C2052D">
        <w:t xml:space="preserve">unambiguously state that the administrative action sought </w:t>
      </w:r>
      <w:r w:rsidR="004D48D3">
        <w:t>is the Commission’s</w:t>
      </w:r>
      <w:r w:rsidR="004D48D3" w:rsidRPr="00C2052D">
        <w:t xml:space="preserve"> </w:t>
      </w:r>
      <w:r w:rsidR="00C2052D" w:rsidRPr="00C2052D">
        <w:t xml:space="preserve">approval of the proposed crossing modifications described </w:t>
      </w:r>
      <w:r w:rsidR="00BD1804">
        <w:t xml:space="preserve">in detail </w:t>
      </w:r>
      <w:r w:rsidR="00547155">
        <w:t>in the petitions.</w:t>
      </w:r>
    </w:p>
    <w:p w:rsidR="006259CE" w:rsidRDefault="00F12E17" w:rsidP="00970693">
      <w:pPr>
        <w:pStyle w:val="ListParagraph"/>
        <w:numPr>
          <w:ilvl w:val="0"/>
          <w:numId w:val="14"/>
        </w:numPr>
        <w:spacing w:line="480" w:lineRule="auto"/>
        <w:ind w:left="0" w:hanging="720"/>
        <w:jc w:val="both"/>
      </w:pPr>
      <w:r>
        <w:tab/>
      </w:r>
      <w:r w:rsidR="00C2052D" w:rsidRPr="00C2052D">
        <w:t>The City is incorrect in its assertion that the pre-hearing testimony of Kevin Jeffers</w:t>
      </w:r>
      <w:r w:rsidR="00C2052D" w:rsidRPr="00C2052D">
        <w:rPr>
          <w:vertAlign w:val="superscript"/>
        </w:rPr>
        <w:footnoteReference w:id="5"/>
      </w:r>
      <w:r w:rsidR="00C2052D" w:rsidRPr="00C2052D">
        <w:t xml:space="preserve"> regarding feasibility of grade separation </w:t>
      </w:r>
      <w:r w:rsidR="00BD1804">
        <w:t>at th</w:t>
      </w:r>
      <w:r w:rsidR="00314B3D">
        <w:t xml:space="preserve">ose </w:t>
      </w:r>
      <w:r w:rsidR="00BD1804">
        <w:t>different crossings</w:t>
      </w:r>
      <w:r w:rsidR="00314B3D">
        <w:t xml:space="preserve"> </w:t>
      </w:r>
      <w:r w:rsidR="00C2052D" w:rsidRPr="00C2052D">
        <w:t>is “contradictory,” “at odds with,” or differs in any material way from the explanations provided in the</w:t>
      </w:r>
      <w:r w:rsidR="00314B3D">
        <w:t xml:space="preserve"> those</w:t>
      </w:r>
      <w:r w:rsidR="00C2052D" w:rsidRPr="00C2052D">
        <w:t xml:space="preserve"> petitions.</w:t>
      </w:r>
      <w:r w:rsidR="00842E43">
        <w:t xml:space="preserve"> </w:t>
      </w:r>
      <w:r w:rsidR="00C2052D" w:rsidRPr="00C2052D">
        <w:t xml:space="preserve"> The City argues that </w:t>
      </w:r>
      <w:r w:rsidR="00547155">
        <w:t>l</w:t>
      </w:r>
      <w:r w:rsidR="00314B3D">
        <w:t>ist</w:t>
      </w:r>
      <w:r w:rsidR="00547155">
        <w:t xml:space="preserve">ing </w:t>
      </w:r>
      <w:r w:rsidR="00314B3D">
        <w:t xml:space="preserve">the </w:t>
      </w:r>
      <w:r w:rsidR="009465DC">
        <w:t xml:space="preserve">various </w:t>
      </w:r>
      <w:r w:rsidR="009465DC" w:rsidRPr="00C2052D">
        <w:t>construction</w:t>
      </w:r>
      <w:r w:rsidR="00C2052D" w:rsidRPr="00C2052D">
        <w:t xml:space="preserve"> challenges </w:t>
      </w:r>
      <w:r w:rsidR="00547155">
        <w:t>th</w:t>
      </w:r>
      <w:r w:rsidR="009465DC">
        <w:t>at impact the feasibility of gr</w:t>
      </w:r>
      <w:r w:rsidR="00547155">
        <w:t>ad</w:t>
      </w:r>
      <w:r w:rsidR="009465DC">
        <w:t>e</w:t>
      </w:r>
      <w:r w:rsidR="00547155">
        <w:t xml:space="preserve"> separation</w:t>
      </w:r>
      <w:r w:rsidR="00C2052D" w:rsidRPr="00C2052D">
        <w:rPr>
          <w:vertAlign w:val="superscript"/>
        </w:rPr>
        <w:footnoteReference w:id="6"/>
      </w:r>
      <w:r w:rsidR="004D48D3">
        <w:t xml:space="preserve"> at the crossings</w:t>
      </w:r>
      <w:r w:rsidR="00C2052D" w:rsidRPr="00C2052D">
        <w:t xml:space="preserve"> </w:t>
      </w:r>
      <w:r w:rsidR="009465DC">
        <w:t>is</w:t>
      </w:r>
      <w:r w:rsidR="00C2052D" w:rsidRPr="00C2052D">
        <w:t xml:space="preserve"> somehow inconsistent with </w:t>
      </w:r>
      <w:r w:rsidR="009465DC">
        <w:t>Mr. Jeffers</w:t>
      </w:r>
      <w:r w:rsidR="00F75109">
        <w:t>’</w:t>
      </w:r>
      <w:r w:rsidR="009465DC">
        <w:t xml:space="preserve"> </w:t>
      </w:r>
      <w:r w:rsidR="009465DC" w:rsidRPr="00C2052D">
        <w:t>subsequent</w:t>
      </w:r>
      <w:r w:rsidR="00C2052D" w:rsidRPr="00C2052D">
        <w:t xml:space="preserve"> testimony</w:t>
      </w:r>
      <w:r w:rsidR="004D48D3">
        <w:t>.</w:t>
      </w:r>
      <w:r w:rsidR="009465DC">
        <w:t xml:space="preserve"> </w:t>
      </w:r>
      <w:r w:rsidR="00F75109">
        <w:t xml:space="preserve"> </w:t>
      </w:r>
      <w:r w:rsidR="009465DC">
        <w:t xml:space="preserve">The perceived inconsistency apparently relates to the fact that, in his testimony, Mr. Jeffers expressly states what </w:t>
      </w:r>
      <w:r w:rsidR="00DF059C">
        <w:t xml:space="preserve">is </w:t>
      </w:r>
      <w:r w:rsidR="009465DC">
        <w:t xml:space="preserve">only implicit </w:t>
      </w:r>
      <w:r w:rsidR="00E651B3">
        <w:t>in the petitions</w:t>
      </w:r>
      <w:r w:rsidR="00DF059C">
        <w:t>:</w:t>
      </w:r>
      <w:r w:rsidR="00E651B3">
        <w:t xml:space="preserve"> </w:t>
      </w:r>
      <w:r w:rsidR="00DF059C">
        <w:t>i</w:t>
      </w:r>
      <w:r w:rsidR="00E651B3">
        <w:t>n order for a construction project to be feasible, there must be available funds to cover the costs.</w:t>
      </w:r>
    </w:p>
    <w:p w:rsidR="00C2052D" w:rsidRPr="00C2052D" w:rsidRDefault="00F12E17" w:rsidP="00970693">
      <w:pPr>
        <w:pStyle w:val="ListParagraph"/>
        <w:numPr>
          <w:ilvl w:val="0"/>
          <w:numId w:val="14"/>
        </w:numPr>
        <w:spacing w:line="480" w:lineRule="auto"/>
        <w:ind w:left="0" w:hanging="720"/>
        <w:jc w:val="both"/>
      </w:pPr>
      <w:r>
        <w:tab/>
      </w:r>
      <w:r w:rsidR="00C2052D" w:rsidRPr="00C2052D">
        <w:t>Th</w:t>
      </w:r>
      <w:r w:rsidR="006259CE">
        <w:t>e City’s perceived</w:t>
      </w:r>
      <w:r w:rsidR="00C2052D" w:rsidRPr="00C2052D">
        <w:t xml:space="preserve"> contradiction</w:t>
      </w:r>
      <w:r w:rsidR="006259CE">
        <w:t xml:space="preserve"> simply </w:t>
      </w:r>
      <w:r w:rsidR="006259CE" w:rsidRPr="00C2052D">
        <w:t>ignores</w:t>
      </w:r>
      <w:r w:rsidR="00C2052D" w:rsidRPr="00C2052D">
        <w:t xml:space="preserve"> the reality that if one were to assume unlimited funds, no grade separation would ever be impossible, and separating every crossing would be f</w:t>
      </w:r>
      <w:r w:rsidR="0052324D">
        <w:t>easible</w:t>
      </w:r>
      <w:r w:rsidR="006259CE">
        <w:t>.</w:t>
      </w:r>
      <w:r w:rsidR="006259CE">
        <w:rPr>
          <w:rStyle w:val="FootnoteReference"/>
        </w:rPr>
        <w:footnoteReference w:id="7"/>
      </w:r>
      <w:r w:rsidR="0052324D">
        <w:t xml:space="preserve">  The </w:t>
      </w:r>
      <w:r w:rsidR="00DF059C">
        <w:t xml:space="preserve">main </w:t>
      </w:r>
      <w:r w:rsidR="0052324D">
        <w:t xml:space="preserve">reason that </w:t>
      </w:r>
      <w:r w:rsidR="00852696">
        <w:t>barriers</w:t>
      </w:r>
      <w:r w:rsidR="006259CE">
        <w:t xml:space="preserve">, such as </w:t>
      </w:r>
      <w:r w:rsidR="0052324D">
        <w:t xml:space="preserve">proximity to businesses or wetlands, </w:t>
      </w:r>
      <w:r w:rsidR="00C2052D" w:rsidRPr="00C2052D">
        <w:t>right of way acquisition</w:t>
      </w:r>
      <w:r w:rsidR="0052324D">
        <w:t>,</w:t>
      </w:r>
      <w:r w:rsidR="00C2052D" w:rsidRPr="00C2052D">
        <w:t xml:space="preserve"> or the other </w:t>
      </w:r>
      <w:r w:rsidR="0024495A">
        <w:t xml:space="preserve">construction </w:t>
      </w:r>
      <w:r w:rsidR="00C2052D" w:rsidRPr="00C2052D">
        <w:t>challenges li</w:t>
      </w:r>
      <w:r w:rsidR="0024495A">
        <w:t xml:space="preserve">sted </w:t>
      </w:r>
      <w:r w:rsidR="0052324D">
        <w:t>in the petitions</w:t>
      </w:r>
      <w:r w:rsidR="00C2052D" w:rsidRPr="00C2052D">
        <w:t xml:space="preserve"> impact feasibility is because they can render a project to</w:t>
      </w:r>
      <w:r w:rsidR="0052324D">
        <w:t>o</w:t>
      </w:r>
      <w:r w:rsidR="00C2052D" w:rsidRPr="00C2052D">
        <w:t xml:space="preserve"> costly to construct within available funds. </w:t>
      </w:r>
      <w:r w:rsidR="0052324D">
        <w:t xml:space="preserve"> </w:t>
      </w:r>
      <w:r w:rsidR="00C2052D" w:rsidRPr="00C2052D">
        <w:t>Thus, the reason</w:t>
      </w:r>
      <w:r w:rsidR="00DF059C">
        <w:t>s</w:t>
      </w:r>
      <w:r w:rsidR="00C2052D" w:rsidRPr="00C2052D">
        <w:t xml:space="preserve"> set forth in the various petitions </w:t>
      </w:r>
      <w:r w:rsidR="00DF059C">
        <w:t xml:space="preserve">outlining </w:t>
      </w:r>
      <w:r w:rsidR="00C2052D" w:rsidRPr="00C2052D">
        <w:t xml:space="preserve">why grade separation is not feasible </w:t>
      </w:r>
      <w:r w:rsidR="00DF059C">
        <w:t>are</w:t>
      </w:r>
      <w:r w:rsidR="00DF059C" w:rsidRPr="00C2052D">
        <w:t xml:space="preserve"> </w:t>
      </w:r>
      <w:r w:rsidR="00C2052D" w:rsidRPr="00C2052D">
        <w:t>entirely co</w:t>
      </w:r>
      <w:r w:rsidR="0052324D">
        <w:t>nsistent with Mr. Jeffer</w:t>
      </w:r>
      <w:r w:rsidR="00C2052D" w:rsidRPr="00C2052D">
        <w:t>s</w:t>
      </w:r>
      <w:r w:rsidR="0052324D">
        <w:t>’</w:t>
      </w:r>
      <w:r w:rsidR="00C2052D" w:rsidRPr="00C2052D">
        <w:t xml:space="preserve"> subsequent </w:t>
      </w:r>
      <w:r w:rsidR="00F75109" w:rsidRPr="00C2052D">
        <w:t>testimony</w:t>
      </w:r>
      <w:r w:rsidR="00F75109">
        <w:t xml:space="preserve"> regarding</w:t>
      </w:r>
      <w:r w:rsidR="0024495A">
        <w:t xml:space="preserve"> grade separation</w:t>
      </w:r>
      <w:r w:rsidR="0051120A">
        <w:t xml:space="preserve">, in part, </w:t>
      </w:r>
      <w:r w:rsidR="0024495A">
        <w:t xml:space="preserve">because it would </w:t>
      </w:r>
      <w:r w:rsidR="00DF059C">
        <w:t xml:space="preserve">cost </w:t>
      </w:r>
      <w:r w:rsidR="0024495A">
        <w:t xml:space="preserve">hundreds </w:t>
      </w:r>
      <w:r w:rsidR="00FB5882">
        <w:t>of millions of dollars in excess of available funding</w:t>
      </w:r>
      <w:r w:rsidR="00C2052D" w:rsidRPr="00C2052D">
        <w:t>.</w:t>
      </w:r>
    </w:p>
    <w:p w:rsidR="00C2052D" w:rsidRPr="00C2052D" w:rsidRDefault="00F12E17" w:rsidP="00970693">
      <w:pPr>
        <w:pStyle w:val="ListParagraph"/>
        <w:numPr>
          <w:ilvl w:val="0"/>
          <w:numId w:val="14"/>
        </w:numPr>
        <w:spacing w:line="480" w:lineRule="auto"/>
        <w:ind w:left="0" w:hanging="720"/>
        <w:jc w:val="both"/>
      </w:pPr>
      <w:r>
        <w:tab/>
      </w:r>
      <w:r w:rsidR="00C2052D" w:rsidRPr="00C2052D">
        <w:t xml:space="preserve">More to the point, however, these petitions </w:t>
      </w:r>
      <w:r w:rsidR="005D70E3">
        <w:t xml:space="preserve">contain nothing </w:t>
      </w:r>
      <w:r w:rsidR="00C2052D" w:rsidRPr="00C2052D">
        <w:t>that could have misled a reasonable person to believe that the modifications proposed for any of the crossings in these cases would include grade separation.</w:t>
      </w:r>
      <w:r w:rsidR="0052324D">
        <w:t xml:space="preserve"> </w:t>
      </w:r>
      <w:r w:rsidR="00C2052D" w:rsidRPr="00C2052D">
        <w:t xml:space="preserve"> </w:t>
      </w:r>
      <w:r w:rsidR="005D70E3">
        <w:t>Each</w:t>
      </w:r>
      <w:r w:rsidR="005D70E3" w:rsidRPr="00C2052D">
        <w:t xml:space="preserve"> </w:t>
      </w:r>
      <w:r w:rsidR="00C2052D" w:rsidRPr="00C2052D">
        <w:t>petition plainly state</w:t>
      </w:r>
      <w:r w:rsidR="005D70E3">
        <w:t>s</w:t>
      </w:r>
      <w:r w:rsidR="00C2052D" w:rsidRPr="00C2052D">
        <w:t xml:space="preserve"> that WSDOT considered grade separation not feasible. </w:t>
      </w:r>
      <w:r w:rsidR="0052324D">
        <w:t xml:space="preserve"> As WSDOT pointed out in it</w:t>
      </w:r>
      <w:r w:rsidR="00C2052D" w:rsidRPr="00C2052D">
        <w:t xml:space="preserve">s </w:t>
      </w:r>
      <w:r w:rsidR="0052324D">
        <w:t>R</w:t>
      </w:r>
      <w:r w:rsidR="00C2052D" w:rsidRPr="00C2052D">
        <w:t xml:space="preserve">esponse in </w:t>
      </w:r>
      <w:r w:rsidR="0052324D">
        <w:t>O</w:t>
      </w:r>
      <w:r w:rsidR="00C2052D" w:rsidRPr="00C2052D">
        <w:t xml:space="preserve">pposition to </w:t>
      </w:r>
      <w:r w:rsidR="00666DD4">
        <w:t>City of Lakewood’s M</w:t>
      </w:r>
      <w:r w:rsidR="00C2052D" w:rsidRPr="00C2052D">
        <w:t xml:space="preserve">otion to </w:t>
      </w:r>
      <w:r w:rsidR="00666DD4">
        <w:t>R</w:t>
      </w:r>
      <w:r w:rsidR="00C2052D" w:rsidRPr="00C2052D">
        <w:t>escind</w:t>
      </w:r>
      <w:r w:rsidR="00666DD4">
        <w:t xml:space="preserve"> Final Order</w:t>
      </w:r>
      <w:r w:rsidR="00C2052D" w:rsidRPr="00C2052D">
        <w:t xml:space="preserve">, </w:t>
      </w:r>
      <w:r w:rsidR="005D70E3">
        <w:t xml:space="preserve">each of </w:t>
      </w:r>
      <w:r w:rsidR="00C2052D" w:rsidRPr="00C2052D">
        <w:t xml:space="preserve">these petitions relate to existing grade crossings. </w:t>
      </w:r>
      <w:r w:rsidR="00666DD4">
        <w:t xml:space="preserve"> </w:t>
      </w:r>
      <w:r w:rsidR="00C2052D" w:rsidRPr="00C2052D">
        <w:t>Contrary to the City’s assumption, the burden imposed on a party who petitions for a new cro</w:t>
      </w:r>
      <w:r w:rsidR="006A0423">
        <w:t>ssing pursuant to RCW 81.53.020—</w:t>
      </w:r>
      <w:r w:rsidR="00C2052D" w:rsidRPr="00C2052D">
        <w:t>to show that grade separation is not practicable</w:t>
      </w:r>
      <w:r w:rsidR="006A0423">
        <w:t>—</w:t>
      </w:r>
      <w:r w:rsidR="00C2052D" w:rsidRPr="00C2052D">
        <w:t xml:space="preserve">simply does not apply </w:t>
      </w:r>
      <w:r w:rsidR="005D70E3">
        <w:t>to the modification of an existing</w:t>
      </w:r>
      <w:r w:rsidR="006A0423">
        <w:t xml:space="preserve"> </w:t>
      </w:r>
      <w:r w:rsidR="00C2052D" w:rsidRPr="00C2052D">
        <w:t>grade crossing</w:t>
      </w:r>
      <w:r w:rsidR="005D70E3">
        <w:t>.</w:t>
      </w:r>
      <w:r w:rsidR="00C2052D" w:rsidRPr="00C2052D">
        <w:t xml:space="preserve"> </w:t>
      </w:r>
    </w:p>
    <w:p w:rsidR="00C2052D" w:rsidRPr="00C2052D" w:rsidRDefault="00F12E17" w:rsidP="00970693">
      <w:pPr>
        <w:pStyle w:val="ListParagraph"/>
        <w:numPr>
          <w:ilvl w:val="0"/>
          <w:numId w:val="14"/>
        </w:numPr>
        <w:spacing w:line="480" w:lineRule="auto"/>
        <w:ind w:left="0" w:hanging="720"/>
        <w:jc w:val="both"/>
      </w:pPr>
      <w:r>
        <w:tab/>
      </w:r>
      <w:r w:rsidR="00C2052D" w:rsidRPr="00C2052D">
        <w:t xml:space="preserve">Neither RCW 81.53.060 nor RCW 81.53.261 requires a petitioner seeking to improve safety </w:t>
      </w:r>
      <w:r w:rsidR="00FB5882">
        <w:t xml:space="preserve">devices </w:t>
      </w:r>
      <w:r w:rsidR="00C2052D" w:rsidRPr="00C2052D">
        <w:t xml:space="preserve">at an existing grade crossing to show that grade separation </w:t>
      </w:r>
      <w:r w:rsidR="00666DD4">
        <w:t>is not feasible—</w:t>
      </w:r>
      <w:r w:rsidR="00C2052D" w:rsidRPr="00C2052D">
        <w:t xml:space="preserve">and for good reason. </w:t>
      </w:r>
      <w:r w:rsidR="00666DD4">
        <w:t xml:space="preserve"> </w:t>
      </w:r>
      <w:r w:rsidR="006A0423">
        <w:t>If the</w:t>
      </w:r>
      <w:r w:rsidR="00666DD4">
        <w:t xml:space="preserve"> L</w:t>
      </w:r>
      <w:r w:rsidR="00C2052D" w:rsidRPr="00C2052D">
        <w:t xml:space="preserve">egislature </w:t>
      </w:r>
      <w:r w:rsidR="00FB5882">
        <w:t>had</w:t>
      </w:r>
      <w:r w:rsidR="00C2052D" w:rsidRPr="00C2052D">
        <w:t xml:space="preserve"> impose</w:t>
      </w:r>
      <w:r w:rsidR="00FB5882">
        <w:t>d</w:t>
      </w:r>
      <w:r w:rsidR="00C2052D" w:rsidRPr="00C2052D">
        <w:t xml:space="preserve"> the same burden that applies to the creation of a new grade crossing on every party who merely wishe</w:t>
      </w:r>
      <w:r w:rsidR="00666DD4">
        <w:t xml:space="preserve">s to upgrade safety devices at </w:t>
      </w:r>
      <w:r w:rsidR="00C2052D" w:rsidRPr="00C2052D">
        <w:t>existing grade crossings</w:t>
      </w:r>
      <w:r w:rsidR="008A0FA4">
        <w:t>,</w:t>
      </w:r>
      <w:r w:rsidR="00C2052D" w:rsidRPr="00C2052D">
        <w:t xml:space="preserve"> </w:t>
      </w:r>
      <w:r w:rsidR="005D70E3">
        <w:t xml:space="preserve">such a burden </w:t>
      </w:r>
      <w:r w:rsidR="006A0423">
        <w:t xml:space="preserve">would </w:t>
      </w:r>
      <w:r w:rsidR="006A0423" w:rsidRPr="00C2052D">
        <w:t>have</w:t>
      </w:r>
      <w:r w:rsidR="00C2052D" w:rsidRPr="00C2052D">
        <w:t xml:space="preserve"> a chilling effect on any </w:t>
      </w:r>
      <w:r w:rsidR="00FB5882" w:rsidRPr="00C2052D">
        <w:t>entity</w:t>
      </w:r>
      <w:r w:rsidR="00FB5882">
        <w:t xml:space="preserve"> </w:t>
      </w:r>
      <w:r w:rsidR="00C2052D" w:rsidRPr="00C2052D">
        <w:t>otherwise</w:t>
      </w:r>
      <w:r w:rsidR="00666DD4">
        <w:t xml:space="preserve"> willing to </w:t>
      </w:r>
      <w:r w:rsidR="00FB5882">
        <w:t xml:space="preserve">petition to </w:t>
      </w:r>
      <w:r w:rsidR="00666DD4">
        <w:t xml:space="preserve">construct </w:t>
      </w:r>
      <w:r w:rsidR="008A0FA4">
        <w:t>public safety</w:t>
      </w:r>
      <w:r w:rsidR="00666DD4">
        <w:t xml:space="preserve"> </w:t>
      </w:r>
      <w:r w:rsidR="008A0FA4">
        <w:t>improvements</w:t>
      </w:r>
      <w:r w:rsidR="00C2052D" w:rsidRPr="00C2052D">
        <w:t xml:space="preserve">.  The </w:t>
      </w:r>
      <w:r w:rsidR="005D70E3">
        <w:t xml:space="preserve">cost of a </w:t>
      </w:r>
      <w:r w:rsidR="00FB5882">
        <w:t xml:space="preserve">grade separation </w:t>
      </w:r>
      <w:r w:rsidR="00C2052D" w:rsidRPr="00C2052D">
        <w:t>feasibility study alone</w:t>
      </w:r>
      <w:r w:rsidR="008A0FA4">
        <w:t>, that the City</w:t>
      </w:r>
      <w:r w:rsidR="00FE4169">
        <w:t>’s argument</w:t>
      </w:r>
      <w:r w:rsidR="008A0FA4">
        <w:t xml:space="preserve"> assumes is part of the petitioner’s burden in these cases, </w:t>
      </w:r>
      <w:r w:rsidR="00C2052D" w:rsidRPr="00C2052D">
        <w:t xml:space="preserve">would </w:t>
      </w:r>
      <w:r w:rsidR="005D70E3">
        <w:t>frequently</w:t>
      </w:r>
      <w:r w:rsidR="005D70E3" w:rsidRPr="00C2052D">
        <w:t xml:space="preserve"> </w:t>
      </w:r>
      <w:r w:rsidR="00C2052D" w:rsidRPr="00C2052D">
        <w:t>exceed the cost of the proposed modifications</w:t>
      </w:r>
      <w:r w:rsidR="008A0FA4">
        <w:t xml:space="preserve">. </w:t>
      </w:r>
      <w:r w:rsidR="006A0423">
        <w:t xml:space="preserve"> </w:t>
      </w:r>
      <w:r w:rsidR="008A0FA4">
        <w:t>F</w:t>
      </w:r>
      <w:r w:rsidR="00C2052D" w:rsidRPr="00C2052D">
        <w:t xml:space="preserve">ew parties would be willing </w:t>
      </w:r>
      <w:r w:rsidR="00666DD4">
        <w:t xml:space="preserve">to </w:t>
      </w:r>
      <w:r w:rsidR="00C2052D" w:rsidRPr="00C2052D">
        <w:t>file a modification petition if to do so could result in an order to construct a grade separation</w:t>
      </w:r>
      <w:r w:rsidR="002D113E">
        <w:t xml:space="preserve"> </w:t>
      </w:r>
      <w:r w:rsidR="005D70E3">
        <w:t xml:space="preserve">at the cost of hundreds of millions of dollars </w:t>
      </w:r>
      <w:r w:rsidR="00187F70">
        <w:t>rather than to construct</w:t>
      </w:r>
      <w:r w:rsidR="008A0FA4">
        <w:t xml:space="preserve"> the modifications to the existing crossing for which funds actually exist</w:t>
      </w:r>
      <w:r w:rsidR="002D113E">
        <w:t>.</w:t>
      </w:r>
    </w:p>
    <w:p w:rsidR="00C2052D" w:rsidRPr="007C579E" w:rsidRDefault="00C2052D" w:rsidP="007C579E">
      <w:pPr>
        <w:pStyle w:val="Heading1"/>
        <w:numPr>
          <w:ilvl w:val="0"/>
          <w:numId w:val="0"/>
        </w:numPr>
        <w:spacing w:before="0"/>
      </w:pPr>
      <w:r w:rsidRPr="007C579E">
        <w:t>Conclusion</w:t>
      </w:r>
    </w:p>
    <w:p w:rsidR="00F12E17" w:rsidRPr="00F12E17" w:rsidRDefault="00F12E17" w:rsidP="00F12E17"/>
    <w:p w:rsidR="00C2052D" w:rsidRPr="00C2052D" w:rsidRDefault="00F12E17" w:rsidP="00970693">
      <w:pPr>
        <w:pStyle w:val="ListParagraph"/>
        <w:numPr>
          <w:ilvl w:val="0"/>
          <w:numId w:val="14"/>
        </w:numPr>
        <w:spacing w:line="480" w:lineRule="auto"/>
        <w:ind w:left="0" w:hanging="720"/>
        <w:jc w:val="both"/>
      </w:pPr>
      <w:r>
        <w:tab/>
      </w:r>
      <w:r w:rsidR="00666DD4">
        <w:t>The Commission’s Order Consolidating Dockets and D</w:t>
      </w:r>
      <w:r w:rsidR="00C2052D" w:rsidRPr="00C2052D">
        <w:t xml:space="preserve">enying Motions to Rescind </w:t>
      </w:r>
      <w:r w:rsidR="00666DD4">
        <w:t xml:space="preserve">Final Orders entered on April 15, 2010, </w:t>
      </w:r>
      <w:r w:rsidR="00C2052D" w:rsidRPr="00C2052D">
        <w:t>note</w:t>
      </w:r>
      <w:r w:rsidR="00FE4169">
        <w:t>s</w:t>
      </w:r>
      <w:r w:rsidR="00C2052D" w:rsidRPr="00C2052D">
        <w:t xml:space="preserve"> that it does </w:t>
      </w:r>
      <w:r w:rsidR="00666DD4">
        <w:t>“</w:t>
      </w:r>
      <w:r w:rsidR="00C2052D" w:rsidRPr="00C2052D">
        <w:t>not lightly disturb orders previously entered where no party or person can demonstrate patent error or prejudicial violation of process.</w:t>
      </w:r>
      <w:r w:rsidR="00666DD4">
        <w:t>”</w:t>
      </w:r>
      <w:r w:rsidR="00C2052D" w:rsidRPr="00C2052D">
        <w:t xml:space="preserve"> </w:t>
      </w:r>
      <w:r w:rsidR="00666DD4">
        <w:t xml:space="preserve"> </w:t>
      </w:r>
      <w:r w:rsidR="00C2052D" w:rsidRPr="00C2052D">
        <w:t xml:space="preserve">The City fails to demonstrate error or violation of process. </w:t>
      </w:r>
      <w:r w:rsidR="00666DD4">
        <w:t xml:space="preserve"> </w:t>
      </w:r>
      <w:r w:rsidR="00C2052D" w:rsidRPr="00C2052D">
        <w:t xml:space="preserve">WSDOT used a </w:t>
      </w:r>
      <w:r w:rsidR="00FE4169">
        <w:t>s</w:t>
      </w:r>
      <w:r w:rsidR="00C2052D" w:rsidRPr="00C2052D">
        <w:t>ystem</w:t>
      </w:r>
      <w:r w:rsidR="00666DD4">
        <w:t>s</w:t>
      </w:r>
      <w:r w:rsidR="00C2052D" w:rsidRPr="00C2052D">
        <w:t xml:space="preserve"> </w:t>
      </w:r>
      <w:r w:rsidR="00FE4169">
        <w:t>a</w:t>
      </w:r>
      <w:r w:rsidR="00C2052D" w:rsidRPr="00C2052D">
        <w:t xml:space="preserve">pproach to design the proposed modifications. </w:t>
      </w:r>
      <w:r w:rsidR="00666DD4">
        <w:t xml:space="preserve"> </w:t>
      </w:r>
      <w:r w:rsidR="00C2052D" w:rsidRPr="00C2052D">
        <w:t xml:space="preserve">It was not WSDOT’s burden to establish that grade separation is not feasible. </w:t>
      </w:r>
      <w:r w:rsidR="00666DD4">
        <w:t xml:space="preserve"> </w:t>
      </w:r>
      <w:r w:rsidR="00FE4169">
        <w:t xml:space="preserve">Nevertheless, </w:t>
      </w:r>
      <w:r w:rsidR="00C2052D" w:rsidRPr="00C2052D">
        <w:t>WSDOT’s testimony on the feasibility of grade separation is</w:t>
      </w:r>
      <w:r w:rsidR="00FE4169">
        <w:t xml:space="preserve"> </w:t>
      </w:r>
      <w:r w:rsidR="006A0423">
        <w:t xml:space="preserve">entirely </w:t>
      </w:r>
      <w:r w:rsidR="006A0423" w:rsidRPr="00C2052D">
        <w:t>consistent</w:t>
      </w:r>
      <w:r w:rsidR="00C2052D" w:rsidRPr="00C2052D">
        <w:t>, and the City has ma</w:t>
      </w:r>
      <w:r w:rsidR="00E5235D">
        <w:t>de no showing that it was misle</w:t>
      </w:r>
      <w:r w:rsidR="00C2052D" w:rsidRPr="00C2052D">
        <w:t>d as to the nature of the action soug</w:t>
      </w:r>
      <w:r w:rsidR="00E5235D">
        <w:t>ht in the petitions filed in TR</w:t>
      </w:r>
      <w:r w:rsidR="00E5235D">
        <w:noBreakHyphen/>
      </w:r>
      <w:r w:rsidR="00C2052D" w:rsidRPr="00C2052D">
        <w:t xml:space="preserve">081229, </w:t>
      </w:r>
      <w:r w:rsidR="00E5235D">
        <w:t>TR-</w:t>
      </w:r>
      <w:r w:rsidR="00C2052D" w:rsidRPr="00C2052D">
        <w:t xml:space="preserve">081230, </w:t>
      </w:r>
      <w:r w:rsidR="00E5235D">
        <w:t>TR-</w:t>
      </w:r>
      <w:r w:rsidR="00C2052D" w:rsidRPr="00C2052D">
        <w:t>081231</w:t>
      </w:r>
      <w:r w:rsidR="00E5235D">
        <w:t>,</w:t>
      </w:r>
      <w:r w:rsidR="00C2052D" w:rsidRPr="00C2052D">
        <w:t xml:space="preserve"> and </w:t>
      </w:r>
      <w:r w:rsidR="00E5235D">
        <w:t>TR-</w:t>
      </w:r>
      <w:r w:rsidR="00C2052D" w:rsidRPr="00C2052D">
        <w:t xml:space="preserve">081232.  Each petition provided very clear and detailed notice of the precise modifications proposed </w:t>
      </w:r>
      <w:r w:rsidR="00187F70">
        <w:t xml:space="preserve">for each </w:t>
      </w:r>
      <w:r w:rsidR="006A0423">
        <w:t>crossing,</w:t>
      </w:r>
      <w:r w:rsidR="00C2052D" w:rsidRPr="00C2052D">
        <w:t xml:space="preserve"> and which the </w:t>
      </w:r>
      <w:r w:rsidR="00E5235D">
        <w:t>C</w:t>
      </w:r>
      <w:r w:rsidR="00C2052D" w:rsidRPr="00C2052D">
        <w:t>ommission ultimately ordered</w:t>
      </w:r>
      <w:r w:rsidR="00FE4169">
        <w:t>.</w:t>
      </w:r>
      <w:r w:rsidR="00C2052D" w:rsidRPr="00C2052D">
        <w:t xml:space="preserve">  </w:t>
      </w:r>
    </w:p>
    <w:p w:rsidR="001F742E" w:rsidRPr="001F742E" w:rsidRDefault="00F12E17" w:rsidP="00F12E17">
      <w:pPr>
        <w:pStyle w:val="ListParagraph"/>
        <w:numPr>
          <w:ilvl w:val="0"/>
          <w:numId w:val="14"/>
        </w:numPr>
        <w:spacing w:line="480" w:lineRule="auto"/>
        <w:ind w:left="0" w:hanging="720"/>
        <w:jc w:val="both"/>
      </w:pPr>
      <w:r>
        <w:tab/>
      </w:r>
      <w:r w:rsidR="00C2052D" w:rsidRPr="00C2052D">
        <w:t>WSDOT respectfully requests the Commission deny the City’s request for reconsideration.</w:t>
      </w:r>
      <w:r w:rsidRPr="001F742E">
        <w:t xml:space="preserve"> </w:t>
      </w:r>
    </w:p>
    <w:p w:rsidR="00130F2B" w:rsidRDefault="00F12E17" w:rsidP="00CC15D1">
      <w:pPr>
        <w:spacing w:line="480" w:lineRule="auto"/>
        <w:jc w:val="both"/>
      </w:pPr>
      <w:r>
        <w:tab/>
        <w:t>DATED this _____</w:t>
      </w:r>
      <w:r w:rsidR="00C611AD">
        <w:t xml:space="preserve"> day of </w:t>
      </w:r>
      <w:r w:rsidR="007862BA">
        <w:fldChar w:fldCharType="begin"/>
      </w:r>
      <w:r w:rsidR="00C611AD">
        <w:instrText xml:space="preserve"> DATE \@ "MMMM, yyyy" \* MERGEFORMAT </w:instrText>
      </w:r>
      <w:r w:rsidR="007862BA">
        <w:fldChar w:fldCharType="separate"/>
      </w:r>
      <w:r w:rsidR="0012636B">
        <w:rPr>
          <w:noProof/>
        </w:rPr>
        <w:t>April, 2010</w:t>
      </w:r>
      <w:r w:rsidR="007862BA">
        <w:fldChar w:fldCharType="end"/>
      </w:r>
      <w:r w:rsidR="00C611AD">
        <w:t>.</w:t>
      </w:r>
    </w:p>
    <w:p w:rsidR="00E25A01" w:rsidRPr="00FA7CDB" w:rsidRDefault="00E25A01" w:rsidP="00E25A01">
      <w:pPr>
        <w:spacing w:line="240" w:lineRule="auto"/>
        <w:ind w:left="3600" w:right="83"/>
      </w:pPr>
      <w:r w:rsidRPr="00FA7CDB">
        <w:t>ROBERT M. MCKENNA</w:t>
      </w:r>
    </w:p>
    <w:p w:rsidR="00E25A01" w:rsidRPr="00FA7CDB" w:rsidRDefault="00E25A01" w:rsidP="00E25A01">
      <w:pPr>
        <w:spacing w:line="240" w:lineRule="auto"/>
        <w:ind w:left="3600" w:right="83"/>
      </w:pPr>
      <w:r w:rsidRPr="00FA7CDB">
        <w:t>Attorney General</w:t>
      </w:r>
    </w:p>
    <w:p w:rsidR="00E25A01" w:rsidRPr="00FA7CDB" w:rsidRDefault="00E25A01" w:rsidP="00E25A01">
      <w:pPr>
        <w:spacing w:line="240" w:lineRule="auto"/>
        <w:ind w:left="3600" w:right="83"/>
      </w:pPr>
    </w:p>
    <w:p w:rsidR="00E25A01" w:rsidRPr="00FA7CDB" w:rsidRDefault="00E25A01" w:rsidP="00E25A01">
      <w:pPr>
        <w:spacing w:line="240" w:lineRule="auto"/>
        <w:ind w:left="3600" w:right="83"/>
        <w:rPr>
          <w:u w:val="single"/>
        </w:rPr>
      </w:pPr>
      <w:r w:rsidRPr="00FA7CDB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25A01" w:rsidRPr="00FA7CDB" w:rsidRDefault="00E25A01" w:rsidP="00E25A01">
      <w:pPr>
        <w:spacing w:line="240" w:lineRule="auto"/>
        <w:ind w:left="3600" w:right="83"/>
      </w:pPr>
      <w:r w:rsidRPr="00FA7CDB">
        <w:t xml:space="preserve">L. SCOTT LOCKWOOD, WSBA </w:t>
      </w:r>
      <w:r>
        <w:t>No. 19248</w:t>
      </w:r>
    </w:p>
    <w:p w:rsidR="00E25A01" w:rsidRDefault="00E25A01" w:rsidP="00E25A01">
      <w:pPr>
        <w:spacing w:line="240" w:lineRule="auto"/>
        <w:ind w:left="3600" w:right="83"/>
      </w:pPr>
      <w:r w:rsidRPr="00FA7CDB">
        <w:t>Assistant Attorney General</w:t>
      </w:r>
    </w:p>
    <w:p w:rsidR="00130F2B" w:rsidRDefault="00E25A01" w:rsidP="001F742E">
      <w:pPr>
        <w:spacing w:line="240" w:lineRule="auto"/>
        <w:ind w:left="3600" w:right="83"/>
      </w:pPr>
      <w:r>
        <w:t>Attorneys for Defendant</w:t>
      </w:r>
    </w:p>
    <w:sectPr w:rsidR="00130F2B" w:rsidSect="008D40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2520" w:left="2160" w:header="72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109" w:rsidRDefault="00F75109">
      <w:pPr>
        <w:spacing w:line="240" w:lineRule="auto"/>
      </w:pPr>
      <w:r>
        <w:separator/>
      </w:r>
    </w:p>
  </w:endnote>
  <w:endnote w:type="continuationSeparator" w:id="0">
    <w:p w:rsidR="00F75109" w:rsidRDefault="00F75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19C" w:rsidRDefault="000421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20" w:type="dxa"/>
      <w:tblInd w:w="108" w:type="dxa"/>
      <w:tblLayout w:type="fixed"/>
      <w:tblLook w:val="0000"/>
    </w:tblPr>
    <w:tblGrid>
      <w:gridCol w:w="3780"/>
      <w:gridCol w:w="1710"/>
      <w:gridCol w:w="3330"/>
    </w:tblGrid>
    <w:tr w:rsidR="00F75109" w:rsidTr="008D4003">
      <w:tc>
        <w:tcPr>
          <w:tcW w:w="3780" w:type="dxa"/>
        </w:tcPr>
        <w:p w:rsidR="00F75109" w:rsidRPr="009302EB" w:rsidRDefault="00F75109" w:rsidP="00B76063">
          <w:pPr>
            <w:rPr>
              <w:sz w:val="20"/>
            </w:rPr>
          </w:pPr>
          <w:r w:rsidRPr="009302EB">
            <w:rPr>
              <w:sz w:val="20"/>
            </w:rPr>
            <w:t xml:space="preserve">WSDOT’S ANSWER IN OPPOSITION TO THE CITY OF LAKEWOOD’S MOTION TO RECONSIDER </w:t>
          </w:r>
        </w:p>
        <w:p w:rsidR="00F75109" w:rsidRPr="00901AAC" w:rsidRDefault="00F75109" w:rsidP="00B76063">
          <w:pPr>
            <w:rPr>
              <w:caps/>
            </w:rPr>
          </w:pPr>
          <w:r w:rsidRPr="009302EB">
            <w:rPr>
              <w:sz w:val="20"/>
            </w:rPr>
            <w:t>(DOCKET TR-081229, TR-081230, TR</w:t>
          </w:r>
          <w:r w:rsidRPr="009302EB">
            <w:rPr>
              <w:sz w:val="20"/>
            </w:rPr>
            <w:noBreakHyphen/>
            <w:t>081231, and TR</w:t>
          </w:r>
          <w:r>
            <w:rPr>
              <w:sz w:val="20"/>
            </w:rPr>
            <w:t>-</w:t>
          </w:r>
          <w:r w:rsidRPr="009302EB">
            <w:rPr>
              <w:sz w:val="20"/>
            </w:rPr>
            <w:t xml:space="preserve">081232 </w:t>
          </w:r>
          <w:r w:rsidRPr="009302EB">
            <w:rPr>
              <w:i/>
              <w:sz w:val="20"/>
            </w:rPr>
            <w:t>Consolidated</w:t>
          </w:r>
          <w:r w:rsidRPr="009302EB">
            <w:rPr>
              <w:sz w:val="20"/>
            </w:rPr>
            <w:t>)</w:t>
          </w:r>
        </w:p>
      </w:tc>
      <w:tc>
        <w:tcPr>
          <w:tcW w:w="1710" w:type="dxa"/>
        </w:tcPr>
        <w:p w:rsidR="00F75109" w:rsidRDefault="007862BA">
          <w:pPr>
            <w:pStyle w:val="Footer"/>
            <w:ind w:left="-18"/>
            <w:jc w:val="center"/>
          </w:pPr>
          <w:fldSimple w:instr=" PAGE  \* MERGEFORMAT ">
            <w:r w:rsidR="0012636B">
              <w:rPr>
                <w:noProof/>
              </w:rPr>
              <w:t>1</w:t>
            </w:r>
          </w:fldSimple>
        </w:p>
      </w:tc>
      <w:tc>
        <w:tcPr>
          <w:tcW w:w="3330" w:type="dxa"/>
        </w:tcPr>
        <w:p w:rsidR="00F75109" w:rsidRPr="009643C9" w:rsidRDefault="00F75109" w:rsidP="00C2052D">
          <w:pPr>
            <w:spacing w:line="240" w:lineRule="auto"/>
            <w:jc w:val="center"/>
            <w:rPr>
              <w:sz w:val="15"/>
            </w:rPr>
          </w:pPr>
          <w:r w:rsidRPr="009643C9">
            <w:rPr>
              <w:sz w:val="15"/>
            </w:rPr>
            <w:t>ATTORNEY GENERAL OF WASHINGTON</w:t>
          </w:r>
        </w:p>
        <w:p w:rsidR="00F75109" w:rsidRPr="00BB6A6C" w:rsidRDefault="00F75109" w:rsidP="00C2052D">
          <w:pPr>
            <w:spacing w:line="240" w:lineRule="auto"/>
            <w:jc w:val="center"/>
            <w:rPr>
              <w:sz w:val="15"/>
              <w:szCs w:val="15"/>
            </w:rPr>
          </w:pPr>
          <w:r w:rsidRPr="009643C9">
            <w:rPr>
              <w:sz w:val="15"/>
            </w:rPr>
            <w:t xml:space="preserve">Transportation &amp; Public Construction </w:t>
          </w:r>
          <w:r w:rsidRPr="00BB6A6C">
            <w:rPr>
              <w:sz w:val="15"/>
              <w:szCs w:val="15"/>
            </w:rPr>
            <w:t>Division</w:t>
          </w:r>
        </w:p>
        <w:p w:rsidR="00F75109" w:rsidRPr="00BB6A6C" w:rsidRDefault="00F75109" w:rsidP="00C2052D">
          <w:pPr>
            <w:spacing w:line="240" w:lineRule="auto"/>
            <w:jc w:val="center"/>
            <w:rPr>
              <w:sz w:val="15"/>
              <w:szCs w:val="15"/>
            </w:rPr>
          </w:pPr>
          <w:r w:rsidRPr="009643C9">
            <w:rPr>
              <w:sz w:val="15"/>
            </w:rPr>
            <w:t xml:space="preserve">7141 Cleanwater Drive </w:t>
          </w:r>
          <w:r w:rsidRPr="00BB6A6C">
            <w:rPr>
              <w:sz w:val="15"/>
              <w:szCs w:val="15"/>
            </w:rPr>
            <w:t>SW</w:t>
          </w:r>
        </w:p>
        <w:p w:rsidR="00F75109" w:rsidRPr="009643C9" w:rsidRDefault="00F75109" w:rsidP="00C2052D">
          <w:pPr>
            <w:spacing w:line="240" w:lineRule="auto"/>
            <w:jc w:val="center"/>
            <w:rPr>
              <w:sz w:val="15"/>
            </w:rPr>
          </w:pPr>
          <w:r w:rsidRPr="009643C9">
            <w:rPr>
              <w:sz w:val="15"/>
            </w:rPr>
            <w:t>PO BOX 40113</w:t>
          </w:r>
        </w:p>
        <w:p w:rsidR="00F75109" w:rsidRPr="00BB6A6C" w:rsidRDefault="00F75109" w:rsidP="00C2052D">
          <w:pPr>
            <w:spacing w:line="240" w:lineRule="auto"/>
            <w:jc w:val="center"/>
            <w:rPr>
              <w:sz w:val="15"/>
              <w:szCs w:val="15"/>
            </w:rPr>
          </w:pPr>
          <w:r w:rsidRPr="009643C9">
            <w:rPr>
              <w:sz w:val="15"/>
            </w:rPr>
            <w:t>Olympia</w:t>
          </w:r>
          <w:r w:rsidRPr="00BB6A6C">
            <w:rPr>
              <w:sz w:val="15"/>
              <w:szCs w:val="15"/>
            </w:rPr>
            <w:t>, WA  98504-0113</w:t>
          </w:r>
        </w:p>
        <w:p w:rsidR="00F75109" w:rsidRPr="00BB6A6C" w:rsidRDefault="00F75109" w:rsidP="00C2052D">
          <w:pPr>
            <w:spacing w:line="240" w:lineRule="auto"/>
            <w:jc w:val="center"/>
            <w:rPr>
              <w:sz w:val="15"/>
              <w:szCs w:val="15"/>
            </w:rPr>
          </w:pPr>
          <w:r w:rsidRPr="009643C9">
            <w:rPr>
              <w:sz w:val="15"/>
            </w:rPr>
            <w:t xml:space="preserve">(360) 753-6126     </w:t>
          </w:r>
          <w:r w:rsidRPr="00BB6A6C">
            <w:rPr>
              <w:sz w:val="15"/>
              <w:szCs w:val="15"/>
            </w:rPr>
            <w:t>Facsimile:  (360) 586-6847</w:t>
          </w:r>
        </w:p>
        <w:p w:rsidR="00F75109" w:rsidRDefault="00F75109">
          <w:pPr>
            <w:pStyle w:val="Footer"/>
            <w:jc w:val="center"/>
            <w:rPr>
              <w:sz w:val="15"/>
            </w:rPr>
          </w:pPr>
        </w:p>
      </w:tc>
    </w:tr>
  </w:tbl>
  <w:p w:rsidR="00F75109" w:rsidRDefault="00F75109">
    <w:pPr>
      <w:pStyle w:val="Footer"/>
      <w:ind w:right="3780"/>
      <w:rPr>
        <w:sz w:val="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19C" w:rsidRDefault="000421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109" w:rsidRDefault="00F75109">
      <w:r>
        <w:separator/>
      </w:r>
    </w:p>
  </w:footnote>
  <w:footnote w:type="continuationSeparator" w:id="0">
    <w:p w:rsidR="00F75109" w:rsidRDefault="00F75109">
      <w:pPr>
        <w:ind w:right="5760"/>
      </w:pPr>
      <w:r>
        <w:continuationSeparator/>
      </w:r>
    </w:p>
  </w:footnote>
  <w:footnote w:type="continuationNotice" w:id="1">
    <w:p w:rsidR="00F75109" w:rsidRDefault="00F75109"/>
  </w:footnote>
  <w:footnote w:id="2">
    <w:p w:rsidR="00F75109" w:rsidRDefault="00F75109" w:rsidP="00970693">
      <w:pPr>
        <w:pStyle w:val="FootnoteText"/>
        <w:spacing w:after="0"/>
        <w:jc w:val="both"/>
      </w:pPr>
      <w:r>
        <w:rPr>
          <w:rStyle w:val="FootnoteReference"/>
        </w:rPr>
        <w:footnoteRef/>
      </w:r>
      <w:r>
        <w:t xml:space="preserve"> Railroad-Highway Grade Crossing Handbook – Revised Second Edition August 2007, Chapter III, Section D.  </w:t>
      </w:r>
      <w:r w:rsidRPr="005C5048">
        <w:rPr>
          <w:i/>
        </w:rPr>
        <w:t>See</w:t>
      </w:r>
      <w:r>
        <w:t xml:space="preserve"> r</w:t>
      </w:r>
      <w:r w:rsidRPr="00CB7AF1">
        <w:t xml:space="preserve">elevant pages </w:t>
      </w:r>
      <w:r>
        <w:t>attached to this Answer as Attachment 1</w:t>
      </w:r>
      <w:r w:rsidRPr="00CB7AF1">
        <w:t>.</w:t>
      </w:r>
    </w:p>
  </w:footnote>
  <w:footnote w:id="3">
    <w:p w:rsidR="00F75109" w:rsidRDefault="00F75109" w:rsidP="00C205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26EB8">
        <w:t>http://www.wsdot.wa.gov/NR/rdonlyres/AE671CC5-6633-4BF2-9041-FB328ADB1F31/0/LongRangePlanforAmtrakCascades.pdf</w:t>
      </w:r>
    </w:p>
  </w:footnote>
  <w:footnote w:id="4">
    <w:p w:rsidR="00F75109" w:rsidRDefault="00F75109" w:rsidP="00F75109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 w:rsidRPr="002D2621">
        <w:rPr>
          <w:i/>
        </w:rPr>
        <w:t xml:space="preserve">Nisqually Delta Ass’n v. </w:t>
      </w:r>
      <w:r>
        <w:rPr>
          <w:i/>
        </w:rPr>
        <w:t xml:space="preserve">City of </w:t>
      </w:r>
      <w:r w:rsidRPr="002D2621">
        <w:rPr>
          <w:i/>
        </w:rPr>
        <w:t>Du</w:t>
      </w:r>
      <w:r>
        <w:rPr>
          <w:i/>
        </w:rPr>
        <w:t>P</w:t>
      </w:r>
      <w:r w:rsidRPr="002D2621">
        <w:rPr>
          <w:i/>
        </w:rPr>
        <w:t>ont</w:t>
      </w:r>
      <w:r>
        <w:t>, 103 Wn.2d 720, 696 P.2d 1222 (1985).</w:t>
      </w:r>
    </w:p>
  </w:footnote>
  <w:footnote w:id="5">
    <w:p w:rsidR="00F75109" w:rsidRDefault="00F75109" w:rsidP="0052324D">
      <w:pPr>
        <w:pStyle w:val="FootnoteText"/>
        <w:spacing w:after="0"/>
        <w:jc w:val="both"/>
      </w:pPr>
      <w:r>
        <w:rPr>
          <w:rStyle w:val="FootnoteReference"/>
        </w:rPr>
        <w:footnoteRef/>
      </w:r>
      <w:r>
        <w:t xml:space="preserve"> </w:t>
      </w:r>
      <w:r w:rsidRPr="00AC557C">
        <w:rPr>
          <w:i/>
        </w:rPr>
        <w:t>See</w:t>
      </w:r>
      <w:r>
        <w:t xml:space="preserve"> Written Direct Testimony of Kevin Jeffers, P.E., filed April 16, 2010, in WUTC Dockets </w:t>
      </w:r>
      <w:r w:rsidRPr="00AC557C">
        <w:t>TR-100127, TR-100128, TR</w:t>
      </w:r>
      <w:r w:rsidRPr="00AC557C">
        <w:noBreakHyphen/>
        <w:t xml:space="preserve">100129, and TR-100131 </w:t>
      </w:r>
      <w:r w:rsidRPr="00AC557C">
        <w:rPr>
          <w:i/>
        </w:rPr>
        <w:t>(Consolidated)</w:t>
      </w:r>
      <w:r>
        <w:rPr>
          <w:i/>
        </w:rPr>
        <w:t>.</w:t>
      </w:r>
    </w:p>
  </w:footnote>
  <w:footnote w:id="6">
    <w:p w:rsidR="00F75109" w:rsidRDefault="00F75109" w:rsidP="0052324D">
      <w:pPr>
        <w:pStyle w:val="FootnoteText"/>
        <w:spacing w:after="0"/>
        <w:jc w:val="both"/>
      </w:pPr>
      <w:r>
        <w:rPr>
          <w:rStyle w:val="FootnoteReference"/>
        </w:rPr>
        <w:footnoteRef/>
      </w:r>
      <w:r>
        <w:t xml:space="preserve"> These challenges include proximity to businesses, wetlands, a golf course, Interstate 5, alteration of highway and/or rail grades, acquisition of right of way, and roadway reconfiguration.</w:t>
      </w:r>
    </w:p>
  </w:footnote>
  <w:footnote w:id="7">
    <w:p w:rsidR="00F75109" w:rsidRDefault="00F75109" w:rsidP="00F7510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And, since the City further argues that a petitioner must always establish that grade separation is not feasible before the Commission can approve an upgrade to an existing crossing, then no at- grade crossing could ever be upgraded so long as grade separation could be achieved at some cost.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19C" w:rsidRDefault="000421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109" w:rsidRDefault="007862BA">
    <w:r>
      <w:rPr>
        <w:noProof/>
      </w:rPr>
      <w:pict>
        <v:line id="_x0000_s2049" style="position:absolute;z-index:251657728;mso-position-horizontal-relative:margin;mso-position-vertical-relative:page" from="-9.4pt,0" to="-9.35pt,11in" o:allowincell="f" stroked="f">
          <v:stroke startarrowwidth="narrow" startarrowlength="short" endarrowwidth="narrow" endarrowlength="short"/>
          <w10:wrap anchorx="margin" anchory="pag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19C" w:rsidRDefault="000421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D5CD99A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88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hanging="72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0"/>
        </w:tabs>
        <w:ind w:left="5040" w:hanging="72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5760" w:hanging="720"/>
      </w:pPr>
    </w:lvl>
  </w:abstractNum>
  <w:abstractNum w:abstractNumId="1">
    <w:nsid w:val="245056E1"/>
    <w:multiLevelType w:val="hybridMultilevel"/>
    <w:tmpl w:val="A1EEC55A"/>
    <w:lvl w:ilvl="0" w:tplc="5562099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43F1A"/>
    <w:multiLevelType w:val="hybridMultilevel"/>
    <w:tmpl w:val="0F0A4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514CC"/>
    <w:multiLevelType w:val="hybridMultilevel"/>
    <w:tmpl w:val="16B4753E"/>
    <w:lvl w:ilvl="0" w:tplc="D98C862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9C40E82"/>
    <w:multiLevelType w:val="hybridMultilevel"/>
    <w:tmpl w:val="EB140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26F56"/>
    <w:multiLevelType w:val="hybridMultilevel"/>
    <w:tmpl w:val="F31C10A8"/>
    <w:lvl w:ilvl="0" w:tplc="D98C862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5"/>
  </w:num>
  <w:num w:numId="13">
    <w:abstractNumId w:val="1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removePersonalInformation/>
  <w:removeDateAndTime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/>
  <w:rsids>
    <w:rsidRoot w:val="008D4003"/>
    <w:rsid w:val="000021AB"/>
    <w:rsid w:val="00002266"/>
    <w:rsid w:val="0004219C"/>
    <w:rsid w:val="0005161F"/>
    <w:rsid w:val="000566BE"/>
    <w:rsid w:val="000974E7"/>
    <w:rsid w:val="000D0D8E"/>
    <w:rsid w:val="000D3CD5"/>
    <w:rsid w:val="00110CCE"/>
    <w:rsid w:val="00111A0E"/>
    <w:rsid w:val="00116FF1"/>
    <w:rsid w:val="00124AF4"/>
    <w:rsid w:val="00125C9B"/>
    <w:rsid w:val="0012636B"/>
    <w:rsid w:val="00130F2B"/>
    <w:rsid w:val="001456F0"/>
    <w:rsid w:val="00160A92"/>
    <w:rsid w:val="00170EB9"/>
    <w:rsid w:val="00186E41"/>
    <w:rsid w:val="00187F70"/>
    <w:rsid w:val="001A470B"/>
    <w:rsid w:val="001B5A7C"/>
    <w:rsid w:val="001F742E"/>
    <w:rsid w:val="00237D31"/>
    <w:rsid w:val="0024495A"/>
    <w:rsid w:val="002721A0"/>
    <w:rsid w:val="00295999"/>
    <w:rsid w:val="002A2C92"/>
    <w:rsid w:val="002B1800"/>
    <w:rsid w:val="002C2F9C"/>
    <w:rsid w:val="002C7577"/>
    <w:rsid w:val="002D113E"/>
    <w:rsid w:val="002D2621"/>
    <w:rsid w:val="002F50A2"/>
    <w:rsid w:val="00305FD9"/>
    <w:rsid w:val="00314B3D"/>
    <w:rsid w:val="00332CD7"/>
    <w:rsid w:val="00337615"/>
    <w:rsid w:val="003444F6"/>
    <w:rsid w:val="0036375C"/>
    <w:rsid w:val="00372DA9"/>
    <w:rsid w:val="00374B42"/>
    <w:rsid w:val="00377C7E"/>
    <w:rsid w:val="0038526B"/>
    <w:rsid w:val="003949F9"/>
    <w:rsid w:val="003C77BE"/>
    <w:rsid w:val="003D261E"/>
    <w:rsid w:val="00401307"/>
    <w:rsid w:val="00406B13"/>
    <w:rsid w:val="0045199F"/>
    <w:rsid w:val="00465EEB"/>
    <w:rsid w:val="004675B6"/>
    <w:rsid w:val="004868FF"/>
    <w:rsid w:val="004C6899"/>
    <w:rsid w:val="004D48D3"/>
    <w:rsid w:val="0051120A"/>
    <w:rsid w:val="00515D7C"/>
    <w:rsid w:val="0052324D"/>
    <w:rsid w:val="005337C7"/>
    <w:rsid w:val="00545FF6"/>
    <w:rsid w:val="00547155"/>
    <w:rsid w:val="00555757"/>
    <w:rsid w:val="00584289"/>
    <w:rsid w:val="005A2CAA"/>
    <w:rsid w:val="005A4ED8"/>
    <w:rsid w:val="005C5048"/>
    <w:rsid w:val="005D3382"/>
    <w:rsid w:val="005D70E3"/>
    <w:rsid w:val="006070A1"/>
    <w:rsid w:val="0061717A"/>
    <w:rsid w:val="006259CE"/>
    <w:rsid w:val="006437D9"/>
    <w:rsid w:val="00650338"/>
    <w:rsid w:val="00651343"/>
    <w:rsid w:val="00666DD4"/>
    <w:rsid w:val="00670C97"/>
    <w:rsid w:val="006A0423"/>
    <w:rsid w:val="006B02A9"/>
    <w:rsid w:val="006B41AE"/>
    <w:rsid w:val="006C27F1"/>
    <w:rsid w:val="006C71AE"/>
    <w:rsid w:val="006D138A"/>
    <w:rsid w:val="006E6D1F"/>
    <w:rsid w:val="00701D42"/>
    <w:rsid w:val="0071375D"/>
    <w:rsid w:val="00750263"/>
    <w:rsid w:val="00784AF5"/>
    <w:rsid w:val="007862BA"/>
    <w:rsid w:val="007C579E"/>
    <w:rsid w:val="00807D6D"/>
    <w:rsid w:val="008211B9"/>
    <w:rsid w:val="0083763A"/>
    <w:rsid w:val="00842E43"/>
    <w:rsid w:val="00852696"/>
    <w:rsid w:val="00855173"/>
    <w:rsid w:val="00862177"/>
    <w:rsid w:val="008A0FA4"/>
    <w:rsid w:val="008A2747"/>
    <w:rsid w:val="008A7719"/>
    <w:rsid w:val="008C17D5"/>
    <w:rsid w:val="008D24B1"/>
    <w:rsid w:val="008D4003"/>
    <w:rsid w:val="00901AAC"/>
    <w:rsid w:val="00920D5B"/>
    <w:rsid w:val="00922974"/>
    <w:rsid w:val="009302EB"/>
    <w:rsid w:val="009465DC"/>
    <w:rsid w:val="009643C9"/>
    <w:rsid w:val="00970693"/>
    <w:rsid w:val="009B7DAF"/>
    <w:rsid w:val="009C12BA"/>
    <w:rsid w:val="009C2C0C"/>
    <w:rsid w:val="00A86B0A"/>
    <w:rsid w:val="00AC557C"/>
    <w:rsid w:val="00AF3362"/>
    <w:rsid w:val="00AF5ED9"/>
    <w:rsid w:val="00B153CD"/>
    <w:rsid w:val="00B30F99"/>
    <w:rsid w:val="00B76063"/>
    <w:rsid w:val="00BD1804"/>
    <w:rsid w:val="00BE518C"/>
    <w:rsid w:val="00BF3355"/>
    <w:rsid w:val="00C01911"/>
    <w:rsid w:val="00C2052D"/>
    <w:rsid w:val="00C26BED"/>
    <w:rsid w:val="00C46C9C"/>
    <w:rsid w:val="00C47E9A"/>
    <w:rsid w:val="00C611AD"/>
    <w:rsid w:val="00C625A7"/>
    <w:rsid w:val="00C7459E"/>
    <w:rsid w:val="00C97E89"/>
    <w:rsid w:val="00CA329A"/>
    <w:rsid w:val="00CB7AF1"/>
    <w:rsid w:val="00CC15D1"/>
    <w:rsid w:val="00D07E84"/>
    <w:rsid w:val="00D47464"/>
    <w:rsid w:val="00D55ED2"/>
    <w:rsid w:val="00DF059C"/>
    <w:rsid w:val="00DF1D78"/>
    <w:rsid w:val="00E223BF"/>
    <w:rsid w:val="00E25A01"/>
    <w:rsid w:val="00E5235D"/>
    <w:rsid w:val="00E651B3"/>
    <w:rsid w:val="00E85249"/>
    <w:rsid w:val="00E94C23"/>
    <w:rsid w:val="00EF0BCD"/>
    <w:rsid w:val="00EF4A95"/>
    <w:rsid w:val="00EF6121"/>
    <w:rsid w:val="00F03809"/>
    <w:rsid w:val="00F12E17"/>
    <w:rsid w:val="00F16E88"/>
    <w:rsid w:val="00F57B6F"/>
    <w:rsid w:val="00F75109"/>
    <w:rsid w:val="00F77D17"/>
    <w:rsid w:val="00F8354A"/>
    <w:rsid w:val="00F869CD"/>
    <w:rsid w:val="00F87520"/>
    <w:rsid w:val="00FA06FF"/>
    <w:rsid w:val="00FA5818"/>
    <w:rsid w:val="00FB365C"/>
    <w:rsid w:val="00FB5882"/>
    <w:rsid w:val="00FC6A19"/>
    <w:rsid w:val="00FD04A8"/>
    <w:rsid w:val="00FE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18"/>
    <w:pPr>
      <w:spacing w:line="240" w:lineRule="exact"/>
    </w:pPr>
    <w:rPr>
      <w:sz w:val="24"/>
    </w:rPr>
  </w:style>
  <w:style w:type="paragraph" w:styleId="Heading1">
    <w:name w:val="heading 1"/>
    <w:basedOn w:val="Normal"/>
    <w:next w:val="Normal"/>
    <w:qFormat/>
    <w:rsid w:val="00130F2B"/>
    <w:pPr>
      <w:keepNext/>
      <w:numPr>
        <w:numId w:val="10"/>
      </w:numPr>
      <w:spacing w:before="24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130F2B"/>
    <w:pPr>
      <w:keepNext/>
      <w:numPr>
        <w:ilvl w:val="1"/>
        <w:numId w:val="10"/>
      </w:numPr>
      <w:spacing w:before="24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30F2B"/>
    <w:pPr>
      <w:keepNext/>
      <w:numPr>
        <w:ilvl w:val="2"/>
        <w:numId w:val="10"/>
      </w:numPr>
      <w:spacing w:before="24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30F2B"/>
    <w:pPr>
      <w:keepNext/>
      <w:numPr>
        <w:ilvl w:val="3"/>
        <w:numId w:val="10"/>
      </w:numPr>
      <w:spacing w:before="24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30F2B"/>
    <w:pPr>
      <w:numPr>
        <w:ilvl w:val="4"/>
        <w:numId w:val="10"/>
      </w:numPr>
      <w:spacing w:before="24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30F2B"/>
    <w:pPr>
      <w:numPr>
        <w:ilvl w:val="5"/>
        <w:numId w:val="10"/>
      </w:numPr>
      <w:spacing w:before="240"/>
      <w:jc w:val="both"/>
      <w:outlineLvl w:val="5"/>
    </w:pPr>
    <w:rPr>
      <w:b/>
    </w:rPr>
  </w:style>
  <w:style w:type="paragraph" w:styleId="Heading7">
    <w:name w:val="heading 7"/>
    <w:aliases w:val="o"/>
    <w:basedOn w:val="Normal"/>
    <w:next w:val="Normal"/>
    <w:qFormat/>
    <w:rsid w:val="00130F2B"/>
    <w:pPr>
      <w:numPr>
        <w:ilvl w:val="6"/>
        <w:numId w:val="10"/>
      </w:numPr>
      <w:spacing w:before="24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30F2B"/>
    <w:pPr>
      <w:numPr>
        <w:ilvl w:val="7"/>
        <w:numId w:val="10"/>
      </w:numPr>
      <w:spacing w:before="240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130F2B"/>
    <w:pPr>
      <w:keepNext/>
      <w:numPr>
        <w:ilvl w:val="8"/>
        <w:numId w:val="10"/>
      </w:numPr>
      <w:spacing w:before="24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0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0F2B"/>
    <w:pPr>
      <w:tabs>
        <w:tab w:val="center" w:pos="4320"/>
        <w:tab w:val="right" w:pos="8640"/>
      </w:tabs>
      <w:spacing w:line="240" w:lineRule="auto"/>
    </w:pPr>
    <w:rPr>
      <w:sz w:val="20"/>
    </w:rPr>
  </w:style>
  <w:style w:type="paragraph" w:customStyle="1" w:styleId="LineNumbers">
    <w:name w:val="LineNumbers"/>
    <w:basedOn w:val="Normal"/>
    <w:rsid w:val="00130F2B"/>
    <w:pPr>
      <w:jc w:val="right"/>
    </w:pPr>
  </w:style>
  <w:style w:type="paragraph" w:customStyle="1" w:styleId="SingleSpacing">
    <w:name w:val="Single Spacing"/>
    <w:basedOn w:val="Normal"/>
    <w:rsid w:val="00130F2B"/>
    <w:pPr>
      <w:spacing w:line="186" w:lineRule="exact"/>
    </w:pPr>
  </w:style>
  <w:style w:type="paragraph" w:customStyle="1" w:styleId="15Spacing">
    <w:name w:val="1.5 Spacing"/>
    <w:basedOn w:val="Normal"/>
    <w:rsid w:val="00130F2B"/>
    <w:pPr>
      <w:spacing w:line="279" w:lineRule="exact"/>
    </w:pPr>
  </w:style>
  <w:style w:type="paragraph" w:customStyle="1" w:styleId="DoubleSpacing">
    <w:name w:val="Double Spacing"/>
    <w:basedOn w:val="Normal"/>
    <w:rsid w:val="00130F2B"/>
  </w:style>
  <w:style w:type="character" w:styleId="PageNumber">
    <w:name w:val="page number"/>
    <w:basedOn w:val="DefaultParagraphFont"/>
    <w:rsid w:val="00130F2B"/>
  </w:style>
  <w:style w:type="paragraph" w:customStyle="1" w:styleId="Address">
    <w:name w:val="Address"/>
    <w:basedOn w:val="SingleSpacing"/>
    <w:rsid w:val="00130F2B"/>
    <w:pPr>
      <w:ind w:left="4680"/>
    </w:pPr>
  </w:style>
  <w:style w:type="paragraph" w:customStyle="1" w:styleId="CourtName">
    <w:name w:val="CourtName"/>
    <w:basedOn w:val="Normal"/>
    <w:rsid w:val="00130F2B"/>
    <w:pPr>
      <w:jc w:val="center"/>
    </w:pPr>
  </w:style>
  <w:style w:type="character" w:styleId="FootnoteReference">
    <w:name w:val="footnote reference"/>
    <w:basedOn w:val="DefaultParagraphFont"/>
    <w:uiPriority w:val="99"/>
    <w:semiHidden/>
    <w:rsid w:val="00130F2B"/>
    <w:rPr>
      <w:vertAlign w:val="superscript"/>
    </w:rPr>
  </w:style>
  <w:style w:type="paragraph" w:styleId="TOAHeading">
    <w:name w:val="toa heading"/>
    <w:basedOn w:val="Normal"/>
    <w:next w:val="Normal"/>
    <w:semiHidden/>
    <w:rsid w:val="00130F2B"/>
    <w:pPr>
      <w:spacing w:before="120" w:after="240" w:line="240" w:lineRule="auto"/>
      <w:jc w:val="center"/>
    </w:pPr>
    <w:rPr>
      <w:caps/>
      <w:u w:val="single"/>
    </w:rPr>
  </w:style>
  <w:style w:type="paragraph" w:styleId="Title">
    <w:name w:val="Title"/>
    <w:basedOn w:val="Normal"/>
    <w:qFormat/>
    <w:rsid w:val="00130F2B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FootnoteText">
    <w:name w:val="footnote text"/>
    <w:basedOn w:val="Normal"/>
    <w:semiHidden/>
    <w:rsid w:val="00130F2B"/>
    <w:pPr>
      <w:spacing w:after="240" w:line="240" w:lineRule="auto"/>
      <w:ind w:firstLine="720"/>
    </w:pPr>
    <w:rPr>
      <w:sz w:val="20"/>
    </w:rPr>
  </w:style>
  <w:style w:type="paragraph" w:styleId="TOC1">
    <w:name w:val="toc 1"/>
    <w:basedOn w:val="Normal"/>
    <w:next w:val="Normal"/>
    <w:semiHidden/>
    <w:rsid w:val="00130F2B"/>
    <w:pPr>
      <w:tabs>
        <w:tab w:val="right" w:leader="dot" w:pos="9360"/>
      </w:tabs>
      <w:spacing w:after="240"/>
      <w:ind w:left="630" w:right="547" w:hanging="630"/>
    </w:pPr>
    <w:rPr>
      <w:noProof/>
      <w:sz w:val="28"/>
    </w:rPr>
  </w:style>
  <w:style w:type="paragraph" w:styleId="TOC2">
    <w:name w:val="toc 2"/>
    <w:basedOn w:val="Normal"/>
    <w:next w:val="Normal"/>
    <w:semiHidden/>
    <w:rsid w:val="00130F2B"/>
    <w:pPr>
      <w:tabs>
        <w:tab w:val="right" w:leader="dot" w:pos="9360"/>
      </w:tabs>
      <w:spacing w:after="240"/>
      <w:ind w:left="1080" w:right="547" w:hanging="450"/>
    </w:pPr>
    <w:rPr>
      <w:noProof/>
      <w:sz w:val="28"/>
    </w:rPr>
  </w:style>
  <w:style w:type="paragraph" w:styleId="TOC3">
    <w:name w:val="toc 3"/>
    <w:basedOn w:val="Normal"/>
    <w:next w:val="Normal"/>
    <w:semiHidden/>
    <w:rsid w:val="00130F2B"/>
    <w:pPr>
      <w:tabs>
        <w:tab w:val="right" w:leader="dot" w:pos="9360"/>
      </w:tabs>
      <w:spacing w:after="240"/>
      <w:ind w:left="1530" w:right="547" w:hanging="450"/>
    </w:pPr>
    <w:rPr>
      <w:noProof/>
      <w:sz w:val="28"/>
    </w:rPr>
  </w:style>
  <w:style w:type="paragraph" w:styleId="TOC4">
    <w:name w:val="toc 4"/>
    <w:basedOn w:val="Normal"/>
    <w:next w:val="Normal"/>
    <w:semiHidden/>
    <w:rsid w:val="00130F2B"/>
    <w:pPr>
      <w:tabs>
        <w:tab w:val="right" w:leader="dot" w:pos="9360"/>
      </w:tabs>
      <w:spacing w:after="240"/>
      <w:ind w:left="1980" w:right="547" w:hanging="450"/>
    </w:pPr>
    <w:rPr>
      <w:noProof/>
      <w:sz w:val="28"/>
    </w:rPr>
  </w:style>
  <w:style w:type="paragraph" w:styleId="TOC5">
    <w:name w:val="toc 5"/>
    <w:basedOn w:val="Normal"/>
    <w:next w:val="Normal"/>
    <w:semiHidden/>
    <w:rsid w:val="00130F2B"/>
    <w:pPr>
      <w:tabs>
        <w:tab w:val="right" w:leader="dot" w:pos="9360"/>
      </w:tabs>
      <w:spacing w:after="240"/>
      <w:ind w:left="2610" w:right="547" w:hanging="630"/>
    </w:pPr>
    <w:rPr>
      <w:noProof/>
      <w:sz w:val="28"/>
    </w:rPr>
  </w:style>
  <w:style w:type="paragraph" w:styleId="TOC6">
    <w:name w:val="toc 6"/>
    <w:basedOn w:val="Normal"/>
    <w:next w:val="Normal"/>
    <w:semiHidden/>
    <w:rsid w:val="00FA5818"/>
    <w:pPr>
      <w:tabs>
        <w:tab w:val="right" w:leader="dot" w:pos="9360"/>
      </w:tabs>
      <w:spacing w:after="240"/>
      <w:ind w:left="3150" w:right="547" w:hanging="540"/>
    </w:pPr>
    <w:rPr>
      <w:noProof/>
      <w:sz w:val="28"/>
    </w:rPr>
  </w:style>
  <w:style w:type="paragraph" w:styleId="TOC7">
    <w:name w:val="toc 7"/>
    <w:basedOn w:val="Normal"/>
    <w:next w:val="Normal"/>
    <w:semiHidden/>
    <w:rsid w:val="00130F2B"/>
    <w:pPr>
      <w:tabs>
        <w:tab w:val="right" w:leader="dot" w:pos="9360"/>
      </w:tabs>
      <w:spacing w:after="240"/>
      <w:ind w:left="3600" w:right="547" w:hanging="450"/>
    </w:pPr>
    <w:rPr>
      <w:noProof/>
      <w:sz w:val="28"/>
    </w:rPr>
  </w:style>
  <w:style w:type="paragraph" w:styleId="TOC8">
    <w:name w:val="toc 8"/>
    <w:basedOn w:val="Normal"/>
    <w:next w:val="Normal"/>
    <w:semiHidden/>
    <w:rsid w:val="00130F2B"/>
    <w:pPr>
      <w:tabs>
        <w:tab w:val="right" w:leader="dot" w:pos="9360"/>
      </w:tabs>
      <w:spacing w:after="240"/>
      <w:ind w:left="4050" w:right="547" w:hanging="450"/>
    </w:pPr>
    <w:rPr>
      <w:noProof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1AD"/>
    <w:pPr>
      <w:spacing w:line="240" w:lineRule="auto"/>
    </w:pPr>
    <w:rPr>
      <w:rFonts w:ascii="Tahoma" w:hAnsi="Tahoma" w:cs="Tahoma"/>
      <w:sz w:val="16"/>
      <w:szCs w:val="16"/>
    </w:rPr>
  </w:style>
  <w:style w:type="paragraph" w:styleId="TableofAuthorities">
    <w:name w:val="table of authorities"/>
    <w:basedOn w:val="Normal"/>
    <w:next w:val="Normal"/>
    <w:semiHidden/>
    <w:rsid w:val="00130F2B"/>
    <w:pPr>
      <w:tabs>
        <w:tab w:val="right" w:leader="dot" w:pos="9360"/>
      </w:tabs>
      <w:spacing w:after="240"/>
      <w:ind w:left="245" w:hanging="245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1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AAC"/>
    <w:pPr>
      <w:ind w:left="720"/>
      <w:contextualSpacing/>
    </w:pPr>
  </w:style>
  <w:style w:type="paragraph" w:customStyle="1" w:styleId="Default">
    <w:name w:val="Default"/>
    <w:rsid w:val="00B153C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5A5DCFA9FA6442B4B660DAF5453F84" ma:contentTypeVersion="135" ma:contentTypeDescription="" ma:contentTypeScope="" ma:versionID="ed92e170c348b55fb79965a644d0c97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2008-07-02T07:00:00+00:00</OpenedDate>
    <Date1 xmlns="dc463f71-b30c-4ab2-9473-d307f9d35888">2010-04-30T07:00:00+00:00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081229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4DB7516-5FDA-479D-8A1E-FAB042C2648A}"/>
</file>

<file path=customXml/itemProps2.xml><?xml version="1.0" encoding="utf-8"?>
<ds:datastoreItem xmlns:ds="http://schemas.openxmlformats.org/officeDocument/2006/customXml" ds:itemID="{C146CB1C-259D-434D-ABCC-5BA0031D4FD4}"/>
</file>

<file path=customXml/itemProps3.xml><?xml version="1.0" encoding="utf-8"?>
<ds:datastoreItem xmlns:ds="http://schemas.openxmlformats.org/officeDocument/2006/customXml" ds:itemID="{2F515604-E7D7-4362-ABF3-BB85A12A5042}"/>
</file>

<file path=customXml/itemProps4.xml><?xml version="1.0" encoding="utf-8"?>
<ds:datastoreItem xmlns:ds="http://schemas.openxmlformats.org/officeDocument/2006/customXml" ds:itemID="{40CB8F73-EC5E-4CFA-9959-1842F3D6B2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1322</Words>
  <Characters>7443</Characters>
  <Application>Microsoft Office Word</Application>
  <DocSecurity>0</DocSecurity>
  <Lines>62</Lines>
  <Paragraphs>17</Paragraphs>
  <ScaleCrop>false</ScaleCrop>
  <Company/>
  <LinksUpToDate>false</LinksUpToDate>
  <CharactersWithSpaces>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2010-04-29T21:02:00Z</dcterms:created>
  <dcterms:modified xsi:type="dcterms:W3CDTF">2010-04-30T16:32:00Z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1573150155</vt:i4>
  </property>
  <property fmtid="{D5CDD505-2E9C-101B-9397-08002B2CF9AE}" pid="3" name="_NewReviewCycle">
    <vt:lpwstr/>
  </property>
  <property fmtid="{D5CDD505-2E9C-101B-9397-08002B2CF9AE}" pid="4" name="ContentTypeId">
    <vt:lpwstr>0x0101006E56B4D1795A2E4DB2F0B01679ED314A00325A5DCFA9FA6442B4B660DAF5453F84</vt:lpwstr>
  </property>
  <property fmtid="{D5CDD505-2E9C-101B-9397-08002B2CF9AE}" pid="5" name="_docset_NoMedatataSyncRequired">
    <vt:lpwstr>False</vt:lpwstr>
  </property>
</Properties>
</file>