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7E7A" w14:textId="3063BA8C" w:rsidR="00C0665B" w:rsidRPr="00B814E2" w:rsidRDefault="00B814E2" w:rsidP="00C2248D">
      <w:pPr>
        <w:ind w:left="5490"/>
        <w:rPr>
          <w:b/>
        </w:rPr>
      </w:pPr>
      <w:r w:rsidRPr="00B814E2">
        <w:rPr>
          <w:b/>
        </w:rPr>
        <w:t>Exhibit No. ___T (</w:t>
      </w:r>
      <w:r w:rsidR="00905452">
        <w:rPr>
          <w:b/>
        </w:rPr>
        <w:t>E</w:t>
      </w:r>
      <w:r w:rsidR="008878B8">
        <w:rPr>
          <w:b/>
        </w:rPr>
        <w:t>C</w:t>
      </w:r>
      <w:r w:rsidR="00905452">
        <w:rPr>
          <w:b/>
        </w:rPr>
        <w:t>O</w:t>
      </w:r>
      <w:r w:rsidRPr="00B814E2">
        <w:rPr>
          <w:b/>
        </w:rPr>
        <w:t>-</w:t>
      </w:r>
      <w:r w:rsidR="00F92089">
        <w:rPr>
          <w:b/>
        </w:rPr>
        <w:t>1</w:t>
      </w:r>
      <w:r w:rsidRPr="00B814E2">
        <w:rPr>
          <w:b/>
        </w:rPr>
        <w:t>T)</w:t>
      </w:r>
    </w:p>
    <w:p w14:paraId="40B1E3AA" w14:textId="77777777" w:rsidR="00B814E2" w:rsidRPr="00B814E2" w:rsidRDefault="00B814E2" w:rsidP="00C2248D">
      <w:pPr>
        <w:ind w:left="5490"/>
        <w:rPr>
          <w:b/>
        </w:rPr>
      </w:pPr>
      <w:r w:rsidRPr="00B814E2">
        <w:rPr>
          <w:b/>
        </w:rPr>
        <w:t xml:space="preserve">Docket </w:t>
      </w:r>
      <w:r w:rsidR="00667605">
        <w:rPr>
          <w:b/>
        </w:rPr>
        <w:t>UE-152253</w:t>
      </w:r>
    </w:p>
    <w:p w14:paraId="0377C654" w14:textId="21EA93EC" w:rsidR="00B814E2" w:rsidRPr="00B814E2" w:rsidRDefault="0046251D" w:rsidP="00F36D99">
      <w:pPr>
        <w:ind w:left="5490" w:right="18"/>
        <w:rPr>
          <w:b/>
        </w:rPr>
      </w:pPr>
      <w:r>
        <w:rPr>
          <w:b/>
        </w:rPr>
        <w:t>Witness:</w:t>
      </w:r>
      <w:r w:rsidR="00AD2F55">
        <w:rPr>
          <w:b/>
        </w:rPr>
        <w:t xml:space="preserve"> </w:t>
      </w:r>
      <w:r w:rsidR="00905452">
        <w:rPr>
          <w:b/>
        </w:rPr>
        <w:t xml:space="preserve">Elizabeth </w:t>
      </w:r>
      <w:r w:rsidR="00C2248D">
        <w:rPr>
          <w:b/>
        </w:rPr>
        <w:t xml:space="preserve">C. </w:t>
      </w:r>
      <w:r w:rsidR="00905452">
        <w:rPr>
          <w:b/>
        </w:rPr>
        <w:t>O’Connell</w:t>
      </w:r>
    </w:p>
    <w:p w14:paraId="250048A1" w14:textId="77777777" w:rsidR="00B814E2" w:rsidRPr="00B814E2" w:rsidRDefault="00B814E2" w:rsidP="00C2248D">
      <w:pPr>
        <w:rPr>
          <w:b/>
        </w:rPr>
      </w:pPr>
    </w:p>
    <w:p w14:paraId="16EF003D" w14:textId="77777777" w:rsidR="00B814E2" w:rsidRPr="00B814E2" w:rsidRDefault="00B814E2" w:rsidP="00B814E2">
      <w:pPr>
        <w:rPr>
          <w:b/>
        </w:rPr>
      </w:pPr>
    </w:p>
    <w:p w14:paraId="69E8DD07" w14:textId="77777777" w:rsidR="00B814E2" w:rsidRPr="00B814E2" w:rsidRDefault="00B814E2" w:rsidP="00B814E2">
      <w:pPr>
        <w:ind w:left="-360" w:right="-252"/>
        <w:jc w:val="center"/>
        <w:rPr>
          <w:b/>
        </w:rPr>
      </w:pPr>
      <w:r w:rsidRPr="00B814E2">
        <w:rPr>
          <w:b/>
        </w:rPr>
        <w:t>BEFORE THE WASHINGTON UTILITIES AND TRANSPORTATION COMMISSION</w:t>
      </w:r>
    </w:p>
    <w:p w14:paraId="25745094" w14:textId="77777777" w:rsidR="00B814E2" w:rsidRPr="00B814E2" w:rsidRDefault="00B814E2" w:rsidP="00B814E2">
      <w:pPr>
        <w:rPr>
          <w:b/>
        </w:rPr>
      </w:pPr>
    </w:p>
    <w:p w14:paraId="7A43FAFB"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265EDB40" w14:textId="77777777" w:rsidTr="00645157">
        <w:tc>
          <w:tcPr>
            <w:tcW w:w="4590" w:type="dxa"/>
            <w:tcBorders>
              <w:top w:val="single" w:sz="6" w:space="0" w:color="FFFFFF"/>
              <w:left w:val="single" w:sz="6" w:space="0" w:color="FFFFFF"/>
              <w:bottom w:val="single" w:sz="7" w:space="0" w:color="000000"/>
              <w:right w:val="single" w:sz="6" w:space="0" w:color="FFFFFF"/>
            </w:tcBorders>
          </w:tcPr>
          <w:p w14:paraId="1D005863" w14:textId="77777777" w:rsidR="00B814E2" w:rsidRDefault="00667605" w:rsidP="00645157">
            <w:pPr>
              <w:rPr>
                <w:b/>
                <w:bCs/>
              </w:rPr>
            </w:pPr>
            <w:r>
              <w:rPr>
                <w:b/>
                <w:bCs/>
              </w:rPr>
              <w:t>WASHINGTON UTILITIES AND TRANSPORTATION COMMISSION</w:t>
            </w:r>
            <w:r w:rsidR="00B814E2">
              <w:rPr>
                <w:b/>
                <w:bCs/>
              </w:rPr>
              <w:t>,</w:t>
            </w:r>
          </w:p>
          <w:p w14:paraId="314B8257" w14:textId="77777777" w:rsidR="00B814E2" w:rsidRDefault="00B814E2" w:rsidP="00645157">
            <w:pPr>
              <w:rPr>
                <w:b/>
                <w:bCs/>
              </w:rPr>
            </w:pPr>
          </w:p>
          <w:p w14:paraId="38D41C2C" w14:textId="6FB2AC30" w:rsidR="00B814E2" w:rsidRDefault="00B814E2" w:rsidP="00645157">
            <w:pPr>
              <w:rPr>
                <w:b/>
                <w:bCs/>
              </w:rPr>
            </w:pPr>
            <w:r>
              <w:rPr>
                <w:b/>
                <w:bCs/>
              </w:rPr>
              <w:tab/>
            </w:r>
            <w:r w:rsidR="00F92089">
              <w:rPr>
                <w:b/>
                <w:bCs/>
              </w:rPr>
              <w:tab/>
            </w:r>
            <w:r w:rsidR="00F92089">
              <w:rPr>
                <w:b/>
                <w:bCs/>
              </w:rPr>
              <w:tab/>
            </w:r>
            <w:r>
              <w:rPr>
                <w:b/>
                <w:bCs/>
              </w:rPr>
              <w:t xml:space="preserve">Complainant, </w:t>
            </w:r>
          </w:p>
          <w:p w14:paraId="3C499249" w14:textId="77777777" w:rsidR="00B814E2" w:rsidRDefault="00B814E2" w:rsidP="00645157">
            <w:pPr>
              <w:rPr>
                <w:b/>
                <w:bCs/>
              </w:rPr>
            </w:pPr>
          </w:p>
          <w:p w14:paraId="6D7DCD3D" w14:textId="77777777" w:rsidR="00B814E2" w:rsidRDefault="00B814E2" w:rsidP="00645157">
            <w:pPr>
              <w:rPr>
                <w:b/>
                <w:bCs/>
              </w:rPr>
            </w:pPr>
            <w:r>
              <w:rPr>
                <w:b/>
                <w:bCs/>
              </w:rPr>
              <w:t>v.</w:t>
            </w:r>
          </w:p>
          <w:p w14:paraId="0E378B62" w14:textId="77777777" w:rsidR="00B814E2" w:rsidRDefault="00B814E2" w:rsidP="00645157">
            <w:pPr>
              <w:rPr>
                <w:b/>
                <w:bCs/>
              </w:rPr>
            </w:pPr>
          </w:p>
          <w:p w14:paraId="03EAE993" w14:textId="02DAD69E" w:rsidR="00B814E2" w:rsidRDefault="00667605" w:rsidP="00645157">
            <w:pPr>
              <w:rPr>
                <w:b/>
                <w:bCs/>
              </w:rPr>
            </w:pPr>
            <w:r>
              <w:rPr>
                <w:b/>
                <w:bCs/>
              </w:rPr>
              <w:t>PACIFIC POWER &amp; LIGHT COMPANY</w:t>
            </w:r>
            <w:r w:rsidR="00B814E2">
              <w:rPr>
                <w:b/>
                <w:bCs/>
              </w:rPr>
              <w:t>,</w:t>
            </w:r>
          </w:p>
          <w:p w14:paraId="660F5E01" w14:textId="77777777" w:rsidR="00B814E2" w:rsidRDefault="00B814E2" w:rsidP="00645157">
            <w:pPr>
              <w:rPr>
                <w:b/>
                <w:bCs/>
              </w:rPr>
            </w:pPr>
          </w:p>
          <w:p w14:paraId="76962FA4" w14:textId="3484A82C" w:rsidR="00B814E2" w:rsidRDefault="00B814E2" w:rsidP="00667605">
            <w:pPr>
              <w:spacing w:after="19"/>
              <w:rPr>
                <w:b/>
                <w:bCs/>
              </w:rPr>
            </w:pPr>
            <w:r>
              <w:rPr>
                <w:b/>
                <w:bCs/>
              </w:rPr>
              <w:tab/>
            </w:r>
            <w:r w:rsidR="00F92089">
              <w:rPr>
                <w:b/>
                <w:bCs/>
              </w:rPr>
              <w:tab/>
            </w:r>
            <w:r w:rsidR="00F92089">
              <w:rPr>
                <w:b/>
                <w:bCs/>
              </w:rPr>
              <w:tab/>
            </w:r>
            <w:r>
              <w:rPr>
                <w:b/>
                <w:bCs/>
              </w:rPr>
              <w:t>Respondent.</w:t>
            </w:r>
          </w:p>
          <w:p w14:paraId="7AAE9A44" w14:textId="77777777" w:rsidR="00667605" w:rsidRDefault="00667605" w:rsidP="00667605">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14:paraId="17610DEE" w14:textId="77777777" w:rsidR="00B814E2" w:rsidRDefault="00B814E2" w:rsidP="00645157">
            <w:pPr>
              <w:ind w:firstLine="720"/>
              <w:rPr>
                <w:b/>
                <w:bCs/>
              </w:rPr>
            </w:pPr>
            <w:r>
              <w:rPr>
                <w:b/>
                <w:bCs/>
              </w:rPr>
              <w:t xml:space="preserve">DOCKET </w:t>
            </w:r>
            <w:r w:rsidR="00667605">
              <w:rPr>
                <w:b/>
                <w:bCs/>
              </w:rPr>
              <w:t>UE-152253</w:t>
            </w:r>
          </w:p>
          <w:p w14:paraId="0160143E" w14:textId="77777777" w:rsidR="00B814E2" w:rsidRDefault="00B814E2" w:rsidP="00645157">
            <w:pPr>
              <w:rPr>
                <w:b/>
                <w:bCs/>
              </w:rPr>
            </w:pPr>
          </w:p>
          <w:p w14:paraId="5DF54B83" w14:textId="77777777" w:rsidR="00B814E2" w:rsidRDefault="00B814E2" w:rsidP="00645157">
            <w:pPr>
              <w:spacing w:after="19"/>
              <w:ind w:left="720"/>
              <w:rPr>
                <w:b/>
                <w:bCs/>
              </w:rPr>
            </w:pPr>
          </w:p>
        </w:tc>
      </w:tr>
    </w:tbl>
    <w:p w14:paraId="200DF274" w14:textId="77777777" w:rsidR="00B814E2" w:rsidRDefault="00B814E2" w:rsidP="00B814E2">
      <w:pPr>
        <w:jc w:val="both"/>
      </w:pPr>
    </w:p>
    <w:p w14:paraId="521B1B90" w14:textId="77777777" w:rsidR="00B814E2" w:rsidRDefault="00B814E2" w:rsidP="00B814E2">
      <w:pPr>
        <w:rPr>
          <w:b/>
          <w:bCs/>
        </w:rPr>
      </w:pPr>
    </w:p>
    <w:p w14:paraId="74FD51D4" w14:textId="77777777" w:rsidR="00B814E2" w:rsidRDefault="00B814E2" w:rsidP="00B814E2">
      <w:pPr>
        <w:rPr>
          <w:b/>
          <w:bCs/>
        </w:rPr>
      </w:pPr>
    </w:p>
    <w:p w14:paraId="35392F26" w14:textId="77777777" w:rsidR="00B814E2" w:rsidRDefault="00B814E2" w:rsidP="00B814E2">
      <w:pPr>
        <w:tabs>
          <w:tab w:val="center" w:pos="4680"/>
        </w:tabs>
        <w:jc w:val="center"/>
        <w:rPr>
          <w:b/>
          <w:bCs/>
        </w:rPr>
      </w:pPr>
      <w:r>
        <w:rPr>
          <w:b/>
          <w:bCs/>
        </w:rPr>
        <w:t>TESTIMONY OF</w:t>
      </w:r>
    </w:p>
    <w:p w14:paraId="6DD28577" w14:textId="77777777" w:rsidR="00B814E2" w:rsidRDefault="00B814E2" w:rsidP="00B814E2">
      <w:pPr>
        <w:jc w:val="center"/>
        <w:rPr>
          <w:b/>
          <w:bCs/>
        </w:rPr>
      </w:pPr>
    </w:p>
    <w:p w14:paraId="40571D11" w14:textId="6F0FB4C5" w:rsidR="00B814E2" w:rsidRDefault="00905452" w:rsidP="00B814E2">
      <w:pPr>
        <w:tabs>
          <w:tab w:val="center" w:pos="4680"/>
        </w:tabs>
        <w:jc w:val="center"/>
        <w:rPr>
          <w:b/>
          <w:bCs/>
        </w:rPr>
      </w:pPr>
      <w:r>
        <w:rPr>
          <w:b/>
          <w:bCs/>
        </w:rPr>
        <w:t xml:space="preserve">Elizabeth </w:t>
      </w:r>
      <w:r w:rsidR="008878B8">
        <w:rPr>
          <w:b/>
          <w:bCs/>
        </w:rPr>
        <w:t xml:space="preserve">C. </w:t>
      </w:r>
      <w:r>
        <w:rPr>
          <w:b/>
          <w:bCs/>
        </w:rPr>
        <w:t>O’Connell</w:t>
      </w:r>
    </w:p>
    <w:p w14:paraId="6902F24F" w14:textId="77777777" w:rsidR="00B814E2" w:rsidRDefault="00B814E2" w:rsidP="00B814E2">
      <w:pPr>
        <w:tabs>
          <w:tab w:val="center" w:pos="4680"/>
        </w:tabs>
        <w:jc w:val="center"/>
        <w:rPr>
          <w:b/>
          <w:bCs/>
        </w:rPr>
      </w:pPr>
    </w:p>
    <w:p w14:paraId="3116B870" w14:textId="77777777" w:rsidR="00B814E2" w:rsidRDefault="00B814E2" w:rsidP="00B814E2">
      <w:pPr>
        <w:tabs>
          <w:tab w:val="center" w:pos="4680"/>
        </w:tabs>
        <w:jc w:val="center"/>
        <w:rPr>
          <w:b/>
          <w:bCs/>
        </w:rPr>
      </w:pPr>
      <w:r>
        <w:rPr>
          <w:b/>
          <w:bCs/>
        </w:rPr>
        <w:t>STAFF OF</w:t>
      </w:r>
    </w:p>
    <w:p w14:paraId="4FAE5E34"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6F60CF99" w14:textId="77777777" w:rsidR="00B814E2" w:rsidRDefault="00B814E2" w:rsidP="00B814E2">
      <w:pPr>
        <w:tabs>
          <w:tab w:val="center" w:pos="4680"/>
        </w:tabs>
        <w:jc w:val="center"/>
        <w:rPr>
          <w:b/>
          <w:bCs/>
        </w:rPr>
      </w:pPr>
      <w:r>
        <w:rPr>
          <w:b/>
          <w:bCs/>
        </w:rPr>
        <w:t>TRANSPORTATION COMMISSION</w:t>
      </w:r>
    </w:p>
    <w:p w14:paraId="70091132" w14:textId="77777777" w:rsidR="00B814E2" w:rsidRDefault="00B814E2" w:rsidP="00B814E2">
      <w:pPr>
        <w:jc w:val="center"/>
        <w:rPr>
          <w:b/>
          <w:bCs/>
        </w:rPr>
      </w:pPr>
    </w:p>
    <w:p w14:paraId="53F78661" w14:textId="77777777" w:rsidR="00B814E2" w:rsidRDefault="00B814E2" w:rsidP="00B814E2">
      <w:pPr>
        <w:rPr>
          <w:b/>
          <w:bCs/>
        </w:rPr>
      </w:pPr>
    </w:p>
    <w:p w14:paraId="4E72222E" w14:textId="1F9C5B25" w:rsidR="00E228B5" w:rsidRDefault="004B452F" w:rsidP="00E228B5">
      <w:pPr>
        <w:jc w:val="center"/>
        <w:rPr>
          <w:rFonts w:eastAsia="Times New Roman"/>
          <w:b/>
          <w:bCs/>
          <w:i/>
        </w:rPr>
      </w:pPr>
      <w:r>
        <w:rPr>
          <w:rFonts w:eastAsia="Times New Roman"/>
          <w:b/>
          <w:bCs/>
          <w:i/>
        </w:rPr>
        <w:t>S</w:t>
      </w:r>
      <w:r w:rsidR="00D02021">
        <w:rPr>
          <w:rFonts w:eastAsia="Times New Roman"/>
          <w:b/>
          <w:bCs/>
          <w:i/>
        </w:rPr>
        <w:t xml:space="preserve">econd </w:t>
      </w:r>
      <w:r>
        <w:rPr>
          <w:rFonts w:eastAsia="Times New Roman"/>
          <w:b/>
          <w:bCs/>
          <w:i/>
        </w:rPr>
        <w:t>Y</w:t>
      </w:r>
      <w:r w:rsidR="00D02021">
        <w:rPr>
          <w:rFonts w:eastAsia="Times New Roman"/>
          <w:b/>
          <w:bCs/>
          <w:i/>
        </w:rPr>
        <w:t xml:space="preserve">ear </w:t>
      </w:r>
      <w:r w:rsidR="007B01E8">
        <w:rPr>
          <w:rFonts w:eastAsia="Times New Roman"/>
          <w:b/>
          <w:bCs/>
          <w:i/>
        </w:rPr>
        <w:t xml:space="preserve">Capital </w:t>
      </w:r>
      <w:r>
        <w:rPr>
          <w:rFonts w:eastAsia="Times New Roman"/>
          <w:b/>
          <w:bCs/>
          <w:i/>
        </w:rPr>
        <w:t>A</w:t>
      </w:r>
      <w:r w:rsidR="00D02021">
        <w:rPr>
          <w:rFonts w:eastAsia="Times New Roman"/>
          <w:b/>
          <w:bCs/>
          <w:i/>
        </w:rPr>
        <w:t>dditions</w:t>
      </w:r>
      <w:r w:rsidR="007B01E8">
        <w:rPr>
          <w:rFonts w:eastAsia="Times New Roman"/>
          <w:b/>
          <w:bCs/>
          <w:i/>
        </w:rPr>
        <w:t xml:space="preserve"> to Rate Base – SCADA EMS and Union Gap Upgrade</w:t>
      </w:r>
    </w:p>
    <w:p w14:paraId="1BE39A95" w14:textId="06CEDEE0" w:rsidR="007B01E8" w:rsidRDefault="007B01E8" w:rsidP="00E228B5">
      <w:pPr>
        <w:jc w:val="center"/>
        <w:rPr>
          <w:rFonts w:eastAsia="Times New Roman"/>
          <w:b/>
          <w:bCs/>
          <w:i/>
        </w:rPr>
      </w:pPr>
      <w:r>
        <w:rPr>
          <w:rFonts w:eastAsia="Times New Roman"/>
          <w:b/>
          <w:bCs/>
          <w:i/>
        </w:rPr>
        <w:t>Production Tax Credit Adjustment</w:t>
      </w:r>
    </w:p>
    <w:p w14:paraId="188087AA" w14:textId="4F583B1E" w:rsidR="00E228B5" w:rsidRDefault="00E56B49">
      <w:pPr>
        <w:jc w:val="center"/>
        <w:rPr>
          <w:rFonts w:eastAsia="Times New Roman"/>
          <w:b/>
          <w:bCs/>
          <w:i/>
        </w:rPr>
      </w:pPr>
      <w:r>
        <w:rPr>
          <w:rFonts w:eastAsia="Times New Roman"/>
          <w:b/>
          <w:bCs/>
          <w:i/>
        </w:rPr>
        <w:t>Adjustment 7.2</w:t>
      </w:r>
      <w:r w:rsidR="00D259D0">
        <w:rPr>
          <w:rFonts w:eastAsia="Times New Roman"/>
          <w:b/>
          <w:bCs/>
          <w:i/>
        </w:rPr>
        <w:t xml:space="preserve"> </w:t>
      </w:r>
      <w:r w:rsidR="00E22532">
        <w:rPr>
          <w:rFonts w:eastAsia="Times New Roman"/>
          <w:b/>
          <w:bCs/>
          <w:i/>
        </w:rPr>
        <w:t>–</w:t>
      </w:r>
      <w:r w:rsidR="00E228B5">
        <w:rPr>
          <w:rFonts w:eastAsia="Times New Roman"/>
          <w:b/>
          <w:bCs/>
          <w:i/>
        </w:rPr>
        <w:t xml:space="preserve"> Income</w:t>
      </w:r>
      <w:r w:rsidR="00D02021">
        <w:rPr>
          <w:rFonts w:eastAsia="Times New Roman"/>
          <w:b/>
          <w:bCs/>
          <w:i/>
        </w:rPr>
        <w:t xml:space="preserve"> Tax </w:t>
      </w:r>
    </w:p>
    <w:p w14:paraId="602AC433" w14:textId="06E0BA7B" w:rsidR="00E228B5" w:rsidRDefault="00E56B49">
      <w:pPr>
        <w:jc w:val="center"/>
        <w:rPr>
          <w:rFonts w:eastAsia="Times New Roman"/>
          <w:b/>
          <w:bCs/>
          <w:i/>
        </w:rPr>
      </w:pPr>
      <w:r>
        <w:rPr>
          <w:rFonts w:eastAsia="Times New Roman"/>
          <w:b/>
          <w:bCs/>
          <w:i/>
        </w:rPr>
        <w:t>Adjustment 8.2</w:t>
      </w:r>
      <w:r w:rsidR="00E228B5">
        <w:rPr>
          <w:rFonts w:eastAsia="Times New Roman"/>
          <w:b/>
          <w:bCs/>
          <w:i/>
        </w:rPr>
        <w:t xml:space="preserve"> </w:t>
      </w:r>
      <w:r w:rsidR="00E22532">
        <w:rPr>
          <w:rFonts w:eastAsia="Times New Roman"/>
          <w:b/>
          <w:bCs/>
          <w:i/>
        </w:rPr>
        <w:t>–</w:t>
      </w:r>
      <w:r w:rsidR="00E228B5">
        <w:rPr>
          <w:rFonts w:eastAsia="Times New Roman"/>
          <w:b/>
          <w:bCs/>
          <w:i/>
        </w:rPr>
        <w:t xml:space="preserve"> </w:t>
      </w:r>
      <w:r w:rsidR="00D02021">
        <w:rPr>
          <w:rFonts w:eastAsia="Times New Roman"/>
          <w:b/>
          <w:bCs/>
          <w:i/>
        </w:rPr>
        <w:t>Environmental Remediation</w:t>
      </w:r>
    </w:p>
    <w:p w14:paraId="287CAF24" w14:textId="77777777" w:rsidR="00B814E2" w:rsidRDefault="00B814E2" w:rsidP="00B814E2">
      <w:pPr>
        <w:rPr>
          <w:b/>
          <w:bCs/>
        </w:rPr>
      </w:pPr>
    </w:p>
    <w:p w14:paraId="5257B61E" w14:textId="77777777" w:rsidR="00B814E2" w:rsidRDefault="00B814E2" w:rsidP="00B814E2">
      <w:pPr>
        <w:rPr>
          <w:b/>
          <w:bCs/>
        </w:rPr>
      </w:pPr>
    </w:p>
    <w:p w14:paraId="09F28607" w14:textId="246DAB64" w:rsidR="00B814E2" w:rsidRDefault="00F92089" w:rsidP="00B814E2">
      <w:pPr>
        <w:jc w:val="center"/>
        <w:rPr>
          <w:b/>
          <w:bCs/>
        </w:rPr>
      </w:pPr>
      <w:r>
        <w:rPr>
          <w:b/>
          <w:bCs/>
        </w:rPr>
        <w:t>March 17, 2016</w:t>
      </w:r>
    </w:p>
    <w:p w14:paraId="380C67F3" w14:textId="77777777" w:rsidR="00B814E2" w:rsidRDefault="00B814E2" w:rsidP="00B814E2"/>
    <w:p w14:paraId="4EFCB1F7" w14:textId="77777777" w:rsidR="00B814E2" w:rsidRDefault="00B814E2" w:rsidP="00B814E2"/>
    <w:p w14:paraId="4F441EA8"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6D20BAF0" w14:textId="77777777" w:rsidR="00932610" w:rsidRPr="001A7B47" w:rsidRDefault="00932610" w:rsidP="00932610">
      <w:pPr>
        <w:spacing w:after="240"/>
        <w:jc w:val="center"/>
        <w:rPr>
          <w:rFonts w:eastAsia="Times New Roman"/>
          <w:b/>
        </w:rPr>
      </w:pPr>
      <w:r>
        <w:rPr>
          <w:rFonts w:eastAsia="Times New Roman"/>
          <w:b/>
        </w:rPr>
        <w:lastRenderedPageBreak/>
        <w:t>TABLE OF CONTENTS</w:t>
      </w:r>
    </w:p>
    <w:p w14:paraId="69034B2E" w14:textId="18790F46" w:rsidR="00C2248D" w:rsidRPr="000C2D43" w:rsidRDefault="00C2248D" w:rsidP="000C2D43">
      <w:pPr>
        <w:pStyle w:val="TOC1"/>
        <w:rPr>
          <w:rFonts w:ascii="Times New Roman" w:hAnsi="Times New Roman" w:cstheme="minorBidi"/>
          <w:sz w:val="22"/>
          <w:szCs w:val="22"/>
          <w:lang w:eastAsia="en-US"/>
        </w:rPr>
      </w:pPr>
      <w:r w:rsidRPr="000C2D43">
        <w:rPr>
          <w:rFonts w:ascii="Times New Roman" w:hAnsi="Times New Roman"/>
          <w:bCs/>
        </w:rPr>
        <w:fldChar w:fldCharType="begin"/>
      </w:r>
      <w:r w:rsidRPr="000C2D43">
        <w:rPr>
          <w:rFonts w:ascii="Times New Roman" w:hAnsi="Times New Roman"/>
          <w:bCs/>
        </w:rPr>
        <w:instrText xml:space="preserve"> TOC \o "1-3" \u </w:instrText>
      </w:r>
      <w:r w:rsidRPr="000C2D43">
        <w:rPr>
          <w:rFonts w:ascii="Times New Roman" w:hAnsi="Times New Roman"/>
          <w:bCs/>
        </w:rPr>
        <w:fldChar w:fldCharType="separate"/>
      </w:r>
      <w:r w:rsidRPr="000C2D43">
        <w:rPr>
          <w:rFonts w:ascii="Times New Roman" w:hAnsi="Times New Roman"/>
        </w:rPr>
        <w:t>I.</w:t>
      </w:r>
      <w:r w:rsidRPr="000C2D43">
        <w:rPr>
          <w:rFonts w:ascii="Times New Roman" w:hAnsi="Times New Roman" w:cstheme="minorBidi"/>
          <w:sz w:val="22"/>
          <w:szCs w:val="22"/>
          <w:lang w:eastAsia="en-US"/>
        </w:rPr>
        <w:tab/>
      </w:r>
      <w:r w:rsidRPr="000C2D43">
        <w:rPr>
          <w:rFonts w:ascii="Times New Roman" w:hAnsi="Times New Roman"/>
        </w:rPr>
        <w:t>Introduction</w:t>
      </w:r>
      <w:r w:rsidRPr="000C2D43">
        <w:rPr>
          <w:rFonts w:ascii="Times New Roman" w:hAnsi="Times New Roman"/>
        </w:rPr>
        <w:tab/>
      </w:r>
      <w:r w:rsidRPr="000C2D43">
        <w:rPr>
          <w:rFonts w:ascii="Times New Roman" w:hAnsi="Times New Roman"/>
        </w:rPr>
        <w:fldChar w:fldCharType="begin"/>
      </w:r>
      <w:r w:rsidRPr="000C2D43">
        <w:rPr>
          <w:rFonts w:ascii="Times New Roman" w:hAnsi="Times New Roman"/>
        </w:rPr>
        <w:instrText xml:space="preserve"> PAGEREF _Toc445381683 \h </w:instrText>
      </w:r>
      <w:r w:rsidRPr="000C2D43">
        <w:rPr>
          <w:rFonts w:ascii="Times New Roman" w:hAnsi="Times New Roman"/>
        </w:rPr>
      </w:r>
      <w:r w:rsidRPr="000C2D43">
        <w:rPr>
          <w:rFonts w:ascii="Times New Roman" w:hAnsi="Times New Roman"/>
        </w:rPr>
        <w:fldChar w:fldCharType="separate"/>
      </w:r>
      <w:r w:rsidR="00502930">
        <w:rPr>
          <w:rFonts w:ascii="Times New Roman" w:hAnsi="Times New Roman"/>
        </w:rPr>
        <w:t>iii</w:t>
      </w:r>
      <w:r w:rsidRPr="000C2D43">
        <w:rPr>
          <w:rFonts w:ascii="Times New Roman" w:hAnsi="Times New Roman"/>
        </w:rPr>
        <w:fldChar w:fldCharType="end"/>
      </w:r>
    </w:p>
    <w:p w14:paraId="3E680F02" w14:textId="774BB1D7" w:rsidR="00C2248D" w:rsidRPr="000C2D43" w:rsidRDefault="00C2248D" w:rsidP="000C2D43">
      <w:pPr>
        <w:pStyle w:val="TOC1"/>
        <w:rPr>
          <w:rFonts w:ascii="Times New Roman" w:hAnsi="Times New Roman" w:cstheme="minorBidi"/>
          <w:sz w:val="22"/>
          <w:szCs w:val="22"/>
          <w:lang w:eastAsia="en-US"/>
        </w:rPr>
      </w:pPr>
      <w:r w:rsidRPr="000C2D43">
        <w:rPr>
          <w:rFonts w:ascii="Times New Roman" w:hAnsi="Times New Roman"/>
        </w:rPr>
        <w:t>II.</w:t>
      </w:r>
      <w:r w:rsidRPr="000C2D43">
        <w:rPr>
          <w:rFonts w:ascii="Times New Roman" w:hAnsi="Times New Roman" w:cstheme="minorBidi"/>
          <w:sz w:val="22"/>
          <w:szCs w:val="22"/>
          <w:lang w:eastAsia="en-US"/>
        </w:rPr>
        <w:tab/>
      </w:r>
      <w:r w:rsidRPr="000C2D43">
        <w:rPr>
          <w:rFonts w:ascii="Times New Roman" w:hAnsi="Times New Roman"/>
        </w:rPr>
        <w:t>Scope AND SUmmary of Testimony</w:t>
      </w:r>
      <w:r w:rsidRPr="000C2D43">
        <w:rPr>
          <w:rFonts w:ascii="Times New Roman" w:hAnsi="Times New Roman"/>
        </w:rPr>
        <w:tab/>
      </w:r>
      <w:r w:rsidRPr="000C2D43">
        <w:rPr>
          <w:rFonts w:ascii="Times New Roman" w:hAnsi="Times New Roman"/>
        </w:rPr>
        <w:fldChar w:fldCharType="begin"/>
      </w:r>
      <w:r w:rsidRPr="000C2D43">
        <w:rPr>
          <w:rFonts w:ascii="Times New Roman" w:hAnsi="Times New Roman"/>
        </w:rPr>
        <w:instrText xml:space="preserve"> PAGEREF _Toc445381684 \h </w:instrText>
      </w:r>
      <w:r w:rsidRPr="000C2D43">
        <w:rPr>
          <w:rFonts w:ascii="Times New Roman" w:hAnsi="Times New Roman"/>
        </w:rPr>
      </w:r>
      <w:r w:rsidRPr="000C2D43">
        <w:rPr>
          <w:rFonts w:ascii="Times New Roman" w:hAnsi="Times New Roman"/>
        </w:rPr>
        <w:fldChar w:fldCharType="separate"/>
      </w:r>
      <w:r w:rsidR="00502930">
        <w:rPr>
          <w:rFonts w:ascii="Times New Roman" w:hAnsi="Times New Roman"/>
        </w:rPr>
        <w:t>2</w:t>
      </w:r>
      <w:r w:rsidRPr="000C2D43">
        <w:rPr>
          <w:rFonts w:ascii="Times New Roman" w:hAnsi="Times New Roman"/>
        </w:rPr>
        <w:fldChar w:fldCharType="end"/>
      </w:r>
    </w:p>
    <w:p w14:paraId="39149DC3" w14:textId="482E8602" w:rsidR="00C2248D" w:rsidRPr="000C2D43" w:rsidRDefault="00C2248D" w:rsidP="000C2D43">
      <w:pPr>
        <w:pStyle w:val="TOC1"/>
        <w:rPr>
          <w:rFonts w:ascii="Times New Roman" w:hAnsi="Times New Roman" w:cstheme="minorBidi"/>
          <w:sz w:val="22"/>
          <w:szCs w:val="22"/>
          <w:lang w:eastAsia="en-US"/>
        </w:rPr>
      </w:pPr>
      <w:r w:rsidRPr="000C2D43">
        <w:rPr>
          <w:rFonts w:ascii="Times New Roman" w:hAnsi="Times New Roman"/>
        </w:rPr>
        <w:t>III.</w:t>
      </w:r>
      <w:r w:rsidRPr="000C2D43">
        <w:rPr>
          <w:rFonts w:ascii="Times New Roman" w:hAnsi="Times New Roman" w:cstheme="minorBidi"/>
          <w:sz w:val="22"/>
          <w:szCs w:val="22"/>
          <w:lang w:eastAsia="en-US"/>
        </w:rPr>
        <w:tab/>
      </w:r>
      <w:r w:rsidRPr="000C2D43">
        <w:rPr>
          <w:rFonts w:ascii="Times New Roman" w:hAnsi="Times New Roman"/>
        </w:rPr>
        <w:t xml:space="preserve">Ratemaking treatment for Rate Plan Pro Forma </w:t>
      </w:r>
      <w:r w:rsidR="00B13C66">
        <w:rPr>
          <w:rFonts w:ascii="Times New Roman" w:hAnsi="Times New Roman"/>
        </w:rPr>
        <w:tab/>
      </w:r>
      <w:r w:rsidRPr="000C2D43">
        <w:rPr>
          <w:rFonts w:ascii="Times New Roman" w:hAnsi="Times New Roman"/>
        </w:rPr>
        <w:t>Adjustments.</w:t>
      </w:r>
      <w:r w:rsidRPr="000C2D43">
        <w:rPr>
          <w:rFonts w:ascii="Times New Roman" w:hAnsi="Times New Roman"/>
        </w:rPr>
        <w:tab/>
      </w:r>
      <w:r w:rsidRPr="000C2D43">
        <w:rPr>
          <w:rFonts w:ascii="Times New Roman" w:hAnsi="Times New Roman"/>
        </w:rPr>
        <w:fldChar w:fldCharType="begin"/>
      </w:r>
      <w:r w:rsidRPr="000C2D43">
        <w:rPr>
          <w:rFonts w:ascii="Times New Roman" w:hAnsi="Times New Roman"/>
        </w:rPr>
        <w:instrText xml:space="preserve"> PAGEREF _Toc445381685 \h </w:instrText>
      </w:r>
      <w:r w:rsidRPr="000C2D43">
        <w:rPr>
          <w:rFonts w:ascii="Times New Roman" w:hAnsi="Times New Roman"/>
        </w:rPr>
      </w:r>
      <w:r w:rsidRPr="000C2D43">
        <w:rPr>
          <w:rFonts w:ascii="Times New Roman" w:hAnsi="Times New Roman"/>
        </w:rPr>
        <w:fldChar w:fldCharType="separate"/>
      </w:r>
      <w:r w:rsidR="00502930">
        <w:rPr>
          <w:rFonts w:ascii="Times New Roman" w:hAnsi="Times New Roman"/>
        </w:rPr>
        <w:t>4</w:t>
      </w:r>
      <w:r w:rsidRPr="000C2D43">
        <w:rPr>
          <w:rFonts w:ascii="Times New Roman" w:hAnsi="Times New Roman"/>
        </w:rPr>
        <w:fldChar w:fldCharType="end"/>
      </w:r>
    </w:p>
    <w:p w14:paraId="66F51A1A" w14:textId="7869401C" w:rsidR="00C2248D" w:rsidRPr="000C2D43" w:rsidRDefault="000C2D43" w:rsidP="000C2D43">
      <w:pPr>
        <w:pStyle w:val="TOC2"/>
        <w:rPr>
          <w:rFonts w:cstheme="minorBidi"/>
          <w:noProof/>
          <w:sz w:val="22"/>
          <w:szCs w:val="22"/>
          <w:lang w:eastAsia="en-US"/>
        </w:rPr>
      </w:pPr>
      <w:r w:rsidRPr="000C2D43">
        <w:rPr>
          <w:noProof/>
        </w:rPr>
        <w:tab/>
      </w:r>
      <w:r w:rsidR="00C2248D" w:rsidRPr="000C2D43">
        <w:rPr>
          <w:noProof/>
        </w:rPr>
        <w:t>A.</w:t>
      </w:r>
      <w:r w:rsidR="00C2248D" w:rsidRPr="000C2D43">
        <w:rPr>
          <w:rFonts w:cstheme="minorBidi"/>
          <w:noProof/>
          <w:sz w:val="22"/>
          <w:szCs w:val="22"/>
          <w:lang w:eastAsia="en-US"/>
        </w:rPr>
        <w:tab/>
      </w:r>
      <w:r w:rsidR="00C2248D" w:rsidRPr="000C2D43">
        <w:rPr>
          <w:noProof/>
        </w:rPr>
        <w:t>Pro Forma Adjustments Criteria</w:t>
      </w:r>
      <w:r w:rsidR="00C2248D" w:rsidRPr="000C2D43">
        <w:rPr>
          <w:noProof/>
        </w:rPr>
        <w:tab/>
      </w:r>
      <w:r w:rsidR="00C2248D" w:rsidRPr="000C2D43">
        <w:rPr>
          <w:noProof/>
        </w:rPr>
        <w:fldChar w:fldCharType="begin"/>
      </w:r>
      <w:r w:rsidR="00C2248D" w:rsidRPr="000C2D43">
        <w:rPr>
          <w:noProof/>
        </w:rPr>
        <w:instrText xml:space="preserve"> PAGEREF _Toc445381686 \h </w:instrText>
      </w:r>
      <w:r w:rsidR="00C2248D" w:rsidRPr="000C2D43">
        <w:rPr>
          <w:noProof/>
        </w:rPr>
      </w:r>
      <w:r w:rsidR="00C2248D" w:rsidRPr="000C2D43">
        <w:rPr>
          <w:noProof/>
        </w:rPr>
        <w:fldChar w:fldCharType="separate"/>
      </w:r>
      <w:r w:rsidR="00502930">
        <w:rPr>
          <w:noProof/>
        </w:rPr>
        <w:t>5</w:t>
      </w:r>
      <w:r w:rsidR="00C2248D" w:rsidRPr="000C2D43">
        <w:rPr>
          <w:noProof/>
        </w:rPr>
        <w:fldChar w:fldCharType="end"/>
      </w:r>
    </w:p>
    <w:p w14:paraId="63F75699" w14:textId="78CD755E" w:rsidR="00C2248D" w:rsidRPr="000C2D43" w:rsidRDefault="000C2D43" w:rsidP="000C2D43">
      <w:pPr>
        <w:pStyle w:val="TOC2"/>
        <w:rPr>
          <w:rFonts w:cstheme="minorBidi"/>
          <w:noProof/>
          <w:sz w:val="22"/>
          <w:szCs w:val="22"/>
          <w:lang w:eastAsia="en-US"/>
        </w:rPr>
      </w:pPr>
      <w:r w:rsidRPr="000C2D43">
        <w:rPr>
          <w:noProof/>
        </w:rPr>
        <w:tab/>
      </w:r>
      <w:r w:rsidR="00C2248D" w:rsidRPr="000C2D43">
        <w:rPr>
          <w:noProof/>
        </w:rPr>
        <w:t>B.</w:t>
      </w:r>
      <w:r w:rsidR="00C2248D" w:rsidRPr="000C2D43">
        <w:rPr>
          <w:rFonts w:cstheme="minorBidi"/>
          <w:noProof/>
          <w:sz w:val="22"/>
          <w:szCs w:val="22"/>
          <w:lang w:eastAsia="en-US"/>
        </w:rPr>
        <w:tab/>
      </w:r>
      <w:r w:rsidR="00C2248D" w:rsidRPr="000C2D43">
        <w:rPr>
          <w:noProof/>
        </w:rPr>
        <w:t>Known and Measurable Standard</w:t>
      </w:r>
      <w:r w:rsidR="00C2248D" w:rsidRPr="000C2D43">
        <w:rPr>
          <w:noProof/>
        </w:rPr>
        <w:tab/>
      </w:r>
      <w:r w:rsidR="00C2248D" w:rsidRPr="000C2D43">
        <w:rPr>
          <w:noProof/>
        </w:rPr>
        <w:fldChar w:fldCharType="begin"/>
      </w:r>
      <w:r w:rsidR="00C2248D" w:rsidRPr="000C2D43">
        <w:rPr>
          <w:noProof/>
        </w:rPr>
        <w:instrText xml:space="preserve"> PAGEREF _Toc445381687 \h </w:instrText>
      </w:r>
      <w:r w:rsidR="00C2248D" w:rsidRPr="000C2D43">
        <w:rPr>
          <w:noProof/>
        </w:rPr>
      </w:r>
      <w:r w:rsidR="00C2248D" w:rsidRPr="000C2D43">
        <w:rPr>
          <w:noProof/>
        </w:rPr>
        <w:fldChar w:fldCharType="separate"/>
      </w:r>
      <w:r w:rsidR="00502930">
        <w:rPr>
          <w:noProof/>
        </w:rPr>
        <w:t>7</w:t>
      </w:r>
      <w:r w:rsidR="00C2248D" w:rsidRPr="000C2D43">
        <w:rPr>
          <w:noProof/>
        </w:rPr>
        <w:fldChar w:fldCharType="end"/>
      </w:r>
    </w:p>
    <w:p w14:paraId="22C20ECA" w14:textId="7D1C9972" w:rsidR="00C2248D" w:rsidRPr="000C2D43" w:rsidRDefault="000C2D43" w:rsidP="000C2D43">
      <w:pPr>
        <w:pStyle w:val="TOC2"/>
        <w:rPr>
          <w:rFonts w:cstheme="minorBidi"/>
          <w:noProof/>
          <w:sz w:val="22"/>
          <w:szCs w:val="22"/>
          <w:lang w:eastAsia="en-US"/>
        </w:rPr>
      </w:pPr>
      <w:r w:rsidRPr="000C2D43">
        <w:rPr>
          <w:noProof/>
        </w:rPr>
        <w:tab/>
      </w:r>
      <w:r w:rsidR="00C2248D" w:rsidRPr="000C2D43">
        <w:rPr>
          <w:noProof/>
        </w:rPr>
        <w:t>C.</w:t>
      </w:r>
      <w:r w:rsidR="00C2248D" w:rsidRPr="000C2D43">
        <w:rPr>
          <w:rFonts w:cstheme="minorBidi"/>
          <w:noProof/>
          <w:sz w:val="22"/>
          <w:szCs w:val="22"/>
          <w:lang w:eastAsia="en-US"/>
        </w:rPr>
        <w:tab/>
      </w:r>
      <w:r w:rsidR="00AD2F55" w:rsidRPr="000C2D43">
        <w:rPr>
          <w:noProof/>
        </w:rPr>
        <w:t>Prudence</w:t>
      </w:r>
      <w:r w:rsidR="00B710D8" w:rsidRPr="000C2D43">
        <w:rPr>
          <w:noProof/>
        </w:rPr>
        <w:t xml:space="preserve"> of Projects</w:t>
      </w:r>
      <w:r w:rsidR="00C2248D" w:rsidRPr="000C2D43">
        <w:rPr>
          <w:noProof/>
        </w:rPr>
        <w:tab/>
      </w:r>
      <w:r w:rsidR="00C2248D" w:rsidRPr="000C2D43">
        <w:rPr>
          <w:noProof/>
        </w:rPr>
        <w:fldChar w:fldCharType="begin"/>
      </w:r>
      <w:r w:rsidR="00C2248D" w:rsidRPr="000C2D43">
        <w:rPr>
          <w:noProof/>
        </w:rPr>
        <w:instrText xml:space="preserve"> PAGEREF _Toc445381688 \h </w:instrText>
      </w:r>
      <w:r w:rsidR="00C2248D" w:rsidRPr="000C2D43">
        <w:rPr>
          <w:noProof/>
        </w:rPr>
      </w:r>
      <w:r w:rsidR="00C2248D" w:rsidRPr="000C2D43">
        <w:rPr>
          <w:noProof/>
        </w:rPr>
        <w:fldChar w:fldCharType="separate"/>
      </w:r>
      <w:r w:rsidR="00502930">
        <w:rPr>
          <w:noProof/>
        </w:rPr>
        <w:t>9</w:t>
      </w:r>
      <w:r w:rsidR="00C2248D" w:rsidRPr="000C2D43">
        <w:rPr>
          <w:noProof/>
        </w:rPr>
        <w:fldChar w:fldCharType="end"/>
      </w:r>
    </w:p>
    <w:p w14:paraId="09BE21BE" w14:textId="6AE1496B" w:rsidR="00C2248D" w:rsidRPr="000C2D43" w:rsidRDefault="000C2D43" w:rsidP="000C2D43">
      <w:pPr>
        <w:pStyle w:val="TOC2"/>
        <w:rPr>
          <w:rFonts w:cstheme="minorBidi"/>
          <w:noProof/>
          <w:sz w:val="22"/>
          <w:szCs w:val="22"/>
          <w:lang w:eastAsia="en-US"/>
        </w:rPr>
      </w:pPr>
      <w:r w:rsidRPr="000C2D43">
        <w:rPr>
          <w:noProof/>
        </w:rPr>
        <w:tab/>
      </w:r>
      <w:r w:rsidRPr="000C2D43">
        <w:rPr>
          <w:noProof/>
        </w:rPr>
        <w:tab/>
      </w:r>
      <w:r w:rsidR="00B710D8" w:rsidRPr="000C2D43">
        <w:rPr>
          <w:noProof/>
        </w:rPr>
        <w:t>1.</w:t>
      </w:r>
      <w:r w:rsidR="00C2248D" w:rsidRPr="000C2D43">
        <w:rPr>
          <w:rFonts w:cstheme="minorBidi"/>
          <w:noProof/>
          <w:sz w:val="22"/>
          <w:szCs w:val="22"/>
          <w:lang w:eastAsia="en-US"/>
        </w:rPr>
        <w:tab/>
      </w:r>
      <w:r w:rsidR="00C2248D" w:rsidRPr="000C2D43">
        <w:rPr>
          <w:noProof/>
        </w:rPr>
        <w:t>Prudence Standard</w:t>
      </w:r>
      <w:r w:rsidR="00C2248D" w:rsidRPr="000C2D43">
        <w:rPr>
          <w:noProof/>
        </w:rPr>
        <w:tab/>
      </w:r>
      <w:r w:rsidR="00C2248D" w:rsidRPr="000C2D43">
        <w:rPr>
          <w:noProof/>
        </w:rPr>
        <w:fldChar w:fldCharType="begin"/>
      </w:r>
      <w:r w:rsidR="00C2248D" w:rsidRPr="000C2D43">
        <w:rPr>
          <w:noProof/>
        </w:rPr>
        <w:instrText xml:space="preserve"> PAGEREF _Toc445381689 \h </w:instrText>
      </w:r>
      <w:r w:rsidR="00C2248D" w:rsidRPr="000C2D43">
        <w:rPr>
          <w:noProof/>
        </w:rPr>
      </w:r>
      <w:r w:rsidR="00C2248D" w:rsidRPr="000C2D43">
        <w:rPr>
          <w:noProof/>
        </w:rPr>
        <w:fldChar w:fldCharType="separate"/>
      </w:r>
      <w:r w:rsidR="00502930">
        <w:rPr>
          <w:noProof/>
        </w:rPr>
        <w:t>10</w:t>
      </w:r>
      <w:r w:rsidR="00C2248D" w:rsidRPr="000C2D43">
        <w:rPr>
          <w:noProof/>
        </w:rPr>
        <w:fldChar w:fldCharType="end"/>
      </w:r>
    </w:p>
    <w:p w14:paraId="5E213F01" w14:textId="78FB5DBF" w:rsidR="00C2248D" w:rsidRPr="000C2D43" w:rsidRDefault="000C2D43" w:rsidP="000C2D43">
      <w:pPr>
        <w:pStyle w:val="TOC2"/>
        <w:rPr>
          <w:rFonts w:cstheme="minorBidi"/>
          <w:noProof/>
          <w:sz w:val="22"/>
          <w:szCs w:val="22"/>
          <w:lang w:eastAsia="en-US"/>
        </w:rPr>
      </w:pPr>
      <w:r w:rsidRPr="000C2D43">
        <w:rPr>
          <w:noProof/>
        </w:rPr>
        <w:tab/>
      </w:r>
      <w:r w:rsidRPr="000C2D43">
        <w:rPr>
          <w:noProof/>
        </w:rPr>
        <w:tab/>
      </w:r>
      <w:r w:rsidR="00B710D8" w:rsidRPr="000C2D43">
        <w:rPr>
          <w:noProof/>
        </w:rPr>
        <w:t>2</w:t>
      </w:r>
      <w:r w:rsidR="00C2248D" w:rsidRPr="000C2D43">
        <w:rPr>
          <w:noProof/>
        </w:rPr>
        <w:t>.</w:t>
      </w:r>
      <w:r w:rsidR="00C2248D" w:rsidRPr="000C2D43">
        <w:rPr>
          <w:rFonts w:cstheme="minorBidi"/>
          <w:noProof/>
          <w:sz w:val="22"/>
          <w:szCs w:val="22"/>
          <w:lang w:eastAsia="en-US"/>
        </w:rPr>
        <w:tab/>
      </w:r>
      <w:r w:rsidR="00B710D8" w:rsidRPr="000C2D43">
        <w:rPr>
          <w:noProof/>
        </w:rPr>
        <w:t>Prudence of SCADA EMS</w:t>
      </w:r>
      <w:r w:rsidR="00C2248D" w:rsidRPr="000C2D43">
        <w:rPr>
          <w:noProof/>
        </w:rPr>
        <w:tab/>
      </w:r>
      <w:r w:rsidR="00C2248D" w:rsidRPr="000C2D43">
        <w:rPr>
          <w:noProof/>
        </w:rPr>
        <w:fldChar w:fldCharType="begin"/>
      </w:r>
      <w:r w:rsidR="00C2248D" w:rsidRPr="000C2D43">
        <w:rPr>
          <w:noProof/>
        </w:rPr>
        <w:instrText xml:space="preserve"> PAGEREF _Toc445381690 \h </w:instrText>
      </w:r>
      <w:r w:rsidR="00C2248D" w:rsidRPr="000C2D43">
        <w:rPr>
          <w:noProof/>
        </w:rPr>
      </w:r>
      <w:r w:rsidR="00C2248D" w:rsidRPr="000C2D43">
        <w:rPr>
          <w:noProof/>
        </w:rPr>
        <w:fldChar w:fldCharType="separate"/>
      </w:r>
      <w:r w:rsidR="00502930">
        <w:rPr>
          <w:noProof/>
        </w:rPr>
        <w:t>12</w:t>
      </w:r>
      <w:r w:rsidR="00C2248D" w:rsidRPr="000C2D43">
        <w:rPr>
          <w:noProof/>
        </w:rPr>
        <w:fldChar w:fldCharType="end"/>
      </w:r>
    </w:p>
    <w:p w14:paraId="3C7AE00E" w14:textId="06CDAAD9" w:rsidR="00C2248D" w:rsidRPr="000C2D43" w:rsidRDefault="000C2D43" w:rsidP="000C2D43">
      <w:pPr>
        <w:pStyle w:val="TOC2"/>
        <w:rPr>
          <w:rFonts w:cstheme="minorBidi"/>
          <w:noProof/>
          <w:sz w:val="22"/>
          <w:szCs w:val="22"/>
          <w:lang w:eastAsia="en-US"/>
        </w:rPr>
      </w:pPr>
      <w:r w:rsidRPr="000C2D43">
        <w:rPr>
          <w:noProof/>
        </w:rPr>
        <w:tab/>
      </w:r>
      <w:r w:rsidRPr="000C2D43">
        <w:rPr>
          <w:noProof/>
        </w:rPr>
        <w:tab/>
      </w:r>
      <w:r w:rsidRPr="000C2D43">
        <w:rPr>
          <w:noProof/>
        </w:rPr>
        <w:tab/>
      </w:r>
      <w:r w:rsidR="00B710D8" w:rsidRPr="000C2D43">
        <w:rPr>
          <w:noProof/>
        </w:rPr>
        <w:t>a</w:t>
      </w:r>
      <w:r w:rsidR="00C2248D" w:rsidRPr="000C2D43">
        <w:rPr>
          <w:noProof/>
        </w:rPr>
        <w:t>.</w:t>
      </w:r>
      <w:r w:rsidR="00C2248D" w:rsidRPr="000C2D43">
        <w:rPr>
          <w:rFonts w:cstheme="minorBidi"/>
          <w:noProof/>
          <w:sz w:val="22"/>
          <w:szCs w:val="22"/>
          <w:lang w:eastAsia="en-US"/>
        </w:rPr>
        <w:tab/>
      </w:r>
      <w:r w:rsidR="00AD2F55" w:rsidRPr="000C2D43">
        <w:rPr>
          <w:rFonts w:cstheme="minorBidi"/>
          <w:noProof/>
          <w:sz w:val="22"/>
          <w:szCs w:val="22"/>
          <w:lang w:eastAsia="en-US"/>
        </w:rPr>
        <w:t xml:space="preserve"> </w:t>
      </w:r>
      <w:r w:rsidR="00C2248D" w:rsidRPr="000C2D43">
        <w:rPr>
          <w:noProof/>
        </w:rPr>
        <w:t>Description and history</w:t>
      </w:r>
      <w:r w:rsidR="00C2248D" w:rsidRPr="000C2D43">
        <w:rPr>
          <w:noProof/>
        </w:rPr>
        <w:tab/>
      </w:r>
      <w:r w:rsidR="00C2248D" w:rsidRPr="000C2D43">
        <w:rPr>
          <w:noProof/>
        </w:rPr>
        <w:fldChar w:fldCharType="begin"/>
      </w:r>
      <w:r w:rsidR="00C2248D" w:rsidRPr="000C2D43">
        <w:rPr>
          <w:noProof/>
        </w:rPr>
        <w:instrText xml:space="preserve"> PAGEREF _Toc445381691 \h </w:instrText>
      </w:r>
      <w:r w:rsidR="00C2248D" w:rsidRPr="000C2D43">
        <w:rPr>
          <w:noProof/>
        </w:rPr>
      </w:r>
      <w:r w:rsidR="00C2248D" w:rsidRPr="000C2D43">
        <w:rPr>
          <w:noProof/>
        </w:rPr>
        <w:fldChar w:fldCharType="separate"/>
      </w:r>
      <w:r w:rsidR="00502930">
        <w:rPr>
          <w:noProof/>
        </w:rPr>
        <w:t>12</w:t>
      </w:r>
      <w:r w:rsidR="00C2248D" w:rsidRPr="000C2D43">
        <w:rPr>
          <w:noProof/>
        </w:rPr>
        <w:fldChar w:fldCharType="end"/>
      </w:r>
    </w:p>
    <w:p w14:paraId="50F258FE" w14:textId="0DB96A3F" w:rsidR="00C2248D" w:rsidRPr="000C2D43" w:rsidRDefault="000C2D43" w:rsidP="000C2D43">
      <w:pPr>
        <w:pStyle w:val="TOC2"/>
        <w:rPr>
          <w:rFonts w:cstheme="minorBidi"/>
          <w:noProof/>
          <w:sz w:val="22"/>
          <w:szCs w:val="22"/>
          <w:lang w:eastAsia="en-US"/>
        </w:rPr>
      </w:pPr>
      <w:r w:rsidRPr="000C2D43">
        <w:rPr>
          <w:noProof/>
        </w:rPr>
        <w:tab/>
      </w:r>
      <w:r w:rsidRPr="000C2D43">
        <w:rPr>
          <w:noProof/>
        </w:rPr>
        <w:tab/>
      </w:r>
      <w:r w:rsidRPr="000C2D43">
        <w:rPr>
          <w:noProof/>
        </w:rPr>
        <w:tab/>
      </w:r>
      <w:r w:rsidR="00B710D8" w:rsidRPr="000C2D43">
        <w:rPr>
          <w:noProof/>
        </w:rPr>
        <w:t>b</w:t>
      </w:r>
      <w:r w:rsidR="00C2248D" w:rsidRPr="000C2D43">
        <w:rPr>
          <w:noProof/>
        </w:rPr>
        <w:t>.</w:t>
      </w:r>
      <w:r w:rsidR="00C2248D" w:rsidRPr="000C2D43">
        <w:rPr>
          <w:rFonts w:cstheme="minorBidi"/>
          <w:noProof/>
          <w:sz w:val="22"/>
          <w:szCs w:val="22"/>
          <w:lang w:eastAsia="en-US"/>
        </w:rPr>
        <w:tab/>
      </w:r>
      <w:r w:rsidR="00AD2F55" w:rsidRPr="000C2D43">
        <w:rPr>
          <w:rFonts w:cstheme="minorBidi"/>
          <w:noProof/>
          <w:sz w:val="22"/>
          <w:szCs w:val="22"/>
          <w:lang w:eastAsia="en-US"/>
        </w:rPr>
        <w:t xml:space="preserve"> </w:t>
      </w:r>
      <w:r w:rsidR="00AD2F55" w:rsidRPr="000C2D43">
        <w:rPr>
          <w:noProof/>
        </w:rPr>
        <w:t>Prudence</w:t>
      </w:r>
      <w:r w:rsidR="00C2248D" w:rsidRPr="000C2D43">
        <w:rPr>
          <w:noProof/>
        </w:rPr>
        <w:t xml:space="preserve"> Review for SCADA EMS</w:t>
      </w:r>
      <w:r w:rsidR="00C2248D" w:rsidRPr="000C2D43">
        <w:rPr>
          <w:noProof/>
        </w:rPr>
        <w:tab/>
      </w:r>
      <w:r w:rsidR="00C2248D" w:rsidRPr="000C2D43">
        <w:rPr>
          <w:noProof/>
        </w:rPr>
        <w:fldChar w:fldCharType="begin"/>
      </w:r>
      <w:r w:rsidR="00C2248D" w:rsidRPr="000C2D43">
        <w:rPr>
          <w:noProof/>
        </w:rPr>
        <w:instrText xml:space="preserve"> PAGEREF _Toc445381692 \h </w:instrText>
      </w:r>
      <w:r w:rsidR="00C2248D" w:rsidRPr="000C2D43">
        <w:rPr>
          <w:noProof/>
        </w:rPr>
      </w:r>
      <w:r w:rsidR="00C2248D" w:rsidRPr="000C2D43">
        <w:rPr>
          <w:noProof/>
        </w:rPr>
        <w:fldChar w:fldCharType="separate"/>
      </w:r>
      <w:r w:rsidR="00502930">
        <w:rPr>
          <w:noProof/>
        </w:rPr>
        <w:t>15</w:t>
      </w:r>
      <w:r w:rsidR="00C2248D" w:rsidRPr="000C2D43">
        <w:rPr>
          <w:noProof/>
        </w:rPr>
        <w:fldChar w:fldCharType="end"/>
      </w:r>
    </w:p>
    <w:p w14:paraId="7C4CF54A" w14:textId="1D2DAB63" w:rsidR="00C2248D" w:rsidRPr="000C2D43" w:rsidRDefault="000C2D43" w:rsidP="000C2D43">
      <w:pPr>
        <w:pStyle w:val="TOC2"/>
        <w:rPr>
          <w:rFonts w:cstheme="minorBidi"/>
          <w:noProof/>
          <w:sz w:val="22"/>
          <w:szCs w:val="22"/>
          <w:lang w:eastAsia="en-US"/>
        </w:rPr>
      </w:pPr>
      <w:r w:rsidRPr="000C2D43">
        <w:rPr>
          <w:noProof/>
        </w:rPr>
        <w:tab/>
      </w:r>
      <w:r w:rsidR="00B710D8" w:rsidRPr="000C2D43">
        <w:rPr>
          <w:noProof/>
        </w:rPr>
        <w:tab/>
        <w:t>3</w:t>
      </w:r>
      <w:r w:rsidR="00C2248D" w:rsidRPr="000C2D43">
        <w:rPr>
          <w:noProof/>
        </w:rPr>
        <w:t>.</w:t>
      </w:r>
      <w:r w:rsidR="00C2248D" w:rsidRPr="000C2D43">
        <w:rPr>
          <w:noProof/>
        </w:rPr>
        <w:tab/>
        <w:t>Prudence for Union Gap Project</w:t>
      </w:r>
      <w:r w:rsidR="00C2248D" w:rsidRPr="000C2D43">
        <w:rPr>
          <w:noProof/>
        </w:rPr>
        <w:tab/>
      </w:r>
      <w:r w:rsidR="00C2248D" w:rsidRPr="000C2D43">
        <w:rPr>
          <w:noProof/>
        </w:rPr>
        <w:fldChar w:fldCharType="begin"/>
      </w:r>
      <w:r w:rsidR="00C2248D" w:rsidRPr="000C2D43">
        <w:rPr>
          <w:noProof/>
        </w:rPr>
        <w:instrText xml:space="preserve"> PAGEREF _Toc445381693 \h </w:instrText>
      </w:r>
      <w:r w:rsidR="00C2248D" w:rsidRPr="000C2D43">
        <w:rPr>
          <w:noProof/>
        </w:rPr>
      </w:r>
      <w:r w:rsidR="00C2248D" w:rsidRPr="000C2D43">
        <w:rPr>
          <w:noProof/>
        </w:rPr>
        <w:fldChar w:fldCharType="separate"/>
      </w:r>
      <w:r w:rsidR="00502930">
        <w:rPr>
          <w:noProof/>
        </w:rPr>
        <w:t>20</w:t>
      </w:r>
      <w:r w:rsidR="00C2248D" w:rsidRPr="000C2D43">
        <w:rPr>
          <w:noProof/>
        </w:rPr>
        <w:fldChar w:fldCharType="end"/>
      </w:r>
    </w:p>
    <w:p w14:paraId="2F6B231A" w14:textId="0FBCBD0A" w:rsidR="00C2248D" w:rsidRPr="000C2D43" w:rsidRDefault="00C2248D" w:rsidP="000C2D43">
      <w:pPr>
        <w:pStyle w:val="TOC2"/>
        <w:rPr>
          <w:rFonts w:cstheme="minorBidi"/>
          <w:noProof/>
          <w:sz w:val="22"/>
          <w:szCs w:val="22"/>
          <w:lang w:eastAsia="en-US"/>
        </w:rPr>
      </w:pPr>
      <w:r w:rsidRPr="000C2D43">
        <w:rPr>
          <w:noProof/>
        </w:rPr>
        <w:tab/>
      </w:r>
      <w:r w:rsidR="000C2D43" w:rsidRPr="000C2D43">
        <w:rPr>
          <w:noProof/>
        </w:rPr>
        <w:tab/>
      </w:r>
      <w:r w:rsidR="000C2D43" w:rsidRPr="000C2D43">
        <w:rPr>
          <w:noProof/>
        </w:rPr>
        <w:tab/>
      </w:r>
      <w:r w:rsidR="00B710D8" w:rsidRPr="000C2D43">
        <w:rPr>
          <w:noProof/>
        </w:rPr>
        <w:t>a</w:t>
      </w:r>
      <w:r w:rsidRPr="000C2D43">
        <w:rPr>
          <w:noProof/>
        </w:rPr>
        <w:t>.</w:t>
      </w:r>
      <w:r w:rsidRPr="000C2D43">
        <w:rPr>
          <w:rFonts w:cstheme="minorBidi"/>
          <w:noProof/>
          <w:sz w:val="22"/>
          <w:szCs w:val="22"/>
          <w:lang w:eastAsia="en-US"/>
        </w:rPr>
        <w:tab/>
      </w:r>
      <w:r w:rsidRPr="000C2D43">
        <w:rPr>
          <w:noProof/>
        </w:rPr>
        <w:t>Description and History</w:t>
      </w:r>
      <w:r w:rsidRPr="000C2D43">
        <w:rPr>
          <w:noProof/>
        </w:rPr>
        <w:tab/>
      </w:r>
      <w:r w:rsidRPr="000C2D43">
        <w:rPr>
          <w:noProof/>
        </w:rPr>
        <w:fldChar w:fldCharType="begin"/>
      </w:r>
      <w:r w:rsidRPr="000C2D43">
        <w:rPr>
          <w:noProof/>
        </w:rPr>
        <w:instrText xml:space="preserve"> PAGEREF _Toc445381694 \h </w:instrText>
      </w:r>
      <w:r w:rsidRPr="000C2D43">
        <w:rPr>
          <w:noProof/>
        </w:rPr>
      </w:r>
      <w:r w:rsidRPr="000C2D43">
        <w:rPr>
          <w:noProof/>
        </w:rPr>
        <w:fldChar w:fldCharType="separate"/>
      </w:r>
      <w:r w:rsidR="00502930">
        <w:rPr>
          <w:noProof/>
        </w:rPr>
        <w:t>20</w:t>
      </w:r>
      <w:r w:rsidRPr="000C2D43">
        <w:rPr>
          <w:noProof/>
        </w:rPr>
        <w:fldChar w:fldCharType="end"/>
      </w:r>
    </w:p>
    <w:p w14:paraId="3C2E62CE" w14:textId="56ACF06A" w:rsidR="00C2248D" w:rsidRPr="000C2D43" w:rsidRDefault="000C2D43" w:rsidP="000C2D43">
      <w:pPr>
        <w:pStyle w:val="TOC2"/>
        <w:rPr>
          <w:noProof/>
        </w:rPr>
      </w:pPr>
      <w:r w:rsidRPr="000C2D43">
        <w:rPr>
          <w:noProof/>
        </w:rPr>
        <w:tab/>
      </w:r>
      <w:r w:rsidR="00B710D8" w:rsidRPr="000C2D43">
        <w:rPr>
          <w:noProof/>
        </w:rPr>
        <w:tab/>
      </w:r>
      <w:r w:rsidR="00B710D8" w:rsidRPr="000C2D43">
        <w:rPr>
          <w:noProof/>
        </w:rPr>
        <w:tab/>
        <w:t>b</w:t>
      </w:r>
      <w:r w:rsidR="00C2248D" w:rsidRPr="000C2D43">
        <w:rPr>
          <w:noProof/>
        </w:rPr>
        <w:t>.</w:t>
      </w:r>
      <w:r w:rsidR="00C2248D" w:rsidRPr="000C2D43">
        <w:rPr>
          <w:rFonts w:cstheme="minorBidi"/>
          <w:noProof/>
          <w:sz w:val="22"/>
          <w:szCs w:val="22"/>
          <w:lang w:eastAsia="en-US"/>
        </w:rPr>
        <w:tab/>
      </w:r>
      <w:r w:rsidR="00AD2F55" w:rsidRPr="000C2D43">
        <w:rPr>
          <w:noProof/>
        </w:rPr>
        <w:t>Prudence</w:t>
      </w:r>
      <w:r w:rsidR="00C2248D" w:rsidRPr="000C2D43">
        <w:rPr>
          <w:noProof/>
        </w:rPr>
        <w:t xml:space="preserve"> Review for Union Gap</w:t>
      </w:r>
      <w:r w:rsidR="00C2248D" w:rsidRPr="000C2D43">
        <w:rPr>
          <w:noProof/>
        </w:rPr>
        <w:tab/>
      </w:r>
      <w:r w:rsidR="00C2248D" w:rsidRPr="000C2D43">
        <w:rPr>
          <w:noProof/>
        </w:rPr>
        <w:fldChar w:fldCharType="begin"/>
      </w:r>
      <w:r w:rsidR="00C2248D" w:rsidRPr="000C2D43">
        <w:rPr>
          <w:noProof/>
        </w:rPr>
        <w:instrText xml:space="preserve"> PAGEREF _Toc445381695 \h </w:instrText>
      </w:r>
      <w:r w:rsidR="00C2248D" w:rsidRPr="000C2D43">
        <w:rPr>
          <w:noProof/>
        </w:rPr>
      </w:r>
      <w:r w:rsidR="00C2248D" w:rsidRPr="000C2D43">
        <w:rPr>
          <w:noProof/>
        </w:rPr>
        <w:fldChar w:fldCharType="separate"/>
      </w:r>
      <w:r w:rsidR="00502930">
        <w:rPr>
          <w:noProof/>
        </w:rPr>
        <w:t>21</w:t>
      </w:r>
      <w:r w:rsidR="00C2248D" w:rsidRPr="000C2D43">
        <w:rPr>
          <w:noProof/>
        </w:rPr>
        <w:fldChar w:fldCharType="end"/>
      </w:r>
    </w:p>
    <w:p w14:paraId="7641BC48" w14:textId="612DAF94" w:rsidR="00AD6FFA" w:rsidRPr="000C2D43" w:rsidRDefault="00AD6FFA" w:rsidP="000C2D43">
      <w:pPr>
        <w:tabs>
          <w:tab w:val="left" w:pos="1440"/>
          <w:tab w:val="left" w:pos="2160"/>
          <w:tab w:val="left" w:pos="2880"/>
          <w:tab w:val="right" w:leader="dot" w:pos="9360"/>
        </w:tabs>
        <w:spacing w:after="100"/>
        <w:ind w:left="810" w:hanging="810"/>
      </w:pPr>
      <w:r w:rsidRPr="000C2D43">
        <w:rPr>
          <w:lang w:eastAsia="ja-JP"/>
        </w:rPr>
        <w:tab/>
      </w:r>
      <w:r w:rsidRPr="000C2D43">
        <w:rPr>
          <w:lang w:eastAsia="ja-JP"/>
        </w:rPr>
        <w:tab/>
      </w:r>
      <w:r w:rsidRPr="000C2D43">
        <w:rPr>
          <w:lang w:eastAsia="ja-JP"/>
        </w:rPr>
        <w:tab/>
        <w:t>c.</w:t>
      </w:r>
      <w:r w:rsidRPr="000C2D43">
        <w:rPr>
          <w:lang w:eastAsia="ja-JP"/>
        </w:rPr>
        <w:tab/>
      </w:r>
      <w:r w:rsidR="00AD2F55" w:rsidRPr="000C2D43">
        <w:rPr>
          <w:lang w:eastAsia="ja-JP"/>
        </w:rPr>
        <w:t xml:space="preserve"> </w:t>
      </w:r>
      <w:r w:rsidRPr="000C2D43">
        <w:t>Major Rate Base Additions</w:t>
      </w:r>
      <w:r w:rsidRPr="000C2D43">
        <w:tab/>
        <w:t>27</w:t>
      </w:r>
    </w:p>
    <w:p w14:paraId="5142FF32" w14:textId="3543BA79" w:rsidR="00AD6FFA" w:rsidRPr="000C2D43" w:rsidRDefault="00AD6FFA" w:rsidP="000C2D43">
      <w:pPr>
        <w:tabs>
          <w:tab w:val="left" w:pos="1440"/>
          <w:tab w:val="left" w:pos="2160"/>
          <w:tab w:val="left" w:pos="2880"/>
          <w:tab w:val="right" w:leader="dot" w:pos="9360"/>
        </w:tabs>
        <w:spacing w:after="100"/>
        <w:ind w:left="810" w:hanging="810"/>
        <w:rPr>
          <w:lang w:eastAsia="ja-JP"/>
        </w:rPr>
      </w:pPr>
      <w:r w:rsidRPr="000C2D43">
        <w:tab/>
      </w:r>
      <w:r w:rsidRPr="000C2D43">
        <w:tab/>
      </w:r>
      <w:r w:rsidRPr="000C2D43">
        <w:tab/>
        <w:t>d.</w:t>
      </w:r>
      <w:r w:rsidRPr="000C2D43">
        <w:tab/>
      </w:r>
      <w:r w:rsidR="00AD2F55" w:rsidRPr="000C2D43">
        <w:t xml:space="preserve"> </w:t>
      </w:r>
      <w:r w:rsidRPr="000C2D43">
        <w:t>Used and Useful</w:t>
      </w:r>
      <w:r w:rsidRPr="000C2D43">
        <w:tab/>
        <w:t>28</w:t>
      </w:r>
    </w:p>
    <w:p w14:paraId="5A9141D1" w14:textId="2794ACE5" w:rsidR="00C2248D" w:rsidRPr="000C2D43" w:rsidRDefault="000C2D43" w:rsidP="000C2D43">
      <w:pPr>
        <w:pStyle w:val="TOC2"/>
        <w:rPr>
          <w:rFonts w:cstheme="minorBidi"/>
          <w:noProof/>
          <w:sz w:val="22"/>
          <w:szCs w:val="22"/>
          <w:lang w:eastAsia="en-US"/>
        </w:rPr>
      </w:pPr>
      <w:r w:rsidRPr="000C2D43">
        <w:rPr>
          <w:noProof/>
        </w:rPr>
        <w:tab/>
      </w:r>
      <w:r w:rsidR="00C2248D" w:rsidRPr="000C2D43">
        <w:rPr>
          <w:noProof/>
        </w:rPr>
        <w:t>D.</w:t>
      </w:r>
      <w:r w:rsidR="00C2248D" w:rsidRPr="000C2D43">
        <w:rPr>
          <w:rFonts w:cstheme="minorBidi"/>
          <w:noProof/>
          <w:sz w:val="22"/>
          <w:szCs w:val="22"/>
          <w:lang w:eastAsia="en-US"/>
        </w:rPr>
        <w:tab/>
      </w:r>
      <w:r w:rsidR="00C2248D" w:rsidRPr="000C2D43">
        <w:rPr>
          <w:noProof/>
        </w:rPr>
        <w:t>Major Rate Base Additions</w:t>
      </w:r>
      <w:r w:rsidR="00C2248D" w:rsidRPr="000C2D43">
        <w:rPr>
          <w:noProof/>
        </w:rPr>
        <w:tab/>
      </w:r>
      <w:r w:rsidR="00C2248D" w:rsidRPr="000C2D43">
        <w:rPr>
          <w:noProof/>
        </w:rPr>
        <w:fldChar w:fldCharType="begin"/>
      </w:r>
      <w:r w:rsidR="00C2248D" w:rsidRPr="000C2D43">
        <w:rPr>
          <w:noProof/>
        </w:rPr>
        <w:instrText xml:space="preserve"> PAGEREF _Toc445381696 \h </w:instrText>
      </w:r>
      <w:r w:rsidR="00C2248D" w:rsidRPr="000C2D43">
        <w:rPr>
          <w:noProof/>
        </w:rPr>
      </w:r>
      <w:r w:rsidR="00C2248D" w:rsidRPr="000C2D43">
        <w:rPr>
          <w:noProof/>
        </w:rPr>
        <w:fldChar w:fldCharType="separate"/>
      </w:r>
      <w:r w:rsidR="00502930">
        <w:rPr>
          <w:noProof/>
        </w:rPr>
        <w:t>27</w:t>
      </w:r>
      <w:r w:rsidR="00C2248D" w:rsidRPr="000C2D43">
        <w:rPr>
          <w:noProof/>
        </w:rPr>
        <w:fldChar w:fldCharType="end"/>
      </w:r>
    </w:p>
    <w:p w14:paraId="1196C59F" w14:textId="63DE3A0D" w:rsidR="00C2248D" w:rsidRPr="000C2D43" w:rsidRDefault="000C2D43" w:rsidP="000C2D43">
      <w:pPr>
        <w:pStyle w:val="TOC2"/>
        <w:rPr>
          <w:rFonts w:cstheme="minorBidi"/>
          <w:noProof/>
          <w:sz w:val="22"/>
          <w:szCs w:val="22"/>
          <w:lang w:eastAsia="en-US"/>
        </w:rPr>
      </w:pPr>
      <w:r w:rsidRPr="000C2D43">
        <w:rPr>
          <w:noProof/>
        </w:rPr>
        <w:tab/>
      </w:r>
      <w:r w:rsidR="00C2248D" w:rsidRPr="000C2D43">
        <w:rPr>
          <w:noProof/>
        </w:rPr>
        <w:t>E.</w:t>
      </w:r>
      <w:r w:rsidR="00C2248D" w:rsidRPr="000C2D43">
        <w:rPr>
          <w:rFonts w:cstheme="minorBidi"/>
          <w:noProof/>
          <w:sz w:val="22"/>
          <w:szCs w:val="22"/>
          <w:lang w:eastAsia="en-US"/>
        </w:rPr>
        <w:tab/>
      </w:r>
      <w:r w:rsidR="00C2248D" w:rsidRPr="000C2D43">
        <w:rPr>
          <w:noProof/>
        </w:rPr>
        <w:t>Used and Useful</w:t>
      </w:r>
      <w:r w:rsidR="00C2248D" w:rsidRPr="000C2D43">
        <w:rPr>
          <w:noProof/>
        </w:rPr>
        <w:tab/>
      </w:r>
      <w:r w:rsidR="00C2248D" w:rsidRPr="000C2D43">
        <w:rPr>
          <w:noProof/>
        </w:rPr>
        <w:fldChar w:fldCharType="begin"/>
      </w:r>
      <w:r w:rsidR="00C2248D" w:rsidRPr="000C2D43">
        <w:rPr>
          <w:noProof/>
        </w:rPr>
        <w:instrText xml:space="preserve"> PAGEREF _Toc445381697 \h </w:instrText>
      </w:r>
      <w:r w:rsidR="00C2248D" w:rsidRPr="000C2D43">
        <w:rPr>
          <w:noProof/>
        </w:rPr>
      </w:r>
      <w:r w:rsidR="00C2248D" w:rsidRPr="000C2D43">
        <w:rPr>
          <w:noProof/>
        </w:rPr>
        <w:fldChar w:fldCharType="separate"/>
      </w:r>
      <w:r w:rsidR="00502930">
        <w:rPr>
          <w:noProof/>
        </w:rPr>
        <w:t>28</w:t>
      </w:r>
      <w:r w:rsidR="00C2248D" w:rsidRPr="000C2D43">
        <w:rPr>
          <w:noProof/>
        </w:rPr>
        <w:fldChar w:fldCharType="end"/>
      </w:r>
    </w:p>
    <w:p w14:paraId="60281E4E" w14:textId="0420080D" w:rsidR="00C2248D" w:rsidRPr="000C2D43" w:rsidRDefault="00C2248D" w:rsidP="000C2D43">
      <w:pPr>
        <w:pStyle w:val="TOC1"/>
        <w:rPr>
          <w:rFonts w:ascii="Times New Roman" w:hAnsi="Times New Roman" w:cstheme="minorBidi"/>
          <w:sz w:val="22"/>
          <w:szCs w:val="22"/>
          <w:lang w:eastAsia="en-US"/>
        </w:rPr>
      </w:pPr>
      <w:r w:rsidRPr="000C2D43">
        <w:rPr>
          <w:rFonts w:ascii="Times New Roman" w:hAnsi="Times New Roman"/>
        </w:rPr>
        <w:t>IV.</w:t>
      </w:r>
      <w:r w:rsidR="000C2D43" w:rsidRPr="000C2D43">
        <w:rPr>
          <w:rFonts w:ascii="Times New Roman" w:hAnsi="Times New Roman"/>
        </w:rPr>
        <w:tab/>
      </w:r>
      <w:r w:rsidRPr="000C2D43">
        <w:rPr>
          <w:rFonts w:ascii="Times New Roman" w:hAnsi="Times New Roman"/>
        </w:rPr>
        <w:t>Property tax Adjustment</w:t>
      </w:r>
      <w:r w:rsidRPr="000C2D43">
        <w:rPr>
          <w:rFonts w:ascii="Times New Roman" w:hAnsi="Times New Roman"/>
        </w:rPr>
        <w:tab/>
      </w:r>
      <w:r w:rsidRPr="000C2D43">
        <w:rPr>
          <w:rFonts w:ascii="Times New Roman" w:hAnsi="Times New Roman"/>
        </w:rPr>
        <w:fldChar w:fldCharType="begin"/>
      </w:r>
      <w:r w:rsidRPr="000C2D43">
        <w:rPr>
          <w:rFonts w:ascii="Times New Roman" w:hAnsi="Times New Roman"/>
        </w:rPr>
        <w:instrText xml:space="preserve"> PAGEREF _Toc445381698 \h </w:instrText>
      </w:r>
      <w:r w:rsidRPr="000C2D43">
        <w:rPr>
          <w:rFonts w:ascii="Times New Roman" w:hAnsi="Times New Roman"/>
        </w:rPr>
      </w:r>
      <w:r w:rsidRPr="000C2D43">
        <w:rPr>
          <w:rFonts w:ascii="Times New Roman" w:hAnsi="Times New Roman"/>
        </w:rPr>
        <w:fldChar w:fldCharType="separate"/>
      </w:r>
      <w:r w:rsidR="00502930">
        <w:rPr>
          <w:rFonts w:ascii="Times New Roman" w:hAnsi="Times New Roman"/>
        </w:rPr>
        <w:t>30</w:t>
      </w:r>
      <w:r w:rsidRPr="000C2D43">
        <w:rPr>
          <w:rFonts w:ascii="Times New Roman" w:hAnsi="Times New Roman"/>
        </w:rPr>
        <w:fldChar w:fldCharType="end"/>
      </w:r>
    </w:p>
    <w:p w14:paraId="7E1F835A" w14:textId="5BE19DB5" w:rsidR="00C2248D" w:rsidRDefault="00C2248D" w:rsidP="000C2D43">
      <w:pPr>
        <w:pStyle w:val="TOC1"/>
        <w:rPr>
          <w:rFonts w:ascii="Times New Roman" w:hAnsi="Times New Roman"/>
        </w:rPr>
      </w:pPr>
      <w:r w:rsidRPr="000C2D43">
        <w:rPr>
          <w:rFonts w:ascii="Times New Roman" w:hAnsi="Times New Roman"/>
        </w:rPr>
        <w:t>V.</w:t>
      </w:r>
      <w:r w:rsidRPr="000C2D43">
        <w:rPr>
          <w:rFonts w:ascii="Times New Roman" w:hAnsi="Times New Roman" w:cstheme="minorBidi"/>
          <w:sz w:val="22"/>
          <w:szCs w:val="22"/>
          <w:lang w:eastAsia="en-US"/>
        </w:rPr>
        <w:tab/>
      </w:r>
      <w:r w:rsidRPr="000C2D43">
        <w:rPr>
          <w:rFonts w:ascii="Times New Roman" w:hAnsi="Times New Roman"/>
        </w:rPr>
        <w:t>Environmental remediation adjustment</w:t>
      </w:r>
      <w:r w:rsidRPr="000C2D43">
        <w:rPr>
          <w:rFonts w:ascii="Times New Roman" w:hAnsi="Times New Roman"/>
        </w:rPr>
        <w:tab/>
      </w:r>
      <w:r w:rsidRPr="000C2D43">
        <w:rPr>
          <w:rFonts w:ascii="Times New Roman" w:hAnsi="Times New Roman"/>
        </w:rPr>
        <w:fldChar w:fldCharType="begin"/>
      </w:r>
      <w:r w:rsidRPr="000C2D43">
        <w:rPr>
          <w:rFonts w:ascii="Times New Roman" w:hAnsi="Times New Roman"/>
        </w:rPr>
        <w:instrText xml:space="preserve"> PAGEREF _Toc445381699 \h </w:instrText>
      </w:r>
      <w:r w:rsidRPr="000C2D43">
        <w:rPr>
          <w:rFonts w:ascii="Times New Roman" w:hAnsi="Times New Roman"/>
        </w:rPr>
      </w:r>
      <w:r w:rsidRPr="000C2D43">
        <w:rPr>
          <w:rFonts w:ascii="Times New Roman" w:hAnsi="Times New Roman"/>
        </w:rPr>
        <w:fldChar w:fldCharType="separate"/>
      </w:r>
      <w:r w:rsidR="00502930">
        <w:rPr>
          <w:rFonts w:ascii="Times New Roman" w:hAnsi="Times New Roman"/>
        </w:rPr>
        <w:t>32</w:t>
      </w:r>
      <w:r w:rsidRPr="000C2D43">
        <w:rPr>
          <w:rFonts w:ascii="Times New Roman" w:hAnsi="Times New Roman"/>
        </w:rPr>
        <w:fldChar w:fldCharType="end"/>
      </w:r>
    </w:p>
    <w:p w14:paraId="0611C8EA" w14:textId="77777777" w:rsidR="006A3D7E" w:rsidRDefault="006A3D7E" w:rsidP="006A3D7E">
      <w:pPr>
        <w:rPr>
          <w:lang w:eastAsia="ja-JP"/>
        </w:rPr>
      </w:pPr>
    </w:p>
    <w:p w14:paraId="001BC7A2" w14:textId="6FF5F246" w:rsidR="00B13C66" w:rsidRDefault="00B13C66">
      <w:pPr>
        <w:spacing w:after="200" w:line="276" w:lineRule="auto"/>
        <w:rPr>
          <w:lang w:eastAsia="ja-JP"/>
        </w:rPr>
      </w:pPr>
      <w:r>
        <w:rPr>
          <w:lang w:eastAsia="ja-JP"/>
        </w:rPr>
        <w:br w:type="page"/>
      </w:r>
    </w:p>
    <w:p w14:paraId="4136ED61" w14:textId="6989E0A7" w:rsidR="00932610" w:rsidRPr="00F720F8" w:rsidRDefault="00C2248D" w:rsidP="006A3D7E">
      <w:pPr>
        <w:pStyle w:val="TOC1"/>
        <w:jc w:val="center"/>
        <w:rPr>
          <w:b/>
          <w:bCs/>
        </w:rPr>
      </w:pPr>
      <w:r w:rsidRPr="000C2D43">
        <w:rPr>
          <w:rFonts w:ascii="Times New Roman" w:hAnsi="Times New Roman"/>
        </w:rPr>
        <w:lastRenderedPageBreak/>
        <w:fldChar w:fldCharType="end"/>
      </w:r>
      <w:r w:rsidR="00932610" w:rsidRPr="00F720F8">
        <w:rPr>
          <w:b/>
          <w:bCs/>
        </w:rPr>
        <w:t>LIST OF EXHIBITS</w:t>
      </w:r>
    </w:p>
    <w:p w14:paraId="59E57987" w14:textId="77777777" w:rsidR="004351D5" w:rsidRDefault="00932610" w:rsidP="004351D5">
      <w:pPr>
        <w:ind w:left="2160" w:hanging="2160"/>
        <w:rPr>
          <w:bCs/>
          <w:noProof/>
        </w:rPr>
      </w:pPr>
      <w:r w:rsidRPr="007D211A">
        <w:rPr>
          <w:bCs/>
          <w:noProof/>
        </w:rPr>
        <w:t>Exhibit No.</w:t>
      </w:r>
      <w:r w:rsidR="000C2D43">
        <w:rPr>
          <w:bCs/>
          <w:noProof/>
        </w:rPr>
        <w:t xml:space="preserve"> </w:t>
      </w:r>
      <w:r w:rsidR="007D211A">
        <w:rPr>
          <w:bCs/>
          <w:noProof/>
        </w:rPr>
        <w:t>E</w:t>
      </w:r>
      <w:r w:rsidR="00D409AE">
        <w:rPr>
          <w:bCs/>
          <w:noProof/>
        </w:rPr>
        <w:t>C</w:t>
      </w:r>
      <w:r w:rsidR="007D211A">
        <w:rPr>
          <w:bCs/>
          <w:noProof/>
        </w:rPr>
        <w:t>O</w:t>
      </w:r>
      <w:r w:rsidRPr="007D211A">
        <w:rPr>
          <w:bCs/>
          <w:noProof/>
        </w:rPr>
        <w:t>-</w:t>
      </w:r>
      <w:r w:rsidR="002416EB">
        <w:rPr>
          <w:bCs/>
          <w:noProof/>
        </w:rPr>
        <w:t>2</w:t>
      </w:r>
      <w:r w:rsidR="00724313">
        <w:rPr>
          <w:bCs/>
          <w:noProof/>
        </w:rPr>
        <w:tab/>
      </w:r>
      <w:r w:rsidR="002416EB">
        <w:rPr>
          <w:bCs/>
          <w:noProof/>
        </w:rPr>
        <w:t xml:space="preserve">Pacific Power </w:t>
      </w:r>
      <w:r w:rsidR="00724313">
        <w:rPr>
          <w:bCs/>
          <w:noProof/>
        </w:rPr>
        <w:t>R</w:t>
      </w:r>
      <w:r w:rsidR="002416EB">
        <w:rPr>
          <w:bCs/>
          <w:noProof/>
        </w:rPr>
        <w:t>esponse to Staff Data Request 46</w:t>
      </w:r>
    </w:p>
    <w:p w14:paraId="733D6B24" w14:textId="537423F5" w:rsidR="00932610" w:rsidRDefault="00C8034F" w:rsidP="004351D5">
      <w:pPr>
        <w:ind w:left="2160" w:hanging="2160"/>
        <w:rPr>
          <w:bCs/>
          <w:noProof/>
        </w:rPr>
      </w:pPr>
      <w:r>
        <w:rPr>
          <w:bCs/>
          <w:noProof/>
        </w:rPr>
        <w:tab/>
      </w:r>
    </w:p>
    <w:p w14:paraId="5221A3AC" w14:textId="505F9A8E" w:rsidR="009954B8" w:rsidRDefault="002416EB" w:rsidP="004351D5">
      <w:pPr>
        <w:ind w:left="2160" w:hanging="2160"/>
        <w:rPr>
          <w:bCs/>
          <w:noProof/>
        </w:rPr>
      </w:pPr>
      <w:r>
        <w:rPr>
          <w:bCs/>
          <w:noProof/>
        </w:rPr>
        <w:t>Exhibit No.</w:t>
      </w:r>
      <w:r w:rsidR="000C2D43">
        <w:rPr>
          <w:bCs/>
          <w:noProof/>
        </w:rPr>
        <w:t xml:space="preserve"> </w:t>
      </w:r>
      <w:r>
        <w:rPr>
          <w:bCs/>
          <w:noProof/>
        </w:rPr>
        <w:t>ECO-3</w:t>
      </w:r>
      <w:r w:rsidR="00724313">
        <w:rPr>
          <w:bCs/>
          <w:noProof/>
        </w:rPr>
        <w:tab/>
      </w:r>
      <w:r w:rsidRPr="002416EB">
        <w:rPr>
          <w:bCs/>
          <w:noProof/>
        </w:rPr>
        <w:t xml:space="preserve">Pacific Power </w:t>
      </w:r>
      <w:r w:rsidR="00724313">
        <w:rPr>
          <w:bCs/>
          <w:noProof/>
        </w:rPr>
        <w:t>R</w:t>
      </w:r>
      <w:r w:rsidRPr="002416EB">
        <w:rPr>
          <w:bCs/>
          <w:noProof/>
        </w:rPr>
        <w:t>es</w:t>
      </w:r>
      <w:r>
        <w:rPr>
          <w:bCs/>
          <w:noProof/>
        </w:rPr>
        <w:t>ponse to Staff Data Request 47</w:t>
      </w:r>
    </w:p>
    <w:p w14:paraId="582D0393" w14:textId="77777777" w:rsidR="004351D5" w:rsidRDefault="004351D5" w:rsidP="004351D5">
      <w:pPr>
        <w:ind w:left="2160" w:hanging="2160"/>
        <w:rPr>
          <w:bCs/>
          <w:noProof/>
        </w:rPr>
      </w:pPr>
    </w:p>
    <w:p w14:paraId="5F5E9BA6" w14:textId="77777777" w:rsidR="00B27B06" w:rsidRDefault="002416EB" w:rsidP="004351D5">
      <w:pPr>
        <w:ind w:left="2160" w:hanging="2160"/>
        <w:rPr>
          <w:bCs/>
          <w:noProof/>
        </w:rPr>
      </w:pPr>
      <w:r>
        <w:rPr>
          <w:bCs/>
          <w:noProof/>
        </w:rPr>
        <w:t>Exhibit No.</w:t>
      </w:r>
      <w:r w:rsidR="000C2D43">
        <w:rPr>
          <w:bCs/>
          <w:noProof/>
        </w:rPr>
        <w:t xml:space="preserve"> </w:t>
      </w:r>
      <w:r>
        <w:rPr>
          <w:bCs/>
          <w:noProof/>
        </w:rPr>
        <w:t>ECO-4</w:t>
      </w:r>
      <w:r w:rsidR="00724313">
        <w:rPr>
          <w:bCs/>
          <w:noProof/>
        </w:rPr>
        <w:tab/>
      </w:r>
      <w:r w:rsidRPr="002416EB">
        <w:rPr>
          <w:bCs/>
          <w:noProof/>
        </w:rPr>
        <w:t xml:space="preserve">Pacific Power </w:t>
      </w:r>
      <w:r w:rsidR="00724313">
        <w:rPr>
          <w:bCs/>
          <w:noProof/>
        </w:rPr>
        <w:t>R</w:t>
      </w:r>
      <w:r w:rsidRPr="002416EB">
        <w:rPr>
          <w:bCs/>
          <w:noProof/>
        </w:rPr>
        <w:t>es</w:t>
      </w:r>
      <w:r>
        <w:rPr>
          <w:bCs/>
          <w:noProof/>
        </w:rPr>
        <w:t>ponse to Staff Data Request 47</w:t>
      </w:r>
      <w:r w:rsidR="00724313">
        <w:rPr>
          <w:bCs/>
          <w:noProof/>
        </w:rPr>
        <w:t>,</w:t>
      </w:r>
      <w:r>
        <w:rPr>
          <w:bCs/>
          <w:noProof/>
        </w:rPr>
        <w:t xml:space="preserve"> Attachment</w:t>
      </w:r>
    </w:p>
    <w:p w14:paraId="601C1984" w14:textId="49980070" w:rsidR="009954B8" w:rsidRDefault="00724313" w:rsidP="00B27B06">
      <w:pPr>
        <w:ind w:left="2160"/>
        <w:rPr>
          <w:bCs/>
          <w:noProof/>
        </w:rPr>
      </w:pPr>
      <w:r>
        <w:rPr>
          <w:bCs/>
          <w:noProof/>
        </w:rPr>
        <w:t>W</w:t>
      </w:r>
      <w:r w:rsidR="002416EB">
        <w:rPr>
          <w:bCs/>
          <w:noProof/>
        </w:rPr>
        <w:t>UTC 47</w:t>
      </w:r>
    </w:p>
    <w:p w14:paraId="24CED512" w14:textId="77777777" w:rsidR="004351D5" w:rsidRDefault="004351D5" w:rsidP="004351D5">
      <w:pPr>
        <w:ind w:left="2160" w:hanging="2160"/>
        <w:rPr>
          <w:bCs/>
          <w:noProof/>
        </w:rPr>
      </w:pPr>
    </w:p>
    <w:p w14:paraId="34481793" w14:textId="7FBFFD29" w:rsidR="009954B8" w:rsidRDefault="002416EB" w:rsidP="004351D5">
      <w:pPr>
        <w:ind w:left="2160" w:hanging="2160"/>
        <w:rPr>
          <w:bCs/>
          <w:noProof/>
        </w:rPr>
      </w:pPr>
      <w:r>
        <w:rPr>
          <w:bCs/>
          <w:noProof/>
        </w:rPr>
        <w:t>Exhibit No.</w:t>
      </w:r>
      <w:r w:rsidR="000C2D43">
        <w:rPr>
          <w:bCs/>
          <w:noProof/>
        </w:rPr>
        <w:t xml:space="preserve"> </w:t>
      </w:r>
      <w:r>
        <w:rPr>
          <w:bCs/>
          <w:noProof/>
        </w:rPr>
        <w:t>ECO-5</w:t>
      </w:r>
      <w:r w:rsidR="00724313">
        <w:rPr>
          <w:bCs/>
          <w:noProof/>
        </w:rPr>
        <w:tab/>
      </w:r>
      <w:r w:rsidRPr="002416EB">
        <w:rPr>
          <w:bCs/>
          <w:noProof/>
        </w:rPr>
        <w:t xml:space="preserve">Pacific Power </w:t>
      </w:r>
      <w:r>
        <w:rPr>
          <w:bCs/>
          <w:noProof/>
        </w:rPr>
        <w:t>1</w:t>
      </w:r>
      <w:r w:rsidRPr="00F36D99">
        <w:rPr>
          <w:bCs/>
          <w:noProof/>
          <w:vertAlign w:val="superscript"/>
        </w:rPr>
        <w:t>st</w:t>
      </w:r>
      <w:r>
        <w:rPr>
          <w:bCs/>
          <w:noProof/>
        </w:rPr>
        <w:t xml:space="preserve"> Supplemental </w:t>
      </w:r>
      <w:r w:rsidR="00724313">
        <w:rPr>
          <w:bCs/>
          <w:noProof/>
        </w:rPr>
        <w:t>R</w:t>
      </w:r>
      <w:r w:rsidRPr="002416EB">
        <w:rPr>
          <w:bCs/>
          <w:noProof/>
        </w:rPr>
        <w:t>es</w:t>
      </w:r>
      <w:r>
        <w:rPr>
          <w:bCs/>
          <w:noProof/>
        </w:rPr>
        <w:t>ponse to Staff Data Request 37</w:t>
      </w:r>
    </w:p>
    <w:p w14:paraId="3AA54D79" w14:textId="77777777" w:rsidR="004351D5" w:rsidRDefault="004351D5" w:rsidP="004351D5">
      <w:pPr>
        <w:ind w:left="2160" w:hanging="2160"/>
        <w:rPr>
          <w:bCs/>
          <w:noProof/>
        </w:rPr>
      </w:pPr>
    </w:p>
    <w:p w14:paraId="5B8EA8AB" w14:textId="1F37A2CF" w:rsidR="0042784E" w:rsidRDefault="002416EB" w:rsidP="004351D5">
      <w:pPr>
        <w:ind w:left="2160" w:hanging="2160"/>
        <w:rPr>
          <w:bCs/>
          <w:noProof/>
        </w:rPr>
      </w:pPr>
      <w:r>
        <w:rPr>
          <w:bCs/>
          <w:noProof/>
        </w:rPr>
        <w:t>Exhibit No.</w:t>
      </w:r>
      <w:r w:rsidR="000C2D43">
        <w:rPr>
          <w:bCs/>
          <w:noProof/>
        </w:rPr>
        <w:t xml:space="preserve"> </w:t>
      </w:r>
      <w:r>
        <w:rPr>
          <w:bCs/>
          <w:noProof/>
        </w:rPr>
        <w:t>ECO-6</w:t>
      </w:r>
      <w:r w:rsidR="00724313">
        <w:rPr>
          <w:bCs/>
          <w:noProof/>
        </w:rPr>
        <w:tab/>
      </w:r>
      <w:r w:rsidRPr="002416EB">
        <w:rPr>
          <w:bCs/>
          <w:noProof/>
        </w:rPr>
        <w:t xml:space="preserve">Pacific Power </w:t>
      </w:r>
      <w:r w:rsidR="00724313">
        <w:rPr>
          <w:bCs/>
          <w:noProof/>
        </w:rPr>
        <w:t>R</w:t>
      </w:r>
      <w:r w:rsidRPr="002416EB">
        <w:rPr>
          <w:bCs/>
          <w:noProof/>
        </w:rPr>
        <w:t>es</w:t>
      </w:r>
      <w:r>
        <w:rPr>
          <w:bCs/>
          <w:noProof/>
        </w:rPr>
        <w:t>ponse to Staff Data Request 69</w:t>
      </w:r>
    </w:p>
    <w:p w14:paraId="66132C40" w14:textId="77777777" w:rsidR="004351D5" w:rsidRDefault="004351D5" w:rsidP="004351D5">
      <w:pPr>
        <w:ind w:left="2160" w:hanging="2160"/>
      </w:pPr>
    </w:p>
    <w:p w14:paraId="1190A530" w14:textId="77777777" w:rsidR="00B13C66" w:rsidRDefault="0042784E" w:rsidP="004351D5">
      <w:pPr>
        <w:tabs>
          <w:tab w:val="left" w:pos="2174"/>
        </w:tabs>
        <w:ind w:left="2520" w:hanging="2520"/>
      </w:pPr>
      <w:bookmarkStart w:id="0" w:name="_Toc424808464"/>
      <w:bookmarkStart w:id="1" w:name="_Toc424808485"/>
      <w:bookmarkStart w:id="2" w:name="_Toc445371378"/>
      <w:bookmarkStart w:id="3" w:name="_Toc445371418"/>
      <w:bookmarkStart w:id="4" w:name="_Toc445381683"/>
      <w:r>
        <w:t>Exhibit No. E</w:t>
      </w:r>
      <w:r w:rsidR="00296BC6">
        <w:t>CO-7</w:t>
      </w:r>
      <w:r w:rsidR="00296BC6">
        <w:tab/>
        <w:t>Environmental Remediation P</w:t>
      </w:r>
      <w:r>
        <w:t>rojects in Washington and W</w:t>
      </w:r>
      <w:r w:rsidR="00200A2E">
        <w:t xml:space="preserve">est </w:t>
      </w:r>
    </w:p>
    <w:p w14:paraId="6C5D5DB8" w14:textId="23B13DFE" w:rsidR="006A3D7E" w:rsidRDefault="00B13C66" w:rsidP="004351D5">
      <w:pPr>
        <w:tabs>
          <w:tab w:val="left" w:pos="2174"/>
        </w:tabs>
        <w:ind w:left="2520" w:hanging="2520"/>
      </w:pPr>
      <w:r>
        <w:tab/>
      </w:r>
      <w:r w:rsidR="0042784E">
        <w:t>C</w:t>
      </w:r>
      <w:r w:rsidR="00200A2E">
        <w:t xml:space="preserve">ontrol </w:t>
      </w:r>
      <w:r w:rsidR="0042784E">
        <w:t>A</w:t>
      </w:r>
      <w:r w:rsidR="00200A2E">
        <w:t>rea</w:t>
      </w:r>
    </w:p>
    <w:p w14:paraId="76F48BF4" w14:textId="77777777" w:rsidR="00B13C66" w:rsidRDefault="00B13C66" w:rsidP="004351D5">
      <w:pPr>
        <w:tabs>
          <w:tab w:val="left" w:pos="2174"/>
        </w:tabs>
        <w:ind w:left="2520" w:hanging="2520"/>
      </w:pPr>
    </w:p>
    <w:p w14:paraId="4147A994" w14:textId="4AA02676" w:rsidR="00E606E1" w:rsidRDefault="00E606E1" w:rsidP="004351D5">
      <w:pPr>
        <w:tabs>
          <w:tab w:val="left" w:pos="2174"/>
        </w:tabs>
        <w:spacing w:line="480" w:lineRule="auto"/>
        <w:ind w:left="2520" w:hanging="2520"/>
      </w:pPr>
      <w:r w:rsidRPr="00E606E1">
        <w:t>Exhibit No. ECO-</w:t>
      </w:r>
      <w:r>
        <w:t>8</w:t>
      </w:r>
      <w:r w:rsidRPr="00E606E1">
        <w:tab/>
      </w:r>
      <w:r>
        <w:t>Union Gap Project Presentation</w:t>
      </w:r>
    </w:p>
    <w:p w14:paraId="2B8AA282" w14:textId="77777777" w:rsidR="00B13C66" w:rsidRDefault="00200A2E" w:rsidP="004351D5">
      <w:pPr>
        <w:tabs>
          <w:tab w:val="left" w:pos="2174"/>
        </w:tabs>
        <w:ind w:left="2520" w:hanging="2520"/>
      </w:pPr>
      <w:r>
        <w:t>Exhibit No. ECO-9</w:t>
      </w:r>
      <w:r w:rsidRPr="00200A2E">
        <w:tab/>
        <w:t>Pacific Power Response to Staff Data Reque</w:t>
      </w:r>
      <w:r w:rsidR="00B13C66">
        <w:t>st 37, Attachment WUTC</w:t>
      </w:r>
    </w:p>
    <w:p w14:paraId="061C8976" w14:textId="46182437" w:rsidR="00200A2E" w:rsidRDefault="00B13C66" w:rsidP="004351D5">
      <w:pPr>
        <w:tabs>
          <w:tab w:val="left" w:pos="2174"/>
        </w:tabs>
        <w:ind w:left="2520" w:hanging="2520"/>
      </w:pPr>
      <w:r>
        <w:tab/>
      </w:r>
      <w:r w:rsidR="00200A2E">
        <w:t>37</w:t>
      </w:r>
      <w:r w:rsidR="000828CD">
        <w:t xml:space="preserve"> – Investment Appraisal Document</w:t>
      </w:r>
    </w:p>
    <w:p w14:paraId="5CCCF4D8" w14:textId="77777777" w:rsidR="00B13C66" w:rsidRDefault="00B13C66" w:rsidP="004351D5">
      <w:pPr>
        <w:tabs>
          <w:tab w:val="left" w:pos="2174"/>
        </w:tabs>
        <w:spacing w:line="480" w:lineRule="auto"/>
        <w:ind w:left="2520" w:hanging="2520"/>
      </w:pPr>
    </w:p>
    <w:p w14:paraId="492B33FC" w14:textId="77777777" w:rsidR="00200A2E" w:rsidRDefault="00200A2E" w:rsidP="004351D5">
      <w:pPr>
        <w:tabs>
          <w:tab w:val="left" w:pos="2174"/>
        </w:tabs>
        <w:spacing w:line="480" w:lineRule="auto"/>
        <w:ind w:left="2520" w:hanging="2520"/>
        <w:sectPr w:rsidR="00200A2E" w:rsidSect="007046A9">
          <w:footerReference w:type="default" r:id="rId11"/>
          <w:pgSz w:w="12240" w:h="15840" w:code="1"/>
          <w:pgMar w:top="1440" w:right="1440" w:bottom="1440" w:left="1872" w:header="720" w:footer="720" w:gutter="0"/>
          <w:pgNumType w:fmt="lowerRoman"/>
          <w:cols w:space="720"/>
          <w:docGrid w:linePitch="360"/>
        </w:sectPr>
      </w:pPr>
    </w:p>
    <w:p w14:paraId="52784149" w14:textId="77777777" w:rsidR="00932610" w:rsidRPr="002752E0" w:rsidRDefault="00932610" w:rsidP="0042784E">
      <w:pPr>
        <w:pStyle w:val="Heading1"/>
        <w:ind w:left="0" w:firstLine="0"/>
        <w:rPr>
          <w:caps/>
        </w:rPr>
      </w:pPr>
      <w:r w:rsidRPr="002752E0">
        <w:rPr>
          <w:caps/>
        </w:rPr>
        <w:lastRenderedPageBreak/>
        <w:t>Introduction</w:t>
      </w:r>
      <w:bookmarkEnd w:id="0"/>
      <w:bookmarkEnd w:id="1"/>
      <w:bookmarkEnd w:id="2"/>
      <w:bookmarkEnd w:id="3"/>
      <w:bookmarkEnd w:id="4"/>
    </w:p>
    <w:p w14:paraId="6A6D7A2A" w14:textId="77777777" w:rsidR="00932610" w:rsidRDefault="00932610" w:rsidP="00932610">
      <w:pPr>
        <w:pStyle w:val="NoSpacing"/>
      </w:pPr>
      <w:bookmarkStart w:id="5" w:name="_Toc391989915"/>
      <w:bookmarkStart w:id="6" w:name="_Toc391990017"/>
      <w:bookmarkStart w:id="7" w:name="_Toc393023104"/>
      <w:bookmarkStart w:id="8" w:name="_Toc393023310"/>
    </w:p>
    <w:p w14:paraId="04F485A3" w14:textId="1FB92842" w:rsidR="00932610" w:rsidRPr="00F720F8" w:rsidRDefault="00932610" w:rsidP="00932610">
      <w:pPr>
        <w:pStyle w:val="Heading8"/>
      </w:pPr>
      <w:r w:rsidRPr="00F720F8">
        <w:t>Q.</w:t>
      </w:r>
      <w:r w:rsidRPr="00F720F8">
        <w:tab/>
        <w:t>Please state your name and business address.</w:t>
      </w:r>
      <w:bookmarkEnd w:id="5"/>
      <w:bookmarkEnd w:id="6"/>
      <w:bookmarkEnd w:id="7"/>
      <w:bookmarkEnd w:id="8"/>
      <w:r w:rsidR="00AD2F55">
        <w:t xml:space="preserve"> </w:t>
      </w:r>
    </w:p>
    <w:p w14:paraId="33B772AA" w14:textId="0B09BC5B" w:rsidR="00932610" w:rsidRPr="00F720F8" w:rsidRDefault="00932610" w:rsidP="00932610">
      <w:pPr>
        <w:pStyle w:val="NoSpacing"/>
      </w:pPr>
      <w:r w:rsidRPr="00F720F8">
        <w:t>A.</w:t>
      </w:r>
      <w:r w:rsidRPr="00F720F8">
        <w:tab/>
      </w:r>
      <w:r w:rsidR="00E9712B" w:rsidRPr="00E9712B">
        <w:t>My name is Elizabeth O’Connell and my business address is the Richard Hemstad Building, 1300 South Evergreen Park Drive Southwest, P.O. Box 47250, Olympia, Washington, 98504.</w:t>
      </w:r>
      <w:r w:rsidR="00AD2F55">
        <w:t xml:space="preserve"> </w:t>
      </w:r>
      <w:r w:rsidR="00E9712B" w:rsidRPr="00E9712B">
        <w:t>My email address is</w:t>
      </w:r>
      <w:r w:rsidR="00E9712B">
        <w:t xml:space="preserve"> eoconnel@utc.wa.gov</w:t>
      </w:r>
      <w:r w:rsidR="00E22532">
        <w:t>.</w:t>
      </w:r>
    </w:p>
    <w:p w14:paraId="1FB6C34B" w14:textId="77777777" w:rsidR="00932610" w:rsidRPr="00F720F8" w:rsidRDefault="00932610" w:rsidP="00932610">
      <w:pPr>
        <w:pStyle w:val="NoSpacing"/>
      </w:pPr>
    </w:p>
    <w:p w14:paraId="416EDE6D" w14:textId="3CB528BD" w:rsidR="00932610" w:rsidRPr="00F720F8" w:rsidRDefault="00932610" w:rsidP="00932610">
      <w:pPr>
        <w:pStyle w:val="Heading8"/>
      </w:pPr>
      <w:bookmarkStart w:id="9" w:name="_Toc391989916"/>
      <w:bookmarkStart w:id="10" w:name="_Toc391990018"/>
      <w:bookmarkStart w:id="11" w:name="_Toc393023105"/>
      <w:bookmarkStart w:id="12" w:name="_Toc393023311"/>
      <w:r w:rsidRPr="00F720F8">
        <w:t>Q.</w:t>
      </w:r>
      <w:r w:rsidRPr="00F720F8">
        <w:tab/>
        <w:t>By whom are you employed and in what capacity?</w:t>
      </w:r>
      <w:bookmarkEnd w:id="9"/>
      <w:bookmarkEnd w:id="10"/>
      <w:bookmarkEnd w:id="11"/>
      <w:bookmarkEnd w:id="12"/>
      <w:r w:rsidR="00AD2F55">
        <w:t xml:space="preserve"> </w:t>
      </w:r>
    </w:p>
    <w:p w14:paraId="5557CEB1" w14:textId="09A6E713" w:rsidR="00932610" w:rsidRPr="00F720F8" w:rsidRDefault="00932610" w:rsidP="00932610">
      <w:pPr>
        <w:pStyle w:val="NoSpacing"/>
      </w:pPr>
      <w:r w:rsidRPr="00F720F8">
        <w:t>A.</w:t>
      </w:r>
      <w:r w:rsidRPr="00F720F8">
        <w:tab/>
        <w:t xml:space="preserve"> </w:t>
      </w:r>
      <w:r w:rsidRPr="00AC132D">
        <w:t>I am employed by the Washington Utilities and Transportation Commission (Commission) as a Regulatory Analyst in the Energy Regulation Section of the Regulatory Services Division.</w:t>
      </w:r>
      <w:r w:rsidR="00AD2F55">
        <w:t xml:space="preserve"> </w:t>
      </w:r>
      <w:r>
        <w:t>Among other duties</w:t>
      </w:r>
      <w:r w:rsidRPr="00C5454F">
        <w:t xml:space="preserve">, I am responsible for </w:t>
      </w:r>
      <w:r>
        <w:t xml:space="preserve">financial and accounting analysis, </w:t>
      </w:r>
      <w:r w:rsidRPr="00C5454F">
        <w:t xml:space="preserve">auditing records of regulated companies, and </w:t>
      </w:r>
      <w:r>
        <w:t>reviewing</w:t>
      </w:r>
      <w:r w:rsidRPr="00C5454F">
        <w:t xml:space="preserve"> affiliated interest transactions.</w:t>
      </w:r>
      <w:r w:rsidR="00AD2F55">
        <w:t xml:space="preserve"> </w:t>
      </w:r>
    </w:p>
    <w:p w14:paraId="24A14700" w14:textId="77777777" w:rsidR="00932610" w:rsidRPr="00F720F8" w:rsidRDefault="00932610" w:rsidP="00932610">
      <w:pPr>
        <w:pStyle w:val="NoSpacing"/>
      </w:pPr>
    </w:p>
    <w:p w14:paraId="5A2D97A6" w14:textId="77777777" w:rsidR="00932610" w:rsidRPr="00F720F8" w:rsidRDefault="00932610" w:rsidP="00932610">
      <w:pPr>
        <w:pStyle w:val="Heading8"/>
      </w:pPr>
      <w:r w:rsidRPr="00F720F8">
        <w:t>Q.</w:t>
      </w:r>
      <w:r w:rsidRPr="00F720F8">
        <w:tab/>
        <w:t>How long have you been employed by the Commission?</w:t>
      </w:r>
    </w:p>
    <w:p w14:paraId="221FB48A" w14:textId="77777777" w:rsidR="00932610" w:rsidRPr="00F720F8" w:rsidRDefault="00932610" w:rsidP="00932610">
      <w:pPr>
        <w:pStyle w:val="NoSpacing"/>
      </w:pPr>
      <w:r w:rsidRPr="00F720F8">
        <w:t>A.</w:t>
      </w:r>
      <w:r w:rsidRPr="00F720F8">
        <w:tab/>
      </w:r>
      <w:r w:rsidRPr="00AC132D">
        <w:t xml:space="preserve">I have been employed by the Commission since </w:t>
      </w:r>
      <w:r>
        <w:t>November</w:t>
      </w:r>
      <w:r w:rsidRPr="00AC132D">
        <w:t xml:space="preserve"> 2015.</w:t>
      </w:r>
    </w:p>
    <w:p w14:paraId="355DE7ED" w14:textId="77777777" w:rsidR="00932610" w:rsidRPr="00F720F8" w:rsidRDefault="00932610" w:rsidP="00932610">
      <w:pPr>
        <w:pStyle w:val="NoSpacing"/>
      </w:pPr>
    </w:p>
    <w:p w14:paraId="6E97481C" w14:textId="77777777" w:rsidR="00932610" w:rsidRPr="00F720F8" w:rsidRDefault="00932610" w:rsidP="00932610">
      <w:pPr>
        <w:pStyle w:val="Heading8"/>
      </w:pPr>
      <w:bookmarkStart w:id="13" w:name="_Toc391989917"/>
      <w:bookmarkStart w:id="14" w:name="_Toc391990019"/>
      <w:bookmarkStart w:id="15" w:name="_Toc393023106"/>
      <w:bookmarkStart w:id="16" w:name="_Toc393023312"/>
      <w:r w:rsidRPr="00F720F8">
        <w:t>Q.</w:t>
      </w:r>
      <w:r w:rsidRPr="00F720F8">
        <w:tab/>
        <w:t>Would you please state your educational and professional background?</w:t>
      </w:r>
      <w:bookmarkEnd w:id="13"/>
      <w:bookmarkEnd w:id="14"/>
      <w:bookmarkEnd w:id="15"/>
      <w:bookmarkEnd w:id="16"/>
    </w:p>
    <w:p w14:paraId="3CB65248" w14:textId="0233EA2B" w:rsidR="00932610" w:rsidRDefault="00932610" w:rsidP="00932610">
      <w:pPr>
        <w:pStyle w:val="NoSpacing"/>
      </w:pPr>
      <w:r w:rsidRPr="00F720F8">
        <w:t>A.</w:t>
      </w:r>
      <w:r w:rsidRPr="00F720F8">
        <w:tab/>
      </w:r>
      <w:r w:rsidRPr="00AC132D">
        <w:t>I</w:t>
      </w:r>
      <w:r>
        <w:t>n 2009, I</w:t>
      </w:r>
      <w:r w:rsidR="00BE4F6F">
        <w:t xml:space="preserve"> </w:t>
      </w:r>
      <w:r w:rsidR="00B63CBB">
        <w:t>received</w:t>
      </w:r>
      <w:r w:rsidR="00BE4F6F">
        <w:t xml:space="preserve"> my degree</w:t>
      </w:r>
      <w:r w:rsidRPr="00AC132D">
        <w:t xml:space="preserve"> </w:t>
      </w:r>
      <w:r w:rsidR="00CC3677">
        <w:t xml:space="preserve">in Economics </w:t>
      </w:r>
      <w:r w:rsidRPr="00AC132D">
        <w:t>from</w:t>
      </w:r>
      <w:r>
        <w:t xml:space="preserve"> Universidad Central de </w:t>
      </w:r>
      <w:r w:rsidR="00BE4F6F">
        <w:t>Venezuela in Caracas, Venezuela</w:t>
      </w:r>
      <w:r w:rsidR="00E22532">
        <w:t>,</w:t>
      </w:r>
      <w:r w:rsidR="00B63CBB">
        <w:t xml:space="preserve"> with a </w:t>
      </w:r>
      <w:r w:rsidR="00BE4F6F">
        <w:t>special</w:t>
      </w:r>
      <w:r w:rsidR="00B63CBB">
        <w:t>ization</w:t>
      </w:r>
      <w:r>
        <w:t xml:space="preserve"> in Bank</w:t>
      </w:r>
      <w:r w:rsidR="00E22532">
        <w:t>ing</w:t>
      </w:r>
      <w:r>
        <w:t xml:space="preserve"> and Finance.</w:t>
      </w:r>
      <w:r w:rsidR="00AD2F55">
        <w:t xml:space="preserve"> </w:t>
      </w:r>
      <w:r>
        <w:t xml:space="preserve">In 2013, </w:t>
      </w:r>
      <w:r w:rsidRPr="00AC132D">
        <w:t xml:space="preserve">I graduated from </w:t>
      </w:r>
      <w:r>
        <w:t>the University of Dundee in Dundee, United Kingdom</w:t>
      </w:r>
      <w:r w:rsidR="00E22532">
        <w:t>,</w:t>
      </w:r>
      <w:r>
        <w:t xml:space="preserve"> with a Master of Business Administration</w:t>
      </w:r>
      <w:r w:rsidRPr="00AC132D">
        <w:t xml:space="preserve"> in </w:t>
      </w:r>
      <w:r>
        <w:t>International Oil and Gas Management</w:t>
      </w:r>
      <w:r w:rsidRPr="00AC132D">
        <w:t>.</w:t>
      </w:r>
      <w:r>
        <w:t xml:space="preserve"> In 2015, I graduated from the University of Washington in Seattle, Washington</w:t>
      </w:r>
      <w:r w:rsidR="00E22532">
        <w:t>,</w:t>
      </w:r>
      <w:r>
        <w:t xml:space="preserve"> with </w:t>
      </w:r>
      <w:r w:rsidR="00A82ABE">
        <w:t xml:space="preserve">a </w:t>
      </w:r>
      <w:r w:rsidR="00A82ABE">
        <w:lastRenderedPageBreak/>
        <w:t xml:space="preserve">Certificate in </w:t>
      </w:r>
      <w:r>
        <w:t xml:space="preserve">Accounting. </w:t>
      </w:r>
      <w:r w:rsidRPr="00973D39">
        <w:t>Before joining the Commission</w:t>
      </w:r>
      <w:r>
        <w:t>, I worked for three years in the financial s</w:t>
      </w:r>
      <w:r w:rsidRPr="00973D39">
        <w:t>ector</w:t>
      </w:r>
      <w:r w:rsidRPr="00AC132D">
        <w:t xml:space="preserve"> </w:t>
      </w:r>
      <w:r>
        <w:t xml:space="preserve">assisting with </w:t>
      </w:r>
      <w:r w:rsidR="00E22532">
        <w:t xml:space="preserve">the </w:t>
      </w:r>
      <w:r>
        <w:t xml:space="preserve">brokerage of agricultural securities. I also previously worked for three years in the </w:t>
      </w:r>
      <w:r w:rsidR="00E22532">
        <w:t>r</w:t>
      </w:r>
      <w:r>
        <w:t xml:space="preserve">eal </w:t>
      </w:r>
      <w:r w:rsidR="00E22532">
        <w:t>e</w:t>
      </w:r>
      <w:r>
        <w:t>state sector as an Advisor, specializing in the appraisal of realty</w:t>
      </w:r>
      <w:r w:rsidRPr="00AC132D">
        <w:t>.</w:t>
      </w:r>
    </w:p>
    <w:p w14:paraId="397F7497" w14:textId="77777777" w:rsidR="00932610" w:rsidRDefault="00932610" w:rsidP="00932610">
      <w:pPr>
        <w:pStyle w:val="NoSpacing"/>
      </w:pPr>
    </w:p>
    <w:p w14:paraId="69A895ED" w14:textId="77777777" w:rsidR="00932610" w:rsidRDefault="00932610" w:rsidP="00932610">
      <w:pPr>
        <w:pStyle w:val="Heading8"/>
        <w:keepNext/>
      </w:pPr>
      <w:r>
        <w:t>Q.</w:t>
      </w:r>
      <w:r>
        <w:tab/>
        <w:t>Have you previously testified before the Commission?</w:t>
      </w:r>
    </w:p>
    <w:p w14:paraId="038C9379" w14:textId="77777777" w:rsidR="00932610" w:rsidRPr="00C31468" w:rsidRDefault="00932610" w:rsidP="00932610">
      <w:pPr>
        <w:pStyle w:val="NoSpacing"/>
      </w:pPr>
      <w:r w:rsidRPr="00C31468">
        <w:t>A.</w:t>
      </w:r>
      <w:r w:rsidRPr="00C31468">
        <w:tab/>
        <w:t>No.</w:t>
      </w:r>
    </w:p>
    <w:p w14:paraId="43022B6D" w14:textId="77777777" w:rsidR="00932610" w:rsidRPr="00F720F8" w:rsidRDefault="00932610" w:rsidP="00932610">
      <w:pPr>
        <w:pStyle w:val="NoSpacing"/>
      </w:pPr>
    </w:p>
    <w:p w14:paraId="4548BD5A" w14:textId="77777777" w:rsidR="00932610" w:rsidRPr="002752E0" w:rsidRDefault="00932610" w:rsidP="00BE0997">
      <w:pPr>
        <w:pStyle w:val="Heading1"/>
        <w:ind w:left="0" w:firstLine="0"/>
        <w:rPr>
          <w:caps/>
        </w:rPr>
      </w:pPr>
      <w:bookmarkStart w:id="17" w:name="_Toc424808465"/>
      <w:bookmarkStart w:id="18" w:name="_Toc424808486"/>
      <w:bookmarkStart w:id="19" w:name="_Toc445371379"/>
      <w:bookmarkStart w:id="20" w:name="_Toc445371419"/>
      <w:bookmarkStart w:id="21" w:name="_Toc445381684"/>
      <w:r w:rsidRPr="002752E0">
        <w:rPr>
          <w:caps/>
        </w:rPr>
        <w:t xml:space="preserve">Scope </w:t>
      </w:r>
      <w:r>
        <w:rPr>
          <w:caps/>
        </w:rPr>
        <w:t xml:space="preserve">AND SUmmary </w:t>
      </w:r>
      <w:r w:rsidRPr="002752E0">
        <w:rPr>
          <w:caps/>
        </w:rPr>
        <w:t>of Testimony</w:t>
      </w:r>
      <w:bookmarkEnd w:id="17"/>
      <w:bookmarkEnd w:id="18"/>
      <w:bookmarkEnd w:id="19"/>
      <w:bookmarkEnd w:id="20"/>
      <w:bookmarkEnd w:id="21"/>
    </w:p>
    <w:p w14:paraId="12950DD9" w14:textId="77777777" w:rsidR="00932610" w:rsidRPr="00F720F8" w:rsidRDefault="00932610" w:rsidP="00932610">
      <w:pPr>
        <w:pStyle w:val="NoSpacing"/>
      </w:pPr>
    </w:p>
    <w:p w14:paraId="5AE0C448" w14:textId="77777777" w:rsidR="00AD2F55" w:rsidRDefault="00932610" w:rsidP="00AD2F55">
      <w:pPr>
        <w:pStyle w:val="Heading8"/>
      </w:pPr>
      <w:r w:rsidRPr="00F720F8">
        <w:t>Q.</w:t>
      </w:r>
      <w:r w:rsidRPr="00F720F8">
        <w:tab/>
      </w:r>
      <w:r w:rsidRPr="00670A21">
        <w:t>Please explain the purpose of your testimony.</w:t>
      </w:r>
    </w:p>
    <w:p w14:paraId="4FCD5B9B" w14:textId="704DEEC3" w:rsidR="00C92933" w:rsidRPr="00AD2F55" w:rsidRDefault="00AD2F55" w:rsidP="00AD2F55">
      <w:pPr>
        <w:pStyle w:val="Heading8"/>
        <w:rPr>
          <w:b w:val="0"/>
        </w:rPr>
      </w:pPr>
      <w:r w:rsidRPr="00973D39">
        <w:t xml:space="preserve"> </w:t>
      </w:r>
      <w:r w:rsidR="00932610" w:rsidRPr="00AD2F55">
        <w:rPr>
          <w:b w:val="0"/>
        </w:rPr>
        <w:t>A.</w:t>
      </w:r>
      <w:r w:rsidR="00932610" w:rsidRPr="00AD2F55">
        <w:rPr>
          <w:b w:val="0"/>
        </w:rPr>
        <w:tab/>
      </w:r>
      <w:r w:rsidR="00C92933" w:rsidRPr="00AD2F55">
        <w:rPr>
          <w:b w:val="0"/>
        </w:rPr>
        <w:t>My</w:t>
      </w:r>
      <w:r w:rsidR="00932610" w:rsidRPr="00AD2F55">
        <w:rPr>
          <w:b w:val="0"/>
        </w:rPr>
        <w:t xml:space="preserve"> testimony </w:t>
      </w:r>
      <w:r w:rsidR="00C92933" w:rsidRPr="00AD2F55">
        <w:rPr>
          <w:b w:val="0"/>
        </w:rPr>
        <w:t xml:space="preserve">primarily </w:t>
      </w:r>
      <w:r w:rsidR="00932610" w:rsidRPr="00AD2F55">
        <w:rPr>
          <w:b w:val="0"/>
        </w:rPr>
        <w:t>address</w:t>
      </w:r>
      <w:r w:rsidR="00C92933" w:rsidRPr="00AD2F55">
        <w:rPr>
          <w:b w:val="0"/>
        </w:rPr>
        <w:t>es</w:t>
      </w:r>
      <w:r w:rsidR="00932610" w:rsidRPr="00AD2F55">
        <w:rPr>
          <w:b w:val="0"/>
        </w:rPr>
        <w:t xml:space="preserve"> the prudence of </w:t>
      </w:r>
      <w:r w:rsidR="00CC3677" w:rsidRPr="00AD2F55">
        <w:rPr>
          <w:b w:val="0"/>
        </w:rPr>
        <w:t xml:space="preserve">two </w:t>
      </w:r>
      <w:r w:rsidR="00932610" w:rsidRPr="00AD2F55">
        <w:rPr>
          <w:b w:val="0"/>
        </w:rPr>
        <w:t xml:space="preserve">major plant additions included in the second year of </w:t>
      </w:r>
      <w:r w:rsidR="009F1336" w:rsidRPr="00AD2F55">
        <w:rPr>
          <w:b w:val="0"/>
        </w:rPr>
        <w:t xml:space="preserve">Pacific </w:t>
      </w:r>
      <w:r w:rsidR="00932610" w:rsidRPr="00AD2F55">
        <w:rPr>
          <w:b w:val="0"/>
        </w:rPr>
        <w:t>Power &amp; Light’s (“</w:t>
      </w:r>
      <w:r w:rsidR="009F1336" w:rsidRPr="00AD2F55">
        <w:rPr>
          <w:b w:val="0"/>
        </w:rPr>
        <w:t>Pacific Power</w:t>
      </w:r>
      <w:r w:rsidR="00932610" w:rsidRPr="00AD2F55">
        <w:rPr>
          <w:b w:val="0"/>
        </w:rPr>
        <w:t xml:space="preserve">” or </w:t>
      </w:r>
      <w:r w:rsidR="00722423" w:rsidRPr="00AD2F55">
        <w:rPr>
          <w:b w:val="0"/>
        </w:rPr>
        <w:t>“the</w:t>
      </w:r>
      <w:r w:rsidR="00932610" w:rsidRPr="00AD2F55">
        <w:rPr>
          <w:b w:val="0"/>
        </w:rPr>
        <w:t xml:space="preserve"> Company”) </w:t>
      </w:r>
      <w:r w:rsidR="00CC3677" w:rsidRPr="00AD2F55">
        <w:rPr>
          <w:b w:val="0"/>
        </w:rPr>
        <w:t xml:space="preserve">proposed </w:t>
      </w:r>
      <w:r>
        <w:rPr>
          <w:b w:val="0"/>
        </w:rPr>
        <w:t>rate plan. These out-of-</w:t>
      </w:r>
      <w:r w:rsidR="00932610" w:rsidRPr="00AD2F55">
        <w:rPr>
          <w:b w:val="0"/>
        </w:rPr>
        <w:t>test</w:t>
      </w:r>
      <w:r>
        <w:rPr>
          <w:b w:val="0"/>
        </w:rPr>
        <w:t>-</w:t>
      </w:r>
      <w:r w:rsidR="00932610" w:rsidRPr="00AD2F55">
        <w:rPr>
          <w:b w:val="0"/>
        </w:rPr>
        <w:t>period major rate base additions are</w:t>
      </w:r>
      <w:r w:rsidR="00CC3677" w:rsidRPr="00AD2F55">
        <w:rPr>
          <w:b w:val="0"/>
        </w:rPr>
        <w:t>: (1)</w:t>
      </w:r>
      <w:r w:rsidR="00932610" w:rsidRPr="00AD2F55">
        <w:rPr>
          <w:b w:val="0"/>
        </w:rPr>
        <w:t xml:space="preserve"> the Supervisory Control and Data Acquisition Energy Management System (SCADA EMS) Replacement and Upgrade, and</w:t>
      </w:r>
      <w:r w:rsidR="00CC3677" w:rsidRPr="00AD2F55">
        <w:rPr>
          <w:b w:val="0"/>
        </w:rPr>
        <w:t xml:space="preserve"> (2)</w:t>
      </w:r>
      <w:r w:rsidR="00932610" w:rsidRPr="00AD2F55">
        <w:rPr>
          <w:b w:val="0"/>
        </w:rPr>
        <w:t xml:space="preserve"> the Union Gap Substation </w:t>
      </w:r>
      <w:r w:rsidR="00B928F9" w:rsidRPr="00AD2F55">
        <w:rPr>
          <w:b w:val="0"/>
        </w:rPr>
        <w:t>U</w:t>
      </w:r>
      <w:r w:rsidR="00932610" w:rsidRPr="00AD2F55">
        <w:rPr>
          <w:b w:val="0"/>
        </w:rPr>
        <w:t>pgrade – second sequence (Union Gap).</w:t>
      </w:r>
      <w:r>
        <w:rPr>
          <w:b w:val="0"/>
        </w:rPr>
        <w:t xml:space="preserve"> </w:t>
      </w:r>
      <w:r w:rsidR="00C92933" w:rsidRPr="00AD2F55">
        <w:rPr>
          <w:b w:val="0"/>
        </w:rPr>
        <w:t xml:space="preserve">The relevant </w:t>
      </w:r>
      <w:r w:rsidR="005D7129">
        <w:rPr>
          <w:b w:val="0"/>
        </w:rPr>
        <w:t xml:space="preserve">Company </w:t>
      </w:r>
      <w:r w:rsidR="00C92933" w:rsidRPr="00AD2F55">
        <w:rPr>
          <w:b w:val="0"/>
        </w:rPr>
        <w:t>witnesses on these projects are Mr. Stuart Kelly and Mr. Richard A. Vail, respectively.</w:t>
      </w:r>
      <w:r>
        <w:rPr>
          <w:b w:val="0"/>
        </w:rPr>
        <w:t xml:space="preserve"> </w:t>
      </w:r>
      <w:r w:rsidR="00CC3677" w:rsidRPr="00AD2F55">
        <w:rPr>
          <w:b w:val="0"/>
        </w:rPr>
        <w:t>As part of my prudenc</w:t>
      </w:r>
      <w:r>
        <w:rPr>
          <w:b w:val="0"/>
        </w:rPr>
        <w:t>e</w:t>
      </w:r>
      <w:r w:rsidR="00CC3677" w:rsidRPr="00AD2F55">
        <w:rPr>
          <w:b w:val="0"/>
        </w:rPr>
        <w:t xml:space="preserve"> review, </w:t>
      </w:r>
      <w:r w:rsidR="00932610" w:rsidRPr="00AD2F55">
        <w:rPr>
          <w:b w:val="0"/>
        </w:rPr>
        <w:t xml:space="preserve">I address the proper ratemaking treatment of these out-of-period major capital improvements. </w:t>
      </w:r>
      <w:r w:rsidR="00C92933" w:rsidRPr="00AD2F55">
        <w:rPr>
          <w:b w:val="0"/>
        </w:rPr>
        <w:t xml:space="preserve">I also address the </w:t>
      </w:r>
      <w:r w:rsidR="005D7129">
        <w:rPr>
          <w:b w:val="0"/>
        </w:rPr>
        <w:t>Production Tax Credit as an out-of-</w:t>
      </w:r>
      <w:r w:rsidR="00C92933" w:rsidRPr="00AD2F55">
        <w:rPr>
          <w:b w:val="0"/>
        </w:rPr>
        <w:t xml:space="preserve">period pro forma adjustment to the operating expenses of year two of </w:t>
      </w:r>
      <w:r w:rsidR="00E22532">
        <w:rPr>
          <w:b w:val="0"/>
        </w:rPr>
        <w:t xml:space="preserve">the Company’s proposed </w:t>
      </w:r>
      <w:r w:rsidR="00C92933" w:rsidRPr="00AD2F55">
        <w:rPr>
          <w:b w:val="0"/>
        </w:rPr>
        <w:t>rate plan.</w:t>
      </w:r>
    </w:p>
    <w:p w14:paraId="76E31971" w14:textId="3B14910F" w:rsidR="00CC3677" w:rsidRDefault="00CC3677" w:rsidP="00932610">
      <w:pPr>
        <w:pStyle w:val="BodyTextIndent2"/>
        <w:ind w:hanging="720"/>
      </w:pPr>
    </w:p>
    <w:p w14:paraId="1A941802" w14:textId="0CD416AF" w:rsidR="00932610" w:rsidRPr="00973D39" w:rsidRDefault="00C92933" w:rsidP="00AD1965">
      <w:pPr>
        <w:pStyle w:val="BodyTextIndent2"/>
        <w:ind w:firstLine="720"/>
      </w:pPr>
      <w:r>
        <w:lastRenderedPageBreak/>
        <w:t>My testimony also</w:t>
      </w:r>
      <w:r w:rsidR="008559EA">
        <w:t xml:space="preserve"> </w:t>
      </w:r>
      <w:r w:rsidR="00932610">
        <w:t>present</w:t>
      </w:r>
      <w:r>
        <w:t>s</w:t>
      </w:r>
      <w:r w:rsidR="00932610">
        <w:t xml:space="preserve"> Staff’s response to </w:t>
      </w:r>
      <w:r w:rsidR="00E22532">
        <w:t>A</w:t>
      </w:r>
      <w:r w:rsidR="00932610">
        <w:t xml:space="preserve">djustment 7.2 </w:t>
      </w:r>
      <w:r w:rsidR="00E22532">
        <w:t xml:space="preserve">– </w:t>
      </w:r>
      <w:r w:rsidR="00932610">
        <w:t xml:space="preserve">Property Tax </w:t>
      </w:r>
      <w:r w:rsidR="00E22532">
        <w:t>E</w:t>
      </w:r>
      <w:r w:rsidR="00932610">
        <w:t xml:space="preserve">xpense and </w:t>
      </w:r>
      <w:r w:rsidR="00E22532">
        <w:t xml:space="preserve">Adjustment </w:t>
      </w:r>
      <w:r w:rsidR="00932610">
        <w:t xml:space="preserve">8.2 </w:t>
      </w:r>
      <w:r w:rsidR="00E22532">
        <w:t xml:space="preserve">– </w:t>
      </w:r>
      <w:r w:rsidR="00932610">
        <w:t xml:space="preserve">Environmental </w:t>
      </w:r>
      <w:r w:rsidR="00E22532">
        <w:t>R</w:t>
      </w:r>
      <w:r w:rsidR="00932610">
        <w:t>emediation.</w:t>
      </w:r>
      <w:r w:rsidR="00AD2F55">
        <w:t xml:space="preserve"> </w:t>
      </w:r>
      <w:r w:rsidR="00932610">
        <w:t xml:space="preserve">These adjustments are part of </w:t>
      </w:r>
      <w:r w:rsidR="005D7129">
        <w:t>C</w:t>
      </w:r>
      <w:r w:rsidR="00AD7C44">
        <w:t xml:space="preserve">ompany witness </w:t>
      </w:r>
      <w:r w:rsidR="00932610">
        <w:t xml:space="preserve">Ms. Shelley McCoy’s testimony. </w:t>
      </w:r>
    </w:p>
    <w:p w14:paraId="3E69BC06" w14:textId="03037D74" w:rsidR="00932610" w:rsidRPr="00973D39" w:rsidRDefault="00932610" w:rsidP="00932610">
      <w:pPr>
        <w:pStyle w:val="BodyTextIndent2"/>
        <w:ind w:firstLine="0"/>
      </w:pPr>
    </w:p>
    <w:p w14:paraId="4EA7AA20" w14:textId="1276E5A0" w:rsidR="00932610" w:rsidRPr="00670A21" w:rsidRDefault="00932610" w:rsidP="00932610">
      <w:pPr>
        <w:pStyle w:val="Heading8"/>
        <w:ind w:left="0" w:firstLine="0"/>
      </w:pPr>
      <w:r>
        <w:t>Q.</w:t>
      </w:r>
      <w:r>
        <w:tab/>
        <w:t>Please summarize your conclusions on the issues addressed in your testimony.</w:t>
      </w:r>
    </w:p>
    <w:p w14:paraId="11366EF6" w14:textId="13A14627" w:rsidR="00932610" w:rsidRDefault="00932610" w:rsidP="00932610">
      <w:pPr>
        <w:pStyle w:val="NoSpacing"/>
      </w:pPr>
      <w:r w:rsidRPr="00BA74FB">
        <w:t>A.</w:t>
      </w:r>
      <w:r w:rsidRPr="00BA74FB">
        <w:tab/>
      </w:r>
      <w:r>
        <w:t xml:space="preserve">Below I lay out each of the individual proposals from the Company and summarize </w:t>
      </w:r>
      <w:r w:rsidR="007F1E95">
        <w:t>Staff’s</w:t>
      </w:r>
      <w:r>
        <w:t xml:space="preserve"> </w:t>
      </w:r>
      <w:r w:rsidR="007F1E95">
        <w:t>recommendations</w:t>
      </w:r>
      <w:r>
        <w:t>:</w:t>
      </w:r>
    </w:p>
    <w:p w14:paraId="704B84F8" w14:textId="519C43C1" w:rsidR="00932610" w:rsidRDefault="00AD7C44" w:rsidP="0091680E">
      <w:pPr>
        <w:pStyle w:val="NoSpacing"/>
        <w:numPr>
          <w:ilvl w:val="0"/>
          <w:numId w:val="6"/>
        </w:numPr>
        <w:ind w:right="18"/>
      </w:pPr>
      <w:r w:rsidRPr="008559EA">
        <w:rPr>
          <w:i/>
          <w:u w:val="single"/>
        </w:rPr>
        <w:t>Prudence of Major Plant Additions</w:t>
      </w:r>
      <w:r w:rsidRPr="00B52C21">
        <w:t>:</w:t>
      </w:r>
      <w:r w:rsidR="00AD2F55">
        <w:t xml:space="preserve"> </w:t>
      </w:r>
      <w:r w:rsidR="009F1336">
        <w:t>Pacific Power</w:t>
      </w:r>
      <w:r w:rsidR="00932610">
        <w:t xml:space="preserve"> presents the costs to plan and build the second sequence of transmission work for Union Gap as a capital investment</w:t>
      </w:r>
      <w:r w:rsidR="007F1E95">
        <w:t>,</w:t>
      </w:r>
      <w:r w:rsidR="00932610">
        <w:t xml:space="preserve"> and request</w:t>
      </w:r>
      <w:r w:rsidR="007F1E95">
        <w:t>s</w:t>
      </w:r>
      <w:r w:rsidR="00932610">
        <w:t xml:space="preserve"> recovery</w:t>
      </w:r>
      <w:r w:rsidR="00E22532">
        <w:t xml:space="preserve"> of these costs</w:t>
      </w:r>
      <w:r w:rsidR="00932610">
        <w:t xml:space="preserve"> in the second stage of the rate plan. </w:t>
      </w:r>
      <w:r>
        <w:t xml:space="preserve">The </w:t>
      </w:r>
      <w:r w:rsidR="00932610">
        <w:t xml:space="preserve">Company </w:t>
      </w:r>
      <w:r>
        <w:t xml:space="preserve">also </w:t>
      </w:r>
      <w:r w:rsidR="00932610">
        <w:t xml:space="preserve">proposes similar </w:t>
      </w:r>
      <w:r>
        <w:t xml:space="preserve">rate </w:t>
      </w:r>
      <w:r w:rsidR="00932610">
        <w:t>treatment</w:t>
      </w:r>
      <w:r w:rsidRPr="00AD7C44">
        <w:t xml:space="preserve"> </w:t>
      </w:r>
      <w:r>
        <w:t>for the SCADA EMS project</w:t>
      </w:r>
      <w:r w:rsidR="00932610">
        <w:t xml:space="preserve">. </w:t>
      </w:r>
      <w:r w:rsidR="007F1E95">
        <w:t>Staff finds</w:t>
      </w:r>
      <w:r w:rsidR="008B6623">
        <w:t xml:space="preserve"> that</w:t>
      </w:r>
      <w:r w:rsidR="00932610">
        <w:t xml:space="preserve"> the </w:t>
      </w:r>
      <w:r w:rsidR="00537B98">
        <w:t xml:space="preserve">decision to proceed with </w:t>
      </w:r>
      <w:r w:rsidR="00392832">
        <w:t>the</w:t>
      </w:r>
      <w:r w:rsidR="00932610">
        <w:t xml:space="preserve"> SCADA EMS and Union Gap projects as capital additions </w:t>
      </w:r>
      <w:r w:rsidR="008B6623">
        <w:t xml:space="preserve">are prudent </w:t>
      </w:r>
      <w:r w:rsidR="00932610">
        <w:t xml:space="preserve">under </w:t>
      </w:r>
      <w:r w:rsidR="007F1E95">
        <w:t xml:space="preserve">established </w:t>
      </w:r>
      <w:r w:rsidR="00932610">
        <w:t>Commission standards.</w:t>
      </w:r>
      <w:r w:rsidR="00AD2F55">
        <w:t xml:space="preserve"> </w:t>
      </w:r>
      <w:r w:rsidR="00AF7FB1">
        <w:t>Staff</w:t>
      </w:r>
      <w:r w:rsidR="00746FAE">
        <w:t xml:space="preserve"> recommends </w:t>
      </w:r>
      <w:r w:rsidR="00392832">
        <w:t xml:space="preserve">that </w:t>
      </w:r>
      <w:r w:rsidR="00746FAE">
        <w:t xml:space="preserve">the </w:t>
      </w:r>
      <w:r w:rsidR="00392832">
        <w:t xml:space="preserve">Commission include both </w:t>
      </w:r>
      <w:r w:rsidR="00746FAE">
        <w:t>p</w:t>
      </w:r>
      <w:r w:rsidR="007F1E95">
        <w:t xml:space="preserve">rojects in </w:t>
      </w:r>
      <w:r w:rsidR="00E22532">
        <w:t xml:space="preserve">rate base at the start of </w:t>
      </w:r>
      <w:r w:rsidR="007F1E95">
        <w:t xml:space="preserve">the second year of </w:t>
      </w:r>
      <w:r w:rsidR="00746FAE">
        <w:t>the Company’s proposed rate plan.</w:t>
      </w:r>
      <w:r w:rsidR="00AD2F55">
        <w:t xml:space="preserve"> </w:t>
      </w:r>
      <w:r w:rsidR="00392832">
        <w:t>Staff’s recommended process for updating the second year rate increase with known and measurable costs—including costs for these major plant additions—</w:t>
      </w:r>
      <w:r w:rsidR="00AF7FB1">
        <w:t>is also discussed by Staff’s policy witness</w:t>
      </w:r>
      <w:r w:rsidR="00DD2676">
        <w:t>,</w:t>
      </w:r>
      <w:r w:rsidR="00AF7FB1">
        <w:t xml:space="preserve"> Mr. </w:t>
      </w:r>
      <w:r w:rsidR="00E22532">
        <w:t xml:space="preserve">Jason </w:t>
      </w:r>
      <w:r w:rsidR="00AF7FB1">
        <w:t>Ball</w:t>
      </w:r>
      <w:r w:rsidR="00DD2676">
        <w:t>,</w:t>
      </w:r>
      <w:r w:rsidR="00AF7FB1">
        <w:t xml:space="preserve"> in his direct testimony.</w:t>
      </w:r>
      <w:r w:rsidR="00392832">
        <w:rPr>
          <w:rStyle w:val="FootnoteReference"/>
        </w:rPr>
        <w:footnoteReference w:id="2"/>
      </w:r>
      <w:r w:rsidR="00AD2F55">
        <w:t xml:space="preserve"> </w:t>
      </w:r>
    </w:p>
    <w:p w14:paraId="6B845EEF" w14:textId="6D56100C" w:rsidR="00D30DE3" w:rsidRDefault="00392832" w:rsidP="00932610">
      <w:pPr>
        <w:pStyle w:val="NoSpacing"/>
        <w:numPr>
          <w:ilvl w:val="0"/>
          <w:numId w:val="6"/>
        </w:numPr>
      </w:pPr>
      <w:r w:rsidRPr="00623E57">
        <w:rPr>
          <w:i/>
          <w:u w:val="single"/>
        </w:rPr>
        <w:t>Production Tax Credit</w:t>
      </w:r>
      <w:r w:rsidRPr="00392832">
        <w:t>:</w:t>
      </w:r>
      <w:r w:rsidR="00AD2F55">
        <w:t xml:space="preserve"> </w:t>
      </w:r>
      <w:r w:rsidR="007F1E95">
        <w:t>Staff</w:t>
      </w:r>
      <w:r w:rsidR="00C970D8">
        <w:t xml:space="preserve"> </w:t>
      </w:r>
      <w:r w:rsidR="0065569D">
        <w:t>recommend</w:t>
      </w:r>
      <w:r w:rsidR="007F1E95">
        <w:t>s</w:t>
      </w:r>
      <w:r w:rsidR="00C92933">
        <w:t xml:space="preserve"> </w:t>
      </w:r>
      <w:r w:rsidR="00D30DE3">
        <w:t xml:space="preserve">that the </w:t>
      </w:r>
      <w:r w:rsidR="0065569D">
        <w:t xml:space="preserve">Commission consider the </w:t>
      </w:r>
      <w:r w:rsidR="00D30DE3">
        <w:t>Production Tax Credit as a pro forma adjustment to operation</w:t>
      </w:r>
      <w:r w:rsidR="00E22532">
        <w:t>s</w:t>
      </w:r>
      <w:r w:rsidR="00D30DE3">
        <w:t xml:space="preserve"> expenses</w:t>
      </w:r>
      <w:r w:rsidR="00C970D8">
        <w:t xml:space="preserve"> </w:t>
      </w:r>
      <w:r w:rsidR="0065569D">
        <w:t xml:space="preserve">at the time of the Company’s attestation filing for </w:t>
      </w:r>
      <w:r w:rsidR="00C970D8">
        <w:t>year two</w:t>
      </w:r>
      <w:r w:rsidR="0065569D">
        <w:t xml:space="preserve"> of the</w:t>
      </w:r>
      <w:r w:rsidR="00C92933">
        <w:t xml:space="preserve"> rate plan</w:t>
      </w:r>
      <w:r w:rsidR="00C970D8">
        <w:t>.</w:t>
      </w:r>
    </w:p>
    <w:p w14:paraId="1C390160" w14:textId="3A5D1502" w:rsidR="00932610" w:rsidRDefault="0065569D" w:rsidP="00932610">
      <w:pPr>
        <w:pStyle w:val="NoSpacing"/>
        <w:numPr>
          <w:ilvl w:val="0"/>
          <w:numId w:val="6"/>
        </w:numPr>
      </w:pPr>
      <w:r w:rsidRPr="00585CEB">
        <w:rPr>
          <w:i/>
          <w:u w:val="single"/>
        </w:rPr>
        <w:lastRenderedPageBreak/>
        <w:t xml:space="preserve">Property Tax </w:t>
      </w:r>
      <w:r>
        <w:rPr>
          <w:i/>
          <w:u w:val="single"/>
        </w:rPr>
        <w:t>Adjustment</w:t>
      </w:r>
      <w:r>
        <w:t>:</w:t>
      </w:r>
      <w:r w:rsidR="00AD2F55">
        <w:t xml:space="preserve"> </w:t>
      </w:r>
      <w:r w:rsidR="007F1E95">
        <w:t>Staff</w:t>
      </w:r>
      <w:r w:rsidR="00237A18">
        <w:t xml:space="preserve"> recommend</w:t>
      </w:r>
      <w:r w:rsidR="007F1E95">
        <w:t>s</w:t>
      </w:r>
      <w:r w:rsidR="00237A18">
        <w:t xml:space="preserve"> the Commission </w:t>
      </w:r>
      <w:r w:rsidR="00932610" w:rsidRPr="002C6994">
        <w:t>reject</w:t>
      </w:r>
      <w:r w:rsidR="00932610">
        <w:t xml:space="preserve"> adjustment </w:t>
      </w:r>
      <w:r w:rsidR="003D385F">
        <w:t xml:space="preserve">7.2 </w:t>
      </w:r>
      <w:r w:rsidR="00075D3C">
        <w:t xml:space="preserve">– </w:t>
      </w:r>
      <w:r w:rsidR="003D385F">
        <w:t xml:space="preserve">Property </w:t>
      </w:r>
      <w:r w:rsidR="00075D3C">
        <w:t>T</w:t>
      </w:r>
      <w:r w:rsidR="003D385F">
        <w:t xml:space="preserve">ax </w:t>
      </w:r>
      <w:r w:rsidR="00075D3C">
        <w:t>E</w:t>
      </w:r>
      <w:r w:rsidR="003D385F">
        <w:t>xpense</w:t>
      </w:r>
      <w:r w:rsidR="007F1E95">
        <w:t>,</w:t>
      </w:r>
      <w:r w:rsidR="003D385F">
        <w:t xml:space="preserve"> </w:t>
      </w:r>
      <w:r w:rsidR="007F1E95">
        <w:t>unless</w:t>
      </w:r>
      <w:r w:rsidR="003D385F">
        <w:t xml:space="preserve"> the Company provid</w:t>
      </w:r>
      <w:r w:rsidR="007F1E95">
        <w:t>es the</w:t>
      </w:r>
      <w:r w:rsidR="003D385F">
        <w:t xml:space="preserve"> actual</w:t>
      </w:r>
      <w:r w:rsidR="007F1E95">
        <w:t xml:space="preserve"> expenses</w:t>
      </w:r>
      <w:r w:rsidR="003D385F">
        <w:t xml:space="preserve"> on rebuttal</w:t>
      </w:r>
      <w:r w:rsidR="00932610">
        <w:t>.</w:t>
      </w:r>
    </w:p>
    <w:p w14:paraId="51F68D46" w14:textId="49F42A8B" w:rsidR="00932610" w:rsidRDefault="0065569D" w:rsidP="00932610">
      <w:pPr>
        <w:pStyle w:val="NoSpacing"/>
        <w:numPr>
          <w:ilvl w:val="0"/>
          <w:numId w:val="6"/>
        </w:numPr>
      </w:pPr>
      <w:r w:rsidRPr="0065569D">
        <w:rPr>
          <w:i/>
          <w:u w:val="single"/>
        </w:rPr>
        <w:t xml:space="preserve">Environmental </w:t>
      </w:r>
      <w:r>
        <w:rPr>
          <w:i/>
          <w:u w:val="single"/>
        </w:rPr>
        <w:t>R</w:t>
      </w:r>
      <w:r w:rsidRPr="0065569D">
        <w:rPr>
          <w:i/>
          <w:u w:val="single"/>
        </w:rPr>
        <w:t>emediation Adjustment</w:t>
      </w:r>
      <w:r w:rsidRPr="00007276">
        <w:t>:</w:t>
      </w:r>
      <w:r w:rsidR="00AD2F55">
        <w:t xml:space="preserve"> </w:t>
      </w:r>
      <w:r w:rsidR="007F1E95">
        <w:t>Staff</w:t>
      </w:r>
      <w:r w:rsidR="00237A18">
        <w:t xml:space="preserve"> </w:t>
      </w:r>
      <w:r w:rsidR="009415A0">
        <w:t>update</w:t>
      </w:r>
      <w:r w:rsidR="007F1E95">
        <w:t>s</w:t>
      </w:r>
      <w:r w:rsidR="009415A0">
        <w:t xml:space="preserve"> </w:t>
      </w:r>
      <w:r w:rsidR="009F1336">
        <w:t xml:space="preserve">Pacific </w:t>
      </w:r>
      <w:r w:rsidR="003D385F">
        <w:t xml:space="preserve">Power’s </w:t>
      </w:r>
      <w:r w:rsidR="00932610">
        <w:t xml:space="preserve">restating </w:t>
      </w:r>
      <w:r w:rsidR="00C779ED">
        <w:t>A</w:t>
      </w:r>
      <w:r w:rsidR="00932610">
        <w:t xml:space="preserve">djustment 8.2 </w:t>
      </w:r>
      <w:r w:rsidR="00C779ED">
        <w:t xml:space="preserve">– </w:t>
      </w:r>
      <w:r w:rsidR="00932610">
        <w:t xml:space="preserve">Environmental </w:t>
      </w:r>
      <w:r w:rsidR="00C779ED">
        <w:t>R</w:t>
      </w:r>
      <w:r w:rsidR="00932610">
        <w:t>emediation</w:t>
      </w:r>
      <w:r w:rsidR="009415A0">
        <w:t xml:space="preserve"> to reflect </w:t>
      </w:r>
      <w:r w:rsidR="003D385F">
        <w:t xml:space="preserve">only costs that are situs assigned to </w:t>
      </w:r>
      <w:r w:rsidR="009415A0">
        <w:t>Washington</w:t>
      </w:r>
      <w:r w:rsidR="0073223B">
        <w:t>.</w:t>
      </w:r>
      <w:r w:rsidR="007A55C0">
        <w:t xml:space="preserve"> </w:t>
      </w:r>
    </w:p>
    <w:p w14:paraId="6F6F3DE4" w14:textId="77777777" w:rsidR="00932610" w:rsidRPr="00F720F8" w:rsidRDefault="00932610" w:rsidP="00EF0C4D">
      <w:pPr>
        <w:pStyle w:val="NoSpacing"/>
        <w:ind w:left="0" w:firstLine="0"/>
      </w:pPr>
    </w:p>
    <w:p w14:paraId="25E1938E" w14:textId="1FA15A03" w:rsidR="00C728A6" w:rsidRDefault="001F6BDE" w:rsidP="00B52C21">
      <w:pPr>
        <w:pStyle w:val="Heading1"/>
        <w:ind w:left="0" w:firstLine="0"/>
      </w:pPr>
      <w:r>
        <w:rPr>
          <w:caps/>
        </w:rPr>
        <w:t xml:space="preserve"> </w:t>
      </w:r>
      <w:bookmarkStart w:id="22" w:name="_Toc445371380"/>
      <w:bookmarkStart w:id="23" w:name="_Toc445371420"/>
      <w:bookmarkStart w:id="24" w:name="_Toc445381685"/>
      <w:r w:rsidR="00B52C21">
        <w:t>RATEMAKING TREATMENT FOR RATE PLAN</w:t>
      </w:r>
      <w:r w:rsidR="00E163E5">
        <w:br/>
      </w:r>
      <w:r w:rsidR="00B52C21">
        <w:t>PRO FORMA ADJUSTMENTS</w:t>
      </w:r>
      <w:bookmarkEnd w:id="22"/>
      <w:bookmarkEnd w:id="23"/>
      <w:bookmarkEnd w:id="24"/>
      <w:r w:rsidR="00AD2F55">
        <w:t xml:space="preserve"> </w:t>
      </w:r>
    </w:p>
    <w:p w14:paraId="41B56D39" w14:textId="77777777" w:rsidR="00EF0C4D" w:rsidRPr="00EF0C4D" w:rsidRDefault="00EF0C4D" w:rsidP="00EF0C4D">
      <w:pPr>
        <w:spacing w:line="480" w:lineRule="auto"/>
      </w:pPr>
    </w:p>
    <w:p w14:paraId="0CC04C80" w14:textId="2F553583" w:rsidR="00932610" w:rsidRPr="00834614" w:rsidRDefault="00932610" w:rsidP="00EF0C4D">
      <w:pPr>
        <w:pStyle w:val="Heading8"/>
      </w:pPr>
      <w:r w:rsidRPr="00834614">
        <w:t>Q.</w:t>
      </w:r>
      <w:r w:rsidRPr="00834614">
        <w:tab/>
        <w:t>Please explain Staff’s recommendation on the appropriate ratemaking</w:t>
      </w:r>
      <w:r>
        <w:t xml:space="preserve"> treatment</w:t>
      </w:r>
      <w:r w:rsidRPr="00834614">
        <w:t xml:space="preserve"> for major</w:t>
      </w:r>
      <w:r>
        <w:t xml:space="preserve"> plan</w:t>
      </w:r>
      <w:r w:rsidR="00552768">
        <w:t>t</w:t>
      </w:r>
      <w:r>
        <w:t xml:space="preserve"> additions</w:t>
      </w:r>
      <w:r w:rsidR="00D02016">
        <w:t xml:space="preserve"> in the rate plan</w:t>
      </w:r>
      <w:r>
        <w:t>.</w:t>
      </w:r>
    </w:p>
    <w:p w14:paraId="7FCBF288" w14:textId="524F5A19" w:rsidR="00DD2676" w:rsidRDefault="00932610" w:rsidP="00932610">
      <w:pPr>
        <w:spacing w:line="480" w:lineRule="auto"/>
        <w:ind w:left="720" w:hanging="720"/>
      </w:pPr>
      <w:r>
        <w:t>A.</w:t>
      </w:r>
      <w:r>
        <w:tab/>
      </w:r>
      <w:r w:rsidR="003B72A9">
        <w:t>Staff recommends including these projects</w:t>
      </w:r>
      <w:r w:rsidR="00D02016">
        <w:t xml:space="preserve"> </w:t>
      </w:r>
      <w:r w:rsidR="003B72A9">
        <w:t>in the second year of the Company’s proposed rate plan.</w:t>
      </w:r>
      <w:r w:rsidR="00AD2F55">
        <w:t xml:space="preserve"> </w:t>
      </w:r>
      <w:r w:rsidR="00D872D1">
        <w:t xml:space="preserve">As discussed by </w:t>
      </w:r>
      <w:r w:rsidR="0065569D">
        <w:t xml:space="preserve">Staff witness </w:t>
      </w:r>
      <w:r w:rsidR="00D872D1">
        <w:t xml:space="preserve">Mr. Ball, the Company’s proposal to use limited discrete adjustments for determining </w:t>
      </w:r>
      <w:r w:rsidR="005E45E1">
        <w:t xml:space="preserve">rates under </w:t>
      </w:r>
      <w:r w:rsidR="00D872D1">
        <w:t>the rate plan’s second year is a reasonable approach.</w:t>
      </w:r>
      <w:r w:rsidR="00007276">
        <w:rPr>
          <w:rStyle w:val="FootnoteReference"/>
        </w:rPr>
        <w:footnoteReference w:id="3"/>
      </w:r>
      <w:r w:rsidR="00AD2F55">
        <w:t xml:space="preserve"> </w:t>
      </w:r>
      <w:r w:rsidR="00D872D1">
        <w:t xml:space="preserve">The major steps </w:t>
      </w:r>
      <w:r w:rsidR="00AD2F55">
        <w:t>of the prudence review</w:t>
      </w:r>
      <w:r w:rsidR="00D872D1">
        <w:t xml:space="preserve"> of these projects can be determined concurrent with the present case and finalized once the Company provides an attestation in April</w:t>
      </w:r>
      <w:r w:rsidR="00DD2676">
        <w:t xml:space="preserve"> 2017</w:t>
      </w:r>
      <w:r w:rsidR="00D872D1">
        <w:t xml:space="preserve">. </w:t>
      </w:r>
    </w:p>
    <w:p w14:paraId="64F42B2A" w14:textId="77777777" w:rsidR="00D3548F" w:rsidRDefault="00D3548F" w:rsidP="00932610">
      <w:pPr>
        <w:spacing w:line="480" w:lineRule="auto"/>
        <w:ind w:left="720" w:hanging="720"/>
      </w:pPr>
    </w:p>
    <w:p w14:paraId="52125BE5" w14:textId="20E186F7" w:rsidR="00D3548F" w:rsidRPr="00834614" w:rsidRDefault="00D3548F" w:rsidP="00D3548F">
      <w:pPr>
        <w:pStyle w:val="Heading8"/>
      </w:pPr>
      <w:r w:rsidRPr="00834614">
        <w:t>Q.</w:t>
      </w:r>
      <w:r w:rsidRPr="00834614">
        <w:tab/>
        <w:t>Please explain Staff’s recommendation on the appropriate ratemaking</w:t>
      </w:r>
      <w:r>
        <w:t xml:space="preserve"> treatment</w:t>
      </w:r>
      <w:r w:rsidRPr="00834614">
        <w:t xml:space="preserve"> for </w:t>
      </w:r>
      <w:r>
        <w:t>Production Tax Credits.</w:t>
      </w:r>
    </w:p>
    <w:p w14:paraId="589322E2" w14:textId="77777777" w:rsidR="00D3548F" w:rsidRDefault="00D3548F" w:rsidP="00932610">
      <w:pPr>
        <w:spacing w:line="480" w:lineRule="auto"/>
        <w:ind w:left="720" w:hanging="720"/>
      </w:pPr>
    </w:p>
    <w:p w14:paraId="48437E5A" w14:textId="005E9488" w:rsidR="00932610" w:rsidRDefault="00D3548F" w:rsidP="0059661A">
      <w:pPr>
        <w:spacing w:line="480" w:lineRule="auto"/>
        <w:ind w:left="720" w:firstLine="720"/>
      </w:pPr>
      <w:r>
        <w:lastRenderedPageBreak/>
        <w:t>T</w:t>
      </w:r>
      <w:r w:rsidR="00EB42AB" w:rsidRPr="00EB42AB">
        <w:t xml:space="preserve">he Company </w:t>
      </w:r>
      <w:r w:rsidR="006C391A">
        <w:t>received</w:t>
      </w:r>
      <w:r w:rsidR="00EB42AB" w:rsidRPr="00EB42AB">
        <w:t xml:space="preserve"> federal income tax credit</w:t>
      </w:r>
      <w:r w:rsidR="00F425EF">
        <w:t>s</w:t>
      </w:r>
      <w:r w:rsidR="003367C3">
        <w:t>—known as Production Tax Credits (PTC</w:t>
      </w:r>
      <w:r w:rsidR="00E163E5">
        <w:t>s</w:t>
      </w:r>
      <w:r w:rsidR="003367C3">
        <w:t>)—</w:t>
      </w:r>
      <w:r w:rsidR="006C391A">
        <w:t>for constructing</w:t>
      </w:r>
      <w:r w:rsidR="00EB42AB" w:rsidRPr="00EB42AB">
        <w:t xml:space="preserve"> renewable </w:t>
      </w:r>
      <w:r w:rsidR="006C391A">
        <w:t xml:space="preserve">resource </w:t>
      </w:r>
      <w:r w:rsidR="00EB42AB" w:rsidRPr="00EB42AB">
        <w:t>generating plants.</w:t>
      </w:r>
      <w:r w:rsidR="00AD2F55">
        <w:t xml:space="preserve"> </w:t>
      </w:r>
      <w:r w:rsidR="006C391A">
        <w:t>T</w:t>
      </w:r>
      <w:r w:rsidR="00EB42AB" w:rsidRPr="00EB42AB">
        <w:t xml:space="preserve">he </w:t>
      </w:r>
      <w:r w:rsidR="006C391A">
        <w:t>PTCs reduced Pacific Power’s federal income taxes by amounts determined by the amount of power generated by the plants for the first ten years of the plants’ life.  The renewable generating plants are reaching the end of that ten year period, and</w:t>
      </w:r>
      <w:r w:rsidR="00EB42AB" w:rsidRPr="00EB42AB">
        <w:t xml:space="preserve"> the </w:t>
      </w:r>
      <w:r w:rsidR="006C391A">
        <w:t>tax benefit of the</w:t>
      </w:r>
      <w:r w:rsidR="003367C3">
        <w:t xml:space="preserve"> </w:t>
      </w:r>
      <w:r w:rsidR="00EB42AB" w:rsidRPr="00EB42AB">
        <w:t>PTC</w:t>
      </w:r>
      <w:r w:rsidR="003367C3">
        <w:t>s</w:t>
      </w:r>
      <w:r w:rsidR="00EB42AB" w:rsidRPr="00EB42AB">
        <w:t xml:space="preserve"> </w:t>
      </w:r>
      <w:r w:rsidR="006C391A">
        <w:t xml:space="preserve">will expire </w:t>
      </w:r>
      <w:r w:rsidR="00EB42AB" w:rsidRPr="00EB42AB">
        <w:t>for the rate effective period that begins in May 2017.</w:t>
      </w:r>
      <w:r w:rsidR="00AD2F55">
        <w:t xml:space="preserve"> </w:t>
      </w:r>
      <w:r w:rsidR="003367C3">
        <w:t>Specifically, t</w:t>
      </w:r>
      <w:r w:rsidR="00EB42AB" w:rsidRPr="00EB42AB">
        <w:t xml:space="preserve">he </w:t>
      </w:r>
      <w:r w:rsidR="003367C3">
        <w:t>C</w:t>
      </w:r>
      <w:r w:rsidR="00EB42AB" w:rsidRPr="00EB42AB">
        <w:t xml:space="preserve">ompany </w:t>
      </w:r>
      <w:r w:rsidR="00F425EF">
        <w:t xml:space="preserve">has </w:t>
      </w:r>
      <w:r w:rsidR="00EB42AB" w:rsidRPr="00EB42AB">
        <w:t>rece</w:t>
      </w:r>
      <w:r w:rsidR="003367C3">
        <w:t>ive</w:t>
      </w:r>
      <w:r w:rsidR="00F425EF">
        <w:t>d</w:t>
      </w:r>
      <w:r w:rsidR="003367C3">
        <w:t xml:space="preserve"> a 2.3 cent per kilowatt-</w:t>
      </w:r>
      <w:r w:rsidR="00EB42AB" w:rsidRPr="00EB42AB">
        <w:t>hour generated credit on its tax return each year, for the duration of ten years.</w:t>
      </w:r>
      <w:r w:rsidR="00AD2F55">
        <w:t xml:space="preserve"> </w:t>
      </w:r>
      <w:r w:rsidR="00EB42AB" w:rsidRPr="00EB42AB">
        <w:t xml:space="preserve">Multiple facilities will </w:t>
      </w:r>
      <w:r w:rsidR="00F425EF">
        <w:t xml:space="preserve">soon </w:t>
      </w:r>
      <w:r w:rsidR="00EB42AB" w:rsidRPr="00EB42AB">
        <w:t>no longer qualify for this credit</w:t>
      </w:r>
      <w:r w:rsidR="00F425EF">
        <w:t xml:space="preserve">. Accordingly, </w:t>
      </w:r>
      <w:r w:rsidR="00EB42AB" w:rsidRPr="00EB42AB">
        <w:t xml:space="preserve">I recommend </w:t>
      </w:r>
      <w:r w:rsidR="006C391A">
        <w:t xml:space="preserve">accepting the </w:t>
      </w:r>
      <w:r w:rsidR="004D093D">
        <w:t xml:space="preserve">proposed </w:t>
      </w:r>
      <w:r w:rsidR="004D093D" w:rsidRPr="00EB42AB">
        <w:t>adjustment</w:t>
      </w:r>
      <w:r w:rsidR="00EB42AB" w:rsidRPr="00EB42AB">
        <w:t xml:space="preserve"> </w:t>
      </w:r>
      <w:r>
        <w:t xml:space="preserve">to expenses </w:t>
      </w:r>
      <w:r w:rsidR="006C391A">
        <w:t>effective</w:t>
      </w:r>
      <w:r w:rsidR="00EB42AB" w:rsidRPr="00EB42AB">
        <w:t xml:space="preserve"> in year two of rate </w:t>
      </w:r>
      <w:r w:rsidR="006C391A">
        <w:t>plan</w:t>
      </w:r>
      <w:r w:rsidR="00EB42AB" w:rsidRPr="00EB42AB">
        <w:t>.</w:t>
      </w:r>
    </w:p>
    <w:p w14:paraId="42871864" w14:textId="77777777" w:rsidR="00402029" w:rsidRDefault="00402029" w:rsidP="00932610">
      <w:pPr>
        <w:spacing w:line="480" w:lineRule="auto"/>
        <w:ind w:left="720" w:hanging="720"/>
      </w:pPr>
    </w:p>
    <w:p w14:paraId="78419404" w14:textId="364B05A7" w:rsidR="00402029" w:rsidRPr="00F31311" w:rsidRDefault="00402029" w:rsidP="00E70073">
      <w:pPr>
        <w:pStyle w:val="Heading2"/>
        <w:ind w:left="1440" w:hanging="720"/>
      </w:pPr>
      <w:bookmarkStart w:id="25" w:name="_Toc445371381"/>
      <w:bookmarkStart w:id="26" w:name="_Toc445371421"/>
      <w:bookmarkStart w:id="27" w:name="_Toc445381686"/>
      <w:r w:rsidRPr="00F31311">
        <w:t xml:space="preserve">Pro </w:t>
      </w:r>
      <w:r w:rsidR="00DD2676" w:rsidRPr="00F31311">
        <w:t>Forma Adjustments Criteria</w:t>
      </w:r>
      <w:bookmarkEnd w:id="25"/>
      <w:bookmarkEnd w:id="26"/>
      <w:bookmarkEnd w:id="27"/>
    </w:p>
    <w:p w14:paraId="223C2B76" w14:textId="77777777" w:rsidR="00493D30" w:rsidRDefault="00493D30" w:rsidP="00493D30">
      <w:pPr>
        <w:spacing w:line="480" w:lineRule="auto"/>
      </w:pPr>
    </w:p>
    <w:p w14:paraId="3843954B" w14:textId="0A046BBE" w:rsidR="003849B0" w:rsidRPr="00F720F8" w:rsidRDefault="003849B0" w:rsidP="003849B0">
      <w:pPr>
        <w:pStyle w:val="Heading8"/>
      </w:pPr>
      <w:r w:rsidRPr="00F720F8">
        <w:t>Q.</w:t>
      </w:r>
      <w:r w:rsidRPr="00F720F8">
        <w:tab/>
      </w:r>
      <w:r>
        <w:t xml:space="preserve">Please describe </w:t>
      </w:r>
      <w:r w:rsidR="00561A15">
        <w:t xml:space="preserve">the standard for evaluating </w:t>
      </w:r>
      <w:r w:rsidRPr="0024701C">
        <w:t>pro forma</w:t>
      </w:r>
      <w:r w:rsidRPr="00FB6B13">
        <w:rPr>
          <w:i/>
        </w:rPr>
        <w:t xml:space="preserve"> </w:t>
      </w:r>
      <w:r>
        <w:t>adjustments.</w:t>
      </w:r>
    </w:p>
    <w:p w14:paraId="13C3340B" w14:textId="3E6AD6DA" w:rsidR="003849B0" w:rsidRDefault="003849B0" w:rsidP="003849B0">
      <w:pPr>
        <w:pStyle w:val="NoSpacing"/>
      </w:pPr>
      <w:r w:rsidRPr="00F720F8">
        <w:t>A.</w:t>
      </w:r>
      <w:r w:rsidRPr="00F720F8">
        <w:tab/>
      </w:r>
      <w:r w:rsidR="00561A15">
        <w:t xml:space="preserve">Generally, </w:t>
      </w:r>
      <w:r w:rsidR="00561A15" w:rsidRPr="0024701C">
        <w:t>pro forma</w:t>
      </w:r>
      <w:r w:rsidR="00561A15" w:rsidRPr="003C60E3">
        <w:rPr>
          <w:i/>
        </w:rPr>
        <w:t xml:space="preserve"> </w:t>
      </w:r>
      <w:r w:rsidR="00561A15">
        <w:t xml:space="preserve">adjustments to the historical test year </w:t>
      </w:r>
      <w:r w:rsidR="00951CBB">
        <w:t>must</w:t>
      </w:r>
      <w:r w:rsidR="00561A15">
        <w:t xml:space="preserve"> meet f</w:t>
      </w:r>
      <w:r>
        <w:t xml:space="preserve">our major </w:t>
      </w:r>
      <w:r w:rsidR="00561A15">
        <w:t>criteria</w:t>
      </w:r>
      <w:r>
        <w:t>:</w:t>
      </w:r>
    </w:p>
    <w:p w14:paraId="4CD79914" w14:textId="2F87AD46" w:rsidR="003849B0" w:rsidRPr="0048418B" w:rsidRDefault="003849B0" w:rsidP="00FC2B85">
      <w:pPr>
        <w:pStyle w:val="ListParagraph"/>
        <w:numPr>
          <w:ilvl w:val="0"/>
          <w:numId w:val="10"/>
        </w:numPr>
        <w:spacing w:line="480" w:lineRule="auto"/>
        <w:ind w:left="2160" w:right="18" w:hanging="720"/>
      </w:pPr>
      <w:r w:rsidRPr="00414E0B">
        <w:t>Costs h</w:t>
      </w:r>
      <w:r w:rsidR="00B92BA5">
        <w:t xml:space="preserve">ave to be known and measurable, </w:t>
      </w:r>
    </w:p>
    <w:p w14:paraId="75AEAC2A" w14:textId="0FE79F51" w:rsidR="003849B0" w:rsidRPr="00414E0B" w:rsidRDefault="003849B0" w:rsidP="00FC2B85">
      <w:pPr>
        <w:pStyle w:val="ListParagraph"/>
        <w:numPr>
          <w:ilvl w:val="0"/>
          <w:numId w:val="10"/>
        </w:numPr>
        <w:spacing w:line="480" w:lineRule="auto"/>
        <w:ind w:left="2160" w:right="18" w:hanging="720"/>
      </w:pPr>
      <w:r w:rsidRPr="00414E0B">
        <w:t>Costs have to be prudently incurred</w:t>
      </w:r>
      <w:r w:rsidR="00B92BA5">
        <w:t>,</w:t>
      </w:r>
    </w:p>
    <w:p w14:paraId="798CB7D7" w14:textId="50D95911" w:rsidR="003849B0" w:rsidRPr="00414E0B" w:rsidRDefault="00E163E5" w:rsidP="0091680E">
      <w:pPr>
        <w:pStyle w:val="ListParagraph"/>
        <w:numPr>
          <w:ilvl w:val="0"/>
          <w:numId w:val="10"/>
        </w:numPr>
        <w:spacing w:line="480" w:lineRule="auto"/>
        <w:ind w:left="2160" w:right="18" w:hanging="720"/>
      </w:pPr>
      <w:r>
        <w:t>When</w:t>
      </w:r>
      <w:r w:rsidR="003849B0" w:rsidRPr="00414E0B">
        <w:t xml:space="preserve"> the pro forma adjustment is </w:t>
      </w:r>
      <w:r>
        <w:t xml:space="preserve">due to the addition of </w:t>
      </w:r>
      <w:r w:rsidR="003849B0" w:rsidRPr="00414E0B">
        <w:t>new plant</w:t>
      </w:r>
      <w:r w:rsidR="0024701C">
        <w:t>,</w:t>
      </w:r>
      <w:r w:rsidR="003849B0" w:rsidRPr="00414E0B">
        <w:t xml:space="preserve"> such addition has to be “major</w:t>
      </w:r>
      <w:r>
        <w:t>,</w:t>
      </w:r>
      <w:r w:rsidR="003849B0" w:rsidRPr="00414E0B">
        <w:t>”</w:t>
      </w:r>
      <w:r w:rsidR="003849B0" w:rsidRPr="0048418B">
        <w:t xml:space="preserve"> </w:t>
      </w:r>
    </w:p>
    <w:p w14:paraId="71336C39" w14:textId="5CD43791" w:rsidR="00B92BA5" w:rsidRDefault="00E163E5" w:rsidP="00FC2B85">
      <w:pPr>
        <w:pStyle w:val="ListParagraph"/>
        <w:numPr>
          <w:ilvl w:val="0"/>
          <w:numId w:val="10"/>
        </w:numPr>
        <w:spacing w:line="480" w:lineRule="auto"/>
        <w:ind w:left="2160" w:right="18" w:hanging="720"/>
      </w:pPr>
      <w:r>
        <w:t>When</w:t>
      </w:r>
      <w:r w:rsidR="003849B0" w:rsidRPr="00414E0B">
        <w:t xml:space="preserve"> the pro forma adjustment is </w:t>
      </w:r>
      <w:r>
        <w:t>due to the addition of</w:t>
      </w:r>
      <w:r w:rsidR="003849B0" w:rsidRPr="00414E0B">
        <w:t xml:space="preserve"> new plant</w:t>
      </w:r>
      <w:r w:rsidR="0024701C">
        <w:t>,</w:t>
      </w:r>
      <w:r w:rsidR="003849B0" w:rsidRPr="00414E0B">
        <w:t xml:space="preserve"> such plant </w:t>
      </w:r>
      <w:r>
        <w:t>must</w:t>
      </w:r>
      <w:r w:rsidRPr="00414E0B">
        <w:t xml:space="preserve"> </w:t>
      </w:r>
      <w:r w:rsidR="003849B0" w:rsidRPr="00414E0B">
        <w:t>be used and useful to serve Washington customers</w:t>
      </w:r>
      <w:r w:rsidR="00B92BA5">
        <w:t>.</w:t>
      </w:r>
      <w:r w:rsidR="00200A31">
        <w:rPr>
          <w:rStyle w:val="FootnoteReference"/>
        </w:rPr>
        <w:footnoteReference w:id="4"/>
      </w:r>
      <w:r w:rsidR="00AD2F55">
        <w:t xml:space="preserve"> </w:t>
      </w:r>
    </w:p>
    <w:p w14:paraId="2F32CA66" w14:textId="26BEB49A" w:rsidR="003652FB" w:rsidRPr="00C74BF7" w:rsidRDefault="003652FB" w:rsidP="00C74BF7">
      <w:pPr>
        <w:pStyle w:val="Heading8"/>
      </w:pPr>
      <w:r w:rsidRPr="00C74BF7">
        <w:lastRenderedPageBreak/>
        <w:t xml:space="preserve">Q. </w:t>
      </w:r>
      <w:r w:rsidRPr="00C74BF7">
        <w:tab/>
      </w:r>
      <w:r w:rsidR="00FF4961">
        <w:t xml:space="preserve">How does the Commission evaluate pro forma adjustments to rate base for </w:t>
      </w:r>
      <w:r w:rsidRPr="00C74BF7">
        <w:t xml:space="preserve">capital additions </w:t>
      </w:r>
      <w:r w:rsidR="00F20368">
        <w:t>that will occur after</w:t>
      </w:r>
      <w:r w:rsidRPr="00C74BF7">
        <w:t xml:space="preserve"> the test year? </w:t>
      </w:r>
    </w:p>
    <w:p w14:paraId="4A8B77B5" w14:textId="52F8D0D8" w:rsidR="003652FB" w:rsidRDefault="003652FB" w:rsidP="003652FB">
      <w:pPr>
        <w:spacing w:line="480" w:lineRule="auto"/>
        <w:ind w:left="720" w:hanging="720"/>
      </w:pPr>
      <w:r w:rsidRPr="009C56A6">
        <w:t>A.</w:t>
      </w:r>
      <w:r w:rsidRPr="009C56A6">
        <w:tab/>
      </w:r>
      <w:r>
        <w:t xml:space="preserve">Typically, the Commission </w:t>
      </w:r>
      <w:r w:rsidR="00DF29BF">
        <w:t>only allow</w:t>
      </w:r>
      <w:r w:rsidR="00EE5DD8">
        <w:t>s</w:t>
      </w:r>
      <w:r w:rsidR="00DF29BF">
        <w:t xml:space="preserve"> adjustments that </w:t>
      </w:r>
      <w:r w:rsidRPr="00DC63A5">
        <w:t>“give effect for the test period to all known and measurable changes that are not offset by other factors.”</w:t>
      </w:r>
      <w:r>
        <w:rPr>
          <w:rStyle w:val="FootnoteReference"/>
        </w:rPr>
        <w:footnoteReference w:id="5"/>
      </w:r>
      <w:r>
        <w:t xml:space="preserve"> The plant should be in service during the test year or at the latest by the filing date of the rate case be</w:t>
      </w:r>
      <w:r w:rsidR="00305B0C">
        <w:t>ing</w:t>
      </w:r>
      <w:r>
        <w:t xml:space="preserve"> considered.</w:t>
      </w:r>
      <w:r w:rsidR="00AD2F55">
        <w:t xml:space="preserve"> </w:t>
      </w:r>
      <w:r w:rsidR="00305B0C">
        <w:t>Including</w:t>
      </w:r>
      <w:r>
        <w:t xml:space="preserve"> rate base items </w:t>
      </w:r>
      <w:r w:rsidR="00305B0C">
        <w:t>after the</w:t>
      </w:r>
      <w:r>
        <w:t xml:space="preserve"> test period </w:t>
      </w:r>
      <w:r w:rsidR="00305B0C">
        <w:t xml:space="preserve">could </w:t>
      </w:r>
      <w:r>
        <w:t>change the historical correlation of rate base with revenues and expenses.</w:t>
      </w:r>
      <w:r w:rsidR="00AD2F55">
        <w:t xml:space="preserve"> </w:t>
      </w:r>
      <w:r>
        <w:t>However,</w:t>
      </w:r>
      <w:r w:rsidR="00EE4290">
        <w:t xml:space="preserve"> </w:t>
      </w:r>
      <w:r w:rsidR="00DF29BF">
        <w:t>the</w:t>
      </w:r>
      <w:r w:rsidR="00D92465">
        <w:t xml:space="preserve"> </w:t>
      </w:r>
      <w:r w:rsidR="00DF29BF">
        <w:t>Commission</w:t>
      </w:r>
      <w:r>
        <w:t xml:space="preserve"> </w:t>
      </w:r>
      <w:r w:rsidR="00305B0C">
        <w:t xml:space="preserve">has discretion to </w:t>
      </w:r>
      <w:r>
        <w:t>“</w:t>
      </w:r>
      <w:r w:rsidRPr="00CC2980">
        <w:t>make different determinations in different cases depending on the record in each individual case and the context in which the case is decided.</w:t>
      </w:r>
      <w:r>
        <w:t>”</w:t>
      </w:r>
      <w:r>
        <w:rPr>
          <w:rStyle w:val="FootnoteReference"/>
        </w:rPr>
        <w:footnoteReference w:id="6"/>
      </w:r>
      <w:r>
        <w:t xml:space="preserve"> </w:t>
      </w:r>
    </w:p>
    <w:p w14:paraId="7E519A8A" w14:textId="77777777" w:rsidR="00402029" w:rsidRDefault="00402029" w:rsidP="003652FB">
      <w:pPr>
        <w:spacing w:line="480" w:lineRule="auto"/>
        <w:ind w:left="720" w:hanging="720"/>
      </w:pPr>
    </w:p>
    <w:p w14:paraId="2DEF28EB" w14:textId="1DE58A65" w:rsidR="003652FB" w:rsidRPr="00C74BF7" w:rsidRDefault="003652FB" w:rsidP="00C74BF7">
      <w:pPr>
        <w:tabs>
          <w:tab w:val="left" w:pos="-1440"/>
        </w:tabs>
        <w:spacing w:line="480" w:lineRule="auto"/>
        <w:ind w:left="720" w:hanging="720"/>
        <w:rPr>
          <w:b/>
        </w:rPr>
      </w:pPr>
      <w:r w:rsidRPr="00C74BF7">
        <w:rPr>
          <w:b/>
        </w:rPr>
        <w:t xml:space="preserve">Q. </w:t>
      </w:r>
      <w:r w:rsidRPr="00C74BF7">
        <w:rPr>
          <w:b/>
        </w:rPr>
        <w:tab/>
        <w:t xml:space="preserve">What is considered an offsetting factor? </w:t>
      </w:r>
    </w:p>
    <w:p w14:paraId="4B019863" w14:textId="2B18C7BA" w:rsidR="003652FB" w:rsidRDefault="003652FB" w:rsidP="003652FB">
      <w:pPr>
        <w:spacing w:line="480" w:lineRule="auto"/>
        <w:ind w:left="720" w:hanging="720"/>
      </w:pPr>
      <w:r>
        <w:t>A.</w:t>
      </w:r>
      <w:r>
        <w:tab/>
        <w:t>An offsetting factor is any factor that diminishes the effect of the known and measurable event.</w:t>
      </w:r>
      <w:r w:rsidR="00AD2F55">
        <w:t xml:space="preserve"> </w:t>
      </w:r>
      <w:r>
        <w:t>I</w:t>
      </w:r>
      <w:r w:rsidRPr="00086096">
        <w:t>f offsetting factor</w:t>
      </w:r>
      <w:r>
        <w:t xml:space="preserve">s are </w:t>
      </w:r>
      <w:r w:rsidR="00305B0C">
        <w:t>excluded</w:t>
      </w:r>
      <w:r>
        <w:t>, a</w:t>
      </w:r>
      <w:r w:rsidRPr="00086096">
        <w:t xml:space="preserve"> mismatch would be created</w:t>
      </w:r>
      <w:r w:rsidR="0024701C">
        <w:t>,</w:t>
      </w:r>
      <w:r w:rsidRPr="00086096">
        <w:t xml:space="preserve"> </w:t>
      </w:r>
      <w:r>
        <w:t>and</w:t>
      </w:r>
      <w:r w:rsidRPr="00086096">
        <w:t xml:space="preserve"> the known and measurable change </w:t>
      </w:r>
      <w:r w:rsidR="0024701C">
        <w:t>would</w:t>
      </w:r>
      <w:r w:rsidR="00BC4C25">
        <w:t xml:space="preserve"> be overstated or understated.</w:t>
      </w:r>
      <w:r w:rsidR="00AD2F55">
        <w:t xml:space="preserve"> </w:t>
      </w:r>
      <w:r w:rsidR="00BC4C25">
        <w:t>This distorts</w:t>
      </w:r>
      <w:r w:rsidRPr="00086096">
        <w:t xml:space="preserve"> the test year relationships among revenues, expenses, and rate base.</w:t>
      </w:r>
      <w:r>
        <w:rPr>
          <w:rStyle w:val="FootnoteReference"/>
        </w:rPr>
        <w:footnoteReference w:id="7"/>
      </w:r>
    </w:p>
    <w:p w14:paraId="173FDFB7" w14:textId="77777777" w:rsidR="003652FB" w:rsidRDefault="003652FB" w:rsidP="003652FB">
      <w:pPr>
        <w:spacing w:line="480" w:lineRule="auto"/>
        <w:ind w:left="720" w:hanging="720"/>
      </w:pPr>
    </w:p>
    <w:p w14:paraId="0876297B" w14:textId="049B9994" w:rsidR="003652FB" w:rsidRPr="000D14FB" w:rsidRDefault="003652FB" w:rsidP="003652FB">
      <w:pPr>
        <w:tabs>
          <w:tab w:val="left" w:pos="-1440"/>
        </w:tabs>
        <w:spacing w:line="480" w:lineRule="auto"/>
        <w:ind w:left="720" w:hanging="720"/>
        <w:rPr>
          <w:b/>
        </w:rPr>
      </w:pPr>
      <w:r>
        <w:rPr>
          <w:b/>
        </w:rPr>
        <w:t>Q.</w:t>
      </w:r>
      <w:r>
        <w:rPr>
          <w:b/>
        </w:rPr>
        <w:tab/>
      </w:r>
      <w:r w:rsidR="004F53AE">
        <w:rPr>
          <w:b/>
        </w:rPr>
        <w:t>In which</w:t>
      </w:r>
      <w:r>
        <w:rPr>
          <w:b/>
        </w:rPr>
        <w:t xml:space="preserve"> circumstances</w:t>
      </w:r>
      <w:r w:rsidRPr="000D14FB">
        <w:rPr>
          <w:b/>
        </w:rPr>
        <w:t xml:space="preserve"> </w:t>
      </w:r>
      <w:r w:rsidR="004F53AE">
        <w:rPr>
          <w:b/>
        </w:rPr>
        <w:t>do</w:t>
      </w:r>
      <w:r w:rsidRPr="000D14FB">
        <w:rPr>
          <w:b/>
        </w:rPr>
        <w:t xml:space="preserve"> post-test period plant additions normally meet the “off</w:t>
      </w:r>
      <w:r>
        <w:rPr>
          <w:b/>
        </w:rPr>
        <w:t>set by other factors” standard</w:t>
      </w:r>
      <w:r w:rsidR="004F53AE">
        <w:rPr>
          <w:b/>
        </w:rPr>
        <w:t>?</w:t>
      </w:r>
      <w:r w:rsidRPr="000D14FB">
        <w:rPr>
          <w:b/>
        </w:rPr>
        <w:t xml:space="preserve"> </w:t>
      </w:r>
    </w:p>
    <w:p w14:paraId="1953421F" w14:textId="5F22D749" w:rsidR="00FC2B85" w:rsidRDefault="003652FB" w:rsidP="003652FB">
      <w:pPr>
        <w:tabs>
          <w:tab w:val="left" w:pos="-1440"/>
        </w:tabs>
        <w:spacing w:line="480" w:lineRule="auto"/>
        <w:ind w:left="720" w:hanging="720"/>
      </w:pPr>
      <w:r w:rsidRPr="000D14FB">
        <w:t xml:space="preserve">A. </w:t>
      </w:r>
      <w:r w:rsidRPr="000D14FB">
        <w:tab/>
      </w:r>
      <w:r w:rsidR="004A535D">
        <w:t xml:space="preserve">There are three general circumstances when </w:t>
      </w:r>
      <w:r w:rsidR="00472AEB">
        <w:t xml:space="preserve">out of period </w:t>
      </w:r>
      <w:r w:rsidR="00472AEB" w:rsidRPr="000D14FB">
        <w:t>capital additions may be included in rate base</w:t>
      </w:r>
      <w:r w:rsidR="004A535D">
        <w:t xml:space="preserve">, assuming that the costs are known and measurable and the </w:t>
      </w:r>
      <w:r w:rsidR="004A535D">
        <w:lastRenderedPageBreak/>
        <w:t>plant is used and usefu</w:t>
      </w:r>
      <w:r w:rsidR="00A74636">
        <w:t>l. The</w:t>
      </w:r>
      <w:r w:rsidR="004F53AE">
        <w:t xml:space="preserve">se circumstances </w:t>
      </w:r>
      <w:r w:rsidR="00A74636">
        <w:t>are:</w:t>
      </w:r>
      <w:r w:rsidRPr="000D14FB">
        <w:t xml:space="preserve"> (1) the additions are neither revenue-producing nor expense-reducing assets; (2) the additions do not affect the overall level of operations; </w:t>
      </w:r>
      <w:r w:rsidR="004A535D">
        <w:t xml:space="preserve">and </w:t>
      </w:r>
      <w:r w:rsidRPr="000D14FB">
        <w:t>(3) the additions are specifically made to improve the environment or improve the quality of service.</w:t>
      </w:r>
      <w:r w:rsidRPr="000D14FB">
        <w:rPr>
          <w:rStyle w:val="FootnoteReference"/>
        </w:rPr>
        <w:footnoteReference w:id="8"/>
      </w:r>
    </w:p>
    <w:p w14:paraId="3821F76D" w14:textId="2A1C4F11" w:rsidR="003652FB" w:rsidRPr="00743DC5" w:rsidRDefault="00AD2F55" w:rsidP="003652FB">
      <w:pPr>
        <w:tabs>
          <w:tab w:val="left" w:pos="-1440"/>
        </w:tabs>
        <w:spacing w:line="480" w:lineRule="auto"/>
        <w:ind w:left="720" w:hanging="720"/>
      </w:pPr>
      <w:r>
        <w:t xml:space="preserve"> </w:t>
      </w:r>
    </w:p>
    <w:p w14:paraId="36A99407" w14:textId="43685AE9" w:rsidR="003652FB" w:rsidRPr="00F720F8" w:rsidRDefault="003652FB" w:rsidP="003652FB">
      <w:pPr>
        <w:pStyle w:val="Heading8"/>
      </w:pPr>
      <w:r w:rsidRPr="00F720F8">
        <w:t>Q.</w:t>
      </w:r>
      <w:r w:rsidRPr="00F720F8">
        <w:tab/>
      </w:r>
      <w:r>
        <w:t xml:space="preserve">Please describe how </w:t>
      </w:r>
      <w:r w:rsidR="00472AEB">
        <w:t xml:space="preserve">the </w:t>
      </w:r>
      <w:r>
        <w:t xml:space="preserve">out-of-period capital additions that Pacific Power </w:t>
      </w:r>
      <w:r w:rsidR="00F663B5">
        <w:t>proposes to include</w:t>
      </w:r>
      <w:r>
        <w:t xml:space="preserve"> in its rate base meet </w:t>
      </w:r>
      <w:r w:rsidR="00472AEB">
        <w:t>this “</w:t>
      </w:r>
      <w:r>
        <w:t>offset by other factors</w:t>
      </w:r>
      <w:r w:rsidR="00472AEB">
        <w:t>”</w:t>
      </w:r>
      <w:r>
        <w:t xml:space="preserve"> standard.</w:t>
      </w:r>
    </w:p>
    <w:p w14:paraId="56C5CBF7" w14:textId="5450C049" w:rsidR="00B92A47" w:rsidRDefault="003652FB" w:rsidP="003652FB">
      <w:pPr>
        <w:pStyle w:val="NoSpacing"/>
      </w:pPr>
      <w:r w:rsidRPr="00F720F8">
        <w:t>A.</w:t>
      </w:r>
      <w:r w:rsidRPr="00F720F8">
        <w:tab/>
      </w:r>
      <w:r w:rsidR="00DA131C">
        <w:t xml:space="preserve">SCADA EMS and </w:t>
      </w:r>
      <w:r>
        <w:t xml:space="preserve">Union Gap are </w:t>
      </w:r>
      <w:r w:rsidR="00A07729">
        <w:t>projects that improve the quality of service</w:t>
      </w:r>
      <w:r>
        <w:t>.</w:t>
      </w:r>
      <w:r w:rsidR="00AD2F55">
        <w:t xml:space="preserve"> </w:t>
      </w:r>
    </w:p>
    <w:p w14:paraId="1BF4D71D" w14:textId="3A92C1CE" w:rsidR="00B92A47" w:rsidRDefault="00DA131C" w:rsidP="00B92A47">
      <w:pPr>
        <w:pStyle w:val="NoSpacing"/>
        <w:ind w:firstLine="0"/>
      </w:pPr>
      <w:r>
        <w:t xml:space="preserve">As </w:t>
      </w:r>
      <w:r w:rsidR="003652FB">
        <w:t>Company witness Mr. Kelly e</w:t>
      </w:r>
      <w:r>
        <w:t xml:space="preserve">xplains, </w:t>
      </w:r>
      <w:r w:rsidR="003652FB">
        <w:t>the</w:t>
      </w:r>
      <w:r w:rsidR="00A07729">
        <w:t xml:space="preserve"> Company</w:t>
      </w:r>
      <w:r w:rsidR="003652FB">
        <w:t xml:space="preserve"> </w:t>
      </w:r>
      <w:r w:rsidR="006940F7">
        <w:t>chose a SCADA</w:t>
      </w:r>
      <w:r w:rsidR="00A07729">
        <w:t xml:space="preserve"> EMS </w:t>
      </w:r>
      <w:r w:rsidR="003652FB">
        <w:t xml:space="preserve">system with </w:t>
      </w:r>
      <w:r w:rsidR="008C5B8B">
        <w:t>increased</w:t>
      </w:r>
      <w:r w:rsidR="003652FB">
        <w:t xml:space="preserve"> functionality.</w:t>
      </w:r>
      <w:r w:rsidR="008C5B8B">
        <w:t xml:space="preserve"> </w:t>
      </w:r>
      <w:r w:rsidR="002676ED">
        <w:t>It</w:t>
      </w:r>
      <w:r w:rsidR="008C5B8B">
        <w:t xml:space="preserve"> has the ability to support improved situational awareness, improved contingency analysis and state estimation tools, and improved alarm management applications.</w:t>
      </w:r>
      <w:r w:rsidR="006C2855">
        <w:rPr>
          <w:rStyle w:val="FootnoteReference"/>
        </w:rPr>
        <w:footnoteReference w:id="9"/>
      </w:r>
      <w:r w:rsidR="003652FB">
        <w:t xml:space="preserve"> </w:t>
      </w:r>
      <w:r w:rsidR="00B92A47" w:rsidRPr="00B92A47">
        <w:t>The modern SCADA EMS is hardware independent.</w:t>
      </w:r>
      <w:r w:rsidR="00B92A47">
        <w:t xml:space="preserve"> </w:t>
      </w:r>
      <w:r w:rsidR="006C2855">
        <w:t xml:space="preserve">Also it improves the </w:t>
      </w:r>
      <w:r w:rsidR="00F663B5">
        <w:t xml:space="preserve">Company’s </w:t>
      </w:r>
      <w:r w:rsidR="00EF3084">
        <w:t>capacity</w:t>
      </w:r>
      <w:r w:rsidR="006C2855">
        <w:t xml:space="preserve"> to comply with NERC reliability standards.</w:t>
      </w:r>
      <w:r>
        <w:t xml:space="preserve"> </w:t>
      </w:r>
    </w:p>
    <w:p w14:paraId="22A09CD2" w14:textId="3F93F968" w:rsidR="003652FB" w:rsidRDefault="004F53AE" w:rsidP="00F663B5">
      <w:pPr>
        <w:pStyle w:val="NoSpacing"/>
        <w:ind w:firstLine="720"/>
      </w:pPr>
      <w:r>
        <w:t>Regarding</w:t>
      </w:r>
      <w:r w:rsidR="00F663B5">
        <w:t xml:space="preserve"> </w:t>
      </w:r>
      <w:r w:rsidR="00DA131C">
        <w:t>Union Gap</w:t>
      </w:r>
      <w:r>
        <w:t>, the Company undertook</w:t>
      </w:r>
      <w:r w:rsidR="00DA131C">
        <w:t xml:space="preserve"> </w:t>
      </w:r>
      <w:r>
        <w:t xml:space="preserve">this project </w:t>
      </w:r>
      <w:r w:rsidR="00DA131C">
        <w:t xml:space="preserve">specifically to </w:t>
      </w:r>
      <w:r w:rsidR="00CA3A41">
        <w:t xml:space="preserve">comply with </w:t>
      </w:r>
      <w:r w:rsidR="00DA131C">
        <w:t>NERC</w:t>
      </w:r>
      <w:r w:rsidR="00500B63">
        <w:t xml:space="preserve"> </w:t>
      </w:r>
      <w:r w:rsidR="00DA131C">
        <w:t>standards</w:t>
      </w:r>
      <w:r w:rsidR="00ED01D5">
        <w:t xml:space="preserve"> and</w:t>
      </w:r>
      <w:r w:rsidR="00DA26A3">
        <w:t xml:space="preserve"> </w:t>
      </w:r>
      <w:r w:rsidR="00F663B5">
        <w:t xml:space="preserve">to </w:t>
      </w:r>
      <w:r w:rsidR="00DA26A3">
        <w:t>reduc</w:t>
      </w:r>
      <w:r w:rsidR="00F663B5">
        <w:t>e</w:t>
      </w:r>
      <w:r w:rsidR="00DA26A3">
        <w:t xml:space="preserve"> reliability risks</w:t>
      </w:r>
      <w:r w:rsidR="00DA131C">
        <w:t>.</w:t>
      </w:r>
      <w:r w:rsidR="006C2855">
        <w:rPr>
          <w:rStyle w:val="FootnoteReference"/>
        </w:rPr>
        <w:footnoteReference w:id="10"/>
      </w:r>
      <w:r w:rsidR="00AD2F55">
        <w:t xml:space="preserve"> </w:t>
      </w:r>
    </w:p>
    <w:p w14:paraId="2C4AB828" w14:textId="5AFCD073" w:rsidR="003652FB" w:rsidRDefault="003652FB" w:rsidP="00B52C21">
      <w:pPr>
        <w:spacing w:line="480" w:lineRule="auto"/>
      </w:pPr>
    </w:p>
    <w:p w14:paraId="09B1B490" w14:textId="68707A50" w:rsidR="00402029" w:rsidRDefault="00384223" w:rsidP="00B52C21">
      <w:pPr>
        <w:pStyle w:val="Heading2"/>
        <w:ind w:left="1440" w:hanging="720"/>
      </w:pPr>
      <w:bookmarkStart w:id="28" w:name="_Toc444771586"/>
      <w:bookmarkStart w:id="29" w:name="_Toc444771628"/>
      <w:bookmarkStart w:id="30" w:name="_Toc445371382"/>
      <w:bookmarkStart w:id="31" w:name="_Toc445371422"/>
      <w:bookmarkStart w:id="32" w:name="_Toc445381687"/>
      <w:bookmarkEnd w:id="28"/>
      <w:bookmarkEnd w:id="29"/>
      <w:r>
        <w:t xml:space="preserve">Known and </w:t>
      </w:r>
      <w:r w:rsidR="00472AEB">
        <w:t>Measurable Standard</w:t>
      </w:r>
      <w:bookmarkEnd w:id="30"/>
      <w:bookmarkEnd w:id="31"/>
      <w:bookmarkEnd w:id="32"/>
    </w:p>
    <w:p w14:paraId="65257117" w14:textId="77777777" w:rsidR="00B52C21" w:rsidRPr="00B52C21" w:rsidRDefault="00B52C21" w:rsidP="00B52C21">
      <w:pPr>
        <w:spacing w:line="480" w:lineRule="auto"/>
      </w:pPr>
    </w:p>
    <w:p w14:paraId="07D2C1AF" w14:textId="258EE2A3" w:rsidR="00C3478D" w:rsidRDefault="00C3478D" w:rsidP="00B52C21">
      <w:pPr>
        <w:pStyle w:val="Heading8"/>
      </w:pPr>
      <w:r>
        <w:t>Q.</w:t>
      </w:r>
      <w:r>
        <w:tab/>
      </w:r>
      <w:r w:rsidR="00255F34">
        <w:t>What is the standard for a</w:t>
      </w:r>
      <w:r>
        <w:t xml:space="preserve"> </w:t>
      </w:r>
      <w:r w:rsidR="00644154">
        <w:t>known and m</w:t>
      </w:r>
      <w:r>
        <w:t xml:space="preserve">easurable </w:t>
      </w:r>
      <w:r w:rsidR="00255F34">
        <w:t>pro forma adjustment?</w:t>
      </w:r>
    </w:p>
    <w:p w14:paraId="6E79622C" w14:textId="5BCF51AE" w:rsidR="009E6558" w:rsidRDefault="00C3478D" w:rsidP="00B52C21">
      <w:pPr>
        <w:spacing w:line="480" w:lineRule="auto"/>
        <w:ind w:left="720" w:hanging="720"/>
      </w:pPr>
      <w:r>
        <w:lastRenderedPageBreak/>
        <w:t>A.</w:t>
      </w:r>
      <w:r>
        <w:tab/>
      </w:r>
      <w:r w:rsidR="00560DB5">
        <w:t>T</w:t>
      </w:r>
      <w:r w:rsidR="009E6558">
        <w:t>he Commission has described the known and measurable standard</w:t>
      </w:r>
      <w:r w:rsidR="00560DB5">
        <w:t xml:space="preserve"> in a prior decision as follows:</w:t>
      </w:r>
      <w:r w:rsidR="009E6558" w:rsidRPr="009E6558">
        <w:t xml:space="preserve"> </w:t>
      </w:r>
    </w:p>
    <w:p w14:paraId="54BA37B5" w14:textId="45377BFD" w:rsidR="00B52C21" w:rsidRDefault="005C675A" w:rsidP="0048502B">
      <w:pPr>
        <w:ind w:left="1440" w:right="720"/>
      </w:pPr>
      <w:r w:rsidRPr="005C675A">
        <w:t xml:space="preserve">The known and measurable test requires that an event that causes a change in revenue, expense or rate </w:t>
      </w:r>
      <w:r w:rsidR="00521197" w:rsidRPr="00521197">
        <w:t xml:space="preserve">base </w:t>
      </w:r>
      <w:r w:rsidRPr="005C675A">
        <w:t xml:space="preserve">must be </w:t>
      </w:r>
      <w:r w:rsidRPr="00294175">
        <w:rPr>
          <w:i/>
        </w:rPr>
        <w:t>known</w:t>
      </w:r>
      <w:r w:rsidRPr="005C675A">
        <w:t xml:space="preserve"> to have occurred during, or reasonably soon after, the historical 12 months of actual results of operations, and the effect of that event will be in place during the 12-month period when rates will likely be in</w:t>
      </w:r>
      <w:r w:rsidR="00521197">
        <w:t xml:space="preserve"> </w:t>
      </w:r>
      <w:r w:rsidRPr="005C675A">
        <w:t xml:space="preserve">effect. Furthermore, the actual amount of the change must be </w:t>
      </w:r>
      <w:r w:rsidRPr="00294175">
        <w:rPr>
          <w:i/>
        </w:rPr>
        <w:t>measurable</w:t>
      </w:r>
      <w:r w:rsidRPr="005C675A">
        <w:t>. This means the amount typically cannot be an estimate, a projection, the product of a budget forecast, or some similar exercise of judgment – even informed judgment – concerning future revenue, expense or rate base.</w:t>
      </w:r>
      <w:r w:rsidR="00DA26A3">
        <w:rPr>
          <w:rStyle w:val="FootnoteReference"/>
        </w:rPr>
        <w:footnoteReference w:id="11"/>
      </w:r>
    </w:p>
    <w:p w14:paraId="3D1AB010" w14:textId="77777777" w:rsidR="00C86781" w:rsidRDefault="00C86781" w:rsidP="00521197">
      <w:pPr>
        <w:ind w:left="1440" w:right="18"/>
      </w:pPr>
    </w:p>
    <w:p w14:paraId="2ED3B65A" w14:textId="29A3C062" w:rsidR="00C3478D" w:rsidRDefault="00C3478D" w:rsidP="00A879F6">
      <w:pPr>
        <w:spacing w:line="480" w:lineRule="auto"/>
        <w:ind w:left="720"/>
      </w:pPr>
      <w:r>
        <w:t xml:space="preserve">Costs that are documented by actual expenditure, invoice, contract, or other specific obligation </w:t>
      </w:r>
      <w:r w:rsidR="00255F34">
        <w:t xml:space="preserve">generally </w:t>
      </w:r>
      <w:r>
        <w:t>meet this test.</w:t>
      </w:r>
      <w:r w:rsidR="00AD2F55">
        <w:t xml:space="preserve"> </w:t>
      </w:r>
    </w:p>
    <w:p w14:paraId="1178E681" w14:textId="77777777" w:rsidR="00C3478D" w:rsidRPr="000E3F56" w:rsidRDefault="00C3478D" w:rsidP="003C7E54">
      <w:pPr>
        <w:pStyle w:val="NoSpacing"/>
      </w:pPr>
    </w:p>
    <w:p w14:paraId="5A193CEB" w14:textId="211FDA19" w:rsidR="003138F9" w:rsidRPr="009A2445" w:rsidRDefault="003138F9" w:rsidP="003C7E54">
      <w:pPr>
        <w:pStyle w:val="Heading8"/>
      </w:pPr>
      <w:r w:rsidRPr="009A2445">
        <w:t xml:space="preserve">Q. </w:t>
      </w:r>
      <w:r w:rsidRPr="009A2445">
        <w:tab/>
      </w:r>
      <w:r>
        <w:t xml:space="preserve">Using </w:t>
      </w:r>
      <w:r w:rsidR="00560DB5">
        <w:t xml:space="preserve">these </w:t>
      </w:r>
      <w:r>
        <w:t xml:space="preserve">criteria, </w:t>
      </w:r>
      <w:r w:rsidR="00A879F6">
        <w:t>would SCADA EMS</w:t>
      </w:r>
      <w:r w:rsidR="00521197">
        <w:t xml:space="preserve"> and </w:t>
      </w:r>
      <w:r w:rsidR="00A879F6">
        <w:t xml:space="preserve">Union Gap </w:t>
      </w:r>
      <w:r>
        <w:t>be allowed as traditional pro forma rate base additions?</w:t>
      </w:r>
      <w:r w:rsidRPr="009A2445">
        <w:t xml:space="preserve"> </w:t>
      </w:r>
    </w:p>
    <w:p w14:paraId="7E22A562" w14:textId="00BEBEBA" w:rsidR="00B95E8E" w:rsidRDefault="003138F9" w:rsidP="0045770B">
      <w:pPr>
        <w:spacing w:line="480" w:lineRule="auto"/>
        <w:ind w:left="720" w:hanging="720"/>
      </w:pPr>
      <w:r w:rsidRPr="009C56A6">
        <w:t>A.</w:t>
      </w:r>
      <w:r w:rsidRPr="009C56A6">
        <w:tab/>
      </w:r>
      <w:r w:rsidR="001542C7">
        <w:t>Yes,</w:t>
      </w:r>
      <w:r w:rsidR="002D1CE4">
        <w:t xml:space="preserve"> the </w:t>
      </w:r>
      <w:r w:rsidR="002D1CE4" w:rsidRPr="002D1CE4">
        <w:t>SCADA EMS and Union Gap</w:t>
      </w:r>
      <w:r w:rsidR="002D1CE4">
        <w:t xml:space="preserve"> projects are appropriate pro forma rate base additions</w:t>
      </w:r>
      <w:r w:rsidR="000D4FEE">
        <w:t xml:space="preserve"> for several reasons</w:t>
      </w:r>
      <w:r w:rsidR="002D1CE4">
        <w:t xml:space="preserve">. </w:t>
      </w:r>
      <w:r w:rsidR="0045770B">
        <w:t xml:space="preserve">First, the projects </w:t>
      </w:r>
      <w:r w:rsidR="006C7139">
        <w:t>could</w:t>
      </w:r>
      <w:r w:rsidR="0045770B">
        <w:t xml:space="preserve"> be considered traditional rate base additions because they </w:t>
      </w:r>
      <w:r w:rsidR="002D1CE4">
        <w:t xml:space="preserve">both </w:t>
      </w:r>
      <w:r>
        <w:t xml:space="preserve">will be in service before the start of the </w:t>
      </w:r>
      <w:r w:rsidR="002141BB">
        <w:t xml:space="preserve">2017 </w:t>
      </w:r>
      <w:r>
        <w:t xml:space="preserve">rate year. Further, Staff has </w:t>
      </w:r>
      <w:r w:rsidR="002141BB">
        <w:t>already</w:t>
      </w:r>
      <w:r>
        <w:t xml:space="preserve"> audit</w:t>
      </w:r>
      <w:r w:rsidR="002141BB">
        <w:t>ed</w:t>
      </w:r>
      <w:r>
        <w:t xml:space="preserve"> the </w:t>
      </w:r>
      <w:r w:rsidR="002141BB">
        <w:t>costs that</w:t>
      </w:r>
      <w:r w:rsidR="000D4FEE">
        <w:t xml:space="preserve"> the Company</w:t>
      </w:r>
      <w:r w:rsidR="002141BB">
        <w:t xml:space="preserve"> incurred to date, and such costs appear</w:t>
      </w:r>
      <w:r>
        <w:t xml:space="preserve"> reasonable.</w:t>
      </w:r>
      <w:r w:rsidR="00B95E8E">
        <w:t xml:space="preserve"> Additionally, Staff will have an opportunity</w:t>
      </w:r>
      <w:r w:rsidR="00560DB5">
        <w:t xml:space="preserve"> following the Company’s attestation filing</w:t>
      </w:r>
      <w:r w:rsidR="00B95E8E">
        <w:t xml:space="preserve"> to review the final costs for both projects before any costs are included in the 2017 rate year.</w:t>
      </w:r>
      <w:r w:rsidR="00AD2F55">
        <w:t xml:space="preserve"> </w:t>
      </w:r>
    </w:p>
    <w:p w14:paraId="1682E7A2" w14:textId="77777777" w:rsidR="00521197" w:rsidRDefault="00521197" w:rsidP="00A879F6">
      <w:pPr>
        <w:spacing w:line="480" w:lineRule="auto"/>
        <w:ind w:left="720" w:firstLine="720"/>
      </w:pPr>
    </w:p>
    <w:p w14:paraId="41548D0E" w14:textId="6DC55EB9" w:rsidR="00521197" w:rsidRPr="009A2445" w:rsidRDefault="00521197" w:rsidP="00521197">
      <w:pPr>
        <w:pStyle w:val="Heading8"/>
      </w:pPr>
      <w:r w:rsidRPr="009A2445">
        <w:lastRenderedPageBreak/>
        <w:t xml:space="preserve">Q. </w:t>
      </w:r>
      <w:r w:rsidRPr="009A2445">
        <w:tab/>
      </w:r>
      <w:r>
        <w:t xml:space="preserve">Would </w:t>
      </w:r>
      <w:r w:rsidR="0040171B">
        <w:t>the Production Tax Credit</w:t>
      </w:r>
      <w:r>
        <w:t xml:space="preserve"> be allowed as traditional pro forma adjustment to expense?</w:t>
      </w:r>
      <w:r w:rsidRPr="009A2445">
        <w:t xml:space="preserve"> </w:t>
      </w:r>
    </w:p>
    <w:p w14:paraId="78031C40" w14:textId="0F5C3033" w:rsidR="00644154" w:rsidRDefault="00E84595" w:rsidP="00A879F6">
      <w:pPr>
        <w:spacing w:line="480" w:lineRule="auto"/>
        <w:ind w:left="720" w:firstLine="720"/>
      </w:pPr>
      <w:r>
        <w:t xml:space="preserve">Yes. </w:t>
      </w:r>
      <w:r w:rsidR="00521197">
        <w:t>T</w:t>
      </w:r>
      <w:r w:rsidR="0045770B">
        <w:t xml:space="preserve">he impact of the Production </w:t>
      </w:r>
      <w:r w:rsidR="006C7139">
        <w:t>Tax C</w:t>
      </w:r>
      <w:r w:rsidR="0045770B">
        <w:t>redit</w:t>
      </w:r>
      <w:r w:rsidR="006C7139">
        <w:t xml:space="preserve"> in expenses</w:t>
      </w:r>
      <w:r w:rsidR="0045770B">
        <w:t xml:space="preserve"> </w:t>
      </w:r>
      <w:r w:rsidR="0045770B" w:rsidRPr="0045770B">
        <w:t xml:space="preserve">is known and measurable </w:t>
      </w:r>
      <w:r w:rsidR="00B95E8E">
        <w:t>because</w:t>
      </w:r>
      <w:r w:rsidR="00B95E8E" w:rsidRPr="0045770B">
        <w:t xml:space="preserve"> </w:t>
      </w:r>
      <w:r w:rsidR="0045770B" w:rsidRPr="0045770B">
        <w:t>the amount is calculated</w:t>
      </w:r>
      <w:r w:rsidR="00F83CBC">
        <w:t xml:space="preserve"> based on the value of kilowatt-</w:t>
      </w:r>
      <w:r w:rsidR="0045770B" w:rsidRPr="0045770B">
        <w:t xml:space="preserve">hours produced in the facilities that will no longer receive the tax credit. The </w:t>
      </w:r>
      <w:r w:rsidR="00F83CBC">
        <w:t>C</w:t>
      </w:r>
      <w:r w:rsidR="0045770B" w:rsidRPr="0045770B">
        <w:t>ompany will lose $11.6 m</w:t>
      </w:r>
      <w:r w:rsidR="009737EF">
        <w:t>illion</w:t>
      </w:r>
      <w:r w:rsidR="0045770B" w:rsidRPr="0045770B">
        <w:t xml:space="preserve"> in</w:t>
      </w:r>
      <w:r w:rsidR="00120EF1">
        <w:t xml:space="preserve"> the West</w:t>
      </w:r>
      <w:r w:rsidR="0045770B" w:rsidRPr="0045770B">
        <w:t xml:space="preserve"> </w:t>
      </w:r>
      <w:r w:rsidR="00120EF1">
        <w:t>C</w:t>
      </w:r>
      <w:r w:rsidR="0045770B" w:rsidRPr="0045770B">
        <w:t xml:space="preserve">ontrol </w:t>
      </w:r>
      <w:r w:rsidR="00120EF1">
        <w:t>A</w:t>
      </w:r>
      <w:r w:rsidR="0045770B" w:rsidRPr="0045770B">
        <w:t>rea PTCs in the 12-month period between May 1</w:t>
      </w:r>
      <w:r w:rsidR="00F83CBC">
        <w:t>,</w:t>
      </w:r>
      <w:r w:rsidR="0045770B" w:rsidRPr="0045770B">
        <w:t xml:space="preserve"> 2017</w:t>
      </w:r>
      <w:r w:rsidR="00F83CBC">
        <w:t>,</w:t>
      </w:r>
      <w:r w:rsidR="0045770B" w:rsidRPr="0045770B">
        <w:t xml:space="preserve"> and April 30, 2018.</w:t>
      </w:r>
      <w:r w:rsidR="00D9175A">
        <w:rPr>
          <w:rStyle w:val="FootnoteReference"/>
        </w:rPr>
        <w:footnoteReference w:id="12"/>
      </w:r>
      <w:r w:rsidR="00AD2F55">
        <w:t xml:space="preserve"> </w:t>
      </w:r>
      <w:r w:rsidR="006C7139">
        <w:t xml:space="preserve">This </w:t>
      </w:r>
      <w:r w:rsidR="00560DB5">
        <w:t xml:space="preserve">loss </w:t>
      </w:r>
      <w:r w:rsidR="006C7139" w:rsidRPr="0045770B">
        <w:t>result</w:t>
      </w:r>
      <w:r w:rsidR="006C7139">
        <w:t>s in</w:t>
      </w:r>
      <w:r w:rsidR="0045770B" w:rsidRPr="0045770B">
        <w:t xml:space="preserve"> $2,625,951 in</w:t>
      </w:r>
      <w:r w:rsidR="006C7139">
        <w:t xml:space="preserve"> additional</w:t>
      </w:r>
      <w:r w:rsidR="0045770B" w:rsidRPr="0045770B">
        <w:t xml:space="preserve"> revenue requirement.</w:t>
      </w:r>
    </w:p>
    <w:p w14:paraId="5ED4D060" w14:textId="77777777" w:rsidR="0031613F" w:rsidRDefault="0031613F" w:rsidP="008D0352">
      <w:pPr>
        <w:spacing w:line="480" w:lineRule="auto"/>
        <w:ind w:left="720" w:hanging="720"/>
      </w:pPr>
    </w:p>
    <w:p w14:paraId="789B5D11" w14:textId="4207C9C1" w:rsidR="00C30FE8" w:rsidRDefault="00384223" w:rsidP="00E70073">
      <w:pPr>
        <w:pStyle w:val="Heading2"/>
        <w:keepNext/>
        <w:ind w:left="1440" w:hanging="720"/>
      </w:pPr>
      <w:bookmarkStart w:id="33" w:name="_Toc445371383"/>
      <w:bookmarkStart w:id="34" w:name="_Toc445371423"/>
      <w:bookmarkStart w:id="35" w:name="_Toc445381688"/>
      <w:r>
        <w:t>Prudenc</w:t>
      </w:r>
      <w:r w:rsidR="00AD2F55">
        <w:t>e Review</w:t>
      </w:r>
      <w:r w:rsidR="008572E4">
        <w:t xml:space="preserve"> of </w:t>
      </w:r>
      <w:r w:rsidR="00B95E8E">
        <w:t>Projects</w:t>
      </w:r>
      <w:bookmarkEnd w:id="33"/>
      <w:bookmarkEnd w:id="34"/>
      <w:bookmarkEnd w:id="35"/>
    </w:p>
    <w:p w14:paraId="0CAC7EB3" w14:textId="7BF254BC" w:rsidR="006342DD" w:rsidRPr="006342DD" w:rsidRDefault="006342DD" w:rsidP="00E70073">
      <w:pPr>
        <w:keepNext/>
        <w:spacing w:line="480" w:lineRule="auto"/>
      </w:pPr>
    </w:p>
    <w:p w14:paraId="4BC13F79" w14:textId="766C0DB7" w:rsidR="00B10042" w:rsidRPr="00F720F8" w:rsidRDefault="00B10042" w:rsidP="00E70073">
      <w:pPr>
        <w:pStyle w:val="Heading8"/>
        <w:keepNext/>
      </w:pPr>
      <w:r w:rsidRPr="00F720F8">
        <w:t>Q.</w:t>
      </w:r>
      <w:r w:rsidRPr="00F720F8">
        <w:tab/>
      </w:r>
      <w:r>
        <w:t>Is a prudenc</w:t>
      </w:r>
      <w:r w:rsidR="00AD2F55">
        <w:t>e</w:t>
      </w:r>
      <w:r>
        <w:t xml:space="preserve"> determination for Union Gap and SCADA EMS necessary</w:t>
      </w:r>
      <w:r w:rsidRPr="00FB6B13">
        <w:t>?</w:t>
      </w:r>
    </w:p>
    <w:p w14:paraId="4FACE70A" w14:textId="7021F2DC" w:rsidR="00B10042" w:rsidRDefault="00B10042" w:rsidP="00B10042">
      <w:pPr>
        <w:spacing w:line="480" w:lineRule="auto"/>
        <w:ind w:left="720" w:hanging="720"/>
        <w:rPr>
          <w:rFonts w:eastAsia="Times New Roman"/>
        </w:rPr>
      </w:pPr>
      <w:r w:rsidRPr="00F720F8">
        <w:t>A.</w:t>
      </w:r>
      <w:r w:rsidRPr="00F720F8">
        <w:tab/>
      </w:r>
      <w:r w:rsidRPr="00945B2E">
        <w:rPr>
          <w:rFonts w:eastAsia="Times New Roman"/>
        </w:rPr>
        <w:t>Yes. The Commission did</w:t>
      </w:r>
      <w:r>
        <w:rPr>
          <w:rFonts w:eastAsia="Times New Roman"/>
        </w:rPr>
        <w:t xml:space="preserve"> not discuss the prudence of Union Gap</w:t>
      </w:r>
      <w:r w:rsidRPr="00945B2E">
        <w:rPr>
          <w:rFonts w:eastAsia="Times New Roman"/>
        </w:rPr>
        <w:t xml:space="preserve"> Second sequence in its final order for</w:t>
      </w:r>
      <w:r>
        <w:rPr>
          <w:rFonts w:eastAsia="Times New Roman"/>
        </w:rPr>
        <w:t xml:space="preserve"> Pacific Power’s last </w:t>
      </w:r>
      <w:r w:rsidR="006342DD">
        <w:rPr>
          <w:rFonts w:eastAsia="Times New Roman"/>
        </w:rPr>
        <w:t>general rate case</w:t>
      </w:r>
      <w:r>
        <w:rPr>
          <w:rFonts w:eastAsia="Times New Roman"/>
        </w:rPr>
        <w:t>.</w:t>
      </w:r>
      <w:r w:rsidR="00AD2F55">
        <w:rPr>
          <w:rFonts w:eastAsia="Times New Roman"/>
        </w:rPr>
        <w:t xml:space="preserve"> </w:t>
      </w:r>
      <w:r>
        <w:rPr>
          <w:rFonts w:eastAsia="Times New Roman"/>
        </w:rPr>
        <w:t xml:space="preserve">The SCADA EMS rate base addition has not been brought to the Commission for cost recovery in the past. Therefore, </w:t>
      </w:r>
      <w:r w:rsidR="00AD2F55">
        <w:rPr>
          <w:rFonts w:eastAsia="Times New Roman"/>
        </w:rPr>
        <w:t xml:space="preserve">the </w:t>
      </w:r>
      <w:r w:rsidR="00155F29">
        <w:rPr>
          <w:rFonts w:eastAsia="Times New Roman"/>
        </w:rPr>
        <w:t>Commission has not examined the prudence of either project</w:t>
      </w:r>
      <w:r>
        <w:rPr>
          <w:rFonts w:eastAsia="Times New Roman"/>
        </w:rPr>
        <w:t>.</w:t>
      </w:r>
    </w:p>
    <w:p w14:paraId="37283B8E" w14:textId="77777777" w:rsidR="00B10042" w:rsidRPr="009A3232" w:rsidRDefault="00B10042" w:rsidP="00B10042">
      <w:pPr>
        <w:spacing w:line="480" w:lineRule="auto"/>
        <w:ind w:left="720" w:hanging="720"/>
        <w:rPr>
          <w:rFonts w:eastAsia="Times New Roman"/>
        </w:rPr>
      </w:pPr>
    </w:p>
    <w:p w14:paraId="1D819705" w14:textId="440C81A7" w:rsidR="00B10042" w:rsidRDefault="00AD2F55" w:rsidP="00B10042">
      <w:pPr>
        <w:pStyle w:val="Heading8"/>
      </w:pPr>
      <w:r>
        <w:t>Q.</w:t>
      </w:r>
      <w:r>
        <w:tab/>
        <w:t>Please describe the prudence</w:t>
      </w:r>
      <w:r w:rsidR="00B10042">
        <w:t xml:space="preserve"> review process in this case.</w:t>
      </w:r>
    </w:p>
    <w:p w14:paraId="0F8B6BE4" w14:textId="053ECD43" w:rsidR="00B10042" w:rsidRDefault="00B10042" w:rsidP="00344F0F">
      <w:pPr>
        <w:spacing w:line="480" w:lineRule="auto"/>
        <w:ind w:left="720" w:hanging="720"/>
      </w:pPr>
      <w:r>
        <w:t>A.</w:t>
      </w:r>
      <w:r>
        <w:tab/>
        <w:t xml:space="preserve">Staff </w:t>
      </w:r>
      <w:r w:rsidR="00870596">
        <w:t>has approached</w:t>
      </w:r>
      <w:r w:rsidR="008A1C65">
        <w:t xml:space="preserve"> </w:t>
      </w:r>
      <w:r>
        <w:t>the prudenc</w:t>
      </w:r>
      <w:r w:rsidR="00AD2F55">
        <w:t>e</w:t>
      </w:r>
      <w:r>
        <w:t xml:space="preserve"> review </w:t>
      </w:r>
      <w:r w:rsidR="008A1C65">
        <w:t xml:space="preserve">for </w:t>
      </w:r>
      <w:r w:rsidR="008A1C65" w:rsidRPr="008A1C65">
        <w:t xml:space="preserve">Union Gap and SCADA EMS </w:t>
      </w:r>
      <w:r>
        <w:t>as a two-step process</w:t>
      </w:r>
      <w:r w:rsidR="008A1C65">
        <w:t xml:space="preserve"> because the information needed to evaluate </w:t>
      </w:r>
      <w:r w:rsidR="008A1C65" w:rsidRPr="008A1C65">
        <w:t xml:space="preserve">the </w:t>
      </w:r>
      <w:r w:rsidR="008A1C65">
        <w:t>prudenc</w:t>
      </w:r>
      <w:r w:rsidR="00AD2F55">
        <w:t>e</w:t>
      </w:r>
      <w:r w:rsidR="008A1C65">
        <w:t xml:space="preserve"> of the </w:t>
      </w:r>
      <w:r w:rsidR="00091141">
        <w:t>C</w:t>
      </w:r>
      <w:r w:rsidR="008A1C65" w:rsidRPr="008A1C65">
        <w:t xml:space="preserve">ompany’s decision to go forward with </w:t>
      </w:r>
      <w:r w:rsidR="008A1C65">
        <w:t>both</w:t>
      </w:r>
      <w:r w:rsidR="008A1C65" w:rsidRPr="008A1C65">
        <w:t xml:space="preserve"> projects</w:t>
      </w:r>
      <w:r w:rsidR="008A1C65">
        <w:t xml:space="preserve"> is already available, but each </w:t>
      </w:r>
      <w:r w:rsidR="008A1C65" w:rsidRPr="008A1C65">
        <w:t>project’</w:t>
      </w:r>
      <w:r w:rsidR="008A1C65">
        <w:t>s</w:t>
      </w:r>
      <w:r w:rsidR="008A1C65" w:rsidRPr="008A1C65">
        <w:t xml:space="preserve"> final closeout costs</w:t>
      </w:r>
      <w:r w:rsidR="008A1C65">
        <w:t xml:space="preserve"> are not yet available. Accordingly, </w:t>
      </w:r>
      <w:r w:rsidR="00FE7D45">
        <w:t xml:space="preserve">in this testimony, </w:t>
      </w:r>
      <w:r w:rsidR="008A1C65">
        <w:lastRenderedPageBreak/>
        <w:t xml:space="preserve">Staff </w:t>
      </w:r>
      <w:r>
        <w:t>assess</w:t>
      </w:r>
      <w:r w:rsidR="008A1C65">
        <w:t>es</w:t>
      </w:r>
      <w:r>
        <w:t xml:space="preserve"> the appropriateness of the </w:t>
      </w:r>
      <w:r w:rsidR="00C62878">
        <w:t xml:space="preserve">decision to go forward with </w:t>
      </w:r>
      <w:r w:rsidR="00FE7D45">
        <w:t xml:space="preserve">each </w:t>
      </w:r>
      <w:r w:rsidR="00C62878">
        <w:t>project</w:t>
      </w:r>
      <w:r>
        <w:t xml:space="preserve"> and </w:t>
      </w:r>
      <w:r w:rsidR="00FE7D45">
        <w:t xml:space="preserve">the </w:t>
      </w:r>
      <w:r>
        <w:t>costs that are already known and measurable using the prudenc</w:t>
      </w:r>
      <w:r w:rsidR="00AD2F55">
        <w:t>e</w:t>
      </w:r>
      <w:r>
        <w:t xml:space="preserve"> standard and the four main prudenc</w:t>
      </w:r>
      <w:r w:rsidR="00AD2F55">
        <w:t>e</w:t>
      </w:r>
      <w:r>
        <w:t xml:space="preserve"> factors. </w:t>
      </w:r>
      <w:r w:rsidR="00D51F2B">
        <w:t>Staff will complete the second step</w:t>
      </w:r>
      <w:r w:rsidR="00FE7D45">
        <w:t xml:space="preserve"> </w:t>
      </w:r>
      <w:r w:rsidR="00D51F2B">
        <w:t xml:space="preserve">once </w:t>
      </w:r>
      <w:r w:rsidR="00FE7D45">
        <w:t>t</w:t>
      </w:r>
      <w:r w:rsidR="008572E4" w:rsidRPr="008572E4">
        <w:t xml:space="preserve">he </w:t>
      </w:r>
      <w:r w:rsidR="00091141">
        <w:t>C</w:t>
      </w:r>
      <w:r w:rsidR="008572E4" w:rsidRPr="008572E4">
        <w:t>ompany provide</w:t>
      </w:r>
      <w:r w:rsidR="00D51F2B">
        <w:t>s</w:t>
      </w:r>
      <w:r w:rsidR="008572E4" w:rsidRPr="008572E4">
        <w:t xml:space="preserve"> </w:t>
      </w:r>
      <w:r w:rsidR="008572E4">
        <w:t xml:space="preserve">the data pertaining to </w:t>
      </w:r>
      <w:r w:rsidR="00FE7D45">
        <w:t xml:space="preserve">final </w:t>
      </w:r>
      <w:r w:rsidR="008572E4">
        <w:t>costs</w:t>
      </w:r>
      <w:r w:rsidR="00FE7D45">
        <w:t xml:space="preserve"> </w:t>
      </w:r>
      <w:r w:rsidR="00D51F2B">
        <w:t>for each project in an attestation filing next spring</w:t>
      </w:r>
      <w:r w:rsidR="0065243F">
        <w:t>.</w:t>
      </w:r>
      <w:r w:rsidR="003C415D">
        <w:t xml:space="preserve"> This approach is consistent with the evaluation of information about costs and decisions that are known and measurable.</w:t>
      </w:r>
      <w:r w:rsidR="008572E4">
        <w:t xml:space="preserve"> </w:t>
      </w:r>
      <w:r w:rsidR="003C415D">
        <w:t xml:space="preserve">Projects </w:t>
      </w:r>
      <w:r w:rsidR="00870596">
        <w:t>involving</w:t>
      </w:r>
      <w:r w:rsidR="005201BB">
        <w:t xml:space="preserve"> capital</w:t>
      </w:r>
      <w:r w:rsidR="003C415D">
        <w:t xml:space="preserve"> additions of these magnitudes involve a significant amount of planning and decision making long before the actual developing begins.</w:t>
      </w:r>
      <w:r w:rsidR="005201BB">
        <w:t xml:space="preserve"> </w:t>
      </w:r>
      <w:r w:rsidR="00870596">
        <w:t xml:space="preserve">Accordingly, </w:t>
      </w:r>
      <w:r w:rsidR="005201BB">
        <w:t xml:space="preserve">Staff </w:t>
      </w:r>
      <w:r w:rsidR="00870596">
        <w:t>has reviewed</w:t>
      </w:r>
      <w:r w:rsidR="005201BB">
        <w:t xml:space="preserve"> </w:t>
      </w:r>
      <w:r w:rsidR="00124AD9">
        <w:t xml:space="preserve">the </w:t>
      </w:r>
      <w:r w:rsidR="000B0810">
        <w:t>information</w:t>
      </w:r>
      <w:r w:rsidR="005201BB">
        <w:t xml:space="preserve"> regarding the decision making that led to the creation of these capital additions.</w:t>
      </w:r>
    </w:p>
    <w:p w14:paraId="72B6D1D5" w14:textId="77777777" w:rsidR="00B10042" w:rsidRDefault="00B10042" w:rsidP="00B10042">
      <w:pPr>
        <w:spacing w:line="480" w:lineRule="auto"/>
        <w:ind w:left="720" w:hanging="720"/>
      </w:pPr>
    </w:p>
    <w:p w14:paraId="6A9CC792" w14:textId="1CE3D6F8" w:rsidR="00B10042" w:rsidRPr="00A969A2" w:rsidRDefault="00B10042" w:rsidP="00B10042">
      <w:pPr>
        <w:pStyle w:val="NoSpacing"/>
        <w:rPr>
          <w:b/>
        </w:rPr>
      </w:pPr>
      <w:r w:rsidRPr="00A969A2">
        <w:rPr>
          <w:b/>
        </w:rPr>
        <w:t>Q.</w:t>
      </w:r>
      <w:r w:rsidRPr="00A969A2">
        <w:rPr>
          <w:b/>
        </w:rPr>
        <w:tab/>
      </w:r>
      <w:r>
        <w:rPr>
          <w:b/>
        </w:rPr>
        <w:t>Please summarize your conclusion about the prudenc</w:t>
      </w:r>
      <w:r w:rsidR="00AD2F55">
        <w:rPr>
          <w:b/>
        </w:rPr>
        <w:t>e</w:t>
      </w:r>
      <w:r>
        <w:rPr>
          <w:b/>
        </w:rPr>
        <w:t xml:space="preserve"> of </w:t>
      </w:r>
      <w:r w:rsidRPr="00A969A2">
        <w:rPr>
          <w:b/>
        </w:rPr>
        <w:t>Union Gap and SCADA EMS</w:t>
      </w:r>
      <w:r>
        <w:rPr>
          <w:b/>
        </w:rPr>
        <w:t>.</w:t>
      </w:r>
    </w:p>
    <w:p w14:paraId="2B001CC2" w14:textId="1DB5D00A" w:rsidR="00E70073" w:rsidRDefault="00B10042" w:rsidP="00EC2770">
      <w:pPr>
        <w:pStyle w:val="NoSpacing"/>
      </w:pPr>
      <w:r w:rsidRPr="00A969A2">
        <w:t>A.</w:t>
      </w:r>
      <w:r w:rsidRPr="00A969A2">
        <w:tab/>
      </w:r>
      <w:r>
        <w:t xml:space="preserve">After analyzing the information provided by the </w:t>
      </w:r>
      <w:r w:rsidR="004C53F4">
        <w:t>C</w:t>
      </w:r>
      <w:r>
        <w:t>ompany, performing an onsite visit of SCADA EMS facilities, and reviewing Pacific Power’s direct testimony</w:t>
      </w:r>
      <w:r w:rsidR="00D51F2B">
        <w:t>,</w:t>
      </w:r>
      <w:r>
        <w:t xml:space="preserve"> </w:t>
      </w:r>
      <w:r w:rsidR="004C53F4">
        <w:t>Staff</w:t>
      </w:r>
      <w:r>
        <w:t xml:space="preserve"> recommend</w:t>
      </w:r>
      <w:r w:rsidR="004C53F4">
        <w:t>s</w:t>
      </w:r>
      <w:r>
        <w:t xml:space="preserve"> that</w:t>
      </w:r>
      <w:r w:rsidRPr="00091A42">
        <w:t xml:space="preserve"> </w:t>
      </w:r>
      <w:r>
        <w:t xml:space="preserve">the Commission find </w:t>
      </w:r>
      <w:r w:rsidR="00870596">
        <w:t xml:space="preserve">that </w:t>
      </w:r>
      <w:r>
        <w:t>the decision to</w:t>
      </w:r>
      <w:r w:rsidR="00B72C5F">
        <w:t xml:space="preserve"> </w:t>
      </w:r>
      <w:r w:rsidR="00BE2973">
        <w:t xml:space="preserve">proceed with </w:t>
      </w:r>
      <w:r>
        <w:t xml:space="preserve">both projects </w:t>
      </w:r>
      <w:r w:rsidR="00870596">
        <w:t xml:space="preserve">was </w:t>
      </w:r>
      <w:r>
        <w:t>prudent.</w:t>
      </w:r>
    </w:p>
    <w:p w14:paraId="72F32457" w14:textId="3E5C08BB" w:rsidR="00B539F9" w:rsidRDefault="00B10042" w:rsidP="00EC2770">
      <w:pPr>
        <w:pStyle w:val="NoSpacing"/>
      </w:pPr>
      <w:r>
        <w:t xml:space="preserve"> </w:t>
      </w:r>
    </w:p>
    <w:p w14:paraId="0695C07C" w14:textId="0DD7B32B" w:rsidR="00B10042" w:rsidRDefault="00B10042" w:rsidP="00E70073">
      <w:pPr>
        <w:pStyle w:val="Heading2"/>
        <w:numPr>
          <w:ilvl w:val="0"/>
          <w:numId w:val="38"/>
        </w:numPr>
        <w:ind w:left="2160" w:hanging="720"/>
      </w:pPr>
      <w:bookmarkStart w:id="36" w:name="_Toc445371384"/>
      <w:bookmarkStart w:id="37" w:name="_Toc445371424"/>
      <w:bookmarkStart w:id="38" w:name="_Toc445381689"/>
      <w:r>
        <w:t>Prudence Standard</w:t>
      </w:r>
      <w:bookmarkEnd w:id="36"/>
      <w:bookmarkEnd w:id="37"/>
      <w:bookmarkEnd w:id="38"/>
    </w:p>
    <w:p w14:paraId="38E8BEAA" w14:textId="77777777" w:rsidR="00EC2770" w:rsidRPr="00EC2770" w:rsidRDefault="00EC2770" w:rsidP="00EC2770">
      <w:pPr>
        <w:spacing w:line="480" w:lineRule="auto"/>
      </w:pPr>
    </w:p>
    <w:p w14:paraId="17368F30" w14:textId="39D5B15A" w:rsidR="00B10042" w:rsidRDefault="00B10042" w:rsidP="00EC2770">
      <w:pPr>
        <w:pStyle w:val="Heading8"/>
      </w:pPr>
      <w:r w:rsidRPr="0038288E">
        <w:t>Q.</w:t>
      </w:r>
      <w:r w:rsidRPr="0038288E">
        <w:tab/>
      </w:r>
      <w:r>
        <w:t xml:space="preserve">What is the standard </w:t>
      </w:r>
      <w:r w:rsidR="00870596">
        <w:t>for</w:t>
      </w:r>
      <w:r>
        <w:t xml:space="preserve"> a prudenc</w:t>
      </w:r>
      <w:r w:rsidR="00AD2F55">
        <w:t>e</w:t>
      </w:r>
      <w:r>
        <w:t xml:space="preserve"> review?</w:t>
      </w:r>
    </w:p>
    <w:p w14:paraId="231FDBBD" w14:textId="4E0FDEB6" w:rsidR="00B10042" w:rsidRDefault="00B10042" w:rsidP="00EC2770">
      <w:pPr>
        <w:spacing w:line="480" w:lineRule="auto"/>
        <w:ind w:left="720" w:hanging="720"/>
      </w:pPr>
      <w:r w:rsidRPr="0038288E">
        <w:t>A.</w:t>
      </w:r>
      <w:r w:rsidRPr="0038288E">
        <w:tab/>
      </w:r>
      <w:r>
        <w:t xml:space="preserve">The Commission </w:t>
      </w:r>
      <w:r w:rsidR="00F22A2C">
        <w:t>uses a reasonableness standard to determine the prudenc</w:t>
      </w:r>
      <w:r w:rsidR="00AD2F55">
        <w:t>e</w:t>
      </w:r>
      <w:r w:rsidR="00F22A2C">
        <w:t xml:space="preserve"> of </w:t>
      </w:r>
      <w:r w:rsidR="00870596">
        <w:t>a c</w:t>
      </w:r>
      <w:r w:rsidR="00F22A2C">
        <w:t>ompany’s decision</w:t>
      </w:r>
      <w:r w:rsidR="00F22A2C" w:rsidDel="00870596">
        <w:t>s</w:t>
      </w:r>
      <w:r w:rsidR="00F22A2C">
        <w:t xml:space="preserve"> to </w:t>
      </w:r>
      <w:r w:rsidR="00471537">
        <w:t xml:space="preserve">make capital investments. The prudence test asks what a </w:t>
      </w:r>
      <w:r w:rsidR="00471537" w:rsidRPr="00A73410">
        <w:rPr>
          <w:i/>
        </w:rPr>
        <w:t>reasonable</w:t>
      </w:r>
      <w:r w:rsidR="00471537">
        <w:t xml:space="preserve"> board of directors and company management would have decided given </w:t>
      </w:r>
      <w:r w:rsidR="00471537">
        <w:lastRenderedPageBreak/>
        <w:t xml:space="preserve">what they knew or reasonably should have known to be true at the time they made the decision, and this standard is </w:t>
      </w:r>
      <w:r w:rsidR="007850E7">
        <w:t>also</w:t>
      </w:r>
      <w:r w:rsidR="00471537">
        <w:t xml:space="preserve"> discussed in section III of Mr. Twitchell’s testimony.</w:t>
      </w:r>
    </w:p>
    <w:p w14:paraId="0DD9EE07" w14:textId="77777777" w:rsidR="00B10042" w:rsidRDefault="00B10042" w:rsidP="00A742B0">
      <w:pPr>
        <w:spacing w:line="480" w:lineRule="auto"/>
        <w:ind w:left="1440" w:right="720"/>
        <w:jc w:val="both"/>
        <w:rPr>
          <w:rFonts w:cstheme="minorBidi"/>
          <w:szCs w:val="20"/>
        </w:rPr>
      </w:pPr>
    </w:p>
    <w:p w14:paraId="7C8D3D82" w14:textId="3091D927" w:rsidR="00B10042" w:rsidDel="00471537" w:rsidRDefault="00B10042" w:rsidP="00B10042">
      <w:pPr>
        <w:pStyle w:val="Heading8"/>
      </w:pPr>
      <w:r w:rsidRPr="0038288E" w:rsidDel="00471537">
        <w:t>Q.</w:t>
      </w:r>
      <w:r w:rsidRPr="0038288E" w:rsidDel="00471537">
        <w:tab/>
      </w:r>
      <w:r w:rsidDel="00471537">
        <w:t xml:space="preserve">What </w:t>
      </w:r>
      <w:r w:rsidR="00F22A2C" w:rsidDel="00471537">
        <w:t xml:space="preserve">factors </w:t>
      </w:r>
      <w:r w:rsidR="0066381A" w:rsidDel="00471537">
        <w:t>does the Commission</w:t>
      </w:r>
      <w:r w:rsidDel="00471537">
        <w:t xml:space="preserve"> consider </w:t>
      </w:r>
      <w:r w:rsidR="0066381A" w:rsidDel="00471537">
        <w:t>in</w:t>
      </w:r>
      <w:r w:rsidDel="00471537">
        <w:t xml:space="preserve"> a </w:t>
      </w:r>
      <w:r w:rsidR="00AD2F55" w:rsidDel="00471537">
        <w:t>prudence</w:t>
      </w:r>
      <w:r w:rsidDel="00471537">
        <w:t xml:space="preserve"> review?</w:t>
      </w:r>
    </w:p>
    <w:p w14:paraId="517DA28E" w14:textId="111BBC50" w:rsidR="00B10042" w:rsidDel="00471537" w:rsidRDefault="00B10042" w:rsidP="00B10042">
      <w:pPr>
        <w:spacing w:line="480" w:lineRule="auto"/>
        <w:ind w:left="720" w:hanging="720"/>
      </w:pPr>
      <w:r w:rsidRPr="0038288E" w:rsidDel="00471537">
        <w:t>A.</w:t>
      </w:r>
      <w:r w:rsidRPr="0038288E" w:rsidDel="00471537">
        <w:tab/>
      </w:r>
      <w:r w:rsidDel="00471537">
        <w:t xml:space="preserve">There is no single set of factors </w:t>
      </w:r>
      <w:r w:rsidR="00F22A2C" w:rsidDel="00471537">
        <w:t>for</w:t>
      </w:r>
      <w:r w:rsidDel="00471537">
        <w:t xml:space="preserve"> a </w:t>
      </w:r>
      <w:r w:rsidR="00AD2F55" w:rsidDel="00471537">
        <w:t>prudence</w:t>
      </w:r>
      <w:r w:rsidDel="00471537">
        <w:t xml:space="preserve"> review. However,</w:t>
      </w:r>
      <w:r>
        <w:t xml:space="preserve"> </w:t>
      </w:r>
      <w:r w:rsidR="009E475D">
        <w:t xml:space="preserve">there </w:t>
      </w:r>
      <w:r w:rsidR="00E535A1">
        <w:t>are</w:t>
      </w:r>
      <w:r w:rsidDel="00471537">
        <w:t xml:space="preserve"> four factors that the Commission has generally used as </w:t>
      </w:r>
      <w:r w:rsidR="00E535A1">
        <w:t xml:space="preserve">a </w:t>
      </w:r>
      <w:r w:rsidDel="00471537">
        <w:t>reference:</w:t>
      </w:r>
      <w:r w:rsidR="007850E7">
        <w:rPr>
          <w:rStyle w:val="FootnoteReference"/>
        </w:rPr>
        <w:footnoteReference w:id="13"/>
      </w:r>
    </w:p>
    <w:p w14:paraId="5BD20504" w14:textId="3653484A" w:rsidR="00B10042" w:rsidDel="00471537" w:rsidRDefault="00B10042" w:rsidP="0091680E">
      <w:pPr>
        <w:pStyle w:val="ListParagraph"/>
        <w:numPr>
          <w:ilvl w:val="0"/>
          <w:numId w:val="7"/>
        </w:numPr>
        <w:spacing w:line="480" w:lineRule="auto"/>
        <w:ind w:left="2160" w:right="18" w:hanging="720"/>
      </w:pPr>
      <w:r w:rsidRPr="007A33E7" w:rsidDel="00471537">
        <w:rPr>
          <w:i/>
        </w:rPr>
        <w:t>The Need for the Resource</w:t>
      </w:r>
      <w:r w:rsidDel="00471537">
        <w:t xml:space="preserve"> – The utility must determine the necessity of a resource. Then, the utility must identify the most cost-effective way to fulfill that need, comparing all available options for purchase against the option of building a new resource.</w:t>
      </w:r>
    </w:p>
    <w:p w14:paraId="2AB366AF" w14:textId="4FAABBB4" w:rsidR="00B10042" w:rsidDel="00471537" w:rsidRDefault="00B10042" w:rsidP="0091680E">
      <w:pPr>
        <w:pStyle w:val="ListParagraph"/>
        <w:numPr>
          <w:ilvl w:val="0"/>
          <w:numId w:val="7"/>
        </w:numPr>
        <w:spacing w:line="480" w:lineRule="auto"/>
        <w:ind w:left="2160" w:right="18" w:hanging="720"/>
      </w:pPr>
      <w:r w:rsidRPr="007A33E7" w:rsidDel="00471537">
        <w:rPr>
          <w:i/>
        </w:rPr>
        <w:t>Evaluation of alternatives</w:t>
      </w:r>
      <w:r w:rsidDel="00471537">
        <w:t xml:space="preserve"> – The utility must review current available information about the alternatives and identify the relevance of such factors as capital cost, dispatchability, transmission cost or access, long-term planning, and any other additional factors to have an appropriate acquisition process.</w:t>
      </w:r>
    </w:p>
    <w:p w14:paraId="579D38F0" w14:textId="7806B7FB" w:rsidR="00B10042" w:rsidDel="00471537" w:rsidRDefault="00B10042" w:rsidP="0091680E">
      <w:pPr>
        <w:pStyle w:val="ListParagraph"/>
        <w:numPr>
          <w:ilvl w:val="0"/>
          <w:numId w:val="7"/>
        </w:numPr>
        <w:spacing w:line="480" w:lineRule="auto"/>
        <w:ind w:left="2160" w:right="18" w:hanging="720"/>
      </w:pPr>
      <w:r w:rsidRPr="007A33E7" w:rsidDel="00471537">
        <w:rPr>
          <w:i/>
        </w:rPr>
        <w:t>Communication with and involvement of the Company’s Board of Directors</w:t>
      </w:r>
      <w:r w:rsidDel="00471537">
        <w:t xml:space="preserve"> – The utility must provide relevant information for decision making purposes about the purchase and its costs to </w:t>
      </w:r>
      <w:r w:rsidR="00BE2973">
        <w:t>the executives or top level managers making the decision.</w:t>
      </w:r>
    </w:p>
    <w:p w14:paraId="6216E681" w14:textId="7D9123FF" w:rsidR="00B10042" w:rsidRPr="00D86F82" w:rsidRDefault="00B10042" w:rsidP="0091680E">
      <w:pPr>
        <w:pStyle w:val="ListParagraph"/>
        <w:numPr>
          <w:ilvl w:val="0"/>
          <w:numId w:val="7"/>
        </w:numPr>
        <w:spacing w:line="480" w:lineRule="auto"/>
        <w:ind w:left="2160" w:right="18" w:hanging="720"/>
      </w:pPr>
      <w:r w:rsidDel="00471537">
        <w:rPr>
          <w:i/>
        </w:rPr>
        <w:lastRenderedPageBreak/>
        <w:t xml:space="preserve">Adequate Documentation </w:t>
      </w:r>
      <w:r w:rsidDel="00471537">
        <w:t>– All information used for decisi</w:t>
      </w:r>
      <w:r w:rsidR="004C28B3" w:rsidDel="00471537">
        <w:t>on making must be up-to-</w:t>
      </w:r>
      <w:r w:rsidDel="00471537">
        <w:t>date and properly documented. This allow</w:t>
      </w:r>
      <w:r w:rsidR="004C28B3" w:rsidDel="00471537">
        <w:t>s</w:t>
      </w:r>
      <w:r w:rsidDel="00471537">
        <w:t xml:space="preserve"> the Commission </w:t>
      </w:r>
      <w:r w:rsidR="00F22A2C" w:rsidDel="00471537">
        <w:t xml:space="preserve">to </w:t>
      </w:r>
      <w:r w:rsidDel="00471537">
        <w:t>track and comprehend the utility’s decision making process and to understand the elements that the utility used and how they were valued.</w:t>
      </w:r>
      <w:r w:rsidR="007D6BE2" w:rsidRPr="007D6BE2" w:rsidDel="00471537">
        <w:rPr>
          <w:vertAlign w:val="superscript"/>
        </w:rPr>
        <w:t xml:space="preserve"> </w:t>
      </w:r>
    </w:p>
    <w:p w14:paraId="1D46A7E8" w14:textId="77777777" w:rsidR="00D86F82" w:rsidDel="00471537" w:rsidRDefault="00D86F82" w:rsidP="00D86F82">
      <w:pPr>
        <w:pStyle w:val="ListParagraph"/>
        <w:spacing w:line="480" w:lineRule="auto"/>
        <w:ind w:left="2160" w:right="18"/>
      </w:pPr>
    </w:p>
    <w:p w14:paraId="41F0E7BA" w14:textId="7DFD34A8" w:rsidR="00E70073" w:rsidRPr="00E70073" w:rsidRDefault="00B10042" w:rsidP="00442946">
      <w:pPr>
        <w:pStyle w:val="Heading2"/>
        <w:numPr>
          <w:ilvl w:val="0"/>
          <w:numId w:val="38"/>
        </w:numPr>
        <w:ind w:left="2160" w:hanging="720"/>
      </w:pPr>
      <w:bookmarkStart w:id="39" w:name="_Toc445371385"/>
      <w:bookmarkStart w:id="40" w:name="_Toc445371425"/>
      <w:bookmarkStart w:id="41" w:name="_Toc445381690"/>
      <w:r>
        <w:t>Prudence of SCADA EMS</w:t>
      </w:r>
      <w:bookmarkEnd w:id="39"/>
      <w:bookmarkEnd w:id="40"/>
      <w:bookmarkEnd w:id="41"/>
    </w:p>
    <w:p w14:paraId="24D06255" w14:textId="1D816074" w:rsidR="00B10042" w:rsidRDefault="00B10042" w:rsidP="00442946">
      <w:pPr>
        <w:pStyle w:val="Heading2"/>
        <w:numPr>
          <w:ilvl w:val="0"/>
          <w:numId w:val="39"/>
        </w:numPr>
        <w:spacing w:after="240"/>
        <w:ind w:left="2880" w:hanging="720"/>
      </w:pPr>
      <w:bookmarkStart w:id="42" w:name="_Toc445371386"/>
      <w:bookmarkStart w:id="43" w:name="_Toc445371426"/>
      <w:bookmarkStart w:id="44" w:name="_Toc445381691"/>
      <w:r w:rsidRPr="00565422">
        <w:t>D</w:t>
      </w:r>
      <w:r>
        <w:t xml:space="preserve">escription and </w:t>
      </w:r>
      <w:r w:rsidR="004C28B3">
        <w:t>H</w:t>
      </w:r>
      <w:r>
        <w:t>istory</w:t>
      </w:r>
      <w:bookmarkEnd w:id="42"/>
      <w:bookmarkEnd w:id="43"/>
      <w:bookmarkEnd w:id="44"/>
    </w:p>
    <w:p w14:paraId="695919B6" w14:textId="77777777" w:rsidR="00B10042" w:rsidRPr="00F720F8" w:rsidRDefault="00B10042" w:rsidP="00D074EB">
      <w:pPr>
        <w:pStyle w:val="Heading8"/>
      </w:pPr>
      <w:r w:rsidRPr="00F720F8">
        <w:t>Q.</w:t>
      </w:r>
      <w:r w:rsidRPr="00F720F8">
        <w:tab/>
      </w:r>
      <w:r>
        <w:t>Please briefly describe the SCADA EMS.</w:t>
      </w:r>
    </w:p>
    <w:p w14:paraId="1A3C5C39" w14:textId="1D68E7FB" w:rsidR="00B10042" w:rsidRDefault="00B10042" w:rsidP="00B10042">
      <w:pPr>
        <w:pStyle w:val="NoSpacing"/>
      </w:pPr>
      <w:r w:rsidRPr="00F720F8">
        <w:t>A.</w:t>
      </w:r>
      <w:r w:rsidRPr="00F720F8">
        <w:tab/>
      </w:r>
      <w:r>
        <w:t>T</w:t>
      </w:r>
      <w:r w:rsidRPr="000B1468">
        <w:t>he Supervisory Control and Data Acquisition Energy Management System (</w:t>
      </w:r>
      <w:r w:rsidRPr="00F658D6">
        <w:t>SCADA EMS</w:t>
      </w:r>
      <w:r w:rsidRPr="00002F7E">
        <w:t>)</w:t>
      </w:r>
      <w:r w:rsidRPr="000B1468">
        <w:t xml:space="preserve"> </w:t>
      </w:r>
      <w:r w:rsidRPr="00762305">
        <w:t>is a system of computer-aided tools used by operators of electric utility grids to monitor, control and optimize the performance of the generation and transmission system.</w:t>
      </w:r>
      <w:r>
        <w:rPr>
          <w:rStyle w:val="FootnoteReference"/>
        </w:rPr>
        <w:footnoteReference w:id="14"/>
      </w:r>
      <w:r w:rsidR="00AD2F55">
        <w:t xml:space="preserve"> </w:t>
      </w:r>
      <w:r>
        <w:t xml:space="preserve">It also </w:t>
      </w:r>
      <w:r w:rsidR="006901B2">
        <w:t>provides</w:t>
      </w:r>
      <w:r>
        <w:t xml:space="preserve"> Peak Reliability</w:t>
      </w:r>
      <w:r w:rsidR="00A31C11">
        <w:t xml:space="preserve">, </w:t>
      </w:r>
      <w:r>
        <w:t>the Reliability Coordinator (RC) for most of the Western Interconnection, critical system analytical data from the Company.</w:t>
      </w:r>
      <w:r>
        <w:rPr>
          <w:rStyle w:val="FootnoteReference"/>
        </w:rPr>
        <w:footnoteReference w:id="15"/>
      </w:r>
      <w:r w:rsidR="00AD2F55">
        <w:t xml:space="preserve"> </w:t>
      </w:r>
      <w:r>
        <w:t>Basically, SCADA EMS is the command and control for the Company’s generation and transmission assets.</w:t>
      </w:r>
      <w:r w:rsidR="00AD2F55">
        <w:t xml:space="preserve"> </w:t>
      </w:r>
      <w:r w:rsidRPr="00762305">
        <w:t xml:space="preserve">The monitor and </w:t>
      </w:r>
      <w:r>
        <w:t>supervision</w:t>
      </w:r>
      <w:r w:rsidRPr="00762305">
        <w:t xml:space="preserve"> functions are </w:t>
      </w:r>
      <w:r>
        <w:t xml:space="preserve">contained in the </w:t>
      </w:r>
      <w:r w:rsidRPr="00762305">
        <w:t>SCADA</w:t>
      </w:r>
      <w:r>
        <w:t xml:space="preserve"> component while E</w:t>
      </w:r>
      <w:r w:rsidRPr="00762305">
        <w:t xml:space="preserve">MS refers to the optimization packages or </w:t>
      </w:r>
      <w:r w:rsidR="006901B2">
        <w:t>“</w:t>
      </w:r>
      <w:r w:rsidRPr="00762305">
        <w:t>advanced applications</w:t>
      </w:r>
      <w:r w:rsidR="006901B2">
        <w:t>”</w:t>
      </w:r>
      <w:r w:rsidRPr="00762305">
        <w:t xml:space="preserve"> that include a suite of applications such as generation control, trending, alarm management, data management, contingency analysis and state estimation.</w:t>
      </w:r>
      <w:r>
        <w:rPr>
          <w:rStyle w:val="FootnoteReference"/>
        </w:rPr>
        <w:footnoteReference w:id="16"/>
      </w:r>
      <w:r w:rsidR="00AD2F55">
        <w:t xml:space="preserve"> </w:t>
      </w:r>
    </w:p>
    <w:p w14:paraId="18AAA8E9" w14:textId="77777777" w:rsidR="00B10042" w:rsidRDefault="00B10042" w:rsidP="00B10042">
      <w:pPr>
        <w:pStyle w:val="NoSpacing"/>
      </w:pPr>
    </w:p>
    <w:p w14:paraId="661EC0F1" w14:textId="77777777" w:rsidR="00B10042" w:rsidRPr="00F658D6" w:rsidRDefault="00B10042" w:rsidP="00B10042">
      <w:pPr>
        <w:pStyle w:val="NoSpacing"/>
        <w:rPr>
          <w:b/>
        </w:rPr>
      </w:pPr>
      <w:r w:rsidRPr="00F658D6">
        <w:rPr>
          <w:b/>
        </w:rPr>
        <w:lastRenderedPageBreak/>
        <w:t>Q.</w:t>
      </w:r>
      <w:r w:rsidRPr="00F658D6">
        <w:rPr>
          <w:b/>
        </w:rPr>
        <w:tab/>
        <w:t>Why did the Company seek to upgrade and replace its existing SCADA EMS?</w:t>
      </w:r>
    </w:p>
    <w:p w14:paraId="44DCD6A3" w14:textId="230ACB82" w:rsidR="00B10042" w:rsidRDefault="00B10042" w:rsidP="00B10042">
      <w:pPr>
        <w:pStyle w:val="NoSpacing"/>
        <w:ind w:firstLine="0"/>
      </w:pPr>
      <w:r>
        <w:t xml:space="preserve">The </w:t>
      </w:r>
      <w:r w:rsidR="00870A92">
        <w:t>C</w:t>
      </w:r>
      <w:r>
        <w:t xml:space="preserve">ompany pursued the replacement of </w:t>
      </w:r>
      <w:r w:rsidR="00194800">
        <w:t>its</w:t>
      </w:r>
      <w:r>
        <w:t xml:space="preserve"> existing system to maintain </w:t>
      </w:r>
      <w:r w:rsidRPr="004279B4">
        <w:t xml:space="preserve">compliance with Federal Energy Regulatory Commission (FERC) and </w:t>
      </w:r>
      <w:r w:rsidRPr="0071291D">
        <w:t xml:space="preserve">North American Electric Reliability Corporation </w:t>
      </w:r>
      <w:r>
        <w:t>(</w:t>
      </w:r>
      <w:r w:rsidRPr="004279B4">
        <w:t>NERC</w:t>
      </w:r>
      <w:r>
        <w:t>)</w:t>
      </w:r>
      <w:r w:rsidRPr="004279B4">
        <w:t xml:space="preserve"> reliability standards</w:t>
      </w:r>
      <w:r>
        <w:t>.</w:t>
      </w:r>
      <w:r>
        <w:rPr>
          <w:rStyle w:val="FootnoteReference"/>
        </w:rPr>
        <w:footnoteReference w:id="17"/>
      </w:r>
      <w:r w:rsidR="00AD2F55">
        <w:t xml:space="preserve"> </w:t>
      </w:r>
      <w:r>
        <w:t xml:space="preserve">The purpose of this project is to replace the existing system, the </w:t>
      </w:r>
      <w:r w:rsidRPr="00F658D6">
        <w:t>ABB SCADA EMS Ranger NM2003</w:t>
      </w:r>
      <w:r>
        <w:t xml:space="preserve">. </w:t>
      </w:r>
      <w:r w:rsidR="00344F0F">
        <w:t xml:space="preserve">As </w:t>
      </w:r>
      <w:r w:rsidR="00044187">
        <w:t>C</w:t>
      </w:r>
      <w:r w:rsidR="00344F0F">
        <w:t>ompany witness</w:t>
      </w:r>
      <w:r w:rsidR="00640835">
        <w:t xml:space="preserve"> Mr. Kelly </w:t>
      </w:r>
      <w:r w:rsidR="00344F0F">
        <w:t>explains, t</w:t>
      </w:r>
      <w:r>
        <w:t>he current system has multiple problems that compromise its ability to provide a r</w:t>
      </w:r>
      <w:r w:rsidR="00BA054C">
        <w:t>eliable service in the long term</w:t>
      </w:r>
      <w:r w:rsidR="00044187">
        <w:t>.</w:t>
      </w:r>
      <w:r w:rsidR="00640835">
        <w:rPr>
          <w:rStyle w:val="FootnoteReference"/>
        </w:rPr>
        <w:footnoteReference w:id="18"/>
      </w:r>
      <w:r w:rsidR="00BA054C">
        <w:t xml:space="preserve"> </w:t>
      </w:r>
      <w:r w:rsidR="00044187">
        <w:t>T</w:t>
      </w:r>
      <w:r w:rsidR="00044187" w:rsidRPr="00044187">
        <w:t xml:space="preserve">he current system </w:t>
      </w:r>
      <w:r w:rsidR="00044187">
        <w:t xml:space="preserve">also </w:t>
      </w:r>
      <w:r w:rsidR="00BA054C">
        <w:t>increas</w:t>
      </w:r>
      <w:r w:rsidR="00044187">
        <w:t>es</w:t>
      </w:r>
      <w:r w:rsidR="00BA054C">
        <w:t xml:space="preserve"> the non-compliance risk related to recent NERC reliability and Critical Infrastructure Protection Standards (CIPS) requirements.</w:t>
      </w:r>
      <w:r w:rsidR="00A742B0">
        <w:rPr>
          <w:rStyle w:val="FootnoteReference"/>
        </w:rPr>
        <w:footnoteReference w:id="19"/>
      </w:r>
    </w:p>
    <w:p w14:paraId="6AFB14E2" w14:textId="746F4D5C" w:rsidR="00982DF8" w:rsidRDefault="00B10042" w:rsidP="004B6334">
      <w:pPr>
        <w:pStyle w:val="NoSpacing"/>
        <w:ind w:firstLine="720"/>
      </w:pPr>
      <w:r>
        <w:t xml:space="preserve">After a structured selection process for a main contractor of the primary software, </w:t>
      </w:r>
      <w:r w:rsidR="00982DF8">
        <w:t xml:space="preserve">the Company </w:t>
      </w:r>
      <w:r w:rsidR="00982DF8" w:rsidRPr="0087629E">
        <w:t xml:space="preserve">successfully negotiated and agreed </w:t>
      </w:r>
      <w:r w:rsidR="00982DF8">
        <w:t xml:space="preserve">to </w:t>
      </w:r>
      <w:r>
        <w:t xml:space="preserve">a contract </w:t>
      </w:r>
      <w:r w:rsidR="00982DF8">
        <w:t>i</w:t>
      </w:r>
      <w:r w:rsidRPr="0087629E">
        <w:t>n May 2013</w:t>
      </w:r>
      <w:r>
        <w:t>.</w:t>
      </w:r>
      <w:r>
        <w:rPr>
          <w:rStyle w:val="FootnoteReference"/>
        </w:rPr>
        <w:footnoteReference w:id="20"/>
      </w:r>
      <w:r w:rsidR="00AD2F55">
        <w:t xml:space="preserve"> </w:t>
      </w:r>
      <w:r>
        <w:t xml:space="preserve">The Company </w:t>
      </w:r>
      <w:r w:rsidR="00982DF8">
        <w:t xml:space="preserve">initially </w:t>
      </w:r>
      <w:r>
        <w:t xml:space="preserve">anticipated the new system </w:t>
      </w:r>
      <w:r w:rsidR="00982DF8">
        <w:t>would</w:t>
      </w:r>
      <w:r w:rsidRPr="0087629E">
        <w:t xml:space="preserve"> be in service by March 31, 2016</w:t>
      </w:r>
      <w:r w:rsidR="00344F0F">
        <w:t>,</w:t>
      </w:r>
      <w:r>
        <w:t xml:space="preserve"> when it filed the present case,</w:t>
      </w:r>
      <w:r w:rsidR="00982DF8" w:rsidRPr="00982DF8">
        <w:rPr>
          <w:rStyle w:val="FootnoteReference"/>
        </w:rPr>
        <w:t xml:space="preserve"> </w:t>
      </w:r>
      <w:r w:rsidR="00982DF8">
        <w:rPr>
          <w:rStyle w:val="FootnoteReference"/>
        </w:rPr>
        <w:footnoteReference w:id="21"/>
      </w:r>
      <w:r>
        <w:t xml:space="preserve"> but more recently the Company updated its estimated go-live date to be April 26, 2016.</w:t>
      </w:r>
      <w:r>
        <w:rPr>
          <w:rStyle w:val="FootnoteReference"/>
        </w:rPr>
        <w:footnoteReference w:id="22"/>
      </w:r>
      <w:r w:rsidR="00723537">
        <w:t xml:space="preserve"> </w:t>
      </w:r>
      <w:r w:rsidR="00982DF8">
        <w:t>R</w:t>
      </w:r>
      <w:r w:rsidR="00723537">
        <w:t xml:space="preserve">esolving cutover critical variances, architecting network throughput improvements, and delays encountered during the upgrade of the network firewalls have necessitated </w:t>
      </w:r>
      <w:r w:rsidR="00982DF8">
        <w:t xml:space="preserve">the </w:t>
      </w:r>
      <w:r w:rsidR="00723537">
        <w:t>approximately one-month delay</w:t>
      </w:r>
      <w:r w:rsidR="00BE7597">
        <w:t>.</w:t>
      </w:r>
      <w:r w:rsidR="00BE7597">
        <w:rPr>
          <w:rStyle w:val="FootnoteReference"/>
        </w:rPr>
        <w:footnoteReference w:id="23"/>
      </w:r>
      <w:r w:rsidR="00BE7597">
        <w:t xml:space="preserve"> </w:t>
      </w:r>
      <w:r w:rsidR="00BA054C" w:rsidRPr="00BA054C">
        <w:t>The postponement also mean</w:t>
      </w:r>
      <w:r w:rsidR="00BA054C">
        <w:t xml:space="preserve">s that the new system </w:t>
      </w:r>
      <w:r w:rsidR="00A94685">
        <w:t xml:space="preserve">will not </w:t>
      </w:r>
      <w:r w:rsidR="00BA054C">
        <w:t>be in service by the time the NERC CIPSv5 becomes mandatory</w:t>
      </w:r>
      <w:r w:rsidR="00982DF8">
        <w:t>,</w:t>
      </w:r>
      <w:r w:rsidR="00FA1AA4">
        <w:t xml:space="preserve"> but</w:t>
      </w:r>
      <w:r w:rsidR="00BA054C" w:rsidRPr="00BA054C">
        <w:t xml:space="preserve"> the Company took </w:t>
      </w:r>
      <w:r w:rsidR="00BA054C" w:rsidRPr="00BA054C">
        <w:lastRenderedPageBreak/>
        <w:t>additional steps to ensure that the current SCADA EMS complies</w:t>
      </w:r>
      <w:r w:rsidR="00FA1AA4">
        <w:t xml:space="preserve"> with the new standard.</w:t>
      </w:r>
      <w:r w:rsidR="00FA1AA4">
        <w:rPr>
          <w:rStyle w:val="FootnoteReference"/>
        </w:rPr>
        <w:footnoteReference w:id="24"/>
      </w:r>
      <w:r w:rsidR="00BE7597">
        <w:t xml:space="preserve"> </w:t>
      </w:r>
    </w:p>
    <w:p w14:paraId="6722F312" w14:textId="04C97F2A" w:rsidR="00B10042" w:rsidRDefault="00807EC4" w:rsidP="004B6334">
      <w:pPr>
        <w:pStyle w:val="NoSpacing"/>
        <w:ind w:firstLine="720"/>
      </w:pPr>
      <w:r>
        <w:t xml:space="preserve">The </w:t>
      </w:r>
      <w:r w:rsidR="00982DF8">
        <w:t>C</w:t>
      </w:r>
      <w:r>
        <w:t>ompany stated that is expecting a variance of 19 percent over the original budget</w:t>
      </w:r>
      <w:r w:rsidR="004F59A1">
        <w:t xml:space="preserve"> as the project was extended into 2016</w:t>
      </w:r>
      <w:r w:rsidR="00982DF8">
        <w:t>,</w:t>
      </w:r>
      <w:r>
        <w:rPr>
          <w:rStyle w:val="FootnoteReference"/>
        </w:rPr>
        <w:footnoteReference w:id="25"/>
      </w:r>
      <w:r>
        <w:t xml:space="preserve"> </w:t>
      </w:r>
      <w:r w:rsidR="004F59A1">
        <w:t xml:space="preserve">but </w:t>
      </w:r>
      <w:r>
        <w:t>it</w:t>
      </w:r>
      <w:r w:rsidR="004F59A1">
        <w:t xml:space="preserve"> also</w:t>
      </w:r>
      <w:r>
        <w:t xml:space="preserve"> stated that </w:t>
      </w:r>
      <w:r w:rsidR="004F59A1">
        <w:t xml:space="preserve">it worked to ensure the delay was kept to a minimum and </w:t>
      </w:r>
      <w:r>
        <w:t>cost</w:t>
      </w:r>
      <w:r w:rsidR="00A94685">
        <w:t>s</w:t>
      </w:r>
      <w:r>
        <w:t xml:space="preserve"> were </w:t>
      </w:r>
      <w:r w:rsidR="004F59A1">
        <w:t xml:space="preserve">held </w:t>
      </w:r>
      <w:r>
        <w:t>within budget</w:t>
      </w:r>
      <w:r w:rsidR="004F59A1">
        <w:t>.</w:t>
      </w:r>
      <w:r w:rsidRPr="00807EC4">
        <w:rPr>
          <w:vertAlign w:val="superscript"/>
        </w:rPr>
        <w:footnoteReference w:id="26"/>
      </w:r>
      <w:r w:rsidR="004F59A1">
        <w:t xml:space="preserve"> Contrary </w:t>
      </w:r>
      <w:r w:rsidR="00787E89">
        <w:t>to this representation,</w:t>
      </w:r>
      <w:r w:rsidR="004F59A1">
        <w:t xml:space="preserve"> and according to a comparison of the original budget and the actuals as of </w:t>
      </w:r>
      <w:r w:rsidR="00787E89">
        <w:t xml:space="preserve">January 31, </w:t>
      </w:r>
      <w:r w:rsidR="004F59A1">
        <w:t>2016</w:t>
      </w:r>
      <w:r w:rsidR="00A94685">
        <w:t>,</w:t>
      </w:r>
      <w:r w:rsidR="004F59A1">
        <w:t xml:space="preserve"> and </w:t>
      </w:r>
      <w:r w:rsidR="00787E89">
        <w:t xml:space="preserve">the </w:t>
      </w:r>
      <w:r w:rsidR="004F59A1">
        <w:t>forecast</w:t>
      </w:r>
      <w:r w:rsidR="00787E89">
        <w:t>ed costs</w:t>
      </w:r>
      <w:r w:rsidR="004F59A1">
        <w:t xml:space="preserve"> through </w:t>
      </w:r>
      <w:r w:rsidR="00787E89">
        <w:t xml:space="preserve">April </w:t>
      </w:r>
      <w:r w:rsidR="004F59A1">
        <w:t>2016</w:t>
      </w:r>
      <w:r w:rsidR="00787E89">
        <w:t>,</w:t>
      </w:r>
      <w:r w:rsidR="004F59A1">
        <w:rPr>
          <w:rStyle w:val="FootnoteReference"/>
        </w:rPr>
        <w:footnoteReference w:id="27"/>
      </w:r>
      <w:r w:rsidR="004F59A1">
        <w:t xml:space="preserve"> ther</w:t>
      </w:r>
      <w:r w:rsidR="006D4546">
        <w:t xml:space="preserve">e were </w:t>
      </w:r>
      <w:r w:rsidR="00787E89">
        <w:t xml:space="preserve">increased </w:t>
      </w:r>
      <w:r w:rsidR="006D4546">
        <w:t>expenses due to this delay.</w:t>
      </w:r>
      <w:r w:rsidR="005E160C">
        <w:t xml:space="preserve"> </w:t>
      </w:r>
      <w:r w:rsidR="00787E89">
        <w:t>Nevertheless</w:t>
      </w:r>
      <w:r w:rsidR="005E160C">
        <w:t>, S</w:t>
      </w:r>
      <w:r w:rsidR="006D4546" w:rsidRPr="006D4546">
        <w:t xml:space="preserve">taff is not particularly concerned about </w:t>
      </w:r>
      <w:r w:rsidR="00787E89">
        <w:t>the delay and cost increases</w:t>
      </w:r>
      <w:r w:rsidR="00F53481">
        <w:t xml:space="preserve"> mainly because </w:t>
      </w:r>
      <w:r w:rsidR="00AF02D2">
        <w:t>it was</w:t>
      </w:r>
      <w:r w:rsidR="006D4546">
        <w:t xml:space="preserve"> </w:t>
      </w:r>
      <w:r w:rsidR="00787E89">
        <w:t>a</w:t>
      </w:r>
      <w:r w:rsidR="006D4546">
        <w:t xml:space="preserve"> consequence </w:t>
      </w:r>
      <w:r w:rsidR="00787E89">
        <w:t>of the nature of the</w:t>
      </w:r>
      <w:r w:rsidR="006D4546">
        <w:t xml:space="preserve"> project and the technical challenges</w:t>
      </w:r>
      <w:r w:rsidR="006D4546" w:rsidRPr="006D4546">
        <w:t xml:space="preserve"> </w:t>
      </w:r>
      <w:r w:rsidR="00787E89">
        <w:t>presented by</w:t>
      </w:r>
      <w:r w:rsidR="006D4546">
        <w:t xml:space="preserve"> implement</w:t>
      </w:r>
      <w:r w:rsidR="00787E89">
        <w:t>ing</w:t>
      </w:r>
      <w:r w:rsidR="006D4546">
        <w:t xml:space="preserve"> a completely new</w:t>
      </w:r>
      <w:r w:rsidR="00787E89">
        <w:t xml:space="preserve"> and different</w:t>
      </w:r>
      <w:r w:rsidR="006D4546">
        <w:t xml:space="preserve"> system. Additionally, the delay </w:t>
      </w:r>
      <w:r w:rsidR="006D4546" w:rsidRPr="006D4546">
        <w:t xml:space="preserve">will not expose the </w:t>
      </w:r>
      <w:r w:rsidR="00787E89">
        <w:t>C</w:t>
      </w:r>
      <w:r w:rsidR="006D4546" w:rsidRPr="006D4546">
        <w:t>ompany to compliance risks</w:t>
      </w:r>
      <w:r w:rsidR="006D4546">
        <w:t xml:space="preserve"> because </w:t>
      </w:r>
      <w:r w:rsidRPr="00807EC4">
        <w:t>measurements were taken on a technical</w:t>
      </w:r>
      <w:r w:rsidR="00722872">
        <w:t xml:space="preserve"> level to mitigate th</w:t>
      </w:r>
      <w:r w:rsidR="00787E89">
        <w:t>at</w:t>
      </w:r>
      <w:r w:rsidR="00722872">
        <w:t xml:space="preserve"> impact</w:t>
      </w:r>
      <w:r w:rsidRPr="00807EC4">
        <w:t xml:space="preserve">. </w:t>
      </w:r>
    </w:p>
    <w:p w14:paraId="42D3DACC" w14:textId="4EA63EDA" w:rsidR="00B10042" w:rsidRDefault="00AD2F55" w:rsidP="00B10042">
      <w:pPr>
        <w:pStyle w:val="NoSpacing"/>
        <w:ind w:firstLine="0"/>
      </w:pPr>
      <w:r>
        <w:t xml:space="preserve"> </w:t>
      </w:r>
    </w:p>
    <w:p w14:paraId="547D951B" w14:textId="77777777" w:rsidR="00B10042" w:rsidRPr="006575E9" w:rsidRDefault="00B10042" w:rsidP="00B10042">
      <w:pPr>
        <w:pStyle w:val="Heading8"/>
      </w:pPr>
      <w:r w:rsidRPr="006575E9">
        <w:t>Q.</w:t>
      </w:r>
      <w:r w:rsidRPr="006575E9">
        <w:tab/>
        <w:t xml:space="preserve">Please describe the procedural history </w:t>
      </w:r>
      <w:r>
        <w:t>related to SCADA EMS.</w:t>
      </w:r>
    </w:p>
    <w:p w14:paraId="70CE1435" w14:textId="73036908" w:rsidR="00B10042" w:rsidRDefault="00B10042" w:rsidP="00B10042">
      <w:pPr>
        <w:pStyle w:val="NoSpacing"/>
      </w:pPr>
      <w:r w:rsidRPr="00164F19">
        <w:t>A.</w:t>
      </w:r>
      <w:r w:rsidRPr="00164F19">
        <w:tab/>
      </w:r>
      <w:r w:rsidR="00681F62">
        <w:t xml:space="preserve">Pacific </w:t>
      </w:r>
      <w:r w:rsidR="008C5128">
        <w:t xml:space="preserve">Power </w:t>
      </w:r>
      <w:r w:rsidR="00681F62">
        <w:t>stated that the</w:t>
      </w:r>
      <w:r>
        <w:t xml:space="preserve"> current case is the </w:t>
      </w:r>
      <w:r w:rsidR="000460E2">
        <w:t xml:space="preserve">only time the Company has </w:t>
      </w:r>
      <w:r>
        <w:t>requested recovery of the costs related to SCADA EMS replacement in the state of Washington</w:t>
      </w:r>
      <w:r w:rsidR="00681F62">
        <w:t>.</w:t>
      </w:r>
      <w:r w:rsidR="00681F62">
        <w:rPr>
          <w:rStyle w:val="FootnoteReference"/>
        </w:rPr>
        <w:footnoteReference w:id="28"/>
      </w:r>
      <w:r w:rsidR="00754F08">
        <w:t xml:space="preserve"> Costs related to SCADA EMS were included Company’s General Rate Cases in Wyoming and Utah. Pacific Power also incorporated </w:t>
      </w:r>
      <w:r w:rsidR="000460E2">
        <w:t xml:space="preserve">SCADA EMS replacement costs to the Company’s 2014 Results of Operations filing with the state </w:t>
      </w:r>
      <w:r w:rsidR="000460E2">
        <w:lastRenderedPageBreak/>
        <w:t>of Idaho. The Company has not filed any cost recovery request in Oregon and California.</w:t>
      </w:r>
    </w:p>
    <w:p w14:paraId="2CEA2892" w14:textId="77777777" w:rsidR="00B10042" w:rsidRDefault="00B10042" w:rsidP="00B10042">
      <w:pPr>
        <w:pStyle w:val="NoSpacing"/>
      </w:pPr>
    </w:p>
    <w:p w14:paraId="2E23317F" w14:textId="77777777" w:rsidR="00B10042" w:rsidRPr="000160B8" w:rsidRDefault="00B10042" w:rsidP="00B10042">
      <w:pPr>
        <w:pStyle w:val="Heading8"/>
      </w:pPr>
      <w:r w:rsidRPr="000160B8">
        <w:t>Q.</w:t>
      </w:r>
      <w:r w:rsidRPr="000160B8">
        <w:tab/>
      </w:r>
      <w:r w:rsidRPr="00AB6492">
        <w:t>What information did you evaluate in conducting your analyses?</w:t>
      </w:r>
    </w:p>
    <w:p w14:paraId="172EA16B" w14:textId="3E734E61" w:rsidR="00B10042" w:rsidRDefault="00B10042" w:rsidP="0048502B">
      <w:pPr>
        <w:pStyle w:val="NoSpacing"/>
        <w:ind w:right="18"/>
      </w:pPr>
      <w:r>
        <w:t>A.</w:t>
      </w:r>
      <w:r>
        <w:tab/>
        <w:t xml:space="preserve">I reviewed the direct testimony and exhibits of Pacific Power witnesses </w:t>
      </w:r>
      <w:r w:rsidR="00300968">
        <w:t xml:space="preserve">Mr. </w:t>
      </w:r>
      <w:r>
        <w:t>Kelly</w:t>
      </w:r>
      <w:r w:rsidR="00300968">
        <w:t xml:space="preserve"> and Ms.</w:t>
      </w:r>
      <w:r>
        <w:t xml:space="preserve"> McCoy, and Pacific Power’s responses to data request</w:t>
      </w:r>
      <w:r w:rsidR="007B5A0C">
        <w:t>s</w:t>
      </w:r>
      <w:r>
        <w:t xml:space="preserve"> from Staff. These documents included the master contract for SCADA EMS and the project proposal. I also evaluated sections of th</w:t>
      </w:r>
      <w:r w:rsidR="00CA3A55">
        <w:t>e Company’s 2015 business plan</w:t>
      </w:r>
      <w:r>
        <w:t>,</w:t>
      </w:r>
      <w:r w:rsidR="00DB66F2">
        <w:t xml:space="preserve"> vendor</w:t>
      </w:r>
      <w:r>
        <w:t xml:space="preserve"> scoring matrices, and requests for proposals.</w:t>
      </w:r>
    </w:p>
    <w:p w14:paraId="72F335E6" w14:textId="77777777" w:rsidR="00B10042" w:rsidRDefault="00B10042" w:rsidP="0048502B">
      <w:pPr>
        <w:pStyle w:val="NoSpacing"/>
      </w:pPr>
    </w:p>
    <w:p w14:paraId="2108F993" w14:textId="4F0E3E7C" w:rsidR="0048502B" w:rsidRDefault="00AD2F55" w:rsidP="0048502B">
      <w:pPr>
        <w:pStyle w:val="Heading2"/>
        <w:numPr>
          <w:ilvl w:val="0"/>
          <w:numId w:val="39"/>
        </w:numPr>
        <w:ind w:left="2880" w:hanging="720"/>
      </w:pPr>
      <w:bookmarkStart w:id="45" w:name="_Toc445371387"/>
      <w:bookmarkStart w:id="46" w:name="_Toc445371427"/>
      <w:bookmarkStart w:id="47" w:name="_Toc445381692"/>
      <w:r>
        <w:t>Prudence</w:t>
      </w:r>
      <w:r w:rsidR="00B10042">
        <w:t xml:space="preserve"> </w:t>
      </w:r>
      <w:r w:rsidR="00344F0F">
        <w:t xml:space="preserve">Review </w:t>
      </w:r>
      <w:r w:rsidR="00B10042">
        <w:t>for SCADA EMS</w:t>
      </w:r>
      <w:bookmarkEnd w:id="45"/>
      <w:bookmarkEnd w:id="46"/>
      <w:bookmarkEnd w:id="47"/>
    </w:p>
    <w:p w14:paraId="758D76AA" w14:textId="77777777" w:rsidR="0048502B" w:rsidRDefault="0048502B" w:rsidP="0048502B"/>
    <w:p w14:paraId="5B60F988" w14:textId="77777777" w:rsidR="0048502B" w:rsidRPr="0048502B" w:rsidRDefault="0048502B" w:rsidP="0048502B"/>
    <w:p w14:paraId="5DE341C8" w14:textId="039C66B1" w:rsidR="00B10042" w:rsidRPr="00541C24" w:rsidRDefault="00B10042" w:rsidP="0048502B">
      <w:pPr>
        <w:pStyle w:val="Heading8"/>
      </w:pPr>
      <w:r w:rsidRPr="00541C24">
        <w:t>Q.</w:t>
      </w:r>
      <w:r w:rsidRPr="00541C24">
        <w:tab/>
      </w:r>
      <w:r>
        <w:t xml:space="preserve">Does the SCADA EMS project meet the standards for the first step of the </w:t>
      </w:r>
      <w:r w:rsidR="00AD2F55">
        <w:t>prudence</w:t>
      </w:r>
      <w:r>
        <w:t xml:space="preserve"> review?</w:t>
      </w:r>
    </w:p>
    <w:p w14:paraId="725F7915" w14:textId="5ECD146E" w:rsidR="00B10042" w:rsidRDefault="00B10042" w:rsidP="00E326DE">
      <w:pPr>
        <w:spacing w:line="480" w:lineRule="auto"/>
        <w:ind w:left="720" w:hanging="720"/>
      </w:pPr>
      <w:r>
        <w:t>A.</w:t>
      </w:r>
      <w:r>
        <w:tab/>
        <w:t xml:space="preserve">Yes. The SCADA EMS project </w:t>
      </w:r>
      <w:r w:rsidR="004B4C21">
        <w:t xml:space="preserve">complies with the four factors used to evaluate </w:t>
      </w:r>
      <w:r w:rsidR="00AD2F55">
        <w:t>prudence</w:t>
      </w:r>
      <w:r>
        <w:t>:</w:t>
      </w:r>
    </w:p>
    <w:p w14:paraId="53B51C41" w14:textId="7BEA0482" w:rsidR="00B10042" w:rsidRDefault="00B10042" w:rsidP="0091680E">
      <w:pPr>
        <w:pStyle w:val="ListParagraph"/>
        <w:numPr>
          <w:ilvl w:val="0"/>
          <w:numId w:val="17"/>
        </w:numPr>
        <w:spacing w:line="480" w:lineRule="auto"/>
        <w:ind w:left="2160" w:right="18" w:hanging="720"/>
      </w:pPr>
      <w:r w:rsidRPr="007A33E7">
        <w:rPr>
          <w:i/>
        </w:rPr>
        <w:t>The Need for the Resource</w:t>
      </w:r>
      <w:r>
        <w:t xml:space="preserve"> – </w:t>
      </w:r>
      <w:r w:rsidRPr="001416A6">
        <w:t>Company witness Mr. Kelly explained in his</w:t>
      </w:r>
      <w:r>
        <w:t xml:space="preserve"> direct</w:t>
      </w:r>
      <w:r w:rsidRPr="001416A6">
        <w:t xml:space="preserve"> testimony </w:t>
      </w:r>
      <w:r>
        <w:t>that th</w:t>
      </w:r>
      <w:r w:rsidRPr="0093038C">
        <w:t>e</w:t>
      </w:r>
      <w:r>
        <w:t xml:space="preserve"> existing SCADA system’s</w:t>
      </w:r>
      <w:r w:rsidRPr="0093038C">
        <w:t xml:space="preserve"> platform</w:t>
      </w:r>
      <w:r>
        <w:t>,</w:t>
      </w:r>
      <w:r w:rsidRPr="0093038C">
        <w:t xml:space="preserve"> the </w:t>
      </w:r>
      <w:r>
        <w:t>NM2003, suffers from several flaws</w:t>
      </w:r>
      <w:r w:rsidR="00344F0F">
        <w:t>:</w:t>
      </w:r>
      <w:r w:rsidR="00AD2F55">
        <w:t xml:space="preserve"> </w:t>
      </w:r>
      <w:r w:rsidR="00344F0F">
        <w:t xml:space="preserve">(1) </w:t>
      </w:r>
      <w:r>
        <w:t xml:space="preserve">it </w:t>
      </w:r>
      <w:r w:rsidRPr="0093038C">
        <w:t xml:space="preserve">is obsolete, </w:t>
      </w:r>
      <w:r w:rsidR="00344F0F">
        <w:t xml:space="preserve">(2) </w:t>
      </w:r>
      <w:r>
        <w:t xml:space="preserve">it </w:t>
      </w:r>
      <w:r w:rsidRPr="0093038C">
        <w:t>does not suppor</w:t>
      </w:r>
      <w:r>
        <w:t>t proper password</w:t>
      </w:r>
      <w:r w:rsidR="00706B45">
        <w:t xml:space="preserve"> management</w:t>
      </w:r>
      <w:r>
        <w:t xml:space="preserve">, and </w:t>
      </w:r>
      <w:r w:rsidR="00344F0F">
        <w:t xml:space="preserve">(3) </w:t>
      </w:r>
      <w:r>
        <w:t>its underlying hardware infrastructure is not supported with regular updates by the vendors.</w:t>
      </w:r>
      <w:r>
        <w:rPr>
          <w:rStyle w:val="FootnoteReference"/>
        </w:rPr>
        <w:footnoteReference w:id="29"/>
      </w:r>
      <w:r w:rsidR="00AD2F55">
        <w:t xml:space="preserve"> </w:t>
      </w:r>
      <w:r w:rsidR="00706B45">
        <w:t xml:space="preserve">Failing to upgrade the system would expose the </w:t>
      </w:r>
      <w:r w:rsidR="007B5A0C">
        <w:t>Company</w:t>
      </w:r>
      <w:r w:rsidR="00706B45">
        <w:t xml:space="preserve"> </w:t>
      </w:r>
      <w:r w:rsidR="00706B45">
        <w:lastRenderedPageBreak/>
        <w:t xml:space="preserve">to increased risk of system failure, </w:t>
      </w:r>
      <w:r w:rsidR="007B5A0C">
        <w:t xml:space="preserve">would </w:t>
      </w:r>
      <w:r w:rsidR="00706B45">
        <w:t xml:space="preserve">hinder the addition of new functionality and </w:t>
      </w:r>
      <w:r w:rsidR="007B5A0C">
        <w:t xml:space="preserve">would </w:t>
      </w:r>
      <w:r w:rsidR="00706B45">
        <w:t>potentially cause issues that could result in additional NERC violations and penalties.</w:t>
      </w:r>
      <w:r w:rsidR="00706B45">
        <w:rPr>
          <w:rStyle w:val="FootnoteReference"/>
        </w:rPr>
        <w:footnoteReference w:id="30"/>
      </w:r>
      <w:r>
        <w:t xml:space="preserve"> </w:t>
      </w:r>
    </w:p>
    <w:p w14:paraId="21007AC7" w14:textId="5A7F6807" w:rsidR="00B10042" w:rsidRDefault="00B10042" w:rsidP="0091680E">
      <w:pPr>
        <w:pStyle w:val="ListParagraph"/>
        <w:numPr>
          <w:ilvl w:val="0"/>
          <w:numId w:val="17"/>
        </w:numPr>
        <w:spacing w:line="480" w:lineRule="auto"/>
        <w:ind w:left="2160" w:right="18" w:hanging="720"/>
      </w:pPr>
      <w:r w:rsidRPr="007A33E7">
        <w:rPr>
          <w:i/>
        </w:rPr>
        <w:t xml:space="preserve">Evaluation of </w:t>
      </w:r>
      <w:r w:rsidR="00344F0F">
        <w:rPr>
          <w:i/>
        </w:rPr>
        <w:t>A</w:t>
      </w:r>
      <w:r w:rsidR="00344F0F" w:rsidRPr="007A33E7">
        <w:rPr>
          <w:i/>
        </w:rPr>
        <w:t>lternatives</w:t>
      </w:r>
      <w:r w:rsidR="00344F0F">
        <w:t xml:space="preserve"> </w:t>
      </w:r>
      <w:r>
        <w:t xml:space="preserve">– Pacific Power initiated its evaluation process by bringing </w:t>
      </w:r>
      <w:r w:rsidR="009E5579">
        <w:t xml:space="preserve">in </w:t>
      </w:r>
      <w:r>
        <w:t>an independent consultant to evaluate potential scenarios for the SCADA EMS project.</w:t>
      </w:r>
      <w:r w:rsidR="00AD2F55">
        <w:t xml:space="preserve"> </w:t>
      </w:r>
      <w:r w:rsidR="007A055A">
        <w:t>Pacific Power</w:t>
      </w:r>
      <w:r>
        <w:t xml:space="preserve"> had the option to update the current system to the latest version, the </w:t>
      </w:r>
      <w:r w:rsidRPr="00F658D6">
        <w:t>NMR5</w:t>
      </w:r>
      <w:r w:rsidRPr="00856E31">
        <w:t>,</w:t>
      </w:r>
      <w:r w:rsidRPr="00856E31">
        <w:rPr>
          <w:b/>
        </w:rPr>
        <w:t xml:space="preserve"> </w:t>
      </w:r>
      <w:r>
        <w:t xml:space="preserve">but the </w:t>
      </w:r>
      <w:r w:rsidR="007B5A0C">
        <w:t>C</w:t>
      </w:r>
      <w:r>
        <w:t xml:space="preserve">ompany would </w:t>
      </w:r>
      <w:r w:rsidR="007B5A0C">
        <w:t>then have been</w:t>
      </w:r>
      <w:r>
        <w:t xml:space="preserve"> required to replace it within five years.</w:t>
      </w:r>
      <w:r>
        <w:rPr>
          <w:rStyle w:val="FootnoteReference"/>
        </w:rPr>
        <w:footnoteReference w:id="31"/>
      </w:r>
      <w:r w:rsidR="00AD2F55">
        <w:t xml:space="preserve"> </w:t>
      </w:r>
      <w:r>
        <w:t>The replacement of NMR5 would require the investment in new hardware and software</w:t>
      </w:r>
      <w:r w:rsidR="009E5579">
        <w:t>,</w:t>
      </w:r>
      <w:r>
        <w:t xml:space="preserve"> effectively making it a new project.</w:t>
      </w:r>
      <w:r>
        <w:rPr>
          <w:rStyle w:val="FootnoteReference"/>
        </w:rPr>
        <w:footnoteReference w:id="32"/>
      </w:r>
      <w:r w:rsidR="00AD2F55">
        <w:t xml:space="preserve"> </w:t>
      </w:r>
      <w:r>
        <w:t>Pacific Power d</w:t>
      </w:r>
      <w:r w:rsidRPr="006113E4">
        <w:t>ecided instead to invest in</w:t>
      </w:r>
      <w:r>
        <w:t xml:space="preserve"> a more modern SCADA that offered</w:t>
      </w:r>
      <w:r w:rsidRPr="006113E4">
        <w:t xml:space="preserve"> </w:t>
      </w:r>
      <w:r>
        <w:t>additional and improved</w:t>
      </w:r>
      <w:r w:rsidR="00ED4546">
        <w:t xml:space="preserve"> functionality.</w:t>
      </w:r>
      <w:r w:rsidR="00AD2F55">
        <w:t xml:space="preserve"> </w:t>
      </w:r>
      <w:r>
        <w:t>The Company started a selection process after executive management’s decision to move forward with the project</w:t>
      </w:r>
      <w:r w:rsidR="008035FB">
        <w:t xml:space="preserve"> Pacific</w:t>
      </w:r>
      <w:r w:rsidR="008C5128">
        <w:t xml:space="preserve"> Power</w:t>
      </w:r>
      <w:r w:rsidR="008035FB">
        <w:t xml:space="preserve"> started a request for proposal process</w:t>
      </w:r>
      <w:r>
        <w:t xml:space="preserve"> that included five vendors of which two were evaluated as top choices.</w:t>
      </w:r>
      <w:r>
        <w:rPr>
          <w:rStyle w:val="FootnoteReference"/>
        </w:rPr>
        <w:footnoteReference w:id="33"/>
      </w:r>
      <w:r w:rsidR="00AD2F55">
        <w:t xml:space="preserve"> </w:t>
      </w:r>
      <w:r>
        <w:t>After an on-site visit to other utilities to observe each system operating in real time, Pacific Power chose Operation Systems International (OSI).</w:t>
      </w:r>
      <w:r w:rsidR="00AD2F55">
        <w:t xml:space="preserve"> </w:t>
      </w:r>
      <w:r>
        <w:t xml:space="preserve">OSI provided the </w:t>
      </w:r>
      <w:r w:rsidR="007B5A0C">
        <w:t>most</w:t>
      </w:r>
      <w:r>
        <w:t xml:space="preserve"> cost effective alternative considering the internal implementing costs.</w:t>
      </w:r>
      <w:r w:rsidR="00AD2F55">
        <w:t xml:space="preserve"> </w:t>
      </w:r>
      <w:r>
        <w:t xml:space="preserve">The new SCADA system </w:t>
      </w:r>
      <w:r w:rsidR="007525BE">
        <w:t xml:space="preserve">does not </w:t>
      </w:r>
      <w:r>
        <w:t>suffer from the same obsolescence problems as NMR5 due to</w:t>
      </w:r>
      <w:r w:rsidR="007B5A0C">
        <w:t xml:space="preserve"> its</w:t>
      </w:r>
      <w:r>
        <w:t xml:space="preserve"> hardware independenc</w:t>
      </w:r>
      <w:r w:rsidR="007B5A0C">
        <w:t>e</w:t>
      </w:r>
      <w:r>
        <w:t>.</w:t>
      </w:r>
      <w:r w:rsidR="00AD2F55">
        <w:t xml:space="preserve"> </w:t>
      </w:r>
      <w:r>
        <w:t>Fur</w:t>
      </w:r>
      <w:r w:rsidR="007B5A0C">
        <w:t xml:space="preserve">ther, it </w:t>
      </w:r>
      <w:r w:rsidR="007B5A0C">
        <w:lastRenderedPageBreak/>
        <w:t>reflects adequate long-</w:t>
      </w:r>
      <w:r>
        <w:t xml:space="preserve">term planning by preventing additional costs in the next five years. </w:t>
      </w:r>
    </w:p>
    <w:p w14:paraId="1A58DE29" w14:textId="3458DAF4" w:rsidR="00B10042" w:rsidRDefault="00B10042" w:rsidP="0091680E">
      <w:pPr>
        <w:pStyle w:val="ListParagraph"/>
        <w:numPr>
          <w:ilvl w:val="0"/>
          <w:numId w:val="17"/>
        </w:numPr>
        <w:spacing w:line="480" w:lineRule="auto"/>
        <w:ind w:left="2160" w:right="18" w:hanging="720"/>
      </w:pPr>
      <w:r w:rsidRPr="007A33E7">
        <w:rPr>
          <w:i/>
        </w:rPr>
        <w:t>Communication with and involvement of the Company’s Board of Directors</w:t>
      </w:r>
      <w:r>
        <w:t xml:space="preserve"> –</w:t>
      </w:r>
      <w:r w:rsidR="006A0079">
        <w:t xml:space="preserve"> T</w:t>
      </w:r>
      <w:r w:rsidR="00C80222">
        <w:t>he Company incorporated member</w:t>
      </w:r>
      <w:r w:rsidR="006A0079">
        <w:t>s</w:t>
      </w:r>
      <w:r w:rsidR="00C80222">
        <w:t xml:space="preserve"> of </w:t>
      </w:r>
      <w:r w:rsidR="00D11516">
        <w:t>its</w:t>
      </w:r>
      <w:r w:rsidR="00C80222">
        <w:t xml:space="preserve"> Executive Management on the</w:t>
      </w:r>
      <w:r w:rsidR="005036F4">
        <w:t xml:space="preserve"> </w:t>
      </w:r>
      <w:r w:rsidR="00D11516">
        <w:t>c</w:t>
      </w:r>
      <w:r w:rsidR="005036F4">
        <w:t xml:space="preserve">ommercial and </w:t>
      </w:r>
      <w:r w:rsidR="00D11516">
        <w:t>t</w:t>
      </w:r>
      <w:r w:rsidR="00C80222">
        <w:t>echnical areas</w:t>
      </w:r>
      <w:r w:rsidR="006A0079">
        <w:t xml:space="preserve"> in the project</w:t>
      </w:r>
      <w:r w:rsidR="00C80222">
        <w:t>. Lead Operators</w:t>
      </w:r>
      <w:r w:rsidR="005036F4">
        <w:t>, Technical Staff and top level management were involved in the selection process and in the on-site visit to other utilities to evaluate the systems in real time</w:t>
      </w:r>
      <w:r w:rsidR="00653832">
        <w:t>.</w:t>
      </w:r>
      <w:r w:rsidR="00653832">
        <w:rPr>
          <w:rStyle w:val="FootnoteReference"/>
        </w:rPr>
        <w:footnoteReference w:id="34"/>
      </w:r>
      <w:r w:rsidR="005036F4">
        <w:t xml:space="preserve"> The procurement department </w:t>
      </w:r>
      <w:r w:rsidR="00D11516">
        <w:t xml:space="preserve">also </w:t>
      </w:r>
      <w:r w:rsidR="005036F4">
        <w:t xml:space="preserve">had </w:t>
      </w:r>
      <w:r w:rsidR="006A0079">
        <w:t xml:space="preserve">a </w:t>
      </w:r>
      <w:r w:rsidR="005036F4">
        <w:t>role</w:t>
      </w:r>
      <w:r w:rsidR="009E5579">
        <w:t xml:space="preserve">, which was managing </w:t>
      </w:r>
      <w:r w:rsidR="005036F4">
        <w:t xml:space="preserve">the Request for Proposal process and </w:t>
      </w:r>
      <w:r w:rsidR="00D11516">
        <w:t>in evaluating</w:t>
      </w:r>
      <w:r w:rsidR="005036F4">
        <w:t xml:space="preserve"> the best final offer.</w:t>
      </w:r>
      <w:r w:rsidR="00653832">
        <w:rPr>
          <w:rStyle w:val="FootnoteReference"/>
        </w:rPr>
        <w:footnoteReference w:id="35"/>
      </w:r>
      <w:r w:rsidR="006A0079">
        <w:t xml:space="preserve"> </w:t>
      </w:r>
      <w:r w:rsidR="00CD71F5">
        <w:t>The information to make a final decision was presented to the project executive steering committee.</w:t>
      </w:r>
      <w:r w:rsidR="00653832">
        <w:rPr>
          <w:rStyle w:val="FootnoteReference"/>
        </w:rPr>
        <w:footnoteReference w:id="36"/>
      </w:r>
      <w:r w:rsidR="00CD71F5">
        <w:t xml:space="preserve"> </w:t>
      </w:r>
      <w:r w:rsidR="00D11516">
        <w:t>Patrick Reiten, who is the President and Chief</w:t>
      </w:r>
      <w:r w:rsidR="008C5128">
        <w:t xml:space="preserve"> Executive Officer of Pacific Power</w:t>
      </w:r>
      <w:r w:rsidR="00D11516">
        <w:t xml:space="preserve"> Transmission, signed the OSI contract</w:t>
      </w:r>
      <w:r w:rsidR="006A0079">
        <w:t xml:space="preserve">. </w:t>
      </w:r>
      <w:r w:rsidR="00BE2973">
        <w:t>Further information on the project was available in t</w:t>
      </w:r>
      <w:r w:rsidR="006A0079">
        <w:t>he</w:t>
      </w:r>
      <w:r w:rsidRPr="00CA71EF">
        <w:t xml:space="preserve"> investment apprais</w:t>
      </w:r>
      <w:r w:rsidR="006A0079">
        <w:t>al</w:t>
      </w:r>
      <w:r>
        <w:t xml:space="preserve"> </w:t>
      </w:r>
      <w:r w:rsidRPr="00CA71EF">
        <w:t xml:space="preserve">and </w:t>
      </w:r>
      <w:r>
        <w:t>section</w:t>
      </w:r>
      <w:r w:rsidR="00D85400">
        <w:t>s</w:t>
      </w:r>
      <w:r>
        <w:t xml:space="preserve"> of </w:t>
      </w:r>
      <w:r w:rsidR="00D11516">
        <w:t>the 2015</w:t>
      </w:r>
      <w:r w:rsidR="006A0079">
        <w:t xml:space="preserve"> Business </w:t>
      </w:r>
      <w:r w:rsidR="00D11516">
        <w:t>P</w:t>
      </w:r>
      <w:r w:rsidR="006A0079">
        <w:t>lan</w:t>
      </w:r>
      <w:r w:rsidR="00BE2973">
        <w:t>, which</w:t>
      </w:r>
      <w:r w:rsidR="006A0079">
        <w:t xml:space="preserve"> </w:t>
      </w:r>
      <w:r w:rsidR="00BE2973">
        <w:t>include</w:t>
      </w:r>
      <w:r w:rsidR="00BE2973" w:rsidRPr="00CA71EF">
        <w:t xml:space="preserve"> </w:t>
      </w:r>
      <w:r w:rsidRPr="00CA71EF">
        <w:t xml:space="preserve">amounts for </w:t>
      </w:r>
      <w:r w:rsidR="009E5579">
        <w:t>c</w:t>
      </w:r>
      <w:r>
        <w:t xml:space="preserve">apital </w:t>
      </w:r>
      <w:r w:rsidR="009E5579">
        <w:t>e</w:t>
      </w:r>
      <w:r>
        <w:t>xpenditures</w:t>
      </w:r>
      <w:r w:rsidRPr="00CA71EF">
        <w:t xml:space="preserve"> and </w:t>
      </w:r>
      <w:r w:rsidR="009E5579">
        <w:t>t</w:t>
      </w:r>
      <w:r>
        <w:t>echnology</w:t>
      </w:r>
      <w:r w:rsidRPr="00CA71EF">
        <w:t xml:space="preserve"> capital investments</w:t>
      </w:r>
      <w:r w:rsidR="00D11516">
        <w:t>.</w:t>
      </w:r>
      <w:r w:rsidR="006A0079">
        <w:t xml:space="preserve"> </w:t>
      </w:r>
    </w:p>
    <w:p w14:paraId="2AE671BA" w14:textId="21ED0138" w:rsidR="00B10042" w:rsidRDefault="00B10042" w:rsidP="0091680E">
      <w:pPr>
        <w:pStyle w:val="ListParagraph"/>
        <w:numPr>
          <w:ilvl w:val="0"/>
          <w:numId w:val="17"/>
        </w:numPr>
        <w:spacing w:line="480" w:lineRule="auto"/>
        <w:ind w:left="2160" w:right="18" w:hanging="720"/>
      </w:pPr>
      <w:r>
        <w:rPr>
          <w:i/>
        </w:rPr>
        <w:t xml:space="preserve">Adequate Documentation </w:t>
      </w:r>
      <w:r>
        <w:t>–</w:t>
      </w:r>
      <w:r w:rsidRPr="00055BCE">
        <w:t xml:space="preserve"> The Company provided adequate supporting analysis demonstrating the reasonableness of the decision to invest in the </w:t>
      </w:r>
      <w:r>
        <w:t>SCADA EMS</w:t>
      </w:r>
      <w:r w:rsidRPr="00055BCE">
        <w:t xml:space="preserve"> project.</w:t>
      </w:r>
      <w:r w:rsidRPr="00E20D9B">
        <w:t xml:space="preserve"> </w:t>
      </w:r>
      <w:r w:rsidR="00741CF1" w:rsidRPr="00741CF1">
        <w:t xml:space="preserve">However, it is not clear to Staff how the process of communicating with top level management works </w:t>
      </w:r>
      <w:r w:rsidR="00741CF1" w:rsidRPr="00741CF1">
        <w:lastRenderedPageBreak/>
        <w:t>and if it is a consistent process for each project.</w:t>
      </w:r>
      <w:r w:rsidR="00AD2F55">
        <w:t xml:space="preserve"> </w:t>
      </w:r>
      <w:r w:rsidR="007634B5">
        <w:t>According to Pacific Power its system for</w:t>
      </w:r>
      <w:r w:rsidR="00AF5FFC" w:rsidRPr="00AF5FFC">
        <w:t xml:space="preserve"> approval</w:t>
      </w:r>
      <w:r w:rsidR="007634B5">
        <w:t xml:space="preserve"> for capital projects</w:t>
      </w:r>
      <w:r w:rsidR="00AF5FFC" w:rsidRPr="00AF5FFC">
        <w:t xml:space="preserve"> is based on overall expenditure level, </w:t>
      </w:r>
      <w:r w:rsidR="00265453">
        <w:t>and</w:t>
      </w:r>
      <w:r w:rsidR="00AF5FFC" w:rsidRPr="00AF5FFC">
        <w:t xml:space="preserve"> this requirement ensures project approval is gained at the appropriate executive level.</w:t>
      </w:r>
      <w:r w:rsidR="00AF5FFC" w:rsidRPr="00AF5FFC">
        <w:rPr>
          <w:vertAlign w:val="superscript"/>
        </w:rPr>
        <w:footnoteReference w:id="37"/>
      </w:r>
      <w:r w:rsidR="00AF5FFC" w:rsidRPr="00AF5FFC">
        <w:t xml:space="preserve"> The approval process for project expenditures is managed through the SAP financial system and the appropriation requests (APR) are routed electronically through an approval chain based on the dollar value of the APR.</w:t>
      </w:r>
      <w:r w:rsidR="00AF5FFC" w:rsidRPr="00AF5FFC">
        <w:rPr>
          <w:vertAlign w:val="superscript"/>
        </w:rPr>
        <w:footnoteReference w:id="38"/>
      </w:r>
      <w:r w:rsidR="00AD2F55">
        <w:t xml:space="preserve"> </w:t>
      </w:r>
      <w:r w:rsidR="008C5128">
        <w:t>Before 2011, Pacific Power</w:t>
      </w:r>
      <w:r w:rsidR="00AF5FFC" w:rsidRPr="00AF5FFC">
        <w:t xml:space="preserve"> used a paper and email routing system to approve APRs.</w:t>
      </w:r>
      <w:r w:rsidR="00AF5FFC" w:rsidRPr="00AF5FFC">
        <w:rPr>
          <w:vertAlign w:val="superscript"/>
        </w:rPr>
        <w:footnoteReference w:id="39"/>
      </w:r>
      <w:r w:rsidR="00AF5FFC" w:rsidRPr="00AF5FFC">
        <w:t xml:space="preserve"> All capital projects requ</w:t>
      </w:r>
      <w:r w:rsidR="00FF3516">
        <w:t>ire a superior (or initial) APR; i</w:t>
      </w:r>
      <w:r w:rsidR="00AF5FFC" w:rsidRPr="00AF5FFC">
        <w:t>f there are changes in scope, dollars, or schedule a project change notice (PCN) is required.</w:t>
      </w:r>
      <w:r w:rsidR="00AF5FFC" w:rsidRPr="00AF5FFC">
        <w:rPr>
          <w:vertAlign w:val="superscript"/>
        </w:rPr>
        <w:footnoteReference w:id="40"/>
      </w:r>
      <w:r w:rsidR="00AD2F55">
        <w:t xml:space="preserve"> </w:t>
      </w:r>
      <w:r w:rsidR="007634B5">
        <w:t xml:space="preserve">Staff requested information regarding initial and subsequent </w:t>
      </w:r>
      <w:r w:rsidR="00462D76">
        <w:t>investment appraisal</w:t>
      </w:r>
      <w:r w:rsidR="007634B5">
        <w:t xml:space="preserve"> documents and Pacific </w:t>
      </w:r>
      <w:r w:rsidR="008C5128">
        <w:t xml:space="preserve">Power </w:t>
      </w:r>
      <w:r w:rsidR="007634B5">
        <w:t>responded that the</w:t>
      </w:r>
      <w:r w:rsidR="00E6077C">
        <w:t xml:space="preserve"> only financial analysis</w:t>
      </w:r>
      <w:r w:rsidR="00462D76">
        <w:t xml:space="preserve"> done for this project</w:t>
      </w:r>
      <w:r w:rsidR="00E6077C">
        <w:t xml:space="preserve"> was the</w:t>
      </w:r>
      <w:r w:rsidR="00462D76">
        <w:t xml:space="preserve"> initial</w:t>
      </w:r>
      <w:r w:rsidR="00E6077C">
        <w:t xml:space="preserve"> </w:t>
      </w:r>
      <w:r w:rsidR="007634B5">
        <w:t>Replacement Project</w:t>
      </w:r>
      <w:r w:rsidR="00E6077C">
        <w:t xml:space="preserve"> Proposal </w:t>
      </w:r>
      <w:r w:rsidR="00462D76">
        <w:t>seeking a</w:t>
      </w:r>
      <w:r w:rsidR="00E6077C" w:rsidRPr="00E6077C">
        <w:t xml:space="preserve">pproval </w:t>
      </w:r>
      <w:r w:rsidR="00462D76">
        <w:t>of</w:t>
      </w:r>
      <w:r w:rsidR="00E6077C" w:rsidRPr="00E6077C">
        <w:t xml:space="preserve"> full project funding</w:t>
      </w:r>
      <w:r w:rsidR="0097756A">
        <w:t>.</w:t>
      </w:r>
      <w:r w:rsidR="00462D76">
        <w:rPr>
          <w:rStyle w:val="FootnoteReference"/>
        </w:rPr>
        <w:footnoteReference w:id="41"/>
      </w:r>
      <w:r w:rsidR="0097756A">
        <w:t xml:space="preserve"> </w:t>
      </w:r>
      <w:r w:rsidR="00575D64">
        <w:t>The</w:t>
      </w:r>
      <w:r w:rsidR="00575D64" w:rsidRPr="00575D64">
        <w:t xml:space="preserve"> Company did not follow its own standard of procedure </w:t>
      </w:r>
      <w:r w:rsidR="0097756A">
        <w:t xml:space="preserve">regarding </w:t>
      </w:r>
      <w:r w:rsidR="00575D64">
        <w:t>p</w:t>
      </w:r>
      <w:r w:rsidR="0097756A">
        <w:t>roj</w:t>
      </w:r>
      <w:r w:rsidR="00575D64">
        <w:t>ect change notices. These documents were not issued even when the project had a change of scope and went over the initial budget</w:t>
      </w:r>
      <w:r w:rsidR="00332DBD">
        <w:t>.</w:t>
      </w:r>
      <w:r w:rsidR="0097756A">
        <w:t xml:space="preserve"> </w:t>
      </w:r>
      <w:r w:rsidR="00D85400">
        <w:t>Pacific</w:t>
      </w:r>
      <w:r w:rsidR="00F5551A">
        <w:t xml:space="preserve"> Power</w:t>
      </w:r>
      <w:r w:rsidR="00D85400">
        <w:t xml:space="preserve"> </w:t>
      </w:r>
      <w:r w:rsidR="00F469D7">
        <w:t xml:space="preserve">does have a </w:t>
      </w:r>
      <w:r w:rsidR="00D85400">
        <w:t>unique corporate structure, an</w:t>
      </w:r>
      <w:r w:rsidR="007427BF">
        <w:t>d that interferes with the application of a consistent decision making process</w:t>
      </w:r>
      <w:r w:rsidR="00AC73EC">
        <w:t>. Mr. Twit</w:t>
      </w:r>
      <w:r w:rsidR="00D85400">
        <w:t>che</w:t>
      </w:r>
      <w:r w:rsidR="00AC73EC">
        <w:t>l</w:t>
      </w:r>
      <w:r w:rsidR="00D85400">
        <w:t xml:space="preserve">l </w:t>
      </w:r>
      <w:r w:rsidR="007427BF">
        <w:t xml:space="preserve">describes in </w:t>
      </w:r>
      <w:r w:rsidR="007427BF">
        <w:lastRenderedPageBreak/>
        <w:t>more detail the Company’s corporate structure.</w:t>
      </w:r>
      <w:r w:rsidR="007427BF">
        <w:rPr>
          <w:rStyle w:val="FootnoteReference"/>
        </w:rPr>
        <w:footnoteReference w:id="42"/>
      </w:r>
      <w:r w:rsidR="00D85400">
        <w:t xml:space="preserve"> </w:t>
      </w:r>
      <w:r w:rsidR="007115F1">
        <w:t>However, t</w:t>
      </w:r>
      <w:r w:rsidR="0097756A">
        <w:t>his</w:t>
      </w:r>
      <w:r w:rsidR="0098578A">
        <w:t xml:space="preserve"> </w:t>
      </w:r>
      <w:r w:rsidR="007115F1">
        <w:t xml:space="preserve">situation </w:t>
      </w:r>
      <w:r w:rsidR="0098578A">
        <w:t xml:space="preserve">does not represent an obstacle to provide a recommendation because the Company </w:t>
      </w:r>
      <w:r w:rsidR="00332DBD">
        <w:t>submitted</w:t>
      </w:r>
      <w:r w:rsidR="0098578A">
        <w:t xml:space="preserve"> </w:t>
      </w:r>
      <w:r w:rsidR="00FC0549">
        <w:t>data</w:t>
      </w:r>
      <w:r w:rsidR="0098578A">
        <w:t xml:space="preserve"> that </w:t>
      </w:r>
      <w:r w:rsidR="00332DBD">
        <w:t xml:space="preserve">reflected how </w:t>
      </w:r>
      <w:r w:rsidR="0098578A">
        <w:t xml:space="preserve">technical and commercial </w:t>
      </w:r>
      <w:r w:rsidR="003F3C21">
        <w:t>requirements were</w:t>
      </w:r>
      <w:r w:rsidR="0039758A">
        <w:t xml:space="preserve"> </w:t>
      </w:r>
      <w:r w:rsidR="003F3C21">
        <w:t>satisfied</w:t>
      </w:r>
      <w:r w:rsidR="0039758A">
        <w:t xml:space="preserve"> and the </w:t>
      </w:r>
      <w:r w:rsidR="00FC0549">
        <w:t>material</w:t>
      </w:r>
      <w:r w:rsidR="0039758A">
        <w:t xml:space="preserve"> that top level management used for decision making purposes was relevant an</w:t>
      </w:r>
      <w:r w:rsidR="00827149">
        <w:t>d contemporary with the project</w:t>
      </w:r>
      <w:r w:rsidR="003F3C21">
        <w:t>.</w:t>
      </w:r>
    </w:p>
    <w:p w14:paraId="65A5C462" w14:textId="77777777" w:rsidR="00B10042" w:rsidRDefault="00B10042" w:rsidP="00B10042">
      <w:pPr>
        <w:spacing w:line="480" w:lineRule="auto"/>
        <w:ind w:left="720"/>
      </w:pPr>
    </w:p>
    <w:p w14:paraId="236BDF4F" w14:textId="77777777" w:rsidR="00B10042" w:rsidRPr="006575E9" w:rsidRDefault="00B10042" w:rsidP="00E70073">
      <w:pPr>
        <w:pStyle w:val="Heading8"/>
        <w:keepNext/>
      </w:pPr>
      <w:r w:rsidRPr="006575E9">
        <w:t>Q.</w:t>
      </w:r>
      <w:r w:rsidRPr="006575E9">
        <w:tab/>
      </w:r>
      <w:r>
        <w:t>Have you reviewed the final costs of this project?</w:t>
      </w:r>
    </w:p>
    <w:p w14:paraId="7C62AF44" w14:textId="77C8606A" w:rsidR="00B10042" w:rsidRDefault="00B10042" w:rsidP="0091680E">
      <w:pPr>
        <w:pStyle w:val="NoSpacing"/>
        <w:keepNext/>
        <w:ind w:right="18"/>
      </w:pPr>
      <w:r w:rsidRPr="00164F19">
        <w:t>A.</w:t>
      </w:r>
      <w:r w:rsidRPr="00164F19">
        <w:tab/>
      </w:r>
      <w:r w:rsidR="00177E7D">
        <w:t>No because t</w:t>
      </w:r>
      <w:r>
        <w:t>he project will not be completed until April 26, 2016.</w:t>
      </w:r>
      <w:r w:rsidR="00AD2F55">
        <w:t xml:space="preserve"> </w:t>
      </w:r>
      <w:r>
        <w:t>However, I have reviewed project costs to date.</w:t>
      </w:r>
      <w:r w:rsidR="00AD2F55">
        <w:t xml:space="preserve"> </w:t>
      </w:r>
      <w:r>
        <w:t>The</w:t>
      </w:r>
      <w:r w:rsidR="00E749D2">
        <w:t xml:space="preserve"> </w:t>
      </w:r>
      <w:r w:rsidR="002E09BF">
        <w:t>C</w:t>
      </w:r>
      <w:r w:rsidR="00E749D2">
        <w:t xml:space="preserve">ompany </w:t>
      </w:r>
      <w:r w:rsidR="002E09BF">
        <w:t xml:space="preserve">so far </w:t>
      </w:r>
      <w:r w:rsidR="00156020">
        <w:t>accounts</w:t>
      </w:r>
      <w:r w:rsidR="00E749D2">
        <w:t xml:space="preserve"> </w:t>
      </w:r>
      <w:r w:rsidR="002E09BF">
        <w:t xml:space="preserve">for </w:t>
      </w:r>
      <w:r w:rsidR="00E749D2">
        <w:t xml:space="preserve">an amount of </w:t>
      </w:r>
      <w:r w:rsidR="002E09BF">
        <w:t>$33.9 m</w:t>
      </w:r>
      <w:r w:rsidR="00C72C4A">
        <w:t>illion</w:t>
      </w:r>
      <w:r w:rsidR="002E09BF">
        <w:t xml:space="preserve"> of net plant balances, which </w:t>
      </w:r>
      <w:r w:rsidR="00156020">
        <w:t xml:space="preserve">reflects the total </w:t>
      </w:r>
      <w:r w:rsidR="002E09BF">
        <w:t>C</w:t>
      </w:r>
      <w:r w:rsidR="00156020">
        <w:t>ompany costs for the SCADA EMS. The project</w:t>
      </w:r>
      <w:r>
        <w:t xml:space="preserve"> is over the original budg</w:t>
      </w:r>
      <w:r w:rsidR="00156020">
        <w:t xml:space="preserve">et by </w:t>
      </w:r>
      <w:r w:rsidR="00741CF1">
        <w:t>$5.2</w:t>
      </w:r>
      <w:r w:rsidR="002B3BC5">
        <w:t xml:space="preserve"> million</w:t>
      </w:r>
      <w:r w:rsidR="00F36D99">
        <w:t>.</w:t>
      </w:r>
      <w:r w:rsidR="00741CF1">
        <w:rPr>
          <w:rStyle w:val="FootnoteReference"/>
        </w:rPr>
        <w:footnoteReference w:id="43"/>
      </w:r>
      <w:r>
        <w:t xml:space="preserve"> Staff is not concerned about this variation in budget due to the circumstances and the nature of this particular project.</w:t>
      </w:r>
      <w:r w:rsidR="005368E2">
        <w:t xml:space="preserve"> </w:t>
      </w:r>
      <w:r w:rsidR="002E09BF">
        <w:t>During</w:t>
      </w:r>
      <w:r w:rsidR="000701E2">
        <w:t xml:space="preserve"> inf</w:t>
      </w:r>
      <w:r w:rsidR="009C1B55">
        <w:t>ormal discussions and an on-site visit</w:t>
      </w:r>
      <w:r w:rsidR="002E09BF">
        <w:t>,</w:t>
      </w:r>
      <w:r w:rsidR="009C1B55">
        <w:t xml:space="preserve"> the </w:t>
      </w:r>
      <w:r w:rsidR="002E09BF">
        <w:t>C</w:t>
      </w:r>
      <w:r w:rsidR="009C1B55">
        <w:t>ompany</w:t>
      </w:r>
      <w:r w:rsidR="000701E2">
        <w:t xml:space="preserve"> </w:t>
      </w:r>
      <w:r w:rsidR="0000565A">
        <w:t>communicated</w:t>
      </w:r>
      <w:r w:rsidR="000701E2">
        <w:t xml:space="preserve"> that the s</w:t>
      </w:r>
      <w:r w:rsidR="00215019">
        <w:t>oftware</w:t>
      </w:r>
      <w:r w:rsidR="0000565A">
        <w:t xml:space="preserve"> replacement project</w:t>
      </w:r>
      <w:r w:rsidR="00597DE8">
        <w:t xml:space="preserve"> </w:t>
      </w:r>
      <w:r w:rsidR="00177E7D">
        <w:t>varied</w:t>
      </w:r>
      <w:r w:rsidR="00597DE8">
        <w:t xml:space="preserve"> from its original projected budget because </w:t>
      </w:r>
      <w:r w:rsidR="000701E2">
        <w:t>of unexpected costs</w:t>
      </w:r>
      <w:r w:rsidR="009C1B55">
        <w:t xml:space="preserve"> related to</w:t>
      </w:r>
      <w:r w:rsidR="0000565A">
        <w:t xml:space="preserve"> software licensing costs. </w:t>
      </w:r>
      <w:r w:rsidR="009C1B55">
        <w:t>Also, the</w:t>
      </w:r>
      <w:r w:rsidR="0000565A">
        <w:t xml:space="preserve"> initial scope of the project was expanded to have the necessary technical </w:t>
      </w:r>
      <w:r w:rsidR="00FB482A">
        <w:t>platform</w:t>
      </w:r>
      <w:r w:rsidR="0000565A">
        <w:t xml:space="preserve"> to implement the new system.</w:t>
      </w:r>
      <w:r w:rsidR="000701E2">
        <w:t xml:space="preserve"> </w:t>
      </w:r>
      <w:r w:rsidR="0035701C">
        <w:t>Contingency funds were not deemed necessary and were not required by corporate governance for the initial budget approval.</w:t>
      </w:r>
      <w:r w:rsidR="0035701C">
        <w:rPr>
          <w:rStyle w:val="FootnoteReference"/>
        </w:rPr>
        <w:footnoteReference w:id="44"/>
      </w:r>
    </w:p>
    <w:p w14:paraId="70EAAE2C" w14:textId="77777777" w:rsidR="00B10042" w:rsidRDefault="00B10042" w:rsidP="00B10042">
      <w:pPr>
        <w:pStyle w:val="NoSpacing"/>
      </w:pPr>
    </w:p>
    <w:p w14:paraId="7628D288" w14:textId="4E6FC94D" w:rsidR="00B10042" w:rsidRPr="006575E9" w:rsidRDefault="00B10042" w:rsidP="00B10042">
      <w:pPr>
        <w:pStyle w:val="Heading8"/>
      </w:pPr>
      <w:r w:rsidRPr="006575E9">
        <w:lastRenderedPageBreak/>
        <w:t>Q.</w:t>
      </w:r>
      <w:r w:rsidRPr="006575E9">
        <w:tab/>
      </w:r>
      <w:r>
        <w:t>What are your recommendations for SCADA EMS?</w:t>
      </w:r>
    </w:p>
    <w:p w14:paraId="172191B0" w14:textId="70C4EEC1" w:rsidR="00B10042" w:rsidRDefault="00B10042" w:rsidP="00B10042">
      <w:pPr>
        <w:pStyle w:val="NoSpacing"/>
      </w:pPr>
      <w:r>
        <w:t>A.</w:t>
      </w:r>
      <w:r>
        <w:tab/>
        <w:t>I</w:t>
      </w:r>
      <w:r w:rsidRPr="003B1B56">
        <w:t xml:space="preserve"> recommend</w:t>
      </w:r>
      <w:r>
        <w:t xml:space="preserve"> </w:t>
      </w:r>
      <w:r w:rsidRPr="003B1B56">
        <w:t xml:space="preserve">that the Commission consider the SCADA EMS </w:t>
      </w:r>
      <w:r>
        <w:t>acquisition and management decisio</w:t>
      </w:r>
      <w:r w:rsidR="008507CB">
        <w:t xml:space="preserve">n by Pacific Power as prudent. </w:t>
      </w:r>
      <w:r w:rsidR="003B49D5">
        <w:t>Staff notes</w:t>
      </w:r>
      <w:r w:rsidR="00100564">
        <w:t xml:space="preserve"> that </w:t>
      </w:r>
      <w:r>
        <w:t xml:space="preserve">the </w:t>
      </w:r>
      <w:r w:rsidR="003B49D5">
        <w:t xml:space="preserve">Company’s </w:t>
      </w:r>
      <w:r>
        <w:t xml:space="preserve">process </w:t>
      </w:r>
      <w:r w:rsidR="003B49D5">
        <w:t>for</w:t>
      </w:r>
      <w:r>
        <w:t xml:space="preserve"> making </w:t>
      </w:r>
      <w:r w:rsidR="00CA3DD4">
        <w:t xml:space="preserve">the </w:t>
      </w:r>
      <w:r>
        <w:t xml:space="preserve">decision does not seem systematic </w:t>
      </w:r>
      <w:r w:rsidR="003B49D5">
        <w:t>or</w:t>
      </w:r>
      <w:r>
        <w:t xml:space="preserve"> consistent</w:t>
      </w:r>
      <w:r w:rsidR="003B49D5">
        <w:t>. However,</w:t>
      </w:r>
      <w:r w:rsidR="00350DA6">
        <w:t xml:space="preserve"> </w:t>
      </w:r>
      <w:r w:rsidR="003B49D5">
        <w:t xml:space="preserve">this </w:t>
      </w:r>
      <w:r>
        <w:t xml:space="preserve">does not </w:t>
      </w:r>
      <w:r w:rsidR="00CA3DD4">
        <w:t xml:space="preserve">affect </w:t>
      </w:r>
      <w:r>
        <w:t>my recommendation</w:t>
      </w:r>
      <w:r w:rsidR="00CA3DD4">
        <w:t xml:space="preserve"> that Commission find the Company’s decision to go forward to be prudent</w:t>
      </w:r>
      <w:r>
        <w:t>.</w:t>
      </w:r>
    </w:p>
    <w:p w14:paraId="6532380F" w14:textId="2240BAA0" w:rsidR="00B10042" w:rsidRDefault="00B10042" w:rsidP="0091680E">
      <w:pPr>
        <w:pStyle w:val="NoSpacing"/>
      </w:pPr>
      <w:r>
        <w:tab/>
      </w:r>
      <w:r>
        <w:tab/>
        <w:t xml:space="preserve">Additionally, Staff recommends including SCADA EMS in the second year of the rate plan as a pro forma rate base addition subject to </w:t>
      </w:r>
      <w:r w:rsidR="00D4142B">
        <w:t>the C</w:t>
      </w:r>
      <w:r>
        <w:t xml:space="preserve">ompany’s attestation </w:t>
      </w:r>
      <w:r w:rsidR="00D4142B">
        <w:t xml:space="preserve">filing </w:t>
      </w:r>
      <w:r>
        <w:t xml:space="preserve">and </w:t>
      </w:r>
      <w:r w:rsidR="0019429F">
        <w:t xml:space="preserve">a final </w:t>
      </w:r>
      <w:r>
        <w:t>review of costs in April 2017.</w:t>
      </w:r>
    </w:p>
    <w:p w14:paraId="1432D1BB" w14:textId="77777777" w:rsidR="0091680E" w:rsidRDefault="0091680E" w:rsidP="0091680E">
      <w:pPr>
        <w:pStyle w:val="NoSpacing"/>
      </w:pPr>
    </w:p>
    <w:p w14:paraId="529D7961" w14:textId="5A0F6819" w:rsidR="00B10042" w:rsidRDefault="00B10042" w:rsidP="0091680E">
      <w:pPr>
        <w:pStyle w:val="Heading2"/>
        <w:numPr>
          <w:ilvl w:val="0"/>
          <w:numId w:val="38"/>
        </w:numPr>
        <w:ind w:left="2160" w:hanging="720"/>
      </w:pPr>
      <w:bookmarkStart w:id="48" w:name="_Toc445371388"/>
      <w:bookmarkStart w:id="49" w:name="_Toc445371428"/>
      <w:bookmarkStart w:id="50" w:name="_Toc445381693"/>
      <w:r>
        <w:t>Prudence for Union Gap</w:t>
      </w:r>
      <w:r w:rsidR="009E33C8">
        <w:t xml:space="preserve"> </w:t>
      </w:r>
      <w:r w:rsidR="0019429F">
        <w:t>Project</w:t>
      </w:r>
      <w:bookmarkEnd w:id="48"/>
      <w:bookmarkEnd w:id="49"/>
      <w:bookmarkEnd w:id="50"/>
    </w:p>
    <w:p w14:paraId="5DD1F0CA" w14:textId="77777777" w:rsidR="0091680E" w:rsidRPr="0091680E" w:rsidRDefault="0091680E" w:rsidP="0091680E">
      <w:pPr>
        <w:spacing w:line="480" w:lineRule="auto"/>
      </w:pPr>
    </w:p>
    <w:p w14:paraId="7E466795" w14:textId="7A4282BE" w:rsidR="00B10042" w:rsidRDefault="00B10042" w:rsidP="0091680E">
      <w:pPr>
        <w:pStyle w:val="Heading2"/>
        <w:numPr>
          <w:ilvl w:val="0"/>
          <w:numId w:val="40"/>
        </w:numPr>
        <w:ind w:left="2880" w:hanging="720"/>
      </w:pPr>
      <w:bookmarkStart w:id="51" w:name="_Toc445371389"/>
      <w:bookmarkStart w:id="52" w:name="_Toc445371429"/>
      <w:bookmarkStart w:id="53" w:name="_Toc445381694"/>
      <w:r w:rsidRPr="00565422">
        <w:t>D</w:t>
      </w:r>
      <w:r>
        <w:t xml:space="preserve">escription and </w:t>
      </w:r>
      <w:r w:rsidR="0019429F">
        <w:t>History</w:t>
      </w:r>
      <w:bookmarkEnd w:id="51"/>
      <w:bookmarkEnd w:id="52"/>
      <w:bookmarkEnd w:id="53"/>
    </w:p>
    <w:p w14:paraId="07BD0A58" w14:textId="77777777" w:rsidR="0091680E" w:rsidRPr="0091680E" w:rsidRDefault="0091680E" w:rsidP="0091680E">
      <w:pPr>
        <w:spacing w:line="480" w:lineRule="auto"/>
      </w:pPr>
    </w:p>
    <w:p w14:paraId="6E00CE2A" w14:textId="77777777" w:rsidR="00B10042" w:rsidRPr="000160B8" w:rsidRDefault="00B10042" w:rsidP="0091680E">
      <w:pPr>
        <w:pStyle w:val="Heading8"/>
      </w:pPr>
      <w:r w:rsidRPr="000160B8">
        <w:t>Q.</w:t>
      </w:r>
      <w:r w:rsidRPr="000160B8">
        <w:tab/>
        <w:t xml:space="preserve">Please briefly </w:t>
      </w:r>
      <w:r w:rsidRPr="00AB6492">
        <w:t>describe the Union Gap Substation Upgrade – Second sequence</w:t>
      </w:r>
      <w:r w:rsidRPr="000160B8">
        <w:t>.</w:t>
      </w:r>
    </w:p>
    <w:p w14:paraId="2FF21805" w14:textId="3EE0C529" w:rsidR="00B10042" w:rsidRDefault="00B10042" w:rsidP="0091680E">
      <w:pPr>
        <w:pStyle w:val="NoSpacing"/>
      </w:pPr>
      <w:r>
        <w:t>A.</w:t>
      </w:r>
      <w:r>
        <w:tab/>
        <w:t>The Union Gap Substation Upgrade (Union Gap) consists of three sequences of work, with the second sequence of work included in this filing and estimated to be in service on May 15, 2016.</w:t>
      </w:r>
      <w:r w:rsidR="00AD2F55">
        <w:t xml:space="preserve"> </w:t>
      </w:r>
      <w:r>
        <w:t xml:space="preserve">The Company is using a sequenced </w:t>
      </w:r>
      <w:r w:rsidR="00455AF9">
        <w:t>method</w:t>
      </w:r>
      <w:r>
        <w:t xml:space="preserve"> to avoid </w:t>
      </w:r>
      <w:r w:rsidR="00455AF9">
        <w:t>prolonged</w:t>
      </w:r>
      <w:r>
        <w:t xml:space="preserve"> outages in the </w:t>
      </w:r>
      <w:r w:rsidR="00455AF9">
        <w:t>service area</w:t>
      </w:r>
      <w:r>
        <w:t>.</w:t>
      </w:r>
      <w:r w:rsidR="00AD2F55">
        <w:t xml:space="preserve"> </w:t>
      </w:r>
      <w:r>
        <w:t xml:space="preserve">The second sequence of work includes relocating the </w:t>
      </w:r>
      <w:r w:rsidRPr="001F50A9">
        <w:t>230 kV bus and</w:t>
      </w:r>
      <w:r>
        <w:t xml:space="preserve"> constructing it</w:t>
      </w:r>
      <w:r w:rsidRPr="001F50A9">
        <w:t xml:space="preserve"> into a ring bus with six new 230 kV breakers to accommodate the addition of a </w:t>
      </w:r>
      <w:r>
        <w:t>230/115 kV, 250 MVA transformer</w:t>
      </w:r>
      <w:r w:rsidRPr="00EF19B2">
        <w:t>.</w:t>
      </w:r>
      <w:r>
        <w:rPr>
          <w:rStyle w:val="FootnoteReference"/>
        </w:rPr>
        <w:footnoteReference w:id="45"/>
      </w:r>
      <w:r w:rsidRPr="00EF19B2">
        <w:t xml:space="preserve"> </w:t>
      </w:r>
    </w:p>
    <w:p w14:paraId="75904DE8" w14:textId="77777777" w:rsidR="00B10042" w:rsidRDefault="00B10042" w:rsidP="0091680E">
      <w:pPr>
        <w:pStyle w:val="NoSpacing"/>
      </w:pPr>
    </w:p>
    <w:p w14:paraId="3C09B22C" w14:textId="77777777" w:rsidR="00B10042" w:rsidRPr="006575E9" w:rsidRDefault="00B10042" w:rsidP="0091680E">
      <w:pPr>
        <w:pStyle w:val="Heading8"/>
      </w:pPr>
      <w:r w:rsidRPr="006575E9">
        <w:lastRenderedPageBreak/>
        <w:t>Q.</w:t>
      </w:r>
      <w:r w:rsidRPr="006575E9">
        <w:tab/>
        <w:t>Please describe the procedural history relat</w:t>
      </w:r>
      <w:r>
        <w:t>ed</w:t>
      </w:r>
      <w:r w:rsidRPr="006575E9">
        <w:t xml:space="preserve"> to</w:t>
      </w:r>
      <w:r w:rsidRPr="00AB6492">
        <w:t xml:space="preserve"> Union Gap</w:t>
      </w:r>
      <w:r w:rsidRPr="006575E9">
        <w:t>.</w:t>
      </w:r>
    </w:p>
    <w:p w14:paraId="5B05033F" w14:textId="3895D539" w:rsidR="00B10042" w:rsidRDefault="00B10042" w:rsidP="0091680E">
      <w:pPr>
        <w:pStyle w:val="NoSpacing"/>
      </w:pPr>
      <w:r w:rsidRPr="00164F19">
        <w:t>A.</w:t>
      </w:r>
      <w:r w:rsidRPr="00164F19">
        <w:tab/>
      </w:r>
      <w:r w:rsidR="005368E2">
        <w:t>The</w:t>
      </w:r>
      <w:r w:rsidRPr="00B73A4F">
        <w:t xml:space="preserve"> Commission accepted the first sequence of Union Gap as </w:t>
      </w:r>
      <w:r w:rsidR="00DB15E0">
        <w:t xml:space="preserve">a </w:t>
      </w:r>
      <w:r w:rsidRPr="00B73A4F">
        <w:t>post-test year plant addition in the Company’s 2014</w:t>
      </w:r>
      <w:r>
        <w:t xml:space="preserve"> general rate</w:t>
      </w:r>
      <w:r w:rsidRPr="00B73A4F">
        <w:t xml:space="preserve"> case</w:t>
      </w:r>
      <w:r w:rsidR="005368E2">
        <w:t>.</w:t>
      </w:r>
      <w:r>
        <w:rPr>
          <w:rStyle w:val="FootnoteReference"/>
        </w:rPr>
        <w:footnoteReference w:id="46"/>
      </w:r>
      <w:r w:rsidR="00C91C4E">
        <w:t xml:space="preserve"> </w:t>
      </w:r>
      <w:r>
        <w:t xml:space="preserve">The decision relied on the </w:t>
      </w:r>
      <w:r w:rsidRPr="00F909CF">
        <w:t xml:space="preserve">“used and useful </w:t>
      </w:r>
      <w:r>
        <w:t>for service” and “known and measurable” principle</w:t>
      </w:r>
      <w:r w:rsidR="00DB15E0">
        <w:t>s</w:t>
      </w:r>
      <w:r>
        <w:t xml:space="preserve"> for</w:t>
      </w:r>
      <w:r w:rsidRPr="00F909CF">
        <w:t xml:space="preserve"> capital additions.</w:t>
      </w:r>
      <w:r>
        <w:rPr>
          <w:rStyle w:val="FootnoteReference"/>
        </w:rPr>
        <w:footnoteReference w:id="47"/>
      </w:r>
      <w:r w:rsidR="00AD2F55">
        <w:t xml:space="preserve"> </w:t>
      </w:r>
    </w:p>
    <w:p w14:paraId="6A5A69BE" w14:textId="77777777" w:rsidR="00B10042" w:rsidRDefault="00B10042" w:rsidP="0091680E">
      <w:pPr>
        <w:pStyle w:val="NoSpacing"/>
      </w:pPr>
    </w:p>
    <w:p w14:paraId="29978068" w14:textId="77777777" w:rsidR="00B10042" w:rsidRPr="000160B8" w:rsidRDefault="00B10042" w:rsidP="0091680E">
      <w:pPr>
        <w:pStyle w:val="Heading8"/>
        <w:keepNext/>
      </w:pPr>
      <w:r w:rsidRPr="000160B8">
        <w:t>Q.</w:t>
      </w:r>
      <w:r w:rsidRPr="000160B8">
        <w:tab/>
      </w:r>
      <w:r w:rsidRPr="00AB6492">
        <w:t>What information did you evaluate in conducting your analyses?</w:t>
      </w:r>
    </w:p>
    <w:p w14:paraId="3425DC37" w14:textId="3A1F6E9D" w:rsidR="00B10042" w:rsidRDefault="00B10042" w:rsidP="0091680E">
      <w:pPr>
        <w:pStyle w:val="NoSpacing"/>
        <w:keepNext/>
      </w:pPr>
      <w:r>
        <w:t>A.</w:t>
      </w:r>
      <w:r>
        <w:tab/>
        <w:t>I reviewed the direct testimony and exhibits of Pacific Power witnesses Mr. Richard Vail and Ms. Shelley McCoy, and Pacific Power’s responses to data request</w:t>
      </w:r>
      <w:r w:rsidR="00DB15E0">
        <w:t>s</w:t>
      </w:r>
      <w:r>
        <w:t xml:space="preserve"> from </w:t>
      </w:r>
      <w:r w:rsidR="00DB15E0">
        <w:t>S</w:t>
      </w:r>
      <w:r>
        <w:t>taff.</w:t>
      </w:r>
      <w:r w:rsidR="00AD2F55">
        <w:t xml:space="preserve"> </w:t>
      </w:r>
      <w:r>
        <w:t>This included invoices and purchase orders for Union Gap expenses. I also evaluated sections of the Company’s 2015 business plan, investment appraisal documents, project change notice</w:t>
      </w:r>
      <w:r w:rsidR="003B2752">
        <w:t>s</w:t>
      </w:r>
      <w:r>
        <w:t>,</w:t>
      </w:r>
      <w:r w:rsidR="00632C0E">
        <w:t xml:space="preserve"> cash shift reports, scoring matrices,</w:t>
      </w:r>
      <w:r>
        <w:t xml:space="preserve"> and requests for proposals.</w:t>
      </w:r>
    </w:p>
    <w:p w14:paraId="2B7DF9EE" w14:textId="77777777" w:rsidR="00B10042" w:rsidRDefault="00B10042" w:rsidP="001527C9">
      <w:pPr>
        <w:pStyle w:val="NoSpacing"/>
      </w:pPr>
    </w:p>
    <w:p w14:paraId="1AE9F209" w14:textId="056456F1" w:rsidR="00B10042" w:rsidRDefault="00AD2F55" w:rsidP="0091680E">
      <w:pPr>
        <w:pStyle w:val="Heading2"/>
        <w:numPr>
          <w:ilvl w:val="0"/>
          <w:numId w:val="40"/>
        </w:numPr>
        <w:spacing w:after="240"/>
        <w:ind w:left="2880" w:hanging="720"/>
      </w:pPr>
      <w:bookmarkStart w:id="54" w:name="_Toc445371390"/>
      <w:bookmarkStart w:id="55" w:name="_Toc445371430"/>
      <w:bookmarkStart w:id="56" w:name="_Toc445381695"/>
      <w:r>
        <w:t>Prudence</w:t>
      </w:r>
      <w:r w:rsidR="00B10042">
        <w:t xml:space="preserve"> </w:t>
      </w:r>
      <w:r w:rsidR="0019429F">
        <w:t xml:space="preserve">Review </w:t>
      </w:r>
      <w:r w:rsidR="00B10042">
        <w:t>for Union Gap</w:t>
      </w:r>
      <w:bookmarkEnd w:id="54"/>
      <w:bookmarkEnd w:id="55"/>
      <w:bookmarkEnd w:id="56"/>
    </w:p>
    <w:p w14:paraId="231C334E" w14:textId="77777777" w:rsidR="001527C9" w:rsidRPr="001527C9" w:rsidRDefault="001527C9" w:rsidP="001527C9">
      <w:pPr>
        <w:spacing w:line="480" w:lineRule="auto"/>
      </w:pPr>
    </w:p>
    <w:p w14:paraId="1BF6FD31" w14:textId="73AE37BE" w:rsidR="00B10042" w:rsidRPr="00541C24" w:rsidRDefault="00B10042" w:rsidP="001527C9">
      <w:pPr>
        <w:pStyle w:val="Heading8"/>
      </w:pPr>
      <w:r w:rsidRPr="00541C24">
        <w:t>Q.</w:t>
      </w:r>
      <w:r w:rsidRPr="00541C24">
        <w:tab/>
      </w:r>
      <w:r>
        <w:t xml:space="preserve">Does the Union Gap substation upgrade – second sequence meet the standards for the first step of the </w:t>
      </w:r>
      <w:r w:rsidR="00AD2F55">
        <w:t>prudence</w:t>
      </w:r>
      <w:r>
        <w:t xml:space="preserve"> review?</w:t>
      </w:r>
    </w:p>
    <w:p w14:paraId="6D5C03EF" w14:textId="767B82F9" w:rsidR="00B10042" w:rsidRDefault="00B10042" w:rsidP="00B10042">
      <w:pPr>
        <w:spacing w:line="480" w:lineRule="auto"/>
      </w:pPr>
      <w:r>
        <w:t>A.</w:t>
      </w:r>
      <w:r>
        <w:tab/>
        <w:t xml:space="preserve">Yes. Union Gap meets the four </w:t>
      </w:r>
      <w:r w:rsidR="00DB15E0">
        <w:t>factors</w:t>
      </w:r>
      <w:r>
        <w:t xml:space="preserve"> </w:t>
      </w:r>
      <w:r w:rsidR="00DB15E0">
        <w:t>for</w:t>
      </w:r>
      <w:r>
        <w:t xml:space="preserve"> </w:t>
      </w:r>
      <w:r w:rsidR="00AD2F55">
        <w:t>prudence</w:t>
      </w:r>
      <w:r>
        <w:t>:</w:t>
      </w:r>
    </w:p>
    <w:p w14:paraId="3C0470D1" w14:textId="095A71D2" w:rsidR="00F36D99" w:rsidRDefault="00B10042" w:rsidP="0091680E">
      <w:pPr>
        <w:pStyle w:val="ListParagraph"/>
        <w:numPr>
          <w:ilvl w:val="0"/>
          <w:numId w:val="8"/>
        </w:numPr>
        <w:spacing w:line="480" w:lineRule="auto"/>
        <w:ind w:left="2160" w:right="18" w:hanging="720"/>
      </w:pPr>
      <w:r w:rsidRPr="007A33E7">
        <w:rPr>
          <w:i/>
        </w:rPr>
        <w:t>The Need for the Resource</w:t>
      </w:r>
      <w:r>
        <w:t xml:space="preserve"> </w:t>
      </w:r>
      <w:r w:rsidR="00134502">
        <w:t xml:space="preserve">– </w:t>
      </w:r>
      <w:r>
        <w:t xml:space="preserve">As Mr. Vail explained in his testimony, </w:t>
      </w:r>
      <w:r w:rsidRPr="006A62B8">
        <w:t xml:space="preserve">the project is necessary to continue to comply with NERC Standard </w:t>
      </w:r>
      <w:r w:rsidRPr="006A62B8">
        <w:lastRenderedPageBreak/>
        <w:t>TPL-002 “System Performance Following Loss of a Single Bulk Electric System Element (Category B)</w:t>
      </w:r>
      <w:r>
        <w:t>.</w:t>
      </w:r>
      <w:r w:rsidRPr="006A62B8">
        <w:t>”</w:t>
      </w:r>
      <w:r w:rsidR="00AD2F55">
        <w:t xml:space="preserve"> </w:t>
      </w:r>
      <w:r>
        <w:t xml:space="preserve">This </w:t>
      </w:r>
      <w:r w:rsidR="0019429F" w:rsidRPr="0019429F">
        <w:t xml:space="preserve">federal reliability </w:t>
      </w:r>
      <w:r>
        <w:t>standard</w:t>
      </w:r>
      <w:r w:rsidRPr="006A62B8">
        <w:t xml:space="preserve"> requires bulk electric system elements including transmission transformers, to be within thermal limits following the single contingency loss of a transmission system element.</w:t>
      </w:r>
      <w:r>
        <w:rPr>
          <w:rStyle w:val="FootnoteReference"/>
        </w:rPr>
        <w:footnoteReference w:id="48"/>
      </w:r>
      <w:r>
        <w:t xml:space="preserve"> </w:t>
      </w:r>
      <w:r w:rsidR="0019429F">
        <w:t xml:space="preserve">According to </w:t>
      </w:r>
      <w:r w:rsidR="00DB15E0">
        <w:t>C</w:t>
      </w:r>
      <w:r w:rsidR="0019429F">
        <w:t>ompany witness Mr. Vail, a</w:t>
      </w:r>
      <w:r>
        <w:t>n outage of one of the two 230/1</w:t>
      </w:r>
      <w:r w:rsidR="00C91C4E">
        <w:t>15 kV transformers would result</w:t>
      </w:r>
      <w:r>
        <w:t xml:space="preserve"> in an overload of the remaining transformer of approximately 50 megawatts (MWs), which can be maintained for a maximum of four hours.</w:t>
      </w:r>
      <w:r>
        <w:rPr>
          <w:rStyle w:val="FootnoteReference"/>
        </w:rPr>
        <w:footnoteReference w:id="49"/>
      </w:r>
      <w:r w:rsidR="00AD2F55">
        <w:t xml:space="preserve"> </w:t>
      </w:r>
      <w:r>
        <w:t>Pacific Power’s</w:t>
      </w:r>
      <w:r w:rsidRPr="00FD77B1">
        <w:t xml:space="preserve"> West System Assessment for TPL-002 Compliance</w:t>
      </w:r>
      <w:r>
        <w:t xml:space="preserve"> </w:t>
      </w:r>
      <w:r w:rsidRPr="00FD77B1">
        <w:t xml:space="preserve">Requirements notes that </w:t>
      </w:r>
      <w:r>
        <w:t>this situation</w:t>
      </w:r>
      <w:r w:rsidRPr="00FD77B1">
        <w:t xml:space="preserve"> will be experienced by 2016.</w:t>
      </w:r>
      <w:r>
        <w:rPr>
          <w:rStyle w:val="FootnoteReference"/>
        </w:rPr>
        <w:footnoteReference w:id="50"/>
      </w:r>
      <w:r w:rsidRPr="00FD77B1">
        <w:t xml:space="preserve"> </w:t>
      </w:r>
      <w:r w:rsidR="004A4592">
        <w:t xml:space="preserve">According to the </w:t>
      </w:r>
      <w:r w:rsidR="00DB15E0">
        <w:t xml:space="preserve">Company’s </w:t>
      </w:r>
      <w:r w:rsidR="004A4592">
        <w:t>investment appraisal document</w:t>
      </w:r>
      <w:r w:rsidR="00F36D99">
        <w:t>:</w:t>
      </w:r>
      <w:r w:rsidR="00AD2F55">
        <w:t xml:space="preserve"> </w:t>
      </w:r>
    </w:p>
    <w:p w14:paraId="7B41F431" w14:textId="4DE328CC" w:rsidR="00DB15E0" w:rsidRDefault="004A4592" w:rsidP="0048502B">
      <w:pPr>
        <w:pStyle w:val="ListParagraph"/>
        <w:ind w:left="2880" w:right="720"/>
      </w:pPr>
      <w:r>
        <w:t>“</w:t>
      </w:r>
      <w:r w:rsidRPr="004A4592">
        <w:t xml:space="preserve">Loss of </w:t>
      </w:r>
      <w:r>
        <w:t xml:space="preserve">the two </w:t>
      </w:r>
      <w:r w:rsidRPr="004A4592">
        <w:t xml:space="preserve">230/115 kV transformers results in 30 MWs of load being shed (approximately 6,000 customers) for the initial outage. This will also result in the remaining transformers at the nearby Pomona Heights substation being overloaded by approximately 150 MWs, which would require corrective measures to remove the overloads from the transformers. To correct all aforementioned system limitations in a cost-effective manner, this plan of service was selected to rebuild the 230 kV and 115 kV buses into a ring bus for the 230 kV bus and breaker and a half configuration for the 115 kV bus, which will eliminate the TPL-003 system deficiencies at the Union Gap substation. Deficiencies related to the 230 kV bus are </w:t>
      </w:r>
      <w:r>
        <w:t>resolved by the second sequence</w:t>
      </w:r>
      <w:r w:rsidR="00B10042" w:rsidRPr="00C647C2">
        <w:t>.</w:t>
      </w:r>
      <w:r w:rsidR="00F36D99">
        <w:t>”</w:t>
      </w:r>
      <w:r w:rsidR="00B10042">
        <w:rPr>
          <w:rStyle w:val="FootnoteReference"/>
        </w:rPr>
        <w:footnoteReference w:id="51"/>
      </w:r>
    </w:p>
    <w:p w14:paraId="5BC4ACAE" w14:textId="77777777" w:rsidR="00DB15E0" w:rsidRDefault="00DB15E0" w:rsidP="00DB15E0">
      <w:pPr>
        <w:pStyle w:val="ListParagraph"/>
        <w:ind w:left="2880" w:right="720"/>
        <w:jc w:val="both"/>
      </w:pPr>
    </w:p>
    <w:p w14:paraId="0D47B490" w14:textId="56C341EC" w:rsidR="00F36D99" w:rsidRDefault="00DB15E0" w:rsidP="00DB15E0">
      <w:pPr>
        <w:spacing w:line="480" w:lineRule="auto"/>
        <w:ind w:left="2160" w:right="720"/>
        <w:jc w:val="both"/>
      </w:pPr>
      <w:r>
        <w:lastRenderedPageBreak/>
        <w:t xml:space="preserve">Staff thus finds adequate need to justify the addition of the second sequence of </w:t>
      </w:r>
      <w:r w:rsidRPr="00DB15E0">
        <w:t>Union Gap</w:t>
      </w:r>
      <w:r>
        <w:t>.</w:t>
      </w:r>
    </w:p>
    <w:p w14:paraId="13A86B8C" w14:textId="12BC7F78" w:rsidR="00B10042" w:rsidRDefault="00B10042" w:rsidP="0091680E">
      <w:pPr>
        <w:pStyle w:val="ListParagraph"/>
        <w:numPr>
          <w:ilvl w:val="0"/>
          <w:numId w:val="8"/>
        </w:numPr>
        <w:spacing w:line="480" w:lineRule="auto"/>
        <w:ind w:left="2160" w:right="18" w:hanging="720"/>
      </w:pPr>
      <w:r w:rsidRPr="007A33E7">
        <w:rPr>
          <w:i/>
        </w:rPr>
        <w:t xml:space="preserve">Evaluation of </w:t>
      </w:r>
      <w:r w:rsidR="00DB15E0">
        <w:rPr>
          <w:i/>
        </w:rPr>
        <w:t>A</w:t>
      </w:r>
      <w:r w:rsidRPr="007A33E7">
        <w:rPr>
          <w:i/>
        </w:rPr>
        <w:t>lternatives</w:t>
      </w:r>
      <w:r>
        <w:t xml:space="preserve"> – The Company considered two possible scenarios to meet the NERC requirement.</w:t>
      </w:r>
      <w:r w:rsidR="00AD2F55">
        <w:t xml:space="preserve"> </w:t>
      </w:r>
      <w:r>
        <w:t>It assessed replacing both existing 230/115 kV 150 MVA transformers at Union Gap with new 230/115 kV 250 MVA transformers and rebuild</w:t>
      </w:r>
      <w:r w:rsidR="00B776AF">
        <w:t>ing</w:t>
      </w:r>
      <w:r>
        <w:t xml:space="preserve"> the 230 kV and 115 kV buses.</w:t>
      </w:r>
      <w:r w:rsidR="00AD2F55">
        <w:t xml:space="preserve"> </w:t>
      </w:r>
      <w:r w:rsidR="00AF1475">
        <w:t>Pacific Power</w:t>
      </w:r>
      <w:r>
        <w:t xml:space="preserve"> also evaluated building a new 230/115 kV substation along the Pomona to Union Gap 230 kV line.</w:t>
      </w:r>
      <w:r>
        <w:rPr>
          <w:rStyle w:val="FootnoteReference"/>
        </w:rPr>
        <w:footnoteReference w:id="52"/>
      </w:r>
      <w:r w:rsidR="00AD2F55">
        <w:t xml:space="preserve"> </w:t>
      </w:r>
      <w:r>
        <w:t>The Company chose the option th</w:t>
      </w:r>
      <w:r w:rsidR="00235A10">
        <w:t>at was the most cost-effective and that maintained their levels of technical and safety requirements</w:t>
      </w:r>
      <w:r w:rsidR="00CB6694">
        <w:t>.</w:t>
      </w:r>
      <w:r w:rsidR="00CD2358">
        <w:rPr>
          <w:rStyle w:val="FootnoteReference"/>
        </w:rPr>
        <w:footnoteReference w:id="53"/>
      </w:r>
      <w:r w:rsidR="000E7919">
        <w:t xml:space="preserve"> To </w:t>
      </w:r>
      <w:r w:rsidR="007525BE">
        <w:t>choose</w:t>
      </w:r>
      <w:r w:rsidR="000E7919">
        <w:t xml:space="preserve"> the </w:t>
      </w:r>
      <w:r w:rsidR="00CD2358">
        <w:t>vendor</w:t>
      </w:r>
      <w:r w:rsidR="00235A10">
        <w:t xml:space="preserve"> Pacific </w:t>
      </w:r>
      <w:r w:rsidR="0019429F">
        <w:t xml:space="preserve">Power </w:t>
      </w:r>
      <w:r w:rsidR="00CD2358">
        <w:t>used</w:t>
      </w:r>
      <w:r w:rsidR="00235A10">
        <w:t xml:space="preserve"> Ariba contract management software to administrate the Request for Proposals process.</w:t>
      </w:r>
      <w:r w:rsidR="00CD2358">
        <w:t xml:space="preserve"> The Company </w:t>
      </w:r>
      <w:r w:rsidR="00312DA0">
        <w:t xml:space="preserve">invited 53 contractors from its </w:t>
      </w:r>
      <w:r w:rsidR="00CD2358">
        <w:t>network of “approved contractors”</w:t>
      </w:r>
      <w:r w:rsidR="005A5845" w:rsidRPr="005A5845">
        <w:t xml:space="preserve"> to bid</w:t>
      </w:r>
      <w:r w:rsidR="005A5845">
        <w:t>. Approved contractors are companies</w:t>
      </w:r>
      <w:r w:rsidR="00CD2358">
        <w:t xml:space="preserve"> that have develo</w:t>
      </w:r>
      <w:r w:rsidR="00312DA0">
        <w:t xml:space="preserve">ped other projects </w:t>
      </w:r>
      <w:r w:rsidR="00DB15E0">
        <w:t xml:space="preserve">for the Company </w:t>
      </w:r>
      <w:r w:rsidR="00312DA0">
        <w:t xml:space="preserve">in the past. After a </w:t>
      </w:r>
      <w:r w:rsidR="00100C5F">
        <w:t xml:space="preserve">pre-award </w:t>
      </w:r>
      <w:r w:rsidR="00312DA0">
        <w:t>roundtable discussion to agree on the evaluation standards for the contractors of this project</w:t>
      </w:r>
      <w:r w:rsidR="00100C5F">
        <w:t xml:space="preserve">, </w:t>
      </w:r>
      <w:r w:rsidR="000E7919">
        <w:t xml:space="preserve">price and </w:t>
      </w:r>
      <w:r w:rsidR="00312DA0">
        <w:t xml:space="preserve">technical </w:t>
      </w:r>
      <w:r w:rsidR="000E7919">
        <w:t>matrices were</w:t>
      </w:r>
      <w:r w:rsidR="00312DA0">
        <w:t xml:space="preserve"> developed to </w:t>
      </w:r>
      <w:r w:rsidR="002B2C14">
        <w:t>evaluate</w:t>
      </w:r>
      <w:r w:rsidR="00100C5F">
        <w:t xml:space="preserve"> the c</w:t>
      </w:r>
      <w:r w:rsidR="008B6CDE">
        <w:t>ontractors</w:t>
      </w:r>
      <w:r w:rsidR="00100C5F">
        <w:t xml:space="preserve"> </w:t>
      </w:r>
      <w:r w:rsidR="000E7919">
        <w:t>in these aspects</w:t>
      </w:r>
      <w:r w:rsidR="009311B7">
        <w:t xml:space="preserve"> separately</w:t>
      </w:r>
      <w:r w:rsidR="00100C5F">
        <w:t>.</w:t>
      </w:r>
      <w:r w:rsidR="000E7919">
        <w:t xml:space="preserve"> The selected </w:t>
      </w:r>
      <w:r w:rsidR="004C6057">
        <w:t>contractor</w:t>
      </w:r>
      <w:r w:rsidR="000E7919">
        <w:t xml:space="preserve"> was the one that obtained the highest score from the technical and price assessments. </w:t>
      </w:r>
    </w:p>
    <w:p w14:paraId="13089B09" w14:textId="2A64840A" w:rsidR="00B10042" w:rsidRDefault="00B10042" w:rsidP="0091680E">
      <w:pPr>
        <w:pStyle w:val="ListParagraph"/>
        <w:numPr>
          <w:ilvl w:val="0"/>
          <w:numId w:val="8"/>
        </w:numPr>
        <w:spacing w:line="480" w:lineRule="auto"/>
        <w:ind w:left="2160" w:right="18" w:hanging="720"/>
      </w:pPr>
      <w:r w:rsidRPr="007A33E7">
        <w:rPr>
          <w:i/>
        </w:rPr>
        <w:t xml:space="preserve">Communication with and involvement of the Company’s </w:t>
      </w:r>
      <w:r w:rsidR="00DB15E0">
        <w:rPr>
          <w:i/>
        </w:rPr>
        <w:t>Executive Management</w:t>
      </w:r>
      <w:r>
        <w:t xml:space="preserve"> – </w:t>
      </w:r>
      <w:r w:rsidR="003F58F9" w:rsidRPr="003F58F9">
        <w:t xml:space="preserve">For projects such as Union Gap where there are three </w:t>
      </w:r>
      <w:r w:rsidR="003F58F9" w:rsidRPr="003F58F9">
        <w:lastRenderedPageBreak/>
        <w:t xml:space="preserve">distinct sequences, approval of funding must stay at the overall project level. </w:t>
      </w:r>
      <w:r w:rsidR="00FC0549" w:rsidRPr="00FC0549">
        <w:t>The initial APR for the Union Gap project was routed and approved prior to the implementation of the current electronic</w:t>
      </w:r>
      <w:r w:rsidR="00FC0549">
        <w:t xml:space="preserve"> process using the SAP system.</w:t>
      </w:r>
      <w:r w:rsidR="00FC0549">
        <w:rPr>
          <w:rStyle w:val="FootnoteReference"/>
        </w:rPr>
        <w:footnoteReference w:id="54"/>
      </w:r>
      <w:r w:rsidR="00DB15E0">
        <w:t xml:space="preserve"> </w:t>
      </w:r>
      <w:r w:rsidR="00C547F3">
        <w:t xml:space="preserve">As it was mentioned in the </w:t>
      </w:r>
      <w:r w:rsidR="00AD2F55">
        <w:t>prudence</w:t>
      </w:r>
      <w:r w:rsidR="00C547F3">
        <w:t xml:space="preserve"> section for SCADA EMS, b</w:t>
      </w:r>
      <w:r w:rsidR="008C5128">
        <w:t>efore 2011, Pacific Power</w:t>
      </w:r>
      <w:r w:rsidR="00421270" w:rsidRPr="00421270">
        <w:t xml:space="preserve"> used a paper and email</w:t>
      </w:r>
      <w:r w:rsidR="00807E03">
        <w:t xml:space="preserve"> routing system to approve APRs. Union Gap documents used </w:t>
      </w:r>
      <w:r w:rsidR="00421270" w:rsidRPr="00421270">
        <w:t>th</w:t>
      </w:r>
      <w:r w:rsidR="00807E03">
        <w:t>e same approval authority amount as before the system was updated</w:t>
      </w:r>
      <w:r w:rsidR="007C0A75">
        <w:t>.</w:t>
      </w:r>
      <w:r w:rsidR="007C0A75">
        <w:rPr>
          <w:rStyle w:val="FootnoteReference"/>
        </w:rPr>
        <w:footnoteReference w:id="55"/>
      </w:r>
      <w:r w:rsidR="007C0A75">
        <w:t xml:space="preserve"> </w:t>
      </w:r>
      <w:r w:rsidR="00FC0549">
        <w:t>In this case</w:t>
      </w:r>
      <w:r w:rsidR="00DB15E0">
        <w:t>,</w:t>
      </w:r>
      <w:r w:rsidR="00FC0549">
        <w:t xml:space="preserve"> the Company provided information regarding the project change notices and how top level management</w:t>
      </w:r>
      <w:r w:rsidR="009311B7">
        <w:t xml:space="preserve"> was informed of the multiple steps to develop the project. </w:t>
      </w:r>
      <w:r w:rsidR="007B5DA2" w:rsidRPr="007B5DA2">
        <w:t xml:space="preserve">For APRs that have expenditure amounts over $1.0 million, </w:t>
      </w:r>
      <w:r w:rsidR="00101DB3" w:rsidRPr="007B5DA2">
        <w:t>Pacifi</w:t>
      </w:r>
      <w:r w:rsidR="008C5128">
        <w:t>c Power’s</w:t>
      </w:r>
      <w:r w:rsidR="00101DB3" w:rsidRPr="007B5DA2">
        <w:t xml:space="preserve"> </w:t>
      </w:r>
      <w:r w:rsidR="007B5DA2" w:rsidRPr="007B5DA2">
        <w:t>policy requires an Investment Appraisal Document (IAD) to further supplement the text in the APR</w:t>
      </w:r>
      <w:r w:rsidR="00B776AF">
        <w:t>;</w:t>
      </w:r>
      <w:r w:rsidR="007B5DA2" w:rsidRPr="007B5DA2">
        <w:t xml:space="preserve"> however, the business controller can waive this requirement for certain cases.</w:t>
      </w:r>
      <w:r w:rsidR="007B5DA2">
        <w:rPr>
          <w:rStyle w:val="FootnoteReference"/>
        </w:rPr>
        <w:footnoteReference w:id="56"/>
      </w:r>
      <w:r w:rsidR="007B5DA2">
        <w:t xml:space="preserve"> </w:t>
      </w:r>
      <w:r w:rsidR="00C74698">
        <w:t xml:space="preserve">The Company provided email chains showing how the Controller waived the requirement </w:t>
      </w:r>
      <w:r w:rsidR="00B776AF">
        <w:t xml:space="preserve">of </w:t>
      </w:r>
      <w:r w:rsidR="00C74698">
        <w:t>the IAD on a preliminary APR</w:t>
      </w:r>
      <w:r w:rsidR="00B03F48">
        <w:t xml:space="preserve"> for this project</w:t>
      </w:r>
      <w:r w:rsidR="00C74698">
        <w:t>.</w:t>
      </w:r>
      <w:r w:rsidR="00C74698">
        <w:rPr>
          <w:rStyle w:val="FootnoteReference"/>
        </w:rPr>
        <w:footnoteReference w:id="57"/>
      </w:r>
      <w:r w:rsidR="00C74698">
        <w:t xml:space="preserve"> The first PCN reflecting the full funding of the project was approved by</w:t>
      </w:r>
      <w:r w:rsidR="00143E4D">
        <w:t xml:space="preserve"> Mr.</w:t>
      </w:r>
      <w:r w:rsidR="00C74698">
        <w:t xml:space="preserve"> Greg Abel, Chairman and Chief Executive Officer of Pacific Power</w:t>
      </w:r>
      <w:r w:rsidR="00143E4D">
        <w:t>.</w:t>
      </w:r>
      <w:r w:rsidR="00330B88">
        <w:rPr>
          <w:rStyle w:val="FootnoteReference"/>
        </w:rPr>
        <w:footnoteReference w:id="58"/>
      </w:r>
      <w:r w:rsidR="00C74698">
        <w:t xml:space="preserve"> </w:t>
      </w:r>
      <w:r w:rsidR="00143E4D">
        <w:t xml:space="preserve">The latest PCN reflects an increase in project funding of $2.15 </w:t>
      </w:r>
      <w:r w:rsidR="001D5E89">
        <w:t>million</w:t>
      </w:r>
      <w:r w:rsidR="00143E4D">
        <w:t xml:space="preserve"> approved by Mr. Greg A</w:t>
      </w:r>
      <w:r w:rsidR="003A787D">
        <w:t>bel. A</w:t>
      </w:r>
      <w:r w:rsidR="00143E4D">
        <w:t xml:space="preserve"> new Special Delegation of Authority </w:t>
      </w:r>
      <w:r w:rsidR="00143E4D">
        <w:lastRenderedPageBreak/>
        <w:t>(SDA)</w:t>
      </w:r>
      <w:r w:rsidR="003A787D">
        <w:t xml:space="preserve"> was also submitted</w:t>
      </w:r>
      <w:r w:rsidR="00B63991">
        <w:t>.</w:t>
      </w:r>
      <w:r w:rsidR="00DA457D">
        <w:rPr>
          <w:rStyle w:val="FootnoteReference"/>
        </w:rPr>
        <w:footnoteReference w:id="59"/>
      </w:r>
      <w:r w:rsidR="00143E4D">
        <w:t xml:space="preserve"> As of the writing of this testimony Staff does not have additional details </w:t>
      </w:r>
      <w:r w:rsidR="00DA457D">
        <w:t>of</w:t>
      </w:r>
      <w:r w:rsidR="00143E4D">
        <w:t xml:space="preserve"> the role and purpose of the SDA in the structure of the </w:t>
      </w:r>
      <w:r w:rsidR="008B1016">
        <w:t>C</w:t>
      </w:r>
      <w:r w:rsidR="00143E4D">
        <w:t xml:space="preserve">ompany. </w:t>
      </w:r>
      <w:r w:rsidR="007525BE">
        <w:t>Similar to the SCADA EMS project, information</w:t>
      </w:r>
      <w:r w:rsidR="004C011A">
        <w:t xml:space="preserve"> regarding Union Gap was included in</w:t>
      </w:r>
      <w:r>
        <w:t xml:space="preserve"> documents like the investment appraisal</w:t>
      </w:r>
      <w:r>
        <w:rPr>
          <w:rStyle w:val="FootnoteReference"/>
        </w:rPr>
        <w:footnoteReference w:id="60"/>
      </w:r>
      <w:r>
        <w:t xml:space="preserve"> and sections of </w:t>
      </w:r>
      <w:r w:rsidR="008B1016">
        <w:t xml:space="preserve">the </w:t>
      </w:r>
      <w:r>
        <w:t>2015</w:t>
      </w:r>
      <w:r w:rsidR="008B1016">
        <w:t xml:space="preserve"> Business P</w:t>
      </w:r>
      <w:r>
        <w:t>lan reflecting amounts for Union Gap and general main grid transmission capital investments.</w:t>
      </w:r>
      <w:r>
        <w:rPr>
          <w:rStyle w:val="FootnoteReference"/>
        </w:rPr>
        <w:footnoteReference w:id="61"/>
      </w:r>
      <w:r>
        <w:t xml:space="preserve"> </w:t>
      </w:r>
    </w:p>
    <w:p w14:paraId="45FA32A8" w14:textId="371277F0" w:rsidR="007525BE" w:rsidRDefault="00B10042" w:rsidP="008D7649">
      <w:pPr>
        <w:pStyle w:val="ListParagraph"/>
        <w:numPr>
          <w:ilvl w:val="0"/>
          <w:numId w:val="8"/>
        </w:numPr>
        <w:spacing w:line="480" w:lineRule="auto"/>
        <w:ind w:left="2160" w:right="18" w:hanging="720"/>
      </w:pPr>
      <w:r>
        <w:rPr>
          <w:i/>
        </w:rPr>
        <w:t xml:space="preserve">Adequate Documentation </w:t>
      </w:r>
      <w:r>
        <w:t>– The Company provided adequate records and supporting analysis demonstrating the reasonableness of the decision to</w:t>
      </w:r>
      <w:r w:rsidR="007E4498">
        <w:t xml:space="preserve"> invest in Union Gap three sequences</w:t>
      </w:r>
      <w:r>
        <w:t xml:space="preserve">. </w:t>
      </w:r>
      <w:r w:rsidRPr="00BE2604">
        <w:t>The initial investment appraisal document</w:t>
      </w:r>
      <w:r w:rsidR="007B5DA2">
        <w:t xml:space="preserve"> and subsequent documents</w:t>
      </w:r>
      <w:r w:rsidR="00502674">
        <w:t xml:space="preserve"> were</w:t>
      </w:r>
      <w:r w:rsidR="007B5DA2">
        <w:t xml:space="preserve"> approved by</w:t>
      </w:r>
      <w:r w:rsidRPr="00BE2604">
        <w:t xml:space="preserve"> </w:t>
      </w:r>
      <w:r w:rsidR="00235A10">
        <w:t xml:space="preserve">top </w:t>
      </w:r>
      <w:r w:rsidR="007B5DA2">
        <w:t>management</w:t>
      </w:r>
      <w:r w:rsidR="008B1016">
        <w:t>,</w:t>
      </w:r>
      <w:r w:rsidR="007B5DA2">
        <w:t xml:space="preserve"> </w:t>
      </w:r>
      <w:r w:rsidRPr="00BE2604">
        <w:t>but</w:t>
      </w:r>
      <w:r w:rsidR="007525BE">
        <w:t xml:space="preserve"> again</w:t>
      </w:r>
      <w:r w:rsidRPr="00BE2604">
        <w:t xml:space="preserve"> it is not clear to Staff </w:t>
      </w:r>
      <w:r>
        <w:t>if</w:t>
      </w:r>
      <w:r w:rsidRPr="00BE2604">
        <w:t xml:space="preserve"> communicat</w:t>
      </w:r>
      <w:r>
        <w:t>ion</w:t>
      </w:r>
      <w:r w:rsidRPr="00BE2604">
        <w:t xml:space="preserve"> with top level </w:t>
      </w:r>
      <w:r>
        <w:t>executives is a</w:t>
      </w:r>
      <w:r w:rsidRPr="00BE2604">
        <w:t xml:space="preserve"> consistent process </w:t>
      </w:r>
      <w:r>
        <w:t>for</w:t>
      </w:r>
      <w:r w:rsidRPr="00BE2604">
        <w:t xml:space="preserve"> each project</w:t>
      </w:r>
      <w:r w:rsidR="007525BE">
        <w:t xml:space="preserve">. </w:t>
      </w:r>
      <w:r w:rsidR="00CE7839">
        <w:t>Nevertheless</w:t>
      </w:r>
      <w:r w:rsidR="00B63991">
        <w:t xml:space="preserve">, </w:t>
      </w:r>
      <w:r w:rsidR="008B1016">
        <w:t>for</w:t>
      </w:r>
      <w:r w:rsidR="00B63991">
        <w:t xml:space="preserve"> the </w:t>
      </w:r>
      <w:r w:rsidR="00143E4D">
        <w:t xml:space="preserve">Union Gap </w:t>
      </w:r>
      <w:r w:rsidR="001715DB">
        <w:t xml:space="preserve">project it was </w:t>
      </w:r>
      <w:r w:rsidR="00DA457D">
        <w:t>clearer</w:t>
      </w:r>
      <w:r w:rsidR="001715DB">
        <w:t xml:space="preserve"> to Staff</w:t>
      </w:r>
      <w:r w:rsidR="00143E4D">
        <w:t xml:space="preserve"> </w:t>
      </w:r>
      <w:r w:rsidR="008B1016">
        <w:t>that</w:t>
      </w:r>
      <w:r w:rsidR="00143E4D">
        <w:t xml:space="preserve"> </w:t>
      </w:r>
      <w:r w:rsidR="008B1016">
        <w:t xml:space="preserve">the </w:t>
      </w:r>
      <w:r w:rsidR="00B776AF">
        <w:t>top management people making the decision</w:t>
      </w:r>
      <w:r w:rsidR="00143E4D">
        <w:t xml:space="preserve"> </w:t>
      </w:r>
      <w:r w:rsidR="008B1016">
        <w:t>evaluated documents related to the project</w:t>
      </w:r>
      <w:r w:rsidR="001715DB">
        <w:t>.</w:t>
      </w:r>
    </w:p>
    <w:p w14:paraId="3CF21FC8" w14:textId="77777777" w:rsidR="00B10042" w:rsidRDefault="00B10042" w:rsidP="006E1986">
      <w:pPr>
        <w:spacing w:line="480" w:lineRule="auto"/>
      </w:pPr>
    </w:p>
    <w:p w14:paraId="2FBA1E0A" w14:textId="77777777" w:rsidR="00B10042" w:rsidRPr="006575E9" w:rsidRDefault="00B10042" w:rsidP="00B10042">
      <w:pPr>
        <w:pStyle w:val="Heading8"/>
      </w:pPr>
      <w:r w:rsidRPr="006575E9">
        <w:t>Q.</w:t>
      </w:r>
      <w:r w:rsidRPr="006575E9">
        <w:tab/>
      </w:r>
      <w:r>
        <w:t>Have you reviewed the final costs for Union Gap?</w:t>
      </w:r>
    </w:p>
    <w:p w14:paraId="121F2C12" w14:textId="7D00D472" w:rsidR="00B10042" w:rsidRDefault="00B10042" w:rsidP="0097624C">
      <w:pPr>
        <w:pStyle w:val="NoSpacing"/>
      </w:pPr>
      <w:r w:rsidRPr="00164F19">
        <w:t>A.</w:t>
      </w:r>
      <w:r w:rsidRPr="00164F19">
        <w:tab/>
      </w:r>
      <w:r w:rsidR="0019429F">
        <w:t>No because t</w:t>
      </w:r>
      <w:r>
        <w:t>he project will not be completed until May 2016.</w:t>
      </w:r>
      <w:r w:rsidR="00AD2F55">
        <w:t xml:space="preserve"> </w:t>
      </w:r>
      <w:r>
        <w:t>However, I have reviewed Union Gap costs to date.</w:t>
      </w:r>
      <w:r w:rsidR="00AD2F55">
        <w:t xml:space="preserve"> </w:t>
      </w:r>
      <w:r>
        <w:t xml:space="preserve">The </w:t>
      </w:r>
      <w:r w:rsidR="00F26E47">
        <w:t xml:space="preserve">current </w:t>
      </w:r>
      <w:r>
        <w:t>project</w:t>
      </w:r>
      <w:r w:rsidR="00F26E47">
        <w:t xml:space="preserve"> forecast</w:t>
      </w:r>
      <w:r>
        <w:t xml:space="preserve"> is </w:t>
      </w:r>
      <w:r w:rsidR="00F26E47">
        <w:t xml:space="preserve">$21,029,404, and the initial amount included as plant in service in the Company’s initial filing for the </w:t>
      </w:r>
      <w:r w:rsidR="00F26E47">
        <w:lastRenderedPageBreak/>
        <w:t>second sequence was $20,882,973</w:t>
      </w:r>
      <w:r w:rsidR="00BB7372">
        <w:t>.</w:t>
      </w:r>
      <w:r>
        <w:rPr>
          <w:rStyle w:val="FootnoteReference"/>
        </w:rPr>
        <w:footnoteReference w:id="62"/>
      </w:r>
      <w:r w:rsidR="00F26E47">
        <w:t xml:space="preserve"> The Company stated there is a variance of four percent between the initial project budget and the actual final expenditures.</w:t>
      </w:r>
      <w:r>
        <w:t xml:space="preserve"> Staff is not concerned about this variation in budget since it is a small variance from the original budget</w:t>
      </w:r>
      <w:r w:rsidR="00235A10">
        <w:t xml:space="preserve">. Management also explained </w:t>
      </w:r>
      <w:r w:rsidR="00F26E47">
        <w:t xml:space="preserve">during informal conversations </w:t>
      </w:r>
      <w:r w:rsidR="00235A10">
        <w:t xml:space="preserve">that </w:t>
      </w:r>
      <w:r w:rsidR="00C74656">
        <w:t>the relative increase in the projected amount</w:t>
      </w:r>
      <w:r w:rsidR="00235A10">
        <w:t xml:space="preserve"> was caused </w:t>
      </w:r>
      <w:r w:rsidR="009311B7">
        <w:t>by unforeseen events</w:t>
      </w:r>
      <w:r w:rsidR="00195780">
        <w:t xml:space="preserve"> during construction that change</w:t>
      </w:r>
      <w:r w:rsidR="00C74656">
        <w:t>d</w:t>
      </w:r>
      <w:r w:rsidR="00195780">
        <w:t xml:space="preserve"> the scope of the project</w:t>
      </w:r>
      <w:r w:rsidR="00C74656">
        <w:t>.</w:t>
      </w:r>
      <w:r w:rsidR="00E630CF">
        <w:t xml:space="preserve"> </w:t>
      </w:r>
      <w:r w:rsidR="008B1016">
        <w:t>These</w:t>
      </w:r>
      <w:r w:rsidR="00E630CF">
        <w:t xml:space="preserve"> unforeseen events </w:t>
      </w:r>
      <w:r w:rsidR="008B1016">
        <w:t>include</w:t>
      </w:r>
      <w:r w:rsidR="00E630CF">
        <w:t xml:space="preserve"> modifications to the design and procedures </w:t>
      </w:r>
      <w:r w:rsidR="00F26E47">
        <w:t>during</w:t>
      </w:r>
      <w:r w:rsidR="00E630CF">
        <w:t xml:space="preserve"> construction process that can only be </w:t>
      </w:r>
      <w:r w:rsidR="008B1016">
        <w:t xml:space="preserve">known </w:t>
      </w:r>
      <w:r w:rsidR="00E630CF">
        <w:t xml:space="preserve">on-site </w:t>
      </w:r>
      <w:r w:rsidR="008B1016">
        <w:t xml:space="preserve">once </w:t>
      </w:r>
      <w:r w:rsidR="00E630CF">
        <w:t xml:space="preserve">they occur. </w:t>
      </w:r>
      <w:r w:rsidR="00C74656">
        <w:t xml:space="preserve">Additionally, </w:t>
      </w:r>
      <w:r w:rsidR="00BC4517">
        <w:t>cost</w:t>
      </w:r>
      <w:r w:rsidR="00C74656">
        <w:t xml:space="preserve"> estimates </w:t>
      </w:r>
      <w:r w:rsidR="00BC4517">
        <w:t xml:space="preserve">changed </w:t>
      </w:r>
      <w:r w:rsidR="00C74656">
        <w:t xml:space="preserve">from the time they were </w:t>
      </w:r>
      <w:r w:rsidR="00BC4517">
        <w:t>calculated</w:t>
      </w:r>
      <w:r w:rsidR="00C74656">
        <w:t xml:space="preserve"> to the date </w:t>
      </w:r>
      <w:r w:rsidR="00F16031">
        <w:t>they were billed</w:t>
      </w:r>
      <w:r>
        <w:t>.</w:t>
      </w:r>
      <w:r w:rsidR="00F16031">
        <w:t xml:space="preserve"> It is important to point out that</w:t>
      </w:r>
      <w:r w:rsidR="0097624C">
        <w:t xml:space="preserve"> Pacific</w:t>
      </w:r>
      <w:r w:rsidR="008B1016">
        <w:t xml:space="preserve"> Power’s policies require</w:t>
      </w:r>
      <w:r w:rsidR="0097624C">
        <w:t xml:space="preserve"> </w:t>
      </w:r>
      <w:r w:rsidR="00BC4517">
        <w:t xml:space="preserve">large transmission </w:t>
      </w:r>
      <w:r w:rsidR="0097624C">
        <w:t xml:space="preserve">projects </w:t>
      </w:r>
      <w:r w:rsidR="00BC4517">
        <w:t>of</w:t>
      </w:r>
      <w:r w:rsidR="0097624C">
        <w:t xml:space="preserve"> $50 </w:t>
      </w:r>
      <w:r w:rsidR="002B3BC5">
        <w:t xml:space="preserve">million </w:t>
      </w:r>
      <w:r w:rsidR="00BC4517">
        <w:t>(net cost) or greater</w:t>
      </w:r>
      <w:r w:rsidR="0097624C">
        <w:t xml:space="preserve"> </w:t>
      </w:r>
      <w:r w:rsidR="00195780">
        <w:t>to have a reserve</w:t>
      </w:r>
      <w:r w:rsidR="0060460E">
        <w:t>.</w:t>
      </w:r>
      <w:r w:rsidR="00BC4517">
        <w:rPr>
          <w:rStyle w:val="FootnoteReference"/>
        </w:rPr>
        <w:footnoteReference w:id="63"/>
      </w:r>
      <w:r w:rsidR="00C735C1">
        <w:t xml:space="preserve"> Previous appropriation request (APR) for </w:t>
      </w:r>
      <w:r w:rsidR="0097624C">
        <w:t>Union Gap</w:t>
      </w:r>
      <w:r w:rsidR="00195780">
        <w:t xml:space="preserve"> substation upgrade </w:t>
      </w:r>
      <w:r w:rsidR="00C735C1">
        <w:t xml:space="preserve">had a $4 </w:t>
      </w:r>
      <w:r w:rsidR="002B3BC5">
        <w:t xml:space="preserve">million </w:t>
      </w:r>
      <w:r w:rsidR="00C735C1">
        <w:t>contingency fund for all sequences</w:t>
      </w:r>
      <w:r w:rsidR="008B1016">
        <w:t>,</w:t>
      </w:r>
      <w:r w:rsidR="00C735C1">
        <w:t xml:space="preserve"> but </w:t>
      </w:r>
      <w:r w:rsidR="00D10683">
        <w:t xml:space="preserve">the </w:t>
      </w:r>
      <w:r w:rsidR="00C735C1">
        <w:t>recent APR removed the contingency</w:t>
      </w:r>
      <w:r w:rsidR="008B1016">
        <w:t xml:space="preserve"> funds</w:t>
      </w:r>
      <w:r w:rsidR="00C735C1">
        <w:t xml:space="preserve"> because design was complete, material purchased and construction bids were awarded.</w:t>
      </w:r>
      <w:r w:rsidR="0060460E">
        <w:rPr>
          <w:rStyle w:val="FootnoteReference"/>
        </w:rPr>
        <w:footnoteReference w:id="64"/>
      </w:r>
    </w:p>
    <w:p w14:paraId="50EA5820" w14:textId="77777777" w:rsidR="00B10042" w:rsidRDefault="00B10042" w:rsidP="00B10042">
      <w:pPr>
        <w:pStyle w:val="NoSpacing"/>
      </w:pPr>
    </w:p>
    <w:p w14:paraId="49439632" w14:textId="6E68769D" w:rsidR="00B10042" w:rsidRPr="00FC036B" w:rsidRDefault="008B1016" w:rsidP="00B10042">
      <w:pPr>
        <w:pStyle w:val="NoSpacing"/>
        <w:rPr>
          <w:b/>
        </w:rPr>
      </w:pPr>
      <w:r>
        <w:rPr>
          <w:b/>
        </w:rPr>
        <w:t>Q.</w:t>
      </w:r>
      <w:r>
        <w:rPr>
          <w:b/>
        </w:rPr>
        <w:tab/>
        <w:t>What i</w:t>
      </w:r>
      <w:r w:rsidR="00B10042" w:rsidRPr="00FC036B">
        <w:rPr>
          <w:b/>
        </w:rPr>
        <w:t xml:space="preserve">s </w:t>
      </w:r>
      <w:r w:rsidR="004A07E2">
        <w:rPr>
          <w:b/>
        </w:rPr>
        <w:t>S</w:t>
      </w:r>
      <w:r w:rsidR="00B10042" w:rsidRPr="00FC036B">
        <w:rPr>
          <w:b/>
        </w:rPr>
        <w:t>taff</w:t>
      </w:r>
      <w:r w:rsidR="004A07E2">
        <w:rPr>
          <w:b/>
        </w:rPr>
        <w:t>‘s</w:t>
      </w:r>
      <w:r w:rsidR="00B92AA5">
        <w:rPr>
          <w:b/>
        </w:rPr>
        <w:t xml:space="preserve"> </w:t>
      </w:r>
      <w:r w:rsidR="00B10042" w:rsidRPr="00FC036B">
        <w:rPr>
          <w:b/>
        </w:rPr>
        <w:t xml:space="preserve">recommendation for </w:t>
      </w:r>
      <w:r w:rsidR="00B10042">
        <w:rPr>
          <w:b/>
        </w:rPr>
        <w:t>Union Gap</w:t>
      </w:r>
      <w:r w:rsidR="00B10042" w:rsidRPr="00FC036B">
        <w:rPr>
          <w:b/>
        </w:rPr>
        <w:t>?</w:t>
      </w:r>
    </w:p>
    <w:p w14:paraId="40E5DC72" w14:textId="1BB06C79" w:rsidR="00B10042" w:rsidRDefault="00B10042" w:rsidP="00B10042">
      <w:pPr>
        <w:pStyle w:val="NoSpacing"/>
      </w:pPr>
      <w:r w:rsidRPr="00FC036B">
        <w:t>A.</w:t>
      </w:r>
      <w:r w:rsidRPr="00FC036B">
        <w:tab/>
      </w:r>
      <w:r>
        <w:t>I</w:t>
      </w:r>
      <w:r w:rsidRPr="00FC036B">
        <w:t xml:space="preserve"> recommend that the Commission consider the </w:t>
      </w:r>
      <w:r>
        <w:t>Union Gap</w:t>
      </w:r>
      <w:r w:rsidRPr="00FC036B">
        <w:t xml:space="preserve"> </w:t>
      </w:r>
      <w:r>
        <w:t>contracting and</w:t>
      </w:r>
      <w:r w:rsidRPr="00FC036B">
        <w:t xml:space="preserve"> ma</w:t>
      </w:r>
      <w:r>
        <w:t>nagement decision by Pacific Power to be</w:t>
      </w:r>
      <w:r w:rsidRPr="00FC036B">
        <w:t xml:space="preserve"> </w:t>
      </w:r>
      <w:r>
        <w:t xml:space="preserve">a </w:t>
      </w:r>
      <w:r w:rsidRPr="00FC036B">
        <w:t>prudent</w:t>
      </w:r>
      <w:r>
        <w:t xml:space="preserve"> investment</w:t>
      </w:r>
      <w:r w:rsidRPr="00FC036B">
        <w:t xml:space="preserve">. </w:t>
      </w:r>
      <w:r w:rsidR="007F0F62">
        <w:t xml:space="preserve">The </w:t>
      </w:r>
      <w:r>
        <w:t>decision to go forward was prudent</w:t>
      </w:r>
      <w:r w:rsidR="007F0F62">
        <w:t xml:space="preserve"> and the</w:t>
      </w:r>
      <w:r>
        <w:t xml:space="preserve"> process of making that decision seem</w:t>
      </w:r>
      <w:r w:rsidR="007F0F62">
        <w:t>ed more</w:t>
      </w:r>
      <w:r>
        <w:t xml:space="preserve"> systematic </w:t>
      </w:r>
      <w:r w:rsidR="004A07E2">
        <w:t xml:space="preserve">and </w:t>
      </w:r>
      <w:r>
        <w:t>consistent</w:t>
      </w:r>
      <w:r w:rsidR="007F0F62">
        <w:t xml:space="preserve"> </w:t>
      </w:r>
      <w:r w:rsidR="004A07E2">
        <w:t xml:space="preserve">with </w:t>
      </w:r>
      <w:r w:rsidR="007F0F62">
        <w:t>the standard of procedures</w:t>
      </w:r>
      <w:r w:rsidR="004A07E2">
        <w:t>,</w:t>
      </w:r>
      <w:r w:rsidR="007F0F62">
        <w:t xml:space="preserve"> in </w:t>
      </w:r>
      <w:r w:rsidR="004A07E2">
        <w:t xml:space="preserve">contrast </w:t>
      </w:r>
      <w:r w:rsidR="007F0F62">
        <w:t>to SCADA EMS</w:t>
      </w:r>
      <w:r>
        <w:t xml:space="preserve">. </w:t>
      </w:r>
    </w:p>
    <w:p w14:paraId="4D46EAEA" w14:textId="1A57AB46" w:rsidR="00B10042" w:rsidRDefault="00B10042" w:rsidP="00B10042">
      <w:pPr>
        <w:spacing w:line="480" w:lineRule="auto"/>
        <w:ind w:left="720" w:firstLine="720"/>
      </w:pPr>
      <w:r>
        <w:lastRenderedPageBreak/>
        <w:t xml:space="preserve">Additionally, Staff recommends including </w:t>
      </w:r>
      <w:r w:rsidR="00DE5F6E">
        <w:t>Union Gap</w:t>
      </w:r>
      <w:r>
        <w:t xml:space="preserve"> in the second year of the rate plan as a pro forma</w:t>
      </w:r>
      <w:r w:rsidR="008B1016">
        <w:t xml:space="preserve"> rate base addition subject to the C</w:t>
      </w:r>
      <w:r>
        <w:t xml:space="preserve">ompany’s attestation </w:t>
      </w:r>
      <w:r w:rsidR="008B1016">
        <w:t xml:space="preserve">filing </w:t>
      </w:r>
      <w:r>
        <w:t xml:space="preserve">and review of </w:t>
      </w:r>
      <w:r w:rsidR="008B1016">
        <w:t xml:space="preserve">final </w:t>
      </w:r>
      <w:r>
        <w:t>costs in April 2017.</w:t>
      </w:r>
    </w:p>
    <w:p w14:paraId="0B8B98C0" w14:textId="77777777" w:rsidR="00B10042" w:rsidRDefault="00B10042" w:rsidP="003B4607">
      <w:pPr>
        <w:spacing w:line="480" w:lineRule="auto"/>
        <w:ind w:left="720" w:firstLine="720"/>
      </w:pPr>
    </w:p>
    <w:p w14:paraId="235030ED" w14:textId="7CC7406D" w:rsidR="00447E6E" w:rsidRDefault="00447E6E" w:rsidP="0091680E">
      <w:pPr>
        <w:pStyle w:val="Heading2"/>
        <w:keepNext/>
        <w:numPr>
          <w:ilvl w:val="0"/>
          <w:numId w:val="40"/>
        </w:numPr>
        <w:ind w:left="2880" w:hanging="720"/>
      </w:pPr>
      <w:bookmarkStart w:id="57" w:name="_Toc445371391"/>
      <w:bookmarkStart w:id="58" w:name="_Toc445371431"/>
      <w:bookmarkStart w:id="59" w:name="_Toc445381696"/>
      <w:r>
        <w:t xml:space="preserve">Major Rate </w:t>
      </w:r>
      <w:r w:rsidR="004E6753">
        <w:t xml:space="preserve">Base </w:t>
      </w:r>
      <w:r>
        <w:t>Additions</w:t>
      </w:r>
      <w:bookmarkEnd w:id="57"/>
      <w:bookmarkEnd w:id="58"/>
      <w:bookmarkEnd w:id="59"/>
    </w:p>
    <w:p w14:paraId="48BF3083" w14:textId="77777777" w:rsidR="003B4607" w:rsidRPr="003B4607" w:rsidRDefault="003B4607" w:rsidP="0091680E">
      <w:pPr>
        <w:keepNext/>
        <w:spacing w:line="480" w:lineRule="auto"/>
      </w:pPr>
    </w:p>
    <w:p w14:paraId="4E023878" w14:textId="77777777" w:rsidR="00447E6E" w:rsidRPr="00240705" w:rsidRDefault="00447E6E" w:rsidP="0091680E">
      <w:pPr>
        <w:keepNext/>
        <w:spacing w:line="480" w:lineRule="auto"/>
        <w:rPr>
          <w:b/>
        </w:rPr>
      </w:pPr>
      <w:r w:rsidRPr="00493D30">
        <w:rPr>
          <w:b/>
        </w:rPr>
        <w:t>Q.</w:t>
      </w:r>
      <w:r w:rsidRPr="00493D30">
        <w:rPr>
          <w:b/>
        </w:rPr>
        <w:tab/>
      </w:r>
      <w:r w:rsidRPr="00240705">
        <w:rPr>
          <w:b/>
        </w:rPr>
        <w:t>What is a major rate base addition?</w:t>
      </w:r>
    </w:p>
    <w:p w14:paraId="1014B822" w14:textId="43C27162" w:rsidR="008031A7" w:rsidRPr="00240705" w:rsidRDefault="003C05F1" w:rsidP="0091680E">
      <w:pPr>
        <w:keepNext/>
        <w:spacing w:line="480" w:lineRule="auto"/>
        <w:ind w:left="720" w:hanging="720"/>
      </w:pPr>
      <w:r w:rsidRPr="00240705">
        <w:t>A.</w:t>
      </w:r>
      <w:r w:rsidRPr="00240705">
        <w:tab/>
      </w:r>
      <w:r w:rsidR="008B1016" w:rsidRPr="00240705">
        <w:t xml:space="preserve">Staff considers a </w:t>
      </w:r>
      <w:r w:rsidRPr="00240705">
        <w:t>construction project for water, gas and electrical companies</w:t>
      </w:r>
      <w:r w:rsidR="008B1016" w:rsidRPr="00240705">
        <w:t xml:space="preserve"> to be “major” if</w:t>
      </w:r>
      <w:r w:rsidRPr="00240705">
        <w:t xml:space="preserve"> the Washington-allocated share of the total project is greater than five-tenths of one percent of the company’s latest year-end Washington-allocated net utility plan</w:t>
      </w:r>
      <w:r w:rsidR="00EF0C80" w:rsidRPr="00240705">
        <w:t>t</w:t>
      </w:r>
      <w:r w:rsidRPr="00240705">
        <w:t xml:space="preserve"> in service, but </w:t>
      </w:r>
      <w:r w:rsidR="008B1016" w:rsidRPr="00240705">
        <w:t xml:space="preserve">this </w:t>
      </w:r>
      <w:r w:rsidRPr="00240705">
        <w:t>does not include any project of less than three million dollars on a total project basis.</w:t>
      </w:r>
      <w:r w:rsidRPr="00240705">
        <w:rPr>
          <w:rStyle w:val="FootnoteReference"/>
        </w:rPr>
        <w:footnoteReference w:id="65"/>
      </w:r>
    </w:p>
    <w:p w14:paraId="451788F8" w14:textId="648BC550" w:rsidR="00D7248A" w:rsidRPr="00240705" w:rsidRDefault="00D7248A" w:rsidP="00D7248A">
      <w:pPr>
        <w:spacing w:line="480" w:lineRule="auto"/>
        <w:ind w:left="720" w:hanging="720"/>
      </w:pPr>
      <w:r w:rsidRPr="00240705">
        <w:tab/>
      </w:r>
      <w:r w:rsidR="00F36D99" w:rsidRPr="00240705">
        <w:tab/>
      </w:r>
      <w:r w:rsidR="00C46925" w:rsidRPr="00240705">
        <w:t>The</w:t>
      </w:r>
      <w:r w:rsidR="008B1016" w:rsidRPr="00240705">
        <w:t xml:space="preserve"> </w:t>
      </w:r>
      <w:r w:rsidRPr="00240705">
        <w:t>Commission</w:t>
      </w:r>
      <w:r w:rsidR="00C46925" w:rsidRPr="00240705">
        <w:t xml:space="preserve"> signaled its approval of this standard</w:t>
      </w:r>
      <w:r w:rsidRPr="00240705">
        <w:t xml:space="preserve"> in </w:t>
      </w:r>
      <w:r w:rsidR="00C46925" w:rsidRPr="00240705">
        <w:t xml:space="preserve">Avista’s 2015 general rate </w:t>
      </w:r>
      <w:r w:rsidRPr="00240705">
        <w:t>case:</w:t>
      </w:r>
    </w:p>
    <w:p w14:paraId="0069C614" w14:textId="691CE146" w:rsidR="00D7248A" w:rsidRPr="00240705" w:rsidRDefault="00D7248A" w:rsidP="00F36D99">
      <w:pPr>
        <w:ind w:left="1440" w:right="720"/>
        <w:jc w:val="both"/>
        <w:rPr>
          <w:rFonts w:cstheme="minorBidi"/>
          <w:szCs w:val="20"/>
        </w:rPr>
      </w:pPr>
      <w:r w:rsidRPr="00240705">
        <w:rPr>
          <w:rFonts w:cstheme="minorBidi"/>
          <w:szCs w:val="20"/>
        </w:rPr>
        <w:t>Staff’s proposed threshold for major plant additions relies on an established rule, albeit one established in a somewhat different setting. It has, however, the advantage of being proportional to the size of the Company’s rate base and therefore relevant to the issue of the financial impact on the Company in the setting of rates. We find it reasonable to set the threshold in proportion to a company’s rate base. In the instant case, we find it reasonable to use the one-half of one percent threshold.</w:t>
      </w:r>
      <w:r w:rsidRPr="00240705">
        <w:rPr>
          <w:rFonts w:cstheme="minorBidi"/>
          <w:szCs w:val="20"/>
          <w:vertAlign w:val="superscript"/>
        </w:rPr>
        <w:footnoteReference w:id="66"/>
      </w:r>
    </w:p>
    <w:p w14:paraId="18DF8429" w14:textId="2202F762" w:rsidR="00D7248A" w:rsidRPr="00240705" w:rsidRDefault="00D7248A" w:rsidP="00F36D99">
      <w:pPr>
        <w:spacing w:line="480" w:lineRule="auto"/>
      </w:pPr>
    </w:p>
    <w:p w14:paraId="191D54AE" w14:textId="77777777" w:rsidR="00447E6E" w:rsidRPr="00240705" w:rsidRDefault="00447E6E" w:rsidP="0048502B">
      <w:pPr>
        <w:keepNext/>
        <w:spacing w:line="480" w:lineRule="auto"/>
        <w:ind w:left="720" w:hanging="720"/>
        <w:rPr>
          <w:b/>
        </w:rPr>
      </w:pPr>
      <w:r w:rsidRPr="00240705">
        <w:rPr>
          <w:b/>
        </w:rPr>
        <w:lastRenderedPageBreak/>
        <w:t>Q.</w:t>
      </w:r>
      <w:r w:rsidRPr="00240705">
        <w:rPr>
          <w:b/>
        </w:rPr>
        <w:tab/>
        <w:t>Do SCADA EMS and Union Gap Upgrade qualify as “major” rate base additions?</w:t>
      </w:r>
    </w:p>
    <w:p w14:paraId="1546649D" w14:textId="4807A37A" w:rsidR="00447E6E" w:rsidRDefault="00447E6E" w:rsidP="0048502B">
      <w:pPr>
        <w:keepNext/>
        <w:spacing w:line="480" w:lineRule="auto"/>
        <w:ind w:left="720" w:hanging="720"/>
      </w:pPr>
      <w:r w:rsidRPr="00240705">
        <w:t>A.</w:t>
      </w:r>
      <w:r w:rsidRPr="00240705">
        <w:tab/>
      </w:r>
      <w:r w:rsidR="008031A7" w:rsidRPr="00240705">
        <w:t>Yes.</w:t>
      </w:r>
      <w:r w:rsidR="00AD2F55" w:rsidRPr="00240705">
        <w:t xml:space="preserve"> </w:t>
      </w:r>
      <w:r w:rsidR="00745AD1" w:rsidRPr="00240705">
        <w:t xml:space="preserve">Both projects qualify </w:t>
      </w:r>
      <w:r w:rsidR="003E63C4" w:rsidRPr="00240705">
        <w:t>since</w:t>
      </w:r>
      <w:r w:rsidR="00745AD1" w:rsidRPr="00240705">
        <w:t xml:space="preserve"> they are over $3 m</w:t>
      </w:r>
      <w:r w:rsidR="002B3BC5" w:rsidRPr="00240705">
        <w:t>illion</w:t>
      </w:r>
      <w:r w:rsidR="00D73A1F" w:rsidRPr="00240705">
        <w:t xml:space="preserve">. </w:t>
      </w:r>
      <w:r w:rsidR="00745AD1" w:rsidRPr="00240705">
        <w:t xml:space="preserve">SCADA EMS is $33.9 </w:t>
      </w:r>
      <w:r w:rsidR="002B3BC5" w:rsidRPr="00240705">
        <w:t xml:space="preserve">million </w:t>
      </w:r>
      <w:r w:rsidR="00745AD1" w:rsidRPr="00240705">
        <w:t>and Union Gap</w:t>
      </w:r>
      <w:r w:rsidR="00B92AA5" w:rsidRPr="00240705">
        <w:t xml:space="preserve"> second sequence</w:t>
      </w:r>
      <w:r w:rsidR="00745AD1" w:rsidRPr="00240705">
        <w:t xml:space="preserve"> is $20.8 </w:t>
      </w:r>
      <w:r w:rsidR="002B3BC5" w:rsidRPr="00240705">
        <w:t xml:space="preserve">million </w:t>
      </w:r>
      <w:r w:rsidR="00745AD1" w:rsidRPr="00240705">
        <w:t>on a total project basis.</w:t>
      </w:r>
      <w:r w:rsidR="00AD2F55" w:rsidRPr="00240705">
        <w:t xml:space="preserve"> </w:t>
      </w:r>
      <w:r w:rsidR="003E63C4" w:rsidRPr="00240705">
        <w:t>However</w:t>
      </w:r>
      <w:r w:rsidR="00745AD1" w:rsidRPr="00240705">
        <w:t xml:space="preserve">, </w:t>
      </w:r>
      <w:r w:rsidR="00231F8F" w:rsidRPr="00240705">
        <w:t>independently</w:t>
      </w:r>
      <w:r w:rsidR="00745AD1" w:rsidRPr="00240705">
        <w:t xml:space="preserve"> the projects do not reach the threshold of an allocated share greater than 0.5 percent of the Company’s Washington allocated net electric plant</w:t>
      </w:r>
      <w:r w:rsidR="00231F8F" w:rsidRPr="00240705">
        <w:t xml:space="preserve"> in service</w:t>
      </w:r>
      <w:r w:rsidR="00D73A1F" w:rsidRPr="00240705">
        <w:t xml:space="preserve"> or $8,709,816.93</w:t>
      </w:r>
      <w:r w:rsidR="00745AD1" w:rsidRPr="00240705">
        <w:t>.</w:t>
      </w:r>
      <w:r w:rsidR="00526D1B" w:rsidRPr="00240705">
        <w:t xml:space="preserve"> This does not preclude S</w:t>
      </w:r>
      <w:r w:rsidR="003E63C4" w:rsidRPr="00240705">
        <w:t xml:space="preserve">taff </w:t>
      </w:r>
      <w:r w:rsidR="006A3F01" w:rsidRPr="00240705">
        <w:t>from</w:t>
      </w:r>
      <w:r w:rsidR="003E63C4" w:rsidRPr="00240705">
        <w:t xml:space="preserve"> consider</w:t>
      </w:r>
      <w:r w:rsidR="006A3F01" w:rsidRPr="00240705">
        <w:t>ing</w:t>
      </w:r>
      <w:r w:rsidR="003E63C4" w:rsidRPr="00240705">
        <w:t xml:space="preserve"> these addition</w:t>
      </w:r>
      <w:r w:rsidR="006A3F01" w:rsidRPr="00240705">
        <w:t>s</w:t>
      </w:r>
      <w:r w:rsidR="003E63C4" w:rsidRPr="00240705">
        <w:t xml:space="preserve"> as major</w:t>
      </w:r>
      <w:r w:rsidR="00C9432B">
        <w:t xml:space="preserve">. </w:t>
      </w:r>
      <w:r w:rsidR="00603FCA">
        <w:t xml:space="preserve">First, </w:t>
      </w:r>
      <w:r w:rsidR="00B92AA5" w:rsidRPr="00240705">
        <w:t>Union Gap’s various phases will ultimat</w:t>
      </w:r>
      <w:r w:rsidR="00C9432B">
        <w:t xml:space="preserve">ely add up to a bigger project. </w:t>
      </w:r>
      <w:r w:rsidR="00603FCA">
        <w:t>Second, t</w:t>
      </w:r>
      <w:r w:rsidR="00C9432B">
        <w:t xml:space="preserve">he SCADA EMS system is </w:t>
      </w:r>
      <w:r w:rsidR="00603FCA">
        <w:t>key</w:t>
      </w:r>
      <w:r w:rsidR="00C9432B">
        <w:t xml:space="preserve"> to the functionality of </w:t>
      </w:r>
      <w:r w:rsidR="008C5128">
        <w:t>Pacific Power’</w:t>
      </w:r>
      <w:r w:rsidR="00603FCA">
        <w:t>s</w:t>
      </w:r>
      <w:r w:rsidR="00C9432B">
        <w:t xml:space="preserve"> generation and transmission system; without it the Company would have no visibility into real-time status of its electric system and no way to operate in response to system conditions.</w:t>
      </w:r>
      <w:r w:rsidR="00C9432B">
        <w:rPr>
          <w:rStyle w:val="FootnoteReference"/>
        </w:rPr>
        <w:footnoteReference w:id="67"/>
      </w:r>
      <w:r w:rsidR="00C9432B">
        <w:t xml:space="preserve"> </w:t>
      </w:r>
      <w:r w:rsidR="00DF1F72" w:rsidRPr="00240705">
        <w:t xml:space="preserve">Staff supports the amount that </w:t>
      </w:r>
      <w:r w:rsidR="008B1A9D" w:rsidRPr="00240705">
        <w:t xml:space="preserve">the </w:t>
      </w:r>
      <w:r w:rsidR="00C46925" w:rsidRPr="00240705">
        <w:t>C</w:t>
      </w:r>
      <w:r w:rsidR="008B1A9D" w:rsidRPr="00240705">
        <w:t xml:space="preserve">ompany calculated for </w:t>
      </w:r>
      <w:r w:rsidR="00DF1F72" w:rsidRPr="00240705">
        <w:t xml:space="preserve">Washington’s rate payers </w:t>
      </w:r>
      <w:r w:rsidR="008B1A9D" w:rsidRPr="00240705">
        <w:t>for</w:t>
      </w:r>
      <w:r w:rsidR="008B1A9D">
        <w:t xml:space="preserve"> </w:t>
      </w:r>
      <w:r w:rsidR="00DF1F72">
        <w:t xml:space="preserve">these major rate base additions according to the </w:t>
      </w:r>
      <w:r w:rsidR="00B92AA5">
        <w:t>Company’s allocation</w:t>
      </w:r>
      <w:r w:rsidR="00DF1F72">
        <w:t xml:space="preserve"> factors</w:t>
      </w:r>
      <w:r w:rsidR="003E63C4">
        <w:t>.</w:t>
      </w:r>
    </w:p>
    <w:p w14:paraId="77F63961" w14:textId="77777777" w:rsidR="00447E6E" w:rsidRPr="000E3F56" w:rsidRDefault="00447E6E" w:rsidP="00745AD1">
      <w:pPr>
        <w:spacing w:line="480" w:lineRule="auto"/>
      </w:pPr>
    </w:p>
    <w:p w14:paraId="20E30CE5" w14:textId="1CE60E55" w:rsidR="0011461D" w:rsidRDefault="00447E6E" w:rsidP="0091680E">
      <w:pPr>
        <w:pStyle w:val="Heading2"/>
        <w:numPr>
          <w:ilvl w:val="0"/>
          <w:numId w:val="40"/>
        </w:numPr>
        <w:ind w:left="2880" w:hanging="720"/>
      </w:pPr>
      <w:bookmarkStart w:id="60" w:name="_Toc445371392"/>
      <w:bookmarkStart w:id="61" w:name="_Toc445371432"/>
      <w:bookmarkStart w:id="62" w:name="_Toc445381697"/>
      <w:r>
        <w:t>Used and Useful</w:t>
      </w:r>
      <w:bookmarkEnd w:id="60"/>
      <w:bookmarkEnd w:id="61"/>
      <w:bookmarkEnd w:id="62"/>
      <w:r>
        <w:t xml:space="preserve"> </w:t>
      </w:r>
    </w:p>
    <w:p w14:paraId="7FC81FAD" w14:textId="77777777" w:rsidR="006B4CE2" w:rsidRPr="006B4CE2" w:rsidRDefault="006B4CE2" w:rsidP="006B1C59">
      <w:pPr>
        <w:spacing w:line="480" w:lineRule="auto"/>
      </w:pPr>
    </w:p>
    <w:p w14:paraId="3645E60E" w14:textId="25F8D25D" w:rsidR="0011461D" w:rsidRPr="006B4CE2" w:rsidRDefault="0011461D" w:rsidP="006B1C59">
      <w:pPr>
        <w:spacing w:line="480" w:lineRule="auto"/>
        <w:ind w:left="720" w:hanging="720"/>
        <w:rPr>
          <w:b/>
        </w:rPr>
      </w:pPr>
      <w:r w:rsidRPr="006B4CE2">
        <w:rPr>
          <w:b/>
        </w:rPr>
        <w:t>Q.</w:t>
      </w:r>
      <w:r w:rsidRPr="006B4CE2">
        <w:rPr>
          <w:b/>
        </w:rPr>
        <w:tab/>
        <w:t>Please describe the Used and Useful Standard</w:t>
      </w:r>
      <w:r w:rsidR="00C46925">
        <w:rPr>
          <w:b/>
        </w:rPr>
        <w:t>.</w:t>
      </w:r>
    </w:p>
    <w:p w14:paraId="16EE0F68" w14:textId="24C53055" w:rsidR="0011461D" w:rsidRDefault="0011461D" w:rsidP="00DE5F6E">
      <w:pPr>
        <w:spacing w:line="480" w:lineRule="auto"/>
        <w:ind w:left="720" w:hanging="720"/>
      </w:pPr>
      <w:r>
        <w:t>A.</w:t>
      </w:r>
      <w:r>
        <w:tab/>
        <w:t>I</w:t>
      </w:r>
      <w:r w:rsidR="004A07E2">
        <w:t>t is well established that, i</w:t>
      </w:r>
      <w:r>
        <w:t xml:space="preserve">f </w:t>
      </w:r>
      <w:r w:rsidRPr="00B90CBC">
        <w:t xml:space="preserve">the </w:t>
      </w:r>
      <w:r>
        <w:t>pro forma adjustment adds new plant,</w:t>
      </w:r>
      <w:r w:rsidR="001F1B65">
        <w:t xml:space="preserve"> </w:t>
      </w:r>
      <w:r>
        <w:t>it must be shown that the new plant will be used and useful to serve Washington customers.</w:t>
      </w:r>
      <w:r>
        <w:rPr>
          <w:rStyle w:val="FootnoteReference"/>
        </w:rPr>
        <w:footnoteReference w:id="68"/>
      </w:r>
      <w:r>
        <w:t xml:space="preserve"> </w:t>
      </w:r>
      <w:r>
        <w:lastRenderedPageBreak/>
        <w:t>With very limited exceptions the plant must be in service by no later than the end of the rate proceeding if it is to be allowed in rate base.</w:t>
      </w:r>
      <w:r>
        <w:rPr>
          <w:rStyle w:val="FootnoteReference"/>
        </w:rPr>
        <w:footnoteReference w:id="69"/>
      </w:r>
    </w:p>
    <w:p w14:paraId="0FE941ED" w14:textId="77777777" w:rsidR="00587C93" w:rsidRDefault="00587C93" w:rsidP="00DE5F6E">
      <w:pPr>
        <w:spacing w:line="480" w:lineRule="auto"/>
        <w:ind w:left="720" w:hanging="720"/>
      </w:pPr>
    </w:p>
    <w:p w14:paraId="69C469FD" w14:textId="42B049D5" w:rsidR="00587C93" w:rsidRPr="00493D30" w:rsidRDefault="00587C93" w:rsidP="00DE5F6E">
      <w:pPr>
        <w:spacing w:line="480" w:lineRule="auto"/>
        <w:ind w:left="720" w:hanging="720"/>
        <w:rPr>
          <w:b/>
        </w:rPr>
      </w:pPr>
      <w:r w:rsidRPr="00493D30">
        <w:rPr>
          <w:b/>
        </w:rPr>
        <w:t>Q.</w:t>
      </w:r>
      <w:r w:rsidRPr="00493D30">
        <w:rPr>
          <w:b/>
        </w:rPr>
        <w:tab/>
        <w:t xml:space="preserve">Do SCADA EMS and Union Gap Upgrade </w:t>
      </w:r>
      <w:r>
        <w:rPr>
          <w:b/>
        </w:rPr>
        <w:t>meet this test</w:t>
      </w:r>
      <w:r w:rsidRPr="00493D30">
        <w:rPr>
          <w:b/>
        </w:rPr>
        <w:t>?</w:t>
      </w:r>
    </w:p>
    <w:p w14:paraId="661830A1" w14:textId="58636FB5" w:rsidR="00E759B9" w:rsidRDefault="00587C93" w:rsidP="00E759B9">
      <w:pPr>
        <w:spacing w:line="480" w:lineRule="auto"/>
        <w:ind w:left="720" w:hanging="720"/>
      </w:pPr>
      <w:r w:rsidRPr="00DE5F6E">
        <w:t>A.</w:t>
      </w:r>
      <w:r w:rsidRPr="00DE5F6E">
        <w:tab/>
        <w:t>Yes.</w:t>
      </w:r>
      <w:r w:rsidR="00AD2F55">
        <w:t xml:space="preserve"> </w:t>
      </w:r>
      <w:r w:rsidR="00E759B9">
        <w:t>The projects will be used and useful before they are i</w:t>
      </w:r>
      <w:r w:rsidR="00C46925">
        <w:t>ncluded as rate base additions i</w:t>
      </w:r>
      <w:r w:rsidR="00E759B9">
        <w:t>n the second year of the rate plan.</w:t>
      </w:r>
      <w:r w:rsidR="007809D1">
        <w:t xml:space="preserve"> SCADA EMS will be in service</w:t>
      </w:r>
      <w:r w:rsidR="00757509">
        <w:t xml:space="preserve"> by April 2016</w:t>
      </w:r>
      <w:r w:rsidR="00C46925">
        <w:t>,</w:t>
      </w:r>
      <w:r w:rsidR="00757509">
        <w:t xml:space="preserve"> and Union Gap will be in service in May 2016. The attestation and review of total cost</w:t>
      </w:r>
      <w:r w:rsidR="00173E08">
        <w:t xml:space="preserve"> for both projects</w:t>
      </w:r>
      <w:r w:rsidR="00757509">
        <w:t xml:space="preserve"> will be</w:t>
      </w:r>
      <w:r w:rsidR="007809D1">
        <w:t xml:space="preserve"> </w:t>
      </w:r>
      <w:r w:rsidR="00757509">
        <w:t>done by April 2017.</w:t>
      </w:r>
    </w:p>
    <w:p w14:paraId="18B46E3C" w14:textId="05E5C7C5" w:rsidR="00DE5F6E" w:rsidRPr="00DE5F6E" w:rsidRDefault="00AD2F55" w:rsidP="00E759B9">
      <w:pPr>
        <w:spacing w:line="480" w:lineRule="auto"/>
        <w:ind w:left="720" w:hanging="720"/>
      </w:pPr>
      <w:r>
        <w:t xml:space="preserve"> </w:t>
      </w:r>
    </w:p>
    <w:p w14:paraId="636FAE0B" w14:textId="3F95F026" w:rsidR="00932610" w:rsidRDefault="00932610" w:rsidP="00DE5F6E">
      <w:pPr>
        <w:pStyle w:val="Heading8"/>
      </w:pPr>
      <w:r>
        <w:t>Q.</w:t>
      </w:r>
      <w:r>
        <w:tab/>
        <w:t>Please explain how the</w:t>
      </w:r>
      <w:r w:rsidRPr="009D0A85">
        <w:t xml:space="preserve"> Union Gap </w:t>
      </w:r>
      <w:r>
        <w:t>and SCADA rate base additions</w:t>
      </w:r>
      <w:r w:rsidRPr="009D0A85">
        <w:t xml:space="preserve"> meet the </w:t>
      </w:r>
      <w:r w:rsidRPr="007F7205">
        <w:t xml:space="preserve">criteria that </w:t>
      </w:r>
      <w:r w:rsidR="006A3F01">
        <w:t>have</w:t>
      </w:r>
      <w:r w:rsidR="006A3F01" w:rsidRPr="007F7205">
        <w:t xml:space="preserve"> </w:t>
      </w:r>
      <w:r w:rsidRPr="007F7205">
        <w:t>been applied historically to pro forma adjustments</w:t>
      </w:r>
      <w:r>
        <w:t>.</w:t>
      </w:r>
    </w:p>
    <w:p w14:paraId="4E74C3EC" w14:textId="222B56FD" w:rsidR="00932610" w:rsidRDefault="00932610" w:rsidP="00932610">
      <w:pPr>
        <w:pStyle w:val="NoSpacing"/>
      </w:pPr>
      <w:r>
        <w:t>A.</w:t>
      </w:r>
      <w:r>
        <w:tab/>
        <w:t>The main consideration for Staff’s recommendation is that, even though the plant was not in</w:t>
      </w:r>
      <w:r w:rsidR="006A3F01">
        <w:t xml:space="preserve"> </w:t>
      </w:r>
      <w:r>
        <w:t>service during the test year or by the filing date of this rate case, it will effectively be in</w:t>
      </w:r>
      <w:r w:rsidR="006A3F01">
        <w:t xml:space="preserve"> </w:t>
      </w:r>
      <w:r>
        <w:t xml:space="preserve">service by the start of the second year of the rate plan. Staff’s proposed cost updates will give the opportunity to have access to known and measurable information about final closeout costs before the beginning of year two of rate plan. Also, Staff will be able to provide an informed opinion regarding the second step of the </w:t>
      </w:r>
      <w:r w:rsidR="00AD2F55">
        <w:t>prudence</w:t>
      </w:r>
      <w:r>
        <w:t xml:space="preserve"> review, which is an assessment of how the decisions were made after the project was selected. Furthermore</w:t>
      </w:r>
      <w:r w:rsidR="00C46925">
        <w:t>,</w:t>
      </w:r>
      <w:r>
        <w:t xml:space="preserve"> both projects are necessary to provide service and will be rendering a service to customers by the time they become rate base items. Finally the projects do not likely have offsetting factors; their </w:t>
      </w:r>
      <w:r>
        <w:lastRenderedPageBreak/>
        <w:t>development was the result of required NERC standards to maintain quality of service.</w:t>
      </w:r>
    </w:p>
    <w:p w14:paraId="708D0C19" w14:textId="77777777" w:rsidR="00932610" w:rsidRDefault="00932610" w:rsidP="00932610">
      <w:pPr>
        <w:pStyle w:val="NoSpacing"/>
      </w:pPr>
    </w:p>
    <w:p w14:paraId="6E161357" w14:textId="77777777" w:rsidR="00932610" w:rsidRDefault="00932610" w:rsidP="00932610">
      <w:pPr>
        <w:pStyle w:val="Heading8"/>
      </w:pPr>
      <w:r>
        <w:t>Q.</w:t>
      </w:r>
      <w:r>
        <w:tab/>
      </w:r>
      <w:r w:rsidRPr="003C29AA">
        <w:t xml:space="preserve">Please summarize Staff’s recommended rate base adjustments </w:t>
      </w:r>
      <w:r>
        <w:t>for Union Gap and SCADA EMS.</w:t>
      </w:r>
    </w:p>
    <w:p w14:paraId="5FF0DEF9" w14:textId="766B279B" w:rsidR="00932610" w:rsidRDefault="00932610" w:rsidP="00932610">
      <w:pPr>
        <w:spacing w:line="480" w:lineRule="auto"/>
        <w:ind w:left="720" w:hanging="720"/>
      </w:pPr>
      <w:r>
        <w:t>A.</w:t>
      </w:r>
      <w:r>
        <w:tab/>
      </w:r>
      <w:r w:rsidRPr="003C29AA">
        <w:t>Staff recommends adding to rate base</w:t>
      </w:r>
      <w:r>
        <w:t xml:space="preserve"> for year two of the rate plan</w:t>
      </w:r>
      <w:r w:rsidRPr="003C29AA">
        <w:t xml:space="preserve"> the capital costs incurred as of </w:t>
      </w:r>
      <w:r>
        <w:t>February 29, 2016</w:t>
      </w:r>
      <w:r w:rsidRPr="003C29AA">
        <w:t xml:space="preserve">, for the </w:t>
      </w:r>
      <w:r>
        <w:t>Union Gap and SCADA EMS</w:t>
      </w:r>
      <w:r w:rsidRPr="003C29AA">
        <w:t xml:space="preserve"> </w:t>
      </w:r>
      <w:r>
        <w:t xml:space="preserve">projects. Any additional costs, including closeout costs, will be updated according to the </w:t>
      </w:r>
      <w:r w:rsidR="00ED40FA">
        <w:t>attestation provided by the Company before the beginning of the second year of rates</w:t>
      </w:r>
      <w:r>
        <w:t>. It is important to point out that it is not expected to have significant cost changes compared to the information contemporaneous with this filing. Both projects are very close to their completion date</w:t>
      </w:r>
      <w:r w:rsidR="006A3F01">
        <w:t>,</w:t>
      </w:r>
      <w:r>
        <w:t xml:space="preserve"> and Staff’s calculations for revenue requirement include the costs that are already known. Staff’s proposed cost updates will give the opportunity to have access to actual information about final closeout costs by the beginning of year two of the rate plan, and make reasonable adjustments to revenue requirement if necessary.</w:t>
      </w:r>
    </w:p>
    <w:p w14:paraId="702A4D23" w14:textId="77777777" w:rsidR="00932610" w:rsidRDefault="00932610" w:rsidP="00F51AFC">
      <w:pPr>
        <w:pStyle w:val="NoSpacing"/>
        <w:ind w:left="0" w:firstLine="0"/>
      </w:pPr>
    </w:p>
    <w:p w14:paraId="21DE1F91" w14:textId="3DCA8EF2" w:rsidR="00932610" w:rsidRDefault="00932610" w:rsidP="008D7649">
      <w:pPr>
        <w:pStyle w:val="Heading1"/>
        <w:keepNext/>
        <w:ind w:left="0" w:right="18" w:firstLine="0"/>
        <w:rPr>
          <w:caps/>
        </w:rPr>
      </w:pPr>
      <w:bookmarkStart w:id="63" w:name="_Toc445371393"/>
      <w:bookmarkStart w:id="64" w:name="_Toc445371433"/>
      <w:bookmarkStart w:id="65" w:name="_Toc445381698"/>
      <w:r>
        <w:rPr>
          <w:caps/>
        </w:rPr>
        <w:t>Property tax Adjustment</w:t>
      </w:r>
      <w:bookmarkEnd w:id="63"/>
      <w:bookmarkEnd w:id="64"/>
      <w:bookmarkEnd w:id="65"/>
    </w:p>
    <w:p w14:paraId="616DCE39" w14:textId="77777777" w:rsidR="00932610" w:rsidRPr="001A0BA4" w:rsidRDefault="00932610" w:rsidP="00932610">
      <w:pPr>
        <w:spacing w:line="480" w:lineRule="auto"/>
      </w:pPr>
    </w:p>
    <w:p w14:paraId="4C8D44A9" w14:textId="006FF16F" w:rsidR="00932610" w:rsidRPr="00BC137E" w:rsidRDefault="00932610" w:rsidP="00932610">
      <w:pPr>
        <w:pStyle w:val="Heading8"/>
      </w:pPr>
      <w:r w:rsidRPr="00BC137E">
        <w:t xml:space="preserve">Q. </w:t>
      </w:r>
      <w:r w:rsidRPr="00BC137E">
        <w:tab/>
        <w:t xml:space="preserve">Please describe the Company’s </w:t>
      </w:r>
      <w:r w:rsidR="00F93F32">
        <w:t>Property</w:t>
      </w:r>
      <w:r w:rsidRPr="00BC137E">
        <w:t xml:space="preserve"> </w:t>
      </w:r>
      <w:r w:rsidR="00140D7F">
        <w:t>T</w:t>
      </w:r>
      <w:r w:rsidRPr="00BC137E">
        <w:t xml:space="preserve">ax </w:t>
      </w:r>
      <w:r w:rsidR="00140D7F">
        <w:t>E</w:t>
      </w:r>
      <w:r w:rsidRPr="00BC137E">
        <w:t>xpense</w:t>
      </w:r>
      <w:r w:rsidR="00140D7F">
        <w:t xml:space="preserve"> </w:t>
      </w:r>
      <w:r w:rsidR="00140D7F" w:rsidRPr="00BC137E">
        <w:t>adjustment</w:t>
      </w:r>
      <w:r w:rsidRPr="00BC137E">
        <w:t>.</w:t>
      </w:r>
    </w:p>
    <w:p w14:paraId="628FED12" w14:textId="17D94676" w:rsidR="00932610" w:rsidRDefault="00932610" w:rsidP="00932610">
      <w:pPr>
        <w:tabs>
          <w:tab w:val="left" w:pos="-1440"/>
        </w:tabs>
        <w:spacing w:line="480" w:lineRule="auto"/>
        <w:ind w:left="720" w:hanging="720"/>
        <w:rPr>
          <w:rFonts w:eastAsia="Calibri"/>
        </w:rPr>
      </w:pPr>
      <w:r w:rsidRPr="00A34DCF">
        <w:rPr>
          <w:rFonts w:eastAsia="Calibri"/>
        </w:rPr>
        <w:t xml:space="preserve">A. </w:t>
      </w:r>
      <w:r w:rsidRPr="00A34DCF">
        <w:rPr>
          <w:rFonts w:eastAsia="Calibri"/>
        </w:rPr>
        <w:tab/>
      </w:r>
      <w:r w:rsidR="009F1336">
        <w:rPr>
          <w:rFonts w:eastAsia="Calibri"/>
        </w:rPr>
        <w:t>Pacific Power</w:t>
      </w:r>
      <w:r>
        <w:rPr>
          <w:rFonts w:eastAsia="Calibri"/>
        </w:rPr>
        <w:t xml:space="preserve"> proposes a restating adjustment to property tax expense to account </w:t>
      </w:r>
      <w:r w:rsidR="00C04FB4">
        <w:rPr>
          <w:rFonts w:eastAsia="Calibri"/>
        </w:rPr>
        <w:t xml:space="preserve">for </w:t>
      </w:r>
      <w:r w:rsidR="00C46925">
        <w:rPr>
          <w:rFonts w:eastAsia="Calibri"/>
        </w:rPr>
        <w:t>the impact of out-of-</w:t>
      </w:r>
      <w:r>
        <w:rPr>
          <w:rFonts w:eastAsia="Calibri"/>
        </w:rPr>
        <w:t>period plant additions.</w:t>
      </w:r>
      <w:r w:rsidR="00AD2F55">
        <w:rPr>
          <w:rFonts w:eastAsia="Calibri"/>
        </w:rPr>
        <w:t xml:space="preserve"> </w:t>
      </w:r>
      <w:r>
        <w:rPr>
          <w:rFonts w:eastAsia="Calibri"/>
        </w:rPr>
        <w:t xml:space="preserve">Instead of making calculations with the </w:t>
      </w:r>
      <w:r>
        <w:rPr>
          <w:rFonts w:eastAsia="Calibri"/>
        </w:rPr>
        <w:lastRenderedPageBreak/>
        <w:t xml:space="preserve">data corresponding to the test year, the </w:t>
      </w:r>
      <w:r w:rsidR="00C46925">
        <w:rPr>
          <w:rFonts w:eastAsia="Calibri"/>
        </w:rPr>
        <w:t>C</w:t>
      </w:r>
      <w:r>
        <w:rPr>
          <w:rFonts w:eastAsia="Calibri"/>
        </w:rPr>
        <w:t>ompany calculates one year’s worth of property tax expenses from October 2014 to October 2015.</w:t>
      </w:r>
    </w:p>
    <w:p w14:paraId="4686B809" w14:textId="77777777" w:rsidR="00932610" w:rsidRPr="00E307B6" w:rsidRDefault="00932610" w:rsidP="00932610">
      <w:pPr>
        <w:tabs>
          <w:tab w:val="left" w:pos="-1440"/>
        </w:tabs>
        <w:spacing w:line="480" w:lineRule="auto"/>
        <w:ind w:left="720" w:hanging="720"/>
        <w:rPr>
          <w:rFonts w:eastAsia="Calibri"/>
        </w:rPr>
      </w:pPr>
    </w:p>
    <w:p w14:paraId="394F0BB5" w14:textId="3E043ECE" w:rsidR="00932610" w:rsidRPr="00BC137E" w:rsidRDefault="00932610" w:rsidP="00932610">
      <w:pPr>
        <w:pStyle w:val="Heading8"/>
      </w:pPr>
      <w:r w:rsidRPr="00BC137E">
        <w:t xml:space="preserve">Q. </w:t>
      </w:r>
      <w:r w:rsidRPr="00BC137E">
        <w:tab/>
      </w:r>
      <w:r w:rsidRPr="00BB7A43">
        <w:t>Please summari</w:t>
      </w:r>
      <w:r>
        <w:t xml:space="preserve">ze </w:t>
      </w:r>
      <w:r w:rsidR="00020405">
        <w:t xml:space="preserve">your </w:t>
      </w:r>
      <w:r>
        <w:t>recommend</w:t>
      </w:r>
      <w:r w:rsidR="00020405">
        <w:t xml:space="preserve">ation </w:t>
      </w:r>
      <w:r w:rsidR="000E35A4">
        <w:t>for this</w:t>
      </w:r>
      <w:r>
        <w:t xml:space="preserve"> adjustment</w:t>
      </w:r>
      <w:r w:rsidRPr="00BC137E">
        <w:t>.</w:t>
      </w:r>
    </w:p>
    <w:p w14:paraId="288101D0" w14:textId="74B1E5EA" w:rsidR="00932610" w:rsidRDefault="00932610" w:rsidP="00932610">
      <w:pPr>
        <w:pStyle w:val="NoSpacing"/>
        <w:keepNext/>
      </w:pPr>
      <w:r w:rsidRPr="00A34DCF">
        <w:rPr>
          <w:rFonts w:eastAsia="Calibri"/>
        </w:rPr>
        <w:t xml:space="preserve">A. </w:t>
      </w:r>
      <w:r w:rsidRPr="00A34DCF">
        <w:rPr>
          <w:rFonts w:eastAsia="Calibri"/>
        </w:rPr>
        <w:tab/>
      </w:r>
      <w:r w:rsidR="000E35A4">
        <w:rPr>
          <w:rFonts w:eastAsia="Calibri"/>
        </w:rPr>
        <w:t xml:space="preserve">I recommend the Commission </w:t>
      </w:r>
      <w:r>
        <w:rPr>
          <w:rFonts w:eastAsia="Calibri"/>
        </w:rPr>
        <w:t xml:space="preserve">reject </w:t>
      </w:r>
      <w:r w:rsidR="009F1336">
        <w:rPr>
          <w:rFonts w:eastAsia="Calibri"/>
        </w:rPr>
        <w:t>Pacific Power</w:t>
      </w:r>
      <w:r>
        <w:rPr>
          <w:rFonts w:eastAsia="Calibri"/>
        </w:rPr>
        <w:t>’s proposal for this restating adjustment</w:t>
      </w:r>
      <w:r w:rsidR="004E6753">
        <w:rPr>
          <w:rFonts w:eastAsia="Calibri"/>
        </w:rPr>
        <w:t xml:space="preserve"> and instead</w:t>
      </w:r>
      <w:r w:rsidR="00974577">
        <w:rPr>
          <w:rFonts w:eastAsia="Calibri"/>
        </w:rPr>
        <w:t xml:space="preserve"> </w:t>
      </w:r>
      <w:r>
        <w:rPr>
          <w:rFonts w:eastAsia="Calibri"/>
        </w:rPr>
        <w:t>maintain the property tax expense that was accrued and booked during the test year beginning in June 2014 and ending June 2015.</w:t>
      </w:r>
      <w:r w:rsidR="00AD2F55">
        <w:rPr>
          <w:rFonts w:eastAsia="Calibri"/>
        </w:rPr>
        <w:t xml:space="preserve"> </w:t>
      </w:r>
      <w:r w:rsidR="00832678">
        <w:rPr>
          <w:rFonts w:eastAsia="Calibri"/>
        </w:rPr>
        <w:t>Nevertheless</w:t>
      </w:r>
      <w:r w:rsidR="000E35A4">
        <w:rPr>
          <w:rFonts w:eastAsia="Calibri"/>
        </w:rPr>
        <w:t xml:space="preserve">, Staff </w:t>
      </w:r>
      <w:r w:rsidR="000E35A4">
        <w:t xml:space="preserve">will support </w:t>
      </w:r>
      <w:r w:rsidR="0055259C">
        <w:t xml:space="preserve">adjusting </w:t>
      </w:r>
      <w:r w:rsidR="0055259C" w:rsidRPr="0055259C">
        <w:t xml:space="preserve">the property tax expense </w:t>
      </w:r>
      <w:r w:rsidR="000E35A4">
        <w:t xml:space="preserve">if Pacific Power updates the adjustment to </w:t>
      </w:r>
      <w:r w:rsidR="008906DB">
        <w:t>mirror</w:t>
      </w:r>
      <w:r w:rsidR="000E35A4">
        <w:t xml:space="preserve"> the </w:t>
      </w:r>
      <w:r w:rsidR="008906DB">
        <w:t>existent</w:t>
      </w:r>
      <w:r w:rsidR="000D2A9A">
        <w:t xml:space="preserve"> </w:t>
      </w:r>
      <w:r w:rsidR="008906DB">
        <w:t>quantity</w:t>
      </w:r>
      <w:r w:rsidR="000E35A4">
        <w:t xml:space="preserve"> of property tax expense at the time of </w:t>
      </w:r>
      <w:r w:rsidR="000D2A9A">
        <w:t>rebuttal</w:t>
      </w:r>
      <w:r w:rsidR="000E35A4">
        <w:t xml:space="preserve">. </w:t>
      </w:r>
    </w:p>
    <w:p w14:paraId="782F40FB" w14:textId="77777777" w:rsidR="00932610" w:rsidRDefault="00932610" w:rsidP="00932610">
      <w:pPr>
        <w:pStyle w:val="NoSpacing"/>
      </w:pPr>
    </w:p>
    <w:p w14:paraId="47DCD4C5" w14:textId="57C2D9BC" w:rsidR="00932610" w:rsidRPr="00BC137E" w:rsidRDefault="00932610" w:rsidP="0091680E">
      <w:pPr>
        <w:pStyle w:val="Heading8"/>
        <w:keepNext/>
      </w:pPr>
      <w:r w:rsidRPr="00BC137E">
        <w:t xml:space="preserve">Q. </w:t>
      </w:r>
      <w:r w:rsidRPr="00BC137E">
        <w:tab/>
      </w:r>
      <w:r w:rsidRPr="00BB7A43">
        <w:t xml:space="preserve">Please </w:t>
      </w:r>
      <w:r>
        <w:t xml:space="preserve">explain </w:t>
      </w:r>
      <w:r w:rsidR="00CA50C8">
        <w:t xml:space="preserve">the </w:t>
      </w:r>
      <w:r>
        <w:t xml:space="preserve">reasoning </w:t>
      </w:r>
      <w:r w:rsidR="00C46925">
        <w:t>for</w:t>
      </w:r>
      <w:r>
        <w:t xml:space="preserve"> Staff’s recommendation</w:t>
      </w:r>
      <w:r w:rsidRPr="00BC137E">
        <w:t>.</w:t>
      </w:r>
    </w:p>
    <w:p w14:paraId="7DDB5F81" w14:textId="6DF20328" w:rsidR="00932610" w:rsidRDefault="00932610" w:rsidP="008D7649">
      <w:pPr>
        <w:pStyle w:val="NoSpacing"/>
        <w:keepNext/>
        <w:ind w:right="18"/>
        <w:rPr>
          <w:rFonts w:eastAsia="Calibri"/>
        </w:rPr>
      </w:pPr>
      <w:r w:rsidRPr="00A34DCF">
        <w:rPr>
          <w:rFonts w:eastAsia="Calibri"/>
        </w:rPr>
        <w:t xml:space="preserve">A. </w:t>
      </w:r>
      <w:r w:rsidRPr="00A34DCF">
        <w:rPr>
          <w:rFonts w:eastAsia="Calibri"/>
        </w:rPr>
        <w:tab/>
      </w:r>
      <w:r>
        <w:rPr>
          <w:rFonts w:eastAsia="Calibri"/>
        </w:rPr>
        <w:t xml:space="preserve">Property tax is determined by multiple factors, some of which are not known until the actual expense is incurred. The </w:t>
      </w:r>
      <w:r w:rsidR="00873BEA">
        <w:rPr>
          <w:rFonts w:eastAsia="Calibri"/>
        </w:rPr>
        <w:t xml:space="preserve">Company’s </w:t>
      </w:r>
      <w:r>
        <w:rPr>
          <w:rFonts w:eastAsia="Calibri"/>
        </w:rPr>
        <w:t>calculation</w:t>
      </w:r>
      <w:r w:rsidR="00873BEA">
        <w:rPr>
          <w:rFonts w:eastAsia="Calibri"/>
        </w:rPr>
        <w:t xml:space="preserve"> </w:t>
      </w:r>
      <w:r w:rsidR="001030CD">
        <w:rPr>
          <w:rFonts w:eastAsia="Calibri"/>
        </w:rPr>
        <w:t>uses</w:t>
      </w:r>
      <w:r>
        <w:rPr>
          <w:rFonts w:eastAsia="Calibri"/>
        </w:rPr>
        <w:t xml:space="preserve"> data from a different test </w:t>
      </w:r>
      <w:r w:rsidR="00873BEA">
        <w:rPr>
          <w:rFonts w:eastAsia="Calibri"/>
        </w:rPr>
        <w:t xml:space="preserve">period </w:t>
      </w:r>
      <w:r>
        <w:rPr>
          <w:rFonts w:eastAsia="Calibri"/>
        </w:rPr>
        <w:t>ending in October 2015</w:t>
      </w:r>
      <w:r w:rsidR="001030CD">
        <w:rPr>
          <w:rFonts w:eastAsia="Calibri"/>
        </w:rPr>
        <w:t>.</w:t>
      </w:r>
      <w:r w:rsidR="00AD2F55">
        <w:rPr>
          <w:rFonts w:eastAsia="Calibri"/>
        </w:rPr>
        <w:t xml:space="preserve"> </w:t>
      </w:r>
      <w:r w:rsidR="001030CD">
        <w:rPr>
          <w:rFonts w:eastAsia="Calibri"/>
        </w:rPr>
        <w:t>This</w:t>
      </w:r>
      <w:r>
        <w:rPr>
          <w:rFonts w:eastAsia="Calibri"/>
        </w:rPr>
        <w:t xml:space="preserve"> would violate the </w:t>
      </w:r>
      <w:r w:rsidR="00974577" w:rsidRPr="00974577">
        <w:rPr>
          <w:rFonts w:eastAsia="Calibri"/>
        </w:rPr>
        <w:t xml:space="preserve">historical relationship of rate </w:t>
      </w:r>
      <w:r w:rsidR="00974577">
        <w:rPr>
          <w:rFonts w:eastAsia="Calibri"/>
        </w:rPr>
        <w:t xml:space="preserve">base with revenues and expenses, and it would be </w:t>
      </w:r>
      <w:r w:rsidR="00E703B0">
        <w:rPr>
          <w:rFonts w:eastAsia="Calibri"/>
        </w:rPr>
        <w:t>inconsistent with previous treatment for these types of costs.</w:t>
      </w:r>
    </w:p>
    <w:p w14:paraId="63EBE52D" w14:textId="77777777" w:rsidR="00932610" w:rsidRDefault="00932610" w:rsidP="00932610">
      <w:pPr>
        <w:pStyle w:val="NoSpacing"/>
        <w:rPr>
          <w:rFonts w:eastAsia="Calibri"/>
        </w:rPr>
      </w:pPr>
    </w:p>
    <w:p w14:paraId="6BC3DF5D" w14:textId="77777777" w:rsidR="00932610" w:rsidRPr="00BC137E" w:rsidRDefault="00932610" w:rsidP="00932610">
      <w:pPr>
        <w:pStyle w:val="Heading8"/>
      </w:pPr>
      <w:r w:rsidRPr="00BC137E">
        <w:t xml:space="preserve">Q. </w:t>
      </w:r>
      <w:r w:rsidRPr="00BC137E">
        <w:tab/>
      </w:r>
      <w:r>
        <w:t>What is the effect of Staff’s recommendation for this adjustment?</w:t>
      </w:r>
    </w:p>
    <w:p w14:paraId="3E8E6969" w14:textId="2D03BD5F" w:rsidR="00D873D4" w:rsidRDefault="00932610" w:rsidP="00E074A3">
      <w:pPr>
        <w:pStyle w:val="NoSpacing"/>
        <w:rPr>
          <w:rFonts w:eastAsia="Calibri"/>
        </w:rPr>
      </w:pPr>
      <w:r w:rsidRPr="00A34DCF">
        <w:rPr>
          <w:rFonts w:eastAsia="Calibri"/>
        </w:rPr>
        <w:t xml:space="preserve">A. </w:t>
      </w:r>
      <w:r w:rsidRPr="00A34DCF">
        <w:rPr>
          <w:rFonts w:eastAsia="Calibri"/>
        </w:rPr>
        <w:tab/>
      </w:r>
      <w:r>
        <w:rPr>
          <w:rFonts w:eastAsia="Calibri"/>
        </w:rPr>
        <w:t xml:space="preserve">Staff’s proposal removes the Company’s restating increase to net operating income of $255,830 </w:t>
      </w:r>
      <w:r w:rsidR="004B7373">
        <w:rPr>
          <w:rFonts w:eastAsia="Calibri"/>
        </w:rPr>
        <w:t xml:space="preserve">and </w:t>
      </w:r>
      <w:r>
        <w:rPr>
          <w:rFonts w:eastAsia="Calibri"/>
        </w:rPr>
        <w:t>maintain</w:t>
      </w:r>
      <w:r w:rsidR="004B7373">
        <w:rPr>
          <w:rFonts w:eastAsia="Calibri"/>
        </w:rPr>
        <w:t>s</w:t>
      </w:r>
      <w:r>
        <w:rPr>
          <w:rFonts w:eastAsia="Calibri"/>
        </w:rPr>
        <w:t xml:space="preserve"> the test year property tax expense</w:t>
      </w:r>
      <w:r w:rsidR="0074071A">
        <w:rPr>
          <w:rFonts w:eastAsia="Calibri"/>
        </w:rPr>
        <w:t xml:space="preserve"> levels</w:t>
      </w:r>
      <w:r>
        <w:rPr>
          <w:rFonts w:eastAsia="Calibri"/>
        </w:rPr>
        <w:t>.</w:t>
      </w:r>
    </w:p>
    <w:p w14:paraId="7A089807" w14:textId="77777777" w:rsidR="0091680E" w:rsidRPr="00E074A3" w:rsidRDefault="0091680E" w:rsidP="00E074A3">
      <w:pPr>
        <w:pStyle w:val="NoSpacing"/>
        <w:rPr>
          <w:rFonts w:eastAsia="Calibri"/>
        </w:rPr>
      </w:pPr>
    </w:p>
    <w:p w14:paraId="14D27328" w14:textId="77777777" w:rsidR="00932610" w:rsidRDefault="00932610" w:rsidP="008D7649">
      <w:pPr>
        <w:pStyle w:val="Heading1"/>
        <w:keepNext/>
        <w:ind w:left="0" w:right="18" w:firstLine="0"/>
        <w:rPr>
          <w:caps/>
        </w:rPr>
      </w:pPr>
      <w:bookmarkStart w:id="66" w:name="_Toc445371394"/>
      <w:bookmarkStart w:id="67" w:name="_Toc445371434"/>
      <w:bookmarkStart w:id="68" w:name="_Toc445381699"/>
      <w:r>
        <w:rPr>
          <w:caps/>
        </w:rPr>
        <w:lastRenderedPageBreak/>
        <w:t>Environmental remediation adjustment</w:t>
      </w:r>
      <w:bookmarkEnd w:id="66"/>
      <w:bookmarkEnd w:id="67"/>
      <w:bookmarkEnd w:id="68"/>
    </w:p>
    <w:p w14:paraId="3B8E611C" w14:textId="77777777" w:rsidR="00466A1E" w:rsidRPr="00466A1E" w:rsidRDefault="00466A1E" w:rsidP="00466A1E">
      <w:pPr>
        <w:spacing w:line="480" w:lineRule="auto"/>
      </w:pPr>
    </w:p>
    <w:p w14:paraId="3F01F565" w14:textId="2CE4E1AC" w:rsidR="00932610" w:rsidRPr="00BC137E" w:rsidRDefault="00932610" w:rsidP="00466A1E">
      <w:pPr>
        <w:pStyle w:val="Heading8"/>
      </w:pPr>
      <w:r w:rsidRPr="00BC137E">
        <w:t xml:space="preserve">Q. </w:t>
      </w:r>
      <w:r w:rsidRPr="00BC137E">
        <w:tab/>
        <w:t>Please describe the Company’s</w:t>
      </w:r>
      <w:r w:rsidR="00A01716">
        <w:t xml:space="preserve"> Adjustment </w:t>
      </w:r>
      <w:r w:rsidR="004C4EB1">
        <w:t>8.2</w:t>
      </w:r>
      <w:r w:rsidR="00A01716">
        <w:t xml:space="preserve"> -</w:t>
      </w:r>
      <w:r w:rsidRPr="00BC137E">
        <w:t xml:space="preserve"> </w:t>
      </w:r>
      <w:r>
        <w:t>Environmental Remediation</w:t>
      </w:r>
      <w:r w:rsidRPr="00BC137E">
        <w:t>.</w:t>
      </w:r>
    </w:p>
    <w:p w14:paraId="49300014" w14:textId="7D18D4F9" w:rsidR="00932610" w:rsidRDefault="00932610" w:rsidP="00466A1E">
      <w:pPr>
        <w:tabs>
          <w:tab w:val="left" w:pos="-1440"/>
        </w:tabs>
        <w:spacing w:line="480" w:lineRule="auto"/>
        <w:ind w:left="720" w:hanging="720"/>
        <w:rPr>
          <w:rFonts w:eastAsia="Calibri"/>
        </w:rPr>
      </w:pPr>
      <w:r w:rsidRPr="00A34DCF">
        <w:rPr>
          <w:rFonts w:eastAsia="Calibri"/>
        </w:rPr>
        <w:t xml:space="preserve">A. </w:t>
      </w:r>
      <w:r w:rsidRPr="00A34DCF">
        <w:rPr>
          <w:rFonts w:eastAsia="Calibri"/>
        </w:rPr>
        <w:tab/>
      </w:r>
      <w:r w:rsidR="009F1336">
        <w:rPr>
          <w:rFonts w:eastAsia="Calibri"/>
        </w:rPr>
        <w:t>Pacific Power</w:t>
      </w:r>
      <w:r>
        <w:rPr>
          <w:rFonts w:eastAsia="Calibri"/>
        </w:rPr>
        <w:t xml:space="preserve"> proposes a restating adjustment to account for environmental remediation costs.</w:t>
      </w:r>
      <w:r w:rsidR="00AD2F55">
        <w:rPr>
          <w:rFonts w:eastAsia="Calibri"/>
        </w:rPr>
        <w:t xml:space="preserve"> </w:t>
      </w:r>
      <w:r>
        <w:rPr>
          <w:rFonts w:eastAsia="Calibri"/>
        </w:rPr>
        <w:t>The Company includes in the adjustment the amounts of all non-major environmental remediation projects expenses within the Company.</w:t>
      </w:r>
      <w:r>
        <w:rPr>
          <w:rStyle w:val="FootnoteReference"/>
          <w:rFonts w:eastAsia="Calibri"/>
        </w:rPr>
        <w:footnoteReference w:id="70"/>
      </w:r>
      <w:r>
        <w:rPr>
          <w:rFonts w:eastAsia="Calibri"/>
        </w:rPr>
        <w:t xml:space="preserve"> </w:t>
      </w:r>
    </w:p>
    <w:p w14:paraId="42761A3A" w14:textId="77777777" w:rsidR="00D47C6E" w:rsidRDefault="00D47C6E" w:rsidP="00932610">
      <w:pPr>
        <w:tabs>
          <w:tab w:val="left" w:pos="-1440"/>
        </w:tabs>
        <w:spacing w:line="480" w:lineRule="auto"/>
        <w:ind w:left="720" w:hanging="720"/>
        <w:rPr>
          <w:rFonts w:eastAsia="Calibri"/>
        </w:rPr>
      </w:pPr>
    </w:p>
    <w:p w14:paraId="517FD7AE" w14:textId="5BBA5FA6" w:rsidR="00932610" w:rsidRPr="00BC137E" w:rsidRDefault="00932610" w:rsidP="00932610">
      <w:pPr>
        <w:pStyle w:val="Heading8"/>
      </w:pPr>
      <w:r w:rsidRPr="00BC137E">
        <w:t xml:space="preserve">Q. </w:t>
      </w:r>
      <w:r w:rsidRPr="00BC137E">
        <w:tab/>
      </w:r>
      <w:r w:rsidRPr="00BB7A43">
        <w:t>Please summari</w:t>
      </w:r>
      <w:r>
        <w:t xml:space="preserve">ze </w:t>
      </w:r>
      <w:r w:rsidR="00A01716">
        <w:t xml:space="preserve">your </w:t>
      </w:r>
      <w:r>
        <w:t>recommend</w:t>
      </w:r>
      <w:r w:rsidR="00526D1B">
        <w:t>ation on Adjustment 8.2</w:t>
      </w:r>
      <w:r w:rsidR="00A01716">
        <w:t xml:space="preserve"> -</w:t>
      </w:r>
      <w:r>
        <w:t xml:space="preserve"> Environmental Remediation</w:t>
      </w:r>
      <w:r w:rsidRPr="00BC137E">
        <w:t>.</w:t>
      </w:r>
    </w:p>
    <w:p w14:paraId="308214F0" w14:textId="78F649A6" w:rsidR="00932610" w:rsidRDefault="00932610" w:rsidP="00932610">
      <w:pPr>
        <w:pStyle w:val="NoSpacing"/>
        <w:keepNext/>
      </w:pPr>
      <w:r w:rsidRPr="00A34DCF">
        <w:rPr>
          <w:rFonts w:eastAsia="Calibri"/>
        </w:rPr>
        <w:t xml:space="preserve">A. </w:t>
      </w:r>
      <w:r w:rsidRPr="00A34DCF">
        <w:rPr>
          <w:rFonts w:eastAsia="Calibri"/>
        </w:rPr>
        <w:tab/>
      </w:r>
      <w:r w:rsidR="00A01716">
        <w:rPr>
          <w:rFonts w:eastAsia="Calibri"/>
        </w:rPr>
        <w:t xml:space="preserve">My </w:t>
      </w:r>
      <w:r w:rsidR="00CE024A">
        <w:rPr>
          <w:rFonts w:eastAsia="Calibri"/>
        </w:rPr>
        <w:t xml:space="preserve">recommendation </w:t>
      </w:r>
      <w:r w:rsidR="00A01716">
        <w:rPr>
          <w:rFonts w:eastAsia="Calibri"/>
        </w:rPr>
        <w:t xml:space="preserve">is </w:t>
      </w:r>
      <w:r>
        <w:rPr>
          <w:rFonts w:eastAsia="Calibri"/>
        </w:rPr>
        <w:t xml:space="preserve">to </w:t>
      </w:r>
      <w:r w:rsidR="00884B4E">
        <w:rPr>
          <w:rFonts w:eastAsia="Calibri"/>
        </w:rPr>
        <w:t>include in this adjustment only</w:t>
      </w:r>
      <w:r w:rsidR="00D44CE9">
        <w:rPr>
          <w:rFonts w:eastAsia="Calibri"/>
        </w:rPr>
        <w:t xml:space="preserve"> pr</w:t>
      </w:r>
      <w:r>
        <w:rPr>
          <w:rFonts w:eastAsia="Calibri"/>
        </w:rPr>
        <w:t>ojects</w:t>
      </w:r>
      <w:r w:rsidR="00CE024A">
        <w:rPr>
          <w:rFonts w:eastAsia="Calibri"/>
        </w:rPr>
        <w:t xml:space="preserve"> </w:t>
      </w:r>
      <w:r>
        <w:rPr>
          <w:rFonts w:eastAsia="Calibri"/>
        </w:rPr>
        <w:t>that are</w:t>
      </w:r>
      <w:r w:rsidR="00D44CE9">
        <w:rPr>
          <w:rFonts w:eastAsia="Calibri"/>
        </w:rPr>
        <w:t xml:space="preserve"> located in</w:t>
      </w:r>
      <w:r>
        <w:rPr>
          <w:rFonts w:eastAsia="Calibri"/>
        </w:rPr>
        <w:t xml:space="preserve"> the West Control Area.</w:t>
      </w:r>
    </w:p>
    <w:p w14:paraId="096A1627" w14:textId="77777777" w:rsidR="00932610" w:rsidRDefault="00932610" w:rsidP="00932610">
      <w:pPr>
        <w:tabs>
          <w:tab w:val="left" w:pos="-1440"/>
        </w:tabs>
        <w:spacing w:line="480" w:lineRule="auto"/>
        <w:ind w:left="720" w:hanging="720"/>
        <w:rPr>
          <w:rFonts w:eastAsia="Calibri"/>
        </w:rPr>
      </w:pPr>
    </w:p>
    <w:p w14:paraId="45E09D46" w14:textId="0DB6ACC1" w:rsidR="00932610" w:rsidRPr="00D47A45" w:rsidRDefault="00932610" w:rsidP="00932610">
      <w:pPr>
        <w:pStyle w:val="Heading8"/>
      </w:pPr>
      <w:r>
        <w:t xml:space="preserve">Q. </w:t>
      </w:r>
      <w:r>
        <w:tab/>
      </w:r>
      <w:r w:rsidRPr="006575E9">
        <w:t>Please describe the procedural history relat</w:t>
      </w:r>
      <w:r w:rsidR="004C4EB1">
        <w:t>ed</w:t>
      </w:r>
      <w:r w:rsidRPr="006575E9">
        <w:t xml:space="preserve"> to</w:t>
      </w:r>
      <w:r w:rsidRPr="00AB6492">
        <w:t xml:space="preserve"> </w:t>
      </w:r>
      <w:r w:rsidR="004C4EB1">
        <w:t xml:space="preserve">the </w:t>
      </w:r>
      <w:r>
        <w:t>Environmental Remediation Adjustment</w:t>
      </w:r>
      <w:r w:rsidRPr="006575E9">
        <w:t>.</w:t>
      </w:r>
    </w:p>
    <w:p w14:paraId="239E12F6" w14:textId="2F089C43" w:rsidR="00D61886" w:rsidRDefault="00932610" w:rsidP="00D61886">
      <w:pPr>
        <w:pStyle w:val="NoSpacing"/>
        <w:rPr>
          <w:rFonts w:eastAsia="Calibri"/>
        </w:rPr>
      </w:pPr>
      <w:r>
        <w:rPr>
          <w:rFonts w:eastAsia="Calibri"/>
        </w:rPr>
        <w:t>A.</w:t>
      </w:r>
      <w:r>
        <w:rPr>
          <w:rFonts w:eastAsia="Calibri"/>
        </w:rPr>
        <w:tab/>
        <w:t xml:space="preserve">The Commission </w:t>
      </w:r>
      <w:r w:rsidR="00E21FB1">
        <w:rPr>
          <w:rFonts w:eastAsia="Calibri"/>
        </w:rPr>
        <w:t xml:space="preserve">authorized </w:t>
      </w:r>
      <w:r>
        <w:rPr>
          <w:rFonts w:eastAsia="Calibri"/>
        </w:rPr>
        <w:t xml:space="preserve">the </w:t>
      </w:r>
      <w:r w:rsidR="00E21FB1">
        <w:rPr>
          <w:rFonts w:eastAsia="Calibri"/>
        </w:rPr>
        <w:t xml:space="preserve">Company </w:t>
      </w:r>
      <w:r>
        <w:rPr>
          <w:rFonts w:eastAsia="Calibri"/>
        </w:rPr>
        <w:t>to recover costs of non-major environmental remediation costs, net of insurance and other third party recoveries</w:t>
      </w:r>
      <w:r w:rsidR="008C613B">
        <w:rPr>
          <w:rFonts w:eastAsia="Calibri"/>
        </w:rPr>
        <w:t>,</w:t>
      </w:r>
      <w:r>
        <w:rPr>
          <w:rFonts w:eastAsia="Calibri"/>
        </w:rPr>
        <w:t xml:space="preserve"> in </w:t>
      </w:r>
      <w:r w:rsidR="00103C52">
        <w:rPr>
          <w:rFonts w:eastAsia="Calibri"/>
        </w:rPr>
        <w:t>Docket UE-031658</w:t>
      </w:r>
      <w:r>
        <w:rPr>
          <w:rFonts w:eastAsia="Calibri"/>
        </w:rPr>
        <w:t>.</w:t>
      </w:r>
      <w:r>
        <w:rPr>
          <w:rStyle w:val="FootnoteReference"/>
          <w:rFonts w:eastAsia="Calibri"/>
        </w:rPr>
        <w:footnoteReference w:id="71"/>
      </w:r>
      <w:r>
        <w:rPr>
          <w:rFonts w:eastAsia="Calibri"/>
        </w:rPr>
        <w:t xml:space="preserve"> </w:t>
      </w:r>
      <w:r w:rsidR="001354C3">
        <w:rPr>
          <w:rFonts w:eastAsia="Calibri"/>
        </w:rPr>
        <w:t>Pacific Power stated that the</w:t>
      </w:r>
      <w:r w:rsidR="00D61886" w:rsidRPr="00D61886">
        <w:rPr>
          <w:rFonts w:eastAsia="Calibri"/>
        </w:rPr>
        <w:t xml:space="preserve"> adjustment has been prepared consistent with this standard since it was put in place.</w:t>
      </w:r>
    </w:p>
    <w:p w14:paraId="1C5B5008" w14:textId="1101843F" w:rsidR="00E21FB1" w:rsidRDefault="007F04E8" w:rsidP="007F04E8">
      <w:pPr>
        <w:pStyle w:val="NoSpacing"/>
        <w:ind w:firstLine="0"/>
        <w:rPr>
          <w:rFonts w:eastAsia="Calibri"/>
        </w:rPr>
      </w:pPr>
      <w:r>
        <w:rPr>
          <w:rFonts w:eastAsia="Calibri"/>
        </w:rPr>
        <w:t xml:space="preserve">The Company </w:t>
      </w:r>
      <w:r w:rsidR="00D61886">
        <w:rPr>
          <w:rFonts w:eastAsia="Calibri"/>
        </w:rPr>
        <w:t xml:space="preserve">considers </w:t>
      </w:r>
      <w:r w:rsidR="00A75B35">
        <w:rPr>
          <w:rFonts w:eastAsia="Calibri"/>
        </w:rPr>
        <w:t>this approach to be justified given</w:t>
      </w:r>
      <w:r w:rsidR="00D61886">
        <w:rPr>
          <w:rFonts w:eastAsia="Calibri"/>
        </w:rPr>
        <w:t xml:space="preserve"> the fact</w:t>
      </w:r>
      <w:r>
        <w:rPr>
          <w:rFonts w:eastAsia="Calibri"/>
        </w:rPr>
        <w:t xml:space="preserve"> that </w:t>
      </w:r>
      <w:r w:rsidR="00A30C81" w:rsidRPr="00A30C81">
        <w:rPr>
          <w:rFonts w:eastAsia="Calibri"/>
        </w:rPr>
        <w:t xml:space="preserve">it has presented this particular adjustment in the same manner in every </w:t>
      </w:r>
      <w:r w:rsidR="00C46925" w:rsidRPr="00A30C81">
        <w:rPr>
          <w:rFonts w:eastAsia="Calibri"/>
        </w:rPr>
        <w:t xml:space="preserve">general rate case </w:t>
      </w:r>
      <w:r w:rsidR="00A30C81" w:rsidRPr="00A30C81">
        <w:rPr>
          <w:rFonts w:eastAsia="Calibri"/>
        </w:rPr>
        <w:t xml:space="preserve">proceeding since the order was granted </w:t>
      </w:r>
      <w:r w:rsidR="00A30C81">
        <w:rPr>
          <w:rFonts w:eastAsia="Calibri"/>
        </w:rPr>
        <w:t xml:space="preserve">and that </w:t>
      </w:r>
      <w:r w:rsidR="00103C52">
        <w:rPr>
          <w:rFonts w:eastAsia="Calibri"/>
        </w:rPr>
        <w:t xml:space="preserve">“there are no restrictions that </w:t>
      </w:r>
      <w:r w:rsidR="00103C52">
        <w:rPr>
          <w:rFonts w:eastAsia="Calibri"/>
        </w:rPr>
        <w:lastRenderedPageBreak/>
        <w:t>environmental remediation project co</w:t>
      </w:r>
      <w:r w:rsidR="00A75B35">
        <w:rPr>
          <w:rFonts w:eastAsia="Calibri"/>
        </w:rPr>
        <w:t>s</w:t>
      </w:r>
      <w:r w:rsidR="00103C52">
        <w:rPr>
          <w:rFonts w:eastAsia="Calibri"/>
        </w:rPr>
        <w:t>ts be limited to projects located in the Company’s Washington jurisdiction</w:t>
      </w:r>
      <w:r w:rsidR="00A75B35">
        <w:rPr>
          <w:rFonts w:eastAsia="Calibri"/>
        </w:rPr>
        <w:t>.</w:t>
      </w:r>
      <w:r w:rsidR="00103C52">
        <w:rPr>
          <w:rFonts w:eastAsia="Calibri"/>
        </w:rPr>
        <w:t>”</w:t>
      </w:r>
      <w:r w:rsidR="00531D00">
        <w:rPr>
          <w:rStyle w:val="FootnoteReference"/>
          <w:rFonts w:eastAsia="Calibri"/>
        </w:rPr>
        <w:footnoteReference w:id="72"/>
      </w:r>
    </w:p>
    <w:p w14:paraId="3FEACFC7" w14:textId="77777777" w:rsidR="00932610" w:rsidRDefault="00932610" w:rsidP="00932610">
      <w:pPr>
        <w:pStyle w:val="NoSpacing"/>
      </w:pPr>
    </w:p>
    <w:p w14:paraId="2E31E8F3" w14:textId="37534176" w:rsidR="00932610" w:rsidRPr="00BC137E" w:rsidRDefault="00932610" w:rsidP="00932610">
      <w:pPr>
        <w:pStyle w:val="Heading8"/>
      </w:pPr>
      <w:r w:rsidRPr="00BC137E">
        <w:t xml:space="preserve">Q. </w:t>
      </w:r>
      <w:r w:rsidRPr="00BC137E">
        <w:tab/>
      </w:r>
      <w:r w:rsidRPr="00BB7A43">
        <w:t xml:space="preserve">Please </w:t>
      </w:r>
      <w:r>
        <w:t xml:space="preserve">explain </w:t>
      </w:r>
      <w:r w:rsidR="004E0A4C">
        <w:t>the</w:t>
      </w:r>
      <w:r>
        <w:t xml:space="preserve"> reasoning </w:t>
      </w:r>
      <w:r w:rsidR="004E0A4C">
        <w:t>for</w:t>
      </w:r>
      <w:r>
        <w:t xml:space="preserve"> Staff’s recommendation</w:t>
      </w:r>
      <w:r w:rsidRPr="00BC137E">
        <w:t>.</w:t>
      </w:r>
    </w:p>
    <w:p w14:paraId="59CF5E04" w14:textId="6904B672" w:rsidR="00C10B45" w:rsidRDefault="00932610" w:rsidP="00EA4EB8">
      <w:pPr>
        <w:pStyle w:val="NoSpacing"/>
        <w:rPr>
          <w:rFonts w:eastAsia="Calibri"/>
        </w:rPr>
      </w:pPr>
      <w:r w:rsidRPr="00A34DCF">
        <w:rPr>
          <w:rFonts w:eastAsia="Calibri"/>
        </w:rPr>
        <w:t xml:space="preserve">A. </w:t>
      </w:r>
      <w:r w:rsidRPr="00A34DCF">
        <w:rPr>
          <w:rFonts w:eastAsia="Calibri"/>
        </w:rPr>
        <w:tab/>
      </w:r>
      <w:r>
        <w:rPr>
          <w:rFonts w:eastAsia="Calibri"/>
        </w:rPr>
        <w:t xml:space="preserve">Staff </w:t>
      </w:r>
      <w:r w:rsidR="004E0A4C">
        <w:rPr>
          <w:rFonts w:eastAsia="Calibri"/>
        </w:rPr>
        <w:t xml:space="preserve">does not </w:t>
      </w:r>
      <w:r>
        <w:rPr>
          <w:rFonts w:eastAsia="Calibri"/>
        </w:rPr>
        <w:t xml:space="preserve">consider </w:t>
      </w:r>
      <w:r w:rsidR="004E0A4C">
        <w:rPr>
          <w:rFonts w:eastAsia="Calibri"/>
        </w:rPr>
        <w:t>it</w:t>
      </w:r>
      <w:r>
        <w:rPr>
          <w:rFonts w:eastAsia="Calibri"/>
        </w:rPr>
        <w:t xml:space="preserve"> reasonable </w:t>
      </w:r>
      <w:r w:rsidR="00E21FB1">
        <w:rPr>
          <w:rFonts w:eastAsia="Calibri"/>
        </w:rPr>
        <w:t xml:space="preserve">for </w:t>
      </w:r>
      <w:r>
        <w:rPr>
          <w:rFonts w:eastAsia="Calibri"/>
        </w:rPr>
        <w:t xml:space="preserve">Washington ratepayers </w:t>
      </w:r>
      <w:r w:rsidR="00E21FB1">
        <w:rPr>
          <w:rFonts w:eastAsia="Calibri"/>
        </w:rPr>
        <w:t xml:space="preserve">to </w:t>
      </w:r>
      <w:r>
        <w:rPr>
          <w:rFonts w:eastAsia="Calibri"/>
        </w:rPr>
        <w:t>bear the financial burden of environmental remediation activities that occur in jurisdictions that do not contribute in any way to rendering or improv</w:t>
      </w:r>
      <w:r w:rsidR="00177297">
        <w:rPr>
          <w:rFonts w:eastAsia="Calibri"/>
        </w:rPr>
        <w:t>ing</w:t>
      </w:r>
      <w:r>
        <w:rPr>
          <w:rFonts w:eastAsia="Calibri"/>
        </w:rPr>
        <w:t xml:space="preserve"> the service in </w:t>
      </w:r>
      <w:r w:rsidR="004C1CD0">
        <w:rPr>
          <w:rFonts w:eastAsia="Calibri"/>
        </w:rPr>
        <w:t>Washington</w:t>
      </w:r>
      <w:r>
        <w:rPr>
          <w:rFonts w:eastAsia="Calibri"/>
        </w:rPr>
        <w:t>.</w:t>
      </w:r>
      <w:r w:rsidR="004C1CD0">
        <w:rPr>
          <w:rFonts w:eastAsia="Calibri"/>
        </w:rPr>
        <w:t xml:space="preserve"> </w:t>
      </w:r>
      <w:r w:rsidR="00C10B45">
        <w:rPr>
          <w:rFonts w:eastAsia="Calibri"/>
        </w:rPr>
        <w:t xml:space="preserve">The order in the aforementioned docket also </w:t>
      </w:r>
      <w:r w:rsidR="004E0A4C">
        <w:rPr>
          <w:rFonts w:eastAsia="Calibri"/>
        </w:rPr>
        <w:t>states</w:t>
      </w:r>
      <w:r w:rsidR="00C10B45">
        <w:rPr>
          <w:rFonts w:eastAsia="Calibri"/>
        </w:rPr>
        <w:t xml:space="preserve">: </w:t>
      </w:r>
    </w:p>
    <w:p w14:paraId="0216D570" w14:textId="659AD284" w:rsidR="00C10B45" w:rsidRDefault="00C10B45" w:rsidP="004E0A4C">
      <w:pPr>
        <w:ind w:left="1440" w:right="720"/>
        <w:jc w:val="both"/>
        <w:rPr>
          <w:rFonts w:cstheme="minorBidi"/>
          <w:szCs w:val="20"/>
        </w:rPr>
      </w:pPr>
      <w:r w:rsidRPr="006B0A0F">
        <w:rPr>
          <w:rFonts w:cstheme="minorBidi"/>
          <w:szCs w:val="20"/>
        </w:rPr>
        <w:t xml:space="preserve">The </w:t>
      </w:r>
      <w:r>
        <w:rPr>
          <w:rFonts w:cstheme="minorBidi"/>
          <w:szCs w:val="20"/>
        </w:rPr>
        <w:t>level of environmental remediation costs allocable to Washington and subject to this accounting treatment shall be consistent with the inter-jurisdictional cost allocation methodology then in effect for the Company</w:t>
      </w:r>
      <w:r w:rsidRPr="006B0A0F">
        <w:rPr>
          <w:rFonts w:cstheme="minorBidi"/>
          <w:szCs w:val="20"/>
        </w:rPr>
        <w:t>.</w:t>
      </w:r>
      <w:r w:rsidRPr="006B0A0F">
        <w:rPr>
          <w:rFonts w:cstheme="minorBidi"/>
          <w:szCs w:val="20"/>
          <w:vertAlign w:val="superscript"/>
        </w:rPr>
        <w:footnoteReference w:id="73"/>
      </w:r>
    </w:p>
    <w:p w14:paraId="20D10C4C" w14:textId="77777777" w:rsidR="000C6071" w:rsidRDefault="000C6071" w:rsidP="0091680E">
      <w:pPr>
        <w:ind w:left="1440" w:right="18"/>
        <w:rPr>
          <w:rFonts w:cstheme="minorBidi"/>
          <w:szCs w:val="20"/>
        </w:rPr>
      </w:pPr>
    </w:p>
    <w:p w14:paraId="7F1F083E" w14:textId="653CF5ED" w:rsidR="00932610" w:rsidRDefault="00355C06" w:rsidP="00C10B45">
      <w:pPr>
        <w:pStyle w:val="NoSpacing"/>
        <w:ind w:firstLine="0"/>
        <w:rPr>
          <w:rFonts w:eastAsia="Calibri"/>
        </w:rPr>
      </w:pPr>
      <w:r>
        <w:rPr>
          <w:rFonts w:eastAsia="Calibri"/>
        </w:rPr>
        <w:t>The method used by the Company to account for the expenses related to this adjustment</w:t>
      </w:r>
      <w:r w:rsidR="004C1CD0">
        <w:rPr>
          <w:rFonts w:eastAsia="Calibri"/>
        </w:rPr>
        <w:t xml:space="preserve"> is at fundamental odds with the Commission’s interpretation of used and useful </w:t>
      </w:r>
      <w:r w:rsidR="00AA54A0">
        <w:rPr>
          <w:rFonts w:eastAsia="Calibri"/>
        </w:rPr>
        <w:t xml:space="preserve">and the West Control </w:t>
      </w:r>
      <w:r w:rsidR="00973D35">
        <w:rPr>
          <w:rFonts w:eastAsia="Calibri"/>
        </w:rPr>
        <w:t>Area cost allocation methodology</w:t>
      </w:r>
      <w:r w:rsidR="00AA54A0">
        <w:rPr>
          <w:rFonts w:eastAsia="Calibri"/>
        </w:rPr>
        <w:t>.</w:t>
      </w:r>
      <w:r w:rsidR="00AD2F55">
        <w:rPr>
          <w:rFonts w:eastAsia="Calibri"/>
        </w:rPr>
        <w:t xml:space="preserve"> </w:t>
      </w:r>
    </w:p>
    <w:p w14:paraId="024C8D00" w14:textId="77777777" w:rsidR="00355C06" w:rsidRDefault="00355C06" w:rsidP="00C10B45">
      <w:pPr>
        <w:pStyle w:val="NoSpacing"/>
        <w:ind w:firstLine="0"/>
        <w:rPr>
          <w:rFonts w:eastAsia="Calibri"/>
        </w:rPr>
      </w:pPr>
    </w:p>
    <w:p w14:paraId="648C31D3" w14:textId="77777777" w:rsidR="00932610" w:rsidRPr="00BC137E" w:rsidRDefault="00932610" w:rsidP="00932610">
      <w:pPr>
        <w:pStyle w:val="Heading8"/>
      </w:pPr>
      <w:r w:rsidRPr="00BC137E">
        <w:t xml:space="preserve">Q. </w:t>
      </w:r>
      <w:r w:rsidRPr="00BC137E">
        <w:tab/>
      </w:r>
      <w:r>
        <w:t>What is the effect of Staff’s recommendation for this adjustment?</w:t>
      </w:r>
    </w:p>
    <w:p w14:paraId="71605CDE" w14:textId="3F8784E5" w:rsidR="00932610" w:rsidRDefault="00932610" w:rsidP="00932610">
      <w:pPr>
        <w:pStyle w:val="NoSpacing"/>
        <w:rPr>
          <w:rFonts w:eastAsia="Calibri"/>
        </w:rPr>
      </w:pPr>
      <w:r w:rsidRPr="00A34DCF">
        <w:rPr>
          <w:rFonts w:eastAsia="Calibri"/>
        </w:rPr>
        <w:t xml:space="preserve">A. </w:t>
      </w:r>
      <w:r w:rsidRPr="00A34DCF">
        <w:rPr>
          <w:rFonts w:eastAsia="Calibri"/>
        </w:rPr>
        <w:tab/>
      </w:r>
      <w:r>
        <w:rPr>
          <w:rFonts w:eastAsia="Calibri"/>
        </w:rPr>
        <w:t xml:space="preserve">Staff’s proposal </w:t>
      </w:r>
      <w:r w:rsidR="00355C06">
        <w:rPr>
          <w:rFonts w:eastAsia="Calibri"/>
        </w:rPr>
        <w:t xml:space="preserve">is to include only the expenses that were incurred to fund environmental remediation projects </w:t>
      </w:r>
      <w:r w:rsidR="00CE7846" w:rsidRPr="00CE7846">
        <w:rPr>
          <w:rFonts w:eastAsia="Calibri"/>
        </w:rPr>
        <w:t>situs assigned to Washington</w:t>
      </w:r>
      <w:r w:rsidR="00496BFA">
        <w:rPr>
          <w:rFonts w:eastAsia="Calibri"/>
        </w:rPr>
        <w:t>.</w:t>
      </w:r>
      <w:r w:rsidR="00A34AF2">
        <w:rPr>
          <w:rStyle w:val="FootnoteReference"/>
          <w:rFonts w:eastAsia="Calibri"/>
        </w:rPr>
        <w:footnoteReference w:id="74"/>
      </w:r>
      <w:r w:rsidR="00355C06">
        <w:rPr>
          <w:rFonts w:eastAsia="Calibri"/>
        </w:rPr>
        <w:t xml:space="preserve"> The amounts corresponding to this adjustment and any adjustments to tax will be </w:t>
      </w:r>
      <w:r w:rsidR="008878B8">
        <w:rPr>
          <w:rFonts w:eastAsia="Calibri"/>
        </w:rPr>
        <w:t>incorporated</w:t>
      </w:r>
      <w:r w:rsidR="00355C06">
        <w:rPr>
          <w:rFonts w:eastAsia="Calibri"/>
        </w:rPr>
        <w:t xml:space="preserve"> in the calculations of revenue requirement of Commission’s witness Mr. Jason Ball.</w:t>
      </w:r>
    </w:p>
    <w:p w14:paraId="5463C8CA" w14:textId="77777777" w:rsidR="008D7649" w:rsidRDefault="008D7649" w:rsidP="00932610">
      <w:pPr>
        <w:pStyle w:val="NoSpacing"/>
        <w:rPr>
          <w:rFonts w:eastAsia="Calibri"/>
        </w:rPr>
      </w:pPr>
    </w:p>
    <w:p w14:paraId="7D74473A" w14:textId="623061B1" w:rsidR="00337A33" w:rsidRPr="00337A33" w:rsidRDefault="00337A33" w:rsidP="00337A33">
      <w:pPr>
        <w:pStyle w:val="Heading4"/>
        <w:spacing w:line="480" w:lineRule="auto"/>
        <w:rPr>
          <w:rFonts w:ascii="Times New Roman" w:eastAsia="Times New Roman" w:hAnsi="Times New Roman" w:cs="Times New Roman"/>
          <w:b/>
          <w:i w:val="0"/>
          <w:iCs w:val="0"/>
          <w:color w:val="auto"/>
        </w:rPr>
      </w:pPr>
      <w:r w:rsidRPr="00337A33">
        <w:rPr>
          <w:rFonts w:ascii="Times New Roman" w:eastAsia="Times New Roman" w:hAnsi="Times New Roman" w:cs="Times New Roman"/>
          <w:b/>
          <w:i w:val="0"/>
          <w:iCs w:val="0"/>
          <w:color w:val="auto"/>
        </w:rPr>
        <w:lastRenderedPageBreak/>
        <w:t>Q.</w:t>
      </w:r>
      <w:r w:rsidRPr="00337A33">
        <w:rPr>
          <w:rFonts w:ascii="Times New Roman" w:eastAsia="Times New Roman" w:hAnsi="Times New Roman" w:cs="Times New Roman"/>
          <w:b/>
          <w:i w:val="0"/>
          <w:iCs w:val="0"/>
          <w:color w:val="auto"/>
        </w:rPr>
        <w:tab/>
        <w:t>Does this conclude your testimony?</w:t>
      </w:r>
      <w:r w:rsidR="00AD2F55">
        <w:rPr>
          <w:rFonts w:ascii="Times New Roman" w:eastAsia="Times New Roman" w:hAnsi="Times New Roman" w:cs="Times New Roman"/>
          <w:b/>
          <w:i w:val="0"/>
          <w:iCs w:val="0"/>
          <w:color w:val="auto"/>
        </w:rPr>
        <w:t xml:space="preserve"> </w:t>
      </w:r>
    </w:p>
    <w:p w14:paraId="6527B0DC" w14:textId="56BFCD90" w:rsidR="00337A33" w:rsidRPr="00502930" w:rsidRDefault="00337A33" w:rsidP="00502930">
      <w:pPr>
        <w:spacing w:line="480" w:lineRule="auto"/>
        <w:ind w:left="720" w:hanging="720"/>
        <w:contextualSpacing/>
        <w:outlineLvl w:val="4"/>
        <w:rPr>
          <w:rFonts w:eastAsia="Times New Roman"/>
        </w:rPr>
      </w:pPr>
      <w:r w:rsidRPr="00337A33">
        <w:rPr>
          <w:rFonts w:eastAsia="Times New Roman"/>
        </w:rPr>
        <w:t>A.</w:t>
      </w:r>
      <w:r w:rsidRPr="00337A33">
        <w:rPr>
          <w:rFonts w:eastAsia="Times New Roman"/>
        </w:rPr>
        <w:tab/>
        <w:t xml:space="preserve">Yes. </w:t>
      </w:r>
      <w:bookmarkStart w:id="69" w:name="_GoBack"/>
      <w:bookmarkEnd w:id="69"/>
    </w:p>
    <w:sectPr w:rsidR="00337A33" w:rsidRPr="00502930" w:rsidSect="0015026F">
      <w:head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15F24" w14:textId="77777777" w:rsidR="000E7F54" w:rsidRDefault="000E7F54" w:rsidP="0015026F">
      <w:r>
        <w:separator/>
      </w:r>
    </w:p>
  </w:endnote>
  <w:endnote w:type="continuationSeparator" w:id="0">
    <w:p w14:paraId="5A11CDFD" w14:textId="77777777" w:rsidR="000E7F54" w:rsidRDefault="000E7F54" w:rsidP="0015026F">
      <w:r>
        <w:continuationSeparator/>
      </w:r>
    </w:p>
  </w:endnote>
  <w:endnote w:type="continuationNotice" w:id="1">
    <w:p w14:paraId="54EAE2E7" w14:textId="77777777" w:rsidR="000E7F54" w:rsidRDefault="000E7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47004" w14:textId="77777777" w:rsidR="000E7F54" w:rsidRPr="0015026F" w:rsidRDefault="000E7F54" w:rsidP="0015026F">
    <w:pPr>
      <w:pStyle w:val="Footer"/>
      <w:tabs>
        <w:tab w:val="clear" w:pos="9360"/>
        <w:tab w:val="right" w:pos="8910"/>
      </w:tabs>
      <w:rPr>
        <w:sz w:val="20"/>
        <w:szCs w:val="20"/>
      </w:rPr>
    </w:pPr>
  </w:p>
  <w:p w14:paraId="2DAA27A4" w14:textId="77777777" w:rsidR="000E7F54" w:rsidRPr="0015026F" w:rsidRDefault="000E7F54" w:rsidP="00B52C21">
    <w:pPr>
      <w:pStyle w:val="Footer"/>
      <w:tabs>
        <w:tab w:val="clear" w:pos="4680"/>
        <w:tab w:val="clear" w:pos="9360"/>
        <w:tab w:val="right" w:pos="8910"/>
      </w:tabs>
      <w:rPr>
        <w:sz w:val="20"/>
        <w:szCs w:val="20"/>
      </w:rPr>
    </w:pPr>
    <w:r w:rsidRPr="0015026F">
      <w:rPr>
        <w:sz w:val="20"/>
        <w:szCs w:val="20"/>
      </w:rPr>
      <w:t xml:space="preserve">TESTIMONY OF </w:t>
    </w:r>
    <w:r>
      <w:rPr>
        <w:sz w:val="20"/>
        <w:szCs w:val="20"/>
      </w:rPr>
      <w:t>ELIZABETH C. O’CONNELL</w:t>
    </w:r>
    <w:r w:rsidRPr="0015026F">
      <w:rPr>
        <w:sz w:val="20"/>
        <w:szCs w:val="20"/>
      </w:rPr>
      <w:t xml:space="preserve"> </w:t>
    </w:r>
    <w:r w:rsidRPr="0015026F">
      <w:rPr>
        <w:sz w:val="20"/>
        <w:szCs w:val="20"/>
      </w:rPr>
      <w:tab/>
      <w:t xml:space="preserve">Exhibit No. </w:t>
    </w:r>
    <w:r>
      <w:rPr>
        <w:sz w:val="20"/>
        <w:szCs w:val="20"/>
      </w:rPr>
      <w:t>ECO</w:t>
    </w:r>
    <w:r w:rsidRPr="0015026F">
      <w:rPr>
        <w:sz w:val="20"/>
        <w:szCs w:val="20"/>
      </w:rPr>
      <w:t>-</w:t>
    </w:r>
    <w:r>
      <w:rPr>
        <w:sz w:val="20"/>
        <w:szCs w:val="20"/>
      </w:rPr>
      <w:t>1</w:t>
    </w:r>
    <w:r w:rsidRPr="0015026F">
      <w:rPr>
        <w:sz w:val="20"/>
        <w:szCs w:val="20"/>
      </w:rPr>
      <w:t>T</w:t>
    </w:r>
  </w:p>
  <w:p w14:paraId="73BF7E6A" w14:textId="77777777" w:rsidR="000E7F54" w:rsidRPr="0015026F" w:rsidRDefault="000E7F54" w:rsidP="00954C17">
    <w:pPr>
      <w:pStyle w:val="Footer"/>
      <w:tabs>
        <w:tab w:val="clear" w:pos="9360"/>
        <w:tab w:val="right" w:pos="8910"/>
      </w:tabs>
      <w:rPr>
        <w:sz w:val="20"/>
        <w:szCs w:val="20"/>
      </w:rPr>
    </w:pPr>
    <w:r w:rsidRPr="00954C17">
      <w:rPr>
        <w:sz w:val="20"/>
        <w:szCs w:val="20"/>
      </w:rPr>
      <w:t>Docket UE-152253</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502930">
      <w:rPr>
        <w:noProof/>
        <w:sz w:val="20"/>
        <w:szCs w:val="20"/>
      </w:rPr>
      <w:t>32</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71F08" w14:textId="77777777" w:rsidR="000E7F54" w:rsidRDefault="000E7F54" w:rsidP="0015026F">
      <w:r>
        <w:separator/>
      </w:r>
    </w:p>
  </w:footnote>
  <w:footnote w:type="continuationSeparator" w:id="0">
    <w:p w14:paraId="3DA2CDF6" w14:textId="77777777" w:rsidR="000E7F54" w:rsidRDefault="000E7F54" w:rsidP="0015026F">
      <w:r>
        <w:continuationSeparator/>
      </w:r>
    </w:p>
  </w:footnote>
  <w:footnote w:type="continuationNotice" w:id="1">
    <w:p w14:paraId="654980A2" w14:textId="77777777" w:rsidR="000E7F54" w:rsidRDefault="000E7F54"/>
  </w:footnote>
  <w:footnote w:id="2">
    <w:p w14:paraId="2B37E95A" w14:textId="1E283EB2" w:rsidR="000E7F54" w:rsidRDefault="000E7F54">
      <w:pPr>
        <w:pStyle w:val="FootnoteText"/>
      </w:pPr>
      <w:r w:rsidRPr="0042784E">
        <w:rPr>
          <w:rStyle w:val="FootnoteReference"/>
        </w:rPr>
        <w:footnoteRef/>
      </w:r>
      <w:r w:rsidRPr="0042784E">
        <w:t xml:space="preserve"> Ball, Exh. No. JBL-1T 2</w:t>
      </w:r>
      <w:r w:rsidR="00387E2C">
        <w:t>6:17</w:t>
      </w:r>
      <w:r w:rsidRPr="0042784E">
        <w:t>-</w:t>
      </w:r>
      <w:r w:rsidR="00387E2C">
        <w:t>21, 27:1-2</w:t>
      </w:r>
      <w:r w:rsidRPr="0042784E">
        <w:t>.</w:t>
      </w:r>
    </w:p>
  </w:footnote>
  <w:footnote w:id="3">
    <w:p w14:paraId="30E038FF" w14:textId="3EF5F762" w:rsidR="000E7F54" w:rsidRDefault="000E7F54">
      <w:pPr>
        <w:pStyle w:val="FootnoteText"/>
      </w:pPr>
      <w:r w:rsidRPr="00553CC3">
        <w:rPr>
          <w:rStyle w:val="FootnoteReference"/>
        </w:rPr>
        <w:footnoteRef/>
      </w:r>
      <w:r w:rsidRPr="00553CC3">
        <w:t xml:space="preserve"> </w:t>
      </w:r>
      <w:r w:rsidRPr="00553CC3">
        <w:rPr>
          <w:i/>
        </w:rPr>
        <w:t>See</w:t>
      </w:r>
      <w:r w:rsidR="00130D61">
        <w:t xml:space="preserve"> Ball, Exh. No. JBL-1T at 2</w:t>
      </w:r>
      <w:r w:rsidR="00E21B56">
        <w:t>8:15-21, 29:1-5</w:t>
      </w:r>
      <w:r w:rsidRPr="00553CC3">
        <w:t>.</w:t>
      </w:r>
    </w:p>
  </w:footnote>
  <w:footnote w:id="4">
    <w:p w14:paraId="6633FC6F" w14:textId="5A572802" w:rsidR="000E7F54" w:rsidRDefault="000E7F54">
      <w:pPr>
        <w:pStyle w:val="FootnoteText"/>
      </w:pPr>
      <w:r>
        <w:rPr>
          <w:rStyle w:val="FootnoteReference"/>
        </w:rPr>
        <w:footnoteRef/>
      </w:r>
      <w:r>
        <w:t xml:space="preserve"> </w:t>
      </w:r>
      <w:r>
        <w:rPr>
          <w:i/>
        </w:rPr>
        <w:t xml:space="preserve">See </w:t>
      </w:r>
      <w:r w:rsidRPr="00E3763A">
        <w:rPr>
          <w:i/>
        </w:rPr>
        <w:t>Wash. Utils. &amp; Transp. Comm’n</w:t>
      </w:r>
      <w:r>
        <w:t xml:space="preserve"> </w:t>
      </w:r>
      <w:r w:rsidRPr="00B52C21">
        <w:rPr>
          <w:i/>
        </w:rPr>
        <w:t>v. Avista</w:t>
      </w:r>
      <w:r w:rsidR="000C4CBC">
        <w:rPr>
          <w:i/>
        </w:rPr>
        <w:t xml:space="preserve"> Corp.</w:t>
      </w:r>
      <w:r w:rsidRPr="00B52C21">
        <w:t xml:space="preserve">, </w:t>
      </w:r>
      <w:r>
        <w:t xml:space="preserve">Docket UE-150204, Order 05, </w:t>
      </w:r>
      <w:r w:rsidRPr="00A742B0">
        <w:t>¶¶</w:t>
      </w:r>
      <w:r>
        <w:t xml:space="preserve"> 28, 35</w:t>
      </w:r>
      <w:r w:rsidRPr="008A3777">
        <w:t xml:space="preserve"> </w:t>
      </w:r>
      <w:r>
        <w:t>(January 6, 2016)</w:t>
      </w:r>
      <w:r w:rsidR="00BF3031">
        <w:t xml:space="preserve"> (Avista 2015 GRC Order)</w:t>
      </w:r>
      <w:r>
        <w:t>.</w:t>
      </w:r>
    </w:p>
  </w:footnote>
  <w:footnote w:id="5">
    <w:p w14:paraId="079490EC" w14:textId="16D08199" w:rsidR="000E7F54" w:rsidRDefault="000E7F54" w:rsidP="003652FB">
      <w:pPr>
        <w:pStyle w:val="FootnoteText"/>
      </w:pPr>
      <w:r>
        <w:rPr>
          <w:rStyle w:val="FootnoteReference"/>
        </w:rPr>
        <w:footnoteRef/>
      </w:r>
      <w:r>
        <w:t xml:space="preserve"> </w:t>
      </w:r>
      <w:r w:rsidRPr="00DC63A5">
        <w:t>WAC 480-07-510(3)</w:t>
      </w:r>
      <w:r>
        <w:t>(e)</w:t>
      </w:r>
      <w:r w:rsidRPr="00DC63A5">
        <w:t>(iii).</w:t>
      </w:r>
    </w:p>
  </w:footnote>
  <w:footnote w:id="6">
    <w:p w14:paraId="69885BAA" w14:textId="4EEFA00F" w:rsidR="000E7F54" w:rsidRDefault="000E7F54" w:rsidP="003652FB">
      <w:pPr>
        <w:pStyle w:val="FootnoteText"/>
      </w:pPr>
      <w:r>
        <w:rPr>
          <w:rStyle w:val="FootnoteReference"/>
        </w:rPr>
        <w:footnoteRef/>
      </w:r>
      <w:r>
        <w:t xml:space="preserve"> </w:t>
      </w:r>
      <w:r w:rsidRPr="0024701C">
        <w:rPr>
          <w:i/>
        </w:rPr>
        <w:t>Wash. Utils</w:t>
      </w:r>
      <w:r>
        <w:rPr>
          <w:i/>
        </w:rPr>
        <w:t>.</w:t>
      </w:r>
      <w:r w:rsidRPr="0024701C">
        <w:rPr>
          <w:i/>
        </w:rPr>
        <w:t xml:space="preserve"> &amp; Transp. Comm’n </w:t>
      </w:r>
      <w:r>
        <w:rPr>
          <w:i/>
        </w:rPr>
        <w:t>v. Pacific Power &amp; Light Co.</w:t>
      </w:r>
      <w:r w:rsidRPr="00B52C21">
        <w:t xml:space="preserve">, </w:t>
      </w:r>
      <w:r>
        <w:t>Docket UE-130043, Order 5, ¶ 198 (Dec. 4, 2013)</w:t>
      </w:r>
      <w:r w:rsidRPr="00035685">
        <w:t>.</w:t>
      </w:r>
    </w:p>
  </w:footnote>
  <w:footnote w:id="7">
    <w:p w14:paraId="2F316FDC" w14:textId="1E68B244" w:rsidR="000E7F54" w:rsidRDefault="000E7F54" w:rsidP="003652FB">
      <w:pPr>
        <w:pStyle w:val="FootnoteText"/>
      </w:pPr>
      <w:r>
        <w:rPr>
          <w:rStyle w:val="FootnoteReference"/>
        </w:rPr>
        <w:footnoteRef/>
      </w:r>
      <w:r>
        <w:t xml:space="preserve"> </w:t>
      </w:r>
      <w:r w:rsidRPr="00086096">
        <w:rPr>
          <w:i/>
        </w:rPr>
        <w:t>Wash. Utils</w:t>
      </w:r>
      <w:r>
        <w:rPr>
          <w:i/>
        </w:rPr>
        <w:t>.</w:t>
      </w:r>
      <w:r w:rsidRPr="00086096">
        <w:rPr>
          <w:i/>
        </w:rPr>
        <w:t xml:space="preserve"> &amp; Transp. Comm’n</w:t>
      </w:r>
      <w:r>
        <w:rPr>
          <w:i/>
        </w:rPr>
        <w:t xml:space="preserve"> v</w:t>
      </w:r>
      <w:r w:rsidR="000C4CBC">
        <w:rPr>
          <w:i/>
        </w:rPr>
        <w:t>. Avista Corp.</w:t>
      </w:r>
      <w:r w:rsidRPr="00614774">
        <w:t xml:space="preserve">, </w:t>
      </w:r>
      <w:r>
        <w:t xml:space="preserve">Docket </w:t>
      </w:r>
      <w:r w:rsidRPr="00614774">
        <w:t>UE-090134, Order 10</w:t>
      </w:r>
      <w:r>
        <w:t>,</w:t>
      </w:r>
      <w:r w:rsidRPr="00614774">
        <w:t xml:space="preserve"> ¶</w:t>
      </w:r>
      <w:r>
        <w:t xml:space="preserve"> </w:t>
      </w:r>
      <w:r w:rsidRPr="00614774">
        <w:t>46</w:t>
      </w:r>
      <w:r>
        <w:t xml:space="preserve"> (Dec. 22, 2009).</w:t>
      </w:r>
    </w:p>
  </w:footnote>
  <w:footnote w:id="8">
    <w:p w14:paraId="169D225E" w14:textId="15454B45" w:rsidR="000E7F54" w:rsidRPr="00F67D12" w:rsidRDefault="000E7F54" w:rsidP="003652FB">
      <w:pPr>
        <w:pStyle w:val="FootnoteText"/>
      </w:pPr>
      <w:r w:rsidRPr="00F67D12">
        <w:rPr>
          <w:rStyle w:val="FootnoteReference"/>
        </w:rPr>
        <w:footnoteRef/>
      </w:r>
      <w:r w:rsidRPr="00F67D12">
        <w:t xml:space="preserve"> Robert L. Hahne and Gregory E. Aliff, </w:t>
      </w:r>
      <w:r w:rsidRPr="00AF3B84">
        <w:rPr>
          <w:i/>
        </w:rPr>
        <w:t>Accounting for Public Utilities</w:t>
      </w:r>
      <w:r w:rsidRPr="00F67D12">
        <w:t xml:space="preserve"> § </w:t>
      </w:r>
      <w:r>
        <w:t>4.04[4] (2012)</w:t>
      </w:r>
      <w:r w:rsidRPr="00F67D12">
        <w:t>.</w:t>
      </w:r>
      <w:r>
        <w:t xml:space="preserve"> </w:t>
      </w:r>
    </w:p>
  </w:footnote>
  <w:footnote w:id="9">
    <w:p w14:paraId="16470E82" w14:textId="3566346C" w:rsidR="000E7F54" w:rsidRDefault="000E7F54">
      <w:pPr>
        <w:pStyle w:val="FootnoteText"/>
      </w:pPr>
      <w:r>
        <w:rPr>
          <w:rStyle w:val="FootnoteReference"/>
        </w:rPr>
        <w:footnoteRef/>
      </w:r>
      <w:r>
        <w:t xml:space="preserve"> Kelly, Exh. No. SJK-1T 5:20-24</w:t>
      </w:r>
      <w:r w:rsidRPr="006C2855">
        <w:t>.</w:t>
      </w:r>
    </w:p>
  </w:footnote>
  <w:footnote w:id="10">
    <w:p w14:paraId="4E21BD1C" w14:textId="720D7E24" w:rsidR="000E7F54" w:rsidRDefault="000E7F54">
      <w:pPr>
        <w:pStyle w:val="FootnoteText"/>
      </w:pPr>
      <w:r>
        <w:rPr>
          <w:rStyle w:val="FootnoteReference"/>
        </w:rPr>
        <w:footnoteRef/>
      </w:r>
      <w:r>
        <w:t xml:space="preserve"> Vail, Exh. No. RAV</w:t>
      </w:r>
      <w:r w:rsidRPr="006C2855">
        <w:t>-1T 5:</w:t>
      </w:r>
      <w:r>
        <w:t>7-16</w:t>
      </w:r>
      <w:r w:rsidRPr="006C2855">
        <w:t>.</w:t>
      </w:r>
    </w:p>
  </w:footnote>
  <w:footnote w:id="11">
    <w:p w14:paraId="6A31727D" w14:textId="2888CDA2" w:rsidR="000E7F54" w:rsidRDefault="000E7F54">
      <w:pPr>
        <w:pStyle w:val="FootnoteText"/>
      </w:pPr>
      <w:r>
        <w:rPr>
          <w:rStyle w:val="FootnoteReference"/>
        </w:rPr>
        <w:footnoteRef/>
      </w:r>
      <w:r>
        <w:t xml:space="preserve"> </w:t>
      </w:r>
      <w:r w:rsidRPr="00DA26A3">
        <w:rPr>
          <w:i/>
        </w:rPr>
        <w:t>Wash. Utils</w:t>
      </w:r>
      <w:r>
        <w:rPr>
          <w:i/>
        </w:rPr>
        <w:t>.</w:t>
      </w:r>
      <w:r w:rsidRPr="00DA26A3">
        <w:rPr>
          <w:i/>
        </w:rPr>
        <w:t xml:space="preserve"> &amp; Transp. Comm’n v. </w:t>
      </w:r>
      <w:r w:rsidRPr="00DA26A3">
        <w:rPr>
          <w:i/>
          <w:iCs/>
        </w:rPr>
        <w:t>Puget Sound Energy</w:t>
      </w:r>
      <w:r w:rsidRPr="00DA26A3">
        <w:t>,</w:t>
      </w:r>
      <w:r>
        <w:t xml:space="preserve"> </w:t>
      </w:r>
      <w:r w:rsidRPr="00DA26A3">
        <w:t>Docket UE-090704</w:t>
      </w:r>
      <w:r>
        <w:t>,</w:t>
      </w:r>
      <w:r w:rsidRPr="00DA26A3">
        <w:t xml:space="preserve"> Order 11</w:t>
      </w:r>
      <w:r>
        <w:t>,</w:t>
      </w:r>
      <w:r w:rsidRPr="00DA26A3">
        <w:t xml:space="preserve"> ¶ 26 (Apr</w:t>
      </w:r>
      <w:r>
        <w:t>.</w:t>
      </w:r>
      <w:r w:rsidRPr="00DA26A3">
        <w:t xml:space="preserve"> 2, 2010)</w:t>
      </w:r>
      <w:r>
        <w:t xml:space="preserve"> (internal citation omitted)</w:t>
      </w:r>
      <w:r w:rsidRPr="00DA26A3">
        <w:t>.</w:t>
      </w:r>
      <w:r>
        <w:rPr>
          <w:sz w:val="22"/>
          <w:szCs w:val="22"/>
        </w:rPr>
        <w:t xml:space="preserve"> </w:t>
      </w:r>
    </w:p>
  </w:footnote>
  <w:footnote w:id="12">
    <w:p w14:paraId="30351E2D" w14:textId="42EE0392" w:rsidR="000E7F54" w:rsidRDefault="000E7F54">
      <w:pPr>
        <w:pStyle w:val="FootnoteText"/>
      </w:pPr>
      <w:r>
        <w:rPr>
          <w:rStyle w:val="FootnoteReference"/>
        </w:rPr>
        <w:footnoteRef/>
      </w:r>
      <w:r>
        <w:t xml:space="preserve"> McCoy</w:t>
      </w:r>
      <w:r w:rsidRPr="00D9175A">
        <w:t>, Exh</w:t>
      </w:r>
      <w:r>
        <w:t>.</w:t>
      </w:r>
      <w:r w:rsidRPr="00D9175A">
        <w:t xml:space="preserve"> No.</w:t>
      </w:r>
      <w:r>
        <w:t xml:space="preserve"> </w:t>
      </w:r>
      <w:r w:rsidRPr="00D9175A">
        <w:t>S</w:t>
      </w:r>
      <w:r>
        <w:t>EM-1T 34:5-6</w:t>
      </w:r>
      <w:r w:rsidRPr="00D9175A">
        <w:t>.</w:t>
      </w:r>
    </w:p>
  </w:footnote>
  <w:footnote w:id="13">
    <w:p w14:paraId="5C064C44" w14:textId="27397450" w:rsidR="000E7F54" w:rsidRPr="007850E7" w:rsidRDefault="000E7F54">
      <w:pPr>
        <w:pStyle w:val="FootnoteText"/>
      </w:pPr>
      <w:r>
        <w:rPr>
          <w:rStyle w:val="FootnoteReference"/>
        </w:rPr>
        <w:footnoteRef/>
      </w:r>
      <w:r>
        <w:t xml:space="preserve"> </w:t>
      </w:r>
      <w:r>
        <w:rPr>
          <w:i/>
        </w:rPr>
        <w:t>See Wash. Utils. &amp; Transp. Comm’n</w:t>
      </w:r>
      <w:r w:rsidRPr="006E7039">
        <w:rPr>
          <w:i/>
        </w:rPr>
        <w:t xml:space="preserve"> </w:t>
      </w:r>
      <w:r w:rsidRPr="005E3E0B">
        <w:rPr>
          <w:i/>
        </w:rPr>
        <w:t>v. Pacific Power &amp; Light Co</w:t>
      </w:r>
      <w:r>
        <w:rPr>
          <w:i/>
        </w:rPr>
        <w:t>.</w:t>
      </w:r>
      <w:r w:rsidRPr="005E3E0B">
        <w:t xml:space="preserve">, Docket UE-090205, </w:t>
      </w:r>
      <w:r>
        <w:t>O</w:t>
      </w:r>
      <w:r w:rsidRPr="005E3E0B">
        <w:t>rder 09</w:t>
      </w:r>
      <w:r>
        <w:t>,</w:t>
      </w:r>
      <w:r w:rsidRPr="005E3E0B">
        <w:t xml:space="preserve"> ¶</w:t>
      </w:r>
      <w:r>
        <w:t xml:space="preserve"> 64 (Dec. 16, 2009); </w:t>
      </w:r>
      <w:r>
        <w:rPr>
          <w:i/>
        </w:rPr>
        <w:t>Wash. Utils. &amp; Transp. Comm’n</w:t>
      </w:r>
      <w:r w:rsidRPr="006E7039">
        <w:rPr>
          <w:i/>
        </w:rPr>
        <w:t xml:space="preserve"> </w:t>
      </w:r>
      <w:r w:rsidRPr="005E3E0B">
        <w:rPr>
          <w:i/>
        </w:rPr>
        <w:t>v.</w:t>
      </w:r>
      <w:r>
        <w:rPr>
          <w:i/>
        </w:rPr>
        <w:t xml:space="preserve"> Puget Sound Energy</w:t>
      </w:r>
      <w:r w:rsidRPr="00034B8C">
        <w:t>, Docket UE-031725</w:t>
      </w:r>
      <w:r>
        <w:t>, Order 12, ¶ 20 (Apr. 7, 2004).</w:t>
      </w:r>
    </w:p>
  </w:footnote>
  <w:footnote w:id="14">
    <w:p w14:paraId="17E5CAA6" w14:textId="0F65575E" w:rsidR="000E7F54" w:rsidRDefault="000E7F54" w:rsidP="00B10042">
      <w:pPr>
        <w:pStyle w:val="FootnoteText"/>
      </w:pPr>
      <w:r>
        <w:rPr>
          <w:rStyle w:val="FootnoteReference"/>
        </w:rPr>
        <w:footnoteRef/>
      </w:r>
      <w:r>
        <w:t xml:space="preserve"> </w:t>
      </w:r>
      <w:r w:rsidR="002F5149">
        <w:t>Kelly, Exh. No. SJK-1T at 2:6-8</w:t>
      </w:r>
      <w:r>
        <w:t>.</w:t>
      </w:r>
    </w:p>
  </w:footnote>
  <w:footnote w:id="15">
    <w:p w14:paraId="659BFFAB" w14:textId="2B271B6B" w:rsidR="000E7F54" w:rsidRDefault="000E7F54" w:rsidP="00B10042">
      <w:pPr>
        <w:pStyle w:val="FootnoteText"/>
      </w:pPr>
      <w:r>
        <w:rPr>
          <w:rStyle w:val="FootnoteReference"/>
        </w:rPr>
        <w:footnoteRef/>
      </w:r>
      <w:r>
        <w:t xml:space="preserve"> </w:t>
      </w:r>
      <w:r w:rsidRPr="007C0F21">
        <w:rPr>
          <w:i/>
        </w:rPr>
        <w:t>Id</w:t>
      </w:r>
      <w:r>
        <w:t>. at 2:17-19</w:t>
      </w:r>
      <w:r w:rsidRPr="005170D4">
        <w:t>.</w:t>
      </w:r>
    </w:p>
  </w:footnote>
  <w:footnote w:id="16">
    <w:p w14:paraId="2CAC3A42" w14:textId="139A480D" w:rsidR="000E7F54" w:rsidRPr="000716B9" w:rsidRDefault="000E7F54" w:rsidP="00B10042">
      <w:pPr>
        <w:pStyle w:val="FootnoteText"/>
      </w:pPr>
      <w:r>
        <w:rPr>
          <w:rStyle w:val="FootnoteReference"/>
        </w:rPr>
        <w:footnoteRef/>
      </w:r>
      <w:r>
        <w:t xml:space="preserve"> </w:t>
      </w:r>
      <w:r w:rsidRPr="000B1468">
        <w:rPr>
          <w:i/>
        </w:rPr>
        <w:t>Id.</w:t>
      </w:r>
      <w:r>
        <w:rPr>
          <w:i/>
        </w:rPr>
        <w:t xml:space="preserve"> </w:t>
      </w:r>
      <w:r w:rsidRPr="008E5594">
        <w:t>a</w:t>
      </w:r>
      <w:r>
        <w:t>t 2: 8-11.</w:t>
      </w:r>
    </w:p>
  </w:footnote>
  <w:footnote w:id="17">
    <w:p w14:paraId="6643C878" w14:textId="57EFF5E9" w:rsidR="000E7F54" w:rsidRDefault="000E7F54" w:rsidP="00B10042">
      <w:pPr>
        <w:pStyle w:val="FootnoteText"/>
      </w:pPr>
      <w:r>
        <w:rPr>
          <w:rStyle w:val="FootnoteReference"/>
        </w:rPr>
        <w:footnoteRef/>
      </w:r>
      <w:r>
        <w:t xml:space="preserve"> </w:t>
      </w:r>
      <w:r w:rsidRPr="004460D5">
        <w:rPr>
          <w:i/>
        </w:rPr>
        <w:t>Id</w:t>
      </w:r>
      <w:r>
        <w:t>. at 2:16-17.</w:t>
      </w:r>
    </w:p>
  </w:footnote>
  <w:footnote w:id="18">
    <w:p w14:paraId="2DEA5E91" w14:textId="07751FFF" w:rsidR="000E7F54" w:rsidRDefault="000E7F54">
      <w:pPr>
        <w:pStyle w:val="FootnoteText"/>
      </w:pPr>
      <w:r>
        <w:rPr>
          <w:rStyle w:val="FootnoteReference"/>
        </w:rPr>
        <w:footnoteRef/>
      </w:r>
      <w:r>
        <w:t xml:space="preserve"> </w:t>
      </w:r>
      <w:r w:rsidRPr="004173D5">
        <w:rPr>
          <w:i/>
        </w:rPr>
        <w:t xml:space="preserve">Id. </w:t>
      </w:r>
      <w:r>
        <w:t>a</w:t>
      </w:r>
      <w:r w:rsidRPr="00640835">
        <w:t xml:space="preserve">t </w:t>
      </w:r>
      <w:r>
        <w:t>3:6-19.</w:t>
      </w:r>
    </w:p>
  </w:footnote>
  <w:footnote w:id="19">
    <w:p w14:paraId="09A42521" w14:textId="7D2D8556" w:rsidR="000E7F54" w:rsidRDefault="000E7F54" w:rsidP="00A742B0">
      <w:pPr>
        <w:pStyle w:val="FootnoteText"/>
      </w:pPr>
      <w:r>
        <w:rPr>
          <w:rStyle w:val="FootnoteReference"/>
        </w:rPr>
        <w:footnoteRef/>
      </w:r>
      <w:r>
        <w:t xml:space="preserve"> </w:t>
      </w:r>
      <w:r w:rsidRPr="004460D5">
        <w:rPr>
          <w:i/>
        </w:rPr>
        <w:t>Id</w:t>
      </w:r>
      <w:r>
        <w:t>. at 3:4-5.</w:t>
      </w:r>
    </w:p>
  </w:footnote>
  <w:footnote w:id="20">
    <w:p w14:paraId="21E7DED0" w14:textId="6B1E6FEF" w:rsidR="000E7F54" w:rsidRDefault="000E7F54" w:rsidP="00B10042">
      <w:pPr>
        <w:pStyle w:val="FootnoteText"/>
      </w:pPr>
      <w:r>
        <w:rPr>
          <w:rStyle w:val="FootnoteReference"/>
        </w:rPr>
        <w:footnoteRef/>
      </w:r>
      <w:r>
        <w:t xml:space="preserve"> </w:t>
      </w:r>
      <w:r w:rsidRPr="004460D5">
        <w:rPr>
          <w:i/>
        </w:rPr>
        <w:t>Id</w:t>
      </w:r>
      <w:r>
        <w:t>. at 5:4-7.</w:t>
      </w:r>
    </w:p>
  </w:footnote>
  <w:footnote w:id="21">
    <w:p w14:paraId="68E3C63D" w14:textId="4AB8A870" w:rsidR="000E7F54" w:rsidRDefault="000E7F54" w:rsidP="00982DF8">
      <w:pPr>
        <w:pStyle w:val="FootnoteText"/>
      </w:pPr>
      <w:r>
        <w:rPr>
          <w:rStyle w:val="FootnoteReference"/>
        </w:rPr>
        <w:footnoteRef/>
      </w:r>
      <w:r>
        <w:t xml:space="preserve"> </w:t>
      </w:r>
      <w:r w:rsidRPr="004460D5">
        <w:rPr>
          <w:i/>
        </w:rPr>
        <w:t>Id.</w:t>
      </w:r>
      <w:r>
        <w:t xml:space="preserve"> at </w:t>
      </w:r>
      <w:r w:rsidR="00852F80">
        <w:t>6</w:t>
      </w:r>
      <w:r>
        <w:t>:13.</w:t>
      </w:r>
    </w:p>
  </w:footnote>
  <w:footnote w:id="22">
    <w:p w14:paraId="70A938A9" w14:textId="525B51C0" w:rsidR="000E7F54" w:rsidRDefault="000E7F54" w:rsidP="00C86781">
      <w:pPr>
        <w:pStyle w:val="FootnoteText"/>
        <w:ind w:right="-162"/>
      </w:pPr>
      <w:r>
        <w:rPr>
          <w:rStyle w:val="FootnoteReference"/>
        </w:rPr>
        <w:footnoteRef/>
      </w:r>
      <w:r>
        <w:t xml:space="preserve"> O’Connell, Exh. No. ECO-2 (Pacific Power Response to Staff Data Request 46).</w:t>
      </w:r>
    </w:p>
  </w:footnote>
  <w:footnote w:id="23">
    <w:p w14:paraId="65B6F049" w14:textId="06F34DCA" w:rsidR="000E7F54" w:rsidRDefault="000E7F54">
      <w:pPr>
        <w:pStyle w:val="FootnoteText"/>
      </w:pPr>
      <w:r>
        <w:rPr>
          <w:rStyle w:val="FootnoteReference"/>
        </w:rPr>
        <w:footnoteRef/>
      </w:r>
      <w:r>
        <w:t xml:space="preserve"> </w:t>
      </w:r>
      <w:r w:rsidRPr="00BE7597">
        <w:rPr>
          <w:i/>
        </w:rPr>
        <w:t>Id.</w:t>
      </w:r>
    </w:p>
  </w:footnote>
  <w:footnote w:id="24">
    <w:p w14:paraId="4DA07379" w14:textId="446C9044" w:rsidR="000E7F54" w:rsidRDefault="000E7F54">
      <w:pPr>
        <w:pStyle w:val="FootnoteText"/>
      </w:pPr>
      <w:r>
        <w:rPr>
          <w:rStyle w:val="FootnoteReference"/>
        </w:rPr>
        <w:footnoteRef/>
      </w:r>
      <w:r>
        <w:t xml:space="preserve"> </w:t>
      </w:r>
      <w:r w:rsidRPr="00FA1AA4">
        <w:t>Pacific Power Response to Staff Data Request</w:t>
      </w:r>
      <w:r>
        <w:t xml:space="preserve"> 58.</w:t>
      </w:r>
    </w:p>
  </w:footnote>
  <w:footnote w:id="25">
    <w:p w14:paraId="676CD18C" w14:textId="4AA1F8E8" w:rsidR="000E7F54" w:rsidRDefault="000E7F54">
      <w:pPr>
        <w:pStyle w:val="FootnoteText"/>
      </w:pPr>
      <w:r>
        <w:rPr>
          <w:rStyle w:val="FootnoteReference"/>
        </w:rPr>
        <w:footnoteRef/>
      </w:r>
      <w:r>
        <w:t xml:space="preserve"> O’Connell, </w:t>
      </w:r>
      <w:r w:rsidRPr="00B03187">
        <w:t>Exh</w:t>
      </w:r>
      <w:r>
        <w:t>.</w:t>
      </w:r>
      <w:r w:rsidRPr="00B03187">
        <w:t xml:space="preserve"> No</w:t>
      </w:r>
      <w:r>
        <w:t xml:space="preserve">. </w:t>
      </w:r>
      <w:r w:rsidRPr="00B03187">
        <w:t>ECO-</w:t>
      </w:r>
      <w:r>
        <w:t>3 (</w:t>
      </w:r>
      <w:r w:rsidRPr="00807EC4">
        <w:t>Pacific Power Resp</w:t>
      </w:r>
      <w:r>
        <w:t>onse to Staff Data Request 47).</w:t>
      </w:r>
    </w:p>
  </w:footnote>
  <w:footnote w:id="26">
    <w:p w14:paraId="7B470C51" w14:textId="4633D83F" w:rsidR="000E7F54" w:rsidRDefault="000E7F54" w:rsidP="00807EC4">
      <w:pPr>
        <w:pStyle w:val="FootnoteText"/>
      </w:pPr>
      <w:r>
        <w:rPr>
          <w:rStyle w:val="FootnoteReference"/>
        </w:rPr>
        <w:footnoteRef/>
      </w:r>
      <w:r>
        <w:t xml:space="preserve"> </w:t>
      </w:r>
      <w:r w:rsidR="00767FD5" w:rsidRPr="00FA1AA4">
        <w:t>Pacific Power Response to Staff Data Request</w:t>
      </w:r>
      <w:r w:rsidR="00767FD5">
        <w:t xml:space="preserve"> 46.</w:t>
      </w:r>
    </w:p>
  </w:footnote>
  <w:footnote w:id="27">
    <w:p w14:paraId="6C67F151" w14:textId="73A3BB40" w:rsidR="000E7F54" w:rsidRDefault="000E7F54">
      <w:pPr>
        <w:pStyle w:val="FootnoteText"/>
      </w:pPr>
      <w:r>
        <w:rPr>
          <w:rStyle w:val="FootnoteReference"/>
        </w:rPr>
        <w:footnoteRef/>
      </w:r>
      <w:r>
        <w:t xml:space="preserve"> O’Connell, </w:t>
      </w:r>
      <w:r w:rsidRPr="00B03187">
        <w:t>Exh</w:t>
      </w:r>
      <w:r>
        <w:t>.</w:t>
      </w:r>
      <w:r w:rsidRPr="00B03187">
        <w:t xml:space="preserve"> No</w:t>
      </w:r>
      <w:r>
        <w:t xml:space="preserve">. </w:t>
      </w:r>
      <w:r w:rsidRPr="00B03187">
        <w:t>ECO-</w:t>
      </w:r>
      <w:r>
        <w:t>4 (</w:t>
      </w:r>
      <w:r w:rsidRPr="004F59A1">
        <w:t>Pacific Power Response to Staff Data Request 47</w:t>
      </w:r>
      <w:r>
        <w:t>, Attachment WUTC 47).</w:t>
      </w:r>
    </w:p>
  </w:footnote>
  <w:footnote w:id="28">
    <w:p w14:paraId="52CFC7A8" w14:textId="77777777" w:rsidR="000E7F54" w:rsidRDefault="000E7F54" w:rsidP="00681F62">
      <w:pPr>
        <w:pStyle w:val="FootnoteText"/>
      </w:pPr>
      <w:r>
        <w:rPr>
          <w:rStyle w:val="FootnoteReference"/>
        </w:rPr>
        <w:footnoteRef/>
      </w:r>
      <w:r>
        <w:t xml:space="preserve"> </w:t>
      </w:r>
      <w:r w:rsidRPr="00681F62">
        <w:t>Pacific Power Response to Staff Data Request 5</w:t>
      </w:r>
      <w:r>
        <w:t>1</w:t>
      </w:r>
      <w:r w:rsidRPr="00681F62">
        <w:t>.</w:t>
      </w:r>
    </w:p>
  </w:footnote>
  <w:footnote w:id="29">
    <w:p w14:paraId="50218629" w14:textId="5AA7C2E9" w:rsidR="000E7F54" w:rsidRDefault="000E7F54" w:rsidP="00B10042">
      <w:pPr>
        <w:pStyle w:val="FootnoteText"/>
      </w:pPr>
      <w:r>
        <w:rPr>
          <w:rStyle w:val="FootnoteReference"/>
        </w:rPr>
        <w:footnoteRef/>
      </w:r>
      <w:r>
        <w:t xml:space="preserve"> Kelly, Exh. No. SJK-1T at 3:6</w:t>
      </w:r>
      <w:r w:rsidRPr="00B30A6E">
        <w:t>-</w:t>
      </w:r>
      <w:r>
        <w:t>19</w:t>
      </w:r>
      <w:r w:rsidRPr="00B30A6E">
        <w:t>.</w:t>
      </w:r>
    </w:p>
  </w:footnote>
  <w:footnote w:id="30">
    <w:p w14:paraId="33281FD9" w14:textId="19603202" w:rsidR="000E7F54" w:rsidRDefault="000E7F54">
      <w:pPr>
        <w:pStyle w:val="FootnoteText"/>
      </w:pPr>
      <w:r>
        <w:rPr>
          <w:rStyle w:val="FootnoteReference"/>
        </w:rPr>
        <w:footnoteRef/>
      </w:r>
      <w:r>
        <w:t xml:space="preserve"> </w:t>
      </w:r>
      <w:r w:rsidRPr="004460D5">
        <w:rPr>
          <w:i/>
        </w:rPr>
        <w:t>Id.</w:t>
      </w:r>
      <w:r>
        <w:t xml:space="preserve"> at 3:22-24.</w:t>
      </w:r>
    </w:p>
  </w:footnote>
  <w:footnote w:id="31">
    <w:p w14:paraId="3124B68D" w14:textId="4B5428C2" w:rsidR="000E7F54" w:rsidRDefault="000E7F54" w:rsidP="00B10042">
      <w:pPr>
        <w:pStyle w:val="FootnoteText"/>
      </w:pPr>
      <w:r>
        <w:rPr>
          <w:rStyle w:val="FootnoteReference"/>
        </w:rPr>
        <w:footnoteRef/>
      </w:r>
      <w:r>
        <w:t xml:space="preserve"> </w:t>
      </w:r>
      <w:r w:rsidRPr="008C5049">
        <w:rPr>
          <w:i/>
        </w:rPr>
        <w:t>Id.</w:t>
      </w:r>
      <w:r>
        <w:rPr>
          <w:i/>
        </w:rPr>
        <w:t xml:space="preserve"> </w:t>
      </w:r>
      <w:r>
        <w:t>at 3:26-29</w:t>
      </w:r>
      <w:r w:rsidRPr="00856E31">
        <w:t>.</w:t>
      </w:r>
    </w:p>
  </w:footnote>
  <w:footnote w:id="32">
    <w:p w14:paraId="687C0906" w14:textId="77777777" w:rsidR="000E7F54" w:rsidRDefault="000E7F54" w:rsidP="00B10042">
      <w:pPr>
        <w:pStyle w:val="FootnoteText"/>
      </w:pPr>
      <w:r>
        <w:rPr>
          <w:rStyle w:val="FootnoteReference"/>
        </w:rPr>
        <w:footnoteRef/>
      </w:r>
      <w:r>
        <w:t xml:space="preserve"> </w:t>
      </w:r>
      <w:r w:rsidRPr="007C0F21">
        <w:rPr>
          <w:i/>
        </w:rPr>
        <w:t>Id</w:t>
      </w:r>
      <w:r>
        <w:t xml:space="preserve"> at 4:8-11</w:t>
      </w:r>
      <w:r w:rsidRPr="005170D4">
        <w:t>.</w:t>
      </w:r>
    </w:p>
  </w:footnote>
  <w:footnote w:id="33">
    <w:p w14:paraId="79732828" w14:textId="577744A3" w:rsidR="000E7F54" w:rsidRDefault="000E7F54" w:rsidP="00B10042">
      <w:pPr>
        <w:pStyle w:val="FootnoteText"/>
      </w:pPr>
      <w:r>
        <w:rPr>
          <w:rStyle w:val="FootnoteReference"/>
        </w:rPr>
        <w:footnoteRef/>
      </w:r>
      <w:r>
        <w:t xml:space="preserve"> Information obtained during on-site visit.</w:t>
      </w:r>
    </w:p>
  </w:footnote>
  <w:footnote w:id="34">
    <w:p w14:paraId="36E7CA0E" w14:textId="3360E9E8" w:rsidR="000E7F54" w:rsidRDefault="000E7F54">
      <w:pPr>
        <w:pStyle w:val="FootnoteText"/>
      </w:pPr>
      <w:r>
        <w:rPr>
          <w:rStyle w:val="FootnoteReference"/>
        </w:rPr>
        <w:footnoteRef/>
      </w:r>
      <w:r>
        <w:t xml:space="preserve"> </w:t>
      </w:r>
      <w:r w:rsidRPr="008C5049">
        <w:rPr>
          <w:i/>
        </w:rPr>
        <w:t>Id</w:t>
      </w:r>
      <w:r>
        <w:rPr>
          <w:i/>
        </w:rPr>
        <w:t>.</w:t>
      </w:r>
    </w:p>
  </w:footnote>
  <w:footnote w:id="35">
    <w:p w14:paraId="57D1DEB6" w14:textId="49852475" w:rsidR="000E7F54" w:rsidRDefault="000E7F54">
      <w:pPr>
        <w:pStyle w:val="FootnoteText"/>
      </w:pPr>
      <w:r>
        <w:rPr>
          <w:rStyle w:val="FootnoteReference"/>
        </w:rPr>
        <w:footnoteRef/>
      </w:r>
      <w:r>
        <w:t xml:space="preserve"> </w:t>
      </w:r>
      <w:r w:rsidRPr="008C5049">
        <w:rPr>
          <w:i/>
        </w:rPr>
        <w:t>Id</w:t>
      </w:r>
      <w:r>
        <w:rPr>
          <w:i/>
        </w:rPr>
        <w:t>.</w:t>
      </w:r>
    </w:p>
  </w:footnote>
  <w:footnote w:id="36">
    <w:p w14:paraId="5F17FEBE" w14:textId="38E0849E" w:rsidR="000E7F54" w:rsidRDefault="000E7F54">
      <w:pPr>
        <w:pStyle w:val="FootnoteText"/>
      </w:pPr>
      <w:r>
        <w:rPr>
          <w:rStyle w:val="FootnoteReference"/>
        </w:rPr>
        <w:footnoteRef/>
      </w:r>
      <w:r>
        <w:t xml:space="preserve"> </w:t>
      </w:r>
      <w:r w:rsidRPr="00653832">
        <w:rPr>
          <w:i/>
        </w:rPr>
        <w:t>Id</w:t>
      </w:r>
      <w:r>
        <w:rPr>
          <w:i/>
        </w:rPr>
        <w:t>.</w:t>
      </w:r>
    </w:p>
  </w:footnote>
  <w:footnote w:id="37">
    <w:p w14:paraId="51E14056" w14:textId="5F294483" w:rsidR="000E7F54" w:rsidRDefault="000E7F54" w:rsidP="00AF5FFC">
      <w:pPr>
        <w:pStyle w:val="FootnoteText"/>
      </w:pPr>
      <w:r>
        <w:rPr>
          <w:rStyle w:val="FootnoteReference"/>
        </w:rPr>
        <w:footnoteRef/>
      </w:r>
      <w:r w:rsidR="00443402">
        <w:t xml:space="preserve"> </w:t>
      </w:r>
      <w:r>
        <w:t>O’Connell, Exh. No. ECO-5 (</w:t>
      </w:r>
      <w:r w:rsidRPr="003F58F9">
        <w:t xml:space="preserve">Pacific Power </w:t>
      </w:r>
      <w:r>
        <w:t>1</w:t>
      </w:r>
      <w:r w:rsidRPr="008E5594">
        <w:rPr>
          <w:vertAlign w:val="superscript"/>
        </w:rPr>
        <w:t>st</w:t>
      </w:r>
      <w:r>
        <w:t xml:space="preserve"> Supplemental R</w:t>
      </w:r>
      <w:r w:rsidRPr="003F58F9">
        <w:t>esponse to Staff Data Request 37</w:t>
      </w:r>
      <w:r>
        <w:t>).</w:t>
      </w:r>
    </w:p>
  </w:footnote>
  <w:footnote w:id="38">
    <w:p w14:paraId="496DF37D" w14:textId="77777777" w:rsidR="000E7F54" w:rsidRDefault="000E7F54" w:rsidP="00AF5FFC">
      <w:pPr>
        <w:pStyle w:val="FootnoteText"/>
      </w:pPr>
      <w:r>
        <w:rPr>
          <w:rStyle w:val="FootnoteReference"/>
        </w:rPr>
        <w:footnoteRef/>
      </w:r>
      <w:r>
        <w:t xml:space="preserve"> </w:t>
      </w:r>
      <w:r w:rsidRPr="007C0A75">
        <w:rPr>
          <w:i/>
        </w:rPr>
        <w:t>Id.</w:t>
      </w:r>
    </w:p>
  </w:footnote>
  <w:footnote w:id="39">
    <w:p w14:paraId="1A22F0DB" w14:textId="77777777" w:rsidR="000E7F54" w:rsidRDefault="000E7F54" w:rsidP="00AF5FFC">
      <w:pPr>
        <w:pStyle w:val="FootnoteText"/>
      </w:pPr>
      <w:r>
        <w:rPr>
          <w:rStyle w:val="FootnoteReference"/>
        </w:rPr>
        <w:footnoteRef/>
      </w:r>
      <w:r>
        <w:t xml:space="preserve"> </w:t>
      </w:r>
      <w:r w:rsidRPr="007C0A75">
        <w:rPr>
          <w:i/>
        </w:rPr>
        <w:t>Id.</w:t>
      </w:r>
    </w:p>
  </w:footnote>
  <w:footnote w:id="40">
    <w:p w14:paraId="497ED15B" w14:textId="77777777" w:rsidR="000E7F54" w:rsidRDefault="000E7F54" w:rsidP="00AF5FFC">
      <w:pPr>
        <w:pStyle w:val="FootnoteText"/>
      </w:pPr>
      <w:r>
        <w:rPr>
          <w:rStyle w:val="FootnoteReference"/>
        </w:rPr>
        <w:footnoteRef/>
      </w:r>
      <w:r>
        <w:t xml:space="preserve"> </w:t>
      </w:r>
      <w:r w:rsidRPr="007C0A75">
        <w:rPr>
          <w:i/>
        </w:rPr>
        <w:t>Id.</w:t>
      </w:r>
    </w:p>
  </w:footnote>
  <w:footnote w:id="41">
    <w:p w14:paraId="0C4D602E" w14:textId="43DCE24F" w:rsidR="000E7F54" w:rsidRDefault="000E7F54">
      <w:pPr>
        <w:pStyle w:val="FootnoteText"/>
      </w:pPr>
      <w:r>
        <w:rPr>
          <w:rStyle w:val="FootnoteReference"/>
        </w:rPr>
        <w:footnoteRef/>
      </w:r>
      <w:r>
        <w:t xml:space="preserve"> </w:t>
      </w:r>
      <w:r w:rsidRPr="00462D76">
        <w:t xml:space="preserve">Pacific Power </w:t>
      </w:r>
      <w:r>
        <w:t>response to Staff Data Request 50.</w:t>
      </w:r>
    </w:p>
  </w:footnote>
  <w:footnote w:id="42">
    <w:p w14:paraId="3B4FE007" w14:textId="73F5185E" w:rsidR="000E7F54" w:rsidRDefault="000E7F54">
      <w:pPr>
        <w:pStyle w:val="FootnoteText"/>
      </w:pPr>
      <w:r>
        <w:rPr>
          <w:rStyle w:val="FootnoteReference"/>
        </w:rPr>
        <w:footnoteRef/>
      </w:r>
      <w:r>
        <w:t xml:space="preserve"> </w:t>
      </w:r>
      <w:r w:rsidRPr="00CF0BE4">
        <w:rPr>
          <w:i/>
        </w:rPr>
        <w:t>See</w:t>
      </w:r>
      <w:r>
        <w:t xml:space="preserve"> Twi</w:t>
      </w:r>
      <w:r w:rsidR="00156918">
        <w:t>tchell, Exh. No. JBT-1T at 12:10-14</w:t>
      </w:r>
      <w:r w:rsidRPr="007427BF">
        <w:t>.</w:t>
      </w:r>
    </w:p>
  </w:footnote>
  <w:footnote w:id="43">
    <w:p w14:paraId="26189B5B" w14:textId="337A8053" w:rsidR="000E7F54" w:rsidRDefault="000E7F54">
      <w:pPr>
        <w:pStyle w:val="FootnoteText"/>
      </w:pPr>
      <w:r>
        <w:rPr>
          <w:rStyle w:val="FootnoteReference"/>
        </w:rPr>
        <w:footnoteRef/>
      </w:r>
      <w:r>
        <w:t xml:space="preserve"> O’Connell, </w:t>
      </w:r>
      <w:r w:rsidRPr="00233F76">
        <w:t>Exh</w:t>
      </w:r>
      <w:r>
        <w:t>.</w:t>
      </w:r>
      <w:r w:rsidRPr="00233F76">
        <w:t xml:space="preserve"> No</w:t>
      </w:r>
      <w:r>
        <w:t xml:space="preserve">. </w:t>
      </w:r>
      <w:r w:rsidRPr="00233F76">
        <w:t>ECO-</w:t>
      </w:r>
      <w:r>
        <w:t>4 (</w:t>
      </w:r>
      <w:r w:rsidRPr="00741CF1">
        <w:t xml:space="preserve">Pacific </w:t>
      </w:r>
      <w:r>
        <w:t>Power r</w:t>
      </w:r>
      <w:r w:rsidRPr="00741CF1">
        <w:t>esponse to Staff Data Request 47</w:t>
      </w:r>
      <w:r>
        <w:t>, Attachment WUTC 47).</w:t>
      </w:r>
    </w:p>
  </w:footnote>
  <w:footnote w:id="44">
    <w:p w14:paraId="52DA538B" w14:textId="0C554E5F" w:rsidR="000E7F54" w:rsidRDefault="000E7F54">
      <w:pPr>
        <w:pStyle w:val="FootnoteText"/>
      </w:pPr>
      <w:r>
        <w:rPr>
          <w:rStyle w:val="FootnoteReference"/>
        </w:rPr>
        <w:footnoteRef/>
      </w:r>
      <w:r>
        <w:t xml:space="preserve"> O’Connell, Exh. No. </w:t>
      </w:r>
      <w:r w:rsidRPr="0066587D">
        <w:t>ECO-3</w:t>
      </w:r>
      <w:r>
        <w:t xml:space="preserve"> (</w:t>
      </w:r>
      <w:r w:rsidRPr="0035701C">
        <w:t xml:space="preserve">Pacific Power </w:t>
      </w:r>
      <w:r>
        <w:t>response to Staff Data Request 47)</w:t>
      </w:r>
      <w:r w:rsidRPr="0066587D">
        <w:t>.</w:t>
      </w:r>
    </w:p>
  </w:footnote>
  <w:footnote w:id="45">
    <w:p w14:paraId="7A932D98" w14:textId="549C4080" w:rsidR="000E7F54" w:rsidRDefault="000E7F54" w:rsidP="00B10042">
      <w:pPr>
        <w:pStyle w:val="FootnoteText"/>
      </w:pPr>
      <w:r>
        <w:rPr>
          <w:rStyle w:val="FootnoteReference"/>
        </w:rPr>
        <w:footnoteRef/>
      </w:r>
      <w:r>
        <w:t xml:space="preserve"> Vail, Exh. No. RAV-1T at 2:20-21, 3:1-4</w:t>
      </w:r>
      <w:r w:rsidRPr="00EF19B2">
        <w:t>.</w:t>
      </w:r>
    </w:p>
  </w:footnote>
  <w:footnote w:id="46">
    <w:p w14:paraId="7B490BAA" w14:textId="09035523" w:rsidR="000E7F54" w:rsidRPr="001E3997" w:rsidRDefault="000E7F54" w:rsidP="00B10042">
      <w:pPr>
        <w:pStyle w:val="FootnoteText"/>
      </w:pPr>
      <w:r>
        <w:rPr>
          <w:rStyle w:val="FootnoteReference"/>
        </w:rPr>
        <w:footnoteRef/>
      </w:r>
      <w:r>
        <w:t xml:space="preserve"> </w:t>
      </w:r>
      <w:r w:rsidRPr="00CC4034">
        <w:rPr>
          <w:i/>
        </w:rPr>
        <w:t xml:space="preserve">Wash. Utils. &amp; Transp. Comm’n v. </w:t>
      </w:r>
      <w:r>
        <w:rPr>
          <w:i/>
        </w:rPr>
        <w:t>Pacific Power</w:t>
      </w:r>
      <w:r w:rsidRPr="00CC4034">
        <w:rPr>
          <w:i/>
        </w:rPr>
        <w:t xml:space="preserve"> &amp; Light Co.</w:t>
      </w:r>
      <w:r w:rsidRPr="00110108">
        <w:t xml:space="preserve">, </w:t>
      </w:r>
      <w:r w:rsidRPr="001E3997">
        <w:t>Docket UE-140762, Order 08</w:t>
      </w:r>
      <w:r>
        <w:t>,</w:t>
      </w:r>
      <w:r w:rsidRPr="001E3997">
        <w:t xml:space="preserve"> ¶ 172 (Mar</w:t>
      </w:r>
      <w:r>
        <w:t>.</w:t>
      </w:r>
      <w:r w:rsidRPr="001E3997">
        <w:t xml:space="preserve"> 25, 2015)</w:t>
      </w:r>
      <w:r>
        <w:t>.</w:t>
      </w:r>
      <w:r w:rsidRPr="001E3997">
        <w:rPr>
          <w:rFonts w:eastAsia="Calibri"/>
          <w:sz w:val="24"/>
          <w:szCs w:val="24"/>
        </w:rPr>
        <w:t xml:space="preserve"> </w:t>
      </w:r>
    </w:p>
  </w:footnote>
  <w:footnote w:id="47">
    <w:p w14:paraId="3C5164E1" w14:textId="46A90229" w:rsidR="000E7F54" w:rsidRDefault="000E7F54" w:rsidP="00B10042">
      <w:pPr>
        <w:pStyle w:val="FootnoteText"/>
      </w:pPr>
      <w:r>
        <w:rPr>
          <w:rStyle w:val="FootnoteReference"/>
        </w:rPr>
        <w:footnoteRef/>
      </w:r>
      <w:r>
        <w:t xml:space="preserve"> </w:t>
      </w:r>
      <w:r w:rsidRPr="00DB15E0">
        <w:rPr>
          <w:i/>
        </w:rPr>
        <w:t>See</w:t>
      </w:r>
      <w:r>
        <w:t xml:space="preserve"> RCW 80.04.250.</w:t>
      </w:r>
    </w:p>
  </w:footnote>
  <w:footnote w:id="48">
    <w:p w14:paraId="1997E9C7" w14:textId="27381348" w:rsidR="000E7F54" w:rsidRDefault="000E7F54" w:rsidP="00B10042">
      <w:pPr>
        <w:pStyle w:val="FootnoteText"/>
      </w:pPr>
      <w:r>
        <w:rPr>
          <w:rStyle w:val="FootnoteReference"/>
        </w:rPr>
        <w:footnoteRef/>
      </w:r>
      <w:r>
        <w:t xml:space="preserve"> </w:t>
      </w:r>
      <w:r w:rsidRPr="00CF0BE4">
        <w:t>O’Connell, Exh. No. ECO-9 (Pacific Power response to Staff Data Request 37, Investment Appraisal attachment).</w:t>
      </w:r>
    </w:p>
  </w:footnote>
  <w:footnote w:id="49">
    <w:p w14:paraId="73F02931" w14:textId="761822EE" w:rsidR="000E7F54" w:rsidRDefault="000E7F54" w:rsidP="00B10042">
      <w:pPr>
        <w:pStyle w:val="FootnoteText"/>
      </w:pPr>
      <w:r>
        <w:rPr>
          <w:rStyle w:val="FootnoteReference"/>
        </w:rPr>
        <w:footnoteRef/>
      </w:r>
      <w:r>
        <w:t xml:space="preserve"> </w:t>
      </w:r>
      <w:r w:rsidRPr="000C6D57">
        <w:t>Vail, Exh</w:t>
      </w:r>
      <w:r>
        <w:t>.</w:t>
      </w:r>
      <w:r w:rsidRPr="000C6D57">
        <w:t xml:space="preserve"> No.</w:t>
      </w:r>
      <w:r>
        <w:t xml:space="preserve"> </w:t>
      </w:r>
      <w:r w:rsidRPr="000C6D57">
        <w:t>RAV-1T</w:t>
      </w:r>
      <w:r>
        <w:t xml:space="preserve"> at 5:13-16</w:t>
      </w:r>
      <w:r w:rsidRPr="000C6D57">
        <w:t>.</w:t>
      </w:r>
    </w:p>
  </w:footnote>
  <w:footnote w:id="50">
    <w:p w14:paraId="5F693BF4" w14:textId="11D11C7A" w:rsidR="000E7F54" w:rsidRDefault="000E7F54" w:rsidP="00B10042">
      <w:pPr>
        <w:pStyle w:val="FootnoteText"/>
      </w:pPr>
      <w:r>
        <w:rPr>
          <w:rStyle w:val="FootnoteReference"/>
        </w:rPr>
        <w:footnoteRef/>
      </w:r>
      <w:r>
        <w:t xml:space="preserve"> </w:t>
      </w:r>
      <w:r w:rsidRPr="00F36D99">
        <w:rPr>
          <w:i/>
        </w:rPr>
        <w:t>Id</w:t>
      </w:r>
      <w:r>
        <w:t>. at 5:16-19</w:t>
      </w:r>
      <w:r w:rsidRPr="000C6D57">
        <w:t>.</w:t>
      </w:r>
      <w:r>
        <w:t xml:space="preserve"> </w:t>
      </w:r>
    </w:p>
  </w:footnote>
  <w:footnote w:id="51">
    <w:p w14:paraId="632DE2EB" w14:textId="37873BEE" w:rsidR="000E7F54" w:rsidRDefault="000E7F54" w:rsidP="00B10042">
      <w:pPr>
        <w:pStyle w:val="FootnoteText"/>
      </w:pPr>
      <w:r>
        <w:rPr>
          <w:rStyle w:val="FootnoteReference"/>
        </w:rPr>
        <w:footnoteRef/>
      </w:r>
      <w:r>
        <w:t xml:space="preserve"> </w:t>
      </w:r>
      <w:r w:rsidRPr="00CF0BE4">
        <w:t xml:space="preserve">O’Connell, </w:t>
      </w:r>
      <w:r>
        <w:t>Exh. No. ECO-9 (Pacific Power response to Staff Data Request 37, Investment Appraisal attachment).</w:t>
      </w:r>
    </w:p>
  </w:footnote>
  <w:footnote w:id="52">
    <w:p w14:paraId="7267450F" w14:textId="5AA8B3F6" w:rsidR="000E7F54" w:rsidRDefault="000E7F54" w:rsidP="00B10042">
      <w:pPr>
        <w:pStyle w:val="FootnoteText"/>
      </w:pPr>
      <w:r>
        <w:rPr>
          <w:rStyle w:val="FootnoteReference"/>
        </w:rPr>
        <w:footnoteRef/>
      </w:r>
      <w:r>
        <w:t xml:space="preserve"> O’Connell, Exh. No. ECO-8 (</w:t>
      </w:r>
      <w:r w:rsidRPr="00B423EC">
        <w:t>Pacific Power response to Staff Data Request</w:t>
      </w:r>
      <w:r>
        <w:t xml:space="preserve"> 158, Attachment at p. 13)</w:t>
      </w:r>
      <w:r w:rsidRPr="00B423EC">
        <w:t>.</w:t>
      </w:r>
    </w:p>
  </w:footnote>
  <w:footnote w:id="53">
    <w:p w14:paraId="739D31A5" w14:textId="5853A6D0" w:rsidR="000E7F54" w:rsidRPr="00C2512D" w:rsidRDefault="000E7F54">
      <w:pPr>
        <w:pStyle w:val="FootnoteText"/>
      </w:pPr>
      <w:r>
        <w:rPr>
          <w:rStyle w:val="FootnoteReference"/>
        </w:rPr>
        <w:footnoteRef/>
      </w:r>
      <w:r>
        <w:t xml:space="preserve"> </w:t>
      </w:r>
      <w:r w:rsidRPr="00CD2358">
        <w:rPr>
          <w:i/>
        </w:rPr>
        <w:t>Id.</w:t>
      </w:r>
      <w:r>
        <w:rPr>
          <w:i/>
        </w:rPr>
        <w:t xml:space="preserve"> </w:t>
      </w:r>
    </w:p>
  </w:footnote>
  <w:footnote w:id="54">
    <w:p w14:paraId="1CE9F25A" w14:textId="46609AC7" w:rsidR="000E7F54" w:rsidRDefault="000E7F54">
      <w:pPr>
        <w:pStyle w:val="FootnoteText"/>
      </w:pPr>
      <w:r>
        <w:rPr>
          <w:rStyle w:val="FootnoteReference"/>
        </w:rPr>
        <w:footnoteRef/>
      </w:r>
      <w:r>
        <w:t xml:space="preserve"> O’Connell, Exh. No. ECO-5 (</w:t>
      </w:r>
      <w:r w:rsidRPr="00FC0549">
        <w:t xml:space="preserve">Pacific Power </w:t>
      </w:r>
      <w:r>
        <w:t>1</w:t>
      </w:r>
      <w:r w:rsidRPr="008D7649">
        <w:rPr>
          <w:vertAlign w:val="superscript"/>
        </w:rPr>
        <w:t>st</w:t>
      </w:r>
      <w:r>
        <w:t xml:space="preserve"> Supplemental R</w:t>
      </w:r>
      <w:r w:rsidRPr="00FC0549">
        <w:t>esponse to Staff Data Request 37</w:t>
      </w:r>
      <w:r>
        <w:t>).</w:t>
      </w:r>
    </w:p>
  </w:footnote>
  <w:footnote w:id="55">
    <w:p w14:paraId="22975106" w14:textId="4A5541F0" w:rsidR="000E7F54" w:rsidRDefault="000E7F54">
      <w:pPr>
        <w:pStyle w:val="FootnoteText"/>
      </w:pPr>
      <w:r>
        <w:rPr>
          <w:rStyle w:val="FootnoteReference"/>
        </w:rPr>
        <w:footnoteRef/>
      </w:r>
      <w:r>
        <w:t xml:space="preserve"> </w:t>
      </w:r>
      <w:r w:rsidRPr="007C0A75">
        <w:rPr>
          <w:i/>
        </w:rPr>
        <w:t>Id.</w:t>
      </w:r>
    </w:p>
  </w:footnote>
  <w:footnote w:id="56">
    <w:p w14:paraId="3701AA5E" w14:textId="77C985DD" w:rsidR="000E7F54" w:rsidRDefault="000E7F54">
      <w:pPr>
        <w:pStyle w:val="FootnoteText"/>
      </w:pPr>
      <w:r>
        <w:rPr>
          <w:rStyle w:val="FootnoteReference"/>
        </w:rPr>
        <w:footnoteRef/>
      </w:r>
      <w:r w:rsidR="00955004">
        <w:rPr>
          <w:i/>
        </w:rPr>
        <w:t xml:space="preserve"> Id</w:t>
      </w:r>
      <w:r w:rsidR="00955004">
        <w:t>.</w:t>
      </w:r>
    </w:p>
  </w:footnote>
  <w:footnote w:id="57">
    <w:p w14:paraId="0557A973" w14:textId="5888EF0E" w:rsidR="000E7F54" w:rsidRDefault="000E7F54">
      <w:pPr>
        <w:pStyle w:val="FootnoteText"/>
      </w:pPr>
      <w:r>
        <w:rPr>
          <w:rStyle w:val="FootnoteReference"/>
        </w:rPr>
        <w:footnoteRef/>
      </w:r>
      <w:r>
        <w:t xml:space="preserve"> </w:t>
      </w:r>
      <w:r w:rsidRPr="00C74698">
        <w:rPr>
          <w:i/>
        </w:rPr>
        <w:t>Id.</w:t>
      </w:r>
    </w:p>
  </w:footnote>
  <w:footnote w:id="58">
    <w:p w14:paraId="137A1B3E" w14:textId="06693D89" w:rsidR="000E7F54" w:rsidRDefault="000E7F54">
      <w:pPr>
        <w:pStyle w:val="FootnoteText"/>
      </w:pPr>
      <w:r>
        <w:rPr>
          <w:rStyle w:val="FootnoteReference"/>
        </w:rPr>
        <w:footnoteRef/>
      </w:r>
      <w:r>
        <w:t xml:space="preserve"> </w:t>
      </w:r>
      <w:r w:rsidRPr="00330B88">
        <w:rPr>
          <w:i/>
        </w:rPr>
        <w:t>Id.</w:t>
      </w:r>
    </w:p>
  </w:footnote>
  <w:footnote w:id="59">
    <w:p w14:paraId="6A876F13" w14:textId="5C25ADC2" w:rsidR="000E7F54" w:rsidRDefault="000E7F54">
      <w:pPr>
        <w:pStyle w:val="FootnoteText"/>
      </w:pPr>
      <w:r>
        <w:rPr>
          <w:rStyle w:val="FootnoteReference"/>
        </w:rPr>
        <w:footnoteRef/>
      </w:r>
      <w:r>
        <w:t xml:space="preserve"> </w:t>
      </w:r>
      <w:r w:rsidRPr="00DA457D">
        <w:rPr>
          <w:i/>
        </w:rPr>
        <w:t>Id.</w:t>
      </w:r>
    </w:p>
  </w:footnote>
  <w:footnote w:id="60">
    <w:p w14:paraId="7ED13BAB" w14:textId="2660F1C7" w:rsidR="000E7F54" w:rsidRDefault="000E7F54" w:rsidP="00B10042">
      <w:pPr>
        <w:pStyle w:val="FootnoteText"/>
      </w:pPr>
      <w:r>
        <w:rPr>
          <w:rStyle w:val="FootnoteReference"/>
        </w:rPr>
        <w:footnoteRef/>
      </w:r>
      <w:r>
        <w:t xml:space="preserve"> Pacific Power Response to Staff Data Request 37.</w:t>
      </w:r>
    </w:p>
  </w:footnote>
  <w:footnote w:id="61">
    <w:p w14:paraId="3BEB0CA0" w14:textId="04C22A43" w:rsidR="000E7F54" w:rsidRDefault="000E7F54" w:rsidP="00B10042">
      <w:pPr>
        <w:pStyle w:val="FootnoteText"/>
      </w:pPr>
      <w:r>
        <w:rPr>
          <w:rStyle w:val="FootnoteReference"/>
        </w:rPr>
        <w:footnoteRef/>
      </w:r>
      <w:r>
        <w:t xml:space="preserve"> Pacific Power</w:t>
      </w:r>
      <w:r w:rsidRPr="00682653">
        <w:t xml:space="preserve"> </w:t>
      </w:r>
      <w:r>
        <w:t>R</w:t>
      </w:r>
      <w:r w:rsidRPr="00682653">
        <w:t>esponse</w:t>
      </w:r>
      <w:r>
        <w:t>s</w:t>
      </w:r>
      <w:r w:rsidRPr="00682653">
        <w:t xml:space="preserve"> to Staff Data Request</w:t>
      </w:r>
      <w:r>
        <w:t>s</w:t>
      </w:r>
      <w:r w:rsidRPr="00682653">
        <w:t xml:space="preserve"> 37</w:t>
      </w:r>
      <w:r>
        <w:t>-1 and 37-2, confidential attachment.</w:t>
      </w:r>
    </w:p>
  </w:footnote>
  <w:footnote w:id="62">
    <w:p w14:paraId="4350398E" w14:textId="09F67ECC" w:rsidR="000E7F54" w:rsidRDefault="000E7F54" w:rsidP="00B10042">
      <w:pPr>
        <w:pStyle w:val="FootnoteText"/>
      </w:pPr>
      <w:r>
        <w:rPr>
          <w:rStyle w:val="FootnoteReference"/>
        </w:rPr>
        <w:footnoteRef/>
      </w:r>
      <w:r>
        <w:t xml:space="preserve"> Pacific Power</w:t>
      </w:r>
      <w:r w:rsidRPr="004E447E">
        <w:t xml:space="preserve"> r</w:t>
      </w:r>
      <w:r>
        <w:t>esponse to Staff Data Request 34.</w:t>
      </w:r>
    </w:p>
  </w:footnote>
  <w:footnote w:id="63">
    <w:p w14:paraId="264912FF" w14:textId="6C6B7C1E" w:rsidR="000E7F54" w:rsidRDefault="000E7F54">
      <w:pPr>
        <w:pStyle w:val="FootnoteText"/>
      </w:pPr>
      <w:r>
        <w:rPr>
          <w:rStyle w:val="FootnoteReference"/>
        </w:rPr>
        <w:footnoteRef/>
      </w:r>
      <w:r>
        <w:t xml:space="preserve"> </w:t>
      </w:r>
      <w:r w:rsidRPr="00BC4517">
        <w:rPr>
          <w:i/>
        </w:rPr>
        <w:t>Id.</w:t>
      </w:r>
    </w:p>
  </w:footnote>
  <w:footnote w:id="64">
    <w:p w14:paraId="1044B520" w14:textId="6B2AFAD8" w:rsidR="000E7F54" w:rsidRDefault="000E7F54">
      <w:pPr>
        <w:pStyle w:val="FootnoteText"/>
      </w:pPr>
      <w:r>
        <w:rPr>
          <w:rStyle w:val="FootnoteReference"/>
        </w:rPr>
        <w:footnoteRef/>
      </w:r>
      <w:r>
        <w:t xml:space="preserve"> </w:t>
      </w:r>
      <w:r w:rsidRPr="00BC4517">
        <w:rPr>
          <w:i/>
        </w:rPr>
        <w:t>Id</w:t>
      </w:r>
      <w:r>
        <w:rPr>
          <w:i/>
        </w:rPr>
        <w:t>.</w:t>
      </w:r>
    </w:p>
  </w:footnote>
  <w:footnote w:id="65">
    <w:p w14:paraId="51CFF206" w14:textId="66CB4C7C" w:rsidR="000E7F54" w:rsidRDefault="000E7F54" w:rsidP="003C05F1">
      <w:pPr>
        <w:pStyle w:val="FootnoteText"/>
      </w:pPr>
      <w:r>
        <w:rPr>
          <w:rStyle w:val="FootnoteReference"/>
        </w:rPr>
        <w:footnoteRef/>
      </w:r>
      <w:r>
        <w:t xml:space="preserve"> </w:t>
      </w:r>
      <w:r w:rsidRPr="00C46925">
        <w:rPr>
          <w:i/>
        </w:rPr>
        <w:t>See</w:t>
      </w:r>
      <w:r>
        <w:t xml:space="preserve"> WAC 480-140-040</w:t>
      </w:r>
      <w:r w:rsidRPr="00965625">
        <w:t>.</w:t>
      </w:r>
    </w:p>
  </w:footnote>
  <w:footnote w:id="66">
    <w:p w14:paraId="74E0998C" w14:textId="793C83C3" w:rsidR="000E7F54" w:rsidRPr="004A1921" w:rsidRDefault="000E7F54" w:rsidP="00D7248A">
      <w:pPr>
        <w:pStyle w:val="FootnoteText"/>
      </w:pPr>
      <w:r w:rsidRPr="004A1921">
        <w:rPr>
          <w:rStyle w:val="FootnoteReference"/>
        </w:rPr>
        <w:footnoteRef/>
      </w:r>
      <w:r w:rsidRPr="004A1921">
        <w:t xml:space="preserve"> </w:t>
      </w:r>
      <w:r w:rsidR="00704363">
        <w:t>Avista 2015 GRC Order at</w:t>
      </w:r>
      <w:r w:rsidRPr="000C6071">
        <w:t xml:space="preserve"> ¶</w:t>
      </w:r>
      <w:r>
        <w:t xml:space="preserve"> </w:t>
      </w:r>
      <w:r w:rsidRPr="000C6071">
        <w:t>40.</w:t>
      </w:r>
    </w:p>
  </w:footnote>
  <w:footnote w:id="67">
    <w:p w14:paraId="24648217" w14:textId="4E8112C2" w:rsidR="000E7F54" w:rsidRDefault="000E7F54">
      <w:pPr>
        <w:pStyle w:val="FootnoteText"/>
      </w:pPr>
      <w:r>
        <w:rPr>
          <w:rStyle w:val="FootnoteReference"/>
        </w:rPr>
        <w:footnoteRef/>
      </w:r>
      <w:r>
        <w:t xml:space="preserve"> </w:t>
      </w:r>
      <w:r w:rsidRPr="00C9432B">
        <w:t xml:space="preserve">Kelly, Exh. No. SJK-1T at </w:t>
      </w:r>
      <w:r>
        <w:t>2:12-14</w:t>
      </w:r>
      <w:r w:rsidRPr="00C9432B">
        <w:t>.</w:t>
      </w:r>
    </w:p>
  </w:footnote>
  <w:footnote w:id="68">
    <w:p w14:paraId="45D1D608" w14:textId="2450F008" w:rsidR="000E7F54" w:rsidRDefault="000E7F54" w:rsidP="0011461D">
      <w:pPr>
        <w:pStyle w:val="FootnoteText"/>
      </w:pPr>
      <w:r>
        <w:rPr>
          <w:rStyle w:val="FootnoteReference"/>
        </w:rPr>
        <w:footnoteRef/>
      </w:r>
      <w:r>
        <w:t xml:space="preserve"> </w:t>
      </w:r>
      <w:r w:rsidRPr="00CA0D20">
        <w:rPr>
          <w:i/>
        </w:rPr>
        <w:t>Wash. Utils</w:t>
      </w:r>
      <w:r w:rsidR="00822C7E">
        <w:rPr>
          <w:i/>
        </w:rPr>
        <w:t>.</w:t>
      </w:r>
      <w:r w:rsidRPr="00CA0D20">
        <w:rPr>
          <w:i/>
        </w:rPr>
        <w:t xml:space="preserve"> &amp; Tran</w:t>
      </w:r>
      <w:r w:rsidR="00704363">
        <w:rPr>
          <w:i/>
        </w:rPr>
        <w:t>sp. Comm’n v. Avista Corp.</w:t>
      </w:r>
      <w:r w:rsidRPr="00CA0D20">
        <w:rPr>
          <w:i/>
        </w:rPr>
        <w:t>,</w:t>
      </w:r>
      <w:r w:rsidRPr="003A3C17">
        <w:t xml:space="preserve"> Docket UE-090134, Order 10</w:t>
      </w:r>
      <w:r w:rsidR="00704363">
        <w:t xml:space="preserve"> at</w:t>
      </w:r>
      <w:r w:rsidRPr="003A3C17">
        <w:t xml:space="preserve"> ¶</w:t>
      </w:r>
      <w:r>
        <w:t xml:space="preserve"> </w:t>
      </w:r>
      <w:r w:rsidRPr="003A3C17">
        <w:t>4</w:t>
      </w:r>
      <w:r>
        <w:t>8</w:t>
      </w:r>
      <w:r w:rsidR="00704363">
        <w:t>.</w:t>
      </w:r>
    </w:p>
  </w:footnote>
  <w:footnote w:id="69">
    <w:p w14:paraId="1E0CD52A" w14:textId="77777777" w:rsidR="000E7F54" w:rsidRDefault="000E7F54" w:rsidP="0011461D">
      <w:pPr>
        <w:pStyle w:val="FootnoteText"/>
      </w:pPr>
      <w:r>
        <w:rPr>
          <w:rStyle w:val="FootnoteReference"/>
        </w:rPr>
        <w:footnoteRef/>
      </w:r>
      <w:r>
        <w:t xml:space="preserve"> </w:t>
      </w:r>
      <w:r w:rsidRPr="00AD60B5">
        <w:rPr>
          <w:i/>
        </w:rPr>
        <w:t>Id.</w:t>
      </w:r>
    </w:p>
  </w:footnote>
  <w:footnote w:id="70">
    <w:p w14:paraId="0BD286A2" w14:textId="0D8D902D" w:rsidR="000E7F54" w:rsidRDefault="000E7F54" w:rsidP="00932610">
      <w:pPr>
        <w:pStyle w:val="FootnoteText"/>
      </w:pPr>
      <w:r>
        <w:rPr>
          <w:rStyle w:val="FootnoteReference"/>
        </w:rPr>
        <w:footnoteRef/>
      </w:r>
      <w:r>
        <w:t xml:space="preserve"> O’Connell, Exh. No. ECO-6 (</w:t>
      </w:r>
      <w:r w:rsidRPr="00531D00">
        <w:t>Pacific Power Response to Staff Data Request</w:t>
      </w:r>
      <w:r>
        <w:t xml:space="preserve"> </w:t>
      </w:r>
      <w:r w:rsidRPr="00531D00">
        <w:t>69</w:t>
      </w:r>
      <w:r>
        <w:t>).</w:t>
      </w:r>
    </w:p>
  </w:footnote>
  <w:footnote w:id="71">
    <w:p w14:paraId="2683BB83" w14:textId="1F35348E" w:rsidR="000E7F54" w:rsidRDefault="000E7F54" w:rsidP="00932610">
      <w:pPr>
        <w:pStyle w:val="FootnoteText"/>
      </w:pPr>
      <w:r>
        <w:rPr>
          <w:rStyle w:val="FootnoteReference"/>
        </w:rPr>
        <w:footnoteRef/>
      </w:r>
      <w:r>
        <w:t xml:space="preserve"> </w:t>
      </w:r>
      <w:r w:rsidRPr="008878B8">
        <w:rPr>
          <w:i/>
        </w:rPr>
        <w:t>Wash. Utils. &amp; Transp. Comm’n</w:t>
      </w:r>
      <w:r w:rsidRPr="008878B8">
        <w:t xml:space="preserve"> </w:t>
      </w:r>
      <w:r w:rsidRPr="008D7649">
        <w:rPr>
          <w:i/>
        </w:rPr>
        <w:t>v. P</w:t>
      </w:r>
      <w:r w:rsidRPr="008878B8">
        <w:rPr>
          <w:i/>
        </w:rPr>
        <w:t>acific Power</w:t>
      </w:r>
      <w:r w:rsidRPr="008D7649">
        <w:t xml:space="preserve">, </w:t>
      </w:r>
      <w:r w:rsidRPr="008878B8">
        <w:t>Docket UE-031658, Order 01 (</w:t>
      </w:r>
      <w:r w:rsidR="003B1565" w:rsidRPr="008878B8">
        <w:t>Apr</w:t>
      </w:r>
      <w:r w:rsidR="00822C7E">
        <w:t>.</w:t>
      </w:r>
      <w:r w:rsidRPr="008878B8">
        <w:t xml:space="preserve"> 27, 2005).</w:t>
      </w:r>
    </w:p>
  </w:footnote>
  <w:footnote w:id="72">
    <w:p w14:paraId="3BE4B057" w14:textId="0CC1E633" w:rsidR="000E7F54" w:rsidRDefault="000E7F54">
      <w:pPr>
        <w:pStyle w:val="FootnoteText"/>
      </w:pPr>
      <w:r>
        <w:rPr>
          <w:rStyle w:val="FootnoteReference"/>
        </w:rPr>
        <w:footnoteRef/>
      </w:r>
      <w:r>
        <w:t xml:space="preserve"> O’Connell, </w:t>
      </w:r>
      <w:r w:rsidRPr="00531D00">
        <w:t>Exh</w:t>
      </w:r>
      <w:r>
        <w:t>.</w:t>
      </w:r>
      <w:r w:rsidRPr="00531D00">
        <w:t xml:space="preserve"> No</w:t>
      </w:r>
      <w:r>
        <w:t xml:space="preserve">. </w:t>
      </w:r>
      <w:r w:rsidRPr="00531D00">
        <w:t>ECO-</w:t>
      </w:r>
      <w:r>
        <w:t>6 (</w:t>
      </w:r>
      <w:r w:rsidRPr="00531D00">
        <w:t>Pacific Power Response to Staff Data</w:t>
      </w:r>
      <w:r>
        <w:t xml:space="preserve"> Request 69).</w:t>
      </w:r>
    </w:p>
  </w:footnote>
  <w:footnote w:id="73">
    <w:p w14:paraId="4106D60C" w14:textId="7CA59E13" w:rsidR="000E7F54" w:rsidRPr="004A1921" w:rsidRDefault="000E7F54" w:rsidP="00C10B45">
      <w:pPr>
        <w:pStyle w:val="FootnoteText"/>
      </w:pPr>
      <w:r w:rsidRPr="004A1921">
        <w:rPr>
          <w:rStyle w:val="FootnoteReference"/>
        </w:rPr>
        <w:footnoteRef/>
      </w:r>
      <w:r w:rsidRPr="004A1921">
        <w:t xml:space="preserve"> </w:t>
      </w:r>
      <w:r w:rsidRPr="008878B8">
        <w:rPr>
          <w:i/>
        </w:rPr>
        <w:t>Wash. Utils. &amp; Transp. Comm’n</w:t>
      </w:r>
      <w:r w:rsidRPr="008D7649">
        <w:rPr>
          <w:i/>
        </w:rPr>
        <w:t xml:space="preserve"> v. </w:t>
      </w:r>
      <w:r w:rsidRPr="008878B8">
        <w:rPr>
          <w:i/>
        </w:rPr>
        <w:t>Pacific Power</w:t>
      </w:r>
      <w:r w:rsidRPr="008D7649">
        <w:t xml:space="preserve">, </w:t>
      </w:r>
      <w:r w:rsidRPr="008878B8">
        <w:t>Docket UE-031658, Order 01</w:t>
      </w:r>
      <w:r w:rsidR="00822C7E">
        <w:t xml:space="preserve"> </w:t>
      </w:r>
      <w:r>
        <w:t>¶ 19</w:t>
      </w:r>
      <w:r w:rsidRPr="008878B8">
        <w:t xml:space="preserve"> (</w:t>
      </w:r>
      <w:r w:rsidR="003B1565" w:rsidRPr="008878B8">
        <w:t>Apr</w:t>
      </w:r>
      <w:r w:rsidR="00822C7E">
        <w:t>.</w:t>
      </w:r>
      <w:r w:rsidRPr="008878B8">
        <w:t xml:space="preserve"> 27, 2005).</w:t>
      </w:r>
    </w:p>
  </w:footnote>
  <w:footnote w:id="74">
    <w:p w14:paraId="1B77BE31" w14:textId="58122F09" w:rsidR="000E7F54" w:rsidRDefault="000E7F54">
      <w:pPr>
        <w:pStyle w:val="FootnoteText"/>
      </w:pPr>
      <w:r>
        <w:rPr>
          <w:rStyle w:val="FootnoteReference"/>
        </w:rPr>
        <w:footnoteRef/>
      </w:r>
      <w:r>
        <w:t xml:space="preserve"> </w:t>
      </w:r>
      <w:r w:rsidRPr="00A34AF2">
        <w:t>O’Connell, Exh. No. ECO-</w:t>
      </w:r>
      <w:r>
        <w:t>7</w:t>
      </w:r>
      <w:r w:rsidRPr="00A34AF2">
        <w:t xml:space="preserve"> (</w:t>
      </w:r>
      <w:r w:rsidR="00A71611">
        <w:t xml:space="preserve">Based on </w:t>
      </w:r>
      <w:r w:rsidRPr="00A34AF2">
        <w:t>Pacific Power Response to Staff Data</w:t>
      </w:r>
      <w:r>
        <w:t xml:space="preserve"> Request 155</w:t>
      </w:r>
      <w:r w:rsidRPr="00A34AF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669D" w14:textId="77777777" w:rsidR="000E7F54" w:rsidRDefault="000E7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7CB3"/>
    <w:multiLevelType w:val="hybridMultilevel"/>
    <w:tmpl w:val="4746A3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057ED4"/>
    <w:multiLevelType w:val="hybridMultilevel"/>
    <w:tmpl w:val="2C8C765E"/>
    <w:lvl w:ilvl="0" w:tplc="6CE4F678">
      <w:start w:val="1"/>
      <w:numFmt w:val="upperRoman"/>
      <w:pStyle w:val="Heading1"/>
      <w:lvlText w:val="%1."/>
      <w:lvlJc w:val="left"/>
      <w:pPr>
        <w:ind w:left="207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abstractNum w:abstractNumId="2">
    <w:nsid w:val="2550306B"/>
    <w:multiLevelType w:val="hybridMultilevel"/>
    <w:tmpl w:val="62E2EC30"/>
    <w:lvl w:ilvl="0" w:tplc="80247B0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62063D9"/>
    <w:multiLevelType w:val="hybridMultilevel"/>
    <w:tmpl w:val="E75E9D10"/>
    <w:lvl w:ilvl="0" w:tplc="FB7457F0">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0075F5"/>
    <w:multiLevelType w:val="hybridMultilevel"/>
    <w:tmpl w:val="7C949F9E"/>
    <w:lvl w:ilvl="0" w:tplc="428C5D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8C553B4"/>
    <w:multiLevelType w:val="hybridMultilevel"/>
    <w:tmpl w:val="A7AACF1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31844975"/>
    <w:multiLevelType w:val="hybridMultilevel"/>
    <w:tmpl w:val="E75E9D10"/>
    <w:lvl w:ilvl="0" w:tplc="FB7457F0">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9622E9E"/>
    <w:multiLevelType w:val="hybridMultilevel"/>
    <w:tmpl w:val="9228AC1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4F15EF"/>
    <w:multiLevelType w:val="hybridMultilevel"/>
    <w:tmpl w:val="B73C2FA0"/>
    <w:lvl w:ilvl="0" w:tplc="C3B2235C">
      <w:start w:val="1"/>
      <w:numFmt w:val="upperLetter"/>
      <w:pStyle w:val="Heading2"/>
      <w:lvlText w:val="%1."/>
      <w:lvlJc w:val="left"/>
      <w:pPr>
        <w:ind w:left="1800" w:hanging="360"/>
      </w:pPr>
      <w:rPr>
        <w:rFonts w:ascii="Times New Roman" w:hAnsi="Times New Roman" w:cs="Times New Roman" w:hint="default"/>
        <w:strike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F6640C"/>
    <w:multiLevelType w:val="hybridMultilevel"/>
    <w:tmpl w:val="E54E9D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1F558B2"/>
    <w:multiLevelType w:val="hybridMultilevel"/>
    <w:tmpl w:val="F04E9DC8"/>
    <w:lvl w:ilvl="0" w:tplc="63D8AD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263574A"/>
    <w:multiLevelType w:val="hybridMultilevel"/>
    <w:tmpl w:val="A0E61F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E2E5A02"/>
    <w:multiLevelType w:val="hybridMultilevel"/>
    <w:tmpl w:val="D632D8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593F4A"/>
    <w:multiLevelType w:val="hybridMultilevel"/>
    <w:tmpl w:val="E75E9D10"/>
    <w:lvl w:ilvl="0" w:tplc="FB7457F0">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
  </w:num>
  <w:num w:numId="3">
    <w:abstractNumId w:val="8"/>
  </w:num>
  <w:num w:numId="4">
    <w:abstractNumId w:val="8"/>
  </w:num>
  <w:num w:numId="5">
    <w:abstractNumId w:val="8"/>
    <w:lvlOverride w:ilvl="0">
      <w:startOverride w:val="1"/>
    </w:lvlOverride>
  </w:num>
  <w:num w:numId="6">
    <w:abstractNumId w:val="5"/>
  </w:num>
  <w:num w:numId="7">
    <w:abstractNumId w:val="0"/>
  </w:num>
  <w:num w:numId="8">
    <w:abstractNumId w:val="11"/>
  </w:num>
  <w:num w:numId="9">
    <w:abstractNumId w:val="7"/>
  </w:num>
  <w:num w:numId="10">
    <w:abstractNumId w:val="3"/>
  </w:num>
  <w:num w:numId="11">
    <w:abstractNumId w:val="8"/>
    <w:lvlOverride w:ilvl="0">
      <w:startOverride w:val="1"/>
    </w:lvlOverride>
  </w:num>
  <w:num w:numId="12">
    <w:abstractNumId w:val="8"/>
  </w:num>
  <w:num w:numId="13">
    <w:abstractNumId w:val="8"/>
  </w:num>
  <w:num w:numId="14">
    <w:abstractNumId w:val="8"/>
  </w:num>
  <w:num w:numId="15">
    <w:abstractNumId w:val="8"/>
  </w:num>
  <w:num w:numId="16">
    <w:abstractNumId w:val="8"/>
    <w:lvlOverride w:ilvl="0">
      <w:startOverride w:val="1"/>
    </w:lvlOverride>
  </w:num>
  <w:num w:numId="17">
    <w:abstractNumId w:val="12"/>
  </w:num>
  <w:num w:numId="18">
    <w:abstractNumId w:val="8"/>
  </w:num>
  <w:num w:numId="19">
    <w:abstractNumId w:val="9"/>
  </w:num>
  <w:num w:numId="20">
    <w:abstractNumId w:val="6"/>
  </w:num>
  <w:num w:numId="21">
    <w:abstractNumId w:val="14"/>
  </w:num>
  <w:num w:numId="22">
    <w:abstractNumId w:val="1"/>
  </w:num>
  <w:num w:numId="23">
    <w:abstractNumId w:val="8"/>
  </w:num>
  <w:num w:numId="24">
    <w:abstractNumId w:val="8"/>
  </w:num>
  <w:num w:numId="25">
    <w:abstractNumId w:val="8"/>
  </w:num>
  <w:num w:numId="26">
    <w:abstractNumId w:val="8"/>
  </w:num>
  <w:num w:numId="27">
    <w:abstractNumId w:val="1"/>
    <w:lvlOverride w:ilvl="0">
      <w:startOverride w:val="1"/>
    </w:lvlOverride>
  </w:num>
  <w:num w:numId="28">
    <w:abstractNumId w:val="1"/>
  </w:num>
  <w:num w:numId="29">
    <w:abstractNumId w:val="1"/>
    <w:lvlOverride w:ilvl="0">
      <w:startOverride w:val="1"/>
    </w:lvlOverride>
  </w:num>
  <w:num w:numId="30">
    <w:abstractNumId w:val="1"/>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
  </w:num>
  <w:num w:numId="38">
    <w:abstractNumId w:val="4"/>
  </w:num>
  <w:num w:numId="39">
    <w:abstractNumId w:val="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26F5"/>
    <w:rsid w:val="00002F7E"/>
    <w:rsid w:val="00003DB3"/>
    <w:rsid w:val="0000565A"/>
    <w:rsid w:val="0000622A"/>
    <w:rsid w:val="00007276"/>
    <w:rsid w:val="000108FA"/>
    <w:rsid w:val="00011DA1"/>
    <w:rsid w:val="000140FC"/>
    <w:rsid w:val="00015E3A"/>
    <w:rsid w:val="00020405"/>
    <w:rsid w:val="00021CE4"/>
    <w:rsid w:val="000255CC"/>
    <w:rsid w:val="0002689F"/>
    <w:rsid w:val="00032303"/>
    <w:rsid w:val="00034B8C"/>
    <w:rsid w:val="0003685B"/>
    <w:rsid w:val="00037AD0"/>
    <w:rsid w:val="00040DC4"/>
    <w:rsid w:val="0004107C"/>
    <w:rsid w:val="00044187"/>
    <w:rsid w:val="0004561E"/>
    <w:rsid w:val="000460E2"/>
    <w:rsid w:val="000476A9"/>
    <w:rsid w:val="00051DAF"/>
    <w:rsid w:val="000520D0"/>
    <w:rsid w:val="00057D31"/>
    <w:rsid w:val="00066204"/>
    <w:rsid w:val="00067343"/>
    <w:rsid w:val="00067B92"/>
    <w:rsid w:val="000701E2"/>
    <w:rsid w:val="000716B9"/>
    <w:rsid w:val="00075D3C"/>
    <w:rsid w:val="0007797B"/>
    <w:rsid w:val="00080FE8"/>
    <w:rsid w:val="00081441"/>
    <w:rsid w:val="000828CD"/>
    <w:rsid w:val="000872E6"/>
    <w:rsid w:val="00090F5A"/>
    <w:rsid w:val="00091141"/>
    <w:rsid w:val="000920B0"/>
    <w:rsid w:val="0009608D"/>
    <w:rsid w:val="00096978"/>
    <w:rsid w:val="000A0ED2"/>
    <w:rsid w:val="000A4F1D"/>
    <w:rsid w:val="000A532D"/>
    <w:rsid w:val="000A599E"/>
    <w:rsid w:val="000B0810"/>
    <w:rsid w:val="000B0F51"/>
    <w:rsid w:val="000B1468"/>
    <w:rsid w:val="000B555E"/>
    <w:rsid w:val="000C1118"/>
    <w:rsid w:val="000C1347"/>
    <w:rsid w:val="000C26D7"/>
    <w:rsid w:val="000C2D43"/>
    <w:rsid w:val="000C4CBC"/>
    <w:rsid w:val="000C558A"/>
    <w:rsid w:val="000C6071"/>
    <w:rsid w:val="000C659F"/>
    <w:rsid w:val="000D2534"/>
    <w:rsid w:val="000D2A9A"/>
    <w:rsid w:val="000D4FEE"/>
    <w:rsid w:val="000D5061"/>
    <w:rsid w:val="000E35A4"/>
    <w:rsid w:val="000E3F56"/>
    <w:rsid w:val="000E730E"/>
    <w:rsid w:val="000E7919"/>
    <w:rsid w:val="000E7F54"/>
    <w:rsid w:val="000F2DFC"/>
    <w:rsid w:val="000F493A"/>
    <w:rsid w:val="000F59C7"/>
    <w:rsid w:val="00100564"/>
    <w:rsid w:val="00100995"/>
    <w:rsid w:val="00100C5F"/>
    <w:rsid w:val="0010103A"/>
    <w:rsid w:val="00101DB3"/>
    <w:rsid w:val="00102CD5"/>
    <w:rsid w:val="001030CD"/>
    <w:rsid w:val="00103C52"/>
    <w:rsid w:val="00103F69"/>
    <w:rsid w:val="0010612C"/>
    <w:rsid w:val="00110108"/>
    <w:rsid w:val="00110872"/>
    <w:rsid w:val="0011461D"/>
    <w:rsid w:val="0011510E"/>
    <w:rsid w:val="0011636D"/>
    <w:rsid w:val="00120EF1"/>
    <w:rsid w:val="00123328"/>
    <w:rsid w:val="00124AD9"/>
    <w:rsid w:val="00124FDB"/>
    <w:rsid w:val="00130168"/>
    <w:rsid w:val="00130D61"/>
    <w:rsid w:val="00133301"/>
    <w:rsid w:val="00134502"/>
    <w:rsid w:val="001354C3"/>
    <w:rsid w:val="0013759C"/>
    <w:rsid w:val="00140D7F"/>
    <w:rsid w:val="001416A6"/>
    <w:rsid w:val="00143E4D"/>
    <w:rsid w:val="00146D56"/>
    <w:rsid w:val="001471CE"/>
    <w:rsid w:val="0015026F"/>
    <w:rsid w:val="001521E1"/>
    <w:rsid w:val="001527C9"/>
    <w:rsid w:val="001542C7"/>
    <w:rsid w:val="00155792"/>
    <w:rsid w:val="00155F29"/>
    <w:rsid w:val="00156020"/>
    <w:rsid w:val="00156918"/>
    <w:rsid w:val="00161FF5"/>
    <w:rsid w:val="001636A9"/>
    <w:rsid w:val="00163E4C"/>
    <w:rsid w:val="00167C34"/>
    <w:rsid w:val="001715DB"/>
    <w:rsid w:val="0017343E"/>
    <w:rsid w:val="00173BA4"/>
    <w:rsid w:val="00173E08"/>
    <w:rsid w:val="001761F3"/>
    <w:rsid w:val="00177050"/>
    <w:rsid w:val="00177297"/>
    <w:rsid w:val="00177E7D"/>
    <w:rsid w:val="001808CA"/>
    <w:rsid w:val="001831C1"/>
    <w:rsid w:val="001852DA"/>
    <w:rsid w:val="0019429F"/>
    <w:rsid w:val="00194800"/>
    <w:rsid w:val="00195780"/>
    <w:rsid w:val="00195E6A"/>
    <w:rsid w:val="001969EB"/>
    <w:rsid w:val="00197007"/>
    <w:rsid w:val="00197E67"/>
    <w:rsid w:val="001A0D07"/>
    <w:rsid w:val="001B182C"/>
    <w:rsid w:val="001B29CB"/>
    <w:rsid w:val="001B2EA9"/>
    <w:rsid w:val="001B7457"/>
    <w:rsid w:val="001C5198"/>
    <w:rsid w:val="001C6A93"/>
    <w:rsid w:val="001C7A40"/>
    <w:rsid w:val="001D03D9"/>
    <w:rsid w:val="001D41D1"/>
    <w:rsid w:val="001D5D08"/>
    <w:rsid w:val="001D5E89"/>
    <w:rsid w:val="001E4E3D"/>
    <w:rsid w:val="001E6771"/>
    <w:rsid w:val="001F1807"/>
    <w:rsid w:val="001F1B65"/>
    <w:rsid w:val="001F40D3"/>
    <w:rsid w:val="001F481E"/>
    <w:rsid w:val="001F56E3"/>
    <w:rsid w:val="001F6BDE"/>
    <w:rsid w:val="00200A2E"/>
    <w:rsid w:val="00200A31"/>
    <w:rsid w:val="00210C79"/>
    <w:rsid w:val="00213311"/>
    <w:rsid w:val="0021363B"/>
    <w:rsid w:val="002141BB"/>
    <w:rsid w:val="00215019"/>
    <w:rsid w:val="002170A3"/>
    <w:rsid w:val="00220359"/>
    <w:rsid w:val="00222484"/>
    <w:rsid w:val="0022427C"/>
    <w:rsid w:val="00226688"/>
    <w:rsid w:val="00231F8F"/>
    <w:rsid w:val="002321AB"/>
    <w:rsid w:val="00233F76"/>
    <w:rsid w:val="00235A10"/>
    <w:rsid w:val="0023760C"/>
    <w:rsid w:val="00237A18"/>
    <w:rsid w:val="00237AEF"/>
    <w:rsid w:val="00240705"/>
    <w:rsid w:val="002416EB"/>
    <w:rsid w:val="002419E3"/>
    <w:rsid w:val="002420C0"/>
    <w:rsid w:val="00242185"/>
    <w:rsid w:val="00242B4E"/>
    <w:rsid w:val="002433D8"/>
    <w:rsid w:val="00246D9A"/>
    <w:rsid w:val="0024701C"/>
    <w:rsid w:val="0025128F"/>
    <w:rsid w:val="00252A95"/>
    <w:rsid w:val="002555B8"/>
    <w:rsid w:val="00255F34"/>
    <w:rsid w:val="002571A7"/>
    <w:rsid w:val="002600BA"/>
    <w:rsid w:val="00260A5B"/>
    <w:rsid w:val="00262BBF"/>
    <w:rsid w:val="00265453"/>
    <w:rsid w:val="002676ED"/>
    <w:rsid w:val="00282E78"/>
    <w:rsid w:val="0028563A"/>
    <w:rsid w:val="002866B2"/>
    <w:rsid w:val="00290FD7"/>
    <w:rsid w:val="002921F9"/>
    <w:rsid w:val="00294175"/>
    <w:rsid w:val="002941C3"/>
    <w:rsid w:val="00295BFB"/>
    <w:rsid w:val="00296BC6"/>
    <w:rsid w:val="002A201B"/>
    <w:rsid w:val="002A62AF"/>
    <w:rsid w:val="002B2168"/>
    <w:rsid w:val="002B241F"/>
    <w:rsid w:val="002B2C14"/>
    <w:rsid w:val="002B3BC5"/>
    <w:rsid w:val="002B5058"/>
    <w:rsid w:val="002B64A2"/>
    <w:rsid w:val="002B712A"/>
    <w:rsid w:val="002C1254"/>
    <w:rsid w:val="002D1CE4"/>
    <w:rsid w:val="002D36CB"/>
    <w:rsid w:val="002D3D22"/>
    <w:rsid w:val="002D5D47"/>
    <w:rsid w:val="002D6538"/>
    <w:rsid w:val="002E09BF"/>
    <w:rsid w:val="002E3B1C"/>
    <w:rsid w:val="002E3C96"/>
    <w:rsid w:val="002E52C0"/>
    <w:rsid w:val="002E7513"/>
    <w:rsid w:val="002F1323"/>
    <w:rsid w:val="002F5149"/>
    <w:rsid w:val="002F6738"/>
    <w:rsid w:val="00300968"/>
    <w:rsid w:val="003009DD"/>
    <w:rsid w:val="003029BA"/>
    <w:rsid w:val="00305B0C"/>
    <w:rsid w:val="00310416"/>
    <w:rsid w:val="00311A4A"/>
    <w:rsid w:val="003122B6"/>
    <w:rsid w:val="00312DA0"/>
    <w:rsid w:val="003138F9"/>
    <w:rsid w:val="003160E2"/>
    <w:rsid w:val="0031613F"/>
    <w:rsid w:val="00330B88"/>
    <w:rsid w:val="00332DBD"/>
    <w:rsid w:val="003330E3"/>
    <w:rsid w:val="003367C3"/>
    <w:rsid w:val="00337A33"/>
    <w:rsid w:val="00344F0F"/>
    <w:rsid w:val="00346801"/>
    <w:rsid w:val="00347F39"/>
    <w:rsid w:val="00350DA6"/>
    <w:rsid w:val="003518BD"/>
    <w:rsid w:val="00355C06"/>
    <w:rsid w:val="0035701C"/>
    <w:rsid w:val="0036209A"/>
    <w:rsid w:val="0036507C"/>
    <w:rsid w:val="003652FB"/>
    <w:rsid w:val="00366392"/>
    <w:rsid w:val="003704B1"/>
    <w:rsid w:val="003714AD"/>
    <w:rsid w:val="00377C28"/>
    <w:rsid w:val="00384223"/>
    <w:rsid w:val="003849B0"/>
    <w:rsid w:val="00386697"/>
    <w:rsid w:val="00387E2C"/>
    <w:rsid w:val="00392832"/>
    <w:rsid w:val="00393141"/>
    <w:rsid w:val="00395A46"/>
    <w:rsid w:val="0039758A"/>
    <w:rsid w:val="003A6F1C"/>
    <w:rsid w:val="003A787D"/>
    <w:rsid w:val="003B1565"/>
    <w:rsid w:val="003B1B56"/>
    <w:rsid w:val="003B1DDA"/>
    <w:rsid w:val="003B2752"/>
    <w:rsid w:val="003B4607"/>
    <w:rsid w:val="003B49D5"/>
    <w:rsid w:val="003B62A3"/>
    <w:rsid w:val="003B72A9"/>
    <w:rsid w:val="003B7AE3"/>
    <w:rsid w:val="003C05F1"/>
    <w:rsid w:val="003C1A7E"/>
    <w:rsid w:val="003C30DA"/>
    <w:rsid w:val="003C415D"/>
    <w:rsid w:val="003C74CA"/>
    <w:rsid w:val="003C7E54"/>
    <w:rsid w:val="003D0E6D"/>
    <w:rsid w:val="003D111C"/>
    <w:rsid w:val="003D385F"/>
    <w:rsid w:val="003E1D8A"/>
    <w:rsid w:val="003E22F6"/>
    <w:rsid w:val="003E46C5"/>
    <w:rsid w:val="003E4D1A"/>
    <w:rsid w:val="003E63C4"/>
    <w:rsid w:val="003F1A5E"/>
    <w:rsid w:val="003F3C21"/>
    <w:rsid w:val="003F58F9"/>
    <w:rsid w:val="003F794B"/>
    <w:rsid w:val="003F7D4E"/>
    <w:rsid w:val="00400518"/>
    <w:rsid w:val="0040171B"/>
    <w:rsid w:val="00402029"/>
    <w:rsid w:val="00402135"/>
    <w:rsid w:val="004037A0"/>
    <w:rsid w:val="00406A85"/>
    <w:rsid w:val="00410FC2"/>
    <w:rsid w:val="004122D8"/>
    <w:rsid w:val="00414E0B"/>
    <w:rsid w:val="00416952"/>
    <w:rsid w:val="004173D5"/>
    <w:rsid w:val="004206A2"/>
    <w:rsid w:val="00421270"/>
    <w:rsid w:val="00422E9F"/>
    <w:rsid w:val="00424A8B"/>
    <w:rsid w:val="00426B27"/>
    <w:rsid w:val="0042784E"/>
    <w:rsid w:val="00433446"/>
    <w:rsid w:val="004351D5"/>
    <w:rsid w:val="00441190"/>
    <w:rsid w:val="00442946"/>
    <w:rsid w:val="00443402"/>
    <w:rsid w:val="004466BD"/>
    <w:rsid w:val="00447E6E"/>
    <w:rsid w:val="00447ED9"/>
    <w:rsid w:val="00452FC5"/>
    <w:rsid w:val="00455AF9"/>
    <w:rsid w:val="0045770B"/>
    <w:rsid w:val="00460395"/>
    <w:rsid w:val="0046251D"/>
    <w:rsid w:val="00462D76"/>
    <w:rsid w:val="00466A1E"/>
    <w:rsid w:val="004677B9"/>
    <w:rsid w:val="00467C29"/>
    <w:rsid w:val="00467CC0"/>
    <w:rsid w:val="00471537"/>
    <w:rsid w:val="0047154F"/>
    <w:rsid w:val="0047286A"/>
    <w:rsid w:val="00472AEB"/>
    <w:rsid w:val="00474047"/>
    <w:rsid w:val="00476553"/>
    <w:rsid w:val="004769BC"/>
    <w:rsid w:val="0048418B"/>
    <w:rsid w:val="0048502B"/>
    <w:rsid w:val="0048753E"/>
    <w:rsid w:val="0049255E"/>
    <w:rsid w:val="00493D30"/>
    <w:rsid w:val="004969F2"/>
    <w:rsid w:val="00496A2B"/>
    <w:rsid w:val="00496BFA"/>
    <w:rsid w:val="004A07E2"/>
    <w:rsid w:val="004A0E90"/>
    <w:rsid w:val="004A4504"/>
    <w:rsid w:val="004A4592"/>
    <w:rsid w:val="004A535D"/>
    <w:rsid w:val="004A669E"/>
    <w:rsid w:val="004A7A71"/>
    <w:rsid w:val="004B3B94"/>
    <w:rsid w:val="004B452F"/>
    <w:rsid w:val="004B4C21"/>
    <w:rsid w:val="004B6334"/>
    <w:rsid w:val="004B7373"/>
    <w:rsid w:val="004B7CD0"/>
    <w:rsid w:val="004C011A"/>
    <w:rsid w:val="004C15B4"/>
    <w:rsid w:val="004C1CD0"/>
    <w:rsid w:val="004C28B3"/>
    <w:rsid w:val="004C4084"/>
    <w:rsid w:val="004C4EB1"/>
    <w:rsid w:val="004C53F4"/>
    <w:rsid w:val="004C6057"/>
    <w:rsid w:val="004C63FC"/>
    <w:rsid w:val="004D093D"/>
    <w:rsid w:val="004D1D59"/>
    <w:rsid w:val="004D5CCF"/>
    <w:rsid w:val="004E0A4C"/>
    <w:rsid w:val="004E447E"/>
    <w:rsid w:val="004E57CD"/>
    <w:rsid w:val="004E6753"/>
    <w:rsid w:val="004E7EDB"/>
    <w:rsid w:val="004F427D"/>
    <w:rsid w:val="004F53AE"/>
    <w:rsid w:val="004F59A1"/>
    <w:rsid w:val="004F5D6E"/>
    <w:rsid w:val="00500B63"/>
    <w:rsid w:val="00502674"/>
    <w:rsid w:val="00502930"/>
    <w:rsid w:val="005036F4"/>
    <w:rsid w:val="00503C7D"/>
    <w:rsid w:val="00511498"/>
    <w:rsid w:val="00513AD0"/>
    <w:rsid w:val="00514067"/>
    <w:rsid w:val="005201BB"/>
    <w:rsid w:val="00520766"/>
    <w:rsid w:val="00521197"/>
    <w:rsid w:val="00521751"/>
    <w:rsid w:val="00522121"/>
    <w:rsid w:val="00526D1B"/>
    <w:rsid w:val="005305B8"/>
    <w:rsid w:val="00531D00"/>
    <w:rsid w:val="00535E04"/>
    <w:rsid w:val="005368E2"/>
    <w:rsid w:val="00537B98"/>
    <w:rsid w:val="00537C1A"/>
    <w:rsid w:val="0054213E"/>
    <w:rsid w:val="00543702"/>
    <w:rsid w:val="0054396D"/>
    <w:rsid w:val="00545A5D"/>
    <w:rsid w:val="00550A56"/>
    <w:rsid w:val="00551FCB"/>
    <w:rsid w:val="0055259C"/>
    <w:rsid w:val="00552768"/>
    <w:rsid w:val="00553CC3"/>
    <w:rsid w:val="00560DB5"/>
    <w:rsid w:val="00561A15"/>
    <w:rsid w:val="00562925"/>
    <w:rsid w:val="00565266"/>
    <w:rsid w:val="00565F85"/>
    <w:rsid w:val="00567388"/>
    <w:rsid w:val="00573CC1"/>
    <w:rsid w:val="0057595F"/>
    <w:rsid w:val="00575D64"/>
    <w:rsid w:val="005775CD"/>
    <w:rsid w:val="00581E3B"/>
    <w:rsid w:val="00582026"/>
    <w:rsid w:val="005841E2"/>
    <w:rsid w:val="00585CEB"/>
    <w:rsid w:val="005866DC"/>
    <w:rsid w:val="0058689F"/>
    <w:rsid w:val="00587C93"/>
    <w:rsid w:val="00590051"/>
    <w:rsid w:val="00590EC1"/>
    <w:rsid w:val="005912E1"/>
    <w:rsid w:val="0059661A"/>
    <w:rsid w:val="00597DE8"/>
    <w:rsid w:val="005A1629"/>
    <w:rsid w:val="005A28CB"/>
    <w:rsid w:val="005A4B74"/>
    <w:rsid w:val="005A4D01"/>
    <w:rsid w:val="005A5845"/>
    <w:rsid w:val="005B0362"/>
    <w:rsid w:val="005B4F9E"/>
    <w:rsid w:val="005B71AC"/>
    <w:rsid w:val="005B77BA"/>
    <w:rsid w:val="005B7920"/>
    <w:rsid w:val="005C00D3"/>
    <w:rsid w:val="005C1F1D"/>
    <w:rsid w:val="005C675A"/>
    <w:rsid w:val="005C6EA3"/>
    <w:rsid w:val="005D1993"/>
    <w:rsid w:val="005D7129"/>
    <w:rsid w:val="005E122D"/>
    <w:rsid w:val="005E160C"/>
    <w:rsid w:val="005E45E1"/>
    <w:rsid w:val="005E50BB"/>
    <w:rsid w:val="005E5E24"/>
    <w:rsid w:val="005E6E77"/>
    <w:rsid w:val="005F1D52"/>
    <w:rsid w:val="005F2CE1"/>
    <w:rsid w:val="00603FCA"/>
    <w:rsid w:val="0060460E"/>
    <w:rsid w:val="0060550C"/>
    <w:rsid w:val="00610518"/>
    <w:rsid w:val="006111F2"/>
    <w:rsid w:val="006113E4"/>
    <w:rsid w:val="00611F87"/>
    <w:rsid w:val="0061392B"/>
    <w:rsid w:val="00613D4E"/>
    <w:rsid w:val="0061500B"/>
    <w:rsid w:val="00615473"/>
    <w:rsid w:val="0062118F"/>
    <w:rsid w:val="00623768"/>
    <w:rsid w:val="00623E57"/>
    <w:rsid w:val="00625402"/>
    <w:rsid w:val="006260B0"/>
    <w:rsid w:val="006268D5"/>
    <w:rsid w:val="00626BBD"/>
    <w:rsid w:val="0062747B"/>
    <w:rsid w:val="00631B8A"/>
    <w:rsid w:val="00632C0E"/>
    <w:rsid w:val="006342DD"/>
    <w:rsid w:val="00637609"/>
    <w:rsid w:val="00640835"/>
    <w:rsid w:val="006437AA"/>
    <w:rsid w:val="00644154"/>
    <w:rsid w:val="00645157"/>
    <w:rsid w:val="00645828"/>
    <w:rsid w:val="00646AD7"/>
    <w:rsid w:val="00647614"/>
    <w:rsid w:val="0065243F"/>
    <w:rsid w:val="00653832"/>
    <w:rsid w:val="0065569D"/>
    <w:rsid w:val="006563DC"/>
    <w:rsid w:val="0066381A"/>
    <w:rsid w:val="006652A1"/>
    <w:rsid w:val="0066587D"/>
    <w:rsid w:val="00667605"/>
    <w:rsid w:val="00667776"/>
    <w:rsid w:val="00672935"/>
    <w:rsid w:val="00672C49"/>
    <w:rsid w:val="00674513"/>
    <w:rsid w:val="00681F62"/>
    <w:rsid w:val="00685FD3"/>
    <w:rsid w:val="00687F52"/>
    <w:rsid w:val="006901B2"/>
    <w:rsid w:val="00692134"/>
    <w:rsid w:val="006940F7"/>
    <w:rsid w:val="006A0079"/>
    <w:rsid w:val="006A3504"/>
    <w:rsid w:val="006A3D7E"/>
    <w:rsid w:val="006A3F01"/>
    <w:rsid w:val="006A62B8"/>
    <w:rsid w:val="006A68AF"/>
    <w:rsid w:val="006B0295"/>
    <w:rsid w:val="006B1C59"/>
    <w:rsid w:val="006B2623"/>
    <w:rsid w:val="006B3470"/>
    <w:rsid w:val="006B3A1C"/>
    <w:rsid w:val="006B3AC2"/>
    <w:rsid w:val="006B4CE2"/>
    <w:rsid w:val="006B7FBA"/>
    <w:rsid w:val="006C1FF9"/>
    <w:rsid w:val="006C2855"/>
    <w:rsid w:val="006C3365"/>
    <w:rsid w:val="006C391A"/>
    <w:rsid w:val="006C457E"/>
    <w:rsid w:val="006C6252"/>
    <w:rsid w:val="006C7139"/>
    <w:rsid w:val="006D4546"/>
    <w:rsid w:val="006D58F0"/>
    <w:rsid w:val="006D6DC9"/>
    <w:rsid w:val="006E1986"/>
    <w:rsid w:val="006E3434"/>
    <w:rsid w:val="006E5D04"/>
    <w:rsid w:val="006F1421"/>
    <w:rsid w:val="006F631D"/>
    <w:rsid w:val="006F6ABA"/>
    <w:rsid w:val="00703B47"/>
    <w:rsid w:val="00704363"/>
    <w:rsid w:val="007046A9"/>
    <w:rsid w:val="00706B45"/>
    <w:rsid w:val="0071120F"/>
    <w:rsid w:val="007115F1"/>
    <w:rsid w:val="00715F20"/>
    <w:rsid w:val="007168D3"/>
    <w:rsid w:val="00716D91"/>
    <w:rsid w:val="007210F2"/>
    <w:rsid w:val="007214C7"/>
    <w:rsid w:val="00722423"/>
    <w:rsid w:val="00722872"/>
    <w:rsid w:val="00723537"/>
    <w:rsid w:val="00724313"/>
    <w:rsid w:val="00725D32"/>
    <w:rsid w:val="00725FEF"/>
    <w:rsid w:val="0073223B"/>
    <w:rsid w:val="00735677"/>
    <w:rsid w:val="0074071A"/>
    <w:rsid w:val="00741CF1"/>
    <w:rsid w:val="007427BF"/>
    <w:rsid w:val="00745AD1"/>
    <w:rsid w:val="00746FAE"/>
    <w:rsid w:val="00750DFB"/>
    <w:rsid w:val="0075160D"/>
    <w:rsid w:val="007525BE"/>
    <w:rsid w:val="00752C9D"/>
    <w:rsid w:val="0075328C"/>
    <w:rsid w:val="00754F08"/>
    <w:rsid w:val="00756726"/>
    <w:rsid w:val="00757509"/>
    <w:rsid w:val="00761B88"/>
    <w:rsid w:val="00762DFB"/>
    <w:rsid w:val="007634B5"/>
    <w:rsid w:val="00767FD5"/>
    <w:rsid w:val="00770A47"/>
    <w:rsid w:val="007809D1"/>
    <w:rsid w:val="007810EE"/>
    <w:rsid w:val="007832CF"/>
    <w:rsid w:val="0078372D"/>
    <w:rsid w:val="007850E7"/>
    <w:rsid w:val="00787BAE"/>
    <w:rsid w:val="00787E89"/>
    <w:rsid w:val="007911DE"/>
    <w:rsid w:val="00791696"/>
    <w:rsid w:val="00793036"/>
    <w:rsid w:val="007A055A"/>
    <w:rsid w:val="007A143E"/>
    <w:rsid w:val="007A28B8"/>
    <w:rsid w:val="007A3FB5"/>
    <w:rsid w:val="007A55C0"/>
    <w:rsid w:val="007A7131"/>
    <w:rsid w:val="007B01E8"/>
    <w:rsid w:val="007B2EA3"/>
    <w:rsid w:val="007B308B"/>
    <w:rsid w:val="007B49CD"/>
    <w:rsid w:val="007B5A0C"/>
    <w:rsid w:val="007B5DA2"/>
    <w:rsid w:val="007C0A3A"/>
    <w:rsid w:val="007C0A75"/>
    <w:rsid w:val="007C23A5"/>
    <w:rsid w:val="007C55CE"/>
    <w:rsid w:val="007D211A"/>
    <w:rsid w:val="007D25A8"/>
    <w:rsid w:val="007D297C"/>
    <w:rsid w:val="007D62A0"/>
    <w:rsid w:val="007D6BE2"/>
    <w:rsid w:val="007D7504"/>
    <w:rsid w:val="007D780B"/>
    <w:rsid w:val="007E1A99"/>
    <w:rsid w:val="007E4498"/>
    <w:rsid w:val="007E75CA"/>
    <w:rsid w:val="007F04E8"/>
    <w:rsid w:val="007F0F62"/>
    <w:rsid w:val="007F1E95"/>
    <w:rsid w:val="007F2681"/>
    <w:rsid w:val="007F6CB3"/>
    <w:rsid w:val="008031A7"/>
    <w:rsid w:val="008035FB"/>
    <w:rsid w:val="0080373E"/>
    <w:rsid w:val="00804528"/>
    <w:rsid w:val="00807E03"/>
    <w:rsid w:val="00807EC4"/>
    <w:rsid w:val="0081650C"/>
    <w:rsid w:val="00822946"/>
    <w:rsid w:val="00822C7E"/>
    <w:rsid w:val="00825544"/>
    <w:rsid w:val="00827149"/>
    <w:rsid w:val="00830BFD"/>
    <w:rsid w:val="00832052"/>
    <w:rsid w:val="00832678"/>
    <w:rsid w:val="00834D52"/>
    <w:rsid w:val="00836B79"/>
    <w:rsid w:val="0083713C"/>
    <w:rsid w:val="00844161"/>
    <w:rsid w:val="00846FB3"/>
    <w:rsid w:val="00847193"/>
    <w:rsid w:val="008474AB"/>
    <w:rsid w:val="00850662"/>
    <w:rsid w:val="008507CB"/>
    <w:rsid w:val="00852F80"/>
    <w:rsid w:val="00854582"/>
    <w:rsid w:val="008548F2"/>
    <w:rsid w:val="008559EA"/>
    <w:rsid w:val="00855EDD"/>
    <w:rsid w:val="00856E31"/>
    <w:rsid w:val="008572E4"/>
    <w:rsid w:val="00862B22"/>
    <w:rsid w:val="00870596"/>
    <w:rsid w:val="00870A92"/>
    <w:rsid w:val="008722FC"/>
    <w:rsid w:val="00873BEA"/>
    <w:rsid w:val="00874B3B"/>
    <w:rsid w:val="00875994"/>
    <w:rsid w:val="008800C0"/>
    <w:rsid w:val="00881E13"/>
    <w:rsid w:val="008845F8"/>
    <w:rsid w:val="0088474C"/>
    <w:rsid w:val="00884B4E"/>
    <w:rsid w:val="008878B8"/>
    <w:rsid w:val="008906DB"/>
    <w:rsid w:val="00892C92"/>
    <w:rsid w:val="00892CAB"/>
    <w:rsid w:val="008A1C65"/>
    <w:rsid w:val="008A3777"/>
    <w:rsid w:val="008A7D30"/>
    <w:rsid w:val="008B1016"/>
    <w:rsid w:val="008B1A9D"/>
    <w:rsid w:val="008B2B10"/>
    <w:rsid w:val="008B6623"/>
    <w:rsid w:val="008B6CDE"/>
    <w:rsid w:val="008C23A8"/>
    <w:rsid w:val="008C2C84"/>
    <w:rsid w:val="008C5049"/>
    <w:rsid w:val="008C5128"/>
    <w:rsid w:val="008C5B8B"/>
    <w:rsid w:val="008C613B"/>
    <w:rsid w:val="008C76C4"/>
    <w:rsid w:val="008D0352"/>
    <w:rsid w:val="008D1555"/>
    <w:rsid w:val="008D7649"/>
    <w:rsid w:val="008E5594"/>
    <w:rsid w:val="00900575"/>
    <w:rsid w:val="00900691"/>
    <w:rsid w:val="00901FF5"/>
    <w:rsid w:val="00905452"/>
    <w:rsid w:val="009056F3"/>
    <w:rsid w:val="00910777"/>
    <w:rsid w:val="0091680E"/>
    <w:rsid w:val="00916D07"/>
    <w:rsid w:val="00920DB1"/>
    <w:rsid w:val="0093038C"/>
    <w:rsid w:val="009311B7"/>
    <w:rsid w:val="00932610"/>
    <w:rsid w:val="009415A0"/>
    <w:rsid w:val="00941CE6"/>
    <w:rsid w:val="00942BC0"/>
    <w:rsid w:val="00947CB6"/>
    <w:rsid w:val="00951CBB"/>
    <w:rsid w:val="00954816"/>
    <w:rsid w:val="00954C17"/>
    <w:rsid w:val="00955004"/>
    <w:rsid w:val="009563AF"/>
    <w:rsid w:val="00956885"/>
    <w:rsid w:val="009571EF"/>
    <w:rsid w:val="009621D0"/>
    <w:rsid w:val="00965BE4"/>
    <w:rsid w:val="00967399"/>
    <w:rsid w:val="00971FDA"/>
    <w:rsid w:val="009737EF"/>
    <w:rsid w:val="00973D35"/>
    <w:rsid w:val="00974577"/>
    <w:rsid w:val="0097624C"/>
    <w:rsid w:val="0097756A"/>
    <w:rsid w:val="00977790"/>
    <w:rsid w:val="0098042F"/>
    <w:rsid w:val="00980DDE"/>
    <w:rsid w:val="00982DF8"/>
    <w:rsid w:val="00984A89"/>
    <w:rsid w:val="0098565F"/>
    <w:rsid w:val="0098578A"/>
    <w:rsid w:val="00986562"/>
    <w:rsid w:val="00986686"/>
    <w:rsid w:val="009902E8"/>
    <w:rsid w:val="00990B8A"/>
    <w:rsid w:val="00995296"/>
    <w:rsid w:val="009954B8"/>
    <w:rsid w:val="00995574"/>
    <w:rsid w:val="009979A7"/>
    <w:rsid w:val="00997D2C"/>
    <w:rsid w:val="009A0465"/>
    <w:rsid w:val="009A2EDE"/>
    <w:rsid w:val="009A3232"/>
    <w:rsid w:val="009A34A0"/>
    <w:rsid w:val="009A39AD"/>
    <w:rsid w:val="009A58BE"/>
    <w:rsid w:val="009A685B"/>
    <w:rsid w:val="009B200C"/>
    <w:rsid w:val="009C1B55"/>
    <w:rsid w:val="009C1F83"/>
    <w:rsid w:val="009C22B9"/>
    <w:rsid w:val="009C2C31"/>
    <w:rsid w:val="009D4020"/>
    <w:rsid w:val="009D63BA"/>
    <w:rsid w:val="009E0B1A"/>
    <w:rsid w:val="009E33C8"/>
    <w:rsid w:val="009E3801"/>
    <w:rsid w:val="009E441C"/>
    <w:rsid w:val="009E475D"/>
    <w:rsid w:val="009E5579"/>
    <w:rsid w:val="009E6558"/>
    <w:rsid w:val="009E65B5"/>
    <w:rsid w:val="009E7B0B"/>
    <w:rsid w:val="009F0E28"/>
    <w:rsid w:val="009F1336"/>
    <w:rsid w:val="009F6014"/>
    <w:rsid w:val="009F7B22"/>
    <w:rsid w:val="009F7C71"/>
    <w:rsid w:val="009F7E82"/>
    <w:rsid w:val="00A0164E"/>
    <w:rsid w:val="00A01716"/>
    <w:rsid w:val="00A04935"/>
    <w:rsid w:val="00A06A41"/>
    <w:rsid w:val="00A07729"/>
    <w:rsid w:val="00A13746"/>
    <w:rsid w:val="00A13A36"/>
    <w:rsid w:val="00A14116"/>
    <w:rsid w:val="00A20386"/>
    <w:rsid w:val="00A257FA"/>
    <w:rsid w:val="00A27C75"/>
    <w:rsid w:val="00A309FD"/>
    <w:rsid w:val="00A30C81"/>
    <w:rsid w:val="00A31C11"/>
    <w:rsid w:val="00A34583"/>
    <w:rsid w:val="00A34AF2"/>
    <w:rsid w:val="00A34EE4"/>
    <w:rsid w:val="00A37360"/>
    <w:rsid w:val="00A41DE1"/>
    <w:rsid w:val="00A438CD"/>
    <w:rsid w:val="00A446F7"/>
    <w:rsid w:val="00A456FE"/>
    <w:rsid w:val="00A46444"/>
    <w:rsid w:val="00A47B98"/>
    <w:rsid w:val="00A47C18"/>
    <w:rsid w:val="00A515B0"/>
    <w:rsid w:val="00A535D5"/>
    <w:rsid w:val="00A53E3C"/>
    <w:rsid w:val="00A55F13"/>
    <w:rsid w:val="00A64553"/>
    <w:rsid w:val="00A71611"/>
    <w:rsid w:val="00A71901"/>
    <w:rsid w:val="00A72000"/>
    <w:rsid w:val="00A73410"/>
    <w:rsid w:val="00A734BC"/>
    <w:rsid w:val="00A742B0"/>
    <w:rsid w:val="00A74636"/>
    <w:rsid w:val="00A75B35"/>
    <w:rsid w:val="00A75B7A"/>
    <w:rsid w:val="00A75FC8"/>
    <w:rsid w:val="00A82ABE"/>
    <w:rsid w:val="00A879F6"/>
    <w:rsid w:val="00A94685"/>
    <w:rsid w:val="00A96A70"/>
    <w:rsid w:val="00A97CF6"/>
    <w:rsid w:val="00AA1EB5"/>
    <w:rsid w:val="00AA496E"/>
    <w:rsid w:val="00AA54A0"/>
    <w:rsid w:val="00AA663A"/>
    <w:rsid w:val="00AA6F14"/>
    <w:rsid w:val="00AB106C"/>
    <w:rsid w:val="00AC4703"/>
    <w:rsid w:val="00AC56AF"/>
    <w:rsid w:val="00AC73EC"/>
    <w:rsid w:val="00AD1965"/>
    <w:rsid w:val="00AD2F55"/>
    <w:rsid w:val="00AD3A5B"/>
    <w:rsid w:val="00AD6D14"/>
    <w:rsid w:val="00AD6FFA"/>
    <w:rsid w:val="00AD7C44"/>
    <w:rsid w:val="00AE6409"/>
    <w:rsid w:val="00AF02D2"/>
    <w:rsid w:val="00AF1475"/>
    <w:rsid w:val="00AF278E"/>
    <w:rsid w:val="00AF295E"/>
    <w:rsid w:val="00AF2D86"/>
    <w:rsid w:val="00AF5FFC"/>
    <w:rsid w:val="00AF7FB1"/>
    <w:rsid w:val="00B00ED4"/>
    <w:rsid w:val="00B01503"/>
    <w:rsid w:val="00B03187"/>
    <w:rsid w:val="00B032DD"/>
    <w:rsid w:val="00B03F48"/>
    <w:rsid w:val="00B10042"/>
    <w:rsid w:val="00B11461"/>
    <w:rsid w:val="00B13C66"/>
    <w:rsid w:val="00B20D04"/>
    <w:rsid w:val="00B2108D"/>
    <w:rsid w:val="00B22232"/>
    <w:rsid w:val="00B22D62"/>
    <w:rsid w:val="00B254F3"/>
    <w:rsid w:val="00B27B06"/>
    <w:rsid w:val="00B30A6E"/>
    <w:rsid w:val="00B31EBB"/>
    <w:rsid w:val="00B3280A"/>
    <w:rsid w:val="00B4056E"/>
    <w:rsid w:val="00B423EC"/>
    <w:rsid w:val="00B427EC"/>
    <w:rsid w:val="00B50CAB"/>
    <w:rsid w:val="00B512FF"/>
    <w:rsid w:val="00B52C21"/>
    <w:rsid w:val="00B539F9"/>
    <w:rsid w:val="00B556C8"/>
    <w:rsid w:val="00B5626D"/>
    <w:rsid w:val="00B60E9D"/>
    <w:rsid w:val="00B61564"/>
    <w:rsid w:val="00B63991"/>
    <w:rsid w:val="00B63CBB"/>
    <w:rsid w:val="00B65994"/>
    <w:rsid w:val="00B6618B"/>
    <w:rsid w:val="00B66C92"/>
    <w:rsid w:val="00B70F02"/>
    <w:rsid w:val="00B710D8"/>
    <w:rsid w:val="00B72C5F"/>
    <w:rsid w:val="00B73A4F"/>
    <w:rsid w:val="00B742E4"/>
    <w:rsid w:val="00B776AF"/>
    <w:rsid w:val="00B77F3B"/>
    <w:rsid w:val="00B80847"/>
    <w:rsid w:val="00B814E2"/>
    <w:rsid w:val="00B910E1"/>
    <w:rsid w:val="00B928F9"/>
    <w:rsid w:val="00B92A47"/>
    <w:rsid w:val="00B92AA5"/>
    <w:rsid w:val="00B92BA5"/>
    <w:rsid w:val="00B95E8E"/>
    <w:rsid w:val="00BA02FD"/>
    <w:rsid w:val="00BA054C"/>
    <w:rsid w:val="00BA6FA3"/>
    <w:rsid w:val="00BB021D"/>
    <w:rsid w:val="00BB3347"/>
    <w:rsid w:val="00BB5D19"/>
    <w:rsid w:val="00BB688E"/>
    <w:rsid w:val="00BB6CD6"/>
    <w:rsid w:val="00BB7372"/>
    <w:rsid w:val="00BC036C"/>
    <w:rsid w:val="00BC22DD"/>
    <w:rsid w:val="00BC2A10"/>
    <w:rsid w:val="00BC306A"/>
    <w:rsid w:val="00BC4517"/>
    <w:rsid w:val="00BC4C25"/>
    <w:rsid w:val="00BC7501"/>
    <w:rsid w:val="00BD7227"/>
    <w:rsid w:val="00BE0997"/>
    <w:rsid w:val="00BE1289"/>
    <w:rsid w:val="00BE2604"/>
    <w:rsid w:val="00BE2973"/>
    <w:rsid w:val="00BE4F6F"/>
    <w:rsid w:val="00BE7597"/>
    <w:rsid w:val="00BF3031"/>
    <w:rsid w:val="00BF75F8"/>
    <w:rsid w:val="00C043F0"/>
    <w:rsid w:val="00C04585"/>
    <w:rsid w:val="00C04FB4"/>
    <w:rsid w:val="00C0665B"/>
    <w:rsid w:val="00C06B6A"/>
    <w:rsid w:val="00C107BF"/>
    <w:rsid w:val="00C10B45"/>
    <w:rsid w:val="00C11785"/>
    <w:rsid w:val="00C11CA2"/>
    <w:rsid w:val="00C11F81"/>
    <w:rsid w:val="00C16079"/>
    <w:rsid w:val="00C206A8"/>
    <w:rsid w:val="00C21111"/>
    <w:rsid w:val="00C2248D"/>
    <w:rsid w:val="00C24511"/>
    <w:rsid w:val="00C2512D"/>
    <w:rsid w:val="00C25EC7"/>
    <w:rsid w:val="00C27568"/>
    <w:rsid w:val="00C30FE8"/>
    <w:rsid w:val="00C33D98"/>
    <w:rsid w:val="00C3478D"/>
    <w:rsid w:val="00C40F80"/>
    <w:rsid w:val="00C4688E"/>
    <w:rsid w:val="00C46925"/>
    <w:rsid w:val="00C47ED8"/>
    <w:rsid w:val="00C547F3"/>
    <w:rsid w:val="00C570E9"/>
    <w:rsid w:val="00C60252"/>
    <w:rsid w:val="00C62022"/>
    <w:rsid w:val="00C62878"/>
    <w:rsid w:val="00C630F8"/>
    <w:rsid w:val="00C647C2"/>
    <w:rsid w:val="00C65210"/>
    <w:rsid w:val="00C66D50"/>
    <w:rsid w:val="00C724F7"/>
    <w:rsid w:val="00C728A6"/>
    <w:rsid w:val="00C72C4A"/>
    <w:rsid w:val="00C735C1"/>
    <w:rsid w:val="00C74656"/>
    <w:rsid w:val="00C74698"/>
    <w:rsid w:val="00C74BF7"/>
    <w:rsid w:val="00C754D7"/>
    <w:rsid w:val="00C779ED"/>
    <w:rsid w:val="00C80222"/>
    <w:rsid w:val="00C8034F"/>
    <w:rsid w:val="00C80AF0"/>
    <w:rsid w:val="00C8317A"/>
    <w:rsid w:val="00C86781"/>
    <w:rsid w:val="00C871F0"/>
    <w:rsid w:val="00C91C4E"/>
    <w:rsid w:val="00C91E5C"/>
    <w:rsid w:val="00C92933"/>
    <w:rsid w:val="00C93F6B"/>
    <w:rsid w:val="00C9411C"/>
    <w:rsid w:val="00C9432B"/>
    <w:rsid w:val="00C970D8"/>
    <w:rsid w:val="00CA1866"/>
    <w:rsid w:val="00CA3A41"/>
    <w:rsid w:val="00CA3A55"/>
    <w:rsid w:val="00CA3DD4"/>
    <w:rsid w:val="00CA50C8"/>
    <w:rsid w:val="00CA69F1"/>
    <w:rsid w:val="00CB2380"/>
    <w:rsid w:val="00CB6694"/>
    <w:rsid w:val="00CB690C"/>
    <w:rsid w:val="00CB7F69"/>
    <w:rsid w:val="00CC11F1"/>
    <w:rsid w:val="00CC31BB"/>
    <w:rsid w:val="00CC3677"/>
    <w:rsid w:val="00CD2191"/>
    <w:rsid w:val="00CD2358"/>
    <w:rsid w:val="00CD71F5"/>
    <w:rsid w:val="00CE024A"/>
    <w:rsid w:val="00CE0934"/>
    <w:rsid w:val="00CE3186"/>
    <w:rsid w:val="00CE60EF"/>
    <w:rsid w:val="00CE65AB"/>
    <w:rsid w:val="00CE734F"/>
    <w:rsid w:val="00CE7839"/>
    <w:rsid w:val="00CE7846"/>
    <w:rsid w:val="00CE7881"/>
    <w:rsid w:val="00CF0BE4"/>
    <w:rsid w:val="00CF35F9"/>
    <w:rsid w:val="00CF58BE"/>
    <w:rsid w:val="00CF7005"/>
    <w:rsid w:val="00D00191"/>
    <w:rsid w:val="00D02016"/>
    <w:rsid w:val="00D02021"/>
    <w:rsid w:val="00D04440"/>
    <w:rsid w:val="00D074EB"/>
    <w:rsid w:val="00D0752F"/>
    <w:rsid w:val="00D10683"/>
    <w:rsid w:val="00D11516"/>
    <w:rsid w:val="00D13CC6"/>
    <w:rsid w:val="00D14089"/>
    <w:rsid w:val="00D21657"/>
    <w:rsid w:val="00D22B83"/>
    <w:rsid w:val="00D23188"/>
    <w:rsid w:val="00D259D0"/>
    <w:rsid w:val="00D25EAB"/>
    <w:rsid w:val="00D26B71"/>
    <w:rsid w:val="00D30DE3"/>
    <w:rsid w:val="00D324B9"/>
    <w:rsid w:val="00D326B0"/>
    <w:rsid w:val="00D3548F"/>
    <w:rsid w:val="00D409AE"/>
    <w:rsid w:val="00D4142B"/>
    <w:rsid w:val="00D41E70"/>
    <w:rsid w:val="00D44CE9"/>
    <w:rsid w:val="00D44DAB"/>
    <w:rsid w:val="00D46411"/>
    <w:rsid w:val="00D47C6E"/>
    <w:rsid w:val="00D50FED"/>
    <w:rsid w:val="00D51F2B"/>
    <w:rsid w:val="00D5544A"/>
    <w:rsid w:val="00D61886"/>
    <w:rsid w:val="00D6346A"/>
    <w:rsid w:val="00D67B13"/>
    <w:rsid w:val="00D7248A"/>
    <w:rsid w:val="00D73A1F"/>
    <w:rsid w:val="00D74C28"/>
    <w:rsid w:val="00D74C68"/>
    <w:rsid w:val="00D76F33"/>
    <w:rsid w:val="00D80845"/>
    <w:rsid w:val="00D82000"/>
    <w:rsid w:val="00D846BE"/>
    <w:rsid w:val="00D85400"/>
    <w:rsid w:val="00D86F82"/>
    <w:rsid w:val="00D872D1"/>
    <w:rsid w:val="00D873D4"/>
    <w:rsid w:val="00D90100"/>
    <w:rsid w:val="00D90243"/>
    <w:rsid w:val="00D9175A"/>
    <w:rsid w:val="00D92465"/>
    <w:rsid w:val="00D95804"/>
    <w:rsid w:val="00D97C9B"/>
    <w:rsid w:val="00DA131C"/>
    <w:rsid w:val="00DA1DDC"/>
    <w:rsid w:val="00DA26A3"/>
    <w:rsid w:val="00DA457D"/>
    <w:rsid w:val="00DA52F6"/>
    <w:rsid w:val="00DB07D0"/>
    <w:rsid w:val="00DB15E0"/>
    <w:rsid w:val="00DB66F2"/>
    <w:rsid w:val="00DB757B"/>
    <w:rsid w:val="00DC1C66"/>
    <w:rsid w:val="00DC30F4"/>
    <w:rsid w:val="00DD0CA5"/>
    <w:rsid w:val="00DD2676"/>
    <w:rsid w:val="00DD384D"/>
    <w:rsid w:val="00DD6A92"/>
    <w:rsid w:val="00DD7245"/>
    <w:rsid w:val="00DE41A6"/>
    <w:rsid w:val="00DE5F6E"/>
    <w:rsid w:val="00DE64FC"/>
    <w:rsid w:val="00DF06CA"/>
    <w:rsid w:val="00DF1244"/>
    <w:rsid w:val="00DF1F72"/>
    <w:rsid w:val="00DF29BF"/>
    <w:rsid w:val="00E00555"/>
    <w:rsid w:val="00E011B3"/>
    <w:rsid w:val="00E0639C"/>
    <w:rsid w:val="00E074A3"/>
    <w:rsid w:val="00E11AC3"/>
    <w:rsid w:val="00E15B1D"/>
    <w:rsid w:val="00E163E5"/>
    <w:rsid w:val="00E20255"/>
    <w:rsid w:val="00E20D9B"/>
    <w:rsid w:val="00E20F72"/>
    <w:rsid w:val="00E21B56"/>
    <w:rsid w:val="00E21FB1"/>
    <w:rsid w:val="00E22532"/>
    <w:rsid w:val="00E228B5"/>
    <w:rsid w:val="00E26171"/>
    <w:rsid w:val="00E3193A"/>
    <w:rsid w:val="00E326DE"/>
    <w:rsid w:val="00E365FA"/>
    <w:rsid w:val="00E36DD5"/>
    <w:rsid w:val="00E3763A"/>
    <w:rsid w:val="00E410EF"/>
    <w:rsid w:val="00E416BC"/>
    <w:rsid w:val="00E42815"/>
    <w:rsid w:val="00E46919"/>
    <w:rsid w:val="00E47911"/>
    <w:rsid w:val="00E50BE2"/>
    <w:rsid w:val="00E52C0E"/>
    <w:rsid w:val="00E53023"/>
    <w:rsid w:val="00E535A1"/>
    <w:rsid w:val="00E53A5B"/>
    <w:rsid w:val="00E56B49"/>
    <w:rsid w:val="00E606E1"/>
    <w:rsid w:val="00E6077C"/>
    <w:rsid w:val="00E630CF"/>
    <w:rsid w:val="00E641D0"/>
    <w:rsid w:val="00E70073"/>
    <w:rsid w:val="00E703B0"/>
    <w:rsid w:val="00E704D5"/>
    <w:rsid w:val="00E71AD8"/>
    <w:rsid w:val="00E72659"/>
    <w:rsid w:val="00E749D2"/>
    <w:rsid w:val="00E759B9"/>
    <w:rsid w:val="00E76C19"/>
    <w:rsid w:val="00E76D31"/>
    <w:rsid w:val="00E81128"/>
    <w:rsid w:val="00E84595"/>
    <w:rsid w:val="00E929D0"/>
    <w:rsid w:val="00E94208"/>
    <w:rsid w:val="00E9712B"/>
    <w:rsid w:val="00E973AA"/>
    <w:rsid w:val="00EA0425"/>
    <w:rsid w:val="00EA17DA"/>
    <w:rsid w:val="00EA4EB8"/>
    <w:rsid w:val="00EA54A7"/>
    <w:rsid w:val="00EB0B1D"/>
    <w:rsid w:val="00EB42AB"/>
    <w:rsid w:val="00EB67BB"/>
    <w:rsid w:val="00EC2770"/>
    <w:rsid w:val="00EC7715"/>
    <w:rsid w:val="00ED01D5"/>
    <w:rsid w:val="00ED374C"/>
    <w:rsid w:val="00ED40FA"/>
    <w:rsid w:val="00ED4546"/>
    <w:rsid w:val="00ED6C63"/>
    <w:rsid w:val="00ED77CA"/>
    <w:rsid w:val="00EE3408"/>
    <w:rsid w:val="00EE4290"/>
    <w:rsid w:val="00EE5DD8"/>
    <w:rsid w:val="00EF0221"/>
    <w:rsid w:val="00EF0C4D"/>
    <w:rsid w:val="00EF0C80"/>
    <w:rsid w:val="00EF3084"/>
    <w:rsid w:val="00EF654F"/>
    <w:rsid w:val="00F1364B"/>
    <w:rsid w:val="00F151B3"/>
    <w:rsid w:val="00F16031"/>
    <w:rsid w:val="00F20368"/>
    <w:rsid w:val="00F22A2C"/>
    <w:rsid w:val="00F23D91"/>
    <w:rsid w:val="00F2407F"/>
    <w:rsid w:val="00F2685F"/>
    <w:rsid w:val="00F26E47"/>
    <w:rsid w:val="00F2740C"/>
    <w:rsid w:val="00F31311"/>
    <w:rsid w:val="00F31A2C"/>
    <w:rsid w:val="00F3641D"/>
    <w:rsid w:val="00F36D99"/>
    <w:rsid w:val="00F425EF"/>
    <w:rsid w:val="00F45B13"/>
    <w:rsid w:val="00F469D7"/>
    <w:rsid w:val="00F51AFC"/>
    <w:rsid w:val="00F53481"/>
    <w:rsid w:val="00F54789"/>
    <w:rsid w:val="00F5551A"/>
    <w:rsid w:val="00F56D9C"/>
    <w:rsid w:val="00F57DD8"/>
    <w:rsid w:val="00F629D6"/>
    <w:rsid w:val="00F64798"/>
    <w:rsid w:val="00F647FE"/>
    <w:rsid w:val="00F663B5"/>
    <w:rsid w:val="00F705DC"/>
    <w:rsid w:val="00F72DD9"/>
    <w:rsid w:val="00F7482C"/>
    <w:rsid w:val="00F7667A"/>
    <w:rsid w:val="00F81044"/>
    <w:rsid w:val="00F8341E"/>
    <w:rsid w:val="00F83CBC"/>
    <w:rsid w:val="00F86CCC"/>
    <w:rsid w:val="00F92089"/>
    <w:rsid w:val="00F93930"/>
    <w:rsid w:val="00F93F32"/>
    <w:rsid w:val="00F950B7"/>
    <w:rsid w:val="00F9653A"/>
    <w:rsid w:val="00FA1AA4"/>
    <w:rsid w:val="00FA2CE2"/>
    <w:rsid w:val="00FA779F"/>
    <w:rsid w:val="00FB401D"/>
    <w:rsid w:val="00FB449D"/>
    <w:rsid w:val="00FB4767"/>
    <w:rsid w:val="00FB482A"/>
    <w:rsid w:val="00FB6DFF"/>
    <w:rsid w:val="00FC036B"/>
    <w:rsid w:val="00FC0549"/>
    <w:rsid w:val="00FC2B85"/>
    <w:rsid w:val="00FC3690"/>
    <w:rsid w:val="00FC5618"/>
    <w:rsid w:val="00FC66CF"/>
    <w:rsid w:val="00FC6F85"/>
    <w:rsid w:val="00FD20F6"/>
    <w:rsid w:val="00FE062C"/>
    <w:rsid w:val="00FE0DA3"/>
    <w:rsid w:val="00FE1CBA"/>
    <w:rsid w:val="00FE1FFE"/>
    <w:rsid w:val="00FE4E5E"/>
    <w:rsid w:val="00FE7D45"/>
    <w:rsid w:val="00FF25A9"/>
    <w:rsid w:val="00FF3516"/>
    <w:rsid w:val="00FF4961"/>
    <w:rsid w:val="00FF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31A671C6"/>
  <w15:docId w15:val="{4586AB3C-AE37-4950-BFFC-2B02374D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45"/>
    <w:pPr>
      <w:spacing w:after="0" w:line="240" w:lineRule="auto"/>
    </w:pPr>
  </w:style>
  <w:style w:type="paragraph" w:styleId="Heading1">
    <w:name w:val="heading 1"/>
    <w:aliases w:val="Section Header"/>
    <w:basedOn w:val="Normal"/>
    <w:next w:val="Normal"/>
    <w:link w:val="Heading1Char"/>
    <w:uiPriority w:val="9"/>
    <w:qFormat/>
    <w:rsid w:val="00932610"/>
    <w:pPr>
      <w:numPr>
        <w:numId w:val="2"/>
      </w:numPr>
      <w:spacing w:line="480" w:lineRule="auto"/>
      <w:jc w:val="center"/>
      <w:outlineLvl w:val="0"/>
    </w:pPr>
    <w:rPr>
      <w:rFonts w:eastAsia="Times New Roman"/>
      <w:b/>
    </w:rPr>
  </w:style>
  <w:style w:type="paragraph" w:styleId="Heading2">
    <w:name w:val="heading 2"/>
    <w:basedOn w:val="Normal"/>
    <w:next w:val="Normal"/>
    <w:link w:val="Heading2Char"/>
    <w:uiPriority w:val="9"/>
    <w:unhideWhenUsed/>
    <w:qFormat/>
    <w:rsid w:val="00932610"/>
    <w:pPr>
      <w:numPr>
        <w:numId w:val="3"/>
      </w:numPr>
      <w:spacing w:line="480" w:lineRule="auto"/>
      <w:outlineLvl w:val="1"/>
    </w:pPr>
    <w:rPr>
      <w:rFonts w:eastAsia="Times New Roman"/>
      <w:b/>
    </w:rPr>
  </w:style>
  <w:style w:type="paragraph" w:styleId="Heading4">
    <w:name w:val="heading 4"/>
    <w:basedOn w:val="Normal"/>
    <w:next w:val="Normal"/>
    <w:link w:val="Heading4Char"/>
    <w:uiPriority w:val="9"/>
    <w:semiHidden/>
    <w:unhideWhenUsed/>
    <w:qFormat/>
    <w:rsid w:val="00337A3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37A33"/>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aliases w:val="Question"/>
    <w:basedOn w:val="Heading2"/>
    <w:next w:val="Normal"/>
    <w:link w:val="Heading8Char"/>
    <w:uiPriority w:val="9"/>
    <w:unhideWhenUsed/>
    <w:qFormat/>
    <w:rsid w:val="00932610"/>
    <w:pPr>
      <w:numPr>
        <w:numId w:val="0"/>
      </w:numPr>
      <w:ind w:left="720" w:hanging="72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aliases w:val="ALTS FOOTNOTE,Footnote Text Char1 Char,Footnote Text Char Char Char,Footnote Text Char1 Char Char Char,Footnote Text Char Char Char Char Char,Footnote Text Char Char1 Char,Footnote Text Char1 Char1 Char,Footnote Text Char Char1,fn"/>
    <w:basedOn w:val="Normal"/>
    <w:link w:val="FootnoteTextChar"/>
    <w:unhideWhenUsed/>
    <w:qFormat/>
    <w:rsid w:val="00581E3B"/>
    <w:rPr>
      <w:sz w:val="20"/>
      <w:szCs w:val="20"/>
    </w:rPr>
  </w:style>
  <w:style w:type="character" w:customStyle="1" w:styleId="FootnoteTextChar">
    <w:name w:val="Footnote Text Char"/>
    <w:aliases w:val="ALTS FOOTNOTE Char,Footnote Text Char1 Char Char,Footnote Text Char Char Char Char,Footnote Text Char1 Char Char Char Char,Footnote Text Char Char Char Char Char Char,Footnote Text Char Char1 Char Char,Footnote Text Char Char1 Char1"/>
    <w:basedOn w:val="DefaultParagraphFont"/>
    <w:link w:val="FootnoteText"/>
    <w:rsid w:val="00581E3B"/>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iPriority w:val="99"/>
    <w:unhideWhenUsed/>
    <w:qFormat/>
    <w:rsid w:val="00581E3B"/>
    <w:rPr>
      <w:vertAlign w:val="superscript"/>
    </w:rPr>
  </w:style>
  <w:style w:type="character" w:customStyle="1" w:styleId="Heading1Char">
    <w:name w:val="Heading 1 Char"/>
    <w:aliases w:val="Section Header Char"/>
    <w:basedOn w:val="DefaultParagraphFont"/>
    <w:link w:val="Heading1"/>
    <w:uiPriority w:val="9"/>
    <w:rsid w:val="00932610"/>
    <w:rPr>
      <w:rFonts w:eastAsia="Times New Roman"/>
      <w:b/>
    </w:rPr>
  </w:style>
  <w:style w:type="character" w:customStyle="1" w:styleId="Heading2Char">
    <w:name w:val="Heading 2 Char"/>
    <w:basedOn w:val="DefaultParagraphFont"/>
    <w:link w:val="Heading2"/>
    <w:uiPriority w:val="9"/>
    <w:rsid w:val="00932610"/>
    <w:rPr>
      <w:rFonts w:eastAsia="Times New Roman"/>
      <w:b/>
    </w:rPr>
  </w:style>
  <w:style w:type="character" w:customStyle="1" w:styleId="Heading8Char">
    <w:name w:val="Heading 8 Char"/>
    <w:aliases w:val="Question Char"/>
    <w:basedOn w:val="DefaultParagraphFont"/>
    <w:link w:val="Heading8"/>
    <w:uiPriority w:val="9"/>
    <w:rsid w:val="00932610"/>
    <w:rPr>
      <w:rFonts w:eastAsia="Times New Roman"/>
      <w:b/>
    </w:rPr>
  </w:style>
  <w:style w:type="paragraph" w:styleId="NoSpacing">
    <w:name w:val="No Spacing"/>
    <w:aliases w:val="Answer"/>
    <w:basedOn w:val="Normal"/>
    <w:uiPriority w:val="1"/>
    <w:qFormat/>
    <w:rsid w:val="00932610"/>
    <w:pPr>
      <w:spacing w:line="480" w:lineRule="auto"/>
      <w:ind w:left="720" w:hanging="720"/>
    </w:pPr>
    <w:rPr>
      <w:rFonts w:eastAsia="Times New Roman"/>
    </w:rPr>
  </w:style>
  <w:style w:type="character" w:styleId="CommentReference">
    <w:name w:val="annotation reference"/>
    <w:basedOn w:val="DefaultParagraphFont"/>
    <w:uiPriority w:val="99"/>
    <w:semiHidden/>
    <w:unhideWhenUsed/>
    <w:rsid w:val="00932610"/>
    <w:rPr>
      <w:sz w:val="16"/>
      <w:szCs w:val="16"/>
    </w:rPr>
  </w:style>
  <w:style w:type="paragraph" w:styleId="CommentText">
    <w:name w:val="annotation text"/>
    <w:basedOn w:val="Normal"/>
    <w:link w:val="CommentTextChar"/>
    <w:uiPriority w:val="99"/>
    <w:semiHidden/>
    <w:unhideWhenUsed/>
    <w:rsid w:val="00932610"/>
    <w:rPr>
      <w:sz w:val="20"/>
      <w:szCs w:val="20"/>
    </w:rPr>
  </w:style>
  <w:style w:type="character" w:customStyle="1" w:styleId="CommentTextChar">
    <w:name w:val="Comment Text Char"/>
    <w:basedOn w:val="DefaultParagraphFont"/>
    <w:link w:val="CommentText"/>
    <w:uiPriority w:val="99"/>
    <w:semiHidden/>
    <w:rsid w:val="00932610"/>
    <w:rPr>
      <w:sz w:val="20"/>
      <w:szCs w:val="20"/>
    </w:rPr>
  </w:style>
  <w:style w:type="paragraph" w:styleId="TOC2">
    <w:name w:val="toc 2"/>
    <w:basedOn w:val="Normal"/>
    <w:next w:val="Normal"/>
    <w:autoRedefine/>
    <w:uiPriority w:val="39"/>
    <w:unhideWhenUsed/>
    <w:qFormat/>
    <w:rsid w:val="000C2D43"/>
    <w:pPr>
      <w:tabs>
        <w:tab w:val="left" w:pos="1440"/>
        <w:tab w:val="left" w:pos="2160"/>
        <w:tab w:val="left" w:pos="2880"/>
        <w:tab w:val="right" w:leader="dot" w:pos="9350"/>
      </w:tabs>
      <w:spacing w:after="100" w:line="276" w:lineRule="auto"/>
      <w:ind w:left="810" w:hanging="810"/>
    </w:pPr>
    <w:rPr>
      <w:rFonts w:eastAsiaTheme="minorEastAsia"/>
      <w:lang w:eastAsia="ja-JP"/>
    </w:rPr>
  </w:style>
  <w:style w:type="paragraph" w:styleId="TOC1">
    <w:name w:val="toc 1"/>
    <w:basedOn w:val="Normal"/>
    <w:next w:val="Normal"/>
    <w:autoRedefine/>
    <w:uiPriority w:val="39"/>
    <w:unhideWhenUsed/>
    <w:qFormat/>
    <w:rsid w:val="000C2D43"/>
    <w:pPr>
      <w:tabs>
        <w:tab w:val="left" w:pos="720"/>
        <w:tab w:val="left" w:pos="1440"/>
        <w:tab w:val="right" w:leader="dot" w:pos="9350"/>
      </w:tabs>
      <w:spacing w:after="100" w:line="276" w:lineRule="auto"/>
    </w:pPr>
    <w:rPr>
      <w:rFonts w:ascii="Times New Roman Bold" w:eastAsiaTheme="minorEastAsia" w:hAnsi="Times New Roman Bold"/>
      <w:caps/>
      <w:noProof/>
      <w:lang w:eastAsia="ja-JP"/>
    </w:rPr>
  </w:style>
  <w:style w:type="paragraph" w:styleId="BodyTextIndent2">
    <w:name w:val="Body Text Indent 2"/>
    <w:basedOn w:val="Normal"/>
    <w:link w:val="BodyTextIndent2Char"/>
    <w:rsid w:val="00932610"/>
    <w:pPr>
      <w:spacing w:line="480" w:lineRule="auto"/>
      <w:ind w:left="720" w:hanging="360"/>
    </w:pPr>
    <w:rPr>
      <w:rFonts w:eastAsia="Times New Roman"/>
    </w:rPr>
  </w:style>
  <w:style w:type="character" w:customStyle="1" w:styleId="BodyTextIndent2Char">
    <w:name w:val="Body Text Indent 2 Char"/>
    <w:basedOn w:val="DefaultParagraphFont"/>
    <w:link w:val="BodyTextIndent2"/>
    <w:rsid w:val="00932610"/>
    <w:rPr>
      <w:rFonts w:eastAsia="Times New Roman"/>
    </w:rPr>
  </w:style>
  <w:style w:type="paragraph" w:styleId="BalloonText">
    <w:name w:val="Balloon Text"/>
    <w:basedOn w:val="Normal"/>
    <w:link w:val="BalloonTextChar"/>
    <w:uiPriority w:val="99"/>
    <w:semiHidden/>
    <w:unhideWhenUsed/>
    <w:rsid w:val="00932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28B5"/>
    <w:rPr>
      <w:b/>
      <w:bCs/>
    </w:rPr>
  </w:style>
  <w:style w:type="character" w:customStyle="1" w:styleId="CommentSubjectChar">
    <w:name w:val="Comment Subject Char"/>
    <w:basedOn w:val="CommentTextChar"/>
    <w:link w:val="CommentSubject"/>
    <w:uiPriority w:val="99"/>
    <w:semiHidden/>
    <w:rsid w:val="00E228B5"/>
    <w:rPr>
      <w:b/>
      <w:bCs/>
      <w:sz w:val="20"/>
      <w:szCs w:val="20"/>
    </w:rPr>
  </w:style>
  <w:style w:type="paragraph" w:styleId="Revision">
    <w:name w:val="Revision"/>
    <w:hidden/>
    <w:uiPriority w:val="99"/>
    <w:semiHidden/>
    <w:rsid w:val="006342DD"/>
    <w:pPr>
      <w:spacing w:after="0" w:line="240" w:lineRule="auto"/>
    </w:pPr>
  </w:style>
  <w:style w:type="character" w:customStyle="1" w:styleId="Heading4Char">
    <w:name w:val="Heading 4 Char"/>
    <w:basedOn w:val="DefaultParagraphFont"/>
    <w:link w:val="Heading4"/>
    <w:uiPriority w:val="9"/>
    <w:semiHidden/>
    <w:rsid w:val="00337A3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37A3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2016-03-17T20:34:30+00:00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00D5E-6C95-4B29-96DB-E86326A2D090}"/>
</file>

<file path=customXml/itemProps2.xml><?xml version="1.0" encoding="utf-8"?>
<ds:datastoreItem xmlns:ds="http://schemas.openxmlformats.org/officeDocument/2006/customXml" ds:itemID="{414B1EC4-0B0F-4B6A-9345-7F876FD1F152}"/>
</file>

<file path=customXml/itemProps3.xml><?xml version="1.0" encoding="utf-8"?>
<ds:datastoreItem xmlns:ds="http://schemas.openxmlformats.org/officeDocument/2006/customXml" ds:itemID="{6D128EC3-A66F-4CD9-8870-C86A756ABDC5}"/>
</file>

<file path=customXml/itemProps4.xml><?xml version="1.0" encoding="utf-8"?>
<ds:datastoreItem xmlns:ds="http://schemas.openxmlformats.org/officeDocument/2006/customXml" ds:itemID="{64AB0E2B-3CFD-4BA9-840F-54C7AA22A815}"/>
</file>

<file path=customXml/itemProps5.xml><?xml version="1.0" encoding="utf-8"?>
<ds:datastoreItem xmlns:ds="http://schemas.openxmlformats.org/officeDocument/2006/customXml" ds:itemID="{E2D115E8-CC8C-4B96-97C6-19F99D19B468}"/>
</file>

<file path=docProps/app.xml><?xml version="1.0" encoding="utf-8"?>
<Properties xmlns="http://schemas.openxmlformats.org/officeDocument/2006/extended-properties" xmlns:vt="http://schemas.openxmlformats.org/officeDocument/2006/docPropsVTypes">
  <Template>Normal.dotm</Template>
  <TotalTime>9841</TotalTime>
  <Pages>37</Pages>
  <Words>6837</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152253 - O'Connell Testimony 3-17-16</vt:lpstr>
    </vt:vector>
  </TitlesOfParts>
  <Company>Washington Utilities and Transportation Commission</Company>
  <LinksUpToDate>false</LinksUpToDate>
  <CharactersWithSpaces>45718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152253 - O'Connell Testimony 3-17-16</dc:title>
  <dc:subject/>
  <dc:creator>Information Services</dc:creator>
  <cp:keywords/>
  <dc:description/>
  <cp:lastModifiedBy>DeMarco, Betsy (UTC)</cp:lastModifiedBy>
  <cp:revision>478</cp:revision>
  <cp:lastPrinted>2016-03-17T17:41:00Z</cp:lastPrinted>
  <dcterms:created xsi:type="dcterms:W3CDTF">2016-01-05T17:24:00Z</dcterms:created>
  <dcterms:modified xsi:type="dcterms:W3CDTF">2016-03-17T17:42:00Z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