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6AA31" w14:textId="77777777" w:rsidR="004026AD" w:rsidRPr="00683785" w:rsidRDefault="004026AD" w:rsidP="00683785">
      <w:pPr>
        <w:tabs>
          <w:tab w:val="center" w:pos="4680"/>
        </w:tabs>
        <w:spacing w:line="240" w:lineRule="exact"/>
        <w:ind w:right="-252" w:hanging="360"/>
        <w:jc w:val="both"/>
        <w:rPr>
          <w:rFonts w:eastAsia="Times New Roman" w:cs="Times New Roman"/>
          <w:b/>
          <w:bCs/>
          <w:szCs w:val="24"/>
        </w:rPr>
      </w:pPr>
      <w:r w:rsidRPr="00683785">
        <w:rPr>
          <w:rFonts w:eastAsia="Times New Roman" w:cs="Times New Roman"/>
          <w:b/>
          <w:bCs/>
          <w:szCs w:val="24"/>
        </w:rPr>
        <w:tab/>
      </w:r>
      <w:r w:rsidRPr="00683785">
        <w:rPr>
          <w:rFonts w:eastAsia="Times New Roman" w:cs="Times New Roman"/>
          <w:b/>
          <w:bCs/>
          <w:szCs w:val="24"/>
        </w:rPr>
        <w:tab/>
      </w:r>
      <w:r w:rsidRPr="00683785">
        <w:rPr>
          <w:rFonts w:eastAsia="Times New Roman" w:cs="Times New Roman"/>
          <w:b/>
          <w:bCs/>
          <w:szCs w:val="24"/>
        </w:rPr>
        <w:tab/>
      </w:r>
      <w:r w:rsidRPr="00683785">
        <w:rPr>
          <w:rFonts w:eastAsia="Times New Roman" w:cs="Times New Roman"/>
          <w:b/>
          <w:bCs/>
          <w:szCs w:val="24"/>
        </w:rPr>
        <w:tab/>
        <w:t>Exhibit No. ___</w:t>
      </w:r>
      <w:r w:rsidR="005F4293" w:rsidRPr="00683785">
        <w:rPr>
          <w:rFonts w:eastAsia="Times New Roman" w:cs="Times New Roman"/>
          <w:b/>
          <w:bCs/>
          <w:szCs w:val="24"/>
        </w:rPr>
        <w:t xml:space="preserve"> (JLB-1</w:t>
      </w:r>
      <w:r w:rsidR="00B13018" w:rsidRPr="00683785">
        <w:rPr>
          <w:rFonts w:eastAsia="Times New Roman" w:cs="Times New Roman"/>
          <w:b/>
          <w:bCs/>
          <w:szCs w:val="24"/>
        </w:rPr>
        <w:t>T</w:t>
      </w:r>
      <w:r w:rsidR="005F4293" w:rsidRPr="00683785">
        <w:rPr>
          <w:rFonts w:eastAsia="Times New Roman" w:cs="Times New Roman"/>
          <w:b/>
          <w:bCs/>
          <w:szCs w:val="24"/>
        </w:rPr>
        <w:t>)</w:t>
      </w:r>
      <w:r w:rsidRPr="00683785">
        <w:rPr>
          <w:rFonts w:eastAsia="Times New Roman" w:cs="Times New Roman"/>
          <w:b/>
          <w:bCs/>
          <w:szCs w:val="24"/>
        </w:rPr>
        <w:t xml:space="preserve"> </w:t>
      </w:r>
    </w:p>
    <w:p w14:paraId="6D5BFBBB" w14:textId="57776069" w:rsidR="004026AD" w:rsidRPr="00683785" w:rsidRDefault="004026AD" w:rsidP="00683785">
      <w:pPr>
        <w:tabs>
          <w:tab w:val="center" w:pos="4680"/>
        </w:tabs>
        <w:spacing w:line="240" w:lineRule="exact"/>
        <w:ind w:right="-252" w:hanging="360"/>
        <w:jc w:val="both"/>
        <w:rPr>
          <w:rFonts w:eastAsia="Times New Roman" w:cs="Times New Roman"/>
          <w:b/>
          <w:bCs/>
          <w:szCs w:val="24"/>
        </w:rPr>
      </w:pPr>
      <w:r w:rsidRPr="00683785">
        <w:rPr>
          <w:rFonts w:eastAsia="Times New Roman" w:cs="Times New Roman"/>
          <w:b/>
          <w:bCs/>
          <w:szCs w:val="24"/>
        </w:rPr>
        <w:tab/>
      </w:r>
      <w:r w:rsidRPr="00683785">
        <w:rPr>
          <w:rFonts w:eastAsia="Times New Roman" w:cs="Times New Roman"/>
          <w:b/>
          <w:bCs/>
          <w:szCs w:val="24"/>
        </w:rPr>
        <w:tab/>
      </w:r>
      <w:r w:rsidRPr="00683785">
        <w:rPr>
          <w:rFonts w:eastAsia="Times New Roman" w:cs="Times New Roman"/>
          <w:b/>
          <w:bCs/>
          <w:szCs w:val="24"/>
        </w:rPr>
        <w:tab/>
      </w:r>
      <w:r w:rsidRPr="00683785">
        <w:rPr>
          <w:rFonts w:eastAsia="Times New Roman" w:cs="Times New Roman"/>
          <w:b/>
          <w:bCs/>
          <w:szCs w:val="24"/>
        </w:rPr>
        <w:tab/>
        <w:t>Docket</w:t>
      </w:r>
      <w:r w:rsidR="000F6569" w:rsidRPr="00683785">
        <w:rPr>
          <w:rFonts w:eastAsia="Times New Roman" w:cs="Times New Roman"/>
          <w:b/>
          <w:bCs/>
          <w:szCs w:val="24"/>
        </w:rPr>
        <w:t>s</w:t>
      </w:r>
      <w:r w:rsidRPr="00683785">
        <w:rPr>
          <w:rFonts w:eastAsia="Times New Roman" w:cs="Times New Roman"/>
          <w:b/>
          <w:bCs/>
          <w:szCs w:val="24"/>
        </w:rPr>
        <w:t xml:space="preserve"> UE-1</w:t>
      </w:r>
      <w:r w:rsidR="00941389" w:rsidRPr="00683785">
        <w:rPr>
          <w:rFonts w:eastAsia="Times New Roman" w:cs="Times New Roman"/>
          <w:b/>
          <w:bCs/>
          <w:szCs w:val="24"/>
        </w:rPr>
        <w:t>40</w:t>
      </w:r>
      <w:r w:rsidR="001B0196" w:rsidRPr="00683785">
        <w:rPr>
          <w:rFonts w:eastAsia="Times New Roman" w:cs="Times New Roman"/>
          <w:b/>
          <w:bCs/>
          <w:szCs w:val="24"/>
        </w:rPr>
        <w:t>762</w:t>
      </w:r>
      <w:r w:rsidR="000F6569" w:rsidRPr="00683785">
        <w:rPr>
          <w:rFonts w:eastAsia="Times New Roman" w:cs="Times New Roman"/>
          <w:b/>
          <w:bCs/>
          <w:szCs w:val="24"/>
        </w:rPr>
        <w:t xml:space="preserve"> et al. </w:t>
      </w:r>
    </w:p>
    <w:p w14:paraId="7CD51E48" w14:textId="77777777" w:rsidR="004026AD" w:rsidRPr="00683785" w:rsidRDefault="004026AD" w:rsidP="00683785">
      <w:pPr>
        <w:tabs>
          <w:tab w:val="center" w:pos="4680"/>
        </w:tabs>
        <w:spacing w:line="240" w:lineRule="exact"/>
        <w:ind w:right="-252" w:hanging="360"/>
        <w:jc w:val="both"/>
        <w:rPr>
          <w:rFonts w:eastAsia="Times New Roman" w:cs="Times New Roman"/>
          <w:b/>
          <w:bCs/>
          <w:szCs w:val="24"/>
        </w:rPr>
      </w:pPr>
      <w:r w:rsidRPr="00683785">
        <w:rPr>
          <w:rFonts w:eastAsia="Times New Roman" w:cs="Times New Roman"/>
          <w:b/>
          <w:bCs/>
          <w:szCs w:val="24"/>
        </w:rPr>
        <w:tab/>
      </w:r>
      <w:r w:rsidRPr="00683785">
        <w:rPr>
          <w:rFonts w:eastAsia="Times New Roman" w:cs="Times New Roman"/>
          <w:b/>
          <w:bCs/>
          <w:szCs w:val="24"/>
        </w:rPr>
        <w:tab/>
      </w:r>
      <w:r w:rsidRPr="00683785">
        <w:rPr>
          <w:rFonts w:eastAsia="Times New Roman" w:cs="Times New Roman"/>
          <w:b/>
          <w:bCs/>
          <w:szCs w:val="24"/>
        </w:rPr>
        <w:tab/>
      </w:r>
      <w:r w:rsidRPr="00683785">
        <w:rPr>
          <w:rFonts w:eastAsia="Times New Roman" w:cs="Times New Roman"/>
          <w:b/>
          <w:bCs/>
          <w:szCs w:val="24"/>
        </w:rPr>
        <w:tab/>
        <w:t xml:space="preserve">Witness: </w:t>
      </w:r>
      <w:r w:rsidR="005F4293" w:rsidRPr="00683785">
        <w:rPr>
          <w:rFonts w:eastAsia="Times New Roman" w:cs="Times New Roman"/>
          <w:b/>
          <w:bCs/>
          <w:szCs w:val="24"/>
        </w:rPr>
        <w:t>Jason L. Ball</w:t>
      </w:r>
    </w:p>
    <w:p w14:paraId="16F798FC" w14:textId="77777777" w:rsidR="004026AD" w:rsidRPr="00683785" w:rsidRDefault="004026AD" w:rsidP="00683785">
      <w:pPr>
        <w:tabs>
          <w:tab w:val="center" w:pos="4680"/>
        </w:tabs>
        <w:spacing w:line="240" w:lineRule="exact"/>
        <w:ind w:right="-252" w:hanging="360"/>
        <w:jc w:val="both"/>
        <w:rPr>
          <w:rFonts w:eastAsia="Times New Roman" w:cs="Times New Roman"/>
          <w:b/>
          <w:bCs/>
          <w:szCs w:val="24"/>
        </w:rPr>
      </w:pPr>
      <w:r w:rsidRPr="00683785">
        <w:rPr>
          <w:rFonts w:eastAsia="Times New Roman" w:cs="Times New Roman"/>
          <w:b/>
          <w:bCs/>
          <w:szCs w:val="24"/>
        </w:rPr>
        <w:tab/>
      </w:r>
      <w:r w:rsidRPr="00683785">
        <w:rPr>
          <w:rFonts w:eastAsia="Times New Roman" w:cs="Times New Roman"/>
          <w:b/>
          <w:bCs/>
          <w:szCs w:val="24"/>
        </w:rPr>
        <w:tab/>
      </w:r>
      <w:r w:rsidRPr="00683785">
        <w:rPr>
          <w:rFonts w:eastAsia="Times New Roman" w:cs="Times New Roman"/>
          <w:b/>
          <w:bCs/>
          <w:szCs w:val="24"/>
        </w:rPr>
        <w:tab/>
      </w:r>
    </w:p>
    <w:p w14:paraId="33B4B385" w14:textId="77777777" w:rsidR="004026AD" w:rsidRPr="00683785" w:rsidRDefault="004026AD" w:rsidP="00683785">
      <w:pPr>
        <w:tabs>
          <w:tab w:val="center" w:pos="4680"/>
        </w:tabs>
        <w:spacing w:line="240" w:lineRule="exact"/>
        <w:ind w:right="-252" w:hanging="360"/>
        <w:jc w:val="both"/>
        <w:rPr>
          <w:rFonts w:eastAsia="Times New Roman" w:cs="Times New Roman"/>
          <w:b/>
          <w:bCs/>
          <w:szCs w:val="24"/>
        </w:rPr>
      </w:pPr>
    </w:p>
    <w:p w14:paraId="084D1AC6" w14:textId="77777777" w:rsidR="00683785" w:rsidRPr="00683785" w:rsidRDefault="00683785" w:rsidP="00683785">
      <w:pPr>
        <w:tabs>
          <w:tab w:val="center" w:pos="4680"/>
        </w:tabs>
        <w:spacing w:line="240" w:lineRule="exact"/>
        <w:ind w:right="-432" w:hanging="720"/>
        <w:jc w:val="center"/>
        <w:rPr>
          <w:rFonts w:cs="Times New Roman"/>
          <w:b/>
          <w:szCs w:val="24"/>
        </w:rPr>
      </w:pPr>
      <w:r w:rsidRPr="00683785">
        <w:rPr>
          <w:rFonts w:cs="Times New Roman"/>
          <w:b/>
          <w:szCs w:val="24"/>
        </w:rPr>
        <w:t>BEFORE THE WASHINGTON</w:t>
      </w:r>
    </w:p>
    <w:p w14:paraId="1108D694" w14:textId="77777777" w:rsidR="00683785" w:rsidRPr="00683785" w:rsidRDefault="00683785" w:rsidP="00683785">
      <w:pPr>
        <w:tabs>
          <w:tab w:val="center" w:pos="4680"/>
        </w:tabs>
        <w:spacing w:line="240" w:lineRule="exact"/>
        <w:ind w:right="-432" w:hanging="720"/>
        <w:jc w:val="center"/>
        <w:rPr>
          <w:rFonts w:cs="Times New Roman"/>
          <w:b/>
          <w:szCs w:val="24"/>
        </w:rPr>
      </w:pPr>
      <w:r w:rsidRPr="00683785">
        <w:rPr>
          <w:rFonts w:cs="Times New Roman"/>
          <w:b/>
          <w:szCs w:val="24"/>
        </w:rPr>
        <w:t>UTILITIES AND TRANSPORTATION COMMISSION</w:t>
      </w:r>
    </w:p>
    <w:p w14:paraId="1B1CAB88" w14:textId="77777777" w:rsidR="00683785" w:rsidRPr="00683785" w:rsidRDefault="00683785" w:rsidP="00683785">
      <w:pPr>
        <w:spacing w:line="240" w:lineRule="exact"/>
        <w:jc w:val="both"/>
        <w:rPr>
          <w:rFonts w:cs="Times New Roman"/>
          <w:b/>
          <w:szCs w:val="24"/>
        </w:rPr>
      </w:pPr>
    </w:p>
    <w:tbl>
      <w:tblPr>
        <w:tblW w:w="9180" w:type="dxa"/>
        <w:tblInd w:w="124" w:type="dxa"/>
        <w:tblLayout w:type="fixed"/>
        <w:tblCellMar>
          <w:left w:w="124" w:type="dxa"/>
          <w:right w:w="124" w:type="dxa"/>
        </w:tblCellMar>
        <w:tblLook w:val="04A0" w:firstRow="1" w:lastRow="0" w:firstColumn="1" w:lastColumn="0" w:noHBand="0" w:noVBand="1"/>
      </w:tblPr>
      <w:tblGrid>
        <w:gridCol w:w="4590"/>
        <w:gridCol w:w="4590"/>
      </w:tblGrid>
      <w:tr w:rsidR="00683785" w:rsidRPr="00683785" w14:paraId="1BB889DD" w14:textId="77777777" w:rsidTr="00683785">
        <w:tc>
          <w:tcPr>
            <w:tcW w:w="4590" w:type="dxa"/>
            <w:tcBorders>
              <w:top w:val="single" w:sz="6" w:space="0" w:color="FFFFFF"/>
              <w:left w:val="single" w:sz="6" w:space="0" w:color="FFFFFF"/>
              <w:bottom w:val="single" w:sz="6" w:space="0" w:color="000000"/>
              <w:right w:val="single" w:sz="6" w:space="0" w:color="FFFFFF"/>
            </w:tcBorders>
          </w:tcPr>
          <w:p w14:paraId="35ED49FD" w14:textId="77777777" w:rsidR="00683785" w:rsidRPr="00683785" w:rsidRDefault="00683785" w:rsidP="00683785">
            <w:pPr>
              <w:spacing w:line="240" w:lineRule="exact"/>
              <w:rPr>
                <w:rFonts w:cs="Times New Roman"/>
                <w:b/>
                <w:szCs w:val="24"/>
              </w:rPr>
            </w:pPr>
            <w:r w:rsidRPr="00683785">
              <w:rPr>
                <w:rFonts w:cs="Times New Roman"/>
                <w:b/>
                <w:szCs w:val="24"/>
              </w:rPr>
              <w:t>WASHINGTON UTILITIES AND TRANSPORTATION COMMISSION,</w:t>
            </w:r>
          </w:p>
          <w:p w14:paraId="6B3C309F" w14:textId="77777777" w:rsidR="00683785" w:rsidRPr="00683785" w:rsidRDefault="00683785" w:rsidP="00683785">
            <w:pPr>
              <w:spacing w:line="240" w:lineRule="exact"/>
              <w:rPr>
                <w:rFonts w:cs="Times New Roman"/>
                <w:b/>
                <w:szCs w:val="24"/>
              </w:rPr>
            </w:pPr>
          </w:p>
          <w:p w14:paraId="7F222910" w14:textId="77777777" w:rsidR="00683785" w:rsidRPr="00683785" w:rsidRDefault="00683785" w:rsidP="00683785">
            <w:pPr>
              <w:spacing w:line="240" w:lineRule="exact"/>
              <w:rPr>
                <w:rFonts w:cs="Times New Roman"/>
                <w:b/>
                <w:szCs w:val="24"/>
              </w:rPr>
            </w:pPr>
            <w:r w:rsidRPr="00683785">
              <w:rPr>
                <w:rFonts w:cs="Times New Roman"/>
                <w:b/>
                <w:szCs w:val="24"/>
              </w:rPr>
              <w:tab/>
            </w:r>
            <w:r w:rsidRPr="00683785">
              <w:rPr>
                <w:rFonts w:cs="Times New Roman"/>
                <w:b/>
                <w:szCs w:val="24"/>
              </w:rPr>
              <w:tab/>
            </w:r>
            <w:r w:rsidRPr="00683785">
              <w:rPr>
                <w:rFonts w:cs="Times New Roman"/>
                <w:b/>
                <w:szCs w:val="24"/>
              </w:rPr>
              <w:tab/>
              <w:t>Complainant,</w:t>
            </w:r>
          </w:p>
          <w:p w14:paraId="5C8E3AD4" w14:textId="77777777" w:rsidR="00683785" w:rsidRPr="00683785" w:rsidRDefault="00683785" w:rsidP="00683785">
            <w:pPr>
              <w:spacing w:line="240" w:lineRule="exact"/>
              <w:rPr>
                <w:rFonts w:cs="Times New Roman"/>
                <w:b/>
                <w:szCs w:val="24"/>
              </w:rPr>
            </w:pPr>
          </w:p>
          <w:p w14:paraId="5773C622" w14:textId="77777777" w:rsidR="00683785" w:rsidRPr="00683785" w:rsidRDefault="00683785" w:rsidP="00683785">
            <w:pPr>
              <w:spacing w:line="240" w:lineRule="exact"/>
              <w:rPr>
                <w:rFonts w:cs="Times New Roman"/>
                <w:b/>
                <w:szCs w:val="24"/>
              </w:rPr>
            </w:pPr>
            <w:proofErr w:type="gramStart"/>
            <w:r w:rsidRPr="00683785">
              <w:rPr>
                <w:rFonts w:cs="Times New Roman"/>
                <w:b/>
                <w:szCs w:val="24"/>
              </w:rPr>
              <w:t>v</w:t>
            </w:r>
            <w:proofErr w:type="gramEnd"/>
            <w:r w:rsidRPr="00683785">
              <w:rPr>
                <w:rFonts w:cs="Times New Roman"/>
                <w:b/>
                <w:szCs w:val="24"/>
              </w:rPr>
              <w:t>.</w:t>
            </w:r>
          </w:p>
          <w:p w14:paraId="0F84EE81" w14:textId="77777777" w:rsidR="00683785" w:rsidRPr="00683785" w:rsidRDefault="00683785" w:rsidP="00683785">
            <w:pPr>
              <w:spacing w:line="240" w:lineRule="exact"/>
              <w:rPr>
                <w:rFonts w:cs="Times New Roman"/>
                <w:b/>
                <w:szCs w:val="24"/>
              </w:rPr>
            </w:pPr>
          </w:p>
          <w:p w14:paraId="79BE90C5" w14:textId="77777777" w:rsidR="00683785" w:rsidRPr="00683785" w:rsidRDefault="00683785" w:rsidP="00683785">
            <w:pPr>
              <w:spacing w:line="240" w:lineRule="exact"/>
              <w:rPr>
                <w:rFonts w:cs="Times New Roman"/>
                <w:b/>
                <w:szCs w:val="24"/>
              </w:rPr>
            </w:pPr>
            <w:r w:rsidRPr="00683785">
              <w:rPr>
                <w:rFonts w:cs="Times New Roman"/>
                <w:b/>
                <w:szCs w:val="24"/>
              </w:rPr>
              <w:t>PACIFIC POWER &amp; LIGHT COMPANY,</w:t>
            </w:r>
          </w:p>
          <w:p w14:paraId="1EC4C177" w14:textId="77777777" w:rsidR="00683785" w:rsidRPr="00683785" w:rsidRDefault="00683785" w:rsidP="00683785">
            <w:pPr>
              <w:spacing w:line="240" w:lineRule="exact"/>
              <w:rPr>
                <w:rFonts w:cs="Times New Roman"/>
                <w:b/>
                <w:szCs w:val="24"/>
              </w:rPr>
            </w:pPr>
          </w:p>
          <w:p w14:paraId="7D3EBB48" w14:textId="77777777" w:rsidR="00683785" w:rsidRPr="00683785" w:rsidRDefault="00683785" w:rsidP="00683785">
            <w:pPr>
              <w:spacing w:line="240" w:lineRule="exact"/>
              <w:rPr>
                <w:rFonts w:cs="Times New Roman"/>
                <w:b/>
                <w:szCs w:val="24"/>
              </w:rPr>
            </w:pPr>
            <w:r w:rsidRPr="00683785">
              <w:rPr>
                <w:rFonts w:cs="Times New Roman"/>
                <w:b/>
                <w:szCs w:val="24"/>
              </w:rPr>
              <w:tab/>
            </w:r>
            <w:r w:rsidRPr="00683785">
              <w:rPr>
                <w:rFonts w:cs="Times New Roman"/>
                <w:b/>
                <w:szCs w:val="24"/>
              </w:rPr>
              <w:tab/>
            </w:r>
            <w:r w:rsidRPr="00683785">
              <w:rPr>
                <w:rFonts w:cs="Times New Roman"/>
                <w:b/>
                <w:szCs w:val="24"/>
              </w:rPr>
              <w:tab/>
              <w:t>Respondent.</w:t>
            </w:r>
          </w:p>
          <w:p w14:paraId="6AA3BD2D" w14:textId="77777777" w:rsidR="00683785" w:rsidRPr="00683785" w:rsidRDefault="00683785" w:rsidP="00683785">
            <w:pPr>
              <w:spacing w:line="240" w:lineRule="exact"/>
              <w:rPr>
                <w:rFonts w:cs="Times New Roman"/>
                <w:b/>
                <w:szCs w:val="24"/>
              </w:rPr>
            </w:pPr>
            <w:r w:rsidRPr="00683785">
              <w:rPr>
                <w:rFonts w:cs="Times New Roman"/>
                <w:b/>
                <w:szCs w:val="24"/>
              </w:rPr>
              <w:t>____________________________________</w:t>
            </w:r>
          </w:p>
          <w:p w14:paraId="269D69A6" w14:textId="77777777" w:rsidR="00683785" w:rsidRPr="00683785" w:rsidRDefault="00683785" w:rsidP="00683785">
            <w:pPr>
              <w:spacing w:line="240" w:lineRule="exact"/>
              <w:rPr>
                <w:rFonts w:cs="Times New Roman"/>
                <w:b/>
                <w:szCs w:val="24"/>
              </w:rPr>
            </w:pPr>
          </w:p>
          <w:p w14:paraId="7FEADA45" w14:textId="77777777" w:rsidR="00683785" w:rsidRPr="00683785" w:rsidRDefault="00683785" w:rsidP="00683785">
            <w:pPr>
              <w:spacing w:line="240" w:lineRule="exact"/>
              <w:rPr>
                <w:rFonts w:cs="Times New Roman"/>
                <w:b/>
                <w:szCs w:val="24"/>
              </w:rPr>
            </w:pPr>
            <w:r w:rsidRPr="00683785">
              <w:rPr>
                <w:rFonts w:cs="Times New Roman"/>
                <w:b/>
                <w:szCs w:val="24"/>
              </w:rPr>
              <w:t>In the Matter of the Petition of</w:t>
            </w:r>
          </w:p>
          <w:p w14:paraId="6FC48884" w14:textId="77777777" w:rsidR="00683785" w:rsidRPr="00683785" w:rsidRDefault="00683785" w:rsidP="00683785">
            <w:pPr>
              <w:spacing w:line="240" w:lineRule="exact"/>
              <w:rPr>
                <w:rFonts w:cs="Times New Roman"/>
                <w:b/>
                <w:szCs w:val="24"/>
              </w:rPr>
            </w:pPr>
          </w:p>
          <w:p w14:paraId="61B62F1B" w14:textId="77777777" w:rsidR="00683785" w:rsidRPr="00683785" w:rsidRDefault="00683785" w:rsidP="00683785">
            <w:pPr>
              <w:spacing w:line="240" w:lineRule="exact"/>
              <w:rPr>
                <w:rFonts w:cs="Times New Roman"/>
                <w:b/>
                <w:szCs w:val="24"/>
              </w:rPr>
            </w:pPr>
            <w:r w:rsidRPr="00683785">
              <w:rPr>
                <w:rFonts w:cs="Times New Roman"/>
                <w:b/>
                <w:szCs w:val="24"/>
              </w:rPr>
              <w:t>PACIFIC POWER &amp; LIGHT COMPANY,</w:t>
            </w:r>
          </w:p>
          <w:p w14:paraId="253A0217" w14:textId="77777777" w:rsidR="00683785" w:rsidRPr="00683785" w:rsidRDefault="00683785" w:rsidP="00683785">
            <w:pPr>
              <w:spacing w:line="240" w:lineRule="exact"/>
              <w:rPr>
                <w:rFonts w:cs="Times New Roman"/>
                <w:b/>
                <w:szCs w:val="24"/>
              </w:rPr>
            </w:pPr>
          </w:p>
          <w:p w14:paraId="3D6EF9AF" w14:textId="77777777" w:rsidR="00683785" w:rsidRPr="00683785" w:rsidRDefault="00683785" w:rsidP="00683785">
            <w:pPr>
              <w:spacing w:line="240" w:lineRule="exact"/>
              <w:rPr>
                <w:rFonts w:cs="Times New Roman"/>
                <w:b/>
                <w:szCs w:val="24"/>
              </w:rPr>
            </w:pPr>
            <w:r w:rsidRPr="00683785">
              <w:rPr>
                <w:rFonts w:cs="Times New Roman"/>
                <w:b/>
                <w:szCs w:val="24"/>
              </w:rPr>
              <w:t>For an Order Approving Deferral of Costs Related to Colstrip Outage.</w:t>
            </w:r>
          </w:p>
          <w:p w14:paraId="656D736E" w14:textId="77777777" w:rsidR="00683785" w:rsidRPr="00683785" w:rsidRDefault="00683785" w:rsidP="00683785">
            <w:pPr>
              <w:spacing w:line="240" w:lineRule="exact"/>
              <w:rPr>
                <w:rFonts w:cs="Times New Roman"/>
                <w:b/>
                <w:szCs w:val="24"/>
              </w:rPr>
            </w:pPr>
            <w:r w:rsidRPr="00683785">
              <w:rPr>
                <w:rFonts w:cs="Times New Roman"/>
                <w:b/>
                <w:szCs w:val="24"/>
              </w:rPr>
              <w:t>____________________________________</w:t>
            </w:r>
          </w:p>
          <w:p w14:paraId="32F24064" w14:textId="77777777" w:rsidR="00683785" w:rsidRPr="00683785" w:rsidRDefault="00683785" w:rsidP="00683785">
            <w:pPr>
              <w:spacing w:line="240" w:lineRule="exact"/>
              <w:rPr>
                <w:rFonts w:cs="Times New Roman"/>
                <w:b/>
                <w:szCs w:val="24"/>
              </w:rPr>
            </w:pPr>
          </w:p>
          <w:p w14:paraId="129D18B8" w14:textId="77777777" w:rsidR="00683785" w:rsidRPr="00683785" w:rsidRDefault="00683785" w:rsidP="00683785">
            <w:pPr>
              <w:spacing w:line="240" w:lineRule="exact"/>
              <w:rPr>
                <w:rFonts w:cs="Times New Roman"/>
                <w:b/>
                <w:szCs w:val="24"/>
              </w:rPr>
            </w:pPr>
            <w:r w:rsidRPr="00683785">
              <w:rPr>
                <w:rFonts w:cs="Times New Roman"/>
                <w:b/>
                <w:szCs w:val="24"/>
              </w:rPr>
              <w:t>In the Matter of the Petition of</w:t>
            </w:r>
          </w:p>
          <w:p w14:paraId="2FC9FCE6" w14:textId="77777777" w:rsidR="00683785" w:rsidRPr="00683785" w:rsidRDefault="00683785" w:rsidP="00683785">
            <w:pPr>
              <w:spacing w:line="240" w:lineRule="exact"/>
              <w:rPr>
                <w:rFonts w:cs="Times New Roman"/>
                <w:b/>
                <w:szCs w:val="24"/>
              </w:rPr>
            </w:pPr>
          </w:p>
          <w:p w14:paraId="72F7C3EA" w14:textId="77777777" w:rsidR="00683785" w:rsidRPr="00683785" w:rsidRDefault="00683785" w:rsidP="00683785">
            <w:pPr>
              <w:spacing w:line="240" w:lineRule="exact"/>
              <w:rPr>
                <w:rFonts w:cs="Times New Roman"/>
                <w:b/>
                <w:szCs w:val="24"/>
              </w:rPr>
            </w:pPr>
            <w:r w:rsidRPr="00683785">
              <w:rPr>
                <w:rFonts w:cs="Times New Roman"/>
                <w:b/>
                <w:szCs w:val="24"/>
              </w:rPr>
              <w:t>PACIFIC POWER &amp; LIGHT COMPANY,</w:t>
            </w:r>
          </w:p>
          <w:p w14:paraId="2623E956" w14:textId="77777777" w:rsidR="00683785" w:rsidRPr="00683785" w:rsidRDefault="00683785" w:rsidP="00683785">
            <w:pPr>
              <w:spacing w:line="240" w:lineRule="exact"/>
              <w:rPr>
                <w:rFonts w:cs="Times New Roman"/>
                <w:b/>
                <w:szCs w:val="24"/>
              </w:rPr>
            </w:pPr>
          </w:p>
          <w:p w14:paraId="4ABB4F80" w14:textId="77777777" w:rsidR="00683785" w:rsidRPr="00683785" w:rsidRDefault="00683785" w:rsidP="00683785">
            <w:pPr>
              <w:spacing w:line="240" w:lineRule="exact"/>
              <w:rPr>
                <w:rFonts w:cs="Times New Roman"/>
                <w:b/>
                <w:szCs w:val="24"/>
              </w:rPr>
            </w:pPr>
            <w:r w:rsidRPr="00683785">
              <w:rPr>
                <w:rFonts w:cs="Times New Roman"/>
                <w:b/>
                <w:szCs w:val="24"/>
              </w:rPr>
              <w:t>For an Order Approving Deferral of Costs Related to Declining Hydro Generation.</w:t>
            </w:r>
          </w:p>
          <w:p w14:paraId="0EE5B160" w14:textId="77777777" w:rsidR="00683785" w:rsidRPr="00683785" w:rsidRDefault="00683785" w:rsidP="00683785">
            <w:pPr>
              <w:spacing w:line="240" w:lineRule="exact"/>
              <w:rPr>
                <w:rFonts w:cs="Times New Roman"/>
                <w:b/>
                <w:szCs w:val="24"/>
              </w:rPr>
            </w:pPr>
          </w:p>
        </w:tc>
        <w:tc>
          <w:tcPr>
            <w:tcW w:w="4590" w:type="dxa"/>
            <w:tcBorders>
              <w:top w:val="single" w:sz="6" w:space="0" w:color="FFFFFF"/>
              <w:left w:val="single" w:sz="6" w:space="0" w:color="000000"/>
              <w:bottom w:val="single" w:sz="6" w:space="0" w:color="FFFFFF"/>
              <w:right w:val="single" w:sz="6" w:space="0" w:color="FFFFFF"/>
            </w:tcBorders>
          </w:tcPr>
          <w:p w14:paraId="1CD27B7B" w14:textId="77777777" w:rsidR="00683785" w:rsidRPr="00683785" w:rsidRDefault="00683785" w:rsidP="00683785">
            <w:pPr>
              <w:spacing w:line="240" w:lineRule="exact"/>
              <w:ind w:firstLine="416"/>
              <w:rPr>
                <w:rFonts w:cs="Times New Roman"/>
                <w:b/>
                <w:szCs w:val="24"/>
              </w:rPr>
            </w:pPr>
            <w:r w:rsidRPr="00683785">
              <w:rPr>
                <w:rFonts w:cs="Times New Roman"/>
                <w:b/>
                <w:szCs w:val="24"/>
              </w:rPr>
              <w:t>UE-140762 and UE-140617</w:t>
            </w:r>
          </w:p>
          <w:p w14:paraId="51D7DBB9" w14:textId="77777777" w:rsidR="00683785" w:rsidRPr="00683785" w:rsidRDefault="00683785" w:rsidP="00683785">
            <w:pPr>
              <w:spacing w:line="240" w:lineRule="exact"/>
              <w:ind w:firstLine="416"/>
              <w:rPr>
                <w:rFonts w:cs="Times New Roman"/>
                <w:b/>
                <w:i/>
                <w:szCs w:val="24"/>
              </w:rPr>
            </w:pPr>
            <w:r w:rsidRPr="00683785">
              <w:rPr>
                <w:rFonts w:cs="Times New Roman"/>
                <w:b/>
                <w:i/>
                <w:szCs w:val="24"/>
              </w:rPr>
              <w:t>(consolidated)</w:t>
            </w:r>
          </w:p>
          <w:p w14:paraId="61153154" w14:textId="77777777" w:rsidR="00683785" w:rsidRPr="00683785" w:rsidRDefault="00683785" w:rsidP="00683785">
            <w:pPr>
              <w:spacing w:line="240" w:lineRule="exact"/>
              <w:ind w:firstLine="416"/>
              <w:rPr>
                <w:rFonts w:cs="Times New Roman"/>
                <w:b/>
                <w:szCs w:val="24"/>
              </w:rPr>
            </w:pPr>
          </w:p>
          <w:p w14:paraId="05125DA7" w14:textId="77777777" w:rsidR="00683785" w:rsidRPr="00683785" w:rsidRDefault="00683785" w:rsidP="00683785">
            <w:pPr>
              <w:spacing w:line="240" w:lineRule="exact"/>
              <w:ind w:firstLine="416"/>
              <w:rPr>
                <w:rFonts w:cs="Times New Roman"/>
                <w:b/>
                <w:szCs w:val="24"/>
              </w:rPr>
            </w:pPr>
          </w:p>
          <w:p w14:paraId="2C9F85FE" w14:textId="77777777" w:rsidR="00683785" w:rsidRPr="00683785" w:rsidRDefault="00683785" w:rsidP="00683785">
            <w:pPr>
              <w:spacing w:line="240" w:lineRule="exact"/>
              <w:ind w:firstLine="416"/>
              <w:rPr>
                <w:rFonts w:cs="Times New Roman"/>
                <w:b/>
                <w:szCs w:val="24"/>
              </w:rPr>
            </w:pPr>
          </w:p>
          <w:p w14:paraId="7EE42F32" w14:textId="77777777" w:rsidR="00683785" w:rsidRPr="00683785" w:rsidRDefault="00683785" w:rsidP="00683785">
            <w:pPr>
              <w:spacing w:line="240" w:lineRule="exact"/>
              <w:ind w:firstLine="416"/>
              <w:rPr>
                <w:rFonts w:cs="Times New Roman"/>
                <w:b/>
                <w:szCs w:val="24"/>
              </w:rPr>
            </w:pPr>
          </w:p>
          <w:p w14:paraId="12F38DC6" w14:textId="77777777" w:rsidR="00683785" w:rsidRPr="00683785" w:rsidRDefault="00683785" w:rsidP="00683785">
            <w:pPr>
              <w:spacing w:line="240" w:lineRule="exact"/>
              <w:ind w:firstLine="416"/>
              <w:rPr>
                <w:rFonts w:cs="Times New Roman"/>
                <w:b/>
                <w:szCs w:val="24"/>
              </w:rPr>
            </w:pPr>
          </w:p>
          <w:p w14:paraId="24929B1B" w14:textId="77777777" w:rsidR="00683785" w:rsidRPr="00683785" w:rsidRDefault="00683785" w:rsidP="00683785">
            <w:pPr>
              <w:spacing w:line="240" w:lineRule="exact"/>
              <w:ind w:firstLine="416"/>
              <w:rPr>
                <w:rFonts w:cs="Times New Roman"/>
                <w:b/>
                <w:szCs w:val="24"/>
              </w:rPr>
            </w:pPr>
          </w:p>
          <w:p w14:paraId="27551ACD" w14:textId="77777777" w:rsidR="00683785" w:rsidRPr="00683785" w:rsidRDefault="00683785" w:rsidP="00683785">
            <w:pPr>
              <w:spacing w:line="240" w:lineRule="exact"/>
              <w:ind w:firstLine="416"/>
              <w:rPr>
                <w:rFonts w:cs="Times New Roman"/>
                <w:b/>
                <w:szCs w:val="24"/>
              </w:rPr>
            </w:pPr>
          </w:p>
          <w:p w14:paraId="06F1E299" w14:textId="77777777" w:rsidR="00683785" w:rsidRPr="00683785" w:rsidRDefault="00683785" w:rsidP="00683785">
            <w:pPr>
              <w:spacing w:line="240" w:lineRule="exact"/>
              <w:ind w:firstLine="416"/>
              <w:rPr>
                <w:rFonts w:cs="Times New Roman"/>
                <w:b/>
                <w:szCs w:val="24"/>
              </w:rPr>
            </w:pPr>
          </w:p>
          <w:p w14:paraId="088EBCEF" w14:textId="77777777" w:rsidR="00683785" w:rsidRPr="00683785" w:rsidRDefault="00683785" w:rsidP="00683785">
            <w:pPr>
              <w:spacing w:line="240" w:lineRule="exact"/>
              <w:ind w:firstLine="416"/>
              <w:rPr>
                <w:rFonts w:cs="Times New Roman"/>
                <w:b/>
                <w:szCs w:val="24"/>
              </w:rPr>
            </w:pPr>
          </w:p>
          <w:p w14:paraId="66F2DCE3" w14:textId="77777777" w:rsidR="00683785" w:rsidRPr="00683785" w:rsidRDefault="00683785" w:rsidP="00683785">
            <w:pPr>
              <w:spacing w:line="240" w:lineRule="exact"/>
              <w:ind w:firstLine="416"/>
              <w:rPr>
                <w:rFonts w:cs="Times New Roman"/>
                <w:b/>
                <w:szCs w:val="24"/>
              </w:rPr>
            </w:pPr>
          </w:p>
          <w:p w14:paraId="0E10D5EC" w14:textId="77777777" w:rsidR="00683785" w:rsidRPr="00683785" w:rsidRDefault="00683785" w:rsidP="00683785">
            <w:pPr>
              <w:spacing w:line="240" w:lineRule="exact"/>
              <w:ind w:firstLine="416"/>
              <w:rPr>
                <w:rFonts w:cs="Times New Roman"/>
                <w:b/>
                <w:szCs w:val="24"/>
              </w:rPr>
            </w:pPr>
          </w:p>
          <w:p w14:paraId="36EB6FF7" w14:textId="77777777" w:rsidR="00683785" w:rsidRPr="00683785" w:rsidRDefault="00683785" w:rsidP="00683785">
            <w:pPr>
              <w:spacing w:line="240" w:lineRule="exact"/>
              <w:ind w:firstLine="416"/>
              <w:rPr>
                <w:rFonts w:cs="Times New Roman"/>
                <w:b/>
                <w:szCs w:val="24"/>
              </w:rPr>
            </w:pPr>
            <w:r w:rsidRPr="00683785">
              <w:rPr>
                <w:rFonts w:cs="Times New Roman"/>
                <w:b/>
                <w:szCs w:val="24"/>
              </w:rPr>
              <w:t xml:space="preserve">DOCKET UE-131384 </w:t>
            </w:r>
            <w:r w:rsidRPr="00683785">
              <w:rPr>
                <w:rFonts w:cs="Times New Roman"/>
                <w:b/>
                <w:i/>
                <w:szCs w:val="24"/>
              </w:rPr>
              <w:t>(consolidated)</w:t>
            </w:r>
          </w:p>
          <w:p w14:paraId="0133172C" w14:textId="77777777" w:rsidR="00683785" w:rsidRPr="00683785" w:rsidRDefault="00683785" w:rsidP="00683785">
            <w:pPr>
              <w:spacing w:line="240" w:lineRule="exact"/>
              <w:ind w:firstLine="416"/>
              <w:rPr>
                <w:rFonts w:cs="Times New Roman"/>
                <w:b/>
                <w:szCs w:val="24"/>
              </w:rPr>
            </w:pPr>
          </w:p>
          <w:p w14:paraId="200CAE8E" w14:textId="77777777" w:rsidR="00683785" w:rsidRPr="00683785" w:rsidRDefault="00683785" w:rsidP="00683785">
            <w:pPr>
              <w:spacing w:line="240" w:lineRule="exact"/>
              <w:ind w:firstLine="416"/>
              <w:rPr>
                <w:rFonts w:cs="Times New Roman"/>
                <w:b/>
                <w:szCs w:val="24"/>
              </w:rPr>
            </w:pPr>
          </w:p>
          <w:p w14:paraId="21914093" w14:textId="77777777" w:rsidR="00683785" w:rsidRPr="00683785" w:rsidRDefault="00683785" w:rsidP="00683785">
            <w:pPr>
              <w:spacing w:line="240" w:lineRule="exact"/>
              <w:ind w:firstLine="416"/>
              <w:rPr>
                <w:rFonts w:cs="Times New Roman"/>
                <w:b/>
                <w:szCs w:val="24"/>
              </w:rPr>
            </w:pPr>
          </w:p>
          <w:p w14:paraId="5C671537" w14:textId="77777777" w:rsidR="00683785" w:rsidRPr="00683785" w:rsidRDefault="00683785" w:rsidP="00683785">
            <w:pPr>
              <w:spacing w:line="240" w:lineRule="exact"/>
              <w:ind w:firstLine="416"/>
              <w:rPr>
                <w:rFonts w:cs="Times New Roman"/>
                <w:b/>
                <w:szCs w:val="24"/>
              </w:rPr>
            </w:pPr>
          </w:p>
          <w:p w14:paraId="79A5BDF3" w14:textId="77777777" w:rsidR="00683785" w:rsidRPr="00683785" w:rsidRDefault="00683785" w:rsidP="00683785">
            <w:pPr>
              <w:spacing w:line="240" w:lineRule="exact"/>
              <w:ind w:firstLine="416"/>
              <w:rPr>
                <w:rFonts w:cs="Times New Roman"/>
                <w:b/>
                <w:szCs w:val="24"/>
              </w:rPr>
            </w:pPr>
          </w:p>
          <w:p w14:paraId="66750910" w14:textId="77777777" w:rsidR="00683785" w:rsidRPr="00683785" w:rsidRDefault="00683785" w:rsidP="00683785">
            <w:pPr>
              <w:spacing w:line="240" w:lineRule="exact"/>
              <w:ind w:firstLine="416"/>
              <w:rPr>
                <w:rFonts w:cs="Times New Roman"/>
                <w:b/>
                <w:szCs w:val="24"/>
              </w:rPr>
            </w:pPr>
          </w:p>
          <w:p w14:paraId="32E99955" w14:textId="77777777" w:rsidR="00683785" w:rsidRPr="00683785" w:rsidRDefault="00683785" w:rsidP="00683785">
            <w:pPr>
              <w:spacing w:line="240" w:lineRule="exact"/>
              <w:ind w:firstLine="416"/>
              <w:rPr>
                <w:rFonts w:cs="Times New Roman"/>
                <w:b/>
                <w:szCs w:val="24"/>
              </w:rPr>
            </w:pPr>
          </w:p>
          <w:p w14:paraId="46AC28A5" w14:textId="77777777" w:rsidR="00683785" w:rsidRPr="00683785" w:rsidRDefault="00683785" w:rsidP="00683785">
            <w:pPr>
              <w:spacing w:line="240" w:lineRule="exact"/>
              <w:ind w:firstLine="416"/>
              <w:rPr>
                <w:rFonts w:cs="Times New Roman"/>
                <w:b/>
                <w:szCs w:val="24"/>
              </w:rPr>
            </w:pPr>
          </w:p>
          <w:p w14:paraId="55A028D1" w14:textId="77777777" w:rsidR="00683785" w:rsidRPr="00683785" w:rsidRDefault="00683785" w:rsidP="00683785">
            <w:pPr>
              <w:spacing w:line="240" w:lineRule="exact"/>
              <w:ind w:firstLine="416"/>
              <w:rPr>
                <w:rFonts w:cs="Times New Roman"/>
                <w:b/>
                <w:szCs w:val="24"/>
              </w:rPr>
            </w:pPr>
            <w:r w:rsidRPr="00683785">
              <w:rPr>
                <w:rFonts w:cs="Times New Roman"/>
                <w:b/>
                <w:szCs w:val="24"/>
              </w:rPr>
              <w:t xml:space="preserve">DOCKET UE-140094 </w:t>
            </w:r>
            <w:r w:rsidRPr="00683785">
              <w:rPr>
                <w:rFonts w:cs="Times New Roman"/>
                <w:b/>
                <w:i/>
                <w:szCs w:val="24"/>
              </w:rPr>
              <w:t>(consolidated)</w:t>
            </w:r>
          </w:p>
          <w:p w14:paraId="7C4AC2D2" w14:textId="77777777" w:rsidR="00683785" w:rsidRPr="00683785" w:rsidRDefault="00683785" w:rsidP="00683785">
            <w:pPr>
              <w:spacing w:line="240" w:lineRule="exact"/>
              <w:ind w:left="720" w:firstLine="416"/>
              <w:rPr>
                <w:rFonts w:cs="Times New Roman"/>
                <w:b/>
                <w:szCs w:val="24"/>
              </w:rPr>
            </w:pPr>
          </w:p>
          <w:p w14:paraId="5B20FDE1" w14:textId="77777777" w:rsidR="00683785" w:rsidRPr="00683785" w:rsidRDefault="00683785" w:rsidP="00683785">
            <w:pPr>
              <w:spacing w:line="240" w:lineRule="exact"/>
              <w:ind w:left="720" w:firstLine="416"/>
              <w:rPr>
                <w:rFonts w:cs="Times New Roman"/>
                <w:b/>
                <w:szCs w:val="24"/>
              </w:rPr>
            </w:pPr>
            <w:r w:rsidRPr="00683785">
              <w:rPr>
                <w:rFonts w:cs="Times New Roman"/>
                <w:b/>
                <w:szCs w:val="24"/>
              </w:rPr>
              <w:t xml:space="preserve"> </w:t>
            </w:r>
          </w:p>
        </w:tc>
      </w:tr>
    </w:tbl>
    <w:p w14:paraId="118DB70F" w14:textId="77777777" w:rsidR="00683785" w:rsidRPr="00683785" w:rsidRDefault="00683785" w:rsidP="00683785">
      <w:pPr>
        <w:spacing w:line="240" w:lineRule="exact"/>
        <w:rPr>
          <w:rFonts w:cs="Times New Roman"/>
          <w:b/>
          <w:szCs w:val="24"/>
        </w:rPr>
      </w:pPr>
    </w:p>
    <w:p w14:paraId="57F60332" w14:textId="77777777" w:rsidR="004026AD" w:rsidRPr="00683785" w:rsidRDefault="004026AD" w:rsidP="00683785">
      <w:pPr>
        <w:spacing w:line="240" w:lineRule="exact"/>
        <w:jc w:val="center"/>
        <w:rPr>
          <w:rFonts w:eastAsia="Times New Roman" w:cs="Times New Roman"/>
          <w:b/>
          <w:bCs/>
          <w:szCs w:val="24"/>
        </w:rPr>
      </w:pPr>
      <w:r w:rsidRPr="00683785">
        <w:rPr>
          <w:rFonts w:eastAsia="Times New Roman" w:cs="Times New Roman"/>
          <w:b/>
          <w:bCs/>
          <w:szCs w:val="24"/>
        </w:rPr>
        <w:t>TESTIMONY OF</w:t>
      </w:r>
    </w:p>
    <w:p w14:paraId="13E56D35" w14:textId="77777777" w:rsidR="004026AD" w:rsidRPr="00683785" w:rsidRDefault="004026AD" w:rsidP="00683785">
      <w:pPr>
        <w:spacing w:line="240" w:lineRule="exact"/>
        <w:jc w:val="center"/>
        <w:rPr>
          <w:rFonts w:eastAsia="Times New Roman" w:cs="Times New Roman"/>
          <w:b/>
          <w:bCs/>
          <w:szCs w:val="24"/>
        </w:rPr>
      </w:pPr>
    </w:p>
    <w:p w14:paraId="639B4E23" w14:textId="77777777" w:rsidR="004026AD" w:rsidRPr="00683785" w:rsidRDefault="00CC09B5" w:rsidP="00683785">
      <w:pPr>
        <w:spacing w:line="240" w:lineRule="exact"/>
        <w:jc w:val="center"/>
        <w:rPr>
          <w:rFonts w:eastAsia="Times New Roman" w:cs="Times New Roman"/>
          <w:b/>
          <w:bCs/>
          <w:szCs w:val="24"/>
        </w:rPr>
      </w:pPr>
      <w:r w:rsidRPr="00683785">
        <w:rPr>
          <w:rFonts w:eastAsia="Times New Roman" w:cs="Times New Roman"/>
          <w:b/>
          <w:bCs/>
          <w:szCs w:val="24"/>
        </w:rPr>
        <w:t>Jason L. Ball</w:t>
      </w:r>
    </w:p>
    <w:p w14:paraId="58118448" w14:textId="77777777" w:rsidR="004026AD" w:rsidRPr="00683785" w:rsidRDefault="004026AD" w:rsidP="00683785">
      <w:pPr>
        <w:spacing w:line="240" w:lineRule="exact"/>
        <w:jc w:val="center"/>
        <w:rPr>
          <w:rFonts w:eastAsia="Times New Roman" w:cs="Times New Roman"/>
          <w:b/>
          <w:bCs/>
          <w:szCs w:val="24"/>
        </w:rPr>
      </w:pPr>
    </w:p>
    <w:p w14:paraId="330CA9C1" w14:textId="77777777" w:rsidR="004026AD" w:rsidRPr="00683785" w:rsidRDefault="004026AD" w:rsidP="00683785">
      <w:pPr>
        <w:spacing w:line="240" w:lineRule="exact"/>
        <w:jc w:val="center"/>
        <w:rPr>
          <w:rFonts w:eastAsia="Times New Roman" w:cs="Times New Roman"/>
          <w:b/>
          <w:bCs/>
          <w:szCs w:val="24"/>
        </w:rPr>
      </w:pPr>
      <w:r w:rsidRPr="00683785">
        <w:rPr>
          <w:rFonts w:eastAsia="Times New Roman" w:cs="Times New Roman"/>
          <w:b/>
          <w:bCs/>
          <w:szCs w:val="24"/>
        </w:rPr>
        <w:t>STAFF OF</w:t>
      </w:r>
    </w:p>
    <w:p w14:paraId="07D924A9" w14:textId="77777777" w:rsidR="004026AD" w:rsidRPr="00683785" w:rsidRDefault="004026AD" w:rsidP="00683785">
      <w:pPr>
        <w:spacing w:line="240" w:lineRule="exact"/>
        <w:jc w:val="center"/>
        <w:rPr>
          <w:rFonts w:eastAsia="Times New Roman" w:cs="Times New Roman"/>
          <w:b/>
          <w:bCs/>
          <w:szCs w:val="24"/>
        </w:rPr>
      </w:pPr>
      <w:r w:rsidRPr="00683785">
        <w:rPr>
          <w:rFonts w:eastAsia="Times New Roman" w:cs="Times New Roman"/>
          <w:b/>
          <w:bCs/>
          <w:szCs w:val="24"/>
        </w:rPr>
        <w:t>WASHINGTON UTILITIES AND</w:t>
      </w:r>
    </w:p>
    <w:p w14:paraId="30602F2D" w14:textId="77777777" w:rsidR="004026AD" w:rsidRPr="00683785" w:rsidRDefault="004026AD" w:rsidP="00683785">
      <w:pPr>
        <w:spacing w:line="240" w:lineRule="exact"/>
        <w:jc w:val="center"/>
        <w:rPr>
          <w:rFonts w:eastAsia="Times New Roman" w:cs="Times New Roman"/>
          <w:b/>
          <w:bCs/>
          <w:szCs w:val="24"/>
        </w:rPr>
      </w:pPr>
      <w:r w:rsidRPr="00683785">
        <w:rPr>
          <w:rFonts w:eastAsia="Times New Roman" w:cs="Times New Roman"/>
          <w:b/>
          <w:bCs/>
          <w:szCs w:val="24"/>
        </w:rPr>
        <w:t>TRANSPORTATION COMMISSION</w:t>
      </w:r>
    </w:p>
    <w:p w14:paraId="74FEABA2" w14:textId="77777777" w:rsidR="004026AD" w:rsidRPr="00683785" w:rsidRDefault="004026AD" w:rsidP="00683785">
      <w:pPr>
        <w:spacing w:line="240" w:lineRule="exact"/>
        <w:jc w:val="center"/>
        <w:rPr>
          <w:rFonts w:eastAsia="Times New Roman" w:cs="Times New Roman"/>
          <w:b/>
          <w:bCs/>
          <w:szCs w:val="24"/>
        </w:rPr>
      </w:pPr>
    </w:p>
    <w:p w14:paraId="74A1E0E7" w14:textId="77777777" w:rsidR="00D44E03" w:rsidRPr="00683785" w:rsidRDefault="00D44E03" w:rsidP="00683785">
      <w:pPr>
        <w:spacing w:line="240" w:lineRule="exact"/>
        <w:jc w:val="center"/>
        <w:rPr>
          <w:rFonts w:cs="Times New Roman"/>
          <w:b/>
          <w:i/>
          <w:szCs w:val="24"/>
        </w:rPr>
      </w:pPr>
      <w:r w:rsidRPr="00683785">
        <w:rPr>
          <w:rFonts w:cs="Times New Roman"/>
          <w:b/>
          <w:i/>
          <w:szCs w:val="24"/>
        </w:rPr>
        <w:t>Policy and General Overview</w:t>
      </w:r>
    </w:p>
    <w:p w14:paraId="013DF4C2" w14:textId="77777777" w:rsidR="00D44E03" w:rsidRPr="00683785" w:rsidRDefault="00D44E03" w:rsidP="00683785">
      <w:pPr>
        <w:spacing w:line="240" w:lineRule="exact"/>
        <w:jc w:val="center"/>
        <w:rPr>
          <w:rFonts w:cs="Times New Roman"/>
          <w:b/>
          <w:i/>
          <w:szCs w:val="24"/>
        </w:rPr>
      </w:pPr>
      <w:r w:rsidRPr="00683785">
        <w:rPr>
          <w:rFonts w:cs="Times New Roman"/>
          <w:b/>
          <w:i/>
          <w:szCs w:val="24"/>
        </w:rPr>
        <w:t>Revenue Requirement</w:t>
      </w:r>
    </w:p>
    <w:p w14:paraId="2C5EA56C" w14:textId="1590EBB1" w:rsidR="00411038" w:rsidRPr="00683785" w:rsidRDefault="00411038" w:rsidP="00683785">
      <w:pPr>
        <w:spacing w:line="240" w:lineRule="exact"/>
        <w:jc w:val="center"/>
        <w:rPr>
          <w:rFonts w:cs="Times New Roman"/>
          <w:b/>
          <w:i/>
          <w:szCs w:val="24"/>
        </w:rPr>
      </w:pPr>
      <w:r w:rsidRPr="00683785">
        <w:rPr>
          <w:rFonts w:cs="Times New Roman"/>
          <w:b/>
          <w:i/>
          <w:szCs w:val="24"/>
        </w:rPr>
        <w:t>Insurance Expense, Adjustment 4.7</w:t>
      </w:r>
    </w:p>
    <w:p w14:paraId="40E36D40" w14:textId="008627B6" w:rsidR="007E2800" w:rsidRPr="00683785" w:rsidRDefault="007E2800" w:rsidP="00683785">
      <w:pPr>
        <w:spacing w:line="240" w:lineRule="exact"/>
        <w:jc w:val="center"/>
        <w:rPr>
          <w:rFonts w:cs="Times New Roman"/>
          <w:b/>
          <w:i/>
          <w:szCs w:val="24"/>
        </w:rPr>
      </w:pPr>
      <w:r w:rsidRPr="00683785">
        <w:rPr>
          <w:rFonts w:cs="Times New Roman"/>
          <w:b/>
          <w:i/>
          <w:szCs w:val="24"/>
        </w:rPr>
        <w:t>IHS Adjustment 4.1</w:t>
      </w:r>
      <w:r w:rsidR="00411038" w:rsidRPr="00683785">
        <w:rPr>
          <w:rFonts w:cs="Times New Roman"/>
          <w:b/>
          <w:i/>
          <w:szCs w:val="24"/>
        </w:rPr>
        <w:t>3</w:t>
      </w:r>
    </w:p>
    <w:p w14:paraId="144E6457" w14:textId="4CC588C5" w:rsidR="003A66DD" w:rsidRPr="00683785" w:rsidRDefault="003A66DD" w:rsidP="00683785">
      <w:pPr>
        <w:spacing w:line="240" w:lineRule="exact"/>
        <w:jc w:val="center"/>
        <w:rPr>
          <w:rFonts w:cs="Times New Roman"/>
          <w:b/>
          <w:i/>
          <w:szCs w:val="24"/>
        </w:rPr>
      </w:pPr>
      <w:r w:rsidRPr="00683785">
        <w:rPr>
          <w:rFonts w:cs="Times New Roman"/>
          <w:b/>
          <w:i/>
          <w:szCs w:val="24"/>
        </w:rPr>
        <w:t>Property Tax Adjustment 7.2</w:t>
      </w:r>
    </w:p>
    <w:p w14:paraId="6FE3019F" w14:textId="77777777" w:rsidR="004026AD" w:rsidRPr="00683785" w:rsidRDefault="00D44E03" w:rsidP="00683785">
      <w:pPr>
        <w:spacing w:line="240" w:lineRule="exact"/>
        <w:jc w:val="center"/>
        <w:rPr>
          <w:rFonts w:eastAsia="Times New Roman" w:cs="Times New Roman"/>
          <w:b/>
          <w:bCs/>
          <w:i/>
          <w:szCs w:val="24"/>
        </w:rPr>
      </w:pPr>
      <w:r w:rsidRPr="00683785">
        <w:rPr>
          <w:rFonts w:cs="Times New Roman"/>
          <w:b/>
          <w:i/>
          <w:szCs w:val="24"/>
        </w:rPr>
        <w:t xml:space="preserve">Prudence of </w:t>
      </w:r>
      <w:proofErr w:type="spellStart"/>
      <w:r w:rsidRPr="00683785">
        <w:rPr>
          <w:rFonts w:cs="Times New Roman"/>
          <w:b/>
          <w:i/>
          <w:szCs w:val="24"/>
        </w:rPr>
        <w:t>Merwin</w:t>
      </w:r>
      <w:proofErr w:type="spellEnd"/>
      <w:r w:rsidRPr="00683785">
        <w:rPr>
          <w:rFonts w:cs="Times New Roman"/>
          <w:b/>
          <w:i/>
          <w:szCs w:val="24"/>
        </w:rPr>
        <w:t xml:space="preserve"> Fish Collector Project</w:t>
      </w:r>
    </w:p>
    <w:p w14:paraId="72C2201A" w14:textId="77777777" w:rsidR="004026AD" w:rsidRPr="00683785" w:rsidRDefault="004026AD" w:rsidP="00683785">
      <w:pPr>
        <w:spacing w:line="240" w:lineRule="exact"/>
        <w:jc w:val="center"/>
        <w:rPr>
          <w:rFonts w:eastAsia="Times New Roman" w:cs="Times New Roman"/>
          <w:b/>
          <w:bCs/>
          <w:szCs w:val="24"/>
        </w:rPr>
      </w:pPr>
    </w:p>
    <w:p w14:paraId="5673699F" w14:textId="72A1A564" w:rsidR="004026AD" w:rsidRPr="003B1AC8" w:rsidRDefault="00D44E03" w:rsidP="00683785">
      <w:pPr>
        <w:spacing w:line="240" w:lineRule="exact"/>
        <w:jc w:val="center"/>
        <w:rPr>
          <w:rFonts w:eastAsia="Times New Roman" w:cs="Times New Roman"/>
          <w:b/>
          <w:bCs/>
          <w:szCs w:val="24"/>
        </w:rPr>
      </w:pPr>
      <w:r w:rsidRPr="00683785">
        <w:rPr>
          <w:rFonts w:eastAsia="Times New Roman" w:cs="Times New Roman"/>
          <w:b/>
          <w:bCs/>
          <w:szCs w:val="24"/>
        </w:rPr>
        <w:t>October</w:t>
      </w:r>
      <w:r w:rsidR="004026AD" w:rsidRPr="00683785">
        <w:rPr>
          <w:rFonts w:eastAsia="Times New Roman" w:cs="Times New Roman"/>
          <w:b/>
          <w:bCs/>
          <w:szCs w:val="24"/>
        </w:rPr>
        <w:t xml:space="preserve"> </w:t>
      </w:r>
      <w:r w:rsidRPr="00683785">
        <w:rPr>
          <w:rFonts w:eastAsia="Times New Roman" w:cs="Times New Roman"/>
          <w:b/>
          <w:bCs/>
          <w:szCs w:val="24"/>
        </w:rPr>
        <w:t>10, 2014</w:t>
      </w:r>
    </w:p>
    <w:p w14:paraId="09E91942" w14:textId="77777777" w:rsidR="004026AD" w:rsidRPr="003B1AC8" w:rsidRDefault="004026AD" w:rsidP="004026AD">
      <w:pPr>
        <w:jc w:val="center"/>
        <w:rPr>
          <w:rFonts w:eastAsia="Times New Roman" w:cs="Times New Roman"/>
          <w:b/>
          <w:szCs w:val="24"/>
        </w:rPr>
        <w:sectPr w:rsidR="004026AD" w:rsidRPr="003B1AC8" w:rsidSect="00683785">
          <w:footerReference w:type="default" r:id="rId12"/>
          <w:type w:val="continuous"/>
          <w:pgSz w:w="12240" w:h="15840" w:code="1"/>
          <w:pgMar w:top="1152" w:right="1440" w:bottom="1152" w:left="1440" w:header="720" w:footer="720" w:gutter="0"/>
          <w:pgNumType w:start="1"/>
          <w:cols w:space="720"/>
          <w:titlePg/>
          <w:docGrid w:linePitch="360"/>
        </w:sectPr>
      </w:pPr>
    </w:p>
    <w:p w14:paraId="4E7AA6D5" w14:textId="77777777" w:rsidR="008004C0" w:rsidRDefault="008004C0" w:rsidP="005F4293">
      <w:pPr>
        <w:spacing w:after="240"/>
        <w:jc w:val="center"/>
        <w:rPr>
          <w:rFonts w:eastAsia="Times New Roman" w:cs="Times New Roman"/>
          <w:b/>
          <w:szCs w:val="24"/>
        </w:rPr>
      </w:pPr>
      <w:r w:rsidRPr="003B1AC8">
        <w:rPr>
          <w:rFonts w:eastAsia="Times New Roman" w:cs="Times New Roman"/>
          <w:b/>
          <w:szCs w:val="24"/>
        </w:rPr>
        <w:lastRenderedPageBreak/>
        <w:t>TABLE OF CONTENTS</w:t>
      </w:r>
    </w:p>
    <w:p w14:paraId="3D435537" w14:textId="77777777" w:rsidR="00EF7666" w:rsidRPr="00EF7666" w:rsidRDefault="00EF7666" w:rsidP="00EF7666">
      <w:pPr>
        <w:pStyle w:val="TOC1"/>
        <w:rPr>
          <w:rFonts w:asciiTheme="minorHAnsi" w:hAnsiTheme="minorHAnsi"/>
          <w:noProof/>
          <w:sz w:val="22"/>
          <w:szCs w:val="22"/>
          <w:lang w:eastAsia="en-US"/>
        </w:rPr>
      </w:pPr>
      <w:r w:rsidRPr="00EF7666">
        <w:rPr>
          <w:noProof/>
        </w:rPr>
        <w:fldChar w:fldCharType="begin"/>
      </w:r>
      <w:r w:rsidRPr="00EF7666">
        <w:rPr>
          <w:noProof/>
        </w:rPr>
        <w:instrText xml:space="preserve"> TOC \o "1-1" \t "Heading 3,2,Heading 4,3"  \* MERGEFORMAT </w:instrText>
      </w:r>
      <w:r w:rsidRPr="00EF7666">
        <w:rPr>
          <w:noProof/>
        </w:rPr>
        <w:fldChar w:fldCharType="separate"/>
      </w:r>
      <w:r w:rsidRPr="00EF7666">
        <w:rPr>
          <w:noProof/>
        </w:rPr>
        <w:t>I.</w:t>
      </w:r>
      <w:r w:rsidRPr="00EF7666">
        <w:rPr>
          <w:rFonts w:asciiTheme="minorHAnsi" w:hAnsiTheme="minorHAnsi"/>
          <w:noProof/>
          <w:sz w:val="22"/>
          <w:szCs w:val="22"/>
          <w:lang w:eastAsia="en-US"/>
        </w:rPr>
        <w:tab/>
      </w:r>
      <w:r w:rsidRPr="00EF7666">
        <w:rPr>
          <w:noProof/>
        </w:rPr>
        <w:t>INTRODUCTION</w:t>
      </w:r>
      <w:r w:rsidRPr="00EF7666">
        <w:rPr>
          <w:noProof/>
        </w:rPr>
        <w:tab/>
      </w:r>
      <w:r w:rsidRPr="00EF7666">
        <w:rPr>
          <w:noProof/>
        </w:rPr>
        <w:fldChar w:fldCharType="begin"/>
      </w:r>
      <w:r w:rsidRPr="00EF7666">
        <w:rPr>
          <w:noProof/>
        </w:rPr>
        <w:instrText xml:space="preserve"> PAGEREF _Toc400627179 \h </w:instrText>
      </w:r>
      <w:r w:rsidRPr="00EF7666">
        <w:rPr>
          <w:noProof/>
        </w:rPr>
      </w:r>
      <w:r w:rsidRPr="00EF7666">
        <w:rPr>
          <w:noProof/>
        </w:rPr>
        <w:fldChar w:fldCharType="separate"/>
      </w:r>
      <w:r w:rsidR="007F487A">
        <w:rPr>
          <w:noProof/>
        </w:rPr>
        <w:t>1</w:t>
      </w:r>
      <w:r w:rsidRPr="00EF7666">
        <w:rPr>
          <w:noProof/>
        </w:rPr>
        <w:fldChar w:fldCharType="end"/>
      </w:r>
    </w:p>
    <w:p w14:paraId="5B28FA64" w14:textId="77777777" w:rsidR="00EF7666" w:rsidRPr="00EF7666" w:rsidRDefault="00EF7666" w:rsidP="00EF7666">
      <w:pPr>
        <w:pStyle w:val="TOC1"/>
        <w:rPr>
          <w:rFonts w:asciiTheme="minorHAnsi" w:hAnsiTheme="minorHAnsi"/>
          <w:noProof/>
          <w:sz w:val="22"/>
          <w:szCs w:val="22"/>
          <w:lang w:eastAsia="en-US"/>
        </w:rPr>
      </w:pPr>
      <w:r w:rsidRPr="00EF7666">
        <w:rPr>
          <w:noProof/>
        </w:rPr>
        <w:t>II.</w:t>
      </w:r>
      <w:r w:rsidRPr="00EF7666">
        <w:rPr>
          <w:rFonts w:asciiTheme="minorHAnsi" w:hAnsiTheme="minorHAnsi"/>
          <w:noProof/>
          <w:sz w:val="22"/>
          <w:szCs w:val="22"/>
          <w:lang w:eastAsia="en-US"/>
        </w:rPr>
        <w:tab/>
      </w:r>
      <w:r w:rsidRPr="00EF7666">
        <w:rPr>
          <w:noProof/>
        </w:rPr>
        <w:t>SCOPE AND ORGANIZATION OF TESTIMONY</w:t>
      </w:r>
      <w:r w:rsidRPr="00EF7666">
        <w:rPr>
          <w:noProof/>
        </w:rPr>
        <w:tab/>
      </w:r>
      <w:r w:rsidRPr="00EF7666">
        <w:rPr>
          <w:noProof/>
        </w:rPr>
        <w:fldChar w:fldCharType="begin"/>
      </w:r>
      <w:r w:rsidRPr="00EF7666">
        <w:rPr>
          <w:noProof/>
        </w:rPr>
        <w:instrText xml:space="preserve"> PAGEREF _Toc400627180 \h </w:instrText>
      </w:r>
      <w:r w:rsidRPr="00EF7666">
        <w:rPr>
          <w:noProof/>
        </w:rPr>
      </w:r>
      <w:r w:rsidRPr="00EF7666">
        <w:rPr>
          <w:noProof/>
        </w:rPr>
        <w:fldChar w:fldCharType="separate"/>
      </w:r>
      <w:r w:rsidR="007F487A">
        <w:rPr>
          <w:noProof/>
        </w:rPr>
        <w:t>2</w:t>
      </w:r>
      <w:r w:rsidRPr="00EF7666">
        <w:rPr>
          <w:noProof/>
        </w:rPr>
        <w:fldChar w:fldCharType="end"/>
      </w:r>
    </w:p>
    <w:p w14:paraId="4E1ABF3F" w14:textId="77777777" w:rsidR="00EF7666" w:rsidRPr="00EF7666" w:rsidRDefault="00EF7666" w:rsidP="00EF7666">
      <w:pPr>
        <w:pStyle w:val="TOC1"/>
        <w:rPr>
          <w:rFonts w:asciiTheme="minorHAnsi" w:hAnsiTheme="minorHAnsi"/>
          <w:noProof/>
          <w:sz w:val="22"/>
          <w:szCs w:val="22"/>
          <w:lang w:eastAsia="en-US"/>
        </w:rPr>
      </w:pPr>
      <w:r w:rsidRPr="00EF7666">
        <w:rPr>
          <w:noProof/>
        </w:rPr>
        <w:t>III.</w:t>
      </w:r>
      <w:r w:rsidRPr="00EF7666">
        <w:rPr>
          <w:rFonts w:asciiTheme="minorHAnsi" w:hAnsiTheme="minorHAnsi"/>
          <w:noProof/>
          <w:sz w:val="22"/>
          <w:szCs w:val="22"/>
          <w:lang w:eastAsia="en-US"/>
        </w:rPr>
        <w:tab/>
      </w:r>
      <w:r w:rsidRPr="00EF7666">
        <w:rPr>
          <w:noProof/>
        </w:rPr>
        <w:t>OVERVIEW</w:t>
      </w:r>
      <w:r w:rsidRPr="00EF7666">
        <w:rPr>
          <w:noProof/>
        </w:rPr>
        <w:tab/>
      </w:r>
      <w:r w:rsidRPr="00EF7666">
        <w:rPr>
          <w:noProof/>
        </w:rPr>
        <w:fldChar w:fldCharType="begin"/>
      </w:r>
      <w:r w:rsidRPr="00EF7666">
        <w:rPr>
          <w:noProof/>
        </w:rPr>
        <w:instrText xml:space="preserve"> PAGEREF _Toc400627181 \h </w:instrText>
      </w:r>
      <w:r w:rsidRPr="00EF7666">
        <w:rPr>
          <w:noProof/>
        </w:rPr>
      </w:r>
      <w:r w:rsidRPr="00EF7666">
        <w:rPr>
          <w:noProof/>
        </w:rPr>
        <w:fldChar w:fldCharType="separate"/>
      </w:r>
      <w:r w:rsidR="007F487A">
        <w:rPr>
          <w:noProof/>
        </w:rPr>
        <w:t>4</w:t>
      </w:r>
      <w:r w:rsidRPr="00EF7666">
        <w:rPr>
          <w:noProof/>
        </w:rPr>
        <w:fldChar w:fldCharType="end"/>
      </w:r>
    </w:p>
    <w:p w14:paraId="7327A375" w14:textId="65873616" w:rsidR="00EF7666" w:rsidRPr="00EF7666" w:rsidRDefault="00EF7666" w:rsidP="00EF7666">
      <w:pPr>
        <w:pStyle w:val="TOC2"/>
        <w:rPr>
          <w:rFonts w:asciiTheme="minorHAnsi" w:hAnsiTheme="minorHAnsi"/>
          <w:noProof/>
          <w:sz w:val="22"/>
          <w:szCs w:val="22"/>
          <w:lang w:eastAsia="en-US"/>
        </w:rPr>
      </w:pPr>
      <w:r w:rsidRPr="00EF7666">
        <w:rPr>
          <w:noProof/>
        </w:rPr>
        <w:t xml:space="preserve">A. </w:t>
      </w:r>
      <w:r w:rsidR="00347588">
        <w:rPr>
          <w:noProof/>
        </w:rPr>
        <w:tab/>
      </w:r>
      <w:r w:rsidRPr="00EF7666">
        <w:rPr>
          <w:noProof/>
        </w:rPr>
        <w:t>OVERVIEW OF COMPANY’S DIRECT CASE</w:t>
      </w:r>
      <w:r w:rsidRPr="00EF7666">
        <w:rPr>
          <w:noProof/>
        </w:rPr>
        <w:tab/>
      </w:r>
      <w:r w:rsidRPr="00EF7666">
        <w:rPr>
          <w:noProof/>
        </w:rPr>
        <w:fldChar w:fldCharType="begin"/>
      </w:r>
      <w:r w:rsidRPr="00EF7666">
        <w:rPr>
          <w:noProof/>
        </w:rPr>
        <w:instrText xml:space="preserve"> PAGEREF _Toc400627182 \h </w:instrText>
      </w:r>
      <w:r w:rsidRPr="00EF7666">
        <w:rPr>
          <w:noProof/>
        </w:rPr>
      </w:r>
      <w:r w:rsidRPr="00EF7666">
        <w:rPr>
          <w:noProof/>
        </w:rPr>
        <w:fldChar w:fldCharType="separate"/>
      </w:r>
      <w:r w:rsidR="007F487A">
        <w:rPr>
          <w:noProof/>
        </w:rPr>
        <w:t>4</w:t>
      </w:r>
      <w:r w:rsidRPr="00EF7666">
        <w:rPr>
          <w:noProof/>
        </w:rPr>
        <w:fldChar w:fldCharType="end"/>
      </w:r>
    </w:p>
    <w:p w14:paraId="52B6BBF6" w14:textId="0F32E9C0" w:rsidR="00EF7666" w:rsidRPr="00EF7666" w:rsidRDefault="00EF7666" w:rsidP="00EF7666">
      <w:pPr>
        <w:pStyle w:val="TOC2"/>
        <w:rPr>
          <w:rFonts w:asciiTheme="minorHAnsi" w:hAnsiTheme="minorHAnsi"/>
          <w:noProof/>
          <w:sz w:val="22"/>
          <w:szCs w:val="22"/>
          <w:lang w:eastAsia="en-US"/>
        </w:rPr>
      </w:pPr>
      <w:r w:rsidRPr="00EF7666">
        <w:rPr>
          <w:noProof/>
        </w:rPr>
        <w:t xml:space="preserve">B. </w:t>
      </w:r>
      <w:r w:rsidR="00347588">
        <w:rPr>
          <w:noProof/>
        </w:rPr>
        <w:tab/>
      </w:r>
      <w:r w:rsidRPr="00EF7666">
        <w:rPr>
          <w:noProof/>
        </w:rPr>
        <w:t>OVERVIEW OF STAFF’S CASE</w:t>
      </w:r>
      <w:r w:rsidRPr="00EF7666">
        <w:rPr>
          <w:noProof/>
        </w:rPr>
        <w:tab/>
      </w:r>
      <w:r w:rsidRPr="00EF7666">
        <w:rPr>
          <w:noProof/>
        </w:rPr>
        <w:fldChar w:fldCharType="begin"/>
      </w:r>
      <w:r w:rsidRPr="00EF7666">
        <w:rPr>
          <w:noProof/>
        </w:rPr>
        <w:instrText xml:space="preserve"> PAGEREF _Toc400627183 \h </w:instrText>
      </w:r>
      <w:r w:rsidRPr="00EF7666">
        <w:rPr>
          <w:noProof/>
        </w:rPr>
      </w:r>
      <w:r w:rsidRPr="00EF7666">
        <w:rPr>
          <w:noProof/>
        </w:rPr>
        <w:fldChar w:fldCharType="separate"/>
      </w:r>
      <w:r w:rsidR="007F487A">
        <w:rPr>
          <w:noProof/>
        </w:rPr>
        <w:t>6</w:t>
      </w:r>
      <w:r w:rsidRPr="00EF7666">
        <w:rPr>
          <w:noProof/>
        </w:rPr>
        <w:fldChar w:fldCharType="end"/>
      </w:r>
    </w:p>
    <w:p w14:paraId="47559AF8" w14:textId="77777777" w:rsidR="00EF7666" w:rsidRPr="00EF7666" w:rsidRDefault="00EF7666" w:rsidP="00347588">
      <w:pPr>
        <w:pStyle w:val="TOC3"/>
        <w:rPr>
          <w:rFonts w:asciiTheme="minorHAnsi" w:hAnsiTheme="minorHAnsi"/>
          <w:noProof/>
          <w:sz w:val="22"/>
          <w:szCs w:val="22"/>
          <w:lang w:eastAsia="en-US"/>
        </w:rPr>
      </w:pPr>
      <w:r w:rsidRPr="00EF7666">
        <w:rPr>
          <w:noProof/>
        </w:rPr>
        <w:t>1.</w:t>
      </w:r>
      <w:r w:rsidRPr="00EF7666">
        <w:rPr>
          <w:rFonts w:asciiTheme="minorHAnsi" w:hAnsiTheme="minorHAnsi"/>
          <w:noProof/>
          <w:sz w:val="22"/>
          <w:szCs w:val="22"/>
          <w:lang w:eastAsia="en-US"/>
        </w:rPr>
        <w:tab/>
      </w:r>
      <w:r w:rsidRPr="00EF7666">
        <w:rPr>
          <w:noProof/>
        </w:rPr>
        <w:t>POLICY SUPPORTING STAFF’S CASE</w:t>
      </w:r>
      <w:r w:rsidRPr="00EF7666">
        <w:rPr>
          <w:noProof/>
        </w:rPr>
        <w:tab/>
      </w:r>
      <w:r w:rsidRPr="00EF7666">
        <w:rPr>
          <w:noProof/>
        </w:rPr>
        <w:fldChar w:fldCharType="begin"/>
      </w:r>
      <w:r w:rsidRPr="00EF7666">
        <w:rPr>
          <w:noProof/>
        </w:rPr>
        <w:instrText xml:space="preserve"> PAGEREF _Toc400627184 \h </w:instrText>
      </w:r>
      <w:r w:rsidRPr="00EF7666">
        <w:rPr>
          <w:noProof/>
        </w:rPr>
      </w:r>
      <w:r w:rsidRPr="00EF7666">
        <w:rPr>
          <w:noProof/>
        </w:rPr>
        <w:fldChar w:fldCharType="separate"/>
      </w:r>
      <w:r w:rsidR="007F487A">
        <w:rPr>
          <w:noProof/>
        </w:rPr>
        <w:t>6</w:t>
      </w:r>
      <w:r w:rsidRPr="00EF7666">
        <w:rPr>
          <w:noProof/>
        </w:rPr>
        <w:fldChar w:fldCharType="end"/>
      </w:r>
    </w:p>
    <w:p w14:paraId="3A26E453" w14:textId="77777777" w:rsidR="00EF7666" w:rsidRPr="00EF7666" w:rsidRDefault="00EF7666" w:rsidP="00347588">
      <w:pPr>
        <w:pStyle w:val="TOC3"/>
        <w:rPr>
          <w:rFonts w:asciiTheme="minorHAnsi" w:hAnsiTheme="minorHAnsi"/>
          <w:noProof/>
          <w:sz w:val="22"/>
          <w:szCs w:val="22"/>
          <w:lang w:eastAsia="en-US"/>
        </w:rPr>
      </w:pPr>
      <w:r w:rsidRPr="00EF7666">
        <w:rPr>
          <w:noProof/>
        </w:rPr>
        <w:t>2.</w:t>
      </w:r>
      <w:r w:rsidRPr="00EF7666">
        <w:rPr>
          <w:rFonts w:asciiTheme="minorHAnsi" w:hAnsiTheme="minorHAnsi"/>
          <w:noProof/>
          <w:sz w:val="22"/>
          <w:szCs w:val="22"/>
          <w:lang w:eastAsia="en-US"/>
        </w:rPr>
        <w:tab/>
      </w:r>
      <w:r w:rsidRPr="00EF7666">
        <w:rPr>
          <w:noProof/>
        </w:rPr>
        <w:t>STAFF’S REVENUE REQUIREMENT</w:t>
      </w:r>
      <w:r w:rsidRPr="00EF7666">
        <w:rPr>
          <w:noProof/>
        </w:rPr>
        <w:tab/>
      </w:r>
      <w:r w:rsidRPr="00EF7666">
        <w:rPr>
          <w:noProof/>
        </w:rPr>
        <w:fldChar w:fldCharType="begin"/>
      </w:r>
      <w:r w:rsidRPr="00EF7666">
        <w:rPr>
          <w:noProof/>
        </w:rPr>
        <w:instrText xml:space="preserve"> PAGEREF _Toc400627185 \h </w:instrText>
      </w:r>
      <w:r w:rsidRPr="00EF7666">
        <w:rPr>
          <w:noProof/>
        </w:rPr>
      </w:r>
      <w:r w:rsidRPr="00EF7666">
        <w:rPr>
          <w:noProof/>
        </w:rPr>
        <w:fldChar w:fldCharType="separate"/>
      </w:r>
      <w:r w:rsidR="007F487A">
        <w:rPr>
          <w:noProof/>
        </w:rPr>
        <w:t>6</w:t>
      </w:r>
      <w:r w:rsidRPr="00EF7666">
        <w:rPr>
          <w:noProof/>
        </w:rPr>
        <w:fldChar w:fldCharType="end"/>
      </w:r>
    </w:p>
    <w:p w14:paraId="011221E4" w14:textId="77777777" w:rsidR="00EF7666" w:rsidRPr="00EF7666" w:rsidRDefault="00EF7666" w:rsidP="00347588">
      <w:pPr>
        <w:pStyle w:val="TOC3"/>
        <w:rPr>
          <w:rFonts w:asciiTheme="minorHAnsi" w:hAnsiTheme="minorHAnsi"/>
          <w:noProof/>
          <w:sz w:val="22"/>
          <w:szCs w:val="22"/>
          <w:lang w:eastAsia="en-US"/>
        </w:rPr>
      </w:pPr>
      <w:r w:rsidRPr="00EF7666">
        <w:rPr>
          <w:noProof/>
        </w:rPr>
        <w:t>3.</w:t>
      </w:r>
      <w:r w:rsidRPr="00EF7666">
        <w:rPr>
          <w:rFonts w:asciiTheme="minorHAnsi" w:hAnsiTheme="minorHAnsi"/>
          <w:noProof/>
          <w:sz w:val="22"/>
          <w:szCs w:val="22"/>
          <w:lang w:eastAsia="en-US"/>
        </w:rPr>
        <w:tab/>
      </w:r>
      <w:r w:rsidRPr="00EF7666">
        <w:rPr>
          <w:noProof/>
        </w:rPr>
        <w:t>QUALIFYING FACILITIES</w:t>
      </w:r>
      <w:r w:rsidRPr="00EF7666">
        <w:rPr>
          <w:noProof/>
        </w:rPr>
        <w:tab/>
      </w:r>
      <w:r w:rsidRPr="00EF7666">
        <w:rPr>
          <w:noProof/>
        </w:rPr>
        <w:fldChar w:fldCharType="begin"/>
      </w:r>
      <w:r w:rsidRPr="00EF7666">
        <w:rPr>
          <w:noProof/>
        </w:rPr>
        <w:instrText xml:space="preserve"> PAGEREF _Toc400627186 \h </w:instrText>
      </w:r>
      <w:r w:rsidRPr="00EF7666">
        <w:rPr>
          <w:noProof/>
        </w:rPr>
      </w:r>
      <w:r w:rsidRPr="00EF7666">
        <w:rPr>
          <w:noProof/>
        </w:rPr>
        <w:fldChar w:fldCharType="separate"/>
      </w:r>
      <w:r w:rsidR="007F487A">
        <w:rPr>
          <w:noProof/>
        </w:rPr>
        <w:t>9</w:t>
      </w:r>
      <w:r w:rsidRPr="00EF7666">
        <w:rPr>
          <w:noProof/>
        </w:rPr>
        <w:fldChar w:fldCharType="end"/>
      </w:r>
    </w:p>
    <w:p w14:paraId="2FAAE439" w14:textId="77777777" w:rsidR="00EF7666" w:rsidRPr="00EF7666" w:rsidRDefault="00EF7666" w:rsidP="00347588">
      <w:pPr>
        <w:pStyle w:val="TOC3"/>
        <w:rPr>
          <w:rFonts w:asciiTheme="minorHAnsi" w:hAnsiTheme="minorHAnsi"/>
          <w:noProof/>
          <w:sz w:val="22"/>
          <w:szCs w:val="22"/>
          <w:lang w:eastAsia="en-US"/>
        </w:rPr>
      </w:pPr>
      <w:r w:rsidRPr="00EF7666">
        <w:rPr>
          <w:noProof/>
        </w:rPr>
        <w:t>4.</w:t>
      </w:r>
      <w:r w:rsidRPr="00EF7666">
        <w:rPr>
          <w:rFonts w:asciiTheme="minorHAnsi" w:hAnsiTheme="minorHAnsi"/>
          <w:noProof/>
          <w:sz w:val="22"/>
          <w:szCs w:val="22"/>
          <w:lang w:eastAsia="en-US"/>
        </w:rPr>
        <w:tab/>
      </w:r>
      <w:r w:rsidRPr="00EF7666">
        <w:rPr>
          <w:noProof/>
        </w:rPr>
        <w:t>STAFF’S RESPONSES TO PACIFIC POWER’S ALTERNATIVE PROPOSALS TO ADDRESS UNDERRECOVERY</w:t>
      </w:r>
      <w:r w:rsidRPr="00EF7666">
        <w:rPr>
          <w:noProof/>
        </w:rPr>
        <w:tab/>
      </w:r>
      <w:r w:rsidRPr="00EF7666">
        <w:rPr>
          <w:noProof/>
        </w:rPr>
        <w:fldChar w:fldCharType="begin"/>
      </w:r>
      <w:r w:rsidRPr="00EF7666">
        <w:rPr>
          <w:noProof/>
        </w:rPr>
        <w:instrText xml:space="preserve"> PAGEREF _Toc400627187 \h </w:instrText>
      </w:r>
      <w:r w:rsidRPr="00EF7666">
        <w:rPr>
          <w:noProof/>
        </w:rPr>
      </w:r>
      <w:r w:rsidRPr="00EF7666">
        <w:rPr>
          <w:noProof/>
        </w:rPr>
        <w:fldChar w:fldCharType="separate"/>
      </w:r>
      <w:r w:rsidR="007F487A">
        <w:rPr>
          <w:noProof/>
        </w:rPr>
        <w:t>10</w:t>
      </w:r>
      <w:r w:rsidRPr="00EF7666">
        <w:rPr>
          <w:noProof/>
        </w:rPr>
        <w:fldChar w:fldCharType="end"/>
      </w:r>
    </w:p>
    <w:p w14:paraId="4A02219E" w14:textId="77777777" w:rsidR="00EF7666" w:rsidRPr="00EF7666" w:rsidRDefault="00EF7666" w:rsidP="00347588">
      <w:pPr>
        <w:pStyle w:val="TOC3"/>
        <w:rPr>
          <w:rFonts w:asciiTheme="minorHAnsi" w:hAnsiTheme="minorHAnsi"/>
          <w:noProof/>
          <w:sz w:val="22"/>
          <w:szCs w:val="22"/>
          <w:lang w:eastAsia="en-US"/>
        </w:rPr>
      </w:pPr>
      <w:r w:rsidRPr="00EF7666">
        <w:rPr>
          <w:noProof/>
        </w:rPr>
        <w:t>5.</w:t>
      </w:r>
      <w:r w:rsidRPr="00EF7666">
        <w:rPr>
          <w:rFonts w:asciiTheme="minorHAnsi" w:hAnsiTheme="minorHAnsi"/>
          <w:noProof/>
          <w:sz w:val="22"/>
          <w:szCs w:val="22"/>
          <w:lang w:eastAsia="en-US"/>
        </w:rPr>
        <w:tab/>
      </w:r>
      <w:r w:rsidRPr="00EF7666">
        <w:rPr>
          <w:noProof/>
        </w:rPr>
        <w:t>SUMMARY OF STAFF’S POSITIONS ON CONSOLIDATED ACCOUNTING PETITIONS</w:t>
      </w:r>
      <w:r w:rsidRPr="00EF7666">
        <w:rPr>
          <w:noProof/>
        </w:rPr>
        <w:tab/>
      </w:r>
      <w:r w:rsidRPr="00EF7666">
        <w:rPr>
          <w:noProof/>
        </w:rPr>
        <w:fldChar w:fldCharType="begin"/>
      </w:r>
      <w:r w:rsidRPr="00EF7666">
        <w:rPr>
          <w:noProof/>
        </w:rPr>
        <w:instrText xml:space="preserve"> PAGEREF _Toc400627188 \h </w:instrText>
      </w:r>
      <w:r w:rsidRPr="00EF7666">
        <w:rPr>
          <w:noProof/>
        </w:rPr>
      </w:r>
      <w:r w:rsidRPr="00EF7666">
        <w:rPr>
          <w:noProof/>
        </w:rPr>
        <w:fldChar w:fldCharType="separate"/>
      </w:r>
      <w:r w:rsidR="007F487A">
        <w:rPr>
          <w:noProof/>
        </w:rPr>
        <w:t>12</w:t>
      </w:r>
      <w:r w:rsidRPr="00EF7666">
        <w:rPr>
          <w:noProof/>
        </w:rPr>
        <w:fldChar w:fldCharType="end"/>
      </w:r>
    </w:p>
    <w:p w14:paraId="4ED0979B" w14:textId="77777777" w:rsidR="00EF7666" w:rsidRPr="00EF7666" w:rsidRDefault="00EF7666" w:rsidP="00EF7666">
      <w:pPr>
        <w:pStyle w:val="TOC1"/>
        <w:rPr>
          <w:rFonts w:asciiTheme="minorHAnsi" w:hAnsiTheme="minorHAnsi"/>
          <w:noProof/>
          <w:sz w:val="22"/>
          <w:szCs w:val="22"/>
          <w:lang w:eastAsia="en-US"/>
        </w:rPr>
      </w:pPr>
      <w:r w:rsidRPr="00EF7666">
        <w:rPr>
          <w:noProof/>
        </w:rPr>
        <w:t>IV.</w:t>
      </w:r>
      <w:r w:rsidRPr="00EF7666">
        <w:rPr>
          <w:rFonts w:asciiTheme="minorHAnsi" w:hAnsiTheme="minorHAnsi"/>
          <w:noProof/>
          <w:sz w:val="22"/>
          <w:szCs w:val="22"/>
          <w:lang w:eastAsia="en-US"/>
        </w:rPr>
        <w:tab/>
      </w:r>
      <w:r w:rsidRPr="00EF7666">
        <w:rPr>
          <w:noProof/>
        </w:rPr>
        <w:t>ACCOUNTING ADJUSTMENTS</w:t>
      </w:r>
      <w:r w:rsidRPr="00EF7666">
        <w:rPr>
          <w:noProof/>
        </w:rPr>
        <w:tab/>
      </w:r>
      <w:r w:rsidRPr="00EF7666">
        <w:rPr>
          <w:noProof/>
        </w:rPr>
        <w:fldChar w:fldCharType="begin"/>
      </w:r>
      <w:r w:rsidRPr="00EF7666">
        <w:rPr>
          <w:noProof/>
        </w:rPr>
        <w:instrText xml:space="preserve"> PAGEREF _Toc400627189 \h </w:instrText>
      </w:r>
      <w:r w:rsidRPr="00EF7666">
        <w:rPr>
          <w:noProof/>
        </w:rPr>
      </w:r>
      <w:r w:rsidRPr="00EF7666">
        <w:rPr>
          <w:noProof/>
        </w:rPr>
        <w:fldChar w:fldCharType="separate"/>
      </w:r>
      <w:r w:rsidR="007F487A">
        <w:rPr>
          <w:noProof/>
        </w:rPr>
        <w:t>13</w:t>
      </w:r>
      <w:r w:rsidRPr="00EF7666">
        <w:rPr>
          <w:noProof/>
        </w:rPr>
        <w:fldChar w:fldCharType="end"/>
      </w:r>
    </w:p>
    <w:p w14:paraId="3354F85D" w14:textId="2F3E129D" w:rsidR="00EF7666" w:rsidRPr="00EF7666" w:rsidRDefault="00EF7666" w:rsidP="00EF7666">
      <w:pPr>
        <w:pStyle w:val="TOC2"/>
        <w:rPr>
          <w:rFonts w:asciiTheme="minorHAnsi" w:hAnsiTheme="minorHAnsi"/>
          <w:noProof/>
          <w:sz w:val="22"/>
          <w:szCs w:val="22"/>
          <w:lang w:eastAsia="en-US"/>
        </w:rPr>
      </w:pPr>
      <w:r w:rsidRPr="00EF7666">
        <w:rPr>
          <w:noProof/>
        </w:rPr>
        <w:t xml:space="preserve">A. </w:t>
      </w:r>
      <w:r w:rsidR="00347588">
        <w:rPr>
          <w:noProof/>
        </w:rPr>
        <w:tab/>
      </w:r>
      <w:r w:rsidRPr="00EF7666">
        <w:rPr>
          <w:noProof/>
        </w:rPr>
        <w:t>ADJUSTMENT 4.7, INSURANCE EXPENSE</w:t>
      </w:r>
      <w:r w:rsidRPr="00EF7666">
        <w:rPr>
          <w:noProof/>
        </w:rPr>
        <w:tab/>
      </w:r>
      <w:r w:rsidRPr="00EF7666">
        <w:rPr>
          <w:noProof/>
        </w:rPr>
        <w:fldChar w:fldCharType="begin"/>
      </w:r>
      <w:r w:rsidRPr="00EF7666">
        <w:rPr>
          <w:noProof/>
        </w:rPr>
        <w:instrText xml:space="preserve"> PAGEREF _Toc400627190 \h </w:instrText>
      </w:r>
      <w:r w:rsidRPr="00EF7666">
        <w:rPr>
          <w:noProof/>
        </w:rPr>
      </w:r>
      <w:r w:rsidRPr="00EF7666">
        <w:rPr>
          <w:noProof/>
        </w:rPr>
        <w:fldChar w:fldCharType="separate"/>
      </w:r>
      <w:r w:rsidR="007F487A">
        <w:rPr>
          <w:noProof/>
        </w:rPr>
        <w:t>13</w:t>
      </w:r>
      <w:r w:rsidRPr="00EF7666">
        <w:rPr>
          <w:noProof/>
        </w:rPr>
        <w:fldChar w:fldCharType="end"/>
      </w:r>
    </w:p>
    <w:p w14:paraId="5DC8E691" w14:textId="7B5CDCC9" w:rsidR="00EF7666" w:rsidRPr="00EF7666" w:rsidRDefault="00EF7666" w:rsidP="00EF7666">
      <w:pPr>
        <w:pStyle w:val="TOC2"/>
        <w:rPr>
          <w:rFonts w:asciiTheme="minorHAnsi" w:hAnsiTheme="minorHAnsi"/>
          <w:noProof/>
          <w:sz w:val="22"/>
          <w:szCs w:val="22"/>
          <w:lang w:eastAsia="en-US"/>
        </w:rPr>
      </w:pPr>
      <w:r w:rsidRPr="00EF7666">
        <w:rPr>
          <w:noProof/>
        </w:rPr>
        <w:t xml:space="preserve">B. </w:t>
      </w:r>
      <w:r w:rsidR="00347588">
        <w:rPr>
          <w:noProof/>
        </w:rPr>
        <w:tab/>
      </w:r>
      <w:r w:rsidRPr="00EF7666">
        <w:rPr>
          <w:noProof/>
        </w:rPr>
        <w:t>ADJUSTMENT 4.13, IHS GLOBAL INSIGHT ESCALATION</w:t>
      </w:r>
      <w:r w:rsidRPr="00EF7666">
        <w:rPr>
          <w:noProof/>
        </w:rPr>
        <w:tab/>
      </w:r>
      <w:r w:rsidRPr="00EF7666">
        <w:rPr>
          <w:noProof/>
        </w:rPr>
        <w:fldChar w:fldCharType="begin"/>
      </w:r>
      <w:r w:rsidRPr="00EF7666">
        <w:rPr>
          <w:noProof/>
        </w:rPr>
        <w:instrText xml:space="preserve"> PAGEREF _Toc400627191 \h </w:instrText>
      </w:r>
      <w:r w:rsidRPr="00EF7666">
        <w:rPr>
          <w:noProof/>
        </w:rPr>
      </w:r>
      <w:r w:rsidRPr="00EF7666">
        <w:rPr>
          <w:noProof/>
        </w:rPr>
        <w:fldChar w:fldCharType="separate"/>
      </w:r>
      <w:r w:rsidR="007F487A">
        <w:rPr>
          <w:noProof/>
        </w:rPr>
        <w:t>15</w:t>
      </w:r>
      <w:r w:rsidRPr="00EF7666">
        <w:rPr>
          <w:noProof/>
        </w:rPr>
        <w:fldChar w:fldCharType="end"/>
      </w:r>
    </w:p>
    <w:p w14:paraId="7F424042" w14:textId="348EFD5C" w:rsidR="00EF7666" w:rsidRPr="00EF7666" w:rsidRDefault="00EF7666" w:rsidP="00EF7666">
      <w:pPr>
        <w:pStyle w:val="TOC2"/>
        <w:rPr>
          <w:rFonts w:asciiTheme="minorHAnsi" w:hAnsiTheme="minorHAnsi"/>
          <w:noProof/>
          <w:sz w:val="22"/>
          <w:szCs w:val="22"/>
          <w:lang w:eastAsia="en-US"/>
        </w:rPr>
      </w:pPr>
      <w:r w:rsidRPr="00EF7666">
        <w:rPr>
          <w:noProof/>
        </w:rPr>
        <w:t xml:space="preserve">C. </w:t>
      </w:r>
      <w:r w:rsidR="00347588">
        <w:rPr>
          <w:noProof/>
        </w:rPr>
        <w:tab/>
      </w:r>
      <w:r w:rsidRPr="00EF7666">
        <w:rPr>
          <w:noProof/>
        </w:rPr>
        <w:t>ADJUSTMENT 7.2, PROPERTY TAX EXPENSE</w:t>
      </w:r>
      <w:r w:rsidRPr="00EF7666">
        <w:rPr>
          <w:noProof/>
        </w:rPr>
        <w:tab/>
      </w:r>
      <w:r w:rsidRPr="00EF7666">
        <w:rPr>
          <w:noProof/>
        </w:rPr>
        <w:fldChar w:fldCharType="begin"/>
      </w:r>
      <w:r w:rsidRPr="00EF7666">
        <w:rPr>
          <w:noProof/>
        </w:rPr>
        <w:instrText xml:space="preserve"> PAGEREF _Toc400627192 \h </w:instrText>
      </w:r>
      <w:r w:rsidRPr="00EF7666">
        <w:rPr>
          <w:noProof/>
        </w:rPr>
      </w:r>
      <w:r w:rsidRPr="00EF7666">
        <w:rPr>
          <w:noProof/>
        </w:rPr>
        <w:fldChar w:fldCharType="separate"/>
      </w:r>
      <w:r w:rsidR="007F487A">
        <w:rPr>
          <w:noProof/>
        </w:rPr>
        <w:t>19</w:t>
      </w:r>
      <w:r w:rsidRPr="00EF7666">
        <w:rPr>
          <w:noProof/>
        </w:rPr>
        <w:fldChar w:fldCharType="end"/>
      </w:r>
    </w:p>
    <w:p w14:paraId="2BA82049" w14:textId="77777777" w:rsidR="00EF7666" w:rsidRPr="00EF7666" w:rsidRDefault="00EF7666" w:rsidP="00EF7666">
      <w:pPr>
        <w:pStyle w:val="TOC1"/>
        <w:rPr>
          <w:rFonts w:asciiTheme="minorHAnsi" w:hAnsiTheme="minorHAnsi"/>
          <w:noProof/>
          <w:sz w:val="22"/>
          <w:szCs w:val="22"/>
          <w:lang w:eastAsia="en-US"/>
        </w:rPr>
      </w:pPr>
      <w:r w:rsidRPr="00EF7666">
        <w:rPr>
          <w:noProof/>
        </w:rPr>
        <w:t>V.</w:t>
      </w:r>
      <w:r w:rsidRPr="00EF7666">
        <w:rPr>
          <w:rFonts w:asciiTheme="minorHAnsi" w:hAnsiTheme="minorHAnsi"/>
          <w:noProof/>
          <w:sz w:val="22"/>
          <w:szCs w:val="22"/>
          <w:lang w:eastAsia="en-US"/>
        </w:rPr>
        <w:tab/>
      </w:r>
      <w:r w:rsidRPr="00EF7666">
        <w:rPr>
          <w:noProof/>
        </w:rPr>
        <w:t>MERWIN FISH COLLECTOR PROJECT</w:t>
      </w:r>
      <w:r w:rsidRPr="00EF7666">
        <w:rPr>
          <w:noProof/>
        </w:rPr>
        <w:tab/>
      </w:r>
      <w:r w:rsidRPr="00EF7666">
        <w:rPr>
          <w:noProof/>
        </w:rPr>
        <w:fldChar w:fldCharType="begin"/>
      </w:r>
      <w:r w:rsidRPr="00EF7666">
        <w:rPr>
          <w:noProof/>
        </w:rPr>
        <w:instrText xml:space="preserve"> PAGEREF _Toc400627193 \h </w:instrText>
      </w:r>
      <w:r w:rsidRPr="00EF7666">
        <w:rPr>
          <w:noProof/>
        </w:rPr>
      </w:r>
      <w:r w:rsidRPr="00EF7666">
        <w:rPr>
          <w:noProof/>
        </w:rPr>
        <w:fldChar w:fldCharType="separate"/>
      </w:r>
      <w:r w:rsidR="007F487A">
        <w:rPr>
          <w:noProof/>
        </w:rPr>
        <w:t>20</w:t>
      </w:r>
      <w:r w:rsidRPr="00EF7666">
        <w:rPr>
          <w:noProof/>
        </w:rPr>
        <w:fldChar w:fldCharType="end"/>
      </w:r>
    </w:p>
    <w:p w14:paraId="6BEB512E" w14:textId="6C9A9374" w:rsidR="00EF7666" w:rsidRPr="00EF7666" w:rsidRDefault="00EF7666" w:rsidP="00EF7666">
      <w:pPr>
        <w:pStyle w:val="TOC2"/>
        <w:rPr>
          <w:rFonts w:asciiTheme="minorHAnsi" w:hAnsiTheme="minorHAnsi"/>
          <w:noProof/>
          <w:sz w:val="22"/>
          <w:szCs w:val="22"/>
          <w:lang w:eastAsia="en-US"/>
        </w:rPr>
      </w:pPr>
      <w:r w:rsidRPr="00EF7666">
        <w:rPr>
          <w:noProof/>
        </w:rPr>
        <w:t xml:space="preserve">A.  </w:t>
      </w:r>
      <w:r w:rsidR="00347588">
        <w:rPr>
          <w:noProof/>
        </w:rPr>
        <w:tab/>
      </w:r>
      <w:r w:rsidRPr="00EF7666">
        <w:rPr>
          <w:noProof/>
        </w:rPr>
        <w:t>DESCRIPTION AND HISTORY</w:t>
      </w:r>
      <w:r w:rsidRPr="00EF7666">
        <w:rPr>
          <w:noProof/>
        </w:rPr>
        <w:tab/>
      </w:r>
      <w:r w:rsidRPr="00EF7666">
        <w:rPr>
          <w:noProof/>
        </w:rPr>
        <w:fldChar w:fldCharType="begin"/>
      </w:r>
      <w:r w:rsidRPr="00EF7666">
        <w:rPr>
          <w:noProof/>
        </w:rPr>
        <w:instrText xml:space="preserve"> PAGEREF _Toc400627194 \h </w:instrText>
      </w:r>
      <w:r w:rsidRPr="00EF7666">
        <w:rPr>
          <w:noProof/>
        </w:rPr>
      </w:r>
      <w:r w:rsidRPr="00EF7666">
        <w:rPr>
          <w:noProof/>
        </w:rPr>
        <w:fldChar w:fldCharType="separate"/>
      </w:r>
      <w:r w:rsidR="007F487A">
        <w:rPr>
          <w:noProof/>
        </w:rPr>
        <w:t>20</w:t>
      </w:r>
      <w:r w:rsidRPr="00EF7666">
        <w:rPr>
          <w:noProof/>
        </w:rPr>
        <w:fldChar w:fldCharType="end"/>
      </w:r>
    </w:p>
    <w:p w14:paraId="3D96488C" w14:textId="0117AB9A" w:rsidR="00EF7666" w:rsidRPr="00EF7666" w:rsidRDefault="00EF7666" w:rsidP="00EF7666">
      <w:pPr>
        <w:pStyle w:val="TOC2"/>
        <w:rPr>
          <w:rFonts w:asciiTheme="minorHAnsi" w:hAnsiTheme="minorHAnsi"/>
          <w:noProof/>
          <w:sz w:val="22"/>
          <w:szCs w:val="22"/>
          <w:lang w:eastAsia="en-US"/>
        </w:rPr>
      </w:pPr>
      <w:r w:rsidRPr="00EF7666">
        <w:rPr>
          <w:noProof/>
        </w:rPr>
        <w:t xml:space="preserve">B.  </w:t>
      </w:r>
      <w:r w:rsidR="00347588">
        <w:rPr>
          <w:noProof/>
        </w:rPr>
        <w:tab/>
      </w:r>
      <w:r w:rsidRPr="00EF7666">
        <w:rPr>
          <w:noProof/>
        </w:rPr>
        <w:t>PRUDENCE EVALUATION</w:t>
      </w:r>
      <w:r w:rsidRPr="00EF7666">
        <w:rPr>
          <w:noProof/>
        </w:rPr>
        <w:tab/>
      </w:r>
      <w:r w:rsidRPr="00EF7666">
        <w:rPr>
          <w:noProof/>
        </w:rPr>
        <w:fldChar w:fldCharType="begin"/>
      </w:r>
      <w:r w:rsidRPr="00EF7666">
        <w:rPr>
          <w:noProof/>
        </w:rPr>
        <w:instrText xml:space="preserve"> PAGEREF _Toc400627195 \h </w:instrText>
      </w:r>
      <w:r w:rsidRPr="00EF7666">
        <w:rPr>
          <w:noProof/>
        </w:rPr>
      </w:r>
      <w:r w:rsidRPr="00EF7666">
        <w:rPr>
          <w:noProof/>
        </w:rPr>
        <w:fldChar w:fldCharType="separate"/>
      </w:r>
      <w:r w:rsidR="007F487A">
        <w:rPr>
          <w:noProof/>
        </w:rPr>
        <w:t>22</w:t>
      </w:r>
      <w:r w:rsidRPr="00EF7666">
        <w:rPr>
          <w:noProof/>
        </w:rPr>
        <w:fldChar w:fldCharType="end"/>
      </w:r>
    </w:p>
    <w:p w14:paraId="4969FFFF" w14:textId="041EDA23" w:rsidR="00EF7666" w:rsidRPr="00EF7666" w:rsidRDefault="00EF7666" w:rsidP="00EF7666">
      <w:pPr>
        <w:pStyle w:val="TOC2"/>
        <w:rPr>
          <w:rFonts w:asciiTheme="minorHAnsi" w:hAnsiTheme="minorHAnsi"/>
          <w:noProof/>
          <w:sz w:val="22"/>
          <w:szCs w:val="22"/>
          <w:lang w:eastAsia="en-US"/>
        </w:rPr>
      </w:pPr>
      <w:r w:rsidRPr="00EF7666">
        <w:rPr>
          <w:noProof/>
        </w:rPr>
        <w:t xml:space="preserve">C.  </w:t>
      </w:r>
      <w:r w:rsidR="00347588">
        <w:rPr>
          <w:noProof/>
        </w:rPr>
        <w:tab/>
      </w:r>
      <w:r w:rsidRPr="00EF7666">
        <w:rPr>
          <w:noProof/>
        </w:rPr>
        <w:t>ACCOUNTING DEFERRAL</w:t>
      </w:r>
      <w:r w:rsidRPr="00EF7666">
        <w:rPr>
          <w:noProof/>
        </w:rPr>
        <w:tab/>
      </w:r>
      <w:r w:rsidRPr="00EF7666">
        <w:rPr>
          <w:noProof/>
        </w:rPr>
        <w:fldChar w:fldCharType="begin"/>
      </w:r>
      <w:r w:rsidRPr="00EF7666">
        <w:rPr>
          <w:noProof/>
        </w:rPr>
        <w:instrText xml:space="preserve"> PAGEREF _Toc400627196 \h </w:instrText>
      </w:r>
      <w:r w:rsidRPr="00EF7666">
        <w:rPr>
          <w:noProof/>
        </w:rPr>
      </w:r>
      <w:r w:rsidRPr="00EF7666">
        <w:rPr>
          <w:noProof/>
        </w:rPr>
        <w:fldChar w:fldCharType="separate"/>
      </w:r>
      <w:r w:rsidR="007F487A">
        <w:rPr>
          <w:noProof/>
        </w:rPr>
        <w:t>25</w:t>
      </w:r>
      <w:r w:rsidRPr="00EF7666">
        <w:rPr>
          <w:noProof/>
        </w:rPr>
        <w:fldChar w:fldCharType="end"/>
      </w:r>
    </w:p>
    <w:p w14:paraId="31524C3C" w14:textId="028EAB03" w:rsidR="00EF7666" w:rsidRPr="003B1AC8" w:rsidRDefault="00EF7666" w:rsidP="00EF7666">
      <w:pPr>
        <w:spacing w:after="240"/>
        <w:jc w:val="center"/>
        <w:rPr>
          <w:rFonts w:eastAsia="Times New Roman" w:cs="Times New Roman"/>
          <w:b/>
          <w:szCs w:val="24"/>
        </w:rPr>
      </w:pPr>
      <w:r w:rsidRPr="00EF7666">
        <w:rPr>
          <w:noProof/>
        </w:rPr>
        <w:fldChar w:fldCharType="end"/>
      </w:r>
    </w:p>
    <w:p w14:paraId="28980FE6" w14:textId="2FB192A4" w:rsidR="00BD533D" w:rsidRDefault="00BD533D" w:rsidP="00EF7666">
      <w:pPr>
        <w:pStyle w:val="TOC1"/>
        <w:rPr>
          <w:noProof/>
        </w:rPr>
      </w:pPr>
    </w:p>
    <w:p w14:paraId="6CA6AE10" w14:textId="77777777" w:rsidR="003B1A28" w:rsidRDefault="003B1A28" w:rsidP="003B1A28">
      <w:pPr>
        <w:spacing w:line="480" w:lineRule="auto"/>
        <w:jc w:val="center"/>
        <w:rPr>
          <w:rFonts w:cs="Times New Roman"/>
          <w:b/>
          <w:bCs/>
          <w:noProof/>
          <w:szCs w:val="24"/>
        </w:rPr>
      </w:pPr>
      <w:r>
        <w:rPr>
          <w:rFonts w:cs="Times New Roman"/>
          <w:b/>
          <w:bCs/>
          <w:noProof/>
          <w:szCs w:val="24"/>
        </w:rPr>
        <w:t>LIST OF EXHIBITS</w:t>
      </w:r>
    </w:p>
    <w:p w14:paraId="51708EE7" w14:textId="61EC7A6F" w:rsidR="003C502C" w:rsidRDefault="003C502C" w:rsidP="003C502C">
      <w:pPr>
        <w:ind w:left="720"/>
        <w:rPr>
          <w:rFonts w:cs="Times New Roman"/>
          <w:bCs/>
          <w:noProof/>
          <w:szCs w:val="24"/>
        </w:rPr>
      </w:pPr>
      <w:r>
        <w:rPr>
          <w:rFonts w:cs="Times New Roman"/>
          <w:bCs/>
          <w:noProof/>
          <w:szCs w:val="24"/>
        </w:rPr>
        <w:t>Exhibit No.</w:t>
      </w:r>
      <w:r w:rsidR="00367433">
        <w:rPr>
          <w:rFonts w:cs="Times New Roman"/>
          <w:bCs/>
          <w:noProof/>
          <w:szCs w:val="24"/>
        </w:rPr>
        <w:t>___</w:t>
      </w:r>
      <w:r>
        <w:rPr>
          <w:rFonts w:cs="Times New Roman"/>
          <w:bCs/>
          <w:noProof/>
          <w:szCs w:val="24"/>
        </w:rPr>
        <w:t xml:space="preserve">(JLB-2) </w:t>
      </w:r>
      <w:r w:rsidR="008125CC">
        <w:rPr>
          <w:rFonts w:cs="Times New Roman"/>
          <w:bCs/>
          <w:noProof/>
          <w:szCs w:val="24"/>
        </w:rPr>
        <w:t>– Revenue Requirement Model</w:t>
      </w:r>
    </w:p>
    <w:p w14:paraId="773C5100" w14:textId="2784E26D" w:rsidR="00367433" w:rsidRDefault="00367433" w:rsidP="003C502C">
      <w:pPr>
        <w:ind w:left="720"/>
        <w:rPr>
          <w:rFonts w:cs="Times New Roman"/>
          <w:bCs/>
          <w:noProof/>
          <w:szCs w:val="24"/>
        </w:rPr>
      </w:pPr>
      <w:r>
        <w:rPr>
          <w:rFonts w:cs="Times New Roman"/>
          <w:bCs/>
          <w:noProof/>
          <w:szCs w:val="24"/>
        </w:rPr>
        <w:t>Exhibit No.___(JLB-</w:t>
      </w:r>
      <w:r w:rsidR="005B22FD">
        <w:rPr>
          <w:rFonts w:cs="Times New Roman"/>
          <w:bCs/>
          <w:noProof/>
          <w:szCs w:val="24"/>
        </w:rPr>
        <w:t>3</w:t>
      </w:r>
      <w:r>
        <w:rPr>
          <w:rFonts w:cs="Times New Roman"/>
          <w:bCs/>
          <w:noProof/>
          <w:szCs w:val="24"/>
        </w:rPr>
        <w:t xml:space="preserve">) – </w:t>
      </w:r>
      <w:r w:rsidR="00110B3D">
        <w:rPr>
          <w:rFonts w:cs="Times New Roman"/>
          <w:bCs/>
          <w:noProof/>
          <w:szCs w:val="24"/>
        </w:rPr>
        <w:t xml:space="preserve">Calculation of </w:t>
      </w:r>
      <w:r>
        <w:rPr>
          <w:rFonts w:cs="Times New Roman"/>
          <w:bCs/>
          <w:noProof/>
          <w:szCs w:val="24"/>
        </w:rPr>
        <w:t>Adjustment 4.7 Insurance Expense</w:t>
      </w:r>
    </w:p>
    <w:p w14:paraId="4D9B7A22" w14:textId="61EED60D" w:rsidR="00367433" w:rsidRDefault="00367433" w:rsidP="00367433">
      <w:pPr>
        <w:ind w:left="720"/>
        <w:rPr>
          <w:rFonts w:cs="Times New Roman"/>
          <w:bCs/>
          <w:noProof/>
          <w:szCs w:val="24"/>
        </w:rPr>
      </w:pPr>
      <w:r>
        <w:rPr>
          <w:rFonts w:cs="Times New Roman"/>
          <w:bCs/>
          <w:noProof/>
          <w:szCs w:val="24"/>
        </w:rPr>
        <w:t>Exhibit No.___(JLB-</w:t>
      </w:r>
      <w:r w:rsidR="005B22FD">
        <w:rPr>
          <w:rFonts w:cs="Times New Roman"/>
          <w:bCs/>
          <w:noProof/>
          <w:szCs w:val="24"/>
        </w:rPr>
        <w:t xml:space="preserve">4) – Public Counsel Data Request </w:t>
      </w:r>
      <w:r>
        <w:rPr>
          <w:rFonts w:cs="Times New Roman"/>
          <w:bCs/>
          <w:noProof/>
          <w:szCs w:val="24"/>
        </w:rPr>
        <w:t>78</w:t>
      </w:r>
    </w:p>
    <w:p w14:paraId="5BD594FD" w14:textId="067F0EC5" w:rsidR="00367433" w:rsidRDefault="00367433" w:rsidP="00367433">
      <w:pPr>
        <w:ind w:left="720"/>
        <w:rPr>
          <w:rFonts w:cs="Times New Roman"/>
          <w:bCs/>
          <w:noProof/>
          <w:szCs w:val="24"/>
        </w:rPr>
      </w:pPr>
      <w:r>
        <w:rPr>
          <w:rFonts w:cs="Times New Roman"/>
          <w:bCs/>
          <w:noProof/>
          <w:szCs w:val="24"/>
        </w:rPr>
        <w:t>Exhibit No.___(JLB-</w:t>
      </w:r>
      <w:r w:rsidR="005B22FD">
        <w:rPr>
          <w:rFonts w:cs="Times New Roman"/>
          <w:bCs/>
          <w:noProof/>
          <w:szCs w:val="24"/>
        </w:rPr>
        <w:t>5</w:t>
      </w:r>
      <w:r>
        <w:rPr>
          <w:rFonts w:cs="Times New Roman"/>
          <w:bCs/>
          <w:noProof/>
          <w:szCs w:val="24"/>
        </w:rPr>
        <w:t xml:space="preserve">) – </w:t>
      </w:r>
      <w:r w:rsidR="005B22FD">
        <w:rPr>
          <w:rFonts w:cs="Times New Roman"/>
          <w:bCs/>
          <w:noProof/>
          <w:szCs w:val="24"/>
        </w:rPr>
        <w:t>Public Counsel Data Request</w:t>
      </w:r>
      <w:r>
        <w:rPr>
          <w:rFonts w:cs="Times New Roman"/>
          <w:bCs/>
          <w:noProof/>
          <w:szCs w:val="24"/>
        </w:rPr>
        <w:t xml:space="preserve"> 48</w:t>
      </w:r>
    </w:p>
    <w:p w14:paraId="2FE2DF90" w14:textId="2FEF2D6A" w:rsidR="00367433" w:rsidRDefault="00367433" w:rsidP="00367433">
      <w:pPr>
        <w:ind w:left="720"/>
        <w:rPr>
          <w:rFonts w:cs="Times New Roman"/>
          <w:bCs/>
          <w:noProof/>
          <w:szCs w:val="24"/>
        </w:rPr>
      </w:pPr>
      <w:r>
        <w:rPr>
          <w:rFonts w:cs="Times New Roman"/>
          <w:bCs/>
          <w:noProof/>
          <w:szCs w:val="24"/>
        </w:rPr>
        <w:t>Exhibit No.___(JLB-</w:t>
      </w:r>
      <w:r w:rsidR="005B22FD">
        <w:rPr>
          <w:rFonts w:cs="Times New Roman"/>
          <w:bCs/>
          <w:noProof/>
          <w:szCs w:val="24"/>
        </w:rPr>
        <w:t>6</w:t>
      </w:r>
      <w:r>
        <w:rPr>
          <w:rFonts w:cs="Times New Roman"/>
          <w:bCs/>
          <w:noProof/>
          <w:szCs w:val="24"/>
        </w:rPr>
        <w:t xml:space="preserve">) – </w:t>
      </w:r>
      <w:r w:rsidR="00110B3D">
        <w:rPr>
          <w:rFonts w:cs="Times New Roman"/>
          <w:bCs/>
          <w:noProof/>
          <w:szCs w:val="24"/>
        </w:rPr>
        <w:t xml:space="preserve">Calculation of </w:t>
      </w:r>
      <w:r>
        <w:rPr>
          <w:rFonts w:cs="Times New Roman"/>
          <w:bCs/>
          <w:noProof/>
          <w:szCs w:val="24"/>
        </w:rPr>
        <w:t>Adjustment 4.13</w:t>
      </w:r>
      <w:r w:rsidR="005B22FD">
        <w:rPr>
          <w:rFonts w:cs="Times New Roman"/>
          <w:bCs/>
          <w:noProof/>
          <w:szCs w:val="24"/>
        </w:rPr>
        <w:t xml:space="preserve"> IHS Global Insight Escalation</w:t>
      </w:r>
    </w:p>
    <w:p w14:paraId="6532B5A7" w14:textId="77777777" w:rsidR="00367433" w:rsidRDefault="00367433" w:rsidP="00367433">
      <w:pPr>
        <w:ind w:left="720"/>
        <w:rPr>
          <w:rFonts w:cs="Times New Roman"/>
          <w:bCs/>
          <w:noProof/>
          <w:szCs w:val="24"/>
        </w:rPr>
      </w:pPr>
    </w:p>
    <w:p w14:paraId="0BD13B86" w14:textId="77777777" w:rsidR="00367433" w:rsidRDefault="00367433" w:rsidP="003C502C">
      <w:pPr>
        <w:ind w:left="720"/>
        <w:rPr>
          <w:rFonts w:cs="Times New Roman"/>
          <w:bCs/>
          <w:noProof/>
          <w:szCs w:val="24"/>
        </w:rPr>
      </w:pPr>
    </w:p>
    <w:p w14:paraId="66270DC1" w14:textId="77777777" w:rsidR="003B1A28" w:rsidRDefault="003B1A28" w:rsidP="00BD533D">
      <w:pPr>
        <w:spacing w:line="480" w:lineRule="auto"/>
        <w:rPr>
          <w:rFonts w:cs="Times New Roman"/>
          <w:b/>
          <w:bCs/>
          <w:noProof/>
          <w:szCs w:val="24"/>
        </w:rPr>
      </w:pPr>
    </w:p>
    <w:p w14:paraId="03479D27" w14:textId="77777777" w:rsidR="003B1A28" w:rsidRDefault="003B1A28" w:rsidP="00BD533D">
      <w:pPr>
        <w:spacing w:line="480" w:lineRule="auto"/>
        <w:rPr>
          <w:rFonts w:cs="Times New Roman"/>
          <w:b/>
          <w:bCs/>
          <w:noProof/>
          <w:szCs w:val="24"/>
        </w:rPr>
      </w:pPr>
    </w:p>
    <w:p w14:paraId="6D649431" w14:textId="77777777" w:rsidR="003B1A28" w:rsidRDefault="003B1A28" w:rsidP="00BD533D">
      <w:pPr>
        <w:spacing w:line="480" w:lineRule="auto"/>
        <w:rPr>
          <w:rFonts w:cs="Times New Roman"/>
          <w:b/>
          <w:bCs/>
          <w:noProof/>
          <w:szCs w:val="24"/>
        </w:rPr>
        <w:sectPr w:rsidR="003B1A28" w:rsidSect="00EE0856">
          <w:pgSz w:w="12240" w:h="15840" w:code="1"/>
          <w:pgMar w:top="1440" w:right="1440" w:bottom="1440" w:left="1440" w:header="720" w:footer="720" w:gutter="0"/>
          <w:pgNumType w:fmt="lowerRoman" w:start="1"/>
          <w:cols w:space="720"/>
          <w:docGrid w:linePitch="360"/>
        </w:sectPr>
      </w:pPr>
    </w:p>
    <w:p w14:paraId="46961064" w14:textId="77777777" w:rsidR="004026AD" w:rsidRDefault="004026AD" w:rsidP="001C0F2D">
      <w:pPr>
        <w:pStyle w:val="Heading1"/>
      </w:pPr>
      <w:bookmarkStart w:id="0" w:name="_Toc400466350"/>
      <w:bookmarkStart w:id="1" w:name="_Toc400466465"/>
      <w:bookmarkStart w:id="2" w:name="_Toc400467778"/>
      <w:bookmarkStart w:id="3" w:name="_Toc400626943"/>
      <w:bookmarkStart w:id="4" w:name="_Toc400626986"/>
      <w:bookmarkStart w:id="5" w:name="_Toc400627179"/>
      <w:r w:rsidRPr="003B1AC8">
        <w:lastRenderedPageBreak/>
        <w:t>INTRODUCTION</w:t>
      </w:r>
      <w:bookmarkEnd w:id="0"/>
      <w:bookmarkEnd w:id="1"/>
      <w:bookmarkEnd w:id="2"/>
      <w:bookmarkEnd w:id="3"/>
      <w:bookmarkEnd w:id="4"/>
      <w:bookmarkEnd w:id="5"/>
    </w:p>
    <w:p w14:paraId="05FFAF2A" w14:textId="77777777" w:rsidR="00BD533D" w:rsidRDefault="00BD533D" w:rsidP="008004C0">
      <w:pPr>
        <w:pStyle w:val="Heading2"/>
      </w:pPr>
      <w:bookmarkStart w:id="6" w:name="_Toc391989915"/>
      <w:bookmarkStart w:id="7" w:name="_Toc391990017"/>
      <w:bookmarkStart w:id="8" w:name="_Toc393023104"/>
      <w:bookmarkStart w:id="9" w:name="_Toc393023310"/>
    </w:p>
    <w:p w14:paraId="3CEF81C6" w14:textId="77777777" w:rsidR="004026AD" w:rsidRPr="003B1AC8" w:rsidRDefault="004026AD" w:rsidP="008004C0">
      <w:pPr>
        <w:pStyle w:val="Heading2"/>
      </w:pPr>
      <w:r w:rsidRPr="003B1AC8">
        <w:t>Q.</w:t>
      </w:r>
      <w:r w:rsidRPr="003B1AC8">
        <w:tab/>
        <w:t>Please state your name and business address.</w:t>
      </w:r>
      <w:bookmarkEnd w:id="6"/>
      <w:bookmarkEnd w:id="7"/>
      <w:bookmarkEnd w:id="8"/>
      <w:bookmarkEnd w:id="9"/>
      <w:r w:rsidRPr="003B1AC8">
        <w:t xml:space="preserve">  </w:t>
      </w:r>
    </w:p>
    <w:p w14:paraId="4B526684" w14:textId="27C1230B" w:rsidR="004026AD" w:rsidRDefault="004026AD" w:rsidP="00351AA1">
      <w:pPr>
        <w:pStyle w:val="NoSpacing"/>
      </w:pPr>
      <w:r w:rsidRPr="003B1AC8">
        <w:t>A.</w:t>
      </w:r>
      <w:r w:rsidRPr="003B1AC8">
        <w:tab/>
        <w:t xml:space="preserve">My name is </w:t>
      </w:r>
      <w:r w:rsidR="00CC09B5" w:rsidRPr="003B1AC8">
        <w:t>Jason L</w:t>
      </w:r>
      <w:r w:rsidR="00CC09B5" w:rsidRPr="00931602">
        <w:t>.</w:t>
      </w:r>
      <w:r w:rsidR="00CC09B5" w:rsidRPr="003B1AC8">
        <w:t xml:space="preserve"> Ball</w:t>
      </w:r>
      <w:r w:rsidRPr="003B1AC8">
        <w:t xml:space="preserve">.  My office address is </w:t>
      </w:r>
      <w:r w:rsidR="003B1A28">
        <w:t>t</w:t>
      </w:r>
      <w:r w:rsidRPr="003B1AC8">
        <w:t xml:space="preserve">he Richard </w:t>
      </w:r>
      <w:proofErr w:type="spellStart"/>
      <w:r w:rsidRPr="003B1AC8">
        <w:t>Hemstad</w:t>
      </w:r>
      <w:proofErr w:type="spellEnd"/>
      <w:r w:rsidRPr="003B1AC8">
        <w:t xml:space="preserve"> Building, 1300 South Evergreen Park Drive Southwest, P.O. Box 47250, Olympia, Washington 98504.  My email address is </w:t>
      </w:r>
      <w:r w:rsidR="00CC5ABC" w:rsidRPr="00CC5ABC">
        <w:t>jball@utc.wa.gov</w:t>
      </w:r>
      <w:r w:rsidRPr="003B1AC8">
        <w:t xml:space="preserve">. </w:t>
      </w:r>
    </w:p>
    <w:p w14:paraId="3333AAC6" w14:textId="77777777" w:rsidR="00CD0188" w:rsidRPr="003B1AC8" w:rsidRDefault="00CD0188" w:rsidP="00351AA1">
      <w:pPr>
        <w:pStyle w:val="NoSpacing"/>
      </w:pPr>
    </w:p>
    <w:p w14:paraId="602B3915" w14:textId="77777777" w:rsidR="004026AD" w:rsidRPr="003B1AC8" w:rsidRDefault="004026AD" w:rsidP="008004C0">
      <w:pPr>
        <w:pStyle w:val="Heading2"/>
      </w:pPr>
      <w:bookmarkStart w:id="10" w:name="_Toc391989916"/>
      <w:bookmarkStart w:id="11" w:name="_Toc391990018"/>
      <w:bookmarkStart w:id="12" w:name="_Toc393023105"/>
      <w:bookmarkStart w:id="13" w:name="_Toc393023311"/>
      <w:r w:rsidRPr="003B1AC8">
        <w:t>Q.</w:t>
      </w:r>
      <w:r w:rsidRPr="003B1AC8">
        <w:tab/>
        <w:t>By whom are you employed and in what capacity?</w:t>
      </w:r>
      <w:bookmarkEnd w:id="10"/>
      <w:bookmarkEnd w:id="11"/>
      <w:bookmarkEnd w:id="12"/>
      <w:bookmarkEnd w:id="13"/>
      <w:r w:rsidRPr="003B1AC8">
        <w:t xml:space="preserve">  </w:t>
      </w:r>
    </w:p>
    <w:p w14:paraId="7539BB95" w14:textId="77777777" w:rsidR="004026AD" w:rsidRDefault="004026AD" w:rsidP="00351AA1">
      <w:pPr>
        <w:pStyle w:val="NoSpacing"/>
      </w:pPr>
      <w:r w:rsidRPr="003B1AC8">
        <w:t>A.</w:t>
      </w:r>
      <w:r w:rsidRPr="003B1AC8">
        <w:tab/>
        <w:t xml:space="preserve">I am employed by the Washington Utilities </w:t>
      </w:r>
      <w:r w:rsidR="003B1A28">
        <w:t>and Transportation Commission (Commission</w:t>
      </w:r>
      <w:r w:rsidRPr="003B1AC8">
        <w:t xml:space="preserve">) as a </w:t>
      </w:r>
      <w:r w:rsidR="00CC09B5" w:rsidRPr="003B1AC8">
        <w:t>Regulatory Analyst</w:t>
      </w:r>
      <w:r w:rsidRPr="003B1AC8">
        <w:t>.  Among other duties,</w:t>
      </w:r>
      <w:r w:rsidR="00BB69B5" w:rsidRPr="003B1AC8">
        <w:t xml:space="preserve"> I am responsible for </w:t>
      </w:r>
      <w:r w:rsidR="00C50174">
        <w:t xml:space="preserve">financial and </w:t>
      </w:r>
      <w:r w:rsidR="00BB69B5" w:rsidRPr="003B1AC8">
        <w:t>accounting</w:t>
      </w:r>
      <w:r w:rsidR="008D4D0F" w:rsidRPr="003B1AC8">
        <w:t xml:space="preserve"> analysis</w:t>
      </w:r>
      <w:r w:rsidR="003D20B1">
        <w:t>, certain power costs issues,</w:t>
      </w:r>
      <w:r w:rsidR="00C50174">
        <w:t xml:space="preserve"> and inter-jurisdictional allocations </w:t>
      </w:r>
      <w:r w:rsidR="008D4D0F" w:rsidRPr="003B1AC8">
        <w:t>of</w:t>
      </w:r>
      <w:r w:rsidRPr="003B1AC8">
        <w:t xml:space="preserve"> the investor-owned electric</w:t>
      </w:r>
      <w:r w:rsidR="00BB69B5" w:rsidRPr="003B1AC8">
        <w:t xml:space="preserve"> and gas</w:t>
      </w:r>
      <w:r w:rsidRPr="003B1AC8">
        <w:t xml:space="preserve"> utilities under the jurisdiction of the Commission. </w:t>
      </w:r>
    </w:p>
    <w:p w14:paraId="42DE44FB" w14:textId="77777777" w:rsidR="00CD0188" w:rsidRPr="003B1AC8" w:rsidRDefault="00CD0188" w:rsidP="00351AA1">
      <w:pPr>
        <w:pStyle w:val="NoSpacing"/>
      </w:pPr>
    </w:p>
    <w:p w14:paraId="640922C7" w14:textId="77777777" w:rsidR="004026AD" w:rsidRPr="003B1AC8" w:rsidRDefault="004026AD" w:rsidP="004026AD">
      <w:pPr>
        <w:tabs>
          <w:tab w:val="left" w:pos="-1440"/>
        </w:tabs>
        <w:spacing w:line="480" w:lineRule="auto"/>
        <w:ind w:left="720" w:hanging="720"/>
        <w:rPr>
          <w:rFonts w:eastAsia="Times New Roman" w:cs="Times New Roman"/>
          <w:szCs w:val="24"/>
        </w:rPr>
      </w:pPr>
      <w:r w:rsidRPr="003B1AC8">
        <w:rPr>
          <w:rFonts w:eastAsia="Times New Roman" w:cs="Times New Roman"/>
          <w:b/>
          <w:bCs/>
          <w:szCs w:val="24"/>
        </w:rPr>
        <w:t>Q.</w:t>
      </w:r>
      <w:r w:rsidRPr="003B1AC8">
        <w:rPr>
          <w:rFonts w:eastAsia="Times New Roman" w:cs="Times New Roman"/>
          <w:b/>
          <w:bCs/>
          <w:szCs w:val="24"/>
        </w:rPr>
        <w:tab/>
        <w:t>How long have you been employed by the Commission?</w:t>
      </w:r>
    </w:p>
    <w:p w14:paraId="4D882514" w14:textId="77777777" w:rsidR="004026AD" w:rsidRDefault="004026AD" w:rsidP="00351AA1">
      <w:pPr>
        <w:pStyle w:val="NoSpacing"/>
      </w:pPr>
      <w:r w:rsidRPr="003B1AC8">
        <w:t>A.</w:t>
      </w:r>
      <w:r w:rsidRPr="003B1AC8">
        <w:tab/>
        <w:t>I have been employed by the Commission since</w:t>
      </w:r>
      <w:r w:rsidR="00BB69B5" w:rsidRPr="003B1AC8">
        <w:t xml:space="preserve"> June</w:t>
      </w:r>
      <w:r w:rsidRPr="003B1AC8">
        <w:t xml:space="preserve"> </w:t>
      </w:r>
      <w:r w:rsidR="00BB69B5" w:rsidRPr="003B1AC8">
        <w:t>2013</w:t>
      </w:r>
      <w:r w:rsidRPr="003B1AC8">
        <w:t>.</w:t>
      </w:r>
    </w:p>
    <w:p w14:paraId="7B03429C" w14:textId="77777777" w:rsidR="00CD0188" w:rsidRPr="003B1AC8" w:rsidRDefault="00CD0188" w:rsidP="00351AA1">
      <w:pPr>
        <w:pStyle w:val="NoSpacing"/>
      </w:pPr>
    </w:p>
    <w:p w14:paraId="471F4C6A" w14:textId="77777777" w:rsidR="004026AD" w:rsidRPr="003B1AC8" w:rsidRDefault="004026AD" w:rsidP="00513F2D">
      <w:pPr>
        <w:pStyle w:val="Heading2"/>
      </w:pPr>
      <w:bookmarkStart w:id="14" w:name="_Toc391989917"/>
      <w:bookmarkStart w:id="15" w:name="_Toc391990019"/>
      <w:bookmarkStart w:id="16" w:name="_Toc393023106"/>
      <w:bookmarkStart w:id="17" w:name="_Toc393023312"/>
      <w:r w:rsidRPr="003B1AC8">
        <w:t>Q.</w:t>
      </w:r>
      <w:r w:rsidRPr="003B1AC8">
        <w:tab/>
        <w:t>Would you please state your educational and professional background?</w:t>
      </w:r>
      <w:bookmarkEnd w:id="14"/>
      <w:bookmarkEnd w:id="15"/>
      <w:bookmarkEnd w:id="16"/>
      <w:bookmarkEnd w:id="17"/>
    </w:p>
    <w:p w14:paraId="16C34E29" w14:textId="76076134" w:rsidR="00E91591" w:rsidRDefault="004026AD" w:rsidP="00351AA1">
      <w:pPr>
        <w:pStyle w:val="NoSpacing"/>
      </w:pPr>
      <w:r w:rsidRPr="003B1AC8">
        <w:t>A.</w:t>
      </w:r>
      <w:r w:rsidRPr="003B1AC8">
        <w:tab/>
        <w:t xml:space="preserve">I </w:t>
      </w:r>
      <w:r w:rsidR="00BB69B5" w:rsidRPr="003B1AC8">
        <w:t>graduated from New Mexico State University in 201</w:t>
      </w:r>
      <w:r w:rsidR="00597817" w:rsidRPr="003B1AC8">
        <w:t>0</w:t>
      </w:r>
      <w:r w:rsidR="00BB69B5" w:rsidRPr="003B1AC8">
        <w:t xml:space="preserve"> with</w:t>
      </w:r>
      <w:r w:rsidRPr="003B1AC8">
        <w:t xml:space="preserve"> a Bachelor of </w:t>
      </w:r>
      <w:r w:rsidR="00BB69B5" w:rsidRPr="003B1AC8">
        <w:t>Arts</w:t>
      </w:r>
      <w:r w:rsidRPr="003B1AC8">
        <w:t xml:space="preserve"> </w:t>
      </w:r>
      <w:r w:rsidR="00BB69B5" w:rsidRPr="003B1AC8">
        <w:t xml:space="preserve">dual-major </w:t>
      </w:r>
      <w:r w:rsidRPr="003B1AC8">
        <w:t>in</w:t>
      </w:r>
      <w:r w:rsidR="00BB69B5" w:rsidRPr="003B1AC8">
        <w:t xml:space="preserve"> Economics and Government</w:t>
      </w:r>
      <w:r w:rsidR="00597817" w:rsidRPr="003B1AC8">
        <w:t>.  In 2013</w:t>
      </w:r>
      <w:r w:rsidRPr="003B1AC8">
        <w:t xml:space="preserve">, I </w:t>
      </w:r>
      <w:r w:rsidR="00BB181E" w:rsidRPr="003B1AC8">
        <w:t>graduated</w:t>
      </w:r>
      <w:r w:rsidRPr="003B1AC8">
        <w:t xml:space="preserve"> </w:t>
      </w:r>
      <w:r w:rsidR="00BB181E" w:rsidRPr="003B1AC8">
        <w:t xml:space="preserve">with honors from New Mexico State University with a </w:t>
      </w:r>
      <w:r w:rsidRPr="003B1AC8">
        <w:t xml:space="preserve">Masters of </w:t>
      </w:r>
      <w:r w:rsidR="00597817" w:rsidRPr="003B1AC8">
        <w:t xml:space="preserve">Economics specializing in Public Utility Policy and Regulation.  Since joining the Commission I </w:t>
      </w:r>
      <w:r w:rsidR="000B4040">
        <w:t xml:space="preserve">have </w:t>
      </w:r>
      <w:r w:rsidR="00E91591" w:rsidRPr="003B1AC8">
        <w:t xml:space="preserve">participated in several dockets providing analysis </w:t>
      </w:r>
      <w:r w:rsidR="00EB3B65" w:rsidRPr="003B1AC8">
        <w:t xml:space="preserve">in support of other witnesses including: </w:t>
      </w:r>
      <w:r w:rsidR="00E551E2" w:rsidRPr="003B1AC8">
        <w:t>Avista Co</w:t>
      </w:r>
      <w:r w:rsidR="003B1A28">
        <w:t xml:space="preserve">rporation </w:t>
      </w:r>
      <w:r w:rsidR="003B1A28">
        <w:lastRenderedPageBreak/>
        <w:t>(Avista</w:t>
      </w:r>
      <w:r w:rsidR="00E551E2" w:rsidRPr="003B1AC8">
        <w:t xml:space="preserve">) Purchased Gas Adjustment in </w:t>
      </w:r>
      <w:r w:rsidR="007609ED" w:rsidRPr="003B1AC8">
        <w:t>D</w:t>
      </w:r>
      <w:r w:rsidR="00E551E2" w:rsidRPr="003B1AC8">
        <w:t>ocket UG-131748</w:t>
      </w:r>
      <w:r w:rsidR="00EB3B65" w:rsidRPr="003B1AC8">
        <w:t xml:space="preserve">, </w:t>
      </w:r>
      <w:r w:rsidR="0007345F" w:rsidRPr="003B1AC8">
        <w:t xml:space="preserve">Puget Sound Energy’s </w:t>
      </w:r>
      <w:r w:rsidR="003B1A28">
        <w:t>(PSE</w:t>
      </w:r>
      <w:r w:rsidR="0007345F" w:rsidRPr="003B1AC8">
        <w:t xml:space="preserve">) Power Cost Only Rate Case in </w:t>
      </w:r>
      <w:r w:rsidR="007609ED" w:rsidRPr="003B1AC8">
        <w:t>D</w:t>
      </w:r>
      <w:r w:rsidR="0007345F" w:rsidRPr="003B1AC8">
        <w:t>ocket UE-130617</w:t>
      </w:r>
      <w:r w:rsidR="00EB3B65" w:rsidRPr="003B1AC8">
        <w:t xml:space="preserve">, and </w:t>
      </w:r>
      <w:r w:rsidR="0007345F" w:rsidRPr="003B1AC8">
        <w:t>Pacifi</w:t>
      </w:r>
      <w:r w:rsidR="003B1A28">
        <w:t xml:space="preserve">c Power </w:t>
      </w:r>
      <w:r w:rsidR="003F7AC3">
        <w:t>&amp;</w:t>
      </w:r>
      <w:r w:rsidR="003B1A28">
        <w:t xml:space="preserve"> Light</w:t>
      </w:r>
      <w:r w:rsidR="003F7AC3">
        <w:t xml:space="preserve"> Company’</w:t>
      </w:r>
      <w:r w:rsidR="003B1A28">
        <w:t>s (Pacif</w:t>
      </w:r>
      <w:r w:rsidR="003F7AC3">
        <w:t>ic Power or Company</w:t>
      </w:r>
      <w:r w:rsidR="0007345F" w:rsidRPr="003B1AC8">
        <w:t xml:space="preserve">) general rate case </w:t>
      </w:r>
      <w:r w:rsidR="003F7AC3">
        <w:t xml:space="preserve">(GRC) </w:t>
      </w:r>
      <w:r w:rsidR="0007345F" w:rsidRPr="003B1AC8">
        <w:t xml:space="preserve">in </w:t>
      </w:r>
      <w:r w:rsidR="007609ED" w:rsidRPr="003B1AC8">
        <w:t>D</w:t>
      </w:r>
      <w:r w:rsidR="0007345F" w:rsidRPr="003B1AC8">
        <w:t>ocket UE-130043</w:t>
      </w:r>
      <w:r w:rsidR="00E551E2" w:rsidRPr="003B1AC8">
        <w:t xml:space="preserve">.  </w:t>
      </w:r>
      <w:r w:rsidR="00E91591" w:rsidRPr="003B1AC8">
        <w:t xml:space="preserve">I presented Staff recommendations to the Commission at open meetings in </w:t>
      </w:r>
      <w:r w:rsidR="007609ED" w:rsidRPr="003B1AC8">
        <w:t>D</w:t>
      </w:r>
      <w:r w:rsidR="00496EF7" w:rsidRPr="003B1AC8">
        <w:t>ockets UE</w:t>
      </w:r>
      <w:r w:rsidR="00E91591" w:rsidRPr="003B1AC8">
        <w:t>-131623, UE-131565, and UE-</w:t>
      </w:r>
      <w:r w:rsidR="00496EF7" w:rsidRPr="003B1AC8">
        <w:t>140617.  I prepared memo</w:t>
      </w:r>
      <w:r w:rsidR="007609ED" w:rsidRPr="003B1AC8">
        <w:t>randa</w:t>
      </w:r>
      <w:r w:rsidR="00496EF7" w:rsidRPr="003B1AC8">
        <w:t xml:space="preserve"> summarizing Staff’s positions in </w:t>
      </w:r>
      <w:r w:rsidR="007609ED" w:rsidRPr="003B1AC8">
        <w:t>D</w:t>
      </w:r>
      <w:r w:rsidR="00496EF7" w:rsidRPr="003B1AC8">
        <w:t>ockets UE-131625</w:t>
      </w:r>
      <w:r w:rsidR="00346430" w:rsidRPr="003B1AC8">
        <w:t xml:space="preserve"> and</w:t>
      </w:r>
      <w:r w:rsidR="00496EF7" w:rsidRPr="003B1AC8">
        <w:t xml:space="preserve"> UG-131626 </w:t>
      </w:r>
      <w:r w:rsidR="00346430" w:rsidRPr="003B1AC8">
        <w:t>involving low income assistance programs.  I also reviewed</w:t>
      </w:r>
      <w:r w:rsidR="00D202A5" w:rsidRPr="003B1AC8">
        <w:t xml:space="preserve"> </w:t>
      </w:r>
      <w:r w:rsidR="00346430" w:rsidRPr="003B1AC8">
        <w:t xml:space="preserve">Avista’s Energy Recovery Mechanism annual true-up in </w:t>
      </w:r>
      <w:r w:rsidR="003D686A">
        <w:t>D</w:t>
      </w:r>
      <w:r w:rsidR="00346430" w:rsidRPr="003B1AC8">
        <w:t xml:space="preserve">ocket UE-140540. </w:t>
      </w:r>
      <w:r w:rsidR="003D686A">
        <w:t xml:space="preserve"> </w:t>
      </w:r>
      <w:r w:rsidR="00496EF7" w:rsidRPr="003B1AC8">
        <w:t xml:space="preserve">I </w:t>
      </w:r>
      <w:r w:rsidR="001F56E7" w:rsidRPr="003B1AC8">
        <w:t>am</w:t>
      </w:r>
      <w:r w:rsidR="00D202A5" w:rsidRPr="003B1AC8">
        <w:t xml:space="preserve"> the lead analyst for </w:t>
      </w:r>
      <w:r w:rsidR="001F56E7" w:rsidRPr="003B1AC8">
        <w:t xml:space="preserve">matters relating </w:t>
      </w:r>
      <w:r w:rsidR="00EB3B65" w:rsidRPr="003B1AC8">
        <w:t xml:space="preserve">to </w:t>
      </w:r>
      <w:r w:rsidR="003D686A" w:rsidRPr="003B1AC8">
        <w:t>the Bonneville Power Administration</w:t>
      </w:r>
      <w:r w:rsidR="000B4040">
        <w:t>’s Residential Exchange Program</w:t>
      </w:r>
      <w:r w:rsidR="00352C04" w:rsidRPr="003B1AC8">
        <w:t xml:space="preserve">.  </w:t>
      </w:r>
      <w:r w:rsidR="001B0196">
        <w:t xml:space="preserve">I presented testimony in Avista’s </w:t>
      </w:r>
      <w:proofErr w:type="spellStart"/>
      <w:r w:rsidR="00860E5D">
        <w:t>GRC</w:t>
      </w:r>
      <w:proofErr w:type="spellEnd"/>
      <w:r w:rsidR="001B0196">
        <w:t xml:space="preserve"> Docket </w:t>
      </w:r>
      <w:proofErr w:type="spellStart"/>
      <w:r w:rsidR="001B0196">
        <w:t>UE</w:t>
      </w:r>
      <w:proofErr w:type="spellEnd"/>
      <w:r w:rsidR="001B0196">
        <w:t xml:space="preserve">-140188 concerning net power costs, changes to Avista’s Energy Recovery Mechanism, and load forecasting.  </w:t>
      </w:r>
    </w:p>
    <w:p w14:paraId="5D9A3197" w14:textId="77777777" w:rsidR="003D686A" w:rsidRPr="003B1AC8" w:rsidRDefault="003D686A" w:rsidP="00C50174">
      <w:pPr>
        <w:pStyle w:val="NoSpacing"/>
        <w:ind w:left="0" w:firstLine="0"/>
      </w:pPr>
    </w:p>
    <w:p w14:paraId="7F6D5E9E" w14:textId="77777777" w:rsidR="004026AD" w:rsidRDefault="004026AD" w:rsidP="001C0F2D">
      <w:pPr>
        <w:pStyle w:val="Heading1"/>
      </w:pPr>
      <w:bookmarkStart w:id="18" w:name="_Toc400466351"/>
      <w:bookmarkStart w:id="19" w:name="_Toc400466466"/>
      <w:bookmarkStart w:id="20" w:name="_Toc400467779"/>
      <w:bookmarkStart w:id="21" w:name="_Toc400626944"/>
      <w:bookmarkStart w:id="22" w:name="_Toc400626987"/>
      <w:bookmarkStart w:id="23" w:name="_Toc400627180"/>
      <w:r w:rsidRPr="003B1AC8">
        <w:t xml:space="preserve">SCOPE </w:t>
      </w:r>
      <w:r w:rsidRPr="00870055">
        <w:t>AND</w:t>
      </w:r>
      <w:r w:rsidRPr="003B1AC8">
        <w:t xml:space="preserve"> </w:t>
      </w:r>
      <w:r w:rsidRPr="002D3D19">
        <w:t>ORGANIZATION</w:t>
      </w:r>
      <w:r w:rsidRPr="003B1AC8">
        <w:t xml:space="preserve"> OF TESTIMONY</w:t>
      </w:r>
      <w:bookmarkEnd w:id="18"/>
      <w:bookmarkEnd w:id="19"/>
      <w:bookmarkEnd w:id="20"/>
      <w:bookmarkEnd w:id="21"/>
      <w:bookmarkEnd w:id="22"/>
      <w:bookmarkEnd w:id="23"/>
    </w:p>
    <w:p w14:paraId="36DB0E47" w14:textId="77777777" w:rsidR="001A327D" w:rsidRPr="001A327D" w:rsidRDefault="001A327D" w:rsidP="00870055">
      <w:pPr>
        <w:pStyle w:val="NoSpacing"/>
      </w:pPr>
    </w:p>
    <w:p w14:paraId="21D3E1C4" w14:textId="77777777" w:rsidR="00FD2BC9" w:rsidRDefault="00FD2BC9" w:rsidP="00E02088">
      <w:pPr>
        <w:pStyle w:val="Heading2"/>
      </w:pPr>
      <w:bookmarkStart w:id="24" w:name="_Toc391989920"/>
      <w:bookmarkStart w:id="25" w:name="_Toc391990022"/>
      <w:bookmarkStart w:id="26" w:name="_Toc393023109"/>
      <w:bookmarkStart w:id="27" w:name="_Toc393023315"/>
      <w:r w:rsidRPr="003B1AC8">
        <w:t>Q.</w:t>
      </w:r>
      <w:r w:rsidRPr="003B1AC8">
        <w:tab/>
      </w:r>
      <w:bookmarkEnd w:id="24"/>
      <w:bookmarkEnd w:id="25"/>
      <w:bookmarkEnd w:id="26"/>
      <w:bookmarkEnd w:id="27"/>
      <w:r w:rsidR="00E02088">
        <w:t>What is the purpose of your testimony?</w:t>
      </w:r>
    </w:p>
    <w:p w14:paraId="5888D42C" w14:textId="00F471AD" w:rsidR="00303653" w:rsidRDefault="00E02088" w:rsidP="00351AA1">
      <w:pPr>
        <w:pStyle w:val="NoSpacing"/>
      </w:pPr>
      <w:r>
        <w:t>A.</w:t>
      </w:r>
      <w:r>
        <w:tab/>
      </w:r>
      <w:r w:rsidR="00412208">
        <w:t xml:space="preserve">My testimony has </w:t>
      </w:r>
      <w:r w:rsidR="00005F33">
        <w:t>four</w:t>
      </w:r>
      <w:r w:rsidR="00412208">
        <w:t xml:space="preserve"> components.  First, </w:t>
      </w:r>
      <w:r>
        <w:t xml:space="preserve">I </w:t>
      </w:r>
      <w:r w:rsidR="00412208">
        <w:t xml:space="preserve">summarize and </w:t>
      </w:r>
      <w:r w:rsidR="00F474B7">
        <w:t>discuss</w:t>
      </w:r>
      <w:r>
        <w:t xml:space="preserve"> the key differences between Staff</w:t>
      </w:r>
      <w:r w:rsidR="00412208">
        <w:t>’s responsive testimony</w:t>
      </w:r>
      <w:r>
        <w:t xml:space="preserve"> and Pacifi</w:t>
      </w:r>
      <w:r w:rsidR="003F7AC3">
        <w:t>c Power</w:t>
      </w:r>
      <w:r>
        <w:t>’s</w:t>
      </w:r>
      <w:r w:rsidR="00F474B7">
        <w:t xml:space="preserve"> direct</w:t>
      </w:r>
      <w:r w:rsidR="00C4179D">
        <w:t xml:space="preserve"> case</w:t>
      </w:r>
      <w:r w:rsidR="001B0196">
        <w:t>.  Second</w:t>
      </w:r>
      <w:r w:rsidR="003F7AC3">
        <w:t>,</w:t>
      </w:r>
      <w:r w:rsidR="001B0196">
        <w:t xml:space="preserve"> I </w:t>
      </w:r>
      <w:r w:rsidR="00C4179D">
        <w:t xml:space="preserve">respond </w:t>
      </w:r>
      <w:r w:rsidR="001B0196">
        <w:t xml:space="preserve">generally </w:t>
      </w:r>
      <w:r w:rsidR="00C4179D">
        <w:t>to Company witness</w:t>
      </w:r>
      <w:r w:rsidR="000706ED">
        <w:t>es</w:t>
      </w:r>
      <w:r w:rsidR="00C4179D">
        <w:t xml:space="preserve"> Bryce </w:t>
      </w:r>
      <w:proofErr w:type="spellStart"/>
      <w:r w:rsidR="00C4179D">
        <w:t>Dalley</w:t>
      </w:r>
      <w:proofErr w:type="spellEnd"/>
      <w:r w:rsidR="000706ED">
        <w:t xml:space="preserve"> and</w:t>
      </w:r>
      <w:r w:rsidR="00F474B7">
        <w:t xml:space="preserve"> </w:t>
      </w:r>
      <w:r w:rsidR="001B0196">
        <w:t xml:space="preserve">present Staff’s revenue requirement in response to Company witness </w:t>
      </w:r>
      <w:r w:rsidR="00F474B7">
        <w:t xml:space="preserve">Natasha </w:t>
      </w:r>
      <w:proofErr w:type="spellStart"/>
      <w:r w:rsidR="00F474B7">
        <w:t>Siores</w:t>
      </w:r>
      <w:proofErr w:type="spellEnd"/>
      <w:r w:rsidR="00F474B7">
        <w:t xml:space="preserve">.  </w:t>
      </w:r>
      <w:r w:rsidR="00005F33">
        <w:t>Third</w:t>
      </w:r>
      <w:r w:rsidR="006829EB">
        <w:t>, I addres</w:t>
      </w:r>
      <w:r w:rsidR="00D15F35">
        <w:t xml:space="preserve">s </w:t>
      </w:r>
      <w:r w:rsidR="00BB06AD">
        <w:t>accounting adjustment</w:t>
      </w:r>
      <w:r w:rsidR="0022500F">
        <w:t xml:space="preserve"> 4.7 Insurance Expense, </w:t>
      </w:r>
      <w:r w:rsidR="000B4040">
        <w:t xml:space="preserve">adjustment 4.13 </w:t>
      </w:r>
      <w:r w:rsidR="0022500F">
        <w:t xml:space="preserve">IHS Global Insight </w:t>
      </w:r>
      <w:r w:rsidR="00860E5D">
        <w:t>Escalation</w:t>
      </w:r>
      <w:r w:rsidR="00870055">
        <w:t>,</w:t>
      </w:r>
      <w:r w:rsidR="003A66DD">
        <w:t xml:space="preserve"> and </w:t>
      </w:r>
      <w:r w:rsidR="000B4040">
        <w:t xml:space="preserve">adjustment 7.2 </w:t>
      </w:r>
      <w:r w:rsidR="00860E5D">
        <w:t>P</w:t>
      </w:r>
      <w:r w:rsidR="003A66DD">
        <w:t xml:space="preserve">roperty </w:t>
      </w:r>
      <w:r w:rsidR="00860E5D">
        <w:t>T</w:t>
      </w:r>
      <w:r w:rsidR="003A66DD">
        <w:t>axes</w:t>
      </w:r>
      <w:r w:rsidR="0022500F">
        <w:t xml:space="preserve">.  </w:t>
      </w:r>
      <w:r w:rsidR="00D15F35">
        <w:t>F</w:t>
      </w:r>
      <w:r w:rsidR="00C4179D">
        <w:t xml:space="preserve">inally, I address the prudence of the </w:t>
      </w:r>
      <w:proofErr w:type="spellStart"/>
      <w:r w:rsidR="00C4179D">
        <w:t>Merwin</w:t>
      </w:r>
      <w:proofErr w:type="spellEnd"/>
      <w:r w:rsidR="00C4179D">
        <w:t xml:space="preserve"> Fish Collector Project and Staff’s proposal to handle the </w:t>
      </w:r>
      <w:r w:rsidR="003D20B1">
        <w:t xml:space="preserve">related </w:t>
      </w:r>
      <w:r w:rsidR="00C4179D">
        <w:t xml:space="preserve">accounting petition consolidated into this GRC.  </w:t>
      </w:r>
    </w:p>
    <w:p w14:paraId="14409020" w14:textId="77777777" w:rsidR="00C4179D" w:rsidRDefault="00C4179D" w:rsidP="00C4179D">
      <w:pPr>
        <w:pStyle w:val="Heading2"/>
      </w:pPr>
      <w:r>
        <w:lastRenderedPageBreak/>
        <w:t>Q.</w:t>
      </w:r>
      <w:r>
        <w:tab/>
        <w:t>Please introduce the other Staff witnesses testifying in this proceeding and the subjects of their testimony.</w:t>
      </w:r>
    </w:p>
    <w:p w14:paraId="0BE5E3EF" w14:textId="77777777" w:rsidR="00C4179D" w:rsidRDefault="00C4179D" w:rsidP="00C4179D">
      <w:pPr>
        <w:pStyle w:val="NoSpacing"/>
      </w:pPr>
      <w:r>
        <w:t>A.</w:t>
      </w:r>
      <w:r>
        <w:tab/>
        <w:t>The following witnesses present testimony and exhibits for Staff:</w:t>
      </w:r>
    </w:p>
    <w:p w14:paraId="4ADE9E32" w14:textId="6F51911B" w:rsidR="00BD1307" w:rsidRDefault="00BD1307" w:rsidP="00BD1307">
      <w:pPr>
        <w:pStyle w:val="NoSpacing"/>
        <w:numPr>
          <w:ilvl w:val="0"/>
          <w:numId w:val="17"/>
        </w:numPr>
      </w:pPr>
      <w:r>
        <w:t>Ms. Betty Erdahl addresses</w:t>
      </w:r>
      <w:r w:rsidR="00215010">
        <w:t xml:space="preserve"> </w:t>
      </w:r>
      <w:r w:rsidR="009539E4">
        <w:t>the Washington</w:t>
      </w:r>
      <w:r w:rsidR="000B4040">
        <w:t xml:space="preserve"> Low Income Tax Credit</w:t>
      </w:r>
      <w:r w:rsidR="009539E4">
        <w:t>, adjustment 7.5</w:t>
      </w:r>
      <w:r w:rsidR="000B4040">
        <w:t xml:space="preserve"> and</w:t>
      </w:r>
      <w:r>
        <w:t xml:space="preserve"> two of the accounting petitions consolidated into the present case:  1) the deferral of costs related to the Colstrip outage originally filed in Docket UE-131384 and 2) deferral of reduced depreciation expense initiated in Docket UE-132350.  She also presents Staff’s response to Pacific Power’s proposed Plant Addition in adjustment 8.3</w:t>
      </w:r>
      <w:r w:rsidR="009539E4">
        <w:t xml:space="preserve">, and an update </w:t>
      </w:r>
      <w:r w:rsidR="00215010">
        <w:t xml:space="preserve">to </w:t>
      </w:r>
      <w:r w:rsidR="009539E4">
        <w:t>Miscellaneous</w:t>
      </w:r>
      <w:r w:rsidR="00215010">
        <w:t xml:space="preserve"> Asset Sales and Removals</w:t>
      </w:r>
      <w:r w:rsidR="009539E4">
        <w:t xml:space="preserve"> in adjustment 8.11</w:t>
      </w:r>
      <w:r>
        <w:t xml:space="preserve">.  Finally, she is responsible for responding to the Company’s proposal on Investor Supplied Working Capital in Adjustment 8.13.  </w:t>
      </w:r>
    </w:p>
    <w:p w14:paraId="0D66062B" w14:textId="256539B8" w:rsidR="003D20B1" w:rsidRDefault="003D20B1" w:rsidP="003D20B1">
      <w:pPr>
        <w:pStyle w:val="NoSpacing"/>
        <w:numPr>
          <w:ilvl w:val="0"/>
          <w:numId w:val="17"/>
        </w:numPr>
      </w:pPr>
      <w:r>
        <w:t xml:space="preserve">Mr. David Gomez presents Staff’s analysis of the Company’s Net Power Costs and the Company’s proposed </w:t>
      </w:r>
      <w:r w:rsidR="00E340B5">
        <w:t xml:space="preserve">allocation of costs </w:t>
      </w:r>
      <w:r w:rsidR="000B4040">
        <w:t>related to</w:t>
      </w:r>
      <w:r w:rsidR="00860E5D">
        <w:t xml:space="preserve"> Qualifying Facilities</w:t>
      </w:r>
      <w:r>
        <w:t xml:space="preserve"> </w:t>
      </w:r>
      <w:r w:rsidR="00E340B5">
        <w:t>Power Purchase Agreements (</w:t>
      </w:r>
      <w:r w:rsidR="000F6569">
        <w:t xml:space="preserve">QF </w:t>
      </w:r>
      <w:r w:rsidR="00E340B5">
        <w:t xml:space="preserve">PPAs) in the </w:t>
      </w:r>
      <w:r w:rsidR="00D16E1B">
        <w:t>Wester</w:t>
      </w:r>
      <w:r w:rsidR="00860E5D">
        <w:t>n</w:t>
      </w:r>
      <w:r w:rsidR="00EA2390">
        <w:t xml:space="preserve"> Control Area (WCA)</w:t>
      </w:r>
      <w:r>
        <w:t xml:space="preserve">.  Mr. Gomez </w:t>
      </w:r>
      <w:r w:rsidR="00412208">
        <w:t xml:space="preserve">also </w:t>
      </w:r>
      <w:r>
        <w:t>address</w:t>
      </w:r>
      <w:r w:rsidR="00412208">
        <w:t>es</w:t>
      </w:r>
      <w:r>
        <w:t xml:space="preserve"> the </w:t>
      </w:r>
      <w:r w:rsidR="00E340B5">
        <w:t xml:space="preserve">Company’s </w:t>
      </w:r>
      <w:r w:rsidR="00D16E1B">
        <w:t xml:space="preserve">petition to defer costs related to </w:t>
      </w:r>
      <w:r>
        <w:t xml:space="preserve">Hydro Generation </w:t>
      </w:r>
      <w:r w:rsidR="00412208">
        <w:t>initiated in Docket</w:t>
      </w:r>
      <w:r w:rsidR="000F6569">
        <w:t xml:space="preserve"> </w:t>
      </w:r>
      <w:r w:rsidR="00D15F35">
        <w:t>UE-</w:t>
      </w:r>
      <w:r w:rsidR="00086372">
        <w:t>140094</w:t>
      </w:r>
      <w:r w:rsidR="00412208">
        <w:t xml:space="preserve"> </w:t>
      </w:r>
      <w:r w:rsidR="00412208" w:rsidRPr="00D15F35">
        <w:t>and</w:t>
      </w:r>
      <w:r w:rsidR="00412208">
        <w:rPr>
          <w:u w:val="single"/>
        </w:rPr>
        <w:t xml:space="preserve"> </w:t>
      </w:r>
      <w:r>
        <w:t xml:space="preserve">consolidated into this proceeding.  </w:t>
      </w:r>
      <w:r w:rsidR="001B0196">
        <w:t xml:space="preserve">Finally, Mr. Gomez presents Staff’s proposal for a Power Cost </w:t>
      </w:r>
      <w:r w:rsidR="00860E5D">
        <w:t>Adjustment</w:t>
      </w:r>
      <w:r w:rsidR="001B0196">
        <w:t xml:space="preserve"> Mechanism</w:t>
      </w:r>
      <w:r w:rsidR="00D264E9">
        <w:t xml:space="preserve"> (PCAM)</w:t>
      </w:r>
      <w:r w:rsidR="001B0196">
        <w:t xml:space="preserve">.  </w:t>
      </w:r>
    </w:p>
    <w:p w14:paraId="1AC3AF7B" w14:textId="6C2B5AD9" w:rsidR="003D20B1" w:rsidRDefault="003D20B1" w:rsidP="003D20B1">
      <w:pPr>
        <w:pStyle w:val="NoSpacing"/>
        <w:numPr>
          <w:ilvl w:val="0"/>
          <w:numId w:val="17"/>
        </w:numPr>
      </w:pPr>
      <w:r>
        <w:t xml:space="preserve">Mr. Roger Kouchi presents Staff’s response to the Company’s proposed changes to </w:t>
      </w:r>
      <w:r w:rsidR="008B334A">
        <w:t xml:space="preserve">modify Section B of </w:t>
      </w:r>
      <w:r>
        <w:t>Rule 11D</w:t>
      </w:r>
      <w:r w:rsidR="008B334A">
        <w:t xml:space="preserve"> Field Visit Charge,</w:t>
      </w:r>
      <w:r>
        <w:t xml:space="preserve"> </w:t>
      </w:r>
      <w:r w:rsidR="000B4040">
        <w:t>collection a</w:t>
      </w:r>
      <w:r w:rsidR="008B334A">
        <w:t xml:space="preserve">gency charges in Rule 11D, and connection and reconnection charges in </w:t>
      </w:r>
      <w:r>
        <w:t xml:space="preserve">Schedule 300.  He addresses the related adjustment 3.8 in the Company’s proposed revenue requirement.  </w:t>
      </w:r>
    </w:p>
    <w:p w14:paraId="4C8333C0" w14:textId="1E7B5657" w:rsidR="00BD1307" w:rsidRDefault="00BD1307" w:rsidP="00BD1307">
      <w:pPr>
        <w:pStyle w:val="NoSpacing"/>
        <w:numPr>
          <w:ilvl w:val="0"/>
          <w:numId w:val="17"/>
        </w:numPr>
      </w:pPr>
      <w:r>
        <w:t>Mr. Davi</w:t>
      </w:r>
      <w:r w:rsidR="006C52A9">
        <w:t xml:space="preserve">d C. </w:t>
      </w:r>
      <w:proofErr w:type="spellStart"/>
      <w:r w:rsidR="006C52A9">
        <w:t>Parcell</w:t>
      </w:r>
      <w:proofErr w:type="spellEnd"/>
      <w:r w:rsidR="006C52A9">
        <w:t xml:space="preserve"> serves as Staff’s c</w:t>
      </w:r>
      <w:r>
        <w:t xml:space="preserve">ost of </w:t>
      </w:r>
      <w:r w:rsidR="006C52A9">
        <w:t>c</w:t>
      </w:r>
      <w:r>
        <w:t xml:space="preserve">apital witness and presents a recommendation on a fair rate of return.   </w:t>
      </w:r>
    </w:p>
    <w:p w14:paraId="21EC7011" w14:textId="4E8CF12E" w:rsidR="00C4179D" w:rsidRDefault="00216CA9" w:rsidP="00C4179D">
      <w:pPr>
        <w:pStyle w:val="NoSpacing"/>
        <w:numPr>
          <w:ilvl w:val="0"/>
          <w:numId w:val="17"/>
        </w:numPr>
      </w:pPr>
      <w:r>
        <w:lastRenderedPageBreak/>
        <w:t xml:space="preserve">Mr. </w:t>
      </w:r>
      <w:r w:rsidR="00986CCB">
        <w:t xml:space="preserve">Jeremy Twitchell presents Staff’s recommendations </w:t>
      </w:r>
      <w:r w:rsidR="003D20B1">
        <w:t xml:space="preserve">on </w:t>
      </w:r>
      <w:r w:rsidR="00986CCB">
        <w:t xml:space="preserve">cost of service, rate spread, and rate design.  He also presents </w:t>
      </w:r>
      <w:r w:rsidR="00412208">
        <w:t>S</w:t>
      </w:r>
      <w:r w:rsidR="00986CCB">
        <w:t>taff</w:t>
      </w:r>
      <w:r w:rsidR="00412208">
        <w:t>’s</w:t>
      </w:r>
      <w:r w:rsidR="00986CCB">
        <w:t xml:space="preserve"> response to the </w:t>
      </w:r>
      <w:r w:rsidR="008B60F7">
        <w:t xml:space="preserve">Company’s </w:t>
      </w:r>
      <w:r w:rsidR="00986CCB">
        <w:t>proposed Renewable Resources Tracking Mechanism.</w:t>
      </w:r>
    </w:p>
    <w:p w14:paraId="78B8F929" w14:textId="77777777" w:rsidR="00303653" w:rsidRPr="003B1AC8" w:rsidRDefault="00303653" w:rsidP="00351AA1">
      <w:pPr>
        <w:pStyle w:val="NoSpacing"/>
      </w:pPr>
    </w:p>
    <w:p w14:paraId="6B3B7F92" w14:textId="77777777" w:rsidR="003566B9" w:rsidRDefault="00C871C8" w:rsidP="001C0F2D">
      <w:pPr>
        <w:pStyle w:val="Heading1"/>
      </w:pPr>
      <w:bookmarkStart w:id="28" w:name="_Toc393023114"/>
      <w:bookmarkStart w:id="29" w:name="_Toc393023320"/>
      <w:r>
        <w:t xml:space="preserve"> </w:t>
      </w:r>
      <w:bookmarkStart w:id="30" w:name="_Toc400466352"/>
      <w:bookmarkStart w:id="31" w:name="_Toc400466467"/>
      <w:bookmarkStart w:id="32" w:name="_Toc400467780"/>
      <w:bookmarkStart w:id="33" w:name="_Toc400626945"/>
      <w:bookmarkStart w:id="34" w:name="_Toc400626988"/>
      <w:bookmarkStart w:id="35" w:name="_Toc400627181"/>
      <w:r w:rsidR="00E52226">
        <w:t>OVERVIEW</w:t>
      </w:r>
      <w:bookmarkEnd w:id="30"/>
      <w:bookmarkEnd w:id="31"/>
      <w:bookmarkEnd w:id="32"/>
      <w:bookmarkEnd w:id="33"/>
      <w:bookmarkEnd w:id="34"/>
      <w:bookmarkEnd w:id="35"/>
    </w:p>
    <w:p w14:paraId="6499F09C" w14:textId="77777777" w:rsidR="00E52226" w:rsidRPr="001A327D" w:rsidRDefault="00E52226" w:rsidP="00535EE8">
      <w:pPr>
        <w:pStyle w:val="Heading3"/>
        <w:rPr>
          <w:b/>
        </w:rPr>
      </w:pPr>
      <w:bookmarkStart w:id="36" w:name="_Toc400466353"/>
      <w:bookmarkStart w:id="37" w:name="_Toc400466468"/>
      <w:bookmarkStart w:id="38" w:name="_Toc400467781"/>
      <w:bookmarkStart w:id="39" w:name="_Toc400626946"/>
      <w:bookmarkStart w:id="40" w:name="_Toc400626989"/>
      <w:bookmarkStart w:id="41" w:name="_Toc400627182"/>
      <w:r w:rsidRPr="001A327D">
        <w:rPr>
          <w:b/>
        </w:rPr>
        <w:t>A. OVERVIEW OF COMPANY’S DIRECT CASE</w:t>
      </w:r>
      <w:bookmarkEnd w:id="36"/>
      <w:bookmarkEnd w:id="37"/>
      <w:bookmarkEnd w:id="38"/>
      <w:bookmarkEnd w:id="39"/>
      <w:bookmarkEnd w:id="40"/>
      <w:bookmarkEnd w:id="41"/>
    </w:p>
    <w:p w14:paraId="00B07228" w14:textId="77777777" w:rsidR="003566B9" w:rsidRDefault="003566B9" w:rsidP="003566B9">
      <w:pPr>
        <w:pStyle w:val="Heading2"/>
      </w:pPr>
      <w:r>
        <w:t>Q.</w:t>
      </w:r>
      <w:r>
        <w:tab/>
      </w:r>
      <w:r w:rsidR="005D4842">
        <w:t>Please provide an overview of the Company’s direct case</w:t>
      </w:r>
    </w:p>
    <w:p w14:paraId="0C182813" w14:textId="77777777" w:rsidR="006B6ACC" w:rsidRDefault="005D4842" w:rsidP="00E52226">
      <w:pPr>
        <w:pStyle w:val="NoSpacing"/>
      </w:pPr>
      <w:r>
        <w:t>A.</w:t>
      </w:r>
      <w:r>
        <w:tab/>
        <w:t>The Company’</w:t>
      </w:r>
      <w:r w:rsidR="00BC7DB0">
        <w:t xml:space="preserve">s direct </w:t>
      </w:r>
      <w:r w:rsidR="00E52226">
        <w:t xml:space="preserve">testimony </w:t>
      </w:r>
      <w:r w:rsidR="00BA14BC">
        <w:t>seek</w:t>
      </w:r>
      <w:r w:rsidR="00D8359D">
        <w:t>s</w:t>
      </w:r>
      <w:r w:rsidR="00BA14BC">
        <w:t xml:space="preserve"> </w:t>
      </w:r>
      <w:r w:rsidR="001933A3">
        <w:t>additional annual revenue</w:t>
      </w:r>
      <w:r w:rsidR="00915B75">
        <w:t xml:space="preserve"> </w:t>
      </w:r>
      <w:r w:rsidR="00BC7DB0">
        <w:t>o</w:t>
      </w:r>
      <w:r w:rsidR="006B6ACC">
        <w:t>f approximately $27.2 million.</w:t>
      </w:r>
      <w:r w:rsidR="00D8359D">
        <w:t xml:space="preserve">  </w:t>
      </w:r>
    </w:p>
    <w:p w14:paraId="15C61595" w14:textId="23940458" w:rsidR="0069323E" w:rsidRDefault="0069323E" w:rsidP="0035522E">
      <w:pPr>
        <w:pStyle w:val="NoSpacing"/>
        <w:ind w:firstLine="360"/>
      </w:pPr>
      <w:r>
        <w:t>Additionally, three deferrals related to Colstrip</w:t>
      </w:r>
      <w:r>
        <w:rPr>
          <w:rStyle w:val="FootnoteReference"/>
        </w:rPr>
        <w:footnoteReference w:id="2"/>
      </w:r>
      <w:r>
        <w:t>, Depreciation expense</w:t>
      </w:r>
      <w:r>
        <w:rPr>
          <w:rStyle w:val="FootnoteReference"/>
        </w:rPr>
        <w:footnoteReference w:id="3"/>
      </w:r>
      <w:r>
        <w:t>, and Hydro Generation</w:t>
      </w:r>
      <w:r>
        <w:rPr>
          <w:rStyle w:val="FootnoteReference"/>
        </w:rPr>
        <w:footnoteReference w:id="4"/>
      </w:r>
      <w:r w:rsidR="00F10D6E">
        <w:t xml:space="preserve"> have been consolidated in</w:t>
      </w:r>
      <w:r>
        <w:t xml:space="preserve">to this proceeding.  Collectively, these </w:t>
      </w:r>
      <w:r w:rsidR="00E52226">
        <w:t xml:space="preserve">three </w:t>
      </w:r>
      <w:r w:rsidR="00693FD9">
        <w:t xml:space="preserve">petitions </w:t>
      </w:r>
      <w:r>
        <w:t xml:space="preserve">represent $4.94 </w:t>
      </w:r>
      <w:r w:rsidR="00F10D6E">
        <w:t>m</w:t>
      </w:r>
      <w:r w:rsidR="00693FD9">
        <w:t>illion in deferred expenses</w:t>
      </w:r>
      <w:r w:rsidR="004A1A5E">
        <w:t xml:space="preserve"> and depreciation</w:t>
      </w:r>
      <w:r w:rsidR="00693FD9">
        <w:t>, including interest.</w:t>
      </w:r>
    </w:p>
    <w:p w14:paraId="6B36A857" w14:textId="603C9AA3" w:rsidR="0035522E" w:rsidRDefault="0035522E" w:rsidP="0035522E">
      <w:pPr>
        <w:pStyle w:val="NoSpacing"/>
        <w:ind w:firstLine="720"/>
      </w:pPr>
      <w:r>
        <w:t xml:space="preserve">Finally, </w:t>
      </w:r>
      <w:r w:rsidR="00E52226">
        <w:t xml:space="preserve">the Commission </w:t>
      </w:r>
      <w:r w:rsidR="001B0196">
        <w:t xml:space="preserve">has </w:t>
      </w:r>
      <w:r w:rsidR="00E52226">
        <w:t xml:space="preserve">consolidated </w:t>
      </w:r>
      <w:r>
        <w:t xml:space="preserve">Docket UE-140617 – Deferral of Costs related to the </w:t>
      </w:r>
      <w:proofErr w:type="spellStart"/>
      <w:r>
        <w:t>Merwin</w:t>
      </w:r>
      <w:proofErr w:type="spellEnd"/>
      <w:r>
        <w:t xml:space="preserve"> Fish Collector Project into this proceeding</w:t>
      </w:r>
      <w:r w:rsidR="00C20DF7">
        <w:t xml:space="preserve"> (</w:t>
      </w:r>
      <w:proofErr w:type="spellStart"/>
      <w:r w:rsidR="00C20DF7">
        <w:t>Merwin</w:t>
      </w:r>
      <w:proofErr w:type="spellEnd"/>
      <w:r w:rsidR="00C20DF7">
        <w:t xml:space="preserve"> Deferral)</w:t>
      </w:r>
      <w:r>
        <w:t>.</w:t>
      </w:r>
      <w:r w:rsidR="001A327D">
        <w:rPr>
          <w:rStyle w:val="FootnoteReference"/>
        </w:rPr>
        <w:footnoteReference w:id="5"/>
      </w:r>
      <w:r>
        <w:t xml:space="preserve">  The petition as-filed </w:t>
      </w:r>
      <w:r w:rsidR="000478C6">
        <w:t>represents an additional $1.</w:t>
      </w:r>
      <w:r w:rsidR="004A1A5E">
        <w:t xml:space="preserve">67 </w:t>
      </w:r>
      <w:r w:rsidR="001A327D">
        <w:t>m</w:t>
      </w:r>
      <w:r w:rsidR="000478C6">
        <w:t xml:space="preserve">illion </w:t>
      </w:r>
      <w:r w:rsidR="00B14F46">
        <w:t xml:space="preserve">deferred </w:t>
      </w:r>
      <w:r w:rsidR="004A1A5E">
        <w:t>revenue requirement</w:t>
      </w:r>
      <w:r w:rsidR="00B14F46">
        <w:t xml:space="preserve"> </w:t>
      </w:r>
      <w:r w:rsidR="000478C6">
        <w:t xml:space="preserve">plus </w:t>
      </w:r>
      <w:r w:rsidR="001A327D">
        <w:t xml:space="preserve">approximately </w:t>
      </w:r>
      <w:r w:rsidR="004A1A5E">
        <w:t xml:space="preserve">$118,606 </w:t>
      </w:r>
      <w:r w:rsidR="000478C6">
        <w:t xml:space="preserve">interest.  </w:t>
      </w:r>
    </w:p>
    <w:p w14:paraId="2AE5046F" w14:textId="0ED163DB" w:rsidR="00D97531" w:rsidRDefault="00E52226" w:rsidP="0035522E">
      <w:pPr>
        <w:pStyle w:val="NoSpacing"/>
        <w:ind w:firstLine="720"/>
      </w:pPr>
      <w:r>
        <w:t>In total, the Company’s filing for this proceeding includes requests of approximately $27.2 million in the direct testimony, $4.94 million in deferrals related to Colstrip, Depreciation, and Hydro Generation, and $1.</w:t>
      </w:r>
      <w:r w:rsidR="004A1A5E">
        <w:t xml:space="preserve">79 </w:t>
      </w:r>
      <w:r>
        <w:t xml:space="preserve">million related to the </w:t>
      </w:r>
      <w:proofErr w:type="spellStart"/>
      <w:r>
        <w:t>Merwin</w:t>
      </w:r>
      <w:proofErr w:type="spellEnd"/>
      <w:r>
        <w:t xml:space="preserve"> </w:t>
      </w:r>
      <w:r>
        <w:lastRenderedPageBreak/>
        <w:t>Fish Collector.  Therefore, the Company’s consolidate</w:t>
      </w:r>
      <w:r w:rsidR="006C52A9">
        <w:t>d</w:t>
      </w:r>
      <w:r>
        <w:t xml:space="preserve"> filing</w:t>
      </w:r>
      <w:r w:rsidR="00D87087">
        <w:t>s</w:t>
      </w:r>
      <w:r>
        <w:t xml:space="preserve"> </w:t>
      </w:r>
      <w:r w:rsidR="00D87087">
        <w:t xml:space="preserve">represent </w:t>
      </w:r>
      <w:r>
        <w:t>a</w:t>
      </w:r>
      <w:r w:rsidR="00FE247D">
        <w:t>n</w:t>
      </w:r>
      <w:r>
        <w:t xml:space="preserve"> </w:t>
      </w:r>
      <w:r w:rsidR="00D87087">
        <w:t>increase</w:t>
      </w:r>
      <w:r>
        <w:t xml:space="preserve"> </w:t>
      </w:r>
      <w:r w:rsidR="006C52A9">
        <w:t xml:space="preserve">to revenues of approximately $34 million </w:t>
      </w:r>
      <w:r w:rsidR="00656985">
        <w:t>during the</w:t>
      </w:r>
      <w:r w:rsidR="006C52A9">
        <w:t xml:space="preserve"> first year of the</w:t>
      </w:r>
      <w:r w:rsidR="00656985">
        <w:t xml:space="preserve"> rate effective period</w:t>
      </w:r>
      <w:r w:rsidR="00C43D5B">
        <w:t>.</w:t>
      </w:r>
      <w:r w:rsidR="001A327D">
        <w:rPr>
          <w:rStyle w:val="FootnoteReference"/>
        </w:rPr>
        <w:footnoteReference w:id="6"/>
      </w:r>
      <w:r w:rsidR="00C43D5B">
        <w:t xml:space="preserve"> </w:t>
      </w:r>
      <w:r>
        <w:t xml:space="preserve"> </w:t>
      </w:r>
    </w:p>
    <w:tbl>
      <w:tblPr>
        <w:tblStyle w:val="TableGrid"/>
        <w:tblW w:w="0" w:type="auto"/>
        <w:tblInd w:w="720" w:type="dxa"/>
        <w:tblLook w:val="04A0" w:firstRow="1" w:lastRow="0" w:firstColumn="1" w:lastColumn="0" w:noHBand="0" w:noVBand="1"/>
      </w:tblPr>
      <w:tblGrid>
        <w:gridCol w:w="2605"/>
        <w:gridCol w:w="3330"/>
        <w:gridCol w:w="2070"/>
      </w:tblGrid>
      <w:tr w:rsidR="004E3644" w14:paraId="1231D5BA" w14:textId="77777777" w:rsidTr="00E340B5">
        <w:tc>
          <w:tcPr>
            <w:tcW w:w="8005" w:type="dxa"/>
            <w:gridSpan w:val="3"/>
            <w:shd w:val="clear" w:color="auto" w:fill="D9D9D9" w:themeFill="background1" w:themeFillShade="D9"/>
          </w:tcPr>
          <w:p w14:paraId="2EE7EB12" w14:textId="77777777" w:rsidR="004E3644" w:rsidRPr="00E340B5" w:rsidRDefault="004E3644" w:rsidP="00FB6F1E">
            <w:pPr>
              <w:pStyle w:val="NoSpacing"/>
              <w:spacing w:line="240" w:lineRule="auto"/>
              <w:ind w:left="0" w:firstLine="0"/>
              <w:jc w:val="center"/>
              <w:rPr>
                <w:b/>
                <w:sz w:val="22"/>
                <w:szCs w:val="22"/>
              </w:rPr>
            </w:pPr>
            <w:r w:rsidRPr="00E340B5">
              <w:rPr>
                <w:b/>
                <w:sz w:val="22"/>
                <w:szCs w:val="22"/>
              </w:rPr>
              <w:t xml:space="preserve">TABLE 1 – Revenue Requirement as Proposed by </w:t>
            </w:r>
            <w:r w:rsidR="00FB6F1E" w:rsidRPr="00E340B5">
              <w:rPr>
                <w:b/>
                <w:sz w:val="22"/>
                <w:szCs w:val="22"/>
              </w:rPr>
              <w:t>Pacific Power</w:t>
            </w:r>
          </w:p>
        </w:tc>
      </w:tr>
      <w:tr w:rsidR="00D97531" w14:paraId="49D65E53" w14:textId="77777777" w:rsidTr="00E340B5">
        <w:tc>
          <w:tcPr>
            <w:tcW w:w="2605" w:type="dxa"/>
            <w:shd w:val="clear" w:color="auto" w:fill="D9D9D9" w:themeFill="background1" w:themeFillShade="D9"/>
            <w:vAlign w:val="center"/>
          </w:tcPr>
          <w:p w14:paraId="1CE0FF4A" w14:textId="77777777" w:rsidR="00D97531" w:rsidRPr="00E340B5" w:rsidRDefault="00D97531" w:rsidP="00785169">
            <w:pPr>
              <w:pStyle w:val="NoSpacing"/>
              <w:jc w:val="center"/>
              <w:rPr>
                <w:b/>
                <w:sz w:val="22"/>
                <w:szCs w:val="22"/>
              </w:rPr>
            </w:pPr>
          </w:p>
        </w:tc>
        <w:tc>
          <w:tcPr>
            <w:tcW w:w="3330" w:type="dxa"/>
            <w:shd w:val="clear" w:color="auto" w:fill="D9D9D9" w:themeFill="background1" w:themeFillShade="D9"/>
            <w:vAlign w:val="center"/>
          </w:tcPr>
          <w:p w14:paraId="7EAE6EA1" w14:textId="77777777" w:rsidR="00D97531" w:rsidRPr="00E340B5" w:rsidRDefault="00D97531" w:rsidP="00785169">
            <w:pPr>
              <w:pStyle w:val="NoSpacing"/>
              <w:spacing w:line="240" w:lineRule="auto"/>
              <w:ind w:left="0" w:firstLine="0"/>
              <w:jc w:val="center"/>
              <w:rPr>
                <w:b/>
                <w:sz w:val="22"/>
                <w:szCs w:val="22"/>
              </w:rPr>
            </w:pPr>
            <w:r w:rsidRPr="00E340B5">
              <w:rPr>
                <w:b/>
                <w:sz w:val="22"/>
                <w:szCs w:val="22"/>
              </w:rPr>
              <w:t>Docket</w:t>
            </w:r>
          </w:p>
        </w:tc>
        <w:tc>
          <w:tcPr>
            <w:tcW w:w="2070" w:type="dxa"/>
            <w:shd w:val="clear" w:color="auto" w:fill="D9D9D9" w:themeFill="background1" w:themeFillShade="D9"/>
            <w:vAlign w:val="center"/>
          </w:tcPr>
          <w:p w14:paraId="04D711E6" w14:textId="77777777" w:rsidR="00D97531" w:rsidRPr="00E340B5" w:rsidRDefault="00D97531" w:rsidP="00785169">
            <w:pPr>
              <w:pStyle w:val="NoSpacing"/>
              <w:spacing w:line="240" w:lineRule="auto"/>
              <w:ind w:left="0" w:firstLine="0"/>
              <w:jc w:val="center"/>
              <w:rPr>
                <w:b/>
                <w:sz w:val="22"/>
                <w:szCs w:val="22"/>
              </w:rPr>
            </w:pPr>
            <w:r w:rsidRPr="00E340B5">
              <w:rPr>
                <w:b/>
                <w:sz w:val="22"/>
                <w:szCs w:val="22"/>
              </w:rPr>
              <w:t>Revenue Requirement Increase</w:t>
            </w:r>
          </w:p>
        </w:tc>
      </w:tr>
      <w:tr w:rsidR="00D97531" w14:paraId="1784103A" w14:textId="77777777" w:rsidTr="00DB5422">
        <w:tc>
          <w:tcPr>
            <w:tcW w:w="2605" w:type="dxa"/>
          </w:tcPr>
          <w:p w14:paraId="3FED71B7" w14:textId="77777777" w:rsidR="00D97531" w:rsidRPr="00E340B5" w:rsidRDefault="00D97531" w:rsidP="00D97531">
            <w:pPr>
              <w:pStyle w:val="NoSpacing"/>
              <w:spacing w:line="240" w:lineRule="auto"/>
              <w:ind w:left="0" w:firstLine="0"/>
              <w:rPr>
                <w:sz w:val="22"/>
                <w:szCs w:val="22"/>
              </w:rPr>
            </w:pPr>
            <w:r w:rsidRPr="00E340B5">
              <w:rPr>
                <w:sz w:val="22"/>
                <w:szCs w:val="22"/>
              </w:rPr>
              <w:t>Direct Case</w:t>
            </w:r>
          </w:p>
        </w:tc>
        <w:tc>
          <w:tcPr>
            <w:tcW w:w="3330" w:type="dxa"/>
          </w:tcPr>
          <w:p w14:paraId="133051F9" w14:textId="77777777" w:rsidR="00D97531" w:rsidRPr="00E340B5" w:rsidRDefault="00D97531" w:rsidP="00D97531">
            <w:pPr>
              <w:pStyle w:val="NoSpacing"/>
              <w:spacing w:line="240" w:lineRule="auto"/>
              <w:ind w:left="0" w:firstLine="0"/>
              <w:rPr>
                <w:sz w:val="22"/>
                <w:szCs w:val="22"/>
              </w:rPr>
            </w:pPr>
            <w:r w:rsidRPr="00E340B5">
              <w:rPr>
                <w:sz w:val="22"/>
                <w:szCs w:val="22"/>
              </w:rPr>
              <w:t>UE-140617</w:t>
            </w:r>
          </w:p>
        </w:tc>
        <w:tc>
          <w:tcPr>
            <w:tcW w:w="2070" w:type="dxa"/>
          </w:tcPr>
          <w:p w14:paraId="3FC584CA" w14:textId="28EEB260" w:rsidR="00D97531" w:rsidRPr="00E340B5" w:rsidRDefault="00D87087" w:rsidP="00785169">
            <w:pPr>
              <w:pStyle w:val="NoSpacing"/>
              <w:tabs>
                <w:tab w:val="left" w:pos="1919"/>
              </w:tabs>
              <w:spacing w:line="240" w:lineRule="auto"/>
              <w:ind w:left="0" w:firstLine="0"/>
              <w:rPr>
                <w:sz w:val="22"/>
                <w:szCs w:val="22"/>
              </w:rPr>
            </w:pPr>
            <w:r w:rsidRPr="00E340B5">
              <w:rPr>
                <w:sz w:val="22"/>
                <w:szCs w:val="22"/>
              </w:rPr>
              <w:t>$</w:t>
            </w:r>
            <w:r w:rsidR="00785169" w:rsidRPr="00E340B5">
              <w:rPr>
                <w:sz w:val="22"/>
                <w:szCs w:val="22"/>
              </w:rPr>
              <w:ptab w:relativeTo="margin" w:alignment="right" w:leader="none"/>
            </w:r>
            <w:r w:rsidRPr="00E340B5">
              <w:rPr>
                <w:sz w:val="22"/>
                <w:szCs w:val="22"/>
              </w:rPr>
              <w:t>27,201,266</w:t>
            </w:r>
          </w:p>
        </w:tc>
      </w:tr>
      <w:tr w:rsidR="00D97531" w14:paraId="49624879" w14:textId="77777777" w:rsidTr="00DB5422">
        <w:tc>
          <w:tcPr>
            <w:tcW w:w="2605" w:type="dxa"/>
          </w:tcPr>
          <w:p w14:paraId="406F488D" w14:textId="77777777" w:rsidR="00D97531" w:rsidRPr="00E340B5" w:rsidRDefault="00D97531" w:rsidP="00C20DF7">
            <w:pPr>
              <w:pStyle w:val="NoSpacing"/>
              <w:spacing w:line="240" w:lineRule="auto"/>
              <w:ind w:left="0" w:firstLine="0"/>
              <w:rPr>
                <w:sz w:val="22"/>
                <w:szCs w:val="22"/>
              </w:rPr>
            </w:pPr>
            <w:r w:rsidRPr="00E340B5">
              <w:rPr>
                <w:sz w:val="22"/>
                <w:szCs w:val="22"/>
              </w:rPr>
              <w:t xml:space="preserve">Colstrip </w:t>
            </w:r>
          </w:p>
        </w:tc>
        <w:tc>
          <w:tcPr>
            <w:tcW w:w="3330" w:type="dxa"/>
          </w:tcPr>
          <w:p w14:paraId="083F2E01" w14:textId="77777777" w:rsidR="00D97531" w:rsidRPr="00E340B5" w:rsidRDefault="0066207D" w:rsidP="00D97531">
            <w:pPr>
              <w:pStyle w:val="NoSpacing"/>
              <w:spacing w:line="240" w:lineRule="auto"/>
              <w:ind w:left="0" w:firstLine="0"/>
              <w:rPr>
                <w:sz w:val="22"/>
                <w:szCs w:val="22"/>
              </w:rPr>
            </w:pPr>
            <w:r w:rsidRPr="00E340B5">
              <w:rPr>
                <w:sz w:val="22"/>
                <w:szCs w:val="22"/>
              </w:rPr>
              <w:t>UE-131384</w:t>
            </w:r>
          </w:p>
        </w:tc>
        <w:tc>
          <w:tcPr>
            <w:tcW w:w="2070" w:type="dxa"/>
          </w:tcPr>
          <w:p w14:paraId="7AD49B99" w14:textId="683DC5AB" w:rsidR="00D97531" w:rsidRPr="00E340B5" w:rsidRDefault="002E43A3" w:rsidP="00656985">
            <w:pPr>
              <w:pStyle w:val="NoSpacing"/>
              <w:spacing w:line="240" w:lineRule="auto"/>
              <w:ind w:left="0" w:firstLine="0"/>
              <w:rPr>
                <w:sz w:val="22"/>
                <w:szCs w:val="22"/>
              </w:rPr>
            </w:pPr>
            <w:r w:rsidRPr="00E340B5">
              <w:rPr>
                <w:sz w:val="22"/>
                <w:szCs w:val="22"/>
              </w:rPr>
              <w:t>$</w:t>
            </w:r>
            <w:r w:rsidR="00785169" w:rsidRPr="00E340B5">
              <w:rPr>
                <w:sz w:val="22"/>
                <w:szCs w:val="22"/>
              </w:rPr>
              <w:ptab w:relativeTo="margin" w:alignment="right" w:leader="none"/>
            </w:r>
            <w:r w:rsidR="00656985" w:rsidRPr="00E340B5">
              <w:rPr>
                <w:sz w:val="22"/>
                <w:szCs w:val="22"/>
              </w:rPr>
              <w:t>1</w:t>
            </w:r>
            <w:r w:rsidR="00785169" w:rsidRPr="00E340B5">
              <w:rPr>
                <w:sz w:val="22"/>
                <w:szCs w:val="22"/>
              </w:rPr>
              <w:t>,</w:t>
            </w:r>
            <w:r w:rsidR="00656985" w:rsidRPr="00E340B5">
              <w:rPr>
                <w:sz w:val="22"/>
                <w:szCs w:val="22"/>
              </w:rPr>
              <w:t>978</w:t>
            </w:r>
            <w:r w:rsidR="00785169" w:rsidRPr="00E340B5">
              <w:rPr>
                <w:sz w:val="22"/>
                <w:szCs w:val="22"/>
              </w:rPr>
              <w:t>,</w:t>
            </w:r>
            <w:r w:rsidR="00656985" w:rsidRPr="00E340B5">
              <w:rPr>
                <w:sz w:val="22"/>
                <w:szCs w:val="22"/>
              </w:rPr>
              <w:t>487</w:t>
            </w:r>
          </w:p>
        </w:tc>
      </w:tr>
      <w:tr w:rsidR="00D97531" w14:paraId="72EC5BA2" w14:textId="77777777" w:rsidTr="00DB5422">
        <w:tc>
          <w:tcPr>
            <w:tcW w:w="2605" w:type="dxa"/>
          </w:tcPr>
          <w:p w14:paraId="5A832897" w14:textId="77777777" w:rsidR="00D97531" w:rsidRPr="00E340B5" w:rsidRDefault="00D97531" w:rsidP="00C20DF7">
            <w:pPr>
              <w:pStyle w:val="NoSpacing"/>
              <w:spacing w:line="240" w:lineRule="auto"/>
              <w:ind w:left="0" w:firstLine="0"/>
              <w:rPr>
                <w:sz w:val="22"/>
                <w:szCs w:val="22"/>
              </w:rPr>
            </w:pPr>
            <w:r w:rsidRPr="00E340B5">
              <w:rPr>
                <w:sz w:val="22"/>
                <w:szCs w:val="22"/>
              </w:rPr>
              <w:t xml:space="preserve">Depreciation </w:t>
            </w:r>
            <w:r w:rsidR="00C20DF7" w:rsidRPr="00E340B5">
              <w:rPr>
                <w:sz w:val="22"/>
                <w:szCs w:val="22"/>
              </w:rPr>
              <w:t>Expense</w:t>
            </w:r>
          </w:p>
        </w:tc>
        <w:tc>
          <w:tcPr>
            <w:tcW w:w="3330" w:type="dxa"/>
          </w:tcPr>
          <w:p w14:paraId="74B91280" w14:textId="77777777" w:rsidR="00D97531" w:rsidRPr="00E340B5" w:rsidRDefault="0066207D" w:rsidP="00D97531">
            <w:pPr>
              <w:pStyle w:val="NoSpacing"/>
              <w:spacing w:line="240" w:lineRule="auto"/>
              <w:ind w:left="0" w:firstLine="0"/>
              <w:rPr>
                <w:sz w:val="22"/>
                <w:szCs w:val="22"/>
              </w:rPr>
            </w:pPr>
            <w:r w:rsidRPr="00E340B5">
              <w:rPr>
                <w:sz w:val="22"/>
                <w:szCs w:val="22"/>
              </w:rPr>
              <w:t>UE-132350</w:t>
            </w:r>
          </w:p>
        </w:tc>
        <w:tc>
          <w:tcPr>
            <w:tcW w:w="2070" w:type="dxa"/>
          </w:tcPr>
          <w:p w14:paraId="7B07BD0B" w14:textId="24D52530" w:rsidR="00D97531" w:rsidRPr="00E340B5" w:rsidRDefault="00E50D62" w:rsidP="00656985">
            <w:pPr>
              <w:pStyle w:val="NoSpacing"/>
              <w:spacing w:line="240" w:lineRule="auto"/>
              <w:ind w:left="0" w:firstLine="0"/>
              <w:rPr>
                <w:sz w:val="22"/>
                <w:szCs w:val="22"/>
              </w:rPr>
            </w:pPr>
            <w:r w:rsidRPr="00E340B5">
              <w:rPr>
                <w:sz w:val="22"/>
                <w:szCs w:val="22"/>
              </w:rPr>
              <w:t>$</w:t>
            </w:r>
            <w:r w:rsidR="00785169" w:rsidRPr="00E340B5">
              <w:rPr>
                <w:sz w:val="22"/>
                <w:szCs w:val="22"/>
              </w:rPr>
              <w:ptab w:relativeTo="margin" w:alignment="right" w:leader="none"/>
            </w:r>
            <w:r w:rsidR="00656985" w:rsidRPr="00E340B5">
              <w:rPr>
                <w:sz w:val="22"/>
                <w:szCs w:val="22"/>
              </w:rPr>
              <w:t>(877,345)</w:t>
            </w:r>
          </w:p>
        </w:tc>
      </w:tr>
      <w:tr w:rsidR="00D97531" w14:paraId="0CDFBD8E" w14:textId="77777777" w:rsidTr="00DB5422">
        <w:tc>
          <w:tcPr>
            <w:tcW w:w="2605" w:type="dxa"/>
          </w:tcPr>
          <w:p w14:paraId="708453CE" w14:textId="77777777" w:rsidR="00D97531" w:rsidRPr="00E340B5" w:rsidRDefault="00D97531" w:rsidP="00C20DF7">
            <w:pPr>
              <w:pStyle w:val="NoSpacing"/>
              <w:spacing w:line="240" w:lineRule="auto"/>
              <w:ind w:left="0" w:firstLine="0"/>
              <w:rPr>
                <w:sz w:val="22"/>
                <w:szCs w:val="22"/>
              </w:rPr>
            </w:pPr>
            <w:r w:rsidRPr="00E340B5">
              <w:rPr>
                <w:sz w:val="22"/>
                <w:szCs w:val="22"/>
              </w:rPr>
              <w:t xml:space="preserve">Hydro Generation </w:t>
            </w:r>
          </w:p>
        </w:tc>
        <w:tc>
          <w:tcPr>
            <w:tcW w:w="3330" w:type="dxa"/>
          </w:tcPr>
          <w:p w14:paraId="1F8FECB7" w14:textId="77777777" w:rsidR="00D97531" w:rsidRPr="00E340B5" w:rsidRDefault="0066207D" w:rsidP="00D97531">
            <w:pPr>
              <w:pStyle w:val="NoSpacing"/>
              <w:spacing w:line="240" w:lineRule="auto"/>
              <w:ind w:left="0" w:firstLine="0"/>
              <w:rPr>
                <w:sz w:val="22"/>
                <w:szCs w:val="22"/>
              </w:rPr>
            </w:pPr>
            <w:r w:rsidRPr="00E340B5">
              <w:rPr>
                <w:sz w:val="22"/>
                <w:szCs w:val="22"/>
              </w:rPr>
              <w:t>UE-140094</w:t>
            </w:r>
          </w:p>
        </w:tc>
        <w:tc>
          <w:tcPr>
            <w:tcW w:w="2070" w:type="dxa"/>
          </w:tcPr>
          <w:p w14:paraId="6F78EB17" w14:textId="200063C7" w:rsidR="00D97531" w:rsidRPr="00E340B5" w:rsidRDefault="00E50D62" w:rsidP="00656985">
            <w:pPr>
              <w:pStyle w:val="NoSpacing"/>
              <w:spacing w:line="240" w:lineRule="auto"/>
              <w:ind w:left="0" w:firstLine="0"/>
              <w:rPr>
                <w:sz w:val="22"/>
                <w:szCs w:val="22"/>
              </w:rPr>
            </w:pPr>
            <w:r w:rsidRPr="00E340B5">
              <w:rPr>
                <w:sz w:val="22"/>
                <w:szCs w:val="22"/>
              </w:rPr>
              <w:t>$</w:t>
            </w:r>
            <w:r w:rsidR="00785169" w:rsidRPr="00E340B5">
              <w:rPr>
                <w:sz w:val="22"/>
                <w:szCs w:val="22"/>
              </w:rPr>
              <w:ptab w:relativeTo="margin" w:alignment="right" w:leader="none"/>
            </w:r>
            <w:r w:rsidR="00656985" w:rsidRPr="00E340B5">
              <w:rPr>
                <w:sz w:val="22"/>
                <w:szCs w:val="22"/>
              </w:rPr>
              <w:t>3,288,839</w:t>
            </w:r>
            <w:r w:rsidRPr="00E340B5">
              <w:rPr>
                <w:sz w:val="22"/>
                <w:szCs w:val="22"/>
              </w:rPr>
              <w:t xml:space="preserve"> </w:t>
            </w:r>
          </w:p>
        </w:tc>
      </w:tr>
      <w:tr w:rsidR="004A1A5E" w14:paraId="029A4F5E" w14:textId="77777777" w:rsidTr="00DB5422">
        <w:tc>
          <w:tcPr>
            <w:tcW w:w="2605" w:type="dxa"/>
          </w:tcPr>
          <w:p w14:paraId="07205C61" w14:textId="47A48A5B" w:rsidR="004A1A5E" w:rsidRPr="00E340B5" w:rsidRDefault="00656985" w:rsidP="00656985">
            <w:pPr>
              <w:pStyle w:val="NoSpacing"/>
              <w:spacing w:line="240" w:lineRule="auto"/>
              <w:ind w:left="0" w:firstLine="0"/>
              <w:rPr>
                <w:sz w:val="22"/>
                <w:szCs w:val="22"/>
              </w:rPr>
            </w:pPr>
            <w:r w:rsidRPr="00E340B5">
              <w:rPr>
                <w:sz w:val="22"/>
                <w:szCs w:val="22"/>
              </w:rPr>
              <w:t>Interest</w:t>
            </w:r>
          </w:p>
        </w:tc>
        <w:tc>
          <w:tcPr>
            <w:tcW w:w="3330" w:type="dxa"/>
          </w:tcPr>
          <w:p w14:paraId="20C39BE5" w14:textId="77777777" w:rsidR="00DB5422" w:rsidRPr="00E340B5" w:rsidRDefault="004A1A5E" w:rsidP="00D97531">
            <w:pPr>
              <w:pStyle w:val="NoSpacing"/>
              <w:spacing w:line="240" w:lineRule="auto"/>
              <w:ind w:left="0" w:firstLine="0"/>
              <w:rPr>
                <w:sz w:val="22"/>
                <w:szCs w:val="22"/>
              </w:rPr>
            </w:pPr>
            <w:r w:rsidRPr="00E340B5">
              <w:rPr>
                <w:sz w:val="22"/>
                <w:szCs w:val="22"/>
              </w:rPr>
              <w:t>UE-131384</w:t>
            </w:r>
            <w:r w:rsidR="00DB5422" w:rsidRPr="00E340B5">
              <w:rPr>
                <w:sz w:val="22"/>
                <w:szCs w:val="22"/>
              </w:rPr>
              <w:t xml:space="preserve">, </w:t>
            </w:r>
            <w:r w:rsidRPr="00E340B5">
              <w:rPr>
                <w:sz w:val="22"/>
                <w:szCs w:val="22"/>
              </w:rPr>
              <w:t>UE-132350</w:t>
            </w:r>
            <w:r w:rsidR="00DB5422" w:rsidRPr="00E340B5">
              <w:rPr>
                <w:sz w:val="22"/>
                <w:szCs w:val="22"/>
              </w:rPr>
              <w:t xml:space="preserve">, </w:t>
            </w:r>
          </w:p>
          <w:p w14:paraId="7F84A20B" w14:textId="3700477F" w:rsidR="004A1A5E" w:rsidRPr="00E340B5" w:rsidRDefault="004A1A5E" w:rsidP="00D97531">
            <w:pPr>
              <w:pStyle w:val="NoSpacing"/>
              <w:spacing w:line="240" w:lineRule="auto"/>
              <w:ind w:left="0" w:firstLine="0"/>
              <w:rPr>
                <w:sz w:val="22"/>
                <w:szCs w:val="22"/>
              </w:rPr>
            </w:pPr>
            <w:r w:rsidRPr="00E340B5">
              <w:rPr>
                <w:sz w:val="22"/>
                <w:szCs w:val="22"/>
              </w:rPr>
              <w:t>UE-140094</w:t>
            </w:r>
          </w:p>
        </w:tc>
        <w:tc>
          <w:tcPr>
            <w:tcW w:w="2070" w:type="dxa"/>
          </w:tcPr>
          <w:p w14:paraId="1E4971AA" w14:textId="4A008BC1" w:rsidR="004A1A5E" w:rsidRPr="00E340B5" w:rsidRDefault="004A1A5E" w:rsidP="00D97531">
            <w:pPr>
              <w:pStyle w:val="NoSpacing"/>
              <w:spacing w:line="240" w:lineRule="auto"/>
              <w:ind w:left="0" w:firstLine="0"/>
              <w:rPr>
                <w:sz w:val="22"/>
                <w:szCs w:val="22"/>
              </w:rPr>
            </w:pPr>
            <w:r w:rsidRPr="00E340B5">
              <w:rPr>
                <w:sz w:val="22"/>
                <w:szCs w:val="22"/>
              </w:rPr>
              <w:t>$</w:t>
            </w:r>
            <w:r w:rsidR="00785169" w:rsidRPr="00E340B5">
              <w:rPr>
                <w:sz w:val="22"/>
                <w:szCs w:val="22"/>
              </w:rPr>
              <w:ptab w:relativeTo="margin" w:alignment="right" w:leader="none"/>
            </w:r>
            <w:r w:rsidRPr="00E340B5">
              <w:rPr>
                <w:sz w:val="22"/>
                <w:szCs w:val="22"/>
              </w:rPr>
              <w:t>550,358</w:t>
            </w:r>
          </w:p>
        </w:tc>
      </w:tr>
      <w:tr w:rsidR="00D97531" w14:paraId="28040DAA" w14:textId="77777777" w:rsidTr="00DB5422">
        <w:tc>
          <w:tcPr>
            <w:tcW w:w="2605" w:type="dxa"/>
          </w:tcPr>
          <w:p w14:paraId="7E77AF26" w14:textId="0B4061FB" w:rsidR="00D97531" w:rsidRPr="00E340B5" w:rsidRDefault="00D97531" w:rsidP="00C20DF7">
            <w:pPr>
              <w:pStyle w:val="NoSpacing"/>
              <w:spacing w:line="240" w:lineRule="auto"/>
              <w:ind w:left="0" w:firstLine="0"/>
              <w:rPr>
                <w:sz w:val="22"/>
                <w:szCs w:val="22"/>
              </w:rPr>
            </w:pPr>
            <w:proofErr w:type="spellStart"/>
            <w:r w:rsidRPr="00E340B5">
              <w:rPr>
                <w:sz w:val="22"/>
                <w:szCs w:val="22"/>
              </w:rPr>
              <w:t>Merwin</w:t>
            </w:r>
            <w:proofErr w:type="spellEnd"/>
            <w:r w:rsidRPr="00E340B5">
              <w:rPr>
                <w:sz w:val="22"/>
                <w:szCs w:val="22"/>
              </w:rPr>
              <w:t xml:space="preserve"> </w:t>
            </w:r>
            <w:r w:rsidR="00C20DF7" w:rsidRPr="00E340B5">
              <w:rPr>
                <w:sz w:val="22"/>
                <w:szCs w:val="22"/>
              </w:rPr>
              <w:t>Deferral</w:t>
            </w:r>
            <w:r w:rsidRPr="00E340B5">
              <w:rPr>
                <w:sz w:val="22"/>
                <w:szCs w:val="22"/>
              </w:rPr>
              <w:t xml:space="preserve"> </w:t>
            </w:r>
          </w:p>
        </w:tc>
        <w:tc>
          <w:tcPr>
            <w:tcW w:w="3330" w:type="dxa"/>
          </w:tcPr>
          <w:p w14:paraId="50873858" w14:textId="77777777" w:rsidR="00D97531" w:rsidRPr="00E340B5" w:rsidRDefault="00D97531" w:rsidP="00D97531">
            <w:pPr>
              <w:pStyle w:val="NoSpacing"/>
              <w:spacing w:line="240" w:lineRule="auto"/>
              <w:ind w:left="0" w:firstLine="0"/>
              <w:rPr>
                <w:sz w:val="22"/>
                <w:szCs w:val="22"/>
              </w:rPr>
            </w:pPr>
            <w:r w:rsidRPr="00E340B5">
              <w:rPr>
                <w:sz w:val="22"/>
                <w:szCs w:val="22"/>
              </w:rPr>
              <w:t>UE-140617</w:t>
            </w:r>
          </w:p>
        </w:tc>
        <w:tc>
          <w:tcPr>
            <w:tcW w:w="2070" w:type="dxa"/>
          </w:tcPr>
          <w:p w14:paraId="6E896567" w14:textId="6A1909F5" w:rsidR="00D97531" w:rsidRPr="00E340B5" w:rsidRDefault="00E50D62" w:rsidP="00656985">
            <w:pPr>
              <w:pStyle w:val="NoSpacing"/>
              <w:spacing w:line="240" w:lineRule="auto"/>
              <w:ind w:left="0" w:firstLine="0"/>
              <w:rPr>
                <w:sz w:val="22"/>
                <w:szCs w:val="22"/>
              </w:rPr>
            </w:pPr>
            <w:r w:rsidRPr="00E340B5">
              <w:rPr>
                <w:sz w:val="22"/>
                <w:szCs w:val="22"/>
              </w:rPr>
              <w:t>$</w:t>
            </w:r>
            <w:r w:rsidR="00785169" w:rsidRPr="00E340B5">
              <w:rPr>
                <w:sz w:val="22"/>
                <w:szCs w:val="22"/>
              </w:rPr>
              <w:ptab w:relativeTo="margin" w:alignment="right" w:leader="none"/>
            </w:r>
            <w:r w:rsidR="00656985" w:rsidRPr="00E340B5">
              <w:rPr>
                <w:sz w:val="22"/>
                <w:szCs w:val="22"/>
              </w:rPr>
              <w:t>1,668,757</w:t>
            </w:r>
          </w:p>
        </w:tc>
      </w:tr>
      <w:tr w:rsidR="004A1A5E" w14:paraId="5A19F728" w14:textId="77777777" w:rsidTr="00DB5422">
        <w:tc>
          <w:tcPr>
            <w:tcW w:w="2605" w:type="dxa"/>
          </w:tcPr>
          <w:p w14:paraId="74EDC3C6" w14:textId="1F1D98CE" w:rsidR="004A1A5E" w:rsidRPr="00E340B5" w:rsidRDefault="00656985" w:rsidP="00656985">
            <w:pPr>
              <w:pStyle w:val="NoSpacing"/>
              <w:spacing w:line="240" w:lineRule="auto"/>
              <w:ind w:left="0" w:firstLine="0"/>
              <w:rPr>
                <w:sz w:val="22"/>
                <w:szCs w:val="22"/>
              </w:rPr>
            </w:pPr>
            <w:r w:rsidRPr="00E340B5">
              <w:rPr>
                <w:sz w:val="22"/>
                <w:szCs w:val="22"/>
              </w:rPr>
              <w:t>Interest</w:t>
            </w:r>
          </w:p>
        </w:tc>
        <w:tc>
          <w:tcPr>
            <w:tcW w:w="3330" w:type="dxa"/>
          </w:tcPr>
          <w:p w14:paraId="607C69E1" w14:textId="7B1FED07" w:rsidR="004A1A5E" w:rsidRPr="00E340B5" w:rsidRDefault="00656985" w:rsidP="00D97531">
            <w:pPr>
              <w:pStyle w:val="NoSpacing"/>
              <w:spacing w:line="240" w:lineRule="auto"/>
              <w:ind w:left="0" w:firstLine="0"/>
              <w:rPr>
                <w:sz w:val="22"/>
                <w:szCs w:val="22"/>
              </w:rPr>
            </w:pPr>
            <w:r w:rsidRPr="00E340B5">
              <w:rPr>
                <w:sz w:val="22"/>
                <w:szCs w:val="22"/>
              </w:rPr>
              <w:t>UE-140617</w:t>
            </w:r>
          </w:p>
        </w:tc>
        <w:tc>
          <w:tcPr>
            <w:tcW w:w="2070" w:type="dxa"/>
          </w:tcPr>
          <w:p w14:paraId="1FF6CCC2" w14:textId="6351AEAE" w:rsidR="004A1A5E" w:rsidRPr="00E340B5" w:rsidRDefault="00656985" w:rsidP="00E50D62">
            <w:pPr>
              <w:pStyle w:val="NoSpacing"/>
              <w:spacing w:line="240" w:lineRule="auto"/>
              <w:ind w:left="0" w:firstLine="0"/>
              <w:rPr>
                <w:sz w:val="22"/>
                <w:szCs w:val="22"/>
              </w:rPr>
            </w:pPr>
            <w:r w:rsidRPr="00E340B5">
              <w:rPr>
                <w:sz w:val="22"/>
                <w:szCs w:val="22"/>
              </w:rPr>
              <w:t>$</w:t>
            </w:r>
            <w:r w:rsidR="00785169" w:rsidRPr="00E340B5">
              <w:rPr>
                <w:sz w:val="22"/>
                <w:szCs w:val="22"/>
              </w:rPr>
              <w:ptab w:relativeTo="margin" w:alignment="right" w:leader="none"/>
            </w:r>
            <w:r w:rsidRPr="00E340B5">
              <w:rPr>
                <w:sz w:val="22"/>
                <w:szCs w:val="22"/>
              </w:rPr>
              <w:t>118,606</w:t>
            </w:r>
          </w:p>
        </w:tc>
      </w:tr>
      <w:tr w:rsidR="00D97531" w14:paraId="48ECA730" w14:textId="77777777" w:rsidTr="00E340B5">
        <w:trPr>
          <w:trHeight w:val="350"/>
        </w:trPr>
        <w:tc>
          <w:tcPr>
            <w:tcW w:w="5935" w:type="dxa"/>
            <w:gridSpan w:val="2"/>
            <w:vAlign w:val="bottom"/>
          </w:tcPr>
          <w:p w14:paraId="3E8D064E" w14:textId="61DD149E" w:rsidR="00D97531" w:rsidRPr="00E340B5" w:rsidRDefault="00D97531" w:rsidP="00D97531">
            <w:pPr>
              <w:pStyle w:val="NoSpacing"/>
              <w:spacing w:line="240" w:lineRule="auto"/>
              <w:ind w:left="0" w:firstLine="0"/>
              <w:jc w:val="right"/>
              <w:rPr>
                <w:sz w:val="22"/>
                <w:szCs w:val="22"/>
              </w:rPr>
            </w:pPr>
            <w:r w:rsidRPr="00E340B5">
              <w:rPr>
                <w:sz w:val="22"/>
                <w:szCs w:val="22"/>
              </w:rPr>
              <w:t>Total Request</w:t>
            </w:r>
            <w:r w:rsidR="00A00C40" w:rsidRPr="00E340B5">
              <w:rPr>
                <w:sz w:val="22"/>
                <w:szCs w:val="22"/>
              </w:rPr>
              <w:t>ed</w:t>
            </w:r>
            <w:r w:rsidRPr="00E340B5">
              <w:rPr>
                <w:sz w:val="22"/>
                <w:szCs w:val="22"/>
              </w:rPr>
              <w:t xml:space="preserve"> </w:t>
            </w:r>
            <w:r w:rsidR="00725A59" w:rsidRPr="00E340B5">
              <w:rPr>
                <w:sz w:val="22"/>
                <w:szCs w:val="22"/>
              </w:rPr>
              <w:t xml:space="preserve">Rate Year </w:t>
            </w:r>
            <w:r w:rsidRPr="00E340B5">
              <w:rPr>
                <w:sz w:val="22"/>
                <w:szCs w:val="22"/>
              </w:rPr>
              <w:t>Revenue Requirement</w:t>
            </w:r>
          </w:p>
        </w:tc>
        <w:tc>
          <w:tcPr>
            <w:tcW w:w="2070" w:type="dxa"/>
            <w:vAlign w:val="bottom"/>
          </w:tcPr>
          <w:p w14:paraId="4337A61E" w14:textId="4FA73C00" w:rsidR="00D97531" w:rsidRPr="00E340B5" w:rsidRDefault="00785169" w:rsidP="00D97531">
            <w:pPr>
              <w:pStyle w:val="NoSpacing"/>
              <w:spacing w:line="240" w:lineRule="auto"/>
              <w:ind w:left="0" w:firstLine="0"/>
              <w:rPr>
                <w:sz w:val="22"/>
                <w:szCs w:val="22"/>
              </w:rPr>
            </w:pPr>
            <w:r w:rsidRPr="00E340B5">
              <w:rPr>
                <w:sz w:val="22"/>
                <w:szCs w:val="22"/>
              </w:rPr>
              <w:ptab w:relativeTo="margin" w:alignment="right" w:leader="none"/>
            </w:r>
            <w:r w:rsidR="00715445" w:rsidRPr="00E340B5">
              <w:rPr>
                <w:sz w:val="22"/>
                <w:szCs w:val="22"/>
              </w:rPr>
              <w:t>$33,928,968</w:t>
            </w:r>
          </w:p>
        </w:tc>
      </w:tr>
    </w:tbl>
    <w:p w14:paraId="39D6B18F" w14:textId="77777777" w:rsidR="00E52226" w:rsidRDefault="00E52226" w:rsidP="00A00C40">
      <w:pPr>
        <w:pStyle w:val="NoSpacing"/>
      </w:pPr>
    </w:p>
    <w:p w14:paraId="7C667B9C" w14:textId="77777777" w:rsidR="001933A3" w:rsidRDefault="001933A3" w:rsidP="001933A3">
      <w:pPr>
        <w:pStyle w:val="Heading2"/>
      </w:pPr>
      <w:r w:rsidRPr="003B1AC8">
        <w:t>Q.</w:t>
      </w:r>
      <w:r w:rsidRPr="003B1AC8">
        <w:tab/>
      </w:r>
      <w:r>
        <w:t>How would you characterize the Company’s proposed Revenue Requirement?</w:t>
      </w:r>
    </w:p>
    <w:p w14:paraId="02A10683" w14:textId="75EA69B1" w:rsidR="001933A3" w:rsidRDefault="001933A3" w:rsidP="001933A3">
      <w:pPr>
        <w:pStyle w:val="NoSpacing"/>
      </w:pPr>
      <w:r>
        <w:t>A.</w:t>
      </w:r>
      <w:r>
        <w:tab/>
        <w:t xml:space="preserve">The Company has presented an accounting case similar to its previous GRC in Docket UE-130043.  The Company’s case has three </w:t>
      </w:r>
      <w:r w:rsidR="00285138">
        <w:t xml:space="preserve">main </w:t>
      </w:r>
      <w:r>
        <w:t>elements that si</w:t>
      </w:r>
      <w:r w:rsidR="000F6569">
        <w:t>gnificantly impact its revenue r</w:t>
      </w:r>
      <w:r>
        <w:t>equirement:</w:t>
      </w:r>
    </w:p>
    <w:p w14:paraId="7683865C" w14:textId="7D586268" w:rsidR="001933A3" w:rsidRDefault="001933A3" w:rsidP="001933A3">
      <w:pPr>
        <w:pStyle w:val="NoSpacing"/>
        <w:numPr>
          <w:ilvl w:val="1"/>
          <w:numId w:val="17"/>
        </w:numPr>
      </w:pPr>
      <w:r>
        <w:t xml:space="preserve">The </w:t>
      </w:r>
      <w:r w:rsidR="00D264E9">
        <w:t xml:space="preserve">allocation of the full cost </w:t>
      </w:r>
      <w:r>
        <w:t xml:space="preserve">of QF </w:t>
      </w:r>
      <w:r w:rsidR="006C52A9">
        <w:t>PPA’s</w:t>
      </w:r>
      <w:r>
        <w:t xml:space="preserve"> from Oregon</w:t>
      </w:r>
      <w:r w:rsidR="00FE3C22">
        <w:t xml:space="preserve"> and California</w:t>
      </w:r>
      <w:r>
        <w:t xml:space="preserve"> </w:t>
      </w:r>
      <w:r w:rsidR="00D264E9">
        <w:t xml:space="preserve">used to calculate Net Power Costs (NPC) </w:t>
      </w:r>
      <w:r>
        <w:t xml:space="preserve">in the </w:t>
      </w:r>
      <w:r w:rsidR="00D264E9">
        <w:t>WCA</w:t>
      </w:r>
      <w:r w:rsidR="00FE3C22">
        <w:t>.</w:t>
      </w:r>
    </w:p>
    <w:p w14:paraId="2EC66F29" w14:textId="7075258B" w:rsidR="001933A3" w:rsidRDefault="001933A3" w:rsidP="001933A3">
      <w:pPr>
        <w:pStyle w:val="NoSpacing"/>
        <w:numPr>
          <w:ilvl w:val="1"/>
          <w:numId w:val="17"/>
        </w:numPr>
      </w:pPr>
      <w:r>
        <w:t xml:space="preserve">Changes in </w:t>
      </w:r>
      <w:r w:rsidR="006C52A9">
        <w:t>the c</w:t>
      </w:r>
      <w:r>
        <w:t xml:space="preserve">apital </w:t>
      </w:r>
      <w:r w:rsidR="006C52A9">
        <w:t>s</w:t>
      </w:r>
      <w:r>
        <w:t>tructure proposed by the Company</w:t>
      </w:r>
      <w:r w:rsidR="00FE3C22">
        <w:t>.</w:t>
      </w:r>
    </w:p>
    <w:p w14:paraId="0DA34C7E" w14:textId="62F3ABD1" w:rsidR="001933A3" w:rsidRDefault="001933A3" w:rsidP="001933A3">
      <w:pPr>
        <w:pStyle w:val="NoSpacing"/>
        <w:numPr>
          <w:ilvl w:val="1"/>
          <w:numId w:val="17"/>
        </w:numPr>
      </w:pPr>
      <w:r>
        <w:t xml:space="preserve">The inclusion of </w:t>
      </w:r>
      <w:r w:rsidR="00692AE1">
        <w:t xml:space="preserve">estimates in pro </w:t>
      </w:r>
      <w:r w:rsidR="00D264E9">
        <w:t xml:space="preserve">forma </w:t>
      </w:r>
      <w:r>
        <w:t xml:space="preserve">adjustments to non-labor operations and maintenance expense </w:t>
      </w:r>
      <w:r w:rsidR="006C52A9">
        <w:t>in a</w:t>
      </w:r>
      <w:r w:rsidR="00394BFB">
        <w:t>djustment 4.13,</w:t>
      </w:r>
      <w:r>
        <w:t xml:space="preserve"> IHS Global Insights </w:t>
      </w:r>
      <w:r w:rsidR="00394BFB">
        <w:t>Escalation</w:t>
      </w:r>
      <w:r>
        <w:t xml:space="preserve">. </w:t>
      </w:r>
    </w:p>
    <w:p w14:paraId="0AC29660" w14:textId="77777777" w:rsidR="0026053A" w:rsidRDefault="0026053A">
      <w:pPr>
        <w:rPr>
          <w:rFonts w:cs="Times New Roman"/>
          <w:b/>
          <w:szCs w:val="24"/>
          <w:u w:val="single"/>
        </w:rPr>
      </w:pPr>
      <w:bookmarkStart w:id="42" w:name="_Toc400466354"/>
      <w:bookmarkStart w:id="43" w:name="_Toc400466469"/>
      <w:bookmarkStart w:id="44" w:name="_Toc400467782"/>
      <w:r>
        <w:rPr>
          <w:b/>
        </w:rPr>
        <w:br w:type="page"/>
      </w:r>
    </w:p>
    <w:p w14:paraId="1E6A9124" w14:textId="439A1FCB" w:rsidR="001933A3" w:rsidRPr="001A327D" w:rsidRDefault="001933A3" w:rsidP="00535EE8">
      <w:pPr>
        <w:pStyle w:val="Heading3"/>
        <w:rPr>
          <w:b/>
        </w:rPr>
      </w:pPr>
      <w:bookmarkStart w:id="45" w:name="_Toc400626947"/>
      <w:bookmarkStart w:id="46" w:name="_Toc400626990"/>
      <w:bookmarkStart w:id="47" w:name="_Toc400627183"/>
      <w:r w:rsidRPr="001A327D">
        <w:rPr>
          <w:b/>
        </w:rPr>
        <w:lastRenderedPageBreak/>
        <w:t>B. OVERVIEW OF STAFF’S CASE</w:t>
      </w:r>
      <w:bookmarkEnd w:id="42"/>
      <w:bookmarkEnd w:id="43"/>
      <w:bookmarkEnd w:id="44"/>
      <w:bookmarkEnd w:id="45"/>
      <w:bookmarkEnd w:id="46"/>
      <w:bookmarkEnd w:id="47"/>
    </w:p>
    <w:p w14:paraId="794EC613" w14:textId="5310630D" w:rsidR="00083CBB" w:rsidRPr="001A327D" w:rsidRDefault="00083CBB" w:rsidP="007F4E3C">
      <w:pPr>
        <w:pStyle w:val="Heading4"/>
        <w:rPr>
          <w:b/>
        </w:rPr>
      </w:pPr>
      <w:r w:rsidRPr="007F4E3C">
        <w:rPr>
          <w:u w:val="none"/>
        </w:rPr>
        <w:tab/>
      </w:r>
      <w:bookmarkStart w:id="48" w:name="_Toc400466355"/>
      <w:bookmarkStart w:id="49" w:name="_Toc400466470"/>
      <w:bookmarkStart w:id="50" w:name="_Toc400467783"/>
      <w:bookmarkStart w:id="51" w:name="_Toc400626948"/>
      <w:bookmarkStart w:id="52" w:name="_Toc400626991"/>
      <w:bookmarkStart w:id="53" w:name="_Toc400627184"/>
      <w:r w:rsidRPr="001A327D">
        <w:rPr>
          <w:b/>
        </w:rPr>
        <w:t>1.</w:t>
      </w:r>
      <w:r w:rsidR="00C72DBA" w:rsidRPr="001A327D">
        <w:rPr>
          <w:b/>
        </w:rPr>
        <w:tab/>
      </w:r>
      <w:r w:rsidRPr="001A327D">
        <w:rPr>
          <w:b/>
        </w:rPr>
        <w:t>POLICY</w:t>
      </w:r>
      <w:r w:rsidR="009E26A4" w:rsidRPr="001A327D">
        <w:rPr>
          <w:b/>
        </w:rPr>
        <w:t xml:space="preserve"> SUPPORTING STAFF’S CASE</w:t>
      </w:r>
      <w:bookmarkEnd w:id="48"/>
      <w:bookmarkEnd w:id="49"/>
      <w:bookmarkEnd w:id="50"/>
      <w:bookmarkEnd w:id="51"/>
      <w:bookmarkEnd w:id="52"/>
      <w:bookmarkEnd w:id="53"/>
    </w:p>
    <w:p w14:paraId="5E11C95A" w14:textId="77777777" w:rsidR="001933A3" w:rsidRDefault="001933A3" w:rsidP="001933A3">
      <w:pPr>
        <w:pStyle w:val="Heading2"/>
      </w:pPr>
      <w:r>
        <w:t>Q.</w:t>
      </w:r>
      <w:r>
        <w:tab/>
        <w:t xml:space="preserve">Please summarize the fundamental principles and regulatory standards supporting Staff’s case.  </w:t>
      </w:r>
    </w:p>
    <w:p w14:paraId="62CE180A" w14:textId="1E548C3E" w:rsidR="00242261" w:rsidRDefault="001933A3" w:rsidP="00BF20B0">
      <w:pPr>
        <w:pStyle w:val="NoSpacing"/>
      </w:pPr>
      <w:r>
        <w:t>A.</w:t>
      </w:r>
      <w:r>
        <w:tab/>
        <w:t xml:space="preserve">Staff’s approach in the present case </w:t>
      </w:r>
      <w:r w:rsidR="007D173D">
        <w:t>is</w:t>
      </w:r>
      <w:r w:rsidR="00590D3D">
        <w:t xml:space="preserve"> consistent with </w:t>
      </w:r>
      <w:r w:rsidR="006C52A9">
        <w:t xml:space="preserve">the direction and principles issued by the </w:t>
      </w:r>
      <w:r w:rsidR="00590D3D">
        <w:t xml:space="preserve">Commission </w:t>
      </w:r>
      <w:r w:rsidR="00BF20B0">
        <w:t>in</w:t>
      </w:r>
      <w:r>
        <w:t xml:space="preserve"> the Company’s last GRC, Docket UE-130043.</w:t>
      </w:r>
      <w:r w:rsidR="00BF20B0">
        <w:rPr>
          <w:rStyle w:val="FootnoteReference"/>
        </w:rPr>
        <w:footnoteReference w:id="7"/>
      </w:r>
      <w:r>
        <w:t xml:space="preserve">  </w:t>
      </w:r>
      <w:r w:rsidR="00F55693">
        <w:t xml:space="preserve">Staff’s case balances the administrative need to avoid re-litigating issues while still providing a </w:t>
      </w:r>
      <w:r w:rsidR="00242261">
        <w:t xml:space="preserve">complete </w:t>
      </w:r>
      <w:r w:rsidR="00F55693">
        <w:t xml:space="preserve">recommendation based on objective analysis.  </w:t>
      </w:r>
    </w:p>
    <w:p w14:paraId="746915C8" w14:textId="43E9F382" w:rsidR="00BF20B0" w:rsidRDefault="008D575C" w:rsidP="00242261">
      <w:pPr>
        <w:pStyle w:val="NoSpacing"/>
        <w:ind w:firstLine="720"/>
      </w:pPr>
      <w:r>
        <w:t xml:space="preserve">In particular, </w:t>
      </w:r>
      <w:r w:rsidR="00242261">
        <w:t>Staff focuses on the principles of cost causation.  As discussed by Mr. Gomez, w</w:t>
      </w:r>
      <w:r w:rsidR="007D173D">
        <w:t>e do not support</w:t>
      </w:r>
      <w:r w:rsidR="00F55693">
        <w:t xml:space="preserve"> the Company’s proposed</w:t>
      </w:r>
      <w:r w:rsidR="007D173D">
        <w:t xml:space="preserve"> </w:t>
      </w:r>
      <w:r w:rsidR="00706179">
        <w:t xml:space="preserve">changes to </w:t>
      </w:r>
      <w:r w:rsidR="007D173D">
        <w:t xml:space="preserve">the </w:t>
      </w:r>
      <w:r w:rsidR="00706179">
        <w:t xml:space="preserve">allocation and cost recovery principles </w:t>
      </w:r>
      <w:r w:rsidR="007D173D">
        <w:t>underlying the WCA</w:t>
      </w:r>
      <w:r w:rsidR="00D5720D">
        <w:t xml:space="preserve">.  </w:t>
      </w:r>
      <w:r w:rsidR="005C7D79">
        <w:t>The m</w:t>
      </w:r>
      <w:r>
        <w:t xml:space="preserve">atching </w:t>
      </w:r>
      <w:r w:rsidR="005C7D79">
        <w:t xml:space="preserve">of benefit </w:t>
      </w:r>
      <w:r w:rsidR="006C52A9">
        <w:t>with</w:t>
      </w:r>
      <w:r w:rsidR="005C7D79">
        <w:t xml:space="preserve"> burden is an important regulatory objective that is reflected throughout Staff’s case.   </w:t>
      </w:r>
    </w:p>
    <w:p w14:paraId="33FFCB90" w14:textId="0236F5EA" w:rsidR="00C72DBA" w:rsidRDefault="00BF20B0" w:rsidP="00F55693">
      <w:pPr>
        <w:pStyle w:val="NoSpacing"/>
        <w:ind w:firstLine="720"/>
      </w:pPr>
      <w:r>
        <w:t>Mr. Gomez also proposes a</w:t>
      </w:r>
      <w:r w:rsidR="00D5720D">
        <w:t xml:space="preserve"> </w:t>
      </w:r>
      <w:r w:rsidR="000F6569">
        <w:t>PCAM</w:t>
      </w:r>
      <w:r>
        <w:t xml:space="preserve"> to</w:t>
      </w:r>
      <w:r w:rsidR="00D5720D">
        <w:t xml:space="preserve"> help </w:t>
      </w:r>
      <w:r w:rsidR="008F7D93">
        <w:t>address the Company’s concerns</w:t>
      </w:r>
      <w:r w:rsidR="00D5720D">
        <w:t xml:space="preserve"> of “chronic under-recovery”</w:t>
      </w:r>
      <w:r w:rsidR="00706179">
        <w:t>.</w:t>
      </w:r>
      <w:r w:rsidR="00CC06D4">
        <w:rPr>
          <w:rStyle w:val="FootnoteReference"/>
        </w:rPr>
        <w:footnoteReference w:id="8"/>
      </w:r>
      <w:r w:rsidR="00E24F01">
        <w:t xml:space="preserve">  </w:t>
      </w:r>
      <w:r w:rsidR="001F72A7">
        <w:t xml:space="preserve">Staff’s </w:t>
      </w:r>
      <w:r w:rsidR="00FE3C22">
        <w:t xml:space="preserve">proposed </w:t>
      </w:r>
      <w:r w:rsidR="000F6569">
        <w:t>PCAM</w:t>
      </w:r>
      <w:r w:rsidR="00D97531">
        <w:t xml:space="preserve"> </w:t>
      </w:r>
      <w:r w:rsidR="00955B55">
        <w:t>is consistent with the Commission</w:t>
      </w:r>
      <w:r>
        <w:t>’</w:t>
      </w:r>
      <w:r w:rsidR="00955B55">
        <w:t xml:space="preserve">s </w:t>
      </w:r>
      <w:r w:rsidR="00CC06D4">
        <w:t xml:space="preserve">specific </w:t>
      </w:r>
      <w:r w:rsidR="00310481">
        <w:t>direction on the design elements necessary for such a mechanism</w:t>
      </w:r>
      <w:r w:rsidR="007D173D">
        <w:t xml:space="preserve">.  </w:t>
      </w:r>
    </w:p>
    <w:p w14:paraId="3634AC50" w14:textId="53F76717" w:rsidR="00B37DAC" w:rsidRDefault="00B37DAC" w:rsidP="00F55693">
      <w:pPr>
        <w:pStyle w:val="NoSpacing"/>
        <w:ind w:firstLine="720"/>
      </w:pPr>
      <w:r>
        <w:t xml:space="preserve">Mr. </w:t>
      </w:r>
      <w:proofErr w:type="spellStart"/>
      <w:r>
        <w:t>Twitchell’s</w:t>
      </w:r>
      <w:proofErr w:type="spellEnd"/>
      <w:r>
        <w:t xml:space="preserve"> rate design reflects </w:t>
      </w:r>
      <w:r w:rsidR="00CC06D4">
        <w:t xml:space="preserve">the </w:t>
      </w:r>
      <w:r>
        <w:t xml:space="preserve">realignment of costs </w:t>
      </w:r>
      <w:r w:rsidR="009539E4">
        <w:t>to</w:t>
      </w:r>
      <w:r>
        <w:t xml:space="preserve"> those</w:t>
      </w:r>
      <w:r w:rsidR="00CC06D4">
        <w:t xml:space="preserve"> users</w:t>
      </w:r>
      <w:r>
        <w:t xml:space="preserve"> most directly responsible for them.  Further, Mr. Twitchell proposes a three-block rate structure for residential customers </w:t>
      </w:r>
      <w:r w:rsidR="00CC06D4">
        <w:t>and</w:t>
      </w:r>
      <w:r>
        <w:t xml:space="preserve"> an increased basic charge.  This approach balances the </w:t>
      </w:r>
      <w:r w:rsidR="004807C2">
        <w:t>Company’s concern about fixed cost recovery with the Commission</w:t>
      </w:r>
      <w:r w:rsidR="009539E4">
        <w:t>’</w:t>
      </w:r>
      <w:r w:rsidR="004807C2">
        <w:t>s policy objectives to invest in en</w:t>
      </w:r>
      <w:r w:rsidR="00045740">
        <w:t>ergy efficiency.</w:t>
      </w:r>
    </w:p>
    <w:p w14:paraId="1A716B0A" w14:textId="77777777" w:rsidR="00BF20B0" w:rsidRDefault="00083CBB" w:rsidP="007F4E3C">
      <w:pPr>
        <w:pStyle w:val="Heading4"/>
        <w:rPr>
          <w:u w:val="none"/>
        </w:rPr>
      </w:pPr>
      <w:r w:rsidRPr="00F97D73">
        <w:rPr>
          <w:u w:val="none"/>
        </w:rPr>
        <w:tab/>
      </w:r>
      <w:bookmarkStart w:id="54" w:name="_Toc400466356"/>
      <w:bookmarkStart w:id="55" w:name="_Toc400466471"/>
      <w:bookmarkStart w:id="56" w:name="_Toc400467784"/>
    </w:p>
    <w:p w14:paraId="7731316B" w14:textId="0C242153" w:rsidR="001933A3" w:rsidRPr="00BF20B0" w:rsidRDefault="00083CBB" w:rsidP="00BF20B0">
      <w:pPr>
        <w:pStyle w:val="Heading4"/>
        <w:ind w:firstLine="0"/>
        <w:rPr>
          <w:b/>
        </w:rPr>
      </w:pPr>
      <w:bookmarkStart w:id="57" w:name="_Toc400626949"/>
      <w:bookmarkStart w:id="58" w:name="_Toc400626992"/>
      <w:bookmarkStart w:id="59" w:name="_Toc400627185"/>
      <w:r w:rsidRPr="00BF20B0">
        <w:rPr>
          <w:b/>
        </w:rPr>
        <w:t>2.</w:t>
      </w:r>
      <w:r w:rsidRPr="00BF20B0">
        <w:rPr>
          <w:b/>
        </w:rPr>
        <w:tab/>
      </w:r>
      <w:r w:rsidR="009E26A4" w:rsidRPr="00BF20B0">
        <w:rPr>
          <w:b/>
        </w:rPr>
        <w:t xml:space="preserve">STAFF’S </w:t>
      </w:r>
      <w:r w:rsidRPr="00BF20B0">
        <w:rPr>
          <w:b/>
        </w:rPr>
        <w:t>REVENUE REQUIREMENT</w:t>
      </w:r>
      <w:bookmarkEnd w:id="54"/>
      <w:bookmarkEnd w:id="55"/>
      <w:bookmarkEnd w:id="56"/>
      <w:bookmarkEnd w:id="57"/>
      <w:bookmarkEnd w:id="58"/>
      <w:bookmarkEnd w:id="59"/>
    </w:p>
    <w:p w14:paraId="3541DB78" w14:textId="57C2D543" w:rsidR="005820F9" w:rsidRDefault="005820F9" w:rsidP="005820F9">
      <w:pPr>
        <w:pStyle w:val="Heading2"/>
      </w:pPr>
      <w:r>
        <w:lastRenderedPageBreak/>
        <w:t>Q.</w:t>
      </w:r>
      <w:r>
        <w:tab/>
        <w:t>Please provide an overview of Staff’s recommended revenue requirement increase</w:t>
      </w:r>
      <w:r w:rsidR="00BF20B0">
        <w:t>.</w:t>
      </w:r>
    </w:p>
    <w:p w14:paraId="49976677" w14:textId="68E44645" w:rsidR="00BF20B0" w:rsidRDefault="001D06F0" w:rsidP="00E11F91">
      <w:pPr>
        <w:pStyle w:val="NoSpacing"/>
        <w:tabs>
          <w:tab w:val="left" w:pos="180"/>
        </w:tabs>
      </w:pPr>
      <w:r>
        <w:t>A.</w:t>
      </w:r>
      <w:r>
        <w:tab/>
        <w:t xml:space="preserve">Staff recommends an increase to the Company’s revenue requirement of </w:t>
      </w:r>
      <w:r w:rsidR="00B65ED1">
        <w:t>$6,</w:t>
      </w:r>
      <w:r w:rsidR="00C255BF">
        <w:t>135,340</w:t>
      </w:r>
      <w:r w:rsidR="00B65ED1">
        <w:t xml:space="preserve"> </w:t>
      </w:r>
      <w:r>
        <w:t xml:space="preserve">or </w:t>
      </w:r>
      <w:r w:rsidR="00437788">
        <w:t>1.91</w:t>
      </w:r>
      <w:r w:rsidR="008B60F7">
        <w:t xml:space="preserve"> percent.  </w:t>
      </w:r>
      <w:r w:rsidR="00801262">
        <w:t>Additionally, Staff</w:t>
      </w:r>
      <w:r w:rsidR="00716A13">
        <w:t xml:space="preserve"> </w:t>
      </w:r>
      <w:r w:rsidR="00801262">
        <w:t xml:space="preserve">recommends approving </w:t>
      </w:r>
      <w:r w:rsidR="005C16A2">
        <w:t xml:space="preserve">$1,530,186 </w:t>
      </w:r>
      <w:r w:rsidR="00801262">
        <w:t>related to the four deferral’s consolidated into this case.</w:t>
      </w:r>
      <w:r w:rsidR="00027EC1">
        <w:t xml:space="preserve">  As discussed </w:t>
      </w:r>
      <w:r w:rsidR="005C16A2">
        <w:t>later in my testimony</w:t>
      </w:r>
      <w:r w:rsidR="00027EC1">
        <w:t>, Staff recommends these deferrals be recovered through general rates rather than</w:t>
      </w:r>
      <w:r w:rsidR="00835FF5">
        <w:t xml:space="preserve"> through</w:t>
      </w:r>
      <w:r w:rsidR="00027EC1">
        <w:t xml:space="preserve"> a separate schedule.  </w:t>
      </w:r>
      <w:r w:rsidR="00801262">
        <w:t xml:space="preserve">Therefore, Staff’s final revenue requirement proposal is </w:t>
      </w:r>
      <w:r w:rsidR="005C16A2">
        <w:t>$</w:t>
      </w:r>
      <w:r w:rsidR="00437788">
        <w:t>7,740,733</w:t>
      </w:r>
      <w:r w:rsidR="005C16A2">
        <w:t xml:space="preserve"> </w:t>
      </w:r>
      <w:r w:rsidR="00801262">
        <w:t xml:space="preserve">or a </w:t>
      </w:r>
      <w:r w:rsidR="005C16A2">
        <w:t>2.</w:t>
      </w:r>
      <w:r w:rsidR="00437788">
        <w:t>41</w:t>
      </w:r>
      <w:r w:rsidR="00A3167B">
        <w:t xml:space="preserve"> percent </w:t>
      </w:r>
      <w:r w:rsidR="00801262">
        <w:t xml:space="preserve">increase.  </w:t>
      </w:r>
    </w:p>
    <w:tbl>
      <w:tblPr>
        <w:tblStyle w:val="TableGrid"/>
        <w:tblW w:w="0" w:type="auto"/>
        <w:tblInd w:w="1066" w:type="dxa"/>
        <w:tblLook w:val="04A0" w:firstRow="1" w:lastRow="0" w:firstColumn="1" w:lastColumn="0" w:noHBand="0" w:noVBand="1"/>
      </w:tblPr>
      <w:tblGrid>
        <w:gridCol w:w="4405"/>
        <w:gridCol w:w="1800"/>
        <w:gridCol w:w="1643"/>
      </w:tblGrid>
      <w:tr w:rsidR="00446183" w14:paraId="3BD2C13B" w14:textId="77777777" w:rsidTr="004848A2">
        <w:tc>
          <w:tcPr>
            <w:tcW w:w="4405" w:type="dxa"/>
            <w:shd w:val="clear" w:color="auto" w:fill="D9D9D9" w:themeFill="background1" w:themeFillShade="D9"/>
          </w:tcPr>
          <w:p w14:paraId="5C8F50CA" w14:textId="77777777" w:rsidR="00446183" w:rsidRPr="00637D77" w:rsidRDefault="00446183" w:rsidP="00224C82">
            <w:pPr>
              <w:pStyle w:val="NoSpacing"/>
              <w:spacing w:line="240" w:lineRule="auto"/>
              <w:ind w:left="0" w:firstLine="0"/>
              <w:rPr>
                <w:b/>
                <w:sz w:val="22"/>
                <w:szCs w:val="22"/>
              </w:rPr>
            </w:pPr>
          </w:p>
        </w:tc>
        <w:tc>
          <w:tcPr>
            <w:tcW w:w="1800" w:type="dxa"/>
            <w:shd w:val="clear" w:color="auto" w:fill="D9D9D9" w:themeFill="background1" w:themeFillShade="D9"/>
          </w:tcPr>
          <w:p w14:paraId="011B3A77" w14:textId="77777777" w:rsidR="00446183" w:rsidRPr="00637D77" w:rsidRDefault="00446183" w:rsidP="00224C82">
            <w:pPr>
              <w:pStyle w:val="NoSpacing"/>
              <w:spacing w:line="240" w:lineRule="auto"/>
              <w:ind w:left="0" w:firstLine="0"/>
              <w:rPr>
                <w:b/>
                <w:sz w:val="22"/>
                <w:szCs w:val="22"/>
              </w:rPr>
            </w:pPr>
            <w:r w:rsidRPr="00637D77">
              <w:rPr>
                <w:b/>
                <w:sz w:val="22"/>
                <w:szCs w:val="22"/>
              </w:rPr>
              <w:t>Docket</w:t>
            </w:r>
          </w:p>
        </w:tc>
        <w:tc>
          <w:tcPr>
            <w:tcW w:w="1643" w:type="dxa"/>
            <w:shd w:val="clear" w:color="auto" w:fill="D9D9D9" w:themeFill="background1" w:themeFillShade="D9"/>
          </w:tcPr>
          <w:p w14:paraId="0C9E9BFC" w14:textId="77777777" w:rsidR="00446183" w:rsidRPr="00637D77" w:rsidRDefault="00446183" w:rsidP="00224C82">
            <w:pPr>
              <w:pStyle w:val="NoSpacing"/>
              <w:spacing w:line="240" w:lineRule="auto"/>
              <w:ind w:left="0" w:firstLine="0"/>
              <w:rPr>
                <w:b/>
                <w:sz w:val="22"/>
                <w:szCs w:val="22"/>
              </w:rPr>
            </w:pPr>
            <w:r w:rsidRPr="00637D77">
              <w:rPr>
                <w:b/>
                <w:sz w:val="22"/>
                <w:szCs w:val="22"/>
              </w:rPr>
              <w:t>Staff Proposal</w:t>
            </w:r>
          </w:p>
        </w:tc>
      </w:tr>
      <w:tr w:rsidR="00446183" w14:paraId="73BD6E28" w14:textId="77777777" w:rsidTr="004848A2">
        <w:tc>
          <w:tcPr>
            <w:tcW w:w="4405" w:type="dxa"/>
          </w:tcPr>
          <w:p w14:paraId="1F4BB9A2" w14:textId="77777777" w:rsidR="00446183" w:rsidRPr="00637D77" w:rsidRDefault="00446183" w:rsidP="00224C82">
            <w:pPr>
              <w:pStyle w:val="NoSpacing"/>
              <w:spacing w:line="240" w:lineRule="auto"/>
              <w:ind w:left="0" w:firstLine="0"/>
              <w:rPr>
                <w:sz w:val="22"/>
                <w:szCs w:val="22"/>
              </w:rPr>
            </w:pPr>
            <w:r w:rsidRPr="00637D77">
              <w:rPr>
                <w:sz w:val="22"/>
                <w:szCs w:val="22"/>
              </w:rPr>
              <w:t>Direct Case</w:t>
            </w:r>
          </w:p>
        </w:tc>
        <w:tc>
          <w:tcPr>
            <w:tcW w:w="1800" w:type="dxa"/>
          </w:tcPr>
          <w:p w14:paraId="371D38B2" w14:textId="77777777" w:rsidR="00446183" w:rsidRPr="00637D77" w:rsidRDefault="00446183" w:rsidP="00224C82">
            <w:pPr>
              <w:pStyle w:val="NoSpacing"/>
              <w:spacing w:line="240" w:lineRule="auto"/>
              <w:ind w:left="0" w:firstLine="0"/>
              <w:rPr>
                <w:sz w:val="22"/>
                <w:szCs w:val="22"/>
              </w:rPr>
            </w:pPr>
            <w:r w:rsidRPr="00637D77">
              <w:rPr>
                <w:sz w:val="22"/>
                <w:szCs w:val="22"/>
              </w:rPr>
              <w:t>UE-140617</w:t>
            </w:r>
          </w:p>
        </w:tc>
        <w:tc>
          <w:tcPr>
            <w:tcW w:w="1643" w:type="dxa"/>
          </w:tcPr>
          <w:p w14:paraId="7714CB05" w14:textId="14D7DBA5" w:rsidR="00446183" w:rsidRPr="00637D77" w:rsidRDefault="008F00B1" w:rsidP="00CC06D4">
            <w:pPr>
              <w:pStyle w:val="NoSpacing"/>
              <w:spacing w:line="240" w:lineRule="auto"/>
              <w:ind w:left="0" w:firstLine="0"/>
              <w:rPr>
                <w:sz w:val="22"/>
                <w:szCs w:val="22"/>
              </w:rPr>
            </w:pPr>
            <w:r w:rsidRPr="00637D77">
              <w:rPr>
                <w:sz w:val="22"/>
                <w:szCs w:val="22"/>
              </w:rPr>
              <w:t>$</w:t>
            </w:r>
            <w:r w:rsidR="007949B0" w:rsidRPr="00637D77">
              <w:rPr>
                <w:sz w:val="22"/>
                <w:szCs w:val="22"/>
              </w:rPr>
              <w:ptab w:relativeTo="margin" w:alignment="right" w:leader="none"/>
            </w:r>
            <w:r w:rsidRPr="00637D77">
              <w:rPr>
                <w:sz w:val="22"/>
                <w:szCs w:val="22"/>
              </w:rPr>
              <w:t>6,</w:t>
            </w:r>
            <w:r w:rsidR="00CC06D4">
              <w:rPr>
                <w:sz w:val="22"/>
                <w:szCs w:val="22"/>
              </w:rPr>
              <w:t>135,340</w:t>
            </w:r>
          </w:p>
        </w:tc>
      </w:tr>
      <w:tr w:rsidR="00446183" w14:paraId="58C5C50D" w14:textId="77777777" w:rsidTr="004848A2">
        <w:tc>
          <w:tcPr>
            <w:tcW w:w="4405" w:type="dxa"/>
          </w:tcPr>
          <w:p w14:paraId="4537F1BD" w14:textId="77777777" w:rsidR="00446183" w:rsidRPr="00637D77" w:rsidRDefault="00446183" w:rsidP="00224C82">
            <w:pPr>
              <w:pStyle w:val="NoSpacing"/>
              <w:spacing w:line="240" w:lineRule="auto"/>
              <w:ind w:left="0" w:firstLine="0"/>
              <w:rPr>
                <w:sz w:val="22"/>
                <w:szCs w:val="22"/>
              </w:rPr>
            </w:pPr>
            <w:r w:rsidRPr="00637D77">
              <w:rPr>
                <w:sz w:val="22"/>
                <w:szCs w:val="22"/>
              </w:rPr>
              <w:t xml:space="preserve">Colstrip </w:t>
            </w:r>
          </w:p>
        </w:tc>
        <w:tc>
          <w:tcPr>
            <w:tcW w:w="1800" w:type="dxa"/>
          </w:tcPr>
          <w:p w14:paraId="0E41A738" w14:textId="77777777" w:rsidR="00446183" w:rsidRPr="00637D77" w:rsidRDefault="00446183" w:rsidP="00224C82">
            <w:pPr>
              <w:pStyle w:val="NoSpacing"/>
              <w:spacing w:line="240" w:lineRule="auto"/>
              <w:ind w:left="0" w:firstLine="0"/>
              <w:rPr>
                <w:sz w:val="22"/>
                <w:szCs w:val="22"/>
              </w:rPr>
            </w:pPr>
            <w:r w:rsidRPr="00637D77">
              <w:rPr>
                <w:sz w:val="22"/>
                <w:szCs w:val="22"/>
              </w:rPr>
              <w:t>UE-131384</w:t>
            </w:r>
          </w:p>
        </w:tc>
        <w:tc>
          <w:tcPr>
            <w:tcW w:w="1643" w:type="dxa"/>
          </w:tcPr>
          <w:p w14:paraId="07B8D4BB" w14:textId="08B468F1" w:rsidR="00446183" w:rsidRPr="00637D77" w:rsidRDefault="008F00B1" w:rsidP="001123AE">
            <w:pPr>
              <w:pStyle w:val="NoSpacing"/>
              <w:spacing w:line="240" w:lineRule="auto"/>
              <w:ind w:left="0" w:firstLine="0"/>
              <w:rPr>
                <w:sz w:val="22"/>
                <w:szCs w:val="22"/>
              </w:rPr>
            </w:pPr>
            <w:r w:rsidRPr="00637D77">
              <w:rPr>
                <w:sz w:val="22"/>
                <w:szCs w:val="22"/>
              </w:rPr>
              <w:t>$</w:t>
            </w:r>
            <w:r w:rsidR="007949B0" w:rsidRPr="00637D77">
              <w:rPr>
                <w:sz w:val="22"/>
                <w:szCs w:val="22"/>
              </w:rPr>
              <w:ptab w:relativeTo="margin" w:alignment="right" w:leader="none"/>
            </w:r>
            <w:r w:rsidRPr="00637D77">
              <w:rPr>
                <w:sz w:val="22"/>
                <w:szCs w:val="22"/>
              </w:rPr>
              <w:t>1,</w:t>
            </w:r>
            <w:r w:rsidR="001123AE">
              <w:rPr>
                <w:sz w:val="22"/>
                <w:szCs w:val="22"/>
              </w:rPr>
              <w:t>879,965</w:t>
            </w:r>
          </w:p>
        </w:tc>
      </w:tr>
      <w:tr w:rsidR="00446183" w14:paraId="06AF0010" w14:textId="77777777" w:rsidTr="004848A2">
        <w:tc>
          <w:tcPr>
            <w:tcW w:w="4405" w:type="dxa"/>
          </w:tcPr>
          <w:p w14:paraId="362569A0" w14:textId="77777777" w:rsidR="00446183" w:rsidRPr="00637D77" w:rsidRDefault="00446183" w:rsidP="00224C82">
            <w:pPr>
              <w:pStyle w:val="NoSpacing"/>
              <w:spacing w:line="240" w:lineRule="auto"/>
              <w:ind w:left="0" w:firstLine="0"/>
              <w:rPr>
                <w:sz w:val="22"/>
                <w:szCs w:val="22"/>
              </w:rPr>
            </w:pPr>
            <w:r w:rsidRPr="00637D77">
              <w:rPr>
                <w:sz w:val="22"/>
                <w:szCs w:val="22"/>
              </w:rPr>
              <w:t>Depreciation Expense</w:t>
            </w:r>
          </w:p>
        </w:tc>
        <w:tc>
          <w:tcPr>
            <w:tcW w:w="1800" w:type="dxa"/>
          </w:tcPr>
          <w:p w14:paraId="5451FA29" w14:textId="77777777" w:rsidR="00446183" w:rsidRPr="00637D77" w:rsidRDefault="00446183" w:rsidP="00224C82">
            <w:pPr>
              <w:pStyle w:val="NoSpacing"/>
              <w:spacing w:line="240" w:lineRule="auto"/>
              <w:ind w:left="0" w:firstLine="0"/>
              <w:rPr>
                <w:sz w:val="22"/>
                <w:szCs w:val="22"/>
              </w:rPr>
            </w:pPr>
            <w:r w:rsidRPr="00637D77">
              <w:rPr>
                <w:sz w:val="22"/>
                <w:szCs w:val="22"/>
              </w:rPr>
              <w:t>UE-132350</w:t>
            </w:r>
          </w:p>
        </w:tc>
        <w:tc>
          <w:tcPr>
            <w:tcW w:w="1643" w:type="dxa"/>
          </w:tcPr>
          <w:p w14:paraId="67F6EB55" w14:textId="6D64CFA6" w:rsidR="00446183" w:rsidRPr="00637D77" w:rsidRDefault="00127AFA" w:rsidP="00127AFA">
            <w:pPr>
              <w:pStyle w:val="NoSpacing"/>
              <w:spacing w:line="240" w:lineRule="auto"/>
              <w:ind w:left="0" w:firstLine="0"/>
              <w:rPr>
                <w:sz w:val="22"/>
                <w:szCs w:val="22"/>
              </w:rPr>
            </w:pPr>
            <w:r w:rsidRPr="00637D77">
              <w:rPr>
                <w:sz w:val="22"/>
                <w:szCs w:val="22"/>
              </w:rPr>
              <w:t>$</w:t>
            </w:r>
            <w:r w:rsidR="007949B0" w:rsidRPr="00637D77">
              <w:rPr>
                <w:sz w:val="22"/>
                <w:szCs w:val="22"/>
              </w:rPr>
              <w:ptab w:relativeTo="margin" w:alignment="right" w:leader="none"/>
            </w:r>
            <w:r w:rsidR="00437788">
              <w:rPr>
                <w:sz w:val="22"/>
                <w:szCs w:val="22"/>
              </w:rPr>
              <w:t>(</w:t>
            </w:r>
            <w:r w:rsidRPr="00637D77">
              <w:rPr>
                <w:sz w:val="22"/>
                <w:szCs w:val="22"/>
              </w:rPr>
              <w:t>836,250</w:t>
            </w:r>
            <w:r w:rsidR="00437788">
              <w:rPr>
                <w:sz w:val="22"/>
                <w:szCs w:val="22"/>
              </w:rPr>
              <w:t>)</w:t>
            </w:r>
          </w:p>
        </w:tc>
      </w:tr>
      <w:tr w:rsidR="00446183" w14:paraId="5FBC21D7" w14:textId="77777777" w:rsidTr="004848A2">
        <w:tc>
          <w:tcPr>
            <w:tcW w:w="4405" w:type="dxa"/>
          </w:tcPr>
          <w:p w14:paraId="02A213AC" w14:textId="77777777" w:rsidR="00446183" w:rsidRPr="00637D77" w:rsidRDefault="00446183" w:rsidP="00224C82">
            <w:pPr>
              <w:pStyle w:val="NoSpacing"/>
              <w:spacing w:line="240" w:lineRule="auto"/>
              <w:ind w:left="0" w:firstLine="0"/>
              <w:rPr>
                <w:sz w:val="22"/>
                <w:szCs w:val="22"/>
              </w:rPr>
            </w:pPr>
            <w:r w:rsidRPr="00637D77">
              <w:rPr>
                <w:sz w:val="22"/>
                <w:szCs w:val="22"/>
              </w:rPr>
              <w:t xml:space="preserve">Hydro Generation </w:t>
            </w:r>
          </w:p>
        </w:tc>
        <w:tc>
          <w:tcPr>
            <w:tcW w:w="1800" w:type="dxa"/>
          </w:tcPr>
          <w:p w14:paraId="1ED96742" w14:textId="77777777" w:rsidR="00446183" w:rsidRPr="00637D77" w:rsidRDefault="00446183" w:rsidP="00224C82">
            <w:pPr>
              <w:pStyle w:val="NoSpacing"/>
              <w:spacing w:line="240" w:lineRule="auto"/>
              <w:ind w:left="0" w:firstLine="0"/>
              <w:rPr>
                <w:sz w:val="22"/>
                <w:szCs w:val="22"/>
              </w:rPr>
            </w:pPr>
            <w:r w:rsidRPr="00637D77">
              <w:rPr>
                <w:sz w:val="22"/>
                <w:szCs w:val="22"/>
              </w:rPr>
              <w:t>UE-140094</w:t>
            </w:r>
          </w:p>
        </w:tc>
        <w:tc>
          <w:tcPr>
            <w:tcW w:w="1643" w:type="dxa"/>
          </w:tcPr>
          <w:p w14:paraId="155B042E" w14:textId="02F2AD6D" w:rsidR="00446183" w:rsidRPr="00637D77" w:rsidRDefault="00127AFA" w:rsidP="007949B0">
            <w:pPr>
              <w:pStyle w:val="NoSpacing"/>
              <w:spacing w:line="240" w:lineRule="auto"/>
              <w:ind w:left="0" w:firstLine="0"/>
              <w:rPr>
                <w:sz w:val="22"/>
                <w:szCs w:val="22"/>
              </w:rPr>
            </w:pPr>
            <w:r w:rsidRPr="00637D77">
              <w:rPr>
                <w:sz w:val="22"/>
                <w:szCs w:val="22"/>
              </w:rPr>
              <w:t>$</w:t>
            </w:r>
            <w:r w:rsidR="007949B0" w:rsidRPr="00637D77">
              <w:rPr>
                <w:sz w:val="22"/>
                <w:szCs w:val="22"/>
              </w:rPr>
              <w:ptab w:relativeTo="margin" w:alignment="right" w:leader="none"/>
            </w:r>
            <w:r w:rsidR="007949B0" w:rsidRPr="00637D77">
              <w:rPr>
                <w:sz w:val="22"/>
                <w:szCs w:val="22"/>
              </w:rPr>
              <w:t>-</w:t>
            </w:r>
          </w:p>
        </w:tc>
      </w:tr>
      <w:tr w:rsidR="00446183" w14:paraId="0B54B387" w14:textId="77777777" w:rsidTr="004848A2">
        <w:tc>
          <w:tcPr>
            <w:tcW w:w="4405" w:type="dxa"/>
          </w:tcPr>
          <w:p w14:paraId="4F6B19BC" w14:textId="77777777" w:rsidR="00446183" w:rsidRPr="00637D77" w:rsidRDefault="00446183" w:rsidP="00224C82">
            <w:pPr>
              <w:pStyle w:val="NoSpacing"/>
              <w:spacing w:line="240" w:lineRule="auto"/>
              <w:ind w:left="0" w:firstLine="0"/>
              <w:rPr>
                <w:sz w:val="22"/>
                <w:szCs w:val="22"/>
              </w:rPr>
            </w:pPr>
            <w:proofErr w:type="spellStart"/>
            <w:r w:rsidRPr="00637D77">
              <w:rPr>
                <w:sz w:val="22"/>
                <w:szCs w:val="22"/>
              </w:rPr>
              <w:t>Merwin</w:t>
            </w:r>
            <w:proofErr w:type="spellEnd"/>
            <w:r w:rsidRPr="00637D77">
              <w:rPr>
                <w:sz w:val="22"/>
                <w:szCs w:val="22"/>
              </w:rPr>
              <w:t xml:space="preserve"> Deferral </w:t>
            </w:r>
          </w:p>
        </w:tc>
        <w:tc>
          <w:tcPr>
            <w:tcW w:w="1800" w:type="dxa"/>
          </w:tcPr>
          <w:p w14:paraId="5AC718F6" w14:textId="77777777" w:rsidR="00446183" w:rsidRPr="00637D77" w:rsidRDefault="00446183" w:rsidP="00224C82">
            <w:pPr>
              <w:pStyle w:val="NoSpacing"/>
              <w:spacing w:line="240" w:lineRule="auto"/>
              <w:ind w:left="0" w:firstLine="0"/>
              <w:rPr>
                <w:sz w:val="22"/>
                <w:szCs w:val="22"/>
              </w:rPr>
            </w:pPr>
            <w:r w:rsidRPr="00637D77">
              <w:rPr>
                <w:sz w:val="22"/>
                <w:szCs w:val="22"/>
              </w:rPr>
              <w:t>UE-140617</w:t>
            </w:r>
          </w:p>
        </w:tc>
        <w:tc>
          <w:tcPr>
            <w:tcW w:w="1643" w:type="dxa"/>
          </w:tcPr>
          <w:p w14:paraId="23158324" w14:textId="3A762134" w:rsidR="00446183" w:rsidRPr="00637D77" w:rsidRDefault="008F00B1" w:rsidP="001127CE">
            <w:pPr>
              <w:pStyle w:val="NoSpacing"/>
              <w:spacing w:line="240" w:lineRule="auto"/>
              <w:ind w:left="0" w:firstLine="0"/>
              <w:rPr>
                <w:sz w:val="22"/>
                <w:szCs w:val="22"/>
              </w:rPr>
            </w:pPr>
            <w:r w:rsidRPr="00637D77">
              <w:rPr>
                <w:sz w:val="22"/>
                <w:szCs w:val="22"/>
              </w:rPr>
              <w:t>$</w:t>
            </w:r>
            <w:r w:rsidR="007949B0" w:rsidRPr="00637D77">
              <w:rPr>
                <w:sz w:val="22"/>
                <w:szCs w:val="22"/>
              </w:rPr>
              <w:ptab w:relativeTo="margin" w:alignment="right" w:leader="none"/>
            </w:r>
            <w:r w:rsidR="00127AFA" w:rsidRPr="00637D77">
              <w:rPr>
                <w:sz w:val="22"/>
                <w:szCs w:val="22"/>
              </w:rPr>
              <w:t>486,</w:t>
            </w:r>
            <w:r w:rsidR="001127CE" w:rsidRPr="00637D77">
              <w:rPr>
                <w:sz w:val="22"/>
                <w:szCs w:val="22"/>
              </w:rPr>
              <w:t>471</w:t>
            </w:r>
          </w:p>
        </w:tc>
      </w:tr>
      <w:tr w:rsidR="008F00B1" w14:paraId="60B0AD8E" w14:textId="77777777" w:rsidTr="004848A2">
        <w:tc>
          <w:tcPr>
            <w:tcW w:w="4405" w:type="dxa"/>
          </w:tcPr>
          <w:p w14:paraId="75D0EF28" w14:textId="7ADB789D" w:rsidR="008F00B1" w:rsidRPr="00637D77" w:rsidRDefault="008F00B1" w:rsidP="00224C82">
            <w:pPr>
              <w:pStyle w:val="NoSpacing"/>
              <w:spacing w:line="240" w:lineRule="auto"/>
              <w:ind w:left="0" w:firstLine="0"/>
              <w:rPr>
                <w:sz w:val="22"/>
                <w:szCs w:val="22"/>
              </w:rPr>
            </w:pPr>
            <w:r w:rsidRPr="00637D77">
              <w:rPr>
                <w:sz w:val="22"/>
                <w:szCs w:val="22"/>
              </w:rPr>
              <w:t>Revenue Sensitive Items related to Deferrals</w:t>
            </w:r>
          </w:p>
        </w:tc>
        <w:tc>
          <w:tcPr>
            <w:tcW w:w="1800" w:type="dxa"/>
          </w:tcPr>
          <w:p w14:paraId="6B73D720" w14:textId="77777777" w:rsidR="008F00B1" w:rsidRPr="00637D77" w:rsidRDefault="008F00B1" w:rsidP="00224C82">
            <w:pPr>
              <w:pStyle w:val="NoSpacing"/>
              <w:spacing w:line="240" w:lineRule="auto"/>
              <w:ind w:left="0" w:firstLine="0"/>
              <w:rPr>
                <w:sz w:val="22"/>
                <w:szCs w:val="22"/>
              </w:rPr>
            </w:pPr>
          </w:p>
        </w:tc>
        <w:tc>
          <w:tcPr>
            <w:tcW w:w="1643" w:type="dxa"/>
            <w:vAlign w:val="center"/>
          </w:tcPr>
          <w:p w14:paraId="5610E1BB" w14:textId="4154E055" w:rsidR="008F00B1" w:rsidRPr="00637D77" w:rsidDel="008F00B1" w:rsidRDefault="00127AFA" w:rsidP="00437788">
            <w:pPr>
              <w:pStyle w:val="NoSpacing"/>
              <w:spacing w:line="240" w:lineRule="auto"/>
              <w:ind w:left="0" w:firstLine="0"/>
              <w:jc w:val="right"/>
              <w:rPr>
                <w:sz w:val="22"/>
                <w:szCs w:val="22"/>
              </w:rPr>
            </w:pPr>
            <w:r w:rsidRPr="00637D77">
              <w:rPr>
                <w:sz w:val="22"/>
                <w:szCs w:val="22"/>
              </w:rPr>
              <w:t>$</w:t>
            </w:r>
            <w:r w:rsidR="007949B0" w:rsidRPr="00637D77">
              <w:rPr>
                <w:sz w:val="22"/>
                <w:szCs w:val="22"/>
              </w:rPr>
              <w:ptab w:relativeTo="margin" w:alignment="right" w:leader="none"/>
            </w:r>
            <w:r w:rsidR="007949B0" w:rsidRPr="00637D77">
              <w:rPr>
                <w:sz w:val="22"/>
                <w:szCs w:val="22"/>
              </w:rPr>
              <w:t>7</w:t>
            </w:r>
            <w:r w:rsidR="00437788">
              <w:rPr>
                <w:sz w:val="22"/>
                <w:szCs w:val="22"/>
              </w:rPr>
              <w:t>5,207</w:t>
            </w:r>
          </w:p>
        </w:tc>
      </w:tr>
      <w:tr w:rsidR="00446183" w14:paraId="40D2341F" w14:textId="77777777" w:rsidTr="004848A2">
        <w:trPr>
          <w:trHeight w:val="269"/>
        </w:trPr>
        <w:tc>
          <w:tcPr>
            <w:tcW w:w="6205" w:type="dxa"/>
            <w:gridSpan w:val="2"/>
            <w:vAlign w:val="bottom"/>
          </w:tcPr>
          <w:p w14:paraId="4B780567" w14:textId="2327CE14" w:rsidR="00446183" w:rsidRPr="00637D77" w:rsidRDefault="00446183" w:rsidP="007949B0">
            <w:pPr>
              <w:pStyle w:val="NoSpacing"/>
              <w:spacing w:line="240" w:lineRule="auto"/>
              <w:ind w:left="0" w:firstLine="0"/>
              <w:jc w:val="right"/>
              <w:rPr>
                <w:sz w:val="22"/>
                <w:szCs w:val="22"/>
              </w:rPr>
            </w:pPr>
            <w:r w:rsidRPr="00637D77">
              <w:rPr>
                <w:sz w:val="22"/>
                <w:szCs w:val="22"/>
              </w:rPr>
              <w:t xml:space="preserve">Total </w:t>
            </w:r>
            <w:r w:rsidR="007949B0" w:rsidRPr="00637D77">
              <w:rPr>
                <w:sz w:val="22"/>
                <w:szCs w:val="22"/>
              </w:rPr>
              <w:t xml:space="preserve">Proposed </w:t>
            </w:r>
            <w:r w:rsidRPr="00637D77">
              <w:rPr>
                <w:sz w:val="22"/>
                <w:szCs w:val="22"/>
              </w:rPr>
              <w:t>Revenue Requirement</w:t>
            </w:r>
          </w:p>
        </w:tc>
        <w:tc>
          <w:tcPr>
            <w:tcW w:w="1643" w:type="dxa"/>
            <w:vAlign w:val="bottom"/>
          </w:tcPr>
          <w:p w14:paraId="56742592" w14:textId="07611FA3" w:rsidR="00446183" w:rsidRPr="00637D77" w:rsidRDefault="007949B0" w:rsidP="00CC06D4">
            <w:pPr>
              <w:pStyle w:val="NoSpacing"/>
              <w:tabs>
                <w:tab w:val="left" w:pos="499"/>
              </w:tabs>
              <w:spacing w:line="240" w:lineRule="auto"/>
              <w:ind w:left="0" w:firstLine="0"/>
              <w:rPr>
                <w:sz w:val="22"/>
                <w:szCs w:val="22"/>
              </w:rPr>
            </w:pPr>
            <w:r w:rsidRPr="00637D77">
              <w:rPr>
                <w:sz w:val="22"/>
                <w:szCs w:val="22"/>
              </w:rPr>
              <w:t>$</w:t>
            </w:r>
            <w:r w:rsidR="00CC06D4">
              <w:rPr>
                <w:sz w:val="22"/>
                <w:szCs w:val="22"/>
              </w:rPr>
              <w:tab/>
              <w:t>7,740,733</w:t>
            </w:r>
          </w:p>
        </w:tc>
      </w:tr>
    </w:tbl>
    <w:p w14:paraId="5B265A2F" w14:textId="77777777" w:rsidR="00083CBB" w:rsidRDefault="00083CBB" w:rsidP="001D06F0">
      <w:pPr>
        <w:pStyle w:val="NoSpacing"/>
      </w:pPr>
    </w:p>
    <w:p w14:paraId="695E9D81" w14:textId="77777777" w:rsidR="00083CBB" w:rsidRDefault="00083CBB" w:rsidP="00083CBB">
      <w:pPr>
        <w:pStyle w:val="Heading2"/>
        <w:ind w:left="0" w:firstLine="0"/>
      </w:pPr>
      <w:r>
        <w:t>Q.</w:t>
      </w:r>
      <w:r>
        <w:tab/>
        <w:t>Have you prepared an exhibit that calculates revenue requirement?</w:t>
      </w:r>
    </w:p>
    <w:p w14:paraId="6DCD554C" w14:textId="241AFB1E" w:rsidR="00083CBB" w:rsidRPr="00D85BAB" w:rsidRDefault="00083CBB" w:rsidP="00083CBB">
      <w:pPr>
        <w:pStyle w:val="NoSpacing"/>
      </w:pPr>
      <w:r>
        <w:t>A.</w:t>
      </w:r>
      <w:r>
        <w:tab/>
        <w:t>Yes.  My Exhibit No. ___ (JLB-</w:t>
      </w:r>
      <w:r w:rsidR="00446183">
        <w:t>2</w:t>
      </w:r>
      <w:r>
        <w:t xml:space="preserve">) </w:t>
      </w:r>
      <w:r w:rsidR="00285138">
        <w:t xml:space="preserve">presents </w:t>
      </w:r>
      <w:r>
        <w:t>Staff’s adjustments</w:t>
      </w:r>
      <w:r w:rsidR="00285138">
        <w:t>,</w:t>
      </w:r>
      <w:r>
        <w:t xml:space="preserve"> proposed capital structure</w:t>
      </w:r>
      <w:r w:rsidR="00285138">
        <w:t>, and</w:t>
      </w:r>
      <w:r>
        <w:t xml:space="preserve"> revenue requirement</w:t>
      </w:r>
      <w:r w:rsidR="00285138">
        <w:t xml:space="preserve"> in a format</w:t>
      </w:r>
      <w:r>
        <w:t xml:space="preserve"> similar to </w:t>
      </w:r>
      <w:r w:rsidR="00285138">
        <w:t>Ms.</w:t>
      </w:r>
      <w:r>
        <w:t xml:space="preserve"> </w:t>
      </w:r>
      <w:proofErr w:type="spellStart"/>
      <w:r>
        <w:t>Siores</w:t>
      </w:r>
      <w:r w:rsidR="00BF20B0">
        <w:t>’s</w:t>
      </w:r>
      <w:proofErr w:type="spellEnd"/>
      <w:r>
        <w:t xml:space="preserve"> Exhibit No. ___ (</w:t>
      </w:r>
      <w:r w:rsidR="00285138">
        <w:t>NCS-3</w:t>
      </w:r>
      <w:r>
        <w:t>)</w:t>
      </w:r>
      <w:r w:rsidR="00285138">
        <w:t>.</w:t>
      </w:r>
    </w:p>
    <w:p w14:paraId="794E32FA" w14:textId="77777777" w:rsidR="009E26A4" w:rsidRDefault="009E26A4" w:rsidP="009E26A4">
      <w:pPr>
        <w:pStyle w:val="Heading2"/>
      </w:pPr>
    </w:p>
    <w:p w14:paraId="48069017" w14:textId="62AA0A15" w:rsidR="009E26A4" w:rsidRDefault="009E26A4" w:rsidP="009E26A4">
      <w:pPr>
        <w:pStyle w:val="Heading2"/>
      </w:pPr>
      <w:r>
        <w:t>Q.</w:t>
      </w:r>
      <w:r>
        <w:tab/>
        <w:t xml:space="preserve">Please describe your </w:t>
      </w:r>
      <w:r w:rsidR="00BF20B0">
        <w:t>Exhibit No. __</w:t>
      </w:r>
      <w:proofErr w:type="gramStart"/>
      <w:r w:rsidR="00BF20B0">
        <w:t>_(</w:t>
      </w:r>
      <w:proofErr w:type="gramEnd"/>
      <w:r w:rsidR="00BF20B0">
        <w:t>JLB-2).</w:t>
      </w:r>
    </w:p>
    <w:p w14:paraId="39D01655" w14:textId="3657212A" w:rsidR="006B2D2C" w:rsidRDefault="009E26A4" w:rsidP="009E26A4">
      <w:pPr>
        <w:pStyle w:val="NoSpacing"/>
      </w:pPr>
      <w:r>
        <w:t>A.</w:t>
      </w:r>
      <w:r>
        <w:tab/>
      </w:r>
      <w:r w:rsidR="007949B0">
        <w:t>P</w:t>
      </w:r>
      <w:r>
        <w:t>age 1</w:t>
      </w:r>
      <w:r w:rsidR="007949B0">
        <w:t xml:space="preserve"> </w:t>
      </w:r>
      <w:r w:rsidR="006B2D2C">
        <w:t>provides</w:t>
      </w:r>
      <w:r w:rsidR="007949B0">
        <w:t xml:space="preserve"> </w:t>
      </w:r>
      <w:r w:rsidR="006B2D2C">
        <w:t>an overview of Staff’s analysis of the Company’s 2013 results of operations.  It summarizes the results of restating an</w:t>
      </w:r>
      <w:r w:rsidR="00692AE1">
        <w:t xml:space="preserve">d pro </w:t>
      </w:r>
      <w:r w:rsidR="005B5C6E">
        <w:t>forma adjustments on the C</w:t>
      </w:r>
      <w:r w:rsidR="006B2D2C">
        <w:t xml:space="preserve">ompany’s results of operations report.  Finally, this page summarizes the results of Staff’s proposed price change.  </w:t>
      </w:r>
    </w:p>
    <w:p w14:paraId="3ED29228" w14:textId="33977427" w:rsidR="009E26A4" w:rsidRDefault="006B2D2C" w:rsidP="009E26A4">
      <w:pPr>
        <w:pStyle w:val="NoSpacing"/>
      </w:pPr>
      <w:r>
        <w:tab/>
      </w:r>
      <w:r w:rsidR="00BF20B0">
        <w:tab/>
      </w:r>
      <w:r>
        <w:t xml:space="preserve">Page 2 compares the net operating income impact, net rate base impact, and revenue requirement impact </w:t>
      </w:r>
      <w:r w:rsidR="00305518">
        <w:t xml:space="preserve">of each adjustment as proposed by Staff and Pacific Power.  </w:t>
      </w:r>
      <w:r w:rsidR="00305518">
        <w:lastRenderedPageBreak/>
        <w:t>It also shows the impact resulting from Staff’s proposed capital structure</w:t>
      </w:r>
      <w:r w:rsidR="00027D28">
        <w:t xml:space="preserve"> and conversion factor</w:t>
      </w:r>
      <w:r w:rsidR="00BF20B0">
        <w:t>.</w:t>
      </w:r>
    </w:p>
    <w:p w14:paraId="1629B517" w14:textId="6FF6736A" w:rsidR="00305518" w:rsidRDefault="00305518" w:rsidP="009E26A4">
      <w:pPr>
        <w:pStyle w:val="NoSpacing"/>
      </w:pPr>
      <w:r>
        <w:tab/>
      </w:r>
      <w:r w:rsidR="00BF20B0">
        <w:tab/>
      </w:r>
      <w:r>
        <w:t xml:space="preserve">Page 3 provides the calculation of Staff’s proposed revenue requirement as reflected in the previous two pages.  </w:t>
      </w:r>
    </w:p>
    <w:p w14:paraId="5CED18D1" w14:textId="74197515" w:rsidR="00305518" w:rsidRDefault="00305518" w:rsidP="009E26A4">
      <w:pPr>
        <w:pStyle w:val="NoSpacing"/>
      </w:pPr>
      <w:r>
        <w:tab/>
      </w:r>
      <w:r w:rsidR="00BF20B0">
        <w:tab/>
      </w:r>
      <w:r>
        <w:t>Page</w:t>
      </w:r>
      <w:r w:rsidR="005B5C6E">
        <w:t>s</w:t>
      </w:r>
      <w:r>
        <w:t xml:space="preserve"> 4 </w:t>
      </w:r>
      <w:r w:rsidR="005B5C6E">
        <w:t xml:space="preserve">and </w:t>
      </w:r>
      <w:r w:rsidR="00045740">
        <w:t>5 show Staff’s c</w:t>
      </w:r>
      <w:r w:rsidR="00692AE1">
        <w:t>onversion factor and proposed cost of c</w:t>
      </w:r>
      <w:r>
        <w:t xml:space="preserve">apital structure, respectively. </w:t>
      </w:r>
    </w:p>
    <w:p w14:paraId="253CFCED" w14:textId="1386335B" w:rsidR="00305518" w:rsidRDefault="00305518" w:rsidP="009E26A4">
      <w:pPr>
        <w:pStyle w:val="NoSpacing"/>
      </w:pPr>
      <w:r>
        <w:tab/>
      </w:r>
      <w:r w:rsidR="00BF20B0">
        <w:tab/>
      </w:r>
      <w:r>
        <w:t>Page</w:t>
      </w:r>
      <w:r w:rsidR="002E53B2">
        <w:t>s</w:t>
      </w:r>
      <w:r>
        <w:t xml:space="preserve"> </w:t>
      </w:r>
      <w:r w:rsidR="00CD3870">
        <w:t>6</w:t>
      </w:r>
      <w:r w:rsidR="002E53B2">
        <w:t xml:space="preserve"> - 18</w:t>
      </w:r>
      <w:r w:rsidR="00835FF5">
        <w:t xml:space="preserve"> provides a summary of all </w:t>
      </w:r>
      <w:r w:rsidR="00692AE1">
        <w:t xml:space="preserve">restating and pro </w:t>
      </w:r>
      <w:r w:rsidR="00CD3870">
        <w:t xml:space="preserve">forma adjustments and their impact on the per-books operations of the Company.  </w:t>
      </w:r>
    </w:p>
    <w:p w14:paraId="3CFA6BD5" w14:textId="56DBA391" w:rsidR="00CD3870" w:rsidRDefault="00CD3870" w:rsidP="009E26A4">
      <w:pPr>
        <w:pStyle w:val="NoSpacing"/>
      </w:pPr>
      <w:r>
        <w:tab/>
      </w:r>
      <w:r w:rsidR="00BF20B0">
        <w:tab/>
      </w:r>
      <w:r>
        <w:t xml:space="preserve">Pages </w:t>
      </w:r>
      <w:r w:rsidR="002E53B2">
        <w:t>19</w:t>
      </w:r>
      <w:r>
        <w:t xml:space="preserve"> </w:t>
      </w:r>
      <w:r w:rsidR="002E53B2">
        <w:t xml:space="preserve">– 44 </w:t>
      </w:r>
      <w:r w:rsidR="00692AE1">
        <w:t>provide summaries</w:t>
      </w:r>
      <w:r>
        <w:t xml:space="preserve"> of t</w:t>
      </w:r>
      <w:r w:rsidR="00692AE1">
        <w:t xml:space="preserve">he individual restating and pro </w:t>
      </w:r>
      <w:r>
        <w:t>forma adjustments, respectively, and their impact on the per-books operations of the Company.</w:t>
      </w:r>
    </w:p>
    <w:p w14:paraId="7397F662" w14:textId="6E67840A" w:rsidR="00CD3870" w:rsidRDefault="00CD3870" w:rsidP="009E26A4">
      <w:pPr>
        <w:pStyle w:val="NoSpacing"/>
      </w:pPr>
      <w:r>
        <w:tab/>
      </w:r>
      <w:r w:rsidR="00BF20B0">
        <w:tab/>
      </w:r>
      <w:r>
        <w:t xml:space="preserve">Pages </w:t>
      </w:r>
      <w:r w:rsidR="002E53B2">
        <w:t>44</w:t>
      </w:r>
      <w:r>
        <w:t xml:space="preserve"> – </w:t>
      </w:r>
      <w:r w:rsidR="002E53B2" w:rsidRPr="002E53B2">
        <w:t>105</w:t>
      </w:r>
      <w:r>
        <w:t xml:space="preserve"> represent each individual adjustment, their treatment, and a brief explanation.  </w:t>
      </w:r>
    </w:p>
    <w:p w14:paraId="13C3A0E9" w14:textId="0CBB0336" w:rsidR="00CD3870" w:rsidRDefault="00CD3870" w:rsidP="009E26A4">
      <w:pPr>
        <w:pStyle w:val="NoSpacing"/>
      </w:pPr>
      <w:r>
        <w:tab/>
      </w:r>
      <w:r w:rsidR="00BF20B0">
        <w:tab/>
      </w:r>
      <w:r>
        <w:t xml:space="preserve">Page </w:t>
      </w:r>
      <w:r w:rsidR="002E53B2">
        <w:t>106 and 107</w:t>
      </w:r>
      <w:r>
        <w:t xml:space="preserve"> lists the WCA allocation factors used throughout the model.  </w:t>
      </w:r>
    </w:p>
    <w:p w14:paraId="3E36AA09" w14:textId="77777777" w:rsidR="002447A8" w:rsidRDefault="002447A8" w:rsidP="002447A8">
      <w:pPr>
        <w:pStyle w:val="NoSpacing"/>
        <w:ind w:left="0" w:firstLine="0"/>
      </w:pPr>
    </w:p>
    <w:p w14:paraId="5E0D62B0" w14:textId="117F9D4B" w:rsidR="000B6E8B" w:rsidRDefault="000B6E8B" w:rsidP="000B6E8B">
      <w:pPr>
        <w:pStyle w:val="Heading2"/>
      </w:pPr>
      <w:r>
        <w:t>Q.</w:t>
      </w:r>
      <w:r>
        <w:tab/>
        <w:t xml:space="preserve">Please identify the adjustments in Exhibit No. ___ (JLB-2) that </w:t>
      </w:r>
      <w:r w:rsidR="00154796">
        <w:t>Staff</w:t>
      </w:r>
      <w:r>
        <w:t xml:space="preserve"> conte</w:t>
      </w:r>
      <w:r w:rsidR="00154796">
        <w:t>sts</w:t>
      </w:r>
      <w:r>
        <w:t xml:space="preserve"> and the Staff witness responsible for the </w:t>
      </w:r>
      <w:r w:rsidR="00154796">
        <w:t xml:space="preserve">proposed </w:t>
      </w:r>
      <w:r>
        <w:t>adjustment</w:t>
      </w:r>
      <w:r w:rsidR="00154796">
        <w:t>.</w:t>
      </w:r>
    </w:p>
    <w:p w14:paraId="57E75BFE" w14:textId="210828CA" w:rsidR="000B6E8B" w:rsidRPr="000B6E8B" w:rsidRDefault="000B6E8B" w:rsidP="000B6E8B">
      <w:pPr>
        <w:pStyle w:val="NoSpacing"/>
      </w:pPr>
      <w:r>
        <w:t>A.</w:t>
      </w:r>
      <w:r>
        <w:tab/>
        <w:t>The following adjustments are contested between Staff and the Company:</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2348"/>
      </w:tblGrid>
      <w:tr w:rsidR="000B6E8B" w14:paraId="4A679894" w14:textId="77777777" w:rsidTr="00C1402A">
        <w:trPr>
          <w:trHeight w:val="504"/>
        </w:trPr>
        <w:tc>
          <w:tcPr>
            <w:tcW w:w="5135" w:type="dxa"/>
            <w:vAlign w:val="center"/>
          </w:tcPr>
          <w:p w14:paraId="757632CF" w14:textId="555837AE" w:rsidR="000B6E8B" w:rsidRPr="000B6E8B" w:rsidRDefault="000B6E8B" w:rsidP="000B6E8B">
            <w:pPr>
              <w:pStyle w:val="NoSpacing"/>
              <w:spacing w:line="240" w:lineRule="auto"/>
              <w:ind w:left="0" w:firstLine="0"/>
              <w:rPr>
                <w:b/>
              </w:rPr>
            </w:pPr>
            <w:r w:rsidRPr="000B6E8B">
              <w:rPr>
                <w:b/>
              </w:rPr>
              <w:t>Adjustment</w:t>
            </w:r>
          </w:p>
        </w:tc>
        <w:tc>
          <w:tcPr>
            <w:tcW w:w="2348" w:type="dxa"/>
            <w:vAlign w:val="center"/>
          </w:tcPr>
          <w:p w14:paraId="52881A59" w14:textId="2ECB698C" w:rsidR="000B6E8B" w:rsidRPr="000B6E8B" w:rsidRDefault="000B6E8B" w:rsidP="000B6E8B">
            <w:pPr>
              <w:pStyle w:val="NoSpacing"/>
              <w:spacing w:line="240" w:lineRule="auto"/>
              <w:ind w:left="0" w:firstLine="0"/>
              <w:rPr>
                <w:b/>
              </w:rPr>
            </w:pPr>
            <w:r>
              <w:rPr>
                <w:b/>
              </w:rPr>
              <w:t>Staff Witness</w:t>
            </w:r>
          </w:p>
        </w:tc>
      </w:tr>
      <w:tr w:rsidR="000B6E8B" w14:paraId="5501AC82" w14:textId="77777777" w:rsidTr="00C1402A">
        <w:trPr>
          <w:trHeight w:val="504"/>
        </w:trPr>
        <w:tc>
          <w:tcPr>
            <w:tcW w:w="5135" w:type="dxa"/>
            <w:vAlign w:val="center"/>
          </w:tcPr>
          <w:p w14:paraId="03555437" w14:textId="1A31F792" w:rsidR="000B6E8B" w:rsidRDefault="00C1402A" w:rsidP="000B6E8B">
            <w:pPr>
              <w:pStyle w:val="NoSpacing"/>
              <w:spacing w:line="240" w:lineRule="auto"/>
              <w:ind w:left="0" w:firstLine="0"/>
            </w:pPr>
            <w:r>
              <w:t>Adjustment 3.8 – Schedule 300 Fee Change</w:t>
            </w:r>
          </w:p>
        </w:tc>
        <w:tc>
          <w:tcPr>
            <w:tcW w:w="2348" w:type="dxa"/>
            <w:vAlign w:val="center"/>
          </w:tcPr>
          <w:p w14:paraId="7B8C6B6A" w14:textId="78066B5A" w:rsidR="000B6E8B" w:rsidRDefault="00C1402A" w:rsidP="000B6E8B">
            <w:pPr>
              <w:pStyle w:val="NoSpacing"/>
              <w:spacing w:line="240" w:lineRule="auto"/>
              <w:ind w:left="0" w:firstLine="0"/>
            </w:pPr>
            <w:r>
              <w:t>Kouchi</w:t>
            </w:r>
          </w:p>
        </w:tc>
      </w:tr>
      <w:tr w:rsidR="000B6E8B" w14:paraId="16E8F119" w14:textId="77777777" w:rsidTr="00C1402A">
        <w:trPr>
          <w:trHeight w:val="504"/>
        </w:trPr>
        <w:tc>
          <w:tcPr>
            <w:tcW w:w="5135" w:type="dxa"/>
            <w:vAlign w:val="center"/>
          </w:tcPr>
          <w:p w14:paraId="3C43D077" w14:textId="677647A5" w:rsidR="000B6E8B" w:rsidRDefault="00C1402A" w:rsidP="000B6E8B">
            <w:pPr>
              <w:pStyle w:val="NoSpacing"/>
              <w:spacing w:line="240" w:lineRule="auto"/>
              <w:ind w:left="0" w:firstLine="0"/>
            </w:pPr>
            <w:r>
              <w:t>Adjustment 4.7 – Insurance Expense</w:t>
            </w:r>
          </w:p>
        </w:tc>
        <w:tc>
          <w:tcPr>
            <w:tcW w:w="2348" w:type="dxa"/>
            <w:vAlign w:val="center"/>
          </w:tcPr>
          <w:p w14:paraId="10A14BE3" w14:textId="10FDBFBE" w:rsidR="000B6E8B" w:rsidRDefault="00C1402A" w:rsidP="000B6E8B">
            <w:pPr>
              <w:pStyle w:val="NoSpacing"/>
              <w:spacing w:line="240" w:lineRule="auto"/>
              <w:ind w:left="0" w:firstLine="0"/>
            </w:pPr>
            <w:r>
              <w:t>Ball</w:t>
            </w:r>
          </w:p>
        </w:tc>
      </w:tr>
      <w:tr w:rsidR="000B6E8B" w14:paraId="1D08E67F" w14:textId="77777777" w:rsidTr="00C1402A">
        <w:trPr>
          <w:trHeight w:val="504"/>
        </w:trPr>
        <w:tc>
          <w:tcPr>
            <w:tcW w:w="5135" w:type="dxa"/>
            <w:vAlign w:val="center"/>
          </w:tcPr>
          <w:p w14:paraId="01761750" w14:textId="1D7065C1" w:rsidR="000B6E8B" w:rsidRDefault="00C1402A" w:rsidP="000B6E8B">
            <w:pPr>
              <w:pStyle w:val="NoSpacing"/>
              <w:spacing w:line="240" w:lineRule="auto"/>
              <w:ind w:left="0" w:firstLine="0"/>
            </w:pPr>
            <w:r>
              <w:t>Adjustment 4.12 – Collection Agency Fees</w:t>
            </w:r>
          </w:p>
        </w:tc>
        <w:tc>
          <w:tcPr>
            <w:tcW w:w="2348" w:type="dxa"/>
            <w:vAlign w:val="center"/>
          </w:tcPr>
          <w:p w14:paraId="2A6919A0" w14:textId="7BFC5BC0" w:rsidR="000B6E8B" w:rsidRDefault="00C1402A" w:rsidP="000B6E8B">
            <w:pPr>
              <w:pStyle w:val="NoSpacing"/>
              <w:spacing w:line="240" w:lineRule="auto"/>
              <w:ind w:left="0" w:firstLine="0"/>
            </w:pPr>
            <w:r>
              <w:t>Kouchi</w:t>
            </w:r>
          </w:p>
        </w:tc>
      </w:tr>
      <w:tr w:rsidR="000B6E8B" w14:paraId="2751E7FD" w14:textId="77777777" w:rsidTr="00C1402A">
        <w:trPr>
          <w:trHeight w:val="504"/>
        </w:trPr>
        <w:tc>
          <w:tcPr>
            <w:tcW w:w="5135" w:type="dxa"/>
            <w:vAlign w:val="center"/>
          </w:tcPr>
          <w:p w14:paraId="797F4D2B" w14:textId="145D4215" w:rsidR="000B6E8B" w:rsidRDefault="00C1402A" w:rsidP="000B6E8B">
            <w:pPr>
              <w:pStyle w:val="NoSpacing"/>
              <w:spacing w:line="240" w:lineRule="auto"/>
              <w:ind w:left="0" w:firstLine="0"/>
            </w:pPr>
            <w:r>
              <w:t>Adjustment 4.13 – IHS Global Insight Escalation</w:t>
            </w:r>
          </w:p>
        </w:tc>
        <w:tc>
          <w:tcPr>
            <w:tcW w:w="2348" w:type="dxa"/>
            <w:vAlign w:val="center"/>
          </w:tcPr>
          <w:p w14:paraId="23C06791" w14:textId="58BCEC94" w:rsidR="000B6E8B" w:rsidRDefault="00C1402A" w:rsidP="000B6E8B">
            <w:pPr>
              <w:pStyle w:val="NoSpacing"/>
              <w:spacing w:line="240" w:lineRule="auto"/>
              <w:ind w:left="0" w:firstLine="0"/>
            </w:pPr>
            <w:r>
              <w:t>Ball</w:t>
            </w:r>
          </w:p>
        </w:tc>
      </w:tr>
      <w:tr w:rsidR="000B6E8B" w14:paraId="6897F982" w14:textId="77777777" w:rsidTr="00C1402A">
        <w:trPr>
          <w:trHeight w:val="504"/>
        </w:trPr>
        <w:tc>
          <w:tcPr>
            <w:tcW w:w="5135" w:type="dxa"/>
            <w:vAlign w:val="center"/>
          </w:tcPr>
          <w:p w14:paraId="0C3DA53D" w14:textId="22A8729E" w:rsidR="000B6E8B" w:rsidRDefault="00C1402A" w:rsidP="000B6E8B">
            <w:pPr>
              <w:pStyle w:val="NoSpacing"/>
              <w:spacing w:line="240" w:lineRule="auto"/>
              <w:ind w:left="0" w:firstLine="0"/>
            </w:pPr>
            <w:r>
              <w:t>Adjustment 5.1.1 – Net Power Costs – Pro Forma</w:t>
            </w:r>
          </w:p>
        </w:tc>
        <w:tc>
          <w:tcPr>
            <w:tcW w:w="2348" w:type="dxa"/>
            <w:vAlign w:val="center"/>
          </w:tcPr>
          <w:p w14:paraId="33F8BDD9" w14:textId="6A5D8446" w:rsidR="000B6E8B" w:rsidRDefault="00C1402A" w:rsidP="000B6E8B">
            <w:pPr>
              <w:pStyle w:val="NoSpacing"/>
              <w:spacing w:line="240" w:lineRule="auto"/>
              <w:ind w:left="0" w:firstLine="0"/>
            </w:pPr>
            <w:r>
              <w:t>Gomez</w:t>
            </w:r>
          </w:p>
        </w:tc>
      </w:tr>
      <w:tr w:rsidR="000B6E8B" w14:paraId="1A908BA4" w14:textId="77777777" w:rsidTr="00C1402A">
        <w:trPr>
          <w:trHeight w:val="504"/>
        </w:trPr>
        <w:tc>
          <w:tcPr>
            <w:tcW w:w="5135" w:type="dxa"/>
            <w:vAlign w:val="center"/>
          </w:tcPr>
          <w:p w14:paraId="294BDB9A" w14:textId="0BE02C71" w:rsidR="000B6E8B" w:rsidRDefault="00C1402A" w:rsidP="000B6E8B">
            <w:pPr>
              <w:pStyle w:val="NoSpacing"/>
              <w:spacing w:line="240" w:lineRule="auto"/>
              <w:ind w:left="0" w:firstLine="0"/>
            </w:pPr>
            <w:r>
              <w:t>Adjustment 7.2 – Property Tax Expense</w:t>
            </w:r>
          </w:p>
        </w:tc>
        <w:tc>
          <w:tcPr>
            <w:tcW w:w="2348" w:type="dxa"/>
            <w:vAlign w:val="center"/>
          </w:tcPr>
          <w:p w14:paraId="5E346195" w14:textId="321599F5" w:rsidR="000B6E8B" w:rsidRDefault="00C1402A" w:rsidP="000B6E8B">
            <w:pPr>
              <w:pStyle w:val="NoSpacing"/>
              <w:spacing w:line="240" w:lineRule="auto"/>
              <w:ind w:left="0" w:firstLine="0"/>
            </w:pPr>
            <w:r>
              <w:t>Ball</w:t>
            </w:r>
          </w:p>
        </w:tc>
      </w:tr>
      <w:tr w:rsidR="000B6E8B" w14:paraId="16F1AADA" w14:textId="77777777" w:rsidTr="00C1402A">
        <w:trPr>
          <w:trHeight w:val="504"/>
        </w:trPr>
        <w:tc>
          <w:tcPr>
            <w:tcW w:w="5135" w:type="dxa"/>
            <w:vAlign w:val="center"/>
          </w:tcPr>
          <w:p w14:paraId="3649C561" w14:textId="05E8D4C6" w:rsidR="000B6E8B" w:rsidRDefault="00C1402A" w:rsidP="000B6E8B">
            <w:pPr>
              <w:pStyle w:val="NoSpacing"/>
              <w:spacing w:line="240" w:lineRule="auto"/>
              <w:ind w:left="0" w:firstLine="0"/>
            </w:pPr>
            <w:r>
              <w:lastRenderedPageBreak/>
              <w:t>Adjustment 7.5 – WA Low Income Tax Credit</w:t>
            </w:r>
          </w:p>
        </w:tc>
        <w:tc>
          <w:tcPr>
            <w:tcW w:w="2348" w:type="dxa"/>
            <w:vAlign w:val="center"/>
          </w:tcPr>
          <w:p w14:paraId="4725F9EC" w14:textId="3B83C358" w:rsidR="000B6E8B" w:rsidRDefault="00474F67" w:rsidP="000B6E8B">
            <w:pPr>
              <w:pStyle w:val="NoSpacing"/>
              <w:spacing w:line="240" w:lineRule="auto"/>
              <w:ind w:left="0" w:firstLine="0"/>
            </w:pPr>
            <w:r>
              <w:t>Erdahl</w:t>
            </w:r>
          </w:p>
        </w:tc>
      </w:tr>
      <w:tr w:rsidR="00C1402A" w14:paraId="50481EE9" w14:textId="77777777" w:rsidTr="00C1402A">
        <w:trPr>
          <w:trHeight w:val="504"/>
        </w:trPr>
        <w:tc>
          <w:tcPr>
            <w:tcW w:w="5135" w:type="dxa"/>
            <w:vAlign w:val="center"/>
          </w:tcPr>
          <w:p w14:paraId="6B8E7BCB" w14:textId="282575D2" w:rsidR="00C1402A" w:rsidRDefault="006C610E" w:rsidP="000B6E8B">
            <w:pPr>
              <w:pStyle w:val="NoSpacing"/>
              <w:spacing w:line="240" w:lineRule="auto"/>
              <w:ind w:left="0" w:firstLine="0"/>
            </w:pPr>
            <w:r>
              <w:t>Adjustment 8.4 – Major Plant Additions</w:t>
            </w:r>
          </w:p>
        </w:tc>
        <w:tc>
          <w:tcPr>
            <w:tcW w:w="2348" w:type="dxa"/>
            <w:vAlign w:val="center"/>
          </w:tcPr>
          <w:p w14:paraId="542FFEA0" w14:textId="4CECEA2C" w:rsidR="006C610E" w:rsidRDefault="006C610E" w:rsidP="000B6E8B">
            <w:pPr>
              <w:pStyle w:val="NoSpacing"/>
              <w:spacing w:line="240" w:lineRule="auto"/>
              <w:ind w:left="0" w:firstLine="0"/>
            </w:pPr>
            <w:r>
              <w:t>Erdahl</w:t>
            </w:r>
          </w:p>
        </w:tc>
      </w:tr>
      <w:tr w:rsidR="006C610E" w14:paraId="14FC9BB5" w14:textId="77777777" w:rsidTr="00C1402A">
        <w:trPr>
          <w:trHeight w:val="504"/>
        </w:trPr>
        <w:tc>
          <w:tcPr>
            <w:tcW w:w="5135" w:type="dxa"/>
            <w:vAlign w:val="center"/>
          </w:tcPr>
          <w:p w14:paraId="12684B7F" w14:textId="01AE4A81" w:rsidR="006C610E" w:rsidRDefault="006C610E" w:rsidP="000B6E8B">
            <w:pPr>
              <w:pStyle w:val="NoSpacing"/>
              <w:spacing w:line="240" w:lineRule="auto"/>
              <w:ind w:left="0" w:firstLine="0"/>
            </w:pPr>
            <w:r>
              <w:t>Adjustment 8.10 – Regulatory Asset Amortization</w:t>
            </w:r>
          </w:p>
        </w:tc>
        <w:tc>
          <w:tcPr>
            <w:tcW w:w="2348" w:type="dxa"/>
            <w:vAlign w:val="center"/>
          </w:tcPr>
          <w:p w14:paraId="4625034E" w14:textId="372F1F8B" w:rsidR="006C610E" w:rsidRDefault="006C610E" w:rsidP="000B6E8B">
            <w:pPr>
              <w:pStyle w:val="NoSpacing"/>
              <w:spacing w:line="240" w:lineRule="auto"/>
              <w:ind w:left="0" w:firstLine="0"/>
            </w:pPr>
            <w:r>
              <w:t>Erdahl/Ball</w:t>
            </w:r>
          </w:p>
        </w:tc>
      </w:tr>
    </w:tbl>
    <w:p w14:paraId="67AC9302" w14:textId="77777777" w:rsidR="000B6E8B" w:rsidRDefault="000B6E8B" w:rsidP="002447A8">
      <w:pPr>
        <w:pStyle w:val="NoSpacing"/>
      </w:pPr>
    </w:p>
    <w:p w14:paraId="27DB32AE" w14:textId="7D11B8A5" w:rsidR="00154796" w:rsidRPr="002056AE" w:rsidRDefault="00154796" w:rsidP="00154796">
      <w:pPr>
        <w:pStyle w:val="Heading2"/>
      </w:pPr>
      <w:r>
        <w:t>Q.</w:t>
      </w:r>
      <w:r>
        <w:tab/>
        <w:t xml:space="preserve">What is Staff’s proposed </w:t>
      </w:r>
      <w:r w:rsidR="00865DB7">
        <w:t>capital s</w:t>
      </w:r>
      <w:r>
        <w:t>tructure a</w:t>
      </w:r>
      <w:r w:rsidR="00865DB7">
        <w:t>nd conversion f</w:t>
      </w:r>
      <w:r>
        <w:t>actor for determining revenue requirement?</w:t>
      </w:r>
    </w:p>
    <w:p w14:paraId="1F341315" w14:textId="475CC467" w:rsidR="00154796" w:rsidRDefault="00154796" w:rsidP="00154796">
      <w:pPr>
        <w:pStyle w:val="NoSpacing"/>
      </w:pPr>
      <w:r>
        <w:t>A.</w:t>
      </w:r>
      <w:r>
        <w:tab/>
        <w:t xml:space="preserve">The overall rate of return recommended by Mr. </w:t>
      </w:r>
      <w:proofErr w:type="spellStart"/>
      <w:r>
        <w:t>Parcell</w:t>
      </w:r>
      <w:proofErr w:type="spellEnd"/>
      <w:r>
        <w:t xml:space="preserve"> is 7.06 percent and uses the following capital structure</w:t>
      </w:r>
      <w:r w:rsidR="00027D28">
        <w:t>:</w:t>
      </w:r>
      <w:r>
        <w:t xml:space="preserve">     </w:t>
      </w:r>
    </w:p>
    <w:tbl>
      <w:tblPr>
        <w:tblStyle w:val="TableGridLight1"/>
        <w:tblpPr w:leftFromText="180" w:rightFromText="180" w:vertAnchor="text" w:horzAnchor="page" w:tblpX="2653" w:tblpY="178"/>
        <w:tblW w:w="7512" w:type="dxa"/>
        <w:tblLook w:val="04A0" w:firstRow="1" w:lastRow="0" w:firstColumn="1" w:lastColumn="0" w:noHBand="0" w:noVBand="1"/>
      </w:tblPr>
      <w:tblGrid>
        <w:gridCol w:w="2809"/>
        <w:gridCol w:w="1193"/>
        <w:gridCol w:w="1530"/>
        <w:gridCol w:w="1980"/>
      </w:tblGrid>
      <w:tr w:rsidR="004848A2" w:rsidRPr="002447A8" w14:paraId="4F5A4885" w14:textId="77777777" w:rsidTr="004848A2">
        <w:trPr>
          <w:trHeight w:val="264"/>
        </w:trPr>
        <w:tc>
          <w:tcPr>
            <w:tcW w:w="2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A5E9EEA" w14:textId="77777777" w:rsidR="004848A2" w:rsidRPr="00BD4EA3" w:rsidRDefault="004848A2" w:rsidP="004848A2">
            <w:pPr>
              <w:pStyle w:val="NoSpacing"/>
              <w:spacing w:line="240" w:lineRule="auto"/>
              <w:ind w:left="0" w:firstLine="0"/>
              <w:jc w:val="center"/>
              <w:rPr>
                <w:b/>
                <w:sz w:val="22"/>
                <w:szCs w:val="22"/>
              </w:rPr>
            </w:pPr>
            <w:r w:rsidRPr="00BD4EA3">
              <w:rPr>
                <w:b/>
                <w:sz w:val="22"/>
                <w:szCs w:val="22"/>
              </w:rPr>
              <w:t>Component</w:t>
            </w:r>
          </w:p>
        </w:tc>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B0368C0" w14:textId="77777777" w:rsidR="004848A2" w:rsidRPr="00BD4EA3" w:rsidRDefault="004848A2" w:rsidP="004848A2">
            <w:pPr>
              <w:pStyle w:val="NoSpacing"/>
              <w:spacing w:line="240" w:lineRule="auto"/>
              <w:ind w:left="0" w:firstLine="0"/>
              <w:jc w:val="center"/>
              <w:rPr>
                <w:b/>
                <w:sz w:val="22"/>
                <w:szCs w:val="22"/>
              </w:rPr>
            </w:pPr>
            <w:r w:rsidRPr="00BD4EA3">
              <w:rPr>
                <w:b/>
                <w:sz w:val="22"/>
                <w:szCs w:val="22"/>
              </w:rPr>
              <w:t>Cost (%)</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CD65D3F" w14:textId="77777777" w:rsidR="004848A2" w:rsidRPr="00BD4EA3" w:rsidRDefault="004848A2" w:rsidP="004848A2">
            <w:pPr>
              <w:pStyle w:val="NoSpacing"/>
              <w:spacing w:line="240" w:lineRule="auto"/>
              <w:ind w:left="0" w:firstLine="0"/>
              <w:jc w:val="center"/>
              <w:rPr>
                <w:b/>
                <w:sz w:val="22"/>
                <w:szCs w:val="22"/>
              </w:rPr>
            </w:pPr>
            <w:r w:rsidRPr="00BD4EA3">
              <w:rPr>
                <w:b/>
                <w:sz w:val="22"/>
                <w:szCs w:val="22"/>
              </w:rPr>
              <w:t>Weight (%)</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6C42F60" w14:textId="77777777" w:rsidR="004848A2" w:rsidRPr="00BD4EA3" w:rsidRDefault="004848A2" w:rsidP="004848A2">
            <w:pPr>
              <w:pStyle w:val="NoSpacing"/>
              <w:spacing w:line="240" w:lineRule="auto"/>
              <w:ind w:left="0" w:firstLine="0"/>
              <w:jc w:val="center"/>
              <w:rPr>
                <w:b/>
                <w:sz w:val="22"/>
                <w:szCs w:val="22"/>
              </w:rPr>
            </w:pPr>
            <w:r w:rsidRPr="00BD4EA3">
              <w:rPr>
                <w:b/>
                <w:sz w:val="22"/>
                <w:szCs w:val="22"/>
              </w:rPr>
              <w:t>Weighted Cost (%)</w:t>
            </w:r>
          </w:p>
        </w:tc>
      </w:tr>
      <w:tr w:rsidR="004848A2" w:rsidRPr="002447A8" w14:paraId="258B2569" w14:textId="77777777" w:rsidTr="004848A2">
        <w:trPr>
          <w:trHeight w:val="264"/>
        </w:trPr>
        <w:tc>
          <w:tcPr>
            <w:tcW w:w="2809" w:type="dxa"/>
            <w:tcBorders>
              <w:top w:val="single" w:sz="4" w:space="0" w:color="auto"/>
              <w:left w:val="single" w:sz="4" w:space="0" w:color="auto"/>
              <w:bottom w:val="single" w:sz="4" w:space="0" w:color="auto"/>
              <w:right w:val="single" w:sz="4" w:space="0" w:color="auto"/>
            </w:tcBorders>
            <w:noWrap/>
            <w:hideMark/>
          </w:tcPr>
          <w:p w14:paraId="559CFD91" w14:textId="77777777" w:rsidR="004848A2" w:rsidRPr="00BC1175" w:rsidRDefault="004848A2" w:rsidP="004848A2">
            <w:pPr>
              <w:pStyle w:val="NoSpacing"/>
              <w:spacing w:line="360" w:lineRule="auto"/>
            </w:pPr>
            <w:r w:rsidRPr="00BC1175">
              <w:t>Long-term Debt</w:t>
            </w:r>
          </w:p>
        </w:tc>
        <w:tc>
          <w:tcPr>
            <w:tcW w:w="1193" w:type="dxa"/>
            <w:tcBorders>
              <w:top w:val="single" w:sz="4" w:space="0" w:color="auto"/>
              <w:left w:val="single" w:sz="4" w:space="0" w:color="auto"/>
              <w:bottom w:val="single" w:sz="4" w:space="0" w:color="auto"/>
              <w:right w:val="single" w:sz="4" w:space="0" w:color="auto"/>
            </w:tcBorders>
            <w:noWrap/>
            <w:hideMark/>
          </w:tcPr>
          <w:p w14:paraId="02B8890F" w14:textId="77777777" w:rsidR="004848A2" w:rsidRPr="00BC1175" w:rsidRDefault="004848A2" w:rsidP="004848A2">
            <w:pPr>
              <w:pStyle w:val="NoSpacing"/>
              <w:spacing w:line="360" w:lineRule="auto"/>
              <w:jc w:val="center"/>
            </w:pPr>
            <w:r w:rsidRPr="00BC1175">
              <w:t>50.62%</w:t>
            </w:r>
          </w:p>
        </w:tc>
        <w:tc>
          <w:tcPr>
            <w:tcW w:w="1530" w:type="dxa"/>
            <w:tcBorders>
              <w:top w:val="single" w:sz="4" w:space="0" w:color="auto"/>
              <w:left w:val="single" w:sz="4" w:space="0" w:color="auto"/>
              <w:bottom w:val="single" w:sz="4" w:space="0" w:color="auto"/>
              <w:right w:val="single" w:sz="4" w:space="0" w:color="auto"/>
            </w:tcBorders>
            <w:noWrap/>
            <w:hideMark/>
          </w:tcPr>
          <w:p w14:paraId="7C6EAEB5" w14:textId="77777777" w:rsidR="004848A2" w:rsidRPr="00BC1175" w:rsidRDefault="004848A2" w:rsidP="004848A2">
            <w:pPr>
              <w:pStyle w:val="NoSpacing"/>
              <w:spacing w:line="360" w:lineRule="auto"/>
              <w:jc w:val="center"/>
            </w:pPr>
            <w:r w:rsidRPr="00BC1175">
              <w:t>5.18%</w:t>
            </w:r>
          </w:p>
        </w:tc>
        <w:tc>
          <w:tcPr>
            <w:tcW w:w="1980" w:type="dxa"/>
            <w:tcBorders>
              <w:top w:val="single" w:sz="4" w:space="0" w:color="auto"/>
              <w:left w:val="single" w:sz="4" w:space="0" w:color="auto"/>
              <w:bottom w:val="single" w:sz="4" w:space="0" w:color="auto"/>
              <w:right w:val="single" w:sz="4" w:space="0" w:color="auto"/>
            </w:tcBorders>
            <w:noWrap/>
            <w:hideMark/>
          </w:tcPr>
          <w:p w14:paraId="3D3140AE" w14:textId="77777777" w:rsidR="004848A2" w:rsidRPr="00BC1175" w:rsidRDefault="004848A2" w:rsidP="004848A2">
            <w:pPr>
              <w:pStyle w:val="NoSpacing"/>
              <w:spacing w:line="360" w:lineRule="auto"/>
              <w:jc w:val="center"/>
            </w:pPr>
            <w:r w:rsidRPr="00BC1175">
              <w:t>2.622%</w:t>
            </w:r>
          </w:p>
        </w:tc>
      </w:tr>
      <w:tr w:rsidR="004848A2" w:rsidRPr="002447A8" w14:paraId="67674D52" w14:textId="77777777" w:rsidTr="004848A2">
        <w:trPr>
          <w:trHeight w:val="264"/>
        </w:trPr>
        <w:tc>
          <w:tcPr>
            <w:tcW w:w="2809" w:type="dxa"/>
            <w:tcBorders>
              <w:top w:val="single" w:sz="4" w:space="0" w:color="auto"/>
              <w:left w:val="single" w:sz="4" w:space="0" w:color="auto"/>
              <w:bottom w:val="single" w:sz="4" w:space="0" w:color="auto"/>
              <w:right w:val="single" w:sz="4" w:space="0" w:color="auto"/>
            </w:tcBorders>
            <w:noWrap/>
            <w:hideMark/>
          </w:tcPr>
          <w:p w14:paraId="6626EA95" w14:textId="77777777" w:rsidR="004848A2" w:rsidRPr="00BC1175" w:rsidRDefault="004848A2" w:rsidP="004848A2">
            <w:pPr>
              <w:pStyle w:val="NoSpacing"/>
              <w:spacing w:line="360" w:lineRule="auto"/>
            </w:pPr>
            <w:r w:rsidRPr="00BC1175">
              <w:t>Short term Debt</w:t>
            </w:r>
          </w:p>
        </w:tc>
        <w:tc>
          <w:tcPr>
            <w:tcW w:w="1193" w:type="dxa"/>
            <w:tcBorders>
              <w:top w:val="single" w:sz="4" w:space="0" w:color="auto"/>
              <w:left w:val="single" w:sz="4" w:space="0" w:color="auto"/>
              <w:bottom w:val="single" w:sz="4" w:space="0" w:color="auto"/>
              <w:right w:val="single" w:sz="4" w:space="0" w:color="auto"/>
            </w:tcBorders>
            <w:noWrap/>
            <w:hideMark/>
          </w:tcPr>
          <w:p w14:paraId="7E02543B" w14:textId="77777777" w:rsidR="004848A2" w:rsidRPr="00BC1175" w:rsidRDefault="004848A2" w:rsidP="004848A2">
            <w:pPr>
              <w:pStyle w:val="NoSpacing"/>
              <w:spacing w:line="360" w:lineRule="auto"/>
              <w:jc w:val="center"/>
            </w:pPr>
            <w:r w:rsidRPr="00BC1175">
              <w:t>0.00%</w:t>
            </w:r>
          </w:p>
        </w:tc>
        <w:tc>
          <w:tcPr>
            <w:tcW w:w="1530" w:type="dxa"/>
            <w:tcBorders>
              <w:top w:val="single" w:sz="4" w:space="0" w:color="auto"/>
              <w:left w:val="single" w:sz="4" w:space="0" w:color="auto"/>
              <w:bottom w:val="single" w:sz="4" w:space="0" w:color="auto"/>
              <w:right w:val="single" w:sz="4" w:space="0" w:color="auto"/>
            </w:tcBorders>
            <w:noWrap/>
            <w:hideMark/>
          </w:tcPr>
          <w:p w14:paraId="3A66502C" w14:textId="77777777" w:rsidR="004848A2" w:rsidRPr="00BC1175" w:rsidRDefault="004848A2" w:rsidP="004848A2">
            <w:pPr>
              <w:pStyle w:val="NoSpacing"/>
              <w:spacing w:line="360" w:lineRule="auto"/>
              <w:jc w:val="center"/>
            </w:pPr>
            <w:r w:rsidRPr="00BC1175">
              <w:t>0.00%</w:t>
            </w:r>
          </w:p>
        </w:tc>
        <w:tc>
          <w:tcPr>
            <w:tcW w:w="1980" w:type="dxa"/>
            <w:tcBorders>
              <w:top w:val="single" w:sz="4" w:space="0" w:color="auto"/>
              <w:left w:val="single" w:sz="4" w:space="0" w:color="auto"/>
              <w:bottom w:val="single" w:sz="4" w:space="0" w:color="auto"/>
              <w:right w:val="single" w:sz="4" w:space="0" w:color="auto"/>
            </w:tcBorders>
            <w:noWrap/>
            <w:hideMark/>
          </w:tcPr>
          <w:p w14:paraId="021E81D4" w14:textId="77777777" w:rsidR="004848A2" w:rsidRPr="00BC1175" w:rsidRDefault="004848A2" w:rsidP="004848A2">
            <w:pPr>
              <w:pStyle w:val="NoSpacing"/>
              <w:spacing w:line="360" w:lineRule="auto"/>
              <w:jc w:val="center"/>
            </w:pPr>
            <w:r w:rsidRPr="00BC1175">
              <w:t>0.000%</w:t>
            </w:r>
          </w:p>
        </w:tc>
      </w:tr>
      <w:tr w:rsidR="004848A2" w:rsidRPr="002447A8" w14:paraId="37259040" w14:textId="77777777" w:rsidTr="004848A2">
        <w:trPr>
          <w:trHeight w:val="264"/>
        </w:trPr>
        <w:tc>
          <w:tcPr>
            <w:tcW w:w="2809" w:type="dxa"/>
            <w:tcBorders>
              <w:top w:val="single" w:sz="4" w:space="0" w:color="auto"/>
              <w:left w:val="single" w:sz="4" w:space="0" w:color="auto"/>
              <w:bottom w:val="single" w:sz="4" w:space="0" w:color="auto"/>
              <w:right w:val="single" w:sz="4" w:space="0" w:color="auto"/>
            </w:tcBorders>
            <w:noWrap/>
            <w:hideMark/>
          </w:tcPr>
          <w:p w14:paraId="010E428C" w14:textId="77777777" w:rsidR="004848A2" w:rsidRPr="00BC1175" w:rsidRDefault="004848A2" w:rsidP="004848A2">
            <w:pPr>
              <w:pStyle w:val="NoSpacing"/>
              <w:spacing w:line="360" w:lineRule="auto"/>
            </w:pPr>
            <w:r w:rsidRPr="00BC1175">
              <w:t>Preferred Stock</w:t>
            </w:r>
          </w:p>
        </w:tc>
        <w:tc>
          <w:tcPr>
            <w:tcW w:w="1193" w:type="dxa"/>
            <w:tcBorders>
              <w:top w:val="single" w:sz="4" w:space="0" w:color="auto"/>
              <w:left w:val="single" w:sz="4" w:space="0" w:color="auto"/>
              <w:bottom w:val="single" w:sz="4" w:space="0" w:color="auto"/>
              <w:right w:val="single" w:sz="4" w:space="0" w:color="auto"/>
            </w:tcBorders>
            <w:noWrap/>
            <w:hideMark/>
          </w:tcPr>
          <w:p w14:paraId="1B1BB3BA" w14:textId="77777777" w:rsidR="004848A2" w:rsidRPr="00BC1175" w:rsidRDefault="004848A2" w:rsidP="004848A2">
            <w:pPr>
              <w:pStyle w:val="NoSpacing"/>
              <w:spacing w:line="360" w:lineRule="auto"/>
              <w:jc w:val="center"/>
            </w:pPr>
            <w:r w:rsidRPr="00BC1175">
              <w:t>0.28%</w:t>
            </w:r>
          </w:p>
        </w:tc>
        <w:tc>
          <w:tcPr>
            <w:tcW w:w="1530" w:type="dxa"/>
            <w:tcBorders>
              <w:top w:val="single" w:sz="4" w:space="0" w:color="auto"/>
              <w:left w:val="single" w:sz="4" w:space="0" w:color="auto"/>
              <w:bottom w:val="single" w:sz="4" w:space="0" w:color="auto"/>
              <w:right w:val="single" w:sz="4" w:space="0" w:color="auto"/>
            </w:tcBorders>
            <w:noWrap/>
            <w:hideMark/>
          </w:tcPr>
          <w:p w14:paraId="10CAA943" w14:textId="77777777" w:rsidR="004848A2" w:rsidRPr="00BC1175" w:rsidRDefault="004848A2" w:rsidP="004848A2">
            <w:pPr>
              <w:pStyle w:val="NoSpacing"/>
              <w:spacing w:line="360" w:lineRule="auto"/>
              <w:jc w:val="center"/>
            </w:pPr>
            <w:r w:rsidRPr="00BC1175">
              <w:t>5.43%</w:t>
            </w:r>
          </w:p>
        </w:tc>
        <w:tc>
          <w:tcPr>
            <w:tcW w:w="1980" w:type="dxa"/>
            <w:tcBorders>
              <w:top w:val="single" w:sz="4" w:space="0" w:color="auto"/>
              <w:left w:val="single" w:sz="4" w:space="0" w:color="auto"/>
              <w:bottom w:val="single" w:sz="4" w:space="0" w:color="auto"/>
              <w:right w:val="single" w:sz="4" w:space="0" w:color="auto"/>
            </w:tcBorders>
            <w:noWrap/>
            <w:hideMark/>
          </w:tcPr>
          <w:p w14:paraId="49CC2147" w14:textId="77777777" w:rsidR="004848A2" w:rsidRPr="00BC1175" w:rsidRDefault="004848A2" w:rsidP="004848A2">
            <w:pPr>
              <w:pStyle w:val="NoSpacing"/>
              <w:spacing w:line="360" w:lineRule="auto"/>
              <w:jc w:val="center"/>
            </w:pPr>
            <w:r w:rsidRPr="00BC1175">
              <w:t>0.015%</w:t>
            </w:r>
          </w:p>
        </w:tc>
      </w:tr>
      <w:tr w:rsidR="004848A2" w:rsidRPr="002447A8" w14:paraId="01276FCF" w14:textId="77777777" w:rsidTr="004848A2">
        <w:trPr>
          <w:trHeight w:val="264"/>
        </w:trPr>
        <w:tc>
          <w:tcPr>
            <w:tcW w:w="2809" w:type="dxa"/>
            <w:tcBorders>
              <w:top w:val="single" w:sz="4" w:space="0" w:color="auto"/>
              <w:left w:val="single" w:sz="4" w:space="0" w:color="auto"/>
              <w:bottom w:val="single" w:sz="4" w:space="0" w:color="auto"/>
              <w:right w:val="single" w:sz="4" w:space="0" w:color="auto"/>
            </w:tcBorders>
            <w:noWrap/>
            <w:hideMark/>
          </w:tcPr>
          <w:p w14:paraId="371BB52D" w14:textId="77777777" w:rsidR="004848A2" w:rsidRPr="00BC1175" w:rsidRDefault="004848A2" w:rsidP="004848A2">
            <w:pPr>
              <w:pStyle w:val="NoSpacing"/>
              <w:spacing w:line="360" w:lineRule="auto"/>
            </w:pPr>
            <w:r w:rsidRPr="00BC1175">
              <w:t>Common Stock</w:t>
            </w:r>
          </w:p>
        </w:tc>
        <w:tc>
          <w:tcPr>
            <w:tcW w:w="1193" w:type="dxa"/>
            <w:tcBorders>
              <w:top w:val="single" w:sz="4" w:space="0" w:color="auto"/>
              <w:left w:val="single" w:sz="4" w:space="0" w:color="auto"/>
              <w:bottom w:val="single" w:sz="4" w:space="0" w:color="auto"/>
              <w:right w:val="single" w:sz="4" w:space="0" w:color="auto"/>
            </w:tcBorders>
            <w:noWrap/>
            <w:hideMark/>
          </w:tcPr>
          <w:p w14:paraId="3D025597" w14:textId="77777777" w:rsidR="004848A2" w:rsidRPr="00BC1175" w:rsidRDefault="004848A2" w:rsidP="004848A2">
            <w:pPr>
              <w:pStyle w:val="NoSpacing"/>
              <w:spacing w:line="360" w:lineRule="auto"/>
              <w:jc w:val="center"/>
            </w:pPr>
            <w:r w:rsidRPr="00BC1175">
              <w:t>49.10%</w:t>
            </w:r>
          </w:p>
        </w:tc>
        <w:tc>
          <w:tcPr>
            <w:tcW w:w="1530" w:type="dxa"/>
            <w:tcBorders>
              <w:top w:val="single" w:sz="4" w:space="0" w:color="auto"/>
              <w:left w:val="single" w:sz="4" w:space="0" w:color="auto"/>
              <w:bottom w:val="single" w:sz="4" w:space="0" w:color="auto"/>
              <w:right w:val="single" w:sz="4" w:space="0" w:color="auto"/>
            </w:tcBorders>
            <w:noWrap/>
            <w:hideMark/>
          </w:tcPr>
          <w:p w14:paraId="1D9A5E52" w14:textId="77777777" w:rsidR="004848A2" w:rsidRPr="00BC1175" w:rsidRDefault="004848A2" w:rsidP="004848A2">
            <w:pPr>
              <w:pStyle w:val="NoSpacing"/>
              <w:spacing w:line="360" w:lineRule="auto"/>
              <w:jc w:val="center"/>
            </w:pPr>
            <w:r w:rsidRPr="00BC1175">
              <w:t>9.00%</w:t>
            </w:r>
          </w:p>
        </w:tc>
        <w:tc>
          <w:tcPr>
            <w:tcW w:w="1980" w:type="dxa"/>
            <w:tcBorders>
              <w:top w:val="single" w:sz="4" w:space="0" w:color="auto"/>
              <w:left w:val="single" w:sz="4" w:space="0" w:color="auto"/>
              <w:bottom w:val="single" w:sz="4" w:space="0" w:color="auto"/>
              <w:right w:val="single" w:sz="4" w:space="0" w:color="auto"/>
            </w:tcBorders>
            <w:noWrap/>
            <w:hideMark/>
          </w:tcPr>
          <w:p w14:paraId="462128CF" w14:textId="77777777" w:rsidR="004848A2" w:rsidRPr="00BD4EA3" w:rsidRDefault="004848A2" w:rsidP="004848A2">
            <w:pPr>
              <w:pStyle w:val="NoSpacing"/>
              <w:spacing w:line="360" w:lineRule="auto"/>
              <w:jc w:val="center"/>
            </w:pPr>
            <w:r w:rsidRPr="00BD4EA3">
              <w:t>4.419%</w:t>
            </w:r>
          </w:p>
        </w:tc>
      </w:tr>
      <w:tr w:rsidR="004848A2" w:rsidRPr="002447A8" w14:paraId="0B90C1FD" w14:textId="77777777" w:rsidTr="004848A2">
        <w:trPr>
          <w:trHeight w:val="476"/>
        </w:trPr>
        <w:tc>
          <w:tcPr>
            <w:tcW w:w="5532" w:type="dxa"/>
            <w:gridSpan w:val="3"/>
            <w:tcBorders>
              <w:top w:val="single" w:sz="4" w:space="0" w:color="auto"/>
              <w:left w:val="single" w:sz="4" w:space="0" w:color="auto"/>
              <w:bottom w:val="single" w:sz="4" w:space="0" w:color="auto"/>
              <w:right w:val="single" w:sz="4" w:space="0" w:color="auto"/>
            </w:tcBorders>
            <w:noWrap/>
            <w:vAlign w:val="bottom"/>
            <w:hideMark/>
          </w:tcPr>
          <w:p w14:paraId="60F90D2C" w14:textId="77777777" w:rsidR="004848A2" w:rsidRPr="00BC1175" w:rsidRDefault="004848A2" w:rsidP="004848A2">
            <w:pPr>
              <w:pStyle w:val="NoSpacing"/>
              <w:spacing w:line="240" w:lineRule="auto"/>
              <w:jc w:val="right"/>
              <w:rPr>
                <w:b/>
              </w:rPr>
            </w:pPr>
            <w:r w:rsidRPr="00BC1175">
              <w:rPr>
                <w:b/>
              </w:rPr>
              <w:t>Weighted Average Cost of Capital</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4D7B3AEF" w14:textId="77777777" w:rsidR="004848A2" w:rsidRPr="00BC1175" w:rsidRDefault="004848A2" w:rsidP="004848A2">
            <w:pPr>
              <w:pStyle w:val="NoSpacing"/>
              <w:spacing w:line="240" w:lineRule="auto"/>
              <w:jc w:val="right"/>
              <w:rPr>
                <w:b/>
                <w:bCs/>
              </w:rPr>
            </w:pPr>
            <w:r w:rsidRPr="00BC1175">
              <w:rPr>
                <w:b/>
                <w:bCs/>
              </w:rPr>
              <w:t>7.060%</w:t>
            </w:r>
          </w:p>
        </w:tc>
      </w:tr>
    </w:tbl>
    <w:p w14:paraId="23D24272" w14:textId="77777777" w:rsidR="00BD4EA3" w:rsidRPr="002447A8" w:rsidRDefault="00BD4EA3" w:rsidP="00154796">
      <w:pPr>
        <w:pStyle w:val="NoSpacing"/>
      </w:pPr>
    </w:p>
    <w:p w14:paraId="1E82A3E2" w14:textId="77777777" w:rsidR="00154796" w:rsidRDefault="00154796" w:rsidP="00154796">
      <w:pPr>
        <w:pStyle w:val="NoSpacing"/>
      </w:pPr>
    </w:p>
    <w:p w14:paraId="417E66A0" w14:textId="77777777" w:rsidR="004848A2" w:rsidRDefault="004848A2" w:rsidP="00154796">
      <w:pPr>
        <w:pStyle w:val="NoSpacing"/>
      </w:pPr>
    </w:p>
    <w:p w14:paraId="42D963FC" w14:textId="77777777" w:rsidR="004848A2" w:rsidRDefault="004848A2" w:rsidP="00154796">
      <w:pPr>
        <w:pStyle w:val="NoSpacing"/>
      </w:pPr>
    </w:p>
    <w:p w14:paraId="3047728F" w14:textId="77777777" w:rsidR="004848A2" w:rsidRDefault="004848A2" w:rsidP="00154796">
      <w:pPr>
        <w:pStyle w:val="NoSpacing"/>
      </w:pPr>
    </w:p>
    <w:p w14:paraId="557F3E4F" w14:textId="77777777" w:rsidR="004848A2" w:rsidRDefault="004848A2" w:rsidP="00154796">
      <w:pPr>
        <w:pStyle w:val="NoSpacing"/>
      </w:pPr>
    </w:p>
    <w:p w14:paraId="14D5CA27" w14:textId="28BAEC14" w:rsidR="00154796" w:rsidRDefault="00154796" w:rsidP="004848A2">
      <w:pPr>
        <w:pStyle w:val="NoSpacing"/>
        <w:ind w:firstLine="0"/>
      </w:pPr>
      <w:r>
        <w:t xml:space="preserve">Staff’s conversion factor is 61.955%.  </w:t>
      </w:r>
      <w:r w:rsidR="006F4F3E">
        <w:t>This differs from the Company</w:t>
      </w:r>
      <w:r>
        <w:t xml:space="preserve"> due to Staff’s reject</w:t>
      </w:r>
      <w:r w:rsidR="004848A2">
        <w:t xml:space="preserve">ion of the Company’s </w:t>
      </w:r>
      <w:r>
        <w:t>adjustment</w:t>
      </w:r>
      <w:r w:rsidR="004848A2">
        <w:t xml:space="preserve"> 4.12, Collection Agency Fees and 4.13, IHS Global Insights Escalation.  </w:t>
      </w:r>
    </w:p>
    <w:p w14:paraId="2F63B819" w14:textId="77777777" w:rsidR="004848A2" w:rsidRDefault="004848A2" w:rsidP="00F97D73">
      <w:pPr>
        <w:pStyle w:val="Heading4"/>
        <w:ind w:firstLine="0"/>
        <w:rPr>
          <w:b/>
        </w:rPr>
      </w:pPr>
      <w:bookmarkStart w:id="60" w:name="_Toc400466357"/>
      <w:bookmarkStart w:id="61" w:name="_Toc400466472"/>
      <w:bookmarkStart w:id="62" w:name="_Toc400467785"/>
    </w:p>
    <w:p w14:paraId="70F4ACC8" w14:textId="77777777" w:rsidR="00083CBB" w:rsidRPr="00154796" w:rsidRDefault="00083CBB" w:rsidP="00F97D73">
      <w:pPr>
        <w:pStyle w:val="Heading4"/>
        <w:ind w:firstLine="0"/>
        <w:rPr>
          <w:b/>
        </w:rPr>
      </w:pPr>
      <w:bookmarkStart w:id="63" w:name="_Toc400626950"/>
      <w:bookmarkStart w:id="64" w:name="_Toc400626993"/>
      <w:bookmarkStart w:id="65" w:name="_Toc400627186"/>
      <w:r w:rsidRPr="00154796">
        <w:rPr>
          <w:b/>
        </w:rPr>
        <w:t>3.</w:t>
      </w:r>
      <w:r w:rsidRPr="00154796">
        <w:rPr>
          <w:b/>
        </w:rPr>
        <w:tab/>
      </w:r>
      <w:r w:rsidR="00C72DBA" w:rsidRPr="00154796">
        <w:rPr>
          <w:b/>
        </w:rPr>
        <w:t>QUALIFYING FACILITIES</w:t>
      </w:r>
      <w:bookmarkEnd w:id="60"/>
      <w:bookmarkEnd w:id="61"/>
      <w:bookmarkEnd w:id="62"/>
      <w:bookmarkEnd w:id="63"/>
      <w:bookmarkEnd w:id="64"/>
      <w:bookmarkEnd w:id="65"/>
      <w:r w:rsidRPr="00154796">
        <w:rPr>
          <w:b/>
        </w:rPr>
        <w:t xml:space="preserve"> </w:t>
      </w:r>
    </w:p>
    <w:p w14:paraId="75955D67" w14:textId="000C5331" w:rsidR="00C72DBA" w:rsidRDefault="00C72DBA" w:rsidP="001D06F0">
      <w:pPr>
        <w:pStyle w:val="NoSpacing"/>
        <w:rPr>
          <w:b/>
        </w:rPr>
      </w:pPr>
      <w:r w:rsidRPr="00C72DBA">
        <w:rPr>
          <w:b/>
        </w:rPr>
        <w:t xml:space="preserve">Q. </w:t>
      </w:r>
      <w:r w:rsidRPr="00C72DBA">
        <w:rPr>
          <w:b/>
        </w:rPr>
        <w:tab/>
        <w:t xml:space="preserve">Please summarize Staff’s recommendation </w:t>
      </w:r>
      <w:r w:rsidR="00285138">
        <w:rPr>
          <w:b/>
        </w:rPr>
        <w:t xml:space="preserve">concerning </w:t>
      </w:r>
      <w:r w:rsidR="00637D77">
        <w:rPr>
          <w:b/>
        </w:rPr>
        <w:t xml:space="preserve">continued situs allocation of the </w:t>
      </w:r>
      <w:r w:rsidR="0053241D">
        <w:rPr>
          <w:b/>
        </w:rPr>
        <w:t xml:space="preserve">cost of </w:t>
      </w:r>
      <w:r w:rsidRPr="00C72DBA">
        <w:rPr>
          <w:b/>
        </w:rPr>
        <w:t>Oregon</w:t>
      </w:r>
      <w:r w:rsidR="00310481">
        <w:rPr>
          <w:b/>
        </w:rPr>
        <w:t xml:space="preserve"> and California</w:t>
      </w:r>
      <w:r w:rsidRPr="00C72DBA">
        <w:rPr>
          <w:b/>
        </w:rPr>
        <w:t xml:space="preserve"> QF </w:t>
      </w:r>
      <w:r w:rsidR="0053241D">
        <w:rPr>
          <w:b/>
        </w:rPr>
        <w:t xml:space="preserve">PPAs </w:t>
      </w:r>
      <w:r w:rsidRPr="00C72DBA">
        <w:rPr>
          <w:b/>
        </w:rPr>
        <w:t xml:space="preserve">in </w:t>
      </w:r>
      <w:r w:rsidR="0053241D">
        <w:rPr>
          <w:b/>
        </w:rPr>
        <w:t xml:space="preserve">calculating NPC in the </w:t>
      </w:r>
      <w:r w:rsidRPr="00C72DBA">
        <w:rPr>
          <w:b/>
        </w:rPr>
        <w:t>WCA.</w:t>
      </w:r>
    </w:p>
    <w:p w14:paraId="7E2D3638" w14:textId="0F61D627" w:rsidR="00FE3C22" w:rsidRDefault="00C72DBA" w:rsidP="001D06F0">
      <w:pPr>
        <w:pStyle w:val="NoSpacing"/>
      </w:pPr>
      <w:r w:rsidRPr="00310481">
        <w:t>A.</w:t>
      </w:r>
      <w:r w:rsidRPr="00310481">
        <w:tab/>
      </w:r>
      <w:r w:rsidR="00310481" w:rsidRPr="00310481">
        <w:t>Sta</w:t>
      </w:r>
      <w:r w:rsidR="00310481">
        <w:t xml:space="preserve">ff’s case </w:t>
      </w:r>
      <w:r w:rsidR="00637D77">
        <w:t xml:space="preserve">proposes </w:t>
      </w:r>
      <w:r w:rsidR="00027D28">
        <w:t xml:space="preserve">the </w:t>
      </w:r>
      <w:r w:rsidR="00637D77">
        <w:t xml:space="preserve">continued </w:t>
      </w:r>
      <w:r w:rsidR="0053241D">
        <w:t xml:space="preserve">situs </w:t>
      </w:r>
      <w:r w:rsidR="00637D77">
        <w:t xml:space="preserve">allocation of </w:t>
      </w:r>
      <w:r w:rsidR="00310481">
        <w:t xml:space="preserve">the </w:t>
      </w:r>
      <w:r w:rsidR="0053241D">
        <w:t xml:space="preserve">cost of </w:t>
      </w:r>
      <w:r w:rsidR="00637D77">
        <w:t xml:space="preserve">each state’s </w:t>
      </w:r>
      <w:r w:rsidR="00310481">
        <w:t xml:space="preserve">QF </w:t>
      </w:r>
      <w:r w:rsidR="0053241D">
        <w:t>PPAs</w:t>
      </w:r>
      <w:r w:rsidR="000D27BA">
        <w:t xml:space="preserve">.  This is </w:t>
      </w:r>
      <w:r w:rsidR="007B73D4">
        <w:t xml:space="preserve">discussed </w:t>
      </w:r>
      <w:r w:rsidR="000D27BA">
        <w:t xml:space="preserve">more fully </w:t>
      </w:r>
      <w:r w:rsidR="00631F13">
        <w:t xml:space="preserve">by Mr. </w:t>
      </w:r>
      <w:r w:rsidR="007B73D4">
        <w:t>Gomez</w:t>
      </w:r>
      <w:r w:rsidR="00310481">
        <w:t xml:space="preserve">.  </w:t>
      </w:r>
      <w:r w:rsidRPr="00C72DBA">
        <w:t xml:space="preserve">As noted above, the Commission previously rejected the Company’s proposal to include </w:t>
      </w:r>
      <w:r w:rsidR="0053241D">
        <w:t xml:space="preserve">the full cost of </w:t>
      </w:r>
      <w:r w:rsidRPr="00C72DBA">
        <w:t>Oregon</w:t>
      </w:r>
      <w:r w:rsidR="00310481">
        <w:t xml:space="preserve"> and California</w:t>
      </w:r>
      <w:r w:rsidRPr="00C72DBA">
        <w:t xml:space="preserve"> QF </w:t>
      </w:r>
      <w:r w:rsidR="0053241D">
        <w:lastRenderedPageBreak/>
        <w:t xml:space="preserve">PPAs </w:t>
      </w:r>
      <w:r w:rsidRPr="00C72DBA">
        <w:t xml:space="preserve">in </w:t>
      </w:r>
      <w:r w:rsidR="00285138">
        <w:t>the</w:t>
      </w:r>
      <w:r w:rsidR="00285138" w:rsidRPr="00C72DBA">
        <w:t xml:space="preserve"> </w:t>
      </w:r>
      <w:r w:rsidRPr="00C72DBA">
        <w:t>net power costs</w:t>
      </w:r>
      <w:r w:rsidR="00310481">
        <w:t xml:space="preserve"> </w:t>
      </w:r>
      <w:r w:rsidR="00285138">
        <w:t xml:space="preserve">allocated </w:t>
      </w:r>
      <w:r w:rsidR="00310481">
        <w:t>to Washington</w:t>
      </w:r>
      <w:r w:rsidRPr="00C72DBA">
        <w:t>.</w:t>
      </w:r>
      <w:r>
        <w:rPr>
          <w:b/>
        </w:rPr>
        <w:t xml:space="preserve">  </w:t>
      </w:r>
      <w:r>
        <w:t xml:space="preserve">Staff’s analysis relies on the </w:t>
      </w:r>
      <w:r w:rsidR="00154796">
        <w:t xml:space="preserve">Commission’s final </w:t>
      </w:r>
      <w:r w:rsidR="000D27BA">
        <w:t>o</w:t>
      </w:r>
      <w:r>
        <w:t>rder</w:t>
      </w:r>
      <w:r w:rsidR="00285138">
        <w:t xml:space="preserve"> </w:t>
      </w:r>
      <w:r w:rsidR="000D27BA">
        <w:t xml:space="preserve">in </w:t>
      </w:r>
      <w:r w:rsidR="00A3167B">
        <w:t xml:space="preserve">Pacific Power’s </w:t>
      </w:r>
      <w:r w:rsidR="00DC49A3">
        <w:t xml:space="preserve">last </w:t>
      </w:r>
      <w:r w:rsidR="00A3167B">
        <w:t>GRC</w:t>
      </w:r>
      <w:r w:rsidR="00DC49A3">
        <w:t>.</w:t>
      </w:r>
      <w:r w:rsidR="00474F67">
        <w:rPr>
          <w:rStyle w:val="FootnoteReference"/>
        </w:rPr>
        <w:footnoteReference w:id="9"/>
      </w:r>
      <w:r w:rsidR="00DC49A3">
        <w:t xml:space="preserve">  </w:t>
      </w:r>
    </w:p>
    <w:p w14:paraId="278601A6" w14:textId="77777777" w:rsidR="00C72DBA" w:rsidRDefault="00C72DBA" w:rsidP="007B73D4">
      <w:pPr>
        <w:pStyle w:val="NoSpacing"/>
      </w:pPr>
      <w:r>
        <w:t xml:space="preserve"> </w:t>
      </w:r>
    </w:p>
    <w:p w14:paraId="5AFA0828" w14:textId="54A1F152" w:rsidR="007C0C3E" w:rsidRPr="00154796" w:rsidRDefault="007C0C3E" w:rsidP="00F97D73">
      <w:pPr>
        <w:pStyle w:val="Heading4"/>
        <w:ind w:left="1440"/>
        <w:rPr>
          <w:b/>
        </w:rPr>
      </w:pPr>
      <w:bookmarkStart w:id="66" w:name="_Toc400466358"/>
      <w:bookmarkStart w:id="67" w:name="_Toc400466473"/>
      <w:bookmarkStart w:id="68" w:name="_Toc400467786"/>
      <w:bookmarkStart w:id="69" w:name="_Toc400626951"/>
      <w:bookmarkStart w:id="70" w:name="_Toc400626994"/>
      <w:bookmarkStart w:id="71" w:name="_Toc400627187"/>
      <w:r w:rsidRPr="00154796">
        <w:rPr>
          <w:b/>
        </w:rPr>
        <w:t>4.</w:t>
      </w:r>
      <w:r w:rsidR="009E26A4" w:rsidRPr="00154796">
        <w:rPr>
          <w:b/>
        </w:rPr>
        <w:tab/>
      </w:r>
      <w:r w:rsidR="00DB5EFB" w:rsidRPr="00154796">
        <w:rPr>
          <w:b/>
        </w:rPr>
        <w:t xml:space="preserve">STAFF’S RESPONSES TO </w:t>
      </w:r>
      <w:r w:rsidR="00FB6F1E" w:rsidRPr="00154796">
        <w:rPr>
          <w:b/>
        </w:rPr>
        <w:t xml:space="preserve">PACIFIC POWER’S </w:t>
      </w:r>
      <w:r w:rsidR="00DB5EFB" w:rsidRPr="00154796">
        <w:rPr>
          <w:b/>
        </w:rPr>
        <w:t>ALTERNATIVE PROPOSALS TO ADDRESS UNDER</w:t>
      </w:r>
      <w:r w:rsidR="00027D28">
        <w:rPr>
          <w:b/>
        </w:rPr>
        <w:t>-</w:t>
      </w:r>
      <w:r w:rsidR="00DB5EFB" w:rsidRPr="00154796">
        <w:rPr>
          <w:b/>
        </w:rPr>
        <w:t>RECOVERY</w:t>
      </w:r>
      <w:bookmarkEnd w:id="66"/>
      <w:bookmarkEnd w:id="67"/>
      <w:bookmarkEnd w:id="68"/>
      <w:bookmarkEnd w:id="69"/>
      <w:bookmarkEnd w:id="70"/>
      <w:bookmarkEnd w:id="71"/>
    </w:p>
    <w:p w14:paraId="4517D1FA" w14:textId="51230111" w:rsidR="00F84C9B" w:rsidRDefault="00F84C9B" w:rsidP="00F84C9B">
      <w:pPr>
        <w:pStyle w:val="Heading2"/>
      </w:pPr>
      <w:r>
        <w:t>Q.</w:t>
      </w:r>
      <w:r>
        <w:tab/>
        <w:t>Please provide an overview of Staff’s recommendation</w:t>
      </w:r>
      <w:r w:rsidR="00154796">
        <w:t>s</w:t>
      </w:r>
      <w:r>
        <w:t xml:space="preserve"> on the Company’s </w:t>
      </w:r>
      <w:r w:rsidR="001E5209">
        <w:t>other proposals</w:t>
      </w:r>
      <w:r w:rsidR="00DB5EFB">
        <w:t xml:space="preserve"> to address </w:t>
      </w:r>
      <w:r w:rsidR="00F63E11">
        <w:t>“</w:t>
      </w:r>
      <w:r w:rsidR="00321D85">
        <w:t xml:space="preserve">chronic </w:t>
      </w:r>
      <w:r w:rsidR="00DB5EFB">
        <w:t>under</w:t>
      </w:r>
      <w:r w:rsidR="00446183">
        <w:t>-</w:t>
      </w:r>
      <w:r w:rsidR="00DB5EFB">
        <w:t>recovery</w:t>
      </w:r>
      <w:r w:rsidR="00A86CEE">
        <w:t>.</w:t>
      </w:r>
      <w:r w:rsidR="00F63E11">
        <w:t>”</w:t>
      </w:r>
      <w:r w:rsidR="00A86CEE">
        <w:rPr>
          <w:rStyle w:val="FootnoteReference"/>
        </w:rPr>
        <w:footnoteReference w:id="10"/>
      </w:r>
    </w:p>
    <w:p w14:paraId="3DDF4FCB" w14:textId="7824DA1D" w:rsidR="009F45EF" w:rsidRDefault="009F45EF" w:rsidP="009F45EF">
      <w:pPr>
        <w:pStyle w:val="NoSpacing"/>
      </w:pPr>
      <w:r>
        <w:t>A.</w:t>
      </w:r>
      <w:r>
        <w:tab/>
      </w:r>
      <w:r w:rsidR="00FB3363">
        <w:t xml:space="preserve">Below I lay out each of the individual proposals and </w:t>
      </w:r>
      <w:r w:rsidR="00DB5EFB">
        <w:t xml:space="preserve">summarize </w:t>
      </w:r>
      <w:r w:rsidR="004560A5">
        <w:t>Staff’s r</w:t>
      </w:r>
      <w:r w:rsidR="00FB3363">
        <w:t>esponse:</w:t>
      </w:r>
    </w:p>
    <w:p w14:paraId="3B04EEC5" w14:textId="2885D44F" w:rsidR="00A86CEE" w:rsidRDefault="00A86CEE" w:rsidP="00FB3363">
      <w:pPr>
        <w:pStyle w:val="NoSpacing"/>
        <w:numPr>
          <w:ilvl w:val="1"/>
          <w:numId w:val="17"/>
        </w:numPr>
      </w:pPr>
      <w:r>
        <w:t xml:space="preserve">End of Period Rate Base Adjustments – </w:t>
      </w:r>
      <w:r w:rsidR="00801262">
        <w:t>T</w:t>
      </w:r>
      <w:r>
        <w:t>he End</w:t>
      </w:r>
      <w:r w:rsidR="004560A5">
        <w:t xml:space="preserve"> of Period Rate Base adjustments</w:t>
      </w:r>
      <w:r>
        <w:t xml:space="preserve"> were accepted by the Commission in the last case as a means of reducing regulatory lag.</w:t>
      </w:r>
      <w:r w:rsidR="00321D85">
        <w:rPr>
          <w:rStyle w:val="FootnoteReference"/>
        </w:rPr>
        <w:footnoteReference w:id="11"/>
      </w:r>
      <w:r w:rsidR="00A3167B">
        <w:t xml:space="preserve"> </w:t>
      </w:r>
      <w:r>
        <w:t xml:space="preserve"> </w:t>
      </w:r>
      <w:r w:rsidR="00F63E11">
        <w:t xml:space="preserve">The Company included </w:t>
      </w:r>
      <w:r w:rsidR="00A3167B">
        <w:t xml:space="preserve">pro forma </w:t>
      </w:r>
      <w:r w:rsidR="00F63E11">
        <w:t>adjustments for End of Period in its direct case as adjustment</w:t>
      </w:r>
      <w:r w:rsidR="00692AE1">
        <w:t>s 6.2, 6.3, and</w:t>
      </w:r>
      <w:r w:rsidR="00F63E11">
        <w:t xml:space="preserve"> </w:t>
      </w:r>
      <w:r w:rsidR="00214F6F">
        <w:t>8.12</w:t>
      </w:r>
      <w:r w:rsidR="00F63E11">
        <w:t xml:space="preserve">.  Staff does not contest </w:t>
      </w:r>
      <w:r w:rsidR="004560A5">
        <w:t>these</w:t>
      </w:r>
      <w:r w:rsidR="00F63E11">
        <w:t xml:space="preserve"> adjustment</w:t>
      </w:r>
      <w:r w:rsidR="004560A5">
        <w:t>s</w:t>
      </w:r>
      <w:r w:rsidR="00F63E11">
        <w:t>.</w:t>
      </w:r>
      <w:r w:rsidR="00107043">
        <w:t xml:space="preserve"> </w:t>
      </w:r>
    </w:p>
    <w:p w14:paraId="4748D51B" w14:textId="4483106B" w:rsidR="00A86CEE" w:rsidRDefault="00296C94" w:rsidP="00FB3363">
      <w:pPr>
        <w:pStyle w:val="NoSpacing"/>
        <w:numPr>
          <w:ilvl w:val="1"/>
          <w:numId w:val="17"/>
        </w:numPr>
      </w:pPr>
      <w:r>
        <w:t>Pro</w:t>
      </w:r>
      <w:r w:rsidR="00A20F6F">
        <w:t xml:space="preserve"> f</w:t>
      </w:r>
      <w:r>
        <w:t xml:space="preserve">orma Capital additions for projects over $250,000 - As discussed by Staff witnesses Betty </w:t>
      </w:r>
      <w:r w:rsidR="00A3167B">
        <w:t>Erdahl</w:t>
      </w:r>
      <w:r>
        <w:t xml:space="preserve">, Commission Staff accepts, with certain updates, the proposed capital additions.  </w:t>
      </w:r>
    </w:p>
    <w:p w14:paraId="502448F8" w14:textId="57005379" w:rsidR="00FB3363" w:rsidRDefault="00291EAA" w:rsidP="00A86CEE">
      <w:pPr>
        <w:pStyle w:val="NoSpacing"/>
        <w:numPr>
          <w:ilvl w:val="1"/>
          <w:numId w:val="17"/>
        </w:numPr>
      </w:pPr>
      <w:r>
        <w:t>Renewable Resource Tracking Mechanism (RRTM)</w:t>
      </w:r>
      <w:r w:rsidR="00FB3363">
        <w:t xml:space="preserve"> – as discussed by </w:t>
      </w:r>
      <w:r w:rsidR="003112C4">
        <w:t>Mr.</w:t>
      </w:r>
      <w:r w:rsidR="00FB3363">
        <w:t xml:space="preserve"> Twitchell</w:t>
      </w:r>
      <w:r w:rsidR="003112C4">
        <w:t xml:space="preserve"> in his direct testimony, Staff </w:t>
      </w:r>
      <w:r>
        <w:t>recommends the Commission reject</w:t>
      </w:r>
      <w:r w:rsidR="003112C4">
        <w:t xml:space="preserve"> </w:t>
      </w:r>
      <w:r w:rsidR="0063303C">
        <w:t>the Company’s</w:t>
      </w:r>
      <w:r w:rsidR="003112C4">
        <w:t xml:space="preserve"> </w:t>
      </w:r>
      <w:r w:rsidR="001D18AE">
        <w:t>proposed mechanism</w:t>
      </w:r>
      <w:r>
        <w:t xml:space="preserve">.  The RRTM </w:t>
      </w:r>
      <w:r w:rsidR="0063303C">
        <w:t xml:space="preserve">as proposed </w:t>
      </w:r>
      <w:r>
        <w:t xml:space="preserve">does not meet the principle foundations of a power cost adjustment mechanism that the </w:t>
      </w:r>
      <w:r>
        <w:lastRenderedPageBreak/>
        <w:t>Commission has laid out in previous orders.</w:t>
      </w:r>
      <w:r>
        <w:rPr>
          <w:rStyle w:val="FootnoteReference"/>
        </w:rPr>
        <w:footnoteReference w:id="12"/>
      </w:r>
      <w:r>
        <w:t xml:space="preserve">  </w:t>
      </w:r>
      <w:r w:rsidR="00823BC2">
        <w:t xml:space="preserve">Mr. </w:t>
      </w:r>
      <w:r w:rsidR="00F63E11">
        <w:t>Gomez presents a P</w:t>
      </w:r>
      <w:r w:rsidR="002E12EE">
        <w:t xml:space="preserve">CAM </w:t>
      </w:r>
      <w:r w:rsidR="00F63E11">
        <w:t xml:space="preserve">consistent with previous Commission </w:t>
      </w:r>
      <w:r w:rsidR="002E12EE">
        <w:t>guidance and decisions</w:t>
      </w:r>
      <w:r w:rsidR="00F63E11">
        <w:t xml:space="preserve">.  </w:t>
      </w:r>
    </w:p>
    <w:p w14:paraId="1B103BF8" w14:textId="77777777" w:rsidR="00446183" w:rsidRDefault="00446183" w:rsidP="00446183">
      <w:pPr>
        <w:pStyle w:val="NoSpacing"/>
      </w:pPr>
    </w:p>
    <w:p w14:paraId="58D965D2" w14:textId="06F3603F" w:rsidR="00446183" w:rsidRDefault="00446183" w:rsidP="00446183">
      <w:pPr>
        <w:pStyle w:val="Heading2"/>
      </w:pPr>
      <w:r>
        <w:t>Q.</w:t>
      </w:r>
      <w:r>
        <w:tab/>
        <w:t xml:space="preserve">Are there </w:t>
      </w:r>
      <w:r w:rsidR="00214F6F">
        <w:t xml:space="preserve">other </w:t>
      </w:r>
      <w:r>
        <w:t xml:space="preserve">mechanisms available to the Company to help alleviate its </w:t>
      </w:r>
      <w:r w:rsidR="00785500">
        <w:t xml:space="preserve">alleged </w:t>
      </w:r>
      <w:r>
        <w:t>“</w:t>
      </w:r>
      <w:r w:rsidR="00214F6F">
        <w:t xml:space="preserve">chronic </w:t>
      </w:r>
      <w:r>
        <w:t>under-recovery”</w:t>
      </w:r>
      <w:r w:rsidR="00214F6F">
        <w:rPr>
          <w:rStyle w:val="FootnoteReference"/>
        </w:rPr>
        <w:footnoteReference w:id="13"/>
      </w:r>
      <w:r>
        <w:t>?</w:t>
      </w:r>
    </w:p>
    <w:p w14:paraId="27240321" w14:textId="71B7B692" w:rsidR="00446183" w:rsidRDefault="00446183" w:rsidP="00446183">
      <w:pPr>
        <w:pStyle w:val="NoSpacing"/>
      </w:pPr>
      <w:r>
        <w:t>A.</w:t>
      </w:r>
      <w:r>
        <w:tab/>
        <w:t xml:space="preserve">Yes.  The Company has the option to use other regulatory mechanisms such as Expedited Rate Filings – </w:t>
      </w:r>
      <w:r w:rsidR="00115A91">
        <w:t>this was</w:t>
      </w:r>
      <w:r>
        <w:t xml:space="preserve"> proposed by Staff in the previous case.</w:t>
      </w:r>
      <w:r w:rsidR="00FD50D9">
        <w:rPr>
          <w:rStyle w:val="FootnoteReference"/>
        </w:rPr>
        <w:footnoteReference w:id="14"/>
      </w:r>
      <w:r>
        <w:t xml:space="preserve">  To this point, the Company has not come forward with requests for decoupling, attrition, or an appropriate </w:t>
      </w:r>
      <w:r w:rsidR="00C61139">
        <w:t>PCAM</w:t>
      </w:r>
      <w:r>
        <w:t xml:space="preserve">. </w:t>
      </w:r>
      <w:r w:rsidR="00A3167B">
        <w:t xml:space="preserve"> </w:t>
      </w:r>
      <w:r>
        <w:t xml:space="preserve">The Commission has provided guidance on all of these mechanisms and approved their use for other utilities operating within the state.  </w:t>
      </w:r>
    </w:p>
    <w:p w14:paraId="2B98DAA9" w14:textId="77777777" w:rsidR="00446183" w:rsidRDefault="00446183" w:rsidP="00446183">
      <w:pPr>
        <w:pStyle w:val="NoSpacing"/>
      </w:pPr>
    </w:p>
    <w:p w14:paraId="22095EC9" w14:textId="77777777" w:rsidR="00446183" w:rsidRDefault="00446183" w:rsidP="00446183">
      <w:pPr>
        <w:pStyle w:val="Heading2"/>
      </w:pPr>
      <w:r>
        <w:t>Q.</w:t>
      </w:r>
      <w:r>
        <w:tab/>
        <w:t xml:space="preserve">Does the use of the WCA aggravate the Company’s under-recovery? </w:t>
      </w:r>
    </w:p>
    <w:p w14:paraId="5C86133E" w14:textId="14EDF12F" w:rsidR="00446183" w:rsidRDefault="00446183" w:rsidP="00446183">
      <w:pPr>
        <w:pStyle w:val="NoSpacing"/>
      </w:pPr>
      <w:r>
        <w:t>A.</w:t>
      </w:r>
      <w:r>
        <w:tab/>
        <w:t>No.  Th</w:t>
      </w:r>
      <w:r w:rsidR="00BA55A1">
        <w:t xml:space="preserve">is Commission adopted the </w:t>
      </w:r>
      <w:r w:rsidR="000147CD">
        <w:t>WCA as</w:t>
      </w:r>
      <w:r>
        <w:t xml:space="preserve"> </w:t>
      </w:r>
      <w:r w:rsidR="00285138">
        <w:t xml:space="preserve">the </w:t>
      </w:r>
      <w:r>
        <w:t xml:space="preserve">allocation methodology to </w:t>
      </w:r>
      <w:r w:rsidR="00285138">
        <w:t>apportion</w:t>
      </w:r>
      <w:r>
        <w:t xml:space="preserve"> costs </w:t>
      </w:r>
      <w:r w:rsidR="00285138">
        <w:t xml:space="preserve">to </w:t>
      </w:r>
      <w:r w:rsidR="000147CD">
        <w:t xml:space="preserve">Pacific Power’s </w:t>
      </w:r>
      <w:r>
        <w:t xml:space="preserve">six jurisdictions.  The WCA </w:t>
      </w:r>
      <w:r w:rsidR="00115A91">
        <w:t>allocations</w:t>
      </w:r>
      <w:r w:rsidR="00285138">
        <w:t xml:space="preserve"> </w:t>
      </w:r>
      <w:r>
        <w:t xml:space="preserve">to Washington </w:t>
      </w:r>
      <w:r w:rsidR="00285138">
        <w:t>fully consider all aspects of the electric plant in servi</w:t>
      </w:r>
      <w:r w:rsidR="000147CD">
        <w:t>ce</w:t>
      </w:r>
      <w:r w:rsidR="00115A91">
        <w:t xml:space="preserve"> used</w:t>
      </w:r>
      <w:r w:rsidR="000147CD">
        <w:t xml:space="preserve"> to meet the needs of Pacific Power’</w:t>
      </w:r>
      <w:r w:rsidR="00285138">
        <w:t xml:space="preserve">s Washington customers and the costs necessary to provide that service.  The rates developed from those costs give </w:t>
      </w:r>
      <w:r>
        <w:t xml:space="preserve">the Company </w:t>
      </w:r>
      <w:r w:rsidR="00285138">
        <w:t xml:space="preserve">a fair opportunity </w:t>
      </w:r>
      <w:r>
        <w:t xml:space="preserve">to achieve its </w:t>
      </w:r>
      <w:r w:rsidR="002B5BB5">
        <w:t xml:space="preserve">authorized </w:t>
      </w:r>
      <w:r>
        <w:t xml:space="preserve">rate of return in Washington.  Washington ratepayers are not liable for under-recovery that </w:t>
      </w:r>
      <w:r w:rsidR="00285138">
        <w:t xml:space="preserve">may </w:t>
      </w:r>
      <w:r>
        <w:t xml:space="preserve">occur as a result of </w:t>
      </w:r>
      <w:r w:rsidR="000147CD">
        <w:t>an</w:t>
      </w:r>
      <w:r>
        <w:t>other jurisdiction</w:t>
      </w:r>
      <w:r w:rsidR="000147CD">
        <w:t>’</w:t>
      </w:r>
      <w:r>
        <w:t xml:space="preserve">s allocation methodologies.  The </w:t>
      </w:r>
      <w:r>
        <w:lastRenderedPageBreak/>
        <w:t xml:space="preserve">Company explicitly agreed to this </w:t>
      </w:r>
      <w:r w:rsidR="00285138">
        <w:t xml:space="preserve">potential outcome </w:t>
      </w:r>
      <w:r>
        <w:t xml:space="preserve">in the merger between Pacific Power &amp; Light </w:t>
      </w:r>
      <w:r w:rsidR="001A037F">
        <w:t xml:space="preserve">Company </w:t>
      </w:r>
      <w:r>
        <w:t xml:space="preserve">and </w:t>
      </w:r>
      <w:r w:rsidR="00285138">
        <w:t>Utah</w:t>
      </w:r>
      <w:r>
        <w:t xml:space="preserve"> Power</w:t>
      </w:r>
      <w:r w:rsidR="00285138">
        <w:t xml:space="preserve"> &amp; Light Company.</w:t>
      </w:r>
      <w:r>
        <w:rPr>
          <w:rStyle w:val="FootnoteReference"/>
        </w:rPr>
        <w:footnoteReference w:id="15"/>
      </w:r>
      <w:r>
        <w:t xml:space="preserve">   </w:t>
      </w:r>
    </w:p>
    <w:p w14:paraId="1E9D23A4" w14:textId="77777777" w:rsidR="00446183" w:rsidRDefault="00446183" w:rsidP="00446183">
      <w:pPr>
        <w:pStyle w:val="NoSpacing"/>
      </w:pPr>
    </w:p>
    <w:p w14:paraId="0D6D168F" w14:textId="4212CAF9" w:rsidR="00446183" w:rsidRPr="00310481" w:rsidRDefault="00446183" w:rsidP="00446183">
      <w:pPr>
        <w:pStyle w:val="Heading2"/>
      </w:pPr>
      <w:r>
        <w:t>Q.</w:t>
      </w:r>
      <w:r>
        <w:tab/>
        <w:t>Can the Company’s concern about “allocation gaps”</w:t>
      </w:r>
      <w:r w:rsidR="00027D28">
        <w:rPr>
          <w:rStyle w:val="FootnoteReference"/>
        </w:rPr>
        <w:footnoteReference w:id="16"/>
      </w:r>
      <w:r>
        <w:t xml:space="preserve"> be addressed in a proceeding such as this?</w:t>
      </w:r>
    </w:p>
    <w:p w14:paraId="2D072678" w14:textId="769BF03C" w:rsidR="00446183" w:rsidRDefault="00446183" w:rsidP="00446183">
      <w:pPr>
        <w:pStyle w:val="NoSpacing"/>
      </w:pPr>
      <w:r>
        <w:t xml:space="preserve">A. </w:t>
      </w:r>
      <w:r>
        <w:tab/>
        <w:t>No.  Inter-jurisdictional “allocation gaps”</w:t>
      </w:r>
      <w:r w:rsidR="00027D28">
        <w:rPr>
          <w:rStyle w:val="FootnoteReference"/>
        </w:rPr>
        <w:footnoteReference w:id="17"/>
      </w:r>
      <w:r>
        <w:t xml:space="preserve"> need to be addressed in a forum which includes participants from all of </w:t>
      </w:r>
      <w:r w:rsidR="001A037F">
        <w:t xml:space="preserve">Pacific Power’s </w:t>
      </w:r>
      <w:r>
        <w:t>operating jurisdictions.  Staff continues to be active participants in the latest multi-state process meetings which are attempting to address these issues.  These meeting</w:t>
      </w:r>
      <w:r w:rsidR="00285138">
        <w:t>s</w:t>
      </w:r>
      <w:r>
        <w:t xml:space="preserve"> seek to resolve inter-jurisdictional cost allocation issues with </w:t>
      </w:r>
      <w:r w:rsidR="001A037F">
        <w:t xml:space="preserve">Pacific Power </w:t>
      </w:r>
      <w:r>
        <w:t xml:space="preserve">by engaging all six states in a collaborative environment.  </w:t>
      </w:r>
    </w:p>
    <w:p w14:paraId="065B9E1E" w14:textId="77777777" w:rsidR="009E26A4" w:rsidRDefault="009E26A4" w:rsidP="00446183">
      <w:pPr>
        <w:pStyle w:val="NoSpacing"/>
      </w:pPr>
    </w:p>
    <w:p w14:paraId="03CD942F" w14:textId="72BEF25F" w:rsidR="00DB5EFB" w:rsidRPr="00BA55A1" w:rsidRDefault="00DB5EFB" w:rsidP="00BA55A1">
      <w:pPr>
        <w:pStyle w:val="Heading4"/>
        <w:ind w:left="1440"/>
        <w:rPr>
          <w:b/>
        </w:rPr>
      </w:pPr>
      <w:bookmarkStart w:id="72" w:name="_Toc400466359"/>
      <w:bookmarkStart w:id="73" w:name="_Toc400466474"/>
      <w:bookmarkStart w:id="74" w:name="_Toc400467787"/>
      <w:bookmarkStart w:id="75" w:name="_Toc400626952"/>
      <w:bookmarkStart w:id="76" w:name="_Toc400626995"/>
      <w:bookmarkStart w:id="77" w:name="_Toc400627188"/>
      <w:r w:rsidRPr="00BA55A1">
        <w:rPr>
          <w:b/>
        </w:rPr>
        <w:t>5.</w:t>
      </w:r>
      <w:r w:rsidRPr="00BA55A1">
        <w:rPr>
          <w:b/>
        </w:rPr>
        <w:tab/>
        <w:t>SUMMARY OF ST</w:t>
      </w:r>
      <w:r w:rsidR="003849F0" w:rsidRPr="00BA55A1">
        <w:rPr>
          <w:b/>
        </w:rPr>
        <w:t xml:space="preserve">AFF’S POSITIONS ON CONSOLIDATED </w:t>
      </w:r>
      <w:r w:rsidRPr="00BA55A1">
        <w:rPr>
          <w:b/>
        </w:rPr>
        <w:t>ACCOUNTING PETITIONS</w:t>
      </w:r>
      <w:bookmarkEnd w:id="72"/>
      <w:bookmarkEnd w:id="73"/>
      <w:bookmarkEnd w:id="74"/>
      <w:bookmarkEnd w:id="75"/>
      <w:bookmarkEnd w:id="76"/>
      <w:bookmarkEnd w:id="77"/>
    </w:p>
    <w:p w14:paraId="00BA73CB" w14:textId="77777777" w:rsidR="00F4481B" w:rsidRDefault="00F4481B" w:rsidP="00F4481B">
      <w:pPr>
        <w:pStyle w:val="Heading2"/>
      </w:pPr>
      <w:r>
        <w:t>Q.</w:t>
      </w:r>
      <w:r>
        <w:tab/>
        <w:t>Please provide an overview of Staff’s response to the accounting petitions consolidated in this docket</w:t>
      </w:r>
    </w:p>
    <w:p w14:paraId="0BF8E660" w14:textId="77777777" w:rsidR="00F4481B" w:rsidRDefault="00F4481B" w:rsidP="00F4481B">
      <w:pPr>
        <w:pStyle w:val="NoSpacing"/>
      </w:pPr>
      <w:r>
        <w:t>A.</w:t>
      </w:r>
      <w:r>
        <w:tab/>
        <w:t xml:space="preserve">I summarize Staff’s treatment of each deferral and their effect on revenue requirement below:  </w:t>
      </w:r>
    </w:p>
    <w:p w14:paraId="66AAAA1F" w14:textId="162A291B" w:rsidR="00F4481B" w:rsidRDefault="00F4481B" w:rsidP="00F4481B">
      <w:pPr>
        <w:pStyle w:val="NoSpacing"/>
        <w:numPr>
          <w:ilvl w:val="0"/>
          <w:numId w:val="25"/>
        </w:numPr>
      </w:pPr>
      <w:r>
        <w:lastRenderedPageBreak/>
        <w:t>Colstrip</w:t>
      </w:r>
      <w:r w:rsidR="005873B6">
        <w:t xml:space="preserve"> </w:t>
      </w:r>
      <w:r w:rsidR="00107043">
        <w:t>–</w:t>
      </w:r>
      <w:r w:rsidR="005873B6">
        <w:t xml:space="preserve"> </w:t>
      </w:r>
      <w:r w:rsidR="00107043">
        <w:t xml:space="preserve">Staff recommends that </w:t>
      </w:r>
      <w:r w:rsidR="0031217A">
        <w:t>the</w:t>
      </w:r>
      <w:r w:rsidR="00285138">
        <w:t xml:space="preserve"> </w:t>
      </w:r>
      <w:r w:rsidR="00107043">
        <w:t xml:space="preserve">Colstrip </w:t>
      </w:r>
      <w:r w:rsidR="0050062F">
        <w:t>D</w:t>
      </w:r>
      <w:r w:rsidR="00285138">
        <w:t xml:space="preserve">eferral </w:t>
      </w:r>
      <w:r w:rsidR="00653040">
        <w:t xml:space="preserve">be </w:t>
      </w:r>
      <w:r w:rsidR="00285138">
        <w:t xml:space="preserve">allowed </w:t>
      </w:r>
      <w:r w:rsidR="0031217A">
        <w:t xml:space="preserve">and </w:t>
      </w:r>
      <w:r w:rsidR="00653040">
        <w:t>recovered through general rates</w:t>
      </w:r>
      <w:r w:rsidR="00285138">
        <w:t xml:space="preserve"> over one year</w:t>
      </w:r>
      <w:r w:rsidR="000F1BDA">
        <w:t>.</w:t>
      </w:r>
      <w:r w:rsidR="00653040">
        <w:t xml:space="preserve"> Staff </w:t>
      </w:r>
      <w:r w:rsidR="0031217A">
        <w:t>revises</w:t>
      </w:r>
      <w:r w:rsidR="00285138">
        <w:t xml:space="preserve"> </w:t>
      </w:r>
      <w:r w:rsidR="00653040">
        <w:t>the deferral amount</w:t>
      </w:r>
      <w:r w:rsidR="00285138">
        <w:t xml:space="preserve"> </w:t>
      </w:r>
      <w:r w:rsidR="0031217A">
        <w:t xml:space="preserve">to remove interest </w:t>
      </w:r>
      <w:r w:rsidR="00285138">
        <w:t xml:space="preserve">as described in Ms. </w:t>
      </w:r>
      <w:proofErr w:type="spellStart"/>
      <w:r w:rsidR="00285138">
        <w:t>Erdahl’s</w:t>
      </w:r>
      <w:proofErr w:type="spellEnd"/>
      <w:r w:rsidR="00285138">
        <w:t xml:space="preserve"> testimony</w:t>
      </w:r>
      <w:r w:rsidR="00653040">
        <w:t xml:space="preserve">. </w:t>
      </w:r>
    </w:p>
    <w:p w14:paraId="3C4D43E9" w14:textId="03ED1330" w:rsidR="00F4481B" w:rsidRDefault="00F4481B" w:rsidP="00F4481B">
      <w:pPr>
        <w:pStyle w:val="NoSpacing"/>
        <w:numPr>
          <w:ilvl w:val="0"/>
          <w:numId w:val="25"/>
        </w:numPr>
      </w:pPr>
      <w:r>
        <w:t>Depreciation expense</w:t>
      </w:r>
      <w:r w:rsidR="00653040">
        <w:t xml:space="preserve"> - Staff recommends that the Depreciation Deferral be </w:t>
      </w:r>
      <w:r w:rsidR="00285138">
        <w:t>allowed</w:t>
      </w:r>
      <w:r w:rsidR="00653040">
        <w:t xml:space="preserve"> and recovered through general rates</w:t>
      </w:r>
      <w:r w:rsidR="00285138">
        <w:t xml:space="preserve"> over one year</w:t>
      </w:r>
      <w:r w:rsidR="000F1BDA">
        <w:t>.</w:t>
      </w:r>
      <w:r w:rsidR="00653040">
        <w:t xml:space="preserve">  </w:t>
      </w:r>
      <w:r w:rsidR="00285138">
        <w:t xml:space="preserve">Staff revised the deferral amount </w:t>
      </w:r>
      <w:r w:rsidR="000A5362">
        <w:t xml:space="preserve">to remove interest </w:t>
      </w:r>
      <w:r w:rsidR="00285138">
        <w:t xml:space="preserve">as described in Ms. </w:t>
      </w:r>
      <w:proofErr w:type="spellStart"/>
      <w:r w:rsidR="00285138">
        <w:t>Erdahl’s</w:t>
      </w:r>
      <w:proofErr w:type="spellEnd"/>
      <w:r w:rsidR="00285138">
        <w:t xml:space="preserve"> testimony.</w:t>
      </w:r>
      <w:r w:rsidR="00285138" w:rsidDel="00285138">
        <w:t xml:space="preserve"> </w:t>
      </w:r>
    </w:p>
    <w:p w14:paraId="7B331F4D" w14:textId="070345C1" w:rsidR="00F4481B" w:rsidRDefault="00F4481B" w:rsidP="00F4481B">
      <w:pPr>
        <w:pStyle w:val="NoSpacing"/>
        <w:numPr>
          <w:ilvl w:val="0"/>
          <w:numId w:val="25"/>
        </w:numPr>
      </w:pPr>
      <w:r>
        <w:t>Hydro Generation</w:t>
      </w:r>
      <w:r w:rsidR="00653040">
        <w:t xml:space="preserve"> - Staff recommends that the Hydro Deferral </w:t>
      </w:r>
      <w:r w:rsidR="00027EC1">
        <w:t xml:space="preserve">be denied </w:t>
      </w:r>
      <w:r w:rsidR="00285138">
        <w:t>as described in Mr. Gomez’s testimony</w:t>
      </w:r>
      <w:r w:rsidR="00653040">
        <w:t>.</w:t>
      </w:r>
    </w:p>
    <w:p w14:paraId="7344CF1F" w14:textId="546140B4" w:rsidR="00F4481B" w:rsidRDefault="00F4481B" w:rsidP="00F4481B">
      <w:pPr>
        <w:pStyle w:val="NoSpacing"/>
        <w:numPr>
          <w:ilvl w:val="0"/>
          <w:numId w:val="25"/>
        </w:numPr>
      </w:pPr>
      <w:proofErr w:type="spellStart"/>
      <w:r>
        <w:t>Merwin</w:t>
      </w:r>
      <w:proofErr w:type="spellEnd"/>
      <w:r w:rsidR="000F1BDA">
        <w:t xml:space="preserve"> Fish </w:t>
      </w:r>
      <w:r w:rsidR="006829EB">
        <w:t xml:space="preserve">Collector </w:t>
      </w:r>
      <w:r w:rsidR="000F1BDA">
        <w:t xml:space="preserve">Project - Staff recommends that the </w:t>
      </w:r>
      <w:proofErr w:type="spellStart"/>
      <w:r w:rsidR="000F1BDA">
        <w:t>Merwin</w:t>
      </w:r>
      <w:proofErr w:type="spellEnd"/>
      <w:r w:rsidR="000F1BDA">
        <w:t xml:space="preserve"> Deferral be </w:t>
      </w:r>
      <w:r w:rsidR="00285138">
        <w:t>allowed as adjusted</w:t>
      </w:r>
      <w:r w:rsidR="000F1BDA">
        <w:t xml:space="preserve"> and recovered through general rates</w:t>
      </w:r>
      <w:r w:rsidR="00285138">
        <w:t xml:space="preserve"> over one year</w:t>
      </w:r>
      <w:r w:rsidR="000F1BDA">
        <w:t xml:space="preserve">.  As discussed in Section </w:t>
      </w:r>
      <w:r w:rsidR="001127CE">
        <w:t>V</w:t>
      </w:r>
      <w:r w:rsidR="0031217A">
        <w:t>I</w:t>
      </w:r>
      <w:r w:rsidR="001127CE">
        <w:t xml:space="preserve"> </w:t>
      </w:r>
      <w:r w:rsidR="000F1BDA">
        <w:t xml:space="preserve">of my testimony, Staff’s proposal reduces the total deferral amount to </w:t>
      </w:r>
      <w:r w:rsidR="001127CE">
        <w:t>$486,471</w:t>
      </w:r>
      <w:r w:rsidR="000F1BDA">
        <w:t xml:space="preserve">.  </w:t>
      </w:r>
    </w:p>
    <w:p w14:paraId="16B98F9B" w14:textId="77777777" w:rsidR="00535EE8" w:rsidRDefault="00535EE8" w:rsidP="00BA55A1">
      <w:pPr>
        <w:pStyle w:val="NoSpacing"/>
      </w:pPr>
    </w:p>
    <w:p w14:paraId="6C86627C" w14:textId="756604BE" w:rsidR="000A5C16" w:rsidRPr="00141047" w:rsidRDefault="00063995" w:rsidP="001C0F2D">
      <w:pPr>
        <w:pStyle w:val="Heading1"/>
      </w:pPr>
      <w:bookmarkStart w:id="78" w:name="_Toc400466360"/>
      <w:bookmarkStart w:id="79" w:name="_Toc400466475"/>
      <w:bookmarkStart w:id="80" w:name="_Toc400467788"/>
      <w:bookmarkStart w:id="81" w:name="_Toc400626953"/>
      <w:bookmarkStart w:id="82" w:name="_Toc400626996"/>
      <w:bookmarkStart w:id="83" w:name="_Toc400627189"/>
      <w:r w:rsidRPr="00141047">
        <w:t>A</w:t>
      </w:r>
      <w:r w:rsidR="00CC3B76" w:rsidRPr="00141047">
        <w:t>CCOUNTING</w:t>
      </w:r>
      <w:r w:rsidRPr="00141047">
        <w:t xml:space="preserve"> ADJUSTMENTS</w:t>
      </w:r>
      <w:bookmarkEnd w:id="78"/>
      <w:bookmarkEnd w:id="79"/>
      <w:bookmarkEnd w:id="80"/>
      <w:bookmarkEnd w:id="81"/>
      <w:bookmarkEnd w:id="82"/>
      <w:bookmarkEnd w:id="83"/>
      <w:r w:rsidRPr="00141047">
        <w:t xml:space="preserve"> </w:t>
      </w:r>
    </w:p>
    <w:p w14:paraId="70360485" w14:textId="77777777" w:rsidR="00535EE8" w:rsidRPr="00535EE8" w:rsidRDefault="00535EE8" w:rsidP="00535EE8">
      <w:pPr>
        <w:pStyle w:val="Heading2"/>
      </w:pPr>
    </w:p>
    <w:p w14:paraId="52F0D483" w14:textId="502F9D2F" w:rsidR="00285138" w:rsidRPr="00BA55A1" w:rsidRDefault="00285138" w:rsidP="00535EE8">
      <w:pPr>
        <w:pStyle w:val="Heading3"/>
        <w:rPr>
          <w:b/>
        </w:rPr>
      </w:pPr>
      <w:bookmarkStart w:id="84" w:name="_Toc400466361"/>
      <w:bookmarkStart w:id="85" w:name="_Toc400466476"/>
      <w:bookmarkStart w:id="86" w:name="_Toc400467789"/>
      <w:bookmarkStart w:id="87" w:name="_Toc400626954"/>
      <w:bookmarkStart w:id="88" w:name="_Toc400626997"/>
      <w:bookmarkStart w:id="89" w:name="_Toc400627190"/>
      <w:bookmarkEnd w:id="28"/>
      <w:bookmarkEnd w:id="29"/>
      <w:r w:rsidRPr="00BA55A1">
        <w:rPr>
          <w:b/>
        </w:rPr>
        <w:t xml:space="preserve">A. </w:t>
      </w:r>
      <w:r w:rsidR="00063995" w:rsidRPr="00BA55A1">
        <w:rPr>
          <w:b/>
        </w:rPr>
        <w:t>ADJUSTMENT 4.7, INSURANCE EXPENSE</w:t>
      </w:r>
      <w:bookmarkEnd w:id="84"/>
      <w:bookmarkEnd w:id="85"/>
      <w:bookmarkEnd w:id="86"/>
      <w:bookmarkEnd w:id="87"/>
      <w:bookmarkEnd w:id="88"/>
      <w:bookmarkEnd w:id="89"/>
    </w:p>
    <w:p w14:paraId="60A0E6CD" w14:textId="77777777" w:rsidR="00285138" w:rsidRPr="000F17F7" w:rsidRDefault="00285138" w:rsidP="00063995">
      <w:pPr>
        <w:pStyle w:val="BodyTextIndent"/>
        <w:spacing w:after="0" w:line="480" w:lineRule="auto"/>
        <w:ind w:left="0"/>
      </w:pPr>
      <w:r w:rsidRPr="000F17F7">
        <w:rPr>
          <w:rStyle w:val="T11"/>
        </w:rPr>
        <w:t>Q.</w:t>
      </w:r>
      <w:r w:rsidRPr="000F17F7">
        <w:rPr>
          <w:rStyle w:val="T11"/>
        </w:rPr>
        <w:tab/>
        <w:t xml:space="preserve">Please summarize the Company’s </w:t>
      </w:r>
      <w:r w:rsidRPr="00E20C6D">
        <w:rPr>
          <w:b/>
        </w:rPr>
        <w:t xml:space="preserve">Adjustment </w:t>
      </w:r>
      <w:r>
        <w:rPr>
          <w:b/>
        </w:rPr>
        <w:t>4.7</w:t>
      </w:r>
      <w:r w:rsidRPr="00E20C6D">
        <w:rPr>
          <w:b/>
        </w:rPr>
        <w:t xml:space="preserve">, </w:t>
      </w:r>
      <w:r>
        <w:rPr>
          <w:b/>
        </w:rPr>
        <w:t>Insurance Expense</w:t>
      </w:r>
      <w:r w:rsidRPr="000F17F7">
        <w:rPr>
          <w:rStyle w:val="T11"/>
        </w:rPr>
        <w:t>.</w:t>
      </w:r>
    </w:p>
    <w:p w14:paraId="17C34016" w14:textId="7D5B0F6A" w:rsidR="00285138" w:rsidRDefault="00285138" w:rsidP="00285138">
      <w:pPr>
        <w:pStyle w:val="BodyTextIndent"/>
        <w:spacing w:after="0" w:line="480" w:lineRule="auto"/>
        <w:ind w:left="720" w:hanging="720"/>
      </w:pPr>
      <w:r w:rsidRPr="000F17F7">
        <w:t>A.</w:t>
      </w:r>
      <w:r w:rsidRPr="000F17F7">
        <w:tab/>
      </w:r>
      <w:r>
        <w:t xml:space="preserve">The </w:t>
      </w:r>
      <w:r w:rsidR="00246476">
        <w:t>adjustment</w:t>
      </w:r>
      <w:r>
        <w:t xml:space="preserve"> replace</w:t>
      </w:r>
      <w:r w:rsidR="00246476">
        <w:t>s</w:t>
      </w:r>
      <w:r>
        <w:t xml:space="preserve"> the per-books base period liability and property damage expense with a rolling six-year average.</w:t>
      </w:r>
      <w:r w:rsidRPr="00826E14">
        <w:t xml:space="preserve">  </w:t>
      </w:r>
      <w:r w:rsidR="00115ECA">
        <w:t>A</w:t>
      </w:r>
      <w:r w:rsidR="00246476">
        <w:t xml:space="preserve"> rolling average is </w:t>
      </w:r>
      <w:r w:rsidR="00115ECA">
        <w:t xml:space="preserve">representative of fluctuations </w:t>
      </w:r>
      <w:r w:rsidR="0055215C">
        <w:t xml:space="preserve">occurring in insurance expenses year over year.  </w:t>
      </w:r>
      <w:r w:rsidR="00115ECA">
        <w:t xml:space="preserve"> </w:t>
      </w:r>
    </w:p>
    <w:p w14:paraId="06B8A0FA" w14:textId="77777777" w:rsidR="00BA55A1" w:rsidRDefault="00BA55A1" w:rsidP="00BA55A1">
      <w:pPr>
        <w:pStyle w:val="BodyTextIndent"/>
        <w:spacing w:after="0" w:line="480" w:lineRule="auto"/>
        <w:ind w:left="720" w:hanging="720"/>
        <w:rPr>
          <w:rStyle w:val="T11"/>
        </w:rPr>
      </w:pPr>
    </w:p>
    <w:p w14:paraId="5A98B8E6" w14:textId="1F82ECA7" w:rsidR="00E014F2" w:rsidRPr="001114CE" w:rsidRDefault="001114CE" w:rsidP="001114CE">
      <w:pPr>
        <w:pStyle w:val="Heading2"/>
        <w:rPr>
          <w:rStyle w:val="T11"/>
          <w:b/>
        </w:rPr>
      </w:pPr>
      <w:r w:rsidRPr="001114CE">
        <w:rPr>
          <w:rStyle w:val="T11"/>
          <w:b/>
        </w:rPr>
        <w:t>Q.</w:t>
      </w:r>
      <w:r w:rsidRPr="001114CE">
        <w:rPr>
          <w:rStyle w:val="T11"/>
          <w:b/>
        </w:rPr>
        <w:tab/>
        <w:t xml:space="preserve">Does Staff </w:t>
      </w:r>
      <w:r w:rsidR="0007275F">
        <w:rPr>
          <w:rStyle w:val="T11"/>
          <w:b/>
        </w:rPr>
        <w:t>propose</w:t>
      </w:r>
      <w:r w:rsidRPr="001114CE">
        <w:rPr>
          <w:rStyle w:val="T11"/>
          <w:b/>
        </w:rPr>
        <w:t xml:space="preserve"> any changes to this adjustment?</w:t>
      </w:r>
    </w:p>
    <w:p w14:paraId="0754D99A" w14:textId="6A5930A5" w:rsidR="00E014F2" w:rsidRPr="003161B5" w:rsidRDefault="001114CE" w:rsidP="001114CE">
      <w:pPr>
        <w:pStyle w:val="NoSpacing"/>
        <w:rPr>
          <w:rStyle w:val="T11"/>
          <w:b w:val="0"/>
        </w:rPr>
      </w:pPr>
      <w:r w:rsidRPr="001114CE">
        <w:rPr>
          <w:rStyle w:val="T11"/>
          <w:b w:val="0"/>
        </w:rPr>
        <w:lastRenderedPageBreak/>
        <w:t>A.</w:t>
      </w:r>
      <w:r w:rsidRPr="001114CE">
        <w:rPr>
          <w:rStyle w:val="T11"/>
          <w:b w:val="0"/>
        </w:rPr>
        <w:tab/>
      </w:r>
      <w:r>
        <w:rPr>
          <w:rStyle w:val="T11"/>
          <w:b w:val="0"/>
        </w:rPr>
        <w:t>Yes.  S</w:t>
      </w:r>
      <w:r w:rsidR="00E014F2">
        <w:t>taff</w:t>
      </w:r>
      <w:r>
        <w:t xml:space="preserve"> </w:t>
      </w:r>
      <w:r w:rsidR="00E014F2">
        <w:rPr>
          <w:rStyle w:val="T11"/>
          <w:b w:val="0"/>
        </w:rPr>
        <w:t xml:space="preserve">calculates a </w:t>
      </w:r>
      <w:r w:rsidR="00E014F2">
        <w:t xml:space="preserve">rolling six-year average insurance expense </w:t>
      </w:r>
      <w:r>
        <w:t xml:space="preserve">using the </w:t>
      </w:r>
      <w:r w:rsidR="00E014F2">
        <w:t>2007 insurance expense level of $10,087,289 in place of the 2012 insurance expense level of $30,859,248</w:t>
      </w:r>
      <w:r w:rsidR="00E014F2">
        <w:rPr>
          <w:rStyle w:val="T11"/>
        </w:rPr>
        <w:t xml:space="preserve">.  </w:t>
      </w:r>
    </w:p>
    <w:p w14:paraId="7B182983" w14:textId="77777777" w:rsidR="00E014F2" w:rsidRDefault="00E014F2" w:rsidP="00BA55A1">
      <w:pPr>
        <w:pStyle w:val="BodyTextIndent"/>
        <w:spacing w:after="0" w:line="480" w:lineRule="auto"/>
        <w:ind w:left="720" w:hanging="720"/>
        <w:rPr>
          <w:rStyle w:val="T11"/>
        </w:rPr>
      </w:pPr>
    </w:p>
    <w:p w14:paraId="6C3BA6E3" w14:textId="77777777" w:rsidR="00BA55A1" w:rsidRPr="00C67205" w:rsidRDefault="00BA55A1" w:rsidP="00BA55A1">
      <w:pPr>
        <w:pStyle w:val="BodyTextIndent"/>
        <w:spacing w:after="0" w:line="480" w:lineRule="auto"/>
        <w:ind w:left="720" w:hanging="720"/>
        <w:rPr>
          <w:b/>
        </w:rPr>
      </w:pPr>
      <w:r w:rsidRPr="000F17F7">
        <w:rPr>
          <w:rStyle w:val="T11"/>
        </w:rPr>
        <w:t>Q.</w:t>
      </w:r>
      <w:r w:rsidRPr="000F17F7">
        <w:rPr>
          <w:rStyle w:val="T11"/>
        </w:rPr>
        <w:tab/>
      </w:r>
      <w:r>
        <w:rPr>
          <w:rStyle w:val="T11"/>
        </w:rPr>
        <w:t>Please explain why Staff replaces the 2012 actual insurance expense levels with the 2007 insurance expense levels.</w:t>
      </w:r>
    </w:p>
    <w:p w14:paraId="477E4D92" w14:textId="07AD188D" w:rsidR="00BA55A1" w:rsidRDefault="00BA55A1" w:rsidP="00BA55A1">
      <w:pPr>
        <w:pStyle w:val="BodyTextIndent"/>
        <w:spacing w:after="0" w:line="480" w:lineRule="auto"/>
        <w:ind w:left="720" w:hanging="720"/>
      </w:pPr>
      <w:r w:rsidRPr="000F17F7">
        <w:t>A.</w:t>
      </w:r>
      <w:r w:rsidRPr="000F17F7">
        <w:tab/>
      </w:r>
      <w:r w:rsidR="00F6249D">
        <w:t>T</w:t>
      </w:r>
      <w:r w:rsidR="00F6249D" w:rsidRPr="00826E14">
        <w:t>he</w:t>
      </w:r>
      <w:r w:rsidR="00F6249D">
        <w:rPr>
          <w:rStyle w:val="T11"/>
        </w:rPr>
        <w:t xml:space="preserve"> </w:t>
      </w:r>
      <w:r w:rsidR="00F6249D">
        <w:t xml:space="preserve">replacement of the 2012 insurance expense </w:t>
      </w:r>
      <w:r w:rsidR="00F6249D" w:rsidRPr="003161B5">
        <w:rPr>
          <w:rStyle w:val="T11"/>
          <w:b w:val="0"/>
        </w:rPr>
        <w:t xml:space="preserve">is more representative </w:t>
      </w:r>
      <w:r w:rsidR="00F6249D">
        <w:rPr>
          <w:rStyle w:val="T11"/>
          <w:b w:val="0"/>
        </w:rPr>
        <w:t xml:space="preserve">of the level of expense that is expected to occur during the rate effective period.  </w:t>
      </w:r>
      <w:r>
        <w:t>The</w:t>
      </w:r>
      <w:r w:rsidRPr="005718D8">
        <w:t xml:space="preserve"> </w:t>
      </w:r>
      <w:r>
        <w:t xml:space="preserve">2012 insurance expense of </w:t>
      </w:r>
      <w:r w:rsidR="00A211DE">
        <w:t xml:space="preserve">approximately </w:t>
      </w:r>
      <w:r>
        <w:t>$30</w:t>
      </w:r>
      <w:r w:rsidR="00A211DE">
        <w:t xml:space="preserve">.8 million </w:t>
      </w:r>
      <w:r>
        <w:t>is more than 10 times higher than the</w:t>
      </w:r>
      <w:r w:rsidRPr="005718D8">
        <w:t xml:space="preserve"> </w:t>
      </w:r>
      <w:r>
        <w:t xml:space="preserve">amount in 2011 of </w:t>
      </w:r>
      <w:r w:rsidR="00A211DE">
        <w:t>approximately $2.9 million</w:t>
      </w:r>
      <w:r>
        <w:t>.  The increase in expense is largely due to “increase</w:t>
      </w:r>
      <w:r w:rsidR="00C26B26">
        <w:t>d</w:t>
      </w:r>
      <w:r>
        <w:t xml:space="preserve"> reserves required for certain fires, an oil spill, personal injury claims, and other injuries and damages claims that occurred in 2012.”</w:t>
      </w:r>
      <w:r>
        <w:rPr>
          <w:rStyle w:val="FootnoteReference"/>
        </w:rPr>
        <w:footnoteReference w:id="18"/>
      </w:r>
      <w:r>
        <w:t xml:space="preserve">  </w:t>
      </w:r>
      <w:r w:rsidR="00D04B65">
        <w:t xml:space="preserve">Excluding 2012, </w:t>
      </w:r>
      <w:r>
        <w:t>the highest amount of insurance expense to occur</w:t>
      </w:r>
      <w:r w:rsidR="00D04B65">
        <w:t xml:space="preserve"> since 2007 </w:t>
      </w:r>
      <w:r w:rsidR="00A211DE">
        <w:t>was approximately $10 million</w:t>
      </w:r>
      <w:r>
        <w:t>.  This is a third of the expense</w:t>
      </w:r>
      <w:r w:rsidR="00D04B65">
        <w:t xml:space="preserve"> level </w:t>
      </w:r>
      <w:r>
        <w:t xml:space="preserve">in 2012.  </w:t>
      </w:r>
    </w:p>
    <w:p w14:paraId="5372C4A9" w14:textId="77777777" w:rsidR="00BA55A1" w:rsidRDefault="00BA55A1" w:rsidP="00BA55A1">
      <w:pPr>
        <w:pStyle w:val="BodyTextIndent"/>
        <w:spacing w:after="0" w:line="480" w:lineRule="auto"/>
        <w:ind w:left="720" w:firstLine="720"/>
      </w:pPr>
      <w:r>
        <w:t xml:space="preserve">It is appropriate to </w:t>
      </w:r>
      <w:r w:rsidRPr="0055512D">
        <w:rPr>
          <w:rStyle w:val="T11"/>
          <w:b w:val="0"/>
        </w:rPr>
        <w:t>remove the</w:t>
      </w:r>
      <w:r>
        <w:rPr>
          <w:rStyle w:val="T11"/>
        </w:rPr>
        <w:t xml:space="preserve"> </w:t>
      </w:r>
      <w:r>
        <w:t xml:space="preserve">2012 insurance expense from the average and replace it with a more representative year.  Staff used the next available year, 2007, to calculate a new six-year rolling average for this adjustment.  </w:t>
      </w:r>
    </w:p>
    <w:p w14:paraId="5148DD3E" w14:textId="77777777" w:rsidR="00285138" w:rsidRDefault="00285138" w:rsidP="00285138">
      <w:pPr>
        <w:pStyle w:val="BodyTextIndent"/>
        <w:spacing w:after="0" w:line="480" w:lineRule="auto"/>
        <w:ind w:left="720" w:hanging="720"/>
        <w:rPr>
          <w:rStyle w:val="T11"/>
        </w:rPr>
      </w:pPr>
    </w:p>
    <w:p w14:paraId="274B6831" w14:textId="144B5E37" w:rsidR="00B75EC5" w:rsidRPr="00B75EC5" w:rsidRDefault="00B75EC5" w:rsidP="00B75EC5">
      <w:pPr>
        <w:pStyle w:val="Heading2"/>
        <w:rPr>
          <w:rStyle w:val="T11"/>
          <w:b/>
        </w:rPr>
      </w:pPr>
      <w:r w:rsidRPr="00B75EC5">
        <w:rPr>
          <w:rStyle w:val="T11"/>
          <w:b/>
        </w:rPr>
        <w:t>Q.</w:t>
      </w:r>
      <w:r w:rsidRPr="00B75EC5">
        <w:rPr>
          <w:rStyle w:val="T11"/>
          <w:b/>
        </w:rPr>
        <w:tab/>
        <w:t xml:space="preserve">Have you prepared an exhibit showing Staff’s calculation </w:t>
      </w:r>
      <w:r w:rsidR="00802120">
        <w:rPr>
          <w:rStyle w:val="T11"/>
          <w:b/>
        </w:rPr>
        <w:t>for</w:t>
      </w:r>
      <w:r w:rsidR="00802120" w:rsidRPr="00B75EC5">
        <w:rPr>
          <w:rStyle w:val="T11"/>
          <w:b/>
        </w:rPr>
        <w:t xml:space="preserve"> Adjustment</w:t>
      </w:r>
      <w:r w:rsidRPr="00B75EC5">
        <w:rPr>
          <w:rStyle w:val="T11"/>
          <w:b/>
        </w:rPr>
        <w:t xml:space="preserve"> 4.7? </w:t>
      </w:r>
    </w:p>
    <w:p w14:paraId="1681B4CF" w14:textId="2A38A216" w:rsidR="00B75EC5" w:rsidRPr="004A6F20" w:rsidRDefault="00B75EC5" w:rsidP="00802120">
      <w:pPr>
        <w:pStyle w:val="NoSpacing"/>
        <w:rPr>
          <w:rStyle w:val="T11"/>
          <w:b w:val="0"/>
        </w:rPr>
      </w:pPr>
      <w:r w:rsidRPr="00B75EC5">
        <w:rPr>
          <w:rStyle w:val="T11"/>
          <w:b w:val="0"/>
        </w:rPr>
        <w:t xml:space="preserve"> </w:t>
      </w:r>
      <w:r w:rsidR="004A6F20">
        <w:rPr>
          <w:rStyle w:val="T11"/>
          <w:b w:val="0"/>
        </w:rPr>
        <w:t>A.</w:t>
      </w:r>
      <w:r w:rsidR="004A6F20">
        <w:rPr>
          <w:rStyle w:val="T11"/>
          <w:b w:val="0"/>
        </w:rPr>
        <w:tab/>
        <w:t xml:space="preserve">Yes.  </w:t>
      </w:r>
      <w:r w:rsidR="00C26B26">
        <w:rPr>
          <w:rStyle w:val="T11"/>
          <w:b w:val="0"/>
        </w:rPr>
        <w:t xml:space="preserve">Page 1 of </w:t>
      </w:r>
      <w:r w:rsidR="004A6F20" w:rsidRPr="003161B5">
        <w:rPr>
          <w:rStyle w:val="T11"/>
          <w:b w:val="0"/>
        </w:rPr>
        <w:t>My Exhibit No. __ (J</w:t>
      </w:r>
      <w:r w:rsidR="004A6F20">
        <w:rPr>
          <w:rStyle w:val="T11"/>
          <w:b w:val="0"/>
        </w:rPr>
        <w:t>LB</w:t>
      </w:r>
      <w:r w:rsidR="004A6F20" w:rsidRPr="003161B5">
        <w:rPr>
          <w:rStyle w:val="T11"/>
          <w:b w:val="0"/>
        </w:rPr>
        <w:t>-</w:t>
      </w:r>
      <w:r w:rsidR="00057EA9">
        <w:rPr>
          <w:rStyle w:val="T11"/>
          <w:b w:val="0"/>
        </w:rPr>
        <w:t>3</w:t>
      </w:r>
      <w:r w:rsidR="00C26B26">
        <w:rPr>
          <w:rStyle w:val="T11"/>
          <w:b w:val="0"/>
        </w:rPr>
        <w:t xml:space="preserve">) </w:t>
      </w:r>
      <w:r w:rsidR="004A6F20" w:rsidRPr="003161B5">
        <w:rPr>
          <w:rStyle w:val="T11"/>
          <w:b w:val="0"/>
        </w:rPr>
        <w:t>shows the calculation of Staff’s adjustment.</w:t>
      </w:r>
      <w:r w:rsidR="004A6F20" w:rsidRPr="004A6F20">
        <w:rPr>
          <w:rStyle w:val="T11"/>
        </w:rPr>
        <w:t xml:space="preserve"> </w:t>
      </w:r>
      <w:r w:rsidR="004A6F20">
        <w:rPr>
          <w:rStyle w:val="T11"/>
        </w:rPr>
        <w:t xml:space="preserve"> </w:t>
      </w:r>
      <w:r w:rsidR="004A6F20" w:rsidRPr="004A6F20">
        <w:rPr>
          <w:rStyle w:val="T11"/>
          <w:b w:val="0"/>
        </w:rPr>
        <w:t>The difference between the</w:t>
      </w:r>
      <w:r w:rsidR="00802120">
        <w:rPr>
          <w:rStyle w:val="T11"/>
          <w:b w:val="0"/>
        </w:rPr>
        <w:t xml:space="preserve"> </w:t>
      </w:r>
      <w:r w:rsidR="00802120" w:rsidRPr="004A6F20">
        <w:rPr>
          <w:rStyle w:val="T11"/>
          <w:b w:val="0"/>
        </w:rPr>
        <w:t>Company and Staff</w:t>
      </w:r>
      <w:r w:rsidR="00802120">
        <w:rPr>
          <w:rStyle w:val="T11"/>
          <w:b w:val="0"/>
        </w:rPr>
        <w:t>’s Washington allocated</w:t>
      </w:r>
      <w:r w:rsidR="004A6F20" w:rsidRPr="004A6F20">
        <w:rPr>
          <w:rStyle w:val="T11"/>
          <w:b w:val="0"/>
        </w:rPr>
        <w:t xml:space="preserve"> </w:t>
      </w:r>
      <w:r w:rsidR="00802120">
        <w:rPr>
          <w:rStyle w:val="T11"/>
          <w:b w:val="0"/>
        </w:rPr>
        <w:t>insurance expense</w:t>
      </w:r>
      <w:r w:rsidR="00802120" w:rsidRPr="004A6F20">
        <w:rPr>
          <w:rStyle w:val="T11"/>
          <w:b w:val="0"/>
        </w:rPr>
        <w:t xml:space="preserve"> in </w:t>
      </w:r>
      <w:r w:rsidR="00802120" w:rsidRPr="004A6F20">
        <w:t>Adjustment 4.7</w:t>
      </w:r>
      <w:r w:rsidR="00802120">
        <w:t xml:space="preserve"> </w:t>
      </w:r>
      <w:r w:rsidR="00801EE5">
        <w:t>is</w:t>
      </w:r>
      <w:r w:rsidR="009A73D1">
        <w:t xml:space="preserve"> a reduction in expense of</w:t>
      </w:r>
      <w:r w:rsidR="00801EE5">
        <w:t xml:space="preserve"> $237,283</w:t>
      </w:r>
      <w:r w:rsidR="00802120">
        <w:t>.</w:t>
      </w:r>
      <w:r w:rsidR="00801EE5">
        <w:t xml:space="preserve"> </w:t>
      </w:r>
      <w:r w:rsidR="00A55140">
        <w:t xml:space="preserve"> Page </w:t>
      </w:r>
      <w:r w:rsidR="006402FB">
        <w:t xml:space="preserve">2 </w:t>
      </w:r>
      <w:r w:rsidR="00A55140">
        <w:t xml:space="preserve">is Pacific </w:t>
      </w:r>
      <w:r w:rsidR="00A55140">
        <w:lastRenderedPageBreak/>
        <w:t xml:space="preserve">Power’s response to Staff data request </w:t>
      </w:r>
      <w:r w:rsidR="00A55140" w:rsidRPr="00C26B26">
        <w:t xml:space="preserve">number </w:t>
      </w:r>
      <w:r w:rsidR="00C26B26">
        <w:t>42</w:t>
      </w:r>
      <w:r w:rsidR="00A55140" w:rsidRPr="00C26B26">
        <w:t xml:space="preserve"> providing</w:t>
      </w:r>
      <w:r w:rsidR="00A55140">
        <w:t xml:space="preserve"> the 2007 accrual amount for insurance expense.  </w:t>
      </w:r>
    </w:p>
    <w:p w14:paraId="0FC54E1C" w14:textId="77777777" w:rsidR="00DE7767" w:rsidRDefault="00DE7767" w:rsidP="00491F73">
      <w:pPr>
        <w:pStyle w:val="NoSpacing"/>
        <w:ind w:left="0" w:firstLine="0"/>
      </w:pPr>
    </w:p>
    <w:p w14:paraId="333CA4A8" w14:textId="0B8241FF" w:rsidR="00285138" w:rsidRPr="00BA55A1" w:rsidRDefault="00285138" w:rsidP="00F63DBB">
      <w:pPr>
        <w:pStyle w:val="Heading3"/>
        <w:rPr>
          <w:b/>
          <w:bCs/>
        </w:rPr>
      </w:pPr>
      <w:bookmarkStart w:id="90" w:name="_Toc400466363"/>
      <w:bookmarkStart w:id="91" w:name="_Toc400466478"/>
      <w:bookmarkStart w:id="92" w:name="_Toc400467791"/>
      <w:bookmarkStart w:id="93" w:name="_Toc400626955"/>
      <w:bookmarkStart w:id="94" w:name="_Toc400626998"/>
      <w:bookmarkStart w:id="95" w:name="_Toc400627191"/>
      <w:r w:rsidRPr="00BA55A1">
        <w:rPr>
          <w:b/>
        </w:rPr>
        <w:t>B.</w:t>
      </w:r>
      <w:r w:rsidR="007869B7" w:rsidRPr="00BA55A1">
        <w:rPr>
          <w:b/>
        </w:rPr>
        <w:t xml:space="preserve"> </w:t>
      </w:r>
      <w:r w:rsidR="00F63DBB" w:rsidRPr="00BA55A1">
        <w:rPr>
          <w:b/>
        </w:rPr>
        <w:t>ADJUSTMENT 4.13, IHS GLOBAL INSIGHT ESCALATION</w:t>
      </w:r>
      <w:bookmarkEnd w:id="90"/>
      <w:bookmarkEnd w:id="91"/>
      <w:bookmarkEnd w:id="92"/>
      <w:bookmarkEnd w:id="93"/>
      <w:bookmarkEnd w:id="94"/>
      <w:bookmarkEnd w:id="95"/>
    </w:p>
    <w:p w14:paraId="757CB23F" w14:textId="77777777" w:rsidR="00285138" w:rsidRDefault="00285138" w:rsidP="00285138">
      <w:pPr>
        <w:pStyle w:val="Heading2"/>
      </w:pPr>
      <w:r w:rsidRPr="00944CF5">
        <w:t>Q.</w:t>
      </w:r>
      <w:r>
        <w:rPr>
          <w:b w:val="0"/>
        </w:rPr>
        <w:tab/>
      </w:r>
      <w:r w:rsidRPr="00C11338">
        <w:t xml:space="preserve">Please describe </w:t>
      </w:r>
      <w:r>
        <w:t>the Company’s Adjustment</w:t>
      </w:r>
      <w:r w:rsidRPr="00176ABE">
        <w:t xml:space="preserve"> </w:t>
      </w:r>
      <w:r>
        <w:t>4.13,</w:t>
      </w:r>
      <w:r w:rsidRPr="00176ABE">
        <w:t xml:space="preserve"> </w:t>
      </w:r>
      <w:r>
        <w:t>IHS Global Insight Escalation.</w:t>
      </w:r>
    </w:p>
    <w:p w14:paraId="3D9EC02F" w14:textId="138CDE71" w:rsidR="00D9201F" w:rsidRDefault="00285138" w:rsidP="00285138">
      <w:pPr>
        <w:pStyle w:val="NoSpacing"/>
        <w:widowControl w:val="0"/>
      </w:pPr>
      <w:r w:rsidRPr="00EA1465">
        <w:t>A.</w:t>
      </w:r>
      <w:r>
        <w:tab/>
      </w:r>
      <w:r w:rsidR="00D9201F">
        <w:t xml:space="preserve">The IHS Global Insight Escalation </w:t>
      </w:r>
      <w:r w:rsidR="000374F4">
        <w:t>A</w:t>
      </w:r>
      <w:r w:rsidR="00D9201F">
        <w:t xml:space="preserve">djustment </w:t>
      </w:r>
      <w:r w:rsidR="000374F4">
        <w:t xml:space="preserve">(IHS Adjustment) </w:t>
      </w:r>
      <w:r w:rsidR="00D9201F">
        <w:t xml:space="preserve">estimates future non-labor and non-power cost operations and maintenance (O&amp;M) expenses.  According </w:t>
      </w:r>
      <w:r w:rsidR="000361D2">
        <w:t xml:space="preserve">to </w:t>
      </w:r>
      <w:r w:rsidR="00B93669">
        <w:t xml:space="preserve">Company witness </w:t>
      </w:r>
      <w:r w:rsidR="00ED298D">
        <w:t>Ms.</w:t>
      </w:r>
      <w:r w:rsidR="000361D2">
        <w:t xml:space="preserve"> </w:t>
      </w:r>
      <w:proofErr w:type="spellStart"/>
      <w:r w:rsidR="000361D2">
        <w:t>Siores</w:t>
      </w:r>
      <w:proofErr w:type="spellEnd"/>
      <w:r w:rsidR="000361D2">
        <w:t xml:space="preserve">: </w:t>
      </w:r>
    </w:p>
    <w:p w14:paraId="609A5258" w14:textId="5E6C0FC6" w:rsidR="00285138" w:rsidRPr="00BD20AB" w:rsidRDefault="000361D2" w:rsidP="000361D2">
      <w:pPr>
        <w:pStyle w:val="NoSpacing"/>
        <w:widowControl w:val="0"/>
        <w:spacing w:line="240" w:lineRule="auto"/>
        <w:ind w:left="1440" w:firstLine="0"/>
      </w:pPr>
      <w:r>
        <w:t>This adjustment es</w:t>
      </w:r>
      <w:r w:rsidR="00285138">
        <w:t xml:space="preserve">calates </w:t>
      </w:r>
      <w:r w:rsidR="00285138" w:rsidRPr="00240C97">
        <w:t>non-labor and non-power cost operation and maintenance (O&amp;M) expenses</w:t>
      </w:r>
      <w:r w:rsidR="00285138">
        <w:t xml:space="preserve"> using industry-specific escalation indices.  Projected increases or decreases in this adjustment are based on IHS Global Insight indices that provide a detailed assessment of the electric utility costs for materials and services only, and exclude labor expense, according to the Uniform System of Accounts defined by FERC for major electric utilities</w:t>
      </w:r>
      <w:r>
        <w:t xml:space="preserve">… </w:t>
      </w:r>
      <w:r w:rsidR="00285138">
        <w:t>The IHS study used to prepare this filing was the fourth quarter 2013 forecast, released February 4, 2014.</w:t>
      </w:r>
      <w:r>
        <w:rPr>
          <w:rStyle w:val="FootnoteReference"/>
        </w:rPr>
        <w:footnoteReference w:id="19"/>
      </w:r>
    </w:p>
    <w:p w14:paraId="1B55DD07" w14:textId="77777777" w:rsidR="00285138" w:rsidRDefault="00285138" w:rsidP="00285138">
      <w:pPr>
        <w:pStyle w:val="Heading2"/>
      </w:pPr>
    </w:p>
    <w:p w14:paraId="480D0DF7" w14:textId="771B2DCC" w:rsidR="00285138" w:rsidRDefault="00285138" w:rsidP="00285138">
      <w:pPr>
        <w:pStyle w:val="Heading2"/>
      </w:pPr>
      <w:r w:rsidRPr="00944CF5">
        <w:t>Q.</w:t>
      </w:r>
      <w:r>
        <w:rPr>
          <w:b w:val="0"/>
        </w:rPr>
        <w:tab/>
      </w:r>
      <w:r w:rsidR="00ED298D">
        <w:t>What are the IHS G</w:t>
      </w:r>
      <w:r>
        <w:t>lobal Insight indices?</w:t>
      </w:r>
    </w:p>
    <w:p w14:paraId="37DD8DF4" w14:textId="5D9DAEB1" w:rsidR="00285138" w:rsidRDefault="00285138" w:rsidP="00285138">
      <w:pPr>
        <w:pStyle w:val="Heading2"/>
        <w:rPr>
          <w:b w:val="0"/>
        </w:rPr>
      </w:pPr>
      <w:r w:rsidRPr="00EA1465">
        <w:rPr>
          <w:b w:val="0"/>
        </w:rPr>
        <w:t>A.</w:t>
      </w:r>
      <w:r>
        <w:tab/>
      </w:r>
      <w:r w:rsidRPr="00041562">
        <w:rPr>
          <w:b w:val="0"/>
        </w:rPr>
        <w:t>The IHS Global Insight indices</w:t>
      </w:r>
      <w:r w:rsidR="000374F4">
        <w:rPr>
          <w:b w:val="0"/>
        </w:rPr>
        <w:t xml:space="preserve"> (IHS Indices)</w:t>
      </w:r>
      <w:r w:rsidRPr="00041562">
        <w:rPr>
          <w:b w:val="0"/>
        </w:rPr>
        <w:t xml:space="preserve"> are forecasted </w:t>
      </w:r>
      <w:r>
        <w:rPr>
          <w:b w:val="0"/>
        </w:rPr>
        <w:t>inflation factors for</w:t>
      </w:r>
      <w:r w:rsidRPr="00041562">
        <w:rPr>
          <w:b w:val="0"/>
        </w:rPr>
        <w:t xml:space="preserve"> electric utility costs broken out by category.</w:t>
      </w:r>
      <w:r>
        <w:rPr>
          <w:b w:val="0"/>
        </w:rPr>
        <w:t xml:space="preserve"> </w:t>
      </w:r>
      <w:r w:rsidRPr="00041562">
        <w:rPr>
          <w:b w:val="0"/>
        </w:rPr>
        <w:t xml:space="preserve"> IHS </w:t>
      </w:r>
      <w:r w:rsidR="00290AF6">
        <w:rPr>
          <w:b w:val="0"/>
        </w:rPr>
        <w:t>I</w:t>
      </w:r>
      <w:r w:rsidRPr="00041562">
        <w:rPr>
          <w:b w:val="0"/>
        </w:rPr>
        <w:t>ndices provide a detailed assessment of electric utility costs for materials and services only and exclude labor expense</w:t>
      </w:r>
      <w:r>
        <w:rPr>
          <w:b w:val="0"/>
        </w:rPr>
        <w:t>.</w:t>
      </w:r>
      <w:r>
        <w:rPr>
          <w:rStyle w:val="FootnoteReference"/>
          <w:b w:val="0"/>
        </w:rPr>
        <w:footnoteReference w:id="20"/>
      </w:r>
      <w:r w:rsidR="00AB1423">
        <w:rPr>
          <w:b w:val="0"/>
        </w:rPr>
        <w:t xml:space="preserve">  </w:t>
      </w:r>
    </w:p>
    <w:p w14:paraId="499B9F95" w14:textId="77777777" w:rsidR="00285138" w:rsidRDefault="00285138" w:rsidP="00AB1423">
      <w:pPr>
        <w:pStyle w:val="NoSpacing"/>
      </w:pPr>
    </w:p>
    <w:p w14:paraId="75C865BF" w14:textId="34817AEA" w:rsidR="00AB1423" w:rsidRDefault="00AB1423" w:rsidP="00AB1423">
      <w:pPr>
        <w:pStyle w:val="Heading2"/>
      </w:pPr>
      <w:r>
        <w:t>Q.</w:t>
      </w:r>
      <w:r>
        <w:tab/>
        <w:t>What is Staff’s response to the use of the IHS indices for estimating costs?</w:t>
      </w:r>
    </w:p>
    <w:p w14:paraId="535F6698" w14:textId="56CE8AAE" w:rsidR="00A63583" w:rsidRDefault="00AB1423" w:rsidP="00A63583">
      <w:pPr>
        <w:pStyle w:val="Heading2"/>
        <w:rPr>
          <w:b w:val="0"/>
        </w:rPr>
      </w:pPr>
      <w:r>
        <w:t>A.</w:t>
      </w:r>
      <w:r>
        <w:tab/>
      </w:r>
      <w:r w:rsidR="00A63583">
        <w:rPr>
          <w:rStyle w:val="T11"/>
        </w:rPr>
        <w:t>Staff opposes t</w:t>
      </w:r>
      <w:r w:rsidR="00A63583" w:rsidRPr="00041562">
        <w:rPr>
          <w:b w:val="0"/>
        </w:rPr>
        <w:t>he Company</w:t>
      </w:r>
      <w:r w:rsidR="00A63583">
        <w:rPr>
          <w:b w:val="0"/>
        </w:rPr>
        <w:t>’s</w:t>
      </w:r>
      <w:r w:rsidR="00A63583" w:rsidRPr="00041562">
        <w:rPr>
          <w:b w:val="0"/>
        </w:rPr>
        <w:t xml:space="preserve"> use</w:t>
      </w:r>
      <w:r w:rsidR="00A63583">
        <w:rPr>
          <w:b w:val="0"/>
        </w:rPr>
        <w:t xml:space="preserve"> of</w:t>
      </w:r>
      <w:r w:rsidR="00A63583" w:rsidRPr="00041562">
        <w:rPr>
          <w:b w:val="0"/>
        </w:rPr>
        <w:t xml:space="preserve"> IHS </w:t>
      </w:r>
      <w:r w:rsidR="008877FD">
        <w:rPr>
          <w:b w:val="0"/>
        </w:rPr>
        <w:t>I</w:t>
      </w:r>
      <w:r w:rsidR="00A63583" w:rsidRPr="00041562">
        <w:rPr>
          <w:b w:val="0"/>
        </w:rPr>
        <w:t>ndices to escalate non-labor</w:t>
      </w:r>
      <w:r w:rsidR="008877FD">
        <w:rPr>
          <w:b w:val="0"/>
        </w:rPr>
        <w:t xml:space="preserve"> and</w:t>
      </w:r>
      <w:r w:rsidR="0007275F">
        <w:rPr>
          <w:b w:val="0"/>
        </w:rPr>
        <w:t xml:space="preserve"> non-</w:t>
      </w:r>
      <w:r w:rsidR="00A63583" w:rsidRPr="00041562">
        <w:rPr>
          <w:b w:val="0"/>
        </w:rPr>
        <w:t xml:space="preserve">power cost </w:t>
      </w:r>
      <w:r w:rsidR="0007275F">
        <w:rPr>
          <w:b w:val="0"/>
        </w:rPr>
        <w:t xml:space="preserve">related </w:t>
      </w:r>
      <w:r w:rsidR="00A63583" w:rsidRPr="00041562">
        <w:rPr>
          <w:b w:val="0"/>
        </w:rPr>
        <w:t xml:space="preserve">O&amp;M </w:t>
      </w:r>
      <w:r w:rsidR="0007275F">
        <w:rPr>
          <w:b w:val="0"/>
        </w:rPr>
        <w:t>expenses</w:t>
      </w:r>
      <w:r w:rsidR="00A63583" w:rsidRPr="00041562">
        <w:rPr>
          <w:b w:val="0"/>
        </w:rPr>
        <w:t xml:space="preserve"> in its </w:t>
      </w:r>
      <w:r w:rsidR="00A63583">
        <w:rPr>
          <w:b w:val="0"/>
        </w:rPr>
        <w:t>Washington jurisdiction for two reasons:</w:t>
      </w:r>
    </w:p>
    <w:p w14:paraId="7E4C3430" w14:textId="0F764839" w:rsidR="00A63583" w:rsidRDefault="0007275F" w:rsidP="00A63583">
      <w:pPr>
        <w:pStyle w:val="Heading2"/>
        <w:ind w:firstLine="720"/>
        <w:rPr>
          <w:b w:val="0"/>
        </w:rPr>
      </w:pPr>
      <w:r>
        <w:rPr>
          <w:b w:val="0"/>
        </w:rPr>
        <w:lastRenderedPageBreak/>
        <w:t>First, Washington uses a</w:t>
      </w:r>
      <w:r w:rsidR="00A63583">
        <w:rPr>
          <w:b w:val="0"/>
        </w:rPr>
        <w:t xml:space="preserve"> historical test year, not a future test year.  </w:t>
      </w:r>
      <w:r w:rsidR="00A63583" w:rsidRPr="00041562">
        <w:rPr>
          <w:b w:val="0"/>
        </w:rPr>
        <w:t xml:space="preserve">IHS </w:t>
      </w:r>
      <w:r w:rsidR="008877FD">
        <w:rPr>
          <w:b w:val="0"/>
        </w:rPr>
        <w:t>I</w:t>
      </w:r>
      <w:r w:rsidR="00A63583" w:rsidRPr="00041562">
        <w:rPr>
          <w:b w:val="0"/>
        </w:rPr>
        <w:t xml:space="preserve">ndices </w:t>
      </w:r>
      <w:r w:rsidR="00A63583">
        <w:rPr>
          <w:b w:val="0"/>
        </w:rPr>
        <w:t xml:space="preserve">are used </w:t>
      </w:r>
      <w:r w:rsidR="00A63583" w:rsidRPr="00041562">
        <w:rPr>
          <w:b w:val="0"/>
        </w:rPr>
        <w:t xml:space="preserve">to escalate </w:t>
      </w:r>
      <w:r w:rsidR="00A63583">
        <w:rPr>
          <w:b w:val="0"/>
        </w:rPr>
        <w:t>certain</w:t>
      </w:r>
      <w:r w:rsidR="00A63583" w:rsidRPr="00041562">
        <w:rPr>
          <w:b w:val="0"/>
        </w:rPr>
        <w:t xml:space="preserve"> O&amp;M costs</w:t>
      </w:r>
      <w:r w:rsidR="00A63583">
        <w:rPr>
          <w:b w:val="0"/>
        </w:rPr>
        <w:t xml:space="preserve"> to </w:t>
      </w:r>
      <w:r w:rsidR="009558CD">
        <w:rPr>
          <w:b w:val="0"/>
        </w:rPr>
        <w:t>a</w:t>
      </w:r>
      <w:r w:rsidR="00A63583">
        <w:rPr>
          <w:b w:val="0"/>
        </w:rPr>
        <w:t xml:space="preserve"> future test year level.  The </w:t>
      </w:r>
      <w:r w:rsidR="009558CD">
        <w:rPr>
          <w:b w:val="0"/>
        </w:rPr>
        <w:t xml:space="preserve">use of </w:t>
      </w:r>
      <w:r w:rsidR="00EE645C">
        <w:rPr>
          <w:b w:val="0"/>
        </w:rPr>
        <w:t xml:space="preserve">these </w:t>
      </w:r>
      <w:r w:rsidR="009558CD">
        <w:rPr>
          <w:b w:val="0"/>
        </w:rPr>
        <w:t xml:space="preserve">escalation factors </w:t>
      </w:r>
      <w:r w:rsidR="00EE645C">
        <w:rPr>
          <w:b w:val="0"/>
        </w:rPr>
        <w:t>for a small subset of costs effectively creates a budgeted, future test year for ratemaking purposes.</w:t>
      </w:r>
    </w:p>
    <w:p w14:paraId="752FDE6F" w14:textId="1F9C81BD" w:rsidR="00A63583" w:rsidRDefault="00A63583" w:rsidP="00A63583">
      <w:pPr>
        <w:pStyle w:val="Heading2"/>
        <w:ind w:firstLine="720"/>
        <w:rPr>
          <w:b w:val="0"/>
        </w:rPr>
      </w:pPr>
      <w:r>
        <w:rPr>
          <w:b w:val="0"/>
        </w:rPr>
        <w:t xml:space="preserve">Second, the IHS </w:t>
      </w:r>
      <w:r w:rsidR="008877FD">
        <w:rPr>
          <w:b w:val="0"/>
        </w:rPr>
        <w:t>I</w:t>
      </w:r>
      <w:r>
        <w:rPr>
          <w:b w:val="0"/>
        </w:rPr>
        <w:t>ndices used to</w:t>
      </w:r>
      <w:r w:rsidRPr="00072240">
        <w:rPr>
          <w:b w:val="0"/>
        </w:rPr>
        <w:t xml:space="preserve"> </w:t>
      </w:r>
      <w:r w:rsidRPr="00041562">
        <w:rPr>
          <w:b w:val="0"/>
        </w:rPr>
        <w:t>forecast</w:t>
      </w:r>
      <w:r>
        <w:rPr>
          <w:b w:val="0"/>
        </w:rPr>
        <w:t xml:space="preserve"> future </w:t>
      </w:r>
      <w:r w:rsidRPr="00041562">
        <w:rPr>
          <w:b w:val="0"/>
        </w:rPr>
        <w:t>electric utility costs</w:t>
      </w:r>
      <w:r w:rsidRPr="00072240">
        <w:t xml:space="preserve"> </w:t>
      </w:r>
      <w:r w:rsidRPr="00072240">
        <w:rPr>
          <w:b w:val="0"/>
        </w:rPr>
        <w:t xml:space="preserve">in the Company’s </w:t>
      </w:r>
      <w:r w:rsidR="00EE645C">
        <w:rPr>
          <w:b w:val="0"/>
        </w:rPr>
        <w:t xml:space="preserve">direct </w:t>
      </w:r>
      <w:r w:rsidRPr="00072240">
        <w:rPr>
          <w:b w:val="0"/>
        </w:rPr>
        <w:t xml:space="preserve">case </w:t>
      </w:r>
      <w:r>
        <w:rPr>
          <w:b w:val="0"/>
        </w:rPr>
        <w:t xml:space="preserve">are overstated and unreliable.  All expenses from </w:t>
      </w:r>
      <w:r w:rsidRPr="00C60624">
        <w:rPr>
          <w:b w:val="0"/>
        </w:rPr>
        <w:t>FERC account</w:t>
      </w:r>
      <w:r w:rsidR="0007275F">
        <w:rPr>
          <w:b w:val="0"/>
        </w:rPr>
        <w:t>s</w:t>
      </w:r>
      <w:r>
        <w:rPr>
          <w:b w:val="0"/>
        </w:rPr>
        <w:t xml:space="preserve"> 500 to 935 that are </w:t>
      </w:r>
      <w:r w:rsidRPr="00240C97">
        <w:rPr>
          <w:b w:val="0"/>
        </w:rPr>
        <w:t>non-labor and non-power cost O&amp;M expenses</w:t>
      </w:r>
      <w:r>
        <w:t xml:space="preserve"> </w:t>
      </w:r>
      <w:r>
        <w:rPr>
          <w:b w:val="0"/>
        </w:rPr>
        <w:t>will be overstated</w:t>
      </w:r>
      <w:r w:rsidR="008647A6">
        <w:rPr>
          <w:b w:val="0"/>
        </w:rPr>
        <w:t xml:space="preserve"> by using these escalation factors</w:t>
      </w:r>
      <w:r>
        <w:rPr>
          <w:b w:val="0"/>
        </w:rPr>
        <w:t xml:space="preserve">.  Therefore, Staff removed Adjustment 4.13 from the Company’s results of operation completely. </w:t>
      </w:r>
    </w:p>
    <w:p w14:paraId="032C248D" w14:textId="77777777" w:rsidR="000B0F45" w:rsidRPr="000B0F45" w:rsidRDefault="000B0F45" w:rsidP="000B0F45">
      <w:pPr>
        <w:pStyle w:val="NoSpacing"/>
      </w:pPr>
    </w:p>
    <w:p w14:paraId="56784910" w14:textId="0A5FA0B3" w:rsidR="00AB1423" w:rsidRDefault="008647A6" w:rsidP="000B0F45">
      <w:pPr>
        <w:pStyle w:val="Heading2"/>
      </w:pPr>
      <w:r>
        <w:t>Q.</w:t>
      </w:r>
      <w:r>
        <w:tab/>
      </w:r>
      <w:r w:rsidR="000374F4">
        <w:t>O</w:t>
      </w:r>
      <w:r w:rsidR="00FE27C1">
        <w:t xml:space="preserve">ther Investor Owned Utilities have proposed trending and escalation analysis through the use of an Attrition adjustment.  Is </w:t>
      </w:r>
      <w:r>
        <w:t xml:space="preserve">the IHS Adjustment similar to an </w:t>
      </w:r>
      <w:r w:rsidR="000B0F45">
        <w:t>Attrition a</w:t>
      </w:r>
      <w:r>
        <w:t>djustment?</w:t>
      </w:r>
    </w:p>
    <w:p w14:paraId="1983F453" w14:textId="5AE20615" w:rsidR="00A857F1" w:rsidRDefault="008647A6" w:rsidP="008647A6">
      <w:pPr>
        <w:pStyle w:val="NoSpacing"/>
      </w:pPr>
      <w:r>
        <w:t>A.</w:t>
      </w:r>
      <w:r>
        <w:tab/>
        <w:t xml:space="preserve">No.  While the mechanics of the IHS </w:t>
      </w:r>
      <w:r w:rsidR="006E24E7">
        <w:t>Adjustment</w:t>
      </w:r>
      <w:r>
        <w:t xml:space="preserve"> </w:t>
      </w:r>
      <w:r w:rsidR="000374F4">
        <w:t>proposed</w:t>
      </w:r>
      <w:r>
        <w:t xml:space="preserve"> by the Company </w:t>
      </w:r>
      <w:r w:rsidR="00ED298D">
        <w:t>are</w:t>
      </w:r>
      <w:r>
        <w:t xml:space="preserve"> conceptually similar to trending analysis </w:t>
      </w:r>
      <w:r w:rsidR="0007275F">
        <w:t>done in an attrition adjustment</w:t>
      </w:r>
      <w:r>
        <w:t xml:space="preserve"> there ar</w:t>
      </w:r>
      <w:r w:rsidR="00A857F1">
        <w:t xml:space="preserve">e a few </w:t>
      </w:r>
      <w:r w:rsidR="000A54FD">
        <w:t xml:space="preserve">important distinctions.  Perhaps most importantly an </w:t>
      </w:r>
      <w:r w:rsidR="000B0F45">
        <w:t>a</w:t>
      </w:r>
      <w:r w:rsidR="000A54FD">
        <w:t xml:space="preserve">ttrition adjustment is </w:t>
      </w:r>
      <w:r w:rsidR="000374F4">
        <w:t xml:space="preserve">a </w:t>
      </w:r>
      <w:r w:rsidR="000A54FD">
        <w:t>holistic tool that analyzes the Company’s entire operations.  The purpose behind an attrition study is to identify historical test</w:t>
      </w:r>
      <w:r w:rsidR="00ED298D">
        <w:t xml:space="preserve"> </w:t>
      </w:r>
      <w:r w:rsidR="000A54FD">
        <w:t>year relationships that may not be present in the rate effective period.</w:t>
      </w:r>
      <w:r w:rsidR="000A54FD">
        <w:rPr>
          <w:rStyle w:val="FootnoteReference"/>
        </w:rPr>
        <w:footnoteReference w:id="21"/>
      </w:r>
      <w:r w:rsidR="000A54FD">
        <w:t xml:space="preserve">  The results of an attrition study are </w:t>
      </w:r>
      <w:r w:rsidR="00825A31">
        <w:t xml:space="preserve">then </w:t>
      </w:r>
      <w:r w:rsidR="000A54FD">
        <w:t xml:space="preserve">applied to a </w:t>
      </w:r>
      <w:r w:rsidR="00ED298D">
        <w:t xml:space="preserve">historical test </w:t>
      </w:r>
      <w:r w:rsidR="00825A31">
        <w:t xml:space="preserve">year to ensure the appropriate relationships are </w:t>
      </w:r>
      <w:r w:rsidR="00A857F1">
        <w:t xml:space="preserve">being represented across the company’s operations.  </w:t>
      </w:r>
      <w:r w:rsidR="003B1C5E">
        <w:t>Specifically,</w:t>
      </w:r>
      <w:r w:rsidR="000B0F45">
        <w:t xml:space="preserve"> attrition adjustments are based on the Company’s actual historical results of operations</w:t>
      </w:r>
      <w:r w:rsidR="00890E4D">
        <w:t xml:space="preserve"> </w:t>
      </w:r>
      <w:r w:rsidR="0007275F">
        <w:t>unique</w:t>
      </w:r>
      <w:r w:rsidR="00890E4D">
        <w:t xml:space="preserve"> to the utility in question</w:t>
      </w:r>
      <w:r w:rsidR="000B0F45">
        <w:t xml:space="preserve">.  </w:t>
      </w:r>
      <w:r w:rsidR="00890E4D">
        <w:t>A</w:t>
      </w:r>
      <w:r w:rsidR="000374F4">
        <w:t xml:space="preserve">ttrition studies trend </w:t>
      </w:r>
      <w:r w:rsidR="000374F4">
        <w:lastRenderedPageBreak/>
        <w:t xml:space="preserve">both costs and revenues in accordance with the matching principle of accounting.  </w:t>
      </w:r>
      <w:r w:rsidR="00890D46">
        <w:t xml:space="preserve">Any escalation of costs is incomplete without an appropriate recognition for the same period’s revenues. </w:t>
      </w:r>
      <w:r w:rsidR="000374F4">
        <w:t xml:space="preserve"> </w:t>
      </w:r>
    </w:p>
    <w:p w14:paraId="34DF6151" w14:textId="77777777" w:rsidR="008647A6" w:rsidRPr="00AB1423" w:rsidRDefault="008647A6" w:rsidP="00AB1423">
      <w:pPr>
        <w:pStyle w:val="NoSpacing"/>
      </w:pPr>
    </w:p>
    <w:p w14:paraId="336263CD" w14:textId="149625F6" w:rsidR="00285138" w:rsidRDefault="00285138" w:rsidP="00285138">
      <w:pPr>
        <w:pStyle w:val="Heading2"/>
      </w:pPr>
      <w:r w:rsidRPr="00944CF5">
        <w:t>Q.</w:t>
      </w:r>
      <w:r>
        <w:rPr>
          <w:b w:val="0"/>
        </w:rPr>
        <w:tab/>
      </w:r>
      <w:r>
        <w:t>D</w:t>
      </w:r>
      <w:r w:rsidR="00514509">
        <w:t>oes</w:t>
      </w:r>
      <w:r>
        <w:t xml:space="preserve"> the Company use the IHS </w:t>
      </w:r>
      <w:r w:rsidR="006E24E7">
        <w:t>Indices</w:t>
      </w:r>
      <w:r>
        <w:t xml:space="preserve"> in</w:t>
      </w:r>
      <w:r w:rsidR="00670A8F">
        <w:t xml:space="preserve"> any of its</w:t>
      </w:r>
      <w:r>
        <w:t xml:space="preserve"> other </w:t>
      </w:r>
      <w:r w:rsidR="00670A8F">
        <w:t xml:space="preserve">six </w:t>
      </w:r>
      <w:r>
        <w:t>jurisdictio</w:t>
      </w:r>
      <w:r w:rsidR="00670A8F">
        <w:t>ns</w:t>
      </w:r>
      <w:r>
        <w:t>?</w:t>
      </w:r>
    </w:p>
    <w:p w14:paraId="609B8BA2" w14:textId="12BD2A6B" w:rsidR="00285138" w:rsidRDefault="00285138" w:rsidP="00285138">
      <w:pPr>
        <w:pStyle w:val="Heading2"/>
        <w:rPr>
          <w:b w:val="0"/>
        </w:rPr>
      </w:pPr>
      <w:r w:rsidRPr="00EA1465">
        <w:rPr>
          <w:b w:val="0"/>
        </w:rPr>
        <w:t>A.</w:t>
      </w:r>
      <w:r>
        <w:tab/>
      </w:r>
      <w:r>
        <w:rPr>
          <w:b w:val="0"/>
        </w:rPr>
        <w:t>Yes.  T</w:t>
      </w:r>
      <w:r w:rsidRPr="00041562">
        <w:rPr>
          <w:b w:val="0"/>
        </w:rPr>
        <w:t xml:space="preserve">he Company uses IHS </w:t>
      </w:r>
      <w:r w:rsidR="006E24E7">
        <w:rPr>
          <w:b w:val="0"/>
        </w:rPr>
        <w:t>I</w:t>
      </w:r>
      <w:r w:rsidRPr="00041562">
        <w:rPr>
          <w:b w:val="0"/>
        </w:rPr>
        <w:t xml:space="preserve">ndices to escalate non-labor </w:t>
      </w:r>
      <w:r>
        <w:rPr>
          <w:b w:val="0"/>
        </w:rPr>
        <w:t xml:space="preserve">and </w:t>
      </w:r>
      <w:r w:rsidRPr="00041562">
        <w:rPr>
          <w:b w:val="0"/>
        </w:rPr>
        <w:t xml:space="preserve">non-power cost O&amp;M </w:t>
      </w:r>
      <w:r w:rsidR="0007275F">
        <w:rPr>
          <w:b w:val="0"/>
        </w:rPr>
        <w:t>expenses</w:t>
      </w:r>
      <w:r w:rsidRPr="00041562">
        <w:rPr>
          <w:b w:val="0"/>
        </w:rPr>
        <w:t xml:space="preserve"> in its California, Oregon, Utah, and Wyoming</w:t>
      </w:r>
      <w:r w:rsidR="00670A8F">
        <w:rPr>
          <w:b w:val="0"/>
        </w:rPr>
        <w:t xml:space="preserve"> jurisdictions</w:t>
      </w:r>
      <w:r w:rsidR="00E8126E">
        <w:rPr>
          <w:b w:val="0"/>
        </w:rPr>
        <w:t xml:space="preserve">.  The </w:t>
      </w:r>
      <w:r w:rsidR="00ED298D">
        <w:rPr>
          <w:b w:val="0"/>
        </w:rPr>
        <w:t>C</w:t>
      </w:r>
      <w:r w:rsidR="00E8126E">
        <w:rPr>
          <w:b w:val="0"/>
        </w:rPr>
        <w:t>ompany has not proposed</w:t>
      </w:r>
      <w:r w:rsidR="00E35B5C">
        <w:rPr>
          <w:b w:val="0"/>
        </w:rPr>
        <w:t xml:space="preserve"> an IHS A</w:t>
      </w:r>
      <w:r w:rsidR="00670A8F">
        <w:rPr>
          <w:b w:val="0"/>
        </w:rPr>
        <w:t xml:space="preserve">djustment in its </w:t>
      </w:r>
      <w:r>
        <w:rPr>
          <w:b w:val="0"/>
        </w:rPr>
        <w:t>Idaho jurisdiction</w:t>
      </w:r>
      <w:r w:rsidRPr="00041562">
        <w:rPr>
          <w:b w:val="0"/>
        </w:rPr>
        <w:t>.</w:t>
      </w:r>
      <w:r>
        <w:rPr>
          <w:rStyle w:val="FootnoteReference"/>
          <w:b w:val="0"/>
        </w:rPr>
        <w:footnoteReference w:id="22"/>
      </w:r>
      <w:r w:rsidRPr="00041562">
        <w:rPr>
          <w:b w:val="0"/>
        </w:rPr>
        <w:t xml:space="preserve">  </w:t>
      </w:r>
    </w:p>
    <w:p w14:paraId="4A48AFBA" w14:textId="77777777" w:rsidR="00285138" w:rsidRDefault="00285138" w:rsidP="00285138">
      <w:pPr>
        <w:pStyle w:val="Heading2"/>
        <w:rPr>
          <w:b w:val="0"/>
        </w:rPr>
      </w:pPr>
    </w:p>
    <w:p w14:paraId="618A3F4C" w14:textId="4AAE0BF9" w:rsidR="00285138" w:rsidRDefault="00285138" w:rsidP="00285138">
      <w:pPr>
        <w:pStyle w:val="Heading2"/>
      </w:pPr>
      <w:r w:rsidRPr="00944CF5">
        <w:t>Q.</w:t>
      </w:r>
      <w:r>
        <w:rPr>
          <w:b w:val="0"/>
        </w:rPr>
        <w:tab/>
      </w:r>
      <w:r>
        <w:t>Why did t</w:t>
      </w:r>
      <w:r w:rsidRPr="006A5A04">
        <w:t xml:space="preserve">he Company </w:t>
      </w:r>
      <w:r w:rsidR="0095068F">
        <w:t xml:space="preserve">not </w:t>
      </w:r>
      <w:r w:rsidR="00E8126E">
        <w:t>propose</w:t>
      </w:r>
      <w:r w:rsidR="0095068F">
        <w:t xml:space="preserve"> an</w:t>
      </w:r>
      <w:r w:rsidRPr="006A5A04">
        <w:t xml:space="preserve"> IHS </w:t>
      </w:r>
      <w:r w:rsidR="00E35B5C">
        <w:t>A</w:t>
      </w:r>
      <w:r w:rsidR="0095068F">
        <w:t>djustment in its</w:t>
      </w:r>
      <w:r w:rsidRPr="006A5A04">
        <w:t xml:space="preserve"> Idaho</w:t>
      </w:r>
      <w:r>
        <w:t xml:space="preserve"> jurisdiction?</w:t>
      </w:r>
    </w:p>
    <w:p w14:paraId="69D55C20" w14:textId="52395FE8" w:rsidR="0051448F" w:rsidRDefault="00285138" w:rsidP="00514509">
      <w:pPr>
        <w:pStyle w:val="Heading2"/>
        <w:rPr>
          <w:b w:val="0"/>
        </w:rPr>
      </w:pPr>
      <w:r w:rsidRPr="00EA1465">
        <w:rPr>
          <w:b w:val="0"/>
        </w:rPr>
        <w:t>A.</w:t>
      </w:r>
      <w:r>
        <w:tab/>
      </w:r>
      <w:r w:rsidR="00514509">
        <w:rPr>
          <w:b w:val="0"/>
        </w:rPr>
        <w:t>The Compan</w:t>
      </w:r>
      <w:r w:rsidR="00E35B5C">
        <w:rPr>
          <w:b w:val="0"/>
        </w:rPr>
        <w:t>y does not use an IHS A</w:t>
      </w:r>
      <w:r w:rsidR="00514509">
        <w:rPr>
          <w:b w:val="0"/>
        </w:rPr>
        <w:t>djustment in Idaho because, like Washington, Idaho uses an</w:t>
      </w:r>
      <w:r w:rsidR="00E35B5C">
        <w:rPr>
          <w:b w:val="0"/>
        </w:rPr>
        <w:t xml:space="preserve"> historical test </w:t>
      </w:r>
      <w:r w:rsidR="00514509">
        <w:rPr>
          <w:b w:val="0"/>
        </w:rPr>
        <w:t>year for ratemaking</w:t>
      </w:r>
      <w:r w:rsidR="0007275F">
        <w:rPr>
          <w:b w:val="0"/>
        </w:rPr>
        <w:t xml:space="preserve"> purposes</w:t>
      </w:r>
      <w:r w:rsidR="00514509">
        <w:rPr>
          <w:b w:val="0"/>
        </w:rPr>
        <w:t xml:space="preserve">.  </w:t>
      </w:r>
      <w:r w:rsidR="0051448F" w:rsidRPr="006A5A04">
        <w:rPr>
          <w:b w:val="0"/>
        </w:rPr>
        <w:t xml:space="preserve">California, Oregon, Utah, and Wyoming all use </w:t>
      </w:r>
      <w:r w:rsidR="00514509">
        <w:rPr>
          <w:b w:val="0"/>
        </w:rPr>
        <w:t xml:space="preserve">a </w:t>
      </w:r>
      <w:r w:rsidR="0051448F">
        <w:rPr>
          <w:b w:val="0"/>
        </w:rPr>
        <w:t xml:space="preserve">future </w:t>
      </w:r>
      <w:r w:rsidR="0051448F" w:rsidRPr="006A5A04">
        <w:rPr>
          <w:b w:val="0"/>
        </w:rPr>
        <w:t>forecasted test year for ratemaking purpose</w:t>
      </w:r>
      <w:r w:rsidR="0051448F">
        <w:rPr>
          <w:b w:val="0"/>
        </w:rPr>
        <w:t>s</w:t>
      </w:r>
      <w:r w:rsidR="0051448F" w:rsidRPr="006A5A04">
        <w:rPr>
          <w:b w:val="0"/>
        </w:rPr>
        <w:t>.</w:t>
      </w:r>
      <w:r w:rsidR="0051448F">
        <w:t xml:space="preserve">  </w:t>
      </w:r>
      <w:r w:rsidR="0051448F">
        <w:rPr>
          <w:b w:val="0"/>
        </w:rPr>
        <w:t xml:space="preserve">Attached as </w:t>
      </w:r>
      <w:r w:rsidR="00201BCC">
        <w:rPr>
          <w:b w:val="0"/>
        </w:rPr>
        <w:t>Exhibit No.__</w:t>
      </w:r>
      <w:proofErr w:type="gramStart"/>
      <w:r w:rsidR="00201BCC">
        <w:rPr>
          <w:b w:val="0"/>
        </w:rPr>
        <w:t>_(</w:t>
      </w:r>
      <w:proofErr w:type="gramEnd"/>
      <w:r w:rsidR="00201BCC">
        <w:rPr>
          <w:b w:val="0"/>
        </w:rPr>
        <w:t>JLB-5)</w:t>
      </w:r>
      <w:r w:rsidR="0051448F">
        <w:rPr>
          <w:b w:val="0"/>
        </w:rPr>
        <w:t xml:space="preserve"> is Pacific Power</w:t>
      </w:r>
      <w:r w:rsidR="00E35B5C">
        <w:rPr>
          <w:b w:val="0"/>
        </w:rPr>
        <w:t xml:space="preserve">’s response to Public Counsel </w:t>
      </w:r>
      <w:r w:rsidR="0051448F">
        <w:rPr>
          <w:b w:val="0"/>
        </w:rPr>
        <w:t>data request number 48</w:t>
      </w:r>
      <w:r w:rsidR="00514509">
        <w:rPr>
          <w:b w:val="0"/>
        </w:rPr>
        <w:t xml:space="preserve"> in which t</w:t>
      </w:r>
      <w:r w:rsidR="0051448F">
        <w:rPr>
          <w:b w:val="0"/>
        </w:rPr>
        <w:t xml:space="preserve">he Company </w:t>
      </w:r>
      <w:r w:rsidR="00514509">
        <w:rPr>
          <w:b w:val="0"/>
        </w:rPr>
        <w:t xml:space="preserve">responds to the question of why it does not use </w:t>
      </w:r>
      <w:r w:rsidR="00E67426">
        <w:rPr>
          <w:b w:val="0"/>
        </w:rPr>
        <w:t xml:space="preserve">an </w:t>
      </w:r>
      <w:r w:rsidR="00514509">
        <w:rPr>
          <w:b w:val="0"/>
        </w:rPr>
        <w:t xml:space="preserve">IHS </w:t>
      </w:r>
      <w:r w:rsidR="00E67426">
        <w:rPr>
          <w:b w:val="0"/>
        </w:rPr>
        <w:t>A</w:t>
      </w:r>
      <w:r w:rsidR="00514509">
        <w:rPr>
          <w:b w:val="0"/>
        </w:rPr>
        <w:t>djustment in Idaho by saying:</w:t>
      </w:r>
      <w:r w:rsidR="0051448F">
        <w:rPr>
          <w:b w:val="0"/>
        </w:rPr>
        <w:t xml:space="preserve"> </w:t>
      </w:r>
    </w:p>
    <w:p w14:paraId="77D1AC28" w14:textId="5F64443B" w:rsidR="0051448F" w:rsidRPr="0051448F" w:rsidRDefault="0051448F" w:rsidP="0051448F">
      <w:pPr>
        <w:pStyle w:val="Heading2"/>
        <w:ind w:left="1440" w:firstLine="0"/>
        <w:rPr>
          <w:b w:val="0"/>
        </w:rPr>
      </w:pPr>
      <w:r>
        <w:rPr>
          <w:b w:val="0"/>
        </w:rPr>
        <w:t>“Like Washington, Idaho uses an historical test year with known and measurable adjustments…”</w:t>
      </w:r>
      <w:r>
        <w:rPr>
          <w:b w:val="0"/>
        </w:rPr>
        <w:tab/>
      </w:r>
    </w:p>
    <w:p w14:paraId="5D42E857" w14:textId="662CB234" w:rsidR="00FE27C1" w:rsidRDefault="00EB5F9B" w:rsidP="00A63F21">
      <w:pPr>
        <w:pStyle w:val="NoSpacing"/>
      </w:pPr>
      <w:r>
        <w:tab/>
        <w:t xml:space="preserve">Staff’s </w:t>
      </w:r>
      <w:r w:rsidR="00514509">
        <w:t xml:space="preserve">agrees with the Company’s implication that </w:t>
      </w:r>
      <w:r>
        <w:t>the use of escalation factors</w:t>
      </w:r>
      <w:r w:rsidR="0009178B">
        <w:t xml:space="preserve"> in the manner proposed by the Company </w:t>
      </w:r>
      <w:r>
        <w:t xml:space="preserve">is not appropriate </w:t>
      </w:r>
      <w:r w:rsidR="00871E6F">
        <w:t xml:space="preserve">for jurisdictions that use an historical test year.  </w:t>
      </w:r>
    </w:p>
    <w:p w14:paraId="4E1F3E6B" w14:textId="77777777" w:rsidR="00514509" w:rsidRDefault="00514509" w:rsidP="00A63F21">
      <w:pPr>
        <w:pStyle w:val="NoSpacing"/>
      </w:pPr>
    </w:p>
    <w:p w14:paraId="6EF2EE2A" w14:textId="55129256" w:rsidR="00285138" w:rsidRDefault="00285138" w:rsidP="00285138">
      <w:pPr>
        <w:pStyle w:val="Heading2"/>
      </w:pPr>
      <w:r w:rsidRPr="00944CF5">
        <w:lastRenderedPageBreak/>
        <w:t>Q.</w:t>
      </w:r>
      <w:r>
        <w:rPr>
          <w:b w:val="0"/>
        </w:rPr>
        <w:tab/>
      </w:r>
      <w:r>
        <w:t xml:space="preserve">What other flaws did </w:t>
      </w:r>
      <w:r w:rsidR="00E67426">
        <w:t>Staff</w:t>
      </w:r>
      <w:r>
        <w:t xml:space="preserve"> detect </w:t>
      </w:r>
      <w:r w:rsidR="00871E6F">
        <w:t>in using</w:t>
      </w:r>
      <w:r>
        <w:t xml:space="preserve"> the </w:t>
      </w:r>
      <w:r w:rsidRPr="00E02F9E">
        <w:t xml:space="preserve">IHS </w:t>
      </w:r>
      <w:r w:rsidR="00A63F21">
        <w:t>I</w:t>
      </w:r>
      <w:r w:rsidRPr="00E02F9E">
        <w:t>ndices to forecast costs?</w:t>
      </w:r>
    </w:p>
    <w:p w14:paraId="0B81E608" w14:textId="7AF6B7B6" w:rsidR="00871E6F" w:rsidRDefault="00285138" w:rsidP="00285138">
      <w:pPr>
        <w:pStyle w:val="Heading2"/>
        <w:rPr>
          <w:b w:val="0"/>
        </w:rPr>
      </w:pPr>
      <w:r w:rsidRPr="00EA1465">
        <w:rPr>
          <w:b w:val="0"/>
        </w:rPr>
        <w:t>A.</w:t>
      </w:r>
      <w:r>
        <w:tab/>
      </w:r>
      <w:r w:rsidRPr="00E02F9E">
        <w:rPr>
          <w:b w:val="0"/>
        </w:rPr>
        <w:t xml:space="preserve">The IHS </w:t>
      </w:r>
      <w:r w:rsidR="00653AD3">
        <w:rPr>
          <w:b w:val="0"/>
        </w:rPr>
        <w:t>I</w:t>
      </w:r>
      <w:r w:rsidRPr="00E02F9E">
        <w:rPr>
          <w:b w:val="0"/>
        </w:rPr>
        <w:t xml:space="preserve">ndices provided by the Company are not consistent.  </w:t>
      </w:r>
      <w:r>
        <w:rPr>
          <w:b w:val="0"/>
        </w:rPr>
        <w:t>Staff’s Exhibit, No.__ (</w:t>
      </w:r>
      <w:r w:rsidR="00871E6F">
        <w:rPr>
          <w:b w:val="0"/>
        </w:rPr>
        <w:t>JLB</w:t>
      </w:r>
      <w:r>
        <w:rPr>
          <w:b w:val="0"/>
        </w:rPr>
        <w:t>-</w:t>
      </w:r>
      <w:r w:rsidR="00ED298D" w:rsidRPr="00ED298D">
        <w:rPr>
          <w:b w:val="0"/>
        </w:rPr>
        <w:t>6</w:t>
      </w:r>
      <w:r w:rsidR="00D9340E">
        <w:rPr>
          <w:b w:val="0"/>
        </w:rPr>
        <w:t>C</w:t>
      </w:r>
      <w:r w:rsidR="00871E6F">
        <w:rPr>
          <w:b w:val="0"/>
        </w:rPr>
        <w:t>)</w:t>
      </w:r>
      <w:r>
        <w:rPr>
          <w:b w:val="0"/>
        </w:rPr>
        <w:t xml:space="preserve"> shows</w:t>
      </w:r>
      <w:r w:rsidRPr="00E02F9E">
        <w:rPr>
          <w:b w:val="0"/>
        </w:rPr>
        <w:t xml:space="preserve"> the inconsistenc</w:t>
      </w:r>
      <w:r w:rsidR="002735C1">
        <w:rPr>
          <w:b w:val="0"/>
        </w:rPr>
        <w:t>ies</w:t>
      </w:r>
      <w:r w:rsidRPr="00E02F9E">
        <w:rPr>
          <w:b w:val="0"/>
        </w:rPr>
        <w:t xml:space="preserve"> </w:t>
      </w:r>
      <w:r>
        <w:rPr>
          <w:b w:val="0"/>
        </w:rPr>
        <w:t>in the</w:t>
      </w:r>
      <w:r w:rsidRPr="00E02F9E">
        <w:rPr>
          <w:b w:val="0"/>
        </w:rPr>
        <w:t xml:space="preserve"> data provided by the Company.</w:t>
      </w:r>
      <w:r w:rsidR="00871E6F">
        <w:rPr>
          <w:b w:val="0"/>
        </w:rPr>
        <w:t xml:space="preserve">  </w:t>
      </w:r>
    </w:p>
    <w:p w14:paraId="3DA88359" w14:textId="51EFEEB6" w:rsidR="00285138" w:rsidRDefault="00871E6F" w:rsidP="00871E6F">
      <w:pPr>
        <w:pStyle w:val="Heading2"/>
        <w:ind w:firstLine="720"/>
        <w:rPr>
          <w:b w:val="0"/>
        </w:rPr>
      </w:pPr>
      <w:r>
        <w:rPr>
          <w:b w:val="0"/>
        </w:rPr>
        <w:t>F</w:t>
      </w:r>
      <w:r w:rsidR="00285138">
        <w:rPr>
          <w:b w:val="0"/>
        </w:rPr>
        <w:t>or 2013 data, the</w:t>
      </w:r>
      <w:r w:rsidR="00E67426">
        <w:rPr>
          <w:b w:val="0"/>
        </w:rPr>
        <w:t xml:space="preserve"> IHS I</w:t>
      </w:r>
      <w:r w:rsidR="00285138">
        <w:rPr>
          <w:b w:val="0"/>
        </w:rPr>
        <w:t xml:space="preserve">ndices used </w:t>
      </w:r>
      <w:r w:rsidR="00285138" w:rsidRPr="00072240">
        <w:rPr>
          <w:b w:val="0"/>
        </w:rPr>
        <w:t xml:space="preserve">in the Company’s </w:t>
      </w:r>
      <w:r w:rsidR="0007275F">
        <w:rPr>
          <w:b w:val="0"/>
        </w:rPr>
        <w:t xml:space="preserve">direct </w:t>
      </w:r>
      <w:r w:rsidR="00285138" w:rsidRPr="00072240">
        <w:rPr>
          <w:b w:val="0"/>
        </w:rPr>
        <w:t>case</w:t>
      </w:r>
      <w:r w:rsidR="0007275F">
        <w:rPr>
          <w:rStyle w:val="FootnoteReference"/>
          <w:b w:val="0"/>
        </w:rPr>
        <w:footnoteReference w:id="23"/>
      </w:r>
      <w:r w:rsidR="00285138" w:rsidRPr="00072240">
        <w:rPr>
          <w:b w:val="0"/>
        </w:rPr>
        <w:t xml:space="preserve"> is </w:t>
      </w:r>
      <w:r w:rsidR="00285138">
        <w:rPr>
          <w:b w:val="0"/>
        </w:rPr>
        <w:t>much higher</w:t>
      </w:r>
      <w:r w:rsidR="00285138" w:rsidRPr="00072240">
        <w:rPr>
          <w:b w:val="0"/>
        </w:rPr>
        <w:t xml:space="preserve"> compare</w:t>
      </w:r>
      <w:r w:rsidR="00285138">
        <w:rPr>
          <w:b w:val="0"/>
        </w:rPr>
        <w:t>d</w:t>
      </w:r>
      <w:r w:rsidR="00285138" w:rsidRPr="00072240">
        <w:rPr>
          <w:b w:val="0"/>
        </w:rPr>
        <w:t xml:space="preserve"> to </w:t>
      </w:r>
      <w:r w:rsidR="00285138">
        <w:rPr>
          <w:b w:val="0"/>
        </w:rPr>
        <w:t xml:space="preserve">data provided in </w:t>
      </w:r>
      <w:r w:rsidR="00FA0607">
        <w:rPr>
          <w:b w:val="0"/>
        </w:rPr>
        <w:t>the Company’s supplemental response to Staff d</w:t>
      </w:r>
      <w:r w:rsidR="00285138">
        <w:rPr>
          <w:b w:val="0"/>
        </w:rPr>
        <w:t xml:space="preserve">ata </w:t>
      </w:r>
      <w:r w:rsidR="00FA0607">
        <w:rPr>
          <w:b w:val="0"/>
        </w:rPr>
        <w:t xml:space="preserve">request </w:t>
      </w:r>
      <w:r w:rsidR="00285138">
        <w:rPr>
          <w:b w:val="0"/>
        </w:rPr>
        <w:t>16</w:t>
      </w:r>
      <w:r w:rsidR="00ED298D">
        <w:rPr>
          <w:b w:val="0"/>
        </w:rPr>
        <w:t xml:space="preserve"> (Supplemental DR 16)</w:t>
      </w:r>
      <w:r w:rsidR="00285138" w:rsidRPr="00ED298D">
        <w:rPr>
          <w:b w:val="0"/>
        </w:rPr>
        <w:t>.</w:t>
      </w:r>
      <w:r w:rsidR="00285138">
        <w:rPr>
          <w:b w:val="0"/>
        </w:rPr>
        <w:t xml:space="preserve">  Some of the </w:t>
      </w:r>
      <w:r w:rsidR="00E67426">
        <w:rPr>
          <w:b w:val="0"/>
        </w:rPr>
        <w:t>IHS I</w:t>
      </w:r>
      <w:r w:rsidR="00285138">
        <w:rPr>
          <w:b w:val="0"/>
        </w:rPr>
        <w:t xml:space="preserve">ndices used </w:t>
      </w:r>
      <w:r w:rsidR="00FA0607">
        <w:rPr>
          <w:b w:val="0"/>
        </w:rPr>
        <w:t>by the Company</w:t>
      </w:r>
      <w:r w:rsidR="00285138">
        <w:rPr>
          <w:b w:val="0"/>
        </w:rPr>
        <w:t xml:space="preserve"> are more than two times higher</w:t>
      </w:r>
      <w:r w:rsidR="00FA0607">
        <w:rPr>
          <w:b w:val="0"/>
        </w:rPr>
        <w:t xml:space="preserve"> than the data provided </w:t>
      </w:r>
      <w:r w:rsidR="00ED298D">
        <w:rPr>
          <w:b w:val="0"/>
        </w:rPr>
        <w:t xml:space="preserve">in </w:t>
      </w:r>
      <w:r w:rsidR="00E16026">
        <w:rPr>
          <w:b w:val="0"/>
        </w:rPr>
        <w:t xml:space="preserve">Supplement </w:t>
      </w:r>
      <w:r w:rsidR="00ED298D">
        <w:rPr>
          <w:b w:val="0"/>
        </w:rPr>
        <w:t xml:space="preserve">DR 16.  </w:t>
      </w:r>
    </w:p>
    <w:p w14:paraId="04C3BDBC" w14:textId="77777777" w:rsidR="00285138" w:rsidRPr="000D23E9" w:rsidRDefault="00285138" w:rsidP="00285138">
      <w:pPr>
        <w:pStyle w:val="Heading2"/>
      </w:pPr>
    </w:p>
    <w:p w14:paraId="645284F3" w14:textId="005C65EB" w:rsidR="00285138" w:rsidRPr="000D23E9" w:rsidRDefault="00285138" w:rsidP="00AB1423">
      <w:pPr>
        <w:pStyle w:val="Heading2"/>
      </w:pPr>
      <w:r w:rsidRPr="00AB1423">
        <w:t xml:space="preserve">Q. </w:t>
      </w:r>
      <w:r w:rsidRPr="00AB1423">
        <w:tab/>
        <w:t xml:space="preserve">What causes the discrepancy between the 2013 </w:t>
      </w:r>
      <w:r w:rsidR="00ED298D">
        <w:t>IHS I</w:t>
      </w:r>
      <w:r w:rsidRPr="00AB1423">
        <w:t>ndices in Confidential</w:t>
      </w:r>
      <w:r w:rsidRPr="00055CA4">
        <w:t xml:space="preserve"> Exhibit No.___(NCS-8C) and data pr</w:t>
      </w:r>
      <w:r w:rsidR="0071759C">
        <w:t xml:space="preserve">esented in </w:t>
      </w:r>
      <w:r w:rsidR="00015C4F">
        <w:t xml:space="preserve">Confidential </w:t>
      </w:r>
      <w:r w:rsidR="0071759C">
        <w:t xml:space="preserve">Exhibit </w:t>
      </w:r>
      <w:r w:rsidR="00505B93">
        <w:t>No.___(</w:t>
      </w:r>
      <w:r w:rsidR="0071759C">
        <w:t>JLB-</w:t>
      </w:r>
      <w:r w:rsidR="00505B93">
        <w:t>6</w:t>
      </w:r>
      <w:r w:rsidR="00D9340E">
        <w:t>C</w:t>
      </w:r>
      <w:r w:rsidR="00505B93">
        <w:t>)</w:t>
      </w:r>
      <w:r w:rsidRPr="00055CA4">
        <w:rPr>
          <w:rStyle w:val="T11"/>
        </w:rPr>
        <w:t>?</w:t>
      </w:r>
    </w:p>
    <w:p w14:paraId="4CC34C32" w14:textId="754B7772" w:rsidR="00285138" w:rsidRDefault="00285138" w:rsidP="00285138">
      <w:pPr>
        <w:pStyle w:val="Heading2"/>
        <w:rPr>
          <w:b w:val="0"/>
          <w:bCs/>
        </w:rPr>
      </w:pPr>
      <w:r>
        <w:rPr>
          <w:b w:val="0"/>
        </w:rPr>
        <w:t xml:space="preserve">A.  </w:t>
      </w:r>
      <w:r>
        <w:rPr>
          <w:b w:val="0"/>
        </w:rPr>
        <w:tab/>
        <w:t xml:space="preserve">According to the Company’s </w:t>
      </w:r>
      <w:r w:rsidR="00877081">
        <w:rPr>
          <w:b w:val="0"/>
        </w:rPr>
        <w:t>r</w:t>
      </w:r>
      <w:r>
        <w:rPr>
          <w:b w:val="0"/>
        </w:rPr>
        <w:t xml:space="preserve">esponse to Staff’s </w:t>
      </w:r>
      <w:r w:rsidR="0071759C">
        <w:rPr>
          <w:b w:val="0"/>
        </w:rPr>
        <w:t>d</w:t>
      </w:r>
      <w:r>
        <w:rPr>
          <w:b w:val="0"/>
        </w:rPr>
        <w:t xml:space="preserve">ata </w:t>
      </w:r>
      <w:r w:rsidR="0071759C">
        <w:rPr>
          <w:b w:val="0"/>
        </w:rPr>
        <w:t>r</w:t>
      </w:r>
      <w:r>
        <w:rPr>
          <w:b w:val="0"/>
        </w:rPr>
        <w:t>equest N</w:t>
      </w:r>
      <w:r w:rsidRPr="00B8658A">
        <w:rPr>
          <w:b w:val="0"/>
        </w:rPr>
        <w:t xml:space="preserve">o.71, </w:t>
      </w:r>
      <w:r w:rsidRPr="00B8658A">
        <w:rPr>
          <w:rStyle w:val="T11"/>
        </w:rPr>
        <w:t xml:space="preserve">the 2013 </w:t>
      </w:r>
      <w:r w:rsidR="00877081">
        <w:rPr>
          <w:rStyle w:val="T11"/>
        </w:rPr>
        <w:t>IHS I</w:t>
      </w:r>
      <w:r w:rsidRPr="00B8658A">
        <w:rPr>
          <w:rStyle w:val="T11"/>
        </w:rPr>
        <w:t xml:space="preserve">ndices in </w:t>
      </w:r>
      <w:r w:rsidRPr="00B8658A">
        <w:rPr>
          <w:b w:val="0"/>
        </w:rPr>
        <w:t>Confidential Exhibit No.___(NCS-8C) used 1992 as</w:t>
      </w:r>
      <w:r w:rsidR="00EE434F">
        <w:rPr>
          <w:b w:val="0"/>
        </w:rPr>
        <w:t xml:space="preserve"> a starting </w:t>
      </w:r>
      <w:r w:rsidRPr="00B8658A">
        <w:rPr>
          <w:b w:val="0"/>
        </w:rPr>
        <w:t xml:space="preserve">basis and </w:t>
      </w:r>
      <w:r w:rsidR="00EE434F">
        <w:rPr>
          <w:b w:val="0"/>
        </w:rPr>
        <w:t xml:space="preserve">the </w:t>
      </w:r>
      <w:r w:rsidRPr="00B8658A">
        <w:rPr>
          <w:b w:val="0"/>
        </w:rPr>
        <w:t>data provided</w:t>
      </w:r>
      <w:r w:rsidR="00671875">
        <w:rPr>
          <w:b w:val="0"/>
        </w:rPr>
        <w:t xml:space="preserve"> in</w:t>
      </w:r>
      <w:r w:rsidRPr="00B8658A">
        <w:rPr>
          <w:b w:val="0"/>
        </w:rPr>
        <w:t xml:space="preserve"> </w:t>
      </w:r>
      <w:r w:rsidR="00E85A12">
        <w:rPr>
          <w:b w:val="0"/>
        </w:rPr>
        <w:t xml:space="preserve">Supplemental DR 16 </w:t>
      </w:r>
      <w:r>
        <w:rPr>
          <w:b w:val="0"/>
        </w:rPr>
        <w:t>used 2012</w:t>
      </w:r>
      <w:r w:rsidR="007F3136">
        <w:rPr>
          <w:b w:val="0"/>
        </w:rPr>
        <w:t xml:space="preserve"> as a base year</w:t>
      </w:r>
      <w:r>
        <w:rPr>
          <w:b w:val="0"/>
        </w:rPr>
        <w:t>.</w:t>
      </w:r>
      <w:r>
        <w:rPr>
          <w:rStyle w:val="FootnoteReference"/>
          <w:b w:val="0"/>
        </w:rPr>
        <w:footnoteReference w:id="24"/>
      </w:r>
      <w:r w:rsidR="00E85A12">
        <w:rPr>
          <w:b w:val="0"/>
        </w:rPr>
        <w:t xml:space="preserve">  Due to inflation occurring since 1992, the IHS Indices provided in the Company’s direct case are overstated compared to Supplemental DR</w:t>
      </w:r>
      <w:r w:rsidR="00671875">
        <w:rPr>
          <w:b w:val="0"/>
        </w:rPr>
        <w:t xml:space="preserve"> 16</w:t>
      </w:r>
      <w:r w:rsidR="00E85A12">
        <w:rPr>
          <w:b w:val="0"/>
        </w:rPr>
        <w:t>. Further, i</w:t>
      </w:r>
      <w:r w:rsidR="007F3136">
        <w:rPr>
          <w:b w:val="0"/>
        </w:rPr>
        <w:t xml:space="preserve">nflationary trends dating back to 1992 are not reliable or useful in projecting the Company’s relevant costs from 2012 through 2016.  </w:t>
      </w:r>
    </w:p>
    <w:p w14:paraId="7B4F05E8" w14:textId="77777777" w:rsidR="00285138" w:rsidRPr="00AB1423" w:rsidRDefault="00285138" w:rsidP="00AB1423">
      <w:pPr>
        <w:pStyle w:val="Heading2"/>
      </w:pPr>
    </w:p>
    <w:p w14:paraId="21A29D21" w14:textId="1A10F1EE" w:rsidR="00285138" w:rsidRPr="00AB1423" w:rsidRDefault="00285138" w:rsidP="00AB1423">
      <w:pPr>
        <w:pStyle w:val="Heading2"/>
      </w:pPr>
      <w:r w:rsidRPr="00AB1423">
        <w:rPr>
          <w:rStyle w:val="T11"/>
          <w:b/>
        </w:rPr>
        <w:t xml:space="preserve">Q. </w:t>
      </w:r>
      <w:r w:rsidRPr="00AB1423">
        <w:rPr>
          <w:rStyle w:val="T11"/>
          <w:b/>
        </w:rPr>
        <w:tab/>
        <w:t xml:space="preserve">Were any analysis or studies conducted by or for the Company </w:t>
      </w:r>
      <w:r w:rsidR="0073253E">
        <w:rPr>
          <w:rStyle w:val="T11"/>
          <w:b/>
        </w:rPr>
        <w:t>to show</w:t>
      </w:r>
      <w:r w:rsidRPr="00AB1423">
        <w:rPr>
          <w:rStyle w:val="T11"/>
          <w:b/>
        </w:rPr>
        <w:t xml:space="preserve"> tha</w:t>
      </w:r>
      <w:r w:rsidR="00671875">
        <w:rPr>
          <w:rStyle w:val="T11"/>
          <w:b/>
        </w:rPr>
        <w:t xml:space="preserve">t Pacific Power’s non-labor </w:t>
      </w:r>
      <w:r w:rsidR="0073253E">
        <w:rPr>
          <w:rStyle w:val="T11"/>
          <w:b/>
        </w:rPr>
        <w:t xml:space="preserve">and non-power cost related </w:t>
      </w:r>
      <w:r w:rsidR="00671875">
        <w:rPr>
          <w:rStyle w:val="T11"/>
          <w:b/>
        </w:rPr>
        <w:t>O&amp;</w:t>
      </w:r>
      <w:r w:rsidRPr="00AB1423">
        <w:rPr>
          <w:rStyle w:val="T11"/>
          <w:b/>
        </w:rPr>
        <w:t>M expense</w:t>
      </w:r>
      <w:r w:rsidR="00671875">
        <w:rPr>
          <w:rStyle w:val="T11"/>
          <w:b/>
        </w:rPr>
        <w:t>s</w:t>
      </w:r>
      <w:r w:rsidRPr="00AB1423">
        <w:rPr>
          <w:rStyle w:val="T11"/>
          <w:b/>
        </w:rPr>
        <w:t xml:space="preserve"> have historically been increasing at similar rates as the IHS </w:t>
      </w:r>
      <w:r w:rsidR="00671875">
        <w:rPr>
          <w:rStyle w:val="T11"/>
          <w:b/>
        </w:rPr>
        <w:t>Indices</w:t>
      </w:r>
      <w:r w:rsidRPr="00AB1423">
        <w:rPr>
          <w:rStyle w:val="T11"/>
          <w:b/>
        </w:rPr>
        <w:t>?</w:t>
      </w:r>
    </w:p>
    <w:p w14:paraId="7672BA99" w14:textId="2EDD7AAB" w:rsidR="00285138" w:rsidRDefault="00285138" w:rsidP="00285138">
      <w:pPr>
        <w:pStyle w:val="Heading2"/>
        <w:rPr>
          <w:b w:val="0"/>
        </w:rPr>
      </w:pPr>
      <w:r>
        <w:rPr>
          <w:b w:val="0"/>
        </w:rPr>
        <w:lastRenderedPageBreak/>
        <w:t xml:space="preserve">A.  </w:t>
      </w:r>
      <w:r>
        <w:rPr>
          <w:b w:val="0"/>
        </w:rPr>
        <w:tab/>
        <w:t>No</w:t>
      </w:r>
      <w:r w:rsidR="00B518A0">
        <w:rPr>
          <w:b w:val="0"/>
        </w:rPr>
        <w:t>. T</w:t>
      </w:r>
      <w:r>
        <w:rPr>
          <w:b w:val="0"/>
        </w:rPr>
        <w:t xml:space="preserve">he Company has not conducted </w:t>
      </w:r>
      <w:r w:rsidR="005D19CF">
        <w:rPr>
          <w:b w:val="0"/>
        </w:rPr>
        <w:t>such an</w:t>
      </w:r>
      <w:r>
        <w:rPr>
          <w:b w:val="0"/>
        </w:rPr>
        <w:t xml:space="preserve"> analysis</w:t>
      </w:r>
      <w:r w:rsidR="005D19CF">
        <w:rPr>
          <w:b w:val="0"/>
        </w:rPr>
        <w:t>.</w:t>
      </w:r>
      <w:r>
        <w:rPr>
          <w:rStyle w:val="FootnoteReference"/>
          <w:b w:val="0"/>
        </w:rPr>
        <w:footnoteReference w:id="25"/>
      </w:r>
    </w:p>
    <w:p w14:paraId="1D664F11" w14:textId="77777777" w:rsidR="00653AD3" w:rsidRDefault="00653AD3" w:rsidP="00653AD3">
      <w:pPr>
        <w:pStyle w:val="Heading3"/>
      </w:pPr>
    </w:p>
    <w:p w14:paraId="13DF33BF" w14:textId="641DBFF0" w:rsidR="00653AD3" w:rsidRPr="00667A2F" w:rsidRDefault="00653AD3" w:rsidP="00653AD3">
      <w:pPr>
        <w:pStyle w:val="Heading3"/>
        <w:rPr>
          <w:b/>
          <w:bCs/>
        </w:rPr>
      </w:pPr>
      <w:bookmarkStart w:id="96" w:name="_Toc400626956"/>
      <w:bookmarkStart w:id="97" w:name="_Toc400626999"/>
      <w:bookmarkStart w:id="98" w:name="_Toc400627192"/>
      <w:r w:rsidRPr="00667A2F">
        <w:rPr>
          <w:b/>
        </w:rPr>
        <w:t>C. ADJUSTMENT 7.2, PROPERTY TAX EXPENSE</w:t>
      </w:r>
      <w:bookmarkEnd w:id="96"/>
      <w:bookmarkEnd w:id="97"/>
      <w:bookmarkEnd w:id="98"/>
    </w:p>
    <w:p w14:paraId="31B5BEE4" w14:textId="5152C04E" w:rsidR="00653AD3" w:rsidRDefault="00653AD3" w:rsidP="00653AD3">
      <w:pPr>
        <w:pStyle w:val="Heading2"/>
      </w:pPr>
      <w:r>
        <w:t>Q.</w:t>
      </w:r>
      <w:r>
        <w:tab/>
        <w:t>Please descri</w:t>
      </w:r>
      <w:r w:rsidR="009B74ED">
        <w:t>be the Company’s adjustment to p</w:t>
      </w:r>
      <w:r>
        <w:t xml:space="preserve">roperty tax expense. </w:t>
      </w:r>
    </w:p>
    <w:p w14:paraId="24690127" w14:textId="2A012883" w:rsidR="00653AD3" w:rsidRDefault="00653AD3" w:rsidP="00653AD3">
      <w:pPr>
        <w:pStyle w:val="NoSpacing"/>
      </w:pPr>
      <w:r>
        <w:t>A.</w:t>
      </w:r>
      <w:r>
        <w:tab/>
        <w:t xml:space="preserve">The Company proposes a pro forma adjustment to increase property tax expense to reflect plant additions beyond the test year ended December 2013.  The Company’s adjustment removes the accrual that was booked in the test year and replaces it with an estimated amount for the </w:t>
      </w:r>
      <w:r w:rsidR="0073253E">
        <w:t xml:space="preserve">rate </w:t>
      </w:r>
      <w:r>
        <w:t xml:space="preserve">year ended 2014.  </w:t>
      </w:r>
    </w:p>
    <w:p w14:paraId="6B5E0437" w14:textId="77777777" w:rsidR="00653AD3" w:rsidRDefault="00653AD3" w:rsidP="00653AD3">
      <w:pPr>
        <w:spacing w:line="480" w:lineRule="auto"/>
        <w:ind w:left="720" w:hanging="720"/>
      </w:pPr>
    </w:p>
    <w:p w14:paraId="10D4A406" w14:textId="77777777" w:rsidR="00653AD3" w:rsidRDefault="00653AD3" w:rsidP="00653AD3">
      <w:pPr>
        <w:pStyle w:val="Heading2"/>
      </w:pPr>
      <w:r>
        <w:t>Q.</w:t>
      </w:r>
      <w:r>
        <w:tab/>
        <w:t>What is Staff’s recommendation for property tax expense?</w:t>
      </w:r>
    </w:p>
    <w:p w14:paraId="48A53F57" w14:textId="26C857F3" w:rsidR="00653AD3" w:rsidRDefault="00653AD3" w:rsidP="00653AD3">
      <w:pPr>
        <w:pStyle w:val="NoSpacing"/>
      </w:pPr>
      <w:r>
        <w:t>A.</w:t>
      </w:r>
      <w:r>
        <w:tab/>
        <w:t>Staff rejects the Company’s pro forma adjustment, thereby keeping the property tax expense at the accrual level that was booked during the test year.</w:t>
      </w:r>
      <w:r w:rsidR="00667A2F">
        <w:t xml:space="preserve"> </w:t>
      </w:r>
    </w:p>
    <w:p w14:paraId="06B4BBC5" w14:textId="77777777" w:rsidR="00FB1829" w:rsidRDefault="00FB1829" w:rsidP="00653AD3">
      <w:pPr>
        <w:pStyle w:val="NoSpacing"/>
      </w:pPr>
    </w:p>
    <w:p w14:paraId="067BB930" w14:textId="5F194641" w:rsidR="00653AD3" w:rsidRPr="00B54B1D" w:rsidRDefault="00653AD3" w:rsidP="00653AD3">
      <w:pPr>
        <w:pStyle w:val="Heading2"/>
      </w:pPr>
      <w:r w:rsidRPr="00B54B1D">
        <w:t>Q.</w:t>
      </w:r>
      <w:r w:rsidRPr="00B54B1D">
        <w:tab/>
      </w:r>
      <w:r>
        <w:t xml:space="preserve">Why should the Commission </w:t>
      </w:r>
      <w:r w:rsidR="00E42BE1">
        <w:t>reject the adjustment</w:t>
      </w:r>
      <w:r w:rsidR="00667A2F">
        <w:t xml:space="preserve"> as proposed by the Company</w:t>
      </w:r>
      <w:r>
        <w:t>?</w:t>
      </w:r>
    </w:p>
    <w:p w14:paraId="537C0BFA" w14:textId="18845F2C" w:rsidR="00653AD3" w:rsidRDefault="00653AD3" w:rsidP="00B726F2">
      <w:pPr>
        <w:pStyle w:val="NoSpacing"/>
        <w:rPr>
          <w:b/>
        </w:rPr>
      </w:pPr>
      <w:r>
        <w:t>A.</w:t>
      </w:r>
      <w:r>
        <w:tab/>
      </w:r>
      <w:r w:rsidR="00E42BE1">
        <w:t>P</w:t>
      </w:r>
      <w:r>
        <w:t xml:space="preserve">roperty taxes are calculated on many factors most of which are not known until the actual payment is made.  The basis of the tax and the tax rate for the upcoming year are sufficiently firm to record the liability and tax </w:t>
      </w:r>
      <w:r w:rsidR="00E42BE1">
        <w:t>expense for that near-term year;</w:t>
      </w:r>
      <w:r>
        <w:t xml:space="preserve"> beyond </w:t>
      </w:r>
      <w:r w:rsidR="00E42BE1">
        <w:t>the upcoming year</w:t>
      </w:r>
      <w:r w:rsidR="00667A2F">
        <w:t>,</w:t>
      </w:r>
      <w:r>
        <w:t xml:space="preserve"> the data </w:t>
      </w:r>
      <w:r w:rsidR="00667A2F">
        <w:t xml:space="preserve">becomes more </w:t>
      </w:r>
      <w:r w:rsidR="0073253E">
        <w:t xml:space="preserve">speculative.  </w:t>
      </w:r>
      <w:r w:rsidR="00B726F2">
        <w:t>I</w:t>
      </w:r>
      <w:r>
        <w:t xml:space="preserve">t is </w:t>
      </w:r>
      <w:r w:rsidR="00E42BE1">
        <w:t>not necessary</w:t>
      </w:r>
      <w:r>
        <w:t xml:space="preserve"> to revise </w:t>
      </w:r>
      <w:r w:rsidR="00B726F2">
        <w:t xml:space="preserve">the </w:t>
      </w:r>
      <w:r>
        <w:t xml:space="preserve">cost to a different assumed </w:t>
      </w:r>
      <w:r w:rsidR="00E42BE1">
        <w:t>level</w:t>
      </w:r>
      <w:r>
        <w:t xml:space="preserve">.  </w:t>
      </w:r>
      <w:r w:rsidRPr="00EB4F52">
        <w:t>Rejection of this pro forma adjustment retains a repre</w:t>
      </w:r>
      <w:r>
        <w:t>se</w:t>
      </w:r>
      <w:r w:rsidRPr="00EB4F52">
        <w:t xml:space="preserve">ntative amount of property tax expense relative to </w:t>
      </w:r>
      <w:r w:rsidR="00CB74F7">
        <w:t xml:space="preserve">the </w:t>
      </w:r>
      <w:r w:rsidRPr="00EB4F52">
        <w:t xml:space="preserve">revenues and rate base </w:t>
      </w:r>
      <w:r w:rsidRPr="00374DB1">
        <w:t>included in rates.</w:t>
      </w:r>
      <w:r>
        <w:rPr>
          <w:b/>
        </w:rPr>
        <w:t xml:space="preserve"> </w:t>
      </w:r>
    </w:p>
    <w:p w14:paraId="58E44FBC" w14:textId="77777777" w:rsidR="00653AD3" w:rsidRDefault="00653AD3" w:rsidP="00653AD3">
      <w:pPr>
        <w:pStyle w:val="BodyTextIndent2"/>
        <w:tabs>
          <w:tab w:val="left" w:pos="-3780"/>
          <w:tab w:val="left" w:pos="-3600"/>
        </w:tabs>
        <w:ind w:hanging="720"/>
      </w:pPr>
    </w:p>
    <w:p w14:paraId="49D3B7F0" w14:textId="27FC4F53" w:rsidR="00653AD3" w:rsidRPr="00355587" w:rsidRDefault="00653AD3" w:rsidP="00667A2F">
      <w:pPr>
        <w:pStyle w:val="BodyTextIndent2"/>
        <w:tabs>
          <w:tab w:val="left" w:pos="-3780"/>
          <w:tab w:val="left" w:pos="-3600"/>
        </w:tabs>
        <w:ind w:left="720" w:hanging="720"/>
        <w:rPr>
          <w:b/>
        </w:rPr>
      </w:pPr>
      <w:r w:rsidRPr="00C7685C">
        <w:rPr>
          <w:b/>
        </w:rPr>
        <w:lastRenderedPageBreak/>
        <w:t>Q.</w:t>
      </w:r>
      <w:r w:rsidRPr="007E7005">
        <w:rPr>
          <w:b/>
        </w:rPr>
        <w:tab/>
        <w:t>What is the impact of Staff’s recommendation regarding Property</w:t>
      </w:r>
      <w:r w:rsidR="00667A2F">
        <w:rPr>
          <w:b/>
        </w:rPr>
        <w:t xml:space="preserve"> </w:t>
      </w:r>
      <w:r w:rsidRPr="007E7005">
        <w:rPr>
          <w:b/>
        </w:rPr>
        <w:t xml:space="preserve">Tax Expense, Adjustment </w:t>
      </w:r>
      <w:r w:rsidRPr="00355587">
        <w:rPr>
          <w:b/>
        </w:rPr>
        <w:t>7.2?</w:t>
      </w:r>
    </w:p>
    <w:p w14:paraId="5A444774" w14:textId="7802BAD0" w:rsidR="00653AD3" w:rsidRDefault="00653AD3" w:rsidP="00653AD3">
      <w:pPr>
        <w:spacing w:line="480" w:lineRule="auto"/>
        <w:ind w:left="720" w:hanging="720"/>
      </w:pPr>
      <w:r w:rsidRPr="00C7685C">
        <w:t>A.</w:t>
      </w:r>
      <w:r w:rsidRPr="00C7685C">
        <w:tab/>
      </w:r>
      <w:r w:rsidRPr="00B111A7">
        <w:t>Staff’s</w:t>
      </w:r>
      <w:r w:rsidRPr="0032721C">
        <w:t xml:space="preserve"> </w:t>
      </w:r>
      <w:r>
        <w:t>recommendation</w:t>
      </w:r>
      <w:r w:rsidRPr="0032721C">
        <w:t xml:space="preserve"> </w:t>
      </w:r>
      <w:r>
        <w:t xml:space="preserve">removes the Company’s pro forma </w:t>
      </w:r>
      <w:r w:rsidR="00FB1829">
        <w:t>increase</w:t>
      </w:r>
      <w:r>
        <w:t xml:space="preserve"> to net operating </w:t>
      </w:r>
      <w:r w:rsidR="00FB1829">
        <w:t>expenses</w:t>
      </w:r>
      <w:r>
        <w:t xml:space="preserve"> of $</w:t>
      </w:r>
      <w:r w:rsidR="00FB1829">
        <w:t>515,798</w:t>
      </w:r>
      <w:r>
        <w:t xml:space="preserve"> </w:t>
      </w:r>
      <w:r w:rsidR="00CB74F7">
        <w:t>and</w:t>
      </w:r>
      <w:r>
        <w:t xml:space="preserve"> maintain</w:t>
      </w:r>
      <w:r w:rsidR="00CB74F7">
        <w:t>s</w:t>
      </w:r>
      <w:r>
        <w:t xml:space="preserve"> the test year level of property tax expense</w:t>
      </w:r>
      <w:r w:rsidRPr="0032721C">
        <w:t>.</w:t>
      </w:r>
      <w:r w:rsidR="00667A2F">
        <w:t xml:space="preserve"> </w:t>
      </w:r>
    </w:p>
    <w:p w14:paraId="439BEE87" w14:textId="77777777" w:rsidR="00671875" w:rsidRDefault="00671875" w:rsidP="00653AD3">
      <w:pPr>
        <w:spacing w:line="480" w:lineRule="auto"/>
        <w:ind w:left="720" w:hanging="720"/>
      </w:pPr>
    </w:p>
    <w:p w14:paraId="3F9AA3B6" w14:textId="53A16564" w:rsidR="00DE7767" w:rsidRDefault="006829EB" w:rsidP="001C0F2D">
      <w:pPr>
        <w:pStyle w:val="Heading1"/>
      </w:pPr>
      <w:bookmarkStart w:id="99" w:name="_Toc400466364"/>
      <w:bookmarkStart w:id="100" w:name="_Toc400466479"/>
      <w:bookmarkStart w:id="101" w:name="_Toc400467792"/>
      <w:bookmarkStart w:id="102" w:name="_Toc400626957"/>
      <w:bookmarkStart w:id="103" w:name="_Toc400627000"/>
      <w:bookmarkStart w:id="104" w:name="_Toc400627193"/>
      <w:r>
        <w:t>MERWIN FISH COLLECTOR</w:t>
      </w:r>
      <w:bookmarkEnd w:id="99"/>
      <w:bookmarkEnd w:id="100"/>
      <w:bookmarkEnd w:id="101"/>
      <w:r w:rsidR="00671875">
        <w:t xml:space="preserve"> PROJECT</w:t>
      </w:r>
      <w:bookmarkEnd w:id="102"/>
      <w:bookmarkEnd w:id="103"/>
      <w:bookmarkEnd w:id="104"/>
    </w:p>
    <w:p w14:paraId="47CA2538" w14:textId="77777777" w:rsidR="002735C1" w:rsidRPr="002735C1" w:rsidRDefault="002735C1" w:rsidP="002735C1">
      <w:pPr>
        <w:pStyle w:val="NoSpacing"/>
      </w:pPr>
    </w:p>
    <w:p w14:paraId="2A875084" w14:textId="3CAB423A" w:rsidR="006829EB" w:rsidRDefault="00736EF1" w:rsidP="00535EE8">
      <w:pPr>
        <w:pStyle w:val="Heading3"/>
      </w:pPr>
      <w:bookmarkStart w:id="105" w:name="_Toc400466365"/>
      <w:bookmarkStart w:id="106" w:name="_Toc400466480"/>
      <w:bookmarkStart w:id="107" w:name="_Toc400467793"/>
      <w:bookmarkStart w:id="108" w:name="_Toc400626958"/>
      <w:bookmarkStart w:id="109" w:name="_Toc400627001"/>
      <w:bookmarkStart w:id="110" w:name="_Toc400627194"/>
      <w:r>
        <w:t xml:space="preserve">A.  </w:t>
      </w:r>
      <w:r w:rsidR="006829EB" w:rsidRPr="00736EF1">
        <w:t>DESCRIPTION AND HISTORY</w:t>
      </w:r>
      <w:bookmarkEnd w:id="105"/>
      <w:bookmarkEnd w:id="106"/>
      <w:bookmarkEnd w:id="107"/>
      <w:bookmarkEnd w:id="108"/>
      <w:bookmarkEnd w:id="109"/>
      <w:bookmarkEnd w:id="110"/>
    </w:p>
    <w:p w14:paraId="242891CD" w14:textId="77777777" w:rsidR="006618C8" w:rsidRDefault="006618C8" w:rsidP="006618C8">
      <w:pPr>
        <w:pStyle w:val="Heading2"/>
      </w:pPr>
      <w:r>
        <w:t>Q.</w:t>
      </w:r>
      <w:r>
        <w:tab/>
        <w:t xml:space="preserve">Please describe the </w:t>
      </w:r>
      <w:proofErr w:type="spellStart"/>
      <w:r>
        <w:t>Merwin</w:t>
      </w:r>
      <w:proofErr w:type="spellEnd"/>
      <w:r>
        <w:t xml:space="preserve"> Fish Collector Project</w:t>
      </w:r>
    </w:p>
    <w:p w14:paraId="436E21A4" w14:textId="2B51DD67" w:rsidR="003714B3" w:rsidRDefault="006618C8" w:rsidP="001D7B23">
      <w:pPr>
        <w:pStyle w:val="NoSpacing"/>
      </w:pPr>
      <w:r>
        <w:t>A.</w:t>
      </w:r>
      <w:r>
        <w:tab/>
      </w:r>
      <w:r w:rsidR="001D7B23">
        <w:t xml:space="preserve">The </w:t>
      </w:r>
      <w:proofErr w:type="spellStart"/>
      <w:r w:rsidR="001D7B23">
        <w:t>Merwin</w:t>
      </w:r>
      <w:proofErr w:type="spellEnd"/>
      <w:r w:rsidR="001D7B23">
        <w:t xml:space="preserve"> Fish Collector Project</w:t>
      </w:r>
      <w:r w:rsidR="00841123">
        <w:t xml:space="preserve"> (</w:t>
      </w:r>
      <w:proofErr w:type="spellStart"/>
      <w:r w:rsidR="00841123">
        <w:t>Merwin</w:t>
      </w:r>
      <w:proofErr w:type="spellEnd"/>
      <w:r w:rsidR="00841123">
        <w:t xml:space="preserve"> Project)</w:t>
      </w:r>
      <w:r w:rsidR="001D7B23">
        <w:t xml:space="preserve"> was built as a requirement of the </w:t>
      </w:r>
      <w:r w:rsidR="000C0266">
        <w:t>FERC</w:t>
      </w:r>
      <w:r w:rsidR="001D7B23">
        <w:t xml:space="preserve"> relicensing for the Lewis River</w:t>
      </w:r>
      <w:r w:rsidR="00746E76">
        <w:t xml:space="preserve"> hydroelectric project</w:t>
      </w:r>
      <w:r w:rsidR="001D7B23">
        <w:t xml:space="preserve">.  In negotiating the relicensing, </w:t>
      </w:r>
      <w:r w:rsidR="001A037F">
        <w:t xml:space="preserve">Pacific Power </w:t>
      </w:r>
      <w:r w:rsidR="001D7B23">
        <w:t>reached a settlement with 26 parties, including Cowlitz PUD, the Washington Department of Ecology, and the Washington Department of Fish and Wildlife, to receive a</w:t>
      </w:r>
      <w:r w:rsidR="00746E76">
        <w:t xml:space="preserve"> 50-year l</w:t>
      </w:r>
      <w:r w:rsidR="001D7B23">
        <w:t>icense fro</w:t>
      </w:r>
      <w:r w:rsidR="00746E76">
        <w:t>m the FERC.  Specifically, the l</w:t>
      </w:r>
      <w:r w:rsidR="001D7B23">
        <w:t>icense required the construction of a fish passage system that collects and transports fish around</w:t>
      </w:r>
      <w:r w:rsidR="00746E76">
        <w:t xml:space="preserve"> the three dams included in the l</w:t>
      </w:r>
      <w:r w:rsidR="001D7B23">
        <w:t>icense.</w:t>
      </w:r>
      <w:r w:rsidR="001A037F">
        <w:t xml:space="preserve"> </w:t>
      </w:r>
      <w:r w:rsidR="001D7B23">
        <w:t xml:space="preserve"> </w:t>
      </w:r>
    </w:p>
    <w:p w14:paraId="63E685FB" w14:textId="633D599D" w:rsidR="003C569C" w:rsidRPr="00855B7E" w:rsidRDefault="003C569C" w:rsidP="003C569C">
      <w:pPr>
        <w:pStyle w:val="NoSpacing"/>
        <w:rPr>
          <w:b/>
        </w:rPr>
      </w:pPr>
      <w:r w:rsidRPr="00855B7E">
        <w:rPr>
          <w:b/>
        </w:rPr>
        <w:t>Q.</w:t>
      </w:r>
      <w:r w:rsidRPr="00855B7E">
        <w:rPr>
          <w:b/>
        </w:rPr>
        <w:tab/>
        <w:t xml:space="preserve">What is the Company’s proposal for the </w:t>
      </w:r>
      <w:proofErr w:type="spellStart"/>
      <w:r w:rsidRPr="00855B7E">
        <w:rPr>
          <w:b/>
        </w:rPr>
        <w:t>Merwin</w:t>
      </w:r>
      <w:proofErr w:type="spellEnd"/>
      <w:r w:rsidRPr="00855B7E">
        <w:rPr>
          <w:b/>
        </w:rPr>
        <w:t xml:space="preserve"> Project in the present </w:t>
      </w:r>
      <w:r w:rsidR="00FD7907">
        <w:rPr>
          <w:b/>
        </w:rPr>
        <w:t>GRC</w:t>
      </w:r>
      <w:r w:rsidRPr="00855B7E">
        <w:rPr>
          <w:b/>
        </w:rPr>
        <w:t>, Docket UE-140762?</w:t>
      </w:r>
    </w:p>
    <w:p w14:paraId="1DAEE7F2" w14:textId="2167CF89" w:rsidR="003C569C" w:rsidRDefault="003C569C" w:rsidP="003C569C">
      <w:pPr>
        <w:pStyle w:val="NoSpacing"/>
      </w:pPr>
      <w:r>
        <w:t>A.</w:t>
      </w:r>
      <w:r>
        <w:tab/>
        <w:t xml:space="preserve">The Company’s proposed treatment for the </w:t>
      </w:r>
      <w:proofErr w:type="spellStart"/>
      <w:r>
        <w:t>Merwin</w:t>
      </w:r>
      <w:proofErr w:type="spellEnd"/>
      <w:r>
        <w:t xml:space="preserve"> Project during the rate effective period is to include the project in </w:t>
      </w:r>
      <w:r w:rsidR="001A037F">
        <w:t>rate</w:t>
      </w:r>
      <w:r w:rsidR="00667A2F">
        <w:t xml:space="preserve"> </w:t>
      </w:r>
      <w:r w:rsidR="001A037F">
        <w:t>base</w:t>
      </w:r>
      <w:r>
        <w:t xml:space="preserve">.  This is shown in a part of 8.4 </w:t>
      </w:r>
      <w:r w:rsidR="001A037F">
        <w:t xml:space="preserve">pro forma </w:t>
      </w:r>
      <w:r>
        <w:t xml:space="preserve">Major Plant Additions.  </w:t>
      </w:r>
    </w:p>
    <w:p w14:paraId="5A04E8C2" w14:textId="77777777" w:rsidR="00855B7E" w:rsidRDefault="00855B7E" w:rsidP="001D7B23">
      <w:pPr>
        <w:pStyle w:val="NoSpacing"/>
      </w:pPr>
    </w:p>
    <w:p w14:paraId="09623D03" w14:textId="26916E9F" w:rsidR="001D7B23" w:rsidRDefault="003714B3" w:rsidP="003714B3">
      <w:pPr>
        <w:pStyle w:val="Heading2"/>
      </w:pPr>
      <w:r>
        <w:t>Q.</w:t>
      </w:r>
      <w:r>
        <w:tab/>
      </w:r>
      <w:r w:rsidR="00855B7E">
        <w:t>Please describe the procedural history relating to</w:t>
      </w:r>
      <w:r>
        <w:t xml:space="preserve"> the </w:t>
      </w:r>
      <w:proofErr w:type="spellStart"/>
      <w:r>
        <w:t>Merwin</w:t>
      </w:r>
      <w:proofErr w:type="spellEnd"/>
      <w:r>
        <w:t xml:space="preserve"> </w:t>
      </w:r>
      <w:r w:rsidR="00841123">
        <w:t>P</w:t>
      </w:r>
      <w:r>
        <w:t>rojec</w:t>
      </w:r>
      <w:r w:rsidR="00855B7E">
        <w:t>t.</w:t>
      </w:r>
    </w:p>
    <w:p w14:paraId="18CB4A19" w14:textId="4300E004" w:rsidR="00DE22D0" w:rsidRDefault="003714B3" w:rsidP="0097071E">
      <w:pPr>
        <w:pStyle w:val="NoSpacing"/>
      </w:pPr>
      <w:r>
        <w:lastRenderedPageBreak/>
        <w:t>A.</w:t>
      </w:r>
      <w:r>
        <w:tab/>
      </w:r>
      <w:r w:rsidR="001A037F">
        <w:t xml:space="preserve">Pacific Power </w:t>
      </w:r>
      <w:r w:rsidR="00DE22D0">
        <w:t xml:space="preserve">requested rate recovery of costs associated with the </w:t>
      </w:r>
      <w:proofErr w:type="spellStart"/>
      <w:r w:rsidR="00DE22D0">
        <w:t>Merwin</w:t>
      </w:r>
      <w:proofErr w:type="spellEnd"/>
      <w:r w:rsidR="00DE22D0">
        <w:t xml:space="preserve"> Project in its last </w:t>
      </w:r>
      <w:r w:rsidR="0042037A">
        <w:t>GRC,</w:t>
      </w:r>
      <w:r w:rsidR="00DE22D0">
        <w:t xml:space="preserve"> </w:t>
      </w:r>
      <w:r w:rsidR="001A037F">
        <w:t xml:space="preserve">Docket </w:t>
      </w:r>
      <w:r w:rsidR="00DE22D0">
        <w:t>UE-130043.</w:t>
      </w:r>
      <w:r w:rsidR="001A037F">
        <w:t xml:space="preserve"> </w:t>
      </w:r>
      <w:r w:rsidR="00DE22D0">
        <w:t xml:space="preserve"> Staff testified that the inclusion of the </w:t>
      </w:r>
      <w:proofErr w:type="spellStart"/>
      <w:r w:rsidR="00DE22D0">
        <w:t>Merwin</w:t>
      </w:r>
      <w:proofErr w:type="spellEnd"/>
      <w:r w:rsidR="00DE22D0">
        <w:t xml:space="preserve"> Project in the development of rates was, at that time</w:t>
      </w:r>
      <w:r w:rsidR="005643CE">
        <w:t>,</w:t>
      </w:r>
      <w:r w:rsidR="00DE22D0">
        <w:t xml:space="preserve"> premature.</w:t>
      </w:r>
      <w:r w:rsidR="00503B29">
        <w:rPr>
          <w:rStyle w:val="FootnoteReference"/>
        </w:rPr>
        <w:footnoteReference w:id="26"/>
      </w:r>
      <w:r w:rsidR="00DE22D0">
        <w:t xml:space="preserve">  Specifically, Staff objected to the inclusion in rates of a project that was not used and useful at the time of the filing. </w:t>
      </w:r>
      <w:r w:rsidR="001A037F">
        <w:t xml:space="preserve"> </w:t>
      </w:r>
      <w:r w:rsidR="00DE22D0">
        <w:t xml:space="preserve">The </w:t>
      </w:r>
      <w:r w:rsidR="001A037F">
        <w:t xml:space="preserve">Commission </w:t>
      </w:r>
      <w:r w:rsidR="00DE22D0">
        <w:t xml:space="preserve">rejected the inclusion of the </w:t>
      </w:r>
      <w:proofErr w:type="spellStart"/>
      <w:r w:rsidR="00DE22D0">
        <w:t>Merwin</w:t>
      </w:r>
      <w:proofErr w:type="spellEnd"/>
      <w:r w:rsidR="00DE22D0">
        <w:t xml:space="preserve"> Project on the basis that </w:t>
      </w:r>
      <w:r w:rsidR="005643CE">
        <w:t>it</w:t>
      </w:r>
      <w:r w:rsidR="00DE22D0">
        <w:t xml:space="preserve"> was not used and useful until after rates </w:t>
      </w:r>
      <w:r w:rsidR="005643CE">
        <w:t xml:space="preserve">went into </w:t>
      </w:r>
      <w:r w:rsidR="00DE22D0">
        <w:t>effect.</w:t>
      </w:r>
      <w:r w:rsidR="007C5D2A">
        <w:rPr>
          <w:rStyle w:val="FootnoteReference"/>
        </w:rPr>
        <w:footnoteReference w:id="27"/>
      </w:r>
      <w:r w:rsidR="00DE22D0">
        <w:t xml:space="preserve">  The prudency of the investment was not mentioned in Order 05.  The </w:t>
      </w:r>
      <w:proofErr w:type="spellStart"/>
      <w:r w:rsidR="00DE22D0">
        <w:t>Merwin</w:t>
      </w:r>
      <w:proofErr w:type="spellEnd"/>
      <w:r w:rsidR="00DE22D0">
        <w:t xml:space="preserve"> Project went into service on March 28, 2014.</w:t>
      </w:r>
    </w:p>
    <w:p w14:paraId="1B1B63A2" w14:textId="77777777" w:rsidR="00841123" w:rsidRDefault="00841123" w:rsidP="0097071E">
      <w:pPr>
        <w:pStyle w:val="NoSpacing"/>
      </w:pPr>
    </w:p>
    <w:p w14:paraId="49E668CA" w14:textId="40440980" w:rsidR="00DE22D0" w:rsidRDefault="00DE22D0" w:rsidP="00DE22D0">
      <w:pPr>
        <w:pStyle w:val="Heading2"/>
      </w:pPr>
      <w:r>
        <w:t>Q.</w:t>
      </w:r>
      <w:r>
        <w:tab/>
        <w:t xml:space="preserve">Please </w:t>
      </w:r>
      <w:r w:rsidR="00B518A0">
        <w:t>c</w:t>
      </w:r>
      <w:r>
        <w:t>ontinue</w:t>
      </w:r>
      <w:r w:rsidR="00B518A0">
        <w:t>.</w:t>
      </w:r>
    </w:p>
    <w:p w14:paraId="274EE0B4" w14:textId="7B2AF1E6" w:rsidR="0097071E" w:rsidRDefault="00DE22D0" w:rsidP="00DE22D0">
      <w:pPr>
        <w:pStyle w:val="NoSpacing"/>
      </w:pPr>
      <w:r>
        <w:t>A.</w:t>
      </w:r>
      <w:r>
        <w:tab/>
        <w:t>In April</w:t>
      </w:r>
      <w:r w:rsidR="00B518A0">
        <w:t xml:space="preserve"> 2014</w:t>
      </w:r>
      <w:r>
        <w:t xml:space="preserve">, after the </w:t>
      </w:r>
      <w:proofErr w:type="spellStart"/>
      <w:r>
        <w:t>Merwin</w:t>
      </w:r>
      <w:proofErr w:type="spellEnd"/>
      <w:r>
        <w:t xml:space="preserve"> Project went into service, </w:t>
      </w:r>
      <w:r w:rsidR="00B518A0">
        <w:t>t</w:t>
      </w:r>
      <w:r w:rsidR="0097071E">
        <w:t xml:space="preserve">he Company </w:t>
      </w:r>
      <w:r>
        <w:t>presented a</w:t>
      </w:r>
      <w:r w:rsidR="00855B7E">
        <w:t xml:space="preserve"> </w:t>
      </w:r>
      <w:r>
        <w:t xml:space="preserve">separate </w:t>
      </w:r>
      <w:r w:rsidR="003F74E7">
        <w:t>propos</w:t>
      </w:r>
      <w:r>
        <w:t>al through</w:t>
      </w:r>
      <w:r w:rsidRPr="00DE22D0">
        <w:t xml:space="preserve"> </w:t>
      </w:r>
      <w:r>
        <w:t>Docket UE-140617</w:t>
      </w:r>
      <w:r w:rsidR="003F74E7">
        <w:t xml:space="preserve"> </w:t>
      </w:r>
      <w:r>
        <w:t xml:space="preserve">for the treatment of </w:t>
      </w:r>
      <w:r w:rsidR="003F74E7">
        <w:t>the</w:t>
      </w:r>
      <w:r w:rsidR="005939C3">
        <w:t xml:space="preserve"> </w:t>
      </w:r>
      <w:proofErr w:type="spellStart"/>
      <w:r w:rsidR="005939C3">
        <w:t>Merwin</w:t>
      </w:r>
      <w:proofErr w:type="spellEnd"/>
      <w:r w:rsidR="005939C3">
        <w:t xml:space="preserve"> </w:t>
      </w:r>
      <w:r w:rsidR="00746E76">
        <w:t xml:space="preserve">Project.  </w:t>
      </w:r>
      <w:r w:rsidR="00855B7E">
        <w:t>In that docket, which has been consolidated into the present proceeding, t</w:t>
      </w:r>
      <w:r w:rsidR="00746E76">
        <w:t xml:space="preserve">he Company proposed to collect the </w:t>
      </w:r>
      <w:r w:rsidR="0042037A">
        <w:t>r</w:t>
      </w:r>
      <w:r w:rsidR="00746E76">
        <w:t xml:space="preserve">evenue </w:t>
      </w:r>
      <w:r w:rsidR="005204DA">
        <w:t xml:space="preserve">requirement </w:t>
      </w:r>
      <w:r w:rsidR="00746E76">
        <w:t xml:space="preserve">associated with the </w:t>
      </w:r>
      <w:proofErr w:type="spellStart"/>
      <w:r w:rsidR="00746E76">
        <w:t>Merwin</w:t>
      </w:r>
      <w:proofErr w:type="spellEnd"/>
      <w:r w:rsidR="00746E76">
        <w:t xml:space="preserve"> Project through a separate </w:t>
      </w:r>
      <w:r w:rsidR="00B63D64">
        <w:t>Tariff Rider</w:t>
      </w:r>
      <w:r w:rsidR="003C569C">
        <w:t xml:space="preserve">; </w:t>
      </w:r>
      <w:r w:rsidR="00B63D64">
        <w:t xml:space="preserve">if the </w:t>
      </w:r>
      <w:r w:rsidR="00B518A0">
        <w:t xml:space="preserve">Commission rejected the </w:t>
      </w:r>
      <w:r w:rsidR="00B63D64">
        <w:t xml:space="preserve">Tariff Rider, </w:t>
      </w:r>
      <w:r w:rsidR="003C569C">
        <w:t xml:space="preserve">the Company proposed </w:t>
      </w:r>
      <w:r w:rsidR="00B63D64">
        <w:t>an accounting petition to defer the related costs.</w:t>
      </w:r>
      <w:r w:rsidR="00B6412F">
        <w:t xml:space="preserve">  </w:t>
      </w:r>
      <w:r w:rsidR="003C569C">
        <w:t xml:space="preserve">In either case, the </w:t>
      </w:r>
      <w:proofErr w:type="spellStart"/>
      <w:r w:rsidR="00CB74F7">
        <w:t>Merwin</w:t>
      </w:r>
      <w:proofErr w:type="spellEnd"/>
      <w:r w:rsidR="00CB74F7">
        <w:t xml:space="preserve"> Project </w:t>
      </w:r>
      <w:r w:rsidR="00B6412F">
        <w:t xml:space="preserve">would </w:t>
      </w:r>
      <w:r w:rsidR="00CB74F7">
        <w:t xml:space="preserve">ultimately </w:t>
      </w:r>
      <w:r w:rsidR="00B6412F">
        <w:t xml:space="preserve">be rolled into general rates during the next filed GRC (the present case).  </w:t>
      </w:r>
      <w:r w:rsidR="00746E76">
        <w:t xml:space="preserve">At an open meeting </w:t>
      </w:r>
      <w:r w:rsidR="00855B7E">
        <w:t>in May 2014</w:t>
      </w:r>
      <w:r w:rsidR="00746E76">
        <w:t xml:space="preserve">, the Commission heard from the Company, Staff, and other parties </w:t>
      </w:r>
      <w:r w:rsidR="00B63D64">
        <w:t xml:space="preserve">on implementing the </w:t>
      </w:r>
      <w:r w:rsidR="001A037F">
        <w:t>Tariff Rider</w:t>
      </w:r>
      <w:r w:rsidR="00B63D64">
        <w:t xml:space="preserve">, or in the alternative, </w:t>
      </w:r>
      <w:r w:rsidR="003C569C">
        <w:t xml:space="preserve">the </w:t>
      </w:r>
      <w:r w:rsidR="00B63D64">
        <w:t xml:space="preserve">accounting petition.  The Commission rejected the </w:t>
      </w:r>
      <w:r w:rsidR="001A037F">
        <w:t xml:space="preserve">Tariff Rider </w:t>
      </w:r>
      <w:r w:rsidR="00B63D64">
        <w:t xml:space="preserve">and approved </w:t>
      </w:r>
      <w:r w:rsidR="003504E0">
        <w:t xml:space="preserve">the </w:t>
      </w:r>
      <w:r w:rsidR="004F7B4A">
        <w:t>accounting petition</w:t>
      </w:r>
      <w:r w:rsidR="00564069">
        <w:t xml:space="preserve"> but made no finding of the prudency of the </w:t>
      </w:r>
      <w:proofErr w:type="spellStart"/>
      <w:r w:rsidR="00564069">
        <w:t>Merwin</w:t>
      </w:r>
      <w:proofErr w:type="spellEnd"/>
      <w:r w:rsidR="00564069">
        <w:t xml:space="preserve"> Project or the eligibility of the costs included in the accounting petition for recovery</w:t>
      </w:r>
      <w:r w:rsidR="004F7B4A">
        <w:t xml:space="preserve">.  The Commission’s order consolidated the </w:t>
      </w:r>
      <w:r w:rsidR="004F7B4A">
        <w:lastRenderedPageBreak/>
        <w:t xml:space="preserve">accounting petition into the recently filed GRC by the Company for determination of cost recovery.  </w:t>
      </w:r>
    </w:p>
    <w:p w14:paraId="180F32A2" w14:textId="77777777" w:rsidR="00CD662E" w:rsidRPr="00CD662E" w:rsidRDefault="00CD662E" w:rsidP="00CD662E">
      <w:pPr>
        <w:spacing w:line="480" w:lineRule="auto"/>
      </w:pPr>
    </w:p>
    <w:p w14:paraId="1A163125" w14:textId="77777777" w:rsidR="005C20A1" w:rsidRDefault="005C20A1" w:rsidP="005C20A1">
      <w:pPr>
        <w:pStyle w:val="Heading2"/>
      </w:pPr>
      <w:r>
        <w:t>Q.</w:t>
      </w:r>
      <w:r>
        <w:tab/>
        <w:t>What was Staff’s recommendation at the Open Meeting discussing the deferral?</w:t>
      </w:r>
    </w:p>
    <w:p w14:paraId="60680612" w14:textId="05C7BF1B" w:rsidR="005C20A1" w:rsidRDefault="005C20A1" w:rsidP="005C20A1">
      <w:pPr>
        <w:pStyle w:val="NoSpacing"/>
      </w:pPr>
      <w:r>
        <w:t>A.</w:t>
      </w:r>
      <w:r>
        <w:tab/>
        <w:t xml:space="preserve">Staff recommended that prudency review be conducted in the Company’s </w:t>
      </w:r>
      <w:r w:rsidR="005643CE">
        <w:t xml:space="preserve">recently filed </w:t>
      </w:r>
      <w:r>
        <w:t>GRC</w:t>
      </w:r>
      <w:r w:rsidR="005643CE">
        <w:t xml:space="preserve"> (the present case Docket UE-140762)</w:t>
      </w:r>
      <w:r>
        <w:t xml:space="preserve">.  Further, Staff recommended that the proposed tariff be rejected and that </w:t>
      </w:r>
      <w:r w:rsidR="001A037F">
        <w:t xml:space="preserve">Pacific Power </w:t>
      </w:r>
      <w:r>
        <w:t xml:space="preserve">be authorized to defer and recover the operation and maintenance expense and depreciation expense associated with the </w:t>
      </w:r>
      <w:proofErr w:type="spellStart"/>
      <w:r>
        <w:t>Merwin</w:t>
      </w:r>
      <w:proofErr w:type="spellEnd"/>
      <w:r>
        <w:t xml:space="preserve"> Project.  Finally, Staff recommended to the Commission that the Company not be allowed to accrue interest on the deferred balances.</w:t>
      </w:r>
      <w:r w:rsidR="0098222E">
        <w:rPr>
          <w:rStyle w:val="FootnoteReference"/>
        </w:rPr>
        <w:footnoteReference w:id="28"/>
      </w:r>
      <w:r>
        <w:t xml:space="preserve">  </w:t>
      </w:r>
      <w:r w:rsidR="0042037A">
        <w:t xml:space="preserve">Staff’s position in the present case has not changed since the Open Meeting.  </w:t>
      </w:r>
    </w:p>
    <w:p w14:paraId="1B10907D" w14:textId="77777777" w:rsidR="00990016" w:rsidRPr="005C20A1" w:rsidRDefault="00990016" w:rsidP="003C569C">
      <w:pPr>
        <w:pStyle w:val="NoSpacing"/>
      </w:pPr>
    </w:p>
    <w:p w14:paraId="17DFFCAF" w14:textId="31B5032D" w:rsidR="00855B7E" w:rsidRPr="00B518A0" w:rsidRDefault="00736EF1" w:rsidP="00535EE8">
      <w:pPr>
        <w:pStyle w:val="Heading3"/>
        <w:rPr>
          <w:b/>
        </w:rPr>
      </w:pPr>
      <w:bookmarkStart w:id="111" w:name="_Toc400466366"/>
      <w:bookmarkStart w:id="112" w:name="_Toc400466481"/>
      <w:bookmarkStart w:id="113" w:name="_Toc400467794"/>
      <w:bookmarkStart w:id="114" w:name="_Toc400626959"/>
      <w:bookmarkStart w:id="115" w:name="_Toc400627002"/>
      <w:bookmarkStart w:id="116" w:name="_Toc400627195"/>
      <w:r w:rsidRPr="00B518A0">
        <w:rPr>
          <w:b/>
        </w:rPr>
        <w:t xml:space="preserve">B.  </w:t>
      </w:r>
      <w:r w:rsidR="00855B7E" w:rsidRPr="00B518A0">
        <w:rPr>
          <w:b/>
        </w:rPr>
        <w:t>PRUDENCE EVALUATION</w:t>
      </w:r>
      <w:bookmarkEnd w:id="111"/>
      <w:bookmarkEnd w:id="112"/>
      <w:bookmarkEnd w:id="113"/>
      <w:bookmarkEnd w:id="114"/>
      <w:bookmarkEnd w:id="115"/>
      <w:bookmarkEnd w:id="116"/>
    </w:p>
    <w:p w14:paraId="0665D977" w14:textId="0687019A" w:rsidR="00503724" w:rsidRDefault="00503724" w:rsidP="00503724">
      <w:pPr>
        <w:pStyle w:val="Heading2"/>
      </w:pPr>
      <w:r>
        <w:t>Q.</w:t>
      </w:r>
      <w:r>
        <w:tab/>
        <w:t xml:space="preserve">Is a prudency determination for the </w:t>
      </w:r>
      <w:proofErr w:type="spellStart"/>
      <w:r w:rsidR="00D246A2">
        <w:t>Merwin</w:t>
      </w:r>
      <w:proofErr w:type="spellEnd"/>
      <w:r>
        <w:t xml:space="preserve"> Project necessary?</w:t>
      </w:r>
    </w:p>
    <w:p w14:paraId="052CCAA0" w14:textId="13A2B5BA" w:rsidR="00503724" w:rsidRDefault="00503724" w:rsidP="00503724">
      <w:pPr>
        <w:pStyle w:val="NoSpacing"/>
      </w:pPr>
      <w:r>
        <w:t>A.</w:t>
      </w:r>
      <w:r>
        <w:tab/>
        <w:t xml:space="preserve">Yes.  The Commission did not discuss the prudence of the </w:t>
      </w:r>
      <w:proofErr w:type="spellStart"/>
      <w:r>
        <w:t>Merwin</w:t>
      </w:r>
      <w:proofErr w:type="spellEnd"/>
      <w:r>
        <w:t xml:space="preserve"> Project </w:t>
      </w:r>
      <w:r w:rsidR="00D246A2">
        <w:t xml:space="preserve">in its final order for Pacific Power’s last GRC.  Therefore, the prudency of the </w:t>
      </w:r>
      <w:proofErr w:type="spellStart"/>
      <w:r w:rsidR="00D246A2">
        <w:t>Merwin</w:t>
      </w:r>
      <w:proofErr w:type="spellEnd"/>
      <w:r w:rsidR="00D246A2">
        <w:t xml:space="preserve"> Project is still in question.  </w:t>
      </w:r>
    </w:p>
    <w:p w14:paraId="38B85BB3" w14:textId="77777777" w:rsidR="00D246A2" w:rsidRPr="00503724" w:rsidRDefault="00D246A2" w:rsidP="00503724">
      <w:pPr>
        <w:pStyle w:val="NoSpacing"/>
      </w:pPr>
    </w:p>
    <w:p w14:paraId="06ED86FE" w14:textId="7E97B2B5" w:rsidR="00750520" w:rsidRDefault="00750520" w:rsidP="00750520">
      <w:pPr>
        <w:pStyle w:val="Heading2"/>
      </w:pPr>
      <w:r>
        <w:t>Q.</w:t>
      </w:r>
      <w:r>
        <w:tab/>
        <w:t xml:space="preserve">Please summarize your conclusion about the </w:t>
      </w:r>
      <w:r w:rsidR="00B518A0">
        <w:t>p</w:t>
      </w:r>
      <w:r>
        <w:t xml:space="preserve">rudency of the </w:t>
      </w:r>
      <w:proofErr w:type="spellStart"/>
      <w:r>
        <w:t>Merwin</w:t>
      </w:r>
      <w:proofErr w:type="spellEnd"/>
      <w:r>
        <w:t xml:space="preserve"> Fish Collector Project</w:t>
      </w:r>
      <w:r w:rsidR="00B518A0">
        <w:t>.</w:t>
      </w:r>
    </w:p>
    <w:p w14:paraId="61606157" w14:textId="77777777" w:rsidR="00750520" w:rsidRDefault="00750520" w:rsidP="00750520">
      <w:pPr>
        <w:pStyle w:val="NoSpacing"/>
      </w:pPr>
      <w:r>
        <w:t>A.</w:t>
      </w:r>
      <w:r>
        <w:tab/>
        <w:t xml:space="preserve">I recommend the Commission find that the </w:t>
      </w:r>
      <w:proofErr w:type="spellStart"/>
      <w:r>
        <w:t>Merwin</w:t>
      </w:r>
      <w:proofErr w:type="spellEnd"/>
      <w:r>
        <w:t xml:space="preserve"> Fish Collector Project is a prudent investment used and useful to Washington ratepayers.  This is based on the level of </w:t>
      </w:r>
      <w:r>
        <w:lastRenderedPageBreak/>
        <w:t xml:space="preserve">involvement by other agencies, the information provided through the Company’s direct testimony, and its responses to various data requests. </w:t>
      </w:r>
    </w:p>
    <w:p w14:paraId="498320BE" w14:textId="77777777" w:rsidR="00750520" w:rsidRPr="00750520" w:rsidRDefault="00750520" w:rsidP="00990016">
      <w:pPr>
        <w:pStyle w:val="NoSpacing"/>
      </w:pPr>
    </w:p>
    <w:p w14:paraId="468C0692" w14:textId="4FE03EE1" w:rsidR="00D976CD" w:rsidRDefault="006618C8" w:rsidP="00D976CD">
      <w:pPr>
        <w:pStyle w:val="Heading2"/>
      </w:pPr>
      <w:r>
        <w:t>Q.</w:t>
      </w:r>
      <w:r>
        <w:tab/>
        <w:t>W</w:t>
      </w:r>
      <w:r w:rsidR="00AD2A4B">
        <w:t>hat is the purpose of a prudence</w:t>
      </w:r>
      <w:r>
        <w:t xml:space="preserve"> review?</w:t>
      </w:r>
    </w:p>
    <w:p w14:paraId="04E4D7F3" w14:textId="5B8BA075" w:rsidR="00EA4222" w:rsidRDefault="00EA4222" w:rsidP="00EA4222">
      <w:pPr>
        <w:pStyle w:val="NoSpacing"/>
      </w:pPr>
      <w:r>
        <w:t>A.</w:t>
      </w:r>
      <w:r>
        <w:tab/>
        <w:t>T</w:t>
      </w:r>
      <w:r w:rsidR="00846860">
        <w:t>he Commission has stated that</w:t>
      </w:r>
      <w:r>
        <w:t xml:space="preserve"> </w:t>
      </w:r>
      <w:r w:rsidR="00AD2A4B">
        <w:t>prudence</w:t>
      </w:r>
      <w:r>
        <w:t xml:space="preserve"> review</w:t>
      </w:r>
      <w:r w:rsidR="00846860">
        <w:t xml:space="preserve">s </w:t>
      </w:r>
      <w:r>
        <w:t>determine the reasonableness of a decision made by the Company before it is supported by ratepayers:</w:t>
      </w:r>
    </w:p>
    <w:p w14:paraId="5A3D2EA3" w14:textId="41C22E7B" w:rsidR="00EA4222" w:rsidRPr="00EA4222" w:rsidRDefault="00846860" w:rsidP="00846860">
      <w:pPr>
        <w:pStyle w:val="NoSpacing"/>
        <w:spacing w:after="240" w:line="240" w:lineRule="auto"/>
        <w:ind w:left="1440" w:firstLine="0"/>
      </w:pPr>
      <w:r w:rsidRPr="00846860">
        <w:t>The Commission has consistently applied a reasonableness standard when reviewing the prudence of decisions relating to power costs, including those arising from power generation asset acquisitions.  The test the Commission applies to measure prudence is what would a reasonable board of directors and company management have decided given what they knew or reasonably should have known to be true at the time they made a decision.  This test applies both to the question of need and the appropriateness of the expenditures.  The company must establish that it adequately studied the question of whether to purchase these resources and made a reasonable decision, using the data and methods that a reasonable management would have used at the time the decisions were made.</w:t>
      </w:r>
      <w:r>
        <w:rPr>
          <w:rStyle w:val="FootnoteReference"/>
        </w:rPr>
        <w:footnoteReference w:id="29"/>
      </w:r>
    </w:p>
    <w:p w14:paraId="7833073E" w14:textId="77777777" w:rsidR="00750520" w:rsidRDefault="00750520" w:rsidP="006618C8">
      <w:pPr>
        <w:pStyle w:val="Heading2"/>
      </w:pPr>
    </w:p>
    <w:p w14:paraId="58A9C22B" w14:textId="77777777" w:rsidR="006618C8" w:rsidRDefault="006618C8" w:rsidP="006618C8">
      <w:pPr>
        <w:pStyle w:val="Heading2"/>
      </w:pPr>
      <w:r>
        <w:t>Q.</w:t>
      </w:r>
      <w:r>
        <w:tab/>
        <w:t xml:space="preserve">What standards or factors are applied in assessing </w:t>
      </w:r>
      <w:r w:rsidR="00846860">
        <w:t>prudence</w:t>
      </w:r>
      <w:r>
        <w:t xml:space="preserve"> and issuing a recommendation?</w:t>
      </w:r>
    </w:p>
    <w:p w14:paraId="038AD426" w14:textId="5908B030" w:rsidR="00EA4222" w:rsidRDefault="00EA4222" w:rsidP="00EA4222">
      <w:pPr>
        <w:pStyle w:val="NoSpacing"/>
      </w:pPr>
      <w:r>
        <w:t>A.</w:t>
      </w:r>
      <w:r>
        <w:tab/>
        <w:t xml:space="preserve">There is no single set of factors used to determine prudence.  However, in </w:t>
      </w:r>
      <w:r w:rsidR="00645C9C">
        <w:t xml:space="preserve">Pacific Power’s </w:t>
      </w:r>
      <w:r w:rsidR="00F07CE6">
        <w:t>previous case, S</w:t>
      </w:r>
      <w:r>
        <w:t>taff relied upon the following</w:t>
      </w:r>
      <w:r w:rsidR="00E0777C">
        <w:t xml:space="preserve"> four factors to issue it</w:t>
      </w:r>
      <w:r w:rsidR="00F07CE6">
        <w:t>s</w:t>
      </w:r>
      <w:r w:rsidR="00E0777C">
        <w:t xml:space="preserve"> recommendation</w:t>
      </w:r>
      <w:r w:rsidR="00750520">
        <w:t>:</w:t>
      </w:r>
    </w:p>
    <w:p w14:paraId="7FF97830" w14:textId="77777777" w:rsidR="00E0777C" w:rsidRDefault="009C376F" w:rsidP="00701195">
      <w:pPr>
        <w:pStyle w:val="NoSpacing"/>
        <w:spacing w:line="240" w:lineRule="auto"/>
        <w:ind w:left="1440"/>
      </w:pPr>
      <w:r>
        <w:t>1)</w:t>
      </w:r>
      <w:r>
        <w:tab/>
        <w:t xml:space="preserve">The Need for the Resource </w:t>
      </w:r>
      <w:r w:rsidR="00E0777C">
        <w:t>–</w:t>
      </w:r>
      <w:r>
        <w:t xml:space="preserve"> </w:t>
      </w:r>
      <w:r w:rsidR="00E0777C">
        <w:t>The utility must determine</w:t>
      </w:r>
      <w:r w:rsidR="00010A76">
        <w:t xml:space="preserve"> the</w:t>
      </w:r>
      <w:r w:rsidR="00E0777C">
        <w:t xml:space="preserve"> necessity of a resource as well its cost-effectiveness.  During its evaluation process, a utility must perform a comparative cost </w:t>
      </w:r>
      <w:r w:rsidR="001F7FC7">
        <w:t xml:space="preserve">analysis using other resources available for purchase as well as building new ones.  </w:t>
      </w:r>
    </w:p>
    <w:p w14:paraId="2084C718" w14:textId="77777777" w:rsidR="009C376F" w:rsidRDefault="009C376F" w:rsidP="001F7FC7">
      <w:pPr>
        <w:pStyle w:val="NoSpacing"/>
        <w:spacing w:line="240" w:lineRule="auto"/>
        <w:ind w:left="0" w:firstLine="0"/>
      </w:pPr>
    </w:p>
    <w:p w14:paraId="20D6AEB9" w14:textId="77777777" w:rsidR="001F7FC7" w:rsidRDefault="009C376F" w:rsidP="00701195">
      <w:pPr>
        <w:pStyle w:val="NoSpacing"/>
        <w:spacing w:line="240" w:lineRule="auto"/>
        <w:ind w:left="1440"/>
      </w:pPr>
      <w:r>
        <w:t>2)</w:t>
      </w:r>
      <w:r>
        <w:tab/>
        <w:t xml:space="preserve">Evaluation of Alternatives </w:t>
      </w:r>
      <w:r w:rsidR="001F7FC7">
        <w:t>–</w:t>
      </w:r>
      <w:r>
        <w:t xml:space="preserve"> </w:t>
      </w:r>
      <w:r w:rsidR="001F7FC7">
        <w:t xml:space="preserve">The utility must look at any alternatives </w:t>
      </w:r>
      <w:r w:rsidR="00736EF1">
        <w:t xml:space="preserve">for </w:t>
      </w:r>
      <w:r w:rsidR="001F7FC7">
        <w:t xml:space="preserve">which information exists and recognize the importance of such factors as capital cost, </w:t>
      </w:r>
      <w:proofErr w:type="spellStart"/>
      <w:r w:rsidR="001F7FC7">
        <w:t>dispatch</w:t>
      </w:r>
      <w:r w:rsidR="00E351A4">
        <w:t>ability</w:t>
      </w:r>
      <w:proofErr w:type="spellEnd"/>
      <w:r w:rsidR="00E351A4">
        <w:t xml:space="preserve">, transmission cost or access, long-term planning, or any other factors necessary to make an appropriate decision. </w:t>
      </w:r>
    </w:p>
    <w:p w14:paraId="66F9C23A" w14:textId="77777777" w:rsidR="009C376F" w:rsidRDefault="009C376F" w:rsidP="00E351A4">
      <w:pPr>
        <w:pStyle w:val="NoSpacing"/>
        <w:spacing w:line="240" w:lineRule="auto"/>
        <w:ind w:left="0" w:firstLine="0"/>
      </w:pPr>
    </w:p>
    <w:p w14:paraId="169D0ECD" w14:textId="77777777" w:rsidR="009C376F" w:rsidRDefault="009C376F" w:rsidP="00701195">
      <w:pPr>
        <w:pStyle w:val="NoSpacing"/>
        <w:spacing w:line="240" w:lineRule="auto"/>
        <w:ind w:left="1440"/>
      </w:pPr>
      <w:r>
        <w:t>3)</w:t>
      </w:r>
      <w:r>
        <w:tab/>
        <w:t>Involvement of the Company’s Board of Directors</w:t>
      </w:r>
      <w:r w:rsidR="00E351A4">
        <w:t xml:space="preserve"> </w:t>
      </w:r>
      <w:r>
        <w:t xml:space="preserve">- The utility should </w:t>
      </w:r>
      <w:r w:rsidR="00E351A4">
        <w:t>be in contact with</w:t>
      </w:r>
      <w:r w:rsidR="00010A76">
        <w:t xml:space="preserve"> its B</w:t>
      </w:r>
      <w:r>
        <w:t xml:space="preserve">oard </w:t>
      </w:r>
      <w:r w:rsidR="00010A76">
        <w:t xml:space="preserve">of Directors </w:t>
      </w:r>
      <w:r w:rsidR="00E351A4">
        <w:t xml:space="preserve">and </w:t>
      </w:r>
      <w:r w:rsidR="00010A76">
        <w:t xml:space="preserve">Chief Executives </w:t>
      </w:r>
      <w:r w:rsidR="00E351A4">
        <w:t>about the purchase decision</w:t>
      </w:r>
      <w:r w:rsidR="001D40AF">
        <w:t>.  T</w:t>
      </w:r>
      <w:r w:rsidR="00E351A4">
        <w:t xml:space="preserve">he utility should provide up to date information </w:t>
      </w:r>
      <w:r w:rsidR="001D40AF">
        <w:t xml:space="preserve">to its Board of Directors and Executive Management </w:t>
      </w:r>
      <w:r w:rsidR="00E351A4">
        <w:t>on the</w:t>
      </w:r>
      <w:r>
        <w:t xml:space="preserve"> costs</w:t>
      </w:r>
      <w:r w:rsidR="001D40AF">
        <w:t xml:space="preserve"> and alternatives. </w:t>
      </w:r>
    </w:p>
    <w:p w14:paraId="224D9F3F" w14:textId="77777777" w:rsidR="009C376F" w:rsidRDefault="009C376F" w:rsidP="00701195">
      <w:pPr>
        <w:pStyle w:val="NoSpacing"/>
        <w:spacing w:line="240" w:lineRule="auto"/>
        <w:ind w:left="1440"/>
      </w:pPr>
    </w:p>
    <w:p w14:paraId="16E30663" w14:textId="77777777" w:rsidR="009C376F" w:rsidRPr="006E7039" w:rsidRDefault="009C376F" w:rsidP="00701195">
      <w:pPr>
        <w:pStyle w:val="NoSpacing"/>
        <w:spacing w:after="240" w:line="240" w:lineRule="auto"/>
        <w:ind w:left="1440"/>
        <w:rPr>
          <w:bCs/>
          <w:kern w:val="24"/>
        </w:rPr>
      </w:pPr>
      <w:r>
        <w:t>4)</w:t>
      </w:r>
      <w:r>
        <w:tab/>
        <w:t>Adequate Documentation - The utility must keep adequate records</w:t>
      </w:r>
      <w:r w:rsidR="00E351A4">
        <w:t xml:space="preserve"> of its decision making process</w:t>
      </w:r>
      <w:r>
        <w:t xml:space="preserve"> that will allow the Commission to evaluate the Company’s</w:t>
      </w:r>
      <w:r w:rsidR="00E351A4">
        <w:t xml:space="preserve"> decision.  </w:t>
      </w:r>
      <w:r>
        <w:t xml:space="preserve">The </w:t>
      </w:r>
      <w:r w:rsidR="00E351A4">
        <w:t xml:space="preserve">documentation should be sufficient to allow the </w:t>
      </w:r>
      <w:r>
        <w:t xml:space="preserve">Commission </w:t>
      </w:r>
      <w:r w:rsidR="00E351A4">
        <w:t>t</w:t>
      </w:r>
      <w:r>
        <w:t xml:space="preserve">o </w:t>
      </w:r>
      <w:r w:rsidR="00E351A4">
        <w:t xml:space="preserve">understand and </w:t>
      </w:r>
      <w:r>
        <w:t xml:space="preserve">follow </w:t>
      </w:r>
      <w:r w:rsidR="00E351A4">
        <w:t xml:space="preserve">the utility’s decision process and to </w:t>
      </w:r>
      <w:r>
        <w:t xml:space="preserve">understand the </w:t>
      </w:r>
      <w:r w:rsidR="00E351A4">
        <w:t>factors and information</w:t>
      </w:r>
      <w:r>
        <w:t xml:space="preserve"> that the </w:t>
      </w:r>
      <w:r w:rsidR="00E351A4">
        <w:t>utility relied upon</w:t>
      </w:r>
      <w:r w:rsidR="00736EF1">
        <w:t xml:space="preserve"> in making its determination</w:t>
      </w:r>
      <w:r>
        <w:t>.</w:t>
      </w:r>
      <w:r w:rsidR="00750520">
        <w:rPr>
          <w:rStyle w:val="FootnoteReference"/>
        </w:rPr>
        <w:footnoteReference w:id="30"/>
      </w:r>
    </w:p>
    <w:p w14:paraId="1E78B6EB" w14:textId="77777777" w:rsidR="00750520" w:rsidRDefault="00750520" w:rsidP="006618C8">
      <w:pPr>
        <w:pStyle w:val="Heading2"/>
      </w:pPr>
    </w:p>
    <w:p w14:paraId="180E1CA1" w14:textId="2B91BE18" w:rsidR="006618C8" w:rsidRDefault="006618C8" w:rsidP="006618C8">
      <w:pPr>
        <w:pStyle w:val="Heading2"/>
      </w:pPr>
      <w:r>
        <w:t>Q.</w:t>
      </w:r>
      <w:r>
        <w:tab/>
        <w:t xml:space="preserve">Does the </w:t>
      </w:r>
      <w:proofErr w:type="spellStart"/>
      <w:r>
        <w:t>Merwin</w:t>
      </w:r>
      <w:proofErr w:type="spellEnd"/>
      <w:r>
        <w:t xml:space="preserve"> Project meet these standards?</w:t>
      </w:r>
    </w:p>
    <w:p w14:paraId="706D1C5C" w14:textId="7AA1E9F8" w:rsidR="006618C8" w:rsidRDefault="00EA4222" w:rsidP="00EA4222">
      <w:pPr>
        <w:pStyle w:val="NoSpacing"/>
      </w:pPr>
      <w:r>
        <w:t>A.</w:t>
      </w:r>
      <w:r>
        <w:tab/>
        <w:t>Yes.</w:t>
      </w:r>
      <w:r w:rsidR="00750520">
        <w:t xml:space="preserve">  The </w:t>
      </w:r>
      <w:proofErr w:type="spellStart"/>
      <w:r w:rsidR="00750520">
        <w:t>Merwin</w:t>
      </w:r>
      <w:proofErr w:type="spellEnd"/>
      <w:r w:rsidR="00750520">
        <w:t xml:space="preserve"> Project meets Staff’s prudency standards on all four counts:</w:t>
      </w:r>
    </w:p>
    <w:p w14:paraId="24E5E764" w14:textId="6F901748" w:rsidR="00EA4222" w:rsidRDefault="00EA4222" w:rsidP="00645C9C">
      <w:pPr>
        <w:pStyle w:val="NoSpacing"/>
        <w:numPr>
          <w:ilvl w:val="0"/>
          <w:numId w:val="29"/>
        </w:numPr>
        <w:ind w:left="2160" w:hanging="720"/>
      </w:pPr>
      <w:r>
        <w:t>The Need for the Resource – As outlined in the Company’s testimony</w:t>
      </w:r>
      <w:r w:rsidR="00750520">
        <w:t>,</w:t>
      </w:r>
      <w:r>
        <w:t xml:space="preserve"> the </w:t>
      </w:r>
      <w:proofErr w:type="spellStart"/>
      <w:r>
        <w:t>Merwin</w:t>
      </w:r>
      <w:proofErr w:type="spellEnd"/>
      <w:r>
        <w:t xml:space="preserve"> Projec</w:t>
      </w:r>
      <w:r w:rsidR="00AD7093">
        <w:t>t was a requirement of the FERC.</w:t>
      </w:r>
      <w:r w:rsidR="00B24099">
        <w:rPr>
          <w:rStyle w:val="FootnoteReference"/>
        </w:rPr>
        <w:footnoteReference w:id="31"/>
      </w:r>
      <w:r w:rsidR="00B24099">
        <w:t xml:space="preserve"> </w:t>
      </w:r>
      <w:r w:rsidR="00AD7093">
        <w:t xml:space="preserve"> The Lewis River Hydroelectric project provides clean, cheap, hydropower to the region and is a vital resource for the Company</w:t>
      </w:r>
      <w:r w:rsidR="00645C9C">
        <w:t>’s</w:t>
      </w:r>
      <w:r w:rsidR="00AD7093">
        <w:t xml:space="preserve"> power operations.</w:t>
      </w:r>
      <w:r w:rsidR="000B22C0">
        <w:rPr>
          <w:rStyle w:val="FootnoteReference"/>
        </w:rPr>
        <w:footnoteReference w:id="32"/>
      </w:r>
      <w:r w:rsidR="00AD7093">
        <w:t xml:space="preserve">  </w:t>
      </w:r>
    </w:p>
    <w:p w14:paraId="22EAA572" w14:textId="37B0F598" w:rsidR="00AD7093" w:rsidRDefault="00AD7093" w:rsidP="00645C9C">
      <w:pPr>
        <w:pStyle w:val="NoSpacing"/>
        <w:numPr>
          <w:ilvl w:val="0"/>
          <w:numId w:val="29"/>
        </w:numPr>
        <w:ind w:left="2160" w:hanging="720"/>
      </w:pPr>
      <w:r>
        <w:t>Evaluation of Alternatives –</w:t>
      </w:r>
      <w:r w:rsidR="00666A36">
        <w:t xml:space="preserve"> </w:t>
      </w:r>
      <w:r>
        <w:t xml:space="preserve">the </w:t>
      </w:r>
      <w:r w:rsidR="00736EF1">
        <w:t>C</w:t>
      </w:r>
      <w:r>
        <w:t>ompany evaluated several different options for meeting the licensing requirement</w:t>
      </w:r>
      <w:r w:rsidR="00666A36">
        <w:t xml:space="preserve"> as well as the business case, if any, for not pursuing relicensing with the FERC.</w:t>
      </w:r>
      <w:r w:rsidR="00666A36">
        <w:rPr>
          <w:rStyle w:val="FootnoteReference"/>
        </w:rPr>
        <w:footnoteReference w:id="33"/>
      </w:r>
      <w:r w:rsidR="000D19F2">
        <w:t xml:space="preserve">  </w:t>
      </w:r>
    </w:p>
    <w:p w14:paraId="1ED9D025" w14:textId="7C53E870" w:rsidR="00AD7093" w:rsidRDefault="00AD7093" w:rsidP="00645C9C">
      <w:pPr>
        <w:pStyle w:val="NoSpacing"/>
        <w:numPr>
          <w:ilvl w:val="0"/>
          <w:numId w:val="29"/>
        </w:numPr>
        <w:ind w:left="2160" w:hanging="720"/>
      </w:pPr>
      <w:r>
        <w:t>Communication with and Involvement of the Company’s Board of Directors –</w:t>
      </w:r>
      <w:r w:rsidR="00C5351D">
        <w:t>T</w:t>
      </w:r>
      <w:r>
        <w:t xml:space="preserve">he Company included several top level </w:t>
      </w:r>
      <w:r w:rsidR="00ED7AA1">
        <w:t xml:space="preserve">executives as well as its Board of Directors in the decision making process.  Various </w:t>
      </w:r>
      <w:r w:rsidR="000D19F2">
        <w:t>memos</w:t>
      </w:r>
      <w:r w:rsidR="00ED7AA1">
        <w:t xml:space="preserve"> </w:t>
      </w:r>
      <w:r w:rsidR="00ED7AA1">
        <w:lastRenderedPageBreak/>
        <w:t xml:space="preserve">and documentation </w:t>
      </w:r>
      <w:r w:rsidR="00010A76">
        <w:t>were</w:t>
      </w:r>
      <w:r w:rsidR="00ED7AA1">
        <w:t xml:space="preserve"> provided to the </w:t>
      </w:r>
      <w:r w:rsidR="001D695C">
        <w:t>Bo</w:t>
      </w:r>
      <w:r w:rsidR="00ED7AA1">
        <w:t>ard</w:t>
      </w:r>
      <w:r w:rsidR="001D695C">
        <w:t xml:space="preserve"> of Directors</w:t>
      </w:r>
      <w:r w:rsidR="00ED7AA1">
        <w:t xml:space="preserve"> </w:t>
      </w:r>
      <w:r w:rsidR="000D19F2">
        <w:t xml:space="preserve">so that they could </w:t>
      </w:r>
      <w:r w:rsidR="00ED7AA1">
        <w:t xml:space="preserve">make </w:t>
      </w:r>
      <w:r w:rsidR="000D19F2">
        <w:t>an</w:t>
      </w:r>
      <w:r w:rsidR="00ED7AA1">
        <w:t xml:space="preserve"> appropriate decision.</w:t>
      </w:r>
      <w:r w:rsidR="00C5351D">
        <w:rPr>
          <w:rStyle w:val="FootnoteReference"/>
        </w:rPr>
        <w:footnoteReference w:id="34"/>
      </w:r>
      <w:r w:rsidR="00ED7AA1">
        <w:t xml:space="preserve">  </w:t>
      </w:r>
    </w:p>
    <w:p w14:paraId="2512EB18" w14:textId="29349EE5" w:rsidR="00ED7AA1" w:rsidRDefault="00ED7AA1" w:rsidP="00645C9C">
      <w:pPr>
        <w:pStyle w:val="NoSpacing"/>
        <w:numPr>
          <w:ilvl w:val="0"/>
          <w:numId w:val="29"/>
        </w:numPr>
        <w:ind w:left="2160" w:hanging="720"/>
      </w:pPr>
      <w:r>
        <w:t xml:space="preserve">Adequate Documentation – The Company has provided Staff with all requested information and presented a direct case showing the reasonableness of the process used to make the decision to invest in the </w:t>
      </w:r>
      <w:proofErr w:type="spellStart"/>
      <w:r>
        <w:t>Merwin</w:t>
      </w:r>
      <w:proofErr w:type="spellEnd"/>
      <w:r>
        <w:t xml:space="preserve"> Project</w:t>
      </w:r>
      <w:r w:rsidR="00736EF1">
        <w:t>.</w:t>
      </w:r>
    </w:p>
    <w:p w14:paraId="61D1AE6A" w14:textId="46913378" w:rsidR="00736EF1" w:rsidRDefault="00736EF1" w:rsidP="00736EF1">
      <w:pPr>
        <w:pStyle w:val="NoSpacing"/>
        <w:tabs>
          <w:tab w:val="left" w:pos="720"/>
        </w:tabs>
        <w:ind w:firstLine="0"/>
      </w:pPr>
      <w:r>
        <w:t xml:space="preserve">Therefore, Staff recommends the Commission recognize the </w:t>
      </w:r>
      <w:proofErr w:type="spellStart"/>
      <w:r>
        <w:t>Merwin</w:t>
      </w:r>
      <w:proofErr w:type="spellEnd"/>
      <w:r>
        <w:t xml:space="preserve"> </w:t>
      </w:r>
      <w:r w:rsidR="001D695C">
        <w:t>Project</w:t>
      </w:r>
      <w:r>
        <w:t xml:space="preserve"> as a prudently-incurred</w:t>
      </w:r>
      <w:r w:rsidR="00D95353">
        <w:t xml:space="preserve"> investment</w:t>
      </w:r>
      <w:r>
        <w:t>.</w:t>
      </w:r>
    </w:p>
    <w:p w14:paraId="441D0946" w14:textId="77777777" w:rsidR="00E15A8C" w:rsidRDefault="00E15A8C" w:rsidP="001C0F2D">
      <w:pPr>
        <w:pStyle w:val="Heading1"/>
        <w:numPr>
          <w:ilvl w:val="0"/>
          <w:numId w:val="0"/>
        </w:numPr>
        <w:ind w:left="360"/>
      </w:pPr>
    </w:p>
    <w:p w14:paraId="28F9AA6F" w14:textId="3F6847A8" w:rsidR="002D061E" w:rsidRPr="00B24099" w:rsidRDefault="00736EF1" w:rsidP="00535EE8">
      <w:pPr>
        <w:pStyle w:val="Heading3"/>
        <w:rPr>
          <w:b/>
        </w:rPr>
      </w:pPr>
      <w:bookmarkStart w:id="117" w:name="_Toc400466367"/>
      <w:bookmarkStart w:id="118" w:name="_Toc400466482"/>
      <w:bookmarkStart w:id="119" w:name="_Toc400467795"/>
      <w:bookmarkStart w:id="120" w:name="_Toc400626960"/>
      <w:bookmarkStart w:id="121" w:name="_Toc400627003"/>
      <w:bookmarkStart w:id="122" w:name="_Toc400627196"/>
      <w:r w:rsidRPr="00B24099">
        <w:rPr>
          <w:b/>
        </w:rPr>
        <w:t>C.  ACCOUNTING DEFERRAL</w:t>
      </w:r>
      <w:bookmarkEnd w:id="117"/>
      <w:bookmarkEnd w:id="118"/>
      <w:bookmarkEnd w:id="119"/>
      <w:bookmarkEnd w:id="120"/>
      <w:bookmarkEnd w:id="121"/>
      <w:bookmarkEnd w:id="122"/>
    </w:p>
    <w:p w14:paraId="0D0C1C4D" w14:textId="7B7FDC24" w:rsidR="00015B99" w:rsidRDefault="00015B99" w:rsidP="00015B99">
      <w:pPr>
        <w:pStyle w:val="Heading2"/>
      </w:pPr>
      <w:r>
        <w:t>Q.</w:t>
      </w:r>
      <w:r>
        <w:tab/>
        <w:t xml:space="preserve">What is Staff’s proposed treatment for </w:t>
      </w:r>
      <w:r w:rsidR="002C5D4B">
        <w:t xml:space="preserve">the </w:t>
      </w:r>
      <w:r w:rsidR="001D7F23">
        <w:t>deferral of</w:t>
      </w:r>
      <w:r>
        <w:t xml:space="preserve"> costs</w:t>
      </w:r>
      <w:r w:rsidR="002C5D4B">
        <w:t xml:space="preserve"> related to the </w:t>
      </w:r>
      <w:proofErr w:type="spellStart"/>
      <w:r w:rsidR="002C5D4B">
        <w:t>Merwin</w:t>
      </w:r>
      <w:proofErr w:type="spellEnd"/>
      <w:r w:rsidR="002C5D4B">
        <w:t xml:space="preserve"> Project</w:t>
      </w:r>
      <w:r>
        <w:t>?</w:t>
      </w:r>
    </w:p>
    <w:p w14:paraId="24A65D63" w14:textId="1CF0B4D7" w:rsidR="009D55AE" w:rsidRDefault="00015B99" w:rsidP="00015B99">
      <w:pPr>
        <w:pStyle w:val="NoSpacing"/>
      </w:pPr>
      <w:r>
        <w:t>A.</w:t>
      </w:r>
      <w:r>
        <w:tab/>
        <w:t xml:space="preserve">Staff proposes the Company be allowed to include in general rates the amortization of the deferred </w:t>
      </w:r>
      <w:r w:rsidR="0011302C">
        <w:t>O&amp;M</w:t>
      </w:r>
      <w:r>
        <w:t xml:space="preserve"> expense as well as the </w:t>
      </w:r>
      <w:r w:rsidR="00F07CE6">
        <w:t>d</w:t>
      </w:r>
      <w:r>
        <w:t>epreciation expense</w:t>
      </w:r>
      <w:r w:rsidR="002C5D4B">
        <w:t xml:space="preserve"> for the </w:t>
      </w:r>
      <w:proofErr w:type="spellStart"/>
      <w:r w:rsidR="002C5D4B">
        <w:t>Merwin</w:t>
      </w:r>
      <w:proofErr w:type="spellEnd"/>
      <w:r w:rsidR="002C5D4B">
        <w:t xml:space="preserve"> Project from the date of the accounting petition until final rates go into effect</w:t>
      </w:r>
      <w:r>
        <w:t>.</w:t>
      </w:r>
      <w:r w:rsidR="0011302C">
        <w:t xml:space="preserve">  The amount of this deferral represents approximately $486,000.  </w:t>
      </w:r>
      <w:r w:rsidR="00F07CE6">
        <w:t xml:space="preserve">Further, </w:t>
      </w:r>
      <w:r>
        <w:t xml:space="preserve">Staff proposes the Company not be allowed to recover accrued interest on the amount of these expenses during the deferral period.  Staff also recommends that the proposed treatment </w:t>
      </w:r>
      <w:r w:rsidR="00C410C2">
        <w:t xml:space="preserve">for </w:t>
      </w:r>
      <w:r>
        <w:t xml:space="preserve">this deferral </w:t>
      </w:r>
      <w:r w:rsidR="00C410C2">
        <w:t xml:space="preserve">be </w:t>
      </w:r>
      <w:r>
        <w:t>limited to this specific instance and its surrounding circumstances</w:t>
      </w:r>
      <w:r w:rsidR="009D55AE">
        <w:t xml:space="preserve">.  </w:t>
      </w:r>
    </w:p>
    <w:p w14:paraId="1D596746" w14:textId="1E16933F" w:rsidR="009D55AE" w:rsidRDefault="009D55AE" w:rsidP="009D55AE">
      <w:pPr>
        <w:pStyle w:val="NoSpacing"/>
        <w:ind w:firstLine="720"/>
      </w:pPr>
      <w:r>
        <w:t>Staff’s recommendation focuses on</w:t>
      </w:r>
      <w:r w:rsidR="00C410C2">
        <w:t xml:space="preserve"> a</w:t>
      </w:r>
      <w:r>
        <w:t xml:space="preserve"> balance between the Company’s recovery of costs and preventing frequent accounting petitions for rate base additions.  </w:t>
      </w:r>
      <w:r w:rsidR="00C410C2">
        <w:t>T</w:t>
      </w:r>
      <w:r>
        <w:t xml:space="preserve">he deferral of </w:t>
      </w:r>
      <w:r>
        <w:lastRenderedPageBreak/>
        <w:t xml:space="preserve">inter-period costs </w:t>
      </w:r>
      <w:r w:rsidR="00C410C2">
        <w:t xml:space="preserve">or rate base additions </w:t>
      </w:r>
      <w:r>
        <w:t xml:space="preserve">should be allowed on an infrequent and unusual basis warranted by specific circumstances.   </w:t>
      </w:r>
    </w:p>
    <w:p w14:paraId="09DBA6C6" w14:textId="77777777" w:rsidR="00015B99" w:rsidRDefault="00015B99" w:rsidP="009D55AE">
      <w:pPr>
        <w:pStyle w:val="NoSpacing"/>
        <w:ind w:left="0" w:firstLine="0"/>
      </w:pPr>
    </w:p>
    <w:p w14:paraId="4A99B233" w14:textId="58DF7BD6" w:rsidR="002D061E" w:rsidRDefault="002D061E" w:rsidP="002D061E">
      <w:pPr>
        <w:pStyle w:val="Heading2"/>
      </w:pPr>
      <w:r>
        <w:t>Q.</w:t>
      </w:r>
      <w:r>
        <w:tab/>
        <w:t xml:space="preserve">Please describe the </w:t>
      </w:r>
      <w:proofErr w:type="spellStart"/>
      <w:r w:rsidR="00C407DE">
        <w:t>Merwin</w:t>
      </w:r>
      <w:proofErr w:type="spellEnd"/>
      <w:r w:rsidR="00C407DE">
        <w:t xml:space="preserve"> Deferral. </w:t>
      </w:r>
    </w:p>
    <w:p w14:paraId="0556382E" w14:textId="43A8AA09" w:rsidR="005939C3" w:rsidRDefault="005939C3" w:rsidP="005939C3">
      <w:pPr>
        <w:pStyle w:val="NoSpacing"/>
      </w:pPr>
      <w:r>
        <w:t>A.</w:t>
      </w:r>
      <w:r>
        <w:tab/>
      </w:r>
      <w:r w:rsidR="00CE4BC9">
        <w:t xml:space="preserve">The </w:t>
      </w:r>
      <w:proofErr w:type="spellStart"/>
      <w:r w:rsidR="00C407DE">
        <w:t>Merwin</w:t>
      </w:r>
      <w:proofErr w:type="spellEnd"/>
      <w:r w:rsidR="00C407DE">
        <w:t xml:space="preserve"> Deferral</w:t>
      </w:r>
      <w:r w:rsidR="00D128D0">
        <w:t xml:space="preserve"> </w:t>
      </w:r>
      <w:r w:rsidR="000E37C1">
        <w:t xml:space="preserve">seeks authorization to defer the full revenue requirement for the </w:t>
      </w:r>
      <w:proofErr w:type="spellStart"/>
      <w:r w:rsidR="000E37C1">
        <w:t>Merwin</w:t>
      </w:r>
      <w:proofErr w:type="spellEnd"/>
      <w:r w:rsidR="000E37C1">
        <w:t xml:space="preserve"> Project from the </w:t>
      </w:r>
      <w:r w:rsidR="00D95353">
        <w:t xml:space="preserve">date of the </w:t>
      </w:r>
      <w:r w:rsidR="000E37C1">
        <w:t>accounting petition, April 15, 2014.  The Company’s calculate</w:t>
      </w:r>
      <w:r w:rsidR="0079433E">
        <w:t>d</w:t>
      </w:r>
      <w:r w:rsidR="000E37C1">
        <w:t xml:space="preserve"> revenue requirement on</w:t>
      </w:r>
      <w:r w:rsidR="0079433E">
        <w:t xml:space="preserve"> a</w:t>
      </w:r>
      <w:r w:rsidR="000E37C1">
        <w:t xml:space="preserve"> Washington allocated </w:t>
      </w:r>
      <w:r w:rsidR="00C80164">
        <w:t>basis</w:t>
      </w:r>
      <w:r w:rsidR="000E37C1">
        <w:t xml:space="preserve"> </w:t>
      </w:r>
      <w:r w:rsidR="0079433E">
        <w:t>is</w:t>
      </w:r>
      <w:r w:rsidR="000E37C1">
        <w:t xml:space="preserve"> $1,668,757.  </w:t>
      </w:r>
      <w:r w:rsidR="00613089">
        <w:t xml:space="preserve">Below is a breakdown of the </w:t>
      </w:r>
      <w:r w:rsidR="00DE0B5D">
        <w:t>revenue requirement</w:t>
      </w:r>
      <w:r w:rsidR="00613089">
        <w:t xml:space="preserve"> before taxes:</w:t>
      </w:r>
    </w:p>
    <w:tbl>
      <w:tblPr>
        <w:tblStyle w:val="TableGrid"/>
        <w:tblW w:w="0" w:type="auto"/>
        <w:tblInd w:w="720" w:type="dxa"/>
        <w:tblLook w:val="04A0" w:firstRow="1" w:lastRow="0" w:firstColumn="1" w:lastColumn="0" w:noHBand="0" w:noVBand="1"/>
      </w:tblPr>
      <w:tblGrid>
        <w:gridCol w:w="4495"/>
        <w:gridCol w:w="2700"/>
      </w:tblGrid>
      <w:tr w:rsidR="00A22A67" w14:paraId="25C59039" w14:textId="77777777" w:rsidTr="00DE0B5D">
        <w:trPr>
          <w:trHeight w:val="499"/>
        </w:trPr>
        <w:tc>
          <w:tcPr>
            <w:tcW w:w="4495" w:type="dxa"/>
            <w:tcBorders>
              <w:top w:val="nil"/>
              <w:left w:val="nil"/>
              <w:bottom w:val="nil"/>
              <w:right w:val="single" w:sz="4" w:space="0" w:color="auto"/>
            </w:tcBorders>
            <w:vAlign w:val="center"/>
          </w:tcPr>
          <w:p w14:paraId="57B5F488" w14:textId="77777777" w:rsidR="00A22A67" w:rsidRDefault="00A22A67" w:rsidP="00DE0B5D">
            <w:pPr>
              <w:pStyle w:val="NoSpacing"/>
              <w:spacing w:line="240" w:lineRule="auto"/>
              <w:ind w:left="0" w:firstLine="0"/>
            </w:pPr>
            <w:r>
              <w:t>Pre Tax Return on Rate Base</w:t>
            </w:r>
          </w:p>
        </w:tc>
        <w:tc>
          <w:tcPr>
            <w:tcW w:w="2700" w:type="dxa"/>
            <w:tcBorders>
              <w:top w:val="nil"/>
              <w:left w:val="single" w:sz="4" w:space="0" w:color="auto"/>
              <w:bottom w:val="nil"/>
              <w:right w:val="nil"/>
            </w:tcBorders>
            <w:vAlign w:val="center"/>
          </w:tcPr>
          <w:p w14:paraId="7A72EB9B" w14:textId="77777777" w:rsidR="00A22A67" w:rsidRDefault="00A22A67" w:rsidP="00DE0B5D">
            <w:pPr>
              <w:pStyle w:val="NoSpacing"/>
              <w:spacing w:line="240" w:lineRule="auto"/>
              <w:ind w:left="0" w:firstLine="0"/>
            </w:pPr>
            <w:r>
              <w:t>$1,103,724</w:t>
            </w:r>
          </w:p>
        </w:tc>
      </w:tr>
      <w:tr w:rsidR="00A22A67" w14:paraId="734023E7" w14:textId="77777777" w:rsidTr="00DE0B5D">
        <w:trPr>
          <w:trHeight w:val="499"/>
        </w:trPr>
        <w:tc>
          <w:tcPr>
            <w:tcW w:w="4495" w:type="dxa"/>
            <w:tcBorders>
              <w:top w:val="nil"/>
              <w:left w:val="nil"/>
              <w:bottom w:val="nil"/>
              <w:right w:val="single" w:sz="4" w:space="0" w:color="auto"/>
            </w:tcBorders>
            <w:vAlign w:val="center"/>
          </w:tcPr>
          <w:p w14:paraId="273A9860" w14:textId="77777777" w:rsidR="00A22A67" w:rsidRDefault="00A22A67" w:rsidP="00DE0B5D">
            <w:pPr>
              <w:pStyle w:val="NoSpacing"/>
              <w:spacing w:line="240" w:lineRule="auto"/>
              <w:ind w:left="0" w:firstLine="0"/>
            </w:pPr>
            <w:r>
              <w:t>Operation &amp; Maintenance Expense</w:t>
            </w:r>
          </w:p>
        </w:tc>
        <w:tc>
          <w:tcPr>
            <w:tcW w:w="2700" w:type="dxa"/>
            <w:tcBorders>
              <w:top w:val="nil"/>
              <w:left w:val="single" w:sz="4" w:space="0" w:color="auto"/>
              <w:bottom w:val="nil"/>
              <w:right w:val="nil"/>
            </w:tcBorders>
            <w:vAlign w:val="center"/>
          </w:tcPr>
          <w:p w14:paraId="0DF46129" w14:textId="77777777" w:rsidR="00A22A67" w:rsidRDefault="00A22A67" w:rsidP="00DE0B5D">
            <w:pPr>
              <w:pStyle w:val="NoSpacing"/>
              <w:spacing w:line="240" w:lineRule="auto"/>
              <w:ind w:left="0" w:firstLine="0"/>
            </w:pPr>
            <w:r>
              <w:t>$56,334</w:t>
            </w:r>
          </w:p>
        </w:tc>
      </w:tr>
      <w:tr w:rsidR="00A22A67" w14:paraId="3841A5DE" w14:textId="77777777" w:rsidTr="00DE0B5D">
        <w:trPr>
          <w:trHeight w:val="499"/>
        </w:trPr>
        <w:tc>
          <w:tcPr>
            <w:tcW w:w="4495" w:type="dxa"/>
            <w:tcBorders>
              <w:top w:val="nil"/>
              <w:left w:val="nil"/>
              <w:bottom w:val="single" w:sz="4" w:space="0" w:color="auto"/>
              <w:right w:val="single" w:sz="4" w:space="0" w:color="auto"/>
            </w:tcBorders>
            <w:vAlign w:val="center"/>
          </w:tcPr>
          <w:p w14:paraId="7EAE5617" w14:textId="77777777" w:rsidR="00A22A67" w:rsidRDefault="00A22A67" w:rsidP="00DE0B5D">
            <w:pPr>
              <w:pStyle w:val="NoSpacing"/>
              <w:spacing w:line="240" w:lineRule="auto"/>
              <w:ind w:left="0" w:firstLine="0"/>
            </w:pPr>
            <w:r>
              <w:t>Depreciation</w:t>
            </w:r>
            <w:r w:rsidR="0099172E">
              <w:t xml:space="preserve"> Expense</w:t>
            </w:r>
          </w:p>
        </w:tc>
        <w:tc>
          <w:tcPr>
            <w:tcW w:w="2700" w:type="dxa"/>
            <w:tcBorders>
              <w:top w:val="nil"/>
              <w:left w:val="single" w:sz="4" w:space="0" w:color="auto"/>
              <w:bottom w:val="single" w:sz="4" w:space="0" w:color="auto"/>
              <w:right w:val="nil"/>
            </w:tcBorders>
            <w:vAlign w:val="center"/>
          </w:tcPr>
          <w:p w14:paraId="0129B642" w14:textId="77777777" w:rsidR="00A22A67" w:rsidRDefault="00A22A67" w:rsidP="00DE0B5D">
            <w:pPr>
              <w:pStyle w:val="NoSpacing"/>
              <w:spacing w:line="240" w:lineRule="auto"/>
              <w:ind w:left="0" w:firstLine="0"/>
            </w:pPr>
            <w:r>
              <w:t>$430,137</w:t>
            </w:r>
          </w:p>
        </w:tc>
      </w:tr>
      <w:tr w:rsidR="00A22A67" w14:paraId="178B08E8" w14:textId="77777777" w:rsidTr="00DE0B5D">
        <w:trPr>
          <w:trHeight w:val="499"/>
        </w:trPr>
        <w:tc>
          <w:tcPr>
            <w:tcW w:w="4495" w:type="dxa"/>
            <w:tcBorders>
              <w:top w:val="single" w:sz="4" w:space="0" w:color="auto"/>
              <w:left w:val="nil"/>
              <w:bottom w:val="nil"/>
              <w:right w:val="single" w:sz="4" w:space="0" w:color="auto"/>
            </w:tcBorders>
            <w:vAlign w:val="bottom"/>
          </w:tcPr>
          <w:p w14:paraId="49850FB7" w14:textId="77777777" w:rsidR="00A22A67" w:rsidRDefault="00DE0B5D" w:rsidP="00DE0B5D">
            <w:pPr>
              <w:pStyle w:val="NoSpacing"/>
              <w:spacing w:line="240" w:lineRule="auto"/>
              <w:ind w:left="0" w:firstLine="0"/>
            </w:pPr>
            <w:r>
              <w:tab/>
            </w:r>
            <w:r w:rsidR="00A22A67">
              <w:t>Total</w:t>
            </w:r>
          </w:p>
        </w:tc>
        <w:tc>
          <w:tcPr>
            <w:tcW w:w="2700" w:type="dxa"/>
            <w:tcBorders>
              <w:top w:val="single" w:sz="4" w:space="0" w:color="auto"/>
              <w:left w:val="single" w:sz="4" w:space="0" w:color="auto"/>
              <w:bottom w:val="nil"/>
              <w:right w:val="nil"/>
            </w:tcBorders>
            <w:vAlign w:val="center"/>
          </w:tcPr>
          <w:p w14:paraId="10B8AB29" w14:textId="77777777" w:rsidR="00A22A67" w:rsidRDefault="00A22A67" w:rsidP="00DE0B5D">
            <w:pPr>
              <w:pStyle w:val="NoSpacing"/>
              <w:spacing w:line="240" w:lineRule="auto"/>
              <w:ind w:left="0" w:firstLine="0"/>
            </w:pPr>
            <w:r>
              <w:t>$1,</w:t>
            </w:r>
            <w:r w:rsidR="00DB0856">
              <w:t>668,757</w:t>
            </w:r>
          </w:p>
        </w:tc>
      </w:tr>
    </w:tbl>
    <w:p w14:paraId="4BE16AEC" w14:textId="77777777" w:rsidR="00613089" w:rsidRDefault="00613089" w:rsidP="005939C3">
      <w:pPr>
        <w:pStyle w:val="NoSpacing"/>
      </w:pPr>
    </w:p>
    <w:p w14:paraId="21CFB3E2" w14:textId="77777777" w:rsidR="00DE0B5D" w:rsidRDefault="00DE0B5D" w:rsidP="005939C3">
      <w:pPr>
        <w:pStyle w:val="NoSpacing"/>
      </w:pPr>
      <w:r>
        <w:tab/>
        <w:t xml:space="preserve">The Company requests to </w:t>
      </w:r>
      <w:r w:rsidR="00335BF7">
        <w:t xml:space="preserve">accrue interest </w:t>
      </w:r>
      <w:r w:rsidR="00B76181">
        <w:t xml:space="preserve">on </w:t>
      </w:r>
      <w:r w:rsidR="0079433E">
        <w:t>this amount</w:t>
      </w:r>
      <w:r w:rsidR="00B76181">
        <w:t xml:space="preserve"> at its currentl</w:t>
      </w:r>
      <w:r w:rsidR="00335BF7">
        <w:t xml:space="preserve">y authorized </w:t>
      </w:r>
      <w:r w:rsidR="0099172E">
        <w:t xml:space="preserve">rate of return.  </w:t>
      </w:r>
    </w:p>
    <w:p w14:paraId="7D0B2352" w14:textId="0EABD4AF" w:rsidR="00C07690" w:rsidRDefault="00C07690" w:rsidP="005939C3">
      <w:pPr>
        <w:pStyle w:val="NoSpacing"/>
      </w:pPr>
      <w:r>
        <w:tab/>
      </w:r>
      <w:r>
        <w:tab/>
        <w:t xml:space="preserve">Staff’s proposal is to allow the Company to defer only the O&amp;M and </w:t>
      </w:r>
      <w:r w:rsidR="00F07CE6">
        <w:t>d</w:t>
      </w:r>
      <w:r w:rsidR="005204DA">
        <w:t>epreciation</w:t>
      </w:r>
      <w:r>
        <w:t xml:space="preserve"> </w:t>
      </w:r>
      <w:r w:rsidR="00F07CE6">
        <w:t>e</w:t>
      </w:r>
      <w:r>
        <w:t xml:space="preserve">xpense.  As shown above, this represents $486,471.  </w:t>
      </w:r>
    </w:p>
    <w:p w14:paraId="383497E7" w14:textId="77777777" w:rsidR="00015B99" w:rsidRPr="005939C3" w:rsidRDefault="00015B99" w:rsidP="005939C3">
      <w:pPr>
        <w:pStyle w:val="NoSpacing"/>
      </w:pPr>
    </w:p>
    <w:p w14:paraId="54B4589A" w14:textId="308CD5E7" w:rsidR="00282CD3" w:rsidRDefault="00282CD3" w:rsidP="00282CD3">
      <w:pPr>
        <w:pStyle w:val="Heading2"/>
      </w:pPr>
      <w:r>
        <w:t>Q.</w:t>
      </w:r>
      <w:r>
        <w:tab/>
        <w:t>Has the Commission l</w:t>
      </w:r>
      <w:r w:rsidR="0079376A">
        <w:t xml:space="preserve">aid out the circumstances under </w:t>
      </w:r>
      <w:r>
        <w:t xml:space="preserve">which inter-period deferrals may be </w:t>
      </w:r>
      <w:r w:rsidR="00C410C2">
        <w:t>considered</w:t>
      </w:r>
      <w:r>
        <w:t>?</w:t>
      </w:r>
    </w:p>
    <w:p w14:paraId="25B7E410" w14:textId="77777777" w:rsidR="00282CD3" w:rsidRDefault="00282CD3" w:rsidP="00282CD3">
      <w:pPr>
        <w:pStyle w:val="NoSpacing"/>
      </w:pPr>
      <w:r>
        <w:t>A.</w:t>
      </w:r>
      <w:r>
        <w:tab/>
        <w:t>Yes.  The Commission has stated:</w:t>
      </w:r>
    </w:p>
    <w:p w14:paraId="1AB504AB" w14:textId="3B7E36CF" w:rsidR="00282CD3" w:rsidRDefault="00282CD3" w:rsidP="00282CD3">
      <w:pPr>
        <w:pStyle w:val="NoSpacing"/>
        <w:spacing w:line="240" w:lineRule="auto"/>
        <w:ind w:left="1440" w:firstLine="0"/>
      </w:pPr>
      <w:r w:rsidRPr="00A70CDF">
        <w:t>…there is nothing that precludes [the company] from seeking additions to rate base between rate cases so long as the amounts are not so large as to trigger a general rate proceeding under our rules.</w:t>
      </w:r>
      <w:r w:rsidR="00A650E4">
        <w:t xml:space="preserve"> </w:t>
      </w:r>
      <w:r w:rsidRPr="00A70CDF">
        <w:t xml:space="preserve"> If the investments are shown to be prudent, the amounts are reasonable, and the plant is demonstrated to be used and useful, the </w:t>
      </w:r>
      <w:r w:rsidR="00A650E4">
        <w:t>C</w:t>
      </w:r>
      <w:r w:rsidR="00A650E4" w:rsidRPr="00A70CDF">
        <w:t xml:space="preserve">ommission </w:t>
      </w:r>
      <w:r w:rsidRPr="00A70CDF">
        <w:t>may exercise its discretion to allow recovery in rates.</w:t>
      </w:r>
      <w:r w:rsidR="00A650E4">
        <w:t xml:space="preserve"> </w:t>
      </w:r>
      <w:r w:rsidRPr="00A70CDF">
        <w:t xml:space="preserve"> </w:t>
      </w:r>
      <w:r w:rsidRPr="00A70CDF">
        <w:lastRenderedPageBreak/>
        <w:t>Important considerations guiding that discretion would be whether there has been a very recent general rate proceeding or the company commits to making a general rate filing soon after the additions are allowed.</w:t>
      </w:r>
      <w:r>
        <w:rPr>
          <w:rStyle w:val="FootnoteReference"/>
        </w:rPr>
        <w:footnoteReference w:id="35"/>
      </w:r>
    </w:p>
    <w:p w14:paraId="39187BF4" w14:textId="77777777" w:rsidR="005924C9" w:rsidRDefault="005924C9" w:rsidP="005D3E43">
      <w:pPr>
        <w:pStyle w:val="Heading2"/>
      </w:pPr>
    </w:p>
    <w:p w14:paraId="43198BDD" w14:textId="3ED44C3F" w:rsidR="00217895" w:rsidRDefault="00717C2E" w:rsidP="005D3E43">
      <w:pPr>
        <w:pStyle w:val="Heading2"/>
      </w:pPr>
      <w:r>
        <w:t>Q.</w:t>
      </w:r>
      <w:r>
        <w:tab/>
        <w:t xml:space="preserve">Does </w:t>
      </w:r>
      <w:r w:rsidR="0079376A">
        <w:t xml:space="preserve">the </w:t>
      </w:r>
      <w:proofErr w:type="spellStart"/>
      <w:r w:rsidR="0079376A">
        <w:t>Merwin</w:t>
      </w:r>
      <w:proofErr w:type="spellEnd"/>
      <w:r w:rsidR="0079376A">
        <w:t xml:space="preserve"> D</w:t>
      </w:r>
      <w:r>
        <w:t>eferral meet the Commission’s conditions?</w:t>
      </w:r>
    </w:p>
    <w:p w14:paraId="46176D4F" w14:textId="3006D666" w:rsidR="00BC30E4" w:rsidRDefault="00717C2E" w:rsidP="00BC30E4">
      <w:pPr>
        <w:pStyle w:val="NoSpacing"/>
      </w:pPr>
      <w:r>
        <w:t>A.</w:t>
      </w:r>
      <w:r>
        <w:tab/>
        <w:t xml:space="preserve">Yes.  The </w:t>
      </w:r>
      <w:proofErr w:type="spellStart"/>
      <w:r>
        <w:t>Merwin</w:t>
      </w:r>
      <w:proofErr w:type="spellEnd"/>
      <w:r>
        <w:t xml:space="preserve"> Project, as described above, is a prudent business investment that is used and useful in Washington.  The </w:t>
      </w:r>
      <w:r w:rsidR="00BC30E4">
        <w:t xml:space="preserve">Company included the project in a GRC filing that ended four months before its in-service date.  </w:t>
      </w:r>
      <w:r w:rsidR="00EC2E6F">
        <w:t xml:space="preserve">  </w:t>
      </w:r>
    </w:p>
    <w:p w14:paraId="5C56650C" w14:textId="77777777" w:rsidR="00965FB4" w:rsidRPr="0079375C" w:rsidRDefault="00965FB4" w:rsidP="00717C2E">
      <w:pPr>
        <w:pStyle w:val="NoSpacing"/>
      </w:pPr>
    </w:p>
    <w:p w14:paraId="796F5E9D" w14:textId="77777777" w:rsidR="00197D1B" w:rsidRPr="00197D1B" w:rsidRDefault="00197D1B" w:rsidP="00197D1B">
      <w:pPr>
        <w:ind w:left="720" w:hanging="720"/>
        <w:rPr>
          <w:rFonts w:cs="Times New Roman"/>
          <w:b/>
          <w:szCs w:val="24"/>
        </w:rPr>
      </w:pPr>
      <w:r w:rsidRPr="00197D1B">
        <w:rPr>
          <w:rFonts w:cs="Times New Roman"/>
          <w:b/>
          <w:szCs w:val="24"/>
        </w:rPr>
        <w:t>Q.</w:t>
      </w:r>
      <w:r w:rsidRPr="00197D1B">
        <w:rPr>
          <w:rFonts w:cs="Times New Roman"/>
          <w:b/>
          <w:szCs w:val="24"/>
        </w:rPr>
        <w:tab/>
        <w:t>Does Staff hold concerns about recommending inter-period adjustments to rate base?</w:t>
      </w:r>
    </w:p>
    <w:p w14:paraId="408DA465" w14:textId="77777777" w:rsidR="00197D1B" w:rsidRPr="00197D1B" w:rsidRDefault="00197D1B" w:rsidP="00197D1B">
      <w:pPr>
        <w:rPr>
          <w:rFonts w:cs="Times New Roman"/>
          <w:szCs w:val="24"/>
        </w:rPr>
      </w:pPr>
    </w:p>
    <w:p w14:paraId="14E89E2C" w14:textId="5C9AC912" w:rsidR="00197D1B" w:rsidRDefault="00197D1B" w:rsidP="005D3E43">
      <w:pPr>
        <w:pStyle w:val="NoSpacing"/>
      </w:pPr>
      <w:r w:rsidRPr="00197D1B">
        <w:t>A.</w:t>
      </w:r>
      <w:r w:rsidRPr="00197D1B">
        <w:tab/>
      </w:r>
      <w:r w:rsidR="005D3E43">
        <w:t>Yes.  The Commission has previously expressed concern with inter-period adjustments to rate base and Staff shares those concerns.</w:t>
      </w:r>
      <w:r w:rsidR="005D3E43">
        <w:rPr>
          <w:rStyle w:val="FootnoteReference"/>
        </w:rPr>
        <w:footnoteReference w:id="36"/>
      </w:r>
      <w:r w:rsidR="005D3E43">
        <w:t xml:space="preserve">  The primary concern is</w:t>
      </w:r>
      <w:r w:rsidR="001E6CB1">
        <w:t xml:space="preserve"> that granting such petitions</w:t>
      </w:r>
      <w:r w:rsidR="005D3E43">
        <w:t xml:space="preserve"> provid</w:t>
      </w:r>
      <w:r w:rsidR="001E6CB1">
        <w:t>e</w:t>
      </w:r>
      <w:r w:rsidR="001D7F23">
        <w:t>s</w:t>
      </w:r>
      <w:r w:rsidR="005D3E43">
        <w:t xml:space="preserve"> an incentive for frequent accounting petitions. </w:t>
      </w:r>
    </w:p>
    <w:p w14:paraId="3B08AB8B" w14:textId="77777777" w:rsidR="00197D1B" w:rsidRPr="00197D1B" w:rsidRDefault="00197D1B" w:rsidP="007A5A21">
      <w:pPr>
        <w:pStyle w:val="NoSpacing"/>
      </w:pPr>
    </w:p>
    <w:p w14:paraId="56A9B7C1" w14:textId="77777777" w:rsidR="00282CD3" w:rsidRDefault="00282CD3" w:rsidP="00282CD3">
      <w:pPr>
        <w:pStyle w:val="Heading2"/>
      </w:pPr>
      <w:r>
        <w:t>Q.</w:t>
      </w:r>
      <w:r>
        <w:tab/>
      </w:r>
      <w:r w:rsidR="00E6754E">
        <w:t>D</w:t>
      </w:r>
      <w:r>
        <w:t xml:space="preserve">oes Staff’s proposal </w:t>
      </w:r>
      <w:r w:rsidR="00E6754E">
        <w:t>remove the incentive for frequent accounting petitions</w:t>
      </w:r>
      <w:r>
        <w:t xml:space="preserve">? </w:t>
      </w:r>
    </w:p>
    <w:p w14:paraId="0FB222E4" w14:textId="67A671CD" w:rsidR="007A5A21" w:rsidRDefault="00282CD3" w:rsidP="007A5A21">
      <w:pPr>
        <w:pStyle w:val="NoSpacing"/>
      </w:pPr>
      <w:r>
        <w:t>A.</w:t>
      </w:r>
      <w:r>
        <w:tab/>
      </w:r>
      <w:r w:rsidR="00E6754E">
        <w:t xml:space="preserve">Partially.  </w:t>
      </w:r>
      <w:r>
        <w:t>Staff’s proposal removes one of the major incentives for frequent accounting petitions – interest on the rate</w:t>
      </w:r>
      <w:r w:rsidR="00197D1B">
        <w:t xml:space="preserve"> </w:t>
      </w:r>
      <w:r>
        <w:t>base and</w:t>
      </w:r>
      <w:r w:rsidRPr="00CE6181">
        <w:t xml:space="preserve"> </w:t>
      </w:r>
      <w:r>
        <w:t>deferral.  Although the deferral and recovery of incurred costs is</w:t>
      </w:r>
      <w:r w:rsidR="00E6754E">
        <w:t xml:space="preserve"> itself</w:t>
      </w:r>
      <w:r>
        <w:t xml:space="preserve"> an incentive to use accounting petitions, the interest on rate</w:t>
      </w:r>
      <w:r w:rsidR="00E6754E">
        <w:t xml:space="preserve"> </w:t>
      </w:r>
      <w:r>
        <w:t xml:space="preserve">base represents the return to shareholders that is the core business of the public utility model.  By not allowing this interest </w:t>
      </w:r>
      <w:r w:rsidR="001D7F23">
        <w:t>on</w:t>
      </w:r>
      <w:r>
        <w:t xml:space="preserve"> the deferral, companies are provided a stronger reason to use other ratemaking mechanisms </w:t>
      </w:r>
      <w:r w:rsidR="001D7F23">
        <w:t>such as</w:t>
      </w:r>
      <w:r>
        <w:t xml:space="preserve"> expedited rate filings or GRC’s when seeking </w:t>
      </w:r>
      <w:r>
        <w:lastRenderedPageBreak/>
        <w:t>to add rate</w:t>
      </w:r>
      <w:r w:rsidR="002E43A3">
        <w:t xml:space="preserve"> </w:t>
      </w:r>
      <w:r>
        <w:t xml:space="preserve">base.  </w:t>
      </w:r>
      <w:r w:rsidR="00D65D75">
        <w:t>Further, Staff recommends</w:t>
      </w:r>
      <w:r w:rsidR="00205832">
        <w:t xml:space="preserve"> that the </w:t>
      </w:r>
      <w:proofErr w:type="spellStart"/>
      <w:r w:rsidR="00205832">
        <w:t>Merwin</w:t>
      </w:r>
      <w:proofErr w:type="spellEnd"/>
      <w:r w:rsidR="00205832">
        <w:t xml:space="preserve"> Deferral be treated as unusual </w:t>
      </w:r>
      <w:r w:rsidR="005F6853">
        <w:t xml:space="preserve">and </w:t>
      </w:r>
      <w:r w:rsidR="00205832">
        <w:t xml:space="preserve">granted relief under circumstances specific to the </w:t>
      </w:r>
      <w:proofErr w:type="spellStart"/>
      <w:r w:rsidR="00205832">
        <w:t>Merwin</w:t>
      </w:r>
      <w:proofErr w:type="spellEnd"/>
      <w:r w:rsidR="00205832">
        <w:t xml:space="preserve"> </w:t>
      </w:r>
      <w:r w:rsidR="005F6853">
        <w:t>Project</w:t>
      </w:r>
      <w:r w:rsidR="00205832">
        <w:t xml:space="preserve">.   </w:t>
      </w:r>
    </w:p>
    <w:p w14:paraId="110BC903" w14:textId="77777777" w:rsidR="00D65D75" w:rsidRPr="007A5A21" w:rsidRDefault="00D65D75" w:rsidP="007A5A21">
      <w:pPr>
        <w:pStyle w:val="NoSpacing"/>
      </w:pPr>
    </w:p>
    <w:p w14:paraId="72FE9695" w14:textId="77777777" w:rsidR="00D65D75" w:rsidRDefault="00D65D75" w:rsidP="00D65D75">
      <w:pPr>
        <w:pStyle w:val="Heading2"/>
      </w:pPr>
      <w:r>
        <w:t>Q.</w:t>
      </w:r>
      <w:r>
        <w:tab/>
        <w:t>Why should the Commission recognize this deferral petition and its surrounding circumstances as unique?</w:t>
      </w:r>
    </w:p>
    <w:p w14:paraId="2BE3D375" w14:textId="3BCF93D9" w:rsidR="00D65D75" w:rsidRDefault="00D65D75" w:rsidP="00D65D75">
      <w:pPr>
        <w:pStyle w:val="NoSpacing"/>
      </w:pPr>
      <w:r>
        <w:t>A.</w:t>
      </w:r>
      <w:r>
        <w:tab/>
        <w:t>T</w:t>
      </w:r>
      <w:r w:rsidRPr="007B7370">
        <w:t xml:space="preserve">he conditions </w:t>
      </w:r>
      <w:r>
        <w:t>surround</w:t>
      </w:r>
      <w:r w:rsidR="00205832">
        <w:t>ing</w:t>
      </w:r>
      <w:r w:rsidRPr="007B7370">
        <w:t xml:space="preserve"> the </w:t>
      </w:r>
      <w:proofErr w:type="spellStart"/>
      <w:r w:rsidRPr="007B7370">
        <w:t>Merwin</w:t>
      </w:r>
      <w:proofErr w:type="spellEnd"/>
      <w:r w:rsidRPr="007B7370">
        <w:t xml:space="preserve"> Project are unique </w:t>
      </w:r>
      <w:r>
        <w:t>– the project was required by a FERC Licensing process involving 2</w:t>
      </w:r>
      <w:r w:rsidR="00C80164">
        <w:t>6</w:t>
      </w:r>
      <w:r>
        <w:t xml:space="preserve"> </w:t>
      </w:r>
      <w:r w:rsidR="00C80164">
        <w:t>total</w:t>
      </w:r>
      <w:r>
        <w:t xml:space="preserve"> agencies and is a non-revenue producing item.  Most large rate base additions a Company can make provide some sort of direct benefit, either through additions to revenue or reduced costs, which allows the Company to offset its operating expense and investment.  The </w:t>
      </w:r>
      <w:proofErr w:type="spellStart"/>
      <w:r>
        <w:t>Merwin</w:t>
      </w:r>
      <w:proofErr w:type="spellEnd"/>
      <w:r>
        <w:t xml:space="preserve"> </w:t>
      </w:r>
      <w:r w:rsidR="00C80164">
        <w:t>Project</w:t>
      </w:r>
      <w:r>
        <w:t xml:space="preserve"> does not directly produce any of these benefits.</w:t>
      </w:r>
      <w:r w:rsidR="00C80164">
        <w:t xml:space="preserve">  Additionally, Pacific Power </w:t>
      </w:r>
      <w:r>
        <w:t xml:space="preserve">attempted to include the project in a GRC that was finalized four months before it began operating.  </w:t>
      </w:r>
    </w:p>
    <w:p w14:paraId="31198C4C" w14:textId="77777777" w:rsidR="00B24099" w:rsidRDefault="00B24099" w:rsidP="00B24099">
      <w:pPr>
        <w:pStyle w:val="Heading2"/>
      </w:pPr>
    </w:p>
    <w:p w14:paraId="406393E0" w14:textId="77777777" w:rsidR="00B24099" w:rsidRDefault="00B24099" w:rsidP="00B24099">
      <w:pPr>
        <w:pStyle w:val="Heading2"/>
      </w:pPr>
      <w:r>
        <w:t>Q.</w:t>
      </w:r>
      <w:r>
        <w:tab/>
        <w:t>Has the Commission previously granted a no-interest deferral?</w:t>
      </w:r>
    </w:p>
    <w:p w14:paraId="472CC9D2" w14:textId="231C34B5" w:rsidR="00B24099" w:rsidRDefault="00B24099" w:rsidP="00B24099">
      <w:pPr>
        <w:pStyle w:val="NoSpacing"/>
      </w:pPr>
      <w:r>
        <w:t>A.</w:t>
      </w:r>
      <w:r>
        <w:tab/>
        <w:t xml:space="preserve">Yes.  The Commission authorized Avista to defer costs associated with </w:t>
      </w:r>
      <w:r w:rsidR="001D7F23">
        <w:t xml:space="preserve">the </w:t>
      </w:r>
      <w:r w:rsidR="00C80164">
        <w:t>o</w:t>
      </w:r>
      <w:r>
        <w:t>xygenation of Spokane Lake as mandated by the Washington Department of Ecology.</w:t>
      </w:r>
      <w:r>
        <w:rPr>
          <w:rStyle w:val="FootnoteReference"/>
        </w:rPr>
        <w:footnoteReference w:id="37"/>
      </w:r>
      <w:r>
        <w:t xml:space="preserve">  Avista’s efforts to comply with the requirement led to a low-cost solution.  Avista petitioned the Commission to defer the costs incurred while attempting to comply with the State requirement.</w:t>
      </w:r>
      <w:r>
        <w:rPr>
          <w:rStyle w:val="FootnoteReference"/>
        </w:rPr>
        <w:footnoteReference w:id="38"/>
      </w:r>
      <w:r>
        <w:t xml:space="preserve">  The Commission authorized the deferral.  </w:t>
      </w:r>
    </w:p>
    <w:p w14:paraId="3EC2F091" w14:textId="77777777" w:rsidR="00FB6F1E" w:rsidRPr="00A70CDF" w:rsidRDefault="00FB6F1E" w:rsidP="00197D1B">
      <w:pPr>
        <w:pStyle w:val="NoSpacing"/>
      </w:pPr>
    </w:p>
    <w:p w14:paraId="6089E295" w14:textId="3237E321" w:rsidR="000E5BE8" w:rsidRDefault="000E5BE8" w:rsidP="000E5BE8">
      <w:pPr>
        <w:pStyle w:val="Heading2"/>
      </w:pPr>
      <w:r w:rsidRPr="000E5BE8">
        <w:lastRenderedPageBreak/>
        <w:t>Q.</w:t>
      </w:r>
      <w:r w:rsidRPr="000E5BE8">
        <w:tab/>
        <w:t xml:space="preserve">Do you have any </w:t>
      </w:r>
      <w:r w:rsidR="00197D1B">
        <w:t xml:space="preserve">alternative </w:t>
      </w:r>
      <w:r w:rsidRPr="000E5BE8">
        <w:t xml:space="preserve">recommendations </w:t>
      </w:r>
      <w:r w:rsidR="00197D1B">
        <w:t>should</w:t>
      </w:r>
      <w:r w:rsidRPr="000E5BE8">
        <w:t xml:space="preserve"> the Commission authorize </w:t>
      </w:r>
      <w:r w:rsidR="00FB6F1E" w:rsidRPr="000E5BE8">
        <w:t>Pacifi</w:t>
      </w:r>
      <w:r w:rsidR="00FB6F1E">
        <w:t>c Power</w:t>
      </w:r>
      <w:r w:rsidR="00FB6F1E" w:rsidRPr="000E5BE8">
        <w:t xml:space="preserve"> </w:t>
      </w:r>
      <w:r w:rsidRPr="000E5BE8">
        <w:t xml:space="preserve">to </w:t>
      </w:r>
      <w:r>
        <w:t>defer and recover</w:t>
      </w:r>
      <w:r w:rsidRPr="000E5BE8">
        <w:t xml:space="preserve"> the full amount of its request?</w:t>
      </w:r>
    </w:p>
    <w:p w14:paraId="7D71F0B9" w14:textId="42C365FC" w:rsidR="00675446" w:rsidRDefault="000E5BE8" w:rsidP="00205832">
      <w:pPr>
        <w:pStyle w:val="NoSpacing"/>
      </w:pPr>
      <w:r>
        <w:t>A.</w:t>
      </w:r>
      <w:r>
        <w:tab/>
        <w:t xml:space="preserve">Yes.  </w:t>
      </w:r>
      <w:r w:rsidR="00675446">
        <w:t>The Company</w:t>
      </w:r>
      <w:r w:rsidR="00A8369C">
        <w:t xml:space="preserve"> request</w:t>
      </w:r>
      <w:bookmarkStart w:id="123" w:name="_GoBack"/>
      <w:bookmarkEnd w:id="123"/>
      <w:r w:rsidR="005F6853">
        <w:t>s</w:t>
      </w:r>
      <w:r w:rsidR="00A8369C">
        <w:t xml:space="preserve"> </w:t>
      </w:r>
      <w:r w:rsidR="005F6853">
        <w:t xml:space="preserve">permission to </w:t>
      </w:r>
      <w:r w:rsidR="00A8369C">
        <w:t xml:space="preserve">defer the full </w:t>
      </w:r>
      <w:r w:rsidR="00A8369C" w:rsidRPr="005F6853">
        <w:rPr>
          <w:u w:val="single"/>
        </w:rPr>
        <w:t>revenue requirement</w:t>
      </w:r>
      <w:r w:rsidR="005F6853">
        <w:rPr>
          <w:u w:val="single"/>
        </w:rPr>
        <w:t xml:space="preserve"> </w:t>
      </w:r>
      <w:r w:rsidR="005F6853" w:rsidRPr="004A51EF">
        <w:t xml:space="preserve">of the </w:t>
      </w:r>
      <w:proofErr w:type="spellStart"/>
      <w:r w:rsidR="005F6853" w:rsidRPr="004A51EF">
        <w:t>Merwin</w:t>
      </w:r>
      <w:proofErr w:type="spellEnd"/>
      <w:r w:rsidR="005F6853" w:rsidRPr="004A51EF">
        <w:t xml:space="preserve"> Project from the date of the accounting petition with compound interest on the cumulative balance until the Project is in rates. </w:t>
      </w:r>
      <w:r w:rsidR="00A8369C" w:rsidRPr="004A51EF">
        <w:t xml:space="preserve"> </w:t>
      </w:r>
      <w:r w:rsidR="005F6853">
        <w:t xml:space="preserve">This </w:t>
      </w:r>
      <w:r w:rsidR="00A8369C">
        <w:t>includes</w:t>
      </w:r>
      <w:r w:rsidR="005F6853">
        <w:t xml:space="preserve"> the</w:t>
      </w:r>
      <w:r w:rsidR="00A8369C">
        <w:t xml:space="preserve"> return on </w:t>
      </w:r>
      <w:r w:rsidR="005F6853">
        <w:t xml:space="preserve">and return of </w:t>
      </w:r>
      <w:r w:rsidR="00A8369C">
        <w:t>rate</w:t>
      </w:r>
      <w:r w:rsidR="00FB6F1E">
        <w:t xml:space="preserve"> </w:t>
      </w:r>
      <w:r w:rsidR="00A8369C">
        <w:t xml:space="preserve">base for the </w:t>
      </w:r>
      <w:proofErr w:type="spellStart"/>
      <w:r w:rsidR="00A8369C">
        <w:t>Merwin</w:t>
      </w:r>
      <w:proofErr w:type="spellEnd"/>
      <w:r w:rsidR="00A8369C">
        <w:t xml:space="preserve"> Project</w:t>
      </w:r>
      <w:r w:rsidR="005F6853">
        <w:t xml:space="preserve"> plus operating costs</w:t>
      </w:r>
      <w:r w:rsidR="00A8369C">
        <w:t xml:space="preserve">.  If the Commission authorizes the Company to collect </w:t>
      </w:r>
      <w:r w:rsidR="00675446">
        <w:t>the</w:t>
      </w:r>
      <w:r w:rsidR="00A8369C">
        <w:t xml:space="preserve"> full </w:t>
      </w:r>
      <w:r w:rsidR="00675446">
        <w:t xml:space="preserve">deferral amount </w:t>
      </w:r>
      <w:r w:rsidR="00A8369C">
        <w:t xml:space="preserve">as proposed in the petition, </w:t>
      </w:r>
      <w:r>
        <w:t xml:space="preserve">I recommend that the </w:t>
      </w:r>
      <w:r w:rsidR="009760D7">
        <w:t>Commission reject</w:t>
      </w:r>
      <w:r w:rsidR="003F1717">
        <w:t xml:space="preserve"> </w:t>
      </w:r>
      <w:r w:rsidR="009760D7">
        <w:t xml:space="preserve">additional accrual of </w:t>
      </w:r>
      <w:r w:rsidR="00D81AB6">
        <w:t xml:space="preserve">interest </w:t>
      </w:r>
      <w:r w:rsidR="003F1717">
        <w:t xml:space="preserve">on the </w:t>
      </w:r>
      <w:r w:rsidR="009760D7">
        <w:t>revenue requirements</w:t>
      </w:r>
      <w:r w:rsidR="00675446">
        <w:t xml:space="preserve">.  </w:t>
      </w:r>
    </w:p>
    <w:p w14:paraId="74DE28B3" w14:textId="25B2692F" w:rsidR="00205832" w:rsidRDefault="00675446" w:rsidP="00675446">
      <w:pPr>
        <w:pStyle w:val="NoSpacing"/>
        <w:ind w:firstLine="720"/>
      </w:pPr>
      <w:r>
        <w:t>The Company’s request functionally creates a</w:t>
      </w:r>
      <w:r w:rsidR="009A2A28">
        <w:t xml:space="preserve"> double compounding of interest payments.  </w:t>
      </w:r>
      <w:r w:rsidR="001D7F23">
        <w:t>Additionally, the request</w:t>
      </w:r>
      <w:r w:rsidR="009760D7">
        <w:t xml:space="preserve"> </w:t>
      </w:r>
      <w:r w:rsidR="0039252B">
        <w:t xml:space="preserve">is not consistent with the purpose of </w:t>
      </w:r>
      <w:r w:rsidR="009760D7">
        <w:t>regulatory asset petitions.</w:t>
      </w:r>
      <w:r w:rsidR="00216D97">
        <w:t xml:space="preserve"> </w:t>
      </w:r>
      <w:r w:rsidR="009760D7">
        <w:t xml:space="preserve">The accounting standards </w:t>
      </w:r>
      <w:r>
        <w:t xml:space="preserve">codified by FASB </w:t>
      </w:r>
      <w:r w:rsidR="009760D7">
        <w:t xml:space="preserve">and the FERC Uniform System of Accounts state the proper </w:t>
      </w:r>
      <w:r w:rsidR="00216D97">
        <w:t xml:space="preserve">accounting </w:t>
      </w:r>
      <w:r w:rsidR="009760D7">
        <w:t xml:space="preserve">for </w:t>
      </w:r>
      <w:r w:rsidR="00216D97">
        <w:t xml:space="preserve">deferrals </w:t>
      </w:r>
      <w:r w:rsidR="009760D7">
        <w:t xml:space="preserve">of </w:t>
      </w:r>
      <w:r w:rsidR="009760D7" w:rsidRPr="009760D7">
        <w:rPr>
          <w:i/>
        </w:rPr>
        <w:t>period</w:t>
      </w:r>
      <w:r w:rsidR="002D746B" w:rsidRPr="009760D7">
        <w:rPr>
          <w:i/>
        </w:rPr>
        <w:t xml:space="preserve"> </w:t>
      </w:r>
      <w:r w:rsidR="002D746B" w:rsidRPr="002D746B">
        <w:rPr>
          <w:i/>
        </w:rPr>
        <w:t>costs</w:t>
      </w:r>
      <w:r w:rsidR="002D746B">
        <w:rPr>
          <w:i/>
        </w:rPr>
        <w:t xml:space="preserve"> </w:t>
      </w:r>
      <w:r w:rsidR="00216D97">
        <w:t>for recovery in future</w:t>
      </w:r>
      <w:r w:rsidR="009760D7">
        <w:t xml:space="preserve"> time periods</w:t>
      </w:r>
      <w:r w:rsidR="00216D97">
        <w:t xml:space="preserve">.  </w:t>
      </w:r>
      <w:r w:rsidR="001D7F23">
        <w:t>B</w:t>
      </w:r>
      <w:r w:rsidR="009A2A28" w:rsidRPr="002D746B">
        <w:t>y</w:t>
      </w:r>
      <w:r w:rsidR="009A2A28">
        <w:t xml:space="preserve"> applying interest to the </w:t>
      </w:r>
      <w:r w:rsidR="006530E8">
        <w:t xml:space="preserve">requested </w:t>
      </w:r>
      <w:r w:rsidR="009A2A28">
        <w:t>deferral</w:t>
      </w:r>
      <w:r w:rsidR="001D7F23">
        <w:t xml:space="preserve">, </w:t>
      </w:r>
      <w:r w:rsidR="00C80164">
        <w:t>c</w:t>
      </w:r>
      <w:r w:rsidR="009A2A28">
        <w:t xml:space="preserve">ompanies would have a direct </w:t>
      </w:r>
      <w:r w:rsidR="00FB6F1E">
        <w:t xml:space="preserve">incentive </w:t>
      </w:r>
      <w:r w:rsidR="009A2A28">
        <w:t xml:space="preserve">to seek </w:t>
      </w:r>
      <w:r w:rsidR="006530E8">
        <w:t xml:space="preserve">such </w:t>
      </w:r>
      <w:r w:rsidR="009A2A28">
        <w:t>accounting treatment for any potential rate</w:t>
      </w:r>
      <w:r w:rsidR="00FB6F1E">
        <w:t xml:space="preserve"> </w:t>
      </w:r>
      <w:r w:rsidR="009A2A28">
        <w:t>base additions.</w:t>
      </w:r>
      <w:r w:rsidR="00205832">
        <w:t xml:space="preserve">  Ms. </w:t>
      </w:r>
      <w:proofErr w:type="spellStart"/>
      <w:r w:rsidR="00205832">
        <w:t>Erdahl</w:t>
      </w:r>
      <w:r w:rsidR="00B02714">
        <w:t>’s</w:t>
      </w:r>
      <w:proofErr w:type="spellEnd"/>
      <w:r w:rsidR="00B02714">
        <w:t xml:space="preserve"> recommendation</w:t>
      </w:r>
      <w:r w:rsidR="00205832">
        <w:t xml:space="preserve"> for </w:t>
      </w:r>
      <w:r w:rsidR="00B02714">
        <w:t xml:space="preserve">the </w:t>
      </w:r>
      <w:r w:rsidR="00205832">
        <w:t>Colstrip and</w:t>
      </w:r>
      <w:r w:rsidR="000449F9">
        <w:t xml:space="preserve"> Depreciation D</w:t>
      </w:r>
      <w:r w:rsidR="00205832">
        <w:t>eferrals</w:t>
      </w:r>
      <w:r w:rsidR="00B02714">
        <w:t xml:space="preserve"> also rejects allowing the accumulation of </w:t>
      </w:r>
      <w:r w:rsidR="001D7F23">
        <w:t>interest</w:t>
      </w:r>
      <w:r w:rsidR="00B02714">
        <w:t xml:space="preserve"> on those projects and only allowing the deferral of the period costs for recovery in rates</w:t>
      </w:r>
      <w:r w:rsidR="00205832">
        <w:t xml:space="preserve">.  </w:t>
      </w:r>
    </w:p>
    <w:p w14:paraId="2D9A5E02" w14:textId="77777777" w:rsidR="005924C9" w:rsidRPr="000E5BE8" w:rsidRDefault="005924C9" w:rsidP="00F82BDF">
      <w:pPr>
        <w:pStyle w:val="NoSpacing"/>
      </w:pPr>
    </w:p>
    <w:p w14:paraId="1C7C05FA" w14:textId="77777777" w:rsidR="003230BF" w:rsidRDefault="003230BF" w:rsidP="003230BF">
      <w:pPr>
        <w:pStyle w:val="Heading2"/>
      </w:pPr>
      <w:r>
        <w:t>Q.</w:t>
      </w:r>
      <w:r>
        <w:tab/>
        <w:t>Does this conclude your Testimony?</w:t>
      </w:r>
    </w:p>
    <w:p w14:paraId="7204107C" w14:textId="70A7303D" w:rsidR="00AF5598" w:rsidRDefault="003230BF" w:rsidP="009B0651">
      <w:pPr>
        <w:pStyle w:val="NoSpacing"/>
        <w:rPr>
          <w:b/>
        </w:rPr>
      </w:pPr>
      <w:r>
        <w:t>A.</w:t>
      </w:r>
      <w:r>
        <w:tab/>
        <w:t>Yes</w:t>
      </w:r>
    </w:p>
    <w:sectPr w:rsidR="00AF5598" w:rsidSect="00EE0856">
      <w:pgSz w:w="12240" w:h="15840" w:code="1"/>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1F4A5" w14:textId="77777777" w:rsidR="009539E4" w:rsidRDefault="009539E4" w:rsidP="00CC09B5">
      <w:r>
        <w:separator/>
      </w:r>
    </w:p>
    <w:p w14:paraId="2F633576" w14:textId="77777777" w:rsidR="009539E4" w:rsidRDefault="009539E4"/>
    <w:p w14:paraId="0C06A957" w14:textId="77777777" w:rsidR="009539E4" w:rsidRDefault="009539E4" w:rsidP="00352C04"/>
    <w:p w14:paraId="769B2E4B" w14:textId="77777777" w:rsidR="009539E4" w:rsidRDefault="009539E4" w:rsidP="00352C04"/>
  </w:endnote>
  <w:endnote w:type="continuationSeparator" w:id="0">
    <w:p w14:paraId="0B4C3C9E" w14:textId="77777777" w:rsidR="009539E4" w:rsidRDefault="009539E4" w:rsidP="00CC09B5">
      <w:r>
        <w:continuationSeparator/>
      </w:r>
    </w:p>
    <w:p w14:paraId="06BE3EF0" w14:textId="77777777" w:rsidR="009539E4" w:rsidRDefault="009539E4"/>
    <w:p w14:paraId="4B811FE1" w14:textId="77777777" w:rsidR="009539E4" w:rsidRDefault="009539E4" w:rsidP="00352C04"/>
    <w:p w14:paraId="33B0D866" w14:textId="77777777" w:rsidR="009539E4" w:rsidRDefault="009539E4" w:rsidP="00352C04"/>
  </w:endnote>
  <w:endnote w:type="continuationNotice" w:id="1">
    <w:p w14:paraId="6F0FD180" w14:textId="77777777" w:rsidR="009539E4" w:rsidRDefault="00953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C40B9" w14:textId="6F46DC63" w:rsidR="009539E4" w:rsidRPr="00022107" w:rsidRDefault="009539E4" w:rsidP="00CC09B5">
    <w:pPr>
      <w:pStyle w:val="Footer"/>
      <w:rPr>
        <w:rFonts w:cs="Times New Roman"/>
        <w:sz w:val="20"/>
      </w:rPr>
    </w:pPr>
    <w:r w:rsidRPr="00022107">
      <w:rPr>
        <w:rFonts w:cs="Times New Roman"/>
        <w:sz w:val="20"/>
      </w:rPr>
      <w:t xml:space="preserve">TESTIMONY OF JASON L. BALL </w:t>
    </w:r>
    <w:r w:rsidRPr="00022107">
      <w:rPr>
        <w:rFonts w:cs="Times New Roman"/>
        <w:sz w:val="20"/>
      </w:rPr>
      <w:tab/>
    </w:r>
    <w:r w:rsidRPr="00022107">
      <w:rPr>
        <w:rFonts w:cs="Times New Roman"/>
        <w:sz w:val="20"/>
      </w:rPr>
      <w:tab/>
      <w:t>Exhibit No. __</w:t>
    </w:r>
    <w:proofErr w:type="gramStart"/>
    <w:r w:rsidRPr="00022107">
      <w:rPr>
        <w:rFonts w:cs="Times New Roman"/>
        <w:sz w:val="20"/>
      </w:rPr>
      <w:t>_(</w:t>
    </w:r>
    <w:proofErr w:type="gramEnd"/>
    <w:r w:rsidRPr="00022107">
      <w:rPr>
        <w:rFonts w:cs="Times New Roman"/>
        <w:sz w:val="20"/>
      </w:rPr>
      <w:t>JLB-1</w:t>
    </w:r>
    <w:r>
      <w:rPr>
        <w:rFonts w:cs="Times New Roman"/>
        <w:sz w:val="20"/>
      </w:rPr>
      <w:t>T</w:t>
    </w:r>
    <w:r w:rsidRPr="00022107">
      <w:rPr>
        <w:rFonts w:cs="Times New Roman"/>
        <w:sz w:val="20"/>
      </w:rPr>
      <w:t>)</w:t>
    </w:r>
  </w:p>
  <w:p w14:paraId="094BA77B" w14:textId="3483F9DE" w:rsidR="009539E4" w:rsidRPr="00022107" w:rsidRDefault="009539E4" w:rsidP="00CC09B5">
    <w:pPr>
      <w:pStyle w:val="Footer"/>
      <w:rPr>
        <w:rStyle w:val="PageNumber"/>
        <w:sz w:val="20"/>
        <w:lang w:val="fr-FR"/>
      </w:rPr>
    </w:pPr>
    <w:r w:rsidRPr="00022107">
      <w:rPr>
        <w:rFonts w:cs="Times New Roman"/>
        <w:sz w:val="20"/>
      </w:rPr>
      <w:t>Docket</w:t>
    </w:r>
    <w:r>
      <w:rPr>
        <w:rFonts w:cs="Times New Roman"/>
        <w:sz w:val="20"/>
      </w:rPr>
      <w:t>s</w:t>
    </w:r>
    <w:r w:rsidRPr="00022107">
      <w:rPr>
        <w:rFonts w:cs="Times New Roman"/>
        <w:sz w:val="20"/>
        <w:lang w:val="fr-FR"/>
      </w:rPr>
      <w:t xml:space="preserve"> UE-140</w:t>
    </w:r>
    <w:r>
      <w:rPr>
        <w:rFonts w:cs="Times New Roman"/>
        <w:sz w:val="20"/>
        <w:lang w:val="fr-FR"/>
      </w:rPr>
      <w:t xml:space="preserve">762 et al. </w:t>
    </w:r>
    <w:r w:rsidRPr="00022107">
      <w:rPr>
        <w:rFonts w:cs="Times New Roman"/>
        <w:sz w:val="20"/>
        <w:lang w:val="fr-FR"/>
      </w:rPr>
      <w:tab/>
    </w:r>
    <w:r w:rsidRPr="00022107">
      <w:rPr>
        <w:rFonts w:cs="Times New Roman"/>
        <w:sz w:val="20"/>
        <w:lang w:val="fr-FR"/>
      </w:rPr>
      <w:tab/>
      <w:t xml:space="preserve">Page </w:t>
    </w:r>
    <w:r w:rsidRPr="00022107">
      <w:rPr>
        <w:rStyle w:val="PageNumber"/>
        <w:sz w:val="20"/>
        <w:lang w:val="fr-FR"/>
      </w:rPr>
      <w:fldChar w:fldCharType="begin"/>
    </w:r>
    <w:r w:rsidRPr="00022107">
      <w:rPr>
        <w:rStyle w:val="PageNumber"/>
        <w:sz w:val="20"/>
        <w:lang w:val="fr-FR"/>
      </w:rPr>
      <w:instrText xml:space="preserve"> PAGE </w:instrText>
    </w:r>
    <w:r w:rsidRPr="00022107">
      <w:rPr>
        <w:rStyle w:val="PageNumber"/>
        <w:sz w:val="20"/>
        <w:lang w:val="fr-FR"/>
      </w:rPr>
      <w:fldChar w:fldCharType="separate"/>
    </w:r>
    <w:r w:rsidR="007F487A">
      <w:rPr>
        <w:rStyle w:val="PageNumber"/>
        <w:noProof/>
        <w:sz w:val="20"/>
        <w:lang w:val="fr-FR"/>
      </w:rPr>
      <w:t>29</w:t>
    </w:r>
    <w:r w:rsidRPr="00022107">
      <w:rPr>
        <w:rStyle w:val="PageNumber"/>
        <w:sz w:val="20"/>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77F4A" w14:textId="77777777" w:rsidR="009539E4" w:rsidRDefault="009539E4" w:rsidP="00352C04">
      <w:r>
        <w:separator/>
      </w:r>
    </w:p>
  </w:footnote>
  <w:footnote w:type="continuationSeparator" w:id="0">
    <w:p w14:paraId="7F7254BD" w14:textId="77777777" w:rsidR="009539E4" w:rsidRDefault="009539E4" w:rsidP="00352C04">
      <w:r>
        <w:continuationSeparator/>
      </w:r>
    </w:p>
  </w:footnote>
  <w:footnote w:type="continuationNotice" w:id="1">
    <w:p w14:paraId="3D6A2D62" w14:textId="77777777" w:rsidR="009539E4" w:rsidRDefault="009539E4"/>
  </w:footnote>
  <w:footnote w:id="2">
    <w:p w14:paraId="06958CE4" w14:textId="58F2945C" w:rsidR="009539E4" w:rsidRPr="004A1921" w:rsidRDefault="009539E4" w:rsidP="0069323E">
      <w:pPr>
        <w:pStyle w:val="FootnoteText"/>
        <w:rPr>
          <w:rFonts w:cs="Times New Roman"/>
        </w:rPr>
      </w:pPr>
      <w:r w:rsidRPr="004A1921">
        <w:rPr>
          <w:rStyle w:val="FootnoteReference"/>
          <w:rFonts w:cs="Times New Roman"/>
        </w:rPr>
        <w:footnoteRef/>
      </w:r>
      <w:r w:rsidRPr="004A1921">
        <w:rPr>
          <w:rFonts w:cs="Times New Roman"/>
        </w:rPr>
        <w:t xml:space="preserve"> </w:t>
      </w:r>
      <w:r w:rsidRPr="004A1921">
        <w:rPr>
          <w:rFonts w:cs="Times New Roman"/>
          <w:i/>
        </w:rPr>
        <w:t>Petition of Pacific Power &amp; Light Company For an Order Approving Deferral of Costs Related to Colstrip Outage</w:t>
      </w:r>
      <w:r w:rsidRPr="004A1921">
        <w:rPr>
          <w:rFonts w:cs="Times New Roman"/>
        </w:rPr>
        <w:t>, Docket UE-131384, Order 01 (June 24, 2014).</w:t>
      </w:r>
    </w:p>
  </w:footnote>
  <w:footnote w:id="3">
    <w:p w14:paraId="324ACA7D" w14:textId="6D328588" w:rsidR="009539E4" w:rsidRPr="004A1921" w:rsidRDefault="009539E4" w:rsidP="0069323E">
      <w:pPr>
        <w:pStyle w:val="FootnoteText"/>
        <w:rPr>
          <w:rFonts w:cs="Times New Roman"/>
        </w:rPr>
      </w:pPr>
      <w:r w:rsidRPr="004A1921">
        <w:rPr>
          <w:rStyle w:val="FootnoteReference"/>
          <w:rFonts w:cs="Times New Roman"/>
        </w:rPr>
        <w:footnoteRef/>
      </w:r>
      <w:r w:rsidRPr="004A1921">
        <w:rPr>
          <w:rFonts w:cs="Times New Roman"/>
        </w:rPr>
        <w:t xml:space="preserve"> </w:t>
      </w:r>
      <w:r w:rsidRPr="004A1921">
        <w:rPr>
          <w:rFonts w:cs="Times New Roman"/>
          <w:i/>
        </w:rPr>
        <w:t>Petition of Pacific Power &amp; Light Company For an Accounting Order Authorizing a Deferral of a Reduction in Depreciation Expense</w:t>
      </w:r>
      <w:r w:rsidRPr="004A1921">
        <w:rPr>
          <w:rFonts w:cs="Times New Roman"/>
        </w:rPr>
        <w:t>, Docket UE-132350, Order 01 (January 30, 2014).</w:t>
      </w:r>
    </w:p>
  </w:footnote>
  <w:footnote w:id="4">
    <w:p w14:paraId="7A46F812" w14:textId="463992C4" w:rsidR="009539E4" w:rsidRPr="004A1921" w:rsidRDefault="009539E4" w:rsidP="0069323E">
      <w:pPr>
        <w:pStyle w:val="FootnoteText"/>
        <w:rPr>
          <w:rFonts w:cs="Times New Roman"/>
        </w:rPr>
      </w:pPr>
      <w:r w:rsidRPr="004A1921">
        <w:rPr>
          <w:rStyle w:val="FootnoteReference"/>
          <w:rFonts w:cs="Times New Roman"/>
        </w:rPr>
        <w:footnoteRef/>
      </w:r>
      <w:r w:rsidRPr="004A1921">
        <w:rPr>
          <w:rFonts w:cs="Times New Roman"/>
        </w:rPr>
        <w:t xml:space="preserve"> </w:t>
      </w:r>
      <w:r w:rsidRPr="004A1921">
        <w:rPr>
          <w:rFonts w:cs="Times New Roman"/>
          <w:i/>
        </w:rPr>
        <w:t>Petition of Pacific Power &amp; Light Company For an Order Approving Deferral of Costs Related to Declining Hydro Generation</w:t>
      </w:r>
      <w:r w:rsidRPr="004A1921">
        <w:rPr>
          <w:rFonts w:cs="Times New Roman"/>
        </w:rPr>
        <w:t>, Docket UE-140094, Order 01 (June 24, 2014).</w:t>
      </w:r>
    </w:p>
  </w:footnote>
  <w:footnote w:id="5">
    <w:p w14:paraId="00B1624B" w14:textId="77777777" w:rsidR="009539E4" w:rsidRPr="004A1921" w:rsidRDefault="009539E4" w:rsidP="001A327D">
      <w:pPr>
        <w:pStyle w:val="FootnoteText"/>
        <w:rPr>
          <w:rFonts w:cs="Times New Roman"/>
        </w:rPr>
      </w:pPr>
      <w:r w:rsidRPr="004A1921">
        <w:rPr>
          <w:rStyle w:val="FootnoteReference"/>
          <w:rFonts w:cs="Times New Roman"/>
        </w:rPr>
        <w:footnoteRef/>
      </w:r>
      <w:r w:rsidRPr="004A1921">
        <w:rPr>
          <w:rFonts w:cs="Times New Roman"/>
        </w:rPr>
        <w:t xml:space="preserve"> </w:t>
      </w:r>
      <w:r w:rsidRPr="004A1921">
        <w:rPr>
          <w:rFonts w:cs="Times New Roman"/>
          <w:i/>
        </w:rPr>
        <w:t>WUTC v. Pacific Power &amp; Light Company,</w:t>
      </w:r>
      <w:r w:rsidRPr="004A1921">
        <w:rPr>
          <w:rFonts w:cs="Times New Roman"/>
        </w:rPr>
        <w:t xml:space="preserve"> Docket UE-140617, Order 01 (May 29, 2014).</w:t>
      </w:r>
    </w:p>
  </w:footnote>
  <w:footnote w:id="6">
    <w:p w14:paraId="5C4B4CCE" w14:textId="1886DCCA" w:rsidR="009539E4" w:rsidRPr="004A1921" w:rsidRDefault="009539E4" w:rsidP="001A327D">
      <w:pPr>
        <w:pStyle w:val="FootnoteText"/>
        <w:rPr>
          <w:rFonts w:cs="Times New Roman"/>
        </w:rPr>
      </w:pPr>
      <w:r w:rsidRPr="004A1921">
        <w:rPr>
          <w:rStyle w:val="FootnoteReference"/>
          <w:rFonts w:cs="Times New Roman"/>
        </w:rPr>
        <w:footnoteRef/>
      </w:r>
      <w:r w:rsidRPr="004A1921">
        <w:rPr>
          <w:rFonts w:cs="Times New Roman"/>
        </w:rPr>
        <w:t xml:space="preserve"> The Company is requesting that the Colstrip, Depreciation, and Hydro Generation deferrals be amortized through </w:t>
      </w:r>
      <w:r>
        <w:rPr>
          <w:rFonts w:cs="Times New Roman"/>
        </w:rPr>
        <w:t>S</w:t>
      </w:r>
      <w:r w:rsidRPr="004A1921">
        <w:rPr>
          <w:rFonts w:cs="Times New Roman"/>
        </w:rPr>
        <w:t xml:space="preserve">chedule 92.  Once fully amortized, the schedule would be reduced to $0 through a compliance filing. </w:t>
      </w:r>
      <w:r>
        <w:rPr>
          <w:rFonts w:cs="Times New Roman"/>
        </w:rPr>
        <w:t xml:space="preserve"> Therefore, these amounts are</w:t>
      </w:r>
      <w:r w:rsidRPr="004A1921">
        <w:rPr>
          <w:rFonts w:cs="Times New Roman"/>
        </w:rPr>
        <w:t xml:space="preserve"> for one year only and do not represent a permanent increase.  Staff assumes the same treatment would be proposed</w:t>
      </w:r>
      <w:r>
        <w:rPr>
          <w:rFonts w:cs="Times New Roman"/>
        </w:rPr>
        <w:t xml:space="preserve"> by the Company for the </w:t>
      </w:r>
      <w:proofErr w:type="spellStart"/>
      <w:r>
        <w:rPr>
          <w:rFonts w:cs="Times New Roman"/>
        </w:rPr>
        <w:t>Merwin</w:t>
      </w:r>
      <w:proofErr w:type="spellEnd"/>
      <w:r>
        <w:rPr>
          <w:rFonts w:cs="Times New Roman"/>
        </w:rPr>
        <w:t xml:space="preserve"> D</w:t>
      </w:r>
      <w:r w:rsidRPr="004A1921">
        <w:rPr>
          <w:rFonts w:cs="Times New Roman"/>
        </w:rPr>
        <w:t xml:space="preserve">eferral.  </w:t>
      </w:r>
    </w:p>
  </w:footnote>
  <w:footnote w:id="7">
    <w:p w14:paraId="381322BD" w14:textId="03770806" w:rsidR="009539E4" w:rsidRPr="00BF20B0" w:rsidRDefault="009539E4">
      <w:pPr>
        <w:pStyle w:val="FootnoteText"/>
      </w:pPr>
      <w:r>
        <w:rPr>
          <w:rStyle w:val="FootnoteReference"/>
        </w:rPr>
        <w:footnoteRef/>
      </w:r>
      <w:r>
        <w:t xml:space="preserve"> </w:t>
      </w:r>
      <w:r>
        <w:rPr>
          <w:i/>
        </w:rPr>
        <w:t xml:space="preserve">See Utilities &amp; Transp. </w:t>
      </w:r>
      <w:proofErr w:type="spellStart"/>
      <w:r>
        <w:rPr>
          <w:i/>
        </w:rPr>
        <w:t>Comm’n</w:t>
      </w:r>
      <w:proofErr w:type="spellEnd"/>
      <w:r>
        <w:rPr>
          <w:i/>
        </w:rPr>
        <w:t xml:space="preserve">. </w:t>
      </w:r>
      <w:proofErr w:type="gramStart"/>
      <w:r>
        <w:rPr>
          <w:i/>
        </w:rPr>
        <w:t>v. Pacific</w:t>
      </w:r>
      <w:proofErr w:type="gramEnd"/>
      <w:r>
        <w:rPr>
          <w:i/>
        </w:rPr>
        <w:t xml:space="preserve"> Power &amp; Light Co.</w:t>
      </w:r>
      <w:r>
        <w:t>, Docket UE-130043, Order 05, December 4, 2013.</w:t>
      </w:r>
    </w:p>
  </w:footnote>
  <w:footnote w:id="8">
    <w:p w14:paraId="5E041A39" w14:textId="77777777" w:rsidR="009539E4" w:rsidRDefault="009539E4" w:rsidP="00CC06D4">
      <w:pPr>
        <w:pStyle w:val="FootnoteText"/>
      </w:pPr>
      <w:r>
        <w:rPr>
          <w:rStyle w:val="FootnoteReference"/>
        </w:rPr>
        <w:footnoteRef/>
      </w:r>
      <w:r>
        <w:t xml:space="preserve"> </w:t>
      </w:r>
      <w:proofErr w:type="spellStart"/>
      <w:r w:rsidRPr="004A1921">
        <w:rPr>
          <w:rFonts w:cs="Times New Roman"/>
        </w:rPr>
        <w:t>Dalley</w:t>
      </w:r>
      <w:proofErr w:type="spellEnd"/>
      <w:r w:rsidRPr="004A1921">
        <w:rPr>
          <w:rFonts w:cs="Times New Roman"/>
        </w:rPr>
        <w:t xml:space="preserve">, </w:t>
      </w:r>
      <w:r>
        <w:rPr>
          <w:rFonts w:cs="Times New Roman"/>
        </w:rPr>
        <w:t xml:space="preserve">Direct </w:t>
      </w:r>
      <w:r w:rsidRPr="004A1921">
        <w:rPr>
          <w:rFonts w:cs="Times New Roman"/>
        </w:rPr>
        <w:t>Exhibit No.__(</w:t>
      </w:r>
      <w:proofErr w:type="spellStart"/>
      <w:r w:rsidRPr="004A1921">
        <w:rPr>
          <w:rFonts w:cs="Times New Roman"/>
        </w:rPr>
        <w:t>RBD-1T</w:t>
      </w:r>
      <w:proofErr w:type="spellEnd"/>
      <w:r w:rsidRPr="004A1921">
        <w:rPr>
          <w:rFonts w:cs="Times New Roman"/>
        </w:rPr>
        <w:t>) at</w:t>
      </w:r>
      <w:r>
        <w:rPr>
          <w:rFonts w:cs="Times New Roman"/>
        </w:rPr>
        <w:t xml:space="preserve"> </w:t>
      </w:r>
      <w:r w:rsidRPr="004A1921">
        <w:rPr>
          <w:rFonts w:cs="Times New Roman"/>
        </w:rPr>
        <w:t>9:5</w:t>
      </w:r>
    </w:p>
  </w:footnote>
  <w:footnote w:id="9">
    <w:p w14:paraId="39EE9100" w14:textId="3562934F" w:rsidR="009539E4" w:rsidRPr="004A1921" w:rsidRDefault="009539E4" w:rsidP="00474F67">
      <w:pPr>
        <w:pStyle w:val="FootnoteText"/>
        <w:rPr>
          <w:rFonts w:cs="Times New Roman"/>
        </w:rPr>
      </w:pPr>
      <w:r w:rsidRPr="004A1921">
        <w:rPr>
          <w:rStyle w:val="FootnoteReference"/>
          <w:rFonts w:cs="Times New Roman"/>
        </w:rPr>
        <w:footnoteRef/>
      </w:r>
      <w:r w:rsidRPr="004A1921">
        <w:rPr>
          <w:rFonts w:cs="Times New Roman"/>
        </w:rPr>
        <w:t xml:space="preserve"> </w:t>
      </w:r>
      <w:r>
        <w:rPr>
          <w:rFonts w:cs="Times New Roman"/>
          <w:i/>
        </w:rPr>
        <w:t xml:space="preserve">Utilities &amp; Transp. </w:t>
      </w:r>
      <w:proofErr w:type="spellStart"/>
      <w:r>
        <w:rPr>
          <w:rFonts w:cs="Times New Roman"/>
          <w:i/>
        </w:rPr>
        <w:t>Comm’n</w:t>
      </w:r>
      <w:proofErr w:type="spellEnd"/>
      <w:r>
        <w:rPr>
          <w:rFonts w:cs="Times New Roman"/>
          <w:i/>
        </w:rPr>
        <w:t xml:space="preserve">. </w:t>
      </w:r>
      <w:r w:rsidRPr="004A1921">
        <w:rPr>
          <w:rFonts w:cs="Times New Roman"/>
          <w:i/>
        </w:rPr>
        <w:t xml:space="preserve"> v. Pacifi</w:t>
      </w:r>
      <w:r>
        <w:rPr>
          <w:rFonts w:cs="Times New Roman"/>
          <w:i/>
        </w:rPr>
        <w:t>c Power &amp; Light Co.</w:t>
      </w:r>
      <w:r w:rsidRPr="004A1921">
        <w:rPr>
          <w:rFonts w:cs="Times New Roman"/>
        </w:rPr>
        <w:t>, Docket UE-130043, Order 05 at ¶¶ 97-114</w:t>
      </w:r>
      <w:r>
        <w:rPr>
          <w:rFonts w:cs="Times New Roman"/>
        </w:rPr>
        <w:t xml:space="preserve"> </w:t>
      </w:r>
      <w:r w:rsidRPr="004A1921">
        <w:rPr>
          <w:rFonts w:cs="Times New Roman"/>
        </w:rPr>
        <w:t>(December 4</w:t>
      </w:r>
      <w:r>
        <w:rPr>
          <w:rFonts w:cs="Times New Roman"/>
        </w:rPr>
        <w:t xml:space="preserve">, 2013) </w:t>
      </w:r>
      <w:r w:rsidRPr="004A1921">
        <w:rPr>
          <w:rFonts w:cs="Times New Roman"/>
        </w:rPr>
        <w:t xml:space="preserve"> </w:t>
      </w:r>
    </w:p>
  </w:footnote>
  <w:footnote w:id="10">
    <w:p w14:paraId="1BD30B6E" w14:textId="5E43F2C4" w:rsidR="009539E4" w:rsidRPr="004A1921" w:rsidRDefault="009539E4">
      <w:pPr>
        <w:pStyle w:val="FootnoteText"/>
        <w:rPr>
          <w:rFonts w:cs="Times New Roman"/>
        </w:rPr>
      </w:pPr>
      <w:r w:rsidRPr="004A1921">
        <w:rPr>
          <w:rStyle w:val="FootnoteReference"/>
          <w:rFonts w:cs="Times New Roman"/>
        </w:rPr>
        <w:footnoteRef/>
      </w:r>
      <w:r w:rsidRPr="004A1921">
        <w:rPr>
          <w:rFonts w:cs="Times New Roman"/>
        </w:rPr>
        <w:t xml:space="preserve"> </w:t>
      </w:r>
      <w:proofErr w:type="spellStart"/>
      <w:r w:rsidRPr="004A1921">
        <w:rPr>
          <w:rFonts w:cs="Times New Roman"/>
        </w:rPr>
        <w:t>Dalley</w:t>
      </w:r>
      <w:proofErr w:type="spellEnd"/>
      <w:r w:rsidRPr="004A1921">
        <w:rPr>
          <w:rFonts w:cs="Times New Roman"/>
        </w:rPr>
        <w:t xml:space="preserve">, </w:t>
      </w:r>
      <w:r>
        <w:rPr>
          <w:rFonts w:cs="Times New Roman"/>
        </w:rPr>
        <w:t xml:space="preserve">Direct </w:t>
      </w:r>
      <w:r w:rsidRPr="004A1921">
        <w:rPr>
          <w:rFonts w:cs="Times New Roman"/>
        </w:rPr>
        <w:t>Exhibit No.__(</w:t>
      </w:r>
      <w:proofErr w:type="spellStart"/>
      <w:r w:rsidRPr="004A1921">
        <w:rPr>
          <w:rFonts w:cs="Times New Roman"/>
        </w:rPr>
        <w:t>RBD-1T</w:t>
      </w:r>
      <w:proofErr w:type="spellEnd"/>
      <w:r w:rsidRPr="004A1921">
        <w:rPr>
          <w:rFonts w:cs="Times New Roman"/>
        </w:rPr>
        <w:t>) at</w:t>
      </w:r>
      <w:r>
        <w:rPr>
          <w:rFonts w:cs="Times New Roman"/>
        </w:rPr>
        <w:t xml:space="preserve"> </w:t>
      </w:r>
      <w:r w:rsidRPr="004A1921">
        <w:rPr>
          <w:rFonts w:cs="Times New Roman"/>
        </w:rPr>
        <w:t>9:5</w:t>
      </w:r>
    </w:p>
  </w:footnote>
  <w:footnote w:id="11">
    <w:p w14:paraId="622DA817" w14:textId="2FB43D7D" w:rsidR="009539E4" w:rsidRPr="004A1921" w:rsidRDefault="009539E4">
      <w:pPr>
        <w:pStyle w:val="FootnoteText"/>
        <w:rPr>
          <w:rFonts w:cs="Times New Roman"/>
        </w:rPr>
      </w:pPr>
      <w:r w:rsidRPr="004A1921">
        <w:rPr>
          <w:rStyle w:val="FootnoteReference"/>
          <w:rFonts w:cs="Times New Roman"/>
        </w:rPr>
        <w:footnoteRef/>
      </w:r>
      <w:r w:rsidRPr="004A1921">
        <w:rPr>
          <w:rFonts w:cs="Times New Roman"/>
        </w:rPr>
        <w:t xml:space="preserve"> </w:t>
      </w:r>
      <w:r>
        <w:rPr>
          <w:rFonts w:cs="Times New Roman"/>
          <w:i/>
        </w:rPr>
        <w:t xml:space="preserve">Utilities &amp; Transp. </w:t>
      </w:r>
      <w:proofErr w:type="spellStart"/>
      <w:r>
        <w:rPr>
          <w:rFonts w:cs="Times New Roman"/>
          <w:i/>
        </w:rPr>
        <w:t>Comm’n</w:t>
      </w:r>
      <w:proofErr w:type="spellEnd"/>
      <w:r>
        <w:rPr>
          <w:rFonts w:cs="Times New Roman"/>
          <w:i/>
        </w:rPr>
        <w:t xml:space="preserve">. </w:t>
      </w:r>
      <w:r w:rsidRPr="004A1921">
        <w:rPr>
          <w:rFonts w:cs="Times New Roman"/>
          <w:i/>
        </w:rPr>
        <w:t xml:space="preserve"> v. Pacifi</w:t>
      </w:r>
      <w:r>
        <w:rPr>
          <w:rFonts w:cs="Times New Roman"/>
          <w:i/>
        </w:rPr>
        <w:t>c Power &amp; Light Co.</w:t>
      </w:r>
      <w:r w:rsidRPr="004A1921">
        <w:rPr>
          <w:rFonts w:cs="Times New Roman"/>
        </w:rPr>
        <w:t>, Docket UE-130043</w:t>
      </w:r>
      <w:r>
        <w:rPr>
          <w:rFonts w:cs="Times New Roman"/>
        </w:rPr>
        <w:t xml:space="preserve">, Order 05 </w:t>
      </w:r>
      <w:r w:rsidRPr="004A1921">
        <w:rPr>
          <w:rFonts w:cs="Times New Roman"/>
        </w:rPr>
        <w:t>at ¶¶ 181-185</w:t>
      </w:r>
      <w:r>
        <w:rPr>
          <w:rFonts w:cs="Times New Roman"/>
        </w:rPr>
        <w:t>, (December 4, 2013)</w:t>
      </w:r>
    </w:p>
  </w:footnote>
  <w:footnote w:id="12">
    <w:p w14:paraId="0A6A4691" w14:textId="3EF9BDB9" w:rsidR="009539E4" w:rsidRPr="004A1921" w:rsidRDefault="009539E4">
      <w:pPr>
        <w:pStyle w:val="FootnoteText"/>
        <w:rPr>
          <w:rFonts w:cs="Times New Roman"/>
        </w:rPr>
      </w:pPr>
      <w:r w:rsidRPr="004A1921">
        <w:rPr>
          <w:rStyle w:val="FootnoteReference"/>
          <w:rFonts w:cs="Times New Roman"/>
        </w:rPr>
        <w:footnoteRef/>
      </w:r>
      <w:r w:rsidRPr="004A1921">
        <w:rPr>
          <w:rFonts w:cs="Times New Roman"/>
        </w:rPr>
        <w:t xml:space="preserve"> </w:t>
      </w:r>
      <w:r>
        <w:rPr>
          <w:rFonts w:cs="Times New Roman"/>
        </w:rPr>
        <w:t xml:space="preserve">Twitchell Direct </w:t>
      </w:r>
      <w:r w:rsidRPr="004A1921">
        <w:rPr>
          <w:rFonts w:cs="Times New Roman"/>
        </w:rPr>
        <w:t>, Exhibit No.__(RBD-1T) at 5:16 – 13:19</w:t>
      </w:r>
    </w:p>
  </w:footnote>
  <w:footnote w:id="13">
    <w:p w14:paraId="5FAE8B62" w14:textId="4B4A998D" w:rsidR="009539E4" w:rsidRPr="004A1921" w:rsidRDefault="009539E4">
      <w:pPr>
        <w:pStyle w:val="FootnoteText"/>
        <w:rPr>
          <w:rFonts w:cs="Times New Roman"/>
        </w:rPr>
      </w:pPr>
      <w:r w:rsidRPr="004A1921">
        <w:rPr>
          <w:rStyle w:val="FootnoteReference"/>
          <w:rFonts w:cs="Times New Roman"/>
        </w:rPr>
        <w:footnoteRef/>
      </w:r>
      <w:r>
        <w:rPr>
          <w:rFonts w:cs="Times New Roman"/>
        </w:rPr>
        <w:t xml:space="preserve"> </w:t>
      </w:r>
      <w:proofErr w:type="spellStart"/>
      <w:r w:rsidRPr="004A1921">
        <w:rPr>
          <w:rFonts w:cs="Times New Roman"/>
        </w:rPr>
        <w:t>Dalley</w:t>
      </w:r>
      <w:proofErr w:type="spellEnd"/>
      <w:r w:rsidRPr="004A1921">
        <w:rPr>
          <w:rFonts w:cs="Times New Roman"/>
        </w:rPr>
        <w:t xml:space="preserve">, </w:t>
      </w:r>
      <w:r>
        <w:rPr>
          <w:rFonts w:cs="Times New Roman"/>
        </w:rPr>
        <w:t xml:space="preserve">Direct </w:t>
      </w:r>
      <w:r w:rsidRPr="004A1921">
        <w:rPr>
          <w:rFonts w:cs="Times New Roman"/>
        </w:rPr>
        <w:t>Exhibit No.__(</w:t>
      </w:r>
      <w:proofErr w:type="spellStart"/>
      <w:r w:rsidRPr="004A1921">
        <w:rPr>
          <w:rFonts w:cs="Times New Roman"/>
        </w:rPr>
        <w:t>RBD-1T</w:t>
      </w:r>
      <w:proofErr w:type="spellEnd"/>
      <w:r w:rsidRPr="004A1921">
        <w:rPr>
          <w:rFonts w:cs="Times New Roman"/>
        </w:rPr>
        <w:t>) at</w:t>
      </w:r>
      <w:r>
        <w:rPr>
          <w:rFonts w:cs="Times New Roman"/>
        </w:rPr>
        <w:t xml:space="preserve"> </w:t>
      </w:r>
      <w:r w:rsidRPr="004A1921">
        <w:rPr>
          <w:rFonts w:cs="Times New Roman"/>
        </w:rPr>
        <w:t>9:5</w:t>
      </w:r>
    </w:p>
  </w:footnote>
  <w:footnote w:id="14">
    <w:p w14:paraId="59590695" w14:textId="2F62611E" w:rsidR="009539E4" w:rsidRPr="004A1921" w:rsidRDefault="009539E4" w:rsidP="00FD50D9">
      <w:pPr>
        <w:pStyle w:val="FootnoteText"/>
        <w:rPr>
          <w:rFonts w:cs="Times New Roman"/>
        </w:rPr>
      </w:pPr>
      <w:r w:rsidRPr="004A1921">
        <w:rPr>
          <w:rStyle w:val="FootnoteReference"/>
          <w:rFonts w:cs="Times New Roman"/>
        </w:rPr>
        <w:footnoteRef/>
      </w:r>
      <w:r w:rsidRPr="004A1921">
        <w:rPr>
          <w:rFonts w:cs="Times New Roman"/>
        </w:rPr>
        <w:t xml:space="preserve"> </w:t>
      </w:r>
      <w:r>
        <w:rPr>
          <w:rFonts w:cs="Times New Roman"/>
          <w:i/>
        </w:rPr>
        <w:t xml:space="preserve">Utilities &amp; Transp. </w:t>
      </w:r>
      <w:proofErr w:type="spellStart"/>
      <w:r>
        <w:rPr>
          <w:rFonts w:cs="Times New Roman"/>
          <w:i/>
        </w:rPr>
        <w:t>Comm’n</w:t>
      </w:r>
      <w:proofErr w:type="spellEnd"/>
      <w:r>
        <w:rPr>
          <w:rFonts w:cs="Times New Roman"/>
          <w:i/>
        </w:rPr>
        <w:t xml:space="preserve">. </w:t>
      </w:r>
      <w:r w:rsidRPr="004A1921">
        <w:rPr>
          <w:rFonts w:cs="Times New Roman"/>
          <w:i/>
        </w:rPr>
        <w:t xml:space="preserve"> </w:t>
      </w:r>
      <w:proofErr w:type="gramStart"/>
      <w:r w:rsidRPr="004A1921">
        <w:rPr>
          <w:rFonts w:cs="Times New Roman"/>
          <w:i/>
        </w:rPr>
        <w:t>v. Pacifi</w:t>
      </w:r>
      <w:r>
        <w:rPr>
          <w:rFonts w:cs="Times New Roman"/>
          <w:i/>
        </w:rPr>
        <w:t>c</w:t>
      </w:r>
      <w:proofErr w:type="gramEnd"/>
      <w:r>
        <w:rPr>
          <w:rFonts w:cs="Times New Roman"/>
          <w:i/>
        </w:rPr>
        <w:t xml:space="preserve"> Power &amp; Light Co.</w:t>
      </w:r>
      <w:r w:rsidRPr="004A1921">
        <w:rPr>
          <w:rFonts w:cs="Times New Roman"/>
        </w:rPr>
        <w:t xml:space="preserve">, Docket UE-130043, </w:t>
      </w:r>
      <w:r>
        <w:rPr>
          <w:rFonts w:cs="Times New Roman"/>
        </w:rPr>
        <w:t xml:space="preserve">Direct Testimony of Deborah </w:t>
      </w:r>
      <w:r w:rsidRPr="004A1921">
        <w:rPr>
          <w:rFonts w:cs="Times New Roman"/>
          <w:szCs w:val="22"/>
        </w:rPr>
        <w:t>Reynolds, Exh. No. DJR-1T at 12:5-10.</w:t>
      </w:r>
    </w:p>
  </w:footnote>
  <w:footnote w:id="15">
    <w:p w14:paraId="2A21E6B8" w14:textId="20AE7A61" w:rsidR="009539E4" w:rsidRPr="004A1921" w:rsidRDefault="009539E4" w:rsidP="00446183">
      <w:pPr>
        <w:pStyle w:val="FootnoteText"/>
        <w:rPr>
          <w:rFonts w:cs="Times New Roman"/>
        </w:rPr>
      </w:pPr>
      <w:r w:rsidRPr="004A1921">
        <w:rPr>
          <w:rStyle w:val="FootnoteReference"/>
          <w:rFonts w:cs="Times New Roman"/>
        </w:rPr>
        <w:footnoteRef/>
      </w:r>
      <w:r w:rsidRPr="004A1921">
        <w:rPr>
          <w:rFonts w:cs="Times New Roman"/>
        </w:rPr>
        <w:t xml:space="preserve"> </w:t>
      </w:r>
      <w:r w:rsidRPr="001D25A1">
        <w:rPr>
          <w:i/>
          <w:szCs w:val="22"/>
        </w:rPr>
        <w:t>In the Matter of the Application of PacifiCorp and PC/UP&amp;L Merging Corp. for an Order Authorizing the Merger of PacifiCorp and Utah Power &amp; Light Company into PC/UP&amp;L Merging Corp. (to be Renamed PacifiCorp upon Completion of the Merger), and Authorizing the Issuance of Securities, Assumption of Obligations, Adoption of Tariffs, and Transfer of Certificates of Public Convenience and Necessity, Allocated Territory, and Authorizations in Connection Therewith</w:t>
      </w:r>
      <w:r w:rsidRPr="001D25A1">
        <w:rPr>
          <w:szCs w:val="22"/>
        </w:rPr>
        <w:t xml:space="preserve">, Public Utility Commission of Oregon Docket UF 4000, Order 88-767 </w:t>
      </w:r>
      <w:r>
        <w:rPr>
          <w:szCs w:val="22"/>
        </w:rPr>
        <w:t xml:space="preserve">at ¶6 </w:t>
      </w:r>
      <w:r w:rsidRPr="001D25A1">
        <w:rPr>
          <w:szCs w:val="22"/>
        </w:rPr>
        <w:t>(July 15, 1988) (Oregon Merger Order); s</w:t>
      </w:r>
      <w:r w:rsidRPr="001D25A1">
        <w:rPr>
          <w:i/>
          <w:szCs w:val="22"/>
        </w:rPr>
        <w:t>ee also</w:t>
      </w:r>
      <w:r w:rsidRPr="001D25A1">
        <w:rPr>
          <w:szCs w:val="22"/>
        </w:rPr>
        <w:t xml:space="preserve"> </w:t>
      </w:r>
      <w:r w:rsidRPr="001D25A1">
        <w:rPr>
          <w:i/>
          <w:szCs w:val="22"/>
        </w:rPr>
        <w:t>In the Matter of the Application of PacifiCorp (Maine) to Merge with PC/UP&amp;L Merging Corp. (PacifiCorp Oregon), and to Issue such Securities and Assume such Obligations as May be Necessary to Effect a Merger with Utah Power &amp; Light Company</w:t>
      </w:r>
      <w:r w:rsidRPr="001D25A1">
        <w:rPr>
          <w:szCs w:val="22"/>
        </w:rPr>
        <w:t>, WUTC Docket U-87-1338-AT, Second Supplemental Order Approving Merger with Requirements at 14 (July 15, 1988) (Washington Merger Order).</w:t>
      </w:r>
    </w:p>
  </w:footnote>
  <w:footnote w:id="16">
    <w:p w14:paraId="6601784F" w14:textId="24A05AF3" w:rsidR="009539E4" w:rsidRDefault="009539E4">
      <w:pPr>
        <w:pStyle w:val="FootnoteText"/>
      </w:pPr>
      <w:r>
        <w:rPr>
          <w:rStyle w:val="FootnoteReference"/>
        </w:rPr>
        <w:footnoteRef/>
      </w:r>
      <w:r>
        <w:t xml:space="preserve"> </w:t>
      </w:r>
      <w:proofErr w:type="spellStart"/>
      <w:r w:rsidRPr="004A1921">
        <w:rPr>
          <w:rFonts w:cs="Times New Roman"/>
        </w:rPr>
        <w:t>Dalley</w:t>
      </w:r>
      <w:proofErr w:type="spellEnd"/>
      <w:r w:rsidRPr="004A1921">
        <w:rPr>
          <w:rFonts w:cs="Times New Roman"/>
        </w:rPr>
        <w:t xml:space="preserve">, </w:t>
      </w:r>
      <w:r>
        <w:rPr>
          <w:rFonts w:cs="Times New Roman"/>
        </w:rPr>
        <w:t xml:space="preserve">Direct </w:t>
      </w:r>
      <w:r w:rsidRPr="004A1921">
        <w:rPr>
          <w:rFonts w:cs="Times New Roman"/>
        </w:rPr>
        <w:t>Exhibit No.__(</w:t>
      </w:r>
      <w:proofErr w:type="spellStart"/>
      <w:r w:rsidRPr="004A1921">
        <w:rPr>
          <w:rFonts w:cs="Times New Roman"/>
        </w:rPr>
        <w:t>RBD-1T</w:t>
      </w:r>
      <w:proofErr w:type="spellEnd"/>
      <w:r w:rsidRPr="004A1921">
        <w:rPr>
          <w:rFonts w:cs="Times New Roman"/>
        </w:rPr>
        <w:t>) at</w:t>
      </w:r>
      <w:r>
        <w:rPr>
          <w:rFonts w:cs="Times New Roman"/>
        </w:rPr>
        <w:t xml:space="preserve"> 6:10</w:t>
      </w:r>
    </w:p>
  </w:footnote>
  <w:footnote w:id="17">
    <w:p w14:paraId="575C2BE6" w14:textId="7AEE11A0" w:rsidR="009539E4" w:rsidRDefault="009539E4">
      <w:pPr>
        <w:pStyle w:val="FootnoteText"/>
      </w:pPr>
      <w:r>
        <w:rPr>
          <w:rStyle w:val="FootnoteReference"/>
        </w:rPr>
        <w:footnoteRef/>
      </w:r>
      <w:r w:rsidRPr="00027D28">
        <w:rPr>
          <w:i/>
        </w:rPr>
        <w:t xml:space="preserve"> Id.</w:t>
      </w:r>
    </w:p>
  </w:footnote>
  <w:footnote w:id="18">
    <w:p w14:paraId="452BB47D" w14:textId="54FF737C" w:rsidR="009539E4" w:rsidRPr="00635D04" w:rsidRDefault="009539E4" w:rsidP="00BA55A1">
      <w:pPr>
        <w:pStyle w:val="FootnoteText"/>
        <w:rPr>
          <w:rFonts w:cs="Times New Roman"/>
        </w:rPr>
      </w:pPr>
      <w:r>
        <w:rPr>
          <w:rStyle w:val="FootnoteReference"/>
        </w:rPr>
        <w:footnoteRef/>
      </w:r>
      <w:r>
        <w:t xml:space="preserve"> </w:t>
      </w:r>
      <w:r>
        <w:rPr>
          <w:rFonts w:cs="Times New Roman"/>
        </w:rPr>
        <w:t>Pacific Power’s response to Public Counsel Data Request 78 is attached as page 2 of Exhibit No.___(JLB-3)</w:t>
      </w:r>
    </w:p>
  </w:footnote>
  <w:footnote w:id="19">
    <w:p w14:paraId="249CE438" w14:textId="1AC29C03" w:rsidR="009539E4" w:rsidRPr="000361D2" w:rsidRDefault="009539E4">
      <w:pPr>
        <w:pStyle w:val="FootnoteText"/>
        <w:rPr>
          <w:rFonts w:cs="Times New Roman"/>
        </w:rPr>
      </w:pPr>
      <w:r>
        <w:rPr>
          <w:rStyle w:val="FootnoteReference"/>
        </w:rPr>
        <w:footnoteRef/>
      </w:r>
      <w:r>
        <w:t xml:space="preserve"> </w:t>
      </w:r>
      <w:proofErr w:type="spellStart"/>
      <w:r>
        <w:t>Siores</w:t>
      </w:r>
      <w:proofErr w:type="spellEnd"/>
      <w:r>
        <w:t xml:space="preserve"> Direct, Exhibit No.___(</w:t>
      </w:r>
      <w:proofErr w:type="spellStart"/>
      <w:r>
        <w:t>NCS-1T</w:t>
      </w:r>
      <w:proofErr w:type="spellEnd"/>
      <w:r>
        <w:t>) at 19:2-12</w:t>
      </w:r>
    </w:p>
  </w:footnote>
  <w:footnote w:id="20">
    <w:p w14:paraId="0C891A50" w14:textId="7A1E4A64" w:rsidR="009539E4" w:rsidRPr="004A1921" w:rsidRDefault="009539E4" w:rsidP="00285138">
      <w:pPr>
        <w:pStyle w:val="FootnoteText"/>
        <w:rPr>
          <w:rFonts w:cs="Times New Roman"/>
        </w:rPr>
      </w:pPr>
      <w:r w:rsidRPr="004A1921">
        <w:rPr>
          <w:rStyle w:val="FootnoteReference"/>
          <w:rFonts w:cs="Times New Roman"/>
        </w:rPr>
        <w:footnoteRef/>
      </w:r>
      <w:r w:rsidRPr="004A1921">
        <w:rPr>
          <w:rFonts w:cs="Times New Roman"/>
        </w:rPr>
        <w:t xml:space="preserve"> Pacific Power’s Response to Staff Data Request No. 12</w:t>
      </w:r>
    </w:p>
  </w:footnote>
  <w:footnote w:id="21">
    <w:p w14:paraId="05E2C8EB" w14:textId="3F6D664C" w:rsidR="009539E4" w:rsidRDefault="009539E4">
      <w:pPr>
        <w:pStyle w:val="FootnoteText"/>
      </w:pPr>
      <w:r>
        <w:rPr>
          <w:rStyle w:val="FootnoteReference"/>
        </w:rPr>
        <w:footnoteRef/>
      </w:r>
      <w:r>
        <w:t xml:space="preserve"> </w:t>
      </w:r>
      <w:proofErr w:type="spellStart"/>
      <w:r>
        <w:rPr>
          <w:i/>
        </w:rPr>
        <w:t>Utiliites</w:t>
      </w:r>
      <w:proofErr w:type="spellEnd"/>
      <w:r>
        <w:rPr>
          <w:i/>
        </w:rPr>
        <w:t xml:space="preserve"> and Transp. </w:t>
      </w:r>
      <w:proofErr w:type="spellStart"/>
      <w:r>
        <w:rPr>
          <w:i/>
        </w:rPr>
        <w:t>Comm’n</w:t>
      </w:r>
      <w:proofErr w:type="spellEnd"/>
      <w:r>
        <w:rPr>
          <w:i/>
        </w:rPr>
        <w:t xml:space="preserve"> v. Avista Utilities,</w:t>
      </w:r>
      <w:r>
        <w:t xml:space="preserve"> Docket UE-140188 et al., Testimony of Chris McGuire, Exhibit No.___ (CRM-1CT) at 7:9-20 (July 22, 2014)</w:t>
      </w:r>
    </w:p>
  </w:footnote>
  <w:footnote w:id="22">
    <w:p w14:paraId="114AAE3E" w14:textId="40458B0A" w:rsidR="009539E4" w:rsidRPr="004A1921" w:rsidRDefault="009539E4" w:rsidP="00285138">
      <w:pPr>
        <w:pStyle w:val="FootnoteText"/>
        <w:rPr>
          <w:rFonts w:cs="Times New Roman"/>
        </w:rPr>
      </w:pPr>
      <w:r w:rsidRPr="004A1921">
        <w:rPr>
          <w:rStyle w:val="FootnoteReference"/>
          <w:rFonts w:cs="Times New Roman"/>
        </w:rPr>
        <w:footnoteRef/>
      </w:r>
      <w:r w:rsidRPr="004A1921">
        <w:rPr>
          <w:rFonts w:cs="Times New Roman"/>
        </w:rPr>
        <w:t xml:space="preserve"> </w:t>
      </w:r>
      <w:proofErr w:type="spellStart"/>
      <w:r w:rsidRPr="004A1921">
        <w:rPr>
          <w:rFonts w:cs="Times New Roman"/>
        </w:rPr>
        <w:t>Dalley</w:t>
      </w:r>
      <w:proofErr w:type="spellEnd"/>
      <w:r w:rsidRPr="004A1921">
        <w:rPr>
          <w:rFonts w:cs="Times New Roman"/>
        </w:rPr>
        <w:t xml:space="preserve">, </w:t>
      </w:r>
      <w:r>
        <w:rPr>
          <w:rFonts w:cs="Times New Roman"/>
        </w:rPr>
        <w:t xml:space="preserve">Direct Exhibit No. ___ (RBD-1T) at </w:t>
      </w:r>
      <w:r w:rsidRPr="004A1921">
        <w:rPr>
          <w:rFonts w:cs="Times New Roman"/>
        </w:rPr>
        <w:t>10</w:t>
      </w:r>
      <w:r>
        <w:rPr>
          <w:rFonts w:cs="Times New Roman"/>
        </w:rPr>
        <w:t>:</w:t>
      </w:r>
      <w:r w:rsidRPr="004A1921">
        <w:rPr>
          <w:rFonts w:cs="Times New Roman"/>
        </w:rPr>
        <w:t xml:space="preserve">18 </w:t>
      </w:r>
      <w:r>
        <w:rPr>
          <w:rFonts w:cs="Times New Roman"/>
        </w:rPr>
        <w:t>– 11:</w:t>
      </w:r>
      <w:r w:rsidRPr="004A1921">
        <w:rPr>
          <w:rFonts w:cs="Times New Roman"/>
        </w:rPr>
        <w:t>7.</w:t>
      </w:r>
    </w:p>
  </w:footnote>
  <w:footnote w:id="23">
    <w:p w14:paraId="2E04A5FF" w14:textId="23E26E4E" w:rsidR="009539E4" w:rsidRPr="0007275F" w:rsidRDefault="009539E4">
      <w:pPr>
        <w:pStyle w:val="FootnoteText"/>
      </w:pPr>
      <w:r>
        <w:rPr>
          <w:rStyle w:val="FootnoteReference"/>
        </w:rPr>
        <w:footnoteRef/>
      </w:r>
      <w:r>
        <w:rPr>
          <w:rFonts w:cs="Times New Roman"/>
        </w:rPr>
        <w:t xml:space="preserve"> </w:t>
      </w:r>
      <w:proofErr w:type="spellStart"/>
      <w:r>
        <w:rPr>
          <w:rFonts w:cs="Times New Roman"/>
        </w:rPr>
        <w:t>Siores</w:t>
      </w:r>
      <w:proofErr w:type="spellEnd"/>
      <w:r>
        <w:rPr>
          <w:rFonts w:cs="Times New Roman"/>
        </w:rPr>
        <w:t xml:space="preserve">, </w:t>
      </w:r>
      <w:r w:rsidRPr="0007275F">
        <w:t>Exhibit No.___(</w:t>
      </w:r>
      <w:proofErr w:type="spellStart"/>
      <w:r w:rsidRPr="0007275F">
        <w:t>NCS-8C</w:t>
      </w:r>
      <w:proofErr w:type="spellEnd"/>
      <w:r w:rsidRPr="0007275F">
        <w:t>)</w:t>
      </w:r>
    </w:p>
  </w:footnote>
  <w:footnote w:id="24">
    <w:p w14:paraId="3D9D4F43" w14:textId="1E4DC25C" w:rsidR="009539E4" w:rsidRPr="004A1921" w:rsidRDefault="009539E4" w:rsidP="00285138">
      <w:pPr>
        <w:pStyle w:val="FootnoteText"/>
        <w:rPr>
          <w:rFonts w:cs="Times New Roman"/>
        </w:rPr>
      </w:pPr>
      <w:r w:rsidRPr="004A1921">
        <w:rPr>
          <w:rStyle w:val="FootnoteReference"/>
          <w:rFonts w:cs="Times New Roman"/>
        </w:rPr>
        <w:footnoteRef/>
      </w:r>
      <w:r w:rsidRPr="004A1921">
        <w:rPr>
          <w:rFonts w:cs="Times New Roman"/>
        </w:rPr>
        <w:t xml:space="preserve"> Pacific Power’s Respon</w:t>
      </w:r>
      <w:r>
        <w:rPr>
          <w:rFonts w:cs="Times New Roman"/>
        </w:rPr>
        <w:t>se to Staff Data Request No. 71 is attached as page 4 to Exhibit No.___(JLB-6C)</w:t>
      </w:r>
    </w:p>
  </w:footnote>
  <w:footnote w:id="25">
    <w:p w14:paraId="56F6936E" w14:textId="5F5DACFB" w:rsidR="009539E4" w:rsidRPr="004A1921" w:rsidRDefault="009539E4" w:rsidP="00285138">
      <w:pPr>
        <w:pStyle w:val="FootnoteText"/>
        <w:rPr>
          <w:rFonts w:cs="Times New Roman"/>
        </w:rPr>
      </w:pPr>
      <w:r w:rsidRPr="004A1921">
        <w:rPr>
          <w:rStyle w:val="FootnoteReference"/>
          <w:rFonts w:cs="Times New Roman"/>
        </w:rPr>
        <w:footnoteRef/>
      </w:r>
      <w:r w:rsidRPr="004A1921">
        <w:rPr>
          <w:rFonts w:cs="Times New Roman"/>
        </w:rPr>
        <w:t xml:space="preserve"> Pacific Power’s Response to Public Counsel Data Request No. 50.</w:t>
      </w:r>
    </w:p>
  </w:footnote>
  <w:footnote w:id="26">
    <w:p w14:paraId="5370E6DC" w14:textId="0C49DF18" w:rsidR="009539E4" w:rsidRPr="00503B29" w:rsidRDefault="009539E4">
      <w:pPr>
        <w:pStyle w:val="FootnoteText"/>
      </w:pPr>
      <w:r>
        <w:rPr>
          <w:rStyle w:val="FootnoteReference"/>
        </w:rPr>
        <w:footnoteRef/>
      </w:r>
      <w:r>
        <w:t xml:space="preserve"> </w:t>
      </w:r>
      <w:proofErr w:type="spellStart"/>
      <w:r>
        <w:rPr>
          <w:i/>
        </w:rPr>
        <w:t>Utiliites</w:t>
      </w:r>
      <w:proofErr w:type="spellEnd"/>
      <w:r>
        <w:rPr>
          <w:i/>
        </w:rPr>
        <w:t xml:space="preserve"> and Transp. </w:t>
      </w:r>
      <w:proofErr w:type="spellStart"/>
      <w:r>
        <w:rPr>
          <w:i/>
        </w:rPr>
        <w:t>Comm’n</w:t>
      </w:r>
      <w:proofErr w:type="spellEnd"/>
      <w:r>
        <w:rPr>
          <w:i/>
        </w:rPr>
        <w:t xml:space="preserve"> v. Pacific Power &amp; Light Co.,</w:t>
      </w:r>
      <w:r>
        <w:t xml:space="preserve"> Docket UE-130043, Testimony of Juliana Williams, Exhibit No.___ (JMW-1CT) at 5:18 – 6:3 (June 21, 2013)</w:t>
      </w:r>
    </w:p>
  </w:footnote>
  <w:footnote w:id="27">
    <w:p w14:paraId="5E361E7E" w14:textId="116F15A5" w:rsidR="009539E4" w:rsidRDefault="009539E4">
      <w:pPr>
        <w:pStyle w:val="FootnoteText"/>
      </w:pPr>
      <w:r>
        <w:rPr>
          <w:rStyle w:val="FootnoteReference"/>
        </w:rPr>
        <w:footnoteRef/>
      </w:r>
      <w:r>
        <w:t xml:space="preserve"> </w:t>
      </w:r>
      <w:proofErr w:type="spellStart"/>
      <w:r>
        <w:rPr>
          <w:i/>
        </w:rPr>
        <w:t>Utiliites</w:t>
      </w:r>
      <w:proofErr w:type="spellEnd"/>
      <w:r>
        <w:rPr>
          <w:i/>
        </w:rPr>
        <w:t xml:space="preserve"> and Transp. </w:t>
      </w:r>
      <w:proofErr w:type="spellStart"/>
      <w:r>
        <w:rPr>
          <w:i/>
        </w:rPr>
        <w:t>Comm’n</w:t>
      </w:r>
      <w:proofErr w:type="spellEnd"/>
      <w:r>
        <w:rPr>
          <w:i/>
        </w:rPr>
        <w:t xml:space="preserve"> v. Pacific Power &amp; Light Co.,</w:t>
      </w:r>
      <w:r>
        <w:t xml:space="preserve"> Docket UE-130043 Order 05 at ¶ 203 (December 14, 2013).</w:t>
      </w:r>
    </w:p>
  </w:footnote>
  <w:footnote w:id="28">
    <w:p w14:paraId="42EDD63C" w14:textId="32C6976E" w:rsidR="009539E4" w:rsidRDefault="009539E4">
      <w:pPr>
        <w:pStyle w:val="FootnoteText"/>
      </w:pPr>
      <w:r>
        <w:rPr>
          <w:rStyle w:val="FootnoteReference"/>
        </w:rPr>
        <w:footnoteRef/>
      </w:r>
      <w:r>
        <w:t xml:space="preserve"> </w:t>
      </w:r>
      <w:r>
        <w:rPr>
          <w:i/>
        </w:rPr>
        <w:t xml:space="preserve">Utilities and Transp. </w:t>
      </w:r>
      <w:proofErr w:type="spellStart"/>
      <w:r>
        <w:rPr>
          <w:i/>
        </w:rPr>
        <w:t>Comm’n</w:t>
      </w:r>
      <w:proofErr w:type="spellEnd"/>
      <w:r>
        <w:rPr>
          <w:i/>
        </w:rPr>
        <w:t xml:space="preserve"> v. Pacific Power &amp; Light Co.,</w:t>
      </w:r>
      <w:r>
        <w:t xml:space="preserve"> Docket UE-140617, Staff Opening Meeting Memo</w:t>
      </w:r>
    </w:p>
  </w:footnote>
  <w:footnote w:id="29">
    <w:p w14:paraId="4C82D7D9" w14:textId="5CAC3AE4" w:rsidR="009539E4" w:rsidRPr="004A1921" w:rsidRDefault="009539E4">
      <w:pPr>
        <w:pStyle w:val="FootnoteText"/>
        <w:rPr>
          <w:rFonts w:cs="Times New Roman"/>
        </w:rPr>
      </w:pPr>
      <w:r w:rsidRPr="004A1921">
        <w:rPr>
          <w:rStyle w:val="FootnoteReference"/>
          <w:rFonts w:cs="Times New Roman"/>
        </w:rPr>
        <w:footnoteRef/>
      </w:r>
      <w:r w:rsidRPr="004A1921">
        <w:rPr>
          <w:rFonts w:cs="Times New Roman"/>
        </w:rPr>
        <w:t xml:space="preserve"> </w:t>
      </w:r>
      <w:proofErr w:type="spellStart"/>
      <w:r>
        <w:rPr>
          <w:i/>
        </w:rPr>
        <w:t>Utiliites</w:t>
      </w:r>
      <w:proofErr w:type="spellEnd"/>
      <w:r>
        <w:rPr>
          <w:i/>
        </w:rPr>
        <w:t xml:space="preserve"> and Transp. </w:t>
      </w:r>
      <w:proofErr w:type="spellStart"/>
      <w:r>
        <w:rPr>
          <w:i/>
        </w:rPr>
        <w:t>Comm’n</w:t>
      </w:r>
      <w:proofErr w:type="spellEnd"/>
      <w:r>
        <w:rPr>
          <w:i/>
        </w:rPr>
        <w:t xml:space="preserve"> v. Puget Sound Energy,</w:t>
      </w:r>
      <w:r>
        <w:t xml:space="preserve"> Docket UE-</w:t>
      </w:r>
      <w:r w:rsidRPr="004A1921">
        <w:rPr>
          <w:rFonts w:cs="Times New Roman"/>
        </w:rPr>
        <w:t>031725</w:t>
      </w:r>
      <w:r>
        <w:rPr>
          <w:rFonts w:cs="Times New Roman"/>
        </w:rPr>
        <w:t xml:space="preserve">, </w:t>
      </w:r>
      <w:r w:rsidRPr="004A1921">
        <w:rPr>
          <w:rFonts w:cs="Times New Roman"/>
        </w:rPr>
        <w:t xml:space="preserve">Order 12 at </w:t>
      </w:r>
      <w:r>
        <w:rPr>
          <w:rFonts w:cs="Times New Roman"/>
        </w:rPr>
        <w:t>¶19, (April 7, 2004).</w:t>
      </w:r>
    </w:p>
  </w:footnote>
  <w:footnote w:id="30">
    <w:p w14:paraId="529F8775" w14:textId="16582CFB" w:rsidR="009539E4" w:rsidRPr="004A1921" w:rsidRDefault="009539E4" w:rsidP="00750520">
      <w:pPr>
        <w:pStyle w:val="FootnoteText"/>
        <w:rPr>
          <w:rFonts w:cs="Times New Roman"/>
        </w:rPr>
      </w:pPr>
      <w:r w:rsidRPr="004A1921">
        <w:rPr>
          <w:rStyle w:val="FootnoteReference"/>
          <w:rFonts w:cs="Times New Roman"/>
        </w:rPr>
        <w:footnoteRef/>
      </w:r>
      <w:r w:rsidRPr="004A1921">
        <w:rPr>
          <w:rFonts w:cs="Times New Roman"/>
        </w:rPr>
        <w:t xml:space="preserve"> </w:t>
      </w:r>
      <w:proofErr w:type="spellStart"/>
      <w:r>
        <w:rPr>
          <w:i/>
        </w:rPr>
        <w:t>Utiliites</w:t>
      </w:r>
      <w:proofErr w:type="spellEnd"/>
      <w:r>
        <w:rPr>
          <w:i/>
        </w:rPr>
        <w:t xml:space="preserve"> and Transp. </w:t>
      </w:r>
      <w:proofErr w:type="spellStart"/>
      <w:r>
        <w:rPr>
          <w:i/>
        </w:rPr>
        <w:t>Comm’n</w:t>
      </w:r>
      <w:proofErr w:type="spellEnd"/>
      <w:r>
        <w:rPr>
          <w:i/>
        </w:rPr>
        <w:t xml:space="preserve"> v. Pacific Power &amp; Light Co.,</w:t>
      </w:r>
      <w:r>
        <w:t xml:space="preserve"> Docket UE-130043 Exhibit No.___ (JMW-1CT) at </w:t>
      </w:r>
      <w:r w:rsidRPr="004A1921">
        <w:rPr>
          <w:rFonts w:cs="Times New Roman"/>
        </w:rPr>
        <w:t>8:17-9:5</w:t>
      </w:r>
      <w:r>
        <w:t xml:space="preserve"> (June 21, 2013)</w:t>
      </w:r>
    </w:p>
  </w:footnote>
  <w:footnote w:id="31">
    <w:p w14:paraId="7072C203" w14:textId="6D2FAB74" w:rsidR="009539E4" w:rsidRPr="004A1921" w:rsidRDefault="009539E4" w:rsidP="00B24099">
      <w:pPr>
        <w:pStyle w:val="FootnoteText"/>
        <w:rPr>
          <w:rFonts w:cs="Times New Roman"/>
        </w:rPr>
      </w:pPr>
      <w:r w:rsidRPr="004A1921">
        <w:rPr>
          <w:rStyle w:val="FootnoteReference"/>
          <w:rFonts w:cs="Times New Roman"/>
        </w:rPr>
        <w:footnoteRef/>
      </w:r>
      <w:r w:rsidRPr="004A1921">
        <w:rPr>
          <w:rFonts w:cs="Times New Roman"/>
        </w:rPr>
        <w:t xml:space="preserve"> </w:t>
      </w:r>
      <w:r>
        <w:rPr>
          <w:rFonts w:cs="Times New Roman"/>
        </w:rPr>
        <w:t>Tallman Direct Exhibit No.___(MRT-1T) at 3:2</w:t>
      </w:r>
    </w:p>
  </w:footnote>
  <w:footnote w:id="32">
    <w:p w14:paraId="2F33EF56" w14:textId="1D7AB91A" w:rsidR="009539E4" w:rsidRDefault="009539E4">
      <w:pPr>
        <w:pStyle w:val="FootnoteText"/>
      </w:pPr>
      <w:r>
        <w:rPr>
          <w:rStyle w:val="FootnoteReference"/>
        </w:rPr>
        <w:footnoteRef/>
      </w:r>
      <w:r>
        <w:t xml:space="preserve"> Tallman Direct Exhibit No.___(MRT-1T) at 2:5-8</w:t>
      </w:r>
    </w:p>
  </w:footnote>
  <w:footnote w:id="33">
    <w:p w14:paraId="3AD81D61" w14:textId="54069374" w:rsidR="009539E4" w:rsidRDefault="009539E4">
      <w:pPr>
        <w:pStyle w:val="FootnoteText"/>
      </w:pPr>
      <w:r>
        <w:rPr>
          <w:rStyle w:val="FootnoteReference"/>
        </w:rPr>
        <w:footnoteRef/>
      </w:r>
      <w:r>
        <w:t xml:space="preserve"> Pacific Power response to Staff Data Request 78, Confidential Attachment and Pacific Power Response to Staff Data Request 81, Confidential Attachment.  </w:t>
      </w:r>
    </w:p>
  </w:footnote>
  <w:footnote w:id="34">
    <w:p w14:paraId="1C61FF06" w14:textId="565CE28E" w:rsidR="009539E4" w:rsidRDefault="009539E4">
      <w:pPr>
        <w:pStyle w:val="FootnoteText"/>
      </w:pPr>
      <w:r>
        <w:rPr>
          <w:rStyle w:val="FootnoteReference"/>
        </w:rPr>
        <w:footnoteRef/>
      </w:r>
      <w:r>
        <w:t xml:space="preserve"> Pacific Power response to Staff Data Request 78, Confidential Attachment</w:t>
      </w:r>
    </w:p>
  </w:footnote>
  <w:footnote w:id="35">
    <w:p w14:paraId="57CF2CCD" w14:textId="0F5CA514" w:rsidR="009539E4" w:rsidRPr="004A1921" w:rsidRDefault="009539E4" w:rsidP="00282CD3">
      <w:pPr>
        <w:pStyle w:val="FootnoteText"/>
        <w:rPr>
          <w:rFonts w:cs="Times New Roman"/>
        </w:rPr>
      </w:pPr>
      <w:r w:rsidRPr="004A1921">
        <w:rPr>
          <w:rStyle w:val="FootnoteReference"/>
          <w:rFonts w:cs="Times New Roman"/>
        </w:rPr>
        <w:footnoteRef/>
      </w:r>
      <w:r w:rsidRPr="004A1921">
        <w:rPr>
          <w:rFonts w:cs="Times New Roman"/>
        </w:rPr>
        <w:t xml:space="preserve"> </w:t>
      </w:r>
      <w:r w:rsidRPr="004A1921">
        <w:rPr>
          <w:rFonts w:cs="Times New Roman"/>
          <w:i/>
        </w:rPr>
        <w:t xml:space="preserve">Utilities &amp; Transp. </w:t>
      </w:r>
      <w:proofErr w:type="spellStart"/>
      <w:r w:rsidRPr="004A1921">
        <w:rPr>
          <w:rFonts w:cs="Times New Roman"/>
          <w:i/>
        </w:rPr>
        <w:t>Comm’n</w:t>
      </w:r>
      <w:proofErr w:type="spellEnd"/>
      <w:r w:rsidRPr="004A1921">
        <w:rPr>
          <w:rFonts w:cs="Times New Roman"/>
          <w:i/>
        </w:rPr>
        <w:t xml:space="preserve"> v. P</w:t>
      </w:r>
      <w:r>
        <w:rPr>
          <w:rFonts w:cs="Times New Roman"/>
          <w:i/>
        </w:rPr>
        <w:t>uget Sound Energy, Inc.</w:t>
      </w:r>
      <w:r w:rsidRPr="004A1921">
        <w:rPr>
          <w:rFonts w:cs="Times New Roman"/>
          <w:i/>
        </w:rPr>
        <w:t xml:space="preserve">, </w:t>
      </w:r>
      <w:r w:rsidRPr="004A1921">
        <w:rPr>
          <w:rFonts w:cs="Times New Roman"/>
        </w:rPr>
        <w:t>Docket UE-060266, Order 08 ¶ 51 (January 5, 2007)</w:t>
      </w:r>
    </w:p>
  </w:footnote>
  <w:footnote w:id="36">
    <w:p w14:paraId="2CD5865E" w14:textId="611E25EE" w:rsidR="009539E4" w:rsidRPr="004A1921" w:rsidRDefault="009539E4" w:rsidP="005D3E43">
      <w:pPr>
        <w:pStyle w:val="FootnoteText"/>
        <w:rPr>
          <w:rFonts w:cs="Times New Roman"/>
        </w:rPr>
      </w:pPr>
      <w:r w:rsidRPr="004A1921">
        <w:rPr>
          <w:rStyle w:val="FootnoteReference"/>
          <w:rFonts w:cs="Times New Roman"/>
        </w:rPr>
        <w:footnoteRef/>
      </w:r>
      <w:r w:rsidRPr="004A1921">
        <w:rPr>
          <w:rFonts w:cs="Times New Roman"/>
        </w:rPr>
        <w:t xml:space="preserve"> </w:t>
      </w:r>
      <w:r w:rsidRPr="004A1921">
        <w:rPr>
          <w:rFonts w:cs="Times New Roman"/>
          <w:i/>
        </w:rPr>
        <w:t>Utilities &amp; Transportation. Commission v. Puget Sound Energy, Inc.,</w:t>
      </w:r>
      <w:r w:rsidRPr="004A1921">
        <w:rPr>
          <w:rFonts w:cs="Times New Roman"/>
        </w:rPr>
        <w:t xml:space="preserve"> Docket No</w:t>
      </w:r>
      <w:r>
        <w:rPr>
          <w:rFonts w:cs="Times New Roman"/>
        </w:rPr>
        <w:t>s</w:t>
      </w:r>
      <w:r w:rsidRPr="004A1921">
        <w:rPr>
          <w:rFonts w:cs="Times New Roman"/>
        </w:rPr>
        <w:t>. UE-060266 and UG-060267– Order 08 at ¶47 and footnote 33 (January 5, 2007)</w:t>
      </w:r>
      <w:r>
        <w:rPr>
          <w:rFonts w:cs="Times New Roman"/>
        </w:rPr>
        <w:t>.</w:t>
      </w:r>
    </w:p>
  </w:footnote>
  <w:footnote w:id="37">
    <w:p w14:paraId="1C476824" w14:textId="1D8E139C" w:rsidR="009539E4" w:rsidRPr="00755865" w:rsidRDefault="009539E4" w:rsidP="00B24099">
      <w:pPr>
        <w:pStyle w:val="FootnoteText"/>
        <w:rPr>
          <w:rFonts w:cs="Times New Roman"/>
        </w:rPr>
      </w:pPr>
      <w:r w:rsidRPr="004A1921">
        <w:rPr>
          <w:rStyle w:val="FootnoteReference"/>
          <w:rFonts w:cs="Times New Roman"/>
        </w:rPr>
        <w:footnoteRef/>
      </w:r>
      <w:r w:rsidRPr="004A1921">
        <w:rPr>
          <w:rFonts w:cs="Times New Roman"/>
        </w:rPr>
        <w:t xml:space="preserve"> </w:t>
      </w:r>
      <w:r>
        <w:rPr>
          <w:rFonts w:cs="Times New Roman"/>
          <w:i/>
        </w:rPr>
        <w:t xml:space="preserve">Petition of Avista Corp. For an </w:t>
      </w:r>
      <w:proofErr w:type="spellStart"/>
      <w:r>
        <w:rPr>
          <w:rFonts w:cs="Times New Roman"/>
          <w:i/>
        </w:rPr>
        <w:t>Accoutning</w:t>
      </w:r>
      <w:proofErr w:type="spellEnd"/>
      <w:r>
        <w:rPr>
          <w:rFonts w:cs="Times New Roman"/>
          <w:i/>
        </w:rPr>
        <w:t xml:space="preserve"> Order to Defer Costs Related to Improving Dissolved Oxygen Levels in Lake Spokane, </w:t>
      </w:r>
      <w:r>
        <w:rPr>
          <w:rFonts w:cs="Times New Roman"/>
        </w:rPr>
        <w:t xml:space="preserve">Docket No. UE-131576, Order 01 (September 26, 2013). </w:t>
      </w:r>
    </w:p>
  </w:footnote>
  <w:footnote w:id="38">
    <w:p w14:paraId="7A72E14D" w14:textId="77777777" w:rsidR="009539E4" w:rsidRPr="004A1921" w:rsidRDefault="009539E4" w:rsidP="00B24099">
      <w:pPr>
        <w:pStyle w:val="FootnoteText"/>
        <w:rPr>
          <w:rFonts w:cs="Times New Roman"/>
        </w:rPr>
      </w:pPr>
      <w:r w:rsidRPr="004A1921">
        <w:rPr>
          <w:rStyle w:val="FootnoteReference"/>
          <w:rFonts w:cs="Times New Roman"/>
        </w:rPr>
        <w:footnoteRef/>
      </w:r>
      <w:r w:rsidRPr="004A1921">
        <w:rPr>
          <w:rFonts w:cs="Times New Roman"/>
        </w:rPr>
        <w:t xml:space="preserve"> Avista was operating under a stay-out period d</w:t>
      </w:r>
      <w:r>
        <w:rPr>
          <w:rFonts w:cs="Times New Roman"/>
        </w:rPr>
        <w:t xml:space="preserve">uring the time of the deferral and therefore could not present a rate proceeding, such as an ERF or GRC, to include the costs.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A466058"/>
    <w:lvl w:ilvl="0">
      <w:start w:val="1"/>
      <w:numFmt w:val="bullet"/>
      <w:lvlText w:val=""/>
      <w:lvlJc w:val="left"/>
      <w:pPr>
        <w:tabs>
          <w:tab w:val="num" w:pos="4140"/>
        </w:tabs>
        <w:ind w:left="4140" w:hanging="360"/>
      </w:pPr>
      <w:rPr>
        <w:rFonts w:ascii="Symbol" w:hAnsi="Symbol" w:hint="default"/>
      </w:rPr>
    </w:lvl>
  </w:abstractNum>
  <w:abstractNum w:abstractNumId="1">
    <w:nsid w:val="FFFFFF89"/>
    <w:multiLevelType w:val="singleLevel"/>
    <w:tmpl w:val="222C75D4"/>
    <w:lvl w:ilvl="0">
      <w:start w:val="1"/>
      <w:numFmt w:val="bullet"/>
      <w:lvlText w:val=""/>
      <w:lvlJc w:val="left"/>
      <w:pPr>
        <w:tabs>
          <w:tab w:val="num" w:pos="360"/>
        </w:tabs>
        <w:ind w:left="360" w:hanging="360"/>
      </w:pPr>
      <w:rPr>
        <w:rFonts w:ascii="Symbol" w:hAnsi="Symbol" w:hint="default"/>
      </w:rPr>
    </w:lvl>
  </w:abstractNum>
  <w:abstractNum w:abstractNumId="2">
    <w:nsid w:val="04393249"/>
    <w:multiLevelType w:val="hybridMultilevel"/>
    <w:tmpl w:val="9DBA8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10717D"/>
    <w:multiLevelType w:val="hybridMultilevel"/>
    <w:tmpl w:val="37CABC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6081170"/>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nsid w:val="0AC850D8"/>
    <w:multiLevelType w:val="hybridMultilevel"/>
    <w:tmpl w:val="938CD05C"/>
    <w:lvl w:ilvl="0" w:tplc="14BA9598">
      <w:start w:val="1"/>
      <w:numFmt w:val="upperRoman"/>
      <w:lvlText w:val="%1"/>
      <w:lvlJc w:val="righ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0E1690"/>
    <w:multiLevelType w:val="hybridMultilevel"/>
    <w:tmpl w:val="A43E638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D923E46"/>
    <w:multiLevelType w:val="hybridMultilevel"/>
    <w:tmpl w:val="B9162D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DA65238"/>
    <w:multiLevelType w:val="hybridMultilevel"/>
    <w:tmpl w:val="E6F01A06"/>
    <w:lvl w:ilvl="0" w:tplc="2FC4F3C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3C8053A"/>
    <w:multiLevelType w:val="hybridMultilevel"/>
    <w:tmpl w:val="5F7EC4A4"/>
    <w:lvl w:ilvl="0" w:tplc="5FEE913A">
      <w:start w:val="1"/>
      <w:numFmt w:val="lowerRoman"/>
      <w:lvlText w:val="(%1)"/>
      <w:lvlJc w:val="right"/>
      <w:pPr>
        <w:ind w:left="2880" w:hanging="360"/>
      </w:pPr>
      <w:rPr>
        <w:rFonts w:ascii="Times New Roman" w:eastAsiaTheme="minorHAnsi" w:hAnsi="Times New Roman" w:cs="Times New Roman"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16057ED4"/>
    <w:multiLevelType w:val="multilevel"/>
    <w:tmpl w:val="612C4F88"/>
    <w:numStyleLink w:val="TestimonyStyle"/>
  </w:abstractNum>
  <w:abstractNum w:abstractNumId="11">
    <w:nsid w:val="1F302036"/>
    <w:multiLevelType w:val="hybridMultilevel"/>
    <w:tmpl w:val="DE32E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106D9A"/>
    <w:multiLevelType w:val="multilevel"/>
    <w:tmpl w:val="2D9C4916"/>
    <w:lvl w:ilvl="0">
      <w:start w:val="1"/>
      <w:numFmt w:val="upperRoman"/>
      <w:lvlText w:val="%1"/>
      <w:lvlJc w:val="right"/>
      <w:pPr>
        <w:ind w:left="360" w:hanging="72"/>
      </w:pPr>
      <w:rPr>
        <w:rFonts w:hint="default"/>
      </w:rPr>
    </w:lvl>
    <w:lvl w:ilvl="1">
      <w:start w:val="1"/>
      <w:numFmt w:val="lowerLetter"/>
      <w:lvlText w:val="%2)"/>
      <w:lvlJc w:val="left"/>
      <w:pPr>
        <w:ind w:left="432" w:hanging="72"/>
      </w:pPr>
      <w:rPr>
        <w:rFonts w:hint="default"/>
      </w:rPr>
    </w:lvl>
    <w:lvl w:ilvl="2">
      <w:start w:val="1"/>
      <w:numFmt w:val="lowerRoman"/>
      <w:lvlText w:val="%3)"/>
      <w:lvlJc w:val="left"/>
      <w:pPr>
        <w:ind w:left="504" w:hanging="72"/>
      </w:pPr>
      <w:rPr>
        <w:rFonts w:hint="default"/>
      </w:rPr>
    </w:lvl>
    <w:lvl w:ilvl="3">
      <w:start w:val="1"/>
      <w:numFmt w:val="decimal"/>
      <w:lvlText w:val="(%4)"/>
      <w:lvlJc w:val="left"/>
      <w:pPr>
        <w:ind w:left="576" w:hanging="72"/>
      </w:pPr>
      <w:rPr>
        <w:rFonts w:hint="default"/>
      </w:rPr>
    </w:lvl>
    <w:lvl w:ilvl="4">
      <w:start w:val="1"/>
      <w:numFmt w:val="lowerLetter"/>
      <w:lvlText w:val="(%5)"/>
      <w:lvlJc w:val="left"/>
      <w:pPr>
        <w:ind w:left="648" w:hanging="72"/>
      </w:pPr>
      <w:rPr>
        <w:rFonts w:hint="default"/>
      </w:rPr>
    </w:lvl>
    <w:lvl w:ilvl="5">
      <w:start w:val="1"/>
      <w:numFmt w:val="lowerRoman"/>
      <w:lvlText w:val="(%6)"/>
      <w:lvlJc w:val="left"/>
      <w:pPr>
        <w:ind w:left="720" w:hanging="72"/>
      </w:pPr>
      <w:rPr>
        <w:rFonts w:hint="default"/>
      </w:rPr>
    </w:lvl>
    <w:lvl w:ilvl="6">
      <w:start w:val="1"/>
      <w:numFmt w:val="decimal"/>
      <w:lvlText w:val="%7."/>
      <w:lvlJc w:val="left"/>
      <w:pPr>
        <w:ind w:left="792" w:hanging="72"/>
      </w:pPr>
      <w:rPr>
        <w:rFonts w:hint="default"/>
      </w:rPr>
    </w:lvl>
    <w:lvl w:ilvl="7">
      <w:start w:val="1"/>
      <w:numFmt w:val="lowerLetter"/>
      <w:lvlText w:val="%8."/>
      <w:lvlJc w:val="left"/>
      <w:pPr>
        <w:ind w:left="864" w:hanging="72"/>
      </w:pPr>
      <w:rPr>
        <w:rFonts w:hint="default"/>
      </w:rPr>
    </w:lvl>
    <w:lvl w:ilvl="8">
      <w:start w:val="1"/>
      <w:numFmt w:val="lowerRoman"/>
      <w:lvlText w:val="%9."/>
      <w:lvlJc w:val="left"/>
      <w:pPr>
        <w:ind w:left="936" w:hanging="72"/>
      </w:pPr>
      <w:rPr>
        <w:rFonts w:hint="default"/>
      </w:rPr>
    </w:lvl>
  </w:abstractNum>
  <w:abstractNum w:abstractNumId="13">
    <w:nsid w:val="28946125"/>
    <w:multiLevelType w:val="hybridMultilevel"/>
    <w:tmpl w:val="39CE0C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D3A4233"/>
    <w:multiLevelType w:val="hybridMultilevel"/>
    <w:tmpl w:val="2F2E41DA"/>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5C6644E2">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5">
    <w:nsid w:val="2EFC3860"/>
    <w:multiLevelType w:val="hybridMultilevel"/>
    <w:tmpl w:val="471EDDEA"/>
    <w:lvl w:ilvl="0" w:tplc="2B0CC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FE66B7"/>
    <w:multiLevelType w:val="hybridMultilevel"/>
    <w:tmpl w:val="BF80158E"/>
    <w:lvl w:ilvl="0" w:tplc="31F602D6">
      <w:start w:val="1"/>
      <w:numFmt w:val="upperRoman"/>
      <w:lvlText w:val="%1"/>
      <w:lvlJc w:val="right"/>
      <w:pPr>
        <w:ind w:left="720" w:hanging="360"/>
      </w:pPr>
      <w:rPr>
        <w:rFonts w:ascii="Times New Roman" w:hAnsi="Times New Roman" w:hint="default"/>
        <w:sz w:val="24"/>
      </w:rPr>
    </w:lvl>
    <w:lvl w:ilvl="1" w:tplc="66507B8C">
      <w:start w:val="1"/>
      <w:numFmt w:val="lowerRoman"/>
      <w:lvlText w:val="(%2)"/>
      <w:lvlJc w:val="right"/>
      <w:pPr>
        <w:ind w:left="153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96347F"/>
    <w:multiLevelType w:val="hybridMultilevel"/>
    <w:tmpl w:val="9468F6C2"/>
    <w:lvl w:ilvl="0" w:tplc="0B24D90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3B1A35"/>
    <w:multiLevelType w:val="hybridMultilevel"/>
    <w:tmpl w:val="9EE06D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6F97157"/>
    <w:multiLevelType w:val="hybridMultilevel"/>
    <w:tmpl w:val="BFAA8E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70B459E"/>
    <w:multiLevelType w:val="hybridMultilevel"/>
    <w:tmpl w:val="904AE1EA"/>
    <w:lvl w:ilvl="0" w:tplc="88C471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98D6302"/>
    <w:multiLevelType w:val="hybridMultilevel"/>
    <w:tmpl w:val="3C3632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CBA4DCA"/>
    <w:multiLevelType w:val="hybridMultilevel"/>
    <w:tmpl w:val="EE48D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EB96603"/>
    <w:multiLevelType w:val="hybridMultilevel"/>
    <w:tmpl w:val="B9162D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0BB4B67"/>
    <w:multiLevelType w:val="hybridMultilevel"/>
    <w:tmpl w:val="FAAC3106"/>
    <w:lvl w:ilvl="0" w:tplc="F3743AE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F746E2"/>
    <w:multiLevelType w:val="hybridMultilevel"/>
    <w:tmpl w:val="2CDA1A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C283606"/>
    <w:multiLevelType w:val="hybridMultilevel"/>
    <w:tmpl w:val="A0541DD0"/>
    <w:lvl w:ilvl="0" w:tplc="A60A622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F9E6B22"/>
    <w:multiLevelType w:val="multilevel"/>
    <w:tmpl w:val="904AE1E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64820D45"/>
    <w:multiLevelType w:val="hybridMultilevel"/>
    <w:tmpl w:val="3CC6F992"/>
    <w:lvl w:ilvl="0" w:tplc="04090011">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9">
    <w:nsid w:val="64F9703C"/>
    <w:multiLevelType w:val="hybridMultilevel"/>
    <w:tmpl w:val="913EA23C"/>
    <w:lvl w:ilvl="0" w:tplc="6BCE30DE">
      <w:start w:val="1"/>
      <w:numFmt w:val="decimal"/>
      <w:lvlText w:val="%1)"/>
      <w:lvlJc w:val="left"/>
      <w:pPr>
        <w:tabs>
          <w:tab w:val="num" w:pos="-1800"/>
        </w:tabs>
        <w:ind w:left="-1800" w:hanging="360"/>
      </w:pPr>
      <w:rPr>
        <w:rFonts w:ascii="Times New Roman" w:hAnsi="Times New Roman" w:cs="Times New Roman" w:hint="default"/>
        <w:b w:val="0"/>
        <w:sz w:val="24"/>
        <w:szCs w:val="24"/>
        <w:vertAlign w:val="baseline"/>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30">
    <w:nsid w:val="663D7F54"/>
    <w:multiLevelType w:val="multilevel"/>
    <w:tmpl w:val="E52EA9CE"/>
    <w:lvl w:ilvl="0">
      <w:start w:val="1"/>
      <w:numFmt w:val="upperRoman"/>
      <w:lvlText w:val="%1."/>
      <w:lvlJc w:val="right"/>
      <w:pPr>
        <w:ind w:left="0" w:firstLine="288"/>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nsid w:val="6E656BAB"/>
    <w:multiLevelType w:val="hybridMultilevel"/>
    <w:tmpl w:val="1478B53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FC81598"/>
    <w:multiLevelType w:val="multilevel"/>
    <w:tmpl w:val="612C4F88"/>
    <w:styleLink w:val="TestimonyStyle"/>
    <w:lvl w:ilvl="0">
      <w:start w:val="1"/>
      <w:numFmt w:val="upperRoman"/>
      <w:pStyle w:val="Heading1"/>
      <w:lvlText w:val="%1."/>
      <w:lvlJc w:val="left"/>
      <w:pPr>
        <w:ind w:left="360" w:hanging="360"/>
      </w:pPr>
      <w:rPr>
        <w:rFonts w:ascii="Times New Roman" w:hAnsi="Times New Roman" w:hint="default"/>
        <w:b/>
        <w:sz w:val="24"/>
      </w:rPr>
    </w:lvl>
    <w:lvl w:ilvl="1">
      <w:start w:val="1"/>
      <w:numFmt w:val="upperLetter"/>
      <w:lvlText w:val="%2."/>
      <w:lvlJc w:val="left"/>
      <w:pPr>
        <w:ind w:left="-1710" w:hanging="360"/>
      </w:pPr>
      <w:rPr>
        <w:rFonts w:ascii="Times New Roman" w:hAnsi="Times New Roman" w:hint="default"/>
        <w:b/>
        <w:sz w:val="24"/>
      </w:rPr>
    </w:lvl>
    <w:lvl w:ilvl="2">
      <w:start w:val="1"/>
      <w:numFmt w:val="lowerRoman"/>
      <w:lvlText w:val="%3."/>
      <w:lvlJc w:val="right"/>
      <w:pPr>
        <w:ind w:left="-990" w:hanging="180"/>
      </w:pPr>
    </w:lvl>
    <w:lvl w:ilvl="3">
      <w:start w:val="1"/>
      <w:numFmt w:val="decimal"/>
      <w:lvlText w:val="%4."/>
      <w:lvlJc w:val="left"/>
      <w:pPr>
        <w:ind w:left="-270" w:hanging="360"/>
      </w:pPr>
    </w:lvl>
    <w:lvl w:ilvl="4">
      <w:start w:val="1"/>
      <w:numFmt w:val="lowerLetter"/>
      <w:lvlText w:val="%5."/>
      <w:lvlJc w:val="left"/>
      <w:pPr>
        <w:ind w:left="450" w:hanging="360"/>
      </w:pPr>
    </w:lvl>
    <w:lvl w:ilvl="5">
      <w:start w:val="1"/>
      <w:numFmt w:val="lowerRoman"/>
      <w:lvlText w:val="%6."/>
      <w:lvlJc w:val="right"/>
      <w:pPr>
        <w:ind w:left="1170" w:hanging="180"/>
      </w:pPr>
    </w:lvl>
    <w:lvl w:ilvl="6">
      <w:start w:val="1"/>
      <w:numFmt w:val="decimal"/>
      <w:lvlText w:val="%7."/>
      <w:lvlJc w:val="left"/>
      <w:pPr>
        <w:ind w:left="1890" w:hanging="360"/>
      </w:pPr>
    </w:lvl>
    <w:lvl w:ilvl="7">
      <w:start w:val="1"/>
      <w:numFmt w:val="lowerLetter"/>
      <w:lvlText w:val="%8."/>
      <w:lvlJc w:val="left"/>
      <w:pPr>
        <w:ind w:left="2610" w:hanging="360"/>
      </w:pPr>
    </w:lvl>
    <w:lvl w:ilvl="8">
      <w:start w:val="1"/>
      <w:numFmt w:val="lowerRoman"/>
      <w:lvlText w:val="%9."/>
      <w:lvlJc w:val="right"/>
      <w:pPr>
        <w:ind w:left="3330" w:hanging="180"/>
      </w:pPr>
    </w:lvl>
  </w:abstractNum>
  <w:abstractNum w:abstractNumId="33">
    <w:nsid w:val="73B71023"/>
    <w:multiLevelType w:val="hybridMultilevel"/>
    <w:tmpl w:val="A24255B8"/>
    <w:lvl w:ilvl="0" w:tplc="2B0CC94E">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6880895"/>
    <w:multiLevelType w:val="hybridMultilevel"/>
    <w:tmpl w:val="D144AC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7"/>
  </w:num>
  <w:num w:numId="3">
    <w:abstractNumId w:val="28"/>
  </w:num>
  <w:num w:numId="4">
    <w:abstractNumId w:val="17"/>
    <w:lvlOverride w:ilvl="0">
      <w:startOverride w:val="1"/>
    </w:lvlOverride>
  </w:num>
  <w:num w:numId="5">
    <w:abstractNumId w:val="10"/>
    <w:lvlOverride w:ilvl="0">
      <w:lvl w:ilvl="0">
        <w:start w:val="1"/>
        <w:numFmt w:val="upperRoman"/>
        <w:pStyle w:val="Heading1"/>
        <w:lvlText w:val="%1."/>
        <w:lvlJc w:val="righ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upperLetter"/>
        <w:lvlText w:val="%2."/>
        <w:lvlJc w:val="left"/>
        <w:pPr>
          <w:ind w:left="-1710" w:hanging="360"/>
        </w:pPr>
        <w:rPr>
          <w:rFonts w:ascii="Times New Roman" w:hAnsi="Times New Roman" w:hint="default"/>
          <w:b/>
          <w:sz w:val="24"/>
        </w:rPr>
      </w:lvl>
    </w:lvlOverride>
    <w:lvlOverride w:ilvl="2">
      <w:lvl w:ilvl="2">
        <w:start w:val="1"/>
        <w:numFmt w:val="lowerRoman"/>
        <w:lvlText w:val="%3."/>
        <w:lvlJc w:val="right"/>
        <w:pPr>
          <w:ind w:left="-990" w:hanging="180"/>
        </w:pPr>
        <w:rPr>
          <w:rFonts w:hint="default"/>
        </w:rPr>
      </w:lvl>
    </w:lvlOverride>
    <w:lvlOverride w:ilvl="3">
      <w:lvl w:ilvl="3">
        <w:start w:val="1"/>
        <w:numFmt w:val="decimal"/>
        <w:lvlText w:val="%4."/>
        <w:lvlJc w:val="left"/>
        <w:pPr>
          <w:ind w:left="-270" w:hanging="360"/>
        </w:pPr>
        <w:rPr>
          <w:rFonts w:hint="default"/>
        </w:rPr>
      </w:lvl>
    </w:lvlOverride>
    <w:lvlOverride w:ilvl="4">
      <w:lvl w:ilvl="4">
        <w:start w:val="1"/>
        <w:numFmt w:val="lowerLetter"/>
        <w:lvlText w:val="%5."/>
        <w:lvlJc w:val="left"/>
        <w:pPr>
          <w:ind w:left="450" w:hanging="360"/>
        </w:pPr>
        <w:rPr>
          <w:rFonts w:hint="default"/>
        </w:rPr>
      </w:lvl>
    </w:lvlOverride>
    <w:lvlOverride w:ilvl="5">
      <w:lvl w:ilvl="5">
        <w:start w:val="1"/>
        <w:numFmt w:val="lowerRoman"/>
        <w:lvlText w:val="%6."/>
        <w:lvlJc w:val="right"/>
        <w:pPr>
          <w:ind w:left="1170" w:hanging="180"/>
        </w:pPr>
        <w:rPr>
          <w:rFonts w:hint="default"/>
        </w:rPr>
      </w:lvl>
    </w:lvlOverride>
    <w:lvlOverride w:ilvl="6">
      <w:lvl w:ilvl="6">
        <w:start w:val="1"/>
        <w:numFmt w:val="decimal"/>
        <w:lvlText w:val="%7."/>
        <w:lvlJc w:val="left"/>
        <w:pPr>
          <w:ind w:left="1890" w:hanging="360"/>
        </w:pPr>
        <w:rPr>
          <w:rFonts w:hint="default"/>
        </w:rPr>
      </w:lvl>
    </w:lvlOverride>
    <w:lvlOverride w:ilvl="7">
      <w:lvl w:ilvl="7">
        <w:start w:val="1"/>
        <w:numFmt w:val="lowerLetter"/>
        <w:lvlText w:val="%8."/>
        <w:lvlJc w:val="left"/>
        <w:pPr>
          <w:ind w:left="2610" w:hanging="360"/>
        </w:pPr>
        <w:rPr>
          <w:rFonts w:hint="default"/>
        </w:rPr>
      </w:lvl>
    </w:lvlOverride>
    <w:lvlOverride w:ilvl="8">
      <w:lvl w:ilvl="8">
        <w:start w:val="1"/>
        <w:numFmt w:val="lowerRoman"/>
        <w:lvlText w:val="%9."/>
        <w:lvlJc w:val="right"/>
        <w:pPr>
          <w:ind w:left="3330" w:hanging="180"/>
        </w:pPr>
        <w:rPr>
          <w:rFonts w:hint="default"/>
        </w:rPr>
      </w:lvl>
    </w:lvlOverride>
  </w:num>
  <w:num w:numId="6">
    <w:abstractNumId w:val="33"/>
  </w:num>
  <w:num w:numId="7">
    <w:abstractNumId w:val="2"/>
  </w:num>
  <w:num w:numId="8">
    <w:abstractNumId w:val="6"/>
  </w:num>
  <w:num w:numId="9">
    <w:abstractNumId w:val="19"/>
  </w:num>
  <w:num w:numId="10">
    <w:abstractNumId w:val="31"/>
  </w:num>
  <w:num w:numId="11">
    <w:abstractNumId w:val="10"/>
  </w:num>
  <w:num w:numId="12">
    <w:abstractNumId w:val="8"/>
  </w:num>
  <w:num w:numId="13">
    <w:abstractNumId w:val="10"/>
  </w:num>
  <w:num w:numId="14">
    <w:abstractNumId w:val="1"/>
  </w:num>
  <w:num w:numId="15">
    <w:abstractNumId w:val="0"/>
  </w:num>
  <w:num w:numId="16">
    <w:abstractNumId w:val="3"/>
  </w:num>
  <w:num w:numId="17">
    <w:abstractNumId w:val="18"/>
  </w:num>
  <w:num w:numId="18">
    <w:abstractNumId w:val="13"/>
  </w:num>
  <w:num w:numId="19">
    <w:abstractNumId w:val="23"/>
  </w:num>
  <w:num w:numId="20">
    <w:abstractNumId w:val="34"/>
  </w:num>
  <w:num w:numId="21">
    <w:abstractNumId w:val="24"/>
  </w:num>
  <w:num w:numId="22">
    <w:abstractNumId w:val="3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5"/>
  </w:num>
  <w:num w:numId="26">
    <w:abstractNumId w:val="21"/>
  </w:num>
  <w:num w:numId="27">
    <w:abstractNumId w:val="26"/>
  </w:num>
  <w:num w:numId="28">
    <w:abstractNumId w:val="20"/>
  </w:num>
  <w:num w:numId="29">
    <w:abstractNumId w:val="27"/>
  </w:num>
  <w:num w:numId="30">
    <w:abstractNumId w:val="29"/>
  </w:num>
  <w:num w:numId="31">
    <w:abstractNumId w:val="4"/>
  </w:num>
  <w:num w:numId="32">
    <w:abstractNumId w:val="30"/>
  </w:num>
  <w:num w:numId="33">
    <w:abstractNumId w:val="16"/>
  </w:num>
  <w:num w:numId="34">
    <w:abstractNumId w:val="12"/>
  </w:num>
  <w:num w:numId="35">
    <w:abstractNumId w:val="5"/>
  </w:num>
  <w:num w:numId="36">
    <w:abstractNumId w:val="9"/>
  </w:num>
  <w:num w:numId="37">
    <w:abstractNumId w:val="11"/>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6AD"/>
    <w:rsid w:val="00000C83"/>
    <w:rsid w:val="00005919"/>
    <w:rsid w:val="00005F33"/>
    <w:rsid w:val="00010A76"/>
    <w:rsid w:val="00011E4B"/>
    <w:rsid w:val="000147CD"/>
    <w:rsid w:val="00015B99"/>
    <w:rsid w:val="00015C4F"/>
    <w:rsid w:val="00022107"/>
    <w:rsid w:val="000269CC"/>
    <w:rsid w:val="00027D28"/>
    <w:rsid w:val="00027EC1"/>
    <w:rsid w:val="0003292A"/>
    <w:rsid w:val="00033300"/>
    <w:rsid w:val="000361D2"/>
    <w:rsid w:val="000374F4"/>
    <w:rsid w:val="000437F4"/>
    <w:rsid w:val="00044658"/>
    <w:rsid w:val="000449F9"/>
    <w:rsid w:val="00045740"/>
    <w:rsid w:val="000478C6"/>
    <w:rsid w:val="00052F74"/>
    <w:rsid w:val="000538CD"/>
    <w:rsid w:val="00053D7D"/>
    <w:rsid w:val="00057EA9"/>
    <w:rsid w:val="0006026C"/>
    <w:rsid w:val="000610B9"/>
    <w:rsid w:val="000632E3"/>
    <w:rsid w:val="00063995"/>
    <w:rsid w:val="00065FA3"/>
    <w:rsid w:val="000706ED"/>
    <w:rsid w:val="0007275F"/>
    <w:rsid w:val="0007345F"/>
    <w:rsid w:val="00083CBB"/>
    <w:rsid w:val="00084B0C"/>
    <w:rsid w:val="00086372"/>
    <w:rsid w:val="000867C1"/>
    <w:rsid w:val="00087484"/>
    <w:rsid w:val="0009178B"/>
    <w:rsid w:val="000A4753"/>
    <w:rsid w:val="000A5362"/>
    <w:rsid w:val="000A54FD"/>
    <w:rsid w:val="000A5C16"/>
    <w:rsid w:val="000A6644"/>
    <w:rsid w:val="000B0F45"/>
    <w:rsid w:val="000B2044"/>
    <w:rsid w:val="000B22C0"/>
    <w:rsid w:val="000B231D"/>
    <w:rsid w:val="000B371B"/>
    <w:rsid w:val="000B38FB"/>
    <w:rsid w:val="000B3992"/>
    <w:rsid w:val="000B4040"/>
    <w:rsid w:val="000B6C89"/>
    <w:rsid w:val="000B6E8B"/>
    <w:rsid w:val="000C0266"/>
    <w:rsid w:val="000C02E3"/>
    <w:rsid w:val="000C64C8"/>
    <w:rsid w:val="000C6901"/>
    <w:rsid w:val="000C74D4"/>
    <w:rsid w:val="000D19F2"/>
    <w:rsid w:val="000D27BA"/>
    <w:rsid w:val="000D2B89"/>
    <w:rsid w:val="000D2F64"/>
    <w:rsid w:val="000D7836"/>
    <w:rsid w:val="000E0390"/>
    <w:rsid w:val="000E05AF"/>
    <w:rsid w:val="000E1B43"/>
    <w:rsid w:val="000E37C1"/>
    <w:rsid w:val="000E5BE8"/>
    <w:rsid w:val="000E640C"/>
    <w:rsid w:val="000E72B5"/>
    <w:rsid w:val="000F0A77"/>
    <w:rsid w:val="000F1BDA"/>
    <w:rsid w:val="000F61AE"/>
    <w:rsid w:val="000F6569"/>
    <w:rsid w:val="00107043"/>
    <w:rsid w:val="00110B3D"/>
    <w:rsid w:val="001114CE"/>
    <w:rsid w:val="00111748"/>
    <w:rsid w:val="001123AE"/>
    <w:rsid w:val="001127CE"/>
    <w:rsid w:val="0011302C"/>
    <w:rsid w:val="001151DA"/>
    <w:rsid w:val="00115341"/>
    <w:rsid w:val="00115A91"/>
    <w:rsid w:val="00115ECA"/>
    <w:rsid w:val="0011796E"/>
    <w:rsid w:val="00122162"/>
    <w:rsid w:val="00126F39"/>
    <w:rsid w:val="00127AFA"/>
    <w:rsid w:val="00135F84"/>
    <w:rsid w:val="00136526"/>
    <w:rsid w:val="00141047"/>
    <w:rsid w:val="00146045"/>
    <w:rsid w:val="001460C3"/>
    <w:rsid w:val="001524D0"/>
    <w:rsid w:val="00154796"/>
    <w:rsid w:val="001551C8"/>
    <w:rsid w:val="001628CB"/>
    <w:rsid w:val="00164A72"/>
    <w:rsid w:val="00167DD5"/>
    <w:rsid w:val="0017026A"/>
    <w:rsid w:val="00173FEB"/>
    <w:rsid w:val="00174E53"/>
    <w:rsid w:val="0018617F"/>
    <w:rsid w:val="00190268"/>
    <w:rsid w:val="001903BD"/>
    <w:rsid w:val="001933A3"/>
    <w:rsid w:val="001979C5"/>
    <w:rsid w:val="00197D1B"/>
    <w:rsid w:val="001A037F"/>
    <w:rsid w:val="001A07C6"/>
    <w:rsid w:val="001A0BAF"/>
    <w:rsid w:val="001A327D"/>
    <w:rsid w:val="001A5C82"/>
    <w:rsid w:val="001B0196"/>
    <w:rsid w:val="001B0991"/>
    <w:rsid w:val="001C0F2D"/>
    <w:rsid w:val="001C1D5C"/>
    <w:rsid w:val="001C566E"/>
    <w:rsid w:val="001C5AB1"/>
    <w:rsid w:val="001C7314"/>
    <w:rsid w:val="001D06F0"/>
    <w:rsid w:val="001D18AE"/>
    <w:rsid w:val="001D2BD5"/>
    <w:rsid w:val="001D40AF"/>
    <w:rsid w:val="001D5AB0"/>
    <w:rsid w:val="001D695C"/>
    <w:rsid w:val="001D7B23"/>
    <w:rsid w:val="001D7F23"/>
    <w:rsid w:val="001E1CF2"/>
    <w:rsid w:val="001E1D7A"/>
    <w:rsid w:val="001E5209"/>
    <w:rsid w:val="001E6CB1"/>
    <w:rsid w:val="001F0AA3"/>
    <w:rsid w:val="001F3415"/>
    <w:rsid w:val="001F37B8"/>
    <w:rsid w:val="001F56E7"/>
    <w:rsid w:val="001F72A7"/>
    <w:rsid w:val="001F734A"/>
    <w:rsid w:val="001F7FC7"/>
    <w:rsid w:val="00201BCC"/>
    <w:rsid w:val="00201CA6"/>
    <w:rsid w:val="002056AE"/>
    <w:rsid w:val="00205832"/>
    <w:rsid w:val="0020738C"/>
    <w:rsid w:val="002108DD"/>
    <w:rsid w:val="00211B1B"/>
    <w:rsid w:val="00212B3C"/>
    <w:rsid w:val="00212F02"/>
    <w:rsid w:val="0021380F"/>
    <w:rsid w:val="00214F6F"/>
    <w:rsid w:val="00215010"/>
    <w:rsid w:val="00215CB7"/>
    <w:rsid w:val="00216CA9"/>
    <w:rsid w:val="00216D97"/>
    <w:rsid w:val="00217895"/>
    <w:rsid w:val="00220F21"/>
    <w:rsid w:val="00220F49"/>
    <w:rsid w:val="00221332"/>
    <w:rsid w:val="002217E1"/>
    <w:rsid w:val="00222602"/>
    <w:rsid w:val="00224C82"/>
    <w:rsid w:val="0022500F"/>
    <w:rsid w:val="00225599"/>
    <w:rsid w:val="00230CBA"/>
    <w:rsid w:val="0023282C"/>
    <w:rsid w:val="00235C4C"/>
    <w:rsid w:val="00241647"/>
    <w:rsid w:val="00242261"/>
    <w:rsid w:val="00243780"/>
    <w:rsid w:val="002447A8"/>
    <w:rsid w:val="00246476"/>
    <w:rsid w:val="00247F40"/>
    <w:rsid w:val="002526A2"/>
    <w:rsid w:val="0025612E"/>
    <w:rsid w:val="00256583"/>
    <w:rsid w:val="0026053A"/>
    <w:rsid w:val="00261E0C"/>
    <w:rsid w:val="00264D61"/>
    <w:rsid w:val="00264E7F"/>
    <w:rsid w:val="0027357D"/>
    <w:rsid w:val="002735C1"/>
    <w:rsid w:val="00274F25"/>
    <w:rsid w:val="00275D09"/>
    <w:rsid w:val="0028084F"/>
    <w:rsid w:val="002810B9"/>
    <w:rsid w:val="00282CD3"/>
    <w:rsid w:val="00282ED0"/>
    <w:rsid w:val="0028354B"/>
    <w:rsid w:val="00285138"/>
    <w:rsid w:val="00285561"/>
    <w:rsid w:val="002856A8"/>
    <w:rsid w:val="00287BD5"/>
    <w:rsid w:val="00290AF6"/>
    <w:rsid w:val="002912DD"/>
    <w:rsid w:val="00291EAA"/>
    <w:rsid w:val="00292E01"/>
    <w:rsid w:val="002933E3"/>
    <w:rsid w:val="0029457D"/>
    <w:rsid w:val="00295C00"/>
    <w:rsid w:val="00296B4E"/>
    <w:rsid w:val="00296C94"/>
    <w:rsid w:val="002A5A8D"/>
    <w:rsid w:val="002A652F"/>
    <w:rsid w:val="002A65A8"/>
    <w:rsid w:val="002B0E94"/>
    <w:rsid w:val="002B5BB5"/>
    <w:rsid w:val="002B68CF"/>
    <w:rsid w:val="002C039A"/>
    <w:rsid w:val="002C3B0A"/>
    <w:rsid w:val="002C4088"/>
    <w:rsid w:val="002C5D4B"/>
    <w:rsid w:val="002C6AF3"/>
    <w:rsid w:val="002D061E"/>
    <w:rsid w:val="002D18EF"/>
    <w:rsid w:val="002D1B24"/>
    <w:rsid w:val="002D2EAF"/>
    <w:rsid w:val="002D33C6"/>
    <w:rsid w:val="002D3D19"/>
    <w:rsid w:val="002D5B64"/>
    <w:rsid w:val="002D6F6C"/>
    <w:rsid w:val="002D746B"/>
    <w:rsid w:val="002E12EE"/>
    <w:rsid w:val="002E39C1"/>
    <w:rsid w:val="002E43A3"/>
    <w:rsid w:val="002E53B2"/>
    <w:rsid w:val="002E6703"/>
    <w:rsid w:val="002E67F8"/>
    <w:rsid w:val="002F05ED"/>
    <w:rsid w:val="002F206F"/>
    <w:rsid w:val="002F37CF"/>
    <w:rsid w:val="0030231E"/>
    <w:rsid w:val="00303653"/>
    <w:rsid w:val="00305402"/>
    <w:rsid w:val="00305518"/>
    <w:rsid w:val="003056B1"/>
    <w:rsid w:val="003103CE"/>
    <w:rsid w:val="00310481"/>
    <w:rsid w:val="003112C4"/>
    <w:rsid w:val="00311592"/>
    <w:rsid w:val="0031217A"/>
    <w:rsid w:val="003161B5"/>
    <w:rsid w:val="00316424"/>
    <w:rsid w:val="003213C0"/>
    <w:rsid w:val="00321D85"/>
    <w:rsid w:val="003230BF"/>
    <w:rsid w:val="003276EF"/>
    <w:rsid w:val="003310E6"/>
    <w:rsid w:val="00331ED9"/>
    <w:rsid w:val="003320D1"/>
    <w:rsid w:val="00335BF7"/>
    <w:rsid w:val="0034237D"/>
    <w:rsid w:val="00346430"/>
    <w:rsid w:val="00347588"/>
    <w:rsid w:val="003504E0"/>
    <w:rsid w:val="00351AA1"/>
    <w:rsid w:val="00352C04"/>
    <w:rsid w:val="00353B56"/>
    <w:rsid w:val="0035522E"/>
    <w:rsid w:val="00355D49"/>
    <w:rsid w:val="003566B9"/>
    <w:rsid w:val="003609E0"/>
    <w:rsid w:val="003625F0"/>
    <w:rsid w:val="0036279B"/>
    <w:rsid w:val="00367433"/>
    <w:rsid w:val="00371184"/>
    <w:rsid w:val="0037119A"/>
    <w:rsid w:val="003714B3"/>
    <w:rsid w:val="00373ED2"/>
    <w:rsid w:val="003849F0"/>
    <w:rsid w:val="00386BC1"/>
    <w:rsid w:val="0039004D"/>
    <w:rsid w:val="00390410"/>
    <w:rsid w:val="0039252B"/>
    <w:rsid w:val="00394BFB"/>
    <w:rsid w:val="00395DA8"/>
    <w:rsid w:val="003A2B3E"/>
    <w:rsid w:val="003A66DD"/>
    <w:rsid w:val="003A6CCD"/>
    <w:rsid w:val="003B1364"/>
    <w:rsid w:val="003B1A28"/>
    <w:rsid w:val="003B1AC8"/>
    <w:rsid w:val="003B1C5E"/>
    <w:rsid w:val="003B2B85"/>
    <w:rsid w:val="003B33B6"/>
    <w:rsid w:val="003B4765"/>
    <w:rsid w:val="003B4FB2"/>
    <w:rsid w:val="003B5BCC"/>
    <w:rsid w:val="003B6E07"/>
    <w:rsid w:val="003C042E"/>
    <w:rsid w:val="003C49AB"/>
    <w:rsid w:val="003C502C"/>
    <w:rsid w:val="003C569C"/>
    <w:rsid w:val="003C57F2"/>
    <w:rsid w:val="003D1E6E"/>
    <w:rsid w:val="003D20B1"/>
    <w:rsid w:val="003D3A78"/>
    <w:rsid w:val="003D686A"/>
    <w:rsid w:val="003E380A"/>
    <w:rsid w:val="003E4330"/>
    <w:rsid w:val="003E78E7"/>
    <w:rsid w:val="003F1269"/>
    <w:rsid w:val="003F1717"/>
    <w:rsid w:val="003F26BA"/>
    <w:rsid w:val="003F2C74"/>
    <w:rsid w:val="003F3387"/>
    <w:rsid w:val="003F5955"/>
    <w:rsid w:val="003F74E7"/>
    <w:rsid w:val="003F7AC3"/>
    <w:rsid w:val="0040003A"/>
    <w:rsid w:val="004015FC"/>
    <w:rsid w:val="004026AD"/>
    <w:rsid w:val="00411038"/>
    <w:rsid w:val="00411E77"/>
    <w:rsid w:val="00412208"/>
    <w:rsid w:val="00413D72"/>
    <w:rsid w:val="00416149"/>
    <w:rsid w:val="0041627C"/>
    <w:rsid w:val="0042037A"/>
    <w:rsid w:val="0042148E"/>
    <w:rsid w:val="00423A56"/>
    <w:rsid w:val="00424AA5"/>
    <w:rsid w:val="00427950"/>
    <w:rsid w:val="004308DA"/>
    <w:rsid w:val="004312FA"/>
    <w:rsid w:val="0043276C"/>
    <w:rsid w:val="00437788"/>
    <w:rsid w:val="00444279"/>
    <w:rsid w:val="004457CF"/>
    <w:rsid w:val="00446183"/>
    <w:rsid w:val="00450EBB"/>
    <w:rsid w:val="0045285C"/>
    <w:rsid w:val="00452EF2"/>
    <w:rsid w:val="00453AC1"/>
    <w:rsid w:val="004560A5"/>
    <w:rsid w:val="004610F5"/>
    <w:rsid w:val="00461111"/>
    <w:rsid w:val="00465CDB"/>
    <w:rsid w:val="00473BD6"/>
    <w:rsid w:val="00473D82"/>
    <w:rsid w:val="00474F67"/>
    <w:rsid w:val="004807C2"/>
    <w:rsid w:val="00482A2A"/>
    <w:rsid w:val="004848A2"/>
    <w:rsid w:val="00486467"/>
    <w:rsid w:val="0048792E"/>
    <w:rsid w:val="00491F73"/>
    <w:rsid w:val="0049618E"/>
    <w:rsid w:val="00496EF7"/>
    <w:rsid w:val="004A1921"/>
    <w:rsid w:val="004A1A5E"/>
    <w:rsid w:val="004A25B2"/>
    <w:rsid w:val="004A317D"/>
    <w:rsid w:val="004A3277"/>
    <w:rsid w:val="004A4771"/>
    <w:rsid w:val="004A51EF"/>
    <w:rsid w:val="004A6F20"/>
    <w:rsid w:val="004B18EA"/>
    <w:rsid w:val="004B52EA"/>
    <w:rsid w:val="004C2018"/>
    <w:rsid w:val="004C5CCB"/>
    <w:rsid w:val="004D603A"/>
    <w:rsid w:val="004E3644"/>
    <w:rsid w:val="004E3C38"/>
    <w:rsid w:val="004E6FF3"/>
    <w:rsid w:val="004F3910"/>
    <w:rsid w:val="004F7B4A"/>
    <w:rsid w:val="0050004A"/>
    <w:rsid w:val="0050062F"/>
    <w:rsid w:val="00500B1D"/>
    <w:rsid w:val="00500C80"/>
    <w:rsid w:val="00501466"/>
    <w:rsid w:val="00503724"/>
    <w:rsid w:val="00503A3F"/>
    <w:rsid w:val="00503B29"/>
    <w:rsid w:val="00505B93"/>
    <w:rsid w:val="00512D2E"/>
    <w:rsid w:val="00513F2D"/>
    <w:rsid w:val="0051448F"/>
    <w:rsid w:val="00514509"/>
    <w:rsid w:val="00517A6E"/>
    <w:rsid w:val="005204DA"/>
    <w:rsid w:val="00520D9E"/>
    <w:rsid w:val="0052263E"/>
    <w:rsid w:val="005277A1"/>
    <w:rsid w:val="0053241D"/>
    <w:rsid w:val="00535EE8"/>
    <w:rsid w:val="00540335"/>
    <w:rsid w:val="005405D3"/>
    <w:rsid w:val="00542A9A"/>
    <w:rsid w:val="00542C22"/>
    <w:rsid w:val="00547F23"/>
    <w:rsid w:val="00551CEF"/>
    <w:rsid w:val="0055215C"/>
    <w:rsid w:val="00552600"/>
    <w:rsid w:val="0055435C"/>
    <w:rsid w:val="00555113"/>
    <w:rsid w:val="0055512D"/>
    <w:rsid w:val="00555D94"/>
    <w:rsid w:val="005564A1"/>
    <w:rsid w:val="00561E89"/>
    <w:rsid w:val="00564069"/>
    <w:rsid w:val="005643CE"/>
    <w:rsid w:val="0057042C"/>
    <w:rsid w:val="005707D7"/>
    <w:rsid w:val="00571B32"/>
    <w:rsid w:val="00573157"/>
    <w:rsid w:val="0057378F"/>
    <w:rsid w:val="00575E0B"/>
    <w:rsid w:val="00577A15"/>
    <w:rsid w:val="005820F9"/>
    <w:rsid w:val="005873B6"/>
    <w:rsid w:val="00590D3D"/>
    <w:rsid w:val="00591783"/>
    <w:rsid w:val="00591A7A"/>
    <w:rsid w:val="005924C9"/>
    <w:rsid w:val="005939C3"/>
    <w:rsid w:val="005944F2"/>
    <w:rsid w:val="00597817"/>
    <w:rsid w:val="005A0685"/>
    <w:rsid w:val="005A1DDE"/>
    <w:rsid w:val="005A3FD8"/>
    <w:rsid w:val="005A56BE"/>
    <w:rsid w:val="005A6C74"/>
    <w:rsid w:val="005A7435"/>
    <w:rsid w:val="005B0E6E"/>
    <w:rsid w:val="005B22FD"/>
    <w:rsid w:val="005B4CE5"/>
    <w:rsid w:val="005B5C6E"/>
    <w:rsid w:val="005C16A2"/>
    <w:rsid w:val="005C20A1"/>
    <w:rsid w:val="005C7D79"/>
    <w:rsid w:val="005D0534"/>
    <w:rsid w:val="005D19CF"/>
    <w:rsid w:val="005D3E43"/>
    <w:rsid w:val="005D3F0D"/>
    <w:rsid w:val="005D4842"/>
    <w:rsid w:val="005D6905"/>
    <w:rsid w:val="005E0E36"/>
    <w:rsid w:val="005E112D"/>
    <w:rsid w:val="005E428F"/>
    <w:rsid w:val="005F04A3"/>
    <w:rsid w:val="005F0D9F"/>
    <w:rsid w:val="005F31CA"/>
    <w:rsid w:val="005F4293"/>
    <w:rsid w:val="005F6853"/>
    <w:rsid w:val="005F6B68"/>
    <w:rsid w:val="0060447C"/>
    <w:rsid w:val="00610785"/>
    <w:rsid w:val="00610B43"/>
    <w:rsid w:val="006112E8"/>
    <w:rsid w:val="00613089"/>
    <w:rsid w:val="00616A37"/>
    <w:rsid w:val="00623F76"/>
    <w:rsid w:val="006262A6"/>
    <w:rsid w:val="006277DE"/>
    <w:rsid w:val="00631F13"/>
    <w:rsid w:val="00632B69"/>
    <w:rsid w:val="0063303C"/>
    <w:rsid w:val="00635D04"/>
    <w:rsid w:val="00636838"/>
    <w:rsid w:val="00637D77"/>
    <w:rsid w:val="006402FB"/>
    <w:rsid w:val="00645C9C"/>
    <w:rsid w:val="0065022F"/>
    <w:rsid w:val="00653040"/>
    <w:rsid w:val="006530E8"/>
    <w:rsid w:val="00653AD3"/>
    <w:rsid w:val="00656985"/>
    <w:rsid w:val="006618C8"/>
    <w:rsid w:val="0066207D"/>
    <w:rsid w:val="00666A36"/>
    <w:rsid w:val="00667A2F"/>
    <w:rsid w:val="00667FAE"/>
    <w:rsid w:val="00670A8F"/>
    <w:rsid w:val="00671875"/>
    <w:rsid w:val="00672F7B"/>
    <w:rsid w:val="00675446"/>
    <w:rsid w:val="00680FED"/>
    <w:rsid w:val="006829EB"/>
    <w:rsid w:val="00683785"/>
    <w:rsid w:val="00690F7C"/>
    <w:rsid w:val="00692AE1"/>
    <w:rsid w:val="00692F12"/>
    <w:rsid w:val="0069323E"/>
    <w:rsid w:val="00693452"/>
    <w:rsid w:val="006937B9"/>
    <w:rsid w:val="00693FD9"/>
    <w:rsid w:val="00697CAC"/>
    <w:rsid w:val="006A0C0E"/>
    <w:rsid w:val="006A41EE"/>
    <w:rsid w:val="006A7F58"/>
    <w:rsid w:val="006B2D2C"/>
    <w:rsid w:val="006B3F01"/>
    <w:rsid w:val="006B6ACC"/>
    <w:rsid w:val="006C32FB"/>
    <w:rsid w:val="006C52A9"/>
    <w:rsid w:val="006C5A1E"/>
    <w:rsid w:val="006C5AF9"/>
    <w:rsid w:val="006C610E"/>
    <w:rsid w:val="006C75D1"/>
    <w:rsid w:val="006E03D1"/>
    <w:rsid w:val="006E18DB"/>
    <w:rsid w:val="006E24E7"/>
    <w:rsid w:val="006E38F0"/>
    <w:rsid w:val="006E3B0D"/>
    <w:rsid w:val="006E5688"/>
    <w:rsid w:val="006E7F05"/>
    <w:rsid w:val="006F0FE7"/>
    <w:rsid w:val="006F4F3E"/>
    <w:rsid w:val="006F5EA1"/>
    <w:rsid w:val="00701195"/>
    <w:rsid w:val="00704264"/>
    <w:rsid w:val="00704DFC"/>
    <w:rsid w:val="00706179"/>
    <w:rsid w:val="007075CC"/>
    <w:rsid w:val="00710EB1"/>
    <w:rsid w:val="00715445"/>
    <w:rsid w:val="00716A13"/>
    <w:rsid w:val="0071759C"/>
    <w:rsid w:val="00717C2E"/>
    <w:rsid w:val="00723CC9"/>
    <w:rsid w:val="00724898"/>
    <w:rsid w:val="007248D3"/>
    <w:rsid w:val="00724BE9"/>
    <w:rsid w:val="00725A59"/>
    <w:rsid w:val="00731E7F"/>
    <w:rsid w:val="0073253E"/>
    <w:rsid w:val="00736EF1"/>
    <w:rsid w:val="0074176C"/>
    <w:rsid w:val="00746E76"/>
    <w:rsid w:val="00750520"/>
    <w:rsid w:val="0075052C"/>
    <w:rsid w:val="007536E6"/>
    <w:rsid w:val="0075453B"/>
    <w:rsid w:val="00755865"/>
    <w:rsid w:val="007609ED"/>
    <w:rsid w:val="00761104"/>
    <w:rsid w:val="007619F5"/>
    <w:rsid w:val="0076274D"/>
    <w:rsid w:val="007731D5"/>
    <w:rsid w:val="00774247"/>
    <w:rsid w:val="00777FCC"/>
    <w:rsid w:val="00781E46"/>
    <w:rsid w:val="007831E9"/>
    <w:rsid w:val="0078379F"/>
    <w:rsid w:val="00785169"/>
    <w:rsid w:val="00785500"/>
    <w:rsid w:val="007869B7"/>
    <w:rsid w:val="00787688"/>
    <w:rsid w:val="0079375C"/>
    <w:rsid w:val="0079376A"/>
    <w:rsid w:val="0079433E"/>
    <w:rsid w:val="007949B0"/>
    <w:rsid w:val="007A11AB"/>
    <w:rsid w:val="007A19E4"/>
    <w:rsid w:val="007A5A21"/>
    <w:rsid w:val="007A65FF"/>
    <w:rsid w:val="007B5613"/>
    <w:rsid w:val="007B5DAB"/>
    <w:rsid w:val="007B7155"/>
    <w:rsid w:val="007B7370"/>
    <w:rsid w:val="007B73D4"/>
    <w:rsid w:val="007C0C3E"/>
    <w:rsid w:val="007C5D2A"/>
    <w:rsid w:val="007D173D"/>
    <w:rsid w:val="007D4069"/>
    <w:rsid w:val="007E2800"/>
    <w:rsid w:val="007F2ECD"/>
    <w:rsid w:val="007F3100"/>
    <w:rsid w:val="007F3136"/>
    <w:rsid w:val="007F32B4"/>
    <w:rsid w:val="007F487A"/>
    <w:rsid w:val="007F4E3C"/>
    <w:rsid w:val="007F5926"/>
    <w:rsid w:val="007F5CBC"/>
    <w:rsid w:val="007F6B9D"/>
    <w:rsid w:val="008004C0"/>
    <w:rsid w:val="00801262"/>
    <w:rsid w:val="00801EE5"/>
    <w:rsid w:val="00802120"/>
    <w:rsid w:val="00803052"/>
    <w:rsid w:val="00805849"/>
    <w:rsid w:val="008125CC"/>
    <w:rsid w:val="0081298B"/>
    <w:rsid w:val="0081446D"/>
    <w:rsid w:val="008177E2"/>
    <w:rsid w:val="00817CD4"/>
    <w:rsid w:val="00820AFB"/>
    <w:rsid w:val="00821C17"/>
    <w:rsid w:val="00821F6C"/>
    <w:rsid w:val="0082248C"/>
    <w:rsid w:val="00823BC2"/>
    <w:rsid w:val="0082452D"/>
    <w:rsid w:val="00825A31"/>
    <w:rsid w:val="00835FF5"/>
    <w:rsid w:val="00836712"/>
    <w:rsid w:val="00836BB7"/>
    <w:rsid w:val="00841123"/>
    <w:rsid w:val="00843C17"/>
    <w:rsid w:val="008452E3"/>
    <w:rsid w:val="0084543A"/>
    <w:rsid w:val="00846860"/>
    <w:rsid w:val="0085570A"/>
    <w:rsid w:val="00855B7E"/>
    <w:rsid w:val="00857232"/>
    <w:rsid w:val="0085787B"/>
    <w:rsid w:val="00860E5D"/>
    <w:rsid w:val="008647A6"/>
    <w:rsid w:val="008657F4"/>
    <w:rsid w:val="00865DB7"/>
    <w:rsid w:val="00870055"/>
    <w:rsid w:val="00871E6F"/>
    <w:rsid w:val="00872632"/>
    <w:rsid w:val="00873B57"/>
    <w:rsid w:val="00876299"/>
    <w:rsid w:val="00876D98"/>
    <w:rsid w:val="00877081"/>
    <w:rsid w:val="0088498A"/>
    <w:rsid w:val="008870D7"/>
    <w:rsid w:val="008875B0"/>
    <w:rsid w:val="008877FD"/>
    <w:rsid w:val="00890D46"/>
    <w:rsid w:val="00890E4D"/>
    <w:rsid w:val="008937AC"/>
    <w:rsid w:val="0089465D"/>
    <w:rsid w:val="00897B66"/>
    <w:rsid w:val="00897E75"/>
    <w:rsid w:val="008A1F21"/>
    <w:rsid w:val="008A30E4"/>
    <w:rsid w:val="008A317A"/>
    <w:rsid w:val="008A41AF"/>
    <w:rsid w:val="008A6B3B"/>
    <w:rsid w:val="008B334A"/>
    <w:rsid w:val="008B36F9"/>
    <w:rsid w:val="008B4632"/>
    <w:rsid w:val="008B55C3"/>
    <w:rsid w:val="008B5C76"/>
    <w:rsid w:val="008B60F7"/>
    <w:rsid w:val="008C3050"/>
    <w:rsid w:val="008D414B"/>
    <w:rsid w:val="008D4A2E"/>
    <w:rsid w:val="008D4D0F"/>
    <w:rsid w:val="008D575C"/>
    <w:rsid w:val="008E561C"/>
    <w:rsid w:val="008E5BF2"/>
    <w:rsid w:val="008F00B1"/>
    <w:rsid w:val="008F1AE1"/>
    <w:rsid w:val="008F2EB3"/>
    <w:rsid w:val="008F2F6F"/>
    <w:rsid w:val="008F3F33"/>
    <w:rsid w:val="008F6F30"/>
    <w:rsid w:val="008F7D93"/>
    <w:rsid w:val="00904294"/>
    <w:rsid w:val="00905609"/>
    <w:rsid w:val="00907C4E"/>
    <w:rsid w:val="00907FA4"/>
    <w:rsid w:val="00915B75"/>
    <w:rsid w:val="009201A4"/>
    <w:rsid w:val="00925684"/>
    <w:rsid w:val="00927650"/>
    <w:rsid w:val="009303CD"/>
    <w:rsid w:val="00931602"/>
    <w:rsid w:val="00933116"/>
    <w:rsid w:val="00936CCB"/>
    <w:rsid w:val="00941389"/>
    <w:rsid w:val="00945FEF"/>
    <w:rsid w:val="0095068F"/>
    <w:rsid w:val="009510A5"/>
    <w:rsid w:val="009539E4"/>
    <w:rsid w:val="009558CD"/>
    <w:rsid w:val="00955B55"/>
    <w:rsid w:val="00956987"/>
    <w:rsid w:val="00965FB4"/>
    <w:rsid w:val="00966C4F"/>
    <w:rsid w:val="00967549"/>
    <w:rsid w:val="0097071E"/>
    <w:rsid w:val="00974AE1"/>
    <w:rsid w:val="009760D7"/>
    <w:rsid w:val="0098222E"/>
    <w:rsid w:val="00982C5D"/>
    <w:rsid w:val="009856BC"/>
    <w:rsid w:val="00985B4A"/>
    <w:rsid w:val="00985F8E"/>
    <w:rsid w:val="00986CCB"/>
    <w:rsid w:val="00990016"/>
    <w:rsid w:val="0099172E"/>
    <w:rsid w:val="0099510B"/>
    <w:rsid w:val="009A2A28"/>
    <w:rsid w:val="009A73D1"/>
    <w:rsid w:val="009B0651"/>
    <w:rsid w:val="009B0B07"/>
    <w:rsid w:val="009B4EB7"/>
    <w:rsid w:val="009B5D9D"/>
    <w:rsid w:val="009B74ED"/>
    <w:rsid w:val="009C376F"/>
    <w:rsid w:val="009C4EA6"/>
    <w:rsid w:val="009C7C82"/>
    <w:rsid w:val="009D31BE"/>
    <w:rsid w:val="009D55AE"/>
    <w:rsid w:val="009E26A4"/>
    <w:rsid w:val="009E6D83"/>
    <w:rsid w:val="009E7B96"/>
    <w:rsid w:val="009F211F"/>
    <w:rsid w:val="009F45EF"/>
    <w:rsid w:val="009F527E"/>
    <w:rsid w:val="00A002EF"/>
    <w:rsid w:val="00A00C40"/>
    <w:rsid w:val="00A00DE2"/>
    <w:rsid w:val="00A06352"/>
    <w:rsid w:val="00A11403"/>
    <w:rsid w:val="00A1451E"/>
    <w:rsid w:val="00A15CB3"/>
    <w:rsid w:val="00A15D8C"/>
    <w:rsid w:val="00A20F6F"/>
    <w:rsid w:val="00A211DE"/>
    <w:rsid w:val="00A21376"/>
    <w:rsid w:val="00A22A67"/>
    <w:rsid w:val="00A2377E"/>
    <w:rsid w:val="00A243E0"/>
    <w:rsid w:val="00A25C00"/>
    <w:rsid w:val="00A274B2"/>
    <w:rsid w:val="00A3167B"/>
    <w:rsid w:val="00A33343"/>
    <w:rsid w:val="00A34517"/>
    <w:rsid w:val="00A34786"/>
    <w:rsid w:val="00A36256"/>
    <w:rsid w:val="00A405EC"/>
    <w:rsid w:val="00A45C46"/>
    <w:rsid w:val="00A4690C"/>
    <w:rsid w:val="00A54D61"/>
    <w:rsid w:val="00A55140"/>
    <w:rsid w:val="00A55AB3"/>
    <w:rsid w:val="00A56E98"/>
    <w:rsid w:val="00A63583"/>
    <w:rsid w:val="00A63DE2"/>
    <w:rsid w:val="00A63F21"/>
    <w:rsid w:val="00A650E4"/>
    <w:rsid w:val="00A65697"/>
    <w:rsid w:val="00A70CDF"/>
    <w:rsid w:val="00A73BB7"/>
    <w:rsid w:val="00A74995"/>
    <w:rsid w:val="00A77D67"/>
    <w:rsid w:val="00A8151E"/>
    <w:rsid w:val="00A81895"/>
    <w:rsid w:val="00A8369C"/>
    <w:rsid w:val="00A84C2A"/>
    <w:rsid w:val="00A857F1"/>
    <w:rsid w:val="00A85B22"/>
    <w:rsid w:val="00A85F28"/>
    <w:rsid w:val="00A86691"/>
    <w:rsid w:val="00A86CEE"/>
    <w:rsid w:val="00A87973"/>
    <w:rsid w:val="00A92174"/>
    <w:rsid w:val="00A9580A"/>
    <w:rsid w:val="00A963C3"/>
    <w:rsid w:val="00A975FD"/>
    <w:rsid w:val="00AA03CB"/>
    <w:rsid w:val="00AA076B"/>
    <w:rsid w:val="00AB1423"/>
    <w:rsid w:val="00AB2951"/>
    <w:rsid w:val="00AC059E"/>
    <w:rsid w:val="00AC146F"/>
    <w:rsid w:val="00AC2C50"/>
    <w:rsid w:val="00AC2EBD"/>
    <w:rsid w:val="00AC5B2A"/>
    <w:rsid w:val="00AC5F5F"/>
    <w:rsid w:val="00AD2A4B"/>
    <w:rsid w:val="00AD3312"/>
    <w:rsid w:val="00AD5485"/>
    <w:rsid w:val="00AD7093"/>
    <w:rsid w:val="00AD7EFA"/>
    <w:rsid w:val="00AE273E"/>
    <w:rsid w:val="00AE5432"/>
    <w:rsid w:val="00AE7E9A"/>
    <w:rsid w:val="00AF0463"/>
    <w:rsid w:val="00AF5598"/>
    <w:rsid w:val="00B02714"/>
    <w:rsid w:val="00B04F10"/>
    <w:rsid w:val="00B06CBB"/>
    <w:rsid w:val="00B06DCD"/>
    <w:rsid w:val="00B12C22"/>
    <w:rsid w:val="00B13018"/>
    <w:rsid w:val="00B13041"/>
    <w:rsid w:val="00B14F46"/>
    <w:rsid w:val="00B24099"/>
    <w:rsid w:val="00B24AAF"/>
    <w:rsid w:val="00B30E32"/>
    <w:rsid w:val="00B32E5C"/>
    <w:rsid w:val="00B33739"/>
    <w:rsid w:val="00B37DAC"/>
    <w:rsid w:val="00B412AB"/>
    <w:rsid w:val="00B44D66"/>
    <w:rsid w:val="00B50030"/>
    <w:rsid w:val="00B518A0"/>
    <w:rsid w:val="00B60040"/>
    <w:rsid w:val="00B620C6"/>
    <w:rsid w:val="00B63698"/>
    <w:rsid w:val="00B63CA8"/>
    <w:rsid w:val="00B63D64"/>
    <w:rsid w:val="00B6404B"/>
    <w:rsid w:val="00B6412F"/>
    <w:rsid w:val="00B65ED1"/>
    <w:rsid w:val="00B67979"/>
    <w:rsid w:val="00B726F2"/>
    <w:rsid w:val="00B75EC5"/>
    <w:rsid w:val="00B76181"/>
    <w:rsid w:val="00B762C3"/>
    <w:rsid w:val="00B778CF"/>
    <w:rsid w:val="00B77A02"/>
    <w:rsid w:val="00B77AA6"/>
    <w:rsid w:val="00B81C36"/>
    <w:rsid w:val="00B85B03"/>
    <w:rsid w:val="00B86811"/>
    <w:rsid w:val="00B87495"/>
    <w:rsid w:val="00B903C2"/>
    <w:rsid w:val="00B917F2"/>
    <w:rsid w:val="00B93669"/>
    <w:rsid w:val="00B9547B"/>
    <w:rsid w:val="00B954F4"/>
    <w:rsid w:val="00B9629D"/>
    <w:rsid w:val="00BA0FD2"/>
    <w:rsid w:val="00BA14BC"/>
    <w:rsid w:val="00BA5099"/>
    <w:rsid w:val="00BA55A1"/>
    <w:rsid w:val="00BB06AD"/>
    <w:rsid w:val="00BB0909"/>
    <w:rsid w:val="00BB181E"/>
    <w:rsid w:val="00BB1C67"/>
    <w:rsid w:val="00BB4C47"/>
    <w:rsid w:val="00BB69B5"/>
    <w:rsid w:val="00BB6CBF"/>
    <w:rsid w:val="00BC0801"/>
    <w:rsid w:val="00BC1175"/>
    <w:rsid w:val="00BC30E4"/>
    <w:rsid w:val="00BC34D5"/>
    <w:rsid w:val="00BC5B4F"/>
    <w:rsid w:val="00BC744B"/>
    <w:rsid w:val="00BC7DB0"/>
    <w:rsid w:val="00BD05F9"/>
    <w:rsid w:val="00BD0A48"/>
    <w:rsid w:val="00BD1307"/>
    <w:rsid w:val="00BD1489"/>
    <w:rsid w:val="00BD3B16"/>
    <w:rsid w:val="00BD4EA3"/>
    <w:rsid w:val="00BD533D"/>
    <w:rsid w:val="00BE4B80"/>
    <w:rsid w:val="00BE5E73"/>
    <w:rsid w:val="00BE63CA"/>
    <w:rsid w:val="00BE6A48"/>
    <w:rsid w:val="00BF20B0"/>
    <w:rsid w:val="00BF2A14"/>
    <w:rsid w:val="00BF36DB"/>
    <w:rsid w:val="00BF3EA7"/>
    <w:rsid w:val="00C02CB3"/>
    <w:rsid w:val="00C034EF"/>
    <w:rsid w:val="00C07690"/>
    <w:rsid w:val="00C07E33"/>
    <w:rsid w:val="00C1402A"/>
    <w:rsid w:val="00C1443D"/>
    <w:rsid w:val="00C14ED6"/>
    <w:rsid w:val="00C16904"/>
    <w:rsid w:val="00C20DF7"/>
    <w:rsid w:val="00C21E8E"/>
    <w:rsid w:val="00C255BF"/>
    <w:rsid w:val="00C25D68"/>
    <w:rsid w:val="00C26B26"/>
    <w:rsid w:val="00C36AFD"/>
    <w:rsid w:val="00C407DE"/>
    <w:rsid w:val="00C410C2"/>
    <w:rsid w:val="00C4179D"/>
    <w:rsid w:val="00C43D5B"/>
    <w:rsid w:val="00C47D8E"/>
    <w:rsid w:val="00C50174"/>
    <w:rsid w:val="00C5351D"/>
    <w:rsid w:val="00C5578C"/>
    <w:rsid w:val="00C61139"/>
    <w:rsid w:val="00C61CA5"/>
    <w:rsid w:val="00C621E4"/>
    <w:rsid w:val="00C644DA"/>
    <w:rsid w:val="00C66A3F"/>
    <w:rsid w:val="00C72DBA"/>
    <w:rsid w:val="00C80164"/>
    <w:rsid w:val="00C843E5"/>
    <w:rsid w:val="00C871C8"/>
    <w:rsid w:val="00C928C3"/>
    <w:rsid w:val="00C9349C"/>
    <w:rsid w:val="00C97087"/>
    <w:rsid w:val="00CA3FB8"/>
    <w:rsid w:val="00CA55E2"/>
    <w:rsid w:val="00CB1731"/>
    <w:rsid w:val="00CB1C65"/>
    <w:rsid w:val="00CB74F7"/>
    <w:rsid w:val="00CB75E2"/>
    <w:rsid w:val="00CC044C"/>
    <w:rsid w:val="00CC06D4"/>
    <w:rsid w:val="00CC086F"/>
    <w:rsid w:val="00CC09B5"/>
    <w:rsid w:val="00CC1A3B"/>
    <w:rsid w:val="00CC3B76"/>
    <w:rsid w:val="00CC5ABC"/>
    <w:rsid w:val="00CD0188"/>
    <w:rsid w:val="00CD32EA"/>
    <w:rsid w:val="00CD3870"/>
    <w:rsid w:val="00CD3DF4"/>
    <w:rsid w:val="00CD3E83"/>
    <w:rsid w:val="00CD662E"/>
    <w:rsid w:val="00CD6776"/>
    <w:rsid w:val="00CE2246"/>
    <w:rsid w:val="00CE38C1"/>
    <w:rsid w:val="00CE4BC9"/>
    <w:rsid w:val="00CE6181"/>
    <w:rsid w:val="00CF53AB"/>
    <w:rsid w:val="00CF6A9E"/>
    <w:rsid w:val="00D016F1"/>
    <w:rsid w:val="00D04B65"/>
    <w:rsid w:val="00D05695"/>
    <w:rsid w:val="00D07099"/>
    <w:rsid w:val="00D1053F"/>
    <w:rsid w:val="00D128D0"/>
    <w:rsid w:val="00D12C36"/>
    <w:rsid w:val="00D148EA"/>
    <w:rsid w:val="00D14C21"/>
    <w:rsid w:val="00D15F35"/>
    <w:rsid w:val="00D16E1B"/>
    <w:rsid w:val="00D202A5"/>
    <w:rsid w:val="00D246A2"/>
    <w:rsid w:val="00D264E9"/>
    <w:rsid w:val="00D32E7E"/>
    <w:rsid w:val="00D35535"/>
    <w:rsid w:val="00D40FDE"/>
    <w:rsid w:val="00D44E03"/>
    <w:rsid w:val="00D5042C"/>
    <w:rsid w:val="00D50973"/>
    <w:rsid w:val="00D50AB7"/>
    <w:rsid w:val="00D5720D"/>
    <w:rsid w:val="00D6000D"/>
    <w:rsid w:val="00D63504"/>
    <w:rsid w:val="00D65C8A"/>
    <w:rsid w:val="00D65D75"/>
    <w:rsid w:val="00D81AB6"/>
    <w:rsid w:val="00D821BD"/>
    <w:rsid w:val="00D8359D"/>
    <w:rsid w:val="00D841CA"/>
    <w:rsid w:val="00D8556E"/>
    <w:rsid w:val="00D85BAB"/>
    <w:rsid w:val="00D87087"/>
    <w:rsid w:val="00D87B1E"/>
    <w:rsid w:val="00D909EC"/>
    <w:rsid w:val="00D90D40"/>
    <w:rsid w:val="00D9201F"/>
    <w:rsid w:val="00D9340E"/>
    <w:rsid w:val="00D95353"/>
    <w:rsid w:val="00D95AC8"/>
    <w:rsid w:val="00D96456"/>
    <w:rsid w:val="00D96904"/>
    <w:rsid w:val="00D97531"/>
    <w:rsid w:val="00D976CD"/>
    <w:rsid w:val="00DA0B9C"/>
    <w:rsid w:val="00DA1B86"/>
    <w:rsid w:val="00DA5771"/>
    <w:rsid w:val="00DA5D0E"/>
    <w:rsid w:val="00DB0856"/>
    <w:rsid w:val="00DB3A38"/>
    <w:rsid w:val="00DB5422"/>
    <w:rsid w:val="00DB5EFB"/>
    <w:rsid w:val="00DB726D"/>
    <w:rsid w:val="00DB7F04"/>
    <w:rsid w:val="00DC16D3"/>
    <w:rsid w:val="00DC49A3"/>
    <w:rsid w:val="00DC52A5"/>
    <w:rsid w:val="00DD2A47"/>
    <w:rsid w:val="00DD3897"/>
    <w:rsid w:val="00DD4BDD"/>
    <w:rsid w:val="00DE0B5D"/>
    <w:rsid w:val="00DE1B89"/>
    <w:rsid w:val="00DE22D0"/>
    <w:rsid w:val="00DE2D7D"/>
    <w:rsid w:val="00DE51AD"/>
    <w:rsid w:val="00DE7767"/>
    <w:rsid w:val="00DE77B1"/>
    <w:rsid w:val="00DF2B17"/>
    <w:rsid w:val="00DF5A4F"/>
    <w:rsid w:val="00DF6C3B"/>
    <w:rsid w:val="00E014F2"/>
    <w:rsid w:val="00E02088"/>
    <w:rsid w:val="00E07383"/>
    <w:rsid w:val="00E0777C"/>
    <w:rsid w:val="00E1134C"/>
    <w:rsid w:val="00E11F91"/>
    <w:rsid w:val="00E14AA5"/>
    <w:rsid w:val="00E15A8C"/>
    <w:rsid w:val="00E16026"/>
    <w:rsid w:val="00E17CB2"/>
    <w:rsid w:val="00E20671"/>
    <w:rsid w:val="00E21878"/>
    <w:rsid w:val="00E21CAA"/>
    <w:rsid w:val="00E24F01"/>
    <w:rsid w:val="00E340B5"/>
    <w:rsid w:val="00E351A4"/>
    <w:rsid w:val="00E356BE"/>
    <w:rsid w:val="00E35B5C"/>
    <w:rsid w:val="00E35CD0"/>
    <w:rsid w:val="00E42BE1"/>
    <w:rsid w:val="00E4715F"/>
    <w:rsid w:val="00E479EA"/>
    <w:rsid w:val="00E50D62"/>
    <w:rsid w:val="00E52226"/>
    <w:rsid w:val="00E54C8C"/>
    <w:rsid w:val="00E551E2"/>
    <w:rsid w:val="00E600A7"/>
    <w:rsid w:val="00E616B7"/>
    <w:rsid w:val="00E6725E"/>
    <w:rsid w:val="00E67426"/>
    <w:rsid w:val="00E6754E"/>
    <w:rsid w:val="00E675A2"/>
    <w:rsid w:val="00E67C50"/>
    <w:rsid w:val="00E71E19"/>
    <w:rsid w:val="00E734A1"/>
    <w:rsid w:val="00E7378B"/>
    <w:rsid w:val="00E7427A"/>
    <w:rsid w:val="00E74B02"/>
    <w:rsid w:val="00E80504"/>
    <w:rsid w:val="00E8126E"/>
    <w:rsid w:val="00E81B01"/>
    <w:rsid w:val="00E85A12"/>
    <w:rsid w:val="00E87020"/>
    <w:rsid w:val="00E91591"/>
    <w:rsid w:val="00E916CB"/>
    <w:rsid w:val="00E92160"/>
    <w:rsid w:val="00E93C3D"/>
    <w:rsid w:val="00EA02D2"/>
    <w:rsid w:val="00EA2390"/>
    <w:rsid w:val="00EA4222"/>
    <w:rsid w:val="00EA7A5F"/>
    <w:rsid w:val="00EB3B65"/>
    <w:rsid w:val="00EB44C5"/>
    <w:rsid w:val="00EB4752"/>
    <w:rsid w:val="00EB5F9B"/>
    <w:rsid w:val="00EB6034"/>
    <w:rsid w:val="00EB6728"/>
    <w:rsid w:val="00EB7FE1"/>
    <w:rsid w:val="00EC166A"/>
    <w:rsid w:val="00EC2E6F"/>
    <w:rsid w:val="00EC31A2"/>
    <w:rsid w:val="00ED1428"/>
    <w:rsid w:val="00ED298D"/>
    <w:rsid w:val="00ED757F"/>
    <w:rsid w:val="00ED7AA1"/>
    <w:rsid w:val="00EE0856"/>
    <w:rsid w:val="00EE1487"/>
    <w:rsid w:val="00EE434F"/>
    <w:rsid w:val="00EE4EB9"/>
    <w:rsid w:val="00EE5399"/>
    <w:rsid w:val="00EE5F0E"/>
    <w:rsid w:val="00EE645C"/>
    <w:rsid w:val="00EE7876"/>
    <w:rsid w:val="00EF10C1"/>
    <w:rsid w:val="00EF62A7"/>
    <w:rsid w:val="00EF7161"/>
    <w:rsid w:val="00EF7666"/>
    <w:rsid w:val="00F0300D"/>
    <w:rsid w:val="00F045CA"/>
    <w:rsid w:val="00F04E11"/>
    <w:rsid w:val="00F05002"/>
    <w:rsid w:val="00F07B0D"/>
    <w:rsid w:val="00F07B3B"/>
    <w:rsid w:val="00F07CE6"/>
    <w:rsid w:val="00F10D6E"/>
    <w:rsid w:val="00F218C5"/>
    <w:rsid w:val="00F21B68"/>
    <w:rsid w:val="00F222F0"/>
    <w:rsid w:val="00F26CBA"/>
    <w:rsid w:val="00F369F9"/>
    <w:rsid w:val="00F42970"/>
    <w:rsid w:val="00F43351"/>
    <w:rsid w:val="00F4481B"/>
    <w:rsid w:val="00F4596F"/>
    <w:rsid w:val="00F45B13"/>
    <w:rsid w:val="00F474B7"/>
    <w:rsid w:val="00F55693"/>
    <w:rsid w:val="00F56AEF"/>
    <w:rsid w:val="00F6249D"/>
    <w:rsid w:val="00F63DBB"/>
    <w:rsid w:val="00F63E11"/>
    <w:rsid w:val="00F640BD"/>
    <w:rsid w:val="00F701CE"/>
    <w:rsid w:val="00F72670"/>
    <w:rsid w:val="00F74F65"/>
    <w:rsid w:val="00F757F4"/>
    <w:rsid w:val="00F7594D"/>
    <w:rsid w:val="00F75D24"/>
    <w:rsid w:val="00F76CFC"/>
    <w:rsid w:val="00F775BC"/>
    <w:rsid w:val="00F7771D"/>
    <w:rsid w:val="00F82331"/>
    <w:rsid w:val="00F82BDF"/>
    <w:rsid w:val="00F84C9B"/>
    <w:rsid w:val="00F87968"/>
    <w:rsid w:val="00F87D25"/>
    <w:rsid w:val="00F925FD"/>
    <w:rsid w:val="00F936C0"/>
    <w:rsid w:val="00F94506"/>
    <w:rsid w:val="00F9737E"/>
    <w:rsid w:val="00F97612"/>
    <w:rsid w:val="00F97D73"/>
    <w:rsid w:val="00FA0607"/>
    <w:rsid w:val="00FA23C2"/>
    <w:rsid w:val="00FA3CF0"/>
    <w:rsid w:val="00FA3F93"/>
    <w:rsid w:val="00FB1829"/>
    <w:rsid w:val="00FB19A5"/>
    <w:rsid w:val="00FB3363"/>
    <w:rsid w:val="00FB6F1E"/>
    <w:rsid w:val="00FC1E94"/>
    <w:rsid w:val="00FC3C6B"/>
    <w:rsid w:val="00FC65D3"/>
    <w:rsid w:val="00FD1460"/>
    <w:rsid w:val="00FD2BC9"/>
    <w:rsid w:val="00FD442F"/>
    <w:rsid w:val="00FD50D9"/>
    <w:rsid w:val="00FD600A"/>
    <w:rsid w:val="00FD72A8"/>
    <w:rsid w:val="00FD7907"/>
    <w:rsid w:val="00FE247D"/>
    <w:rsid w:val="00FE27C1"/>
    <w:rsid w:val="00FE3C22"/>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76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390"/>
  </w:style>
  <w:style w:type="paragraph" w:styleId="Heading1">
    <w:name w:val="heading 1"/>
    <w:aliases w:val="Section Header"/>
    <w:basedOn w:val="Normal"/>
    <w:next w:val="Normal"/>
    <w:link w:val="Heading1Char"/>
    <w:uiPriority w:val="9"/>
    <w:qFormat/>
    <w:rsid w:val="001C0F2D"/>
    <w:pPr>
      <w:numPr>
        <w:numId w:val="5"/>
      </w:numPr>
      <w:spacing w:line="480" w:lineRule="auto"/>
      <w:jc w:val="center"/>
      <w:outlineLvl w:val="0"/>
    </w:pPr>
    <w:rPr>
      <w:rFonts w:eastAsia="Times New Roman" w:cs="Times New Roman"/>
      <w:b/>
      <w:szCs w:val="24"/>
    </w:rPr>
  </w:style>
  <w:style w:type="paragraph" w:styleId="Heading2">
    <w:name w:val="heading 2"/>
    <w:aliases w:val="Question"/>
    <w:basedOn w:val="Normal"/>
    <w:next w:val="Normal"/>
    <w:link w:val="Heading2Char"/>
    <w:unhideWhenUsed/>
    <w:qFormat/>
    <w:rsid w:val="00513F2D"/>
    <w:pPr>
      <w:spacing w:line="480" w:lineRule="auto"/>
      <w:ind w:left="720" w:hanging="720"/>
      <w:outlineLvl w:val="1"/>
    </w:pPr>
    <w:rPr>
      <w:rFonts w:eastAsia="Times New Roman" w:cs="Times New Roman"/>
      <w:b/>
      <w:szCs w:val="24"/>
    </w:rPr>
  </w:style>
  <w:style w:type="paragraph" w:styleId="Heading3">
    <w:name w:val="heading 3"/>
    <w:aliases w:val="Sub Heading"/>
    <w:basedOn w:val="Normal"/>
    <w:next w:val="Normal"/>
    <w:link w:val="Heading3Char"/>
    <w:uiPriority w:val="9"/>
    <w:unhideWhenUsed/>
    <w:qFormat/>
    <w:rsid w:val="00535EE8"/>
    <w:pPr>
      <w:spacing w:line="480" w:lineRule="auto"/>
      <w:outlineLvl w:val="2"/>
    </w:pPr>
    <w:rPr>
      <w:rFonts w:cs="Times New Roman"/>
      <w:szCs w:val="24"/>
      <w:u w:val="single"/>
    </w:rPr>
  </w:style>
  <w:style w:type="paragraph" w:styleId="Heading4">
    <w:name w:val="heading 4"/>
    <w:basedOn w:val="NoSpacing"/>
    <w:next w:val="Normal"/>
    <w:link w:val="Heading4Char"/>
    <w:uiPriority w:val="9"/>
    <w:unhideWhenUsed/>
    <w:qFormat/>
    <w:rsid w:val="007F4E3C"/>
    <w:pPr>
      <w:outlineLvl w:val="3"/>
    </w:pPr>
    <w:rPr>
      <w:u w:val="single"/>
    </w:rPr>
  </w:style>
  <w:style w:type="paragraph" w:styleId="Heading5">
    <w:name w:val="heading 5"/>
    <w:basedOn w:val="Normal"/>
    <w:next w:val="Normal"/>
    <w:link w:val="Heading5Char"/>
    <w:uiPriority w:val="9"/>
    <w:unhideWhenUsed/>
    <w:rsid w:val="004F7B4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4F7B4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er Char"/>
    <w:basedOn w:val="DefaultParagraphFont"/>
    <w:link w:val="Heading1"/>
    <w:uiPriority w:val="9"/>
    <w:rsid w:val="001C0F2D"/>
    <w:rPr>
      <w:rFonts w:eastAsia="Times New Roman" w:cs="Times New Roman"/>
      <w:b/>
      <w:szCs w:val="24"/>
    </w:rPr>
  </w:style>
  <w:style w:type="paragraph" w:styleId="Footer">
    <w:name w:val="footer"/>
    <w:basedOn w:val="Normal"/>
    <w:link w:val="FooterChar"/>
    <w:uiPriority w:val="99"/>
    <w:unhideWhenUsed/>
    <w:rsid w:val="004026AD"/>
    <w:pPr>
      <w:tabs>
        <w:tab w:val="center" w:pos="4680"/>
        <w:tab w:val="right" w:pos="9360"/>
      </w:tabs>
    </w:pPr>
  </w:style>
  <w:style w:type="character" w:customStyle="1" w:styleId="FooterChar">
    <w:name w:val="Footer Char"/>
    <w:basedOn w:val="DefaultParagraphFont"/>
    <w:link w:val="Footer"/>
    <w:uiPriority w:val="99"/>
    <w:rsid w:val="004026AD"/>
  </w:style>
  <w:style w:type="character" w:styleId="PageNumber">
    <w:name w:val="page number"/>
    <w:basedOn w:val="DefaultParagraphFont"/>
    <w:uiPriority w:val="99"/>
    <w:rsid w:val="004026AD"/>
    <w:rPr>
      <w:rFonts w:cs="Times New Roman"/>
    </w:rPr>
  </w:style>
  <w:style w:type="character" w:styleId="LineNumber">
    <w:name w:val="line number"/>
    <w:basedOn w:val="DefaultParagraphFont"/>
    <w:uiPriority w:val="99"/>
    <w:semiHidden/>
    <w:unhideWhenUsed/>
    <w:rsid w:val="000E0390"/>
    <w:rPr>
      <w:rFonts w:ascii="Times New Roman" w:hAnsi="Times New Roman"/>
      <w:sz w:val="24"/>
    </w:rPr>
  </w:style>
  <w:style w:type="paragraph" w:styleId="Header">
    <w:name w:val="header"/>
    <w:basedOn w:val="Normal"/>
    <w:link w:val="HeaderChar"/>
    <w:uiPriority w:val="99"/>
    <w:unhideWhenUsed/>
    <w:rsid w:val="00CC09B5"/>
    <w:pPr>
      <w:tabs>
        <w:tab w:val="center" w:pos="4680"/>
        <w:tab w:val="right" w:pos="9360"/>
      </w:tabs>
    </w:pPr>
  </w:style>
  <w:style w:type="character" w:customStyle="1" w:styleId="HeaderChar">
    <w:name w:val="Header Char"/>
    <w:basedOn w:val="DefaultParagraphFont"/>
    <w:link w:val="Header"/>
    <w:uiPriority w:val="99"/>
    <w:rsid w:val="00CC09B5"/>
  </w:style>
  <w:style w:type="paragraph" w:styleId="NoSpacing">
    <w:name w:val="No Spacing"/>
    <w:aliases w:val="Answer"/>
    <w:basedOn w:val="Normal"/>
    <w:link w:val="NoSpacingChar"/>
    <w:qFormat/>
    <w:rsid w:val="00351AA1"/>
    <w:pPr>
      <w:spacing w:line="480" w:lineRule="auto"/>
      <w:ind w:left="720" w:hanging="720"/>
    </w:pPr>
    <w:rPr>
      <w:rFonts w:eastAsia="Times New Roman" w:cs="Times New Roman"/>
      <w:szCs w:val="24"/>
    </w:rPr>
  </w:style>
  <w:style w:type="character" w:customStyle="1" w:styleId="Heading2Char">
    <w:name w:val="Heading 2 Char"/>
    <w:aliases w:val="Question Char"/>
    <w:basedOn w:val="DefaultParagraphFont"/>
    <w:link w:val="Heading2"/>
    <w:rsid w:val="00513F2D"/>
    <w:rPr>
      <w:rFonts w:ascii="Times New Roman" w:eastAsia="Times New Roman" w:hAnsi="Times New Roman" w:cs="Times New Roman"/>
      <w:b/>
      <w:sz w:val="24"/>
      <w:szCs w:val="24"/>
    </w:rPr>
  </w:style>
  <w:style w:type="paragraph" w:styleId="ListParagraph">
    <w:name w:val="List Paragraph"/>
    <w:basedOn w:val="Normal"/>
    <w:uiPriority w:val="34"/>
    <w:qFormat/>
    <w:rsid w:val="00473BD6"/>
    <w:pPr>
      <w:ind w:left="720"/>
      <w:contextualSpacing/>
    </w:pPr>
  </w:style>
  <w:style w:type="character" w:styleId="Hyperlink">
    <w:name w:val="Hyperlink"/>
    <w:basedOn w:val="DefaultParagraphFont"/>
    <w:uiPriority w:val="99"/>
    <w:unhideWhenUsed/>
    <w:rsid w:val="00305402"/>
    <w:rPr>
      <w:color w:val="0000FF" w:themeColor="hyperlink"/>
      <w:u w:val="single"/>
    </w:rPr>
  </w:style>
  <w:style w:type="character" w:styleId="CommentReference">
    <w:name w:val="annotation reference"/>
    <w:basedOn w:val="DefaultParagraphFont"/>
    <w:semiHidden/>
    <w:unhideWhenUsed/>
    <w:rsid w:val="00D32E7E"/>
    <w:rPr>
      <w:sz w:val="16"/>
      <w:szCs w:val="16"/>
    </w:rPr>
  </w:style>
  <w:style w:type="paragraph" w:styleId="CommentText">
    <w:name w:val="annotation text"/>
    <w:basedOn w:val="Normal"/>
    <w:link w:val="CommentTextChar"/>
    <w:unhideWhenUsed/>
    <w:rsid w:val="00D32E7E"/>
    <w:rPr>
      <w:sz w:val="20"/>
    </w:rPr>
  </w:style>
  <w:style w:type="character" w:customStyle="1" w:styleId="CommentTextChar">
    <w:name w:val="Comment Text Char"/>
    <w:basedOn w:val="DefaultParagraphFont"/>
    <w:link w:val="CommentText"/>
    <w:uiPriority w:val="99"/>
    <w:rsid w:val="00D32E7E"/>
    <w:rPr>
      <w:sz w:val="20"/>
      <w:szCs w:val="20"/>
    </w:rPr>
  </w:style>
  <w:style w:type="paragraph" w:styleId="CommentSubject">
    <w:name w:val="annotation subject"/>
    <w:basedOn w:val="CommentText"/>
    <w:next w:val="CommentText"/>
    <w:link w:val="CommentSubjectChar"/>
    <w:uiPriority w:val="99"/>
    <w:semiHidden/>
    <w:unhideWhenUsed/>
    <w:rsid w:val="00D32E7E"/>
    <w:rPr>
      <w:b/>
      <w:bCs/>
    </w:rPr>
  </w:style>
  <w:style w:type="character" w:customStyle="1" w:styleId="CommentSubjectChar">
    <w:name w:val="Comment Subject Char"/>
    <w:basedOn w:val="CommentTextChar"/>
    <w:link w:val="CommentSubject"/>
    <w:uiPriority w:val="99"/>
    <w:semiHidden/>
    <w:rsid w:val="00D32E7E"/>
    <w:rPr>
      <w:b/>
      <w:bCs/>
      <w:sz w:val="20"/>
      <w:szCs w:val="20"/>
    </w:rPr>
  </w:style>
  <w:style w:type="paragraph" w:styleId="BalloonText">
    <w:name w:val="Balloon Text"/>
    <w:basedOn w:val="Normal"/>
    <w:link w:val="BalloonTextChar"/>
    <w:uiPriority w:val="99"/>
    <w:semiHidden/>
    <w:unhideWhenUsed/>
    <w:rsid w:val="00D32E7E"/>
    <w:rPr>
      <w:rFonts w:ascii="Tahoma" w:hAnsi="Tahoma" w:cs="Tahoma"/>
      <w:sz w:val="16"/>
      <w:szCs w:val="16"/>
    </w:rPr>
  </w:style>
  <w:style w:type="character" w:customStyle="1" w:styleId="BalloonTextChar">
    <w:name w:val="Balloon Text Char"/>
    <w:basedOn w:val="DefaultParagraphFont"/>
    <w:link w:val="BalloonText"/>
    <w:uiPriority w:val="99"/>
    <w:semiHidden/>
    <w:rsid w:val="00D32E7E"/>
    <w:rPr>
      <w:rFonts w:ascii="Tahoma" w:hAnsi="Tahoma" w:cs="Tahoma"/>
      <w:sz w:val="16"/>
      <w:szCs w:val="16"/>
    </w:rPr>
  </w:style>
  <w:style w:type="paragraph" w:styleId="TOCHeading">
    <w:name w:val="TOC Heading"/>
    <w:basedOn w:val="Heading1"/>
    <w:next w:val="Normal"/>
    <w:uiPriority w:val="39"/>
    <w:unhideWhenUsed/>
    <w:qFormat/>
    <w:rsid w:val="008004C0"/>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unhideWhenUsed/>
    <w:qFormat/>
    <w:rsid w:val="00141047"/>
    <w:pPr>
      <w:tabs>
        <w:tab w:val="left" w:pos="720"/>
        <w:tab w:val="left" w:pos="1440"/>
        <w:tab w:val="right" w:leader="dot" w:pos="9350"/>
      </w:tabs>
      <w:spacing w:after="100" w:line="276" w:lineRule="auto"/>
      <w:ind w:left="720"/>
    </w:pPr>
    <w:rPr>
      <w:rFonts w:eastAsiaTheme="minorEastAsia"/>
      <w:lang w:eastAsia="ja-JP"/>
    </w:rPr>
  </w:style>
  <w:style w:type="paragraph" w:styleId="TOC1">
    <w:name w:val="toc 1"/>
    <w:basedOn w:val="Normal"/>
    <w:next w:val="Normal"/>
    <w:autoRedefine/>
    <w:uiPriority w:val="39"/>
    <w:unhideWhenUsed/>
    <w:qFormat/>
    <w:rsid w:val="00EF7666"/>
    <w:pPr>
      <w:tabs>
        <w:tab w:val="left" w:pos="630"/>
        <w:tab w:val="left" w:pos="1080"/>
        <w:tab w:val="left" w:pos="1530"/>
        <w:tab w:val="right" w:leader="dot" w:pos="9350"/>
      </w:tabs>
      <w:spacing w:after="100" w:line="276" w:lineRule="auto"/>
      <w:jc w:val="right"/>
    </w:pPr>
    <w:rPr>
      <w:rFonts w:eastAsiaTheme="minorEastAsia"/>
      <w:lang w:eastAsia="ja-JP"/>
    </w:rPr>
  </w:style>
  <w:style w:type="paragraph" w:styleId="TOC3">
    <w:name w:val="toc 3"/>
    <w:basedOn w:val="Normal"/>
    <w:next w:val="Normal"/>
    <w:autoRedefine/>
    <w:uiPriority w:val="39"/>
    <w:unhideWhenUsed/>
    <w:qFormat/>
    <w:rsid w:val="00347588"/>
    <w:pPr>
      <w:tabs>
        <w:tab w:val="left" w:pos="1080"/>
        <w:tab w:val="right" w:leader="dot" w:pos="9350"/>
      </w:tabs>
      <w:spacing w:after="100" w:line="276" w:lineRule="auto"/>
      <w:ind w:left="2160" w:hanging="630"/>
    </w:pPr>
    <w:rPr>
      <w:rFonts w:eastAsiaTheme="minorEastAsia"/>
      <w:lang w:eastAsia="ja-JP"/>
    </w:rPr>
  </w:style>
  <w:style w:type="character" w:styleId="Strong">
    <w:name w:val="Strong"/>
    <w:basedOn w:val="DefaultParagraphFont"/>
    <w:uiPriority w:val="22"/>
    <w:qFormat/>
    <w:rsid w:val="008004C0"/>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6B3F01"/>
    <w:rPr>
      <w:sz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sid w:val="006B3F01"/>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nhideWhenUsed/>
    <w:qFormat/>
    <w:rsid w:val="006B3F01"/>
    <w:rPr>
      <w:vertAlign w:val="superscript"/>
    </w:rPr>
  </w:style>
  <w:style w:type="paragraph" w:styleId="Title">
    <w:name w:val="Title"/>
    <w:basedOn w:val="Normal"/>
    <w:next w:val="Normal"/>
    <w:link w:val="TitleChar"/>
    <w:uiPriority w:val="10"/>
    <w:qFormat/>
    <w:rsid w:val="00EB47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4752"/>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577A15"/>
  </w:style>
  <w:style w:type="character" w:customStyle="1" w:styleId="Heading3Char">
    <w:name w:val="Heading 3 Char"/>
    <w:aliases w:val="Sub Heading Char"/>
    <w:basedOn w:val="DefaultParagraphFont"/>
    <w:link w:val="Heading3"/>
    <w:uiPriority w:val="9"/>
    <w:rsid w:val="00535EE8"/>
    <w:rPr>
      <w:rFonts w:ascii="Times New Roman" w:hAnsi="Times New Roman" w:cs="Times New Roman"/>
      <w:sz w:val="24"/>
      <w:szCs w:val="24"/>
      <w:u w:val="single"/>
    </w:rPr>
  </w:style>
  <w:style w:type="numbering" w:customStyle="1" w:styleId="TestimonyStyle">
    <w:name w:val="Testimony Style"/>
    <w:uiPriority w:val="99"/>
    <w:rsid w:val="00B778CF"/>
    <w:pPr>
      <w:numPr>
        <w:numId w:val="22"/>
      </w:numPr>
    </w:pPr>
  </w:style>
  <w:style w:type="table" w:styleId="TableGrid">
    <w:name w:val="Table Grid"/>
    <w:basedOn w:val="TableNormal"/>
    <w:uiPriority w:val="59"/>
    <w:rsid w:val="00F07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F4E3C"/>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uiPriority w:val="9"/>
    <w:rsid w:val="004F7B4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4F7B4A"/>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rsid w:val="009C376F"/>
    <w:pPr>
      <w:spacing w:after="220" w:line="180" w:lineRule="atLeast"/>
      <w:ind w:left="835"/>
      <w:jc w:val="both"/>
    </w:pPr>
    <w:rPr>
      <w:rFonts w:ascii="Arial" w:eastAsia="Calibri" w:hAnsi="Arial" w:cs="Times New Roman"/>
      <w:spacing w:val="-5"/>
      <w:lang w:val="x-none" w:eastAsia="x-none"/>
    </w:rPr>
  </w:style>
  <w:style w:type="character" w:customStyle="1" w:styleId="BodyTextChar">
    <w:name w:val="Body Text Char"/>
    <w:basedOn w:val="DefaultParagraphFont"/>
    <w:link w:val="BodyText"/>
    <w:uiPriority w:val="99"/>
    <w:rsid w:val="009C376F"/>
    <w:rPr>
      <w:rFonts w:ascii="Arial" w:eastAsia="Calibri" w:hAnsi="Arial" w:cs="Times New Roman"/>
      <w:spacing w:val="-5"/>
      <w:sz w:val="24"/>
      <w:szCs w:val="20"/>
      <w:lang w:val="x-none" w:eastAsia="x-none"/>
    </w:rPr>
  </w:style>
  <w:style w:type="character" w:customStyle="1" w:styleId="T11">
    <w:name w:val="T11"/>
    <w:hidden/>
    <w:rsid w:val="00AF5598"/>
    <w:rPr>
      <w:b/>
    </w:rPr>
  </w:style>
  <w:style w:type="paragraph" w:styleId="BodyTextIndent">
    <w:name w:val="Body Text Indent"/>
    <w:basedOn w:val="Normal"/>
    <w:link w:val="BodyTextIndentChar"/>
    <w:uiPriority w:val="99"/>
    <w:unhideWhenUsed/>
    <w:rsid w:val="00AF5598"/>
    <w:pPr>
      <w:spacing w:after="120"/>
      <w:ind w:left="360"/>
    </w:pPr>
    <w:rPr>
      <w:rFonts w:cs="Times New Roman"/>
      <w:szCs w:val="24"/>
    </w:rPr>
  </w:style>
  <w:style w:type="character" w:customStyle="1" w:styleId="BodyTextIndentChar">
    <w:name w:val="Body Text Indent Char"/>
    <w:basedOn w:val="DefaultParagraphFont"/>
    <w:link w:val="BodyTextIndent"/>
    <w:uiPriority w:val="99"/>
    <w:rsid w:val="00AF5598"/>
    <w:rPr>
      <w:rFonts w:ascii="Times New Roman" w:hAnsi="Times New Roman" w:cs="Times New Roman"/>
      <w:sz w:val="24"/>
      <w:szCs w:val="24"/>
    </w:rPr>
  </w:style>
  <w:style w:type="character" w:customStyle="1" w:styleId="NoSpacingChar">
    <w:name w:val="No Spacing Char"/>
    <w:aliases w:val="Answer Char"/>
    <w:basedOn w:val="DefaultParagraphFont"/>
    <w:link w:val="NoSpacing"/>
    <w:rsid w:val="00AF5598"/>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653AD3"/>
    <w:pPr>
      <w:spacing w:after="120" w:line="480" w:lineRule="auto"/>
      <w:ind w:left="360"/>
    </w:pPr>
  </w:style>
  <w:style w:type="character" w:customStyle="1" w:styleId="BodyTextIndent2Char">
    <w:name w:val="Body Text Indent 2 Char"/>
    <w:basedOn w:val="DefaultParagraphFont"/>
    <w:link w:val="BodyTextIndent2"/>
    <w:uiPriority w:val="99"/>
    <w:semiHidden/>
    <w:rsid w:val="00653AD3"/>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590D3D"/>
    <w:rPr>
      <w:sz w:val="22"/>
    </w:rPr>
  </w:style>
  <w:style w:type="table" w:customStyle="1" w:styleId="TableGridLight1">
    <w:name w:val="Table Grid Light1"/>
    <w:basedOn w:val="TableNormal"/>
    <w:uiPriority w:val="40"/>
    <w:rsid w:val="00BD4EA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lockText">
    <w:name w:val="Block Text"/>
    <w:basedOn w:val="Normal"/>
    <w:semiHidden/>
    <w:unhideWhenUsed/>
    <w:rsid w:val="00683785"/>
    <w:pPr>
      <w:spacing w:line="480" w:lineRule="auto"/>
      <w:ind w:left="2160" w:right="1440"/>
    </w:pPr>
    <w:rPr>
      <w:rFonts w:ascii="Palatino Linotype" w:eastAsia="Times New Roman" w:hAnsi="Palatino Linotyp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390"/>
  </w:style>
  <w:style w:type="paragraph" w:styleId="Heading1">
    <w:name w:val="heading 1"/>
    <w:aliases w:val="Section Header"/>
    <w:basedOn w:val="Normal"/>
    <w:next w:val="Normal"/>
    <w:link w:val="Heading1Char"/>
    <w:uiPriority w:val="9"/>
    <w:qFormat/>
    <w:rsid w:val="001C0F2D"/>
    <w:pPr>
      <w:numPr>
        <w:numId w:val="5"/>
      </w:numPr>
      <w:spacing w:line="480" w:lineRule="auto"/>
      <w:jc w:val="center"/>
      <w:outlineLvl w:val="0"/>
    </w:pPr>
    <w:rPr>
      <w:rFonts w:eastAsia="Times New Roman" w:cs="Times New Roman"/>
      <w:b/>
      <w:szCs w:val="24"/>
    </w:rPr>
  </w:style>
  <w:style w:type="paragraph" w:styleId="Heading2">
    <w:name w:val="heading 2"/>
    <w:aliases w:val="Question"/>
    <w:basedOn w:val="Normal"/>
    <w:next w:val="Normal"/>
    <w:link w:val="Heading2Char"/>
    <w:unhideWhenUsed/>
    <w:qFormat/>
    <w:rsid w:val="00513F2D"/>
    <w:pPr>
      <w:spacing w:line="480" w:lineRule="auto"/>
      <w:ind w:left="720" w:hanging="720"/>
      <w:outlineLvl w:val="1"/>
    </w:pPr>
    <w:rPr>
      <w:rFonts w:eastAsia="Times New Roman" w:cs="Times New Roman"/>
      <w:b/>
      <w:szCs w:val="24"/>
    </w:rPr>
  </w:style>
  <w:style w:type="paragraph" w:styleId="Heading3">
    <w:name w:val="heading 3"/>
    <w:aliases w:val="Sub Heading"/>
    <w:basedOn w:val="Normal"/>
    <w:next w:val="Normal"/>
    <w:link w:val="Heading3Char"/>
    <w:uiPriority w:val="9"/>
    <w:unhideWhenUsed/>
    <w:qFormat/>
    <w:rsid w:val="00535EE8"/>
    <w:pPr>
      <w:spacing w:line="480" w:lineRule="auto"/>
      <w:outlineLvl w:val="2"/>
    </w:pPr>
    <w:rPr>
      <w:rFonts w:cs="Times New Roman"/>
      <w:szCs w:val="24"/>
      <w:u w:val="single"/>
    </w:rPr>
  </w:style>
  <w:style w:type="paragraph" w:styleId="Heading4">
    <w:name w:val="heading 4"/>
    <w:basedOn w:val="NoSpacing"/>
    <w:next w:val="Normal"/>
    <w:link w:val="Heading4Char"/>
    <w:uiPriority w:val="9"/>
    <w:unhideWhenUsed/>
    <w:qFormat/>
    <w:rsid w:val="007F4E3C"/>
    <w:pPr>
      <w:outlineLvl w:val="3"/>
    </w:pPr>
    <w:rPr>
      <w:u w:val="single"/>
    </w:rPr>
  </w:style>
  <w:style w:type="paragraph" w:styleId="Heading5">
    <w:name w:val="heading 5"/>
    <w:basedOn w:val="Normal"/>
    <w:next w:val="Normal"/>
    <w:link w:val="Heading5Char"/>
    <w:uiPriority w:val="9"/>
    <w:unhideWhenUsed/>
    <w:rsid w:val="004F7B4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4F7B4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er Char"/>
    <w:basedOn w:val="DefaultParagraphFont"/>
    <w:link w:val="Heading1"/>
    <w:uiPriority w:val="9"/>
    <w:rsid w:val="001C0F2D"/>
    <w:rPr>
      <w:rFonts w:eastAsia="Times New Roman" w:cs="Times New Roman"/>
      <w:b/>
      <w:szCs w:val="24"/>
    </w:rPr>
  </w:style>
  <w:style w:type="paragraph" w:styleId="Footer">
    <w:name w:val="footer"/>
    <w:basedOn w:val="Normal"/>
    <w:link w:val="FooterChar"/>
    <w:uiPriority w:val="99"/>
    <w:unhideWhenUsed/>
    <w:rsid w:val="004026AD"/>
    <w:pPr>
      <w:tabs>
        <w:tab w:val="center" w:pos="4680"/>
        <w:tab w:val="right" w:pos="9360"/>
      </w:tabs>
    </w:pPr>
  </w:style>
  <w:style w:type="character" w:customStyle="1" w:styleId="FooterChar">
    <w:name w:val="Footer Char"/>
    <w:basedOn w:val="DefaultParagraphFont"/>
    <w:link w:val="Footer"/>
    <w:uiPriority w:val="99"/>
    <w:rsid w:val="004026AD"/>
  </w:style>
  <w:style w:type="character" w:styleId="PageNumber">
    <w:name w:val="page number"/>
    <w:basedOn w:val="DefaultParagraphFont"/>
    <w:uiPriority w:val="99"/>
    <w:rsid w:val="004026AD"/>
    <w:rPr>
      <w:rFonts w:cs="Times New Roman"/>
    </w:rPr>
  </w:style>
  <w:style w:type="character" w:styleId="LineNumber">
    <w:name w:val="line number"/>
    <w:basedOn w:val="DefaultParagraphFont"/>
    <w:uiPriority w:val="99"/>
    <w:semiHidden/>
    <w:unhideWhenUsed/>
    <w:rsid w:val="000E0390"/>
    <w:rPr>
      <w:rFonts w:ascii="Times New Roman" w:hAnsi="Times New Roman"/>
      <w:sz w:val="24"/>
    </w:rPr>
  </w:style>
  <w:style w:type="paragraph" w:styleId="Header">
    <w:name w:val="header"/>
    <w:basedOn w:val="Normal"/>
    <w:link w:val="HeaderChar"/>
    <w:uiPriority w:val="99"/>
    <w:unhideWhenUsed/>
    <w:rsid w:val="00CC09B5"/>
    <w:pPr>
      <w:tabs>
        <w:tab w:val="center" w:pos="4680"/>
        <w:tab w:val="right" w:pos="9360"/>
      </w:tabs>
    </w:pPr>
  </w:style>
  <w:style w:type="character" w:customStyle="1" w:styleId="HeaderChar">
    <w:name w:val="Header Char"/>
    <w:basedOn w:val="DefaultParagraphFont"/>
    <w:link w:val="Header"/>
    <w:uiPriority w:val="99"/>
    <w:rsid w:val="00CC09B5"/>
  </w:style>
  <w:style w:type="paragraph" w:styleId="NoSpacing">
    <w:name w:val="No Spacing"/>
    <w:aliases w:val="Answer"/>
    <w:basedOn w:val="Normal"/>
    <w:link w:val="NoSpacingChar"/>
    <w:qFormat/>
    <w:rsid w:val="00351AA1"/>
    <w:pPr>
      <w:spacing w:line="480" w:lineRule="auto"/>
      <w:ind w:left="720" w:hanging="720"/>
    </w:pPr>
    <w:rPr>
      <w:rFonts w:eastAsia="Times New Roman" w:cs="Times New Roman"/>
      <w:szCs w:val="24"/>
    </w:rPr>
  </w:style>
  <w:style w:type="character" w:customStyle="1" w:styleId="Heading2Char">
    <w:name w:val="Heading 2 Char"/>
    <w:aliases w:val="Question Char"/>
    <w:basedOn w:val="DefaultParagraphFont"/>
    <w:link w:val="Heading2"/>
    <w:rsid w:val="00513F2D"/>
    <w:rPr>
      <w:rFonts w:ascii="Times New Roman" w:eastAsia="Times New Roman" w:hAnsi="Times New Roman" w:cs="Times New Roman"/>
      <w:b/>
      <w:sz w:val="24"/>
      <w:szCs w:val="24"/>
    </w:rPr>
  </w:style>
  <w:style w:type="paragraph" w:styleId="ListParagraph">
    <w:name w:val="List Paragraph"/>
    <w:basedOn w:val="Normal"/>
    <w:uiPriority w:val="34"/>
    <w:qFormat/>
    <w:rsid w:val="00473BD6"/>
    <w:pPr>
      <w:ind w:left="720"/>
      <w:contextualSpacing/>
    </w:pPr>
  </w:style>
  <w:style w:type="character" w:styleId="Hyperlink">
    <w:name w:val="Hyperlink"/>
    <w:basedOn w:val="DefaultParagraphFont"/>
    <w:uiPriority w:val="99"/>
    <w:unhideWhenUsed/>
    <w:rsid w:val="00305402"/>
    <w:rPr>
      <w:color w:val="0000FF" w:themeColor="hyperlink"/>
      <w:u w:val="single"/>
    </w:rPr>
  </w:style>
  <w:style w:type="character" w:styleId="CommentReference">
    <w:name w:val="annotation reference"/>
    <w:basedOn w:val="DefaultParagraphFont"/>
    <w:semiHidden/>
    <w:unhideWhenUsed/>
    <w:rsid w:val="00D32E7E"/>
    <w:rPr>
      <w:sz w:val="16"/>
      <w:szCs w:val="16"/>
    </w:rPr>
  </w:style>
  <w:style w:type="paragraph" w:styleId="CommentText">
    <w:name w:val="annotation text"/>
    <w:basedOn w:val="Normal"/>
    <w:link w:val="CommentTextChar"/>
    <w:unhideWhenUsed/>
    <w:rsid w:val="00D32E7E"/>
    <w:rPr>
      <w:sz w:val="20"/>
    </w:rPr>
  </w:style>
  <w:style w:type="character" w:customStyle="1" w:styleId="CommentTextChar">
    <w:name w:val="Comment Text Char"/>
    <w:basedOn w:val="DefaultParagraphFont"/>
    <w:link w:val="CommentText"/>
    <w:uiPriority w:val="99"/>
    <w:rsid w:val="00D32E7E"/>
    <w:rPr>
      <w:sz w:val="20"/>
      <w:szCs w:val="20"/>
    </w:rPr>
  </w:style>
  <w:style w:type="paragraph" w:styleId="CommentSubject">
    <w:name w:val="annotation subject"/>
    <w:basedOn w:val="CommentText"/>
    <w:next w:val="CommentText"/>
    <w:link w:val="CommentSubjectChar"/>
    <w:uiPriority w:val="99"/>
    <w:semiHidden/>
    <w:unhideWhenUsed/>
    <w:rsid w:val="00D32E7E"/>
    <w:rPr>
      <w:b/>
      <w:bCs/>
    </w:rPr>
  </w:style>
  <w:style w:type="character" w:customStyle="1" w:styleId="CommentSubjectChar">
    <w:name w:val="Comment Subject Char"/>
    <w:basedOn w:val="CommentTextChar"/>
    <w:link w:val="CommentSubject"/>
    <w:uiPriority w:val="99"/>
    <w:semiHidden/>
    <w:rsid w:val="00D32E7E"/>
    <w:rPr>
      <w:b/>
      <w:bCs/>
      <w:sz w:val="20"/>
      <w:szCs w:val="20"/>
    </w:rPr>
  </w:style>
  <w:style w:type="paragraph" w:styleId="BalloonText">
    <w:name w:val="Balloon Text"/>
    <w:basedOn w:val="Normal"/>
    <w:link w:val="BalloonTextChar"/>
    <w:uiPriority w:val="99"/>
    <w:semiHidden/>
    <w:unhideWhenUsed/>
    <w:rsid w:val="00D32E7E"/>
    <w:rPr>
      <w:rFonts w:ascii="Tahoma" w:hAnsi="Tahoma" w:cs="Tahoma"/>
      <w:sz w:val="16"/>
      <w:szCs w:val="16"/>
    </w:rPr>
  </w:style>
  <w:style w:type="character" w:customStyle="1" w:styleId="BalloonTextChar">
    <w:name w:val="Balloon Text Char"/>
    <w:basedOn w:val="DefaultParagraphFont"/>
    <w:link w:val="BalloonText"/>
    <w:uiPriority w:val="99"/>
    <w:semiHidden/>
    <w:rsid w:val="00D32E7E"/>
    <w:rPr>
      <w:rFonts w:ascii="Tahoma" w:hAnsi="Tahoma" w:cs="Tahoma"/>
      <w:sz w:val="16"/>
      <w:szCs w:val="16"/>
    </w:rPr>
  </w:style>
  <w:style w:type="paragraph" w:styleId="TOCHeading">
    <w:name w:val="TOC Heading"/>
    <w:basedOn w:val="Heading1"/>
    <w:next w:val="Normal"/>
    <w:uiPriority w:val="39"/>
    <w:unhideWhenUsed/>
    <w:qFormat/>
    <w:rsid w:val="008004C0"/>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unhideWhenUsed/>
    <w:qFormat/>
    <w:rsid w:val="00141047"/>
    <w:pPr>
      <w:tabs>
        <w:tab w:val="left" w:pos="720"/>
        <w:tab w:val="left" w:pos="1440"/>
        <w:tab w:val="right" w:leader="dot" w:pos="9350"/>
      </w:tabs>
      <w:spacing w:after="100" w:line="276" w:lineRule="auto"/>
      <w:ind w:left="720"/>
    </w:pPr>
    <w:rPr>
      <w:rFonts w:eastAsiaTheme="minorEastAsia"/>
      <w:lang w:eastAsia="ja-JP"/>
    </w:rPr>
  </w:style>
  <w:style w:type="paragraph" w:styleId="TOC1">
    <w:name w:val="toc 1"/>
    <w:basedOn w:val="Normal"/>
    <w:next w:val="Normal"/>
    <w:autoRedefine/>
    <w:uiPriority w:val="39"/>
    <w:unhideWhenUsed/>
    <w:qFormat/>
    <w:rsid w:val="00EF7666"/>
    <w:pPr>
      <w:tabs>
        <w:tab w:val="left" w:pos="630"/>
        <w:tab w:val="left" w:pos="1080"/>
        <w:tab w:val="left" w:pos="1530"/>
        <w:tab w:val="right" w:leader="dot" w:pos="9350"/>
      </w:tabs>
      <w:spacing w:after="100" w:line="276" w:lineRule="auto"/>
      <w:jc w:val="right"/>
    </w:pPr>
    <w:rPr>
      <w:rFonts w:eastAsiaTheme="minorEastAsia"/>
      <w:lang w:eastAsia="ja-JP"/>
    </w:rPr>
  </w:style>
  <w:style w:type="paragraph" w:styleId="TOC3">
    <w:name w:val="toc 3"/>
    <w:basedOn w:val="Normal"/>
    <w:next w:val="Normal"/>
    <w:autoRedefine/>
    <w:uiPriority w:val="39"/>
    <w:unhideWhenUsed/>
    <w:qFormat/>
    <w:rsid w:val="00347588"/>
    <w:pPr>
      <w:tabs>
        <w:tab w:val="left" w:pos="1080"/>
        <w:tab w:val="right" w:leader="dot" w:pos="9350"/>
      </w:tabs>
      <w:spacing w:after="100" w:line="276" w:lineRule="auto"/>
      <w:ind w:left="2160" w:hanging="630"/>
    </w:pPr>
    <w:rPr>
      <w:rFonts w:eastAsiaTheme="minorEastAsia"/>
      <w:lang w:eastAsia="ja-JP"/>
    </w:rPr>
  </w:style>
  <w:style w:type="character" w:styleId="Strong">
    <w:name w:val="Strong"/>
    <w:basedOn w:val="DefaultParagraphFont"/>
    <w:uiPriority w:val="22"/>
    <w:qFormat/>
    <w:rsid w:val="008004C0"/>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6B3F01"/>
    <w:rPr>
      <w:sz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sid w:val="006B3F01"/>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nhideWhenUsed/>
    <w:qFormat/>
    <w:rsid w:val="006B3F01"/>
    <w:rPr>
      <w:vertAlign w:val="superscript"/>
    </w:rPr>
  </w:style>
  <w:style w:type="paragraph" w:styleId="Title">
    <w:name w:val="Title"/>
    <w:basedOn w:val="Normal"/>
    <w:next w:val="Normal"/>
    <w:link w:val="TitleChar"/>
    <w:uiPriority w:val="10"/>
    <w:qFormat/>
    <w:rsid w:val="00EB47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4752"/>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577A15"/>
  </w:style>
  <w:style w:type="character" w:customStyle="1" w:styleId="Heading3Char">
    <w:name w:val="Heading 3 Char"/>
    <w:aliases w:val="Sub Heading Char"/>
    <w:basedOn w:val="DefaultParagraphFont"/>
    <w:link w:val="Heading3"/>
    <w:uiPriority w:val="9"/>
    <w:rsid w:val="00535EE8"/>
    <w:rPr>
      <w:rFonts w:ascii="Times New Roman" w:hAnsi="Times New Roman" w:cs="Times New Roman"/>
      <w:sz w:val="24"/>
      <w:szCs w:val="24"/>
      <w:u w:val="single"/>
    </w:rPr>
  </w:style>
  <w:style w:type="numbering" w:customStyle="1" w:styleId="TestimonyStyle">
    <w:name w:val="Testimony Style"/>
    <w:uiPriority w:val="99"/>
    <w:rsid w:val="00B778CF"/>
    <w:pPr>
      <w:numPr>
        <w:numId w:val="22"/>
      </w:numPr>
    </w:pPr>
  </w:style>
  <w:style w:type="table" w:styleId="TableGrid">
    <w:name w:val="Table Grid"/>
    <w:basedOn w:val="TableNormal"/>
    <w:uiPriority w:val="59"/>
    <w:rsid w:val="00F07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F4E3C"/>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uiPriority w:val="9"/>
    <w:rsid w:val="004F7B4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4F7B4A"/>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rsid w:val="009C376F"/>
    <w:pPr>
      <w:spacing w:after="220" w:line="180" w:lineRule="atLeast"/>
      <w:ind w:left="835"/>
      <w:jc w:val="both"/>
    </w:pPr>
    <w:rPr>
      <w:rFonts w:ascii="Arial" w:eastAsia="Calibri" w:hAnsi="Arial" w:cs="Times New Roman"/>
      <w:spacing w:val="-5"/>
      <w:lang w:val="x-none" w:eastAsia="x-none"/>
    </w:rPr>
  </w:style>
  <w:style w:type="character" w:customStyle="1" w:styleId="BodyTextChar">
    <w:name w:val="Body Text Char"/>
    <w:basedOn w:val="DefaultParagraphFont"/>
    <w:link w:val="BodyText"/>
    <w:uiPriority w:val="99"/>
    <w:rsid w:val="009C376F"/>
    <w:rPr>
      <w:rFonts w:ascii="Arial" w:eastAsia="Calibri" w:hAnsi="Arial" w:cs="Times New Roman"/>
      <w:spacing w:val="-5"/>
      <w:sz w:val="24"/>
      <w:szCs w:val="20"/>
      <w:lang w:val="x-none" w:eastAsia="x-none"/>
    </w:rPr>
  </w:style>
  <w:style w:type="character" w:customStyle="1" w:styleId="T11">
    <w:name w:val="T11"/>
    <w:hidden/>
    <w:rsid w:val="00AF5598"/>
    <w:rPr>
      <w:b/>
    </w:rPr>
  </w:style>
  <w:style w:type="paragraph" w:styleId="BodyTextIndent">
    <w:name w:val="Body Text Indent"/>
    <w:basedOn w:val="Normal"/>
    <w:link w:val="BodyTextIndentChar"/>
    <w:uiPriority w:val="99"/>
    <w:unhideWhenUsed/>
    <w:rsid w:val="00AF5598"/>
    <w:pPr>
      <w:spacing w:after="120"/>
      <w:ind w:left="360"/>
    </w:pPr>
    <w:rPr>
      <w:rFonts w:cs="Times New Roman"/>
      <w:szCs w:val="24"/>
    </w:rPr>
  </w:style>
  <w:style w:type="character" w:customStyle="1" w:styleId="BodyTextIndentChar">
    <w:name w:val="Body Text Indent Char"/>
    <w:basedOn w:val="DefaultParagraphFont"/>
    <w:link w:val="BodyTextIndent"/>
    <w:uiPriority w:val="99"/>
    <w:rsid w:val="00AF5598"/>
    <w:rPr>
      <w:rFonts w:ascii="Times New Roman" w:hAnsi="Times New Roman" w:cs="Times New Roman"/>
      <w:sz w:val="24"/>
      <w:szCs w:val="24"/>
    </w:rPr>
  </w:style>
  <w:style w:type="character" w:customStyle="1" w:styleId="NoSpacingChar">
    <w:name w:val="No Spacing Char"/>
    <w:aliases w:val="Answer Char"/>
    <w:basedOn w:val="DefaultParagraphFont"/>
    <w:link w:val="NoSpacing"/>
    <w:rsid w:val="00AF5598"/>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653AD3"/>
    <w:pPr>
      <w:spacing w:after="120" w:line="480" w:lineRule="auto"/>
      <w:ind w:left="360"/>
    </w:pPr>
  </w:style>
  <w:style w:type="character" w:customStyle="1" w:styleId="BodyTextIndent2Char">
    <w:name w:val="Body Text Indent 2 Char"/>
    <w:basedOn w:val="DefaultParagraphFont"/>
    <w:link w:val="BodyTextIndent2"/>
    <w:uiPriority w:val="99"/>
    <w:semiHidden/>
    <w:rsid w:val="00653AD3"/>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590D3D"/>
    <w:rPr>
      <w:sz w:val="22"/>
    </w:rPr>
  </w:style>
  <w:style w:type="table" w:customStyle="1" w:styleId="TableGridLight1">
    <w:name w:val="Table Grid Light1"/>
    <w:basedOn w:val="TableNormal"/>
    <w:uiPriority w:val="40"/>
    <w:rsid w:val="00BD4EA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lockText">
    <w:name w:val="Block Text"/>
    <w:basedOn w:val="Normal"/>
    <w:semiHidden/>
    <w:unhideWhenUsed/>
    <w:rsid w:val="00683785"/>
    <w:pPr>
      <w:spacing w:line="480" w:lineRule="auto"/>
      <w:ind w:left="2160" w:right="1440"/>
    </w:pPr>
    <w:rPr>
      <w:rFonts w:ascii="Palatino Linotype" w:eastAsia="Times New Roman" w:hAnsi="Palatino Linotyp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2787">
      <w:bodyDiv w:val="1"/>
      <w:marLeft w:val="0"/>
      <w:marRight w:val="0"/>
      <w:marTop w:val="0"/>
      <w:marBottom w:val="0"/>
      <w:divBdr>
        <w:top w:val="none" w:sz="0" w:space="0" w:color="auto"/>
        <w:left w:val="none" w:sz="0" w:space="0" w:color="auto"/>
        <w:bottom w:val="none" w:sz="0" w:space="0" w:color="auto"/>
        <w:right w:val="none" w:sz="0" w:space="0" w:color="auto"/>
      </w:divBdr>
    </w:div>
    <w:div w:id="279648390">
      <w:bodyDiv w:val="1"/>
      <w:marLeft w:val="0"/>
      <w:marRight w:val="0"/>
      <w:marTop w:val="0"/>
      <w:marBottom w:val="0"/>
      <w:divBdr>
        <w:top w:val="none" w:sz="0" w:space="0" w:color="auto"/>
        <w:left w:val="none" w:sz="0" w:space="0" w:color="auto"/>
        <w:bottom w:val="none" w:sz="0" w:space="0" w:color="auto"/>
        <w:right w:val="none" w:sz="0" w:space="0" w:color="auto"/>
      </w:divBdr>
    </w:div>
    <w:div w:id="418138170">
      <w:bodyDiv w:val="1"/>
      <w:marLeft w:val="0"/>
      <w:marRight w:val="0"/>
      <w:marTop w:val="0"/>
      <w:marBottom w:val="0"/>
      <w:divBdr>
        <w:top w:val="none" w:sz="0" w:space="0" w:color="auto"/>
        <w:left w:val="none" w:sz="0" w:space="0" w:color="auto"/>
        <w:bottom w:val="none" w:sz="0" w:space="0" w:color="auto"/>
        <w:right w:val="none" w:sz="0" w:space="0" w:color="auto"/>
      </w:divBdr>
    </w:div>
    <w:div w:id="537935158">
      <w:bodyDiv w:val="1"/>
      <w:marLeft w:val="0"/>
      <w:marRight w:val="0"/>
      <w:marTop w:val="0"/>
      <w:marBottom w:val="0"/>
      <w:divBdr>
        <w:top w:val="none" w:sz="0" w:space="0" w:color="auto"/>
        <w:left w:val="none" w:sz="0" w:space="0" w:color="auto"/>
        <w:bottom w:val="none" w:sz="0" w:space="0" w:color="auto"/>
        <w:right w:val="none" w:sz="0" w:space="0" w:color="auto"/>
      </w:divBdr>
    </w:div>
    <w:div w:id="828061276">
      <w:bodyDiv w:val="1"/>
      <w:marLeft w:val="0"/>
      <w:marRight w:val="0"/>
      <w:marTop w:val="0"/>
      <w:marBottom w:val="0"/>
      <w:divBdr>
        <w:top w:val="none" w:sz="0" w:space="0" w:color="auto"/>
        <w:left w:val="none" w:sz="0" w:space="0" w:color="auto"/>
        <w:bottom w:val="none" w:sz="0" w:space="0" w:color="auto"/>
        <w:right w:val="none" w:sz="0" w:space="0" w:color="auto"/>
      </w:divBdr>
    </w:div>
    <w:div w:id="830828113">
      <w:bodyDiv w:val="1"/>
      <w:marLeft w:val="0"/>
      <w:marRight w:val="0"/>
      <w:marTop w:val="0"/>
      <w:marBottom w:val="0"/>
      <w:divBdr>
        <w:top w:val="none" w:sz="0" w:space="0" w:color="auto"/>
        <w:left w:val="none" w:sz="0" w:space="0" w:color="auto"/>
        <w:bottom w:val="none" w:sz="0" w:space="0" w:color="auto"/>
        <w:right w:val="none" w:sz="0" w:space="0" w:color="auto"/>
      </w:divBdr>
    </w:div>
    <w:div w:id="955672340">
      <w:bodyDiv w:val="1"/>
      <w:marLeft w:val="0"/>
      <w:marRight w:val="0"/>
      <w:marTop w:val="0"/>
      <w:marBottom w:val="0"/>
      <w:divBdr>
        <w:top w:val="none" w:sz="0" w:space="0" w:color="auto"/>
        <w:left w:val="none" w:sz="0" w:space="0" w:color="auto"/>
        <w:bottom w:val="none" w:sz="0" w:space="0" w:color="auto"/>
        <w:right w:val="none" w:sz="0" w:space="0" w:color="auto"/>
      </w:divBdr>
    </w:div>
    <w:div w:id="1482772226">
      <w:bodyDiv w:val="1"/>
      <w:marLeft w:val="0"/>
      <w:marRight w:val="0"/>
      <w:marTop w:val="0"/>
      <w:marBottom w:val="0"/>
      <w:divBdr>
        <w:top w:val="none" w:sz="0" w:space="0" w:color="auto"/>
        <w:left w:val="none" w:sz="0" w:space="0" w:color="auto"/>
        <w:bottom w:val="none" w:sz="0" w:space="0" w:color="auto"/>
        <w:right w:val="none" w:sz="0" w:space="0" w:color="auto"/>
      </w:divBdr>
    </w:div>
    <w:div w:id="1493063900">
      <w:bodyDiv w:val="1"/>
      <w:marLeft w:val="0"/>
      <w:marRight w:val="0"/>
      <w:marTop w:val="0"/>
      <w:marBottom w:val="0"/>
      <w:divBdr>
        <w:top w:val="none" w:sz="0" w:space="0" w:color="auto"/>
        <w:left w:val="none" w:sz="0" w:space="0" w:color="auto"/>
        <w:bottom w:val="none" w:sz="0" w:space="0" w:color="auto"/>
        <w:right w:val="none" w:sz="0" w:space="0" w:color="auto"/>
      </w:divBdr>
    </w:div>
    <w:div w:id="1558393982">
      <w:bodyDiv w:val="1"/>
      <w:marLeft w:val="0"/>
      <w:marRight w:val="0"/>
      <w:marTop w:val="0"/>
      <w:marBottom w:val="0"/>
      <w:divBdr>
        <w:top w:val="none" w:sz="0" w:space="0" w:color="auto"/>
        <w:left w:val="none" w:sz="0" w:space="0" w:color="auto"/>
        <w:bottom w:val="none" w:sz="0" w:space="0" w:color="auto"/>
        <w:right w:val="none" w:sz="0" w:space="0" w:color="auto"/>
      </w:divBdr>
    </w:div>
    <w:div w:id="1593657327">
      <w:bodyDiv w:val="1"/>
      <w:marLeft w:val="0"/>
      <w:marRight w:val="0"/>
      <w:marTop w:val="0"/>
      <w:marBottom w:val="0"/>
      <w:divBdr>
        <w:top w:val="none" w:sz="0" w:space="0" w:color="auto"/>
        <w:left w:val="none" w:sz="0" w:space="0" w:color="auto"/>
        <w:bottom w:val="none" w:sz="0" w:space="0" w:color="auto"/>
        <w:right w:val="none" w:sz="0" w:space="0" w:color="auto"/>
      </w:divBdr>
    </w:div>
    <w:div w:id="1719207779">
      <w:bodyDiv w:val="1"/>
      <w:marLeft w:val="0"/>
      <w:marRight w:val="0"/>
      <w:marTop w:val="0"/>
      <w:marBottom w:val="0"/>
      <w:divBdr>
        <w:top w:val="none" w:sz="0" w:space="0" w:color="auto"/>
        <w:left w:val="none" w:sz="0" w:space="0" w:color="auto"/>
        <w:bottom w:val="none" w:sz="0" w:space="0" w:color="auto"/>
        <w:right w:val="none" w:sz="0" w:space="0" w:color="auto"/>
      </w:divBdr>
    </w:div>
    <w:div w:id="1851723743">
      <w:bodyDiv w:val="1"/>
      <w:marLeft w:val="0"/>
      <w:marRight w:val="0"/>
      <w:marTop w:val="0"/>
      <w:marBottom w:val="0"/>
      <w:divBdr>
        <w:top w:val="none" w:sz="0" w:space="0" w:color="auto"/>
        <w:left w:val="none" w:sz="0" w:space="0" w:color="auto"/>
        <w:bottom w:val="none" w:sz="0" w:space="0" w:color="auto"/>
        <w:right w:val="none" w:sz="0" w:space="0" w:color="auto"/>
      </w:divBdr>
    </w:div>
    <w:div w:id="1875919568">
      <w:bodyDiv w:val="1"/>
      <w:marLeft w:val="0"/>
      <w:marRight w:val="0"/>
      <w:marTop w:val="0"/>
      <w:marBottom w:val="0"/>
      <w:divBdr>
        <w:top w:val="none" w:sz="0" w:space="0" w:color="auto"/>
        <w:left w:val="none" w:sz="0" w:space="0" w:color="auto"/>
        <w:bottom w:val="none" w:sz="0" w:space="0" w:color="auto"/>
        <w:right w:val="none" w:sz="0" w:space="0" w:color="auto"/>
      </w:divBdr>
    </w:div>
    <w:div w:id="1980258450">
      <w:bodyDiv w:val="1"/>
      <w:marLeft w:val="0"/>
      <w:marRight w:val="0"/>
      <w:marTop w:val="0"/>
      <w:marBottom w:val="0"/>
      <w:divBdr>
        <w:top w:val="none" w:sz="0" w:space="0" w:color="auto"/>
        <w:left w:val="none" w:sz="0" w:space="0" w:color="auto"/>
        <w:bottom w:val="none" w:sz="0" w:space="0" w:color="auto"/>
        <w:right w:val="none" w:sz="0" w:space="0" w:color="auto"/>
      </w:divBdr>
    </w:div>
    <w:div w:id="209276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2014-10-10T20:48:53+00:00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C872C-B8D4-4027-8E5B-CDD05754DAEA}"/>
</file>

<file path=customXml/itemProps2.xml><?xml version="1.0" encoding="utf-8"?>
<ds:datastoreItem xmlns:ds="http://schemas.openxmlformats.org/officeDocument/2006/customXml" ds:itemID="{A99CC9C6-BB73-4DB8-B2F3-A2C534969D98}"/>
</file>

<file path=customXml/itemProps3.xml><?xml version="1.0" encoding="utf-8"?>
<ds:datastoreItem xmlns:ds="http://schemas.openxmlformats.org/officeDocument/2006/customXml" ds:itemID="{FE071C75-7D90-41E4-91D3-C93606751324}"/>
</file>

<file path=customXml/itemProps4.xml><?xml version="1.0" encoding="utf-8"?>
<ds:datastoreItem xmlns:ds="http://schemas.openxmlformats.org/officeDocument/2006/customXml" ds:itemID="{1178402E-DEA6-436A-AA23-67D9094D279F}"/>
</file>

<file path=customXml/itemProps5.xml><?xml version="1.0" encoding="utf-8"?>
<ds:datastoreItem xmlns:ds="http://schemas.openxmlformats.org/officeDocument/2006/customXml" ds:itemID="{904A5F09-67B7-44CD-ABC3-05961A364E07}"/>
</file>

<file path=docProps/app.xml><?xml version="1.0" encoding="utf-8"?>
<Properties xmlns="http://schemas.openxmlformats.org/officeDocument/2006/extended-properties" xmlns:vt="http://schemas.openxmlformats.org/officeDocument/2006/docPropsVTypes">
  <Template>Normal.dotm</Template>
  <TotalTime>3</TotalTime>
  <Pages>31</Pages>
  <Words>6505</Words>
  <Characters>37083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140762 Ball Testimony</vt:lpstr>
    </vt:vector>
  </TitlesOfParts>
  <Company>Washington Utilities and Transportation Commission</Company>
  <LinksUpToDate>false</LinksUpToDate>
  <CharactersWithSpaces>43501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140762 Ball Testimony</dc:title>
  <dc:subject/>
  <dc:creator>Jason Ball</dc:creator>
  <cp:keywords/>
  <dc:description/>
  <cp:lastModifiedBy>Krista Gross</cp:lastModifiedBy>
  <cp:revision>4</cp:revision>
  <cp:lastPrinted>2014-10-10T16:39:00Z</cp:lastPrinted>
  <dcterms:created xsi:type="dcterms:W3CDTF">2014-10-10T15:46:00Z</dcterms:created>
  <dcterms:modified xsi:type="dcterms:W3CDTF">2014-10-10T16:41:00Z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