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97353" w14:textId="58EF5CD4" w:rsidR="0091434B" w:rsidRPr="00C9784A" w:rsidRDefault="0091434B" w:rsidP="0091434B">
      <w:pPr>
        <w:rPr>
          <w:rFonts w:ascii="Times New Roman" w:hAnsi="Times New Roman"/>
        </w:rPr>
      </w:pPr>
      <w:bookmarkStart w:id="0" w:name="_GoBack"/>
      <w:bookmarkEnd w:id="0"/>
    </w:p>
    <w:p w14:paraId="1BBA1018" w14:textId="77777777" w:rsidR="0091434B" w:rsidRDefault="0091434B" w:rsidP="0091434B">
      <w:pPr>
        <w:rPr>
          <w:rFonts w:ascii="Times New Roman" w:hAnsi="Times New Roman"/>
          <w:b/>
        </w:rPr>
      </w:pPr>
      <w:r w:rsidRPr="00251DE9">
        <w:rPr>
          <w:rFonts w:ascii="Times New Roman" w:hAnsi="Times New Roman"/>
          <w:b/>
        </w:rPr>
        <w:t>Agenda Date:</w:t>
      </w:r>
      <w:r w:rsidRPr="00251DE9">
        <w:rPr>
          <w:rFonts w:ascii="Times New Roman" w:hAnsi="Times New Roman"/>
          <w:b/>
        </w:rPr>
        <w:tab/>
      </w:r>
      <w:r w:rsidRPr="00251DE9">
        <w:rPr>
          <w:rFonts w:ascii="Times New Roman" w:hAnsi="Times New Roman"/>
          <w:b/>
        </w:rPr>
        <w:tab/>
        <w:t xml:space="preserve">September </w:t>
      </w:r>
      <w:r>
        <w:rPr>
          <w:rFonts w:ascii="Times New Roman" w:hAnsi="Times New Roman"/>
          <w:b/>
        </w:rPr>
        <w:t>22</w:t>
      </w:r>
      <w:r w:rsidRPr="00251DE9">
        <w:rPr>
          <w:rFonts w:ascii="Times New Roman" w:hAnsi="Times New Roman"/>
          <w:b/>
        </w:rPr>
        <w:t>, 2016</w:t>
      </w:r>
    </w:p>
    <w:p w14:paraId="4C08337F" w14:textId="77777777" w:rsidR="0091434B" w:rsidRPr="00251DE9" w:rsidRDefault="0091434B" w:rsidP="0091434B">
      <w:pPr>
        <w:rPr>
          <w:rFonts w:ascii="Times New Roman" w:hAnsi="Times New Roman"/>
          <w:b/>
        </w:rPr>
      </w:pPr>
    </w:p>
    <w:p w14:paraId="71AC739D" w14:textId="6D5744BE" w:rsidR="0091434B" w:rsidRPr="00C9784A" w:rsidRDefault="0091434B" w:rsidP="0091434B">
      <w:pPr>
        <w:ind w:left="2160" w:hanging="2160"/>
        <w:rPr>
          <w:rFonts w:ascii="Times New Roman" w:hAnsi="Times New Roman"/>
        </w:rPr>
      </w:pPr>
      <w:r w:rsidRPr="00251DE9">
        <w:rPr>
          <w:rFonts w:ascii="Times New Roman" w:hAnsi="Times New Roman"/>
          <w:b/>
        </w:rPr>
        <w:t>Item Number:</w:t>
      </w:r>
      <w:r w:rsidRPr="00251DE9">
        <w:rPr>
          <w:rFonts w:ascii="Times New Roman" w:hAnsi="Times New Roman"/>
          <w:b/>
        </w:rPr>
        <w:tab/>
      </w:r>
      <w:r w:rsidR="00765BA5" w:rsidRPr="007C1F36">
        <w:rPr>
          <w:rFonts w:ascii="Times New Roman" w:hAnsi="Times New Roman"/>
        </w:rPr>
        <w:t>F</w:t>
      </w:r>
      <w:r w:rsidR="007C1F36">
        <w:rPr>
          <w:rFonts w:ascii="Times New Roman" w:hAnsi="Times New Roman"/>
        </w:rPr>
        <w:t xml:space="preserve">9  </w:t>
      </w:r>
    </w:p>
    <w:p w14:paraId="7FDC3E20" w14:textId="77777777" w:rsidR="0091434B" w:rsidRPr="00C9784A" w:rsidRDefault="0091434B" w:rsidP="0091434B">
      <w:pPr>
        <w:rPr>
          <w:rFonts w:ascii="Times New Roman" w:hAnsi="Times New Roman"/>
        </w:rPr>
      </w:pPr>
    </w:p>
    <w:p w14:paraId="3F4847A3" w14:textId="3E9DF23C" w:rsidR="0091434B" w:rsidRDefault="0091434B" w:rsidP="0091434B">
      <w:pPr>
        <w:ind w:left="2160" w:hanging="2160"/>
        <w:rPr>
          <w:rFonts w:ascii="Times New Roman" w:hAnsi="Times New Roman"/>
          <w:b/>
          <w:bCs/>
        </w:rPr>
      </w:pPr>
      <w:r w:rsidRPr="00C9784A">
        <w:rPr>
          <w:rFonts w:ascii="Times New Roman" w:hAnsi="Times New Roman"/>
          <w:b/>
          <w:bCs/>
        </w:rPr>
        <w:t>Docket:</w:t>
      </w:r>
      <w:r w:rsidRPr="00C9784A">
        <w:rPr>
          <w:rFonts w:ascii="Times New Roman" w:hAnsi="Times New Roman"/>
          <w:b/>
          <w:bCs/>
        </w:rPr>
        <w:tab/>
        <w:t>UE-1</w:t>
      </w:r>
      <w:r>
        <w:rPr>
          <w:rFonts w:ascii="Times New Roman" w:hAnsi="Times New Roman"/>
          <w:b/>
          <w:bCs/>
        </w:rPr>
        <w:t>6</w:t>
      </w:r>
      <w:r w:rsidRPr="00C9784A">
        <w:rPr>
          <w:rFonts w:ascii="Times New Roman" w:hAnsi="Times New Roman"/>
          <w:b/>
          <w:bCs/>
        </w:rPr>
        <w:t>0</w:t>
      </w:r>
      <w:r>
        <w:rPr>
          <w:rFonts w:ascii="Times New Roman" w:hAnsi="Times New Roman"/>
          <w:b/>
          <w:bCs/>
        </w:rPr>
        <w:t>921</w:t>
      </w:r>
    </w:p>
    <w:p w14:paraId="05CCEF12" w14:textId="4C62AB9B" w:rsidR="0091434B" w:rsidRPr="00C9784A" w:rsidRDefault="0091434B" w:rsidP="0091434B">
      <w:pPr>
        <w:tabs>
          <w:tab w:val="left" w:pos="2160"/>
        </w:tabs>
        <w:ind w:left="2160" w:hanging="2160"/>
        <w:rPr>
          <w:rFonts w:ascii="Times New Roman" w:hAnsi="Times New Roman"/>
        </w:rPr>
      </w:pPr>
      <w:r w:rsidRPr="00C9784A">
        <w:rPr>
          <w:rFonts w:ascii="Times New Roman" w:hAnsi="Times New Roman"/>
        </w:rPr>
        <w:t>Company:</w:t>
      </w:r>
      <w:r w:rsidRPr="00C9784A">
        <w:rPr>
          <w:rFonts w:ascii="Times New Roman" w:hAnsi="Times New Roman"/>
        </w:rPr>
        <w:tab/>
        <w:t>Puget Sound Energy</w:t>
      </w:r>
    </w:p>
    <w:p w14:paraId="21FC430F" w14:textId="77777777" w:rsidR="0091434B" w:rsidRPr="00C9784A" w:rsidRDefault="0091434B" w:rsidP="0091434B">
      <w:pPr>
        <w:tabs>
          <w:tab w:val="left" w:pos="2160"/>
        </w:tabs>
        <w:ind w:left="2160" w:hanging="2160"/>
        <w:rPr>
          <w:rFonts w:ascii="Times New Roman" w:hAnsi="Times New Roman"/>
        </w:rPr>
      </w:pPr>
    </w:p>
    <w:p w14:paraId="65A54ECB" w14:textId="77777777" w:rsidR="0091434B" w:rsidRDefault="0091434B" w:rsidP="0091434B">
      <w:pPr>
        <w:ind w:left="2160" w:hanging="2160"/>
        <w:rPr>
          <w:rFonts w:ascii="Times New Roman" w:hAnsi="Times New Roman"/>
        </w:rPr>
      </w:pPr>
      <w:r>
        <w:rPr>
          <w:rFonts w:ascii="Times New Roman" w:hAnsi="Times New Roman"/>
        </w:rPr>
        <w:t>Staff:</w:t>
      </w:r>
      <w:r>
        <w:rPr>
          <w:rFonts w:ascii="Times New Roman" w:hAnsi="Times New Roman"/>
        </w:rPr>
        <w:tab/>
        <w:t>David Nightingale, Sr. Regulatory Engineering Specialist</w:t>
      </w:r>
    </w:p>
    <w:p w14:paraId="11CCB25E" w14:textId="77777777" w:rsidR="0091434B" w:rsidRDefault="0091434B" w:rsidP="0091434B">
      <w:pPr>
        <w:ind w:left="2160" w:hanging="2160"/>
        <w:rPr>
          <w:rFonts w:ascii="Times New Roman" w:hAnsi="Times New Roman"/>
        </w:rPr>
      </w:pPr>
      <w:r>
        <w:rPr>
          <w:rFonts w:ascii="Times New Roman" w:hAnsi="Times New Roman"/>
        </w:rPr>
        <w:tab/>
        <w:t>Jenna Noll, Regulatory Analyst</w:t>
      </w:r>
    </w:p>
    <w:p w14:paraId="74E373D9" w14:textId="77777777" w:rsidR="0091434B" w:rsidRDefault="0091434B" w:rsidP="0091434B">
      <w:pPr>
        <w:ind w:left="2160" w:hanging="2160"/>
        <w:rPr>
          <w:rFonts w:ascii="Times New Roman" w:hAnsi="Times New Roman"/>
        </w:rPr>
      </w:pPr>
      <w:r>
        <w:rPr>
          <w:rFonts w:ascii="Times New Roman" w:hAnsi="Times New Roman"/>
        </w:rPr>
        <w:tab/>
        <w:t>E. Cooper Wright, Regulatory Analyst</w:t>
      </w:r>
    </w:p>
    <w:p w14:paraId="54E03268" w14:textId="77777777" w:rsidR="0091434B" w:rsidRDefault="0091434B" w:rsidP="0091434B">
      <w:pPr>
        <w:ind w:left="2160" w:hanging="2160"/>
        <w:rPr>
          <w:rFonts w:ascii="Times New Roman" w:hAnsi="Times New Roman"/>
        </w:rPr>
      </w:pPr>
      <w:r>
        <w:rPr>
          <w:rFonts w:ascii="Times New Roman" w:hAnsi="Times New Roman"/>
        </w:rPr>
        <w:tab/>
        <w:t>Amy White, Regulatory Analyst</w:t>
      </w:r>
    </w:p>
    <w:p w14:paraId="37FAB33F" w14:textId="77777777" w:rsidR="0091434B" w:rsidRPr="00C9784A" w:rsidRDefault="0091434B" w:rsidP="0091434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7BB4E35" w14:textId="77777777" w:rsidR="0091434B" w:rsidRPr="00C9784A" w:rsidRDefault="0091434B" w:rsidP="0091434B">
      <w:pPr>
        <w:rPr>
          <w:rFonts w:ascii="Times New Roman" w:hAnsi="Times New Roman"/>
        </w:rPr>
      </w:pPr>
    </w:p>
    <w:p w14:paraId="57B40452" w14:textId="77777777" w:rsidR="0091434B" w:rsidRPr="00C9784A" w:rsidRDefault="0091434B" w:rsidP="0091434B">
      <w:pPr>
        <w:rPr>
          <w:rFonts w:ascii="Times New Roman" w:hAnsi="Times New Roman"/>
          <w:b/>
          <w:bCs/>
          <w:u w:val="single"/>
        </w:rPr>
      </w:pPr>
      <w:r w:rsidRPr="00C9784A">
        <w:rPr>
          <w:rFonts w:ascii="Times New Roman" w:hAnsi="Times New Roman"/>
          <w:b/>
          <w:bCs/>
          <w:u w:val="single"/>
        </w:rPr>
        <w:t>Recommendation</w:t>
      </w:r>
    </w:p>
    <w:p w14:paraId="3016990E" w14:textId="77777777" w:rsidR="0091434B" w:rsidRPr="00C9784A" w:rsidRDefault="0091434B" w:rsidP="0091434B">
      <w:pPr>
        <w:rPr>
          <w:rFonts w:ascii="Times New Roman" w:hAnsi="Times New Roman"/>
        </w:rPr>
      </w:pPr>
    </w:p>
    <w:p w14:paraId="6DFA6AB3" w14:textId="4B5B9BAF" w:rsidR="0091434B" w:rsidRPr="00C9784A" w:rsidRDefault="0091434B" w:rsidP="0091434B">
      <w:pPr>
        <w:rPr>
          <w:rFonts w:ascii="Times New Roman" w:hAnsi="Times New Roman"/>
        </w:rPr>
      </w:pPr>
      <w:r>
        <w:rPr>
          <w:rFonts w:ascii="Times New Roman" w:hAnsi="Times New Roman"/>
        </w:rPr>
        <w:t>Take no action, thereby allowing Puget Sound Energy</w:t>
      </w:r>
      <w:r w:rsidRPr="00C9784A">
        <w:rPr>
          <w:rFonts w:ascii="Times New Roman" w:hAnsi="Times New Roman"/>
        </w:rPr>
        <w:t xml:space="preserve">’s </w:t>
      </w:r>
      <w:r>
        <w:rPr>
          <w:rFonts w:ascii="Times New Roman" w:hAnsi="Times New Roman"/>
        </w:rPr>
        <w:t xml:space="preserve">proposed tariff revisions in </w:t>
      </w:r>
      <w:r w:rsidR="00AA6096">
        <w:rPr>
          <w:rFonts w:ascii="Times New Roman" w:hAnsi="Times New Roman"/>
        </w:rPr>
        <w:t>docket UE-160921</w:t>
      </w:r>
      <w:r>
        <w:rPr>
          <w:rFonts w:ascii="Times New Roman" w:hAnsi="Times New Roman"/>
        </w:rPr>
        <w:t xml:space="preserve"> to become effective by operation of law.  </w:t>
      </w:r>
    </w:p>
    <w:p w14:paraId="3ADC5335" w14:textId="77777777" w:rsidR="0091434B" w:rsidRPr="00C9784A" w:rsidRDefault="0091434B" w:rsidP="0091434B">
      <w:pPr>
        <w:ind w:left="720" w:hanging="720"/>
        <w:rPr>
          <w:rFonts w:ascii="Times New Roman" w:hAnsi="Times New Roman"/>
        </w:rPr>
      </w:pPr>
    </w:p>
    <w:p w14:paraId="3170ED99" w14:textId="77777777" w:rsidR="0091434B" w:rsidRPr="00C9784A" w:rsidRDefault="0091434B" w:rsidP="0091434B">
      <w:pPr>
        <w:rPr>
          <w:rFonts w:ascii="Times New Roman" w:hAnsi="Times New Roman"/>
          <w:b/>
          <w:u w:val="single"/>
        </w:rPr>
      </w:pPr>
      <w:r>
        <w:rPr>
          <w:rFonts w:ascii="Times New Roman" w:hAnsi="Times New Roman"/>
          <w:b/>
          <w:u w:val="single"/>
        </w:rPr>
        <w:t>Background</w:t>
      </w:r>
    </w:p>
    <w:p w14:paraId="5457DC26" w14:textId="77777777" w:rsidR="0091434B" w:rsidRPr="00C9784A" w:rsidRDefault="0091434B" w:rsidP="0091434B">
      <w:pPr>
        <w:rPr>
          <w:rFonts w:ascii="Times New Roman" w:hAnsi="Times New Roman"/>
        </w:rPr>
      </w:pPr>
    </w:p>
    <w:p w14:paraId="522C0344" w14:textId="0BFE0FDB" w:rsidR="0091434B" w:rsidRDefault="0091434B" w:rsidP="0091434B">
      <w:pPr>
        <w:rPr>
          <w:rFonts w:ascii="Times New Roman" w:hAnsi="Times New Roman"/>
        </w:rPr>
      </w:pPr>
      <w:r>
        <w:rPr>
          <w:rFonts w:ascii="Times New Roman" w:hAnsi="Times New Roman"/>
        </w:rPr>
        <w:t xml:space="preserve">On July 15, 2016, </w:t>
      </w:r>
      <w:r w:rsidRPr="00C9784A">
        <w:rPr>
          <w:rFonts w:ascii="Times New Roman" w:hAnsi="Times New Roman"/>
        </w:rPr>
        <w:t>Puget Sound Energy</w:t>
      </w:r>
      <w:r>
        <w:rPr>
          <w:rFonts w:ascii="Times New Roman" w:hAnsi="Times New Roman"/>
        </w:rPr>
        <w:t xml:space="preserve"> (PSE or company) filed revisions to Schedules 135 and 136 regarding Green Energy and Large Volume Green Energy. </w:t>
      </w:r>
      <w:r w:rsidR="00F766B6">
        <w:rPr>
          <w:rFonts w:ascii="Times New Roman" w:hAnsi="Times New Roman"/>
        </w:rPr>
        <w:t>These Green Energy services</w:t>
      </w:r>
      <w:r>
        <w:rPr>
          <w:rFonts w:ascii="Times New Roman" w:hAnsi="Times New Roman"/>
        </w:rPr>
        <w:t xml:space="preserve"> satisfy the obligation under RCW 19.29A.090(1), which requires electric utilities to offer retail electricity customers a voluntary option to purchase “qualified alternative energy resources” (green energy). The proposed revision</w:t>
      </w:r>
      <w:r w:rsidR="005D73DD">
        <w:rPr>
          <w:rFonts w:ascii="Times New Roman" w:hAnsi="Times New Roman"/>
        </w:rPr>
        <w:t>s</w:t>
      </w:r>
      <w:r>
        <w:rPr>
          <w:rFonts w:ascii="Times New Roman" w:hAnsi="Times New Roman"/>
        </w:rPr>
        <w:t xml:space="preserve"> reflect ongoing reduced costs of operating the program by lowering the rates for customers in both Schedules 135 and 136. In addition, the proposed revisions create a new voluntary solar-only green energy resource option available to all electric customers under Schedule 135. </w:t>
      </w:r>
    </w:p>
    <w:p w14:paraId="7F1ACC73" w14:textId="77777777" w:rsidR="0042746D" w:rsidRDefault="0042746D" w:rsidP="0091434B">
      <w:pPr>
        <w:rPr>
          <w:rFonts w:ascii="Times New Roman" w:hAnsi="Times New Roman"/>
          <w:b/>
          <w:u w:val="single"/>
        </w:rPr>
      </w:pPr>
    </w:p>
    <w:p w14:paraId="0306E752" w14:textId="77777777" w:rsidR="0091434B" w:rsidRPr="001F0D06" w:rsidRDefault="0091434B" w:rsidP="0091434B">
      <w:pPr>
        <w:rPr>
          <w:rFonts w:ascii="Times New Roman" w:hAnsi="Times New Roman"/>
        </w:rPr>
      </w:pPr>
      <w:r>
        <w:rPr>
          <w:rFonts w:ascii="Times New Roman" w:hAnsi="Times New Roman"/>
          <w:b/>
          <w:u w:val="single"/>
        </w:rPr>
        <w:t>Discussion</w:t>
      </w:r>
    </w:p>
    <w:p w14:paraId="3AE4F90D" w14:textId="77777777" w:rsidR="0091434B" w:rsidRDefault="0091434B" w:rsidP="0091434B">
      <w:pPr>
        <w:rPr>
          <w:rFonts w:ascii="Times New Roman" w:hAnsi="Times New Roman"/>
        </w:rPr>
      </w:pPr>
    </w:p>
    <w:p w14:paraId="29605D73" w14:textId="77777777" w:rsidR="00902C1D" w:rsidRDefault="00902C1D" w:rsidP="00902C1D">
      <w:pPr>
        <w:rPr>
          <w:rFonts w:ascii="Times New Roman" w:hAnsi="Times New Roman"/>
          <w:i/>
        </w:rPr>
      </w:pPr>
      <w:r>
        <w:rPr>
          <w:rFonts w:ascii="Times New Roman" w:hAnsi="Times New Roman"/>
          <w:i/>
        </w:rPr>
        <w:t>Differential Resource Pricing Between Schedule 135 and Schedule 136 Customers</w:t>
      </w:r>
    </w:p>
    <w:p w14:paraId="70EDBEFE" w14:textId="77777777" w:rsidR="00902C1D" w:rsidRDefault="00902C1D" w:rsidP="00902C1D">
      <w:pPr>
        <w:rPr>
          <w:rFonts w:ascii="Times New Roman" w:hAnsi="Times New Roman"/>
          <w:i/>
        </w:rPr>
      </w:pPr>
    </w:p>
    <w:p w14:paraId="63319208" w14:textId="4CDAEE45" w:rsidR="00902C1D" w:rsidRDefault="00902C1D" w:rsidP="00902C1D">
      <w:pPr>
        <w:rPr>
          <w:rFonts w:ascii="Times New Roman" w:hAnsi="Times New Roman"/>
        </w:rPr>
      </w:pPr>
      <w:r>
        <w:rPr>
          <w:rFonts w:ascii="Times New Roman" w:hAnsi="Times New Roman"/>
        </w:rPr>
        <w:t xml:space="preserve">The difference in the kWh surcharge between the two schedules </w:t>
      </w:r>
      <w:r w:rsidR="0042746D">
        <w:rPr>
          <w:rFonts w:ascii="Times New Roman" w:hAnsi="Times New Roman"/>
        </w:rPr>
        <w:t xml:space="preserve">shown in the table below </w:t>
      </w:r>
      <w:r>
        <w:rPr>
          <w:rFonts w:ascii="Times New Roman" w:hAnsi="Times New Roman"/>
        </w:rPr>
        <w:t xml:space="preserve">is due to differences in administrative costs, solar-only REC pricing, and locations of REC sources. Schedule 135 </w:t>
      </w:r>
      <w:r>
        <w:rPr>
          <w:rFonts w:ascii="Times New Roman" w:hAnsi="Times New Roman"/>
        </w:rPr>
        <w:lastRenderedPageBreak/>
        <w:t>customers show a large preference for local RECs while Schedule 136 customers are more price sensitive</w:t>
      </w:r>
      <w:r>
        <w:rPr>
          <w:rStyle w:val="CommentReference"/>
          <w:lang w:val="x-none" w:eastAsia="x-none"/>
        </w:rPr>
        <w:t>.</w:t>
      </w:r>
      <w:r>
        <w:rPr>
          <w:rFonts w:ascii="Times New Roman" w:hAnsi="Times New Roman"/>
        </w:rPr>
        <w:t xml:space="preserve"> The administrative and education/outreach costs to enroll one large customer in Schedule 136 </w:t>
      </w:r>
      <w:r w:rsidR="001C4142">
        <w:rPr>
          <w:rFonts w:ascii="Times New Roman" w:hAnsi="Times New Roman"/>
        </w:rPr>
        <w:t>are</w:t>
      </w:r>
      <w:r>
        <w:rPr>
          <w:rFonts w:ascii="Times New Roman" w:hAnsi="Times New Roman"/>
        </w:rPr>
        <w:t xml:space="preserve"> far less than enrolling and administering many customers in Schedule 135 for the same number of kWhs. </w:t>
      </w:r>
    </w:p>
    <w:p w14:paraId="70707026" w14:textId="77777777" w:rsidR="00902C1D" w:rsidRDefault="00902C1D" w:rsidP="00902C1D">
      <w:pPr>
        <w:rPr>
          <w:rFonts w:ascii="Times New Roman" w:hAnsi="Times New Roman"/>
        </w:rPr>
      </w:pPr>
    </w:p>
    <w:p w14:paraId="6BC51BA5" w14:textId="2CB2FBDB" w:rsidR="00902C1D" w:rsidRDefault="00902C1D" w:rsidP="00902C1D">
      <w:pPr>
        <w:rPr>
          <w:rFonts w:ascii="Times New Roman" w:hAnsi="Times New Roman"/>
        </w:rPr>
      </w:pPr>
      <w:r>
        <w:rPr>
          <w:rFonts w:ascii="Times New Roman" w:hAnsi="Times New Roman"/>
        </w:rPr>
        <w:t>The residential program experiences a much higher level of customer “churn” (nearly 10</w:t>
      </w:r>
      <w:r w:rsidR="00B67478">
        <w:rPr>
          <w:rFonts w:ascii="Times New Roman" w:hAnsi="Times New Roman"/>
        </w:rPr>
        <w:t xml:space="preserve"> percent </w:t>
      </w:r>
      <w:r>
        <w:rPr>
          <w:rFonts w:ascii="Times New Roman" w:hAnsi="Times New Roman"/>
        </w:rPr>
        <w:t>of customers turn over annually) than the commercial and large-volume customers. The residential customers often drop out of the program when changing residences and then fail to re-enroll at their new homes. Administrative and promotional costs in the residential program (</w:t>
      </w:r>
      <w:r w:rsidR="00977EA3">
        <w:rPr>
          <w:rFonts w:ascii="Times New Roman" w:hAnsi="Times New Roman"/>
        </w:rPr>
        <w:t>i.e.</w:t>
      </w:r>
      <w:r>
        <w:rPr>
          <w:rFonts w:ascii="Times New Roman" w:hAnsi="Times New Roman"/>
        </w:rPr>
        <w:t>, enrollment/disenrollment costs; marketing materials costs; consumer incentives such as gift cards; and municipal solar grant awards to benefit entire communities) are much h</w:t>
      </w:r>
      <w:r w:rsidR="00977EA3">
        <w:rPr>
          <w:rFonts w:ascii="Times New Roman" w:hAnsi="Times New Roman"/>
        </w:rPr>
        <w:t>igher in the residential program</w:t>
      </w:r>
      <w:r>
        <w:rPr>
          <w:rFonts w:ascii="Times New Roman" w:hAnsi="Times New Roman"/>
        </w:rPr>
        <w:t xml:space="preserve">. Enrollment in the commercial and large-scale programs is more stable.  </w:t>
      </w:r>
    </w:p>
    <w:p w14:paraId="03C26F13" w14:textId="77777777" w:rsidR="00902C1D" w:rsidRDefault="00902C1D" w:rsidP="00902C1D">
      <w:pPr>
        <w:rPr>
          <w:rFonts w:ascii="Times New Roman" w:hAnsi="Times New Roman"/>
        </w:rPr>
      </w:pPr>
    </w:p>
    <w:p w14:paraId="29C75E1D" w14:textId="77777777" w:rsidR="0091434B" w:rsidRDefault="0091434B" w:rsidP="001C5495">
      <w:pPr>
        <w:ind w:firstLine="720"/>
        <w:jc w:val="center"/>
        <w:rPr>
          <w:rFonts w:ascii="Times New Roman" w:hAnsi="Times New Roman"/>
          <w:b/>
          <w:u w:val="single"/>
        </w:rPr>
      </w:pPr>
      <w:r w:rsidRPr="00121E81">
        <w:rPr>
          <w:rFonts w:ascii="Times New Roman" w:hAnsi="Times New Roman"/>
          <w:b/>
          <w:u w:val="single"/>
        </w:rPr>
        <w:t>Price Comparison</w:t>
      </w:r>
    </w:p>
    <w:p w14:paraId="60723767" w14:textId="77777777" w:rsidR="0091434B" w:rsidRPr="00121E81" w:rsidRDefault="0091434B" w:rsidP="0091434B">
      <w:pPr>
        <w:jc w:val="center"/>
        <w:rPr>
          <w:rFonts w:ascii="Times New Roman" w:hAnsi="Times New Roman"/>
          <w:b/>
          <w:u w:val="single"/>
        </w:rPr>
      </w:pPr>
    </w:p>
    <w:tbl>
      <w:tblPr>
        <w:tblW w:w="10080" w:type="dxa"/>
        <w:tblInd w:w="-5" w:type="dxa"/>
        <w:tblLayout w:type="fixed"/>
        <w:tblLook w:val="04A0" w:firstRow="1" w:lastRow="0" w:firstColumn="1" w:lastColumn="0" w:noHBand="0" w:noVBand="1"/>
      </w:tblPr>
      <w:tblGrid>
        <w:gridCol w:w="1530"/>
        <w:gridCol w:w="1260"/>
        <w:gridCol w:w="1350"/>
        <w:gridCol w:w="1170"/>
        <w:gridCol w:w="1170"/>
        <w:gridCol w:w="1260"/>
        <w:gridCol w:w="1170"/>
        <w:gridCol w:w="1170"/>
      </w:tblGrid>
      <w:tr w:rsidR="001C5495" w:rsidRPr="001F75BE" w14:paraId="7CC50A5E" w14:textId="77777777" w:rsidTr="001C5495">
        <w:trPr>
          <w:trHeight w:val="1276"/>
        </w:trPr>
        <w:tc>
          <w:tcPr>
            <w:tcW w:w="153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C46574" w14:textId="77777777" w:rsidR="0091434B" w:rsidRPr="001F75BE" w:rsidRDefault="0091434B" w:rsidP="006C47D4">
            <w:pPr>
              <w:rPr>
                <w:rFonts w:ascii="Times New Roman" w:hAnsi="Times New Roman"/>
                <w:color w:val="000000"/>
              </w:rPr>
            </w:pPr>
            <w:r w:rsidRPr="001F75BE">
              <w:rPr>
                <w:rFonts w:ascii="Times New Roman" w:hAnsi="Times New Roman"/>
                <w:color w:val="000000"/>
              </w:rPr>
              <w:lastRenderedPageBreak/>
              <w:t xml:space="preserve">Tariff Schedule </w:t>
            </w:r>
            <w:r>
              <w:rPr>
                <w:rFonts w:ascii="Times New Roman" w:hAnsi="Times New Roman"/>
                <w:color w:val="000000"/>
              </w:rPr>
              <w:t>135</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4174D05B"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Current price per block</w:t>
            </w:r>
          </w:p>
        </w:tc>
        <w:tc>
          <w:tcPr>
            <w:tcW w:w="1350" w:type="dxa"/>
            <w:tcBorders>
              <w:top w:val="single" w:sz="4" w:space="0" w:color="auto"/>
              <w:left w:val="nil"/>
              <w:bottom w:val="single" w:sz="4" w:space="0" w:color="auto"/>
              <w:right w:val="single" w:sz="4" w:space="0" w:color="auto"/>
            </w:tcBorders>
            <w:shd w:val="clear" w:color="000000" w:fill="D9D9D9"/>
            <w:vAlign w:val="bottom"/>
            <w:hideMark/>
          </w:tcPr>
          <w:p w14:paraId="396A1C42"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Current block size (kWh)</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36CAEAB7"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Current price per kWh</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219B470C"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Proposed price per block </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5D0165A8"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Proposed block size (kWh) </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19A5D71E"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Proposed price per kWh </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0A3A61C2"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Proposed overall price reduction</w:t>
            </w:r>
          </w:p>
        </w:tc>
      </w:tr>
      <w:tr w:rsidR="0091434B" w:rsidRPr="001F75BE" w14:paraId="6F360635" w14:textId="77777777" w:rsidTr="001C5495">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E2BAF83" w14:textId="77777777" w:rsidR="0091434B" w:rsidRPr="001F75BE" w:rsidRDefault="0091434B" w:rsidP="006C47D4">
            <w:pPr>
              <w:rPr>
                <w:rFonts w:ascii="Times New Roman" w:hAnsi="Times New Roman"/>
                <w:color w:val="000000"/>
              </w:rPr>
            </w:pPr>
            <w:r>
              <w:rPr>
                <w:rFonts w:ascii="Times New Roman" w:hAnsi="Times New Roman"/>
                <w:color w:val="000000"/>
              </w:rPr>
              <w:t>M</w:t>
            </w:r>
            <w:r w:rsidRPr="001F75BE">
              <w:rPr>
                <w:rFonts w:ascii="Times New Roman" w:hAnsi="Times New Roman"/>
                <w:color w:val="000000"/>
              </w:rPr>
              <w:t>ixed resource</w:t>
            </w:r>
          </w:p>
        </w:tc>
        <w:tc>
          <w:tcPr>
            <w:tcW w:w="1260" w:type="dxa"/>
            <w:tcBorders>
              <w:top w:val="nil"/>
              <w:left w:val="nil"/>
              <w:bottom w:val="single" w:sz="4" w:space="0" w:color="auto"/>
              <w:right w:val="single" w:sz="4" w:space="0" w:color="auto"/>
            </w:tcBorders>
            <w:shd w:val="clear" w:color="auto" w:fill="auto"/>
            <w:noWrap/>
            <w:vAlign w:val="bottom"/>
            <w:hideMark/>
          </w:tcPr>
          <w:p w14:paraId="5CF8F5B3"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2.00 </w:t>
            </w:r>
          </w:p>
        </w:tc>
        <w:tc>
          <w:tcPr>
            <w:tcW w:w="1350" w:type="dxa"/>
            <w:tcBorders>
              <w:top w:val="nil"/>
              <w:left w:val="nil"/>
              <w:bottom w:val="single" w:sz="4" w:space="0" w:color="auto"/>
              <w:right w:val="single" w:sz="4" w:space="0" w:color="auto"/>
            </w:tcBorders>
            <w:shd w:val="clear" w:color="auto" w:fill="auto"/>
            <w:noWrap/>
            <w:vAlign w:val="bottom"/>
            <w:hideMark/>
          </w:tcPr>
          <w:p w14:paraId="55F6CE4F"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160</w:t>
            </w:r>
          </w:p>
        </w:tc>
        <w:tc>
          <w:tcPr>
            <w:tcW w:w="1170" w:type="dxa"/>
            <w:tcBorders>
              <w:top w:val="nil"/>
              <w:left w:val="nil"/>
              <w:bottom w:val="single" w:sz="4" w:space="0" w:color="auto"/>
              <w:right w:val="single" w:sz="4" w:space="0" w:color="auto"/>
            </w:tcBorders>
            <w:shd w:val="clear" w:color="auto" w:fill="auto"/>
            <w:noWrap/>
            <w:vAlign w:val="bottom"/>
            <w:hideMark/>
          </w:tcPr>
          <w:p w14:paraId="78559752"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$ 0.0125 </w:t>
            </w:r>
          </w:p>
        </w:tc>
        <w:tc>
          <w:tcPr>
            <w:tcW w:w="1170" w:type="dxa"/>
            <w:tcBorders>
              <w:top w:val="nil"/>
              <w:left w:val="nil"/>
              <w:bottom w:val="single" w:sz="4" w:space="0" w:color="auto"/>
              <w:right w:val="single" w:sz="4" w:space="0" w:color="auto"/>
            </w:tcBorders>
            <w:shd w:val="clear" w:color="auto" w:fill="auto"/>
            <w:noWrap/>
            <w:vAlign w:val="bottom"/>
            <w:hideMark/>
          </w:tcPr>
          <w:p w14:paraId="069B10D7"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2.00 </w:t>
            </w:r>
          </w:p>
        </w:tc>
        <w:tc>
          <w:tcPr>
            <w:tcW w:w="1260" w:type="dxa"/>
            <w:tcBorders>
              <w:top w:val="nil"/>
              <w:left w:val="nil"/>
              <w:bottom w:val="single" w:sz="4" w:space="0" w:color="auto"/>
              <w:right w:val="single" w:sz="4" w:space="0" w:color="auto"/>
            </w:tcBorders>
            <w:shd w:val="clear" w:color="auto" w:fill="auto"/>
            <w:noWrap/>
            <w:vAlign w:val="bottom"/>
            <w:hideMark/>
          </w:tcPr>
          <w:p w14:paraId="05E1B8E3"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200</w:t>
            </w:r>
          </w:p>
        </w:tc>
        <w:tc>
          <w:tcPr>
            <w:tcW w:w="1170" w:type="dxa"/>
            <w:tcBorders>
              <w:top w:val="nil"/>
              <w:left w:val="nil"/>
              <w:bottom w:val="single" w:sz="4" w:space="0" w:color="auto"/>
              <w:right w:val="single" w:sz="4" w:space="0" w:color="auto"/>
            </w:tcBorders>
            <w:shd w:val="clear" w:color="auto" w:fill="auto"/>
            <w:noWrap/>
            <w:vAlign w:val="bottom"/>
            <w:hideMark/>
          </w:tcPr>
          <w:p w14:paraId="3F7E9975"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0.01 </w:t>
            </w:r>
          </w:p>
        </w:tc>
        <w:tc>
          <w:tcPr>
            <w:tcW w:w="1170" w:type="dxa"/>
            <w:tcBorders>
              <w:top w:val="nil"/>
              <w:left w:val="nil"/>
              <w:bottom w:val="single" w:sz="4" w:space="0" w:color="auto"/>
              <w:right w:val="single" w:sz="4" w:space="0" w:color="auto"/>
            </w:tcBorders>
            <w:shd w:val="clear" w:color="auto" w:fill="auto"/>
            <w:noWrap/>
            <w:vAlign w:val="bottom"/>
            <w:hideMark/>
          </w:tcPr>
          <w:p w14:paraId="76D1F1CC" w14:textId="77777777" w:rsidR="0091434B" w:rsidRPr="001F75BE" w:rsidRDefault="0091434B" w:rsidP="006C47D4">
            <w:pPr>
              <w:jc w:val="right"/>
              <w:rPr>
                <w:rFonts w:ascii="Times New Roman" w:hAnsi="Times New Roman"/>
                <w:color w:val="000000"/>
              </w:rPr>
            </w:pPr>
            <w:r w:rsidRPr="001F75BE">
              <w:rPr>
                <w:rFonts w:ascii="Times New Roman" w:hAnsi="Times New Roman"/>
                <w:color w:val="000000"/>
              </w:rPr>
              <w:t>-20.0%</w:t>
            </w:r>
          </w:p>
        </w:tc>
      </w:tr>
      <w:tr w:rsidR="0091434B" w:rsidRPr="001F75BE" w14:paraId="0F4B822A" w14:textId="77777777" w:rsidTr="001C5495">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6991D10" w14:textId="77777777" w:rsidR="0091434B" w:rsidRPr="001F75BE" w:rsidRDefault="0091434B" w:rsidP="006C47D4">
            <w:pPr>
              <w:rPr>
                <w:rFonts w:ascii="Times New Roman" w:hAnsi="Times New Roman"/>
                <w:color w:val="000000"/>
              </w:rPr>
            </w:pPr>
            <w:r>
              <w:rPr>
                <w:rFonts w:ascii="Times New Roman" w:hAnsi="Times New Roman"/>
                <w:color w:val="000000"/>
              </w:rPr>
              <w:t>S</w:t>
            </w:r>
            <w:r w:rsidRPr="001F75BE">
              <w:rPr>
                <w:rFonts w:ascii="Times New Roman" w:hAnsi="Times New Roman"/>
                <w:color w:val="000000"/>
              </w:rPr>
              <w:t xml:space="preserve">olar only </w:t>
            </w:r>
            <w:r>
              <w:rPr>
                <w:rFonts w:ascii="Times New Roman" w:hAnsi="Times New Roman"/>
                <w:color w:val="000000"/>
              </w:rPr>
              <w:t>(new)</w:t>
            </w:r>
          </w:p>
        </w:tc>
        <w:tc>
          <w:tcPr>
            <w:tcW w:w="1260" w:type="dxa"/>
            <w:tcBorders>
              <w:top w:val="nil"/>
              <w:left w:val="nil"/>
              <w:bottom w:val="single" w:sz="4" w:space="0" w:color="auto"/>
              <w:right w:val="single" w:sz="4" w:space="0" w:color="auto"/>
            </w:tcBorders>
            <w:shd w:val="clear" w:color="auto" w:fill="auto"/>
            <w:noWrap/>
            <w:vAlign w:val="bottom"/>
            <w:hideMark/>
          </w:tcPr>
          <w:p w14:paraId="3AFCA164"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 N/A </w:t>
            </w:r>
          </w:p>
        </w:tc>
        <w:tc>
          <w:tcPr>
            <w:tcW w:w="1350" w:type="dxa"/>
            <w:tcBorders>
              <w:top w:val="nil"/>
              <w:left w:val="nil"/>
              <w:bottom w:val="single" w:sz="4" w:space="0" w:color="auto"/>
              <w:right w:val="single" w:sz="4" w:space="0" w:color="auto"/>
            </w:tcBorders>
            <w:shd w:val="clear" w:color="auto" w:fill="auto"/>
            <w:noWrap/>
            <w:vAlign w:val="bottom"/>
            <w:hideMark/>
          </w:tcPr>
          <w:p w14:paraId="08C8441C"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N/A</w:t>
            </w:r>
          </w:p>
        </w:tc>
        <w:tc>
          <w:tcPr>
            <w:tcW w:w="1170" w:type="dxa"/>
            <w:tcBorders>
              <w:top w:val="nil"/>
              <w:left w:val="nil"/>
              <w:bottom w:val="single" w:sz="4" w:space="0" w:color="auto"/>
              <w:right w:val="single" w:sz="4" w:space="0" w:color="auto"/>
            </w:tcBorders>
            <w:shd w:val="clear" w:color="auto" w:fill="auto"/>
            <w:noWrap/>
            <w:vAlign w:val="bottom"/>
            <w:hideMark/>
          </w:tcPr>
          <w:p w14:paraId="05E9A44B"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 N/A  </w:t>
            </w:r>
          </w:p>
        </w:tc>
        <w:tc>
          <w:tcPr>
            <w:tcW w:w="1170" w:type="dxa"/>
            <w:tcBorders>
              <w:top w:val="nil"/>
              <w:left w:val="nil"/>
              <w:bottom w:val="single" w:sz="4" w:space="0" w:color="auto"/>
              <w:right w:val="single" w:sz="4" w:space="0" w:color="auto"/>
            </w:tcBorders>
            <w:shd w:val="clear" w:color="auto" w:fill="auto"/>
            <w:noWrap/>
            <w:vAlign w:val="bottom"/>
            <w:hideMark/>
          </w:tcPr>
          <w:p w14:paraId="6F50749C"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5.00 </w:t>
            </w:r>
          </w:p>
        </w:tc>
        <w:tc>
          <w:tcPr>
            <w:tcW w:w="1260" w:type="dxa"/>
            <w:tcBorders>
              <w:top w:val="nil"/>
              <w:left w:val="nil"/>
              <w:bottom w:val="single" w:sz="4" w:space="0" w:color="auto"/>
              <w:right w:val="single" w:sz="4" w:space="0" w:color="auto"/>
            </w:tcBorders>
            <w:shd w:val="clear" w:color="auto" w:fill="auto"/>
            <w:noWrap/>
            <w:vAlign w:val="bottom"/>
            <w:hideMark/>
          </w:tcPr>
          <w:p w14:paraId="7C967AAE"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33ED68B6"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$ 0.0333 </w:t>
            </w:r>
          </w:p>
        </w:tc>
        <w:tc>
          <w:tcPr>
            <w:tcW w:w="1170" w:type="dxa"/>
            <w:tcBorders>
              <w:top w:val="nil"/>
              <w:left w:val="nil"/>
              <w:bottom w:val="single" w:sz="4" w:space="0" w:color="auto"/>
              <w:right w:val="single" w:sz="4" w:space="0" w:color="auto"/>
            </w:tcBorders>
            <w:shd w:val="clear" w:color="auto" w:fill="auto"/>
            <w:noWrap/>
            <w:vAlign w:val="bottom"/>
            <w:hideMark/>
          </w:tcPr>
          <w:p w14:paraId="35D6DF91"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N/A</w:t>
            </w:r>
          </w:p>
        </w:tc>
      </w:tr>
      <w:tr w:rsidR="001C5495" w:rsidRPr="001F75BE" w14:paraId="07229CB0" w14:textId="77777777" w:rsidTr="001C5495">
        <w:trPr>
          <w:trHeight w:val="153"/>
        </w:trPr>
        <w:tc>
          <w:tcPr>
            <w:tcW w:w="1530"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5ECD397B" w14:textId="77777777" w:rsidR="0091434B" w:rsidRPr="001F75BE" w:rsidRDefault="0091434B" w:rsidP="006C47D4">
            <w:pPr>
              <w:rPr>
                <w:rFonts w:ascii="Times New Roman" w:hAnsi="Times New Roman"/>
                <w:color w:val="000000"/>
              </w:rPr>
            </w:pP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14:paraId="022314AE" w14:textId="77777777" w:rsidR="0091434B" w:rsidRPr="001F75BE" w:rsidRDefault="0091434B" w:rsidP="006C47D4">
            <w:pPr>
              <w:jc w:val="center"/>
              <w:rPr>
                <w:rFonts w:ascii="Times New Roman" w:hAnsi="Times New Roman"/>
                <w:color w:val="000000"/>
              </w:rPr>
            </w:pPr>
          </w:p>
        </w:tc>
        <w:tc>
          <w:tcPr>
            <w:tcW w:w="1350" w:type="dxa"/>
            <w:tcBorders>
              <w:top w:val="nil"/>
              <w:left w:val="nil"/>
              <w:bottom w:val="single" w:sz="4" w:space="0" w:color="auto"/>
              <w:right w:val="single" w:sz="4" w:space="0" w:color="auto"/>
            </w:tcBorders>
            <w:shd w:val="clear" w:color="auto" w:fill="7F7F7F" w:themeFill="text1" w:themeFillTint="80"/>
            <w:noWrap/>
            <w:vAlign w:val="bottom"/>
          </w:tcPr>
          <w:p w14:paraId="16DD0765" w14:textId="77777777" w:rsidR="0091434B" w:rsidRPr="001F75BE" w:rsidRDefault="0091434B" w:rsidP="006C47D4">
            <w:pPr>
              <w:jc w:val="center"/>
              <w:rPr>
                <w:rFonts w:ascii="Times New Roman" w:hAnsi="Times New Roman"/>
                <w:color w:val="000000"/>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14:paraId="3871594E" w14:textId="77777777" w:rsidR="0091434B" w:rsidRPr="001F75BE" w:rsidRDefault="0091434B" w:rsidP="006C47D4">
            <w:pPr>
              <w:jc w:val="center"/>
              <w:rPr>
                <w:rFonts w:ascii="Times New Roman" w:hAnsi="Times New Roman"/>
                <w:color w:val="000000"/>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14:paraId="6F7BC4DF" w14:textId="77777777" w:rsidR="0091434B" w:rsidRPr="001F75BE" w:rsidRDefault="0091434B" w:rsidP="006C47D4">
            <w:pPr>
              <w:rPr>
                <w:rFonts w:ascii="Times New Roman" w:hAnsi="Times New Roman"/>
                <w:color w:val="000000"/>
              </w:rPr>
            </w:pPr>
          </w:p>
        </w:tc>
        <w:tc>
          <w:tcPr>
            <w:tcW w:w="1260" w:type="dxa"/>
            <w:tcBorders>
              <w:top w:val="nil"/>
              <w:left w:val="nil"/>
              <w:bottom w:val="single" w:sz="4" w:space="0" w:color="auto"/>
              <w:right w:val="single" w:sz="4" w:space="0" w:color="auto"/>
            </w:tcBorders>
            <w:shd w:val="clear" w:color="auto" w:fill="7F7F7F" w:themeFill="text1" w:themeFillTint="80"/>
            <w:noWrap/>
            <w:vAlign w:val="bottom"/>
          </w:tcPr>
          <w:p w14:paraId="7A3CA069" w14:textId="77777777" w:rsidR="0091434B" w:rsidRPr="001F75BE" w:rsidRDefault="0091434B" w:rsidP="006C47D4">
            <w:pPr>
              <w:jc w:val="center"/>
              <w:rPr>
                <w:rFonts w:ascii="Times New Roman" w:hAnsi="Times New Roman"/>
                <w:color w:val="000000"/>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14:paraId="02E2D0A9" w14:textId="77777777" w:rsidR="0091434B" w:rsidRPr="001F75BE" w:rsidRDefault="0091434B" w:rsidP="006C47D4">
            <w:pPr>
              <w:rPr>
                <w:rFonts w:ascii="Times New Roman" w:hAnsi="Times New Roman"/>
                <w:color w:val="000000"/>
              </w:rPr>
            </w:pPr>
          </w:p>
        </w:tc>
        <w:tc>
          <w:tcPr>
            <w:tcW w:w="1170" w:type="dxa"/>
            <w:tcBorders>
              <w:top w:val="nil"/>
              <w:left w:val="nil"/>
              <w:bottom w:val="single" w:sz="4" w:space="0" w:color="auto"/>
              <w:right w:val="single" w:sz="4" w:space="0" w:color="auto"/>
            </w:tcBorders>
            <w:shd w:val="clear" w:color="auto" w:fill="7F7F7F" w:themeFill="text1" w:themeFillTint="80"/>
            <w:noWrap/>
            <w:vAlign w:val="bottom"/>
          </w:tcPr>
          <w:p w14:paraId="526BA841" w14:textId="77777777" w:rsidR="0091434B" w:rsidRPr="001F75BE" w:rsidRDefault="0091434B" w:rsidP="006C47D4">
            <w:pPr>
              <w:jc w:val="center"/>
              <w:rPr>
                <w:rFonts w:ascii="Times New Roman" w:hAnsi="Times New Roman"/>
                <w:color w:val="000000"/>
              </w:rPr>
            </w:pPr>
          </w:p>
        </w:tc>
      </w:tr>
      <w:tr w:rsidR="001C5495" w:rsidRPr="001F75BE" w14:paraId="065216AA" w14:textId="77777777" w:rsidTr="001C5495">
        <w:trPr>
          <w:trHeight w:val="1337"/>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5E1B299"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w:t>
            </w:r>
            <w:r>
              <w:rPr>
                <w:rFonts w:ascii="Times New Roman" w:hAnsi="Times New Roman"/>
                <w:color w:val="000000"/>
              </w:rPr>
              <w:t>Tariff Schedule 136</w:t>
            </w:r>
          </w:p>
        </w:tc>
        <w:tc>
          <w:tcPr>
            <w:tcW w:w="1260" w:type="dxa"/>
            <w:tcBorders>
              <w:top w:val="nil"/>
              <w:left w:val="nil"/>
              <w:bottom w:val="single" w:sz="4" w:space="0" w:color="auto"/>
              <w:right w:val="single" w:sz="4" w:space="0" w:color="auto"/>
            </w:tcBorders>
            <w:shd w:val="clear" w:color="000000" w:fill="D9D9D9"/>
            <w:vAlign w:val="bottom"/>
            <w:hideMark/>
          </w:tcPr>
          <w:p w14:paraId="4E8D8D4B"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Current cost for minimum purchase</w:t>
            </w:r>
          </w:p>
        </w:tc>
        <w:tc>
          <w:tcPr>
            <w:tcW w:w="1350" w:type="dxa"/>
            <w:tcBorders>
              <w:top w:val="nil"/>
              <w:left w:val="nil"/>
              <w:bottom w:val="single" w:sz="4" w:space="0" w:color="auto"/>
              <w:right w:val="single" w:sz="4" w:space="0" w:color="auto"/>
            </w:tcBorders>
            <w:shd w:val="clear" w:color="000000" w:fill="D9D9D9"/>
            <w:vAlign w:val="bottom"/>
            <w:hideMark/>
          </w:tcPr>
          <w:p w14:paraId="27725DCC"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Current </w:t>
            </w:r>
            <w:r>
              <w:rPr>
                <w:rFonts w:ascii="Times New Roman" w:hAnsi="Times New Roman"/>
                <w:color w:val="000000"/>
              </w:rPr>
              <w:t xml:space="preserve">monthly </w:t>
            </w:r>
            <w:r w:rsidRPr="001F75BE">
              <w:rPr>
                <w:rFonts w:ascii="Times New Roman" w:hAnsi="Times New Roman"/>
                <w:color w:val="000000"/>
              </w:rPr>
              <w:t>minimum purchase (kWh)</w:t>
            </w:r>
            <w:r w:rsidRPr="001F75BE">
              <w:rPr>
                <w:rFonts w:ascii="Times New Roman" w:hAnsi="Times New Roman"/>
                <w:color w:val="000000"/>
                <w:vertAlign w:val="superscript"/>
              </w:rPr>
              <w:t xml:space="preserve"> </w:t>
            </w:r>
            <w:r>
              <w:rPr>
                <w:rFonts w:ascii="Times New Roman" w:hAnsi="Times New Roman"/>
                <w:color w:val="000000"/>
                <w:vertAlign w:val="superscript"/>
              </w:rPr>
              <w:t>2</w:t>
            </w:r>
          </w:p>
        </w:tc>
        <w:tc>
          <w:tcPr>
            <w:tcW w:w="1170" w:type="dxa"/>
            <w:tcBorders>
              <w:top w:val="nil"/>
              <w:left w:val="nil"/>
              <w:bottom w:val="single" w:sz="4" w:space="0" w:color="auto"/>
              <w:right w:val="single" w:sz="4" w:space="0" w:color="auto"/>
            </w:tcBorders>
            <w:shd w:val="clear" w:color="000000" w:fill="D9D9D9"/>
            <w:vAlign w:val="bottom"/>
            <w:hideMark/>
          </w:tcPr>
          <w:p w14:paraId="698535FF"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Current price per kWh</w:t>
            </w:r>
          </w:p>
        </w:tc>
        <w:tc>
          <w:tcPr>
            <w:tcW w:w="1170" w:type="dxa"/>
            <w:tcBorders>
              <w:top w:val="nil"/>
              <w:left w:val="nil"/>
              <w:bottom w:val="single" w:sz="4" w:space="0" w:color="auto"/>
              <w:right w:val="single" w:sz="4" w:space="0" w:color="auto"/>
            </w:tcBorders>
            <w:shd w:val="clear" w:color="000000" w:fill="D9D9D9"/>
            <w:vAlign w:val="bottom"/>
            <w:hideMark/>
          </w:tcPr>
          <w:p w14:paraId="36755E24"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Proposed cost for minimum purchase </w:t>
            </w:r>
          </w:p>
        </w:tc>
        <w:tc>
          <w:tcPr>
            <w:tcW w:w="1260" w:type="dxa"/>
            <w:tcBorders>
              <w:top w:val="nil"/>
              <w:left w:val="nil"/>
              <w:bottom w:val="single" w:sz="4" w:space="0" w:color="auto"/>
              <w:right w:val="single" w:sz="4" w:space="0" w:color="auto"/>
            </w:tcBorders>
            <w:shd w:val="clear" w:color="000000" w:fill="D9D9D9"/>
            <w:vAlign w:val="bottom"/>
            <w:hideMark/>
          </w:tcPr>
          <w:p w14:paraId="4FA95123"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Proposed</w:t>
            </w:r>
            <w:r>
              <w:rPr>
                <w:rFonts w:ascii="Times New Roman" w:hAnsi="Times New Roman"/>
                <w:color w:val="000000"/>
              </w:rPr>
              <w:t xml:space="preserve"> monthly</w:t>
            </w:r>
            <w:r w:rsidRPr="001F75BE">
              <w:rPr>
                <w:rFonts w:ascii="Times New Roman" w:hAnsi="Times New Roman"/>
                <w:color w:val="000000"/>
              </w:rPr>
              <w:t xml:space="preserve"> minimum purchase (kWh)</w:t>
            </w:r>
            <w:r>
              <w:rPr>
                <w:rFonts w:ascii="Times New Roman" w:hAnsi="Times New Roman"/>
                <w:color w:val="000000"/>
              </w:rPr>
              <w:t xml:space="preserve"> </w:t>
            </w:r>
            <w:r>
              <w:rPr>
                <w:rFonts w:ascii="Times New Roman" w:hAnsi="Times New Roman"/>
                <w:color w:val="000000"/>
                <w:vertAlign w:val="superscript"/>
              </w:rPr>
              <w:t>2</w:t>
            </w:r>
          </w:p>
        </w:tc>
        <w:tc>
          <w:tcPr>
            <w:tcW w:w="1170" w:type="dxa"/>
            <w:tcBorders>
              <w:top w:val="nil"/>
              <w:left w:val="nil"/>
              <w:bottom w:val="single" w:sz="4" w:space="0" w:color="auto"/>
              <w:right w:val="single" w:sz="4" w:space="0" w:color="auto"/>
            </w:tcBorders>
            <w:shd w:val="clear" w:color="000000" w:fill="D9D9D9"/>
            <w:vAlign w:val="bottom"/>
            <w:hideMark/>
          </w:tcPr>
          <w:p w14:paraId="2D9A7F30"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Proposed price per kWh </w:t>
            </w:r>
          </w:p>
        </w:tc>
        <w:tc>
          <w:tcPr>
            <w:tcW w:w="1170" w:type="dxa"/>
            <w:tcBorders>
              <w:top w:val="nil"/>
              <w:left w:val="nil"/>
              <w:bottom w:val="single" w:sz="4" w:space="0" w:color="auto"/>
              <w:right w:val="single" w:sz="4" w:space="0" w:color="auto"/>
            </w:tcBorders>
            <w:shd w:val="clear" w:color="000000" w:fill="D9D9D9"/>
            <w:vAlign w:val="bottom"/>
            <w:hideMark/>
          </w:tcPr>
          <w:p w14:paraId="1B0E1541"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Proposed overall price reduction</w:t>
            </w:r>
          </w:p>
        </w:tc>
      </w:tr>
      <w:tr w:rsidR="0091434B" w:rsidRPr="001F75BE" w14:paraId="018B8AE9" w14:textId="77777777" w:rsidTr="001C5495">
        <w:trPr>
          <w:trHeight w:val="31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63C2624" w14:textId="77777777" w:rsidR="0091434B" w:rsidRPr="001F75BE" w:rsidRDefault="0091434B" w:rsidP="006C47D4">
            <w:pPr>
              <w:rPr>
                <w:rFonts w:ascii="Times New Roman" w:hAnsi="Times New Roman"/>
                <w:color w:val="000000"/>
              </w:rPr>
            </w:pPr>
            <w:r>
              <w:rPr>
                <w:rFonts w:ascii="Times New Roman" w:hAnsi="Times New Roman"/>
                <w:color w:val="000000"/>
              </w:rPr>
              <w:t>L</w:t>
            </w:r>
            <w:r w:rsidRPr="001F75BE">
              <w:rPr>
                <w:rFonts w:ascii="Times New Roman" w:hAnsi="Times New Roman"/>
                <w:color w:val="000000"/>
              </w:rPr>
              <w:t>arge customers</w:t>
            </w:r>
          </w:p>
        </w:tc>
        <w:tc>
          <w:tcPr>
            <w:tcW w:w="1260" w:type="dxa"/>
            <w:tcBorders>
              <w:top w:val="nil"/>
              <w:left w:val="nil"/>
              <w:bottom w:val="single" w:sz="4" w:space="0" w:color="auto"/>
              <w:right w:val="single" w:sz="4" w:space="0" w:color="auto"/>
            </w:tcBorders>
            <w:shd w:val="clear" w:color="auto" w:fill="auto"/>
            <w:noWrap/>
            <w:vAlign w:val="bottom"/>
            <w:hideMark/>
          </w:tcPr>
          <w:p w14:paraId="1C8FF744"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$ 500.00 </w:t>
            </w:r>
          </w:p>
        </w:tc>
        <w:tc>
          <w:tcPr>
            <w:tcW w:w="1350" w:type="dxa"/>
            <w:tcBorders>
              <w:top w:val="nil"/>
              <w:left w:val="nil"/>
              <w:bottom w:val="single" w:sz="4" w:space="0" w:color="auto"/>
              <w:right w:val="single" w:sz="4" w:space="0" w:color="auto"/>
            </w:tcBorders>
            <w:shd w:val="clear" w:color="auto" w:fill="auto"/>
            <w:noWrap/>
            <w:vAlign w:val="bottom"/>
            <w:hideMark/>
          </w:tcPr>
          <w:p w14:paraId="5A0DAA6B"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       83,333 </w:t>
            </w:r>
          </w:p>
        </w:tc>
        <w:tc>
          <w:tcPr>
            <w:tcW w:w="1170" w:type="dxa"/>
            <w:tcBorders>
              <w:top w:val="nil"/>
              <w:left w:val="nil"/>
              <w:bottom w:val="single" w:sz="4" w:space="0" w:color="auto"/>
              <w:right w:val="single" w:sz="4" w:space="0" w:color="auto"/>
            </w:tcBorders>
            <w:shd w:val="clear" w:color="auto" w:fill="auto"/>
            <w:noWrap/>
            <w:vAlign w:val="bottom"/>
            <w:hideMark/>
          </w:tcPr>
          <w:p w14:paraId="594FA5FC"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0.006 </w:t>
            </w:r>
          </w:p>
        </w:tc>
        <w:tc>
          <w:tcPr>
            <w:tcW w:w="1170" w:type="dxa"/>
            <w:tcBorders>
              <w:top w:val="nil"/>
              <w:left w:val="nil"/>
              <w:bottom w:val="single" w:sz="4" w:space="0" w:color="auto"/>
              <w:right w:val="single" w:sz="4" w:space="0" w:color="auto"/>
            </w:tcBorders>
            <w:shd w:val="clear" w:color="auto" w:fill="auto"/>
            <w:noWrap/>
            <w:vAlign w:val="bottom"/>
            <w:hideMark/>
          </w:tcPr>
          <w:p w14:paraId="5F9F8997"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$ 291.67 </w:t>
            </w:r>
          </w:p>
        </w:tc>
        <w:tc>
          <w:tcPr>
            <w:tcW w:w="1260" w:type="dxa"/>
            <w:tcBorders>
              <w:top w:val="nil"/>
              <w:left w:val="nil"/>
              <w:bottom w:val="single" w:sz="4" w:space="0" w:color="auto"/>
              <w:right w:val="single" w:sz="4" w:space="0" w:color="auto"/>
            </w:tcBorders>
            <w:shd w:val="clear" w:color="auto" w:fill="auto"/>
            <w:noWrap/>
            <w:vAlign w:val="bottom"/>
            <w:hideMark/>
          </w:tcPr>
          <w:p w14:paraId="066E45EB" w14:textId="77777777" w:rsidR="0091434B" w:rsidRPr="001F75BE" w:rsidRDefault="0091434B" w:rsidP="006C47D4">
            <w:pPr>
              <w:jc w:val="center"/>
              <w:rPr>
                <w:rFonts w:ascii="Times New Roman" w:hAnsi="Times New Roman"/>
                <w:color w:val="000000"/>
              </w:rPr>
            </w:pPr>
            <w:r w:rsidRPr="001F75BE">
              <w:rPr>
                <w:rFonts w:ascii="Times New Roman" w:hAnsi="Times New Roman"/>
                <w:color w:val="000000"/>
              </w:rPr>
              <w:t xml:space="preserve">    83,333 </w:t>
            </w:r>
          </w:p>
        </w:tc>
        <w:tc>
          <w:tcPr>
            <w:tcW w:w="1170" w:type="dxa"/>
            <w:tcBorders>
              <w:top w:val="nil"/>
              <w:left w:val="nil"/>
              <w:bottom w:val="single" w:sz="4" w:space="0" w:color="auto"/>
              <w:right w:val="single" w:sz="4" w:space="0" w:color="auto"/>
            </w:tcBorders>
            <w:shd w:val="clear" w:color="auto" w:fill="auto"/>
            <w:noWrap/>
            <w:vAlign w:val="bottom"/>
            <w:hideMark/>
          </w:tcPr>
          <w:p w14:paraId="4F7CF69A" w14:textId="77777777" w:rsidR="0091434B" w:rsidRPr="001F75BE" w:rsidRDefault="0091434B" w:rsidP="006C47D4">
            <w:pPr>
              <w:rPr>
                <w:rFonts w:ascii="Times New Roman" w:hAnsi="Times New Roman"/>
                <w:color w:val="000000"/>
              </w:rPr>
            </w:pPr>
            <w:r w:rsidRPr="001F75BE">
              <w:rPr>
                <w:rFonts w:ascii="Times New Roman" w:hAnsi="Times New Roman"/>
                <w:color w:val="000000"/>
              </w:rPr>
              <w:t xml:space="preserve"> $ 0.0035 </w:t>
            </w:r>
          </w:p>
        </w:tc>
        <w:tc>
          <w:tcPr>
            <w:tcW w:w="1170" w:type="dxa"/>
            <w:tcBorders>
              <w:top w:val="nil"/>
              <w:left w:val="nil"/>
              <w:bottom w:val="single" w:sz="4" w:space="0" w:color="auto"/>
              <w:right w:val="single" w:sz="4" w:space="0" w:color="auto"/>
            </w:tcBorders>
            <w:shd w:val="clear" w:color="auto" w:fill="auto"/>
            <w:noWrap/>
            <w:vAlign w:val="bottom"/>
            <w:hideMark/>
          </w:tcPr>
          <w:p w14:paraId="080D4E8F" w14:textId="77777777" w:rsidR="0091434B" w:rsidRPr="001F75BE" w:rsidRDefault="0091434B" w:rsidP="006C47D4">
            <w:pPr>
              <w:jc w:val="right"/>
              <w:rPr>
                <w:rFonts w:ascii="Times New Roman" w:hAnsi="Times New Roman"/>
                <w:color w:val="000000"/>
              </w:rPr>
            </w:pPr>
            <w:r w:rsidRPr="001F75BE">
              <w:rPr>
                <w:rFonts w:ascii="Times New Roman" w:hAnsi="Times New Roman"/>
                <w:color w:val="000000"/>
              </w:rPr>
              <w:t>-41.7%</w:t>
            </w:r>
          </w:p>
        </w:tc>
      </w:tr>
    </w:tbl>
    <w:p w14:paraId="615CC0A5" w14:textId="77777777" w:rsidR="0091434B" w:rsidRDefault="0091434B" w:rsidP="0091434B">
      <w:pPr>
        <w:rPr>
          <w:rFonts w:ascii="Times New Roman" w:hAnsi="Times New Roman"/>
        </w:rPr>
      </w:pPr>
      <w:r>
        <w:rPr>
          <w:rFonts w:ascii="Times New Roman" w:hAnsi="Times New Roman"/>
          <w:vertAlign w:val="superscript"/>
        </w:rPr>
        <w:t>2</w:t>
      </w:r>
      <w:r>
        <w:rPr>
          <w:rFonts w:ascii="Times New Roman" w:hAnsi="Times New Roman"/>
        </w:rPr>
        <w:t xml:space="preserve"> Equates to 1 million kWh annual purchase minimum</w:t>
      </w:r>
    </w:p>
    <w:p w14:paraId="3E575608" w14:textId="77777777" w:rsidR="0091434B" w:rsidRDefault="0091434B" w:rsidP="0091434B">
      <w:pPr>
        <w:rPr>
          <w:rFonts w:ascii="Times New Roman" w:hAnsi="Times New Roman"/>
        </w:rPr>
      </w:pPr>
    </w:p>
    <w:p w14:paraId="72FCA685" w14:textId="5EBDFC19" w:rsidR="0042746D" w:rsidRDefault="0045496E" w:rsidP="0042746D">
      <w:pPr>
        <w:rPr>
          <w:rFonts w:ascii="Times New Roman" w:hAnsi="Times New Roman"/>
          <w:i/>
        </w:rPr>
      </w:pPr>
      <w:r>
        <w:rPr>
          <w:rFonts w:ascii="Times New Roman" w:hAnsi="Times New Roman"/>
          <w:i/>
        </w:rPr>
        <w:t xml:space="preserve">Managing </w:t>
      </w:r>
      <w:r w:rsidR="0042746D">
        <w:rPr>
          <w:rFonts w:ascii="Times New Roman" w:hAnsi="Times New Roman"/>
          <w:i/>
        </w:rPr>
        <w:t>Program Reserve Balance</w:t>
      </w:r>
    </w:p>
    <w:p w14:paraId="618D2C68" w14:textId="77777777" w:rsidR="0042746D" w:rsidRDefault="0042746D" w:rsidP="0042746D">
      <w:pPr>
        <w:rPr>
          <w:rFonts w:ascii="Times New Roman" w:hAnsi="Times New Roman"/>
        </w:rPr>
      </w:pPr>
    </w:p>
    <w:p w14:paraId="5E3BA79D" w14:textId="77777777" w:rsidR="0056794F" w:rsidRDefault="0042746D" w:rsidP="0042746D">
      <w:pPr>
        <w:rPr>
          <w:rFonts w:ascii="Times New Roman" w:hAnsi="Times New Roman"/>
        </w:rPr>
      </w:pPr>
      <w:r>
        <w:rPr>
          <w:rFonts w:ascii="Times New Roman" w:hAnsi="Times New Roman"/>
        </w:rPr>
        <w:t>Due to factors such as below-expected pricing on RECs and a decrease in the cost of project overhead, the company has accrued a 2015 program reserve balance of $</w:t>
      </w:r>
      <w:r w:rsidRPr="008E75EF">
        <w:rPr>
          <w:rFonts w:ascii="Times New Roman" w:hAnsi="Times New Roman"/>
        </w:rPr>
        <w:t>4</w:t>
      </w:r>
      <w:r>
        <w:rPr>
          <w:rFonts w:ascii="Times New Roman" w:hAnsi="Times New Roman"/>
        </w:rPr>
        <w:t>,</w:t>
      </w:r>
      <w:r w:rsidRPr="008E75EF">
        <w:rPr>
          <w:rFonts w:ascii="Times New Roman" w:hAnsi="Times New Roman"/>
        </w:rPr>
        <w:t>735</w:t>
      </w:r>
      <w:r>
        <w:rPr>
          <w:rFonts w:ascii="Times New Roman" w:hAnsi="Times New Roman"/>
        </w:rPr>
        <w:t>,</w:t>
      </w:r>
      <w:r w:rsidRPr="008E75EF">
        <w:rPr>
          <w:rFonts w:ascii="Times New Roman" w:hAnsi="Times New Roman"/>
        </w:rPr>
        <w:t>444</w:t>
      </w:r>
      <w:r>
        <w:rPr>
          <w:rFonts w:ascii="Times New Roman" w:hAnsi="Times New Roman"/>
        </w:rPr>
        <w:t xml:space="preserve">. In projections provided in </w:t>
      </w:r>
      <w:r>
        <w:rPr>
          <w:rFonts w:ascii="Times New Roman" w:hAnsi="Times New Roman"/>
        </w:rPr>
        <w:lastRenderedPageBreak/>
        <w:t>support of Schedule 135 and Schedule 136 revisions, the company forecasts this capital reserve to reach an apex of $4,997,331 in 2016, and then decline by just over 25</w:t>
      </w:r>
      <w:r w:rsidR="00B67478">
        <w:rPr>
          <w:rFonts w:ascii="Times New Roman" w:hAnsi="Times New Roman"/>
        </w:rPr>
        <w:t xml:space="preserve"> percent </w:t>
      </w:r>
      <w:r>
        <w:rPr>
          <w:rFonts w:ascii="Times New Roman" w:hAnsi="Times New Roman"/>
        </w:rPr>
        <w:t>to $3,717,407 in 2022. Historically (2006 – 2013), the company has maintained a program reserve balance that equates to $40 to $60 per program customer, but that figure has risen to $113 per customer</w:t>
      </w:r>
      <w:r w:rsidR="00F766B6">
        <w:rPr>
          <w:rFonts w:ascii="Times New Roman" w:hAnsi="Times New Roman"/>
        </w:rPr>
        <w:t xml:space="preserve"> in 2016</w:t>
      </w:r>
      <w:r>
        <w:rPr>
          <w:rFonts w:ascii="Times New Roman" w:hAnsi="Times New Roman"/>
        </w:rPr>
        <w:t xml:space="preserve">. </w:t>
      </w:r>
      <w:r w:rsidR="0056794F">
        <w:rPr>
          <w:rFonts w:ascii="Times New Roman" w:hAnsi="Times New Roman"/>
        </w:rPr>
        <w:t>Using the reduced costs in the tariff filing, t</w:t>
      </w:r>
      <w:r>
        <w:rPr>
          <w:rFonts w:ascii="Times New Roman" w:hAnsi="Times New Roman"/>
        </w:rPr>
        <w:t xml:space="preserve">he </w:t>
      </w:r>
      <w:r w:rsidR="0056794F">
        <w:rPr>
          <w:rFonts w:ascii="Times New Roman" w:hAnsi="Times New Roman"/>
        </w:rPr>
        <w:t xml:space="preserve">account balance will gradually decline, projected </w:t>
      </w:r>
      <w:r>
        <w:rPr>
          <w:rFonts w:ascii="Times New Roman" w:hAnsi="Times New Roman"/>
        </w:rPr>
        <w:t xml:space="preserve">to $71 per customer in 2022, where the financial projections end. </w:t>
      </w:r>
    </w:p>
    <w:p w14:paraId="7DB242F3" w14:textId="77777777" w:rsidR="0056794F" w:rsidRDefault="0056794F" w:rsidP="0042746D">
      <w:pPr>
        <w:rPr>
          <w:rFonts w:ascii="Times New Roman" w:hAnsi="Times New Roman"/>
        </w:rPr>
      </w:pPr>
    </w:p>
    <w:p w14:paraId="6DBEF6C0" w14:textId="22422CD0" w:rsidR="0042746D" w:rsidRDefault="0042746D" w:rsidP="0042746D">
      <w:pPr>
        <w:rPr>
          <w:rFonts w:ascii="Times New Roman" w:hAnsi="Times New Roman"/>
        </w:rPr>
      </w:pPr>
      <w:r>
        <w:rPr>
          <w:rFonts w:ascii="Times New Roman" w:hAnsi="Times New Roman"/>
        </w:rPr>
        <w:t>A</w:t>
      </w:r>
      <w:r w:rsidR="0056794F">
        <w:rPr>
          <w:rFonts w:ascii="Times New Roman" w:hAnsi="Times New Roman"/>
        </w:rPr>
        <w:t>n</w:t>
      </w:r>
      <w:r>
        <w:rPr>
          <w:rFonts w:ascii="Times New Roman" w:hAnsi="Times New Roman"/>
        </w:rPr>
        <w:t xml:space="preserve"> evaluation comparing the historical balance to MWhs also indicated that the current balance is high compared to historical values. An offset to the program reserve balance exists, however, in the form of PSE commitments to purchase RECs that have not been billed to the company as of July 31, 2016. This obligation, essentially an “account payable</w:t>
      </w:r>
      <w:r w:rsidR="00B67478">
        <w:rPr>
          <w:rFonts w:ascii="Times New Roman" w:hAnsi="Times New Roman"/>
        </w:rPr>
        <w:t>,</w:t>
      </w:r>
      <w:r>
        <w:rPr>
          <w:rFonts w:ascii="Times New Roman" w:hAnsi="Times New Roman"/>
        </w:rPr>
        <w:t xml:space="preserve">” has been calculated by staff for the calendar year 2016 as at least $1.2 </w:t>
      </w:r>
      <w:r w:rsidR="00F766B6">
        <w:rPr>
          <w:rFonts w:ascii="Times New Roman" w:hAnsi="Times New Roman"/>
        </w:rPr>
        <w:t xml:space="preserve">million </w:t>
      </w:r>
      <w:r>
        <w:rPr>
          <w:rFonts w:ascii="Times New Roman" w:hAnsi="Times New Roman"/>
        </w:rPr>
        <w:t xml:space="preserve">due from the company to its aggregators, using historical cost data. The company has provided data showing that obligations to purchase RECs generated by 14 different wind, dairy digesters, biofuel, and new hydroelectric power producers through 2020 total $2.5 </w:t>
      </w:r>
      <w:r w:rsidR="00F766B6">
        <w:rPr>
          <w:rFonts w:ascii="Times New Roman" w:hAnsi="Times New Roman"/>
        </w:rPr>
        <w:t xml:space="preserve">million </w:t>
      </w:r>
      <w:r>
        <w:rPr>
          <w:rFonts w:ascii="Times New Roman" w:hAnsi="Times New Roman"/>
        </w:rPr>
        <w:t xml:space="preserve">at a minimum. New solar resources are </w:t>
      </w:r>
      <w:r w:rsidR="0056794F">
        <w:rPr>
          <w:rFonts w:ascii="Times New Roman" w:hAnsi="Times New Roman"/>
        </w:rPr>
        <w:t>experiencing</w:t>
      </w:r>
      <w:r>
        <w:rPr>
          <w:rFonts w:ascii="Times New Roman" w:hAnsi="Times New Roman"/>
        </w:rPr>
        <w:t xml:space="preserve"> permitting issues and, once those issues are resolved, the company </w:t>
      </w:r>
      <w:r w:rsidR="0056794F">
        <w:rPr>
          <w:rFonts w:ascii="Times New Roman" w:hAnsi="Times New Roman"/>
        </w:rPr>
        <w:t>anticipates</w:t>
      </w:r>
      <w:r>
        <w:rPr>
          <w:rFonts w:ascii="Times New Roman" w:hAnsi="Times New Roman"/>
        </w:rPr>
        <w:t xml:space="preserve"> a commitment to purchase at least an additional $1.1 </w:t>
      </w:r>
      <w:r w:rsidR="00F766B6">
        <w:rPr>
          <w:rFonts w:ascii="Times New Roman" w:hAnsi="Times New Roman"/>
        </w:rPr>
        <w:t xml:space="preserve">million </w:t>
      </w:r>
      <w:r>
        <w:rPr>
          <w:rFonts w:ascii="Times New Roman" w:hAnsi="Times New Roman"/>
        </w:rPr>
        <w:t xml:space="preserve">in RECs. The </w:t>
      </w:r>
      <w:r>
        <w:rPr>
          <w:rFonts w:ascii="Times New Roman" w:hAnsi="Times New Roman"/>
        </w:rPr>
        <w:lastRenderedPageBreak/>
        <w:t xml:space="preserve">company’s contracts obligate it to purchase these resources whether or not it has a customer base willing to purchase the credits. The company also faces sizeable uncertainty regarding the </w:t>
      </w:r>
      <w:r w:rsidR="0056794F">
        <w:rPr>
          <w:rFonts w:ascii="Times New Roman" w:hAnsi="Times New Roman"/>
        </w:rPr>
        <w:t xml:space="preserve">future </w:t>
      </w:r>
      <w:r>
        <w:rPr>
          <w:rFonts w:ascii="Times New Roman" w:hAnsi="Times New Roman"/>
        </w:rPr>
        <w:t xml:space="preserve">cost of solar-only RECs as this new option for consumers is added to its tariff. </w:t>
      </w:r>
    </w:p>
    <w:p w14:paraId="520D19B0" w14:textId="77777777" w:rsidR="0042746D" w:rsidRDefault="0042746D" w:rsidP="0042746D">
      <w:pPr>
        <w:rPr>
          <w:rFonts w:ascii="Times New Roman" w:hAnsi="Times New Roman"/>
        </w:rPr>
      </w:pPr>
    </w:p>
    <w:p w14:paraId="5B9F4B2E" w14:textId="0A6EFBC9" w:rsidR="0042746D" w:rsidRPr="00CA3D04" w:rsidRDefault="0042746D" w:rsidP="0042746D">
      <w:pPr>
        <w:rPr>
          <w:rFonts w:ascii="Times New Roman" w:hAnsi="Times New Roman"/>
        </w:rPr>
      </w:pPr>
      <w:r>
        <w:rPr>
          <w:rFonts w:ascii="Times New Roman" w:hAnsi="Times New Roman"/>
        </w:rPr>
        <w:t>Upon disc</w:t>
      </w:r>
      <w:r w:rsidR="0056794F">
        <w:rPr>
          <w:rFonts w:ascii="Times New Roman" w:hAnsi="Times New Roman"/>
        </w:rPr>
        <w:t>ussion with PSE representatives</w:t>
      </w:r>
      <w:r>
        <w:rPr>
          <w:rFonts w:ascii="Times New Roman" w:hAnsi="Times New Roman"/>
        </w:rPr>
        <w:t xml:space="preserve"> </w:t>
      </w:r>
      <w:r w:rsidR="0056794F">
        <w:rPr>
          <w:rFonts w:ascii="Times New Roman" w:hAnsi="Times New Roman"/>
        </w:rPr>
        <w:t xml:space="preserve">and stakeholders, </w:t>
      </w:r>
      <w:r w:rsidR="00EA4D34">
        <w:rPr>
          <w:rFonts w:ascii="Times New Roman" w:hAnsi="Times New Roman"/>
        </w:rPr>
        <w:t xml:space="preserve">commission staff agreed that </w:t>
      </w:r>
      <w:r>
        <w:rPr>
          <w:rFonts w:ascii="Times New Roman" w:hAnsi="Times New Roman"/>
        </w:rPr>
        <w:t>a $2.5 million program reserve balance was a reasonable target by 2022</w:t>
      </w:r>
      <w:r w:rsidR="0045496E">
        <w:rPr>
          <w:rFonts w:ascii="Times New Roman" w:hAnsi="Times New Roman"/>
        </w:rPr>
        <w:t xml:space="preserve"> by some additional program spending in the near term. This will be a smaller reserve balance than</w:t>
      </w:r>
      <w:r w:rsidR="0056794F">
        <w:rPr>
          <w:rFonts w:ascii="Times New Roman" w:hAnsi="Times New Roman"/>
        </w:rPr>
        <w:t xml:space="preserve"> the $3.7 million</w:t>
      </w:r>
      <w:r w:rsidR="0045496E">
        <w:rPr>
          <w:rFonts w:ascii="Times New Roman" w:hAnsi="Times New Roman"/>
        </w:rPr>
        <w:t xml:space="preserve"> by 2022 without additional near term program spending</w:t>
      </w:r>
      <w:r>
        <w:rPr>
          <w:rFonts w:ascii="Times New Roman" w:hAnsi="Times New Roman"/>
        </w:rPr>
        <w:t xml:space="preserve">. </w:t>
      </w:r>
      <w:r w:rsidR="0045496E">
        <w:rPr>
          <w:rFonts w:ascii="Times New Roman" w:hAnsi="Times New Roman"/>
        </w:rPr>
        <w:t>D</w:t>
      </w:r>
      <w:r>
        <w:rPr>
          <w:rFonts w:ascii="Times New Roman" w:hAnsi="Times New Roman"/>
        </w:rPr>
        <w:t xml:space="preserve">ue to uncertainty in future REC pricing, </w:t>
      </w:r>
      <w:r w:rsidR="00EA4D34">
        <w:rPr>
          <w:rFonts w:ascii="Times New Roman" w:hAnsi="Times New Roman"/>
        </w:rPr>
        <w:t>c</w:t>
      </w:r>
      <w:r>
        <w:rPr>
          <w:rFonts w:ascii="Times New Roman" w:hAnsi="Times New Roman"/>
        </w:rPr>
        <w:t xml:space="preserve">ommission staff </w:t>
      </w:r>
      <w:r w:rsidR="00EA4D34">
        <w:rPr>
          <w:rFonts w:ascii="Times New Roman" w:hAnsi="Times New Roman"/>
        </w:rPr>
        <w:t>believe</w:t>
      </w:r>
      <w:r>
        <w:rPr>
          <w:rFonts w:ascii="Times New Roman" w:hAnsi="Times New Roman"/>
        </w:rPr>
        <w:t xml:space="preserve"> that a further rate reduction is not the best option to reduce the balance at this time. PSE plans to draw down the excess reserve </w:t>
      </w:r>
      <w:r w:rsidR="0056794F">
        <w:rPr>
          <w:rFonts w:ascii="Times New Roman" w:hAnsi="Times New Roman"/>
        </w:rPr>
        <w:t xml:space="preserve">in the next few years </w:t>
      </w:r>
      <w:r>
        <w:rPr>
          <w:rFonts w:ascii="Times New Roman" w:hAnsi="Times New Roman"/>
        </w:rPr>
        <w:t xml:space="preserve">by funding more alternative energy grant projects and </w:t>
      </w:r>
      <w:r w:rsidR="00A00FD7">
        <w:rPr>
          <w:rFonts w:ascii="Times New Roman" w:hAnsi="Times New Roman"/>
        </w:rPr>
        <w:t xml:space="preserve">by increasing </w:t>
      </w:r>
      <w:r>
        <w:rPr>
          <w:rFonts w:ascii="Times New Roman" w:hAnsi="Times New Roman"/>
        </w:rPr>
        <w:t>the marketing budget for the program</w:t>
      </w:r>
      <w:r w:rsidR="00EA4D34">
        <w:rPr>
          <w:rFonts w:ascii="Times New Roman" w:hAnsi="Times New Roman"/>
        </w:rPr>
        <w:t xml:space="preserve"> to halt the natural attrition of green energy customers</w:t>
      </w:r>
      <w:r>
        <w:rPr>
          <w:rFonts w:ascii="Times New Roman" w:hAnsi="Times New Roman"/>
        </w:rPr>
        <w:t xml:space="preserve">. </w:t>
      </w:r>
    </w:p>
    <w:p w14:paraId="680729E8" w14:textId="77777777" w:rsidR="0091434B" w:rsidRDefault="0091434B" w:rsidP="0091434B">
      <w:pPr>
        <w:rPr>
          <w:rFonts w:ascii="Times New Roman" w:hAnsi="Times New Roman"/>
        </w:rPr>
      </w:pPr>
    </w:p>
    <w:p w14:paraId="75DF915B" w14:textId="77777777" w:rsidR="0091434B" w:rsidRDefault="0091434B" w:rsidP="0091434B">
      <w:pPr>
        <w:rPr>
          <w:rFonts w:ascii="Times New Roman" w:hAnsi="Times New Roman"/>
          <w:b/>
          <w:u w:val="single"/>
        </w:rPr>
      </w:pPr>
      <w:r>
        <w:rPr>
          <w:rFonts w:ascii="Times New Roman" w:hAnsi="Times New Roman"/>
          <w:b/>
          <w:u w:val="single"/>
        </w:rPr>
        <w:t>Stakeholder Comments</w:t>
      </w:r>
    </w:p>
    <w:p w14:paraId="1CD8355D" w14:textId="77777777" w:rsidR="0091434B" w:rsidRDefault="0091434B" w:rsidP="0091434B">
      <w:pPr>
        <w:rPr>
          <w:rFonts w:ascii="Times New Roman" w:hAnsi="Times New Roman"/>
          <w:b/>
          <w:u w:val="single"/>
        </w:rPr>
      </w:pPr>
    </w:p>
    <w:p w14:paraId="2D83FA71" w14:textId="72B22AE3" w:rsidR="0091434B" w:rsidRDefault="0091434B" w:rsidP="0091434B">
      <w:pPr>
        <w:rPr>
          <w:rFonts w:ascii="Times New Roman" w:hAnsi="Times New Roman"/>
        </w:rPr>
      </w:pPr>
      <w:r>
        <w:rPr>
          <w:rFonts w:ascii="Times New Roman" w:hAnsi="Times New Roman"/>
        </w:rPr>
        <w:t xml:space="preserve">The company met with commission staff and stakeholders to discuss the proposed tariff revisions on </w:t>
      </w:r>
      <w:r w:rsidR="0045496E">
        <w:rPr>
          <w:rFonts w:ascii="Times New Roman" w:hAnsi="Times New Roman"/>
        </w:rPr>
        <w:t xml:space="preserve">August 19, and </w:t>
      </w:r>
      <w:r>
        <w:rPr>
          <w:rFonts w:ascii="Times New Roman" w:hAnsi="Times New Roman"/>
        </w:rPr>
        <w:t xml:space="preserve">September 1, 2016. Attendees included commission staff and company representatives, along with representatives from Public Counsel, King County, Northwest Energy Coalition, Industrial Customers of Northwest Utilities, World Resources Institute, and Renewable Northwest. The primary </w:t>
      </w:r>
      <w:r>
        <w:rPr>
          <w:rFonts w:ascii="Times New Roman" w:hAnsi="Times New Roman"/>
        </w:rPr>
        <w:lastRenderedPageBreak/>
        <w:t xml:space="preserve">topics of discussion between the stakeholders were program specifics and reducing the </w:t>
      </w:r>
      <w:r w:rsidR="00765BA5">
        <w:rPr>
          <w:rFonts w:ascii="Times New Roman" w:hAnsi="Times New Roman"/>
        </w:rPr>
        <w:t xml:space="preserve">extra </w:t>
      </w:r>
      <w:r>
        <w:rPr>
          <w:rFonts w:ascii="Times New Roman" w:hAnsi="Times New Roman"/>
        </w:rPr>
        <w:t>program reserve balance. The tariff garnered support in general. Details regarding comments are shown in Attachment A.</w:t>
      </w:r>
    </w:p>
    <w:p w14:paraId="49AAAE41" w14:textId="36AF3BEA" w:rsidR="008962A6" w:rsidRDefault="00977EA3">
      <w:pPr>
        <w:rPr>
          <w:rFonts w:ascii="Times New Roman" w:hAnsi="Times New Roman"/>
          <w:b/>
          <w:u w:val="single"/>
        </w:rPr>
      </w:pPr>
      <w:r>
        <w:rPr>
          <w:rFonts w:ascii="Times New Roman" w:hAnsi="Times New Roman"/>
        </w:rPr>
        <w:t xml:space="preserve"> </w:t>
      </w:r>
    </w:p>
    <w:p w14:paraId="75B1A39E" w14:textId="5E7BAD0D" w:rsidR="0091434B" w:rsidRPr="00C9784A" w:rsidRDefault="0091434B" w:rsidP="0091434B">
      <w:pPr>
        <w:rPr>
          <w:rFonts w:ascii="Times New Roman" w:hAnsi="Times New Roman"/>
          <w:b/>
          <w:u w:val="single"/>
        </w:rPr>
      </w:pPr>
      <w:r w:rsidRPr="00C9784A">
        <w:rPr>
          <w:rFonts w:ascii="Times New Roman" w:hAnsi="Times New Roman"/>
          <w:b/>
          <w:u w:val="single"/>
        </w:rPr>
        <w:t>Conclusion</w:t>
      </w:r>
    </w:p>
    <w:p w14:paraId="3ADED757" w14:textId="77777777" w:rsidR="0091434B" w:rsidRPr="00C9784A" w:rsidRDefault="0091434B" w:rsidP="0091434B">
      <w:pPr>
        <w:rPr>
          <w:rFonts w:ascii="Times New Roman" w:hAnsi="Times New Roman"/>
        </w:rPr>
      </w:pPr>
    </w:p>
    <w:p w14:paraId="11F7F0A9" w14:textId="25133A52" w:rsidR="0091434B" w:rsidRDefault="0091434B" w:rsidP="0091434B">
      <w:pPr>
        <w:rPr>
          <w:rFonts w:ascii="Times New Roman" w:hAnsi="Times New Roman"/>
        </w:rPr>
      </w:pPr>
      <w:r>
        <w:rPr>
          <w:rFonts w:ascii="Times New Roman" w:hAnsi="Times New Roman"/>
        </w:rPr>
        <w:t>Take no action, thereby allowing Puget Sound Energy’s proposed tariff revisions to become effective by operation of law.</w:t>
      </w:r>
    </w:p>
    <w:p w14:paraId="6FD844E1" w14:textId="77777777" w:rsidR="0091434B" w:rsidRDefault="0091434B" w:rsidP="0091434B">
      <w:pPr>
        <w:rPr>
          <w:rFonts w:ascii="Times New Roman" w:hAnsi="Times New Roman"/>
        </w:rPr>
      </w:pPr>
      <w:r>
        <w:rPr>
          <w:rFonts w:ascii="Times New Roman" w:hAnsi="Times New Roman"/>
        </w:rPr>
        <w:br w:type="page"/>
      </w:r>
    </w:p>
    <w:p w14:paraId="56D76280" w14:textId="77777777" w:rsidR="0091434B" w:rsidRDefault="0091434B" w:rsidP="0091434B">
      <w:pPr>
        <w:jc w:val="center"/>
        <w:rPr>
          <w:rFonts w:ascii="Times New Roman" w:hAnsi="Times New Roman"/>
        </w:rPr>
      </w:pPr>
      <w:r>
        <w:rPr>
          <w:rFonts w:ascii="Times New Roman" w:hAnsi="Times New Roman"/>
        </w:rPr>
        <w:lastRenderedPageBreak/>
        <w:t>ATTACHMENT A</w:t>
      </w:r>
    </w:p>
    <w:p w14:paraId="1FEA9E98" w14:textId="77777777" w:rsidR="0091434B" w:rsidRDefault="0091434B" w:rsidP="0091434B">
      <w:pPr>
        <w:rPr>
          <w:rFonts w:ascii="Times New Roman" w:hAnsi="Times New Roman"/>
        </w:rPr>
      </w:pPr>
    </w:p>
    <w:p w14:paraId="6F929D46" w14:textId="2DDC5D9B" w:rsidR="00745F7A" w:rsidRDefault="00883338" w:rsidP="00745F7A">
      <w:pPr>
        <w:rPr>
          <w:rFonts w:ascii="Times New Roman" w:hAnsi="Times New Roman"/>
          <w:i/>
        </w:rPr>
      </w:pPr>
      <w:r>
        <w:rPr>
          <w:rFonts w:ascii="Times New Roman" w:hAnsi="Times New Roman"/>
          <w:i/>
        </w:rPr>
        <w:t>Public Comments on the Proposed</w:t>
      </w:r>
      <w:r w:rsidR="00745F7A">
        <w:rPr>
          <w:rFonts w:ascii="Times New Roman" w:hAnsi="Times New Roman"/>
          <w:i/>
        </w:rPr>
        <w:t xml:space="preserve"> </w:t>
      </w:r>
      <w:r>
        <w:rPr>
          <w:rFonts w:ascii="Times New Roman" w:hAnsi="Times New Roman"/>
          <w:i/>
        </w:rPr>
        <w:t>T</w:t>
      </w:r>
      <w:r w:rsidR="00745F7A">
        <w:rPr>
          <w:rFonts w:ascii="Times New Roman" w:hAnsi="Times New Roman"/>
          <w:i/>
        </w:rPr>
        <w:t>ariffs</w:t>
      </w:r>
    </w:p>
    <w:p w14:paraId="66A86CC8" w14:textId="77777777" w:rsidR="00745F7A" w:rsidRDefault="00745F7A" w:rsidP="0091434B">
      <w:pPr>
        <w:rPr>
          <w:rFonts w:ascii="Times New Roman" w:hAnsi="Times New Roman"/>
        </w:rPr>
      </w:pPr>
    </w:p>
    <w:p w14:paraId="06D2FBBF" w14:textId="2EB49517" w:rsidR="0091434B" w:rsidRDefault="0091434B" w:rsidP="0091434B">
      <w:pPr>
        <w:rPr>
          <w:rFonts w:ascii="Times New Roman" w:hAnsi="Times New Roman"/>
        </w:rPr>
      </w:pPr>
      <w:r>
        <w:rPr>
          <w:rFonts w:ascii="Times New Roman" w:hAnsi="Times New Roman"/>
        </w:rPr>
        <w:t xml:space="preserve">Renewable Northwest cited a reduction in participation beginning in 2015, which paralleled a decreased marketing budget, and they indicated a preference to see program growth through more marketing and promotion. In response, PSE referenced the revised tariff filing which includes a projection for an increase in marketing expenses, and were hopeful that with the addition of </w:t>
      </w:r>
      <w:r w:rsidR="00EA4D34">
        <w:rPr>
          <w:rFonts w:ascii="Times New Roman" w:hAnsi="Times New Roman"/>
        </w:rPr>
        <w:t xml:space="preserve">the </w:t>
      </w:r>
      <w:r>
        <w:rPr>
          <w:rFonts w:ascii="Times New Roman" w:hAnsi="Times New Roman"/>
        </w:rPr>
        <w:t>solar-only option, they will be able to grow the program. The company will submit the annual NREL report to this docket in order to make aggregate customer participation information readily available.</w:t>
      </w:r>
    </w:p>
    <w:p w14:paraId="67108FA6" w14:textId="77777777" w:rsidR="0091434B" w:rsidRDefault="0091434B" w:rsidP="0091434B">
      <w:pPr>
        <w:rPr>
          <w:rFonts w:ascii="Times New Roman" w:hAnsi="Times New Roman"/>
        </w:rPr>
      </w:pPr>
    </w:p>
    <w:p w14:paraId="0163B52A" w14:textId="06A66247" w:rsidR="0091434B" w:rsidRDefault="0091434B" w:rsidP="0091434B">
      <w:pPr>
        <w:rPr>
          <w:rFonts w:ascii="Times New Roman" w:hAnsi="Times New Roman"/>
        </w:rPr>
      </w:pPr>
      <w:r>
        <w:rPr>
          <w:rFonts w:ascii="Times New Roman" w:hAnsi="Times New Roman"/>
        </w:rPr>
        <w:t xml:space="preserve">King County and Renewable Northwest inquired about resource procurement and transparency in the </w:t>
      </w:r>
      <w:r w:rsidR="00EA4D34">
        <w:rPr>
          <w:rFonts w:ascii="Times New Roman" w:hAnsi="Times New Roman"/>
        </w:rPr>
        <w:t xml:space="preserve">acquisition </w:t>
      </w:r>
      <w:r>
        <w:rPr>
          <w:rFonts w:ascii="Times New Roman" w:hAnsi="Times New Roman"/>
        </w:rPr>
        <w:t>process. PSE specified that requests for quotes (RFQs) are issued as needed. The company prefers to add RECs from local projects when possible, and balance out prices by purchasing RECs from aggregators. PSE added that all REC supply is essentially procured for 2017, but they plan to issue RFQs for 2018 and beyond. From the company’s perspective, the RFQ process will ensure a competitive REC acquisition process.</w:t>
      </w:r>
    </w:p>
    <w:p w14:paraId="6929C846" w14:textId="77777777" w:rsidR="0091434B" w:rsidRPr="00C9784A" w:rsidRDefault="0091434B" w:rsidP="0091434B">
      <w:pPr>
        <w:rPr>
          <w:rFonts w:ascii="Times New Roman" w:hAnsi="Times New Roman"/>
        </w:rPr>
      </w:pPr>
    </w:p>
    <w:p w14:paraId="04BFD71A" w14:textId="77777777" w:rsidR="00745F7A" w:rsidRDefault="00745F7A" w:rsidP="00745F7A">
      <w:pPr>
        <w:rPr>
          <w:rFonts w:ascii="Times New Roman" w:hAnsi="Times New Roman"/>
          <w:i/>
        </w:rPr>
      </w:pPr>
      <w:r>
        <w:rPr>
          <w:rFonts w:ascii="Times New Roman" w:hAnsi="Times New Roman"/>
          <w:i/>
        </w:rPr>
        <w:t>Purpose of Existing Tariffs</w:t>
      </w:r>
    </w:p>
    <w:p w14:paraId="4EABA6F5" w14:textId="77777777" w:rsidR="00745F7A" w:rsidRDefault="00745F7A" w:rsidP="00745F7A">
      <w:pPr>
        <w:rPr>
          <w:rFonts w:ascii="Times New Roman" w:hAnsi="Times New Roman"/>
          <w:i/>
        </w:rPr>
      </w:pPr>
    </w:p>
    <w:p w14:paraId="2A30ECC8" w14:textId="77777777" w:rsidR="00745F7A" w:rsidRPr="007B0DFC" w:rsidRDefault="00745F7A" w:rsidP="00745F7A">
      <w:pPr>
        <w:rPr>
          <w:rFonts w:ascii="Times New Roman" w:hAnsi="Times New Roman"/>
        </w:rPr>
      </w:pPr>
      <w:r>
        <w:rPr>
          <w:rFonts w:ascii="Times New Roman" w:hAnsi="Times New Roman"/>
        </w:rPr>
        <w:t>Participating customers in both schedules are supporting the use and development of alternative energy resources which are new to the PSE generation portfolio. PSE provides the service in the form of Renewable Energy Credits (RECs) acquired for the program and retired by PSE on its customers’ behalf. The company is allowed to provide RECs through either: (a) resources the company owns or contracts for; or (b) the purchase of credits from the market.</w:t>
      </w:r>
      <w:r w:rsidRPr="008766CD">
        <w:rPr>
          <w:rStyle w:val="FootnoteReference"/>
          <w:rFonts w:ascii="Times New Roman" w:hAnsi="Times New Roman"/>
        </w:rPr>
        <w:t xml:space="preserve"> </w:t>
      </w:r>
      <w:r>
        <w:rPr>
          <w:rStyle w:val="FootnoteReference"/>
          <w:rFonts w:ascii="Times New Roman" w:hAnsi="Times New Roman"/>
        </w:rPr>
        <w:footnoteReference w:id="2"/>
      </w:r>
    </w:p>
    <w:p w14:paraId="31F87E16" w14:textId="77777777" w:rsidR="00745F7A" w:rsidRDefault="00745F7A" w:rsidP="00745F7A">
      <w:pPr>
        <w:rPr>
          <w:rFonts w:ascii="Times New Roman" w:hAnsi="Times New Roman"/>
          <w:i/>
        </w:rPr>
      </w:pPr>
    </w:p>
    <w:p w14:paraId="2509EC22" w14:textId="77777777" w:rsidR="00745F7A" w:rsidRPr="004A1B97" w:rsidRDefault="00745F7A" w:rsidP="00745F7A">
      <w:pPr>
        <w:rPr>
          <w:rFonts w:ascii="Times New Roman" w:hAnsi="Times New Roman"/>
        </w:rPr>
      </w:pPr>
      <w:r>
        <w:rPr>
          <w:rFonts w:ascii="Times New Roman" w:hAnsi="Times New Roman"/>
        </w:rPr>
        <w:t>The current tariffs provide RECs from “blended green power” sources. This means the RECs are sourced from a variety of alternative energy resources as opposed to one specific type of resource.</w:t>
      </w:r>
    </w:p>
    <w:p w14:paraId="08B49B8A" w14:textId="77777777" w:rsidR="00745F7A" w:rsidRDefault="00745F7A" w:rsidP="00745F7A">
      <w:pPr>
        <w:rPr>
          <w:rFonts w:ascii="Times New Roman" w:hAnsi="Times New Roman"/>
          <w:i/>
        </w:rPr>
      </w:pPr>
    </w:p>
    <w:p w14:paraId="13BF9FAE" w14:textId="77777777" w:rsidR="00745F7A" w:rsidRDefault="00745F7A" w:rsidP="00745F7A">
      <w:pPr>
        <w:rPr>
          <w:rFonts w:ascii="Times New Roman" w:hAnsi="Times New Roman"/>
        </w:rPr>
      </w:pPr>
      <w:r>
        <w:rPr>
          <w:rFonts w:ascii="Times New Roman" w:hAnsi="Times New Roman"/>
        </w:rPr>
        <w:lastRenderedPageBreak/>
        <w:t>Schedule 135 is available to all customers and Schedule 136 is available to customers committing to purchase at least 1,000,000 kWh per year of green energy. The schedules provide retail electricity customers with the option to purchase green energy at a surcharge in addition to the existing electric service tariff.</w:t>
      </w:r>
    </w:p>
    <w:p w14:paraId="395D7F92" w14:textId="77777777" w:rsidR="00745F7A" w:rsidRDefault="00745F7A" w:rsidP="00745F7A">
      <w:pPr>
        <w:rPr>
          <w:rFonts w:ascii="Times New Roman" w:hAnsi="Times New Roman"/>
        </w:rPr>
      </w:pPr>
    </w:p>
    <w:p w14:paraId="776A6137" w14:textId="77777777" w:rsidR="00A00FD7" w:rsidRDefault="00A00FD7" w:rsidP="00745F7A">
      <w:pPr>
        <w:rPr>
          <w:rFonts w:ascii="Times New Roman" w:hAnsi="Times New Roman"/>
          <w:i/>
        </w:rPr>
      </w:pPr>
    </w:p>
    <w:p w14:paraId="47208599" w14:textId="77777777" w:rsidR="00A00FD7" w:rsidRDefault="00A00FD7" w:rsidP="00745F7A">
      <w:pPr>
        <w:rPr>
          <w:rFonts w:ascii="Times New Roman" w:hAnsi="Times New Roman"/>
          <w:i/>
        </w:rPr>
      </w:pPr>
    </w:p>
    <w:p w14:paraId="52F3E811" w14:textId="77777777" w:rsidR="00745F7A" w:rsidRDefault="00745F7A" w:rsidP="00745F7A">
      <w:pPr>
        <w:rPr>
          <w:rFonts w:ascii="Times New Roman" w:hAnsi="Times New Roman"/>
          <w:i/>
        </w:rPr>
      </w:pPr>
      <w:r>
        <w:rPr>
          <w:rFonts w:ascii="Times New Roman" w:hAnsi="Times New Roman"/>
          <w:i/>
        </w:rPr>
        <w:t>Current Schedule 135</w:t>
      </w:r>
    </w:p>
    <w:p w14:paraId="721AC0D2" w14:textId="77777777" w:rsidR="00745F7A" w:rsidRDefault="00745F7A" w:rsidP="00745F7A">
      <w:pPr>
        <w:rPr>
          <w:rFonts w:ascii="Times New Roman" w:hAnsi="Times New Roman"/>
          <w:i/>
        </w:rPr>
      </w:pPr>
    </w:p>
    <w:p w14:paraId="076420AB" w14:textId="77777777" w:rsidR="00745F7A" w:rsidRDefault="00745F7A" w:rsidP="00745F7A">
      <w:pPr>
        <w:rPr>
          <w:rFonts w:ascii="Times New Roman" w:hAnsi="Times New Roman"/>
        </w:rPr>
      </w:pPr>
      <w:r>
        <w:rPr>
          <w:rFonts w:ascii="Times New Roman" w:hAnsi="Times New Roman"/>
        </w:rPr>
        <w:t xml:space="preserve">Schedule 135 customers currently have two options for the purchase of green power. Both options are for blended-renewable green energy. The first option is to purchase an unlimited number of blocks of green energy at $2.00 each, where each block is equivalent to a 160 kWh purchase. This option has a minimum purchase of two blocks per month. This pricing option is equivalent to $0.0125 per kWh. </w:t>
      </w:r>
    </w:p>
    <w:p w14:paraId="2745F4A6" w14:textId="77777777" w:rsidR="00745F7A" w:rsidRDefault="00745F7A" w:rsidP="00745F7A">
      <w:pPr>
        <w:rPr>
          <w:rFonts w:ascii="Times New Roman" w:hAnsi="Times New Roman"/>
        </w:rPr>
      </w:pPr>
    </w:p>
    <w:p w14:paraId="41C74472" w14:textId="6DB11E19" w:rsidR="00745F7A" w:rsidRDefault="00745F7A" w:rsidP="00745F7A">
      <w:pPr>
        <w:rPr>
          <w:rFonts w:ascii="Times New Roman" w:hAnsi="Times New Roman"/>
        </w:rPr>
      </w:pPr>
      <w:r>
        <w:rPr>
          <w:rFonts w:ascii="Times New Roman" w:hAnsi="Times New Roman"/>
        </w:rPr>
        <w:t>The second option is to purchase green energy that is equal to 100</w:t>
      </w:r>
      <w:r w:rsidR="00B67478">
        <w:rPr>
          <w:rFonts w:ascii="Times New Roman" w:hAnsi="Times New Roman"/>
        </w:rPr>
        <w:t xml:space="preserve"> percent </w:t>
      </w:r>
      <w:r>
        <w:rPr>
          <w:rFonts w:ascii="Times New Roman" w:hAnsi="Times New Roman"/>
        </w:rPr>
        <w:t xml:space="preserve">of the customer’s total monthly energy usage at the same rate of $0.0125 per kWh. </w:t>
      </w:r>
    </w:p>
    <w:p w14:paraId="14998F7A" w14:textId="77777777" w:rsidR="00745F7A" w:rsidRDefault="00745F7A" w:rsidP="00745F7A">
      <w:pPr>
        <w:rPr>
          <w:rFonts w:ascii="Times New Roman" w:hAnsi="Times New Roman"/>
        </w:rPr>
      </w:pPr>
    </w:p>
    <w:p w14:paraId="6221E86D" w14:textId="77777777" w:rsidR="00745F7A" w:rsidRDefault="00745F7A" w:rsidP="00745F7A">
      <w:pPr>
        <w:rPr>
          <w:rFonts w:ascii="Times New Roman" w:hAnsi="Times New Roman"/>
        </w:rPr>
      </w:pPr>
    </w:p>
    <w:p w14:paraId="49DE84C6" w14:textId="77777777" w:rsidR="00745F7A" w:rsidRPr="00D21B47" w:rsidRDefault="00745F7A" w:rsidP="00745F7A">
      <w:pPr>
        <w:rPr>
          <w:rFonts w:ascii="Times New Roman" w:hAnsi="Times New Roman"/>
          <w:i/>
        </w:rPr>
      </w:pPr>
      <w:r>
        <w:rPr>
          <w:rFonts w:ascii="Times New Roman" w:hAnsi="Times New Roman"/>
          <w:i/>
        </w:rPr>
        <w:t xml:space="preserve">Current </w:t>
      </w:r>
      <w:r w:rsidRPr="00D21B47">
        <w:rPr>
          <w:rFonts w:ascii="Times New Roman" w:hAnsi="Times New Roman"/>
          <w:i/>
        </w:rPr>
        <w:t>Schedule 136</w:t>
      </w:r>
    </w:p>
    <w:p w14:paraId="78987E56" w14:textId="77777777" w:rsidR="00745F7A" w:rsidRPr="008C0DBB" w:rsidRDefault="00745F7A" w:rsidP="00745F7A">
      <w:pPr>
        <w:rPr>
          <w:rFonts w:ascii="Times New Roman" w:hAnsi="Times New Roman"/>
        </w:rPr>
      </w:pPr>
    </w:p>
    <w:p w14:paraId="0D33A45A" w14:textId="77777777" w:rsidR="00745F7A" w:rsidRDefault="00745F7A" w:rsidP="00745F7A">
      <w:pPr>
        <w:rPr>
          <w:rFonts w:ascii="Times New Roman" w:hAnsi="Times New Roman"/>
        </w:rPr>
      </w:pPr>
      <w:r>
        <w:rPr>
          <w:rFonts w:ascii="Times New Roman" w:hAnsi="Times New Roman"/>
        </w:rPr>
        <w:t xml:space="preserve">Schedule 136 customers also currently have two options. The first option is to purchase an unlimited number of kWh of green energy at $0.006/kWh with a minimum monthly purchase of 83,334 kWh of green energy, which amounts to at least 1 million kWh per year. With this choice, the monthly charge is based on a fixed number of kWh per month that meet or exceed the minimum. </w:t>
      </w:r>
    </w:p>
    <w:p w14:paraId="1134D4F5" w14:textId="77777777" w:rsidR="00745F7A" w:rsidRDefault="00745F7A" w:rsidP="00745F7A">
      <w:pPr>
        <w:rPr>
          <w:rFonts w:ascii="Times New Roman" w:hAnsi="Times New Roman"/>
        </w:rPr>
      </w:pPr>
    </w:p>
    <w:p w14:paraId="32DA80B0" w14:textId="3EDC9BC5" w:rsidR="00745F7A" w:rsidRDefault="00745F7A" w:rsidP="00745F7A">
      <w:pPr>
        <w:rPr>
          <w:rFonts w:ascii="Times New Roman" w:hAnsi="Times New Roman"/>
        </w:rPr>
      </w:pPr>
      <w:r>
        <w:rPr>
          <w:rFonts w:ascii="Times New Roman" w:hAnsi="Times New Roman"/>
        </w:rPr>
        <w:t>The second option is to purchase green energy that is equal to 100</w:t>
      </w:r>
      <w:r w:rsidR="00B67478">
        <w:rPr>
          <w:rFonts w:ascii="Times New Roman" w:hAnsi="Times New Roman"/>
        </w:rPr>
        <w:t xml:space="preserve"> percent </w:t>
      </w:r>
      <w:r>
        <w:rPr>
          <w:rFonts w:ascii="Times New Roman" w:hAnsi="Times New Roman"/>
        </w:rPr>
        <w:t xml:space="preserve">of the customer’s total monthly energy usage at a rate of $0.006 per kWh. </w:t>
      </w:r>
    </w:p>
    <w:p w14:paraId="3DE666D7" w14:textId="77777777" w:rsidR="00657DEE" w:rsidRDefault="00657DEE">
      <w:pPr>
        <w:rPr>
          <w:rFonts w:ascii="Times New Roman" w:hAnsi="Times New Roman"/>
        </w:rPr>
      </w:pPr>
    </w:p>
    <w:p w14:paraId="0282C3FE" w14:textId="77777777" w:rsidR="00EA4D34" w:rsidRDefault="00EA4D34" w:rsidP="00EA4D34">
      <w:pPr>
        <w:rPr>
          <w:rFonts w:ascii="Times New Roman" w:hAnsi="Times New Roman"/>
          <w:i/>
        </w:rPr>
      </w:pPr>
      <w:r>
        <w:rPr>
          <w:rFonts w:ascii="Times New Roman" w:hAnsi="Times New Roman"/>
          <w:i/>
        </w:rPr>
        <w:t>Proposed Rate Changes</w:t>
      </w:r>
    </w:p>
    <w:p w14:paraId="6DA5920E" w14:textId="77777777" w:rsidR="00EA4D34" w:rsidRDefault="00EA4D34" w:rsidP="00EA4D34">
      <w:pPr>
        <w:rPr>
          <w:rFonts w:ascii="Times New Roman" w:hAnsi="Times New Roman"/>
          <w:i/>
        </w:rPr>
      </w:pPr>
    </w:p>
    <w:p w14:paraId="03E1186E" w14:textId="77777777" w:rsidR="00EA4D34" w:rsidRDefault="00EA4D34" w:rsidP="00EA4D34">
      <w:pPr>
        <w:rPr>
          <w:rFonts w:ascii="Times New Roman" w:hAnsi="Times New Roman"/>
        </w:rPr>
      </w:pPr>
      <w:r>
        <w:rPr>
          <w:rFonts w:ascii="Times New Roman" w:hAnsi="Times New Roman"/>
        </w:rPr>
        <w:t xml:space="preserve">The company seeks to reduce the cost of green energy for both Schedule 135 and 136 customers due to reduced cost of RECs and administrative overhead. </w:t>
      </w:r>
    </w:p>
    <w:p w14:paraId="6D72E962" w14:textId="77777777" w:rsidR="00EA4D34" w:rsidRDefault="00EA4D34" w:rsidP="00EA4D34">
      <w:pPr>
        <w:rPr>
          <w:rFonts w:ascii="Times New Roman" w:hAnsi="Times New Roman"/>
        </w:rPr>
      </w:pPr>
    </w:p>
    <w:p w14:paraId="6C7041FF" w14:textId="20A1B014" w:rsidR="00EA4D34" w:rsidRDefault="00EA4D34" w:rsidP="00EA4D34">
      <w:pPr>
        <w:rPr>
          <w:rFonts w:ascii="Times New Roman" w:hAnsi="Times New Roman"/>
        </w:rPr>
      </w:pPr>
      <w:r>
        <w:rPr>
          <w:rFonts w:ascii="Times New Roman" w:hAnsi="Times New Roman"/>
        </w:rPr>
        <w:lastRenderedPageBreak/>
        <w:t>For Schedule 135 customers, the company proposes to reduce the rates for blended green power to $2.00 for one 200 kWh block ($0.01/kWh) and to $0.01/kWh for customers choosing to get 100</w:t>
      </w:r>
      <w:r w:rsidR="00B67478">
        <w:rPr>
          <w:rFonts w:ascii="Times New Roman" w:hAnsi="Times New Roman"/>
        </w:rPr>
        <w:t xml:space="preserve"> percent </w:t>
      </w:r>
      <w:r>
        <w:rPr>
          <w:rFonts w:ascii="Times New Roman" w:hAnsi="Times New Roman"/>
        </w:rPr>
        <w:t>of their energy through the program. This is a 20</w:t>
      </w:r>
      <w:r w:rsidR="00B67478">
        <w:rPr>
          <w:rFonts w:ascii="Times New Roman" w:hAnsi="Times New Roman"/>
        </w:rPr>
        <w:t xml:space="preserve"> percent </w:t>
      </w:r>
      <w:r>
        <w:rPr>
          <w:rFonts w:ascii="Times New Roman" w:hAnsi="Times New Roman"/>
        </w:rPr>
        <w:t>reduction from the previous rate of $0.0125/kWh. The block purchase option includes a two block per month minimum purchase.</w:t>
      </w:r>
    </w:p>
    <w:p w14:paraId="29A0B4F8" w14:textId="77777777" w:rsidR="00EA4D34" w:rsidRDefault="00EA4D34" w:rsidP="00EA4D34">
      <w:pPr>
        <w:rPr>
          <w:rFonts w:ascii="Times New Roman" w:hAnsi="Times New Roman"/>
        </w:rPr>
      </w:pPr>
    </w:p>
    <w:p w14:paraId="154B6623" w14:textId="75ECB446" w:rsidR="00EA4D34" w:rsidRDefault="00EA4D34" w:rsidP="00EA4D34">
      <w:pPr>
        <w:rPr>
          <w:rFonts w:ascii="Times New Roman" w:hAnsi="Times New Roman"/>
        </w:rPr>
      </w:pPr>
      <w:r>
        <w:rPr>
          <w:rFonts w:ascii="Times New Roman" w:hAnsi="Times New Roman"/>
        </w:rPr>
        <w:t>For Schedule 136 customers, the company proposes to reduce the rates for blended green energy to $0.0035/kWh for both purchase options. This is a 41.7</w:t>
      </w:r>
      <w:r w:rsidR="00B67478">
        <w:rPr>
          <w:rFonts w:ascii="Times New Roman" w:hAnsi="Times New Roman"/>
        </w:rPr>
        <w:t xml:space="preserve"> percent </w:t>
      </w:r>
      <w:r>
        <w:rPr>
          <w:rFonts w:ascii="Times New Roman" w:hAnsi="Times New Roman"/>
        </w:rPr>
        <w:t xml:space="preserve">reduction from the previous rate of $0.006/kWh. </w:t>
      </w:r>
    </w:p>
    <w:p w14:paraId="089A109B" w14:textId="77777777" w:rsidR="00EA4D34" w:rsidRDefault="00EA4D34" w:rsidP="00EA4D34">
      <w:pPr>
        <w:rPr>
          <w:rFonts w:ascii="Times New Roman" w:hAnsi="Times New Roman"/>
        </w:rPr>
      </w:pPr>
    </w:p>
    <w:p w14:paraId="197BAD27" w14:textId="77777777" w:rsidR="00EA4D34" w:rsidRDefault="00EA4D34" w:rsidP="00EA4D34">
      <w:pPr>
        <w:rPr>
          <w:rFonts w:ascii="Times New Roman" w:hAnsi="Times New Roman"/>
          <w:i/>
        </w:rPr>
      </w:pPr>
      <w:r>
        <w:rPr>
          <w:rFonts w:ascii="Times New Roman" w:hAnsi="Times New Roman"/>
          <w:i/>
        </w:rPr>
        <w:t>Proposed Solar-Only Option</w:t>
      </w:r>
    </w:p>
    <w:p w14:paraId="38AE7667" w14:textId="77777777" w:rsidR="00EA4D34" w:rsidRDefault="00EA4D34" w:rsidP="00EA4D34">
      <w:pPr>
        <w:rPr>
          <w:rFonts w:ascii="Times New Roman" w:hAnsi="Times New Roman"/>
          <w:i/>
        </w:rPr>
      </w:pPr>
    </w:p>
    <w:p w14:paraId="180120F7" w14:textId="77777777" w:rsidR="00EA4D34" w:rsidRDefault="00EA4D34" w:rsidP="00EA4D34">
      <w:pPr>
        <w:rPr>
          <w:rFonts w:ascii="Times New Roman" w:hAnsi="Times New Roman"/>
        </w:rPr>
      </w:pPr>
      <w:r>
        <w:rPr>
          <w:rFonts w:ascii="Times New Roman" w:hAnsi="Times New Roman"/>
        </w:rPr>
        <w:t xml:space="preserve">PSE proposes an additional option in Schedule 135, allowing customers to purchase green energy from a pool of solar-only resources. Customers choosing this option will be able to purchase blocks of solar-only green energy at $5.00 each. A block of solar-only energy is equivalent to a 150 kWh purchase. This pricing is equivalent to $0.0333/kWh surcharge. The minimum purchase is 1 block per month. Service under this new option will be available on or by March 1, 2017. Solar REC pricing is based on </w:t>
      </w:r>
      <w:r>
        <w:rPr>
          <w:rFonts w:ascii="Times New Roman" w:hAnsi="Times New Roman"/>
        </w:rPr>
        <w:lastRenderedPageBreak/>
        <w:t xml:space="preserve">information the company gathered from numerous developers through a Request for Information issued in late 2015. </w:t>
      </w:r>
    </w:p>
    <w:p w14:paraId="763C4DD4" w14:textId="77777777" w:rsidR="00EA4D34" w:rsidRDefault="00EA4D34">
      <w:pPr>
        <w:rPr>
          <w:rFonts w:ascii="Times New Roman" w:hAnsi="Times New Roman"/>
        </w:rPr>
      </w:pPr>
    </w:p>
    <w:p w14:paraId="0BC23B2B" w14:textId="77777777" w:rsidR="00EA4D34" w:rsidRDefault="00EA4D34" w:rsidP="00EA4D34">
      <w:pPr>
        <w:rPr>
          <w:rFonts w:ascii="Times New Roman" w:hAnsi="Times New Roman"/>
          <w:i/>
        </w:rPr>
      </w:pPr>
      <w:r>
        <w:rPr>
          <w:rFonts w:ascii="Times New Roman" w:hAnsi="Times New Roman"/>
          <w:i/>
        </w:rPr>
        <w:t>Sources of RECs</w:t>
      </w:r>
    </w:p>
    <w:p w14:paraId="35648A6F" w14:textId="77777777" w:rsidR="00EA4D34" w:rsidRDefault="00EA4D34" w:rsidP="00EA4D34">
      <w:pPr>
        <w:rPr>
          <w:rFonts w:ascii="Times New Roman" w:hAnsi="Times New Roman"/>
          <w:i/>
        </w:rPr>
      </w:pPr>
    </w:p>
    <w:p w14:paraId="6D1F856F" w14:textId="77777777" w:rsidR="00EA4D34" w:rsidRDefault="00EA4D34" w:rsidP="00EA4D34">
      <w:pPr>
        <w:rPr>
          <w:rFonts w:ascii="Times New Roman" w:hAnsi="Times New Roman"/>
        </w:rPr>
      </w:pPr>
      <w:r>
        <w:rPr>
          <w:rFonts w:ascii="Times New Roman" w:hAnsi="Times New Roman"/>
        </w:rPr>
        <w:t>The company has focused its REC purchases thus far on northwest sources in Washington, Idaho, and Oregon. The tariff does not specify locational restrictions for REC sources, though the company observes that customers consistently indicate that they want their purchases to support local projects.</w:t>
      </w:r>
    </w:p>
    <w:p w14:paraId="6D4EED9B" w14:textId="77777777" w:rsidR="00EA4D34" w:rsidRDefault="00EA4D34" w:rsidP="00EA4D34">
      <w:pPr>
        <w:rPr>
          <w:rFonts w:ascii="Times New Roman" w:hAnsi="Times New Roman"/>
        </w:rPr>
      </w:pPr>
    </w:p>
    <w:p w14:paraId="07FE3DEF" w14:textId="77777777" w:rsidR="00EA4D34" w:rsidRDefault="00EA4D34" w:rsidP="00EA4D34">
      <w:pPr>
        <w:rPr>
          <w:rFonts w:ascii="Times New Roman" w:hAnsi="Times New Roman"/>
        </w:rPr>
      </w:pPr>
      <w:r>
        <w:rPr>
          <w:rFonts w:ascii="Times New Roman" w:hAnsi="Times New Roman"/>
        </w:rPr>
        <w:t>RECs are purchased by the company from REC aggregators or marketers and directly from developers. The REC purchases are prioritized by location, resource type, and then cost. Renewable energy resources owned by PSE are not used for these schedules.</w:t>
      </w:r>
    </w:p>
    <w:p w14:paraId="2646F8C4" w14:textId="77777777" w:rsidR="00EA4D34" w:rsidRPr="00C9784A" w:rsidRDefault="00EA4D34">
      <w:pPr>
        <w:rPr>
          <w:rFonts w:ascii="Times New Roman" w:hAnsi="Times New Roman"/>
        </w:rPr>
      </w:pPr>
    </w:p>
    <w:sectPr w:rsidR="00EA4D34" w:rsidRPr="00C9784A" w:rsidSect="00765BA5">
      <w:headerReference w:type="default" r:id="rId13"/>
      <w:pgSz w:w="12240" w:h="15840"/>
      <w:pgMar w:top="828"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3847D" w14:textId="77777777" w:rsidR="004B7E8F" w:rsidRDefault="004B7E8F">
      <w:r>
        <w:separator/>
      </w:r>
    </w:p>
  </w:endnote>
  <w:endnote w:type="continuationSeparator" w:id="0">
    <w:p w14:paraId="0F5010BC" w14:textId="77777777" w:rsidR="004B7E8F" w:rsidRDefault="004B7E8F">
      <w:r>
        <w:continuationSeparator/>
      </w:r>
    </w:p>
  </w:endnote>
  <w:endnote w:type="continuationNotice" w:id="1">
    <w:p w14:paraId="19D3073C" w14:textId="77777777" w:rsidR="004B7E8F" w:rsidRDefault="004B7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1B4C" w14:textId="77777777" w:rsidR="004B7E8F" w:rsidRDefault="004B7E8F">
      <w:r>
        <w:separator/>
      </w:r>
    </w:p>
  </w:footnote>
  <w:footnote w:type="continuationSeparator" w:id="0">
    <w:p w14:paraId="5846F559" w14:textId="77777777" w:rsidR="004B7E8F" w:rsidRDefault="004B7E8F">
      <w:r>
        <w:continuationSeparator/>
      </w:r>
    </w:p>
  </w:footnote>
  <w:footnote w:type="continuationNotice" w:id="1">
    <w:p w14:paraId="53963EEF" w14:textId="77777777" w:rsidR="004B7E8F" w:rsidRDefault="004B7E8F"/>
  </w:footnote>
  <w:footnote w:id="2">
    <w:p w14:paraId="0387B6EF" w14:textId="77777777" w:rsidR="00745F7A" w:rsidRDefault="00745F7A" w:rsidP="00745F7A">
      <w:pPr>
        <w:pStyle w:val="FootnoteText"/>
      </w:pPr>
      <w:r>
        <w:rPr>
          <w:rStyle w:val="FootnoteReference"/>
        </w:rPr>
        <w:footnoteRef/>
      </w:r>
      <w:r>
        <w:t xml:space="preserve"> WAC 480-109-200(1)(b)</w:t>
      </w:r>
      <w:r w:rsidDel="0093055E">
        <w:t xml:space="preserve"> </w:t>
      </w:r>
      <w:r>
        <w:t>and RCW 19.29A.090(3). If companies buy RECs from the market, they must have verifiable evidence that there is a qualified alternative energy resource available and that the green energy attribute of the alternative energy resource will be available to the company for purchase by its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086FB" w14:textId="5A1B24EC" w:rsidR="001F0D06" w:rsidRPr="004324B3" w:rsidRDefault="001F75BE">
    <w:pPr>
      <w:pStyle w:val="Header"/>
      <w:rPr>
        <w:rFonts w:ascii="Times New Roman" w:hAnsi="Times New Roman"/>
        <w:sz w:val="22"/>
        <w:szCs w:val="22"/>
      </w:rPr>
    </w:pPr>
    <w:r w:rsidRPr="004324B3">
      <w:rPr>
        <w:rFonts w:ascii="Times New Roman" w:hAnsi="Times New Roman"/>
        <w:sz w:val="22"/>
        <w:szCs w:val="22"/>
      </w:rPr>
      <w:t xml:space="preserve">Docket </w:t>
    </w:r>
    <w:r w:rsidR="001F0D06" w:rsidRPr="004324B3">
      <w:rPr>
        <w:rFonts w:ascii="Times New Roman" w:hAnsi="Times New Roman"/>
        <w:sz w:val="22"/>
        <w:szCs w:val="22"/>
      </w:rPr>
      <w:t>UE-160921</w:t>
    </w:r>
  </w:p>
  <w:p w14:paraId="7B673FC5" w14:textId="77777777" w:rsidR="001F0D06" w:rsidRPr="004324B3" w:rsidRDefault="001F0D06">
    <w:pPr>
      <w:pStyle w:val="Header"/>
      <w:rPr>
        <w:rFonts w:ascii="Times New Roman" w:hAnsi="Times New Roman"/>
        <w:sz w:val="22"/>
        <w:szCs w:val="22"/>
      </w:rPr>
    </w:pPr>
    <w:r w:rsidRPr="004324B3">
      <w:rPr>
        <w:rFonts w:ascii="Times New Roman" w:hAnsi="Times New Roman"/>
        <w:sz w:val="22"/>
        <w:szCs w:val="22"/>
      </w:rPr>
      <w:t>September 22, 2016</w:t>
    </w:r>
  </w:p>
  <w:p w14:paraId="43065AAF" w14:textId="77777777" w:rsidR="001F0D06" w:rsidRPr="004324B3" w:rsidRDefault="001F0D06">
    <w:pPr>
      <w:pStyle w:val="Header"/>
      <w:rPr>
        <w:rStyle w:val="PageNumber"/>
        <w:rFonts w:ascii="Times New Roman" w:hAnsi="Times New Roman"/>
        <w:sz w:val="22"/>
        <w:szCs w:val="22"/>
      </w:rPr>
    </w:pPr>
    <w:r w:rsidRPr="004324B3">
      <w:rPr>
        <w:rFonts w:ascii="Times New Roman" w:hAnsi="Times New Roman"/>
        <w:sz w:val="22"/>
        <w:szCs w:val="22"/>
      </w:rPr>
      <w:t xml:space="preserve">Page </w:t>
    </w:r>
    <w:r w:rsidRPr="004324B3">
      <w:rPr>
        <w:rStyle w:val="PageNumber"/>
        <w:rFonts w:ascii="Times New Roman" w:hAnsi="Times New Roman"/>
        <w:sz w:val="22"/>
        <w:szCs w:val="22"/>
      </w:rPr>
      <w:fldChar w:fldCharType="begin"/>
    </w:r>
    <w:r w:rsidRPr="004324B3">
      <w:rPr>
        <w:rStyle w:val="PageNumber"/>
        <w:rFonts w:ascii="Times New Roman" w:hAnsi="Times New Roman"/>
        <w:sz w:val="22"/>
        <w:szCs w:val="22"/>
      </w:rPr>
      <w:instrText xml:space="preserve"> PAGE </w:instrText>
    </w:r>
    <w:r w:rsidRPr="004324B3">
      <w:rPr>
        <w:rStyle w:val="PageNumber"/>
        <w:rFonts w:ascii="Times New Roman" w:hAnsi="Times New Roman"/>
        <w:sz w:val="22"/>
        <w:szCs w:val="22"/>
      </w:rPr>
      <w:fldChar w:fldCharType="separate"/>
    </w:r>
    <w:r w:rsidR="00AA0AF3">
      <w:rPr>
        <w:rStyle w:val="PageNumber"/>
        <w:rFonts w:ascii="Times New Roman" w:hAnsi="Times New Roman"/>
        <w:noProof/>
        <w:sz w:val="22"/>
        <w:szCs w:val="22"/>
      </w:rPr>
      <w:t>6</w:t>
    </w:r>
    <w:r w:rsidRPr="004324B3">
      <w:rPr>
        <w:rStyle w:val="PageNumber"/>
        <w:rFonts w:ascii="Times New Roman" w:hAnsi="Times New Roman"/>
        <w:sz w:val="22"/>
        <w:szCs w:val="22"/>
      </w:rPr>
      <w:fldChar w:fldCharType="end"/>
    </w:r>
  </w:p>
  <w:p w14:paraId="65D1B7A0" w14:textId="77777777" w:rsidR="001F0D06" w:rsidRDefault="001F0D06">
    <w:pPr>
      <w:pStyle w:val="Header"/>
      <w:rPr>
        <w:rStyle w:val="PageNumber"/>
        <w:sz w:val="20"/>
      </w:rPr>
    </w:pPr>
  </w:p>
  <w:p w14:paraId="397E5CFA" w14:textId="77777777" w:rsidR="001F0D06" w:rsidRDefault="001F0D0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B52"/>
    <w:multiLevelType w:val="hybridMultilevel"/>
    <w:tmpl w:val="F38858F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59A7"/>
    <w:multiLevelType w:val="hybridMultilevel"/>
    <w:tmpl w:val="3876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42A"/>
    <w:multiLevelType w:val="hybridMultilevel"/>
    <w:tmpl w:val="52CE17B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7A9A"/>
    <w:multiLevelType w:val="hybridMultilevel"/>
    <w:tmpl w:val="53E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560"/>
    <w:multiLevelType w:val="hybridMultilevel"/>
    <w:tmpl w:val="B6B23D00"/>
    <w:lvl w:ilvl="0" w:tplc="C81674F8">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3C26"/>
    <w:multiLevelType w:val="hybridMultilevel"/>
    <w:tmpl w:val="8D72ECA2"/>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C52E3"/>
    <w:multiLevelType w:val="hybridMultilevel"/>
    <w:tmpl w:val="1CA0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BFC"/>
    <w:multiLevelType w:val="hybridMultilevel"/>
    <w:tmpl w:val="4140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33C05"/>
    <w:multiLevelType w:val="hybridMultilevel"/>
    <w:tmpl w:val="4FF25232"/>
    <w:lvl w:ilvl="0" w:tplc="C81674F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068C0"/>
    <w:multiLevelType w:val="hybridMultilevel"/>
    <w:tmpl w:val="C93C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E666C"/>
    <w:multiLevelType w:val="hybridMultilevel"/>
    <w:tmpl w:val="D2744986"/>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3"/>
  </w:num>
  <w:num w:numId="5">
    <w:abstractNumId w:val="11"/>
  </w:num>
  <w:num w:numId="6">
    <w:abstractNumId w:val="9"/>
  </w:num>
  <w:num w:numId="7">
    <w:abstractNumId w:val="8"/>
  </w:num>
  <w:num w:numId="8">
    <w:abstractNumId w:val="1"/>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229B"/>
    <w:rsid w:val="00041921"/>
    <w:rsid w:val="00043B27"/>
    <w:rsid w:val="00060FB3"/>
    <w:rsid w:val="00064254"/>
    <w:rsid w:val="000658A8"/>
    <w:rsid w:val="000718B1"/>
    <w:rsid w:val="00072D14"/>
    <w:rsid w:val="00076CF8"/>
    <w:rsid w:val="000868CF"/>
    <w:rsid w:val="000874D8"/>
    <w:rsid w:val="000925FA"/>
    <w:rsid w:val="00096C81"/>
    <w:rsid w:val="000B34B1"/>
    <w:rsid w:val="000B600E"/>
    <w:rsid w:val="000C1A2D"/>
    <w:rsid w:val="000C1CE8"/>
    <w:rsid w:val="000E1203"/>
    <w:rsid w:val="000F5D60"/>
    <w:rsid w:val="00102479"/>
    <w:rsid w:val="00103031"/>
    <w:rsid w:val="00103D94"/>
    <w:rsid w:val="001149A3"/>
    <w:rsid w:val="00153683"/>
    <w:rsid w:val="001549ED"/>
    <w:rsid w:val="00156D42"/>
    <w:rsid w:val="00170726"/>
    <w:rsid w:val="00181BB4"/>
    <w:rsid w:val="00182D14"/>
    <w:rsid w:val="0018737C"/>
    <w:rsid w:val="00191246"/>
    <w:rsid w:val="00192880"/>
    <w:rsid w:val="00193F87"/>
    <w:rsid w:val="001B36A6"/>
    <w:rsid w:val="001C4055"/>
    <w:rsid w:val="001C4142"/>
    <w:rsid w:val="001C5495"/>
    <w:rsid w:val="001C6A73"/>
    <w:rsid w:val="001D47BD"/>
    <w:rsid w:val="001E0116"/>
    <w:rsid w:val="001E3238"/>
    <w:rsid w:val="001F0D06"/>
    <w:rsid w:val="001F1582"/>
    <w:rsid w:val="001F5226"/>
    <w:rsid w:val="001F5600"/>
    <w:rsid w:val="001F75BE"/>
    <w:rsid w:val="002028ED"/>
    <w:rsid w:val="002045F7"/>
    <w:rsid w:val="0020635F"/>
    <w:rsid w:val="0022127C"/>
    <w:rsid w:val="00225D73"/>
    <w:rsid w:val="0022624F"/>
    <w:rsid w:val="0022642E"/>
    <w:rsid w:val="00226596"/>
    <w:rsid w:val="0022715D"/>
    <w:rsid w:val="00233603"/>
    <w:rsid w:val="00240177"/>
    <w:rsid w:val="00242044"/>
    <w:rsid w:val="00251DE9"/>
    <w:rsid w:val="00263CCF"/>
    <w:rsid w:val="002641A0"/>
    <w:rsid w:val="002653AE"/>
    <w:rsid w:val="00266EFE"/>
    <w:rsid w:val="00281CC4"/>
    <w:rsid w:val="00295322"/>
    <w:rsid w:val="002A2CC9"/>
    <w:rsid w:val="002A3A52"/>
    <w:rsid w:val="002B7134"/>
    <w:rsid w:val="002C74B0"/>
    <w:rsid w:val="002D1B98"/>
    <w:rsid w:val="002D41DF"/>
    <w:rsid w:val="002D445B"/>
    <w:rsid w:val="002D6827"/>
    <w:rsid w:val="002E01DF"/>
    <w:rsid w:val="002E40B5"/>
    <w:rsid w:val="002E5A94"/>
    <w:rsid w:val="002F001F"/>
    <w:rsid w:val="002F202F"/>
    <w:rsid w:val="003134BC"/>
    <w:rsid w:val="00316C8F"/>
    <w:rsid w:val="00320B53"/>
    <w:rsid w:val="00321AB5"/>
    <w:rsid w:val="00322903"/>
    <w:rsid w:val="00327A78"/>
    <w:rsid w:val="0033655E"/>
    <w:rsid w:val="00341FEF"/>
    <w:rsid w:val="00344491"/>
    <w:rsid w:val="0034661F"/>
    <w:rsid w:val="00353366"/>
    <w:rsid w:val="0035787A"/>
    <w:rsid w:val="00377E9F"/>
    <w:rsid w:val="00391BE5"/>
    <w:rsid w:val="003A0B4F"/>
    <w:rsid w:val="003A6164"/>
    <w:rsid w:val="003A683D"/>
    <w:rsid w:val="003B3CB6"/>
    <w:rsid w:val="003C596F"/>
    <w:rsid w:val="003C5EA1"/>
    <w:rsid w:val="003C785A"/>
    <w:rsid w:val="003D48D3"/>
    <w:rsid w:val="003D70FB"/>
    <w:rsid w:val="003D7639"/>
    <w:rsid w:val="003E6112"/>
    <w:rsid w:val="003F43E3"/>
    <w:rsid w:val="003F5856"/>
    <w:rsid w:val="00413A32"/>
    <w:rsid w:val="00414C99"/>
    <w:rsid w:val="00414D53"/>
    <w:rsid w:val="00415C58"/>
    <w:rsid w:val="0042746D"/>
    <w:rsid w:val="00427604"/>
    <w:rsid w:val="004324B3"/>
    <w:rsid w:val="00433328"/>
    <w:rsid w:val="0043656A"/>
    <w:rsid w:val="00442B63"/>
    <w:rsid w:val="00450F41"/>
    <w:rsid w:val="00452788"/>
    <w:rsid w:val="0045496E"/>
    <w:rsid w:val="004609BD"/>
    <w:rsid w:val="0047163F"/>
    <w:rsid w:val="00483151"/>
    <w:rsid w:val="004911D1"/>
    <w:rsid w:val="004919FF"/>
    <w:rsid w:val="00492244"/>
    <w:rsid w:val="004969B7"/>
    <w:rsid w:val="004A1B97"/>
    <w:rsid w:val="004A36DE"/>
    <w:rsid w:val="004A74A1"/>
    <w:rsid w:val="004B78C2"/>
    <w:rsid w:val="004B7E8F"/>
    <w:rsid w:val="004C3286"/>
    <w:rsid w:val="004C49C1"/>
    <w:rsid w:val="004C6FEA"/>
    <w:rsid w:val="004D044D"/>
    <w:rsid w:val="004D491B"/>
    <w:rsid w:val="004E1ACA"/>
    <w:rsid w:val="004E3C82"/>
    <w:rsid w:val="004E5781"/>
    <w:rsid w:val="004F2328"/>
    <w:rsid w:val="00501F6C"/>
    <w:rsid w:val="005073BE"/>
    <w:rsid w:val="00507461"/>
    <w:rsid w:val="00514DF5"/>
    <w:rsid w:val="00516DFD"/>
    <w:rsid w:val="00521DDB"/>
    <w:rsid w:val="00524B4F"/>
    <w:rsid w:val="00545A2F"/>
    <w:rsid w:val="00551CE2"/>
    <w:rsid w:val="00555DD0"/>
    <w:rsid w:val="00556656"/>
    <w:rsid w:val="0055668D"/>
    <w:rsid w:val="00557F9B"/>
    <w:rsid w:val="0056794F"/>
    <w:rsid w:val="00572379"/>
    <w:rsid w:val="005746A1"/>
    <w:rsid w:val="00582BA2"/>
    <w:rsid w:val="00587855"/>
    <w:rsid w:val="0059226B"/>
    <w:rsid w:val="00592F13"/>
    <w:rsid w:val="00597482"/>
    <w:rsid w:val="005A0AD4"/>
    <w:rsid w:val="005A6F5A"/>
    <w:rsid w:val="005B10AA"/>
    <w:rsid w:val="005C10B5"/>
    <w:rsid w:val="005D73DD"/>
    <w:rsid w:val="005D7649"/>
    <w:rsid w:val="005E36F6"/>
    <w:rsid w:val="005E3CB8"/>
    <w:rsid w:val="005E3DAA"/>
    <w:rsid w:val="00603392"/>
    <w:rsid w:val="00614C55"/>
    <w:rsid w:val="00620B86"/>
    <w:rsid w:val="006303DA"/>
    <w:rsid w:val="006361C8"/>
    <w:rsid w:val="00646757"/>
    <w:rsid w:val="00650220"/>
    <w:rsid w:val="00653369"/>
    <w:rsid w:val="00654D1B"/>
    <w:rsid w:val="00657CA8"/>
    <w:rsid w:val="00657DEE"/>
    <w:rsid w:val="006638A0"/>
    <w:rsid w:val="00663CD4"/>
    <w:rsid w:val="00664721"/>
    <w:rsid w:val="00672419"/>
    <w:rsid w:val="006743AF"/>
    <w:rsid w:val="006821AE"/>
    <w:rsid w:val="00682E66"/>
    <w:rsid w:val="006A0D05"/>
    <w:rsid w:val="006A60DB"/>
    <w:rsid w:val="006A6EA7"/>
    <w:rsid w:val="006B290C"/>
    <w:rsid w:val="006E11A5"/>
    <w:rsid w:val="006E2035"/>
    <w:rsid w:val="006E5D2E"/>
    <w:rsid w:val="006E77AD"/>
    <w:rsid w:val="00703874"/>
    <w:rsid w:val="007063E5"/>
    <w:rsid w:val="00707D6D"/>
    <w:rsid w:val="007244C7"/>
    <w:rsid w:val="007277E0"/>
    <w:rsid w:val="00731564"/>
    <w:rsid w:val="007339FE"/>
    <w:rsid w:val="0073530D"/>
    <w:rsid w:val="007438C5"/>
    <w:rsid w:val="00744C90"/>
    <w:rsid w:val="00745F7A"/>
    <w:rsid w:val="007465FD"/>
    <w:rsid w:val="007553D0"/>
    <w:rsid w:val="007602F1"/>
    <w:rsid w:val="00761C82"/>
    <w:rsid w:val="00763915"/>
    <w:rsid w:val="00765BA5"/>
    <w:rsid w:val="007671A8"/>
    <w:rsid w:val="00767FFB"/>
    <w:rsid w:val="007725BA"/>
    <w:rsid w:val="00775591"/>
    <w:rsid w:val="00777586"/>
    <w:rsid w:val="0078148F"/>
    <w:rsid w:val="00790EBC"/>
    <w:rsid w:val="00795938"/>
    <w:rsid w:val="007A794B"/>
    <w:rsid w:val="007B0DFC"/>
    <w:rsid w:val="007C0B41"/>
    <w:rsid w:val="007C1F36"/>
    <w:rsid w:val="007C425D"/>
    <w:rsid w:val="007C6FA9"/>
    <w:rsid w:val="007D06AA"/>
    <w:rsid w:val="007D1742"/>
    <w:rsid w:val="007D3267"/>
    <w:rsid w:val="007E2B7F"/>
    <w:rsid w:val="007E605A"/>
    <w:rsid w:val="007E750B"/>
    <w:rsid w:val="007F12A5"/>
    <w:rsid w:val="007F47F6"/>
    <w:rsid w:val="00815BD6"/>
    <w:rsid w:val="00834F78"/>
    <w:rsid w:val="008351F4"/>
    <w:rsid w:val="00835819"/>
    <w:rsid w:val="00842F1A"/>
    <w:rsid w:val="00846007"/>
    <w:rsid w:val="00853ED0"/>
    <w:rsid w:val="0085476C"/>
    <w:rsid w:val="00862FFC"/>
    <w:rsid w:val="00870FB3"/>
    <w:rsid w:val="008743D7"/>
    <w:rsid w:val="008760AC"/>
    <w:rsid w:val="008766CD"/>
    <w:rsid w:val="00883338"/>
    <w:rsid w:val="0088620A"/>
    <w:rsid w:val="00890F3C"/>
    <w:rsid w:val="0089391B"/>
    <w:rsid w:val="008962A6"/>
    <w:rsid w:val="00897C5D"/>
    <w:rsid w:val="008A344E"/>
    <w:rsid w:val="008A4259"/>
    <w:rsid w:val="008A547B"/>
    <w:rsid w:val="008A7A07"/>
    <w:rsid w:val="008B003D"/>
    <w:rsid w:val="008B0C23"/>
    <w:rsid w:val="008C02F9"/>
    <w:rsid w:val="008C0DBB"/>
    <w:rsid w:val="008E3BDA"/>
    <w:rsid w:val="008E52F7"/>
    <w:rsid w:val="008E75EF"/>
    <w:rsid w:val="00902C1D"/>
    <w:rsid w:val="0091434B"/>
    <w:rsid w:val="00917E26"/>
    <w:rsid w:val="0092380D"/>
    <w:rsid w:val="009241CC"/>
    <w:rsid w:val="00927DF6"/>
    <w:rsid w:val="00932AC9"/>
    <w:rsid w:val="00933EB8"/>
    <w:rsid w:val="00936004"/>
    <w:rsid w:val="00944D45"/>
    <w:rsid w:val="00947AAF"/>
    <w:rsid w:val="009525D1"/>
    <w:rsid w:val="00962EBC"/>
    <w:rsid w:val="00977EA3"/>
    <w:rsid w:val="00982A4A"/>
    <w:rsid w:val="009A32FC"/>
    <w:rsid w:val="009B2DF4"/>
    <w:rsid w:val="009B5D90"/>
    <w:rsid w:val="009B73A7"/>
    <w:rsid w:val="009C563D"/>
    <w:rsid w:val="009C731E"/>
    <w:rsid w:val="009C7AC9"/>
    <w:rsid w:val="009D2484"/>
    <w:rsid w:val="009D32E1"/>
    <w:rsid w:val="009D46B5"/>
    <w:rsid w:val="009D6358"/>
    <w:rsid w:val="009E1374"/>
    <w:rsid w:val="009E2583"/>
    <w:rsid w:val="009E537A"/>
    <w:rsid w:val="009F754D"/>
    <w:rsid w:val="00A00E52"/>
    <w:rsid w:val="00A00FD7"/>
    <w:rsid w:val="00A0243E"/>
    <w:rsid w:val="00A15895"/>
    <w:rsid w:val="00A2277F"/>
    <w:rsid w:val="00A23B24"/>
    <w:rsid w:val="00A278EB"/>
    <w:rsid w:val="00A30CA5"/>
    <w:rsid w:val="00A32572"/>
    <w:rsid w:val="00A33C27"/>
    <w:rsid w:val="00A4792E"/>
    <w:rsid w:val="00A56F2B"/>
    <w:rsid w:val="00A60B7A"/>
    <w:rsid w:val="00A663FE"/>
    <w:rsid w:val="00A769A2"/>
    <w:rsid w:val="00A774B7"/>
    <w:rsid w:val="00A82103"/>
    <w:rsid w:val="00A85A6F"/>
    <w:rsid w:val="00A86EB9"/>
    <w:rsid w:val="00A9225F"/>
    <w:rsid w:val="00A92BA7"/>
    <w:rsid w:val="00A94C59"/>
    <w:rsid w:val="00A970F4"/>
    <w:rsid w:val="00AA0AF3"/>
    <w:rsid w:val="00AA444A"/>
    <w:rsid w:val="00AA4ADE"/>
    <w:rsid w:val="00AA6096"/>
    <w:rsid w:val="00AA62DD"/>
    <w:rsid w:val="00AB6D39"/>
    <w:rsid w:val="00AB7D6C"/>
    <w:rsid w:val="00AC130B"/>
    <w:rsid w:val="00AC2945"/>
    <w:rsid w:val="00AC297B"/>
    <w:rsid w:val="00AC328C"/>
    <w:rsid w:val="00AD4D61"/>
    <w:rsid w:val="00AF1C6D"/>
    <w:rsid w:val="00AF2C96"/>
    <w:rsid w:val="00AF7587"/>
    <w:rsid w:val="00B01E6C"/>
    <w:rsid w:val="00B061A2"/>
    <w:rsid w:val="00B07D13"/>
    <w:rsid w:val="00B12D3E"/>
    <w:rsid w:val="00B25F59"/>
    <w:rsid w:val="00B32A9B"/>
    <w:rsid w:val="00B33E84"/>
    <w:rsid w:val="00B410E6"/>
    <w:rsid w:val="00B44B72"/>
    <w:rsid w:val="00B6132D"/>
    <w:rsid w:val="00B6532B"/>
    <w:rsid w:val="00B67478"/>
    <w:rsid w:val="00B72DDB"/>
    <w:rsid w:val="00B7327F"/>
    <w:rsid w:val="00B80322"/>
    <w:rsid w:val="00B82171"/>
    <w:rsid w:val="00B830CA"/>
    <w:rsid w:val="00B93A94"/>
    <w:rsid w:val="00BA2770"/>
    <w:rsid w:val="00BB155F"/>
    <w:rsid w:val="00BB18A4"/>
    <w:rsid w:val="00BB26E3"/>
    <w:rsid w:val="00BB7AFB"/>
    <w:rsid w:val="00BC17BC"/>
    <w:rsid w:val="00BC3CA9"/>
    <w:rsid w:val="00BC762D"/>
    <w:rsid w:val="00BD6CA0"/>
    <w:rsid w:val="00BE0D6B"/>
    <w:rsid w:val="00BF225F"/>
    <w:rsid w:val="00BF5E4A"/>
    <w:rsid w:val="00C14EB0"/>
    <w:rsid w:val="00C226F6"/>
    <w:rsid w:val="00C23EF4"/>
    <w:rsid w:val="00C24385"/>
    <w:rsid w:val="00C33846"/>
    <w:rsid w:val="00C36D07"/>
    <w:rsid w:val="00C52A49"/>
    <w:rsid w:val="00C5540D"/>
    <w:rsid w:val="00C5747F"/>
    <w:rsid w:val="00C60CB9"/>
    <w:rsid w:val="00C64E90"/>
    <w:rsid w:val="00C65AAB"/>
    <w:rsid w:val="00C777B3"/>
    <w:rsid w:val="00C86417"/>
    <w:rsid w:val="00C86F19"/>
    <w:rsid w:val="00C87FEB"/>
    <w:rsid w:val="00C9784A"/>
    <w:rsid w:val="00CA38F4"/>
    <w:rsid w:val="00CA3D04"/>
    <w:rsid w:val="00CA3DD0"/>
    <w:rsid w:val="00CA56B2"/>
    <w:rsid w:val="00CC3075"/>
    <w:rsid w:val="00CD322A"/>
    <w:rsid w:val="00CE64ED"/>
    <w:rsid w:val="00CE7DA1"/>
    <w:rsid w:val="00CF3DD5"/>
    <w:rsid w:val="00CF3F2E"/>
    <w:rsid w:val="00CF4CC5"/>
    <w:rsid w:val="00D00B44"/>
    <w:rsid w:val="00D01CF6"/>
    <w:rsid w:val="00D03E6F"/>
    <w:rsid w:val="00D0599E"/>
    <w:rsid w:val="00D07F9E"/>
    <w:rsid w:val="00D21B47"/>
    <w:rsid w:val="00D353C8"/>
    <w:rsid w:val="00D43980"/>
    <w:rsid w:val="00D50272"/>
    <w:rsid w:val="00D54640"/>
    <w:rsid w:val="00D54A4F"/>
    <w:rsid w:val="00D56669"/>
    <w:rsid w:val="00D60E7F"/>
    <w:rsid w:val="00D66B54"/>
    <w:rsid w:val="00D67690"/>
    <w:rsid w:val="00D775A2"/>
    <w:rsid w:val="00D939FC"/>
    <w:rsid w:val="00D9586D"/>
    <w:rsid w:val="00D9740B"/>
    <w:rsid w:val="00DA0B9B"/>
    <w:rsid w:val="00DA10C5"/>
    <w:rsid w:val="00DA4935"/>
    <w:rsid w:val="00DA525D"/>
    <w:rsid w:val="00DA7FEA"/>
    <w:rsid w:val="00DB75AC"/>
    <w:rsid w:val="00DC249B"/>
    <w:rsid w:val="00DC7043"/>
    <w:rsid w:val="00DE2888"/>
    <w:rsid w:val="00DE58B5"/>
    <w:rsid w:val="00DE6E93"/>
    <w:rsid w:val="00DF15F4"/>
    <w:rsid w:val="00DF3FF2"/>
    <w:rsid w:val="00E03873"/>
    <w:rsid w:val="00E07E59"/>
    <w:rsid w:val="00E07F12"/>
    <w:rsid w:val="00E11661"/>
    <w:rsid w:val="00E142ED"/>
    <w:rsid w:val="00E15B49"/>
    <w:rsid w:val="00E22BD9"/>
    <w:rsid w:val="00E318AB"/>
    <w:rsid w:val="00E34852"/>
    <w:rsid w:val="00E371A2"/>
    <w:rsid w:val="00E420AD"/>
    <w:rsid w:val="00E46573"/>
    <w:rsid w:val="00E47F50"/>
    <w:rsid w:val="00E62502"/>
    <w:rsid w:val="00E66AC6"/>
    <w:rsid w:val="00E75101"/>
    <w:rsid w:val="00E75CB1"/>
    <w:rsid w:val="00E8012C"/>
    <w:rsid w:val="00E8382A"/>
    <w:rsid w:val="00E84368"/>
    <w:rsid w:val="00E92253"/>
    <w:rsid w:val="00E97396"/>
    <w:rsid w:val="00EA3350"/>
    <w:rsid w:val="00EA4D34"/>
    <w:rsid w:val="00EA4F21"/>
    <w:rsid w:val="00EB23C6"/>
    <w:rsid w:val="00EC1FE2"/>
    <w:rsid w:val="00EC26EC"/>
    <w:rsid w:val="00EC7A25"/>
    <w:rsid w:val="00ED38BD"/>
    <w:rsid w:val="00EF53BA"/>
    <w:rsid w:val="00EF6DCD"/>
    <w:rsid w:val="00F03D95"/>
    <w:rsid w:val="00F04E7C"/>
    <w:rsid w:val="00F05541"/>
    <w:rsid w:val="00F06069"/>
    <w:rsid w:val="00F060E8"/>
    <w:rsid w:val="00F0614B"/>
    <w:rsid w:val="00F07F7F"/>
    <w:rsid w:val="00F20283"/>
    <w:rsid w:val="00F305F8"/>
    <w:rsid w:val="00F33AC8"/>
    <w:rsid w:val="00F41A68"/>
    <w:rsid w:val="00F43384"/>
    <w:rsid w:val="00F43825"/>
    <w:rsid w:val="00F636F5"/>
    <w:rsid w:val="00F65D07"/>
    <w:rsid w:val="00F711E8"/>
    <w:rsid w:val="00F766B6"/>
    <w:rsid w:val="00F81BE2"/>
    <w:rsid w:val="00F8297F"/>
    <w:rsid w:val="00F87BBD"/>
    <w:rsid w:val="00FC5ECC"/>
    <w:rsid w:val="00FD0615"/>
    <w:rsid w:val="00FD5E76"/>
    <w:rsid w:val="00FE11E8"/>
    <w:rsid w:val="00FF07B8"/>
    <w:rsid w:val="00FF22C4"/>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B961CA"/>
  <w15:docId w15:val="{F83939BE-18BC-486E-98BD-288C20C7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E3"/>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sid w:val="00BB26E3"/>
    <w:rPr>
      <w:rFonts w:ascii="Times New Roman" w:hAnsi="Times New Roman"/>
      <w:sz w:val="20"/>
      <w:szCs w:val="20"/>
    </w:rPr>
  </w:style>
  <w:style w:type="character" w:customStyle="1" w:styleId="FootnoteTextChar">
    <w:name w:val="Footnote Text Char"/>
    <w:basedOn w:val="DefaultParagraphFont"/>
    <w:link w:val="FootnoteText"/>
    <w:rsid w:val="00BB26E3"/>
  </w:style>
  <w:style w:type="character" w:styleId="FootnoteReference">
    <w:name w:val="footnote reference"/>
    <w:uiPriority w:val="99"/>
    <w:rsid w:val="002E5A94"/>
    <w:rPr>
      <w:vertAlign w:val="superscript"/>
    </w:rPr>
  </w:style>
  <w:style w:type="character" w:styleId="CommentReference">
    <w:name w:val="annotation reference"/>
    <w:uiPriority w:val="99"/>
    <w:rsid w:val="00072D14"/>
    <w:rPr>
      <w:sz w:val="16"/>
      <w:szCs w:val="16"/>
    </w:rPr>
  </w:style>
  <w:style w:type="paragraph" w:styleId="CommentText">
    <w:name w:val="annotation text"/>
    <w:basedOn w:val="Normal"/>
    <w:link w:val="CommentTextChar"/>
    <w:uiPriority w:val="99"/>
    <w:rsid w:val="00072D14"/>
    <w:rPr>
      <w:sz w:val="20"/>
      <w:szCs w:val="20"/>
      <w:lang w:val="x-none" w:eastAsia="x-none"/>
    </w:rPr>
  </w:style>
  <w:style w:type="character" w:customStyle="1" w:styleId="CommentTextChar">
    <w:name w:val="Comment Text Char"/>
    <w:link w:val="CommentText"/>
    <w:uiPriority w:val="99"/>
    <w:rsid w:val="00072D14"/>
    <w:rPr>
      <w:rFonts w:ascii="Palatino Linotype" w:hAnsi="Palatino Linotype"/>
    </w:rPr>
  </w:style>
  <w:style w:type="paragraph" w:styleId="CommentSubject">
    <w:name w:val="annotation subject"/>
    <w:basedOn w:val="CommentText"/>
    <w:next w:val="CommentText"/>
    <w:link w:val="CommentSubjectChar"/>
    <w:rsid w:val="00072D14"/>
    <w:rPr>
      <w:b/>
      <w:bCs/>
    </w:rPr>
  </w:style>
  <w:style w:type="character" w:customStyle="1" w:styleId="CommentSubjectChar">
    <w:name w:val="Comment Subject Char"/>
    <w:link w:val="CommentSubject"/>
    <w:rsid w:val="00072D14"/>
    <w:rPr>
      <w:rFonts w:ascii="Palatino Linotype" w:hAnsi="Palatino Linotype"/>
      <w:b/>
      <w:bCs/>
    </w:rPr>
  </w:style>
  <w:style w:type="paragraph" w:styleId="BalloonText">
    <w:name w:val="Balloon Text"/>
    <w:basedOn w:val="Normal"/>
    <w:link w:val="BalloonTextChar"/>
    <w:rsid w:val="00072D14"/>
    <w:rPr>
      <w:rFonts w:ascii="Tahoma" w:hAnsi="Tahoma"/>
      <w:sz w:val="16"/>
      <w:szCs w:val="16"/>
      <w:lang w:val="x-none" w:eastAsia="x-none"/>
    </w:rPr>
  </w:style>
  <w:style w:type="character" w:customStyle="1" w:styleId="BalloonTextChar">
    <w:name w:val="Balloon Text Char"/>
    <w:link w:val="BalloonText"/>
    <w:rsid w:val="00072D14"/>
    <w:rPr>
      <w:rFonts w:ascii="Tahoma" w:hAnsi="Tahoma" w:cs="Tahoma"/>
      <w:sz w:val="16"/>
      <w:szCs w:val="16"/>
    </w:rPr>
  </w:style>
  <w:style w:type="table" w:styleId="TableGrid">
    <w:name w:val="Table Grid"/>
    <w:basedOn w:val="TableNormal"/>
    <w:rsid w:val="0089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888"/>
    <w:pPr>
      <w:autoSpaceDE w:val="0"/>
      <w:autoSpaceDN w:val="0"/>
      <w:adjustRightInd w:val="0"/>
    </w:pPr>
    <w:rPr>
      <w:color w:val="000000"/>
      <w:sz w:val="24"/>
      <w:szCs w:val="24"/>
    </w:rPr>
  </w:style>
  <w:style w:type="paragraph" w:styleId="ListParagraph">
    <w:name w:val="List Paragraph"/>
    <w:basedOn w:val="Normal"/>
    <w:uiPriority w:val="34"/>
    <w:qFormat/>
    <w:rsid w:val="00C9784A"/>
    <w:pPr>
      <w:ind w:left="720"/>
      <w:contextualSpacing/>
    </w:pPr>
    <w:rPr>
      <w:rFonts w:ascii="Calibri" w:eastAsia="Calibri" w:hAnsi="Calibri"/>
      <w:sz w:val="22"/>
      <w:szCs w:val="22"/>
    </w:rPr>
  </w:style>
  <w:style w:type="paragraph" w:styleId="Revision">
    <w:name w:val="Revision"/>
    <w:hidden/>
    <w:uiPriority w:val="99"/>
    <w:semiHidden/>
    <w:rsid w:val="00977EA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879">
      <w:bodyDiv w:val="1"/>
      <w:marLeft w:val="0"/>
      <w:marRight w:val="0"/>
      <w:marTop w:val="0"/>
      <w:marBottom w:val="0"/>
      <w:divBdr>
        <w:top w:val="none" w:sz="0" w:space="0" w:color="auto"/>
        <w:left w:val="none" w:sz="0" w:space="0" w:color="auto"/>
        <w:bottom w:val="none" w:sz="0" w:space="0" w:color="auto"/>
        <w:right w:val="none" w:sz="0" w:space="0" w:color="auto"/>
      </w:divBdr>
    </w:div>
    <w:div w:id="1756628050">
      <w:bodyDiv w:val="1"/>
      <w:marLeft w:val="0"/>
      <w:marRight w:val="0"/>
      <w:marTop w:val="0"/>
      <w:marBottom w:val="0"/>
      <w:divBdr>
        <w:top w:val="none" w:sz="0" w:space="0" w:color="auto"/>
        <w:left w:val="none" w:sz="0" w:space="0" w:color="auto"/>
        <w:bottom w:val="none" w:sz="0" w:space="0" w:color="auto"/>
        <w:right w:val="none" w:sz="0" w:space="0" w:color="auto"/>
      </w:divBdr>
    </w:div>
    <w:div w:id="21117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AE11FE-CBD5-405A-94BF-C2DE5CE2C159}">
  <ds:schemaRefs>
    <ds:schemaRef ds:uri="http://schemas.microsoft.com/sharepoint/v3/contenttype/forms"/>
  </ds:schemaRefs>
</ds:datastoreItem>
</file>

<file path=customXml/itemProps2.xml><?xml version="1.0" encoding="utf-8"?>
<ds:datastoreItem xmlns:ds="http://schemas.openxmlformats.org/officeDocument/2006/customXml" ds:itemID="{19B3D0E5-DC6E-465D-84BA-3B9F34B7F431}">
  <ds:schemaRefs>
    <ds:schemaRef ds:uri="http://schemas.microsoft.com/office/2006/metadata/longProperties"/>
  </ds:schemaRefs>
</ds:datastoreItem>
</file>

<file path=customXml/itemProps3.xml><?xml version="1.0" encoding="utf-8"?>
<ds:datastoreItem xmlns:ds="http://schemas.openxmlformats.org/officeDocument/2006/customXml" ds:itemID="{524046D1-2CD2-4E7D-BA34-B9825801AA07}"/>
</file>

<file path=customXml/itemProps4.xml><?xml version="1.0" encoding="utf-8"?>
<ds:datastoreItem xmlns:ds="http://schemas.openxmlformats.org/officeDocument/2006/customXml" ds:itemID="{40A36C3B-9867-4B34-AE36-4AE843453F51}">
  <ds:schemaRefs>
    <ds:schemaRef ds:uri="http://schemas.microsoft.com/office/infopath/2007/PartnerControls"/>
    <ds:schemaRef ds:uri="http://schemas.microsoft.com/office/2006/documentManagement/types"/>
    <ds:schemaRef ds:uri="E9186C15-5FF9-426B-A155-E41F160004E7"/>
    <ds:schemaRef ds:uri="http://purl.org/dc/elements/1.1/"/>
    <ds:schemaRef ds:uri="http://schemas.openxmlformats.org/package/2006/metadata/core-properties"/>
    <ds:schemaRef ds:uri="751276d0-61bc-4dad-b75c-21dfd12630ad"/>
    <ds:schemaRef ds:uri="http://www.w3.org/XML/1998/namespace"/>
    <ds:schemaRef ds:uri="http://purl.org/dc/terms/"/>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7A5FD5ED-569C-4FFF-839A-065996BD2B22}">
  <ds:schemaRefs>
    <ds:schemaRef ds:uri="http://schemas.openxmlformats.org/officeDocument/2006/bibliography"/>
  </ds:schemaRefs>
</ds:datastoreItem>
</file>

<file path=customXml/itemProps6.xml><?xml version="1.0" encoding="utf-8"?>
<ds:datastoreItem xmlns:ds="http://schemas.openxmlformats.org/officeDocument/2006/customXml" ds:itemID="{C8DB84C5-5255-4D16-93A2-450D1E857F48}">
  <ds:schemaRefs>
    <ds:schemaRef ds:uri="http://schemas.openxmlformats.org/officeDocument/2006/bibliography"/>
  </ds:schemaRefs>
</ds:datastoreItem>
</file>

<file path=customXml/itemProps7.xml><?xml version="1.0" encoding="utf-8"?>
<ds:datastoreItem xmlns:ds="http://schemas.openxmlformats.org/officeDocument/2006/customXml" ds:itemID="{D52376CC-8F3C-4830-8E25-74311495EA1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PSE Green Energy Schedules 135/136 Memo</vt:lpstr>
    </vt:vector>
  </TitlesOfParts>
  <Company>WUTC</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Green Energy Schedules 135/136 Memo</dc:title>
  <dc:creator>VDeferia</dc:creator>
  <cp:lastModifiedBy>Wyse, Lisa (UTC)</cp:lastModifiedBy>
  <cp:revision>2</cp:revision>
  <cp:lastPrinted>2014-01-04T00:37:00Z</cp:lastPrinted>
  <dcterms:created xsi:type="dcterms:W3CDTF">2016-09-22T16:38:00Z</dcterms:created>
  <dcterms:modified xsi:type="dcterms:W3CDTF">2016-09-22T16:38:00Z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Memo</vt:lpwstr>
  </property>
  <property fmtid="{D5CDD505-2E9C-101B-9397-08002B2CF9AE}" pid="4" name="Status">
    <vt:lpwstr>Final</vt:lpwstr>
  </property>
  <property fmtid="{D5CDD505-2E9C-101B-9397-08002B2CF9AE}" pid="5" name="Move Item">
    <vt:lpwstr>0</vt:lpwstr>
  </property>
  <property fmtid="{D5CDD505-2E9C-101B-9397-08002B2CF9AE}" pid="6" name="Item ID">
    <vt:lpwstr>9</vt:lpwstr>
  </property>
  <property fmtid="{D5CDD505-2E9C-101B-9397-08002B2CF9AE}" pid="7" name="Move To">
    <vt:lpwstr/>
  </property>
  <property fmtid="{D5CDD505-2E9C-101B-9397-08002B2CF9AE}" pid="8" name="ContentTypeId">
    <vt:lpwstr>0x0101006E56B4D1795A2E4DB2F0B01679ED314A00DE457F13BBBBAC4991F03B1F6576420B</vt:lpwstr>
  </property>
  <property fmtid="{D5CDD505-2E9C-101B-9397-08002B2CF9AE}" pid="9" name="_docset_NoMedatataSyncRequired">
    <vt:lpwstr>False</vt:lpwstr>
  </property>
</Properties>
</file>