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6B" w:rsidRDefault="00C64735" w:rsidP="00C64735">
      <w:pPr>
        <w:jc w:val="center"/>
        <w:rPr>
          <w:rFonts w:ascii="Times New Roman" w:hAnsi="Times New Roman" w:cs="Times New Roman"/>
          <w:b/>
          <w:sz w:val="24"/>
          <w:szCs w:val="24"/>
        </w:rPr>
      </w:pPr>
      <w:r w:rsidRPr="00C64735">
        <w:rPr>
          <w:rFonts w:ascii="Times New Roman" w:hAnsi="Times New Roman" w:cs="Times New Roman"/>
          <w:b/>
          <w:sz w:val="24"/>
          <w:szCs w:val="24"/>
        </w:rPr>
        <w:t>2017 Direct Benefits to Customers</w:t>
      </w:r>
    </w:p>
    <w:p w:rsidR="00437595" w:rsidRPr="00C64735" w:rsidRDefault="00437595" w:rsidP="00437595">
      <w:pPr>
        <w:rPr>
          <w:rFonts w:ascii="Times New Roman" w:hAnsi="Times New Roman" w:cs="Times New Roman"/>
          <w:b/>
          <w:sz w:val="24"/>
          <w:szCs w:val="24"/>
        </w:rPr>
      </w:pPr>
    </w:p>
    <w:p w:rsidR="00C64735" w:rsidRDefault="00C4309E" w:rsidP="00C64735">
      <w:pPr>
        <w:jc w:val="center"/>
      </w:pPr>
      <w:r w:rsidRPr="00C4309E">
        <w:rPr>
          <w:noProof/>
        </w:rPr>
        <w:drawing>
          <wp:inline distT="0" distB="0" distL="0" distR="0">
            <wp:extent cx="5543550" cy="546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5467350"/>
                    </a:xfrm>
                    <a:prstGeom prst="rect">
                      <a:avLst/>
                    </a:prstGeom>
                    <a:noFill/>
                    <a:ln>
                      <a:noFill/>
                    </a:ln>
                  </pic:spPr>
                </pic:pic>
              </a:graphicData>
            </a:graphic>
          </wp:inline>
        </w:drawing>
      </w:r>
    </w:p>
    <w:p w:rsidR="00C64735" w:rsidRDefault="00C64735" w:rsidP="00C64735">
      <w:pPr>
        <w:rPr>
          <w:rFonts w:ascii="Times New Roman" w:hAnsi="Times New Roman" w:cs="Times New Roman"/>
        </w:rPr>
      </w:pPr>
      <w:r w:rsidRPr="00C64735">
        <w:rPr>
          <w:rFonts w:ascii="Times New Roman" w:hAnsi="Times New Roman" w:cs="Times New Roman"/>
        </w:rPr>
        <w:t xml:space="preserve">Notes: </w:t>
      </w:r>
    </w:p>
    <w:p w:rsidR="00C64735" w:rsidRDefault="00C64735" w:rsidP="00C64735">
      <w:pPr>
        <w:rPr>
          <w:rFonts w:ascii="Times New Roman" w:hAnsi="Times New Roman" w:cs="Times New Roman"/>
        </w:rPr>
      </w:pPr>
      <w:r w:rsidRPr="005F4F95">
        <w:rPr>
          <w:rFonts w:ascii="Times New Roman" w:hAnsi="Times New Roman" w:cs="Times New Roman"/>
          <w:b/>
        </w:rPr>
        <w:t>Low Income Weatherization:</w:t>
      </w:r>
      <w:r>
        <w:rPr>
          <w:rFonts w:ascii="Times New Roman" w:hAnsi="Times New Roman" w:cs="Times New Roman"/>
        </w:rPr>
        <w:t xml:space="preserve">  In 2015 payments to community action agencies for measure installation </w:t>
      </w:r>
      <w:r w:rsidR="005F4F95">
        <w:rPr>
          <w:rFonts w:ascii="Times New Roman" w:hAnsi="Times New Roman" w:cs="Times New Roman"/>
        </w:rPr>
        <w:t xml:space="preserve">were </w:t>
      </w:r>
      <w:r>
        <w:rPr>
          <w:rFonts w:ascii="Times New Roman" w:hAnsi="Times New Roman" w:cs="Times New Roman"/>
        </w:rPr>
        <w:t>84% of the total expenditures.  The same percentage w</w:t>
      </w:r>
      <w:r w:rsidR="00464F22">
        <w:rPr>
          <w:rFonts w:ascii="Times New Roman" w:hAnsi="Times New Roman" w:cs="Times New Roman"/>
        </w:rPr>
        <w:t>as applied to the 2017 forecast to calculate the direct benefit to customers.</w:t>
      </w:r>
    </w:p>
    <w:p w:rsidR="00C64735" w:rsidRDefault="00C64735" w:rsidP="00C64735">
      <w:pPr>
        <w:rPr>
          <w:rFonts w:ascii="Times New Roman" w:hAnsi="Times New Roman" w:cs="Times New Roman"/>
        </w:rPr>
      </w:pPr>
      <w:r w:rsidRPr="005F4F95">
        <w:rPr>
          <w:rFonts w:ascii="Times New Roman" w:hAnsi="Times New Roman" w:cs="Times New Roman"/>
          <w:b/>
        </w:rPr>
        <w:t>Home Energy Savings</w:t>
      </w:r>
      <w:r>
        <w:rPr>
          <w:rFonts w:ascii="Times New Roman" w:hAnsi="Times New Roman" w:cs="Times New Roman"/>
        </w:rPr>
        <w:t xml:space="preserve">: </w:t>
      </w:r>
      <w:r w:rsidR="00464F22">
        <w:rPr>
          <w:rFonts w:ascii="Times New Roman" w:hAnsi="Times New Roman" w:cs="Times New Roman"/>
        </w:rPr>
        <w:t>C</w:t>
      </w:r>
      <w:r>
        <w:rPr>
          <w:rFonts w:ascii="Times New Roman" w:hAnsi="Times New Roman" w:cs="Times New Roman"/>
        </w:rPr>
        <w:t>ustomer</w:t>
      </w:r>
      <w:r w:rsidR="00464F22">
        <w:rPr>
          <w:rFonts w:ascii="Times New Roman" w:hAnsi="Times New Roman" w:cs="Times New Roman"/>
        </w:rPr>
        <w:t xml:space="preserve"> incentives, </w:t>
      </w:r>
      <w:r>
        <w:rPr>
          <w:rFonts w:ascii="Times New Roman" w:hAnsi="Times New Roman" w:cs="Times New Roman"/>
        </w:rPr>
        <w:t xml:space="preserve">upstream, mid-stream and mail by request buy downs are included in the </w:t>
      </w:r>
      <w:r w:rsidR="005F4F95">
        <w:rPr>
          <w:rFonts w:ascii="Times New Roman" w:hAnsi="Times New Roman" w:cs="Times New Roman"/>
        </w:rPr>
        <w:t xml:space="preserve">direct benefit to customer </w:t>
      </w:r>
      <w:r>
        <w:rPr>
          <w:rFonts w:ascii="Times New Roman" w:hAnsi="Times New Roman" w:cs="Times New Roman"/>
        </w:rPr>
        <w:t>estimate</w:t>
      </w:r>
      <w:r w:rsidR="005F4F95">
        <w:rPr>
          <w:rFonts w:ascii="Times New Roman" w:hAnsi="Times New Roman" w:cs="Times New Roman"/>
        </w:rPr>
        <w:t xml:space="preserve">. This information is also provided </w:t>
      </w:r>
      <w:r w:rsidR="00464F22">
        <w:rPr>
          <w:rFonts w:ascii="Times New Roman" w:hAnsi="Times New Roman" w:cs="Times New Roman"/>
        </w:rPr>
        <w:t>in the I</w:t>
      </w:r>
      <w:r w:rsidR="005F4F95">
        <w:rPr>
          <w:rFonts w:ascii="Times New Roman" w:hAnsi="Times New Roman" w:cs="Times New Roman"/>
        </w:rPr>
        <w:t>ncentive</w:t>
      </w:r>
      <w:r w:rsidR="00464F22">
        <w:rPr>
          <w:rFonts w:ascii="Times New Roman" w:hAnsi="Times New Roman" w:cs="Times New Roman"/>
        </w:rPr>
        <w:t>s</w:t>
      </w:r>
      <w:r w:rsidR="005F4F95">
        <w:rPr>
          <w:rFonts w:ascii="Times New Roman" w:hAnsi="Times New Roman" w:cs="Times New Roman"/>
        </w:rPr>
        <w:t xml:space="preserve"> </w:t>
      </w:r>
      <w:r w:rsidR="00464F22">
        <w:rPr>
          <w:rFonts w:ascii="Times New Roman" w:hAnsi="Times New Roman" w:cs="Times New Roman"/>
        </w:rPr>
        <w:t xml:space="preserve">column </w:t>
      </w:r>
      <w:r w:rsidR="005F4F95">
        <w:rPr>
          <w:rFonts w:ascii="Times New Roman" w:hAnsi="Times New Roman" w:cs="Times New Roman"/>
        </w:rPr>
        <w:t xml:space="preserve">for the Home Energy Savings program in </w:t>
      </w:r>
      <w:r>
        <w:rPr>
          <w:rFonts w:ascii="Times New Roman" w:hAnsi="Times New Roman" w:cs="Times New Roman"/>
        </w:rPr>
        <w:t xml:space="preserve">Table 3 of the </w:t>
      </w:r>
      <w:r w:rsidR="005F4F95">
        <w:rPr>
          <w:rFonts w:ascii="Times New Roman" w:hAnsi="Times New Roman" w:cs="Times New Roman"/>
        </w:rPr>
        <w:t xml:space="preserve">Cost Effectiveness Appendix of the 2017 Annual Conservation Plan. </w:t>
      </w:r>
      <w:r>
        <w:rPr>
          <w:rFonts w:ascii="Times New Roman" w:hAnsi="Times New Roman" w:cs="Times New Roman"/>
        </w:rPr>
        <w:t xml:space="preserve"> </w:t>
      </w:r>
    </w:p>
    <w:p w:rsidR="005F4F95" w:rsidRDefault="005F4F95" w:rsidP="00C64735">
      <w:pPr>
        <w:rPr>
          <w:rFonts w:ascii="Times New Roman" w:hAnsi="Times New Roman" w:cs="Times New Roman"/>
        </w:rPr>
      </w:pPr>
      <w:proofErr w:type="spellStart"/>
      <w:proofErr w:type="gramStart"/>
      <w:r w:rsidRPr="005F4F95">
        <w:rPr>
          <w:rFonts w:ascii="Times New Roman" w:hAnsi="Times New Roman" w:cs="Times New Roman"/>
          <w:b/>
        </w:rPr>
        <w:t>wattsmart</w:t>
      </w:r>
      <w:proofErr w:type="spellEnd"/>
      <w:proofErr w:type="gramEnd"/>
      <w:r w:rsidRPr="005F4F95">
        <w:rPr>
          <w:rFonts w:ascii="Times New Roman" w:hAnsi="Times New Roman" w:cs="Times New Roman"/>
          <w:b/>
        </w:rPr>
        <w:t xml:space="preserve"> Business:</w:t>
      </w:r>
      <w:r>
        <w:rPr>
          <w:rFonts w:ascii="Times New Roman" w:hAnsi="Times New Roman" w:cs="Times New Roman"/>
          <w:b/>
        </w:rPr>
        <w:t xml:space="preserve"> </w:t>
      </w:r>
      <w:r w:rsidR="00464F22">
        <w:rPr>
          <w:rFonts w:ascii="Times New Roman" w:hAnsi="Times New Roman" w:cs="Times New Roman"/>
        </w:rPr>
        <w:t xml:space="preserve">Customer incentives and the estimate for customer site specific energy engineering  ($500,000) is included in the direct benefit to customer </w:t>
      </w:r>
      <w:r w:rsidR="00464F22">
        <w:rPr>
          <w:rFonts w:ascii="Times New Roman" w:hAnsi="Times New Roman" w:cs="Times New Roman"/>
        </w:rPr>
        <w:lastRenderedPageBreak/>
        <w:t xml:space="preserve">calculation. The customer incentive estimate is also provided in the Incentives column for the </w:t>
      </w:r>
      <w:proofErr w:type="spellStart"/>
      <w:r w:rsidR="00464F22">
        <w:rPr>
          <w:rFonts w:ascii="Times New Roman" w:hAnsi="Times New Roman" w:cs="Times New Roman"/>
        </w:rPr>
        <w:t>wattsmart</w:t>
      </w:r>
      <w:proofErr w:type="spellEnd"/>
      <w:r w:rsidR="00464F22">
        <w:rPr>
          <w:rFonts w:ascii="Times New Roman" w:hAnsi="Times New Roman" w:cs="Times New Roman"/>
        </w:rPr>
        <w:t xml:space="preserve"> Business program in Table 3 of the Cost Effectiveness Appendix of the 2017 Annual Conservation Plan. The energy engineering costs are included</w:t>
      </w:r>
      <w:r w:rsidR="00C4309E">
        <w:rPr>
          <w:rFonts w:ascii="Times New Roman" w:hAnsi="Times New Roman" w:cs="Times New Roman"/>
        </w:rPr>
        <w:t xml:space="preserve"> within</w:t>
      </w:r>
      <w:r w:rsidR="00464F22">
        <w:rPr>
          <w:rFonts w:ascii="Times New Roman" w:hAnsi="Times New Roman" w:cs="Times New Roman"/>
        </w:rPr>
        <w:t xml:space="preserve"> the total provided </w:t>
      </w:r>
      <w:r w:rsidR="00C4309E">
        <w:rPr>
          <w:rFonts w:ascii="Times New Roman" w:hAnsi="Times New Roman" w:cs="Times New Roman"/>
        </w:rPr>
        <w:t xml:space="preserve">in the </w:t>
      </w:r>
      <w:r w:rsidR="00464F22">
        <w:rPr>
          <w:rFonts w:ascii="Times New Roman" w:hAnsi="Times New Roman" w:cs="Times New Roman"/>
        </w:rPr>
        <w:t xml:space="preserve">Program Delivery column in Table 3.  </w:t>
      </w:r>
    </w:p>
    <w:p w:rsidR="00464F22" w:rsidRPr="002D7A8F" w:rsidRDefault="00464F22" w:rsidP="00C64735">
      <w:pPr>
        <w:rPr>
          <w:rFonts w:ascii="Times New Roman" w:hAnsi="Times New Roman" w:cs="Times New Roman"/>
        </w:rPr>
      </w:pPr>
      <w:r w:rsidRPr="00464F22">
        <w:rPr>
          <w:rFonts w:ascii="Times New Roman" w:hAnsi="Times New Roman" w:cs="Times New Roman"/>
          <w:b/>
        </w:rPr>
        <w:t>Northwest Energy Efficiency Alliance</w:t>
      </w:r>
      <w:r w:rsidR="002D7A8F">
        <w:rPr>
          <w:rFonts w:ascii="Times New Roman" w:hAnsi="Times New Roman" w:cs="Times New Roman"/>
          <w:b/>
        </w:rPr>
        <w:t xml:space="preserve"> (NEEA)</w:t>
      </w:r>
      <w:r w:rsidRPr="00464F22">
        <w:rPr>
          <w:rFonts w:ascii="Times New Roman" w:hAnsi="Times New Roman" w:cs="Times New Roman"/>
          <w:b/>
        </w:rPr>
        <w:t xml:space="preserve">: </w:t>
      </w:r>
      <w:r w:rsidR="002D7A8F">
        <w:rPr>
          <w:rFonts w:ascii="Times New Roman" w:hAnsi="Times New Roman" w:cs="Times New Roman"/>
        </w:rPr>
        <w:t xml:space="preserve">PacifiCorp subtracted $24,000 in internal management costs and then applied the 70% estimate provided by staff to NEEA funding to calculate the direct benefit to customers.  </w:t>
      </w:r>
    </w:p>
    <w:p w:rsidR="00C64735" w:rsidRPr="00437595" w:rsidRDefault="00174CDD" w:rsidP="00C64735">
      <w:pPr>
        <w:rPr>
          <w:rFonts w:ascii="Times New Roman" w:hAnsi="Times New Roman" w:cs="Times New Roman"/>
          <w:b/>
        </w:rPr>
      </w:pPr>
      <w:r>
        <w:rPr>
          <w:rFonts w:ascii="Times New Roman" w:hAnsi="Times New Roman" w:cs="Times New Roman"/>
          <w:b/>
        </w:rPr>
        <w:t>Current Incentive Ratio</w:t>
      </w:r>
    </w:p>
    <w:p w:rsidR="00437595" w:rsidRDefault="00B165DE" w:rsidP="00437595">
      <w:pPr>
        <w:rPr>
          <w:rFonts w:ascii="Times New Roman" w:hAnsi="Times New Roman" w:cs="Times New Roman"/>
        </w:rPr>
      </w:pPr>
      <w:r>
        <w:rPr>
          <w:rFonts w:ascii="Times New Roman" w:hAnsi="Times New Roman" w:cs="Times New Roman"/>
        </w:rPr>
        <w:t>I</w:t>
      </w:r>
      <w:r w:rsidR="00437595">
        <w:rPr>
          <w:rFonts w:ascii="Times New Roman" w:hAnsi="Times New Roman" w:cs="Times New Roman"/>
        </w:rPr>
        <w:t>ncentives are the largest component of the direct benefit</w:t>
      </w:r>
      <w:r w:rsidR="00174CDD">
        <w:rPr>
          <w:rFonts w:ascii="Times New Roman" w:hAnsi="Times New Roman" w:cs="Times New Roman"/>
        </w:rPr>
        <w:t>-</w:t>
      </w:r>
      <w:r w:rsidR="00437595">
        <w:rPr>
          <w:rFonts w:ascii="Times New Roman" w:hAnsi="Times New Roman" w:cs="Times New Roman"/>
        </w:rPr>
        <w:t>to</w:t>
      </w:r>
      <w:r w:rsidR="00174CDD">
        <w:rPr>
          <w:rFonts w:ascii="Times New Roman" w:hAnsi="Times New Roman" w:cs="Times New Roman"/>
        </w:rPr>
        <w:t>-</w:t>
      </w:r>
      <w:r w:rsidR="00437595">
        <w:rPr>
          <w:rFonts w:ascii="Times New Roman" w:hAnsi="Times New Roman" w:cs="Times New Roman"/>
        </w:rPr>
        <w:t>customer metric under the direct control of the Company</w:t>
      </w:r>
      <w:r>
        <w:rPr>
          <w:rFonts w:ascii="Times New Roman" w:hAnsi="Times New Roman" w:cs="Times New Roman"/>
        </w:rPr>
        <w:t xml:space="preserve">. The Company regularly reviews (and may adjust) </w:t>
      </w:r>
      <w:r w:rsidR="00437595">
        <w:rPr>
          <w:rFonts w:ascii="Times New Roman" w:hAnsi="Times New Roman" w:cs="Times New Roman"/>
        </w:rPr>
        <w:t xml:space="preserve">incentive levels for measures within </w:t>
      </w:r>
      <w:r>
        <w:rPr>
          <w:rFonts w:ascii="Times New Roman" w:hAnsi="Times New Roman" w:cs="Times New Roman"/>
        </w:rPr>
        <w:t xml:space="preserve">the Home Energy Savings and </w:t>
      </w:r>
      <w:proofErr w:type="spellStart"/>
      <w:r>
        <w:rPr>
          <w:rFonts w:ascii="Times New Roman" w:hAnsi="Times New Roman" w:cs="Times New Roman"/>
        </w:rPr>
        <w:t>wattSmart</w:t>
      </w:r>
      <w:proofErr w:type="spellEnd"/>
      <w:r>
        <w:rPr>
          <w:rFonts w:ascii="Times New Roman" w:hAnsi="Times New Roman" w:cs="Times New Roman"/>
        </w:rPr>
        <w:t xml:space="preserve"> Business </w:t>
      </w:r>
      <w:r w:rsidR="00437595">
        <w:rPr>
          <w:rFonts w:ascii="Times New Roman" w:hAnsi="Times New Roman" w:cs="Times New Roman"/>
        </w:rPr>
        <w:t>program</w:t>
      </w:r>
      <w:r>
        <w:rPr>
          <w:rFonts w:ascii="Times New Roman" w:hAnsi="Times New Roman" w:cs="Times New Roman"/>
        </w:rPr>
        <w:t>(s)</w:t>
      </w:r>
      <w:r w:rsidR="00437595">
        <w:rPr>
          <w:rFonts w:ascii="Times New Roman" w:hAnsi="Times New Roman" w:cs="Times New Roman"/>
        </w:rPr>
        <w:t xml:space="preserve"> by reviewing the following types of information</w:t>
      </w:r>
      <w:r w:rsidR="00174CDD">
        <w:rPr>
          <w:rFonts w:ascii="Times New Roman" w:hAnsi="Times New Roman" w:cs="Times New Roman"/>
        </w:rPr>
        <w:t xml:space="preserve">: </w:t>
      </w:r>
      <w:r w:rsidR="00437595">
        <w:rPr>
          <w:rFonts w:ascii="Times New Roman" w:hAnsi="Times New Roman" w:cs="Times New Roman"/>
        </w:rPr>
        <w:t xml:space="preserve"> a) </w:t>
      </w:r>
      <w:r>
        <w:rPr>
          <w:rFonts w:ascii="Times New Roman" w:hAnsi="Times New Roman" w:cs="Times New Roman"/>
        </w:rPr>
        <w:t xml:space="preserve">added costs </w:t>
      </w:r>
      <w:r w:rsidR="00437595">
        <w:rPr>
          <w:rFonts w:ascii="Times New Roman" w:hAnsi="Times New Roman" w:cs="Times New Roman"/>
        </w:rPr>
        <w:t>for the efficiency measure</w:t>
      </w:r>
      <w:r w:rsidR="00174CDD">
        <w:rPr>
          <w:rFonts w:ascii="Times New Roman" w:hAnsi="Times New Roman" w:cs="Times New Roman"/>
        </w:rPr>
        <w:t>;</w:t>
      </w:r>
      <w:r w:rsidR="00437595">
        <w:rPr>
          <w:rFonts w:ascii="Times New Roman" w:hAnsi="Times New Roman" w:cs="Times New Roman"/>
        </w:rPr>
        <w:t xml:space="preserve"> b) available energy savings</w:t>
      </w:r>
      <w:r w:rsidR="00174CDD">
        <w:rPr>
          <w:rFonts w:ascii="Times New Roman" w:hAnsi="Times New Roman" w:cs="Times New Roman"/>
        </w:rPr>
        <w:t>;</w:t>
      </w:r>
      <w:r w:rsidR="00437595">
        <w:rPr>
          <w:rFonts w:ascii="Times New Roman" w:hAnsi="Times New Roman" w:cs="Times New Roman"/>
        </w:rPr>
        <w:t xml:space="preserve"> c) cost effectiveness</w:t>
      </w:r>
      <w:r w:rsidR="00174CDD">
        <w:rPr>
          <w:rFonts w:ascii="Times New Roman" w:hAnsi="Times New Roman" w:cs="Times New Roman"/>
        </w:rPr>
        <w:t>;</w:t>
      </w:r>
      <w:r w:rsidR="00437595">
        <w:rPr>
          <w:rFonts w:ascii="Times New Roman" w:hAnsi="Times New Roman" w:cs="Times New Roman"/>
        </w:rPr>
        <w:t xml:space="preserve"> and </w:t>
      </w:r>
      <w:r>
        <w:rPr>
          <w:rFonts w:ascii="Times New Roman" w:hAnsi="Times New Roman" w:cs="Times New Roman"/>
        </w:rPr>
        <w:t xml:space="preserve">d) other offers in the region. </w:t>
      </w:r>
      <w:r w:rsidR="00437595">
        <w:rPr>
          <w:rFonts w:ascii="Times New Roman" w:hAnsi="Times New Roman" w:cs="Times New Roman"/>
        </w:rPr>
        <w:t xml:space="preserve"> </w:t>
      </w:r>
    </w:p>
    <w:p w:rsidR="007C0487" w:rsidRDefault="00B165DE" w:rsidP="007C0487">
      <w:pPr>
        <w:rPr>
          <w:rFonts w:ascii="Times New Roman" w:hAnsi="Times New Roman" w:cs="Times New Roman"/>
        </w:rPr>
      </w:pPr>
      <w:r>
        <w:rPr>
          <w:rFonts w:ascii="Times New Roman" w:hAnsi="Times New Roman" w:cs="Times New Roman"/>
        </w:rPr>
        <w:t xml:space="preserve">The programs </w:t>
      </w:r>
      <w:r w:rsidR="007C0487">
        <w:rPr>
          <w:rFonts w:ascii="Times New Roman" w:hAnsi="Times New Roman" w:cs="Times New Roman"/>
        </w:rPr>
        <w:t xml:space="preserve">provide </w:t>
      </w:r>
      <w:r>
        <w:rPr>
          <w:rFonts w:ascii="Times New Roman" w:hAnsi="Times New Roman" w:cs="Times New Roman"/>
        </w:rPr>
        <w:t xml:space="preserve">incentives to customers, </w:t>
      </w:r>
      <w:r w:rsidR="007C0487">
        <w:rPr>
          <w:rFonts w:ascii="Times New Roman" w:hAnsi="Times New Roman" w:cs="Times New Roman"/>
        </w:rPr>
        <w:t xml:space="preserve">installing contractors, </w:t>
      </w:r>
      <w:r w:rsidR="00435A73">
        <w:rPr>
          <w:rFonts w:ascii="Times New Roman" w:hAnsi="Times New Roman" w:cs="Times New Roman"/>
        </w:rPr>
        <w:t xml:space="preserve">lighting equipment </w:t>
      </w:r>
      <w:r>
        <w:rPr>
          <w:rFonts w:ascii="Times New Roman" w:hAnsi="Times New Roman" w:cs="Times New Roman"/>
        </w:rPr>
        <w:t xml:space="preserve">manufacturers, </w:t>
      </w:r>
      <w:r w:rsidR="00435A73">
        <w:rPr>
          <w:rFonts w:ascii="Times New Roman" w:hAnsi="Times New Roman" w:cs="Times New Roman"/>
        </w:rPr>
        <w:t xml:space="preserve">lighting </w:t>
      </w:r>
      <w:r>
        <w:rPr>
          <w:rFonts w:ascii="Times New Roman" w:hAnsi="Times New Roman" w:cs="Times New Roman"/>
        </w:rPr>
        <w:t>retailers</w:t>
      </w:r>
      <w:r w:rsidR="00435A73">
        <w:rPr>
          <w:rFonts w:ascii="Times New Roman" w:hAnsi="Times New Roman" w:cs="Times New Roman"/>
        </w:rPr>
        <w:t>, lighting distributors and motor rewind shop</w:t>
      </w:r>
      <w:r w:rsidR="007C0487">
        <w:rPr>
          <w:rFonts w:ascii="Times New Roman" w:hAnsi="Times New Roman" w:cs="Times New Roman"/>
        </w:rPr>
        <w:t xml:space="preserve">. Incentive delivery points and amounts are designed to </w:t>
      </w:r>
      <w:r w:rsidR="007C0487" w:rsidRPr="00437595">
        <w:rPr>
          <w:rFonts w:ascii="Times New Roman" w:hAnsi="Times New Roman" w:cs="Times New Roman"/>
        </w:rPr>
        <w:t>significantly influence the choice</w:t>
      </w:r>
      <w:r w:rsidR="007C0487">
        <w:rPr>
          <w:rFonts w:ascii="Times New Roman" w:hAnsi="Times New Roman" w:cs="Times New Roman"/>
        </w:rPr>
        <w:t>(s)</w:t>
      </w:r>
      <w:r w:rsidR="007C0487" w:rsidRPr="00437595">
        <w:rPr>
          <w:rFonts w:ascii="Times New Roman" w:hAnsi="Times New Roman" w:cs="Times New Roman"/>
        </w:rPr>
        <w:t xml:space="preserve"> in favor of the measure</w:t>
      </w:r>
      <w:r w:rsidR="007C0487">
        <w:rPr>
          <w:rFonts w:ascii="Times New Roman" w:hAnsi="Times New Roman" w:cs="Times New Roman"/>
        </w:rPr>
        <w:t xml:space="preserve"> and instill “ownership” by the customer</w:t>
      </w:r>
      <w:r w:rsidR="007C0487" w:rsidRPr="00437595">
        <w:rPr>
          <w:rFonts w:ascii="Times New Roman" w:hAnsi="Times New Roman" w:cs="Times New Roman"/>
        </w:rPr>
        <w:t xml:space="preserve">. </w:t>
      </w:r>
    </w:p>
    <w:p w:rsidR="007C0487" w:rsidRPr="00437595" w:rsidRDefault="007C0487" w:rsidP="007C0487">
      <w:pPr>
        <w:rPr>
          <w:rFonts w:ascii="Times New Roman" w:hAnsi="Times New Roman" w:cs="Times New Roman"/>
        </w:rPr>
      </w:pPr>
      <w:r>
        <w:rPr>
          <w:rFonts w:ascii="Times New Roman" w:hAnsi="Times New Roman" w:cs="Times New Roman"/>
        </w:rPr>
        <w:t xml:space="preserve">Incentive amounts were reviewed and set as part of the 2016-2017 planning process. Information on these program changes was provided to the DSM Advisory Group on </w:t>
      </w:r>
      <w:r w:rsidR="009465BC">
        <w:rPr>
          <w:rFonts w:ascii="Times New Roman" w:hAnsi="Times New Roman" w:cs="Times New Roman"/>
        </w:rPr>
        <w:t xml:space="preserve">October 13 and 14, 2015. In 2016, incentive levels and delivery points were reviewed for both programs. Information on these program changes was provided to the </w:t>
      </w:r>
      <w:r w:rsidR="00077A2B">
        <w:rPr>
          <w:rFonts w:ascii="Times New Roman" w:hAnsi="Times New Roman" w:cs="Times New Roman"/>
        </w:rPr>
        <w:t>DSM</w:t>
      </w:r>
      <w:bookmarkStart w:id="0" w:name="_GoBack"/>
      <w:bookmarkEnd w:id="0"/>
      <w:r w:rsidR="00077A2B">
        <w:rPr>
          <w:rFonts w:ascii="Times New Roman" w:hAnsi="Times New Roman" w:cs="Times New Roman"/>
        </w:rPr>
        <w:t xml:space="preserve"> </w:t>
      </w:r>
      <w:r w:rsidR="009465BC">
        <w:rPr>
          <w:rFonts w:ascii="Times New Roman" w:hAnsi="Times New Roman" w:cs="Times New Roman"/>
        </w:rPr>
        <w:t>Advisory Group on May 6, September 2</w:t>
      </w:r>
      <w:r w:rsidR="00174CDD">
        <w:rPr>
          <w:rFonts w:ascii="Times New Roman" w:hAnsi="Times New Roman" w:cs="Times New Roman"/>
        </w:rPr>
        <w:t>,</w:t>
      </w:r>
      <w:r w:rsidR="009465BC">
        <w:rPr>
          <w:rFonts w:ascii="Times New Roman" w:hAnsi="Times New Roman" w:cs="Times New Roman"/>
        </w:rPr>
        <w:t xml:space="preserve"> and November 1, 2016. </w:t>
      </w:r>
    </w:p>
    <w:p w:rsidR="00B165DE" w:rsidRDefault="009374CD" w:rsidP="00437595">
      <w:pPr>
        <w:rPr>
          <w:rFonts w:ascii="Times New Roman" w:hAnsi="Times New Roman" w:cs="Times New Roman"/>
        </w:rPr>
      </w:pPr>
      <w:r>
        <w:rPr>
          <w:rFonts w:ascii="Times New Roman" w:hAnsi="Times New Roman" w:cs="Times New Roman"/>
        </w:rPr>
        <w:t>Cost effectiveness of these programs is provided in Cost Effectiveness Appendix of the 2017 Annual Conservation Plan. In addition to the TRC calculation (which is indifferent to who pays; customer or utility), the analysis includes the UCT calculation</w:t>
      </w:r>
      <w:r w:rsidR="00174CDD">
        <w:rPr>
          <w:rFonts w:ascii="Times New Roman" w:hAnsi="Times New Roman" w:cs="Times New Roman"/>
        </w:rPr>
        <w:t>,</w:t>
      </w:r>
      <w:r>
        <w:rPr>
          <w:rFonts w:ascii="Times New Roman" w:hAnsi="Times New Roman" w:cs="Times New Roman"/>
        </w:rPr>
        <w:t xml:space="preserve"> which provides insight into how incentive levels align with available savings</w:t>
      </w:r>
      <w:r w:rsidR="00174CDD">
        <w:rPr>
          <w:rFonts w:ascii="Times New Roman" w:hAnsi="Times New Roman" w:cs="Times New Roman"/>
        </w:rPr>
        <w:t>,</w:t>
      </w:r>
      <w:r>
        <w:rPr>
          <w:rFonts w:ascii="Times New Roman" w:hAnsi="Times New Roman" w:cs="Times New Roman"/>
        </w:rPr>
        <w:t xml:space="preserve"> and the PCT</w:t>
      </w:r>
      <w:r w:rsidR="00174CDD">
        <w:rPr>
          <w:rFonts w:ascii="Times New Roman" w:hAnsi="Times New Roman" w:cs="Times New Roman"/>
        </w:rPr>
        <w:t>,</w:t>
      </w:r>
      <w:r>
        <w:rPr>
          <w:rFonts w:ascii="Times New Roman" w:hAnsi="Times New Roman" w:cs="Times New Roman"/>
        </w:rPr>
        <w:t xml:space="preserve"> which provides insight into how the attractive a measure combined with incentives is to a participant. </w:t>
      </w:r>
    </w:p>
    <w:p w:rsidR="00437595" w:rsidRDefault="006F63B3" w:rsidP="00437595">
      <w:pPr>
        <w:rPr>
          <w:rFonts w:ascii="Times New Roman" w:hAnsi="Times New Roman" w:cs="Times New Roman"/>
        </w:rPr>
      </w:pPr>
      <w:r>
        <w:rPr>
          <w:rFonts w:ascii="Times New Roman" w:hAnsi="Times New Roman" w:cs="Times New Roman"/>
        </w:rPr>
        <w:t xml:space="preserve">Payments to community action agencies </w:t>
      </w:r>
      <w:r w:rsidR="001E5706">
        <w:rPr>
          <w:rFonts w:ascii="Times New Roman" w:hAnsi="Times New Roman" w:cs="Times New Roman"/>
        </w:rPr>
        <w:t xml:space="preserve">for low income weatherization are customer site specific after the agency screens the project and determines the Savings to Investment Ratio (SIR) is 1.0 or greater using US Department of Energy approved audit tool. The Company regularly reviews the program with low income stakeholders and requests detailed feedback from community action agencies. The latest set of changes to the program were approved by the Washington Utilities and Transportation Commission with an effective date of January 1, 2016. </w:t>
      </w:r>
      <w:r w:rsidR="00D11DC4">
        <w:rPr>
          <w:rFonts w:ascii="Times New Roman" w:hAnsi="Times New Roman" w:cs="Times New Roman"/>
        </w:rPr>
        <w:t xml:space="preserve"> Another review is currently underway and any revisions will be filed </w:t>
      </w:r>
      <w:r w:rsidR="00174CDD">
        <w:rPr>
          <w:rFonts w:ascii="Times New Roman" w:hAnsi="Times New Roman" w:cs="Times New Roman"/>
        </w:rPr>
        <w:t xml:space="preserve">by </w:t>
      </w:r>
      <w:r w:rsidR="00D11DC4">
        <w:rPr>
          <w:rFonts w:ascii="Times New Roman" w:hAnsi="Times New Roman" w:cs="Times New Roman"/>
        </w:rPr>
        <w:t>April 2017.</w:t>
      </w:r>
    </w:p>
    <w:p w:rsidR="00D11DC4" w:rsidRDefault="00D11DC4" w:rsidP="00437595">
      <w:pPr>
        <w:rPr>
          <w:rFonts w:ascii="Times New Roman" w:hAnsi="Times New Roman" w:cs="Times New Roman"/>
        </w:rPr>
      </w:pPr>
      <w:r>
        <w:rPr>
          <w:rFonts w:ascii="Times New Roman" w:hAnsi="Times New Roman" w:cs="Times New Roman"/>
        </w:rPr>
        <w:lastRenderedPageBreak/>
        <w:t xml:space="preserve">The NEEA estimate was provided by staff and has been applied to the funding provided by PacifiCorp in accordance with their current funding agreement. </w:t>
      </w:r>
      <w:r w:rsidR="003B5FC1">
        <w:rPr>
          <w:rFonts w:ascii="Times New Roman" w:hAnsi="Times New Roman" w:cs="Times New Roman"/>
        </w:rPr>
        <w:t xml:space="preserve">The Company actively participates in NEEA advisory and governance forums including the board, advisory committees and workgroups. </w:t>
      </w:r>
    </w:p>
    <w:p w:rsidR="00D11DC4" w:rsidRDefault="00D11DC4" w:rsidP="00437595">
      <w:pPr>
        <w:rPr>
          <w:rFonts w:ascii="Times New Roman" w:hAnsi="Times New Roman" w:cs="Times New Roman"/>
        </w:rPr>
      </w:pPr>
      <w:r>
        <w:rPr>
          <w:rFonts w:ascii="Times New Roman" w:hAnsi="Times New Roman" w:cs="Times New Roman"/>
        </w:rPr>
        <w:t xml:space="preserve">The current ratio of 59% is very close to the staff provided metric of 60%. The two programs directly under control of the Company, Home Energy Savings and </w:t>
      </w:r>
      <w:proofErr w:type="spellStart"/>
      <w:r>
        <w:rPr>
          <w:rFonts w:ascii="Times New Roman" w:hAnsi="Times New Roman" w:cs="Times New Roman"/>
        </w:rPr>
        <w:t>wattsmart</w:t>
      </w:r>
      <w:proofErr w:type="spellEnd"/>
      <w:r>
        <w:rPr>
          <w:rFonts w:ascii="Times New Roman" w:hAnsi="Times New Roman" w:cs="Times New Roman"/>
        </w:rPr>
        <w:t xml:space="preserve"> Business</w:t>
      </w:r>
      <w:r w:rsidR="00174CDD">
        <w:rPr>
          <w:rFonts w:ascii="Times New Roman" w:hAnsi="Times New Roman" w:cs="Times New Roman"/>
        </w:rPr>
        <w:t>,</w:t>
      </w:r>
      <w:r>
        <w:rPr>
          <w:rFonts w:ascii="Times New Roman" w:hAnsi="Times New Roman" w:cs="Times New Roman"/>
        </w:rPr>
        <w:t xml:space="preserve"> have had regular reviews and adjustment </w:t>
      </w:r>
      <w:r w:rsidR="003B5FC1">
        <w:rPr>
          <w:rFonts w:ascii="Times New Roman" w:hAnsi="Times New Roman" w:cs="Times New Roman"/>
        </w:rPr>
        <w:t xml:space="preserve">at </w:t>
      </w:r>
      <w:r>
        <w:rPr>
          <w:rFonts w:ascii="Times New Roman" w:hAnsi="Times New Roman" w:cs="Times New Roman"/>
        </w:rPr>
        <w:t>both the beginning of the biennial period and throughout 2016</w:t>
      </w:r>
      <w:r w:rsidR="003B5FC1">
        <w:rPr>
          <w:rFonts w:ascii="Times New Roman" w:hAnsi="Times New Roman" w:cs="Times New Roman"/>
        </w:rPr>
        <w:t xml:space="preserve">. </w:t>
      </w:r>
      <w:r>
        <w:rPr>
          <w:rFonts w:ascii="Times New Roman" w:hAnsi="Times New Roman" w:cs="Times New Roman"/>
        </w:rPr>
        <w:t>Both are cost effective from a TRC basis. The UCT and PCT results indicate incentives levels are attractive to both the utility and the participant</w:t>
      </w:r>
      <w:r w:rsidR="003B5FC1">
        <w:rPr>
          <w:rFonts w:ascii="Times New Roman" w:hAnsi="Times New Roman" w:cs="Times New Roman"/>
        </w:rPr>
        <w:t xml:space="preserve">. The Company believes the current mix of incentives in programs under their direct control </w:t>
      </w:r>
      <w:r w:rsidR="00413B23">
        <w:rPr>
          <w:rFonts w:ascii="Times New Roman" w:hAnsi="Times New Roman" w:cs="Times New Roman"/>
        </w:rPr>
        <w:t xml:space="preserve">and direct benefits in programs outside </w:t>
      </w:r>
      <w:r w:rsidR="00174CDD">
        <w:rPr>
          <w:rFonts w:ascii="Times New Roman" w:hAnsi="Times New Roman" w:cs="Times New Roman"/>
        </w:rPr>
        <w:t xml:space="preserve">its </w:t>
      </w:r>
      <w:r w:rsidR="00413B23">
        <w:rPr>
          <w:rFonts w:ascii="Times New Roman" w:hAnsi="Times New Roman" w:cs="Times New Roman"/>
        </w:rPr>
        <w:t xml:space="preserve">control are at the level necessary to achieve savings targets within this biennial period.  </w:t>
      </w:r>
      <w:r w:rsidR="003B5FC1">
        <w:rPr>
          <w:rFonts w:ascii="Times New Roman" w:hAnsi="Times New Roman" w:cs="Times New Roman"/>
        </w:rPr>
        <w:t xml:space="preserve"> </w:t>
      </w:r>
    </w:p>
    <w:p w:rsidR="00D11DC4" w:rsidRDefault="00D11DC4" w:rsidP="00437595">
      <w:pPr>
        <w:rPr>
          <w:rFonts w:ascii="Times New Roman" w:hAnsi="Times New Roman" w:cs="Times New Roman"/>
        </w:rPr>
      </w:pPr>
    </w:p>
    <w:p w:rsidR="00D11DC4" w:rsidRDefault="00D11DC4" w:rsidP="00437595">
      <w:pPr>
        <w:rPr>
          <w:rFonts w:ascii="Times New Roman" w:hAnsi="Times New Roman" w:cs="Times New Roman"/>
        </w:rPr>
      </w:pPr>
    </w:p>
    <w:p w:rsidR="00D11DC4" w:rsidRPr="00437595" w:rsidRDefault="00D11DC4" w:rsidP="00437595">
      <w:pPr>
        <w:rPr>
          <w:rFonts w:ascii="Times New Roman" w:hAnsi="Times New Roman" w:cs="Times New Roman"/>
        </w:rPr>
      </w:pPr>
    </w:p>
    <w:sectPr w:rsidR="00D11DC4" w:rsidRPr="004375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6F" w:rsidRDefault="00FD4D6F" w:rsidP="00FD4D6F">
      <w:pPr>
        <w:spacing w:after="0" w:line="240" w:lineRule="auto"/>
      </w:pPr>
      <w:r>
        <w:separator/>
      </w:r>
    </w:p>
  </w:endnote>
  <w:endnote w:type="continuationSeparator" w:id="0">
    <w:p w:rsidR="00FD4D6F" w:rsidRDefault="00FD4D6F" w:rsidP="00FD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6F" w:rsidRDefault="00FD4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6F" w:rsidRDefault="00FD4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6F" w:rsidRDefault="00FD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6F" w:rsidRDefault="00FD4D6F" w:rsidP="00FD4D6F">
      <w:pPr>
        <w:spacing w:after="0" w:line="240" w:lineRule="auto"/>
      </w:pPr>
      <w:r>
        <w:separator/>
      </w:r>
    </w:p>
  </w:footnote>
  <w:footnote w:type="continuationSeparator" w:id="0">
    <w:p w:rsidR="00FD4D6F" w:rsidRDefault="00FD4D6F" w:rsidP="00FD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6F" w:rsidRDefault="00FD4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6F" w:rsidRDefault="00FD4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6F" w:rsidRDefault="00FD4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5"/>
    <w:rsid w:val="00077A2B"/>
    <w:rsid w:val="00174CDD"/>
    <w:rsid w:val="001E5706"/>
    <w:rsid w:val="002D7A8F"/>
    <w:rsid w:val="003B5FC1"/>
    <w:rsid w:val="003D1E1D"/>
    <w:rsid w:val="00413B23"/>
    <w:rsid w:val="00435A73"/>
    <w:rsid w:val="00437595"/>
    <w:rsid w:val="00464F22"/>
    <w:rsid w:val="005F4F95"/>
    <w:rsid w:val="006B1B32"/>
    <w:rsid w:val="006F63B3"/>
    <w:rsid w:val="007C0487"/>
    <w:rsid w:val="009374CD"/>
    <w:rsid w:val="009465BC"/>
    <w:rsid w:val="00955624"/>
    <w:rsid w:val="00B165DE"/>
    <w:rsid w:val="00C4309E"/>
    <w:rsid w:val="00C64735"/>
    <w:rsid w:val="00D11DC4"/>
    <w:rsid w:val="00F62608"/>
    <w:rsid w:val="00FD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35"/>
    <w:rPr>
      <w:rFonts w:ascii="Tahoma" w:hAnsi="Tahoma" w:cs="Tahoma"/>
      <w:sz w:val="16"/>
      <w:szCs w:val="16"/>
    </w:rPr>
  </w:style>
  <w:style w:type="paragraph" w:styleId="Header">
    <w:name w:val="header"/>
    <w:basedOn w:val="Normal"/>
    <w:link w:val="HeaderChar"/>
    <w:uiPriority w:val="99"/>
    <w:unhideWhenUsed/>
    <w:rsid w:val="00FD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6F"/>
  </w:style>
  <w:style w:type="paragraph" w:styleId="Footer">
    <w:name w:val="footer"/>
    <w:basedOn w:val="Normal"/>
    <w:link w:val="FooterChar"/>
    <w:uiPriority w:val="99"/>
    <w:unhideWhenUsed/>
    <w:rsid w:val="00FD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EED025-41EA-463B-B410-1478D27EC4A0}"/>
</file>

<file path=customXml/itemProps2.xml><?xml version="1.0" encoding="utf-8"?>
<ds:datastoreItem xmlns:ds="http://schemas.openxmlformats.org/officeDocument/2006/customXml" ds:itemID="{5A088228-4238-49B5-9E72-F5D42A059617}"/>
</file>

<file path=customXml/itemProps3.xml><?xml version="1.0" encoding="utf-8"?>
<ds:datastoreItem xmlns:ds="http://schemas.openxmlformats.org/officeDocument/2006/customXml" ds:itemID="{D2A90083-0CE4-4986-A1CD-34A2B9A68E7F}"/>
</file>

<file path=customXml/itemProps4.xml><?xml version="1.0" encoding="utf-8"?>
<ds:datastoreItem xmlns:ds="http://schemas.openxmlformats.org/officeDocument/2006/customXml" ds:itemID="{68D903D9-CF54-4BCC-B082-54810A2087E0}"/>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2017-01-06T23:27:00Z</dcterms:created>
  <dcterms:modified xsi:type="dcterms:W3CDTF">2017-01-06T23:27:00Z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0x0101006E56B4D1795A2E4DB2F0B01679ED314A00D9D2FE07C0AA5C4E814A8CE6D7513F53</vt:lpwstr>
  </property>
  <property fmtid="{D5CDD505-2E9C-101B-9397-08002B2CF9AE}" pid="4" name="_docset_NoMedatataSyncRequired">
    <vt:lpwstr>False</vt:lpwstr>
  </property>
</Properties>
</file>