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7E" w:rsidRDefault="0009047E" w:rsidP="00F42647">
      <w:pPr>
        <w:ind w:right="-108" w:hanging="180"/>
        <w:jc w:val="both"/>
        <w:rPr>
          <w:sz w:val="24"/>
        </w:rPr>
      </w:pPr>
    </w:p>
    <w:p w:rsidR="0009047E" w:rsidRDefault="0009047E" w:rsidP="00F42647">
      <w:pPr>
        <w:ind w:right="-108" w:hanging="180"/>
        <w:jc w:val="both"/>
        <w:rPr>
          <w:sz w:val="24"/>
        </w:rPr>
      </w:pPr>
    </w:p>
    <w:p w:rsidR="0009047E" w:rsidRDefault="0009047E" w:rsidP="00F42647">
      <w:pPr>
        <w:ind w:right="-108" w:hanging="180"/>
        <w:jc w:val="both"/>
        <w:rPr>
          <w:sz w:val="24"/>
        </w:rPr>
      </w:pPr>
    </w:p>
    <w:p w:rsidR="0009047E" w:rsidRDefault="0009047E" w:rsidP="00F42647">
      <w:pPr>
        <w:ind w:right="-108" w:hanging="180"/>
        <w:jc w:val="both"/>
        <w:rPr>
          <w:sz w:val="24"/>
        </w:rPr>
      </w:pPr>
    </w:p>
    <w:p w:rsidR="0009047E" w:rsidRDefault="0009047E" w:rsidP="00F42647">
      <w:pPr>
        <w:ind w:right="-108" w:hanging="180"/>
        <w:jc w:val="both"/>
        <w:rPr>
          <w:sz w:val="24"/>
        </w:rPr>
      </w:pPr>
    </w:p>
    <w:p w:rsidR="0009047E" w:rsidRDefault="0009047E" w:rsidP="00F42647">
      <w:pPr>
        <w:ind w:right="-108" w:hanging="180"/>
        <w:jc w:val="both"/>
        <w:rPr>
          <w:sz w:val="24"/>
        </w:rPr>
      </w:pPr>
    </w:p>
    <w:p w:rsidR="0009047E" w:rsidRDefault="0009047E" w:rsidP="00F42647">
      <w:pPr>
        <w:ind w:right="-108" w:hanging="180"/>
        <w:jc w:val="both"/>
        <w:rPr>
          <w:sz w:val="24"/>
        </w:rPr>
      </w:pPr>
    </w:p>
    <w:p w:rsidR="00F748D8" w:rsidRPr="004A2910" w:rsidRDefault="00F748D8" w:rsidP="00F42647">
      <w:pPr>
        <w:ind w:right="-108" w:hanging="180"/>
        <w:jc w:val="both"/>
        <w:rPr>
          <w:sz w:val="24"/>
        </w:rPr>
      </w:pPr>
      <w:r w:rsidRPr="004A2910">
        <w:rPr>
          <w:sz w:val="24"/>
        </w:rPr>
        <w:t>BEFORE THE WASHINGTON UTILITIES AND TRANSPORTATION COMMISSION</w:t>
      </w:r>
    </w:p>
    <w:p w:rsidR="00F748D8" w:rsidRPr="004A2910" w:rsidRDefault="00F748D8" w:rsidP="00F748D8">
      <w:pPr>
        <w:jc w:val="both"/>
        <w:rPr>
          <w:sz w:val="24"/>
        </w:rPr>
      </w:pPr>
    </w:p>
    <w:p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tc>
          <w:tcPr>
            <w:tcW w:w="4590" w:type="dxa"/>
            <w:tcBorders>
              <w:top w:val="single" w:sz="6" w:space="0" w:color="FFFFFF"/>
              <w:left w:val="single" w:sz="6" w:space="0" w:color="FFFFFF"/>
              <w:bottom w:val="single" w:sz="7" w:space="0" w:color="000000"/>
              <w:right w:val="single" w:sz="6" w:space="0" w:color="FFFFFF"/>
            </w:tcBorders>
          </w:tcPr>
          <w:p w:rsidR="00815BBD" w:rsidRPr="005C30D6" w:rsidRDefault="00815BBD" w:rsidP="00815BBD">
            <w:pPr>
              <w:pStyle w:val="NoSpacing"/>
              <w:rPr>
                <w:sz w:val="24"/>
                <w:szCs w:val="24"/>
              </w:rPr>
            </w:pPr>
            <w:r w:rsidRPr="005C30D6">
              <w:rPr>
                <w:sz w:val="24"/>
                <w:szCs w:val="24"/>
              </w:rPr>
              <w:t>WASHINGTON UTILITIES AND TRANSPORTATION COMMISSION,</w:t>
            </w:r>
          </w:p>
          <w:p w:rsidR="00815BBD" w:rsidRPr="005C30D6" w:rsidRDefault="00815BBD" w:rsidP="00815BBD">
            <w:pPr>
              <w:pStyle w:val="NoSpacing"/>
              <w:rPr>
                <w:sz w:val="24"/>
                <w:szCs w:val="24"/>
              </w:rPr>
            </w:pPr>
          </w:p>
          <w:p w:rsidR="00815BBD" w:rsidRPr="005C30D6" w:rsidRDefault="00815BBD" w:rsidP="00815BBD">
            <w:pPr>
              <w:pStyle w:val="NoSpacing"/>
              <w:rPr>
                <w:sz w:val="24"/>
                <w:szCs w:val="24"/>
              </w:rPr>
            </w:pPr>
            <w:r w:rsidRPr="005C30D6">
              <w:rPr>
                <w:sz w:val="24"/>
                <w:szCs w:val="24"/>
              </w:rPr>
              <w:tab/>
            </w:r>
            <w:r>
              <w:rPr>
                <w:sz w:val="24"/>
                <w:szCs w:val="24"/>
              </w:rPr>
              <w:tab/>
            </w:r>
            <w:r w:rsidRPr="005C30D6">
              <w:rPr>
                <w:sz w:val="24"/>
                <w:szCs w:val="24"/>
              </w:rPr>
              <w:t>Complainant,</w:t>
            </w:r>
          </w:p>
          <w:p w:rsidR="00815BBD" w:rsidRPr="005C30D6" w:rsidRDefault="00815BBD" w:rsidP="00815BBD">
            <w:pPr>
              <w:pStyle w:val="NoSpacing"/>
              <w:rPr>
                <w:sz w:val="24"/>
                <w:szCs w:val="24"/>
              </w:rPr>
            </w:pPr>
          </w:p>
          <w:p w:rsidR="00815BBD" w:rsidRPr="005C30D6" w:rsidRDefault="00815BBD" w:rsidP="00815BBD">
            <w:pPr>
              <w:pStyle w:val="NoSpacing"/>
              <w:rPr>
                <w:sz w:val="24"/>
                <w:szCs w:val="24"/>
              </w:rPr>
            </w:pPr>
            <w:r w:rsidRPr="005C30D6">
              <w:rPr>
                <w:sz w:val="24"/>
                <w:szCs w:val="24"/>
              </w:rPr>
              <w:t>v.</w:t>
            </w:r>
          </w:p>
          <w:p w:rsidR="00815BBD" w:rsidRPr="005C30D6" w:rsidRDefault="00815BBD" w:rsidP="00815BBD">
            <w:pPr>
              <w:pStyle w:val="NoSpacing"/>
              <w:rPr>
                <w:sz w:val="24"/>
                <w:szCs w:val="24"/>
              </w:rPr>
            </w:pPr>
          </w:p>
          <w:p w:rsidR="00815BBD" w:rsidRPr="005C30D6" w:rsidRDefault="00815BBD" w:rsidP="00815BBD">
            <w:pPr>
              <w:pStyle w:val="NoSpacing"/>
              <w:rPr>
                <w:sz w:val="24"/>
                <w:szCs w:val="24"/>
              </w:rPr>
            </w:pPr>
            <w:r w:rsidRPr="003E69F9">
              <w:rPr>
                <w:sz w:val="24"/>
                <w:szCs w:val="24"/>
              </w:rPr>
              <w:t xml:space="preserve">3RD GENERATION MOVERS AND HAULING, A+ ALWAYS MOVING, INC.,  A </w:t>
            </w:r>
            <w:proofErr w:type="spellStart"/>
            <w:r w:rsidRPr="003E69F9">
              <w:rPr>
                <w:sz w:val="24"/>
                <w:szCs w:val="24"/>
              </w:rPr>
              <w:t>A</w:t>
            </w:r>
            <w:proofErr w:type="spellEnd"/>
            <w:r w:rsidRPr="003E69F9">
              <w:rPr>
                <w:sz w:val="24"/>
                <w:szCs w:val="24"/>
              </w:rPr>
              <w:t xml:space="preserve"> STAR TRANSFER CO. INC., ALWAYS ABLE MOVING SERVICE, LLC, ARAYS MOVING SERVICE LLC, GRAYPORT TRANSFER &amp; STORAGE CO., INC., THUNDER MOVERS LLC</w:t>
            </w:r>
            <w:r w:rsidRPr="005C30D6">
              <w:rPr>
                <w:sz w:val="24"/>
                <w:szCs w:val="24"/>
              </w:rPr>
              <w:t xml:space="preserve">, </w:t>
            </w:r>
          </w:p>
          <w:p w:rsidR="00815BBD" w:rsidRPr="005C30D6" w:rsidRDefault="00815BBD" w:rsidP="00815BBD">
            <w:pPr>
              <w:pStyle w:val="NoSpacing"/>
              <w:rPr>
                <w:sz w:val="24"/>
                <w:szCs w:val="24"/>
              </w:rPr>
            </w:pPr>
          </w:p>
          <w:p w:rsidR="00815BBD" w:rsidRDefault="00815BBD" w:rsidP="00815BBD">
            <w:pPr>
              <w:pStyle w:val="NoSpacing"/>
              <w:rPr>
                <w:sz w:val="24"/>
                <w:szCs w:val="24"/>
              </w:rPr>
            </w:pPr>
            <w:r w:rsidRPr="005C30D6">
              <w:rPr>
                <w:sz w:val="24"/>
                <w:szCs w:val="24"/>
              </w:rPr>
              <w:tab/>
            </w:r>
            <w:r>
              <w:rPr>
                <w:sz w:val="24"/>
                <w:szCs w:val="24"/>
              </w:rPr>
              <w:tab/>
            </w:r>
            <w:r w:rsidRPr="005C30D6">
              <w:rPr>
                <w:sz w:val="24"/>
                <w:szCs w:val="24"/>
              </w:rPr>
              <w:t>Respondents.</w:t>
            </w:r>
          </w:p>
          <w:p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4A2910" w:rsidRDefault="004C3D65" w:rsidP="00C5478B">
            <w:pPr>
              <w:ind w:firstLine="720"/>
              <w:rPr>
                <w:sz w:val="24"/>
              </w:rPr>
            </w:pPr>
            <w:r>
              <w:rPr>
                <w:sz w:val="24"/>
              </w:rPr>
              <w:t xml:space="preserve">DOCKET </w:t>
            </w:r>
            <w:r w:rsidR="00815BBD">
              <w:rPr>
                <w:sz w:val="24"/>
              </w:rPr>
              <w:t>TV-121722</w:t>
            </w:r>
          </w:p>
          <w:p w:rsidR="00F748D8" w:rsidRPr="004A2910" w:rsidRDefault="00F748D8" w:rsidP="00C5478B">
            <w:pPr>
              <w:rPr>
                <w:sz w:val="24"/>
              </w:rPr>
            </w:pPr>
          </w:p>
          <w:p w:rsidR="00350340" w:rsidRDefault="00350340" w:rsidP="00350340">
            <w:pPr>
              <w:spacing w:after="19"/>
              <w:ind w:left="720"/>
              <w:rPr>
                <w:sz w:val="24"/>
              </w:rPr>
            </w:pPr>
            <w:r>
              <w:rPr>
                <w:sz w:val="24"/>
              </w:rPr>
              <w:t>COMMISSION STAFF’S</w:t>
            </w:r>
          </w:p>
          <w:p w:rsidR="00F748D8" w:rsidRPr="004A2910" w:rsidRDefault="00815BBD" w:rsidP="00350340">
            <w:pPr>
              <w:spacing w:after="19"/>
              <w:ind w:left="720"/>
              <w:rPr>
                <w:sz w:val="24"/>
              </w:rPr>
            </w:pPr>
            <w:r>
              <w:rPr>
                <w:sz w:val="24"/>
              </w:rPr>
              <w:t xml:space="preserve">PETITION </w:t>
            </w:r>
            <w:r w:rsidR="00350340">
              <w:rPr>
                <w:sz w:val="24"/>
              </w:rPr>
              <w:t>FOR RECONSIDERATION</w:t>
            </w:r>
          </w:p>
        </w:tc>
      </w:tr>
    </w:tbl>
    <w:p w:rsidR="00F748D8" w:rsidRDefault="00F748D8" w:rsidP="00F748D8">
      <w:pPr>
        <w:jc w:val="both"/>
        <w:rPr>
          <w:sz w:val="24"/>
        </w:rPr>
      </w:pPr>
    </w:p>
    <w:p w:rsidR="00B53814" w:rsidRPr="00F42647" w:rsidRDefault="00F42647" w:rsidP="00F42647">
      <w:pPr>
        <w:spacing w:line="480" w:lineRule="auto"/>
        <w:jc w:val="center"/>
        <w:rPr>
          <w:b/>
          <w:sz w:val="24"/>
        </w:rPr>
      </w:pPr>
      <w:r>
        <w:rPr>
          <w:b/>
          <w:sz w:val="24"/>
        </w:rPr>
        <w:t>I.</w:t>
      </w:r>
      <w:r>
        <w:rPr>
          <w:b/>
          <w:sz w:val="24"/>
        </w:rPr>
        <w:tab/>
      </w:r>
      <w:r w:rsidR="00B53814" w:rsidRPr="00F42647">
        <w:rPr>
          <w:b/>
          <w:sz w:val="24"/>
        </w:rPr>
        <w:t>INTRODUCTION</w:t>
      </w:r>
    </w:p>
    <w:p w:rsidR="00F748D8" w:rsidRPr="00B53814" w:rsidRDefault="0025442A" w:rsidP="006D13E3">
      <w:pPr>
        <w:numPr>
          <w:ilvl w:val="0"/>
          <w:numId w:val="2"/>
        </w:numPr>
        <w:spacing w:line="480" w:lineRule="auto"/>
        <w:rPr>
          <w:sz w:val="24"/>
        </w:rPr>
      </w:pPr>
      <w:r>
        <w:rPr>
          <w:sz w:val="24"/>
        </w:rPr>
        <w:tab/>
      </w:r>
      <w:r w:rsidR="00874231">
        <w:rPr>
          <w:sz w:val="24"/>
        </w:rPr>
        <w:t xml:space="preserve">Staff of the Washington Utilities and Transportation Commission (Commission) petitions </w:t>
      </w:r>
      <w:r w:rsidR="000E25D8">
        <w:rPr>
          <w:sz w:val="24"/>
        </w:rPr>
        <w:t xml:space="preserve">under WAC 480-07-850 </w:t>
      </w:r>
      <w:r w:rsidR="00874231">
        <w:rPr>
          <w:sz w:val="24"/>
        </w:rPr>
        <w:t>for reconsideration of Order 02, the Commission’s Final Order Accepting Petition for Administrative Review, Reopening Record, and Cancelling Permit Only if 3rd Generation Mover</w:t>
      </w:r>
      <w:r w:rsidR="00E158AB">
        <w:rPr>
          <w:sz w:val="24"/>
        </w:rPr>
        <w:t>s</w:t>
      </w:r>
      <w:r w:rsidR="00874231">
        <w:rPr>
          <w:sz w:val="24"/>
        </w:rPr>
        <w:t xml:space="preserve"> and Hauling Fails to Pay Penalty Assessment</w:t>
      </w:r>
      <w:r w:rsidR="00E158AB">
        <w:rPr>
          <w:sz w:val="24"/>
        </w:rPr>
        <w:t xml:space="preserve"> served June 20, 2013 (Final Order)</w:t>
      </w:r>
      <w:r w:rsidR="00874231">
        <w:rPr>
          <w:sz w:val="24"/>
        </w:rPr>
        <w:t>.</w:t>
      </w:r>
      <w:r w:rsidR="00385B13">
        <w:rPr>
          <w:sz w:val="24"/>
        </w:rPr>
        <w:t xml:space="preserve">  The </w:t>
      </w:r>
      <w:r w:rsidR="00E158AB">
        <w:rPr>
          <w:sz w:val="24"/>
        </w:rPr>
        <w:t>Final Order</w:t>
      </w:r>
      <w:r w:rsidR="00385B13">
        <w:rPr>
          <w:sz w:val="24"/>
        </w:rPr>
        <w:t xml:space="preserve"> provides</w:t>
      </w:r>
      <w:r w:rsidR="009A17F7">
        <w:rPr>
          <w:sz w:val="24"/>
        </w:rPr>
        <w:t xml:space="preserve"> that the permit of </w:t>
      </w:r>
      <w:r w:rsidR="00E158AB">
        <w:rPr>
          <w:sz w:val="24"/>
        </w:rPr>
        <w:t>3rd Generation Movers and Hauling (Third Generation)</w:t>
      </w:r>
      <w:r w:rsidR="009A17F7">
        <w:rPr>
          <w:sz w:val="24"/>
        </w:rPr>
        <w:t xml:space="preserve"> will be canceled if Third Generation does not pay a penalty </w:t>
      </w:r>
      <w:r w:rsidR="000E25D8">
        <w:rPr>
          <w:sz w:val="24"/>
        </w:rPr>
        <w:t xml:space="preserve">that the Commission </w:t>
      </w:r>
      <w:r w:rsidR="009A17F7">
        <w:rPr>
          <w:sz w:val="24"/>
        </w:rPr>
        <w:t xml:space="preserve">assessed </w:t>
      </w:r>
      <w:r w:rsidR="000E25D8">
        <w:rPr>
          <w:sz w:val="24"/>
        </w:rPr>
        <w:t xml:space="preserve">against the company </w:t>
      </w:r>
      <w:r w:rsidR="009A17F7">
        <w:rPr>
          <w:sz w:val="24"/>
        </w:rPr>
        <w:t>in another proceeding</w:t>
      </w:r>
      <w:r w:rsidR="00385B13">
        <w:rPr>
          <w:sz w:val="24"/>
        </w:rPr>
        <w:t>.  Because the decision misconstrues the ev</w:t>
      </w:r>
      <w:r w:rsidR="008D0DBF">
        <w:rPr>
          <w:sz w:val="24"/>
        </w:rPr>
        <w:t xml:space="preserve">idence and </w:t>
      </w:r>
      <w:r w:rsidR="00F053F1">
        <w:rPr>
          <w:sz w:val="24"/>
        </w:rPr>
        <w:t>is unfair to</w:t>
      </w:r>
      <w:r w:rsidR="00385B13">
        <w:rPr>
          <w:sz w:val="24"/>
        </w:rPr>
        <w:t xml:space="preserve"> Third Generation vis-à-vis other </w:t>
      </w:r>
      <w:r w:rsidR="00385B13">
        <w:rPr>
          <w:sz w:val="24"/>
        </w:rPr>
        <w:lastRenderedPageBreak/>
        <w:t>carriers with outstanding penalty assessments,</w:t>
      </w:r>
      <w:r w:rsidR="00A7360E">
        <w:rPr>
          <w:sz w:val="24"/>
        </w:rPr>
        <w:t xml:space="preserve"> Commission</w:t>
      </w:r>
      <w:r w:rsidR="00385B13">
        <w:rPr>
          <w:sz w:val="24"/>
        </w:rPr>
        <w:t xml:space="preserve"> Staff</w:t>
      </w:r>
      <w:r w:rsidR="00A7360E">
        <w:rPr>
          <w:sz w:val="24"/>
        </w:rPr>
        <w:t xml:space="preserve"> (Staff)</w:t>
      </w:r>
      <w:r w:rsidR="00385B13">
        <w:rPr>
          <w:sz w:val="24"/>
        </w:rPr>
        <w:t xml:space="preserve"> seeks </w:t>
      </w:r>
      <w:r w:rsidR="00E627BA">
        <w:rPr>
          <w:sz w:val="24"/>
        </w:rPr>
        <w:t>reinstatement of Third Generation’s permit</w:t>
      </w:r>
      <w:r w:rsidR="00A31192">
        <w:rPr>
          <w:sz w:val="24"/>
        </w:rPr>
        <w:t xml:space="preserve"> without the penalty payment condition</w:t>
      </w:r>
      <w:r w:rsidR="00385B13">
        <w:rPr>
          <w:sz w:val="24"/>
        </w:rPr>
        <w:t>.</w:t>
      </w:r>
    </w:p>
    <w:p w:rsidR="00F748D8" w:rsidRPr="00F42647" w:rsidRDefault="00F42647" w:rsidP="00F42647">
      <w:pPr>
        <w:keepNext/>
        <w:widowControl/>
        <w:spacing w:line="480" w:lineRule="auto"/>
        <w:jc w:val="center"/>
        <w:rPr>
          <w:b/>
          <w:sz w:val="24"/>
        </w:rPr>
      </w:pPr>
      <w:r>
        <w:rPr>
          <w:b/>
          <w:sz w:val="24"/>
        </w:rPr>
        <w:t>II.</w:t>
      </w:r>
      <w:r>
        <w:rPr>
          <w:b/>
          <w:sz w:val="24"/>
        </w:rPr>
        <w:tab/>
      </w:r>
      <w:r w:rsidR="009B137C" w:rsidRPr="00F42647">
        <w:rPr>
          <w:b/>
          <w:sz w:val="24"/>
        </w:rPr>
        <w:t>FACTS</w:t>
      </w:r>
    </w:p>
    <w:p w:rsidR="00E550F8" w:rsidRDefault="009B137C" w:rsidP="006D13E3">
      <w:pPr>
        <w:keepNext/>
        <w:widowControl/>
        <w:numPr>
          <w:ilvl w:val="0"/>
          <w:numId w:val="2"/>
        </w:numPr>
        <w:spacing w:line="480" w:lineRule="auto"/>
        <w:rPr>
          <w:sz w:val="24"/>
        </w:rPr>
      </w:pPr>
      <w:r>
        <w:rPr>
          <w:sz w:val="24"/>
        </w:rPr>
        <w:tab/>
      </w:r>
      <w:r w:rsidR="004D73AD">
        <w:rPr>
          <w:sz w:val="24"/>
        </w:rPr>
        <w:t>Each y</w:t>
      </w:r>
      <w:r w:rsidR="00874231">
        <w:rPr>
          <w:sz w:val="24"/>
        </w:rPr>
        <w:t xml:space="preserve">ear household goods carriers holding authority from the Commission must </w:t>
      </w:r>
      <w:r w:rsidR="00BA791B">
        <w:rPr>
          <w:sz w:val="24"/>
        </w:rPr>
        <w:t>file</w:t>
      </w:r>
      <w:r w:rsidR="00874231">
        <w:rPr>
          <w:sz w:val="24"/>
        </w:rPr>
        <w:t xml:space="preserve"> annual reports</w:t>
      </w:r>
      <w:r w:rsidR="00BA791B">
        <w:rPr>
          <w:rStyle w:val="FootnoteReference"/>
          <w:sz w:val="24"/>
        </w:rPr>
        <w:footnoteReference w:id="1"/>
      </w:r>
      <w:r w:rsidR="00874231">
        <w:rPr>
          <w:sz w:val="24"/>
        </w:rPr>
        <w:t xml:space="preserve"> and pay regulatory fees</w:t>
      </w:r>
      <w:r w:rsidR="00BA791B">
        <w:rPr>
          <w:rStyle w:val="FootnoteReference"/>
          <w:sz w:val="24"/>
        </w:rPr>
        <w:footnoteReference w:id="2"/>
      </w:r>
      <w:r w:rsidR="00874231">
        <w:rPr>
          <w:sz w:val="24"/>
        </w:rPr>
        <w:t xml:space="preserve"> by May 1.</w:t>
      </w:r>
      <w:r w:rsidR="00BA791B">
        <w:rPr>
          <w:rStyle w:val="FootnoteReference"/>
          <w:sz w:val="24"/>
        </w:rPr>
        <w:footnoteReference w:id="3"/>
      </w:r>
      <w:r w:rsidR="00874231">
        <w:rPr>
          <w:sz w:val="24"/>
        </w:rPr>
        <w:t xml:space="preserve">  </w:t>
      </w:r>
      <w:r w:rsidR="00BA791B">
        <w:rPr>
          <w:sz w:val="24"/>
        </w:rPr>
        <w:t xml:space="preserve">Carriers that fail to timely pay regulatory fees are subject </w:t>
      </w:r>
      <w:r w:rsidR="00651CD9">
        <w:rPr>
          <w:sz w:val="24"/>
        </w:rPr>
        <w:t xml:space="preserve">to </w:t>
      </w:r>
      <w:r w:rsidR="00BA791B">
        <w:rPr>
          <w:sz w:val="24"/>
        </w:rPr>
        <w:t>statutory late fees</w:t>
      </w:r>
      <w:r w:rsidR="002A5BDA">
        <w:rPr>
          <w:sz w:val="24"/>
        </w:rPr>
        <w:t xml:space="preserve"> and interest that accrues on the </w:t>
      </w:r>
      <w:r w:rsidR="00BA791B">
        <w:rPr>
          <w:sz w:val="24"/>
        </w:rPr>
        <w:t>delinquent regulatory fees.</w:t>
      </w:r>
      <w:r w:rsidR="00BA791B">
        <w:rPr>
          <w:rStyle w:val="FootnoteReference"/>
          <w:sz w:val="24"/>
        </w:rPr>
        <w:footnoteReference w:id="4"/>
      </w:r>
      <w:r w:rsidR="00716A15">
        <w:rPr>
          <w:sz w:val="24"/>
        </w:rPr>
        <w:t xml:space="preserve">  The Commission provides each household goods carrier with an annual report form and requires the carrier to report information pursuant to the form.</w:t>
      </w:r>
      <w:r w:rsidR="00716A15">
        <w:rPr>
          <w:rStyle w:val="FootnoteReference"/>
          <w:sz w:val="24"/>
        </w:rPr>
        <w:footnoteReference w:id="5"/>
      </w:r>
      <w:r w:rsidR="00716A15">
        <w:rPr>
          <w:sz w:val="24"/>
        </w:rPr>
        <w:t xml:space="preserve">  The form contains a regulatory fee calculation schedule, which </w:t>
      </w:r>
      <w:r w:rsidR="00723182">
        <w:rPr>
          <w:sz w:val="24"/>
        </w:rPr>
        <w:t xml:space="preserve">provides for the calculation of </w:t>
      </w:r>
      <w:r w:rsidR="007F2E3A">
        <w:rPr>
          <w:sz w:val="24"/>
        </w:rPr>
        <w:t>any</w:t>
      </w:r>
      <w:r w:rsidR="00723182">
        <w:rPr>
          <w:sz w:val="24"/>
        </w:rPr>
        <w:t xml:space="preserve"> statutory late fee</w:t>
      </w:r>
      <w:r w:rsidR="007F2E3A">
        <w:rPr>
          <w:sz w:val="24"/>
        </w:rPr>
        <w:t>s</w:t>
      </w:r>
      <w:r w:rsidR="00723182">
        <w:rPr>
          <w:sz w:val="24"/>
        </w:rPr>
        <w:t xml:space="preserve"> and interest at lines 3 through 5.</w:t>
      </w:r>
      <w:r w:rsidR="00723182">
        <w:rPr>
          <w:rStyle w:val="FootnoteReference"/>
          <w:sz w:val="24"/>
        </w:rPr>
        <w:footnoteReference w:id="6"/>
      </w:r>
    </w:p>
    <w:p w:rsidR="009B137C" w:rsidRDefault="00E550F8" w:rsidP="006D13E3">
      <w:pPr>
        <w:keepNext/>
        <w:widowControl/>
        <w:numPr>
          <w:ilvl w:val="0"/>
          <w:numId w:val="2"/>
        </w:numPr>
        <w:spacing w:line="480" w:lineRule="auto"/>
        <w:rPr>
          <w:sz w:val="24"/>
        </w:rPr>
      </w:pPr>
      <w:r>
        <w:rPr>
          <w:sz w:val="24"/>
        </w:rPr>
        <w:tab/>
      </w:r>
      <w:r w:rsidR="00E158AB">
        <w:rPr>
          <w:sz w:val="24"/>
        </w:rPr>
        <w:t xml:space="preserve">In addition, the Commission </w:t>
      </w:r>
      <w:r w:rsidR="00141256">
        <w:rPr>
          <w:sz w:val="24"/>
        </w:rPr>
        <w:t>assesses penalties under RCW 81.04.405 against carriers that have failed to timely submit regulatory fees and/or annual reports</w:t>
      </w:r>
      <w:r w:rsidR="00766052">
        <w:rPr>
          <w:sz w:val="24"/>
        </w:rPr>
        <w:t xml:space="preserve"> (“the discretionary penalties”)</w:t>
      </w:r>
      <w:r w:rsidR="00141256">
        <w:rPr>
          <w:sz w:val="24"/>
        </w:rPr>
        <w:t>.</w:t>
      </w:r>
      <w:r>
        <w:rPr>
          <w:rStyle w:val="FootnoteReference"/>
          <w:sz w:val="24"/>
        </w:rPr>
        <w:footnoteReference w:id="7"/>
      </w:r>
      <w:r w:rsidR="00AD03AF">
        <w:rPr>
          <w:sz w:val="24"/>
        </w:rPr>
        <w:t xml:space="preserve">  </w:t>
      </w:r>
      <w:r w:rsidR="00E53360">
        <w:rPr>
          <w:sz w:val="24"/>
        </w:rPr>
        <w:t xml:space="preserve">The Commission </w:t>
      </w:r>
      <w:r w:rsidR="00CE59FA">
        <w:rPr>
          <w:sz w:val="24"/>
        </w:rPr>
        <w:t>issued</w:t>
      </w:r>
      <w:r w:rsidR="00E53360">
        <w:rPr>
          <w:sz w:val="24"/>
        </w:rPr>
        <w:t xml:space="preserve"> such a penalty assessment</w:t>
      </w:r>
      <w:r w:rsidR="00DA2AAD">
        <w:rPr>
          <w:sz w:val="24"/>
        </w:rPr>
        <w:t>, in the amount of $2,100,</w:t>
      </w:r>
      <w:r w:rsidR="00334FDF">
        <w:rPr>
          <w:sz w:val="24"/>
        </w:rPr>
        <w:t xml:space="preserve"> to</w:t>
      </w:r>
      <w:r w:rsidR="00E53360">
        <w:rPr>
          <w:sz w:val="24"/>
        </w:rPr>
        <w:t xml:space="preserve"> Third Generation</w:t>
      </w:r>
      <w:r w:rsidR="005D66EE">
        <w:rPr>
          <w:rStyle w:val="FootnoteReference"/>
          <w:sz w:val="24"/>
        </w:rPr>
        <w:footnoteReference w:id="8"/>
      </w:r>
      <w:r w:rsidR="00E53360">
        <w:rPr>
          <w:sz w:val="24"/>
        </w:rPr>
        <w:t xml:space="preserve"> </w:t>
      </w:r>
      <w:r w:rsidR="005D66EE">
        <w:rPr>
          <w:sz w:val="24"/>
        </w:rPr>
        <w:t xml:space="preserve">as well as </w:t>
      </w:r>
      <w:r w:rsidR="00944BE8">
        <w:rPr>
          <w:sz w:val="24"/>
        </w:rPr>
        <w:t>to</w:t>
      </w:r>
      <w:r w:rsidR="005D66EE">
        <w:rPr>
          <w:sz w:val="24"/>
        </w:rPr>
        <w:t xml:space="preserve"> other carriers </w:t>
      </w:r>
      <w:r w:rsidR="00E53360">
        <w:rPr>
          <w:sz w:val="24"/>
        </w:rPr>
        <w:t xml:space="preserve">on </w:t>
      </w:r>
      <w:r w:rsidR="00CE59FA">
        <w:rPr>
          <w:sz w:val="24"/>
        </w:rPr>
        <w:t>July 23</w:t>
      </w:r>
      <w:r w:rsidR="005D66EE">
        <w:rPr>
          <w:sz w:val="24"/>
        </w:rPr>
        <w:t>, 2012</w:t>
      </w:r>
      <w:r w:rsidR="00E53360">
        <w:rPr>
          <w:sz w:val="24"/>
        </w:rPr>
        <w:t>.</w:t>
      </w:r>
      <w:r w:rsidR="001A3F30">
        <w:rPr>
          <w:sz w:val="24"/>
        </w:rPr>
        <w:t xml:space="preserve">  After these </w:t>
      </w:r>
      <w:r w:rsidR="00766052">
        <w:rPr>
          <w:sz w:val="24"/>
        </w:rPr>
        <w:t xml:space="preserve">discretionary </w:t>
      </w:r>
      <w:r w:rsidR="001A3F30">
        <w:rPr>
          <w:sz w:val="24"/>
        </w:rPr>
        <w:t>penalties are assessed, the Commission determines which carriers still have not filed an annual report or paid regulatory fees and initiates a proceedin</w:t>
      </w:r>
      <w:r w:rsidR="00DC5266">
        <w:rPr>
          <w:sz w:val="24"/>
        </w:rPr>
        <w:t xml:space="preserve">g </w:t>
      </w:r>
      <w:r w:rsidR="007F7F8F">
        <w:rPr>
          <w:sz w:val="24"/>
        </w:rPr>
        <w:t xml:space="preserve">by filing a complaint </w:t>
      </w:r>
      <w:r w:rsidR="00DC5266">
        <w:rPr>
          <w:sz w:val="24"/>
        </w:rPr>
        <w:t xml:space="preserve">to cancel </w:t>
      </w:r>
      <w:r w:rsidR="001A3F30">
        <w:rPr>
          <w:sz w:val="24"/>
        </w:rPr>
        <w:t>these carriers</w:t>
      </w:r>
      <w:r w:rsidR="00DC5266">
        <w:rPr>
          <w:sz w:val="24"/>
        </w:rPr>
        <w:t>’ permits</w:t>
      </w:r>
      <w:r w:rsidR="001A3F30">
        <w:rPr>
          <w:sz w:val="24"/>
        </w:rPr>
        <w:t>.</w:t>
      </w:r>
      <w:r w:rsidR="00306ED8">
        <w:rPr>
          <w:rStyle w:val="FootnoteReference"/>
          <w:sz w:val="24"/>
        </w:rPr>
        <w:footnoteReference w:id="9"/>
      </w:r>
      <w:r w:rsidR="00F87D89">
        <w:rPr>
          <w:sz w:val="24"/>
        </w:rPr>
        <w:t xml:space="preserve">  </w:t>
      </w:r>
      <w:r w:rsidR="002A7147">
        <w:rPr>
          <w:sz w:val="24"/>
        </w:rPr>
        <w:t xml:space="preserve">Third Generation was </w:t>
      </w:r>
      <w:r w:rsidR="00CF475B">
        <w:rPr>
          <w:sz w:val="24"/>
        </w:rPr>
        <w:t xml:space="preserve">named in the complaint in the instant proceeding as </w:t>
      </w:r>
      <w:r w:rsidR="002A7147">
        <w:rPr>
          <w:sz w:val="24"/>
        </w:rPr>
        <w:t>one of the respondent carriers</w:t>
      </w:r>
      <w:r w:rsidR="007F7F8F">
        <w:rPr>
          <w:sz w:val="24"/>
        </w:rPr>
        <w:t xml:space="preserve"> </w:t>
      </w:r>
      <w:r w:rsidR="00B60B01">
        <w:rPr>
          <w:sz w:val="24"/>
        </w:rPr>
        <w:t xml:space="preserve">that </w:t>
      </w:r>
      <w:r w:rsidR="002A7147">
        <w:rPr>
          <w:sz w:val="24"/>
        </w:rPr>
        <w:t xml:space="preserve">still had not filed its annual report </w:t>
      </w:r>
      <w:r w:rsidR="002A7147">
        <w:rPr>
          <w:sz w:val="24"/>
        </w:rPr>
        <w:lastRenderedPageBreak/>
        <w:t xml:space="preserve">or paid regulatory fees.  </w:t>
      </w:r>
      <w:r w:rsidR="00F87D89">
        <w:rPr>
          <w:sz w:val="24"/>
        </w:rPr>
        <w:t xml:space="preserve">The Commission held a hearing on February 4, 2013, to </w:t>
      </w:r>
      <w:r w:rsidR="002A7147">
        <w:rPr>
          <w:sz w:val="24"/>
        </w:rPr>
        <w:t>receive evidence concerning th</w:t>
      </w:r>
      <w:r w:rsidR="00F87D89">
        <w:rPr>
          <w:sz w:val="24"/>
        </w:rPr>
        <w:t>e</w:t>
      </w:r>
      <w:r w:rsidR="002A7147">
        <w:rPr>
          <w:sz w:val="24"/>
        </w:rPr>
        <w:t xml:space="preserve"> respondent</w:t>
      </w:r>
      <w:r w:rsidR="00F87D89">
        <w:rPr>
          <w:sz w:val="24"/>
        </w:rPr>
        <w:t xml:space="preserve"> carriers’ violation of annual report and regulatory fee submission requirements.</w:t>
      </w:r>
    </w:p>
    <w:p w:rsidR="001A3F30" w:rsidRDefault="00310240" w:rsidP="006D13E3">
      <w:pPr>
        <w:numPr>
          <w:ilvl w:val="0"/>
          <w:numId w:val="2"/>
        </w:numPr>
        <w:spacing w:line="480" w:lineRule="auto"/>
        <w:rPr>
          <w:sz w:val="24"/>
        </w:rPr>
      </w:pPr>
      <w:r>
        <w:rPr>
          <w:sz w:val="24"/>
        </w:rPr>
        <w:tab/>
      </w:r>
      <w:r w:rsidR="00F87D89">
        <w:rPr>
          <w:sz w:val="24"/>
        </w:rPr>
        <w:t>By the time of the hearing, four respondent carriers had filed their annual reports and paid regulatory fees</w:t>
      </w:r>
      <w:r w:rsidR="00141CAC">
        <w:rPr>
          <w:sz w:val="24"/>
        </w:rPr>
        <w:t xml:space="preserve">, </w:t>
      </w:r>
      <w:r w:rsidR="00550EF4" w:rsidRPr="00550EF4">
        <w:rPr>
          <w:sz w:val="24"/>
        </w:rPr>
        <w:t xml:space="preserve">A+ Always Moving, Inc. (A+), </w:t>
      </w:r>
      <w:r w:rsidR="00FE0C7F">
        <w:rPr>
          <w:sz w:val="24"/>
        </w:rPr>
        <w:t>A</w:t>
      </w:r>
      <w:r w:rsidR="00550EF4" w:rsidRPr="00550EF4">
        <w:rPr>
          <w:sz w:val="24"/>
        </w:rPr>
        <w:t>A Star Transfer Co., Inc. (AA Sta</w:t>
      </w:r>
      <w:r w:rsidR="00765DA2">
        <w:rPr>
          <w:sz w:val="24"/>
        </w:rPr>
        <w:t xml:space="preserve">r), </w:t>
      </w:r>
      <w:proofErr w:type="spellStart"/>
      <w:r w:rsidR="00765DA2">
        <w:rPr>
          <w:sz w:val="24"/>
        </w:rPr>
        <w:t>Arays</w:t>
      </w:r>
      <w:proofErr w:type="spellEnd"/>
      <w:r w:rsidR="00765DA2">
        <w:rPr>
          <w:sz w:val="24"/>
        </w:rPr>
        <w:t xml:space="preserve"> Moving Service, LLC</w:t>
      </w:r>
      <w:r w:rsidR="00550EF4" w:rsidRPr="00550EF4">
        <w:rPr>
          <w:sz w:val="24"/>
        </w:rPr>
        <w:t xml:space="preserve">, and </w:t>
      </w:r>
      <w:proofErr w:type="spellStart"/>
      <w:r w:rsidR="00550EF4" w:rsidRPr="00550EF4">
        <w:rPr>
          <w:sz w:val="24"/>
        </w:rPr>
        <w:t>Grayport</w:t>
      </w:r>
      <w:proofErr w:type="spellEnd"/>
      <w:r w:rsidR="00550EF4" w:rsidRPr="00550EF4">
        <w:rPr>
          <w:sz w:val="24"/>
        </w:rPr>
        <w:t xml:space="preserve"> Transfer &amp; Storage (</w:t>
      </w:r>
      <w:proofErr w:type="spellStart"/>
      <w:r w:rsidR="00550EF4" w:rsidRPr="00550EF4">
        <w:rPr>
          <w:sz w:val="24"/>
        </w:rPr>
        <w:t>Grayport</w:t>
      </w:r>
      <w:proofErr w:type="spellEnd"/>
      <w:r w:rsidR="00550EF4" w:rsidRPr="00550EF4">
        <w:rPr>
          <w:sz w:val="24"/>
        </w:rPr>
        <w:t>)</w:t>
      </w:r>
      <w:r w:rsidR="00F87D89" w:rsidRPr="00550EF4">
        <w:rPr>
          <w:sz w:val="24"/>
        </w:rPr>
        <w:t>.</w:t>
      </w:r>
      <w:r w:rsidR="00F87D89">
        <w:rPr>
          <w:rStyle w:val="FootnoteReference"/>
          <w:sz w:val="24"/>
        </w:rPr>
        <w:footnoteReference w:id="10"/>
      </w:r>
      <w:r w:rsidR="00F87D89">
        <w:rPr>
          <w:sz w:val="24"/>
        </w:rPr>
        <w:t xml:space="preserve"> </w:t>
      </w:r>
      <w:r w:rsidR="00550EF4">
        <w:rPr>
          <w:sz w:val="24"/>
        </w:rPr>
        <w:t xml:space="preserve"> Two of t</w:t>
      </w:r>
      <w:r w:rsidR="00B60B01">
        <w:rPr>
          <w:sz w:val="24"/>
        </w:rPr>
        <w:t>he</w:t>
      </w:r>
      <w:r w:rsidR="00550EF4">
        <w:rPr>
          <w:sz w:val="24"/>
        </w:rPr>
        <w:t>se carriers, A</w:t>
      </w:r>
      <w:r w:rsidR="00273691">
        <w:rPr>
          <w:sz w:val="24"/>
        </w:rPr>
        <w:t xml:space="preserve">A Star and </w:t>
      </w:r>
      <w:proofErr w:type="spellStart"/>
      <w:r w:rsidR="00273691">
        <w:rPr>
          <w:sz w:val="24"/>
        </w:rPr>
        <w:t>Grayport</w:t>
      </w:r>
      <w:proofErr w:type="spellEnd"/>
      <w:r w:rsidR="00334FDF">
        <w:rPr>
          <w:sz w:val="24"/>
        </w:rPr>
        <w:t>,</w:t>
      </w:r>
      <w:r w:rsidR="00273691">
        <w:rPr>
          <w:sz w:val="24"/>
        </w:rPr>
        <w:t xml:space="preserve"> failed to pay the late fees and interest required by RCW 81.80.321.</w:t>
      </w:r>
      <w:r w:rsidR="00273691">
        <w:rPr>
          <w:rStyle w:val="FootnoteReference"/>
          <w:sz w:val="24"/>
        </w:rPr>
        <w:footnoteReference w:id="11"/>
      </w:r>
      <w:r w:rsidR="00A7360E">
        <w:rPr>
          <w:sz w:val="24"/>
        </w:rPr>
        <w:t xml:space="preserve">  Staff recommended that </w:t>
      </w:r>
      <w:r w:rsidR="000709A9">
        <w:rPr>
          <w:sz w:val="24"/>
        </w:rPr>
        <w:t>these two carrier</w:t>
      </w:r>
      <w:r w:rsidR="007162BB">
        <w:rPr>
          <w:sz w:val="24"/>
        </w:rPr>
        <w:t>s</w:t>
      </w:r>
      <w:r w:rsidR="000709A9">
        <w:rPr>
          <w:sz w:val="24"/>
        </w:rPr>
        <w:t>’ permits not be cancelled on the condition that they pay the statutory late fee</w:t>
      </w:r>
      <w:r w:rsidR="00FE0C7F">
        <w:rPr>
          <w:sz w:val="24"/>
        </w:rPr>
        <w:t>s</w:t>
      </w:r>
      <w:r w:rsidR="000709A9">
        <w:rPr>
          <w:sz w:val="24"/>
        </w:rPr>
        <w:t xml:space="preserve"> and interest within ten days after the Commissi</w:t>
      </w:r>
      <w:r w:rsidR="00B2609C">
        <w:rPr>
          <w:sz w:val="24"/>
        </w:rPr>
        <w:t>on issued</w:t>
      </w:r>
      <w:r w:rsidR="000709A9">
        <w:rPr>
          <w:sz w:val="24"/>
        </w:rPr>
        <w:t xml:space="preserve"> its order in the proceeding.</w:t>
      </w:r>
      <w:r w:rsidR="000709A9">
        <w:rPr>
          <w:rStyle w:val="FootnoteReference"/>
          <w:sz w:val="24"/>
        </w:rPr>
        <w:footnoteReference w:id="12"/>
      </w:r>
      <w:r w:rsidR="0091430E">
        <w:rPr>
          <w:sz w:val="24"/>
        </w:rPr>
        <w:t xml:space="preserve">  </w:t>
      </w:r>
      <w:r w:rsidR="00B2609C">
        <w:rPr>
          <w:sz w:val="24"/>
        </w:rPr>
        <w:t xml:space="preserve">During the hearing, </w:t>
      </w:r>
      <w:r w:rsidR="0091430E">
        <w:rPr>
          <w:sz w:val="24"/>
        </w:rPr>
        <w:t>Staff referred to the late fee</w:t>
      </w:r>
      <w:r w:rsidR="00B2609C">
        <w:rPr>
          <w:sz w:val="24"/>
        </w:rPr>
        <w:t>s</w:t>
      </w:r>
      <w:r w:rsidR="0091430E">
        <w:rPr>
          <w:sz w:val="24"/>
        </w:rPr>
        <w:t xml:space="preserve"> and interest </w:t>
      </w:r>
      <w:r w:rsidR="00D24042">
        <w:rPr>
          <w:sz w:val="24"/>
        </w:rPr>
        <w:t>set forth</w:t>
      </w:r>
      <w:r w:rsidR="0091430E">
        <w:rPr>
          <w:sz w:val="24"/>
        </w:rPr>
        <w:t xml:space="preserve"> in RCW 81.80.321 </w:t>
      </w:r>
      <w:r w:rsidR="00B2609C">
        <w:rPr>
          <w:sz w:val="24"/>
        </w:rPr>
        <w:t xml:space="preserve">somewhat </w:t>
      </w:r>
      <w:r w:rsidR="0091430E">
        <w:rPr>
          <w:sz w:val="24"/>
        </w:rPr>
        <w:t xml:space="preserve">interchangeably as a “penalty” </w:t>
      </w:r>
      <w:r w:rsidR="00267107">
        <w:rPr>
          <w:sz w:val="24"/>
        </w:rPr>
        <w:t xml:space="preserve">or “statutory penalty” </w:t>
      </w:r>
      <w:r w:rsidR="0091430E">
        <w:rPr>
          <w:sz w:val="24"/>
        </w:rPr>
        <w:t>and “fee” respectively.</w:t>
      </w:r>
      <w:r w:rsidR="0091430E">
        <w:rPr>
          <w:rStyle w:val="FootnoteReference"/>
          <w:sz w:val="24"/>
        </w:rPr>
        <w:footnoteReference w:id="13"/>
      </w:r>
      <w:r w:rsidR="005E697A">
        <w:rPr>
          <w:sz w:val="24"/>
        </w:rPr>
        <w:t xml:space="preserve">  Staff recommended that the Commission cancel Third Generation’s permit.</w:t>
      </w:r>
      <w:r w:rsidR="00185055">
        <w:rPr>
          <w:rStyle w:val="FootnoteReference"/>
          <w:sz w:val="24"/>
        </w:rPr>
        <w:footnoteReference w:id="14"/>
      </w:r>
    </w:p>
    <w:p w:rsidR="00310240" w:rsidRDefault="005D66EE" w:rsidP="006D13E3">
      <w:pPr>
        <w:numPr>
          <w:ilvl w:val="0"/>
          <w:numId w:val="2"/>
        </w:numPr>
        <w:spacing w:line="480" w:lineRule="auto"/>
        <w:rPr>
          <w:sz w:val="24"/>
        </w:rPr>
      </w:pPr>
      <w:r>
        <w:rPr>
          <w:sz w:val="24"/>
        </w:rPr>
        <w:tab/>
        <w:t xml:space="preserve">The </w:t>
      </w:r>
      <w:r w:rsidR="00B2609C">
        <w:rPr>
          <w:sz w:val="24"/>
        </w:rPr>
        <w:t>Bench</w:t>
      </w:r>
      <w:r w:rsidR="00B60B01">
        <w:rPr>
          <w:sz w:val="24"/>
        </w:rPr>
        <w:t xml:space="preserve"> inquired about payment of the discretionary p</w:t>
      </w:r>
      <w:r w:rsidR="00B2609C">
        <w:rPr>
          <w:sz w:val="24"/>
        </w:rPr>
        <w:t>enalties.</w:t>
      </w:r>
      <w:r w:rsidR="00334FDF">
        <w:rPr>
          <w:rStyle w:val="FootnoteReference"/>
          <w:sz w:val="24"/>
        </w:rPr>
        <w:footnoteReference w:id="15"/>
      </w:r>
      <w:r w:rsidR="00906D2E">
        <w:rPr>
          <w:sz w:val="24"/>
        </w:rPr>
        <w:t xml:space="preserve">  </w:t>
      </w:r>
      <w:r w:rsidR="00245F21">
        <w:rPr>
          <w:sz w:val="24"/>
        </w:rPr>
        <w:t>Staff testified that</w:t>
      </w:r>
      <w:r w:rsidR="00763530">
        <w:rPr>
          <w:sz w:val="24"/>
        </w:rPr>
        <w:t>, of the companies that finally had filed annual reports and paid regulatory fees</w:t>
      </w:r>
      <w:r w:rsidR="00550EF4">
        <w:rPr>
          <w:sz w:val="24"/>
        </w:rPr>
        <w:t>, A</w:t>
      </w:r>
      <w:r w:rsidR="004A5EA0">
        <w:rPr>
          <w:sz w:val="24"/>
        </w:rPr>
        <w:t xml:space="preserve">A Star, </w:t>
      </w:r>
      <w:proofErr w:type="spellStart"/>
      <w:r w:rsidR="004A5EA0">
        <w:rPr>
          <w:sz w:val="24"/>
        </w:rPr>
        <w:t>Grayport</w:t>
      </w:r>
      <w:proofErr w:type="spellEnd"/>
      <w:r w:rsidR="004A5EA0">
        <w:rPr>
          <w:sz w:val="24"/>
        </w:rPr>
        <w:t>, and A</w:t>
      </w:r>
      <w:r w:rsidR="00245F21">
        <w:rPr>
          <w:sz w:val="24"/>
        </w:rPr>
        <w:t>+ had not pa</w:t>
      </w:r>
      <w:r w:rsidR="0036746E">
        <w:rPr>
          <w:sz w:val="24"/>
        </w:rPr>
        <w:t>i</w:t>
      </w:r>
      <w:r w:rsidR="00EB4810">
        <w:rPr>
          <w:sz w:val="24"/>
        </w:rPr>
        <w:t>d the discretionary p</w:t>
      </w:r>
      <w:r w:rsidR="00245F21">
        <w:rPr>
          <w:sz w:val="24"/>
        </w:rPr>
        <w:t>enalties.</w:t>
      </w:r>
      <w:r w:rsidR="001E4715">
        <w:rPr>
          <w:rStyle w:val="FootnoteReference"/>
          <w:sz w:val="24"/>
        </w:rPr>
        <w:footnoteReference w:id="16"/>
      </w:r>
    </w:p>
    <w:p w:rsidR="00A323A5" w:rsidRPr="00DE080F" w:rsidRDefault="004C7886" w:rsidP="00DE080F">
      <w:pPr>
        <w:numPr>
          <w:ilvl w:val="0"/>
          <w:numId w:val="2"/>
        </w:numPr>
        <w:spacing w:line="480" w:lineRule="auto"/>
        <w:rPr>
          <w:sz w:val="24"/>
        </w:rPr>
      </w:pPr>
      <w:r>
        <w:rPr>
          <w:sz w:val="24"/>
        </w:rPr>
        <w:tab/>
        <w:t>Before any orders were entered, Third Generat</w:t>
      </w:r>
      <w:r w:rsidR="009060F2">
        <w:rPr>
          <w:sz w:val="24"/>
        </w:rPr>
        <w:t xml:space="preserve">ion filed its annual report, </w:t>
      </w:r>
      <w:r>
        <w:rPr>
          <w:sz w:val="24"/>
        </w:rPr>
        <w:t xml:space="preserve">paid its </w:t>
      </w:r>
      <w:r w:rsidR="00763530">
        <w:rPr>
          <w:sz w:val="24"/>
        </w:rPr>
        <w:t>regulatory fee</w:t>
      </w:r>
      <w:r w:rsidR="009060F2">
        <w:rPr>
          <w:sz w:val="24"/>
        </w:rPr>
        <w:t>, and submitted a letter</w:t>
      </w:r>
      <w:r w:rsidR="003770F8">
        <w:rPr>
          <w:sz w:val="24"/>
        </w:rPr>
        <w:t xml:space="preserve"> dated February 28, 2013,</w:t>
      </w:r>
      <w:r w:rsidR="009060F2">
        <w:rPr>
          <w:sz w:val="24"/>
        </w:rPr>
        <w:t xml:space="preserve"> asking the Commission not to cancel the company’s permit</w:t>
      </w:r>
      <w:r>
        <w:rPr>
          <w:sz w:val="24"/>
        </w:rPr>
        <w:t>.</w:t>
      </w:r>
      <w:r w:rsidR="00DE080F">
        <w:rPr>
          <w:sz w:val="24"/>
        </w:rPr>
        <w:t xml:space="preserve">  </w:t>
      </w:r>
      <w:r w:rsidR="00600898" w:rsidRPr="00DE080F">
        <w:rPr>
          <w:sz w:val="24"/>
        </w:rPr>
        <w:t>In its Order 01, Initial Order Dismissing Certain Complaints, Dismissing Other Complaints Subject to Condition, and Cancelling Permits</w:t>
      </w:r>
      <w:r w:rsidR="00512E61" w:rsidRPr="00DE080F">
        <w:rPr>
          <w:sz w:val="24"/>
        </w:rPr>
        <w:t xml:space="preserve"> (Initial Order)</w:t>
      </w:r>
      <w:r w:rsidR="00600898" w:rsidRPr="00DE080F">
        <w:rPr>
          <w:sz w:val="24"/>
        </w:rPr>
        <w:t>, served</w:t>
      </w:r>
      <w:r w:rsidR="00A323A5" w:rsidRPr="00DE080F">
        <w:rPr>
          <w:sz w:val="24"/>
        </w:rPr>
        <w:t xml:space="preserve"> March 12, 2013, the Commission</w:t>
      </w:r>
      <w:r w:rsidR="00DE080F">
        <w:rPr>
          <w:sz w:val="24"/>
        </w:rPr>
        <w:t xml:space="preserve"> declined to reopen the record to receive evidence of Third Generation’s late compliance and canceled Third Generation’s permit, relying for its decision on the company’s failure to the make the requisite filings p</w:t>
      </w:r>
      <w:r w:rsidR="00A100D1">
        <w:rPr>
          <w:sz w:val="24"/>
        </w:rPr>
        <w:t>rior to the evidentiary hearing</w:t>
      </w:r>
      <w:r w:rsidR="00DE080F">
        <w:rPr>
          <w:sz w:val="24"/>
        </w:rPr>
        <w:t>.</w:t>
      </w:r>
      <w:r w:rsidR="004E0FFE">
        <w:rPr>
          <w:rStyle w:val="FootnoteReference"/>
          <w:sz w:val="24"/>
        </w:rPr>
        <w:footnoteReference w:id="17"/>
      </w:r>
    </w:p>
    <w:p w:rsidR="00C62867" w:rsidRDefault="00A323A5" w:rsidP="006D13E3">
      <w:pPr>
        <w:numPr>
          <w:ilvl w:val="0"/>
          <w:numId w:val="2"/>
        </w:numPr>
        <w:spacing w:line="480" w:lineRule="auto"/>
        <w:rPr>
          <w:sz w:val="24"/>
        </w:rPr>
      </w:pPr>
      <w:r>
        <w:rPr>
          <w:sz w:val="24"/>
        </w:rPr>
        <w:tab/>
        <w:t>W</w:t>
      </w:r>
      <w:r w:rsidR="00CF13B6">
        <w:rPr>
          <w:sz w:val="24"/>
        </w:rPr>
        <w:t>ith regard to A</w:t>
      </w:r>
      <w:r w:rsidR="0021574B">
        <w:rPr>
          <w:sz w:val="24"/>
        </w:rPr>
        <w:t xml:space="preserve">A Star and </w:t>
      </w:r>
      <w:proofErr w:type="spellStart"/>
      <w:r w:rsidR="0021574B">
        <w:rPr>
          <w:sz w:val="24"/>
        </w:rPr>
        <w:t>Grayport</w:t>
      </w:r>
      <w:proofErr w:type="spellEnd"/>
      <w:r w:rsidR="0021574B">
        <w:rPr>
          <w:sz w:val="24"/>
        </w:rPr>
        <w:t xml:space="preserve">, </w:t>
      </w:r>
      <w:r w:rsidR="00CF13B6">
        <w:rPr>
          <w:sz w:val="24"/>
        </w:rPr>
        <w:t xml:space="preserve">in its Initial Order </w:t>
      </w:r>
      <w:r>
        <w:rPr>
          <w:sz w:val="24"/>
        </w:rPr>
        <w:t xml:space="preserve">the Commission apparently </w:t>
      </w:r>
      <w:r w:rsidR="000B078D">
        <w:rPr>
          <w:sz w:val="24"/>
        </w:rPr>
        <w:t>adopted</w:t>
      </w:r>
      <w:r>
        <w:rPr>
          <w:sz w:val="24"/>
        </w:rPr>
        <w:t xml:space="preserve"> Staff’s recommendation</w:t>
      </w:r>
      <w:r w:rsidR="00CF13B6">
        <w:rPr>
          <w:sz w:val="24"/>
        </w:rPr>
        <w:t>,</w:t>
      </w:r>
      <w:r w:rsidR="000B078D">
        <w:rPr>
          <w:sz w:val="24"/>
        </w:rPr>
        <w:t xml:space="preserve"> </w:t>
      </w:r>
      <w:r>
        <w:rPr>
          <w:sz w:val="24"/>
        </w:rPr>
        <w:t xml:space="preserve">except that </w:t>
      </w:r>
      <w:r w:rsidR="0021574B">
        <w:rPr>
          <w:sz w:val="24"/>
        </w:rPr>
        <w:t xml:space="preserve">the companies </w:t>
      </w:r>
      <w:r>
        <w:rPr>
          <w:sz w:val="24"/>
        </w:rPr>
        <w:t xml:space="preserve">were allowed </w:t>
      </w:r>
      <w:r w:rsidR="0021574B">
        <w:rPr>
          <w:sz w:val="24"/>
        </w:rPr>
        <w:t>20 days instead o</w:t>
      </w:r>
      <w:r w:rsidR="0038695C">
        <w:rPr>
          <w:sz w:val="24"/>
        </w:rPr>
        <w:t>f 10 days in which to pay the “statutory penalty</w:t>
      </w:r>
      <w:r w:rsidR="0021574B">
        <w:rPr>
          <w:sz w:val="24"/>
        </w:rPr>
        <w:t>.</w:t>
      </w:r>
      <w:r w:rsidR="0038695C">
        <w:rPr>
          <w:sz w:val="24"/>
        </w:rPr>
        <w:t>”</w:t>
      </w:r>
      <w:r w:rsidR="00512E61">
        <w:rPr>
          <w:rStyle w:val="FootnoteReference"/>
          <w:sz w:val="24"/>
        </w:rPr>
        <w:footnoteReference w:id="18"/>
      </w:r>
      <w:r w:rsidR="005154CF">
        <w:rPr>
          <w:sz w:val="24"/>
        </w:rPr>
        <w:t xml:space="preserve">  </w:t>
      </w:r>
      <w:r w:rsidR="0038695C">
        <w:rPr>
          <w:sz w:val="24"/>
        </w:rPr>
        <w:t xml:space="preserve">In the Initial Order, “statutory penalty” appears to refer to the late fees and interest in RCW 81.80.321 because </w:t>
      </w:r>
      <w:r w:rsidR="00EC379F">
        <w:rPr>
          <w:sz w:val="24"/>
        </w:rPr>
        <w:t>the relevant</w:t>
      </w:r>
      <w:r w:rsidR="00B86AAE">
        <w:rPr>
          <w:sz w:val="24"/>
        </w:rPr>
        <w:t xml:space="preserve"> </w:t>
      </w:r>
      <w:r w:rsidR="001F1797">
        <w:rPr>
          <w:sz w:val="24"/>
        </w:rPr>
        <w:t xml:space="preserve">citations to the record in the Initial Order’s discussion of AA Star and </w:t>
      </w:r>
      <w:proofErr w:type="spellStart"/>
      <w:r w:rsidR="001F1797">
        <w:rPr>
          <w:sz w:val="24"/>
        </w:rPr>
        <w:t>Grayport</w:t>
      </w:r>
      <w:proofErr w:type="spellEnd"/>
      <w:r w:rsidR="001F1797">
        <w:rPr>
          <w:sz w:val="24"/>
        </w:rPr>
        <w:t xml:space="preserve"> refer </w:t>
      </w:r>
      <w:r w:rsidR="00B86AAE">
        <w:rPr>
          <w:sz w:val="24"/>
        </w:rPr>
        <w:t xml:space="preserve">to Staff’s testimony on the late fees and interest that </w:t>
      </w:r>
      <w:proofErr w:type="spellStart"/>
      <w:r w:rsidR="00B86AAE">
        <w:rPr>
          <w:sz w:val="24"/>
        </w:rPr>
        <w:t>Grayport</w:t>
      </w:r>
      <w:proofErr w:type="spellEnd"/>
      <w:r w:rsidR="00B86AAE">
        <w:rPr>
          <w:sz w:val="24"/>
        </w:rPr>
        <w:t xml:space="preserve"> and AA Star still owed pursuant to RCW 81.80.321</w:t>
      </w:r>
      <w:r w:rsidR="00C26060">
        <w:rPr>
          <w:sz w:val="24"/>
        </w:rPr>
        <w:t>;</w:t>
      </w:r>
      <w:r w:rsidR="00B86AAE">
        <w:rPr>
          <w:rStyle w:val="FootnoteReference"/>
          <w:sz w:val="24"/>
        </w:rPr>
        <w:footnoteReference w:id="19"/>
      </w:r>
      <w:r w:rsidR="00B86AAE">
        <w:rPr>
          <w:sz w:val="24"/>
        </w:rPr>
        <w:t xml:space="preserve"> and </w:t>
      </w:r>
      <w:r w:rsidR="00C77441">
        <w:rPr>
          <w:sz w:val="24"/>
        </w:rPr>
        <w:t>none</w:t>
      </w:r>
      <w:r w:rsidR="0038695C">
        <w:rPr>
          <w:sz w:val="24"/>
        </w:rPr>
        <w:t xml:space="preserve"> of the </w:t>
      </w:r>
      <w:r w:rsidR="00BC7590">
        <w:rPr>
          <w:sz w:val="24"/>
        </w:rPr>
        <w:t xml:space="preserve">remaining </w:t>
      </w:r>
      <w:r w:rsidR="0038695C">
        <w:rPr>
          <w:sz w:val="24"/>
        </w:rPr>
        <w:t xml:space="preserve">citations </w:t>
      </w:r>
      <w:r w:rsidR="00EC379F">
        <w:rPr>
          <w:sz w:val="24"/>
        </w:rPr>
        <w:t xml:space="preserve">in that discussion </w:t>
      </w:r>
      <w:r w:rsidR="0038695C">
        <w:rPr>
          <w:sz w:val="24"/>
        </w:rPr>
        <w:t>refer t</w:t>
      </w:r>
      <w:r w:rsidR="00C77441">
        <w:rPr>
          <w:sz w:val="24"/>
        </w:rPr>
        <w:t>o</w:t>
      </w:r>
      <w:r w:rsidR="0038695C">
        <w:rPr>
          <w:sz w:val="24"/>
        </w:rPr>
        <w:t xml:space="preserve"> the </w:t>
      </w:r>
      <w:r w:rsidR="00C26060">
        <w:rPr>
          <w:sz w:val="24"/>
        </w:rPr>
        <w:t>discretionary p</w:t>
      </w:r>
      <w:r w:rsidR="0038695C">
        <w:rPr>
          <w:sz w:val="24"/>
        </w:rPr>
        <w:t>enalties.</w:t>
      </w:r>
      <w:bookmarkStart w:id="0" w:name="_GoBack"/>
      <w:bookmarkEnd w:id="0"/>
      <w:r w:rsidR="00872B9E">
        <w:rPr>
          <w:rStyle w:val="FootnoteReference"/>
          <w:sz w:val="24"/>
        </w:rPr>
        <w:footnoteReference w:id="20"/>
      </w:r>
      <w:r w:rsidR="00ED4538">
        <w:rPr>
          <w:sz w:val="24"/>
        </w:rPr>
        <w:t xml:space="preserve"> </w:t>
      </w:r>
    </w:p>
    <w:p w:rsidR="005C73E7" w:rsidRDefault="005C73E7" w:rsidP="006D13E3">
      <w:pPr>
        <w:numPr>
          <w:ilvl w:val="0"/>
          <w:numId w:val="2"/>
        </w:numPr>
        <w:spacing w:line="480" w:lineRule="auto"/>
        <w:rPr>
          <w:sz w:val="24"/>
        </w:rPr>
      </w:pPr>
      <w:r>
        <w:rPr>
          <w:sz w:val="24"/>
        </w:rPr>
        <w:tab/>
        <w:t xml:space="preserve">Staff petitioned for administrative review on April 1, 2012, seeking to reopen the record to admit evidence of Third Generation’s compliance and seeking to reverse the decision to </w:t>
      </w:r>
      <w:r w:rsidR="00971AD0">
        <w:rPr>
          <w:sz w:val="24"/>
        </w:rPr>
        <w:t>cancel</w:t>
      </w:r>
      <w:r>
        <w:rPr>
          <w:sz w:val="24"/>
        </w:rPr>
        <w:t xml:space="preserve"> Third Generation’s permit.  </w:t>
      </w:r>
      <w:r w:rsidR="001904C0">
        <w:rPr>
          <w:sz w:val="24"/>
        </w:rPr>
        <w:t xml:space="preserve">In its Final Order, </w:t>
      </w:r>
      <w:r w:rsidR="00B76773">
        <w:rPr>
          <w:sz w:val="24"/>
        </w:rPr>
        <w:t>the Commission reopened the record to admit evidence of Third Generation’s complian</w:t>
      </w:r>
      <w:r w:rsidR="00EA0765">
        <w:rPr>
          <w:sz w:val="24"/>
        </w:rPr>
        <w:t>ce with regulatory requirements.</w:t>
      </w:r>
      <w:r w:rsidR="00EA0765">
        <w:rPr>
          <w:rStyle w:val="FootnoteReference"/>
          <w:sz w:val="24"/>
        </w:rPr>
        <w:footnoteReference w:id="21"/>
      </w:r>
      <w:r w:rsidR="00EA0765">
        <w:rPr>
          <w:sz w:val="24"/>
        </w:rPr>
        <w:t xml:space="preserve">  The Commission acknowledged that Third Generation had come into compliance before the cancellation order was entered and agreed with Staff that </w:t>
      </w:r>
      <w:r w:rsidR="00CF475B">
        <w:rPr>
          <w:sz w:val="24"/>
        </w:rPr>
        <w:t>the Commission’s</w:t>
      </w:r>
      <w:r w:rsidR="00EA0765">
        <w:rPr>
          <w:sz w:val="24"/>
        </w:rPr>
        <w:t xml:space="preserve"> primary concern is ensuring that companies comply with their regulatory obligations.</w:t>
      </w:r>
      <w:r w:rsidR="00EA0765">
        <w:rPr>
          <w:rStyle w:val="FootnoteReference"/>
          <w:sz w:val="24"/>
        </w:rPr>
        <w:footnoteReference w:id="22"/>
      </w:r>
      <w:r w:rsidR="00EA0765">
        <w:rPr>
          <w:sz w:val="24"/>
        </w:rPr>
        <w:t xml:space="preserve">  </w:t>
      </w:r>
      <w:r w:rsidR="000125BA">
        <w:rPr>
          <w:sz w:val="24"/>
        </w:rPr>
        <w:t>Stating</w:t>
      </w:r>
      <w:r w:rsidR="00734CD5">
        <w:rPr>
          <w:sz w:val="24"/>
        </w:rPr>
        <w:t>, however,</w:t>
      </w:r>
      <w:r w:rsidR="000125BA">
        <w:rPr>
          <w:sz w:val="24"/>
        </w:rPr>
        <w:t xml:space="preserve"> that Staff “offers no basis for not requiring [Third] Generation to pay the penalty assessed against the Company last July</w:t>
      </w:r>
      <w:r w:rsidR="00102718">
        <w:rPr>
          <w:sz w:val="24"/>
        </w:rPr>
        <w:t>,”</w:t>
      </w:r>
      <w:r w:rsidR="000125BA">
        <w:rPr>
          <w:sz w:val="24"/>
        </w:rPr>
        <w:t xml:space="preserve"> </w:t>
      </w:r>
      <w:r w:rsidR="00102718">
        <w:rPr>
          <w:sz w:val="24"/>
        </w:rPr>
        <w:t>t</w:t>
      </w:r>
      <w:r w:rsidR="000125BA">
        <w:rPr>
          <w:sz w:val="24"/>
        </w:rPr>
        <w:t xml:space="preserve">he Commission </w:t>
      </w:r>
      <w:r w:rsidR="00102718">
        <w:rPr>
          <w:sz w:val="24"/>
        </w:rPr>
        <w:t xml:space="preserve">ordered that Third Generation’s permit would be canceled if the company did not pay </w:t>
      </w:r>
      <w:r w:rsidR="000125BA">
        <w:rPr>
          <w:sz w:val="24"/>
        </w:rPr>
        <w:t>the discretionary penalty.</w:t>
      </w:r>
      <w:r w:rsidR="000F522F">
        <w:rPr>
          <w:rStyle w:val="FootnoteReference"/>
          <w:sz w:val="24"/>
        </w:rPr>
        <w:footnoteReference w:id="23"/>
      </w:r>
      <w:r w:rsidR="000F522F">
        <w:rPr>
          <w:sz w:val="24"/>
        </w:rPr>
        <w:t xml:space="preserve">  The Commission characterized this condition as “the same condition the Commission adopted for similarly-situated companies in the March 12 order”</w:t>
      </w:r>
      <w:r w:rsidR="00AB25A6">
        <w:rPr>
          <w:rStyle w:val="FootnoteReference"/>
          <w:sz w:val="24"/>
        </w:rPr>
        <w:footnoteReference w:id="24"/>
      </w:r>
      <w:r w:rsidR="000F522F">
        <w:rPr>
          <w:sz w:val="24"/>
        </w:rPr>
        <w:t xml:space="preserve"> (the Initial Order).</w:t>
      </w:r>
    </w:p>
    <w:p w:rsidR="00217DF3" w:rsidRDefault="00F42647" w:rsidP="00F42647">
      <w:pPr>
        <w:spacing w:line="480" w:lineRule="auto"/>
        <w:jc w:val="center"/>
        <w:rPr>
          <w:b/>
          <w:sz w:val="24"/>
        </w:rPr>
      </w:pPr>
      <w:r>
        <w:rPr>
          <w:b/>
          <w:sz w:val="24"/>
        </w:rPr>
        <w:t>III.</w:t>
      </w:r>
      <w:r>
        <w:rPr>
          <w:b/>
          <w:sz w:val="24"/>
        </w:rPr>
        <w:tab/>
      </w:r>
      <w:r w:rsidR="00217DF3" w:rsidRPr="00F42647">
        <w:rPr>
          <w:b/>
          <w:sz w:val="24"/>
        </w:rPr>
        <w:t>ARGUMENT</w:t>
      </w:r>
    </w:p>
    <w:p w:rsidR="00DF28A8" w:rsidRPr="00DF28A8" w:rsidRDefault="001A384C" w:rsidP="00DF28A8">
      <w:pPr>
        <w:pStyle w:val="ListParagraph"/>
        <w:numPr>
          <w:ilvl w:val="0"/>
          <w:numId w:val="3"/>
        </w:numPr>
        <w:spacing w:line="480" w:lineRule="auto"/>
        <w:ind w:hanging="720"/>
        <w:rPr>
          <w:b/>
          <w:sz w:val="24"/>
        </w:rPr>
      </w:pPr>
      <w:r>
        <w:rPr>
          <w:b/>
          <w:sz w:val="24"/>
        </w:rPr>
        <w:t>Procedure</w:t>
      </w:r>
      <w:r w:rsidR="000933B5">
        <w:rPr>
          <w:b/>
          <w:sz w:val="24"/>
        </w:rPr>
        <w:t xml:space="preserve"> for Reconsideration</w:t>
      </w:r>
    </w:p>
    <w:p w:rsidR="001A384C" w:rsidRDefault="006A1DA6" w:rsidP="00350340">
      <w:pPr>
        <w:numPr>
          <w:ilvl w:val="0"/>
          <w:numId w:val="2"/>
        </w:numPr>
        <w:spacing w:line="480" w:lineRule="auto"/>
        <w:rPr>
          <w:sz w:val="24"/>
        </w:rPr>
      </w:pPr>
      <w:r>
        <w:rPr>
          <w:sz w:val="24"/>
        </w:rPr>
        <w:tab/>
      </w:r>
      <w:r w:rsidR="0034171C">
        <w:rPr>
          <w:sz w:val="24"/>
        </w:rPr>
        <w:t xml:space="preserve">Staff petitions for reconsideration </w:t>
      </w:r>
      <w:r w:rsidR="00613600">
        <w:rPr>
          <w:sz w:val="24"/>
        </w:rPr>
        <w:t xml:space="preserve">of the Final Order </w:t>
      </w:r>
      <w:r w:rsidR="0034171C">
        <w:rPr>
          <w:sz w:val="24"/>
        </w:rPr>
        <w:t>under RCW 3</w:t>
      </w:r>
      <w:r w:rsidR="00613600">
        <w:rPr>
          <w:sz w:val="24"/>
        </w:rPr>
        <w:t>4.05.470 and WAC 480-07-850.  I</w:t>
      </w:r>
      <w:r w:rsidR="0034171C">
        <w:rPr>
          <w:sz w:val="24"/>
        </w:rPr>
        <w:t xml:space="preserve">n the alternative, </w:t>
      </w:r>
      <w:r w:rsidR="00613600">
        <w:rPr>
          <w:sz w:val="24"/>
        </w:rPr>
        <w:t xml:space="preserve">Staff </w:t>
      </w:r>
      <w:r w:rsidR="0034171C">
        <w:rPr>
          <w:sz w:val="24"/>
        </w:rPr>
        <w:t>urges the Commission to act on its own initiative under RCW 81.04.210 and WAC 480-07-875 to amend its Final Order and reinstate Third Generation’s permit</w:t>
      </w:r>
      <w:r w:rsidR="00613600">
        <w:rPr>
          <w:sz w:val="24"/>
        </w:rPr>
        <w:t xml:space="preserve"> without the condition that the company pay the $2,100 penalty assessed in Docket TV-120900</w:t>
      </w:r>
      <w:r w:rsidR="0034171C">
        <w:rPr>
          <w:sz w:val="24"/>
        </w:rPr>
        <w:t>.</w:t>
      </w:r>
    </w:p>
    <w:p w:rsidR="001A384C" w:rsidRDefault="001A384C" w:rsidP="00350340">
      <w:pPr>
        <w:numPr>
          <w:ilvl w:val="0"/>
          <w:numId w:val="2"/>
        </w:numPr>
        <w:spacing w:line="480" w:lineRule="auto"/>
        <w:rPr>
          <w:sz w:val="24"/>
        </w:rPr>
      </w:pPr>
      <w:r>
        <w:rPr>
          <w:sz w:val="24"/>
        </w:rPr>
        <w:tab/>
      </w:r>
      <w:r w:rsidR="008A465E">
        <w:rPr>
          <w:sz w:val="24"/>
        </w:rPr>
        <w:t>Any party to a proceeding may petition for reconsideration of a final order within ten days after the order is served.</w:t>
      </w:r>
      <w:r w:rsidR="00D87555">
        <w:rPr>
          <w:rStyle w:val="FootnoteReference"/>
          <w:sz w:val="24"/>
        </w:rPr>
        <w:footnoteReference w:id="25"/>
      </w:r>
      <w:r w:rsidR="008A465E">
        <w:rPr>
          <w:sz w:val="24"/>
        </w:rPr>
        <w:t xml:space="preserve">  </w:t>
      </w:r>
      <w:r w:rsidR="00D87555">
        <w:rPr>
          <w:sz w:val="24"/>
        </w:rPr>
        <w:t>Under the Administrative Procedure Act (APA), any person, which includes an agency,</w:t>
      </w:r>
      <w:r w:rsidR="00D87555">
        <w:rPr>
          <w:rStyle w:val="FootnoteReference"/>
          <w:sz w:val="24"/>
        </w:rPr>
        <w:footnoteReference w:id="26"/>
      </w:r>
      <w:r w:rsidR="00D87555">
        <w:rPr>
          <w:sz w:val="24"/>
        </w:rPr>
        <w:t xml:space="preserve"> may waive any rights conferred by the APA.</w:t>
      </w:r>
      <w:r w:rsidR="00D87555">
        <w:rPr>
          <w:rStyle w:val="FootnoteReference"/>
          <w:sz w:val="24"/>
        </w:rPr>
        <w:footnoteReference w:id="27"/>
      </w:r>
      <w:r w:rsidR="00D87555">
        <w:rPr>
          <w:sz w:val="24"/>
        </w:rPr>
        <w:t xml:space="preserve">  </w:t>
      </w:r>
      <w:r w:rsidR="00BC628F">
        <w:rPr>
          <w:sz w:val="24"/>
        </w:rPr>
        <w:t>Furthermore, Washington law allows</w:t>
      </w:r>
      <w:r w:rsidR="00DF28A8">
        <w:rPr>
          <w:sz w:val="24"/>
        </w:rPr>
        <w:t xml:space="preserve"> the Commission </w:t>
      </w:r>
      <w:r w:rsidR="00BC628F">
        <w:rPr>
          <w:sz w:val="24"/>
        </w:rPr>
        <w:t>to</w:t>
      </w:r>
      <w:r w:rsidR="00DF28A8">
        <w:rPr>
          <w:sz w:val="24"/>
        </w:rPr>
        <w:t xml:space="preserve"> alter, amend, or rescind any order that it has entered, after</w:t>
      </w:r>
      <w:r w:rsidR="00BC628F">
        <w:rPr>
          <w:sz w:val="24"/>
        </w:rPr>
        <w:t xml:space="preserve"> providing</w:t>
      </w:r>
      <w:r w:rsidR="00DF28A8">
        <w:rPr>
          <w:sz w:val="24"/>
        </w:rPr>
        <w:t xml:space="preserve"> notice </w:t>
      </w:r>
      <w:r w:rsidR="00BC628F">
        <w:rPr>
          <w:sz w:val="24"/>
        </w:rPr>
        <w:t>and an opportunity to be heard to</w:t>
      </w:r>
      <w:r w:rsidR="00DF28A8">
        <w:rPr>
          <w:sz w:val="24"/>
        </w:rPr>
        <w:t xml:space="preserve"> the public service company affected.</w:t>
      </w:r>
      <w:r w:rsidR="00BC628F">
        <w:rPr>
          <w:rStyle w:val="FootnoteReference"/>
          <w:sz w:val="24"/>
        </w:rPr>
        <w:footnoteReference w:id="28"/>
      </w:r>
    </w:p>
    <w:p w:rsidR="00350340" w:rsidRDefault="001A384C" w:rsidP="00350340">
      <w:pPr>
        <w:numPr>
          <w:ilvl w:val="0"/>
          <w:numId w:val="2"/>
        </w:numPr>
        <w:spacing w:line="480" w:lineRule="auto"/>
        <w:rPr>
          <w:sz w:val="24"/>
        </w:rPr>
      </w:pPr>
      <w:r>
        <w:rPr>
          <w:sz w:val="24"/>
        </w:rPr>
        <w:tab/>
      </w:r>
      <w:r w:rsidR="00087233">
        <w:rPr>
          <w:sz w:val="24"/>
        </w:rPr>
        <w:t xml:space="preserve">Staff’s petition is late-filed </w:t>
      </w:r>
      <w:r w:rsidR="00734CD5">
        <w:rPr>
          <w:sz w:val="24"/>
        </w:rPr>
        <w:t>because</w:t>
      </w:r>
      <w:r w:rsidR="00087233">
        <w:rPr>
          <w:sz w:val="24"/>
        </w:rPr>
        <w:t xml:space="preserve"> internal discussions concerning the Final Order</w:t>
      </w:r>
      <w:r w:rsidR="00613600">
        <w:rPr>
          <w:sz w:val="24"/>
        </w:rPr>
        <w:t xml:space="preserve"> had to take place and were</w:t>
      </w:r>
      <w:r w:rsidR="00087233">
        <w:rPr>
          <w:sz w:val="24"/>
        </w:rPr>
        <w:t xml:space="preserve"> spread out over a period of weeks </w:t>
      </w:r>
      <w:r w:rsidR="005D0260">
        <w:rPr>
          <w:sz w:val="24"/>
        </w:rPr>
        <w:t>due, in large part</w:t>
      </w:r>
      <w:r w:rsidR="00734CD5">
        <w:rPr>
          <w:sz w:val="24"/>
        </w:rPr>
        <w:t>,</w:t>
      </w:r>
      <w:r w:rsidR="005D0260">
        <w:rPr>
          <w:sz w:val="24"/>
        </w:rPr>
        <w:t xml:space="preserve"> to </w:t>
      </w:r>
      <w:r w:rsidR="00F831A8">
        <w:rPr>
          <w:sz w:val="24"/>
        </w:rPr>
        <w:t xml:space="preserve">summer </w:t>
      </w:r>
      <w:r w:rsidR="005D0260">
        <w:rPr>
          <w:sz w:val="24"/>
        </w:rPr>
        <w:t>vacation schedules</w:t>
      </w:r>
      <w:r w:rsidR="00087233">
        <w:rPr>
          <w:sz w:val="24"/>
        </w:rPr>
        <w:t xml:space="preserve">.  Accordingly, Staff did not reach the decision to </w:t>
      </w:r>
      <w:r w:rsidR="00613600">
        <w:rPr>
          <w:sz w:val="24"/>
        </w:rPr>
        <w:t xml:space="preserve">address the issues in the Final Order by way of a petition for reconsideration </w:t>
      </w:r>
      <w:r w:rsidR="00087233">
        <w:rPr>
          <w:sz w:val="24"/>
        </w:rPr>
        <w:t xml:space="preserve">until after the </w:t>
      </w:r>
      <w:r w:rsidR="00613600">
        <w:rPr>
          <w:sz w:val="24"/>
        </w:rPr>
        <w:t xml:space="preserve">filing </w:t>
      </w:r>
      <w:r w:rsidR="00087233">
        <w:rPr>
          <w:sz w:val="24"/>
        </w:rPr>
        <w:t>deadline had passed.</w:t>
      </w:r>
      <w:r w:rsidR="000A0F7B">
        <w:rPr>
          <w:sz w:val="24"/>
        </w:rPr>
        <w:t xml:space="preserve">  Staff respectfully requests that the Commission accept Staff’s late-filed petition for reconsideration</w:t>
      </w:r>
      <w:r w:rsidR="00613600">
        <w:rPr>
          <w:sz w:val="24"/>
        </w:rPr>
        <w:t>,</w:t>
      </w:r>
      <w:r w:rsidR="000A0F7B">
        <w:rPr>
          <w:sz w:val="24"/>
        </w:rPr>
        <w:t xml:space="preserve"> or </w:t>
      </w:r>
      <w:r w:rsidR="00626AAA">
        <w:rPr>
          <w:sz w:val="24"/>
        </w:rPr>
        <w:t>amend</w:t>
      </w:r>
      <w:r w:rsidR="000A0F7B">
        <w:rPr>
          <w:sz w:val="24"/>
        </w:rPr>
        <w:t xml:space="preserve"> the Final Order on its own motion.</w:t>
      </w:r>
    </w:p>
    <w:p w:rsidR="008B69E4" w:rsidRPr="005E12A6" w:rsidRDefault="00F053F1" w:rsidP="005E12A6">
      <w:pPr>
        <w:pStyle w:val="ListParagraph"/>
        <w:numPr>
          <w:ilvl w:val="0"/>
          <w:numId w:val="3"/>
        </w:numPr>
        <w:spacing w:line="480" w:lineRule="auto"/>
        <w:ind w:hanging="720"/>
        <w:rPr>
          <w:b/>
          <w:sz w:val="24"/>
        </w:rPr>
      </w:pPr>
      <w:r>
        <w:rPr>
          <w:b/>
          <w:sz w:val="24"/>
        </w:rPr>
        <w:t>Fairness</w:t>
      </w:r>
    </w:p>
    <w:p w:rsidR="00DB5F91" w:rsidRDefault="005E12A6" w:rsidP="006D13E3">
      <w:pPr>
        <w:numPr>
          <w:ilvl w:val="0"/>
          <w:numId w:val="2"/>
        </w:numPr>
        <w:spacing w:line="480" w:lineRule="auto"/>
        <w:rPr>
          <w:sz w:val="24"/>
        </w:rPr>
      </w:pPr>
      <w:r>
        <w:rPr>
          <w:sz w:val="24"/>
        </w:rPr>
        <w:tab/>
      </w:r>
      <w:r w:rsidR="003B24FB">
        <w:rPr>
          <w:sz w:val="24"/>
        </w:rPr>
        <w:t xml:space="preserve">The Commission is under the misapprehension that the Final Order imposes the same condition on Third Generation </w:t>
      </w:r>
      <w:r w:rsidR="003A0789">
        <w:rPr>
          <w:sz w:val="24"/>
        </w:rPr>
        <w:t xml:space="preserve">that the </w:t>
      </w:r>
      <w:r w:rsidR="009570F9">
        <w:rPr>
          <w:sz w:val="24"/>
        </w:rPr>
        <w:t xml:space="preserve">Commission imposed on similarly </w:t>
      </w:r>
      <w:r w:rsidR="003A0789">
        <w:rPr>
          <w:sz w:val="24"/>
        </w:rPr>
        <w:t xml:space="preserve">situated </w:t>
      </w:r>
      <w:r w:rsidR="003B24FB">
        <w:rPr>
          <w:sz w:val="24"/>
        </w:rPr>
        <w:t xml:space="preserve">companies in the Initial Order.  </w:t>
      </w:r>
      <w:r w:rsidR="006017D5">
        <w:rPr>
          <w:sz w:val="24"/>
        </w:rPr>
        <w:t xml:space="preserve">The condition </w:t>
      </w:r>
      <w:r w:rsidR="00734CD5">
        <w:rPr>
          <w:sz w:val="24"/>
        </w:rPr>
        <w:t xml:space="preserve">that </w:t>
      </w:r>
      <w:r w:rsidR="006017D5">
        <w:rPr>
          <w:sz w:val="24"/>
        </w:rPr>
        <w:t>the Commission imposed requires Third Generation to pay the discretionary penalty in installments due on certain dates or face cancellation of it</w:t>
      </w:r>
      <w:r w:rsidR="00443BA5">
        <w:rPr>
          <w:sz w:val="24"/>
        </w:rPr>
        <w:t>s</w:t>
      </w:r>
      <w:r w:rsidR="006017D5">
        <w:rPr>
          <w:sz w:val="24"/>
        </w:rPr>
        <w:t xml:space="preserve"> permit.  </w:t>
      </w:r>
      <w:r w:rsidR="00DB5F91">
        <w:rPr>
          <w:sz w:val="24"/>
        </w:rPr>
        <w:t>In fact, the Commission did not require any other household goods carrier to pay delinquent discretionary penalties as a condition of retaining a household goods carrier permit.</w:t>
      </w:r>
    </w:p>
    <w:p w:rsidR="00217DF3" w:rsidRDefault="00DB5F91" w:rsidP="006D13E3">
      <w:pPr>
        <w:numPr>
          <w:ilvl w:val="0"/>
          <w:numId w:val="2"/>
        </w:numPr>
        <w:spacing w:line="480" w:lineRule="auto"/>
        <w:rPr>
          <w:sz w:val="24"/>
        </w:rPr>
      </w:pPr>
      <w:r>
        <w:rPr>
          <w:sz w:val="24"/>
        </w:rPr>
        <w:tab/>
        <w:t xml:space="preserve">A+ is the </w:t>
      </w:r>
      <w:r w:rsidR="00835CB2">
        <w:rPr>
          <w:sz w:val="24"/>
        </w:rPr>
        <w:t>most</w:t>
      </w:r>
      <w:r>
        <w:rPr>
          <w:sz w:val="24"/>
        </w:rPr>
        <w:t xml:space="preserve"> similarly situated company in the proceeding.  A+ came into compliance </w:t>
      </w:r>
      <w:r w:rsidR="006017D5">
        <w:rPr>
          <w:sz w:val="24"/>
        </w:rPr>
        <w:t xml:space="preserve">by filing is annual report and paying its regulatory fee </w:t>
      </w:r>
      <w:r>
        <w:rPr>
          <w:sz w:val="24"/>
        </w:rPr>
        <w:t xml:space="preserve">but, as Staff testified at hearing, had not </w:t>
      </w:r>
      <w:r w:rsidR="004F6A6E">
        <w:rPr>
          <w:sz w:val="24"/>
        </w:rPr>
        <w:t>paid the discretionary penalty</w:t>
      </w:r>
      <w:r>
        <w:rPr>
          <w:sz w:val="24"/>
        </w:rPr>
        <w:t xml:space="preserve"> assessed against it the previous summer.  In the Initial Order, the Commission dismissed A+ from the</w:t>
      </w:r>
      <w:r w:rsidR="001529F7">
        <w:rPr>
          <w:sz w:val="24"/>
        </w:rPr>
        <w:t xml:space="preserve"> proceeding.</w:t>
      </w:r>
      <w:r w:rsidR="00711F81">
        <w:rPr>
          <w:sz w:val="24"/>
        </w:rPr>
        <w:t xml:space="preserve">  Third Generation also came into compliance </w:t>
      </w:r>
      <w:r w:rsidR="00734CD5">
        <w:rPr>
          <w:sz w:val="24"/>
        </w:rPr>
        <w:t>and</w:t>
      </w:r>
      <w:r w:rsidR="00711F81">
        <w:rPr>
          <w:sz w:val="24"/>
        </w:rPr>
        <w:t xml:space="preserve"> had not </w:t>
      </w:r>
      <w:r w:rsidR="009E4121">
        <w:rPr>
          <w:sz w:val="24"/>
        </w:rPr>
        <w:t>paid the discretionary penalty</w:t>
      </w:r>
      <w:r w:rsidR="00711F81">
        <w:rPr>
          <w:sz w:val="24"/>
        </w:rPr>
        <w:t xml:space="preserve">, </w:t>
      </w:r>
      <w:r w:rsidR="00734CD5">
        <w:rPr>
          <w:sz w:val="24"/>
        </w:rPr>
        <w:t>but</w:t>
      </w:r>
      <w:r w:rsidR="00711F81">
        <w:rPr>
          <w:sz w:val="24"/>
        </w:rPr>
        <w:t xml:space="preserve"> the Commission ordered the company’s permit be cancelled unless Third Generation met the condition of pa</w:t>
      </w:r>
      <w:r w:rsidR="009E4121">
        <w:rPr>
          <w:sz w:val="24"/>
        </w:rPr>
        <w:t>ying the discretionary penalty</w:t>
      </w:r>
      <w:r w:rsidR="00711F81">
        <w:rPr>
          <w:sz w:val="24"/>
        </w:rPr>
        <w:t>.</w:t>
      </w:r>
      <w:r w:rsidR="00F053F1">
        <w:rPr>
          <w:sz w:val="24"/>
        </w:rPr>
        <w:t xml:space="preserve">  </w:t>
      </w:r>
      <w:r w:rsidR="00787471">
        <w:rPr>
          <w:sz w:val="24"/>
        </w:rPr>
        <w:t>The distinction between the two companies</w:t>
      </w:r>
      <w:r w:rsidR="0091213A">
        <w:rPr>
          <w:sz w:val="24"/>
        </w:rPr>
        <w:t>, drawn implicitly in the Initial Order,</w:t>
      </w:r>
      <w:r w:rsidR="00787471">
        <w:rPr>
          <w:sz w:val="24"/>
        </w:rPr>
        <w:t xml:space="preserve"> is that A+ achieved compliance </w:t>
      </w:r>
      <w:r w:rsidR="00D55B8D">
        <w:rPr>
          <w:sz w:val="24"/>
        </w:rPr>
        <w:t xml:space="preserve">with the annual report and regulatory fee requirements </w:t>
      </w:r>
      <w:r w:rsidR="00787471">
        <w:rPr>
          <w:sz w:val="24"/>
        </w:rPr>
        <w:t xml:space="preserve">before the evidentiary hearing, while Third Generation came into compliance only after the </w:t>
      </w:r>
      <w:r w:rsidR="00F053F1">
        <w:rPr>
          <w:sz w:val="24"/>
        </w:rPr>
        <w:t>heari</w:t>
      </w:r>
      <w:r w:rsidR="00787471">
        <w:rPr>
          <w:sz w:val="24"/>
        </w:rPr>
        <w:t xml:space="preserve">ng.  </w:t>
      </w:r>
      <w:r w:rsidR="00D55B8D">
        <w:rPr>
          <w:sz w:val="24"/>
        </w:rPr>
        <w:t xml:space="preserve">Although the initial order relies for its decision to cancel Third Generation’s permit on the fact that the company failed to make the requisite filings prior to the evidentiary hearing, the </w:t>
      </w:r>
      <w:r w:rsidR="00094017">
        <w:rPr>
          <w:sz w:val="24"/>
        </w:rPr>
        <w:t xml:space="preserve">Final Order accepts the evidence of Third Generation’s compliance into the record, </w:t>
      </w:r>
      <w:r w:rsidR="00070329">
        <w:rPr>
          <w:sz w:val="24"/>
        </w:rPr>
        <w:t xml:space="preserve">recognizes that compliance occurred before the Initial Order was entered, and </w:t>
      </w:r>
      <w:r w:rsidR="00094017">
        <w:rPr>
          <w:sz w:val="24"/>
        </w:rPr>
        <w:t xml:space="preserve">apparently </w:t>
      </w:r>
      <w:r w:rsidR="00070329">
        <w:rPr>
          <w:sz w:val="24"/>
        </w:rPr>
        <w:t>relies on other grounds for conditionally c</w:t>
      </w:r>
      <w:r w:rsidR="009E4121">
        <w:rPr>
          <w:sz w:val="24"/>
        </w:rPr>
        <w:t xml:space="preserve">ancelling the company’s permit </w:t>
      </w:r>
      <w:r w:rsidR="00094017">
        <w:rPr>
          <w:sz w:val="24"/>
        </w:rPr>
        <w:t xml:space="preserve">in the Final Order.  The decision in the </w:t>
      </w:r>
      <w:r w:rsidR="00D55B8D">
        <w:rPr>
          <w:sz w:val="24"/>
        </w:rPr>
        <w:t xml:space="preserve">Final Order </w:t>
      </w:r>
      <w:r w:rsidR="00094017">
        <w:rPr>
          <w:sz w:val="24"/>
        </w:rPr>
        <w:t xml:space="preserve">appears to rest </w:t>
      </w:r>
      <w:r w:rsidR="00B5197A">
        <w:rPr>
          <w:sz w:val="24"/>
        </w:rPr>
        <w:t xml:space="preserve">predominately if not </w:t>
      </w:r>
      <w:r w:rsidR="00094017">
        <w:rPr>
          <w:sz w:val="24"/>
        </w:rPr>
        <w:t>solely on the fact of Third Generation’s unpaid discretionary penalty.</w:t>
      </w:r>
      <w:r w:rsidR="0091213A">
        <w:rPr>
          <w:sz w:val="24"/>
        </w:rPr>
        <w:t xml:space="preserve">  Assuming that the Final Order no longer turns on whether the company achieved compliance before or after the evidentiary hearing, </w:t>
      </w:r>
      <w:r w:rsidR="00070329">
        <w:rPr>
          <w:sz w:val="24"/>
        </w:rPr>
        <w:t>any</w:t>
      </w:r>
      <w:r w:rsidR="0091213A">
        <w:rPr>
          <w:sz w:val="24"/>
        </w:rPr>
        <w:t xml:space="preserve"> distinction between A+ and Third Generation evaporates, and the two similarly situated companies </w:t>
      </w:r>
      <w:r w:rsidR="00B5197A">
        <w:rPr>
          <w:sz w:val="24"/>
        </w:rPr>
        <w:t>have been</w:t>
      </w:r>
      <w:r w:rsidR="0091213A">
        <w:rPr>
          <w:sz w:val="24"/>
        </w:rPr>
        <w:t xml:space="preserve"> subject</w:t>
      </w:r>
      <w:r w:rsidR="00B5197A">
        <w:rPr>
          <w:sz w:val="24"/>
        </w:rPr>
        <w:t>ed</w:t>
      </w:r>
      <w:r w:rsidR="0091213A">
        <w:rPr>
          <w:sz w:val="24"/>
        </w:rPr>
        <w:t xml:space="preserve"> to disparate treatment in this proceeding.</w:t>
      </w:r>
    </w:p>
    <w:p w:rsidR="007B38A1" w:rsidRDefault="00835CB2" w:rsidP="006D13E3">
      <w:pPr>
        <w:numPr>
          <w:ilvl w:val="0"/>
          <w:numId w:val="2"/>
        </w:numPr>
        <w:spacing w:line="480" w:lineRule="auto"/>
        <w:rPr>
          <w:sz w:val="24"/>
        </w:rPr>
      </w:pPr>
      <w:r>
        <w:rPr>
          <w:sz w:val="24"/>
        </w:rPr>
        <w:tab/>
      </w:r>
      <w:r w:rsidR="00BA024C">
        <w:rPr>
          <w:sz w:val="24"/>
        </w:rPr>
        <w:t xml:space="preserve">AA Star and </w:t>
      </w:r>
      <w:proofErr w:type="spellStart"/>
      <w:r w:rsidR="00BA024C">
        <w:rPr>
          <w:sz w:val="24"/>
        </w:rPr>
        <w:t>Grayport</w:t>
      </w:r>
      <w:proofErr w:type="spellEnd"/>
      <w:r w:rsidR="00BA024C">
        <w:rPr>
          <w:sz w:val="24"/>
        </w:rPr>
        <w:t xml:space="preserve"> did not come into complete compliance </w:t>
      </w:r>
      <w:r w:rsidR="009E4121">
        <w:rPr>
          <w:sz w:val="24"/>
        </w:rPr>
        <w:t xml:space="preserve">before the evidentiary hearing </w:t>
      </w:r>
      <w:r w:rsidR="00BA024C">
        <w:rPr>
          <w:sz w:val="24"/>
        </w:rPr>
        <w:t>because, although they filed their annual reports and paid their regulatory fees, they remained in violation of RCW 81.80.321 due to their failure to pay the late fees and interest mandated in that statute.</w:t>
      </w:r>
      <w:r w:rsidR="00711F81">
        <w:rPr>
          <w:sz w:val="24"/>
        </w:rPr>
        <w:t xml:space="preserve">  In the Initial Order, </w:t>
      </w:r>
      <w:r w:rsidR="00CD6A86">
        <w:rPr>
          <w:sz w:val="24"/>
        </w:rPr>
        <w:t xml:space="preserve">based on its citations to the </w:t>
      </w:r>
      <w:r w:rsidR="00734CD5">
        <w:rPr>
          <w:sz w:val="24"/>
        </w:rPr>
        <w:t>testimony in the record on</w:t>
      </w:r>
      <w:r w:rsidR="00F40DBD">
        <w:rPr>
          <w:sz w:val="24"/>
        </w:rPr>
        <w:t xml:space="preserve"> late fees and interest</w:t>
      </w:r>
      <w:r w:rsidR="00CD6A86">
        <w:rPr>
          <w:sz w:val="24"/>
        </w:rPr>
        <w:t>, t</w:t>
      </w:r>
      <w:r w:rsidR="00711F81">
        <w:rPr>
          <w:sz w:val="24"/>
        </w:rPr>
        <w:t>h</w:t>
      </w:r>
      <w:r w:rsidR="00CD6A86">
        <w:rPr>
          <w:sz w:val="24"/>
        </w:rPr>
        <w:t xml:space="preserve">e Commission ordered that AA Star and </w:t>
      </w:r>
      <w:proofErr w:type="spellStart"/>
      <w:r w:rsidR="00CD6A86">
        <w:rPr>
          <w:sz w:val="24"/>
        </w:rPr>
        <w:t>Grayport</w:t>
      </w:r>
      <w:proofErr w:type="spellEnd"/>
      <w:r w:rsidR="00CD6A86">
        <w:rPr>
          <w:sz w:val="24"/>
        </w:rPr>
        <w:t xml:space="preserve"> </w:t>
      </w:r>
      <w:r w:rsidR="00F40DBD">
        <w:rPr>
          <w:sz w:val="24"/>
        </w:rPr>
        <w:t>were</w:t>
      </w:r>
      <w:r w:rsidR="00711F81">
        <w:rPr>
          <w:sz w:val="24"/>
        </w:rPr>
        <w:t xml:space="preserve"> </w:t>
      </w:r>
      <w:r w:rsidR="00A25DD2">
        <w:rPr>
          <w:sz w:val="24"/>
        </w:rPr>
        <w:t>dismissed from the proceeding on the condition that</w:t>
      </w:r>
      <w:r w:rsidR="00711F81">
        <w:rPr>
          <w:sz w:val="24"/>
        </w:rPr>
        <w:t xml:space="preserve"> the companies </w:t>
      </w:r>
      <w:r w:rsidR="0080210B">
        <w:rPr>
          <w:sz w:val="24"/>
        </w:rPr>
        <w:t>pay</w:t>
      </w:r>
      <w:r w:rsidR="00711F81">
        <w:rPr>
          <w:sz w:val="24"/>
        </w:rPr>
        <w:t xml:space="preserve"> the late fees and interest</w:t>
      </w:r>
      <w:r w:rsidR="00A25DD2">
        <w:rPr>
          <w:sz w:val="24"/>
        </w:rPr>
        <w:t xml:space="preserve"> with</w:t>
      </w:r>
      <w:r w:rsidR="00F40DBD">
        <w:rPr>
          <w:sz w:val="24"/>
        </w:rPr>
        <w:t>in</w:t>
      </w:r>
      <w:r w:rsidR="00A25DD2">
        <w:rPr>
          <w:sz w:val="24"/>
        </w:rPr>
        <w:t xml:space="preserve"> 20 days</w:t>
      </w:r>
      <w:r w:rsidR="0080210B">
        <w:rPr>
          <w:sz w:val="24"/>
        </w:rPr>
        <w:t xml:space="preserve">.  </w:t>
      </w:r>
      <w:r w:rsidR="00AF6FDD">
        <w:rPr>
          <w:sz w:val="24"/>
        </w:rPr>
        <w:t>The Initial Order, by its language, does not discuss the discretionary penalties at all.  The Initial Order cites RCW 81.80.321, which requires companies to</w:t>
      </w:r>
      <w:r w:rsidR="007A5942">
        <w:rPr>
          <w:sz w:val="24"/>
        </w:rPr>
        <w:t>, among other things,</w:t>
      </w:r>
      <w:r w:rsidR="00AF6FDD">
        <w:rPr>
          <w:sz w:val="24"/>
        </w:rPr>
        <w:t xml:space="preserve"> pay late fees and interest if they submit regulatory fees late</w:t>
      </w:r>
      <w:r w:rsidR="008F1889">
        <w:rPr>
          <w:sz w:val="24"/>
        </w:rPr>
        <w:t>;</w:t>
      </w:r>
      <w:r w:rsidR="00AF6FDD">
        <w:rPr>
          <w:sz w:val="24"/>
        </w:rPr>
        <w:t xml:space="preserve"> but </w:t>
      </w:r>
      <w:r w:rsidR="007A5942">
        <w:rPr>
          <w:sz w:val="24"/>
        </w:rPr>
        <w:t xml:space="preserve">the Initial Order </w:t>
      </w:r>
      <w:r w:rsidR="00AF6FDD">
        <w:rPr>
          <w:sz w:val="24"/>
        </w:rPr>
        <w:t>does not mention the statute authorizing the discretionary penalties at issue, RCW 81.04.405.  The Initial Order refers to a “statutory penalty</w:t>
      </w:r>
      <w:r w:rsidR="007A5942">
        <w:rPr>
          <w:sz w:val="24"/>
        </w:rPr>
        <w:t>,</w:t>
      </w:r>
      <w:r w:rsidR="00AF6FDD">
        <w:rPr>
          <w:sz w:val="24"/>
        </w:rPr>
        <w:t xml:space="preserve">” </w:t>
      </w:r>
      <w:r w:rsidR="007A5942">
        <w:rPr>
          <w:sz w:val="24"/>
        </w:rPr>
        <w:t xml:space="preserve">which </w:t>
      </w:r>
      <w:r w:rsidR="00734CD5">
        <w:rPr>
          <w:sz w:val="24"/>
        </w:rPr>
        <w:t>could mean the late fees or the discretionary penalties</w:t>
      </w:r>
      <w:r w:rsidR="007A5942">
        <w:rPr>
          <w:sz w:val="24"/>
        </w:rPr>
        <w:t xml:space="preserve">.  </w:t>
      </w:r>
      <w:r w:rsidR="00AF6FDD">
        <w:rPr>
          <w:sz w:val="24"/>
        </w:rPr>
        <w:t xml:space="preserve">Staff used </w:t>
      </w:r>
      <w:r w:rsidR="00734CD5">
        <w:rPr>
          <w:sz w:val="24"/>
        </w:rPr>
        <w:t>the</w:t>
      </w:r>
      <w:r w:rsidR="00AF6FDD">
        <w:rPr>
          <w:sz w:val="24"/>
        </w:rPr>
        <w:t xml:space="preserve"> term</w:t>
      </w:r>
      <w:r w:rsidR="00734CD5">
        <w:rPr>
          <w:sz w:val="24"/>
        </w:rPr>
        <w:t xml:space="preserve"> “statutory penalty”</w:t>
      </w:r>
      <w:r w:rsidR="00AF6FDD">
        <w:rPr>
          <w:sz w:val="24"/>
        </w:rPr>
        <w:t xml:space="preserve"> at hearing</w:t>
      </w:r>
      <w:r w:rsidR="007A5942">
        <w:rPr>
          <w:sz w:val="24"/>
        </w:rPr>
        <w:t>, however, multiple times</w:t>
      </w:r>
      <w:r w:rsidR="00AF6FDD">
        <w:rPr>
          <w:sz w:val="24"/>
        </w:rPr>
        <w:t xml:space="preserve"> to refer to the late fee</w:t>
      </w:r>
      <w:r w:rsidR="00734CD5">
        <w:rPr>
          <w:sz w:val="24"/>
        </w:rPr>
        <w:t>s</w:t>
      </w:r>
      <w:r w:rsidR="00AF6FDD">
        <w:rPr>
          <w:sz w:val="24"/>
        </w:rPr>
        <w:t xml:space="preserve"> due pursuant to RCW 81.80.321</w:t>
      </w:r>
      <w:r w:rsidR="00734CD5">
        <w:rPr>
          <w:sz w:val="24"/>
        </w:rPr>
        <w:t>;</w:t>
      </w:r>
      <w:r w:rsidR="007A5942">
        <w:rPr>
          <w:sz w:val="24"/>
        </w:rPr>
        <w:t xml:space="preserve"> and, again, the Initial Order does not cite to any portion of the record containing a discussion of the discretionary penalties.</w:t>
      </w:r>
      <w:r w:rsidR="00AF6FDD">
        <w:rPr>
          <w:sz w:val="24"/>
        </w:rPr>
        <w:t xml:space="preserve">  </w:t>
      </w:r>
      <w:r w:rsidR="007A5942">
        <w:rPr>
          <w:sz w:val="24"/>
        </w:rPr>
        <w:t xml:space="preserve">In sum, </w:t>
      </w:r>
      <w:r w:rsidR="00C47F2E">
        <w:rPr>
          <w:sz w:val="24"/>
        </w:rPr>
        <w:t xml:space="preserve">based on the actual language used in the Initial Order, the </w:t>
      </w:r>
      <w:r w:rsidR="007A5942">
        <w:rPr>
          <w:sz w:val="24"/>
        </w:rPr>
        <w:t xml:space="preserve">word “penalty” </w:t>
      </w:r>
      <w:r w:rsidR="00734CD5">
        <w:rPr>
          <w:sz w:val="24"/>
        </w:rPr>
        <w:t>must mean</w:t>
      </w:r>
      <w:r w:rsidR="007A5942">
        <w:rPr>
          <w:sz w:val="24"/>
        </w:rPr>
        <w:t xml:space="preserve"> the payments required by RCW 81.80.321</w:t>
      </w:r>
      <w:r w:rsidR="00C47F2E">
        <w:rPr>
          <w:sz w:val="24"/>
        </w:rPr>
        <w:t xml:space="preserve"> and not the discretionary penalties.</w:t>
      </w:r>
      <w:r w:rsidR="00C37F16">
        <w:rPr>
          <w:sz w:val="24"/>
        </w:rPr>
        <w:t xml:space="preserve">  Because the condition</w:t>
      </w:r>
      <w:r w:rsidR="0024418D">
        <w:rPr>
          <w:sz w:val="24"/>
        </w:rPr>
        <w:t xml:space="preserve"> imposed on AA Star and </w:t>
      </w:r>
      <w:proofErr w:type="spellStart"/>
      <w:r w:rsidR="0024418D">
        <w:rPr>
          <w:sz w:val="24"/>
        </w:rPr>
        <w:t>Grayport</w:t>
      </w:r>
      <w:proofErr w:type="spellEnd"/>
      <w:r w:rsidR="0024418D">
        <w:rPr>
          <w:sz w:val="24"/>
        </w:rPr>
        <w:t xml:space="preserve"> concerned late fees and interest rather than discretionary penalties, </w:t>
      </w:r>
      <w:r w:rsidR="001907C0">
        <w:rPr>
          <w:sz w:val="24"/>
        </w:rPr>
        <w:t>it is not the same condition that</w:t>
      </w:r>
      <w:r w:rsidR="00C37F16">
        <w:rPr>
          <w:sz w:val="24"/>
        </w:rPr>
        <w:t xml:space="preserve"> the Commission imposed on</w:t>
      </w:r>
      <w:r w:rsidR="0024418D">
        <w:rPr>
          <w:sz w:val="24"/>
        </w:rPr>
        <w:t xml:space="preserve"> Third Generation.</w:t>
      </w:r>
    </w:p>
    <w:p w:rsidR="001529F7" w:rsidRDefault="007B38A1" w:rsidP="006D13E3">
      <w:pPr>
        <w:numPr>
          <w:ilvl w:val="0"/>
          <w:numId w:val="2"/>
        </w:numPr>
        <w:spacing w:line="480" w:lineRule="auto"/>
        <w:rPr>
          <w:sz w:val="24"/>
        </w:rPr>
      </w:pPr>
      <w:r>
        <w:rPr>
          <w:sz w:val="24"/>
        </w:rPr>
        <w:tab/>
        <w:t xml:space="preserve">It is unfair that Third Generation’s permit will be canceled if it does not pay the discretionary penalty of $2,100, yet A+, which also had not paid the discretionary penalty, is allowed to retain its permit unconditionally.  It is unfair to Third Generation that, according to the language of the Initial Order, AA Star and </w:t>
      </w:r>
      <w:proofErr w:type="spellStart"/>
      <w:r>
        <w:rPr>
          <w:sz w:val="24"/>
        </w:rPr>
        <w:t>Grayport</w:t>
      </w:r>
      <w:proofErr w:type="spellEnd"/>
      <w:r>
        <w:rPr>
          <w:sz w:val="24"/>
        </w:rPr>
        <w:t>, neither of which paid the discretionary penalty, need pay only the late fees and interest</w:t>
      </w:r>
      <w:r w:rsidR="006C75A2">
        <w:rPr>
          <w:sz w:val="24"/>
        </w:rPr>
        <w:t>, which Third Generation already paid,</w:t>
      </w:r>
      <w:r>
        <w:rPr>
          <w:sz w:val="24"/>
        </w:rPr>
        <w:t xml:space="preserve"> to retain their permits.</w:t>
      </w:r>
      <w:r w:rsidR="00287E69">
        <w:rPr>
          <w:sz w:val="24"/>
        </w:rPr>
        <w:t xml:space="preserve">  Furthermore, to the extent that other household goods carriers have not paid the discretionary penalties, it is unfair that they also retain their permits while Third Generation faces cancellation for nonpayment of its discretionary penalty.</w:t>
      </w:r>
    </w:p>
    <w:p w:rsidR="000C5CD4" w:rsidRPr="000C5CD4" w:rsidRDefault="000C5CD4" w:rsidP="000C5CD4">
      <w:pPr>
        <w:spacing w:line="480" w:lineRule="auto"/>
        <w:jc w:val="center"/>
        <w:rPr>
          <w:b/>
          <w:sz w:val="24"/>
        </w:rPr>
      </w:pPr>
      <w:r>
        <w:rPr>
          <w:b/>
          <w:sz w:val="24"/>
        </w:rPr>
        <w:t>IV.</w:t>
      </w:r>
      <w:r>
        <w:rPr>
          <w:b/>
          <w:sz w:val="24"/>
        </w:rPr>
        <w:tab/>
      </w:r>
      <w:r w:rsidRPr="000C5CD4">
        <w:rPr>
          <w:b/>
          <w:sz w:val="24"/>
        </w:rPr>
        <w:t>CONCLUSION</w:t>
      </w:r>
    </w:p>
    <w:p w:rsidR="000C5CD4" w:rsidRDefault="00B7276A" w:rsidP="0009047E">
      <w:pPr>
        <w:widowControl/>
        <w:numPr>
          <w:ilvl w:val="0"/>
          <w:numId w:val="2"/>
        </w:numPr>
        <w:spacing w:line="480" w:lineRule="auto"/>
        <w:rPr>
          <w:sz w:val="24"/>
        </w:rPr>
      </w:pPr>
      <w:r>
        <w:rPr>
          <w:sz w:val="24"/>
        </w:rPr>
        <w:tab/>
      </w:r>
      <w:r w:rsidR="00B64445">
        <w:rPr>
          <w:sz w:val="24"/>
        </w:rPr>
        <w:t xml:space="preserve">In the Final Order the Commission imposes a condition on Third Generation that the Commission imposed on no other household goods carrier in this proceeding.  </w:t>
      </w:r>
      <w:r w:rsidR="00C37F16">
        <w:rPr>
          <w:sz w:val="24"/>
        </w:rPr>
        <w:t xml:space="preserve">Because of the </w:t>
      </w:r>
      <w:r w:rsidR="00B64445">
        <w:rPr>
          <w:sz w:val="24"/>
        </w:rPr>
        <w:t>disparate treatment of</w:t>
      </w:r>
      <w:r w:rsidR="00C37F16">
        <w:rPr>
          <w:sz w:val="24"/>
        </w:rPr>
        <w:t xml:space="preserve"> Third Generation </w:t>
      </w:r>
      <w:r w:rsidR="00B64445">
        <w:rPr>
          <w:sz w:val="24"/>
        </w:rPr>
        <w:t>in the Commission’s decision, Staff respectfully requests that the Commission amend its Final Order to remove the condition requiring Third Generation to</w:t>
      </w:r>
      <w:r w:rsidR="006C75A2">
        <w:rPr>
          <w:sz w:val="24"/>
        </w:rPr>
        <w:t xml:space="preserve"> pay the discretionary penalty</w:t>
      </w:r>
      <w:r w:rsidR="00B64445">
        <w:rPr>
          <w:sz w:val="24"/>
        </w:rPr>
        <w:t xml:space="preserve"> to avoid cancellation</w:t>
      </w:r>
      <w:r w:rsidR="00C46643">
        <w:rPr>
          <w:sz w:val="24"/>
        </w:rPr>
        <w:t>.</w:t>
      </w:r>
    </w:p>
    <w:p w:rsidR="00F748D8" w:rsidRPr="00EC1E01" w:rsidRDefault="00F748D8" w:rsidP="00F42647">
      <w:pPr>
        <w:spacing w:line="480" w:lineRule="auto"/>
        <w:ind w:left="720"/>
        <w:jc w:val="both"/>
        <w:rPr>
          <w:sz w:val="24"/>
        </w:rPr>
      </w:pPr>
      <w:r w:rsidRPr="00EC1E01">
        <w:rPr>
          <w:sz w:val="24"/>
        </w:rPr>
        <w:t xml:space="preserve">DATED this </w:t>
      </w:r>
      <w:r w:rsidR="00350340">
        <w:rPr>
          <w:sz w:val="24"/>
        </w:rPr>
        <w:t>_____</w:t>
      </w:r>
      <w:r w:rsidRPr="00EC1E01">
        <w:rPr>
          <w:sz w:val="24"/>
        </w:rPr>
        <w:t xml:space="preserve"> day of </w:t>
      </w:r>
      <w:r w:rsidR="00350340">
        <w:rPr>
          <w:sz w:val="24"/>
        </w:rPr>
        <w:t>July</w:t>
      </w:r>
      <w:r w:rsidR="00815BBD" w:rsidRPr="00EC1E01">
        <w:rPr>
          <w:sz w:val="24"/>
        </w:rPr>
        <w:t>,</w:t>
      </w:r>
      <w:r w:rsidRPr="00EC1E01">
        <w:rPr>
          <w:sz w:val="24"/>
        </w:rPr>
        <w:t xml:space="preserve"> 20</w:t>
      </w:r>
      <w:r w:rsidR="004A26FF" w:rsidRPr="00EC1E01">
        <w:rPr>
          <w:sz w:val="24"/>
        </w:rPr>
        <w:t>1</w:t>
      </w:r>
      <w:r w:rsidR="00BF2F67" w:rsidRPr="00EC1E01">
        <w:rPr>
          <w:sz w:val="24"/>
        </w:rPr>
        <w:t>3</w:t>
      </w:r>
      <w:r w:rsidRPr="00EC1E01">
        <w:rPr>
          <w:sz w:val="24"/>
        </w:rPr>
        <w:t>.</w:t>
      </w:r>
    </w:p>
    <w:p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rsidR="00F748D8" w:rsidRPr="004A2910" w:rsidRDefault="00F748D8" w:rsidP="00F748D8">
      <w:pPr>
        <w:pStyle w:val="BodyTextIndent2"/>
        <w:rPr>
          <w:rFonts w:ascii="Times New Roman" w:hAnsi="Times New Roman"/>
        </w:rPr>
      </w:pPr>
    </w:p>
    <w:p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rsidR="00F748D8" w:rsidRPr="004A2910" w:rsidRDefault="00F748D8" w:rsidP="00F748D8">
      <w:pPr>
        <w:ind w:firstLine="5040"/>
        <w:jc w:val="both"/>
        <w:rPr>
          <w:sz w:val="24"/>
        </w:rPr>
      </w:pPr>
      <w:r w:rsidRPr="004A2910">
        <w:rPr>
          <w:sz w:val="24"/>
        </w:rPr>
        <w:t>Attorney General</w:t>
      </w:r>
    </w:p>
    <w:p w:rsidR="00F748D8" w:rsidRPr="004A2910" w:rsidRDefault="00F748D8" w:rsidP="00F748D8">
      <w:pPr>
        <w:jc w:val="both"/>
        <w:rPr>
          <w:sz w:val="24"/>
        </w:rPr>
      </w:pPr>
    </w:p>
    <w:p w:rsidR="00F748D8" w:rsidRDefault="00F748D8" w:rsidP="00F748D8">
      <w:pPr>
        <w:jc w:val="both"/>
        <w:rPr>
          <w:sz w:val="24"/>
        </w:rPr>
      </w:pPr>
    </w:p>
    <w:p w:rsidR="00F748D8" w:rsidRPr="004A2910" w:rsidRDefault="00F748D8" w:rsidP="00F748D8">
      <w:pPr>
        <w:ind w:left="1440" w:firstLine="3600"/>
        <w:jc w:val="both"/>
        <w:rPr>
          <w:sz w:val="24"/>
        </w:rPr>
      </w:pPr>
      <w:r w:rsidRPr="004A2910">
        <w:rPr>
          <w:sz w:val="24"/>
        </w:rPr>
        <w:t>______________________________</w:t>
      </w:r>
    </w:p>
    <w:p w:rsidR="00F748D8" w:rsidRPr="004A2910" w:rsidRDefault="00815BBD" w:rsidP="00F748D8">
      <w:pPr>
        <w:ind w:firstLine="5040"/>
        <w:jc w:val="both"/>
        <w:rPr>
          <w:sz w:val="24"/>
        </w:rPr>
      </w:pPr>
      <w:r>
        <w:rPr>
          <w:sz w:val="24"/>
        </w:rPr>
        <w:t>JENNIFER CAMERON-RULKOWSKI</w:t>
      </w:r>
    </w:p>
    <w:p w:rsidR="00F748D8" w:rsidRPr="004A2910" w:rsidRDefault="00F748D8" w:rsidP="00F748D8">
      <w:pPr>
        <w:ind w:left="1440" w:firstLine="3600"/>
        <w:jc w:val="both"/>
        <w:rPr>
          <w:sz w:val="24"/>
        </w:rPr>
      </w:pPr>
      <w:r w:rsidRPr="004A2910">
        <w:rPr>
          <w:sz w:val="24"/>
        </w:rPr>
        <w:t>Assistant Attorney General</w:t>
      </w:r>
    </w:p>
    <w:p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rsidR="00F748D8" w:rsidRDefault="004F69A5" w:rsidP="00F42647">
      <w:pPr>
        <w:ind w:left="2880" w:firstLine="2160"/>
        <w:jc w:val="both"/>
      </w:pPr>
      <w:r>
        <w:rPr>
          <w:sz w:val="24"/>
        </w:rPr>
        <w:t>Transportation Commission</w:t>
      </w:r>
      <w:r w:rsidR="005E07C2">
        <w:rPr>
          <w:sz w:val="24"/>
        </w:rPr>
        <w:t xml:space="preserve"> Staff</w:t>
      </w:r>
    </w:p>
    <w:sectPr w:rsidR="00F748D8" w:rsidSect="00D36354">
      <w:footerReference w:type="default" r:id="rId9"/>
      <w:pgSz w:w="12240" w:h="15840" w:code="1"/>
      <w:pgMar w:top="1440" w:right="1440" w:bottom="1440" w:left="1872"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D5" w:rsidRDefault="00734CD5">
      <w:r>
        <w:separator/>
      </w:r>
    </w:p>
  </w:endnote>
  <w:endnote w:type="continuationSeparator" w:id="0">
    <w:p w:rsidR="00734CD5" w:rsidRDefault="0073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D5" w:rsidRDefault="00734CD5">
    <w:pPr>
      <w:pStyle w:val="Footer"/>
    </w:pPr>
  </w:p>
  <w:p w:rsidR="00734CD5" w:rsidRDefault="00734CD5" w:rsidP="00350340">
    <w:pPr>
      <w:pStyle w:val="Footer"/>
    </w:pPr>
    <w:r>
      <w:t>COMMISSION STAFF’S PETITION</w:t>
    </w:r>
  </w:p>
  <w:p w:rsidR="00734CD5" w:rsidRPr="00737B08" w:rsidRDefault="00734CD5" w:rsidP="00350340">
    <w:pPr>
      <w:pStyle w:val="Footer"/>
    </w:pPr>
    <w:r>
      <w:t>FOR RECONSIDERATION</w:t>
    </w:r>
    <w:r w:rsidRPr="00737B08">
      <w:t xml:space="preserve"> - </w:t>
    </w:r>
    <w:r w:rsidR="00DA54A7" w:rsidRPr="00737B08">
      <w:rPr>
        <w:rStyle w:val="PageNumber"/>
      </w:rPr>
      <w:fldChar w:fldCharType="begin"/>
    </w:r>
    <w:r w:rsidRPr="00737B08">
      <w:rPr>
        <w:rStyle w:val="PageNumber"/>
      </w:rPr>
      <w:instrText xml:space="preserve"> PAGE </w:instrText>
    </w:r>
    <w:r w:rsidR="00DA54A7" w:rsidRPr="00737B08">
      <w:rPr>
        <w:rStyle w:val="PageNumber"/>
      </w:rPr>
      <w:fldChar w:fldCharType="separate"/>
    </w:r>
    <w:r w:rsidR="00915716">
      <w:rPr>
        <w:rStyle w:val="PageNumber"/>
        <w:noProof/>
      </w:rPr>
      <w:t>9</w:t>
    </w:r>
    <w:r w:rsidR="00DA54A7"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D5" w:rsidRDefault="00734CD5">
      <w:r>
        <w:separator/>
      </w:r>
    </w:p>
  </w:footnote>
  <w:footnote w:type="continuationSeparator" w:id="0">
    <w:p w:rsidR="00734CD5" w:rsidRDefault="00734CD5">
      <w:r>
        <w:continuationSeparator/>
      </w:r>
    </w:p>
  </w:footnote>
  <w:footnote w:id="1">
    <w:p w:rsidR="00734CD5" w:rsidRDefault="00734CD5">
      <w:pPr>
        <w:pStyle w:val="FootnoteText"/>
      </w:pPr>
      <w:r>
        <w:rPr>
          <w:rStyle w:val="FootnoteReference"/>
        </w:rPr>
        <w:footnoteRef/>
      </w:r>
      <w:r>
        <w:t xml:space="preserve"> </w:t>
      </w:r>
      <w:proofErr w:type="gramStart"/>
      <w:r>
        <w:t>RCW 81.04.080.</w:t>
      </w:r>
      <w:proofErr w:type="gramEnd"/>
    </w:p>
  </w:footnote>
  <w:footnote w:id="2">
    <w:p w:rsidR="00734CD5" w:rsidRDefault="00734CD5">
      <w:pPr>
        <w:pStyle w:val="FootnoteText"/>
      </w:pPr>
      <w:r>
        <w:rPr>
          <w:rStyle w:val="FootnoteReference"/>
        </w:rPr>
        <w:footnoteRef/>
      </w:r>
      <w:r>
        <w:t xml:space="preserve"> </w:t>
      </w:r>
      <w:proofErr w:type="gramStart"/>
      <w:r>
        <w:t>RCW 81.80.321.</w:t>
      </w:r>
      <w:proofErr w:type="gramEnd"/>
    </w:p>
  </w:footnote>
  <w:footnote w:id="3">
    <w:p w:rsidR="00734CD5" w:rsidRDefault="00734CD5">
      <w:pPr>
        <w:pStyle w:val="FootnoteText"/>
      </w:pPr>
      <w:r>
        <w:rPr>
          <w:rStyle w:val="FootnoteReference"/>
        </w:rPr>
        <w:footnoteRef/>
      </w:r>
      <w:r>
        <w:t xml:space="preserve"> </w:t>
      </w:r>
      <w:proofErr w:type="gramStart"/>
      <w:r>
        <w:t>WAC 480-15-480(4).</w:t>
      </w:r>
      <w:proofErr w:type="gramEnd"/>
    </w:p>
  </w:footnote>
  <w:footnote w:id="4">
    <w:p w:rsidR="00734CD5" w:rsidRDefault="00734CD5">
      <w:pPr>
        <w:pStyle w:val="FootnoteText"/>
      </w:pPr>
      <w:r>
        <w:rPr>
          <w:rStyle w:val="FootnoteReference"/>
        </w:rPr>
        <w:footnoteRef/>
      </w:r>
      <w:r>
        <w:t xml:space="preserve"> </w:t>
      </w:r>
      <w:proofErr w:type="gramStart"/>
      <w:r>
        <w:t>RCW 81.80.321.</w:t>
      </w:r>
      <w:proofErr w:type="gramEnd"/>
    </w:p>
  </w:footnote>
  <w:footnote w:id="5">
    <w:p w:rsidR="00734CD5" w:rsidRDefault="00734CD5">
      <w:pPr>
        <w:pStyle w:val="FootnoteText"/>
      </w:pPr>
      <w:r>
        <w:rPr>
          <w:rStyle w:val="FootnoteReference"/>
        </w:rPr>
        <w:footnoteRef/>
      </w:r>
      <w:r>
        <w:t xml:space="preserve"> </w:t>
      </w:r>
      <w:proofErr w:type="gramStart"/>
      <w:r>
        <w:t>WAC 480-15-480.</w:t>
      </w:r>
      <w:proofErr w:type="gramEnd"/>
    </w:p>
  </w:footnote>
  <w:footnote w:id="6">
    <w:p w:rsidR="00734CD5" w:rsidRPr="00723182" w:rsidRDefault="00734CD5">
      <w:pPr>
        <w:pStyle w:val="FootnoteText"/>
      </w:pPr>
      <w:r>
        <w:rPr>
          <w:rStyle w:val="FootnoteReference"/>
        </w:rPr>
        <w:footnoteRef/>
      </w:r>
      <w:r>
        <w:rPr>
          <w:i/>
        </w:rPr>
        <w:t>E.g.,</w:t>
      </w:r>
      <w:r>
        <w:t xml:space="preserve"> Declaration of Mathew Perkinson dated April 1, 2013 (Decl. of Perkinson), attached to Petition of Commission Staff for Administrative Review of Order 01, filed April 1, 2013, p. 15 (“Penalties on Regulatory Fees filed after May 1” and “Interest on Regulatory Fees filed after May 1”).</w:t>
      </w:r>
    </w:p>
  </w:footnote>
  <w:footnote w:id="7">
    <w:p w:rsidR="00734CD5" w:rsidRPr="00E550F8" w:rsidRDefault="00734CD5">
      <w:pPr>
        <w:pStyle w:val="FootnoteText"/>
      </w:pPr>
      <w:r>
        <w:rPr>
          <w:rStyle w:val="FootnoteReference"/>
        </w:rPr>
        <w:footnoteRef/>
      </w:r>
      <w:r>
        <w:t xml:space="preserve"> </w:t>
      </w:r>
      <w:proofErr w:type="gramStart"/>
      <w:r>
        <w:rPr>
          <w:i/>
        </w:rPr>
        <w:t>E.g.,</w:t>
      </w:r>
      <w:r>
        <w:t xml:space="preserve"> Docket TV-120900.</w:t>
      </w:r>
      <w:proofErr w:type="gramEnd"/>
      <w:r>
        <w:t xml:space="preserve">  </w:t>
      </w:r>
      <w:proofErr w:type="gramStart"/>
      <w:r>
        <w:rPr>
          <w:i/>
        </w:rPr>
        <w:t>See</w:t>
      </w:r>
      <w:r>
        <w:t xml:space="preserve">, </w:t>
      </w:r>
      <w:r>
        <w:rPr>
          <w:i/>
        </w:rPr>
        <w:t>e.g.,</w:t>
      </w:r>
      <w:r>
        <w:t xml:space="preserve"> Decl. of Perkinson at ¶¶ 3-6.</w:t>
      </w:r>
      <w:proofErr w:type="gramEnd"/>
    </w:p>
  </w:footnote>
  <w:footnote w:id="8">
    <w:p w:rsidR="00734CD5" w:rsidRDefault="00734CD5">
      <w:pPr>
        <w:pStyle w:val="FootnoteText"/>
      </w:pPr>
      <w:r>
        <w:rPr>
          <w:rStyle w:val="FootnoteReference"/>
        </w:rPr>
        <w:footnoteRef/>
      </w:r>
      <w:r>
        <w:t xml:space="preserve"> </w:t>
      </w:r>
      <w:r w:rsidRPr="005D66EE">
        <w:t>Docket TV-120900.</w:t>
      </w:r>
    </w:p>
  </w:footnote>
  <w:footnote w:id="9">
    <w:p w:rsidR="00734CD5" w:rsidRPr="00306ED8" w:rsidRDefault="00734CD5">
      <w:pPr>
        <w:pStyle w:val="FootnoteText"/>
      </w:pPr>
      <w:r>
        <w:rPr>
          <w:rStyle w:val="FootnoteReference"/>
        </w:rPr>
        <w:footnoteRef/>
      </w:r>
      <w:r>
        <w:t xml:space="preserve"> </w:t>
      </w:r>
      <w:r>
        <w:rPr>
          <w:i/>
        </w:rPr>
        <w:t>See, e.g.,</w:t>
      </w:r>
      <w:r>
        <w:t xml:space="preserve"> TR. 11:18-12:17.</w:t>
      </w:r>
    </w:p>
  </w:footnote>
  <w:footnote w:id="10">
    <w:p w:rsidR="00734CD5" w:rsidRDefault="00734CD5">
      <w:pPr>
        <w:pStyle w:val="FootnoteText"/>
      </w:pPr>
      <w:r>
        <w:rPr>
          <w:rStyle w:val="FootnoteReference"/>
        </w:rPr>
        <w:footnoteRef/>
      </w:r>
      <w:r>
        <w:t xml:space="preserve"> TR. 13:24-14:25 (A+ Always Moving, Inc.); TR. 15:9-16:11 (AA Star Transfer Co., Inc.); TR. 18:22-19:23 (</w:t>
      </w:r>
      <w:proofErr w:type="spellStart"/>
      <w:r>
        <w:t>Arays</w:t>
      </w:r>
      <w:proofErr w:type="spellEnd"/>
      <w:r>
        <w:t xml:space="preserve"> Moving Service, LLC); TR. 20:24-22:9 (</w:t>
      </w:r>
      <w:proofErr w:type="spellStart"/>
      <w:r>
        <w:t>Grayport</w:t>
      </w:r>
      <w:proofErr w:type="spellEnd"/>
      <w:r>
        <w:t xml:space="preserve"> Transfer &amp; Storage).</w:t>
      </w:r>
    </w:p>
  </w:footnote>
  <w:footnote w:id="11">
    <w:p w:rsidR="00734CD5" w:rsidRDefault="00734CD5">
      <w:pPr>
        <w:pStyle w:val="FootnoteText"/>
      </w:pPr>
      <w:r>
        <w:rPr>
          <w:rStyle w:val="FootnoteReference"/>
        </w:rPr>
        <w:footnoteRef/>
      </w:r>
      <w:r>
        <w:t xml:space="preserve"> TR. 16:12-17:13 (AA Star); TR. 21:14-19 (</w:t>
      </w:r>
      <w:proofErr w:type="spellStart"/>
      <w:r>
        <w:t>Grayport</w:t>
      </w:r>
      <w:proofErr w:type="spellEnd"/>
      <w:r>
        <w:t>).</w:t>
      </w:r>
    </w:p>
  </w:footnote>
  <w:footnote w:id="12">
    <w:p w:rsidR="00734CD5" w:rsidRDefault="00734CD5">
      <w:pPr>
        <w:pStyle w:val="FootnoteText"/>
      </w:pPr>
      <w:r>
        <w:rPr>
          <w:rStyle w:val="FootnoteReference"/>
        </w:rPr>
        <w:footnoteRef/>
      </w:r>
      <w:r>
        <w:t xml:space="preserve"> TR. 25:7-15; TR. 18:5-10 (AA Star); TR. 22:17-21 (</w:t>
      </w:r>
      <w:proofErr w:type="spellStart"/>
      <w:r>
        <w:t>Grayport</w:t>
      </w:r>
      <w:proofErr w:type="spellEnd"/>
      <w:r>
        <w:t>).</w:t>
      </w:r>
    </w:p>
  </w:footnote>
  <w:footnote w:id="13">
    <w:p w:rsidR="00734CD5" w:rsidRDefault="00734CD5">
      <w:pPr>
        <w:pStyle w:val="FootnoteText"/>
      </w:pPr>
      <w:r>
        <w:rPr>
          <w:rStyle w:val="FootnoteReference"/>
        </w:rPr>
        <w:footnoteRef/>
      </w:r>
      <w:r>
        <w:t xml:space="preserve"> </w:t>
      </w:r>
      <w:r>
        <w:rPr>
          <w:i/>
        </w:rPr>
        <w:t>E.g.</w:t>
      </w:r>
      <w:r w:rsidRPr="0009047E">
        <w:t xml:space="preserve">, </w:t>
      </w:r>
      <w:r>
        <w:t>TR. 16:25-17:8</w:t>
      </w:r>
    </w:p>
    <w:p w:rsidR="00734CD5" w:rsidRDefault="00734CD5" w:rsidP="00EB0DE6">
      <w:pPr>
        <w:pStyle w:val="FootnoteText"/>
        <w:ind w:left="720"/>
      </w:pPr>
      <w:r>
        <w:t xml:space="preserve">Ms. Cameron-Rulkowski: Your Honor, I’m referring only to the penalty, the 2 percent </w:t>
      </w:r>
      <w:proofErr w:type="gramStart"/>
      <w:r>
        <w:t>penalty, that</w:t>
      </w:r>
      <w:proofErr w:type="gramEnd"/>
      <w:r>
        <w:t xml:space="preserve"> is required under RCW 81.80.321 for late-filed annual reports.  </w:t>
      </w:r>
      <w:proofErr w:type="gramStart"/>
      <w:r>
        <w:t>When a company does then pay its—sorry, for late-filed regulatory fees.</w:t>
      </w:r>
      <w:proofErr w:type="gramEnd"/>
      <w:r>
        <w:t xml:space="preserve">  When a company does pay its regulatory fee, then they are required in that statute to add a </w:t>
      </w:r>
      <w:proofErr w:type="gramStart"/>
      <w:r>
        <w:t>penalty, that</w:t>
      </w:r>
      <w:proofErr w:type="gramEnd"/>
      <w:r>
        <w:t xml:space="preserve"> is provided for right in that statute, and then also a fee.  That’s set forth in RCW 81.80.321;</w:t>
      </w:r>
    </w:p>
    <w:p w:rsidR="00734CD5" w:rsidRDefault="00734CD5" w:rsidP="00492EA7">
      <w:pPr>
        <w:pStyle w:val="FootnoteText"/>
      </w:pPr>
      <w:r>
        <w:t>TR. 18:7-10</w:t>
      </w:r>
    </w:p>
    <w:p w:rsidR="00734CD5" w:rsidRPr="0091430E" w:rsidRDefault="00734CD5" w:rsidP="00EB0DE6">
      <w:pPr>
        <w:pStyle w:val="FootnoteText"/>
        <w:ind w:left="720"/>
      </w:pPr>
      <w:r>
        <w:t xml:space="preserve">I recommend that [AA Star’s] permit not be cancelled on the condition that the </w:t>
      </w:r>
      <w:proofErr w:type="gramStart"/>
      <w:r>
        <w:t>company pay</w:t>
      </w:r>
      <w:proofErr w:type="gramEnd"/>
      <w:r>
        <w:t xml:space="preserve"> the statutory penalty and fee within ten days after the order in this proceeding is issued.</w:t>
      </w:r>
    </w:p>
  </w:footnote>
  <w:footnote w:id="14">
    <w:p w:rsidR="00734CD5" w:rsidRDefault="00734CD5">
      <w:pPr>
        <w:pStyle w:val="FootnoteText"/>
      </w:pPr>
      <w:r>
        <w:rPr>
          <w:rStyle w:val="FootnoteReference"/>
        </w:rPr>
        <w:footnoteRef/>
      </w:r>
      <w:r>
        <w:t xml:space="preserve"> TR. 13:17-23.</w:t>
      </w:r>
    </w:p>
  </w:footnote>
  <w:footnote w:id="15">
    <w:p w:rsidR="00734CD5" w:rsidRDefault="00734CD5">
      <w:pPr>
        <w:pStyle w:val="FootnoteText"/>
      </w:pPr>
      <w:r>
        <w:rPr>
          <w:rStyle w:val="FootnoteReference"/>
        </w:rPr>
        <w:footnoteRef/>
      </w:r>
      <w:r>
        <w:t xml:space="preserve"> TR. 23:8-24:20; note also TR. 16: 22-24, where i</w:t>
      </w:r>
      <w:r w:rsidRPr="008942BC">
        <w:t xml:space="preserve">t </w:t>
      </w:r>
      <w:r>
        <w:t>is possible that the Bench was referring to the Discretionary Penalty notwithstanding the RCW 81.80.321 context of Staff’s testimony.</w:t>
      </w:r>
    </w:p>
  </w:footnote>
  <w:footnote w:id="16">
    <w:p w:rsidR="00734CD5" w:rsidRDefault="00734CD5">
      <w:pPr>
        <w:pStyle w:val="FootnoteText"/>
      </w:pPr>
      <w:r>
        <w:rPr>
          <w:rStyle w:val="FootnoteReference"/>
        </w:rPr>
        <w:footnoteRef/>
      </w:r>
      <w:r>
        <w:t xml:space="preserve"> TR. 23:8-24:20.</w:t>
      </w:r>
    </w:p>
  </w:footnote>
  <w:footnote w:id="17">
    <w:p w:rsidR="00734CD5" w:rsidRDefault="00734CD5">
      <w:pPr>
        <w:pStyle w:val="FootnoteText"/>
      </w:pPr>
      <w:r>
        <w:rPr>
          <w:rStyle w:val="FootnoteReference"/>
        </w:rPr>
        <w:footnoteRef/>
      </w:r>
      <w:r>
        <w:t xml:space="preserve"> </w:t>
      </w:r>
      <w:proofErr w:type="gramStart"/>
      <w:r>
        <w:t>I</w:t>
      </w:r>
      <w:r w:rsidR="000073D6">
        <w:t>nitial Order</w:t>
      </w:r>
      <w:r>
        <w:t xml:space="preserve"> at ¶ 18.</w:t>
      </w:r>
      <w:proofErr w:type="gramEnd"/>
    </w:p>
  </w:footnote>
  <w:footnote w:id="18">
    <w:p w:rsidR="00734CD5" w:rsidRDefault="00734CD5">
      <w:pPr>
        <w:pStyle w:val="FootnoteText"/>
      </w:pPr>
      <w:r>
        <w:rPr>
          <w:rStyle w:val="FootnoteReference"/>
        </w:rPr>
        <w:footnoteRef/>
      </w:r>
      <w:r>
        <w:t xml:space="preserve"> </w:t>
      </w:r>
      <w:proofErr w:type="gramStart"/>
      <w:r w:rsidRPr="00915716">
        <w:rPr>
          <w:i/>
        </w:rPr>
        <w:t>I</w:t>
      </w:r>
      <w:r w:rsidR="000073D6" w:rsidRPr="00915716">
        <w:rPr>
          <w:i/>
        </w:rPr>
        <w:t>d</w:t>
      </w:r>
      <w:r w:rsidR="000073D6">
        <w:t>.</w:t>
      </w:r>
      <w:r>
        <w:t xml:space="preserve"> at ¶ 15.</w:t>
      </w:r>
      <w:proofErr w:type="gramEnd"/>
    </w:p>
  </w:footnote>
  <w:footnote w:id="19">
    <w:p w:rsidR="00734CD5" w:rsidRPr="00E0709E" w:rsidRDefault="00734CD5" w:rsidP="00B86AAE">
      <w:pPr>
        <w:pStyle w:val="FootnoteText"/>
      </w:pPr>
      <w:r>
        <w:rPr>
          <w:rStyle w:val="FootnoteReference"/>
        </w:rPr>
        <w:footnoteRef/>
      </w:r>
      <w:r>
        <w:t xml:space="preserve"> </w:t>
      </w:r>
      <w:proofErr w:type="gramStart"/>
      <w:r w:rsidRPr="00915716">
        <w:rPr>
          <w:i/>
        </w:rPr>
        <w:t>I</w:t>
      </w:r>
      <w:r w:rsidR="000073D6" w:rsidRPr="00915716">
        <w:rPr>
          <w:i/>
        </w:rPr>
        <w:t>d</w:t>
      </w:r>
      <w:r w:rsidR="000073D6">
        <w:t>.</w:t>
      </w:r>
      <w:r>
        <w:t xml:space="preserve"> at ¶ 7, n. 6 (TR. 21:1-25; 22:1-21).</w:t>
      </w:r>
      <w:proofErr w:type="gramEnd"/>
    </w:p>
  </w:footnote>
  <w:footnote w:id="20">
    <w:p w:rsidR="00734CD5" w:rsidRDefault="00734CD5">
      <w:pPr>
        <w:pStyle w:val="FootnoteText"/>
      </w:pPr>
      <w:r>
        <w:rPr>
          <w:rStyle w:val="FootnoteReference"/>
        </w:rPr>
        <w:footnoteRef/>
      </w:r>
      <w:r>
        <w:t xml:space="preserve"> </w:t>
      </w:r>
      <w:proofErr w:type="gramStart"/>
      <w:r w:rsidRPr="00915716">
        <w:rPr>
          <w:i/>
        </w:rPr>
        <w:t>I</w:t>
      </w:r>
      <w:r w:rsidR="000073D6" w:rsidRPr="00915716">
        <w:rPr>
          <w:i/>
        </w:rPr>
        <w:t>d</w:t>
      </w:r>
      <w:r w:rsidR="000073D6">
        <w:t>.</w:t>
      </w:r>
      <w:r>
        <w:t xml:space="preserve"> at ¶ 7, n. 6.</w:t>
      </w:r>
      <w:proofErr w:type="gramEnd"/>
      <w:r>
        <w:t xml:space="preserve">  Staff testified at TR. 23:8-15 that AA Star and </w:t>
      </w:r>
      <w:proofErr w:type="spellStart"/>
      <w:r>
        <w:t>Grayport</w:t>
      </w:r>
      <w:proofErr w:type="spellEnd"/>
      <w:r>
        <w:t xml:space="preserve"> had not paid the discretionary penalties.</w:t>
      </w:r>
    </w:p>
  </w:footnote>
  <w:footnote w:id="21">
    <w:p w:rsidR="00734CD5" w:rsidRDefault="00734CD5">
      <w:pPr>
        <w:pStyle w:val="FootnoteText"/>
      </w:pPr>
      <w:r>
        <w:rPr>
          <w:rStyle w:val="FootnoteReference"/>
        </w:rPr>
        <w:footnoteRef/>
      </w:r>
      <w:r>
        <w:t xml:space="preserve"> </w:t>
      </w:r>
      <w:proofErr w:type="gramStart"/>
      <w:r>
        <w:t>Final Order at ¶ 4.</w:t>
      </w:r>
      <w:proofErr w:type="gramEnd"/>
    </w:p>
  </w:footnote>
  <w:footnote w:id="22">
    <w:p w:rsidR="00734CD5" w:rsidRPr="000073D6" w:rsidRDefault="00734CD5">
      <w:pPr>
        <w:pStyle w:val="FootnoteText"/>
      </w:pPr>
      <w:r>
        <w:rPr>
          <w:rStyle w:val="FootnoteReference"/>
        </w:rPr>
        <w:footnoteRef/>
      </w:r>
      <w:r>
        <w:t xml:space="preserve"> </w:t>
      </w:r>
      <w:proofErr w:type="gramStart"/>
      <w:r>
        <w:rPr>
          <w:i/>
        </w:rPr>
        <w:t>Id.</w:t>
      </w:r>
      <w:r w:rsidR="000073D6">
        <w:rPr>
          <w:i/>
        </w:rPr>
        <w:t xml:space="preserve"> </w:t>
      </w:r>
      <w:r w:rsidR="000073D6">
        <w:t>at ¶ 4.</w:t>
      </w:r>
      <w:proofErr w:type="gramEnd"/>
    </w:p>
  </w:footnote>
  <w:footnote w:id="23">
    <w:p w:rsidR="00734CD5" w:rsidRPr="000F522F" w:rsidRDefault="00734CD5">
      <w:pPr>
        <w:pStyle w:val="FootnoteText"/>
      </w:pPr>
      <w:r>
        <w:rPr>
          <w:rStyle w:val="FootnoteReference"/>
        </w:rPr>
        <w:footnoteRef/>
      </w:r>
      <w:r>
        <w:t xml:space="preserve"> </w:t>
      </w:r>
      <w:proofErr w:type="gramStart"/>
      <w:r>
        <w:rPr>
          <w:i/>
        </w:rPr>
        <w:t>Id.</w:t>
      </w:r>
      <w:r>
        <w:t xml:space="preserve"> at ¶ 5.</w:t>
      </w:r>
      <w:proofErr w:type="gramEnd"/>
    </w:p>
  </w:footnote>
  <w:footnote w:id="24">
    <w:p w:rsidR="00734CD5" w:rsidRPr="00AB25A6" w:rsidRDefault="00734CD5">
      <w:pPr>
        <w:pStyle w:val="FootnoteText"/>
      </w:pPr>
      <w:r>
        <w:rPr>
          <w:rStyle w:val="FootnoteReference"/>
        </w:rPr>
        <w:footnoteRef/>
      </w:r>
      <w:r>
        <w:t xml:space="preserve"> </w:t>
      </w:r>
      <w:proofErr w:type="gramStart"/>
      <w:r>
        <w:rPr>
          <w:i/>
        </w:rPr>
        <w:t>Id.</w:t>
      </w:r>
      <w:r>
        <w:t xml:space="preserve"> at ¶ 5.</w:t>
      </w:r>
      <w:proofErr w:type="gramEnd"/>
    </w:p>
  </w:footnote>
  <w:footnote w:id="25">
    <w:p w:rsidR="00734CD5" w:rsidRDefault="00734CD5">
      <w:pPr>
        <w:pStyle w:val="FootnoteText"/>
      </w:pPr>
      <w:r>
        <w:rPr>
          <w:rStyle w:val="FootnoteReference"/>
        </w:rPr>
        <w:footnoteRef/>
      </w:r>
      <w:r>
        <w:t xml:space="preserve"> </w:t>
      </w:r>
      <w:r w:rsidRPr="00D87555">
        <w:t>RCW 34.05.470 and WAC 480-07-850</w:t>
      </w:r>
    </w:p>
  </w:footnote>
  <w:footnote w:id="26">
    <w:p w:rsidR="00734CD5" w:rsidRDefault="00734CD5">
      <w:pPr>
        <w:pStyle w:val="FootnoteText"/>
      </w:pPr>
      <w:r>
        <w:rPr>
          <w:rStyle w:val="FootnoteReference"/>
        </w:rPr>
        <w:footnoteRef/>
      </w:r>
      <w:r>
        <w:t xml:space="preserve"> </w:t>
      </w:r>
      <w:proofErr w:type="gramStart"/>
      <w:r>
        <w:t>RCW 34.05.010(14).</w:t>
      </w:r>
      <w:proofErr w:type="gramEnd"/>
    </w:p>
  </w:footnote>
  <w:footnote w:id="27">
    <w:p w:rsidR="00734CD5" w:rsidRDefault="00734CD5">
      <w:pPr>
        <w:pStyle w:val="FootnoteText"/>
      </w:pPr>
      <w:r>
        <w:rPr>
          <w:rStyle w:val="FootnoteReference"/>
        </w:rPr>
        <w:footnoteRef/>
      </w:r>
      <w:r>
        <w:t xml:space="preserve"> </w:t>
      </w:r>
      <w:proofErr w:type="gramStart"/>
      <w:r>
        <w:t>RCW 34.05.050.</w:t>
      </w:r>
      <w:proofErr w:type="gramEnd"/>
    </w:p>
  </w:footnote>
  <w:footnote w:id="28">
    <w:p w:rsidR="00734CD5" w:rsidRDefault="00734CD5">
      <w:pPr>
        <w:pStyle w:val="FootnoteText"/>
      </w:pPr>
      <w:r>
        <w:rPr>
          <w:rStyle w:val="FootnoteReference"/>
        </w:rPr>
        <w:footnoteRef/>
      </w:r>
      <w:r>
        <w:t xml:space="preserve"> RCW 81.04.210.  See also WAC 480-07-875.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A2BD3"/>
    <w:multiLevelType w:val="hybridMultilevel"/>
    <w:tmpl w:val="9BFA3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48D8"/>
    <w:rsid w:val="000073D6"/>
    <w:rsid w:val="00007F7F"/>
    <w:rsid w:val="000125BA"/>
    <w:rsid w:val="00025DB8"/>
    <w:rsid w:val="000307F2"/>
    <w:rsid w:val="00070329"/>
    <w:rsid w:val="000709A9"/>
    <w:rsid w:val="00077A7A"/>
    <w:rsid w:val="00087233"/>
    <w:rsid w:val="0009047E"/>
    <w:rsid w:val="000933B5"/>
    <w:rsid w:val="00094017"/>
    <w:rsid w:val="000A0F7B"/>
    <w:rsid w:val="000B078D"/>
    <w:rsid w:val="000B2F1C"/>
    <w:rsid w:val="000C5CD4"/>
    <w:rsid w:val="000E0F10"/>
    <w:rsid w:val="000E25D8"/>
    <w:rsid w:val="000F522F"/>
    <w:rsid w:val="00102718"/>
    <w:rsid w:val="001234D2"/>
    <w:rsid w:val="001341F8"/>
    <w:rsid w:val="00141256"/>
    <w:rsid w:val="00141CAC"/>
    <w:rsid w:val="001529F7"/>
    <w:rsid w:val="00157BD4"/>
    <w:rsid w:val="00185055"/>
    <w:rsid w:val="001904C0"/>
    <w:rsid w:val="001907C0"/>
    <w:rsid w:val="00194370"/>
    <w:rsid w:val="001A384C"/>
    <w:rsid w:val="001A3E51"/>
    <w:rsid w:val="001A3F30"/>
    <w:rsid w:val="001C1188"/>
    <w:rsid w:val="001E4715"/>
    <w:rsid w:val="001F07AA"/>
    <w:rsid w:val="001F1797"/>
    <w:rsid w:val="00203A8E"/>
    <w:rsid w:val="0021574B"/>
    <w:rsid w:val="002158E9"/>
    <w:rsid w:val="00217DF3"/>
    <w:rsid w:val="0022004E"/>
    <w:rsid w:val="00225541"/>
    <w:rsid w:val="0024418D"/>
    <w:rsid w:val="00245F21"/>
    <w:rsid w:val="0025442A"/>
    <w:rsid w:val="00255923"/>
    <w:rsid w:val="00267107"/>
    <w:rsid w:val="00273691"/>
    <w:rsid w:val="002747AE"/>
    <w:rsid w:val="002869B7"/>
    <w:rsid w:val="00287DB0"/>
    <w:rsid w:val="00287E69"/>
    <w:rsid w:val="002A5BDA"/>
    <w:rsid w:val="002A7147"/>
    <w:rsid w:val="002C3B3A"/>
    <w:rsid w:val="002C53F0"/>
    <w:rsid w:val="00301085"/>
    <w:rsid w:val="00306ED8"/>
    <w:rsid w:val="00310240"/>
    <w:rsid w:val="003117FE"/>
    <w:rsid w:val="00334FDF"/>
    <w:rsid w:val="003401E2"/>
    <w:rsid w:val="0034171C"/>
    <w:rsid w:val="00350340"/>
    <w:rsid w:val="0036746E"/>
    <w:rsid w:val="003770F8"/>
    <w:rsid w:val="00385B13"/>
    <w:rsid w:val="0038695C"/>
    <w:rsid w:val="00394AA2"/>
    <w:rsid w:val="003A0789"/>
    <w:rsid w:val="003A21F6"/>
    <w:rsid w:val="003B24FB"/>
    <w:rsid w:val="003C017C"/>
    <w:rsid w:val="003C047A"/>
    <w:rsid w:val="003C391E"/>
    <w:rsid w:val="003C5390"/>
    <w:rsid w:val="003C6F4A"/>
    <w:rsid w:val="003E3B7E"/>
    <w:rsid w:val="003F1945"/>
    <w:rsid w:val="004126EA"/>
    <w:rsid w:val="00420F5F"/>
    <w:rsid w:val="00434336"/>
    <w:rsid w:val="00443BA5"/>
    <w:rsid w:val="00463636"/>
    <w:rsid w:val="00475C77"/>
    <w:rsid w:val="00492EA7"/>
    <w:rsid w:val="004A26FF"/>
    <w:rsid w:val="004A4F64"/>
    <w:rsid w:val="004A5EA0"/>
    <w:rsid w:val="004C3D65"/>
    <w:rsid w:val="004C7886"/>
    <w:rsid w:val="004D662F"/>
    <w:rsid w:val="004D73AD"/>
    <w:rsid w:val="004E0FFE"/>
    <w:rsid w:val="004F67A6"/>
    <w:rsid w:val="004F69A5"/>
    <w:rsid w:val="004F6A6E"/>
    <w:rsid w:val="00501FFC"/>
    <w:rsid w:val="00502F50"/>
    <w:rsid w:val="00507B50"/>
    <w:rsid w:val="00512E61"/>
    <w:rsid w:val="00513D4A"/>
    <w:rsid w:val="005154CF"/>
    <w:rsid w:val="00523A48"/>
    <w:rsid w:val="00534D2C"/>
    <w:rsid w:val="00550EF4"/>
    <w:rsid w:val="00570287"/>
    <w:rsid w:val="00595D41"/>
    <w:rsid w:val="005A5E6E"/>
    <w:rsid w:val="005C1C9D"/>
    <w:rsid w:val="005C73E7"/>
    <w:rsid w:val="005D0260"/>
    <w:rsid w:val="005D0708"/>
    <w:rsid w:val="005D5001"/>
    <w:rsid w:val="005D66EE"/>
    <w:rsid w:val="005D76F5"/>
    <w:rsid w:val="005E07C2"/>
    <w:rsid w:val="005E12A6"/>
    <w:rsid w:val="005E1703"/>
    <w:rsid w:val="005E4031"/>
    <w:rsid w:val="005E697A"/>
    <w:rsid w:val="00600898"/>
    <w:rsid w:val="006017D5"/>
    <w:rsid w:val="00610CAD"/>
    <w:rsid w:val="00613600"/>
    <w:rsid w:val="0062128F"/>
    <w:rsid w:val="00623337"/>
    <w:rsid w:val="00626AAA"/>
    <w:rsid w:val="006304B4"/>
    <w:rsid w:val="00633EE1"/>
    <w:rsid w:val="00641F98"/>
    <w:rsid w:val="00651CD9"/>
    <w:rsid w:val="0065561B"/>
    <w:rsid w:val="006826E6"/>
    <w:rsid w:val="00683F1B"/>
    <w:rsid w:val="0069633B"/>
    <w:rsid w:val="006A1DA6"/>
    <w:rsid w:val="006C3F37"/>
    <w:rsid w:val="006C75A2"/>
    <w:rsid w:val="006D13E3"/>
    <w:rsid w:val="006D258C"/>
    <w:rsid w:val="006D587B"/>
    <w:rsid w:val="00711F81"/>
    <w:rsid w:val="007162BB"/>
    <w:rsid w:val="00716A15"/>
    <w:rsid w:val="00723182"/>
    <w:rsid w:val="00734CD5"/>
    <w:rsid w:val="00737B08"/>
    <w:rsid w:val="00740C95"/>
    <w:rsid w:val="007464F1"/>
    <w:rsid w:val="00763530"/>
    <w:rsid w:val="00764C3B"/>
    <w:rsid w:val="00765DA2"/>
    <w:rsid w:val="00766052"/>
    <w:rsid w:val="0076699B"/>
    <w:rsid w:val="0077789A"/>
    <w:rsid w:val="00787471"/>
    <w:rsid w:val="007A5942"/>
    <w:rsid w:val="007B38A1"/>
    <w:rsid w:val="007B501B"/>
    <w:rsid w:val="007C1BA6"/>
    <w:rsid w:val="007C6CFF"/>
    <w:rsid w:val="007E180D"/>
    <w:rsid w:val="007F2E3A"/>
    <w:rsid w:val="007F7F8F"/>
    <w:rsid w:val="008015B8"/>
    <w:rsid w:val="0080210B"/>
    <w:rsid w:val="00815BBD"/>
    <w:rsid w:val="008237DB"/>
    <w:rsid w:val="00835284"/>
    <w:rsid w:val="00835CB2"/>
    <w:rsid w:val="008400F6"/>
    <w:rsid w:val="00870B76"/>
    <w:rsid w:val="00872B9E"/>
    <w:rsid w:val="00874231"/>
    <w:rsid w:val="0089062F"/>
    <w:rsid w:val="008942BC"/>
    <w:rsid w:val="008A465E"/>
    <w:rsid w:val="008B561D"/>
    <w:rsid w:val="008B69E4"/>
    <w:rsid w:val="008D0DBF"/>
    <w:rsid w:val="008F1889"/>
    <w:rsid w:val="009060F2"/>
    <w:rsid w:val="00906D2E"/>
    <w:rsid w:val="00907DF8"/>
    <w:rsid w:val="0091213A"/>
    <w:rsid w:val="0091430E"/>
    <w:rsid w:val="00915716"/>
    <w:rsid w:val="00923D3C"/>
    <w:rsid w:val="00944BE8"/>
    <w:rsid w:val="00944C71"/>
    <w:rsid w:val="00946C82"/>
    <w:rsid w:val="009570F9"/>
    <w:rsid w:val="00971AD0"/>
    <w:rsid w:val="00985D0A"/>
    <w:rsid w:val="009A17F7"/>
    <w:rsid w:val="009B137C"/>
    <w:rsid w:val="009B226E"/>
    <w:rsid w:val="009C2DB0"/>
    <w:rsid w:val="009D3E3D"/>
    <w:rsid w:val="009D6057"/>
    <w:rsid w:val="009D7021"/>
    <w:rsid w:val="009E4121"/>
    <w:rsid w:val="00A100D1"/>
    <w:rsid w:val="00A25DD2"/>
    <w:rsid w:val="00A26702"/>
    <w:rsid w:val="00A30C52"/>
    <w:rsid w:val="00A31192"/>
    <w:rsid w:val="00A323A5"/>
    <w:rsid w:val="00A40E30"/>
    <w:rsid w:val="00A538B6"/>
    <w:rsid w:val="00A7360E"/>
    <w:rsid w:val="00A74324"/>
    <w:rsid w:val="00A80028"/>
    <w:rsid w:val="00A918DE"/>
    <w:rsid w:val="00A96EF3"/>
    <w:rsid w:val="00A97E19"/>
    <w:rsid w:val="00AB25A6"/>
    <w:rsid w:val="00AB5356"/>
    <w:rsid w:val="00AC2894"/>
    <w:rsid w:val="00AD03AF"/>
    <w:rsid w:val="00AD44A9"/>
    <w:rsid w:val="00AF4193"/>
    <w:rsid w:val="00AF6FDD"/>
    <w:rsid w:val="00AF7D86"/>
    <w:rsid w:val="00B14222"/>
    <w:rsid w:val="00B2609C"/>
    <w:rsid w:val="00B5197A"/>
    <w:rsid w:val="00B53814"/>
    <w:rsid w:val="00B57F8C"/>
    <w:rsid w:val="00B60B01"/>
    <w:rsid w:val="00B64445"/>
    <w:rsid w:val="00B7276A"/>
    <w:rsid w:val="00B73973"/>
    <w:rsid w:val="00B76773"/>
    <w:rsid w:val="00B86AAE"/>
    <w:rsid w:val="00BA024C"/>
    <w:rsid w:val="00BA791B"/>
    <w:rsid w:val="00BC3090"/>
    <w:rsid w:val="00BC628F"/>
    <w:rsid w:val="00BC7590"/>
    <w:rsid w:val="00BF2F67"/>
    <w:rsid w:val="00BF3CD1"/>
    <w:rsid w:val="00BF71A3"/>
    <w:rsid w:val="00C03B0E"/>
    <w:rsid w:val="00C20765"/>
    <w:rsid w:val="00C26060"/>
    <w:rsid w:val="00C31590"/>
    <w:rsid w:val="00C360A4"/>
    <w:rsid w:val="00C37F16"/>
    <w:rsid w:val="00C46643"/>
    <w:rsid w:val="00C47F2E"/>
    <w:rsid w:val="00C5478B"/>
    <w:rsid w:val="00C62867"/>
    <w:rsid w:val="00C644B9"/>
    <w:rsid w:val="00C77441"/>
    <w:rsid w:val="00C928BB"/>
    <w:rsid w:val="00CA3AB8"/>
    <w:rsid w:val="00CA6199"/>
    <w:rsid w:val="00CA69DD"/>
    <w:rsid w:val="00CC5741"/>
    <w:rsid w:val="00CD0681"/>
    <w:rsid w:val="00CD3BCE"/>
    <w:rsid w:val="00CD6A86"/>
    <w:rsid w:val="00CE59FA"/>
    <w:rsid w:val="00CF13B6"/>
    <w:rsid w:val="00CF475B"/>
    <w:rsid w:val="00D02175"/>
    <w:rsid w:val="00D041D4"/>
    <w:rsid w:val="00D05779"/>
    <w:rsid w:val="00D2009F"/>
    <w:rsid w:val="00D22816"/>
    <w:rsid w:val="00D24042"/>
    <w:rsid w:val="00D36354"/>
    <w:rsid w:val="00D526F8"/>
    <w:rsid w:val="00D55B8D"/>
    <w:rsid w:val="00D87555"/>
    <w:rsid w:val="00DA2AAD"/>
    <w:rsid w:val="00DA492F"/>
    <w:rsid w:val="00DA54A7"/>
    <w:rsid w:val="00DB4F3A"/>
    <w:rsid w:val="00DB5F91"/>
    <w:rsid w:val="00DC5266"/>
    <w:rsid w:val="00DD178A"/>
    <w:rsid w:val="00DD52FC"/>
    <w:rsid w:val="00DE080F"/>
    <w:rsid w:val="00DF28A8"/>
    <w:rsid w:val="00E0709E"/>
    <w:rsid w:val="00E158AB"/>
    <w:rsid w:val="00E36857"/>
    <w:rsid w:val="00E53360"/>
    <w:rsid w:val="00E550F8"/>
    <w:rsid w:val="00E56147"/>
    <w:rsid w:val="00E627BA"/>
    <w:rsid w:val="00E74DB9"/>
    <w:rsid w:val="00E95B96"/>
    <w:rsid w:val="00EA0765"/>
    <w:rsid w:val="00EA3AF5"/>
    <w:rsid w:val="00EB0DE6"/>
    <w:rsid w:val="00EB4810"/>
    <w:rsid w:val="00EB50DB"/>
    <w:rsid w:val="00EB6ED3"/>
    <w:rsid w:val="00EC1E01"/>
    <w:rsid w:val="00EC379F"/>
    <w:rsid w:val="00ED04A7"/>
    <w:rsid w:val="00ED287D"/>
    <w:rsid w:val="00ED4538"/>
    <w:rsid w:val="00EE7DD4"/>
    <w:rsid w:val="00F053F1"/>
    <w:rsid w:val="00F35552"/>
    <w:rsid w:val="00F40DBD"/>
    <w:rsid w:val="00F42647"/>
    <w:rsid w:val="00F748D8"/>
    <w:rsid w:val="00F77C60"/>
    <w:rsid w:val="00F831A8"/>
    <w:rsid w:val="00F87D89"/>
    <w:rsid w:val="00F96073"/>
    <w:rsid w:val="00FA58D9"/>
    <w:rsid w:val="00FB4C87"/>
    <w:rsid w:val="00FB75CD"/>
    <w:rsid w:val="00FD10CE"/>
    <w:rsid w:val="00FD7FE2"/>
    <w:rsid w:val="00FE097F"/>
    <w:rsid w:val="00FE0C7F"/>
    <w:rsid w:val="00FE5540"/>
    <w:rsid w:val="00FF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NoSpacing">
    <w:name w:val="No Spacing"/>
    <w:uiPriority w:val="1"/>
    <w:qFormat/>
    <w:rsid w:val="00815BBD"/>
    <w:rPr>
      <w:rFonts w:eastAsia="Calibri"/>
      <w:sz w:val="25"/>
      <w:szCs w:val="22"/>
    </w:rPr>
  </w:style>
  <w:style w:type="paragraph" w:styleId="BalloonText">
    <w:name w:val="Balloon Text"/>
    <w:basedOn w:val="Normal"/>
    <w:link w:val="BalloonTextChar"/>
    <w:rsid w:val="00EC1E01"/>
    <w:rPr>
      <w:rFonts w:ascii="Tahoma" w:hAnsi="Tahoma" w:cs="Tahoma"/>
      <w:sz w:val="16"/>
      <w:szCs w:val="16"/>
    </w:rPr>
  </w:style>
  <w:style w:type="character" w:customStyle="1" w:styleId="BalloonTextChar">
    <w:name w:val="Balloon Text Char"/>
    <w:basedOn w:val="DefaultParagraphFont"/>
    <w:link w:val="BalloonText"/>
    <w:rsid w:val="00EC1E01"/>
    <w:rPr>
      <w:rFonts w:ascii="Tahoma" w:hAnsi="Tahoma" w:cs="Tahoma"/>
      <w:sz w:val="16"/>
      <w:szCs w:val="16"/>
    </w:rPr>
  </w:style>
  <w:style w:type="paragraph" w:styleId="ListParagraph">
    <w:name w:val="List Paragraph"/>
    <w:basedOn w:val="Normal"/>
    <w:uiPriority w:val="34"/>
    <w:qFormat/>
    <w:rsid w:val="00DF28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NoSpacing">
    <w:name w:val="No Spacing"/>
    <w:uiPriority w:val="1"/>
    <w:qFormat/>
    <w:rsid w:val="00815BBD"/>
    <w:rPr>
      <w:rFonts w:eastAsia="Calibri"/>
      <w:sz w:val="25"/>
      <w:szCs w:val="22"/>
    </w:rPr>
  </w:style>
  <w:style w:type="paragraph" w:styleId="BalloonText">
    <w:name w:val="Balloon Text"/>
    <w:basedOn w:val="Normal"/>
    <w:link w:val="BalloonTextChar"/>
    <w:rsid w:val="00EC1E01"/>
    <w:rPr>
      <w:rFonts w:ascii="Tahoma" w:hAnsi="Tahoma" w:cs="Tahoma"/>
      <w:sz w:val="16"/>
      <w:szCs w:val="16"/>
    </w:rPr>
  </w:style>
  <w:style w:type="character" w:customStyle="1" w:styleId="BalloonTextChar">
    <w:name w:val="Balloon Text Char"/>
    <w:basedOn w:val="DefaultParagraphFont"/>
    <w:link w:val="BalloonText"/>
    <w:rsid w:val="00EC1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2012-10-30T07:00:00+00:00</OpenedDate>
    <Date1 xmlns="dc463f71-b30c-4ab2-9473-d307f9d35888">2013-07-22T07:00:00+00:00</Date1>
    <IsDocumentOrder xmlns="dc463f71-b30c-4ab2-9473-d307f9d35888" xsi:nil="true"/>
    <IsHighlyConfidential xmlns="dc463f71-b30c-4ab2-9473-d307f9d35888">false</IsHighlyConfidential>
    <CaseCompanyNames xmlns="dc463f71-b30c-4ab2-9473-d307f9d35888">3rd Generation Movers and Hauling;A+ ALWAYS MOVING, INC.;A A Star Transfer Co Inc;Always Able Moving Service, LLC;Arays Moving Service LLC;GRAYPORT TRANSFER &amp; STORAGE CO., INC;Thunder Movers LLC</CaseCompanyNames>
    <DocketNumber xmlns="dc463f71-b30c-4ab2-9473-d307f9d35888">121722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3D93203BCC8E41B0BC2DC3BBCA76A4" ma:contentTypeVersion="139" ma:contentTypeDescription="" ma:contentTypeScope="" ma:versionID="56eaede2496adddc9a17d928a0d5e1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C5221-B6BC-4B8F-A1A3-A859D1C25142}"/>
</file>

<file path=customXml/itemProps2.xml><?xml version="1.0" encoding="utf-8"?>
<ds:datastoreItem xmlns:ds="http://schemas.openxmlformats.org/officeDocument/2006/customXml" ds:itemID="{0BF4A21D-C17B-46F8-AAE8-2F69B627173D}"/>
</file>

<file path=customXml/itemProps3.xml><?xml version="1.0" encoding="utf-8"?>
<ds:datastoreItem xmlns:ds="http://schemas.openxmlformats.org/officeDocument/2006/customXml" ds:itemID="{D507F882-40C9-4CF1-BE5F-2670887A1689}"/>
</file>

<file path=customXml/itemProps4.xml><?xml version="1.0" encoding="utf-8"?>
<ds:datastoreItem xmlns:ds="http://schemas.openxmlformats.org/officeDocument/2006/customXml" ds:itemID="{1818F8AC-1916-4EB8-B04C-5F94B88223CD}"/>
</file>

<file path=customXml/itemProps5.xml><?xml version="1.0" encoding="utf-8"?>
<ds:datastoreItem xmlns:ds="http://schemas.openxmlformats.org/officeDocument/2006/customXml" ds:itemID="{151B41F1-3214-4677-809A-FAA46F8DC2BE}"/>
</file>

<file path=docProps/app.xml><?xml version="1.0" encoding="utf-8"?>
<Properties xmlns="http://schemas.openxmlformats.org/officeDocument/2006/extended-properties" xmlns:vt="http://schemas.openxmlformats.org/officeDocument/2006/docPropsVTypes">
  <Template>Normal.dotm</Template>
  <TotalTime>1102</TotalTime>
  <Pages>9</Pages>
  <Words>1979</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DeMarco, Betsy (UTC)</cp:lastModifiedBy>
  <cp:revision>189</cp:revision>
  <cp:lastPrinted>2013-07-22T20:38:00Z</cp:lastPrinted>
  <dcterms:created xsi:type="dcterms:W3CDTF">2013-07-09T15:27:00Z</dcterms:created>
  <dcterms:modified xsi:type="dcterms:W3CDTF">2013-07-22T20:39:00Z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0x0101006E56B4D1795A2E4DB2F0B01679ED314A00ED3D93203BCC8E41B0BC2DC3BBCA76A4</vt:lpwstr>
  </property>
  <property fmtid="{D5CDD505-2E9C-101B-9397-08002B2CF9AE}" pid="3" name="_docset_NoMedatataSyncRequired">
    <vt:lpwstr>False</vt:lpwstr>
  </property>
</Properties>
</file>