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Default="00087C76" w:rsidP="003A74AC">
      <w:pPr>
        <w:rPr>
          <w:rFonts w:ascii="Palatino Linotype" w:hAnsi="Palatino Linotype"/>
          <w:sz w:val="24"/>
        </w:rPr>
      </w:pPr>
      <w:bookmarkStart w:id="0" w:name="_GoBack"/>
      <w:bookmarkEnd w:id="0"/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087C76" w:rsidRDefault="00087C76" w:rsidP="003A74AC">
      <w:pPr>
        <w:rPr>
          <w:rFonts w:ascii="Palatino Linotype" w:hAnsi="Palatino Linotype"/>
          <w:sz w:val="24"/>
        </w:rPr>
      </w:pPr>
    </w:p>
    <w:p w:rsidR="00AB7EAF" w:rsidRDefault="00AB7EAF" w:rsidP="003A74AC">
      <w:pPr>
        <w:rPr>
          <w:rFonts w:ascii="Palatino Linotype" w:hAnsi="Palatino Linotype"/>
          <w:sz w:val="24"/>
        </w:rPr>
      </w:pPr>
    </w:p>
    <w:p w:rsidR="00971E76" w:rsidRDefault="00971E76" w:rsidP="003A74AC">
      <w:pPr>
        <w:rPr>
          <w:rFonts w:ascii="Palatino Linotype" w:hAnsi="Palatino Linotype"/>
          <w:sz w:val="24"/>
        </w:rPr>
      </w:pPr>
    </w:p>
    <w:p w:rsidR="00A31264" w:rsidRDefault="00A31264" w:rsidP="003A74AC">
      <w:pPr>
        <w:rPr>
          <w:rFonts w:ascii="Palatino Linotype" w:hAnsi="Palatino Linotype"/>
          <w:sz w:val="24"/>
        </w:rPr>
      </w:pPr>
    </w:p>
    <w:p w:rsidR="007B6A73" w:rsidRDefault="007B6A73" w:rsidP="003A74AC">
      <w:pPr>
        <w:rPr>
          <w:sz w:val="24"/>
        </w:rPr>
      </w:pPr>
    </w:p>
    <w:p w:rsidR="00087C76" w:rsidRPr="00074507" w:rsidRDefault="00107DAD" w:rsidP="003A74AC">
      <w:pPr>
        <w:rPr>
          <w:sz w:val="24"/>
        </w:rPr>
      </w:pPr>
      <w:r>
        <w:rPr>
          <w:sz w:val="24"/>
        </w:rPr>
        <w:t>December 6</w:t>
      </w:r>
      <w:r w:rsidR="00E70E60">
        <w:rPr>
          <w:sz w:val="24"/>
        </w:rPr>
        <w:t>, 2012</w:t>
      </w:r>
    </w:p>
    <w:p w:rsidR="00087C76" w:rsidRDefault="00087C76" w:rsidP="003A74AC">
      <w:pPr>
        <w:rPr>
          <w:sz w:val="24"/>
        </w:rPr>
      </w:pPr>
    </w:p>
    <w:p w:rsidR="00961D43" w:rsidRPr="00074507" w:rsidRDefault="00961D43" w:rsidP="003A74AC">
      <w:pPr>
        <w:rPr>
          <w:sz w:val="24"/>
        </w:rPr>
      </w:pPr>
    </w:p>
    <w:p w:rsidR="00087C76" w:rsidRDefault="00087C76" w:rsidP="003A74AC">
      <w:pPr>
        <w:rPr>
          <w:sz w:val="24"/>
        </w:rPr>
      </w:pPr>
    </w:p>
    <w:p w:rsidR="00E70E60" w:rsidRDefault="00961D43" w:rsidP="003A74AC">
      <w:pPr>
        <w:rPr>
          <w:sz w:val="24"/>
        </w:rPr>
      </w:pPr>
      <w:r>
        <w:rPr>
          <w:sz w:val="24"/>
        </w:rPr>
        <w:t xml:space="preserve">David W. Danner, Executive Director and Secretary </w:t>
      </w:r>
    </w:p>
    <w:p w:rsidR="00961D43" w:rsidRDefault="00961D43" w:rsidP="003A74AC">
      <w:pPr>
        <w:rPr>
          <w:sz w:val="24"/>
        </w:rPr>
      </w:pPr>
      <w:r>
        <w:rPr>
          <w:sz w:val="24"/>
        </w:rPr>
        <w:t>Washington Utilities and Transportation Commission</w:t>
      </w:r>
    </w:p>
    <w:p w:rsidR="00961D43" w:rsidRDefault="00961D43" w:rsidP="003A74AC">
      <w:pPr>
        <w:rPr>
          <w:sz w:val="24"/>
        </w:rPr>
      </w:pPr>
      <w:r>
        <w:rPr>
          <w:sz w:val="24"/>
        </w:rPr>
        <w:t>1300 S. Evergreen Park Dr. SW</w:t>
      </w:r>
    </w:p>
    <w:p w:rsidR="00961D43" w:rsidRDefault="00961D43" w:rsidP="003A74AC">
      <w:pPr>
        <w:rPr>
          <w:sz w:val="24"/>
        </w:rPr>
      </w:pPr>
      <w:r>
        <w:rPr>
          <w:sz w:val="24"/>
        </w:rPr>
        <w:t>P.O. Box 47250</w:t>
      </w:r>
    </w:p>
    <w:p w:rsidR="00961D43" w:rsidRDefault="00961D43" w:rsidP="003A74AC">
      <w:pPr>
        <w:rPr>
          <w:sz w:val="24"/>
        </w:rPr>
      </w:pPr>
      <w:r>
        <w:rPr>
          <w:sz w:val="24"/>
        </w:rPr>
        <w:t>Olympia, WA 98504-7250</w:t>
      </w:r>
    </w:p>
    <w:p w:rsidR="00961D43" w:rsidRDefault="00961D43" w:rsidP="003A74AC">
      <w:pPr>
        <w:rPr>
          <w:sz w:val="24"/>
        </w:rPr>
      </w:pPr>
    </w:p>
    <w:p w:rsidR="00087C76" w:rsidRPr="00074507" w:rsidRDefault="00087C76" w:rsidP="003A74AC">
      <w:pPr>
        <w:rPr>
          <w:sz w:val="24"/>
        </w:rPr>
      </w:pPr>
    </w:p>
    <w:p w:rsidR="00DD5507" w:rsidRPr="00FF7636" w:rsidRDefault="00DD5507" w:rsidP="00961D43">
      <w:pPr>
        <w:ind w:left="720" w:hanging="720"/>
        <w:rPr>
          <w:i/>
          <w:sz w:val="24"/>
        </w:rPr>
      </w:pPr>
      <w:r w:rsidRPr="00961D43">
        <w:rPr>
          <w:sz w:val="24"/>
        </w:rPr>
        <w:t>RE:</w:t>
      </w:r>
      <w:r w:rsidRPr="00074507">
        <w:rPr>
          <w:b/>
          <w:sz w:val="24"/>
        </w:rPr>
        <w:t xml:space="preserve"> </w:t>
      </w:r>
      <w:r w:rsidR="00961D43">
        <w:rPr>
          <w:b/>
          <w:sz w:val="24"/>
        </w:rPr>
        <w:tab/>
      </w:r>
      <w:r w:rsidR="00961D43" w:rsidRPr="00961D43">
        <w:rPr>
          <w:i/>
          <w:sz w:val="24"/>
        </w:rPr>
        <w:t>Washington Utilities and Transportation Commission v.</w:t>
      </w:r>
      <w:r w:rsidR="00961D43">
        <w:rPr>
          <w:b/>
          <w:i/>
          <w:sz w:val="24"/>
        </w:rPr>
        <w:t xml:space="preserve"> </w:t>
      </w:r>
      <w:r w:rsidR="00FF7636">
        <w:rPr>
          <w:i/>
          <w:sz w:val="24"/>
        </w:rPr>
        <w:t>Hansen Bros</w:t>
      </w:r>
      <w:r w:rsidR="00235052">
        <w:rPr>
          <w:i/>
          <w:sz w:val="24"/>
        </w:rPr>
        <w:t>.</w:t>
      </w:r>
      <w:r w:rsidR="00FF7636">
        <w:rPr>
          <w:i/>
          <w:sz w:val="24"/>
        </w:rPr>
        <w:t xml:space="preserve"> Transfer &amp; Storage Co</w:t>
      </w:r>
      <w:r w:rsidR="00235052">
        <w:rPr>
          <w:i/>
          <w:sz w:val="24"/>
        </w:rPr>
        <w:t>.,</w:t>
      </w:r>
      <w:r w:rsidR="00FF7636">
        <w:rPr>
          <w:i/>
          <w:sz w:val="24"/>
        </w:rPr>
        <w:t xml:space="preserve"> Inc.</w:t>
      </w:r>
    </w:p>
    <w:p w:rsidR="00961D43" w:rsidRDefault="00961D43" w:rsidP="00961D43">
      <w:pPr>
        <w:ind w:left="720" w:hanging="720"/>
        <w:rPr>
          <w:sz w:val="24"/>
        </w:rPr>
      </w:pPr>
      <w:r>
        <w:rPr>
          <w:sz w:val="24"/>
        </w:rPr>
        <w:tab/>
        <w:t xml:space="preserve">Commission Staff’s Recommendation that </w:t>
      </w:r>
      <w:r w:rsidR="00843939">
        <w:rPr>
          <w:sz w:val="24"/>
        </w:rPr>
        <w:t xml:space="preserve">the Suspended Penalty be </w:t>
      </w:r>
      <w:proofErr w:type="gramStart"/>
      <w:r w:rsidR="007D7832">
        <w:rPr>
          <w:sz w:val="24"/>
        </w:rPr>
        <w:t>W</w:t>
      </w:r>
      <w:r w:rsidR="00971E76">
        <w:rPr>
          <w:sz w:val="24"/>
        </w:rPr>
        <w:t>aived</w:t>
      </w:r>
      <w:proofErr w:type="gramEnd"/>
    </w:p>
    <w:p w:rsidR="00843939" w:rsidRPr="00961D43" w:rsidRDefault="00843939" w:rsidP="00843939">
      <w:pPr>
        <w:ind w:left="720"/>
        <w:rPr>
          <w:i/>
          <w:sz w:val="24"/>
        </w:rPr>
      </w:pPr>
      <w:r>
        <w:rPr>
          <w:sz w:val="24"/>
        </w:rPr>
        <w:t>Docket TV-10</w:t>
      </w:r>
      <w:r w:rsidR="00BA1A25">
        <w:rPr>
          <w:sz w:val="24"/>
        </w:rPr>
        <w:t>2032</w:t>
      </w:r>
    </w:p>
    <w:p w:rsidR="00DD5507" w:rsidRPr="00074507" w:rsidRDefault="00DD5507" w:rsidP="003A74AC">
      <w:pPr>
        <w:rPr>
          <w:sz w:val="24"/>
        </w:rPr>
      </w:pPr>
    </w:p>
    <w:p w:rsidR="00087C76" w:rsidRPr="00074507" w:rsidRDefault="00087C76" w:rsidP="003A74AC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 xml:space="preserve">r Mr. </w:t>
      </w:r>
      <w:r w:rsidR="00961D43">
        <w:rPr>
          <w:sz w:val="24"/>
        </w:rPr>
        <w:t>Danner</w:t>
      </w:r>
      <w:r w:rsidR="001546D4">
        <w:rPr>
          <w:sz w:val="24"/>
        </w:rPr>
        <w:t>:</w:t>
      </w:r>
    </w:p>
    <w:p w:rsidR="00087C76" w:rsidRPr="00074507" w:rsidRDefault="00087C76" w:rsidP="003A74AC">
      <w:pPr>
        <w:rPr>
          <w:sz w:val="24"/>
        </w:rPr>
      </w:pPr>
    </w:p>
    <w:p w:rsidR="00843939" w:rsidRDefault="00BA1A25" w:rsidP="003A74AC">
      <w:pPr>
        <w:pStyle w:val="BodyText"/>
        <w:tabs>
          <w:tab w:val="left" w:pos="0"/>
        </w:tabs>
      </w:pPr>
      <w:r>
        <w:t>On April 28, 2011</w:t>
      </w:r>
      <w:r w:rsidR="00843939">
        <w:t>, the Washington Utilities and Transportation Co</w:t>
      </w:r>
      <w:r>
        <w:t>mmission issued Initial Order-01</w:t>
      </w:r>
      <w:r w:rsidR="00843939">
        <w:t xml:space="preserve"> Approving and Adopting Settlement Agreement;</w:t>
      </w:r>
      <w:r w:rsidR="00B2659B">
        <w:t xml:space="preserve"> Mitigating Penalties,</w:t>
      </w:r>
      <w:r w:rsidR="000E355A">
        <w:t xml:space="preserve"> to $800, </w:t>
      </w:r>
      <w:proofErr w:type="gramStart"/>
      <w:r w:rsidR="00843939">
        <w:t>Suspending Penalties,</w:t>
      </w:r>
      <w:r w:rsidR="000E355A">
        <w:t xml:space="preserve"> </w:t>
      </w:r>
      <w:r w:rsidR="00B2659B">
        <w:t>I</w:t>
      </w:r>
      <w:r w:rsidR="000E355A">
        <w:t xml:space="preserve">n </w:t>
      </w:r>
      <w:r w:rsidR="00B2659B">
        <w:t>F</w:t>
      </w:r>
      <w:r w:rsidR="000E355A">
        <w:t>ull,</w:t>
      </w:r>
      <w:r w:rsidR="00843939">
        <w:t xml:space="preserve"> On Condition</w:t>
      </w:r>
      <w:r w:rsidR="00E7704E">
        <w:t>, in the above-referenced docket</w:t>
      </w:r>
      <w:r w:rsidR="00843939">
        <w:t>.</w:t>
      </w:r>
      <w:proofErr w:type="gramEnd"/>
      <w:r w:rsidR="00843939">
        <w:t xml:space="preserve"> Th</w:t>
      </w:r>
      <w:r w:rsidR="00E7704E">
        <w:t>e</w:t>
      </w:r>
      <w:r w:rsidR="00843939">
        <w:t xml:space="preserve"> order became final </w:t>
      </w:r>
      <w:r w:rsidR="00E7704E">
        <w:t xml:space="preserve">by operation of law </w:t>
      </w:r>
      <w:r w:rsidR="00843939">
        <w:t xml:space="preserve">on </w:t>
      </w:r>
      <w:r>
        <w:t>May 19</w:t>
      </w:r>
      <w:r w:rsidR="00843939">
        <w:t>, 2011.</w:t>
      </w:r>
    </w:p>
    <w:p w:rsidR="00843939" w:rsidRDefault="00843939" w:rsidP="003A74AC">
      <w:pPr>
        <w:pStyle w:val="BodyText"/>
        <w:tabs>
          <w:tab w:val="left" w:pos="0"/>
        </w:tabs>
      </w:pPr>
    </w:p>
    <w:p w:rsidR="007B6A73" w:rsidRDefault="00843939" w:rsidP="007B6A73">
      <w:pPr>
        <w:pStyle w:val="BodyText"/>
        <w:tabs>
          <w:tab w:val="left" w:pos="0"/>
        </w:tabs>
      </w:pPr>
      <w:r>
        <w:t xml:space="preserve">Under the </w:t>
      </w:r>
      <w:r w:rsidR="00E7704E">
        <w:t xml:space="preserve">terms of the </w:t>
      </w:r>
      <w:r>
        <w:t>settleme</w:t>
      </w:r>
      <w:r w:rsidR="00E7704E">
        <w:t>nt</w:t>
      </w:r>
      <w:r>
        <w:t>, the parties agreed that</w:t>
      </w:r>
      <w:r w:rsidR="00136FBB">
        <w:t xml:space="preserve"> the</w:t>
      </w:r>
      <w:r w:rsidR="00235052">
        <w:t xml:space="preserve"> mitigated penalty of $800</w:t>
      </w:r>
      <w:r w:rsidR="00136FBB">
        <w:t xml:space="preserve"> </w:t>
      </w:r>
      <w:r w:rsidR="006F0850">
        <w:t xml:space="preserve">was </w:t>
      </w:r>
      <w:r w:rsidR="00136FBB">
        <w:t xml:space="preserve">suspended </w:t>
      </w:r>
      <w:r w:rsidR="00235052">
        <w:t>in its entirety, provided Hansen Bros. Transfer &amp; Storage Co., Inc., (Hansen Bro</w:t>
      </w:r>
      <w:r w:rsidR="00032975">
        <w:t>thers</w:t>
      </w:r>
      <w:r w:rsidR="00235052">
        <w:t>) sends representatives from each of its three offices to a commission t</w:t>
      </w:r>
      <w:r w:rsidR="005B2514">
        <w:t>raining session,</w:t>
      </w:r>
      <w:r w:rsidR="005E286B">
        <w:t xml:space="preserve"> compl</w:t>
      </w:r>
      <w:r w:rsidR="00063632">
        <w:t>ies</w:t>
      </w:r>
      <w:r w:rsidR="005E286B">
        <w:t xml:space="preserve"> with commis</w:t>
      </w:r>
      <w:r w:rsidR="00433CB0">
        <w:t>sion laws and rules generally</w:t>
      </w:r>
      <w:r w:rsidR="005E286B">
        <w:t xml:space="preserve"> and take</w:t>
      </w:r>
      <w:r w:rsidR="00063632">
        <w:t>s</w:t>
      </w:r>
      <w:r w:rsidR="005E286B">
        <w:t xml:space="preserve"> specific complia</w:t>
      </w:r>
      <w:r w:rsidR="0040177E">
        <w:t xml:space="preserve">nce actions with respect to </w:t>
      </w:r>
      <w:r w:rsidR="00B2659B">
        <w:t>three</w:t>
      </w:r>
      <w:r w:rsidR="005E286B">
        <w:t xml:space="preserve"> general areas of non-compliance identified in staff’s investigation report that gave rise to the complaint: es</w:t>
      </w:r>
      <w:r w:rsidR="00063632">
        <w:t>timates, supplemental estimates and</w:t>
      </w:r>
      <w:r w:rsidR="005E286B">
        <w:t xml:space="preserve"> bills of lading. Further, Hansen Br</w:t>
      </w:r>
      <w:r w:rsidR="00032975">
        <w:t>others</w:t>
      </w:r>
      <w:r w:rsidR="005E286B">
        <w:t xml:space="preserve"> agreed to redesign its estimate and information forms.</w:t>
      </w:r>
      <w:r w:rsidR="00E72D6D">
        <w:t xml:space="preserve"> The settlement agreement also required commi</w:t>
      </w:r>
      <w:r w:rsidR="00063632">
        <w:t>ssion staff to conduct a follow-up investigation and provide a</w:t>
      </w:r>
      <w:r w:rsidR="00E72D6D">
        <w:t xml:space="preserve"> recommendation</w:t>
      </w:r>
      <w:r w:rsidR="00063632">
        <w:t xml:space="preserve"> regarding the suspended penalty</w:t>
      </w:r>
      <w:r w:rsidR="00E72D6D">
        <w:t>.</w:t>
      </w:r>
    </w:p>
    <w:p w:rsidR="00582C2C" w:rsidRDefault="00582C2C" w:rsidP="007B6A73">
      <w:pPr>
        <w:pStyle w:val="BodyText"/>
        <w:tabs>
          <w:tab w:val="left" w:pos="0"/>
        </w:tabs>
      </w:pPr>
    </w:p>
    <w:p w:rsidR="00582C2C" w:rsidRDefault="00582C2C" w:rsidP="007B6A73">
      <w:pPr>
        <w:pStyle w:val="BodyText"/>
        <w:tabs>
          <w:tab w:val="left" w:pos="0"/>
        </w:tabs>
      </w:pPr>
    </w:p>
    <w:p w:rsidR="00582C2C" w:rsidRDefault="00582C2C" w:rsidP="007B6A73">
      <w:pPr>
        <w:pStyle w:val="BodyText"/>
        <w:tabs>
          <w:tab w:val="left" w:pos="0"/>
        </w:tabs>
      </w:pPr>
    </w:p>
    <w:p w:rsidR="00E72376" w:rsidRDefault="00E72376" w:rsidP="007B6A73">
      <w:pPr>
        <w:pStyle w:val="BodyText"/>
        <w:tabs>
          <w:tab w:val="left" w:pos="0"/>
        </w:tabs>
      </w:pPr>
    </w:p>
    <w:p w:rsidR="00E72376" w:rsidRDefault="00E72376" w:rsidP="007B6A73">
      <w:pPr>
        <w:pStyle w:val="BodyText"/>
        <w:tabs>
          <w:tab w:val="left" w:pos="0"/>
        </w:tabs>
      </w:pPr>
    </w:p>
    <w:p w:rsidR="0040177E" w:rsidRDefault="00AC0FC4" w:rsidP="007B6A73">
      <w:pPr>
        <w:pStyle w:val="BodyText"/>
        <w:tabs>
          <w:tab w:val="left" w:pos="0"/>
        </w:tabs>
      </w:pPr>
      <w:r>
        <w:lastRenderedPageBreak/>
        <w:t>In November</w:t>
      </w:r>
      <w:r w:rsidR="0040177E">
        <w:t xml:space="preserve"> 2012, staff conducted a follow up investigation to determine whether Hansen Bro</w:t>
      </w:r>
      <w:r w:rsidR="00032975">
        <w:t>thers</w:t>
      </w:r>
      <w:r w:rsidR="0040177E">
        <w:t xml:space="preserve"> had </w:t>
      </w:r>
      <w:r w:rsidR="004C1DF2">
        <w:t>come into compliance in the three</w:t>
      </w:r>
      <w:r w:rsidR="0040177E">
        <w:t xml:space="preserve"> areas identified in the settlement agreement</w:t>
      </w:r>
      <w:r w:rsidR="004C1DF2">
        <w:t>, attended commission conducted training</w:t>
      </w:r>
      <w:r w:rsidR="006F0850">
        <w:t>,</w:t>
      </w:r>
      <w:r w:rsidR="004C1DF2">
        <w:t xml:space="preserve"> and redesign</w:t>
      </w:r>
      <w:r w:rsidR="006F0850">
        <w:t>ed</w:t>
      </w:r>
      <w:r w:rsidR="004C1DF2">
        <w:t xml:space="preserve"> its estimate and information forms</w:t>
      </w:r>
      <w:r w:rsidR="0040177E">
        <w:t>. Staff reviewed documents for 30 moves performed by Hansen Bro</w:t>
      </w:r>
      <w:r w:rsidR="00032975">
        <w:t>thers</w:t>
      </w:r>
      <w:r w:rsidR="0040177E">
        <w:t xml:space="preserve"> during the month of January </w:t>
      </w:r>
      <w:r w:rsidR="006F0850">
        <w:t xml:space="preserve">2012 </w:t>
      </w:r>
      <w:r w:rsidR="0040177E">
        <w:t>for new and repeat violations, and found no new violations. With respect to each of the violations identified in staff’s investigation report, staff found as follows:</w:t>
      </w:r>
    </w:p>
    <w:p w:rsidR="00D16EF9" w:rsidRDefault="00D16EF9" w:rsidP="0040177E">
      <w:pPr>
        <w:pStyle w:val="BodyText"/>
        <w:tabs>
          <w:tab w:val="left" w:pos="0"/>
        </w:tabs>
        <w:rPr>
          <w:b/>
        </w:rPr>
      </w:pPr>
    </w:p>
    <w:p w:rsidR="00582C2C" w:rsidRPr="006A07C5" w:rsidRDefault="00582C2C" w:rsidP="00582C2C">
      <w:pPr>
        <w:pStyle w:val="BodyText"/>
        <w:tabs>
          <w:tab w:val="left" w:pos="0"/>
        </w:tabs>
      </w:pPr>
      <w:r w:rsidRPr="006A07C5">
        <w:rPr>
          <w:b/>
        </w:rPr>
        <w:t xml:space="preserve">Estimates—Required: </w:t>
      </w:r>
      <w:r w:rsidRPr="006A07C5">
        <w:t>For each of the 30 moves reviewed, an estimate was issued in compliance with WAC 480-15-630.</w:t>
      </w:r>
    </w:p>
    <w:p w:rsidR="00582C2C" w:rsidRPr="006A07C5" w:rsidRDefault="00582C2C" w:rsidP="00582C2C">
      <w:pPr>
        <w:pStyle w:val="BodyText"/>
        <w:tabs>
          <w:tab w:val="left" w:pos="0"/>
        </w:tabs>
      </w:pPr>
    </w:p>
    <w:p w:rsidR="00063632" w:rsidRDefault="00063632" w:rsidP="00063632">
      <w:pPr>
        <w:pStyle w:val="BodyText"/>
        <w:tabs>
          <w:tab w:val="left" w:pos="0"/>
        </w:tabs>
      </w:pPr>
      <w:r w:rsidRPr="006A07C5">
        <w:rPr>
          <w:b/>
        </w:rPr>
        <w:t xml:space="preserve">Estimates—Format and Completion: </w:t>
      </w:r>
      <w:r w:rsidRPr="006A07C5">
        <w:t xml:space="preserve">For 27 of the 30 moves reviewed, </w:t>
      </w:r>
      <w:r>
        <w:t>an</w:t>
      </w:r>
      <w:r w:rsidRPr="006A07C5">
        <w:t xml:space="preserve"> estimate was formatted and completed in compliance with WAC 480-15-630 and Tariff 15-C, Item 85.</w:t>
      </w:r>
      <w:r>
        <w:t xml:space="preserve"> Hansen Brothers</w:t>
      </w:r>
      <w:r w:rsidRPr="006A07C5">
        <w:t xml:space="preserve"> </w:t>
      </w:r>
      <w:r>
        <w:t>did not</w:t>
      </w:r>
      <w:r w:rsidRPr="006A07C5">
        <w:t xml:space="preserve"> obtain signature</w:t>
      </w:r>
      <w:r>
        <w:t>s</w:t>
      </w:r>
      <w:r w:rsidRPr="006A07C5">
        <w:t xml:space="preserve"> on three estimates, for customers Larson, Lee and Johnson, acknowledging receipt of</w:t>
      </w:r>
      <w:r>
        <w:t xml:space="preserve"> the brochure</w:t>
      </w:r>
      <w:r w:rsidRPr="006A07C5">
        <w:t xml:space="preserve"> “Your Guide to Moving in Washington State,” in violation of WAC 480-15-630 and Tariff 15-C, Item 85.</w:t>
      </w:r>
    </w:p>
    <w:p w:rsidR="00582C2C" w:rsidRPr="006A07C5" w:rsidRDefault="00582C2C" w:rsidP="00582C2C">
      <w:pPr>
        <w:pStyle w:val="BodyText"/>
        <w:tabs>
          <w:tab w:val="left" w:pos="0"/>
        </w:tabs>
      </w:pPr>
    </w:p>
    <w:p w:rsidR="00063632" w:rsidRPr="006A07C5" w:rsidRDefault="00063632" w:rsidP="00063632">
      <w:pPr>
        <w:pStyle w:val="BodyText"/>
        <w:tabs>
          <w:tab w:val="left" w:pos="0"/>
        </w:tabs>
      </w:pPr>
      <w:r w:rsidRPr="006A07C5">
        <w:rPr>
          <w:b/>
        </w:rPr>
        <w:t xml:space="preserve">Estimates—Supplemental Estimates: </w:t>
      </w:r>
      <w:r w:rsidRPr="006A07C5">
        <w:t>For 29 of the 30 moves reviewed, supplemental estimates were issued when required by WAC 480-15-630(3).</w:t>
      </w:r>
      <w:r>
        <w:t xml:space="preserve"> Hansen Brothers</w:t>
      </w:r>
      <w:r w:rsidRPr="006A07C5">
        <w:t xml:space="preserve"> failed to issue a supp</w:t>
      </w:r>
      <w:r>
        <w:t>lemental estimate f</w:t>
      </w:r>
      <w:r w:rsidRPr="006A07C5">
        <w:t xml:space="preserve">or customer </w:t>
      </w:r>
      <w:proofErr w:type="spellStart"/>
      <w:r w:rsidRPr="006A07C5">
        <w:t>Bliggenstorf</w:t>
      </w:r>
      <w:proofErr w:type="spellEnd"/>
      <w:r>
        <w:t xml:space="preserve">. The customer received an estimate of $327.60 and was billed $436.80. The maximum charge allowed without issuing a supplemental estimate is $409.50. The final charge of $436.80 exceeded 125 percent of the original estimate by $27.30. In addition, the supplemental estimate for customer </w:t>
      </w:r>
      <w:proofErr w:type="spellStart"/>
      <w:r>
        <w:t>Macomber</w:t>
      </w:r>
      <w:proofErr w:type="spellEnd"/>
      <w:r>
        <w:t xml:space="preserve"> </w:t>
      </w:r>
      <w:r w:rsidRPr="006A07C5">
        <w:t>failed to provide sufficient detail for the services provided</w:t>
      </w:r>
      <w:r>
        <w:t>, in violation of</w:t>
      </w:r>
      <w:r w:rsidRPr="006A07C5">
        <w:t xml:space="preserve"> WAC 480-15-630(3) and Tariff 15-C, Item 85(3)(e).</w:t>
      </w:r>
      <w:r>
        <w:t xml:space="preserve"> </w:t>
      </w:r>
    </w:p>
    <w:p w:rsidR="00582C2C" w:rsidRPr="006A07C5" w:rsidRDefault="00582C2C" w:rsidP="00582C2C">
      <w:pPr>
        <w:pStyle w:val="BodyText"/>
        <w:tabs>
          <w:tab w:val="left" w:pos="0"/>
        </w:tabs>
      </w:pPr>
      <w:r w:rsidRPr="006A07C5">
        <w:t xml:space="preserve"> </w:t>
      </w:r>
    </w:p>
    <w:p w:rsidR="00582C2C" w:rsidRPr="006A07C5" w:rsidRDefault="00582C2C" w:rsidP="00582C2C">
      <w:pPr>
        <w:pStyle w:val="BodyText"/>
        <w:tabs>
          <w:tab w:val="left" w:pos="0"/>
        </w:tabs>
      </w:pPr>
      <w:r w:rsidRPr="006A07C5">
        <w:rPr>
          <w:b/>
        </w:rPr>
        <w:t xml:space="preserve">Bills of Lading—Required: </w:t>
      </w:r>
      <w:r w:rsidRPr="006A07C5">
        <w:t>For each of the 30 moves reviewed, a bill of lading was issued in compliance with WAC 480-15-710.</w:t>
      </w:r>
    </w:p>
    <w:p w:rsidR="00582C2C" w:rsidRPr="006A07C5" w:rsidRDefault="00582C2C" w:rsidP="00582C2C">
      <w:pPr>
        <w:pStyle w:val="BodyText"/>
        <w:tabs>
          <w:tab w:val="left" w:pos="0"/>
        </w:tabs>
      </w:pPr>
    </w:p>
    <w:p w:rsidR="00582C2C" w:rsidRPr="006A07C5" w:rsidRDefault="00582C2C" w:rsidP="00582C2C">
      <w:pPr>
        <w:pStyle w:val="BodyText"/>
        <w:tabs>
          <w:tab w:val="left" w:pos="0"/>
        </w:tabs>
      </w:pPr>
      <w:r w:rsidRPr="006A07C5">
        <w:rPr>
          <w:b/>
        </w:rPr>
        <w:t>Bills of Lading—Format and Completion:</w:t>
      </w:r>
      <w:r w:rsidRPr="006A07C5">
        <w:t xml:space="preserve"> For each of the 30 moves reviewed, the bill of lading was formatted and completed in compliance with WAC 480-15-710 and Tariff 15-C, Item 95.</w:t>
      </w:r>
    </w:p>
    <w:p w:rsidR="00582C2C" w:rsidRPr="006A07C5" w:rsidRDefault="00582C2C" w:rsidP="00582C2C">
      <w:pPr>
        <w:pStyle w:val="BodyText"/>
        <w:tabs>
          <w:tab w:val="left" w:pos="0"/>
        </w:tabs>
      </w:pPr>
    </w:p>
    <w:p w:rsidR="00D16EF9" w:rsidRDefault="00582C2C" w:rsidP="00582C2C">
      <w:pPr>
        <w:pStyle w:val="BodyText"/>
        <w:tabs>
          <w:tab w:val="left" w:pos="0"/>
        </w:tabs>
      </w:pPr>
      <w:r w:rsidRPr="006A07C5">
        <w:rPr>
          <w:b/>
        </w:rPr>
        <w:t xml:space="preserve">Tariff Rates and Charges: </w:t>
      </w:r>
      <w:r w:rsidRPr="006A07C5">
        <w:t xml:space="preserve">For </w:t>
      </w:r>
      <w:r>
        <w:t xml:space="preserve">each </w:t>
      </w:r>
      <w:r w:rsidRPr="006A07C5">
        <w:t xml:space="preserve">of the 30 moves reviewed, the rates and charges </w:t>
      </w:r>
      <w:r>
        <w:t>complied</w:t>
      </w:r>
      <w:r w:rsidRPr="006A07C5">
        <w:t xml:space="preserve"> with Tariff 15-C</w:t>
      </w:r>
      <w:r>
        <w:t>,</w:t>
      </w:r>
      <w:r w:rsidRPr="006A07C5">
        <w:t xml:space="preserve"> as required by WAC 480-15-630.</w:t>
      </w:r>
    </w:p>
    <w:p w:rsidR="00F01B36" w:rsidRDefault="00F01B36" w:rsidP="0040177E">
      <w:pPr>
        <w:pStyle w:val="BodyText"/>
        <w:tabs>
          <w:tab w:val="left" w:pos="0"/>
        </w:tabs>
        <w:rPr>
          <w:b/>
        </w:rPr>
      </w:pPr>
    </w:p>
    <w:p w:rsidR="00032975" w:rsidRDefault="00D16EF9" w:rsidP="0040177E">
      <w:pPr>
        <w:pStyle w:val="BodyText"/>
        <w:tabs>
          <w:tab w:val="left" w:pos="0"/>
        </w:tabs>
      </w:pPr>
      <w:r>
        <w:rPr>
          <w:b/>
        </w:rPr>
        <w:t>Training</w:t>
      </w:r>
      <w:r w:rsidRPr="006A07C5">
        <w:rPr>
          <w:b/>
        </w:rPr>
        <w:t>—</w:t>
      </w:r>
      <w:r>
        <w:rPr>
          <w:b/>
        </w:rPr>
        <w:t xml:space="preserve">Required: </w:t>
      </w:r>
      <w:r>
        <w:t>Hansen Bro</w:t>
      </w:r>
      <w:r w:rsidR="00032975">
        <w:t>thers</w:t>
      </w:r>
      <w:r>
        <w:t xml:space="preserve"> sent 13 employees to the commissions household g</w:t>
      </w:r>
      <w:r w:rsidR="004E192D">
        <w:t>oods training on April 26, 2011, including Larry Nelson, President of Hansen Bro</w:t>
      </w:r>
      <w:r w:rsidR="00032975">
        <w:t>thers</w:t>
      </w:r>
      <w:r w:rsidR="00725172">
        <w:t>.</w:t>
      </w:r>
    </w:p>
    <w:p w:rsidR="0092397B" w:rsidRDefault="0092397B" w:rsidP="0040177E">
      <w:pPr>
        <w:pStyle w:val="BodyText"/>
        <w:tabs>
          <w:tab w:val="left" w:pos="0"/>
        </w:tabs>
      </w:pPr>
    </w:p>
    <w:p w:rsidR="0092397B" w:rsidRDefault="0092397B" w:rsidP="0040177E">
      <w:pPr>
        <w:pStyle w:val="BodyText"/>
        <w:tabs>
          <w:tab w:val="left" w:pos="0"/>
        </w:tabs>
      </w:pPr>
    </w:p>
    <w:p w:rsidR="0092397B" w:rsidRDefault="0092397B" w:rsidP="0040177E">
      <w:pPr>
        <w:pStyle w:val="BodyText"/>
        <w:tabs>
          <w:tab w:val="left" w:pos="0"/>
        </w:tabs>
      </w:pPr>
    </w:p>
    <w:p w:rsidR="0092397B" w:rsidRDefault="0092397B" w:rsidP="0040177E">
      <w:pPr>
        <w:pStyle w:val="BodyText"/>
        <w:tabs>
          <w:tab w:val="left" w:pos="0"/>
        </w:tabs>
      </w:pPr>
    </w:p>
    <w:p w:rsidR="0092397B" w:rsidRDefault="0092397B" w:rsidP="0040177E">
      <w:pPr>
        <w:pStyle w:val="BodyText"/>
        <w:tabs>
          <w:tab w:val="left" w:pos="0"/>
        </w:tabs>
      </w:pPr>
    </w:p>
    <w:p w:rsidR="0040177E" w:rsidRPr="006A07C5" w:rsidRDefault="00D405AD" w:rsidP="0040177E">
      <w:pPr>
        <w:pStyle w:val="BodyText"/>
        <w:tabs>
          <w:tab w:val="left" w:pos="0"/>
        </w:tabs>
      </w:pPr>
      <w:r>
        <w:lastRenderedPageBreak/>
        <w:t>Staff found</w:t>
      </w:r>
      <w:r w:rsidR="0040177E" w:rsidRPr="006A07C5">
        <w:t xml:space="preserve"> that Hansen Bro</w:t>
      </w:r>
      <w:r w:rsidR="00032975">
        <w:t>thers</w:t>
      </w:r>
      <w:r w:rsidR="0040177E" w:rsidRPr="006A07C5">
        <w:t xml:space="preserve"> demonstrated </w:t>
      </w:r>
      <w:r>
        <w:t xml:space="preserve">substantial compliance with </w:t>
      </w:r>
      <w:r w:rsidR="0040177E" w:rsidRPr="006A07C5">
        <w:t>commission laws and rules</w:t>
      </w:r>
      <w:r>
        <w:t xml:space="preserve">, and cured the specific violations identified in staff’s investigation report that gave rise to the complaint. </w:t>
      </w:r>
      <w:r w:rsidR="0040177E" w:rsidRPr="006A07C5">
        <w:t>Accordingly, staff recommends that the suspended penalty of $800 be waived.</w:t>
      </w:r>
    </w:p>
    <w:p w:rsidR="00087C76" w:rsidRPr="00D405AD" w:rsidRDefault="00087C76" w:rsidP="003A74AC">
      <w:pPr>
        <w:widowControl/>
        <w:rPr>
          <w:sz w:val="24"/>
        </w:rPr>
      </w:pPr>
    </w:p>
    <w:p w:rsidR="00087C76" w:rsidRPr="00D405AD" w:rsidRDefault="00087C76" w:rsidP="003A74AC">
      <w:pPr>
        <w:widowControl/>
        <w:rPr>
          <w:sz w:val="24"/>
        </w:rPr>
      </w:pPr>
      <w:r w:rsidRPr="00D405AD">
        <w:rPr>
          <w:sz w:val="24"/>
        </w:rPr>
        <w:t>Sincerely,</w:t>
      </w:r>
    </w:p>
    <w:p w:rsidR="00087C76" w:rsidRPr="00D405AD" w:rsidRDefault="00087C76" w:rsidP="003A74AC">
      <w:pPr>
        <w:rPr>
          <w:sz w:val="24"/>
        </w:rPr>
      </w:pPr>
    </w:p>
    <w:p w:rsidR="00087C76" w:rsidRPr="00D405AD" w:rsidRDefault="00087C76" w:rsidP="003A74AC">
      <w:pPr>
        <w:rPr>
          <w:sz w:val="24"/>
        </w:rPr>
      </w:pPr>
    </w:p>
    <w:p w:rsidR="00087C76" w:rsidRPr="00D405AD" w:rsidRDefault="00087C76" w:rsidP="003A74AC">
      <w:pPr>
        <w:rPr>
          <w:sz w:val="24"/>
        </w:rPr>
      </w:pPr>
    </w:p>
    <w:p w:rsidR="00D16F61" w:rsidRPr="00D405AD" w:rsidRDefault="00D16F61" w:rsidP="003A74AC">
      <w:pPr>
        <w:widowControl/>
        <w:rPr>
          <w:sz w:val="24"/>
        </w:rPr>
      </w:pPr>
      <w:r w:rsidRPr="00D405AD">
        <w:rPr>
          <w:sz w:val="24"/>
        </w:rPr>
        <w:t>Sharon Wallace, Assistant Director</w:t>
      </w:r>
    </w:p>
    <w:p w:rsidR="00D16F61" w:rsidRPr="00D405AD" w:rsidRDefault="00D16F61" w:rsidP="003A74AC">
      <w:pPr>
        <w:widowControl/>
        <w:rPr>
          <w:sz w:val="24"/>
        </w:rPr>
      </w:pPr>
      <w:r w:rsidRPr="00D405AD">
        <w:rPr>
          <w:sz w:val="24"/>
        </w:rPr>
        <w:t>Consumer Protection and Communications</w:t>
      </w:r>
    </w:p>
    <w:p w:rsidR="00087C76" w:rsidRPr="00D405AD" w:rsidRDefault="00087C76" w:rsidP="003A74AC">
      <w:pPr>
        <w:rPr>
          <w:sz w:val="24"/>
        </w:rPr>
      </w:pPr>
    </w:p>
    <w:sectPr w:rsidR="00087C76" w:rsidRPr="00D405AD" w:rsidSect="00554AC7">
      <w:headerReference w:type="default" r:id="rId8"/>
      <w:footerReference w:type="even" r:id="rId9"/>
      <w:endnotePr>
        <w:numFmt w:val="decimal"/>
      </w:endnotePr>
      <w:pgSz w:w="12240" w:h="15840"/>
      <w:pgMar w:top="1440" w:right="1440" w:bottom="1152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0C" w:rsidRDefault="006C3E0C">
      <w:r>
        <w:separator/>
      </w:r>
    </w:p>
  </w:endnote>
  <w:endnote w:type="continuationSeparator" w:id="0">
    <w:p w:rsidR="006C3E0C" w:rsidRDefault="006C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66" w:rsidRDefault="000F49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966" w:rsidRDefault="000F4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0C" w:rsidRDefault="006C3E0C">
      <w:r>
        <w:separator/>
      </w:r>
    </w:p>
  </w:footnote>
  <w:footnote w:type="continuationSeparator" w:id="0">
    <w:p w:rsidR="006C3E0C" w:rsidRDefault="006C3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9C" w:rsidRDefault="00E7704E">
    <w:pPr>
      <w:pStyle w:val="Header"/>
      <w:rPr>
        <w:sz w:val="24"/>
      </w:rPr>
    </w:pPr>
    <w:r>
      <w:rPr>
        <w:sz w:val="24"/>
      </w:rPr>
      <w:t>David W. Danner</w:t>
    </w:r>
  </w:p>
  <w:p w:rsidR="00073D9C" w:rsidRDefault="00880A0F">
    <w:pPr>
      <w:pStyle w:val="Header"/>
      <w:rPr>
        <w:sz w:val="24"/>
      </w:rPr>
    </w:pPr>
    <w:r>
      <w:rPr>
        <w:sz w:val="24"/>
      </w:rPr>
      <w:t>December 6, 2012</w:t>
    </w:r>
  </w:p>
  <w:p w:rsidR="00073D9C" w:rsidRDefault="00073D9C">
    <w:pPr>
      <w:pStyle w:val="Header"/>
      <w:rPr>
        <w:sz w:val="24"/>
      </w:rPr>
    </w:pPr>
    <w:r>
      <w:rPr>
        <w:sz w:val="24"/>
      </w:rPr>
      <w:t xml:space="preserve">Page </w:t>
    </w:r>
    <w:r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Pr="00073D9C">
      <w:rPr>
        <w:sz w:val="24"/>
      </w:rPr>
      <w:fldChar w:fldCharType="separate"/>
    </w:r>
    <w:r w:rsidR="00CE12FD">
      <w:rPr>
        <w:noProof/>
        <w:sz w:val="24"/>
      </w:rPr>
      <w:t>2</w:t>
    </w:r>
    <w:r w:rsidRPr="00073D9C">
      <w:rPr>
        <w:sz w:val="24"/>
      </w:rPr>
      <w:fldChar w:fldCharType="end"/>
    </w:r>
  </w:p>
  <w:p w:rsidR="00073D9C" w:rsidRPr="00073D9C" w:rsidRDefault="00073D9C">
    <w:pPr>
      <w:pStyle w:val="Header"/>
      <w:rPr>
        <w:sz w:val="24"/>
      </w:rPr>
    </w:pPr>
  </w:p>
  <w:p w:rsidR="00073D9C" w:rsidRDefault="00073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5B3B20"/>
    <w:multiLevelType w:val="hybridMultilevel"/>
    <w:tmpl w:val="E6F8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C14597"/>
    <w:multiLevelType w:val="hybridMultilevel"/>
    <w:tmpl w:val="FB78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2"/>
  </w:num>
  <w:num w:numId="3">
    <w:abstractNumId w:val="17"/>
  </w:num>
  <w:num w:numId="4">
    <w:abstractNumId w:val="4"/>
  </w:num>
  <w:num w:numId="5">
    <w:abstractNumId w:val="24"/>
  </w:num>
  <w:num w:numId="6">
    <w:abstractNumId w:val="6"/>
  </w:num>
  <w:num w:numId="7">
    <w:abstractNumId w:val="23"/>
  </w:num>
  <w:num w:numId="8">
    <w:abstractNumId w:val="21"/>
  </w:num>
  <w:num w:numId="9">
    <w:abstractNumId w:val="10"/>
  </w:num>
  <w:num w:numId="10">
    <w:abstractNumId w:val="19"/>
  </w:num>
  <w:num w:numId="11">
    <w:abstractNumId w:val="27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25"/>
  </w:num>
  <w:num w:numId="19">
    <w:abstractNumId w:val="14"/>
  </w:num>
  <w:num w:numId="20">
    <w:abstractNumId w:val="12"/>
  </w:num>
  <w:num w:numId="21">
    <w:abstractNumId w:val="28"/>
  </w:num>
  <w:num w:numId="22">
    <w:abstractNumId w:val="26"/>
  </w:num>
  <w:num w:numId="23">
    <w:abstractNumId w:val="20"/>
  </w:num>
  <w:num w:numId="24">
    <w:abstractNumId w:val="16"/>
  </w:num>
  <w:num w:numId="25">
    <w:abstractNumId w:val="18"/>
  </w:num>
  <w:num w:numId="26">
    <w:abstractNumId w:val="2"/>
  </w:num>
  <w:num w:numId="27">
    <w:abstractNumId w:val="29"/>
  </w:num>
  <w:num w:numId="28">
    <w:abstractNumId w:val="1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507"/>
    <w:rsid w:val="000152C0"/>
    <w:rsid w:val="00021C26"/>
    <w:rsid w:val="00032975"/>
    <w:rsid w:val="00057143"/>
    <w:rsid w:val="00057BFE"/>
    <w:rsid w:val="000622FC"/>
    <w:rsid w:val="00063632"/>
    <w:rsid w:val="00073D9C"/>
    <w:rsid w:val="00074507"/>
    <w:rsid w:val="0007451F"/>
    <w:rsid w:val="000805BF"/>
    <w:rsid w:val="00087C76"/>
    <w:rsid w:val="000977E9"/>
    <w:rsid w:val="000C299C"/>
    <w:rsid w:val="000E0AB5"/>
    <w:rsid w:val="000E355A"/>
    <w:rsid w:val="000F4966"/>
    <w:rsid w:val="00107DAD"/>
    <w:rsid w:val="00136FBB"/>
    <w:rsid w:val="0014321F"/>
    <w:rsid w:val="00144041"/>
    <w:rsid w:val="001546D4"/>
    <w:rsid w:val="0016252C"/>
    <w:rsid w:val="00183BCF"/>
    <w:rsid w:val="001B76B2"/>
    <w:rsid w:val="00235052"/>
    <w:rsid w:val="0029475E"/>
    <w:rsid w:val="002A030E"/>
    <w:rsid w:val="002A21C0"/>
    <w:rsid w:val="002B20A5"/>
    <w:rsid w:val="002E76B9"/>
    <w:rsid w:val="002F7B70"/>
    <w:rsid w:val="00344642"/>
    <w:rsid w:val="0039544A"/>
    <w:rsid w:val="003A74AC"/>
    <w:rsid w:val="003C7040"/>
    <w:rsid w:val="003D22A1"/>
    <w:rsid w:val="003F6DB0"/>
    <w:rsid w:val="0040177E"/>
    <w:rsid w:val="004150B2"/>
    <w:rsid w:val="00433CB0"/>
    <w:rsid w:val="0047357C"/>
    <w:rsid w:val="004C1DF2"/>
    <w:rsid w:val="004E192D"/>
    <w:rsid w:val="004E2A7D"/>
    <w:rsid w:val="005131F0"/>
    <w:rsid w:val="00522B27"/>
    <w:rsid w:val="00536FDA"/>
    <w:rsid w:val="00554AC7"/>
    <w:rsid w:val="00582C2C"/>
    <w:rsid w:val="005A6AFB"/>
    <w:rsid w:val="005B2514"/>
    <w:rsid w:val="005B7D3C"/>
    <w:rsid w:val="005C3E22"/>
    <w:rsid w:val="005C6692"/>
    <w:rsid w:val="005E286B"/>
    <w:rsid w:val="006203B6"/>
    <w:rsid w:val="006337FB"/>
    <w:rsid w:val="00635704"/>
    <w:rsid w:val="00662188"/>
    <w:rsid w:val="00666381"/>
    <w:rsid w:val="00674501"/>
    <w:rsid w:val="00674EB9"/>
    <w:rsid w:val="00685A72"/>
    <w:rsid w:val="006B4575"/>
    <w:rsid w:val="006C3E0C"/>
    <w:rsid w:val="006F0850"/>
    <w:rsid w:val="00703A9A"/>
    <w:rsid w:val="00721B1D"/>
    <w:rsid w:val="00725172"/>
    <w:rsid w:val="00727B1C"/>
    <w:rsid w:val="00730807"/>
    <w:rsid w:val="00752F7A"/>
    <w:rsid w:val="00777968"/>
    <w:rsid w:val="00795CBC"/>
    <w:rsid w:val="007B1E4C"/>
    <w:rsid w:val="007B6A73"/>
    <w:rsid w:val="007D7832"/>
    <w:rsid w:val="007E7724"/>
    <w:rsid w:val="007F6166"/>
    <w:rsid w:val="00815965"/>
    <w:rsid w:val="00843939"/>
    <w:rsid w:val="00844E40"/>
    <w:rsid w:val="008506F2"/>
    <w:rsid w:val="0085276D"/>
    <w:rsid w:val="008545AB"/>
    <w:rsid w:val="00872222"/>
    <w:rsid w:val="008803B1"/>
    <w:rsid w:val="00880A0F"/>
    <w:rsid w:val="0088297F"/>
    <w:rsid w:val="00883E12"/>
    <w:rsid w:val="008A4AF9"/>
    <w:rsid w:val="008B79A5"/>
    <w:rsid w:val="008E31A4"/>
    <w:rsid w:val="0092397B"/>
    <w:rsid w:val="00942FAF"/>
    <w:rsid w:val="00961D43"/>
    <w:rsid w:val="00965FCD"/>
    <w:rsid w:val="009674E9"/>
    <w:rsid w:val="00971DB2"/>
    <w:rsid w:val="00971E76"/>
    <w:rsid w:val="00987205"/>
    <w:rsid w:val="009A288C"/>
    <w:rsid w:val="009B3D05"/>
    <w:rsid w:val="009B6C5A"/>
    <w:rsid w:val="009C7C47"/>
    <w:rsid w:val="00A31264"/>
    <w:rsid w:val="00A31DA0"/>
    <w:rsid w:val="00A34460"/>
    <w:rsid w:val="00AA1D02"/>
    <w:rsid w:val="00AB7EAF"/>
    <w:rsid w:val="00AC0FC4"/>
    <w:rsid w:val="00AD0E85"/>
    <w:rsid w:val="00B2659B"/>
    <w:rsid w:val="00B33798"/>
    <w:rsid w:val="00B46D62"/>
    <w:rsid w:val="00B82D81"/>
    <w:rsid w:val="00BA08EE"/>
    <w:rsid w:val="00BA1A25"/>
    <w:rsid w:val="00BA2DC1"/>
    <w:rsid w:val="00BF395D"/>
    <w:rsid w:val="00C11D18"/>
    <w:rsid w:val="00C60F70"/>
    <w:rsid w:val="00C800CA"/>
    <w:rsid w:val="00C86876"/>
    <w:rsid w:val="00CB7E4A"/>
    <w:rsid w:val="00CD3B0A"/>
    <w:rsid w:val="00CE12FD"/>
    <w:rsid w:val="00CE6E23"/>
    <w:rsid w:val="00D05FF9"/>
    <w:rsid w:val="00D10C46"/>
    <w:rsid w:val="00D16EF9"/>
    <w:rsid w:val="00D16F61"/>
    <w:rsid w:val="00D405AD"/>
    <w:rsid w:val="00D673E0"/>
    <w:rsid w:val="00D8473E"/>
    <w:rsid w:val="00DD5507"/>
    <w:rsid w:val="00DF4B99"/>
    <w:rsid w:val="00E109BA"/>
    <w:rsid w:val="00E13739"/>
    <w:rsid w:val="00E70E60"/>
    <w:rsid w:val="00E72376"/>
    <w:rsid w:val="00E72D6D"/>
    <w:rsid w:val="00E7704E"/>
    <w:rsid w:val="00E77982"/>
    <w:rsid w:val="00EB437A"/>
    <w:rsid w:val="00EE6592"/>
    <w:rsid w:val="00F01B36"/>
    <w:rsid w:val="00F05240"/>
    <w:rsid w:val="00F51CBE"/>
    <w:rsid w:val="00F55CB9"/>
    <w:rsid w:val="00F66790"/>
    <w:rsid w:val="00FB4C9E"/>
    <w:rsid w:val="00FE0988"/>
    <w:rsid w:val="00FE6A7B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styleId="CommentReference">
    <w:name w:val="annotation reference"/>
    <w:rsid w:val="006F0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08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F0850"/>
  </w:style>
  <w:style w:type="paragraph" w:styleId="CommentSubject">
    <w:name w:val="annotation subject"/>
    <w:basedOn w:val="CommentText"/>
    <w:next w:val="CommentText"/>
    <w:link w:val="CommentSubjectChar"/>
    <w:rsid w:val="006F0850"/>
    <w:rPr>
      <w:b/>
      <w:bCs/>
    </w:rPr>
  </w:style>
  <w:style w:type="character" w:customStyle="1" w:styleId="CommentSubjectChar">
    <w:name w:val="Comment Subject Char"/>
    <w:link w:val="CommentSubject"/>
    <w:rsid w:val="006F08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2010-12-21T08:00:00+00:00</OpenedDate>
    <Date1 xmlns="dc463f71-b30c-4ab2-9473-d307f9d35888">2012-12-10T08:00:00+00:00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HANSEN BROS TRANSFER &amp; STORAGE CO INC</CaseCompanyNames>
    <DocketNumber xmlns="dc463f71-b30c-4ab2-9473-d307f9d35888">102032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23B973EFF0764280FCBF3F593D5DF5" ma:contentTypeVersion="131" ma:contentTypeDescription="" ma:contentTypeScope="" ma:versionID="67fc264b32ac7f0b641c8b00ae6a1c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D98B1-A233-4498-B3BB-E4D6961464FA}"/>
</file>

<file path=customXml/itemProps2.xml><?xml version="1.0" encoding="utf-8"?>
<ds:datastoreItem xmlns:ds="http://schemas.openxmlformats.org/officeDocument/2006/customXml" ds:itemID="{6215FC26-44BC-4B28-84DC-634F1DDB1781}"/>
</file>

<file path=customXml/itemProps3.xml><?xml version="1.0" encoding="utf-8"?>
<ds:datastoreItem xmlns:ds="http://schemas.openxmlformats.org/officeDocument/2006/customXml" ds:itemID="{52DFABC4-D603-4ED6-B63D-6BBF114C8F80}"/>
</file>

<file path=customXml/itemProps4.xml><?xml version="1.0" encoding="utf-8"?>
<ds:datastoreItem xmlns:ds="http://schemas.openxmlformats.org/officeDocument/2006/customXml" ds:itemID="{23EAECBE-07A0-4DE2-87BB-7D622D106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subject/>
  <dc:creator>Information Services</dc:creator>
  <cp:keywords/>
  <dc:description/>
  <cp:lastModifiedBy>Mathew Perkinson</cp:lastModifiedBy>
  <cp:revision>26</cp:revision>
  <cp:lastPrinted>2012-05-08T20:55:00Z</cp:lastPrinted>
  <dcterms:created xsi:type="dcterms:W3CDTF">2012-11-08T00:34:00Z</dcterms:created>
  <dcterms:modified xsi:type="dcterms:W3CDTF">2012-12-06T16:58:00Z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0x0101006E56B4D1795A2E4DB2F0B01679ED314A00E323B973EFF0764280FCBF3F593D5DF5</vt:lpwstr>
  </property>
  <property fmtid="{D5CDD505-2E9C-101B-9397-08002B2CF9AE}" pid="3" name="_docset_NoMedatataSyncRequired">
    <vt:lpwstr>False</vt:lpwstr>
  </property>
</Properties>
</file>