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3.xml" ContentType="application/vnd.openxmlformats-officedocument.wordprocessingml.footer+xml"/>
  <Override PartName="/customXml/itemProps3.xml" ContentType="application/vnd.openxmlformats-officedocument.customXmlProperti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footer2.xml" ContentType="application/vnd.openxmlformats-officedocument.wordprocessingml.footer+xml"/>
  <Override PartName="/customXml/itemProps2.xml" ContentType="application/vnd.openxmlformats-officedocument.customXmlProperties+xml"/>
  <Override PartName="/word/footer1.xml" ContentType="application/vnd.openxmlformats-officedocument.wordprocessingml.footer+xml"/>
  <Override PartName="/word/fontTable.xml" ContentType="application/vnd.openxmlformats-officedocument.wordprocessingml.fontTable+xml"/>
  <Override PartName="/customXml/itemProps1.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customXml/itemProps5.xml" ContentType="application/vnd.openxmlformats-officedocument.customXmlProperties+xml"/>
  <Override PartName="/word/header2.xml" ContentType="application/vnd.openxmlformats-officedocument.wordprocessingml.header+xml"/>
  <Override PartName="/word/settings.xml" ContentType="application/vnd.openxmlformats-officedocument.wordprocessingml.settings+xml"/>
  <Override PartName="/word/footer4.xml" ContentType="application/vnd.openxmlformats-officedocument.wordprocessingml.footer+xml"/>
  <Override PartName="/customXml/itemProps4.xml" ContentType="application/vnd.openxmlformats-officedocument.customXmlProperties+xml"/>
  <Override PartName="/word/stylesWithEffects.xml" ContentType="application/vnd.ms-word.stylesWithEffects+xml"/>
  <Override PartName="/word/header1.xml" ContentType="application/vnd.openxmlformats-officedocument.wordprocessingml.header+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63F" w:rsidRPr="00B1063F" w:rsidRDefault="00B1063F" w:rsidP="00B1063F">
      <w:pPr>
        <w:widowControl w:val="0"/>
        <w:ind w:left="4320"/>
        <w:rPr>
          <w:b/>
          <w:szCs w:val="20"/>
          <w:lang w:eastAsia="zh-CN"/>
        </w:rPr>
      </w:pPr>
      <w:bookmarkStart w:id="0" w:name="_GoBack"/>
      <w:bookmarkEnd w:id="0"/>
      <w:r w:rsidRPr="00B1063F">
        <w:rPr>
          <w:b/>
          <w:szCs w:val="20"/>
          <w:lang w:eastAsia="zh-CN"/>
        </w:rPr>
        <w:t>EXHIBIT NO. ___(</w:t>
      </w:r>
      <w:r>
        <w:rPr>
          <w:b/>
          <w:szCs w:val="20"/>
          <w:lang w:eastAsia="zh-CN"/>
        </w:rPr>
        <w:t>JAP</w:t>
      </w:r>
      <w:r w:rsidRPr="00B1063F">
        <w:rPr>
          <w:b/>
          <w:szCs w:val="20"/>
          <w:lang w:eastAsia="zh-CN"/>
        </w:rPr>
        <w:t>-</w:t>
      </w:r>
      <w:r>
        <w:rPr>
          <w:b/>
          <w:szCs w:val="20"/>
          <w:lang w:eastAsia="zh-CN"/>
        </w:rPr>
        <w:t>1T</w:t>
      </w:r>
      <w:r w:rsidRPr="00B1063F">
        <w:rPr>
          <w:b/>
          <w:szCs w:val="20"/>
          <w:lang w:eastAsia="zh-CN"/>
        </w:rPr>
        <w:t>)</w:t>
      </w:r>
    </w:p>
    <w:p w:rsidR="00B1063F" w:rsidRPr="00B1063F" w:rsidRDefault="00B1063F" w:rsidP="00B1063F">
      <w:pPr>
        <w:widowControl w:val="0"/>
        <w:ind w:left="4320"/>
        <w:rPr>
          <w:b/>
          <w:szCs w:val="20"/>
          <w:lang w:eastAsia="zh-CN"/>
        </w:rPr>
      </w:pPr>
      <w:r w:rsidRPr="00B1063F">
        <w:rPr>
          <w:b/>
          <w:szCs w:val="20"/>
          <w:lang w:eastAsia="zh-CN"/>
        </w:rPr>
        <w:t>DOCKET NO. UG-15____</w:t>
      </w:r>
    </w:p>
    <w:p w:rsidR="00B1063F" w:rsidRPr="00B1063F" w:rsidRDefault="00B1063F" w:rsidP="00B1063F">
      <w:pPr>
        <w:widowControl w:val="0"/>
        <w:ind w:left="4320"/>
        <w:rPr>
          <w:b/>
          <w:szCs w:val="20"/>
          <w:lang w:eastAsia="zh-CN"/>
        </w:rPr>
      </w:pPr>
      <w:r w:rsidRPr="00B1063F">
        <w:rPr>
          <w:b/>
          <w:szCs w:val="20"/>
          <w:lang w:eastAsia="zh-CN"/>
        </w:rPr>
        <w:t>WITNESS:  </w:t>
      </w:r>
      <w:r>
        <w:rPr>
          <w:b/>
          <w:szCs w:val="20"/>
          <w:lang w:eastAsia="zh-CN"/>
        </w:rPr>
        <w:t>JON A</w:t>
      </w:r>
      <w:r w:rsidRPr="00B1063F">
        <w:rPr>
          <w:b/>
          <w:szCs w:val="20"/>
          <w:lang w:eastAsia="zh-CN"/>
        </w:rPr>
        <w:t xml:space="preserve">. </w:t>
      </w:r>
      <w:r>
        <w:rPr>
          <w:b/>
          <w:szCs w:val="20"/>
          <w:lang w:eastAsia="zh-CN"/>
        </w:rPr>
        <w:t>PILIARIS</w:t>
      </w:r>
    </w:p>
    <w:p w:rsidR="00B1063F" w:rsidRPr="00B1063F" w:rsidRDefault="00B1063F" w:rsidP="00B1063F">
      <w:pPr>
        <w:keepNext/>
        <w:jc w:val="center"/>
        <w:rPr>
          <w:rFonts w:eastAsia="SimSun"/>
          <w:lang w:eastAsia="zh-CN"/>
        </w:rPr>
      </w:pP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r w:rsidRPr="00B1063F">
        <w:rPr>
          <w:rFonts w:eastAsia="SimSun"/>
          <w:b/>
          <w:lang w:eastAsia="zh-CN"/>
        </w:rPr>
        <w:t>BEFORE THE</w:t>
      </w:r>
    </w:p>
    <w:p w:rsidR="00B1063F" w:rsidRPr="00B1063F" w:rsidRDefault="00B1063F" w:rsidP="00B1063F">
      <w:pPr>
        <w:keepNext/>
        <w:jc w:val="center"/>
        <w:rPr>
          <w:rFonts w:eastAsia="SimSun"/>
          <w:b/>
          <w:lang w:eastAsia="zh-CN"/>
        </w:rPr>
      </w:pPr>
      <w:smartTag w:uri="urn:schemas-microsoft-com:office:smarttags" w:element="place">
        <w:smartTag w:uri="urn:schemas-microsoft-com:office:smarttags" w:element="State">
          <w:r w:rsidRPr="00B1063F">
            <w:rPr>
              <w:rFonts w:eastAsia="SimSun"/>
              <w:b/>
              <w:lang w:eastAsia="zh-CN"/>
            </w:rPr>
            <w:t>WASHINGTON</w:t>
          </w:r>
        </w:smartTag>
      </w:smartTag>
      <w:r w:rsidRPr="00B1063F">
        <w:rPr>
          <w:rFonts w:eastAsia="SimSun"/>
          <w:b/>
          <w:lang w:eastAsia="zh-CN"/>
        </w:rPr>
        <w:t xml:space="preserve"> UTILITIES AND TRANSPORTATION COMMISSION</w:t>
      </w: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B1063F" w:rsidRPr="00B1063F" w:rsidTr="00B1063F">
        <w:tc>
          <w:tcPr>
            <w:tcW w:w="4536" w:type="dxa"/>
            <w:tcBorders>
              <w:top w:val="nil"/>
              <w:left w:val="nil"/>
            </w:tcBorders>
          </w:tcPr>
          <w:p w:rsidR="00B1063F" w:rsidRPr="00B1063F" w:rsidRDefault="00B1063F" w:rsidP="00B1063F">
            <w:pPr>
              <w:rPr>
                <w:b/>
                <w:szCs w:val="20"/>
                <w:lang w:eastAsia="zh-CN"/>
              </w:rPr>
            </w:pPr>
            <w:r w:rsidRPr="00B1063F">
              <w:rPr>
                <w:b/>
                <w:szCs w:val="20"/>
                <w:lang w:eastAsia="zh-CN"/>
              </w:rPr>
              <w:t>In the Matter of the Petition of</w:t>
            </w:r>
          </w:p>
          <w:p w:rsidR="00B1063F" w:rsidRPr="00B1063F" w:rsidRDefault="00B1063F" w:rsidP="00B1063F">
            <w:pPr>
              <w:rPr>
                <w:b/>
                <w:szCs w:val="20"/>
                <w:lang w:eastAsia="zh-CN"/>
              </w:rPr>
            </w:pPr>
          </w:p>
          <w:p w:rsidR="00B1063F" w:rsidRPr="00B1063F" w:rsidRDefault="00B1063F" w:rsidP="00B1063F">
            <w:pPr>
              <w:rPr>
                <w:b/>
                <w:szCs w:val="20"/>
                <w:lang w:eastAsia="zh-CN"/>
              </w:rPr>
            </w:pPr>
            <w:r w:rsidRPr="00B1063F">
              <w:rPr>
                <w:b/>
                <w:szCs w:val="20"/>
                <w:lang w:eastAsia="zh-CN"/>
              </w:rPr>
              <w:t xml:space="preserve">PUGET SOUND ENERGY, INC. </w:t>
            </w:r>
          </w:p>
          <w:p w:rsidR="00B1063F" w:rsidRPr="00B1063F" w:rsidRDefault="00B1063F" w:rsidP="00B1063F">
            <w:pPr>
              <w:rPr>
                <w:b/>
                <w:szCs w:val="20"/>
                <w:lang w:eastAsia="zh-CN"/>
              </w:rPr>
            </w:pPr>
          </w:p>
          <w:p w:rsidR="00B1063F" w:rsidRPr="00B1063F" w:rsidRDefault="00B1063F" w:rsidP="00B1063F">
            <w:pPr>
              <w:rPr>
                <w:b/>
                <w:szCs w:val="20"/>
                <w:lang w:eastAsia="zh-CN"/>
              </w:rPr>
            </w:pPr>
            <w:r w:rsidRPr="00B1063F">
              <w:rPr>
                <w:b/>
                <w:szCs w:val="20"/>
                <w:lang w:eastAsia="zh-CN"/>
              </w:rPr>
              <w:t>for (i) Approval of a Special Contract for Liquefied Natural Gas Fuel Service with Totem Ocean Trailer Express, Inc. and (ii) a Declaratory Order Approving the Methodology for Allocating Costs Between Regulated and Non-regulated Liquefied Natural Gas Services</w:t>
            </w:r>
          </w:p>
          <w:p w:rsidR="00B1063F" w:rsidRPr="00B1063F" w:rsidRDefault="00B1063F" w:rsidP="00B1063F">
            <w:pPr>
              <w:rPr>
                <w:b/>
                <w:szCs w:val="20"/>
                <w:lang w:eastAsia="zh-CN"/>
              </w:rPr>
            </w:pPr>
          </w:p>
        </w:tc>
        <w:tc>
          <w:tcPr>
            <w:tcW w:w="4545" w:type="dxa"/>
            <w:tcBorders>
              <w:top w:val="nil"/>
              <w:bottom w:val="nil"/>
              <w:right w:val="nil"/>
            </w:tcBorders>
            <w:vAlign w:val="center"/>
          </w:tcPr>
          <w:p w:rsidR="00B1063F" w:rsidRPr="00B1063F" w:rsidRDefault="00B1063F" w:rsidP="00B1063F">
            <w:pPr>
              <w:keepNext/>
              <w:keepLines/>
              <w:ind w:left="324"/>
              <w:rPr>
                <w:b/>
                <w:szCs w:val="20"/>
                <w:lang w:eastAsia="zh-CN"/>
              </w:rPr>
            </w:pPr>
            <w:r w:rsidRPr="00B1063F">
              <w:rPr>
                <w:b/>
                <w:szCs w:val="20"/>
                <w:lang w:eastAsia="zh-CN"/>
              </w:rPr>
              <w:t>DOCKET NO. UG-15____</w:t>
            </w:r>
          </w:p>
        </w:tc>
      </w:tr>
    </w:tbl>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p w:rsidR="00517897" w:rsidRPr="00EF16DB" w:rsidRDefault="00517897" w:rsidP="00CE5032">
      <w:pPr>
        <w:pStyle w:val="center"/>
        <w:keepNext/>
        <w:keepLines w:val="0"/>
        <w:spacing w:before="0" w:line="240" w:lineRule="auto"/>
        <w:rPr>
          <w:b/>
        </w:rPr>
      </w:pPr>
      <w:r w:rsidRPr="00EF16DB">
        <w:rPr>
          <w:b/>
        </w:rPr>
        <w:t xml:space="preserve">PREFILED </w:t>
      </w:r>
      <w:r w:rsidR="004611C3">
        <w:rPr>
          <w:b/>
        </w:rPr>
        <w:t>DI</w:t>
      </w:r>
      <w:r w:rsidR="00CC32D9">
        <w:rPr>
          <w:b/>
        </w:rPr>
        <w:t>R</w:t>
      </w:r>
      <w:r w:rsidR="004611C3">
        <w:rPr>
          <w:b/>
        </w:rPr>
        <w:t xml:space="preserve">ECT </w:t>
      </w:r>
      <w:r w:rsidRPr="00EF16DB">
        <w:rPr>
          <w:b/>
        </w:rPr>
        <w:t xml:space="preserve">TESTIMONY </w:t>
      </w:r>
      <w:r w:rsidR="00D30B68" w:rsidRPr="00EF16DB">
        <w:rPr>
          <w:b/>
        </w:rPr>
        <w:t>(</w:t>
      </w:r>
      <w:r w:rsidR="00D30B68">
        <w:rPr>
          <w:b/>
        </w:rPr>
        <w:t>NON</w:t>
      </w:r>
      <w:r w:rsidR="00D30B68" w:rsidRPr="00EF16DB">
        <w:rPr>
          <w:b/>
        </w:rPr>
        <w:t xml:space="preserve">CONFIDENTIAL) </w:t>
      </w:r>
      <w:r w:rsidRPr="00EF16DB">
        <w:rPr>
          <w:b/>
        </w:rPr>
        <w:t>OF</w:t>
      </w:r>
      <w:r w:rsidRPr="00EF16DB">
        <w:rPr>
          <w:b/>
        </w:rPr>
        <w:br/>
      </w:r>
      <w:r w:rsidR="006650C9">
        <w:rPr>
          <w:b/>
          <w:color w:val="000000"/>
        </w:rPr>
        <w:t>JON A. PILIARIS</w:t>
      </w:r>
      <w:r w:rsidRPr="00EF16DB">
        <w:rPr>
          <w:b/>
        </w:rPr>
        <w:br/>
        <w:t xml:space="preserve">ON BEHALF OF PUGET </w:t>
      </w:r>
      <w:r w:rsidR="004611C3">
        <w:rPr>
          <w:b/>
        </w:rPr>
        <w:t>SOUND ENERGY, INC.</w:t>
      </w: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BF5520" w:rsidRDefault="00BF5520" w:rsidP="00BF5520">
      <w:pPr>
        <w:pStyle w:val="center"/>
        <w:keepNext/>
        <w:keepLines w:val="0"/>
        <w:spacing w:before="0" w:line="240" w:lineRule="auto"/>
        <w:rPr>
          <w:b/>
        </w:rPr>
      </w:pPr>
    </w:p>
    <w:p w:rsidR="00B1063F" w:rsidRDefault="00B1063F" w:rsidP="00BF5520">
      <w:pPr>
        <w:pStyle w:val="center"/>
        <w:keepNext/>
        <w:keepLines w:val="0"/>
        <w:spacing w:before="0" w:line="240" w:lineRule="auto"/>
        <w:rPr>
          <w:b/>
        </w:rPr>
      </w:pPr>
    </w:p>
    <w:p w:rsidR="00B1063F" w:rsidRDefault="00B1063F" w:rsidP="00BF5520">
      <w:pPr>
        <w:pStyle w:val="center"/>
        <w:keepNext/>
        <w:keepLines w:val="0"/>
        <w:spacing w:before="0" w:line="240" w:lineRule="auto"/>
        <w:rPr>
          <w:b/>
        </w:rPr>
      </w:pPr>
    </w:p>
    <w:p w:rsidR="00B1063F" w:rsidRDefault="00B1063F" w:rsidP="00BF5520">
      <w:pPr>
        <w:pStyle w:val="center"/>
        <w:keepNext/>
        <w:keepLines w:val="0"/>
        <w:spacing w:before="0" w:line="240" w:lineRule="auto"/>
        <w:rPr>
          <w:b/>
        </w:rPr>
      </w:pPr>
    </w:p>
    <w:p w:rsidR="00B1063F" w:rsidRDefault="00B1063F" w:rsidP="00BF5520">
      <w:pPr>
        <w:pStyle w:val="center"/>
        <w:keepNext/>
        <w:keepLines w:val="0"/>
        <w:spacing w:before="0" w:line="240" w:lineRule="auto"/>
        <w:rPr>
          <w:b/>
        </w:rPr>
      </w:pPr>
    </w:p>
    <w:p w:rsidR="00B945F8" w:rsidRDefault="00B945F8"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4611C3" w:rsidRPr="00EF16DB" w:rsidRDefault="004611C3" w:rsidP="00BF5520">
      <w:pPr>
        <w:pStyle w:val="center"/>
        <w:keepNext/>
        <w:keepLines w:val="0"/>
        <w:spacing w:before="0" w:line="240" w:lineRule="auto"/>
        <w:rPr>
          <w:b/>
        </w:rPr>
      </w:pPr>
    </w:p>
    <w:p w:rsidR="00BF5520" w:rsidRPr="00EF16DB" w:rsidRDefault="00BF5520" w:rsidP="00BF5520">
      <w:pPr>
        <w:pStyle w:val="center"/>
        <w:keepNext/>
        <w:keepLines w:val="0"/>
        <w:spacing w:before="0" w:line="240" w:lineRule="auto"/>
        <w:rPr>
          <w:b/>
        </w:rPr>
      </w:pPr>
    </w:p>
    <w:p w:rsidR="00D30B68" w:rsidRDefault="00D30B68" w:rsidP="00BF5520">
      <w:pPr>
        <w:pStyle w:val="center"/>
        <w:keepNext/>
        <w:keepLines w:val="0"/>
        <w:spacing w:before="0" w:line="240" w:lineRule="auto"/>
        <w:rPr>
          <w:b/>
        </w:rPr>
      </w:pPr>
    </w:p>
    <w:p w:rsidR="00517897" w:rsidRPr="00EF16DB" w:rsidRDefault="00E95172" w:rsidP="00BF5520">
      <w:pPr>
        <w:keepNext/>
        <w:jc w:val="center"/>
        <w:rPr>
          <w:rFonts w:eastAsia="SimSun"/>
          <w:b/>
        </w:rPr>
      </w:pPr>
      <w:r>
        <w:rPr>
          <w:b/>
        </w:rPr>
        <w:t xml:space="preserve">AUGUST </w:t>
      </w:r>
      <w:r w:rsidR="00242EE7">
        <w:rPr>
          <w:b/>
        </w:rPr>
        <w:t>11</w:t>
      </w:r>
      <w:r w:rsidR="00F07711" w:rsidRPr="00EF16DB">
        <w:rPr>
          <w:b/>
        </w:rPr>
        <w:t xml:space="preserve">, </w:t>
      </w:r>
      <w:r w:rsidR="00517897" w:rsidRPr="00EF16DB">
        <w:rPr>
          <w:b/>
        </w:rPr>
        <w:t>20</w:t>
      </w:r>
      <w:r w:rsidR="004611C3">
        <w:rPr>
          <w:b/>
        </w:rPr>
        <w:t>15</w:t>
      </w:r>
    </w:p>
    <w:p w:rsidR="00517897" w:rsidRPr="00EF16DB" w:rsidRDefault="00517897" w:rsidP="00BF5520">
      <w:pPr>
        <w:keepNext/>
        <w:jc w:val="center"/>
        <w:rPr>
          <w:rFonts w:eastAsia="SimSun"/>
          <w:b/>
        </w:rPr>
        <w:sectPr w:rsidR="00517897" w:rsidRPr="00EF16DB" w:rsidSect="00E05C6E">
          <w:headerReference w:type="even" r:id="rId14"/>
          <w:headerReference w:type="default" r:id="rId15"/>
          <w:footerReference w:type="first" r:id="rId16"/>
          <w:pgSz w:w="12240" w:h="15840" w:code="1"/>
          <w:pgMar w:top="1440" w:right="1440" w:bottom="1440" w:left="2160" w:header="720" w:footer="864" w:gutter="0"/>
          <w:pgNumType w:start="1"/>
          <w:cols w:space="720"/>
          <w:rtlGutter/>
        </w:sectPr>
      </w:pPr>
    </w:p>
    <w:p w:rsidR="00F07711" w:rsidRPr="00EF16DB" w:rsidRDefault="004611C3" w:rsidP="00E41D7A">
      <w:pPr>
        <w:keepNext/>
        <w:spacing w:before="240" w:after="480"/>
        <w:ind w:left="720" w:right="720"/>
        <w:jc w:val="center"/>
        <w:rPr>
          <w:rStyle w:val="Strong"/>
          <w:rFonts w:eastAsia="SimSun"/>
        </w:rPr>
      </w:pPr>
      <w:r>
        <w:rPr>
          <w:rStyle w:val="Strong"/>
          <w:rFonts w:eastAsia="SimSun"/>
        </w:rPr>
        <w:lastRenderedPageBreak/>
        <w:t>PUGET SOUND ENERGY, INC.</w:t>
      </w:r>
    </w:p>
    <w:p w:rsidR="00F07711" w:rsidRPr="00C06DEC" w:rsidRDefault="00F07711" w:rsidP="00E41D7A">
      <w:pPr>
        <w:keepNext/>
        <w:spacing w:before="240" w:after="480"/>
        <w:jc w:val="center"/>
        <w:rPr>
          <w:rFonts w:eastAsia="SimSun"/>
        </w:rPr>
      </w:pPr>
      <w:r w:rsidRPr="00EF16DB">
        <w:rPr>
          <w:rStyle w:val="Strong"/>
          <w:rFonts w:eastAsia="SimSun"/>
        </w:rPr>
        <w:t xml:space="preserve">PREFILED </w:t>
      </w:r>
      <w:r w:rsidR="004611C3">
        <w:rPr>
          <w:rStyle w:val="Strong"/>
          <w:rFonts w:eastAsia="SimSun"/>
        </w:rPr>
        <w:t xml:space="preserve">DIRECT </w:t>
      </w:r>
      <w:r w:rsidRPr="00EF16DB">
        <w:rPr>
          <w:rStyle w:val="Strong"/>
          <w:rFonts w:eastAsia="SimSun"/>
        </w:rPr>
        <w:t xml:space="preserve">TESTIMONY </w:t>
      </w:r>
      <w:r w:rsidR="00D30B68" w:rsidRPr="00EF16DB">
        <w:rPr>
          <w:b/>
        </w:rPr>
        <w:t>(</w:t>
      </w:r>
      <w:r w:rsidR="00D30B68">
        <w:rPr>
          <w:b/>
        </w:rPr>
        <w:t>NON</w:t>
      </w:r>
      <w:r w:rsidR="00D30B68" w:rsidRPr="00EF16DB">
        <w:rPr>
          <w:b/>
        </w:rPr>
        <w:t>CONFIDENTIAL)</w:t>
      </w:r>
      <w:r w:rsidRPr="00EF16DB">
        <w:rPr>
          <w:rFonts w:eastAsia="SimSun"/>
          <w:b/>
          <w:color w:val="000000"/>
        </w:rPr>
        <w:t xml:space="preserve"> </w:t>
      </w:r>
      <w:r w:rsidRPr="00EF16DB">
        <w:rPr>
          <w:rStyle w:val="Strong"/>
          <w:rFonts w:eastAsia="SimSun"/>
        </w:rPr>
        <w:t>OF</w:t>
      </w:r>
      <w:r w:rsidRPr="00EF16DB">
        <w:rPr>
          <w:rStyle w:val="Strong"/>
          <w:rFonts w:eastAsia="SimSun"/>
          <w:b w:val="0"/>
        </w:rPr>
        <w:br/>
      </w:r>
      <w:r w:rsidR="006650C9">
        <w:rPr>
          <w:b/>
          <w:color w:val="000000"/>
        </w:rPr>
        <w:t>JON A. PILIARIS</w:t>
      </w:r>
    </w:p>
    <w:p w:rsidR="00FC7A2F" w:rsidRPr="00EF16DB" w:rsidRDefault="00F07711" w:rsidP="00E41D7A">
      <w:pPr>
        <w:keepNext/>
        <w:spacing w:before="240" w:after="480"/>
        <w:ind w:left="547" w:right="547"/>
        <w:jc w:val="center"/>
        <w:rPr>
          <w:rFonts w:eastAsia="SimSun"/>
        </w:rPr>
      </w:pPr>
      <w:bookmarkStart w:id="3" w:name="TOCTitle"/>
      <w:r w:rsidRPr="00EF16DB">
        <w:rPr>
          <w:b/>
          <w:color w:val="000000"/>
        </w:rPr>
        <w:t>CONTENTS</w:t>
      </w:r>
      <w:bookmarkEnd w:id="3"/>
    </w:p>
    <w:p w:rsidR="00CE14DE" w:rsidRPr="00CE14DE" w:rsidRDefault="00FC7A2F" w:rsidP="00CE14DE">
      <w:pPr>
        <w:pStyle w:val="TOC1"/>
        <w:tabs>
          <w:tab w:val="clear" w:pos="8640"/>
          <w:tab w:val="left" w:leader="dot" w:pos="8280"/>
        </w:tabs>
        <w:rPr>
          <w:rFonts w:asciiTheme="minorHAnsi" w:eastAsiaTheme="minorEastAsia" w:hAnsiTheme="minorHAnsi" w:cstheme="minorBidi"/>
          <w:color w:val="auto"/>
          <w:sz w:val="22"/>
          <w:szCs w:val="22"/>
          <w:lang w:eastAsia="en-US"/>
        </w:rPr>
      </w:pPr>
      <w:r w:rsidRPr="00CE14DE">
        <w:rPr>
          <w:color w:val="auto"/>
        </w:rPr>
        <w:fldChar w:fldCharType="begin"/>
      </w:r>
      <w:r w:rsidRPr="00CE14DE">
        <w:rPr>
          <w:color w:val="auto"/>
        </w:rPr>
        <w:instrText xml:space="preserve"> TOC \o "1-3" \h \z \u </w:instrText>
      </w:r>
      <w:r w:rsidRPr="00CE14DE">
        <w:rPr>
          <w:color w:val="auto"/>
        </w:rPr>
        <w:fldChar w:fldCharType="separate"/>
      </w:r>
      <w:hyperlink w:anchor="_Toc426899579" w:history="1">
        <w:r w:rsidR="00CE14DE" w:rsidRPr="00CE14DE">
          <w:rPr>
            <w:rStyle w:val="Hyperlink"/>
            <w:color w:val="auto"/>
          </w:rPr>
          <w:t>I.</w:t>
        </w:r>
        <w:r w:rsidR="00CE14DE" w:rsidRPr="00CE14DE">
          <w:rPr>
            <w:rFonts w:asciiTheme="minorHAnsi" w:eastAsiaTheme="minorEastAsia" w:hAnsiTheme="minorHAnsi" w:cstheme="minorBidi"/>
            <w:color w:val="auto"/>
            <w:sz w:val="22"/>
            <w:szCs w:val="22"/>
            <w:lang w:eastAsia="en-US"/>
          </w:rPr>
          <w:tab/>
        </w:r>
        <w:r w:rsidR="00CE14DE" w:rsidRPr="00CE14DE">
          <w:rPr>
            <w:rStyle w:val="Hyperlink"/>
            <w:color w:val="auto"/>
          </w:rPr>
          <w:t>INTRODUCTION</w:t>
        </w:r>
        <w:r w:rsidR="00CE14DE" w:rsidRPr="00CE14DE">
          <w:rPr>
            <w:webHidden/>
            <w:color w:val="auto"/>
          </w:rPr>
          <w:tab/>
        </w:r>
        <w:r w:rsidR="00CE14DE" w:rsidRPr="00CE14DE">
          <w:rPr>
            <w:webHidden/>
            <w:color w:val="auto"/>
          </w:rPr>
          <w:fldChar w:fldCharType="begin"/>
        </w:r>
        <w:r w:rsidR="00CE14DE" w:rsidRPr="00CE14DE">
          <w:rPr>
            <w:webHidden/>
            <w:color w:val="auto"/>
          </w:rPr>
          <w:instrText xml:space="preserve"> PAGEREF _Toc426899579 \h </w:instrText>
        </w:r>
        <w:r w:rsidR="00CE14DE" w:rsidRPr="00CE14DE">
          <w:rPr>
            <w:webHidden/>
            <w:color w:val="auto"/>
          </w:rPr>
        </w:r>
        <w:r w:rsidR="00CE14DE" w:rsidRPr="00CE14DE">
          <w:rPr>
            <w:webHidden/>
            <w:color w:val="auto"/>
          </w:rPr>
          <w:fldChar w:fldCharType="separate"/>
        </w:r>
        <w:r w:rsidR="00CE14DE" w:rsidRPr="00CE14DE">
          <w:rPr>
            <w:webHidden/>
            <w:color w:val="auto"/>
          </w:rPr>
          <w:t>1</w:t>
        </w:r>
        <w:r w:rsidR="00CE14DE" w:rsidRPr="00CE14DE">
          <w:rPr>
            <w:webHidden/>
            <w:color w:val="auto"/>
          </w:rPr>
          <w:fldChar w:fldCharType="end"/>
        </w:r>
      </w:hyperlink>
    </w:p>
    <w:p w:rsidR="00CE14DE" w:rsidRPr="00CE14DE" w:rsidRDefault="00CF0E01" w:rsidP="00CE14D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899580" w:history="1">
        <w:r w:rsidR="00CE14DE" w:rsidRPr="00CE14DE">
          <w:rPr>
            <w:rStyle w:val="Hyperlink"/>
            <w:color w:val="auto"/>
          </w:rPr>
          <w:t>II.</w:t>
        </w:r>
        <w:r w:rsidR="00CE14DE" w:rsidRPr="00CE14DE">
          <w:rPr>
            <w:rFonts w:asciiTheme="minorHAnsi" w:eastAsiaTheme="minorEastAsia" w:hAnsiTheme="minorHAnsi" w:cstheme="minorBidi"/>
            <w:color w:val="auto"/>
            <w:sz w:val="22"/>
            <w:szCs w:val="22"/>
            <w:lang w:eastAsia="en-US"/>
          </w:rPr>
          <w:tab/>
        </w:r>
        <w:r w:rsidR="00CE14DE" w:rsidRPr="00CE14DE">
          <w:rPr>
            <w:rStyle w:val="Hyperlink"/>
            <w:color w:val="auto"/>
          </w:rPr>
          <w:t>INCREMENTAL COSTS ASSOCIATED WITH REGULATED OPERATIONS OF THE TACOMA LNG PROJECT</w:t>
        </w:r>
        <w:r w:rsidR="00CE14DE" w:rsidRPr="00CE14DE">
          <w:rPr>
            <w:webHidden/>
            <w:color w:val="auto"/>
          </w:rPr>
          <w:tab/>
        </w:r>
        <w:r w:rsidR="00CE14DE" w:rsidRPr="00CE14DE">
          <w:rPr>
            <w:webHidden/>
            <w:color w:val="auto"/>
          </w:rPr>
          <w:fldChar w:fldCharType="begin"/>
        </w:r>
        <w:r w:rsidR="00CE14DE" w:rsidRPr="00CE14DE">
          <w:rPr>
            <w:webHidden/>
            <w:color w:val="auto"/>
          </w:rPr>
          <w:instrText xml:space="preserve"> PAGEREF _Toc426899580 \h </w:instrText>
        </w:r>
        <w:r w:rsidR="00CE14DE" w:rsidRPr="00CE14DE">
          <w:rPr>
            <w:webHidden/>
            <w:color w:val="auto"/>
          </w:rPr>
        </w:r>
        <w:r w:rsidR="00CE14DE" w:rsidRPr="00CE14DE">
          <w:rPr>
            <w:webHidden/>
            <w:color w:val="auto"/>
          </w:rPr>
          <w:fldChar w:fldCharType="separate"/>
        </w:r>
        <w:r w:rsidR="00CE14DE" w:rsidRPr="00CE14DE">
          <w:rPr>
            <w:webHidden/>
            <w:color w:val="auto"/>
          </w:rPr>
          <w:t>2</w:t>
        </w:r>
        <w:r w:rsidR="00CE14DE" w:rsidRPr="00CE14DE">
          <w:rPr>
            <w:webHidden/>
            <w:color w:val="auto"/>
          </w:rPr>
          <w:fldChar w:fldCharType="end"/>
        </w:r>
      </w:hyperlink>
    </w:p>
    <w:p w:rsidR="00CE14DE" w:rsidRPr="00CE14DE" w:rsidRDefault="00CF0E01" w:rsidP="00CE14D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899581" w:history="1">
        <w:r w:rsidR="00CE14DE" w:rsidRPr="00CE14DE">
          <w:rPr>
            <w:rStyle w:val="Hyperlink"/>
            <w:color w:val="auto"/>
          </w:rPr>
          <w:t>III.</w:t>
        </w:r>
        <w:r w:rsidR="00CE14DE" w:rsidRPr="00CE14DE">
          <w:rPr>
            <w:rFonts w:asciiTheme="minorHAnsi" w:eastAsiaTheme="minorEastAsia" w:hAnsiTheme="minorHAnsi" w:cstheme="minorBidi"/>
            <w:color w:val="auto"/>
            <w:sz w:val="22"/>
            <w:szCs w:val="22"/>
            <w:lang w:eastAsia="en-US"/>
          </w:rPr>
          <w:tab/>
        </w:r>
        <w:r w:rsidR="00CE14DE" w:rsidRPr="00CE14DE">
          <w:rPr>
            <w:rStyle w:val="Hyperlink"/>
            <w:color w:val="auto"/>
          </w:rPr>
          <w:t>GENERAL APPROACH TO COST ALLOCATION</w:t>
        </w:r>
        <w:r w:rsidR="00CE14DE" w:rsidRPr="00CE14DE">
          <w:rPr>
            <w:webHidden/>
            <w:color w:val="auto"/>
          </w:rPr>
          <w:tab/>
        </w:r>
        <w:r w:rsidR="00CE14DE" w:rsidRPr="00CE14DE">
          <w:rPr>
            <w:webHidden/>
            <w:color w:val="auto"/>
          </w:rPr>
          <w:fldChar w:fldCharType="begin"/>
        </w:r>
        <w:r w:rsidR="00CE14DE" w:rsidRPr="00CE14DE">
          <w:rPr>
            <w:webHidden/>
            <w:color w:val="auto"/>
          </w:rPr>
          <w:instrText xml:space="preserve"> PAGEREF _Toc426899581 \h </w:instrText>
        </w:r>
        <w:r w:rsidR="00CE14DE" w:rsidRPr="00CE14DE">
          <w:rPr>
            <w:webHidden/>
            <w:color w:val="auto"/>
          </w:rPr>
        </w:r>
        <w:r w:rsidR="00CE14DE" w:rsidRPr="00CE14DE">
          <w:rPr>
            <w:webHidden/>
            <w:color w:val="auto"/>
          </w:rPr>
          <w:fldChar w:fldCharType="separate"/>
        </w:r>
        <w:r w:rsidR="00CE14DE" w:rsidRPr="00CE14DE">
          <w:rPr>
            <w:webHidden/>
            <w:color w:val="auto"/>
          </w:rPr>
          <w:t>3</w:t>
        </w:r>
        <w:r w:rsidR="00CE14DE" w:rsidRPr="00CE14DE">
          <w:rPr>
            <w:webHidden/>
            <w:color w:val="auto"/>
          </w:rPr>
          <w:fldChar w:fldCharType="end"/>
        </w:r>
      </w:hyperlink>
    </w:p>
    <w:p w:rsidR="00CE14DE" w:rsidRPr="00CE14DE" w:rsidRDefault="00CF0E01" w:rsidP="00CE14D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899582" w:history="1">
        <w:r w:rsidR="00CE14DE" w:rsidRPr="00CE14DE">
          <w:rPr>
            <w:rStyle w:val="Hyperlink"/>
            <w:color w:val="auto"/>
          </w:rPr>
          <w:t>IV.</w:t>
        </w:r>
        <w:r w:rsidR="00CE14DE" w:rsidRPr="00CE14DE">
          <w:rPr>
            <w:rFonts w:asciiTheme="minorHAnsi" w:eastAsiaTheme="minorEastAsia" w:hAnsiTheme="minorHAnsi" w:cstheme="minorBidi"/>
            <w:color w:val="auto"/>
            <w:sz w:val="22"/>
            <w:szCs w:val="22"/>
            <w:lang w:eastAsia="en-US"/>
          </w:rPr>
          <w:tab/>
        </w:r>
        <w:r w:rsidR="00CE14DE" w:rsidRPr="00CE14DE">
          <w:rPr>
            <w:rStyle w:val="Hyperlink"/>
            <w:color w:val="auto"/>
          </w:rPr>
          <w:t>PSE’S BASELINE COST OF SERVICE STUDY RESULTS</w:t>
        </w:r>
        <w:r w:rsidR="00CE14DE" w:rsidRPr="00CE14DE">
          <w:rPr>
            <w:webHidden/>
            <w:color w:val="auto"/>
          </w:rPr>
          <w:tab/>
        </w:r>
        <w:r w:rsidR="00CE14DE" w:rsidRPr="00CE14DE">
          <w:rPr>
            <w:webHidden/>
            <w:color w:val="auto"/>
          </w:rPr>
          <w:fldChar w:fldCharType="begin"/>
        </w:r>
        <w:r w:rsidR="00CE14DE" w:rsidRPr="00CE14DE">
          <w:rPr>
            <w:webHidden/>
            <w:color w:val="auto"/>
          </w:rPr>
          <w:instrText xml:space="preserve"> PAGEREF _Toc426899582 \h </w:instrText>
        </w:r>
        <w:r w:rsidR="00CE14DE" w:rsidRPr="00CE14DE">
          <w:rPr>
            <w:webHidden/>
            <w:color w:val="auto"/>
          </w:rPr>
        </w:r>
        <w:r w:rsidR="00CE14DE" w:rsidRPr="00CE14DE">
          <w:rPr>
            <w:webHidden/>
            <w:color w:val="auto"/>
          </w:rPr>
          <w:fldChar w:fldCharType="separate"/>
        </w:r>
        <w:r w:rsidR="00CE14DE" w:rsidRPr="00CE14DE">
          <w:rPr>
            <w:webHidden/>
            <w:color w:val="auto"/>
          </w:rPr>
          <w:t>7</w:t>
        </w:r>
        <w:r w:rsidR="00CE14DE" w:rsidRPr="00CE14DE">
          <w:rPr>
            <w:webHidden/>
            <w:color w:val="auto"/>
          </w:rPr>
          <w:fldChar w:fldCharType="end"/>
        </w:r>
      </w:hyperlink>
    </w:p>
    <w:p w:rsidR="00CE14DE" w:rsidRPr="00CE14DE" w:rsidRDefault="00CF0E01" w:rsidP="00CE14D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899583" w:history="1">
        <w:r w:rsidR="00CE14DE" w:rsidRPr="00CE14DE">
          <w:rPr>
            <w:rStyle w:val="Hyperlink"/>
            <w:color w:val="auto"/>
          </w:rPr>
          <w:t>V.</w:t>
        </w:r>
        <w:r w:rsidR="00CE14DE" w:rsidRPr="00CE14DE">
          <w:rPr>
            <w:rFonts w:asciiTheme="minorHAnsi" w:eastAsiaTheme="minorEastAsia" w:hAnsiTheme="minorHAnsi" w:cstheme="minorBidi"/>
            <w:color w:val="auto"/>
            <w:sz w:val="22"/>
            <w:szCs w:val="22"/>
            <w:lang w:eastAsia="en-US"/>
          </w:rPr>
          <w:tab/>
        </w:r>
        <w:r w:rsidR="00CE14DE" w:rsidRPr="00CE14DE">
          <w:rPr>
            <w:rStyle w:val="Hyperlink"/>
            <w:color w:val="auto"/>
          </w:rPr>
          <w:t>ALLOCATION OF TACOMA LNG PROJECT REGULATED COSTS</w:t>
        </w:r>
        <w:r w:rsidR="00CE14DE" w:rsidRPr="00CE14DE">
          <w:rPr>
            <w:webHidden/>
            <w:color w:val="auto"/>
          </w:rPr>
          <w:tab/>
        </w:r>
        <w:r w:rsidR="00CE14DE" w:rsidRPr="00CE14DE">
          <w:rPr>
            <w:webHidden/>
            <w:color w:val="auto"/>
          </w:rPr>
          <w:fldChar w:fldCharType="begin"/>
        </w:r>
        <w:r w:rsidR="00CE14DE" w:rsidRPr="00CE14DE">
          <w:rPr>
            <w:webHidden/>
            <w:color w:val="auto"/>
          </w:rPr>
          <w:instrText xml:space="preserve"> PAGEREF _Toc426899583 \h </w:instrText>
        </w:r>
        <w:r w:rsidR="00CE14DE" w:rsidRPr="00CE14DE">
          <w:rPr>
            <w:webHidden/>
            <w:color w:val="auto"/>
          </w:rPr>
        </w:r>
        <w:r w:rsidR="00CE14DE" w:rsidRPr="00CE14DE">
          <w:rPr>
            <w:webHidden/>
            <w:color w:val="auto"/>
          </w:rPr>
          <w:fldChar w:fldCharType="separate"/>
        </w:r>
        <w:r w:rsidR="00CE14DE" w:rsidRPr="00CE14DE">
          <w:rPr>
            <w:webHidden/>
            <w:color w:val="auto"/>
          </w:rPr>
          <w:t>11</w:t>
        </w:r>
        <w:r w:rsidR="00CE14DE" w:rsidRPr="00CE14DE">
          <w:rPr>
            <w:webHidden/>
            <w:color w:val="auto"/>
          </w:rPr>
          <w:fldChar w:fldCharType="end"/>
        </w:r>
      </w:hyperlink>
    </w:p>
    <w:p w:rsidR="00CE14DE" w:rsidRPr="00CE14DE" w:rsidRDefault="00CF0E01" w:rsidP="00CE14D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899584" w:history="1">
        <w:r w:rsidR="00CE14DE" w:rsidRPr="00CE14DE">
          <w:rPr>
            <w:rStyle w:val="Hyperlink"/>
            <w:color w:val="auto"/>
          </w:rPr>
          <w:t>VI.</w:t>
        </w:r>
        <w:r w:rsidR="00CE14DE" w:rsidRPr="00CE14DE">
          <w:rPr>
            <w:rFonts w:asciiTheme="minorHAnsi" w:eastAsiaTheme="minorEastAsia" w:hAnsiTheme="minorHAnsi" w:cstheme="minorBidi"/>
            <w:color w:val="auto"/>
            <w:sz w:val="22"/>
            <w:szCs w:val="22"/>
            <w:lang w:eastAsia="en-US"/>
          </w:rPr>
          <w:tab/>
        </w:r>
        <w:r w:rsidR="00CE14DE" w:rsidRPr="00CE14DE">
          <w:rPr>
            <w:rStyle w:val="Hyperlink"/>
            <w:color w:val="auto"/>
          </w:rPr>
          <w:t>OVERALL NET IMPACT OF TACOMA LNG PROJECT TO CORE NATURAL GAS CUSTOMERS</w:t>
        </w:r>
        <w:r w:rsidR="00CE14DE" w:rsidRPr="00CE14DE">
          <w:rPr>
            <w:webHidden/>
            <w:color w:val="auto"/>
          </w:rPr>
          <w:tab/>
        </w:r>
        <w:r w:rsidR="00CE14DE" w:rsidRPr="00CE14DE">
          <w:rPr>
            <w:webHidden/>
            <w:color w:val="auto"/>
          </w:rPr>
          <w:fldChar w:fldCharType="begin"/>
        </w:r>
        <w:r w:rsidR="00CE14DE" w:rsidRPr="00CE14DE">
          <w:rPr>
            <w:webHidden/>
            <w:color w:val="auto"/>
          </w:rPr>
          <w:instrText xml:space="preserve"> PAGEREF _Toc426899584 \h </w:instrText>
        </w:r>
        <w:r w:rsidR="00CE14DE" w:rsidRPr="00CE14DE">
          <w:rPr>
            <w:webHidden/>
            <w:color w:val="auto"/>
          </w:rPr>
        </w:r>
        <w:r w:rsidR="00CE14DE" w:rsidRPr="00CE14DE">
          <w:rPr>
            <w:webHidden/>
            <w:color w:val="auto"/>
          </w:rPr>
          <w:fldChar w:fldCharType="separate"/>
        </w:r>
        <w:r w:rsidR="00CE14DE" w:rsidRPr="00CE14DE">
          <w:rPr>
            <w:webHidden/>
            <w:color w:val="auto"/>
          </w:rPr>
          <w:t>19</w:t>
        </w:r>
        <w:r w:rsidR="00CE14DE" w:rsidRPr="00CE14DE">
          <w:rPr>
            <w:webHidden/>
            <w:color w:val="auto"/>
          </w:rPr>
          <w:fldChar w:fldCharType="end"/>
        </w:r>
      </w:hyperlink>
    </w:p>
    <w:p w:rsidR="00CE14DE" w:rsidRPr="00CE14DE" w:rsidRDefault="00CF0E01" w:rsidP="00CE14D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899585" w:history="1">
        <w:r w:rsidR="00CE14DE" w:rsidRPr="00CE14DE">
          <w:rPr>
            <w:rStyle w:val="Hyperlink"/>
            <w:color w:val="auto"/>
          </w:rPr>
          <w:t>VII.</w:t>
        </w:r>
        <w:r w:rsidR="00CE14DE" w:rsidRPr="00CE14DE">
          <w:rPr>
            <w:rFonts w:asciiTheme="minorHAnsi" w:eastAsiaTheme="minorEastAsia" w:hAnsiTheme="minorHAnsi" w:cstheme="minorBidi"/>
            <w:color w:val="auto"/>
            <w:sz w:val="22"/>
            <w:szCs w:val="22"/>
            <w:lang w:eastAsia="en-US"/>
          </w:rPr>
          <w:tab/>
        </w:r>
        <w:r w:rsidR="00CE14DE" w:rsidRPr="00CE14DE">
          <w:rPr>
            <w:rStyle w:val="Hyperlink"/>
            <w:color w:val="auto"/>
          </w:rPr>
          <w:t>CONCLUSION</w:t>
        </w:r>
        <w:r w:rsidR="00CE14DE" w:rsidRPr="00CE14DE">
          <w:rPr>
            <w:webHidden/>
            <w:color w:val="auto"/>
          </w:rPr>
          <w:tab/>
        </w:r>
        <w:r w:rsidR="00CE14DE" w:rsidRPr="00CE14DE">
          <w:rPr>
            <w:webHidden/>
            <w:color w:val="auto"/>
          </w:rPr>
          <w:fldChar w:fldCharType="begin"/>
        </w:r>
        <w:r w:rsidR="00CE14DE" w:rsidRPr="00CE14DE">
          <w:rPr>
            <w:webHidden/>
            <w:color w:val="auto"/>
          </w:rPr>
          <w:instrText xml:space="preserve"> PAGEREF _Toc426899585 \h </w:instrText>
        </w:r>
        <w:r w:rsidR="00CE14DE" w:rsidRPr="00CE14DE">
          <w:rPr>
            <w:webHidden/>
            <w:color w:val="auto"/>
          </w:rPr>
        </w:r>
        <w:r w:rsidR="00CE14DE" w:rsidRPr="00CE14DE">
          <w:rPr>
            <w:webHidden/>
            <w:color w:val="auto"/>
          </w:rPr>
          <w:fldChar w:fldCharType="separate"/>
        </w:r>
        <w:r w:rsidR="00CE14DE" w:rsidRPr="00CE14DE">
          <w:rPr>
            <w:webHidden/>
            <w:color w:val="auto"/>
          </w:rPr>
          <w:t>22</w:t>
        </w:r>
        <w:r w:rsidR="00CE14DE" w:rsidRPr="00CE14DE">
          <w:rPr>
            <w:webHidden/>
            <w:color w:val="auto"/>
          </w:rPr>
          <w:fldChar w:fldCharType="end"/>
        </w:r>
      </w:hyperlink>
    </w:p>
    <w:p w:rsidR="00FC7A2F" w:rsidRPr="00CE14DE" w:rsidRDefault="00FC7A2F" w:rsidP="00CE14DE">
      <w:pPr>
        <w:keepNext/>
        <w:tabs>
          <w:tab w:val="left" w:leader="dot" w:pos="8280"/>
        </w:tabs>
      </w:pPr>
      <w:r w:rsidRPr="00CE14DE">
        <w:fldChar w:fldCharType="end"/>
      </w:r>
    </w:p>
    <w:p w:rsidR="00F12DC2" w:rsidRPr="00CE14DE" w:rsidRDefault="00F12DC2" w:rsidP="00CE14DE">
      <w:pPr>
        <w:pStyle w:val="TOC1"/>
        <w:keepNext/>
        <w:tabs>
          <w:tab w:val="clear" w:pos="8640"/>
          <w:tab w:val="left" w:leader="dot" w:pos="8280"/>
        </w:tabs>
        <w:rPr>
          <w:color w:val="auto"/>
        </w:rPr>
        <w:sectPr w:rsidR="00F12DC2" w:rsidRPr="00CE14DE" w:rsidSect="003E15A5">
          <w:footerReference w:type="default" r:id="rId17"/>
          <w:pgSz w:w="12240" w:h="15840" w:code="1"/>
          <w:pgMar w:top="1440" w:right="1440" w:bottom="1440" w:left="2160" w:header="864" w:footer="576" w:gutter="0"/>
          <w:pgNumType w:fmt="lowerRoman" w:start="1"/>
          <w:cols w:space="720"/>
        </w:sectPr>
      </w:pPr>
    </w:p>
    <w:p w:rsidR="00517897" w:rsidRPr="00EF16DB" w:rsidRDefault="00517897" w:rsidP="00E41D7A">
      <w:pPr>
        <w:keepNext/>
        <w:spacing w:before="240" w:after="480"/>
        <w:ind w:left="720" w:right="720"/>
        <w:jc w:val="center"/>
        <w:rPr>
          <w:rStyle w:val="Strong"/>
          <w:rFonts w:eastAsia="SimSun"/>
        </w:rPr>
      </w:pPr>
      <w:bookmarkStart w:id="4" w:name="_Toc117411518"/>
      <w:bookmarkStart w:id="5" w:name="_Toc125892215"/>
      <w:bookmarkStart w:id="6" w:name="_Toc126495831"/>
      <w:r w:rsidRPr="00EF16DB">
        <w:rPr>
          <w:rStyle w:val="Strong"/>
          <w:rFonts w:eastAsia="SimSun"/>
        </w:rPr>
        <w:lastRenderedPageBreak/>
        <w:t xml:space="preserve">PUGET </w:t>
      </w:r>
      <w:r w:rsidR="004611C3">
        <w:rPr>
          <w:rStyle w:val="Strong"/>
          <w:rFonts w:eastAsia="SimSun"/>
        </w:rPr>
        <w:t>SOUND ENERGY INC.</w:t>
      </w:r>
    </w:p>
    <w:p w:rsidR="00FF01D1" w:rsidRPr="00C06DEC" w:rsidRDefault="00FF01D1" w:rsidP="00E41D7A">
      <w:pPr>
        <w:keepNext/>
        <w:spacing w:before="240" w:after="480"/>
        <w:jc w:val="center"/>
        <w:rPr>
          <w:rFonts w:eastAsia="SimSun"/>
        </w:rPr>
      </w:pPr>
      <w:bookmarkStart w:id="7" w:name="_Toc161487050"/>
      <w:bookmarkStart w:id="8" w:name="_Toc162007393"/>
      <w:bookmarkStart w:id="9" w:name="_Toc181442358"/>
      <w:bookmarkStart w:id="10" w:name="_Toc179284150"/>
      <w:bookmarkStart w:id="11" w:name="_Toc182774604"/>
      <w:r w:rsidRPr="00EF16DB">
        <w:rPr>
          <w:rStyle w:val="Strong"/>
          <w:rFonts w:eastAsia="SimSun"/>
        </w:rPr>
        <w:t xml:space="preserve">PREFILED </w:t>
      </w:r>
      <w:r w:rsidR="004611C3">
        <w:rPr>
          <w:rStyle w:val="Strong"/>
          <w:rFonts w:eastAsia="SimSun"/>
        </w:rPr>
        <w:t xml:space="preserve">DIRECT </w:t>
      </w:r>
      <w:r w:rsidRPr="00EF16DB">
        <w:rPr>
          <w:rStyle w:val="Strong"/>
          <w:rFonts w:eastAsia="SimSun"/>
        </w:rPr>
        <w:t xml:space="preserve">TESTIMONY </w:t>
      </w:r>
      <w:r w:rsidR="00D30B68" w:rsidRPr="00EF16DB">
        <w:rPr>
          <w:b/>
        </w:rPr>
        <w:t>(</w:t>
      </w:r>
      <w:r w:rsidR="00D30B68">
        <w:rPr>
          <w:b/>
        </w:rPr>
        <w:t>NON</w:t>
      </w:r>
      <w:r w:rsidR="00D30B68" w:rsidRPr="00EF16DB">
        <w:rPr>
          <w:b/>
        </w:rPr>
        <w:t xml:space="preserve">CONFIDENTIAL) </w:t>
      </w:r>
      <w:r w:rsidRPr="00EF16DB">
        <w:rPr>
          <w:rStyle w:val="Strong"/>
          <w:rFonts w:eastAsia="SimSun"/>
        </w:rPr>
        <w:t>OF</w:t>
      </w:r>
      <w:r w:rsidRPr="00EF16DB">
        <w:rPr>
          <w:rStyle w:val="Strong"/>
          <w:rFonts w:eastAsia="SimSun"/>
          <w:b w:val="0"/>
        </w:rPr>
        <w:br/>
      </w:r>
      <w:r w:rsidR="006650C9">
        <w:rPr>
          <w:b/>
          <w:color w:val="000000"/>
        </w:rPr>
        <w:t>JON A</w:t>
      </w:r>
      <w:r w:rsidR="0068034A">
        <w:rPr>
          <w:b/>
          <w:color w:val="000000"/>
        </w:rPr>
        <w:t xml:space="preserve">. </w:t>
      </w:r>
      <w:r w:rsidR="006650C9">
        <w:rPr>
          <w:b/>
          <w:color w:val="000000"/>
        </w:rPr>
        <w:t>PILIARIS</w:t>
      </w:r>
    </w:p>
    <w:p w:rsidR="00517897" w:rsidRPr="00EF16DB" w:rsidRDefault="00517897" w:rsidP="003F152A">
      <w:pPr>
        <w:pStyle w:val="Heading1"/>
      </w:pPr>
      <w:bookmarkStart w:id="12" w:name="_Toc426899579"/>
      <w:r w:rsidRPr="00EF16DB">
        <w:t>I.</w:t>
      </w:r>
      <w:r w:rsidRPr="00EF16DB">
        <w:tab/>
        <w:t>INTRODUCTION</w:t>
      </w:r>
      <w:bookmarkEnd w:id="4"/>
      <w:bookmarkEnd w:id="5"/>
      <w:bookmarkEnd w:id="6"/>
      <w:bookmarkEnd w:id="7"/>
      <w:bookmarkEnd w:id="8"/>
      <w:bookmarkEnd w:id="9"/>
      <w:bookmarkEnd w:id="10"/>
      <w:bookmarkEnd w:id="11"/>
      <w:bookmarkEnd w:id="12"/>
    </w:p>
    <w:p w:rsidR="004611C3" w:rsidRDefault="004611C3" w:rsidP="004611C3">
      <w:pPr>
        <w:pStyle w:val="question"/>
        <w:keepNext/>
        <w:spacing w:before="120"/>
      </w:pPr>
      <w:r w:rsidRPr="004611C3">
        <w:t>Q.</w:t>
      </w:r>
      <w:r w:rsidRPr="004611C3">
        <w:tab/>
        <w:t>Please state your name, business address, and occupation.</w:t>
      </w:r>
    </w:p>
    <w:p w:rsidR="00AC1A3E" w:rsidRDefault="00AC1A3E" w:rsidP="008A7642">
      <w:pPr>
        <w:pStyle w:val="answer"/>
      </w:pPr>
      <w:r>
        <w:t>A.</w:t>
      </w:r>
      <w:r>
        <w:tab/>
        <w:t xml:space="preserve">My name is Jon A. Piliaris.  I am employed as Manager, Pricing and Cost of Service with Puget Sound Energy, Inc. (“PSE”).  </w:t>
      </w:r>
      <w:r w:rsidR="00636C31" w:rsidRPr="00636C31">
        <w:t>My business address is 10885 NE 4th Street, P.O. Box 97034, Bellevue WA 98009-9734.</w:t>
      </w:r>
    </w:p>
    <w:p w:rsidR="006650C9" w:rsidRDefault="006650C9" w:rsidP="006650C9">
      <w:pPr>
        <w:pStyle w:val="question"/>
        <w:keepNext/>
        <w:spacing w:before="120"/>
      </w:pPr>
      <w:r>
        <w:t>Q.</w:t>
      </w:r>
      <w:r>
        <w:tab/>
        <w:t>Have you prepared an exhibit describing your education, relevant employment experience and other professional qualifications?</w:t>
      </w:r>
    </w:p>
    <w:p w:rsidR="006650C9" w:rsidRDefault="006650C9" w:rsidP="008A7642">
      <w:pPr>
        <w:pStyle w:val="answer"/>
      </w:pPr>
      <w:r>
        <w:t>A.</w:t>
      </w:r>
      <w:r>
        <w:tab/>
        <w:t>Yes, I have.  It is Exhibit No. ___(JAP-2).</w:t>
      </w:r>
    </w:p>
    <w:p w:rsidR="00AC1A3E" w:rsidRDefault="00AC1A3E" w:rsidP="003A53F3">
      <w:pPr>
        <w:pStyle w:val="question"/>
        <w:keepNext/>
        <w:spacing w:before="120"/>
      </w:pPr>
      <w:r>
        <w:t>Q.</w:t>
      </w:r>
      <w:r>
        <w:tab/>
        <w:t xml:space="preserve">What topics are </w:t>
      </w:r>
      <w:r w:rsidR="003A53F3">
        <w:t xml:space="preserve">you covering in </w:t>
      </w:r>
      <w:r w:rsidR="00B1063F">
        <w:t xml:space="preserve">this prefiled direct </w:t>
      </w:r>
      <w:r w:rsidR="003A53F3">
        <w:t>testimony?</w:t>
      </w:r>
    </w:p>
    <w:p w:rsidR="00AC1A3E" w:rsidRDefault="00AC1A3E" w:rsidP="008A7642">
      <w:pPr>
        <w:pStyle w:val="answer"/>
      </w:pPr>
      <w:r>
        <w:t>A.</w:t>
      </w:r>
      <w:r>
        <w:tab/>
      </w:r>
      <w:r w:rsidR="00B1063F">
        <w:t xml:space="preserve">This prefiled direct </w:t>
      </w:r>
      <w:r>
        <w:t xml:space="preserve">testimony describes how </w:t>
      </w:r>
      <w:r w:rsidR="0018535A">
        <w:t xml:space="preserve">the projected </w:t>
      </w:r>
      <w:r w:rsidR="00DD2B4E">
        <w:t xml:space="preserve">first year </w:t>
      </w:r>
      <w:r>
        <w:t xml:space="preserve">costs associated with </w:t>
      </w:r>
      <w:r w:rsidR="0018535A">
        <w:t xml:space="preserve">regulated operations of </w:t>
      </w:r>
      <w:r w:rsidR="00B1063F">
        <w:t xml:space="preserve">the </w:t>
      </w:r>
      <w:r>
        <w:t>Tacoma Liquefied Natural Gas Project</w:t>
      </w:r>
      <w:r w:rsidR="00B1063F">
        <w:t xml:space="preserve"> the (“Tacoma LNG Project”)</w:t>
      </w:r>
      <w:r>
        <w:t xml:space="preserve">, </w:t>
      </w:r>
      <w:r w:rsidR="003A53F3">
        <w:t xml:space="preserve">which </w:t>
      </w:r>
      <w:r>
        <w:t>includ</w:t>
      </w:r>
      <w:r w:rsidR="003A53F3">
        <w:t>es both</w:t>
      </w:r>
      <w:r>
        <w:t xml:space="preserve"> the Tacoma LNG Facility and the associated distribution </w:t>
      </w:r>
      <w:r w:rsidR="003A53F3">
        <w:t xml:space="preserve">system </w:t>
      </w:r>
      <w:r>
        <w:t xml:space="preserve">upgrades, </w:t>
      </w:r>
      <w:r w:rsidR="00EA11FE">
        <w:t xml:space="preserve">would be allocated using methods consistent with those used in its last general rate case </w:t>
      </w:r>
      <w:r>
        <w:t xml:space="preserve">and the </w:t>
      </w:r>
      <w:r w:rsidR="00EA11FE">
        <w:t xml:space="preserve">associated </w:t>
      </w:r>
      <w:r>
        <w:t>impacts to PSE’s core</w:t>
      </w:r>
      <w:r w:rsidR="00F315B0">
        <w:t xml:space="preserve"> natural</w:t>
      </w:r>
      <w:r>
        <w:t xml:space="preserve"> gas c</w:t>
      </w:r>
      <w:r w:rsidR="003A53F3">
        <w:t>ustomers.</w:t>
      </w:r>
      <w:r w:rsidR="00DD2B4E">
        <w:rPr>
          <w:rStyle w:val="FootnoteReference"/>
        </w:rPr>
        <w:footnoteReference w:id="1"/>
      </w:r>
    </w:p>
    <w:p w:rsidR="00AC1A3E" w:rsidRDefault="00AC1A3E" w:rsidP="003A53F3">
      <w:pPr>
        <w:pStyle w:val="question"/>
        <w:keepNext/>
        <w:spacing w:before="120"/>
      </w:pPr>
      <w:r>
        <w:lastRenderedPageBreak/>
        <w:t>Q.</w:t>
      </w:r>
      <w:r>
        <w:tab/>
        <w:t xml:space="preserve">Please summarize the </w:t>
      </w:r>
      <w:r w:rsidR="0018535A">
        <w:t xml:space="preserve">projected </w:t>
      </w:r>
      <w:r w:rsidR="00DD2B4E">
        <w:t xml:space="preserve">first year </w:t>
      </w:r>
      <w:r w:rsidR="006B2F4D">
        <w:t xml:space="preserve">revenue requirement </w:t>
      </w:r>
      <w:r>
        <w:t>impacts to PSE core</w:t>
      </w:r>
      <w:r w:rsidR="00F315B0">
        <w:t xml:space="preserve"> natural</w:t>
      </w:r>
      <w:r>
        <w:t xml:space="preserve"> gas customers associated with the Tacoma LNG Project.</w:t>
      </w:r>
    </w:p>
    <w:p w:rsidR="00AC1A3E" w:rsidRDefault="00AC1A3E" w:rsidP="008A7642">
      <w:pPr>
        <w:pStyle w:val="answer"/>
      </w:pPr>
      <w:r>
        <w:t>A.</w:t>
      </w:r>
      <w:r>
        <w:tab/>
      </w:r>
      <w:r w:rsidR="00AF023F">
        <w:t>T</w:t>
      </w:r>
      <w:r>
        <w:t xml:space="preserve">he </w:t>
      </w:r>
      <w:r w:rsidR="0018535A">
        <w:t xml:space="preserve">projected </w:t>
      </w:r>
      <w:r w:rsidR="00DD2B4E">
        <w:t xml:space="preserve">first year </w:t>
      </w:r>
      <w:r w:rsidR="006B2F4D">
        <w:t xml:space="preserve">revenue requirement </w:t>
      </w:r>
      <w:r w:rsidR="00386C3D">
        <w:t xml:space="preserve">impact to </w:t>
      </w:r>
      <w:r>
        <w:t xml:space="preserve">PSE’s core </w:t>
      </w:r>
      <w:r w:rsidR="00242DB2">
        <w:t xml:space="preserve">natural </w:t>
      </w:r>
      <w:r>
        <w:t xml:space="preserve">gas customers </w:t>
      </w:r>
      <w:r w:rsidR="00386C3D">
        <w:t xml:space="preserve">associated with </w:t>
      </w:r>
      <w:r>
        <w:t xml:space="preserve">the Tacoma LNG Project </w:t>
      </w:r>
      <w:r w:rsidR="00EA11FE">
        <w:t xml:space="preserve">would </w:t>
      </w:r>
      <w:r w:rsidR="00386C3D">
        <w:t xml:space="preserve">range from </w:t>
      </w:r>
      <w:r w:rsidR="005A4BCA">
        <w:t>an increase of $</w:t>
      </w:r>
      <w:r w:rsidR="00551217">
        <w:t>30.6</w:t>
      </w:r>
      <w:r w:rsidR="00012397">
        <w:t xml:space="preserve"> million to $34.0</w:t>
      </w:r>
      <w:r w:rsidR="005A4BCA">
        <w:t xml:space="preserve"> million</w:t>
      </w:r>
      <w:r>
        <w:t xml:space="preserve">, </w:t>
      </w:r>
      <w:r w:rsidR="005A4BCA">
        <w:t>or</w:t>
      </w:r>
      <w:r w:rsidR="00CC1415">
        <w:t xml:space="preserve"> </w:t>
      </w:r>
      <w:r w:rsidR="005A4BCA">
        <w:t>3.</w:t>
      </w:r>
      <w:r w:rsidR="00551217">
        <w:t>2</w:t>
      </w:r>
      <w:r w:rsidR="00FD5CE6">
        <w:t> </w:t>
      </w:r>
      <w:r>
        <w:t xml:space="preserve">percent </w:t>
      </w:r>
      <w:r w:rsidR="005A4BCA">
        <w:t xml:space="preserve">to 3.6 percent, </w:t>
      </w:r>
      <w:r>
        <w:t xml:space="preserve">relative to overall </w:t>
      </w:r>
      <w:r w:rsidR="00AF023F">
        <w:t xml:space="preserve">natural </w:t>
      </w:r>
      <w:r w:rsidR="00012397">
        <w:t>gas revenue requirement</w:t>
      </w:r>
      <w:r>
        <w:t xml:space="preserve"> as of </w:t>
      </w:r>
      <w:r w:rsidR="00386C3D">
        <w:t>December 31</w:t>
      </w:r>
      <w:r>
        <w:t>, 2014</w:t>
      </w:r>
      <w:r w:rsidR="0018535A">
        <w:t>,</w:t>
      </w:r>
      <w:r>
        <w:t xml:space="preserve"> depending on the </w:t>
      </w:r>
      <w:r w:rsidR="0018535A">
        <w:t xml:space="preserve">projected </w:t>
      </w:r>
      <w:r>
        <w:t xml:space="preserve">amount of sales </w:t>
      </w:r>
      <w:r w:rsidR="00386C3D">
        <w:t xml:space="preserve">related </w:t>
      </w:r>
      <w:r w:rsidR="0018535A">
        <w:t xml:space="preserve">to </w:t>
      </w:r>
      <w:r w:rsidR="00386C3D">
        <w:t xml:space="preserve">PSE’s </w:t>
      </w:r>
      <w:r w:rsidR="004D59BE">
        <w:t>non-</w:t>
      </w:r>
      <w:r w:rsidR="00386C3D">
        <w:t xml:space="preserve">regulated investment in the Tacoma LNG </w:t>
      </w:r>
      <w:r w:rsidR="006B2F4D">
        <w:t>Facility</w:t>
      </w:r>
      <w:r>
        <w:t xml:space="preserve">.  For the typical residential customer, this </w:t>
      </w:r>
      <w:r w:rsidR="00EA11FE">
        <w:t xml:space="preserve">would </w:t>
      </w:r>
      <w:r>
        <w:t xml:space="preserve">be an increase in </w:t>
      </w:r>
      <w:r w:rsidR="006B2F4D">
        <w:t xml:space="preserve">bills </w:t>
      </w:r>
      <w:r>
        <w:t xml:space="preserve">of </w:t>
      </w:r>
      <w:r w:rsidR="00386C3D">
        <w:t xml:space="preserve">between </w:t>
      </w:r>
      <w:r>
        <w:t>$</w:t>
      </w:r>
      <w:r w:rsidR="001E535C">
        <w:t>2.</w:t>
      </w:r>
      <w:r w:rsidR="00551217">
        <w:t>68</w:t>
      </w:r>
      <w:r w:rsidR="00FD5CE6">
        <w:t xml:space="preserve"> </w:t>
      </w:r>
      <w:r w:rsidR="003E3DCB">
        <w:t>to $2.93</w:t>
      </w:r>
      <w:r>
        <w:t xml:space="preserve"> per month. </w:t>
      </w:r>
    </w:p>
    <w:p w:rsidR="00AC1A3E" w:rsidRDefault="00AC1A3E" w:rsidP="003A53F3">
      <w:pPr>
        <w:pStyle w:val="Heading1"/>
      </w:pPr>
      <w:bookmarkStart w:id="13" w:name="_Toc426899580"/>
      <w:r>
        <w:t>II.</w:t>
      </w:r>
      <w:r>
        <w:tab/>
      </w:r>
      <w:r w:rsidR="00685258">
        <w:t xml:space="preserve">INCREMENTAL </w:t>
      </w:r>
      <w:r w:rsidR="0018535A">
        <w:t xml:space="preserve">COSTS ASSOCIATED WITH REGULATED OPERATIONS OF THE </w:t>
      </w:r>
      <w:r>
        <w:t>TACOMA LNG PROJECT</w:t>
      </w:r>
      <w:bookmarkEnd w:id="13"/>
      <w:r>
        <w:t xml:space="preserve"> </w:t>
      </w:r>
    </w:p>
    <w:p w:rsidR="00386C3D" w:rsidRDefault="00386C3D" w:rsidP="00386C3D">
      <w:pPr>
        <w:pStyle w:val="question"/>
        <w:keepNext/>
        <w:spacing w:before="120"/>
      </w:pPr>
      <w:r>
        <w:t>Q.</w:t>
      </w:r>
      <w:r>
        <w:tab/>
        <w:t>What are the projected capital costs associated with regulated portion of the Tacoma LNG Facility?</w:t>
      </w:r>
    </w:p>
    <w:p w:rsidR="00386C3D" w:rsidRDefault="00386C3D" w:rsidP="00386C3D">
      <w:pPr>
        <w:pStyle w:val="answer"/>
      </w:pPr>
      <w:r>
        <w:t>A.</w:t>
      </w:r>
      <w:r>
        <w:tab/>
        <w:t>As discussed in the Prefiled Direct Testimony of Roger Garratt, Exhibit No. ___(RG-1</w:t>
      </w:r>
      <w:r w:rsidR="00D12099">
        <w:t>C</w:t>
      </w:r>
      <w:r>
        <w:t xml:space="preserve">T), the projected capital costs associated with the Tacoma LNG </w:t>
      </w:r>
      <w:r w:rsidR="0043678B">
        <w:t>F</w:t>
      </w:r>
      <w:r>
        <w:t xml:space="preserve">acility are </w:t>
      </w:r>
      <w:r w:rsidR="00CC1415">
        <w:t xml:space="preserve">$229.3 million, or </w:t>
      </w:r>
      <w:r w:rsidR="00E95172">
        <w:t>$271.5 million</w:t>
      </w:r>
      <w:r w:rsidR="00CC1415">
        <w:t xml:space="preserve"> including allowances for funds used during construction (“AFUDC”)</w:t>
      </w:r>
      <w:r>
        <w:t>.</w:t>
      </w:r>
      <w:r w:rsidR="00BD51C4">
        <w:t xml:space="preserve">  This includes the costs associated with providing LNG </w:t>
      </w:r>
      <w:r w:rsidR="00AF023F">
        <w:t>Fuel Supply S</w:t>
      </w:r>
      <w:r w:rsidR="00BD51C4">
        <w:t>ervice to Totem Ocean Trailer Express, Inc. (</w:t>
      </w:r>
      <w:r w:rsidR="0043678B">
        <w:t xml:space="preserve">the </w:t>
      </w:r>
      <w:r w:rsidR="00BD51C4">
        <w:t>“TOTE</w:t>
      </w:r>
      <w:r w:rsidR="0043678B">
        <w:t xml:space="preserve"> Special Contract</w:t>
      </w:r>
      <w:r w:rsidR="00BD51C4">
        <w:t>”).</w:t>
      </w:r>
      <w:r w:rsidR="00DD2B4E">
        <w:rPr>
          <w:rStyle w:val="FootnoteReference"/>
        </w:rPr>
        <w:footnoteReference w:id="2"/>
      </w:r>
    </w:p>
    <w:p w:rsidR="00AC1A3E" w:rsidRDefault="00AC1A3E" w:rsidP="00AD3A8A">
      <w:pPr>
        <w:pStyle w:val="question"/>
        <w:keepNext/>
        <w:spacing w:before="120"/>
      </w:pPr>
      <w:r>
        <w:lastRenderedPageBreak/>
        <w:t>Q.</w:t>
      </w:r>
      <w:r>
        <w:tab/>
        <w:t xml:space="preserve">What are the </w:t>
      </w:r>
      <w:r w:rsidR="009E4BAE">
        <w:t xml:space="preserve">projected capital </w:t>
      </w:r>
      <w:r>
        <w:t xml:space="preserve">costs associated with the </w:t>
      </w:r>
      <w:r w:rsidR="005C29FD">
        <w:t xml:space="preserve">Tacoma LNG Project </w:t>
      </w:r>
      <w:r w:rsidR="009E4BAE">
        <w:t>distribution system upgrades</w:t>
      </w:r>
      <w:r>
        <w:t>?</w:t>
      </w:r>
    </w:p>
    <w:p w:rsidR="00AC1A3E" w:rsidRDefault="00AC1A3E" w:rsidP="008A7642">
      <w:pPr>
        <w:pStyle w:val="answer"/>
      </w:pPr>
      <w:r>
        <w:t>A.</w:t>
      </w:r>
      <w:r>
        <w:tab/>
        <w:t>As discussed in the Prefiled Direct Testimony of Larry</w:t>
      </w:r>
      <w:r w:rsidR="009E4BAE">
        <w:t> </w:t>
      </w:r>
      <w:r>
        <w:t>E. Anderson, Exhibit No.</w:t>
      </w:r>
      <w:r w:rsidR="004D59BE" w:rsidRPr="004D59BE">
        <w:t xml:space="preserve"> </w:t>
      </w:r>
      <w:r w:rsidR="004D59BE">
        <w:t> ___(</w:t>
      </w:r>
      <w:r>
        <w:t xml:space="preserve">LEA-1T), </w:t>
      </w:r>
      <w:r w:rsidR="009E4BAE">
        <w:t xml:space="preserve">the projected capital costs associated with the </w:t>
      </w:r>
      <w:r w:rsidR="005C29FD">
        <w:t xml:space="preserve">Tacoma LNG Project </w:t>
      </w:r>
      <w:r w:rsidR="009E4BAE">
        <w:t xml:space="preserve">distribution system upgrades are </w:t>
      </w:r>
      <w:r w:rsidR="00CC1415">
        <w:t xml:space="preserve">$53.5 million, or </w:t>
      </w:r>
      <w:r w:rsidRPr="00E95172">
        <w:t>$56</w:t>
      </w:r>
      <w:r w:rsidR="00EA11FE" w:rsidRPr="00E95172">
        <w:t>.3</w:t>
      </w:r>
      <w:r w:rsidR="009E4BAE" w:rsidRPr="00E95172">
        <w:t> million</w:t>
      </w:r>
      <w:r w:rsidR="00CC1415">
        <w:t xml:space="preserve"> including AFUDC</w:t>
      </w:r>
      <w:r w:rsidR="009E4BAE">
        <w:t>.</w:t>
      </w:r>
    </w:p>
    <w:p w:rsidR="00AC1A3E" w:rsidRDefault="00AC1A3E" w:rsidP="009E4BAE">
      <w:pPr>
        <w:pStyle w:val="question"/>
        <w:keepNext/>
        <w:spacing w:before="120"/>
      </w:pPr>
      <w:r>
        <w:t>Q.</w:t>
      </w:r>
      <w:r>
        <w:tab/>
        <w:t xml:space="preserve">What are </w:t>
      </w:r>
      <w:r w:rsidR="009E4BAE">
        <w:t xml:space="preserve">the projected incremental </w:t>
      </w:r>
      <w:r w:rsidR="00DD2B4E">
        <w:t xml:space="preserve">first year </w:t>
      </w:r>
      <w:r w:rsidR="009E4BAE">
        <w:t xml:space="preserve">operating expenses for </w:t>
      </w:r>
      <w:r w:rsidR="00685258">
        <w:t xml:space="preserve">the </w:t>
      </w:r>
      <w:r w:rsidR="009E4BAE">
        <w:t xml:space="preserve">regulated operations associated the Tacoma LNG </w:t>
      </w:r>
      <w:r w:rsidR="00AF023F">
        <w:t>Project</w:t>
      </w:r>
      <w:r w:rsidR="009E4BAE">
        <w:t>?</w:t>
      </w:r>
    </w:p>
    <w:p w:rsidR="00FB5D14" w:rsidRDefault="00AF023F" w:rsidP="00DD2B4E">
      <w:pPr>
        <w:pStyle w:val="answer"/>
      </w:pPr>
      <w:r>
        <w:t>A.</w:t>
      </w:r>
      <w:r>
        <w:tab/>
        <w:t>A</w:t>
      </w:r>
      <w:r w:rsidR="00F315B0">
        <w:t xml:space="preserve">s </w:t>
      </w:r>
      <w:r w:rsidR="00D12099">
        <w:t xml:space="preserve">found in the work papers supporting </w:t>
      </w:r>
      <w:r w:rsidR="00AD3A8A">
        <w:t xml:space="preserve">the </w:t>
      </w:r>
      <w:r w:rsidR="00D12099">
        <w:t xml:space="preserve">Prefiled Direct Testimony of Roger Garratt, Exhibit No. ___(RG-1CT), and the </w:t>
      </w:r>
      <w:r w:rsidR="00AD3A8A">
        <w:t xml:space="preserve">Prefiled Direct Testimony of </w:t>
      </w:r>
      <w:r w:rsidR="00E95172">
        <w:t>Clay Riding</w:t>
      </w:r>
      <w:r w:rsidR="00AD3A8A">
        <w:t>, Exhibit No. ___(</w:t>
      </w:r>
      <w:r w:rsidR="00E95172">
        <w:t>C</w:t>
      </w:r>
      <w:r w:rsidR="00AD3A8A">
        <w:t>R-1</w:t>
      </w:r>
      <w:r w:rsidR="00E95172">
        <w:t>HC</w:t>
      </w:r>
      <w:r w:rsidR="00AD3A8A">
        <w:t xml:space="preserve">T), the projected incremental </w:t>
      </w:r>
      <w:r w:rsidR="00DD2B4E">
        <w:t xml:space="preserve">first year </w:t>
      </w:r>
      <w:r w:rsidR="00AD3A8A">
        <w:t>operatin</w:t>
      </w:r>
      <w:r w:rsidR="00F315B0">
        <w:t>g</w:t>
      </w:r>
      <w:r w:rsidR="00AD3A8A">
        <w:t xml:space="preserve"> </w:t>
      </w:r>
      <w:r w:rsidR="00F315B0">
        <w:t xml:space="preserve">expenses </w:t>
      </w:r>
      <w:r w:rsidR="00AD3A8A">
        <w:t xml:space="preserve">associated with the Tacoma LNG Project </w:t>
      </w:r>
      <w:r w:rsidR="00F315B0">
        <w:t xml:space="preserve">is </w:t>
      </w:r>
      <w:r w:rsidR="00E95172" w:rsidRPr="00AB1B24">
        <w:t>$5.6 million</w:t>
      </w:r>
      <w:r w:rsidR="00AD3A8A" w:rsidRPr="00AB1B24">
        <w:t>.</w:t>
      </w:r>
    </w:p>
    <w:p w:rsidR="00AC1A3E" w:rsidRDefault="00AC1A3E" w:rsidP="00FB5D14">
      <w:pPr>
        <w:pStyle w:val="Heading1"/>
      </w:pPr>
      <w:bookmarkStart w:id="14" w:name="_Toc426899581"/>
      <w:r>
        <w:t>III.</w:t>
      </w:r>
      <w:r>
        <w:tab/>
        <w:t>GENERAL APPROACH TO COST ALLOCATION</w:t>
      </w:r>
      <w:bookmarkEnd w:id="14"/>
    </w:p>
    <w:p w:rsidR="00AC1A3E" w:rsidRDefault="00AC1A3E" w:rsidP="00FB5D14">
      <w:pPr>
        <w:pStyle w:val="question"/>
        <w:keepNext/>
        <w:spacing w:before="120"/>
      </w:pPr>
      <w:r>
        <w:t>Q.</w:t>
      </w:r>
      <w:r>
        <w:tab/>
        <w:t xml:space="preserve">Before discussing the specific approaches used by PSE to allocate the </w:t>
      </w:r>
      <w:r w:rsidR="009A2B1D">
        <w:t xml:space="preserve">regulated portion of </w:t>
      </w:r>
      <w:r>
        <w:t>Tacoma LNG Project costs, please summarize the general purpo</w:t>
      </w:r>
      <w:r w:rsidR="00FB5D14">
        <w:t>se of a cost of service study.</w:t>
      </w:r>
    </w:p>
    <w:p w:rsidR="00F85CB7" w:rsidRDefault="00AC1A3E" w:rsidP="00F85CB7">
      <w:pPr>
        <w:pStyle w:val="answer"/>
      </w:pPr>
      <w:r>
        <w:t>A.</w:t>
      </w:r>
      <w:r>
        <w:tab/>
        <w:t>A cost of service study identifies the costs that are incurred to serve a particular customer class.  Identifying the cost responsibility of each class requires an analysis of PSE’s costs and then an allocation of those costs to each customer class.  This allocation is accomplished by first directly assigning to a customer class any costs determined to be caused by that class alone.  Joint costs that are shared by multiple customer classes are then allocated to those classes on a pro rata basis, based on factors appropriate</w:t>
      </w:r>
      <w:r w:rsidR="00FB5D14">
        <w:t xml:space="preserve"> to the costs being allocated.</w:t>
      </w:r>
    </w:p>
    <w:p w:rsidR="00AC1A3E" w:rsidRDefault="00AC1A3E" w:rsidP="00F85CB7">
      <w:pPr>
        <w:pStyle w:val="answer"/>
        <w:ind w:firstLine="0"/>
      </w:pPr>
      <w:r>
        <w:t>The ultimate objective of the cost allocation process is to create a just, fair, reasonable and sufficient allocation of costs to different customer classes.  This cost of service information is then used to allocate the revenue requirement to t</w:t>
      </w:r>
      <w:r w:rsidR="00F85CB7">
        <w:t>he different customer classes.</w:t>
      </w:r>
    </w:p>
    <w:p w:rsidR="00AC1A3E" w:rsidRDefault="00AC1A3E" w:rsidP="00FB5D14">
      <w:pPr>
        <w:pStyle w:val="question"/>
        <w:keepNext/>
        <w:spacing w:before="120"/>
      </w:pPr>
      <w:r>
        <w:t>Q.</w:t>
      </w:r>
      <w:r>
        <w:tab/>
        <w:t>How are cost of service study results generally used for ratemaking purposes?</w:t>
      </w:r>
    </w:p>
    <w:p w:rsidR="00AC1A3E" w:rsidRDefault="00AC1A3E" w:rsidP="00F85CB7">
      <w:pPr>
        <w:pStyle w:val="answer"/>
      </w:pPr>
      <w:r>
        <w:t>A.</w:t>
      </w:r>
      <w:r>
        <w:tab/>
        <w:t xml:space="preserve">Historically, the Commission has treated cost of service studies as a guidepost for the allocation of the revenue requirement and has eschewed a mechanical application of these studies, particularly given the widely varying perspectives among rate case participants as to the “true” cost of providing service to any given class of customers.  Therefore, while such studies may be representative of the overall level of costs that should be recovered from any particular class, the Commission routinely exercises its broad discretion in how strictly to apply the results of such analyses.  </w:t>
      </w:r>
    </w:p>
    <w:p w:rsidR="00AC1A3E" w:rsidRDefault="00AC1A3E" w:rsidP="00FB5D14">
      <w:pPr>
        <w:pStyle w:val="question"/>
        <w:keepNext/>
        <w:spacing w:before="120"/>
      </w:pPr>
      <w:r>
        <w:t>Q.</w:t>
      </w:r>
      <w:r>
        <w:tab/>
        <w:t>How is a cost of service study performed?</w:t>
      </w:r>
    </w:p>
    <w:p w:rsidR="00AC1A3E" w:rsidRDefault="00AC1A3E" w:rsidP="00F85CB7">
      <w:pPr>
        <w:pStyle w:val="answer"/>
      </w:pPr>
      <w:r>
        <w:t>A.</w:t>
      </w:r>
      <w:r>
        <w:tab/>
        <w:t>There are three broad steps to a cost of service study:  (1)</w:t>
      </w:r>
      <w:r w:rsidR="00466F35">
        <w:t> </w:t>
      </w:r>
      <w:r>
        <w:t>functionalization, (2)</w:t>
      </w:r>
      <w:r w:rsidR="00FB5D14">
        <w:t> </w:t>
      </w:r>
      <w:r>
        <w:t>classification, and (3)</w:t>
      </w:r>
      <w:r w:rsidR="00FB5D14">
        <w:t> </w:t>
      </w:r>
      <w:r>
        <w:t>allocation.</w:t>
      </w:r>
    </w:p>
    <w:p w:rsidR="00AC1A3E" w:rsidRDefault="00AC1A3E" w:rsidP="00FB5D14">
      <w:pPr>
        <w:pStyle w:val="question"/>
        <w:keepNext/>
        <w:spacing w:before="120"/>
      </w:pPr>
      <w:r>
        <w:t>Q.</w:t>
      </w:r>
      <w:r>
        <w:tab/>
        <w:t>Please describe the functionalization step in a cost of service study.</w:t>
      </w:r>
    </w:p>
    <w:p w:rsidR="00AC1A3E" w:rsidRDefault="00AC1A3E" w:rsidP="00F85CB7">
      <w:pPr>
        <w:pStyle w:val="answer"/>
      </w:pPr>
      <w:r>
        <w:t>A.</w:t>
      </w:r>
      <w:r>
        <w:tab/>
        <w:t>Functionalization separates plant and expenses into categories based on the major functions of the utility, which for PSE’s</w:t>
      </w:r>
      <w:r w:rsidR="00326D0C">
        <w:t xml:space="preserve"> natural</w:t>
      </w:r>
      <w:r>
        <w:t xml:space="preserve"> gas business have traditionally been the production, storage and distribution of natural gas.</w:t>
      </w:r>
    </w:p>
    <w:p w:rsidR="00AC1A3E" w:rsidRDefault="00AC1A3E" w:rsidP="00466F35">
      <w:pPr>
        <w:pStyle w:val="question"/>
        <w:keepNext/>
        <w:spacing w:before="120"/>
      </w:pPr>
      <w:r>
        <w:t>Q.</w:t>
      </w:r>
      <w:r>
        <w:tab/>
        <w:t>Please describe the classification step in a cost of service study.</w:t>
      </w:r>
    </w:p>
    <w:p w:rsidR="00F85CB7" w:rsidRDefault="00AC1A3E" w:rsidP="00F85CB7">
      <w:pPr>
        <w:pStyle w:val="answer"/>
      </w:pPr>
      <w:r>
        <w:t>A.</w:t>
      </w:r>
      <w:r>
        <w:tab/>
        <w:t xml:space="preserve">Classification further separates costs into categories based on the primary underlying drivers for which the utility plant is constructed and expenses are incurred.  PSE’s </w:t>
      </w:r>
      <w:r w:rsidR="00326D0C">
        <w:t xml:space="preserve">natural </w:t>
      </w:r>
      <w:r>
        <w:t>gas distribution system is designed to perform the following three primary tasks:  (1)</w:t>
      </w:r>
      <w:r w:rsidR="00466F35">
        <w:t> </w:t>
      </w:r>
      <w:r>
        <w:t>to provide distribution services to customers served by the system; (2)</w:t>
      </w:r>
      <w:r w:rsidR="00466F35">
        <w:t> </w:t>
      </w:r>
      <w:r>
        <w:t>to serve peak demands of all customers; and (3)</w:t>
      </w:r>
      <w:r w:rsidR="00466F35">
        <w:t> </w:t>
      </w:r>
      <w:r>
        <w:t>to deliver the natural gas commodity sold to or transported for its customers.  There are costs associated with each of these services, and the cost of service study categorizes these costs accordingly.</w:t>
      </w:r>
    </w:p>
    <w:p w:rsidR="00AC1A3E" w:rsidRDefault="00AC1A3E" w:rsidP="00F85CB7">
      <w:pPr>
        <w:pStyle w:val="answer"/>
        <w:ind w:firstLine="0"/>
      </w:pPr>
      <w:r>
        <w:t xml:space="preserve">Given these three primary functions of the </w:t>
      </w:r>
      <w:r w:rsidR="00326D0C">
        <w:t xml:space="preserve">natural </w:t>
      </w:r>
      <w:r>
        <w:t xml:space="preserve">gas system, classification answers the question:  </w:t>
      </w:r>
      <w:r w:rsidR="00466F35">
        <w:t>“</w:t>
      </w:r>
      <w:r>
        <w:t>Why was the cost incurred</w:t>
      </w:r>
      <w:r w:rsidR="00466F35">
        <w:t xml:space="preserve">:  </w:t>
      </w:r>
      <w:r>
        <w:t>to serve the customer, to meet peak demand, or to provide the commodity?</w:t>
      </w:r>
      <w:r w:rsidR="00466F35">
        <w:t>”</w:t>
      </w:r>
      <w:r>
        <w:t xml:space="preserve">  Another way to ask this is, </w:t>
      </w:r>
      <w:r w:rsidR="00466F35">
        <w:t>“</w:t>
      </w:r>
      <w:r>
        <w:t xml:space="preserve">Does the cost vary with the number of customers served, the peak demand for which the system was designed, or the volume of </w:t>
      </w:r>
      <w:r w:rsidR="00326D0C">
        <w:t xml:space="preserve">natural </w:t>
      </w:r>
      <w:r>
        <w:t>gas sold or transported over the system?</w:t>
      </w:r>
      <w:r w:rsidR="00466F35">
        <w:t>”</w:t>
      </w:r>
    </w:p>
    <w:p w:rsidR="00AC1A3E" w:rsidRDefault="00AC1A3E" w:rsidP="00466F35">
      <w:pPr>
        <w:pStyle w:val="question"/>
        <w:keepNext/>
        <w:spacing w:before="120"/>
      </w:pPr>
      <w:r>
        <w:t>Q.</w:t>
      </w:r>
      <w:r>
        <w:tab/>
        <w:t>Please describe customer-related costs.</w:t>
      </w:r>
    </w:p>
    <w:p w:rsidR="00AC1A3E" w:rsidRDefault="00AC1A3E" w:rsidP="00F85CB7">
      <w:pPr>
        <w:pStyle w:val="answer"/>
      </w:pPr>
      <w:r>
        <w:t>A.</w:t>
      </w:r>
      <w:r>
        <w:tab/>
        <w:t xml:space="preserve">Customer-related costs are those costs that vary with the number of customers on the system, regardless of how much </w:t>
      </w:r>
      <w:r w:rsidR="00DC1EF2">
        <w:t xml:space="preserve">natural </w:t>
      </w:r>
      <w:r>
        <w:t>gas those customers consume.  These costs include, at a minimum, the costs of the service line and meter, meter reading and billing, and the customer service and accounting.  They may also include costs associated with minim</w:t>
      </w:r>
      <w:r w:rsidR="00466F35">
        <w:t>ally-sized distribution mains.</w:t>
      </w:r>
    </w:p>
    <w:p w:rsidR="00AC1A3E" w:rsidRDefault="00AC1A3E" w:rsidP="00466F35">
      <w:pPr>
        <w:pStyle w:val="question"/>
        <w:keepNext/>
        <w:spacing w:before="120"/>
      </w:pPr>
      <w:r>
        <w:t>Q.</w:t>
      </w:r>
      <w:r>
        <w:tab/>
        <w:t>Please describe demand-related costs.</w:t>
      </w:r>
    </w:p>
    <w:p w:rsidR="00AC1A3E" w:rsidRDefault="00AC1A3E" w:rsidP="00F85CB7">
      <w:pPr>
        <w:pStyle w:val="answer"/>
      </w:pPr>
      <w:r>
        <w:t>A.</w:t>
      </w:r>
      <w:r>
        <w:tab/>
        <w:t xml:space="preserve">Demand, or capacity, costs are those costs associated with designing, installing, and operating the system to meet maximum hourly </w:t>
      </w:r>
      <w:r w:rsidR="00DC1EF2">
        <w:t xml:space="preserve">natural </w:t>
      </w:r>
      <w:r>
        <w:t xml:space="preserve">gas flow requirements.  The system must be sized to meet peak requirements, even though average daily loads are below peak levels; otherwise the system would not be adequate to serve customers’ demand for </w:t>
      </w:r>
      <w:r w:rsidR="00DC1EF2">
        <w:t xml:space="preserve">natural </w:t>
      </w:r>
      <w:r>
        <w:t>gas on the coldest peak load days.  Demand costs vary with the size of the peak demand for which the system was designed.  Demand costs are incurred whether all the capacity is used or not.</w:t>
      </w:r>
    </w:p>
    <w:p w:rsidR="00AC1A3E" w:rsidRDefault="00AC1A3E" w:rsidP="00466F35">
      <w:pPr>
        <w:pStyle w:val="question"/>
        <w:keepNext/>
        <w:spacing w:before="120"/>
      </w:pPr>
      <w:r>
        <w:t>Q.</w:t>
      </w:r>
      <w:r>
        <w:tab/>
        <w:t>Please describe commodity costs.</w:t>
      </w:r>
    </w:p>
    <w:p w:rsidR="00AC1A3E" w:rsidRDefault="00AC1A3E" w:rsidP="00F85CB7">
      <w:pPr>
        <w:pStyle w:val="answer"/>
      </w:pPr>
      <w:r>
        <w:t>A.</w:t>
      </w:r>
      <w:r>
        <w:tab/>
        <w:t xml:space="preserve">Commodity costs, such as the cost of </w:t>
      </w:r>
      <w:r w:rsidR="00DC1EF2">
        <w:t xml:space="preserve">natural </w:t>
      </w:r>
      <w:r>
        <w:t xml:space="preserve">gas itself, vary with the amount of </w:t>
      </w:r>
      <w:r w:rsidR="00DC1EF2">
        <w:t xml:space="preserve">natural </w:t>
      </w:r>
      <w:r>
        <w:t xml:space="preserve">gas transported over PSE’s system, either the </w:t>
      </w:r>
      <w:r w:rsidR="00DC1EF2">
        <w:t xml:space="preserve">natural </w:t>
      </w:r>
      <w:r>
        <w:t xml:space="preserve">gas commodity sold to customers or transported for customers who purchase </w:t>
      </w:r>
      <w:r w:rsidR="00DC1EF2">
        <w:t xml:space="preserve">natural </w:t>
      </w:r>
      <w:r>
        <w:t xml:space="preserve">gas from providers other than PSE.  Over a one-year period, the average daily volume of </w:t>
      </w:r>
      <w:r w:rsidR="00DC1EF2">
        <w:t xml:space="preserve">natural </w:t>
      </w:r>
      <w:r>
        <w:t xml:space="preserve">gas transported through the system is considerably less than the volume on a peak day.  </w:t>
      </w:r>
      <w:r w:rsidR="00DC1EF2">
        <w:t>Natural g</w:t>
      </w:r>
      <w:r>
        <w:t xml:space="preserve">as distribution systems have very low commodity-related costs aside from purchased </w:t>
      </w:r>
      <w:r w:rsidR="00DC1EF2">
        <w:t xml:space="preserve">natural </w:t>
      </w:r>
      <w:r>
        <w:t>gas.</w:t>
      </w:r>
    </w:p>
    <w:p w:rsidR="00AC1A3E" w:rsidRDefault="00AC1A3E" w:rsidP="00466F35">
      <w:pPr>
        <w:pStyle w:val="question"/>
        <w:keepNext/>
        <w:spacing w:before="120"/>
      </w:pPr>
      <w:r>
        <w:t>Q.</w:t>
      </w:r>
      <w:r>
        <w:tab/>
        <w:t>Please describe the allocation step in a cost of service study.</w:t>
      </w:r>
    </w:p>
    <w:p w:rsidR="00AC1A3E" w:rsidRDefault="00AC1A3E" w:rsidP="00F85CB7">
      <w:pPr>
        <w:pStyle w:val="answer"/>
      </w:pPr>
      <w:r>
        <w:t>A.</w:t>
      </w:r>
      <w:r>
        <w:tab/>
        <w:t>Allocation is the final step in the assignment of costs to customer classes.  Unless a cost is unique to a specific customer class and can be directly assigned to that customer class, it is allocated based on an allocation factor that is related to that type of cost.  In general, (1)</w:t>
      </w:r>
      <w:r w:rsidR="00466F35">
        <w:t> </w:t>
      </w:r>
      <w:r>
        <w:t>customer-related costs are allocated based on the number of customers served; (2)</w:t>
      </w:r>
      <w:r w:rsidR="00466F35">
        <w:t> </w:t>
      </w:r>
      <w:r>
        <w:t>demand-related costs are allocated based on peak demand; and (3)</w:t>
      </w:r>
      <w:r w:rsidR="00466F35">
        <w:t> </w:t>
      </w:r>
      <w:r>
        <w:t>commodity-related costs are allocated based on throughput.  There are many variations of these allocation factors based on the specific operating or capital costs being allocated, and some costs may be allocated based on a combination of allocation factors.</w:t>
      </w:r>
    </w:p>
    <w:p w:rsidR="00AC1A3E" w:rsidRDefault="00AC1A3E" w:rsidP="00466F35">
      <w:pPr>
        <w:pStyle w:val="Heading1"/>
      </w:pPr>
      <w:bookmarkStart w:id="15" w:name="_Toc426899582"/>
      <w:r>
        <w:t>IV.</w:t>
      </w:r>
      <w:r>
        <w:tab/>
        <w:t>PSE’S BASELINE COST OF SERVICE STUDY RESULTS</w:t>
      </w:r>
      <w:bookmarkEnd w:id="15"/>
    </w:p>
    <w:p w:rsidR="00AC1A3E" w:rsidRDefault="00AC1A3E" w:rsidP="00466F35">
      <w:pPr>
        <w:pStyle w:val="question"/>
        <w:keepNext/>
        <w:spacing w:before="120"/>
      </w:pPr>
      <w:r>
        <w:t>Q.</w:t>
      </w:r>
      <w:r>
        <w:tab/>
        <w:t xml:space="preserve">When was PSE’s last </w:t>
      </w:r>
      <w:r w:rsidR="00DC1EF2">
        <w:t xml:space="preserve">natural </w:t>
      </w:r>
      <w:r>
        <w:t>gas cost of service study performed?</w:t>
      </w:r>
    </w:p>
    <w:p w:rsidR="00AC1A3E" w:rsidRDefault="00AC1A3E" w:rsidP="00F85CB7">
      <w:pPr>
        <w:pStyle w:val="answer"/>
      </w:pPr>
      <w:r>
        <w:t>A.</w:t>
      </w:r>
      <w:r>
        <w:tab/>
        <w:t xml:space="preserve">PSE’s last </w:t>
      </w:r>
      <w:r w:rsidR="00DC1EF2">
        <w:t xml:space="preserve">natural </w:t>
      </w:r>
      <w:r>
        <w:t>gas cost of service study was performed as part of its 2011 general rate case, Docket Nos. UE-111084 and UG-111049 (consolidated)</w:t>
      </w:r>
      <w:r w:rsidR="0043678B">
        <w:t xml:space="preserve"> (the “2011 GRC”)</w:t>
      </w:r>
      <w:r>
        <w:t>.</w:t>
      </w:r>
    </w:p>
    <w:p w:rsidR="00AC1A3E" w:rsidRDefault="00AC1A3E" w:rsidP="00466F35">
      <w:pPr>
        <w:pStyle w:val="question"/>
        <w:keepNext/>
        <w:spacing w:before="120"/>
      </w:pPr>
      <w:r>
        <w:t>Q.</w:t>
      </w:r>
      <w:r>
        <w:tab/>
        <w:t xml:space="preserve">Did PSE perform a full update to its </w:t>
      </w:r>
      <w:r w:rsidR="00DC1EF2">
        <w:t xml:space="preserve">natural </w:t>
      </w:r>
      <w:r>
        <w:t>gas cost of service study for purposes of this filing?</w:t>
      </w:r>
    </w:p>
    <w:p w:rsidR="00AC1A3E" w:rsidRDefault="00AC1A3E" w:rsidP="00F85CB7">
      <w:pPr>
        <w:pStyle w:val="answer"/>
      </w:pPr>
      <w:r>
        <w:t>A.</w:t>
      </w:r>
      <w:r>
        <w:tab/>
        <w:t xml:space="preserve">No.  However, </w:t>
      </w:r>
      <w:r w:rsidR="00466F35">
        <w:t xml:space="preserve">PSE </w:t>
      </w:r>
      <w:r>
        <w:t>update</w:t>
      </w:r>
      <w:r w:rsidR="00466F35">
        <w:t>d</w:t>
      </w:r>
      <w:r>
        <w:t xml:space="preserve"> key allocation factors to provide a more current estimate of the expected results of this study.  Specifically, approximately $1</w:t>
      </w:r>
      <w:r w:rsidR="00466F35">
        <w:t> </w:t>
      </w:r>
      <w:r w:rsidR="00551217">
        <w:t>billion of the $1.9</w:t>
      </w:r>
      <w:r w:rsidR="00466F35">
        <w:t> </w:t>
      </w:r>
      <w:r>
        <w:t xml:space="preserve">billion in </w:t>
      </w:r>
      <w:r w:rsidR="009A2B1D">
        <w:t xml:space="preserve">natural </w:t>
      </w:r>
      <w:r>
        <w:t>gas distribution rate base is directly related to distribution mains.</w:t>
      </w:r>
      <w:r w:rsidR="004D59BE">
        <w:t xml:space="preserve">  </w:t>
      </w:r>
      <w:r>
        <w:t xml:space="preserve">As discussed below, </w:t>
      </w:r>
      <w:r w:rsidR="00466F35">
        <w:t xml:space="preserve">PSE </w:t>
      </w:r>
      <w:r w:rsidR="00DC1EF2">
        <w:t xml:space="preserve">allocates </w:t>
      </w:r>
      <w:r>
        <w:t xml:space="preserve">these costs using a cost-weighted “peak and average” allocation methodology.  </w:t>
      </w:r>
      <w:r w:rsidR="00466F35">
        <w:t xml:space="preserve">PSE updated </w:t>
      </w:r>
      <w:r w:rsidR="00DC1EF2">
        <w:t xml:space="preserve">the calculation of </w:t>
      </w:r>
      <w:r w:rsidR="00466F35">
        <w:t xml:space="preserve">this </w:t>
      </w:r>
      <w:r>
        <w:t xml:space="preserve">allocation factor for more current peak day demands and energy sales for the twelve months ending </w:t>
      </w:r>
      <w:r w:rsidR="009A2B1D">
        <w:t>December 31</w:t>
      </w:r>
      <w:r w:rsidR="00466F35">
        <w:t xml:space="preserve">, 2014, </w:t>
      </w:r>
      <w:r>
        <w:t xml:space="preserve">as </w:t>
      </w:r>
      <w:r w:rsidR="00685258">
        <w:t xml:space="preserve">well as </w:t>
      </w:r>
      <w:r>
        <w:t xml:space="preserve">all the other allocation factors in the cost of service model that rely on these statistics.  Similarly, </w:t>
      </w:r>
      <w:r w:rsidR="00466F35">
        <w:t xml:space="preserve">PSE updated </w:t>
      </w:r>
      <w:r>
        <w:t>customer-related allocation factors for the higher number of</w:t>
      </w:r>
      <w:r w:rsidR="00466F35">
        <w:t xml:space="preserve"> customers since the 2011 GRC.</w:t>
      </w:r>
    </w:p>
    <w:p w:rsidR="00AC1A3E" w:rsidRDefault="00AC1A3E" w:rsidP="00466F35">
      <w:pPr>
        <w:pStyle w:val="question"/>
        <w:keepNext/>
        <w:spacing w:before="120"/>
      </w:pPr>
      <w:r>
        <w:t>Q.</w:t>
      </w:r>
      <w:r>
        <w:tab/>
        <w:t xml:space="preserve">Did PSE’s make any other modifications to </w:t>
      </w:r>
      <w:r w:rsidR="009A2B1D">
        <w:t xml:space="preserve">its </w:t>
      </w:r>
      <w:r>
        <w:t xml:space="preserve">last </w:t>
      </w:r>
      <w:r w:rsidR="009A2B1D">
        <w:t xml:space="preserve">natural </w:t>
      </w:r>
      <w:r>
        <w:t>gas cost of service study?</w:t>
      </w:r>
    </w:p>
    <w:p w:rsidR="00AC1A3E" w:rsidRDefault="00AC1A3E" w:rsidP="00F85CB7">
      <w:pPr>
        <w:pStyle w:val="answer"/>
      </w:pPr>
      <w:r>
        <w:t>A.</w:t>
      </w:r>
      <w:r>
        <w:tab/>
        <w:t xml:space="preserve">Yes.  To better isolate the impacts of the Tacoma LNG Project on PSE’s core natural gas sales and transportation customers, </w:t>
      </w:r>
      <w:r w:rsidR="00466F35">
        <w:t xml:space="preserve">PSE bifurcated </w:t>
      </w:r>
      <w:r>
        <w:t xml:space="preserve">classes that </w:t>
      </w:r>
      <w:r w:rsidR="00DC1EF2">
        <w:t xml:space="preserve">traditionally have </w:t>
      </w:r>
      <w:r>
        <w:t xml:space="preserve">both types of customers between the two types of </w:t>
      </w:r>
      <w:r w:rsidR="00DC1EF2">
        <w:t xml:space="preserve">natural </w:t>
      </w:r>
      <w:r>
        <w:t>gas services.</w:t>
      </w:r>
    </w:p>
    <w:p w:rsidR="00AC1A3E" w:rsidRDefault="00AC1A3E" w:rsidP="00466F35">
      <w:pPr>
        <w:pStyle w:val="question"/>
        <w:keepNext/>
        <w:spacing w:before="120"/>
      </w:pPr>
      <w:r>
        <w:t>Q.</w:t>
      </w:r>
      <w:r>
        <w:tab/>
        <w:t xml:space="preserve">Why did PSE </w:t>
      </w:r>
      <w:r w:rsidR="00466F35">
        <w:t xml:space="preserve">not </w:t>
      </w:r>
      <w:r>
        <w:t>update its</w:t>
      </w:r>
      <w:r w:rsidR="008855B5">
        <w:t xml:space="preserve"> natural</w:t>
      </w:r>
      <w:r>
        <w:t xml:space="preserve"> gas cost of service study for this filing?</w:t>
      </w:r>
    </w:p>
    <w:p w:rsidR="00AC1A3E" w:rsidRDefault="00AC1A3E" w:rsidP="00F85CB7">
      <w:pPr>
        <w:pStyle w:val="answer"/>
      </w:pPr>
      <w:r>
        <w:t>A.</w:t>
      </w:r>
      <w:r>
        <w:tab/>
        <w:t xml:space="preserve">A full update would add little to the accuracy of the estimated impacts quantified in </w:t>
      </w:r>
      <w:r w:rsidR="00466F35">
        <w:t xml:space="preserve">this prefiled direct </w:t>
      </w:r>
      <w:r>
        <w:t>testimony</w:t>
      </w:r>
      <w:r w:rsidR="00466F35">
        <w:t xml:space="preserve"> </w:t>
      </w:r>
      <w:r>
        <w:t xml:space="preserve">but would </w:t>
      </w:r>
      <w:r w:rsidR="00466F35">
        <w:t xml:space="preserve">have </w:t>
      </w:r>
      <w:r>
        <w:t>add</w:t>
      </w:r>
      <w:r w:rsidR="00466F35">
        <w:t>ed</w:t>
      </w:r>
      <w:r>
        <w:t xml:space="preserve"> greatly to the level of effort required to complete the study.  As noted earlier, the purpose of </w:t>
      </w:r>
      <w:r w:rsidR="00466F35">
        <w:t xml:space="preserve">this prefiled direct </w:t>
      </w:r>
      <w:r>
        <w:t xml:space="preserve">testimony is to present a </w:t>
      </w:r>
      <w:r w:rsidR="00466F35">
        <w:t xml:space="preserve">projection </w:t>
      </w:r>
      <w:r>
        <w:t xml:space="preserve">of the </w:t>
      </w:r>
      <w:r w:rsidR="00EA11FE">
        <w:t xml:space="preserve">potential </w:t>
      </w:r>
      <w:r>
        <w:t xml:space="preserve">impact of the proposed </w:t>
      </w:r>
      <w:r w:rsidR="00466F35">
        <w:t xml:space="preserve">Tacoma </w:t>
      </w:r>
      <w:r>
        <w:t xml:space="preserve">LNG </w:t>
      </w:r>
      <w:r w:rsidR="00466F35">
        <w:t xml:space="preserve">Project on the allocated </w:t>
      </w:r>
      <w:r>
        <w:t xml:space="preserve">revenue requirement of PSE’s core </w:t>
      </w:r>
      <w:r w:rsidR="009A2B1D">
        <w:t xml:space="preserve">natural </w:t>
      </w:r>
      <w:r>
        <w:t>gas customers</w:t>
      </w:r>
      <w:r w:rsidR="00EA11FE">
        <w:t xml:space="preserve"> using </w:t>
      </w:r>
      <w:r w:rsidR="008855B5">
        <w:t>methods consistent with those used in PSE’s last GRC</w:t>
      </w:r>
      <w:r>
        <w:t xml:space="preserve">.  This impact will not be felt by customers until the </w:t>
      </w:r>
      <w:r w:rsidR="00466F35">
        <w:t xml:space="preserve">actual </w:t>
      </w:r>
      <w:r>
        <w:t xml:space="preserve">costs of </w:t>
      </w:r>
      <w:r w:rsidR="00466F35">
        <w:t xml:space="preserve">the Tacoma LNG Project </w:t>
      </w:r>
      <w:r>
        <w:t xml:space="preserve">are reflected in the revenue requirement used to set their rates in </w:t>
      </w:r>
      <w:r w:rsidR="00466F35">
        <w:t xml:space="preserve">a </w:t>
      </w:r>
      <w:r>
        <w:t xml:space="preserve">future rate case.  With the commercial operation date of </w:t>
      </w:r>
      <w:r w:rsidR="00466F35">
        <w:t xml:space="preserve">the Tacoma LNG Project </w:t>
      </w:r>
      <w:r>
        <w:t xml:space="preserve">still several years </w:t>
      </w:r>
      <w:r w:rsidR="00466F35">
        <w:t>out</w:t>
      </w:r>
      <w:r>
        <w:t>, the Tacoma LNG Project costs are not yet known with certainty</w:t>
      </w:r>
      <w:r w:rsidR="00466F35">
        <w:t xml:space="preserve">.  Moreover, </w:t>
      </w:r>
      <w:r>
        <w:t xml:space="preserve">many of the factors influencing the results in a </w:t>
      </w:r>
      <w:r w:rsidR="00DC1EF2">
        <w:t xml:space="preserve">natural </w:t>
      </w:r>
      <w:r>
        <w:t>gas cost of service study will continue to change until that time</w:t>
      </w:r>
      <w:r w:rsidR="00466F35">
        <w:t>.  Therefore</w:t>
      </w:r>
      <w:r>
        <w:t>, it is unclear what additional predictive power would be gained for the considerable effort that would be required to completely update every element of this study (e.g., the effort required to determine the costs that are directly assignable to any given rate group).  With that said, the updates noted above should provide results that are reasonably representative of the expected impacts based on the data available at this time and the allocation methodology used in the 2011</w:t>
      </w:r>
      <w:r w:rsidR="00466F35">
        <w:t> </w:t>
      </w:r>
      <w:r>
        <w:t xml:space="preserve">GRC. </w:t>
      </w:r>
    </w:p>
    <w:p w:rsidR="00AC1A3E" w:rsidRDefault="00AC1A3E" w:rsidP="00466F35">
      <w:pPr>
        <w:pStyle w:val="question"/>
        <w:keepNext/>
        <w:spacing w:before="120"/>
      </w:pPr>
      <w:r>
        <w:t>Q.</w:t>
      </w:r>
      <w:r>
        <w:tab/>
        <w:t>Did PSE update the revenue requirement from its 2011</w:t>
      </w:r>
      <w:r w:rsidR="00466F35">
        <w:t> </w:t>
      </w:r>
      <w:r>
        <w:t>GRC for this analysis?</w:t>
      </w:r>
    </w:p>
    <w:p w:rsidR="00AC1A3E" w:rsidRDefault="00AC1A3E" w:rsidP="00F85CB7">
      <w:pPr>
        <w:pStyle w:val="answer"/>
      </w:pPr>
      <w:r>
        <w:t>A.</w:t>
      </w:r>
      <w:r>
        <w:tab/>
        <w:t xml:space="preserve">Yes.  </w:t>
      </w:r>
      <w:r w:rsidR="00466F35">
        <w:t xml:space="preserve">PSE based the </w:t>
      </w:r>
      <w:r>
        <w:t xml:space="preserve">costs used in this analysis upon </w:t>
      </w:r>
      <w:r w:rsidR="00466F35">
        <w:t xml:space="preserve">PSE’s </w:t>
      </w:r>
      <w:r>
        <w:t xml:space="preserve">most recent Commission Basis Report (“CBR”) filing.  This CBR filing, which normalizes PSE’s annual costs in a manner that is substantially similar (but not identical) to the way it is normalized for a </w:t>
      </w:r>
      <w:r w:rsidR="00466F35">
        <w:t>general rate case</w:t>
      </w:r>
      <w:r>
        <w:t xml:space="preserve">, represented PSE’s costs through the 12-month period ending </w:t>
      </w:r>
      <w:r w:rsidR="009A2B1D">
        <w:t>December 31</w:t>
      </w:r>
      <w:r>
        <w:t>, 2014.  The primary intent of updating these costs was to present a more current “baseline” upon which to measure the overall impact associated with the additional costs of the Tacoma LNG Project.</w:t>
      </w:r>
    </w:p>
    <w:p w:rsidR="00AC1A3E" w:rsidRDefault="00AC1A3E" w:rsidP="0025783A">
      <w:pPr>
        <w:pStyle w:val="question"/>
        <w:keepNext/>
        <w:spacing w:before="120"/>
      </w:pPr>
      <w:r>
        <w:t>Q.</w:t>
      </w:r>
      <w:r>
        <w:tab/>
        <w:t xml:space="preserve">What are the results of PSE’s </w:t>
      </w:r>
      <w:r w:rsidR="008855B5">
        <w:t xml:space="preserve">natural </w:t>
      </w:r>
      <w:r>
        <w:t>gas cost of service study based upon the updated “baseline” costs and allocation factors?</w:t>
      </w:r>
    </w:p>
    <w:p w:rsidR="0025783A" w:rsidRDefault="00AC1A3E" w:rsidP="00F85CB7">
      <w:pPr>
        <w:pStyle w:val="answer"/>
      </w:pPr>
      <w:r>
        <w:t>A.</w:t>
      </w:r>
      <w:r>
        <w:tab/>
      </w:r>
      <w:r w:rsidR="0025783A">
        <w:t xml:space="preserve">Please see </w:t>
      </w:r>
      <w:r w:rsidR="009A2B1D" w:rsidRPr="009A2B1D">
        <w:fldChar w:fldCharType="begin"/>
      </w:r>
      <w:r w:rsidR="009A2B1D" w:rsidRPr="009A2B1D">
        <w:instrText xml:space="preserve"> REF _Ref412128043 \h  \* MERGEFORMAT </w:instrText>
      </w:r>
      <w:r w:rsidR="009A2B1D" w:rsidRPr="009A2B1D">
        <w:fldChar w:fldCharType="separate"/>
      </w:r>
      <w:r w:rsidR="003E12C1" w:rsidRPr="003E12C1">
        <w:rPr>
          <w:bCs/>
        </w:rPr>
        <w:t xml:space="preserve">Table </w:t>
      </w:r>
      <w:r w:rsidR="003E12C1" w:rsidRPr="003E12C1">
        <w:rPr>
          <w:bCs/>
          <w:noProof/>
        </w:rPr>
        <w:t>1</w:t>
      </w:r>
      <w:r w:rsidR="009A2B1D" w:rsidRPr="009A2B1D">
        <w:fldChar w:fldCharType="end"/>
      </w:r>
      <w:r w:rsidR="00AF023F">
        <w:t xml:space="preserve"> </w:t>
      </w:r>
      <w:r w:rsidR="0025783A">
        <w:t xml:space="preserve">below for the </w:t>
      </w:r>
      <w:r>
        <w:t>results of PSE’s</w:t>
      </w:r>
      <w:r w:rsidR="009A2B1D">
        <w:t xml:space="preserve"> natural</w:t>
      </w:r>
      <w:r>
        <w:t xml:space="preserve"> gas cost of service study based upon the updated baseline costs through the 12</w:t>
      </w:r>
      <w:r w:rsidR="0025783A">
        <w:t> </w:t>
      </w:r>
      <w:r>
        <w:t xml:space="preserve">months ending </w:t>
      </w:r>
      <w:r w:rsidR="0043678B">
        <w:t>December </w:t>
      </w:r>
      <w:r w:rsidR="009A2B1D">
        <w:t>31</w:t>
      </w:r>
      <w:r>
        <w:t>, 2014 and the updated alloc</w:t>
      </w:r>
      <w:r w:rsidR="0025783A">
        <w:t>ation factors discussed above.</w:t>
      </w:r>
    </w:p>
    <w:p w:rsidR="0025783A" w:rsidRPr="0025783A" w:rsidRDefault="0025783A" w:rsidP="0025783A">
      <w:pPr>
        <w:keepNext/>
        <w:spacing w:before="120" w:after="120" w:line="240" w:lineRule="exact"/>
        <w:jc w:val="center"/>
        <w:rPr>
          <w:b/>
          <w:bCs/>
        </w:rPr>
      </w:pPr>
      <w:bookmarkStart w:id="16" w:name="_Ref412128043"/>
      <w:r w:rsidRPr="0025783A">
        <w:rPr>
          <w:b/>
          <w:bCs/>
        </w:rPr>
        <w:t xml:space="preserve">Table </w:t>
      </w:r>
      <w:r w:rsidRPr="0025783A">
        <w:rPr>
          <w:b/>
          <w:bCs/>
        </w:rPr>
        <w:fldChar w:fldCharType="begin"/>
      </w:r>
      <w:r w:rsidRPr="0025783A">
        <w:rPr>
          <w:b/>
          <w:bCs/>
        </w:rPr>
        <w:instrText xml:space="preserve"> SEQ Table \* ARABIC </w:instrText>
      </w:r>
      <w:r w:rsidRPr="0025783A">
        <w:rPr>
          <w:b/>
          <w:bCs/>
        </w:rPr>
        <w:fldChar w:fldCharType="separate"/>
      </w:r>
      <w:r w:rsidR="003E12C1">
        <w:rPr>
          <w:b/>
          <w:bCs/>
          <w:noProof/>
        </w:rPr>
        <w:t>1</w:t>
      </w:r>
      <w:r w:rsidRPr="0025783A">
        <w:rPr>
          <w:b/>
          <w:bCs/>
        </w:rPr>
        <w:fldChar w:fldCharType="end"/>
      </w:r>
      <w:bookmarkEnd w:id="16"/>
      <w:r w:rsidRPr="0025783A">
        <w:rPr>
          <w:b/>
          <w:bCs/>
        </w:rPr>
        <w:t xml:space="preserve"> –Baseline Costs Allocated to Core </w:t>
      </w:r>
      <w:r w:rsidR="009A2B1D">
        <w:rPr>
          <w:b/>
          <w:bCs/>
        </w:rPr>
        <w:t xml:space="preserve">Natural </w:t>
      </w:r>
      <w:r w:rsidRPr="0025783A">
        <w:rPr>
          <w:b/>
          <w:bCs/>
        </w:rPr>
        <w:t>Gas Rate Groups</w:t>
      </w:r>
      <w:r w:rsidRPr="0025783A">
        <w:rPr>
          <w:b/>
          <w:bCs/>
        </w:rPr>
        <w:br/>
        <w:t xml:space="preserve">(12 Months Ending </w:t>
      </w:r>
      <w:r w:rsidR="009A2B1D">
        <w:rPr>
          <w:b/>
          <w:bCs/>
        </w:rPr>
        <w:t>December 31</w:t>
      </w:r>
      <w:r w:rsidRPr="0025783A">
        <w:rPr>
          <w:b/>
          <w:bCs/>
        </w:rPr>
        <w:t>, 2014)</w:t>
      </w:r>
    </w:p>
    <w:tbl>
      <w:tblPr>
        <w:tblW w:w="7133" w:type="dxa"/>
        <w:jc w:val="center"/>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085"/>
        <w:gridCol w:w="2048"/>
      </w:tblGrid>
      <w:tr w:rsidR="0025783A" w:rsidRPr="00B1063F" w:rsidTr="008D74FA">
        <w:trPr>
          <w:cantSplit/>
          <w:jc w:val="center"/>
        </w:trPr>
        <w:tc>
          <w:tcPr>
            <w:tcW w:w="5085" w:type="dxa"/>
            <w:shd w:val="clear" w:color="auto" w:fill="C0C0C0"/>
            <w:vAlign w:val="center"/>
          </w:tcPr>
          <w:p w:rsidR="0025783A" w:rsidRPr="00B1063F" w:rsidRDefault="0025783A" w:rsidP="0025783A">
            <w:pPr>
              <w:keepNext/>
              <w:spacing w:before="60" w:after="60"/>
              <w:jc w:val="center"/>
              <w:rPr>
                <w:rFonts w:eastAsia="SimSun"/>
                <w:b/>
                <w:sz w:val="20"/>
                <w:szCs w:val="20"/>
                <w:lang w:eastAsia="zh-CN"/>
              </w:rPr>
            </w:pPr>
            <w:r w:rsidRPr="00B1063F">
              <w:rPr>
                <w:rFonts w:eastAsia="SimSun"/>
                <w:b/>
                <w:sz w:val="20"/>
                <w:szCs w:val="20"/>
                <w:lang w:eastAsia="zh-CN"/>
              </w:rPr>
              <w:t>Rate Group</w:t>
            </w:r>
          </w:p>
        </w:tc>
        <w:tc>
          <w:tcPr>
            <w:tcW w:w="2048" w:type="dxa"/>
            <w:shd w:val="clear" w:color="auto" w:fill="C0C0C0"/>
            <w:vAlign w:val="center"/>
          </w:tcPr>
          <w:p w:rsidR="0025783A" w:rsidRPr="00B1063F" w:rsidRDefault="0025783A" w:rsidP="0025783A">
            <w:pPr>
              <w:keepNext/>
              <w:spacing w:before="60" w:after="60"/>
              <w:jc w:val="center"/>
              <w:rPr>
                <w:rFonts w:eastAsia="SimSun"/>
                <w:b/>
                <w:sz w:val="20"/>
                <w:szCs w:val="20"/>
                <w:lang w:eastAsia="zh-CN"/>
              </w:rPr>
            </w:pPr>
            <w:r w:rsidRPr="00B1063F">
              <w:rPr>
                <w:rFonts w:eastAsia="SimSun"/>
                <w:b/>
                <w:sz w:val="20"/>
                <w:szCs w:val="20"/>
                <w:lang w:eastAsia="zh-CN"/>
              </w:rPr>
              <w:t>Allocated Baseline Costs</w:t>
            </w: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Residential (Schedules 23, 16, 53)</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sz w:val="20"/>
                <w:szCs w:val="20"/>
              </w:rPr>
              <w:t>$628,901,451</w:t>
            </w: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Commercial &amp; Industrial (Schedules 31, 61)</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sz w:val="20"/>
                <w:szCs w:val="20"/>
              </w:rPr>
              <w:t>210,020,860</w:t>
            </w: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Large Volume (Schedule 41)</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sz w:val="20"/>
                <w:szCs w:val="20"/>
              </w:rPr>
              <w:t>48,120,254</w:t>
            </w: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Interruptible (Schedule 85)</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sz w:val="20"/>
                <w:szCs w:val="20"/>
              </w:rPr>
              <w:t>9,371,962</w:t>
            </w: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Limited Interruptible (Schedule 86)</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sz w:val="20"/>
                <w:szCs w:val="20"/>
              </w:rPr>
              <w:t>6,864,822</w:t>
            </w: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 xml:space="preserve">Non-exclusive Interruptible (Schedule 87) </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sz w:val="20"/>
                <w:szCs w:val="20"/>
              </w:rPr>
              <w:t>12,372,575</w:t>
            </w:r>
          </w:p>
        </w:tc>
      </w:tr>
      <w:tr w:rsidR="006D6FB9" w:rsidRPr="00B1063F" w:rsidTr="008D74FA">
        <w:trPr>
          <w:cantSplit/>
          <w:jc w:val="center"/>
        </w:trPr>
        <w:tc>
          <w:tcPr>
            <w:tcW w:w="5085" w:type="dxa"/>
            <w:vAlign w:val="bottom"/>
          </w:tcPr>
          <w:p w:rsidR="006D6FB9" w:rsidRPr="00B1063F" w:rsidRDefault="006D6FB9" w:rsidP="0025783A">
            <w:pPr>
              <w:keepNext/>
              <w:spacing w:before="60" w:after="60"/>
              <w:ind w:left="302"/>
              <w:rPr>
                <w:rFonts w:eastAsia="SimSun"/>
                <w:sz w:val="20"/>
                <w:szCs w:val="20"/>
                <w:lang w:eastAsia="zh-CN"/>
              </w:rPr>
            </w:pPr>
            <w:r w:rsidRPr="00B1063F">
              <w:rPr>
                <w:rFonts w:eastAsia="SimSun"/>
                <w:sz w:val="20"/>
                <w:szCs w:val="20"/>
                <w:lang w:eastAsia="zh-CN"/>
              </w:rPr>
              <w:t>Total Sales Schedules</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sz w:val="20"/>
                <w:szCs w:val="20"/>
              </w:rPr>
              <w:t>$915,651,924</w:t>
            </w:r>
          </w:p>
        </w:tc>
      </w:tr>
      <w:tr w:rsidR="0025783A" w:rsidRPr="00B1063F" w:rsidTr="008D74FA">
        <w:trPr>
          <w:cantSplit/>
          <w:jc w:val="center"/>
        </w:trPr>
        <w:tc>
          <w:tcPr>
            <w:tcW w:w="5085" w:type="dxa"/>
            <w:vAlign w:val="bottom"/>
          </w:tcPr>
          <w:p w:rsidR="0025783A" w:rsidRPr="00B1063F" w:rsidRDefault="0025783A" w:rsidP="0025783A">
            <w:pPr>
              <w:keepNext/>
              <w:spacing w:before="60" w:after="60"/>
              <w:rPr>
                <w:rFonts w:eastAsia="SimSun"/>
                <w:sz w:val="20"/>
                <w:szCs w:val="20"/>
                <w:lang w:eastAsia="zh-CN"/>
              </w:rPr>
            </w:pPr>
          </w:p>
        </w:tc>
        <w:tc>
          <w:tcPr>
            <w:tcW w:w="2048" w:type="dxa"/>
            <w:vAlign w:val="bottom"/>
          </w:tcPr>
          <w:p w:rsidR="0025783A" w:rsidRPr="00B1063F" w:rsidRDefault="0025783A" w:rsidP="0025783A">
            <w:pPr>
              <w:keepNext/>
              <w:spacing w:before="60" w:after="60"/>
              <w:ind w:right="301"/>
              <w:jc w:val="right"/>
              <w:rPr>
                <w:rFonts w:eastAsia="SimSun"/>
                <w:sz w:val="20"/>
                <w:szCs w:val="20"/>
                <w:lang w:eastAsia="zh-CN"/>
              </w:rPr>
            </w:pP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Large Volume (Schedule 41T)</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color w:val="000000"/>
                <w:sz w:val="20"/>
                <w:szCs w:val="20"/>
              </w:rPr>
              <w:t>$2,304,814</w:t>
            </w: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Interruptible (Schedule 85T)</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color w:val="000000"/>
                <w:sz w:val="20"/>
                <w:szCs w:val="20"/>
              </w:rPr>
              <w:t>6,342,585</w:t>
            </w: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Limited Interruptible (Schedule 86T)</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color w:val="000000"/>
                <w:sz w:val="20"/>
                <w:szCs w:val="20"/>
              </w:rPr>
              <w:t>16,588</w:t>
            </w: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 xml:space="preserve">Non-exclusive Interruptible (Schedule 87T) </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color w:val="000000"/>
                <w:sz w:val="20"/>
                <w:szCs w:val="20"/>
              </w:rPr>
              <w:t>3,285,726</w:t>
            </w: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 xml:space="preserve">Special Contracts </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color w:val="000000"/>
                <w:sz w:val="20"/>
                <w:szCs w:val="20"/>
              </w:rPr>
              <w:t>1,899,519</w:t>
            </w:r>
          </w:p>
        </w:tc>
      </w:tr>
      <w:tr w:rsidR="006D6FB9" w:rsidRPr="00B1063F" w:rsidTr="008D74FA">
        <w:trPr>
          <w:cantSplit/>
          <w:jc w:val="center"/>
        </w:trPr>
        <w:tc>
          <w:tcPr>
            <w:tcW w:w="5085" w:type="dxa"/>
            <w:vAlign w:val="bottom"/>
          </w:tcPr>
          <w:p w:rsidR="006D6FB9" w:rsidRPr="00B1063F" w:rsidRDefault="006D6FB9" w:rsidP="0025783A">
            <w:pPr>
              <w:spacing w:before="60" w:after="60"/>
              <w:ind w:left="302"/>
              <w:rPr>
                <w:rFonts w:eastAsia="SimSun"/>
                <w:sz w:val="20"/>
                <w:szCs w:val="20"/>
                <w:lang w:eastAsia="zh-CN"/>
              </w:rPr>
            </w:pPr>
            <w:r w:rsidRPr="00B1063F">
              <w:rPr>
                <w:rFonts w:eastAsia="SimSun"/>
                <w:sz w:val="20"/>
                <w:szCs w:val="20"/>
                <w:lang w:eastAsia="zh-CN"/>
              </w:rPr>
              <w:t>Total Transportation Schedules</w:t>
            </w:r>
          </w:p>
        </w:tc>
        <w:tc>
          <w:tcPr>
            <w:tcW w:w="2048" w:type="dxa"/>
            <w:vAlign w:val="bottom"/>
          </w:tcPr>
          <w:p w:rsidR="006D6FB9" w:rsidRPr="00B1063F" w:rsidRDefault="006D6FB9" w:rsidP="006D6FB9">
            <w:pPr>
              <w:keepNext/>
              <w:spacing w:before="60" w:after="60"/>
              <w:ind w:right="301"/>
              <w:jc w:val="right"/>
              <w:rPr>
                <w:color w:val="000000"/>
                <w:sz w:val="20"/>
                <w:szCs w:val="20"/>
              </w:rPr>
            </w:pPr>
            <w:r w:rsidRPr="00B1063F">
              <w:rPr>
                <w:color w:val="000000"/>
                <w:sz w:val="20"/>
                <w:szCs w:val="20"/>
              </w:rPr>
              <w:t>$13,849,232</w:t>
            </w:r>
          </w:p>
        </w:tc>
      </w:tr>
      <w:tr w:rsidR="006D6FB9" w:rsidRPr="00B1063F" w:rsidTr="008D74FA">
        <w:trPr>
          <w:cantSplit/>
          <w:jc w:val="center"/>
        </w:trPr>
        <w:tc>
          <w:tcPr>
            <w:tcW w:w="5085" w:type="dxa"/>
            <w:vAlign w:val="bottom"/>
          </w:tcPr>
          <w:p w:rsidR="006D6FB9" w:rsidRPr="00B1063F" w:rsidRDefault="006D6FB9" w:rsidP="0025783A">
            <w:pPr>
              <w:spacing w:before="60" w:after="60"/>
              <w:rPr>
                <w:rFonts w:eastAsia="SimSun"/>
                <w:sz w:val="20"/>
                <w:szCs w:val="20"/>
                <w:lang w:eastAsia="zh-CN"/>
              </w:rPr>
            </w:pP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p>
        </w:tc>
      </w:tr>
      <w:tr w:rsidR="006D6FB9" w:rsidRPr="00B1063F" w:rsidTr="008D74FA">
        <w:trPr>
          <w:cantSplit/>
          <w:jc w:val="center"/>
        </w:trPr>
        <w:tc>
          <w:tcPr>
            <w:tcW w:w="5085" w:type="dxa"/>
            <w:vAlign w:val="bottom"/>
          </w:tcPr>
          <w:p w:rsidR="006D6FB9" w:rsidRPr="00B1063F" w:rsidRDefault="006D6FB9" w:rsidP="0025783A">
            <w:pPr>
              <w:spacing w:before="60" w:after="60"/>
              <w:rPr>
                <w:rFonts w:eastAsia="SimSun"/>
                <w:sz w:val="20"/>
                <w:szCs w:val="20"/>
                <w:lang w:eastAsia="zh-CN"/>
              </w:rPr>
            </w:pPr>
            <w:bookmarkStart w:id="17" w:name="OLE_LINK4"/>
            <w:bookmarkStart w:id="18" w:name="OLE_LINK5"/>
            <w:r w:rsidRPr="00B1063F">
              <w:rPr>
                <w:rFonts w:eastAsia="SimSun"/>
                <w:sz w:val="20"/>
                <w:szCs w:val="20"/>
                <w:lang w:eastAsia="zh-CN"/>
              </w:rPr>
              <w:t>Rentals (Schedules 71, 72, 74)</w:t>
            </w:r>
            <w:bookmarkEnd w:id="17"/>
            <w:bookmarkEnd w:id="18"/>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color w:val="000000"/>
                <w:sz w:val="20"/>
                <w:szCs w:val="20"/>
              </w:rPr>
              <w:t>$3,701,007</w:t>
            </w:r>
          </w:p>
        </w:tc>
      </w:tr>
      <w:tr w:rsidR="006D6FB9" w:rsidRPr="00B1063F" w:rsidTr="008D74FA">
        <w:trPr>
          <w:cantSplit/>
          <w:jc w:val="center"/>
        </w:trPr>
        <w:tc>
          <w:tcPr>
            <w:tcW w:w="5085" w:type="dxa"/>
            <w:vAlign w:val="bottom"/>
          </w:tcPr>
          <w:p w:rsidR="006D6FB9" w:rsidRPr="00B1063F" w:rsidRDefault="006D6FB9" w:rsidP="0025783A">
            <w:pPr>
              <w:spacing w:before="60" w:after="60"/>
              <w:rPr>
                <w:rFonts w:eastAsia="SimSun"/>
                <w:sz w:val="20"/>
                <w:szCs w:val="20"/>
                <w:lang w:eastAsia="zh-CN"/>
              </w:rPr>
            </w:pP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p>
        </w:tc>
      </w:tr>
      <w:tr w:rsidR="006D6FB9" w:rsidRPr="00B1063F" w:rsidTr="008D74FA">
        <w:trPr>
          <w:cantSplit/>
          <w:jc w:val="center"/>
        </w:trPr>
        <w:tc>
          <w:tcPr>
            <w:tcW w:w="5085" w:type="dxa"/>
            <w:vAlign w:val="bottom"/>
          </w:tcPr>
          <w:p w:rsidR="006D6FB9" w:rsidRPr="00B1063F" w:rsidRDefault="006D6FB9" w:rsidP="0025783A">
            <w:pPr>
              <w:spacing w:before="60" w:after="60"/>
              <w:rPr>
                <w:rFonts w:eastAsia="SimSun"/>
                <w:sz w:val="20"/>
                <w:szCs w:val="20"/>
                <w:lang w:eastAsia="zh-CN"/>
              </w:rPr>
            </w:pPr>
            <w:r w:rsidRPr="00B1063F">
              <w:rPr>
                <w:rFonts w:eastAsia="SimSun"/>
                <w:sz w:val="20"/>
                <w:szCs w:val="20"/>
                <w:lang w:eastAsia="zh-CN"/>
              </w:rPr>
              <w:t>Total</w:t>
            </w:r>
            <w:r w:rsidR="00CC588C" w:rsidRPr="00B1063F">
              <w:rPr>
                <w:rFonts w:eastAsia="SimSun"/>
                <w:sz w:val="20"/>
                <w:szCs w:val="20"/>
                <w:lang w:eastAsia="zh-CN"/>
              </w:rPr>
              <w:t xml:space="preserve"> Core Customers</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color w:val="000000"/>
                <w:sz w:val="20"/>
                <w:szCs w:val="20"/>
              </w:rPr>
              <w:t>$933,202,163</w:t>
            </w:r>
          </w:p>
        </w:tc>
      </w:tr>
    </w:tbl>
    <w:p w:rsidR="0025783A" w:rsidRDefault="0025783A" w:rsidP="00F85CB7">
      <w:pPr>
        <w:pStyle w:val="answer"/>
        <w:spacing w:before="360"/>
        <w:ind w:firstLine="0"/>
      </w:pPr>
      <w:r>
        <w:t xml:space="preserve">Please note that the costs presented in </w:t>
      </w:r>
      <w:r w:rsidR="009A2B1D" w:rsidRPr="009A2B1D">
        <w:rPr>
          <w:bCs/>
        </w:rPr>
        <w:fldChar w:fldCharType="begin"/>
      </w:r>
      <w:r w:rsidR="009A2B1D" w:rsidRPr="009A2B1D">
        <w:instrText xml:space="preserve"> REF _Ref412128043 \h </w:instrText>
      </w:r>
      <w:r w:rsidR="009A2B1D" w:rsidRPr="00DD2B4E">
        <w:rPr>
          <w:bCs/>
        </w:rPr>
        <w:instrText xml:space="preserve"> \* MERGEFORMAT </w:instrText>
      </w:r>
      <w:r w:rsidR="009A2B1D" w:rsidRPr="009A2B1D">
        <w:rPr>
          <w:bCs/>
        </w:rPr>
      </w:r>
      <w:r w:rsidR="009A2B1D" w:rsidRPr="009A2B1D">
        <w:rPr>
          <w:bCs/>
        </w:rPr>
        <w:fldChar w:fldCharType="separate"/>
      </w:r>
      <w:r w:rsidR="003E12C1" w:rsidRPr="003E12C1">
        <w:rPr>
          <w:bCs/>
        </w:rPr>
        <w:t xml:space="preserve">Table </w:t>
      </w:r>
      <w:r w:rsidR="003E12C1" w:rsidRPr="003E12C1">
        <w:rPr>
          <w:bCs/>
          <w:noProof/>
        </w:rPr>
        <w:t>1</w:t>
      </w:r>
      <w:r w:rsidR="009A2B1D" w:rsidRPr="009A2B1D">
        <w:rPr>
          <w:bCs/>
        </w:rPr>
        <w:fldChar w:fldCharType="end"/>
      </w:r>
      <w:r>
        <w:rPr>
          <w:bCs/>
        </w:rPr>
        <w:t xml:space="preserve"> do </w:t>
      </w:r>
      <w:r>
        <w:t>not yet include the incremental costs associated with the Tacoma LNG Project but set the baseline upon which the impacts to customers from this project will be measured.  Please see Exhibit No</w:t>
      </w:r>
      <w:r w:rsidR="004D59BE">
        <w:t>. ___(</w:t>
      </w:r>
      <w:r>
        <w:t>JAP-</w:t>
      </w:r>
      <w:r w:rsidR="00685258">
        <w:t>3</w:t>
      </w:r>
      <w:r>
        <w:t xml:space="preserve">) for further detail regarding the costs presented in </w:t>
      </w:r>
      <w:r w:rsidR="009A2B1D" w:rsidRPr="0038077A">
        <w:rPr>
          <w:bCs/>
        </w:rPr>
        <w:fldChar w:fldCharType="begin"/>
      </w:r>
      <w:r w:rsidR="009A2B1D" w:rsidRPr="009A2B1D">
        <w:instrText xml:space="preserve"> REF _Ref412128043 \h </w:instrText>
      </w:r>
      <w:r w:rsidR="009A2B1D" w:rsidRPr="00DD2B4E">
        <w:rPr>
          <w:bCs/>
        </w:rPr>
        <w:instrText xml:space="preserve"> \* MERGEFORMAT </w:instrText>
      </w:r>
      <w:r w:rsidR="009A2B1D" w:rsidRPr="0038077A">
        <w:rPr>
          <w:bCs/>
        </w:rPr>
      </w:r>
      <w:r w:rsidR="009A2B1D" w:rsidRPr="0038077A">
        <w:rPr>
          <w:bCs/>
        </w:rPr>
        <w:fldChar w:fldCharType="separate"/>
      </w:r>
      <w:r w:rsidR="003E12C1" w:rsidRPr="003E12C1">
        <w:rPr>
          <w:bCs/>
        </w:rPr>
        <w:t xml:space="preserve">Table </w:t>
      </w:r>
      <w:r w:rsidR="003E12C1" w:rsidRPr="003E12C1">
        <w:rPr>
          <w:bCs/>
          <w:noProof/>
        </w:rPr>
        <w:t>1</w:t>
      </w:r>
      <w:r w:rsidR="009A2B1D" w:rsidRPr="0038077A">
        <w:rPr>
          <w:bCs/>
        </w:rPr>
        <w:fldChar w:fldCharType="end"/>
      </w:r>
      <w:r w:rsidRPr="0025783A">
        <w:rPr>
          <w:bCs/>
        </w:rPr>
        <w:t>.</w:t>
      </w:r>
    </w:p>
    <w:p w:rsidR="00AC1A3E" w:rsidRDefault="00AC1A3E" w:rsidP="0025783A">
      <w:pPr>
        <w:pStyle w:val="Heading1"/>
      </w:pPr>
      <w:bookmarkStart w:id="19" w:name="_Toc426899583"/>
      <w:r>
        <w:t>V.</w:t>
      </w:r>
      <w:r>
        <w:tab/>
        <w:t>ALLOCATION OF TACOMA LNG PROJECT REGULATED COSTS</w:t>
      </w:r>
      <w:bookmarkEnd w:id="19"/>
      <w:r>
        <w:t xml:space="preserve"> </w:t>
      </w:r>
    </w:p>
    <w:p w:rsidR="00AC1A3E" w:rsidRDefault="00AC1A3E" w:rsidP="0025783A">
      <w:pPr>
        <w:pStyle w:val="question"/>
        <w:keepNext/>
        <w:spacing w:before="120"/>
      </w:pPr>
      <w:r>
        <w:t>Q.</w:t>
      </w:r>
      <w:r>
        <w:tab/>
      </w:r>
      <w:r w:rsidR="00C52858">
        <w:t xml:space="preserve">Please generally describe how </w:t>
      </w:r>
      <w:r w:rsidR="0025783A">
        <w:t>PSE allocate</w:t>
      </w:r>
      <w:r w:rsidR="00C52858">
        <w:t>d</w:t>
      </w:r>
      <w:r w:rsidR="0025783A">
        <w:t xml:space="preserve"> the </w:t>
      </w:r>
      <w:r w:rsidR="00DC1EF2">
        <w:t xml:space="preserve">first year </w:t>
      </w:r>
      <w:r w:rsidR="0025783A">
        <w:t xml:space="preserve">costs associated with regulated operations of the </w:t>
      </w:r>
      <w:r>
        <w:t xml:space="preserve">Tacoma LNG Project to </w:t>
      </w:r>
      <w:r w:rsidR="0025783A">
        <w:t xml:space="preserve">TOTE and </w:t>
      </w:r>
      <w:r>
        <w:t xml:space="preserve">core </w:t>
      </w:r>
      <w:r w:rsidR="009A2B1D">
        <w:t xml:space="preserve">natural </w:t>
      </w:r>
      <w:r w:rsidR="00C52858">
        <w:t>gas customers.</w:t>
      </w:r>
    </w:p>
    <w:p w:rsidR="00F85CB7" w:rsidRDefault="00AC1A3E" w:rsidP="00F85CB7">
      <w:pPr>
        <w:pStyle w:val="answer"/>
      </w:pPr>
      <w:r>
        <w:t>A.</w:t>
      </w:r>
      <w:r>
        <w:tab/>
      </w:r>
      <w:r w:rsidR="00DC1EF2">
        <w:t xml:space="preserve">PSE used </w:t>
      </w:r>
      <w:r>
        <w:t>a two-step process</w:t>
      </w:r>
      <w:r w:rsidR="00DC1EF2">
        <w:t xml:space="preserve"> to estimate the first year</w:t>
      </w:r>
      <w:r w:rsidR="00D961A6">
        <w:t xml:space="preserve"> costs allocated to TOTE and core natural gas customers</w:t>
      </w:r>
      <w:r>
        <w:t xml:space="preserve">.  First, </w:t>
      </w:r>
      <w:r w:rsidR="0025783A">
        <w:t xml:space="preserve">PSE initially allocated the </w:t>
      </w:r>
      <w:r w:rsidR="00762812">
        <w:t xml:space="preserve">incremental </w:t>
      </w:r>
      <w:r w:rsidR="0025783A">
        <w:t xml:space="preserve">costs associated with regulated operations of the Tacoma LNG Facility </w:t>
      </w:r>
      <w:r>
        <w:t>between PSE’s core</w:t>
      </w:r>
      <w:r w:rsidR="00556B87">
        <w:t xml:space="preserve"> natural</w:t>
      </w:r>
      <w:r>
        <w:t xml:space="preserve"> gas customers (i.e., for peaking resource needs) and </w:t>
      </w:r>
      <w:r w:rsidR="009A5CB6">
        <w:t xml:space="preserve">TOTE (i.e., </w:t>
      </w:r>
      <w:r>
        <w:t xml:space="preserve">the customer taking </w:t>
      </w:r>
      <w:r w:rsidR="0043678B">
        <w:t xml:space="preserve">regulated fuel sales </w:t>
      </w:r>
      <w:r>
        <w:t xml:space="preserve">service under </w:t>
      </w:r>
      <w:r w:rsidR="0043678B">
        <w:t xml:space="preserve">the TOTE Special </w:t>
      </w:r>
      <w:r>
        <w:t>Contract</w:t>
      </w:r>
      <w:r w:rsidR="009A5CB6">
        <w:t>)</w:t>
      </w:r>
      <w:r>
        <w:t xml:space="preserve"> based on the </w:t>
      </w:r>
      <w:r w:rsidR="009A5CB6">
        <w:t>allocation</w:t>
      </w:r>
      <w:r w:rsidR="00D961A6">
        <w:t>s</w:t>
      </w:r>
      <w:r w:rsidR="009A5CB6">
        <w:t xml:space="preserve"> presented in </w:t>
      </w:r>
      <w:r>
        <w:t xml:space="preserve">the </w:t>
      </w:r>
      <w:r w:rsidR="0043678B">
        <w:t xml:space="preserve">Prefiled Direct Testimony of </w:t>
      </w:r>
      <w:r w:rsidR="009A5CB6">
        <w:t>Roger Garratt</w:t>
      </w:r>
      <w:r>
        <w:t>, Exhibit No</w:t>
      </w:r>
      <w:r w:rsidR="004D59BE">
        <w:t>. ___(</w:t>
      </w:r>
      <w:r w:rsidR="009A5CB6">
        <w:t>RG</w:t>
      </w:r>
      <w:r>
        <w:t>-1</w:t>
      </w:r>
      <w:r w:rsidR="0043678B">
        <w:t>C</w:t>
      </w:r>
      <w:r>
        <w:t>T)</w:t>
      </w:r>
      <w:r w:rsidR="0043678B">
        <w:t xml:space="preserve">, and the Prefiled Direct Testimony of </w:t>
      </w:r>
      <w:r w:rsidR="00D961A6">
        <w:t>Clay Riding, Exhibit No</w:t>
      </w:r>
      <w:r w:rsidR="004D59BE">
        <w:t>. ___(</w:t>
      </w:r>
      <w:r w:rsidR="00D961A6">
        <w:t>CR-1HCT)</w:t>
      </w:r>
      <w:r>
        <w:t xml:space="preserve">. </w:t>
      </w:r>
    </w:p>
    <w:p w:rsidR="00AC1A3E" w:rsidRDefault="009A5CB6" w:rsidP="00F85CB7">
      <w:pPr>
        <w:pStyle w:val="answer"/>
        <w:ind w:firstLine="0"/>
      </w:pPr>
      <w:r>
        <w:t xml:space="preserve">Second, PSE input </w:t>
      </w:r>
      <w:r w:rsidR="00AC1A3E">
        <w:t>these costs, as well as the distribution upgrade</w:t>
      </w:r>
      <w:r w:rsidR="00FD5CE6">
        <w:t xml:space="preserve"> cost</w:t>
      </w:r>
      <w:r w:rsidR="00AC1A3E">
        <w:t>s associate</w:t>
      </w:r>
      <w:r w:rsidR="001C45DB">
        <w:t>d</w:t>
      </w:r>
      <w:r w:rsidR="00AC1A3E">
        <w:t xml:space="preserve"> with the Tacoma LNG Project, into PSE’s </w:t>
      </w:r>
      <w:r w:rsidR="0038077A">
        <w:t xml:space="preserve">natural </w:t>
      </w:r>
      <w:r w:rsidR="00AC1A3E">
        <w:t>gas cost of service model with the baseline costs discussed ab</w:t>
      </w:r>
      <w:r>
        <w:t xml:space="preserve">ove and allocated </w:t>
      </w:r>
      <w:r w:rsidR="00762812">
        <w:t xml:space="preserve">the costs not assigned in the previous step </w:t>
      </w:r>
      <w:r w:rsidR="0038077A">
        <w:t xml:space="preserve">in a manner consistent with the </w:t>
      </w:r>
      <w:r w:rsidR="00556B87">
        <w:t xml:space="preserve">methods </w:t>
      </w:r>
      <w:r w:rsidR="0038077A">
        <w:t>used in PSE’s 2011 GRC</w:t>
      </w:r>
      <w:r>
        <w:t>.</w:t>
      </w:r>
    </w:p>
    <w:p w:rsidR="00AF5129" w:rsidRDefault="00AF5129" w:rsidP="00AF5129">
      <w:pPr>
        <w:pStyle w:val="question"/>
        <w:keepNext/>
        <w:spacing w:before="120"/>
      </w:pPr>
      <w:r>
        <w:t>Q.</w:t>
      </w:r>
      <w:r>
        <w:tab/>
        <w:t xml:space="preserve">Could LNG sales associated with PSE’s </w:t>
      </w:r>
      <w:r w:rsidR="004D59BE">
        <w:t xml:space="preserve">non-regulated </w:t>
      </w:r>
      <w:r>
        <w:t xml:space="preserve">investment in the </w:t>
      </w:r>
      <w:r w:rsidR="00FD5CE6">
        <w:t xml:space="preserve">Tacoma </w:t>
      </w:r>
      <w:r>
        <w:t>LNG Facility also affect the rates paid by PSE’s core natural gas customers?</w:t>
      </w:r>
    </w:p>
    <w:p w:rsidR="00AF5129" w:rsidRDefault="00AF5129" w:rsidP="00AF5129">
      <w:pPr>
        <w:pStyle w:val="answer"/>
      </w:pPr>
      <w:r>
        <w:t>A.</w:t>
      </w:r>
      <w:r>
        <w:tab/>
        <w:t xml:space="preserve">Yes, to the extent that PSE is successful in subscribing the </w:t>
      </w:r>
      <w:r w:rsidR="004D59BE">
        <w:t xml:space="preserve">non-regulated </w:t>
      </w:r>
      <w:r>
        <w:t xml:space="preserve">portion of its </w:t>
      </w:r>
      <w:r w:rsidR="00FD5CE6">
        <w:t xml:space="preserve">Tacoma </w:t>
      </w:r>
      <w:r>
        <w:t>LNG Facility, the incremental impact associated with delivering additional natural gas across its distribution system would also impact rates of core natural gas customers.</w:t>
      </w:r>
      <w:r w:rsidR="0017241E">
        <w:t xml:space="preserve">  This impact would be felt through the allocation of distribution-related costs.  To determine the “bookends” for this impact, the analyses </w:t>
      </w:r>
      <w:r w:rsidR="0097626A">
        <w:t xml:space="preserve">presented in this testimony assume </w:t>
      </w:r>
      <w:r w:rsidR="0017241E">
        <w:t>0</w:t>
      </w:r>
      <w:r w:rsidR="009C51A2">
        <w:t xml:space="preserve"> percent</w:t>
      </w:r>
      <w:r w:rsidR="0017241E">
        <w:t xml:space="preserve"> or 100</w:t>
      </w:r>
      <w:r w:rsidR="009C51A2">
        <w:t xml:space="preserve"> percent</w:t>
      </w:r>
      <w:r w:rsidR="0017241E">
        <w:t xml:space="preserve"> subscription of the </w:t>
      </w:r>
      <w:r w:rsidR="004D59BE">
        <w:t xml:space="preserve">non-regulated </w:t>
      </w:r>
      <w:r w:rsidR="0017241E">
        <w:t xml:space="preserve">portion of the </w:t>
      </w:r>
      <w:r w:rsidR="004D59BE">
        <w:t>Tacoma LNG Facility</w:t>
      </w:r>
      <w:r w:rsidR="0017241E">
        <w:t>.</w:t>
      </w:r>
      <w:r w:rsidR="00D21179">
        <w:t xml:space="preserve">  In the latter case, it is assumed that the distribution service taken is 100</w:t>
      </w:r>
      <w:r w:rsidR="009C51A2">
        <w:t xml:space="preserve"> percent</w:t>
      </w:r>
      <w:r w:rsidR="00D21179">
        <w:t xml:space="preserve"> interruptible</w:t>
      </w:r>
      <w:r w:rsidR="0097626A">
        <w:t xml:space="preserve"> at rates comparable to Schedule 87T</w:t>
      </w:r>
      <w:r w:rsidR="00D21179">
        <w:t>.</w:t>
      </w:r>
    </w:p>
    <w:p w:rsidR="00AC1A3E" w:rsidRDefault="00AC1A3E" w:rsidP="009A5CB6">
      <w:pPr>
        <w:pStyle w:val="question"/>
        <w:keepNext/>
        <w:spacing w:before="360"/>
      </w:pPr>
      <w:r>
        <w:t>Q.</w:t>
      </w:r>
      <w:r>
        <w:tab/>
      </w:r>
      <w:r w:rsidR="001C45DB">
        <w:t xml:space="preserve">How much of </w:t>
      </w:r>
      <w:r>
        <w:t>the</w:t>
      </w:r>
      <w:r w:rsidR="00762812">
        <w:t xml:space="preserve"> projected</w:t>
      </w:r>
      <w:r>
        <w:t xml:space="preserve"> capital costs </w:t>
      </w:r>
      <w:r w:rsidR="009A5CB6">
        <w:t xml:space="preserve">associated with regulated operations of the Tacoma LNG Facility </w:t>
      </w:r>
      <w:r w:rsidR="001C45DB">
        <w:t xml:space="preserve">were allocated </w:t>
      </w:r>
      <w:r>
        <w:t xml:space="preserve">to </w:t>
      </w:r>
      <w:r w:rsidR="009A5CB6">
        <w:t xml:space="preserve">TOTE and </w:t>
      </w:r>
      <w:r>
        <w:t xml:space="preserve">PSE’s core </w:t>
      </w:r>
      <w:r w:rsidR="0038077A">
        <w:t xml:space="preserve">natural </w:t>
      </w:r>
      <w:r>
        <w:t>gas customers?</w:t>
      </w:r>
    </w:p>
    <w:p w:rsidR="00AC1A3E" w:rsidRDefault="00AC1A3E" w:rsidP="00F85CB7">
      <w:pPr>
        <w:pStyle w:val="answer"/>
      </w:pPr>
      <w:r>
        <w:t>A.</w:t>
      </w:r>
      <w:r>
        <w:tab/>
      </w:r>
      <w:r w:rsidR="0038077A">
        <w:t>As presented in the Prefiled Direct Testimony of Roger Garratt, Exhibit No</w:t>
      </w:r>
      <w:r w:rsidR="004D59BE">
        <w:t>. ___(</w:t>
      </w:r>
      <w:r w:rsidR="0038077A">
        <w:t>RG-1</w:t>
      </w:r>
      <w:r w:rsidR="004D59BE">
        <w:t>C</w:t>
      </w:r>
      <w:r w:rsidR="0038077A">
        <w:t xml:space="preserve">T), PSE’s core natural gas customers were allocated </w:t>
      </w:r>
      <w:r w:rsidR="00D961A6">
        <w:t>$161.9 million</w:t>
      </w:r>
      <w:r w:rsidR="0038077A">
        <w:t xml:space="preserve"> of the</w:t>
      </w:r>
      <w:r w:rsidR="007D7DDA">
        <w:t>se capital costs</w:t>
      </w:r>
      <w:r w:rsidR="00FD5CE6">
        <w:t>, including AFUDC</w:t>
      </w:r>
      <w:r w:rsidR="007D7DDA">
        <w:t xml:space="preserve">.  The remaining </w:t>
      </w:r>
      <w:r w:rsidR="00D961A6">
        <w:t>$109.6 million</w:t>
      </w:r>
      <w:r w:rsidR="00FD5CE6">
        <w:t>, including AFUDC,</w:t>
      </w:r>
      <w:r w:rsidR="007D7DDA">
        <w:t xml:space="preserve"> were allocated to TOTE</w:t>
      </w:r>
      <w:r w:rsidR="009A5CB6">
        <w:t>.</w:t>
      </w:r>
      <w:r w:rsidR="007D7DDA">
        <w:t xml:space="preserve"> </w:t>
      </w:r>
    </w:p>
    <w:p w:rsidR="00AC1A3E" w:rsidRDefault="00AC1A3E" w:rsidP="00DD2B4E">
      <w:pPr>
        <w:pStyle w:val="question"/>
        <w:keepNext/>
        <w:spacing w:before="120"/>
      </w:pPr>
      <w:r>
        <w:t>Q.</w:t>
      </w:r>
      <w:r>
        <w:tab/>
        <w:t xml:space="preserve">How </w:t>
      </w:r>
      <w:r w:rsidR="00556B87">
        <w:t xml:space="preserve">much of </w:t>
      </w:r>
      <w:r>
        <w:t>PSE</w:t>
      </w:r>
      <w:r w:rsidR="00556B87">
        <w:t>’s</w:t>
      </w:r>
      <w:r>
        <w:t xml:space="preserve"> incremental </w:t>
      </w:r>
      <w:r w:rsidR="00D961A6">
        <w:t xml:space="preserve">first year </w:t>
      </w:r>
      <w:r>
        <w:t xml:space="preserve">operating costs associated with the </w:t>
      </w:r>
      <w:r w:rsidR="008D74FA">
        <w:t xml:space="preserve">regulated operations of the </w:t>
      </w:r>
      <w:r>
        <w:t xml:space="preserve">Tacoma LNG </w:t>
      </w:r>
      <w:r w:rsidR="00D961A6">
        <w:t xml:space="preserve">Facility </w:t>
      </w:r>
      <w:r w:rsidR="00556B87">
        <w:t xml:space="preserve">have been allocated to its </w:t>
      </w:r>
      <w:r>
        <w:t xml:space="preserve">core </w:t>
      </w:r>
      <w:r w:rsidR="007D7DDA">
        <w:t xml:space="preserve">natural </w:t>
      </w:r>
      <w:r>
        <w:t xml:space="preserve">gas customers and </w:t>
      </w:r>
      <w:r w:rsidR="008D74FA">
        <w:t>TOTE</w:t>
      </w:r>
      <w:r>
        <w:t>?</w:t>
      </w:r>
    </w:p>
    <w:p w:rsidR="00B3602F" w:rsidRDefault="00AC1A3E" w:rsidP="00F85CB7">
      <w:pPr>
        <w:pStyle w:val="answer"/>
      </w:pPr>
      <w:r>
        <w:t>A.</w:t>
      </w:r>
      <w:r>
        <w:tab/>
      </w:r>
      <w:r w:rsidR="00B044B6">
        <w:t xml:space="preserve">As presented in the Prefiled Direct Testimony of </w:t>
      </w:r>
      <w:r w:rsidR="00D961A6">
        <w:t>Clay Riding</w:t>
      </w:r>
      <w:r w:rsidR="00B044B6">
        <w:t>, Exhibit No</w:t>
      </w:r>
      <w:r w:rsidR="004D59BE">
        <w:t>. ___(</w:t>
      </w:r>
      <w:r w:rsidR="00D961A6">
        <w:t>C</w:t>
      </w:r>
      <w:r w:rsidR="00B044B6">
        <w:t>R-1</w:t>
      </w:r>
      <w:r w:rsidR="00FD5CE6">
        <w:t>H</w:t>
      </w:r>
      <w:r w:rsidR="00D961A6">
        <w:t>C</w:t>
      </w:r>
      <w:r w:rsidR="00B044B6">
        <w:t xml:space="preserve">T), PSE’s core natural gas customers were allocated </w:t>
      </w:r>
      <w:r w:rsidR="00D961A6">
        <w:t>$3.1 million</w:t>
      </w:r>
      <w:r w:rsidR="00B044B6">
        <w:t xml:space="preserve"> of the incremental operating costs associated with the regulated operations of the Tacoma LNG </w:t>
      </w:r>
      <w:r w:rsidR="00FD5CE6">
        <w:t>Facility</w:t>
      </w:r>
      <w:r w:rsidR="00B044B6">
        <w:t xml:space="preserve">.  The remaining </w:t>
      </w:r>
      <w:r w:rsidR="00D961A6">
        <w:t>$2.5 million</w:t>
      </w:r>
      <w:r w:rsidR="00B044B6">
        <w:t xml:space="preserve"> were allocated to TOTE.</w:t>
      </w:r>
    </w:p>
    <w:p w:rsidR="00AC1A3E" w:rsidRDefault="00AC1A3E" w:rsidP="00E27DF2">
      <w:pPr>
        <w:pStyle w:val="question"/>
        <w:keepNext/>
        <w:spacing w:before="120"/>
      </w:pPr>
      <w:r>
        <w:t>Q.</w:t>
      </w:r>
      <w:r>
        <w:tab/>
        <w:t>Please explain how PSE</w:t>
      </w:r>
      <w:r w:rsidR="00E27DF2">
        <w:t xml:space="preserve"> used its</w:t>
      </w:r>
      <w:r w:rsidR="00450140">
        <w:t xml:space="preserve"> natural</w:t>
      </w:r>
      <w:r>
        <w:t xml:space="preserve"> gas cost of service model to allocate </w:t>
      </w:r>
      <w:r w:rsidR="00D961A6">
        <w:t xml:space="preserve">the first year </w:t>
      </w:r>
      <w:r>
        <w:t xml:space="preserve">costs </w:t>
      </w:r>
      <w:r w:rsidR="00DE20C4">
        <w:t xml:space="preserve">associated with regulated operations of the Tacoma LNG </w:t>
      </w:r>
      <w:r w:rsidR="00450140">
        <w:t>Project</w:t>
      </w:r>
      <w:r>
        <w:t>.</w:t>
      </w:r>
    </w:p>
    <w:p w:rsidR="00AC1A3E" w:rsidRDefault="00AC1A3E" w:rsidP="00F85CB7">
      <w:pPr>
        <w:pStyle w:val="answer"/>
      </w:pPr>
      <w:r>
        <w:t>A.</w:t>
      </w:r>
      <w:r>
        <w:tab/>
        <w:t xml:space="preserve">PSE used its </w:t>
      </w:r>
      <w:r w:rsidR="00450140">
        <w:t xml:space="preserve">natural </w:t>
      </w:r>
      <w:r>
        <w:t xml:space="preserve">gas cost of service model to allocate </w:t>
      </w:r>
      <w:r w:rsidR="00D961A6">
        <w:t xml:space="preserve">estimated first year </w:t>
      </w:r>
      <w:r w:rsidR="00DE20C4">
        <w:t xml:space="preserve">costs associated with regulated operations of the Tacoma LNG </w:t>
      </w:r>
      <w:r w:rsidR="00450140">
        <w:t xml:space="preserve">Project </w:t>
      </w:r>
      <w:r>
        <w:t xml:space="preserve">in a manner consistent with similar costs that were already present in PSE’s most recent gas cost of service study.  </w:t>
      </w:r>
      <w:r w:rsidR="00DE20C4">
        <w:t>PSE allocated i</w:t>
      </w:r>
      <w:r>
        <w:t xml:space="preserve">ncremental </w:t>
      </w:r>
      <w:r w:rsidR="00D961A6">
        <w:t xml:space="preserve">first year natural </w:t>
      </w:r>
      <w:r>
        <w:t xml:space="preserve">gas distribution costs associated with </w:t>
      </w:r>
      <w:r w:rsidR="00DE20C4">
        <w:t xml:space="preserve">regulated operations of </w:t>
      </w:r>
      <w:r>
        <w:t xml:space="preserve">the Tacoma LNG Project to all customers, including </w:t>
      </w:r>
      <w:r w:rsidR="00DE20C4">
        <w:t>TOTE</w:t>
      </w:r>
      <w:r>
        <w:t>, using the same factors used to allocate ba</w:t>
      </w:r>
      <w:r w:rsidR="00F85CB7">
        <w:t xml:space="preserve">seline </w:t>
      </w:r>
      <w:r w:rsidR="00450140">
        <w:t xml:space="preserve">natural </w:t>
      </w:r>
      <w:r w:rsidR="00F85CB7">
        <w:t>gas distribution costs.</w:t>
      </w:r>
    </w:p>
    <w:p w:rsidR="00AC1A3E" w:rsidRDefault="00AC1A3E" w:rsidP="00DE20C4">
      <w:pPr>
        <w:pStyle w:val="question"/>
        <w:keepNext/>
        <w:spacing w:before="120"/>
      </w:pPr>
      <w:r>
        <w:t>Q.</w:t>
      </w:r>
      <w:r>
        <w:tab/>
        <w:t xml:space="preserve">Is </w:t>
      </w:r>
      <w:r w:rsidR="00DE20C4">
        <w:t xml:space="preserve">TOTE </w:t>
      </w:r>
      <w:r>
        <w:t xml:space="preserve">only allocated the </w:t>
      </w:r>
      <w:r w:rsidR="00D961A6">
        <w:t xml:space="preserve">natural </w:t>
      </w:r>
      <w:r w:rsidR="00DE20C4">
        <w:t xml:space="preserve">gas distribution system upgrade </w:t>
      </w:r>
      <w:r>
        <w:t xml:space="preserve">costs </w:t>
      </w:r>
      <w:r w:rsidR="00DE20C4">
        <w:t xml:space="preserve">associated with </w:t>
      </w:r>
      <w:r>
        <w:t>the Tacoma LNG Project?</w:t>
      </w:r>
    </w:p>
    <w:p w:rsidR="00AC1A3E" w:rsidRDefault="00AC1A3E" w:rsidP="00F85CB7">
      <w:pPr>
        <w:pStyle w:val="answer"/>
      </w:pPr>
      <w:r>
        <w:t>A.</w:t>
      </w:r>
      <w:r>
        <w:tab/>
        <w:t xml:space="preserve">No.  </w:t>
      </w:r>
      <w:r w:rsidR="00DE20C4">
        <w:t xml:space="preserve">In addition to the </w:t>
      </w:r>
      <w:r w:rsidR="00D961A6">
        <w:t xml:space="preserve">natural </w:t>
      </w:r>
      <w:r w:rsidR="00DE20C4">
        <w:t xml:space="preserve">gas distribution system upgrade costs associated with the Tacoma LNG Project, TOTE </w:t>
      </w:r>
      <w:r>
        <w:t>receive</w:t>
      </w:r>
      <w:r w:rsidR="00DE20C4">
        <w:t>s</w:t>
      </w:r>
      <w:r>
        <w:t xml:space="preserve"> an allocation of existing </w:t>
      </w:r>
      <w:r w:rsidR="001C45DB">
        <w:t xml:space="preserve">distribution system costs.  It also includes a share of </w:t>
      </w:r>
      <w:r>
        <w:t xml:space="preserve">baseline joint and common costs that would otherwise be borne by core </w:t>
      </w:r>
      <w:r w:rsidR="00242DB2">
        <w:t xml:space="preserve">natural </w:t>
      </w:r>
      <w:r>
        <w:t>gas customers.  These expenses include things like administrative salaries, office supplies and expenses, regulatory fees, maintenance expense associate with general plant, the return of and on gene</w:t>
      </w:r>
      <w:r w:rsidR="00DE20C4">
        <w:t>ral and intangible plant, etc.</w:t>
      </w:r>
    </w:p>
    <w:p w:rsidR="00AC1A3E" w:rsidRDefault="00AC1A3E" w:rsidP="00DE20C4">
      <w:pPr>
        <w:pStyle w:val="question"/>
        <w:keepNext/>
        <w:spacing w:before="120"/>
      </w:pPr>
      <w:r>
        <w:t>Q.</w:t>
      </w:r>
      <w:r>
        <w:tab/>
        <w:t xml:space="preserve">How did PSE specifically allocate </w:t>
      </w:r>
      <w:r w:rsidR="00DE20C4">
        <w:t xml:space="preserve">projected costs associated with regulated operations of the </w:t>
      </w:r>
      <w:r>
        <w:t xml:space="preserve">Tacoma LNG Project among core </w:t>
      </w:r>
      <w:r w:rsidR="00C94323">
        <w:t xml:space="preserve">natural </w:t>
      </w:r>
      <w:r>
        <w:t>gas customers?</w:t>
      </w:r>
    </w:p>
    <w:p w:rsidR="00F85CB7" w:rsidRDefault="00AC1A3E" w:rsidP="00F85CB7">
      <w:pPr>
        <w:pStyle w:val="answer"/>
      </w:pPr>
      <w:r>
        <w:t>A.</w:t>
      </w:r>
      <w:r>
        <w:tab/>
        <w:t xml:space="preserve">There are two primary components to the </w:t>
      </w:r>
      <w:r w:rsidR="00DE20C4">
        <w:t>costs associated with regulated operations of the Tacoma LNG Project:  (i) </w:t>
      </w:r>
      <w:r>
        <w:t>the cost</w:t>
      </w:r>
      <w:r w:rsidR="00DE20C4">
        <w:t>s</w:t>
      </w:r>
      <w:r>
        <w:t xml:space="preserve"> of the Tacoma LNG Facility </w:t>
      </w:r>
      <w:r w:rsidR="00DE20C4">
        <w:t xml:space="preserve">allocated to regulated operations </w:t>
      </w:r>
      <w:r>
        <w:t xml:space="preserve">and </w:t>
      </w:r>
      <w:r w:rsidR="00DE20C4">
        <w:t>(ii) </w:t>
      </w:r>
      <w:r>
        <w:t xml:space="preserve">the associated </w:t>
      </w:r>
      <w:r w:rsidR="00D961A6">
        <w:t xml:space="preserve">natural </w:t>
      </w:r>
      <w:r>
        <w:t xml:space="preserve">gas distribution </w:t>
      </w:r>
      <w:r w:rsidR="00DE20C4">
        <w:t xml:space="preserve">system </w:t>
      </w:r>
      <w:r>
        <w:t>upgrades</w:t>
      </w:r>
      <w:r w:rsidR="00DE20C4">
        <w:t xml:space="preserve">.  PSE allocates these two </w:t>
      </w:r>
      <w:r w:rsidR="0097626A">
        <w:t xml:space="preserve">sets of </w:t>
      </w:r>
      <w:r w:rsidR="00DE20C4">
        <w:t xml:space="preserve">costs </w:t>
      </w:r>
      <w:r>
        <w:t>differently.</w:t>
      </w:r>
    </w:p>
    <w:p w:rsidR="00F85CB7" w:rsidRDefault="00AC1A3E" w:rsidP="00F85CB7">
      <w:pPr>
        <w:pStyle w:val="answer"/>
        <w:ind w:firstLine="0"/>
      </w:pPr>
      <w:r>
        <w:t>PSE allocated core</w:t>
      </w:r>
      <w:r w:rsidR="00C94323">
        <w:t xml:space="preserve"> natural</w:t>
      </w:r>
      <w:r>
        <w:t xml:space="preserve"> gas customers a share of the </w:t>
      </w:r>
      <w:r w:rsidR="00DE20C4">
        <w:t xml:space="preserve">projected </w:t>
      </w:r>
      <w:r>
        <w:t xml:space="preserve">cost of the Tacoma LNG Facility </w:t>
      </w:r>
      <w:r w:rsidR="0097626A">
        <w:t xml:space="preserve">associated with </w:t>
      </w:r>
      <w:r w:rsidR="00DE20C4">
        <w:t xml:space="preserve">regulated operations </w:t>
      </w:r>
      <w:r>
        <w:t xml:space="preserve">in a manner consistent with </w:t>
      </w:r>
      <w:r w:rsidR="00DE20C4">
        <w:t xml:space="preserve">PSE’s allocation of </w:t>
      </w:r>
      <w:r>
        <w:t xml:space="preserve">other peaking resources in its </w:t>
      </w:r>
      <w:r w:rsidR="00D961A6">
        <w:t xml:space="preserve">natural </w:t>
      </w:r>
      <w:r>
        <w:t xml:space="preserve">gas cost of service study presented in its 2011 GRC.  Specifically, </w:t>
      </w:r>
      <w:r w:rsidR="00DE20C4">
        <w:t xml:space="preserve">PSE allocated </w:t>
      </w:r>
      <w:r>
        <w:t xml:space="preserve">these </w:t>
      </w:r>
      <w:r w:rsidR="00DE20C4">
        <w:t xml:space="preserve">projected </w:t>
      </w:r>
      <w:r>
        <w:t xml:space="preserve">costs on the basis of each rate classes’ contribution to PSE’s design day peak </w:t>
      </w:r>
      <w:r w:rsidR="0097626A">
        <w:t xml:space="preserve">natural gas </w:t>
      </w:r>
      <w:r>
        <w:t xml:space="preserve">loads, reflecting </w:t>
      </w:r>
      <w:r w:rsidR="00DE20C4">
        <w:t xml:space="preserve">the fact </w:t>
      </w:r>
      <w:r>
        <w:t xml:space="preserve">that the Tacoma LNG Facility is being built to meet these peaking needs.  </w:t>
      </w:r>
      <w:r w:rsidR="00DE20C4">
        <w:t xml:space="preserve">Please note </w:t>
      </w:r>
      <w:r>
        <w:t>that</w:t>
      </w:r>
      <w:r w:rsidR="00762812">
        <w:t xml:space="preserve"> natural</w:t>
      </w:r>
      <w:r>
        <w:t xml:space="preserve"> gas transportation customers do not receive an allocation of these costs.</w:t>
      </w:r>
    </w:p>
    <w:p w:rsidR="00F85CB7" w:rsidRDefault="00DE20C4" w:rsidP="00F85CB7">
      <w:pPr>
        <w:pStyle w:val="answer"/>
        <w:ind w:firstLine="0"/>
      </w:pPr>
      <w:r>
        <w:t xml:space="preserve">PSE allocated the </w:t>
      </w:r>
      <w:r w:rsidR="00D961A6">
        <w:t xml:space="preserve">projected </w:t>
      </w:r>
      <w:r w:rsidR="00AC1A3E">
        <w:t xml:space="preserve">cost of the distribution </w:t>
      </w:r>
      <w:r>
        <w:t xml:space="preserve">system </w:t>
      </w:r>
      <w:r w:rsidR="00AC1A3E">
        <w:t xml:space="preserve">upgrades associated with the Tacoma LNG Project in the same manner as PSE’s other distribution mains.  </w:t>
      </w:r>
      <w:r>
        <w:t xml:space="preserve">PSE allocated these </w:t>
      </w:r>
      <w:r w:rsidR="00AC1A3E">
        <w:t>costs on a distribution main cost-weighted “peak</w:t>
      </w:r>
      <w:r w:rsidR="00455A3A">
        <w:t xml:space="preserve"> and average” allocation factor,</w:t>
      </w:r>
      <w:r w:rsidR="00AC1A3E">
        <w:t xml:space="preserve"> </w:t>
      </w:r>
      <w:r>
        <w:t xml:space="preserve">in which </w:t>
      </w:r>
      <w:r w:rsidR="00455A3A">
        <w:t>system load factor was used to allocate</w:t>
      </w:r>
      <w:r>
        <w:t xml:space="preserve"> </w:t>
      </w:r>
      <w:r w:rsidR="00455A3A">
        <w:t xml:space="preserve">these </w:t>
      </w:r>
      <w:r>
        <w:t xml:space="preserve">projected </w:t>
      </w:r>
      <w:r w:rsidR="00AC1A3E">
        <w:t xml:space="preserve">costs roughly </w:t>
      </w:r>
      <w:r w:rsidR="00D961A6">
        <w:t xml:space="preserve">one-third </w:t>
      </w:r>
      <w:r w:rsidR="00AC1A3E">
        <w:t xml:space="preserve">on average demand and </w:t>
      </w:r>
      <w:r w:rsidR="00D961A6">
        <w:t xml:space="preserve">two-thirds </w:t>
      </w:r>
      <w:r>
        <w:t xml:space="preserve">on peak demand.  </w:t>
      </w:r>
      <w:r w:rsidR="00AC1A3E">
        <w:t>This allocation factor reflects a balance between the way the distribution system is designed (i.e., to meet peak demand) and the way it is utilized on an annual basis (i.e., throughput based on</w:t>
      </w:r>
      <w:r w:rsidR="00762812">
        <w:t xml:space="preserve"> natural</w:t>
      </w:r>
      <w:r w:rsidR="00AC1A3E">
        <w:t xml:space="preserve"> gas usage that occurs during all conditions, not only peak conditions).  </w:t>
      </w:r>
      <w:r>
        <w:t xml:space="preserve">This allocation factor </w:t>
      </w:r>
      <w:r w:rsidR="00AC1A3E">
        <w:t>also acknowledges previous Commission guidance that some portion of demand costs should be allocated based on energy use.</w:t>
      </w:r>
      <w:r>
        <w:t xml:space="preserve">  Please see </w:t>
      </w:r>
      <w:r w:rsidR="00AC1A3E">
        <w:t>Exhibit No</w:t>
      </w:r>
      <w:r w:rsidR="004D59BE">
        <w:t>. ___(</w:t>
      </w:r>
      <w:r w:rsidR="00AC1A3E">
        <w:t>JAP-</w:t>
      </w:r>
      <w:r w:rsidR="00FD5CE6">
        <w:t>4</w:t>
      </w:r>
      <w:r w:rsidR="00AC1A3E">
        <w:t xml:space="preserve">) </w:t>
      </w:r>
      <w:r>
        <w:t xml:space="preserve">for a </w:t>
      </w:r>
      <w:r w:rsidR="00AC1A3E">
        <w:t xml:space="preserve">diagram of the </w:t>
      </w:r>
      <w:r>
        <w:t xml:space="preserve">manner </w:t>
      </w:r>
      <w:r w:rsidR="00AC1A3E">
        <w:t xml:space="preserve">in which PSE calculates its peak and average allocation factor.  </w:t>
      </w:r>
      <w:r>
        <w:t>Please n</w:t>
      </w:r>
      <w:r w:rsidR="00AC1A3E">
        <w:t>ote also that, unlike the Tacoma LNG Facility costs</w:t>
      </w:r>
      <w:r>
        <w:t xml:space="preserve"> allocated to regulated operations</w:t>
      </w:r>
      <w:r w:rsidR="00AC1A3E">
        <w:t xml:space="preserve">, </w:t>
      </w:r>
      <w:r>
        <w:t>PSE allocated</w:t>
      </w:r>
      <w:r w:rsidR="00C94323">
        <w:t xml:space="preserve"> natural</w:t>
      </w:r>
      <w:r>
        <w:t xml:space="preserve"> </w:t>
      </w:r>
      <w:r w:rsidR="00AC1A3E">
        <w:t xml:space="preserve">gas transportation customers a portion of the associated </w:t>
      </w:r>
      <w:r w:rsidR="00C94323">
        <w:t xml:space="preserve">natural </w:t>
      </w:r>
      <w:r w:rsidR="00AC1A3E">
        <w:t xml:space="preserve">gas distribution </w:t>
      </w:r>
      <w:r>
        <w:t>s</w:t>
      </w:r>
      <w:r w:rsidR="00C94323">
        <w:t>y</w:t>
      </w:r>
      <w:r>
        <w:t xml:space="preserve">stem upgrades because </w:t>
      </w:r>
      <w:r w:rsidR="00AC1A3E">
        <w:t xml:space="preserve">sales and transportation customers both receive </w:t>
      </w:r>
      <w:r w:rsidR="00C94323">
        <w:t xml:space="preserve">natural </w:t>
      </w:r>
      <w:r w:rsidR="00AC1A3E">
        <w:t>gas distribution service from PSE.</w:t>
      </w:r>
    </w:p>
    <w:p w:rsidR="00AC1A3E" w:rsidRDefault="00DE20C4" w:rsidP="00F85CB7">
      <w:pPr>
        <w:pStyle w:val="answer"/>
        <w:ind w:firstLine="0"/>
      </w:pPr>
      <w:r>
        <w:t>PSE allocated o</w:t>
      </w:r>
      <w:r w:rsidR="00AC1A3E">
        <w:t xml:space="preserve">ther indirect and overhead costs </w:t>
      </w:r>
      <w:r>
        <w:t xml:space="preserve">associated with regulated operations in a manner </w:t>
      </w:r>
      <w:r w:rsidR="00AC1A3E">
        <w:t>consistent with PSE’s gas cost of service model in the 2011</w:t>
      </w:r>
      <w:r>
        <w:t> </w:t>
      </w:r>
      <w:r w:rsidR="00AC1A3E">
        <w:t>GRC, most commonly in relation to allocat</w:t>
      </w:r>
      <w:r>
        <w:t>ed O&amp;M labor or related plant.</w:t>
      </w:r>
    </w:p>
    <w:p w:rsidR="005F78D4" w:rsidRDefault="005F78D4" w:rsidP="005F78D4">
      <w:pPr>
        <w:pStyle w:val="question"/>
        <w:keepNext/>
        <w:spacing w:before="120"/>
      </w:pPr>
      <w:r>
        <w:t>Q.</w:t>
      </w:r>
      <w:r>
        <w:tab/>
        <w:t xml:space="preserve">Would TOTE also contribute to costs recovered outside of </w:t>
      </w:r>
      <w:r w:rsidR="0097626A">
        <w:t xml:space="preserve">GRC </w:t>
      </w:r>
      <w:r>
        <w:t>base rates, like PSE’s property taxes?</w:t>
      </w:r>
    </w:p>
    <w:p w:rsidR="005F78D4" w:rsidRDefault="005F78D4" w:rsidP="005F78D4">
      <w:pPr>
        <w:pStyle w:val="answer"/>
      </w:pPr>
      <w:r>
        <w:t>A.</w:t>
      </w:r>
      <w:r>
        <w:tab/>
        <w:t>Yes.</w:t>
      </w:r>
    </w:p>
    <w:p w:rsidR="005F78D4" w:rsidRDefault="005F78D4" w:rsidP="005F78D4">
      <w:pPr>
        <w:pStyle w:val="question"/>
        <w:keepNext/>
        <w:spacing w:before="120"/>
      </w:pPr>
      <w:r>
        <w:t>Q.</w:t>
      </w:r>
      <w:r>
        <w:tab/>
        <w:t>How did PSE allocate incremental property tax expenses associated with regulated operations of the Tacoma LNG Project?</w:t>
      </w:r>
    </w:p>
    <w:p w:rsidR="005F78D4" w:rsidRDefault="005F78D4" w:rsidP="005F78D4">
      <w:pPr>
        <w:pStyle w:val="answer"/>
      </w:pPr>
      <w:r>
        <w:t>A.</w:t>
      </w:r>
      <w:r>
        <w:tab/>
        <w:t xml:space="preserve">PSE recovers property tax expenses through a rate </w:t>
      </w:r>
      <w:r w:rsidR="00D12099">
        <w:t>tracker</w:t>
      </w:r>
      <w:r>
        <w:t xml:space="preserve">, Schedule 140, and allocates these expenses on the basis of relative plant.  For purposes of the analysis presented here, the property taxes currently being recovered under PSE’s natural gas Schedule 140 were used as the “baseline.” PSE added and then allocated the projected incremental property taxes associated with regulated operations of the Tacoma LNG </w:t>
      </w:r>
      <w:r w:rsidR="00D961A6">
        <w:t xml:space="preserve">Project </w:t>
      </w:r>
      <w:r>
        <w:t>to these amounts to project the impacts.</w:t>
      </w:r>
    </w:p>
    <w:p w:rsidR="005F78D4" w:rsidRDefault="005F78D4" w:rsidP="005F78D4">
      <w:pPr>
        <w:pStyle w:val="question"/>
        <w:keepNext/>
        <w:spacing w:before="120"/>
      </w:pPr>
      <w:r>
        <w:t>Q.</w:t>
      </w:r>
      <w:r>
        <w:tab/>
        <w:t>What is the resulting allocation of property tax expenses</w:t>
      </w:r>
      <w:r w:rsidRPr="00B3366B">
        <w:t xml:space="preserve"> </w:t>
      </w:r>
      <w:r>
        <w:t>associated with regulated operations of the Tacoma LNG Project?</w:t>
      </w:r>
    </w:p>
    <w:p w:rsidR="005F78D4" w:rsidRDefault="005F78D4" w:rsidP="005F78D4">
      <w:pPr>
        <w:pStyle w:val="answer"/>
      </w:pPr>
      <w:r>
        <w:t>A.</w:t>
      </w:r>
      <w:r>
        <w:tab/>
        <w:t>Please see  below for the resulting allocation of property tax expenses</w:t>
      </w:r>
      <w:r w:rsidRPr="00B3366B">
        <w:t xml:space="preserve"> </w:t>
      </w:r>
      <w:r>
        <w:t xml:space="preserve">associated with regulated operations of the Tacoma LNG Project under scenarios where the </w:t>
      </w:r>
      <w:r w:rsidR="004D59BE">
        <w:t xml:space="preserve">non-regulated </w:t>
      </w:r>
      <w:r>
        <w:t xml:space="preserve">portion of the Tacoma LNG Facility is </w:t>
      </w:r>
      <w:r w:rsidR="0097626A">
        <w:t>un</w:t>
      </w:r>
      <w:r>
        <w:t>subscribed and, alternatively, where it is 100</w:t>
      </w:r>
      <w:r w:rsidR="009C51A2">
        <w:t xml:space="preserve"> percent</w:t>
      </w:r>
      <w:r>
        <w:t xml:space="preserve"> subscribed.</w:t>
      </w:r>
    </w:p>
    <w:p w:rsidR="005F78D4" w:rsidRPr="00B3366B" w:rsidRDefault="005F78D4" w:rsidP="005F78D4">
      <w:pPr>
        <w:keepNext/>
        <w:spacing w:before="120" w:after="120" w:line="240" w:lineRule="exact"/>
        <w:jc w:val="center"/>
        <w:rPr>
          <w:b/>
          <w:bCs/>
        </w:rPr>
      </w:pPr>
      <w:r w:rsidRPr="00B3366B">
        <w:rPr>
          <w:b/>
          <w:bCs/>
        </w:rPr>
        <w:t xml:space="preserve">Table </w:t>
      </w:r>
      <w:r w:rsidRPr="00B3366B">
        <w:rPr>
          <w:b/>
          <w:bCs/>
        </w:rPr>
        <w:fldChar w:fldCharType="begin"/>
      </w:r>
      <w:r w:rsidRPr="00B3366B">
        <w:rPr>
          <w:b/>
          <w:bCs/>
        </w:rPr>
        <w:instrText xml:space="preserve"> SEQ Table \* ARABIC </w:instrText>
      </w:r>
      <w:r w:rsidRPr="00B3366B">
        <w:rPr>
          <w:b/>
          <w:bCs/>
        </w:rPr>
        <w:fldChar w:fldCharType="separate"/>
      </w:r>
      <w:r w:rsidR="003E12C1">
        <w:rPr>
          <w:b/>
          <w:bCs/>
          <w:noProof/>
        </w:rPr>
        <w:t>2</w:t>
      </w:r>
      <w:r w:rsidRPr="00B3366B">
        <w:rPr>
          <w:b/>
          <w:bCs/>
        </w:rPr>
        <w:fldChar w:fldCharType="end"/>
      </w:r>
      <w:r w:rsidRPr="00B3366B">
        <w:rPr>
          <w:b/>
          <w:bCs/>
        </w:rPr>
        <w:t xml:space="preserve"> - Allocation of </w:t>
      </w:r>
      <w:r w:rsidR="00D961A6">
        <w:rPr>
          <w:b/>
          <w:bCs/>
        </w:rPr>
        <w:t xml:space="preserve">Baseline and Incremental </w:t>
      </w:r>
      <w:r w:rsidRPr="00B3366B">
        <w:rPr>
          <w:b/>
          <w:bCs/>
        </w:rPr>
        <w:t>PSE Property Taxes</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84"/>
        <w:gridCol w:w="1710"/>
        <w:gridCol w:w="1793"/>
      </w:tblGrid>
      <w:tr w:rsidR="005F78D4" w:rsidRPr="00B1063F" w:rsidTr="00DD2B4E">
        <w:trPr>
          <w:cantSplit/>
          <w:trHeight w:val="802"/>
          <w:jc w:val="center"/>
        </w:trPr>
        <w:tc>
          <w:tcPr>
            <w:tcW w:w="4584" w:type="dxa"/>
            <w:shd w:val="clear" w:color="auto" w:fill="C0C0C0"/>
            <w:vAlign w:val="center"/>
          </w:tcPr>
          <w:p w:rsidR="005F78D4" w:rsidRPr="00B1063F" w:rsidRDefault="005F78D4" w:rsidP="00DD2B4E">
            <w:pPr>
              <w:keepNext/>
              <w:spacing w:before="60" w:after="60"/>
              <w:jc w:val="center"/>
              <w:rPr>
                <w:rFonts w:eastAsia="SimSun"/>
                <w:b/>
                <w:sz w:val="20"/>
                <w:szCs w:val="20"/>
                <w:lang w:eastAsia="zh-CN"/>
              </w:rPr>
            </w:pPr>
            <w:r w:rsidRPr="00B1063F">
              <w:rPr>
                <w:rFonts w:eastAsia="SimSun"/>
                <w:b/>
                <w:sz w:val="20"/>
                <w:szCs w:val="20"/>
                <w:lang w:eastAsia="zh-CN"/>
              </w:rPr>
              <w:t>Rate Group</w:t>
            </w:r>
          </w:p>
        </w:tc>
        <w:tc>
          <w:tcPr>
            <w:tcW w:w="1710" w:type="dxa"/>
            <w:shd w:val="clear" w:color="auto" w:fill="C0C0C0"/>
            <w:vAlign w:val="center"/>
          </w:tcPr>
          <w:p w:rsidR="005F78D4" w:rsidRPr="00B1063F" w:rsidRDefault="005F78D4" w:rsidP="00DD2B4E">
            <w:pPr>
              <w:keepNext/>
              <w:spacing w:before="60" w:after="60"/>
              <w:jc w:val="center"/>
              <w:rPr>
                <w:rFonts w:eastAsia="SimSun"/>
                <w:b/>
                <w:sz w:val="20"/>
                <w:szCs w:val="20"/>
                <w:lang w:eastAsia="zh-CN"/>
              </w:rPr>
            </w:pPr>
            <w:r w:rsidRPr="00B1063F">
              <w:rPr>
                <w:rFonts w:eastAsia="SimSun"/>
                <w:b/>
                <w:sz w:val="20"/>
                <w:szCs w:val="20"/>
                <w:lang w:eastAsia="zh-CN"/>
              </w:rPr>
              <w:t>0% Subscribed</w:t>
            </w:r>
          </w:p>
        </w:tc>
        <w:tc>
          <w:tcPr>
            <w:tcW w:w="1793" w:type="dxa"/>
            <w:shd w:val="clear" w:color="auto" w:fill="C0C0C0"/>
            <w:vAlign w:val="center"/>
          </w:tcPr>
          <w:p w:rsidR="005F78D4" w:rsidRPr="00B1063F" w:rsidRDefault="005F78D4" w:rsidP="00DD2B4E">
            <w:pPr>
              <w:keepNext/>
              <w:spacing w:before="60" w:after="60"/>
              <w:jc w:val="center"/>
              <w:rPr>
                <w:rFonts w:eastAsia="SimSun"/>
                <w:b/>
                <w:sz w:val="20"/>
                <w:szCs w:val="20"/>
                <w:lang w:eastAsia="zh-CN"/>
              </w:rPr>
            </w:pPr>
            <w:r w:rsidRPr="00B1063F">
              <w:rPr>
                <w:rFonts w:eastAsia="SimSun"/>
                <w:b/>
                <w:sz w:val="20"/>
                <w:szCs w:val="20"/>
                <w:lang w:eastAsia="zh-CN"/>
              </w:rPr>
              <w:t>100% Subscribed</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Residential (Schedules 23, 16, 53)</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sz w:val="20"/>
                <w:szCs w:val="20"/>
              </w:rPr>
              <w:t>$18,</w:t>
            </w:r>
            <w:r w:rsidR="00012397" w:rsidRPr="00B1063F">
              <w:rPr>
                <w:sz w:val="20"/>
                <w:szCs w:val="20"/>
              </w:rPr>
              <w:t>301,949</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$18,245,902</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Commercial &amp; Industrial (Schedules 31, 61)</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sz w:val="20"/>
                <w:szCs w:val="20"/>
              </w:rPr>
              <w:t>6,161,</w:t>
            </w:r>
            <w:r w:rsidR="00012397" w:rsidRPr="00B1063F">
              <w:rPr>
                <w:sz w:val="20"/>
                <w:szCs w:val="20"/>
              </w:rPr>
              <w:t>130</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6,151,552</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Large Volume (Schedule 41)</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sz w:val="20"/>
                <w:szCs w:val="20"/>
              </w:rPr>
              <w:t>8</w:t>
            </w:r>
            <w:r w:rsidR="00012397" w:rsidRPr="00B1063F">
              <w:rPr>
                <w:sz w:val="20"/>
                <w:szCs w:val="20"/>
              </w:rPr>
              <w:t>53,277</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853,666</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Interruptible (Schedule 85)</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sz w:val="20"/>
                <w:szCs w:val="20"/>
              </w:rPr>
              <w:t>8</w:t>
            </w:r>
            <w:r w:rsidR="00012397" w:rsidRPr="00B1063F">
              <w:rPr>
                <w:sz w:val="20"/>
                <w:szCs w:val="20"/>
              </w:rPr>
              <w:t>9,263</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89,939</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Limited Interruptible (Schedule 86)</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sz w:val="20"/>
                <w:szCs w:val="20"/>
              </w:rPr>
              <w:t>8</w:t>
            </w:r>
            <w:r w:rsidR="00012397" w:rsidRPr="00B1063F">
              <w:rPr>
                <w:sz w:val="20"/>
                <w:szCs w:val="20"/>
              </w:rPr>
              <w:t>9,145</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89,878</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 xml:space="preserve">Non-exclusive Interruptible (Schedule 87) </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sz w:val="20"/>
                <w:szCs w:val="20"/>
              </w:rPr>
              <w:t>5</w:t>
            </w:r>
            <w:r w:rsidR="00012397" w:rsidRPr="00B1063F">
              <w:rPr>
                <w:sz w:val="20"/>
                <w:szCs w:val="20"/>
              </w:rPr>
              <w:t>6,949</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56,950</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Total Sales Schedules</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sz w:val="20"/>
                <w:szCs w:val="20"/>
              </w:rPr>
              <w:t>$25,5</w:t>
            </w:r>
            <w:r w:rsidR="00012397" w:rsidRPr="00B1063F">
              <w:rPr>
                <w:sz w:val="20"/>
                <w:szCs w:val="20"/>
              </w:rPr>
              <w:t>59,712</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$25,487,887</w:t>
            </w:r>
          </w:p>
        </w:tc>
      </w:tr>
      <w:tr w:rsidR="005F78D4" w:rsidRPr="00B1063F" w:rsidTr="00DD2B4E">
        <w:trPr>
          <w:cantSplit/>
          <w:jc w:val="center"/>
        </w:trPr>
        <w:tc>
          <w:tcPr>
            <w:tcW w:w="4584" w:type="dxa"/>
            <w:vAlign w:val="bottom"/>
          </w:tcPr>
          <w:p w:rsidR="005F78D4" w:rsidRPr="00B1063F" w:rsidRDefault="005F78D4" w:rsidP="00DD2B4E">
            <w:pPr>
              <w:keepNext/>
              <w:spacing w:before="60" w:after="60"/>
              <w:rPr>
                <w:rFonts w:eastAsia="SimSun"/>
                <w:sz w:val="20"/>
                <w:szCs w:val="20"/>
                <w:lang w:eastAsia="zh-CN"/>
              </w:rPr>
            </w:pPr>
          </w:p>
        </w:tc>
        <w:tc>
          <w:tcPr>
            <w:tcW w:w="1710" w:type="dxa"/>
            <w:vAlign w:val="bottom"/>
          </w:tcPr>
          <w:p w:rsidR="005F78D4" w:rsidRPr="00B1063F" w:rsidRDefault="005F78D4" w:rsidP="00DD2B4E">
            <w:pPr>
              <w:keepNext/>
              <w:spacing w:before="60" w:after="60"/>
              <w:ind w:right="65"/>
              <w:jc w:val="right"/>
              <w:rPr>
                <w:rFonts w:eastAsia="SimSun"/>
                <w:sz w:val="20"/>
                <w:szCs w:val="20"/>
                <w:lang w:eastAsia="zh-CN"/>
              </w:rPr>
            </w:pPr>
          </w:p>
        </w:tc>
        <w:tc>
          <w:tcPr>
            <w:tcW w:w="1793" w:type="dxa"/>
            <w:vAlign w:val="bottom"/>
          </w:tcPr>
          <w:p w:rsidR="005F78D4" w:rsidRPr="00B1063F" w:rsidRDefault="005F78D4" w:rsidP="00DD2B4E">
            <w:pPr>
              <w:keepNext/>
              <w:spacing w:before="60" w:after="60"/>
              <w:ind w:right="65"/>
              <w:jc w:val="right"/>
              <w:rPr>
                <w:rFonts w:eastAsia="SimSun"/>
                <w:sz w:val="20"/>
                <w:szCs w:val="20"/>
                <w:lang w:eastAsia="zh-CN"/>
              </w:rPr>
            </w:pP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Large Volume (Schedule 41T)</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$14</w:t>
            </w:r>
            <w:r w:rsidR="00012397" w:rsidRPr="00B1063F">
              <w:rPr>
                <w:color w:val="000000"/>
                <w:sz w:val="20"/>
                <w:szCs w:val="20"/>
              </w:rPr>
              <w:t>1,302</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$141,310</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Interruptible (Schedule 85T)</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3</w:t>
            </w:r>
            <w:r w:rsidR="00012397" w:rsidRPr="00B1063F">
              <w:rPr>
                <w:color w:val="000000"/>
                <w:sz w:val="20"/>
                <w:szCs w:val="20"/>
              </w:rPr>
              <w:t>84,017</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387,193</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Limited Interruptible (Schedule 86T)</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9</w:t>
            </w:r>
            <w:r w:rsidR="00012397" w:rsidRPr="00B1063F">
              <w:rPr>
                <w:color w:val="000000"/>
                <w:sz w:val="20"/>
                <w:szCs w:val="20"/>
              </w:rPr>
              <w:t>61</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977</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 xml:space="preserve">Non-exclusive Interruptible (Schedule 87T) </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19</w:t>
            </w:r>
            <w:r w:rsidR="00012397" w:rsidRPr="00B1063F">
              <w:rPr>
                <w:color w:val="000000"/>
                <w:sz w:val="20"/>
                <w:szCs w:val="20"/>
              </w:rPr>
              <w:t>5,147</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194,789</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 xml:space="preserve">Special Contracts </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11</w:t>
            </w:r>
            <w:r w:rsidR="00012397" w:rsidRPr="00B1063F">
              <w:rPr>
                <w:color w:val="000000"/>
                <w:sz w:val="20"/>
                <w:szCs w:val="20"/>
              </w:rPr>
              <w:t>2,472</w:t>
            </w:r>
          </w:p>
        </w:tc>
        <w:tc>
          <w:tcPr>
            <w:tcW w:w="1793" w:type="dxa"/>
            <w:vAlign w:val="bottom"/>
          </w:tcPr>
          <w:p w:rsidR="006D6FB9" w:rsidRPr="00B1063F" w:rsidRDefault="006D6FB9" w:rsidP="00DD2B4E">
            <w:pPr>
              <w:keepNext/>
              <w:spacing w:before="60" w:after="60"/>
              <w:ind w:right="65"/>
              <w:jc w:val="right"/>
              <w:rPr>
                <w:color w:val="000000"/>
                <w:sz w:val="20"/>
                <w:szCs w:val="20"/>
              </w:rPr>
            </w:pPr>
            <w:r w:rsidRPr="00B1063F">
              <w:rPr>
                <w:color w:val="000000"/>
                <w:sz w:val="20"/>
                <w:szCs w:val="20"/>
              </w:rPr>
              <w:t>112,120</w:t>
            </w:r>
          </w:p>
        </w:tc>
      </w:tr>
      <w:tr w:rsidR="006D6FB9" w:rsidRPr="00B1063F" w:rsidTr="00DD2B4E">
        <w:trPr>
          <w:cantSplit/>
          <w:jc w:val="center"/>
        </w:trPr>
        <w:tc>
          <w:tcPr>
            <w:tcW w:w="4584" w:type="dxa"/>
            <w:vAlign w:val="bottom"/>
          </w:tcPr>
          <w:p w:rsidR="006D6FB9" w:rsidRPr="00B1063F" w:rsidRDefault="006D6FB9" w:rsidP="00DD2B4E">
            <w:pPr>
              <w:spacing w:before="60" w:after="60"/>
              <w:rPr>
                <w:rFonts w:eastAsia="SimSun"/>
                <w:sz w:val="20"/>
                <w:szCs w:val="20"/>
                <w:lang w:eastAsia="zh-CN"/>
              </w:rPr>
            </w:pPr>
            <w:r w:rsidRPr="00B1063F">
              <w:rPr>
                <w:rFonts w:eastAsia="SimSun"/>
                <w:sz w:val="20"/>
                <w:szCs w:val="20"/>
                <w:lang w:eastAsia="zh-CN"/>
              </w:rPr>
              <w:t>Total Transportation Schedules</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$8</w:t>
            </w:r>
            <w:r w:rsidR="00012397" w:rsidRPr="00B1063F">
              <w:rPr>
                <w:color w:val="000000"/>
                <w:sz w:val="20"/>
                <w:szCs w:val="20"/>
              </w:rPr>
              <w:t>33,899</w:t>
            </w:r>
          </w:p>
        </w:tc>
        <w:tc>
          <w:tcPr>
            <w:tcW w:w="1793" w:type="dxa"/>
            <w:vAlign w:val="bottom"/>
          </w:tcPr>
          <w:p w:rsidR="006D6FB9" w:rsidRPr="00B1063F" w:rsidRDefault="00CC588C" w:rsidP="00CC588C">
            <w:pPr>
              <w:keepNext/>
              <w:spacing w:before="60" w:after="60"/>
              <w:ind w:right="65"/>
              <w:jc w:val="right"/>
              <w:rPr>
                <w:color w:val="000000"/>
                <w:sz w:val="20"/>
                <w:szCs w:val="20"/>
              </w:rPr>
            </w:pPr>
            <w:r w:rsidRPr="00B1063F">
              <w:rPr>
                <w:color w:val="000000"/>
                <w:sz w:val="20"/>
                <w:szCs w:val="20"/>
              </w:rPr>
              <w:t>$836,389</w:t>
            </w:r>
          </w:p>
        </w:tc>
      </w:tr>
      <w:tr w:rsidR="006D6FB9" w:rsidRPr="00B1063F" w:rsidTr="00DD2B4E">
        <w:trPr>
          <w:cantSplit/>
          <w:jc w:val="center"/>
        </w:trPr>
        <w:tc>
          <w:tcPr>
            <w:tcW w:w="4584" w:type="dxa"/>
            <w:vAlign w:val="bottom"/>
          </w:tcPr>
          <w:p w:rsidR="006D6FB9" w:rsidRPr="00B1063F" w:rsidRDefault="006D6FB9" w:rsidP="00DD2B4E">
            <w:pPr>
              <w:spacing w:before="60" w:after="60"/>
              <w:rPr>
                <w:rFonts w:eastAsia="SimSun"/>
                <w:sz w:val="20"/>
                <w:szCs w:val="20"/>
                <w:lang w:eastAsia="zh-CN"/>
              </w:rPr>
            </w:pP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p>
        </w:tc>
        <w:tc>
          <w:tcPr>
            <w:tcW w:w="1793" w:type="dxa"/>
            <w:vAlign w:val="bottom"/>
          </w:tcPr>
          <w:p w:rsidR="006D6FB9" w:rsidRPr="00B1063F" w:rsidRDefault="006D6FB9" w:rsidP="00DD2B4E">
            <w:pPr>
              <w:keepNext/>
              <w:spacing w:before="60" w:after="60"/>
              <w:ind w:right="65"/>
              <w:jc w:val="right"/>
              <w:rPr>
                <w:color w:val="000000"/>
                <w:sz w:val="20"/>
                <w:szCs w:val="20"/>
              </w:rPr>
            </w:pPr>
          </w:p>
        </w:tc>
      </w:tr>
      <w:tr w:rsidR="006D6FB9" w:rsidRPr="00B1063F" w:rsidTr="00DD2B4E">
        <w:trPr>
          <w:cantSplit/>
          <w:jc w:val="center"/>
        </w:trPr>
        <w:tc>
          <w:tcPr>
            <w:tcW w:w="4584" w:type="dxa"/>
            <w:vAlign w:val="bottom"/>
          </w:tcPr>
          <w:p w:rsidR="006D6FB9" w:rsidRPr="00B1063F" w:rsidRDefault="006D6FB9" w:rsidP="00DD2B4E">
            <w:pPr>
              <w:spacing w:before="60" w:after="60"/>
              <w:rPr>
                <w:rFonts w:eastAsia="SimSun"/>
                <w:sz w:val="20"/>
                <w:szCs w:val="20"/>
                <w:lang w:eastAsia="zh-CN"/>
              </w:rPr>
            </w:pPr>
            <w:r w:rsidRPr="00B1063F">
              <w:rPr>
                <w:rFonts w:eastAsia="SimSun"/>
                <w:sz w:val="20"/>
                <w:szCs w:val="20"/>
                <w:lang w:eastAsia="zh-CN"/>
              </w:rPr>
              <w:t>Rentals (Schedules 71, 72, 74)</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$255,771</w:t>
            </w:r>
          </w:p>
        </w:tc>
        <w:tc>
          <w:tcPr>
            <w:tcW w:w="1793" w:type="dxa"/>
            <w:vAlign w:val="bottom"/>
          </w:tcPr>
          <w:p w:rsidR="006D6FB9" w:rsidRPr="00B1063F" w:rsidRDefault="00CC588C" w:rsidP="00CC588C">
            <w:pPr>
              <w:keepNext/>
              <w:spacing w:before="60" w:after="60"/>
              <w:ind w:right="65"/>
              <w:jc w:val="right"/>
              <w:rPr>
                <w:color w:val="000000"/>
                <w:sz w:val="20"/>
                <w:szCs w:val="20"/>
              </w:rPr>
            </w:pPr>
            <w:r w:rsidRPr="00B1063F">
              <w:rPr>
                <w:color w:val="000000"/>
                <w:sz w:val="20"/>
                <w:szCs w:val="20"/>
              </w:rPr>
              <w:t>$255,771</w:t>
            </w:r>
          </w:p>
        </w:tc>
      </w:tr>
      <w:tr w:rsidR="005F78D4" w:rsidRPr="00B1063F" w:rsidTr="00DD2B4E">
        <w:trPr>
          <w:cantSplit/>
          <w:jc w:val="center"/>
        </w:trPr>
        <w:tc>
          <w:tcPr>
            <w:tcW w:w="4584" w:type="dxa"/>
            <w:vAlign w:val="bottom"/>
          </w:tcPr>
          <w:p w:rsidR="005F78D4" w:rsidRPr="00B1063F" w:rsidRDefault="005F78D4" w:rsidP="00DD2B4E">
            <w:pPr>
              <w:spacing w:before="60" w:after="60"/>
              <w:rPr>
                <w:rFonts w:eastAsia="SimSun"/>
                <w:sz w:val="20"/>
                <w:szCs w:val="20"/>
                <w:lang w:eastAsia="zh-CN"/>
              </w:rPr>
            </w:pPr>
          </w:p>
        </w:tc>
        <w:tc>
          <w:tcPr>
            <w:tcW w:w="1710" w:type="dxa"/>
            <w:vAlign w:val="bottom"/>
          </w:tcPr>
          <w:p w:rsidR="005F78D4" w:rsidRPr="00B1063F" w:rsidRDefault="005F78D4" w:rsidP="00DD2B4E">
            <w:pPr>
              <w:keepNext/>
              <w:spacing w:before="60" w:after="60"/>
              <w:ind w:right="65"/>
              <w:jc w:val="right"/>
              <w:rPr>
                <w:color w:val="000000"/>
                <w:sz w:val="20"/>
                <w:szCs w:val="20"/>
              </w:rPr>
            </w:pPr>
          </w:p>
        </w:tc>
        <w:tc>
          <w:tcPr>
            <w:tcW w:w="1793" w:type="dxa"/>
            <w:vAlign w:val="bottom"/>
          </w:tcPr>
          <w:p w:rsidR="005F78D4" w:rsidRPr="00B1063F" w:rsidRDefault="005F78D4" w:rsidP="00DD2B4E">
            <w:pPr>
              <w:keepNext/>
              <w:spacing w:before="60" w:after="60"/>
              <w:ind w:right="65"/>
              <w:jc w:val="right"/>
              <w:rPr>
                <w:color w:val="000000"/>
                <w:sz w:val="20"/>
                <w:szCs w:val="20"/>
              </w:rPr>
            </w:pPr>
          </w:p>
        </w:tc>
      </w:tr>
      <w:tr w:rsidR="006D6FB9" w:rsidRPr="00B1063F" w:rsidTr="00DD2B4E">
        <w:trPr>
          <w:cantSplit/>
          <w:jc w:val="center"/>
        </w:trPr>
        <w:tc>
          <w:tcPr>
            <w:tcW w:w="4584" w:type="dxa"/>
            <w:vAlign w:val="bottom"/>
          </w:tcPr>
          <w:p w:rsidR="006D6FB9" w:rsidRPr="00B1063F" w:rsidRDefault="006D6FB9" w:rsidP="00DD2B4E">
            <w:pPr>
              <w:spacing w:before="60" w:after="60"/>
              <w:rPr>
                <w:rFonts w:eastAsia="SimSun"/>
                <w:sz w:val="20"/>
                <w:szCs w:val="20"/>
                <w:lang w:eastAsia="zh-CN"/>
              </w:rPr>
            </w:pPr>
            <w:r w:rsidRPr="00B1063F">
              <w:rPr>
                <w:rFonts w:eastAsia="SimSun"/>
                <w:sz w:val="20"/>
                <w:szCs w:val="20"/>
                <w:lang w:eastAsia="zh-CN"/>
              </w:rPr>
              <w:t>Total Core Customers</w:t>
            </w:r>
          </w:p>
        </w:tc>
        <w:tc>
          <w:tcPr>
            <w:tcW w:w="1710" w:type="dxa"/>
            <w:vAlign w:val="bottom"/>
          </w:tcPr>
          <w:p w:rsidR="006D6FB9" w:rsidRPr="00B1063F" w:rsidRDefault="006D6FB9" w:rsidP="006D6FB9">
            <w:pPr>
              <w:keepNext/>
              <w:spacing w:before="60" w:after="60"/>
              <w:ind w:right="65"/>
              <w:jc w:val="right"/>
              <w:rPr>
                <w:color w:val="000000"/>
                <w:sz w:val="20"/>
                <w:szCs w:val="20"/>
              </w:rPr>
            </w:pPr>
            <w:r w:rsidRPr="00B1063F">
              <w:rPr>
                <w:color w:val="000000"/>
                <w:sz w:val="20"/>
                <w:szCs w:val="20"/>
              </w:rPr>
              <w:t>$26,6</w:t>
            </w:r>
            <w:r w:rsidR="00012397" w:rsidRPr="00B1063F">
              <w:rPr>
                <w:color w:val="000000"/>
                <w:sz w:val="20"/>
                <w:szCs w:val="20"/>
              </w:rPr>
              <w:t>49,382</w:t>
            </w:r>
          </w:p>
        </w:tc>
        <w:tc>
          <w:tcPr>
            <w:tcW w:w="1793" w:type="dxa"/>
            <w:vAlign w:val="bottom"/>
          </w:tcPr>
          <w:p w:rsidR="006D6FB9" w:rsidRPr="00B1063F" w:rsidRDefault="00CC588C" w:rsidP="00CC588C">
            <w:pPr>
              <w:keepNext/>
              <w:spacing w:before="60" w:after="60"/>
              <w:ind w:right="65"/>
              <w:jc w:val="right"/>
              <w:rPr>
                <w:color w:val="000000"/>
                <w:sz w:val="20"/>
                <w:szCs w:val="20"/>
              </w:rPr>
            </w:pPr>
            <w:r w:rsidRPr="00B1063F">
              <w:rPr>
                <w:color w:val="000000"/>
                <w:sz w:val="20"/>
                <w:szCs w:val="20"/>
              </w:rPr>
              <w:t>$26,580,047</w:t>
            </w:r>
          </w:p>
        </w:tc>
      </w:tr>
      <w:tr w:rsidR="006D6FB9" w:rsidRPr="00B1063F" w:rsidTr="00DD2B4E">
        <w:trPr>
          <w:cantSplit/>
          <w:jc w:val="center"/>
        </w:trPr>
        <w:tc>
          <w:tcPr>
            <w:tcW w:w="4584" w:type="dxa"/>
            <w:vAlign w:val="bottom"/>
          </w:tcPr>
          <w:p w:rsidR="006D6FB9" w:rsidRPr="00B1063F" w:rsidRDefault="006D6FB9" w:rsidP="00DD2B4E">
            <w:pPr>
              <w:spacing w:before="60" w:after="60"/>
              <w:rPr>
                <w:rFonts w:eastAsia="SimSun"/>
                <w:sz w:val="20"/>
                <w:szCs w:val="20"/>
                <w:lang w:eastAsia="zh-CN"/>
              </w:rPr>
            </w:pPr>
          </w:p>
        </w:tc>
        <w:tc>
          <w:tcPr>
            <w:tcW w:w="1710" w:type="dxa"/>
            <w:vAlign w:val="bottom"/>
          </w:tcPr>
          <w:p w:rsidR="006D6FB9" w:rsidRPr="00B1063F" w:rsidRDefault="006D6FB9" w:rsidP="006D6FB9">
            <w:pPr>
              <w:keepNext/>
              <w:spacing w:before="60" w:after="60"/>
              <w:ind w:right="65"/>
              <w:jc w:val="right"/>
              <w:rPr>
                <w:color w:val="000000"/>
                <w:sz w:val="20"/>
                <w:szCs w:val="20"/>
              </w:rPr>
            </w:pPr>
          </w:p>
        </w:tc>
        <w:tc>
          <w:tcPr>
            <w:tcW w:w="1793" w:type="dxa"/>
            <w:vAlign w:val="bottom"/>
          </w:tcPr>
          <w:p w:rsidR="006D6FB9" w:rsidRPr="00B1063F" w:rsidRDefault="006D6FB9" w:rsidP="00DD2B4E">
            <w:pPr>
              <w:keepNext/>
              <w:spacing w:before="60" w:after="60"/>
              <w:ind w:right="65"/>
              <w:jc w:val="right"/>
              <w:rPr>
                <w:color w:val="000000"/>
                <w:sz w:val="20"/>
                <w:szCs w:val="20"/>
              </w:rPr>
            </w:pPr>
          </w:p>
        </w:tc>
      </w:tr>
      <w:tr w:rsidR="005F78D4" w:rsidRPr="00B1063F" w:rsidTr="00DD2B4E">
        <w:trPr>
          <w:cantSplit/>
          <w:jc w:val="center"/>
        </w:trPr>
        <w:tc>
          <w:tcPr>
            <w:tcW w:w="4584" w:type="dxa"/>
            <w:vAlign w:val="bottom"/>
          </w:tcPr>
          <w:p w:rsidR="005F78D4" w:rsidRPr="00B1063F" w:rsidRDefault="005F78D4" w:rsidP="00DD2B4E">
            <w:pPr>
              <w:spacing w:before="60" w:after="60"/>
              <w:rPr>
                <w:rFonts w:eastAsia="SimSun"/>
                <w:sz w:val="20"/>
                <w:szCs w:val="20"/>
                <w:lang w:eastAsia="zh-CN"/>
              </w:rPr>
            </w:pPr>
            <w:r w:rsidRPr="00B1063F">
              <w:rPr>
                <w:rFonts w:eastAsia="SimSun"/>
                <w:sz w:val="20"/>
                <w:szCs w:val="20"/>
                <w:lang w:eastAsia="zh-CN"/>
              </w:rPr>
              <w:t xml:space="preserve">TOTE </w:t>
            </w:r>
            <w:r w:rsidR="004D59BE">
              <w:rPr>
                <w:rFonts w:eastAsia="SimSun"/>
                <w:sz w:val="20"/>
                <w:szCs w:val="20"/>
                <w:lang w:eastAsia="zh-CN"/>
              </w:rPr>
              <w:t xml:space="preserve">Special </w:t>
            </w:r>
            <w:r w:rsidRPr="00B1063F">
              <w:rPr>
                <w:rFonts w:eastAsia="SimSun"/>
                <w:sz w:val="20"/>
                <w:szCs w:val="20"/>
                <w:lang w:eastAsia="zh-CN"/>
              </w:rPr>
              <w:t>Contract</w:t>
            </w:r>
          </w:p>
        </w:tc>
        <w:tc>
          <w:tcPr>
            <w:tcW w:w="1710" w:type="dxa"/>
            <w:vAlign w:val="bottom"/>
          </w:tcPr>
          <w:p w:rsidR="005F78D4" w:rsidRPr="00B1063F" w:rsidRDefault="006D6FB9" w:rsidP="006D6FB9">
            <w:pPr>
              <w:keepNext/>
              <w:spacing w:before="60" w:after="60"/>
              <w:ind w:right="65"/>
              <w:jc w:val="right"/>
              <w:rPr>
                <w:color w:val="000000"/>
                <w:sz w:val="20"/>
                <w:szCs w:val="20"/>
              </w:rPr>
            </w:pPr>
            <w:r w:rsidRPr="00B1063F">
              <w:rPr>
                <w:color w:val="000000"/>
                <w:sz w:val="20"/>
                <w:szCs w:val="20"/>
              </w:rPr>
              <w:t>$1,0</w:t>
            </w:r>
            <w:r w:rsidR="007B6CB7" w:rsidRPr="00B1063F">
              <w:rPr>
                <w:color w:val="000000"/>
                <w:sz w:val="20"/>
                <w:szCs w:val="20"/>
              </w:rPr>
              <w:t>01,230</w:t>
            </w:r>
          </w:p>
        </w:tc>
        <w:tc>
          <w:tcPr>
            <w:tcW w:w="1793" w:type="dxa"/>
            <w:vAlign w:val="bottom"/>
          </w:tcPr>
          <w:p w:rsidR="005F78D4" w:rsidRPr="00B1063F" w:rsidRDefault="00CC588C" w:rsidP="00CC588C">
            <w:pPr>
              <w:keepNext/>
              <w:spacing w:before="60" w:after="60"/>
              <w:ind w:right="65"/>
              <w:jc w:val="right"/>
              <w:rPr>
                <w:color w:val="000000"/>
                <w:sz w:val="20"/>
                <w:szCs w:val="20"/>
              </w:rPr>
            </w:pPr>
            <w:r w:rsidRPr="00B1063F">
              <w:rPr>
                <w:color w:val="000000"/>
                <w:sz w:val="20"/>
                <w:szCs w:val="20"/>
              </w:rPr>
              <w:t>$1,000,573</w:t>
            </w:r>
          </w:p>
        </w:tc>
      </w:tr>
      <w:tr w:rsidR="005F78D4" w:rsidRPr="00B1063F" w:rsidTr="00DD2B4E">
        <w:trPr>
          <w:cantSplit/>
          <w:jc w:val="center"/>
        </w:trPr>
        <w:tc>
          <w:tcPr>
            <w:tcW w:w="4584" w:type="dxa"/>
            <w:vAlign w:val="bottom"/>
          </w:tcPr>
          <w:p w:rsidR="005F78D4" w:rsidRPr="00B1063F" w:rsidRDefault="005F78D4" w:rsidP="00DD2B4E">
            <w:pPr>
              <w:spacing w:before="60" w:after="60"/>
              <w:rPr>
                <w:rFonts w:eastAsia="SimSun"/>
                <w:sz w:val="20"/>
                <w:szCs w:val="20"/>
                <w:lang w:eastAsia="zh-CN"/>
              </w:rPr>
            </w:pPr>
          </w:p>
        </w:tc>
        <w:tc>
          <w:tcPr>
            <w:tcW w:w="1710" w:type="dxa"/>
            <w:vAlign w:val="bottom"/>
          </w:tcPr>
          <w:p w:rsidR="005F78D4" w:rsidRPr="00B1063F" w:rsidRDefault="005F78D4" w:rsidP="00DD2B4E">
            <w:pPr>
              <w:keepNext/>
              <w:spacing w:before="60" w:after="60"/>
              <w:ind w:right="65"/>
              <w:jc w:val="right"/>
              <w:rPr>
                <w:color w:val="000000"/>
                <w:sz w:val="20"/>
                <w:szCs w:val="20"/>
              </w:rPr>
            </w:pPr>
          </w:p>
        </w:tc>
        <w:tc>
          <w:tcPr>
            <w:tcW w:w="1793" w:type="dxa"/>
            <w:vAlign w:val="bottom"/>
          </w:tcPr>
          <w:p w:rsidR="005F78D4" w:rsidRPr="00B1063F" w:rsidRDefault="005F78D4" w:rsidP="00DD2B4E">
            <w:pPr>
              <w:keepNext/>
              <w:spacing w:before="60" w:after="60"/>
              <w:ind w:right="65"/>
              <w:jc w:val="right"/>
              <w:rPr>
                <w:color w:val="000000"/>
                <w:sz w:val="20"/>
                <w:szCs w:val="20"/>
              </w:rPr>
            </w:pPr>
          </w:p>
        </w:tc>
      </w:tr>
      <w:tr w:rsidR="005F78D4" w:rsidRPr="00B1063F" w:rsidTr="00DD2B4E">
        <w:trPr>
          <w:cantSplit/>
          <w:jc w:val="center"/>
        </w:trPr>
        <w:tc>
          <w:tcPr>
            <w:tcW w:w="4584" w:type="dxa"/>
            <w:vAlign w:val="bottom"/>
          </w:tcPr>
          <w:p w:rsidR="005F78D4" w:rsidRPr="00B1063F" w:rsidRDefault="005F78D4" w:rsidP="00DD2B4E">
            <w:pPr>
              <w:spacing w:before="60" w:after="60"/>
              <w:rPr>
                <w:rFonts w:eastAsia="SimSun"/>
                <w:sz w:val="20"/>
                <w:szCs w:val="20"/>
                <w:lang w:eastAsia="zh-CN"/>
              </w:rPr>
            </w:pPr>
            <w:r w:rsidRPr="00B1063F">
              <w:rPr>
                <w:rFonts w:eastAsia="SimSun"/>
                <w:sz w:val="20"/>
                <w:szCs w:val="20"/>
                <w:lang w:eastAsia="zh-CN"/>
              </w:rPr>
              <w:t>Total</w:t>
            </w:r>
            <w:r w:rsidR="006D6FB9" w:rsidRPr="00B1063F">
              <w:rPr>
                <w:rFonts w:eastAsia="SimSun"/>
                <w:sz w:val="20"/>
                <w:szCs w:val="20"/>
                <w:lang w:eastAsia="zh-CN"/>
              </w:rPr>
              <w:t xml:space="preserve"> Regulated</w:t>
            </w:r>
          </w:p>
        </w:tc>
        <w:tc>
          <w:tcPr>
            <w:tcW w:w="1710" w:type="dxa"/>
            <w:vAlign w:val="bottom"/>
          </w:tcPr>
          <w:p w:rsidR="005F78D4" w:rsidRPr="00B1063F" w:rsidRDefault="006D6FB9" w:rsidP="006D6FB9">
            <w:pPr>
              <w:keepNext/>
              <w:spacing w:before="60" w:after="60"/>
              <w:ind w:right="65"/>
              <w:jc w:val="right"/>
              <w:rPr>
                <w:color w:val="000000"/>
                <w:sz w:val="20"/>
                <w:szCs w:val="20"/>
              </w:rPr>
            </w:pPr>
            <w:r w:rsidRPr="00B1063F">
              <w:rPr>
                <w:color w:val="000000"/>
                <w:sz w:val="20"/>
                <w:szCs w:val="20"/>
              </w:rPr>
              <w:t>$27,650,612</w:t>
            </w:r>
          </w:p>
        </w:tc>
        <w:tc>
          <w:tcPr>
            <w:tcW w:w="1793" w:type="dxa"/>
            <w:vAlign w:val="bottom"/>
          </w:tcPr>
          <w:p w:rsidR="005F78D4" w:rsidRPr="00B1063F" w:rsidRDefault="00CC588C" w:rsidP="00CC588C">
            <w:pPr>
              <w:keepNext/>
              <w:spacing w:before="60" w:after="60"/>
              <w:ind w:right="65"/>
              <w:jc w:val="right"/>
              <w:rPr>
                <w:color w:val="000000"/>
                <w:sz w:val="20"/>
                <w:szCs w:val="20"/>
              </w:rPr>
            </w:pPr>
            <w:r w:rsidRPr="00B1063F">
              <w:rPr>
                <w:color w:val="000000"/>
                <w:sz w:val="20"/>
                <w:szCs w:val="20"/>
              </w:rPr>
              <w:t>$27,580,620</w:t>
            </w:r>
          </w:p>
        </w:tc>
      </w:tr>
    </w:tbl>
    <w:p w:rsidR="005F78D4" w:rsidRDefault="005F78D4" w:rsidP="005F78D4">
      <w:pPr>
        <w:pStyle w:val="answer"/>
        <w:spacing w:before="360"/>
        <w:ind w:firstLine="0"/>
      </w:pPr>
      <w:r>
        <w:t>Please see Exhibit No</w:t>
      </w:r>
      <w:r w:rsidR="004D59BE">
        <w:t>. ___(</w:t>
      </w:r>
      <w:r>
        <w:t>JAP-</w:t>
      </w:r>
      <w:r w:rsidR="00FD5CE6">
        <w:t>5</w:t>
      </w:r>
      <w:r>
        <w:t xml:space="preserve">) for more information regarding the </w:t>
      </w:r>
      <w:r w:rsidR="00D961A6">
        <w:t xml:space="preserve">allocation of </w:t>
      </w:r>
      <w:r>
        <w:t>projected incremental property taxes associated with regulated operations of the Tacoma LNG Project.</w:t>
      </w:r>
      <w:r w:rsidR="00CC588C">
        <w:t xml:space="preserve">  Note that the small difference in total regulated property taxes between the unsubscribed and 100</w:t>
      </w:r>
      <w:r w:rsidR="009C51A2">
        <w:t xml:space="preserve"> percent</w:t>
      </w:r>
      <w:r w:rsidR="00CC588C">
        <w:t xml:space="preserve"> subscribed scenarios is related to the associated incremental use of PSE’s natural gas distribution system.  There is additional tax expense being </w:t>
      </w:r>
      <w:r w:rsidR="00D12099">
        <w:t>incurred</w:t>
      </w:r>
      <w:r w:rsidR="00CC588C">
        <w:t xml:space="preserve">, and </w:t>
      </w:r>
      <w:r w:rsidR="00D12099">
        <w:t xml:space="preserve">that will not be recovered in the tracker discussed </w:t>
      </w:r>
      <w:r w:rsidR="00CC588C">
        <w:t xml:space="preserve">above, related to PSE’s </w:t>
      </w:r>
      <w:r w:rsidR="004D59BE">
        <w:t xml:space="preserve">non-regulated </w:t>
      </w:r>
      <w:r w:rsidR="00CC588C">
        <w:t xml:space="preserve">investment in the Tacoma LNG Facility.  These additional expenses are discussed in more detail in the Prefiled Direct Testimony of Susan </w:t>
      </w:r>
      <w:r w:rsidR="004D59BE">
        <w:t xml:space="preserve">E. </w:t>
      </w:r>
      <w:r w:rsidR="00CC588C">
        <w:t>Free, Exhibit No</w:t>
      </w:r>
      <w:r w:rsidR="004D59BE">
        <w:t>. ___(SEF-1T).</w:t>
      </w:r>
    </w:p>
    <w:p w:rsidR="00AC1A3E" w:rsidRDefault="00AC1A3E" w:rsidP="00DE20C4">
      <w:pPr>
        <w:pStyle w:val="question"/>
        <w:keepNext/>
        <w:spacing w:before="120"/>
      </w:pPr>
      <w:r>
        <w:t>Q.</w:t>
      </w:r>
      <w:r>
        <w:tab/>
      </w:r>
      <w:r w:rsidR="005F78D4">
        <w:t xml:space="preserve">Please summarize </w:t>
      </w:r>
      <w:r>
        <w:t xml:space="preserve">the </w:t>
      </w:r>
      <w:r w:rsidR="005F78D4">
        <w:t xml:space="preserve">combined effects of the </w:t>
      </w:r>
      <w:r>
        <w:t xml:space="preserve">resulting allocation of baseline </w:t>
      </w:r>
      <w:r w:rsidR="00D961A6">
        <w:t xml:space="preserve">costs </w:t>
      </w:r>
      <w:r>
        <w:t xml:space="preserve">and </w:t>
      </w:r>
      <w:r w:rsidR="00D961A6">
        <w:t xml:space="preserve">those related to the </w:t>
      </w:r>
      <w:r w:rsidR="00573D62">
        <w:t xml:space="preserve">regulated </w:t>
      </w:r>
      <w:r w:rsidR="00D961A6">
        <w:t xml:space="preserve">operation of the Tacoma </w:t>
      </w:r>
      <w:r>
        <w:t>LNG</w:t>
      </w:r>
      <w:r w:rsidR="00573D62">
        <w:t xml:space="preserve"> Project</w:t>
      </w:r>
      <w:r w:rsidR="005F78D4">
        <w:t>.</w:t>
      </w:r>
    </w:p>
    <w:p w:rsidR="00AC1A3E" w:rsidRDefault="00AC1A3E" w:rsidP="00F85CB7">
      <w:pPr>
        <w:pStyle w:val="answer"/>
      </w:pPr>
      <w:r>
        <w:t>A.</w:t>
      </w:r>
      <w:r>
        <w:tab/>
      </w:r>
      <w:r w:rsidR="00DE20C4">
        <w:t xml:space="preserve">Please see </w:t>
      </w:r>
      <w:r w:rsidR="00573D62" w:rsidRPr="003C2697">
        <w:fldChar w:fldCharType="begin"/>
      </w:r>
      <w:r w:rsidR="00573D62" w:rsidRPr="00573D62">
        <w:instrText xml:space="preserve"> REF _Ref412112273 \h </w:instrText>
      </w:r>
      <w:r w:rsidR="00573D62" w:rsidRPr="00DD2B4E">
        <w:instrText xml:space="preserve"> \* MERGEFORMAT </w:instrText>
      </w:r>
      <w:r w:rsidR="00573D62" w:rsidRPr="003C2697">
        <w:fldChar w:fldCharType="separate"/>
      </w:r>
      <w:r w:rsidR="003E12C1" w:rsidRPr="003E12C1">
        <w:rPr>
          <w:bCs/>
        </w:rPr>
        <w:t xml:space="preserve">Table </w:t>
      </w:r>
      <w:r w:rsidR="003E12C1" w:rsidRPr="003E12C1">
        <w:rPr>
          <w:bCs/>
          <w:noProof/>
        </w:rPr>
        <w:t>3</w:t>
      </w:r>
      <w:r w:rsidR="00573D62" w:rsidRPr="003C2697">
        <w:fldChar w:fldCharType="end"/>
      </w:r>
      <w:r w:rsidR="00DE20C4">
        <w:t xml:space="preserve"> below for the </w:t>
      </w:r>
      <w:r w:rsidR="005F78D4">
        <w:t xml:space="preserve">combined effects of the </w:t>
      </w:r>
      <w:r>
        <w:t xml:space="preserve">resulting allocation of </w:t>
      </w:r>
      <w:r w:rsidR="00DE20C4">
        <w:t>baseline</w:t>
      </w:r>
      <w:r w:rsidR="00D961A6">
        <w:t xml:space="preserve"> costs</w:t>
      </w:r>
      <w:r w:rsidR="00DE20C4">
        <w:t xml:space="preserve"> and </w:t>
      </w:r>
      <w:r w:rsidR="00D961A6">
        <w:t xml:space="preserve">those related to the regulated operation of the Tacoma </w:t>
      </w:r>
      <w:r w:rsidR="00DE20C4">
        <w:t>LNG</w:t>
      </w:r>
      <w:r w:rsidR="00573D62">
        <w:t xml:space="preserve"> Project</w:t>
      </w:r>
      <w:r w:rsidR="005F78D4" w:rsidRPr="005F78D4">
        <w:t xml:space="preserve"> </w:t>
      </w:r>
      <w:r w:rsidR="005F78D4">
        <w:t xml:space="preserve">where the </w:t>
      </w:r>
      <w:r w:rsidR="004D59BE">
        <w:t xml:space="preserve">non-regulated </w:t>
      </w:r>
      <w:r w:rsidR="005F78D4">
        <w:t xml:space="preserve">portion of the Tacoma LNG Facility is </w:t>
      </w:r>
      <w:r w:rsidR="00D961A6">
        <w:t>un</w:t>
      </w:r>
      <w:r w:rsidR="005F78D4">
        <w:t>subscribed and where it is 100</w:t>
      </w:r>
      <w:r w:rsidR="009C51A2">
        <w:t xml:space="preserve"> percent</w:t>
      </w:r>
      <w:r w:rsidR="005F78D4">
        <w:t xml:space="preserve"> subscribed</w:t>
      </w:r>
      <w:r w:rsidR="006B6EB9">
        <w:t>.</w:t>
      </w:r>
      <w:r w:rsidR="004B72DE">
        <w:t xml:space="preserve">  The amounts below include the incremental property tax amounts shown above.</w:t>
      </w:r>
    </w:p>
    <w:p w:rsidR="006B6EB9" w:rsidRPr="006B6EB9" w:rsidRDefault="006B6EB9" w:rsidP="006B6EB9">
      <w:pPr>
        <w:keepNext/>
        <w:spacing w:before="120" w:after="120" w:line="240" w:lineRule="exact"/>
        <w:jc w:val="center"/>
        <w:rPr>
          <w:b/>
          <w:bCs/>
        </w:rPr>
      </w:pPr>
      <w:bookmarkStart w:id="20" w:name="_Ref412112273"/>
      <w:r w:rsidRPr="006B6EB9">
        <w:rPr>
          <w:b/>
          <w:bCs/>
        </w:rPr>
        <w:t xml:space="preserve">Table </w:t>
      </w:r>
      <w:r w:rsidRPr="006B6EB9">
        <w:rPr>
          <w:b/>
          <w:bCs/>
        </w:rPr>
        <w:fldChar w:fldCharType="begin"/>
      </w:r>
      <w:r w:rsidRPr="006B6EB9">
        <w:rPr>
          <w:b/>
          <w:bCs/>
        </w:rPr>
        <w:instrText xml:space="preserve"> SEQ Table \* ARABIC </w:instrText>
      </w:r>
      <w:r w:rsidRPr="006B6EB9">
        <w:rPr>
          <w:b/>
          <w:bCs/>
        </w:rPr>
        <w:fldChar w:fldCharType="separate"/>
      </w:r>
      <w:r w:rsidR="003E12C1">
        <w:rPr>
          <w:b/>
          <w:bCs/>
          <w:noProof/>
        </w:rPr>
        <w:t>3</w:t>
      </w:r>
      <w:r w:rsidRPr="006B6EB9">
        <w:rPr>
          <w:b/>
          <w:bCs/>
        </w:rPr>
        <w:fldChar w:fldCharType="end"/>
      </w:r>
      <w:bookmarkEnd w:id="20"/>
      <w:r w:rsidRPr="006B6EB9">
        <w:rPr>
          <w:b/>
          <w:bCs/>
        </w:rPr>
        <w:t xml:space="preserve"> –Allocated </w:t>
      </w:r>
      <w:r w:rsidR="00762812">
        <w:rPr>
          <w:b/>
          <w:bCs/>
        </w:rPr>
        <w:t xml:space="preserve">Costs of Regulated Portion of </w:t>
      </w:r>
      <w:r w:rsidR="00C316A4">
        <w:rPr>
          <w:b/>
          <w:bCs/>
        </w:rPr>
        <w:br/>
        <w:t xml:space="preserve"> Tacoma LNG Project</w:t>
      </w:r>
      <w:r w:rsidR="004B72DE">
        <w:rPr>
          <w:b/>
          <w:bCs/>
        </w:rPr>
        <w:t xml:space="preserve"> (Including Property Taxes)</w:t>
      </w:r>
    </w:p>
    <w:tbl>
      <w:tblPr>
        <w:tblW w:w="801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0"/>
        <w:gridCol w:w="1800"/>
        <w:gridCol w:w="1710"/>
      </w:tblGrid>
      <w:tr w:rsidR="005F78D4" w:rsidRPr="006B6EB9" w:rsidTr="004B72DE">
        <w:trPr>
          <w:cantSplit/>
          <w:trHeight w:val="827"/>
        </w:trPr>
        <w:tc>
          <w:tcPr>
            <w:tcW w:w="4500" w:type="dxa"/>
            <w:shd w:val="clear" w:color="auto" w:fill="C0C0C0"/>
            <w:vAlign w:val="center"/>
          </w:tcPr>
          <w:p w:rsidR="005F78D4" w:rsidRPr="00B1063F" w:rsidRDefault="005F78D4" w:rsidP="006B6EB9">
            <w:pPr>
              <w:keepNext/>
              <w:keepLines/>
              <w:spacing w:before="60" w:after="60"/>
              <w:jc w:val="center"/>
              <w:rPr>
                <w:rFonts w:eastAsia="SimSun"/>
                <w:b/>
                <w:sz w:val="20"/>
                <w:szCs w:val="20"/>
                <w:lang w:eastAsia="zh-CN"/>
              </w:rPr>
            </w:pPr>
            <w:r w:rsidRPr="00B1063F">
              <w:rPr>
                <w:rFonts w:eastAsia="SimSun"/>
                <w:b/>
                <w:sz w:val="20"/>
                <w:szCs w:val="20"/>
                <w:lang w:eastAsia="zh-CN"/>
              </w:rPr>
              <w:t>Rate Group</w:t>
            </w:r>
          </w:p>
        </w:tc>
        <w:tc>
          <w:tcPr>
            <w:tcW w:w="1800" w:type="dxa"/>
            <w:shd w:val="clear" w:color="auto" w:fill="C0C0C0"/>
            <w:vAlign w:val="center"/>
          </w:tcPr>
          <w:p w:rsidR="005F78D4" w:rsidRPr="00B1063F" w:rsidRDefault="005F78D4" w:rsidP="004B2E3C">
            <w:pPr>
              <w:keepNext/>
              <w:keepLines/>
              <w:spacing w:before="60" w:after="60"/>
              <w:jc w:val="center"/>
              <w:rPr>
                <w:rFonts w:eastAsia="SimSun"/>
                <w:b/>
                <w:sz w:val="20"/>
                <w:szCs w:val="20"/>
                <w:lang w:eastAsia="zh-CN"/>
              </w:rPr>
            </w:pPr>
            <w:r w:rsidRPr="00B1063F">
              <w:rPr>
                <w:rFonts w:eastAsia="SimSun"/>
                <w:b/>
                <w:sz w:val="20"/>
                <w:szCs w:val="20"/>
                <w:lang w:eastAsia="zh-CN"/>
              </w:rPr>
              <w:t>0% Subscribed</w:t>
            </w:r>
          </w:p>
        </w:tc>
        <w:tc>
          <w:tcPr>
            <w:tcW w:w="1710" w:type="dxa"/>
            <w:shd w:val="clear" w:color="auto" w:fill="C0C0C0"/>
            <w:vAlign w:val="center"/>
          </w:tcPr>
          <w:p w:rsidR="005F78D4" w:rsidRPr="00B1063F" w:rsidRDefault="005F78D4">
            <w:pPr>
              <w:keepNext/>
              <w:keepLines/>
              <w:spacing w:before="60" w:after="60"/>
              <w:jc w:val="center"/>
              <w:rPr>
                <w:rFonts w:eastAsia="SimSun"/>
                <w:b/>
                <w:sz w:val="20"/>
                <w:szCs w:val="20"/>
                <w:lang w:eastAsia="zh-CN"/>
              </w:rPr>
            </w:pPr>
            <w:r w:rsidRPr="00B1063F">
              <w:rPr>
                <w:rFonts w:eastAsia="SimSun"/>
                <w:b/>
                <w:sz w:val="20"/>
                <w:szCs w:val="20"/>
                <w:lang w:eastAsia="zh-CN"/>
              </w:rPr>
              <w:t>100% Subscribed</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Residential (Schedules 23, 16, 53)</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sz w:val="20"/>
                <w:szCs w:val="20"/>
              </w:rPr>
              <w:t>$6</w:t>
            </w:r>
            <w:r w:rsidR="003E12C1" w:rsidRPr="00B1063F">
              <w:rPr>
                <w:sz w:val="20"/>
                <w:szCs w:val="20"/>
              </w:rPr>
              <w:t>68,257,190</w:t>
            </w:r>
          </w:p>
        </w:tc>
        <w:tc>
          <w:tcPr>
            <w:tcW w:w="1710" w:type="dxa"/>
            <w:shd w:val="clear" w:color="auto" w:fill="auto"/>
            <w:vAlign w:val="bottom"/>
          </w:tcPr>
          <w:p w:rsidR="004B72DE" w:rsidRPr="00B1063F" w:rsidRDefault="004B72DE" w:rsidP="00B52D33">
            <w:pPr>
              <w:keepNext/>
              <w:keepLines/>
              <w:spacing w:before="60" w:after="60"/>
              <w:ind w:right="65"/>
              <w:jc w:val="right"/>
              <w:rPr>
                <w:rFonts w:eastAsia="SimSun"/>
                <w:sz w:val="20"/>
                <w:szCs w:val="20"/>
                <w:lang w:eastAsia="zh-CN"/>
              </w:rPr>
            </w:pPr>
            <w:r w:rsidRPr="00B1063F">
              <w:rPr>
                <w:color w:val="000000"/>
                <w:sz w:val="20"/>
                <w:szCs w:val="20"/>
              </w:rPr>
              <w:t>$</w:t>
            </w:r>
            <w:r w:rsidR="00B52D33" w:rsidRPr="00B1063F">
              <w:rPr>
                <w:color w:val="000000"/>
                <w:sz w:val="20"/>
                <w:szCs w:val="20"/>
              </w:rPr>
              <w:t>66</w:t>
            </w:r>
            <w:r w:rsidR="00227E18" w:rsidRPr="00B1063F">
              <w:rPr>
                <w:color w:val="000000"/>
                <w:sz w:val="20"/>
                <w:szCs w:val="20"/>
              </w:rPr>
              <w:t>5,</w:t>
            </w:r>
            <w:r w:rsidR="00551217" w:rsidRPr="00B1063F">
              <w:rPr>
                <w:color w:val="000000"/>
                <w:sz w:val="20"/>
                <w:szCs w:val="20"/>
              </w:rPr>
              <w:t>823,858</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Commercial &amp; Industrial (Schedules 31, 61)</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sz w:val="20"/>
                <w:szCs w:val="20"/>
              </w:rPr>
              <w:t>223,</w:t>
            </w:r>
            <w:r w:rsidR="003E12C1" w:rsidRPr="00B1063F">
              <w:rPr>
                <w:sz w:val="20"/>
                <w:szCs w:val="20"/>
              </w:rPr>
              <w:t>328,682</w:t>
            </w:r>
          </w:p>
        </w:tc>
        <w:tc>
          <w:tcPr>
            <w:tcW w:w="171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22</w:t>
            </w:r>
            <w:r w:rsidR="001D63B1" w:rsidRPr="00B1063F">
              <w:rPr>
                <w:color w:val="000000"/>
                <w:sz w:val="20"/>
                <w:szCs w:val="20"/>
              </w:rPr>
              <w:t>2,</w:t>
            </w:r>
            <w:r w:rsidR="00551217" w:rsidRPr="00B1063F">
              <w:rPr>
                <w:color w:val="000000"/>
                <w:sz w:val="20"/>
                <w:szCs w:val="20"/>
              </w:rPr>
              <w:t>517,566</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Large Volume (Schedule 41)</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sz w:val="20"/>
                <w:szCs w:val="20"/>
              </w:rPr>
              <w:t>50,</w:t>
            </w:r>
            <w:r w:rsidR="003E12C1" w:rsidRPr="00B1063F">
              <w:rPr>
                <w:sz w:val="20"/>
                <w:szCs w:val="20"/>
              </w:rPr>
              <w:t>261,457</w:t>
            </w:r>
          </w:p>
        </w:tc>
        <w:tc>
          <w:tcPr>
            <w:tcW w:w="171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50,</w:t>
            </w:r>
            <w:r w:rsidR="00227E18" w:rsidRPr="00B1063F">
              <w:rPr>
                <w:color w:val="000000"/>
                <w:sz w:val="20"/>
                <w:szCs w:val="20"/>
              </w:rPr>
              <w:t>1</w:t>
            </w:r>
            <w:r w:rsidR="00551217" w:rsidRPr="00B1063F">
              <w:rPr>
                <w:color w:val="000000"/>
                <w:sz w:val="20"/>
                <w:szCs w:val="20"/>
              </w:rPr>
              <w:t>54,103</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Interruptible (Schedule 85)</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sz w:val="20"/>
                <w:szCs w:val="20"/>
              </w:rPr>
              <w:t>9,6</w:t>
            </w:r>
            <w:r w:rsidR="003E12C1" w:rsidRPr="00B1063F">
              <w:rPr>
                <w:sz w:val="20"/>
                <w:szCs w:val="20"/>
              </w:rPr>
              <w:t>17,007</w:t>
            </w:r>
          </w:p>
        </w:tc>
        <w:tc>
          <w:tcPr>
            <w:tcW w:w="171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9,6</w:t>
            </w:r>
            <w:r w:rsidR="00551217" w:rsidRPr="00B1063F">
              <w:rPr>
                <w:color w:val="000000"/>
                <w:sz w:val="20"/>
                <w:szCs w:val="20"/>
              </w:rPr>
              <w:t>10,381</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Limited Interruptible (Schedule 86)</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sz w:val="20"/>
                <w:szCs w:val="20"/>
              </w:rPr>
              <w:t>7,</w:t>
            </w:r>
            <w:r w:rsidR="003E12C1" w:rsidRPr="00B1063F">
              <w:rPr>
                <w:sz w:val="20"/>
                <w:szCs w:val="20"/>
              </w:rPr>
              <w:t>093,755</w:t>
            </w:r>
          </w:p>
        </w:tc>
        <w:tc>
          <w:tcPr>
            <w:tcW w:w="171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7,</w:t>
            </w:r>
            <w:r w:rsidR="001D63B1" w:rsidRPr="00B1063F">
              <w:rPr>
                <w:color w:val="000000"/>
                <w:sz w:val="20"/>
                <w:szCs w:val="20"/>
              </w:rPr>
              <w:t>0</w:t>
            </w:r>
            <w:r w:rsidR="00227E18" w:rsidRPr="00B1063F">
              <w:rPr>
                <w:color w:val="000000"/>
                <w:sz w:val="20"/>
                <w:szCs w:val="20"/>
              </w:rPr>
              <w:t>8</w:t>
            </w:r>
            <w:r w:rsidR="00551217" w:rsidRPr="00B1063F">
              <w:rPr>
                <w:color w:val="000000"/>
                <w:sz w:val="20"/>
                <w:szCs w:val="20"/>
              </w:rPr>
              <w:t>9,369</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 xml:space="preserve">Non-exclusive Interruptible (Schedule 87) </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sz w:val="20"/>
                <w:szCs w:val="20"/>
              </w:rPr>
              <w:t>12,6</w:t>
            </w:r>
            <w:r w:rsidR="003E12C1" w:rsidRPr="00B1063F">
              <w:rPr>
                <w:sz w:val="20"/>
                <w:szCs w:val="20"/>
              </w:rPr>
              <w:t>12,480</w:t>
            </w:r>
          </w:p>
        </w:tc>
        <w:tc>
          <w:tcPr>
            <w:tcW w:w="171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12,</w:t>
            </w:r>
            <w:r w:rsidR="00227E18" w:rsidRPr="00B1063F">
              <w:rPr>
                <w:color w:val="000000"/>
                <w:sz w:val="20"/>
                <w:szCs w:val="20"/>
              </w:rPr>
              <w:t>60</w:t>
            </w:r>
            <w:r w:rsidR="00551217" w:rsidRPr="00B1063F">
              <w:rPr>
                <w:color w:val="000000"/>
                <w:sz w:val="20"/>
                <w:szCs w:val="20"/>
              </w:rPr>
              <w:t>5,136</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 xml:space="preserve">     Total Sales Schedules</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sz w:val="20"/>
                <w:szCs w:val="20"/>
              </w:rPr>
              <w:t>$97</w:t>
            </w:r>
            <w:r w:rsidR="003E12C1" w:rsidRPr="00B1063F">
              <w:rPr>
                <w:sz w:val="20"/>
                <w:szCs w:val="20"/>
              </w:rPr>
              <w:t>1,179,572</w:t>
            </w:r>
          </w:p>
        </w:tc>
        <w:tc>
          <w:tcPr>
            <w:tcW w:w="171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$9</w:t>
            </w:r>
            <w:r w:rsidR="001D63B1" w:rsidRPr="00B1063F">
              <w:rPr>
                <w:color w:val="000000"/>
                <w:sz w:val="20"/>
                <w:szCs w:val="20"/>
              </w:rPr>
              <w:t>6</w:t>
            </w:r>
            <w:r w:rsidR="00227E18" w:rsidRPr="00B1063F">
              <w:rPr>
                <w:color w:val="000000"/>
                <w:sz w:val="20"/>
                <w:szCs w:val="20"/>
              </w:rPr>
              <w:t>7,</w:t>
            </w:r>
            <w:r w:rsidR="00551217" w:rsidRPr="00B1063F">
              <w:rPr>
                <w:color w:val="000000"/>
                <w:sz w:val="20"/>
                <w:szCs w:val="20"/>
              </w:rPr>
              <w:t>800,412</w:t>
            </w:r>
          </w:p>
        </w:tc>
      </w:tr>
      <w:tr w:rsidR="005F78D4" w:rsidRPr="006B6EB9" w:rsidTr="004B72DE">
        <w:trPr>
          <w:cantSplit/>
        </w:trPr>
        <w:tc>
          <w:tcPr>
            <w:tcW w:w="4500" w:type="dxa"/>
            <w:vAlign w:val="bottom"/>
          </w:tcPr>
          <w:p w:rsidR="005F78D4" w:rsidRPr="00B1063F" w:rsidRDefault="005F78D4" w:rsidP="006B6EB9">
            <w:pPr>
              <w:keepNext/>
              <w:keepLines/>
              <w:spacing w:before="60" w:after="60"/>
              <w:rPr>
                <w:rFonts w:eastAsia="SimSun"/>
                <w:sz w:val="20"/>
                <w:szCs w:val="20"/>
                <w:lang w:eastAsia="zh-CN"/>
              </w:rPr>
            </w:pPr>
          </w:p>
        </w:tc>
        <w:tc>
          <w:tcPr>
            <w:tcW w:w="1800" w:type="dxa"/>
            <w:shd w:val="clear" w:color="auto" w:fill="auto"/>
          </w:tcPr>
          <w:p w:rsidR="005F78D4" w:rsidRPr="00B1063F" w:rsidRDefault="005F78D4" w:rsidP="006B6EB9">
            <w:pPr>
              <w:keepNext/>
              <w:keepLines/>
              <w:spacing w:before="60" w:after="60"/>
              <w:ind w:right="65"/>
              <w:jc w:val="right"/>
              <w:rPr>
                <w:rFonts w:eastAsia="SimSun"/>
                <w:sz w:val="20"/>
                <w:szCs w:val="20"/>
                <w:lang w:eastAsia="zh-CN"/>
              </w:rPr>
            </w:pPr>
          </w:p>
        </w:tc>
        <w:tc>
          <w:tcPr>
            <w:tcW w:w="1710" w:type="dxa"/>
            <w:shd w:val="clear" w:color="auto" w:fill="auto"/>
          </w:tcPr>
          <w:p w:rsidR="005F78D4" w:rsidRPr="00B1063F" w:rsidRDefault="005F78D4" w:rsidP="006B6EB9">
            <w:pPr>
              <w:keepNext/>
              <w:keepLines/>
              <w:spacing w:before="60" w:after="60"/>
              <w:ind w:right="65"/>
              <w:jc w:val="right"/>
              <w:rPr>
                <w:rFonts w:eastAsia="SimSun"/>
                <w:sz w:val="20"/>
                <w:szCs w:val="20"/>
                <w:lang w:eastAsia="zh-CN"/>
              </w:rPr>
            </w:pP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Large Volume (Schedule 41T)</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$2,50</w:t>
            </w:r>
            <w:r w:rsidR="003E12C1" w:rsidRPr="00B1063F">
              <w:rPr>
                <w:color w:val="000000"/>
                <w:sz w:val="20"/>
                <w:szCs w:val="20"/>
              </w:rPr>
              <w:t>6,037</w:t>
            </w:r>
          </w:p>
        </w:tc>
        <w:tc>
          <w:tcPr>
            <w:tcW w:w="171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$2,</w:t>
            </w:r>
            <w:r w:rsidR="001D63B1" w:rsidRPr="00B1063F">
              <w:rPr>
                <w:color w:val="000000"/>
                <w:sz w:val="20"/>
                <w:szCs w:val="20"/>
              </w:rPr>
              <w:t>49</w:t>
            </w:r>
            <w:r w:rsidR="00551217" w:rsidRPr="00B1063F">
              <w:rPr>
                <w:color w:val="000000"/>
                <w:sz w:val="20"/>
                <w:szCs w:val="20"/>
              </w:rPr>
              <w:t>8,228</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Interruptible (Schedule 85T)</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6,9</w:t>
            </w:r>
            <w:r w:rsidR="003E12C1" w:rsidRPr="00B1063F">
              <w:rPr>
                <w:color w:val="000000"/>
                <w:sz w:val="20"/>
                <w:szCs w:val="20"/>
              </w:rPr>
              <w:t>45,350</w:t>
            </w:r>
          </w:p>
        </w:tc>
        <w:tc>
          <w:tcPr>
            <w:tcW w:w="1710" w:type="dxa"/>
            <w:shd w:val="clear" w:color="auto" w:fill="auto"/>
            <w:vAlign w:val="bottom"/>
          </w:tcPr>
          <w:p w:rsidR="004B72DE" w:rsidRPr="00B1063F" w:rsidRDefault="00B52D33" w:rsidP="006B6EB9">
            <w:pPr>
              <w:keepNext/>
              <w:keepLines/>
              <w:spacing w:before="60" w:after="60"/>
              <w:ind w:right="65"/>
              <w:jc w:val="right"/>
              <w:rPr>
                <w:rFonts w:eastAsia="SimSun"/>
                <w:sz w:val="20"/>
                <w:szCs w:val="20"/>
                <w:lang w:eastAsia="zh-CN"/>
              </w:rPr>
            </w:pPr>
            <w:r w:rsidRPr="00B1063F">
              <w:rPr>
                <w:color w:val="000000"/>
                <w:sz w:val="20"/>
                <w:szCs w:val="20"/>
              </w:rPr>
              <w:t>6,9</w:t>
            </w:r>
            <w:r w:rsidR="00551217" w:rsidRPr="00B1063F">
              <w:rPr>
                <w:color w:val="000000"/>
                <w:sz w:val="20"/>
                <w:szCs w:val="20"/>
              </w:rPr>
              <w:t>51,558</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Limited Interruptible (Schedule 86T)</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18,1</w:t>
            </w:r>
            <w:r w:rsidR="003E12C1" w:rsidRPr="00B1063F">
              <w:rPr>
                <w:color w:val="000000"/>
                <w:sz w:val="20"/>
                <w:szCs w:val="20"/>
              </w:rPr>
              <w:t>38</w:t>
            </w:r>
          </w:p>
        </w:tc>
        <w:tc>
          <w:tcPr>
            <w:tcW w:w="171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18,</w:t>
            </w:r>
            <w:r w:rsidR="00227E18" w:rsidRPr="00B1063F">
              <w:rPr>
                <w:color w:val="000000"/>
                <w:sz w:val="20"/>
                <w:szCs w:val="20"/>
              </w:rPr>
              <w:t>2</w:t>
            </w:r>
            <w:r w:rsidR="00551217" w:rsidRPr="00B1063F">
              <w:rPr>
                <w:color w:val="000000"/>
                <w:sz w:val="20"/>
                <w:szCs w:val="20"/>
              </w:rPr>
              <w:t>50</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 xml:space="preserve">Non-exclusive Interruptible (Schedule 87T) </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3,6</w:t>
            </w:r>
            <w:r w:rsidR="003E12C1" w:rsidRPr="00B1063F">
              <w:rPr>
                <w:color w:val="000000"/>
                <w:sz w:val="20"/>
                <w:szCs w:val="20"/>
              </w:rPr>
              <w:t>34,349</w:t>
            </w:r>
          </w:p>
        </w:tc>
        <w:tc>
          <w:tcPr>
            <w:tcW w:w="171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3,6</w:t>
            </w:r>
            <w:r w:rsidR="00551217" w:rsidRPr="00B1063F">
              <w:rPr>
                <w:color w:val="000000"/>
                <w:sz w:val="20"/>
                <w:szCs w:val="20"/>
              </w:rPr>
              <w:t>10,719</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 xml:space="preserve">Special Contracts </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2,09</w:t>
            </w:r>
            <w:r w:rsidR="003E12C1" w:rsidRPr="00B1063F">
              <w:rPr>
                <w:color w:val="000000"/>
                <w:sz w:val="20"/>
                <w:szCs w:val="20"/>
              </w:rPr>
              <w:t>0,942</w:t>
            </w:r>
          </w:p>
        </w:tc>
        <w:tc>
          <w:tcPr>
            <w:tcW w:w="171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2,0</w:t>
            </w:r>
            <w:r w:rsidR="001D63B1" w:rsidRPr="00B1063F">
              <w:rPr>
                <w:color w:val="000000"/>
                <w:sz w:val="20"/>
                <w:szCs w:val="20"/>
              </w:rPr>
              <w:t>7</w:t>
            </w:r>
            <w:r w:rsidR="00227E18" w:rsidRPr="00B1063F">
              <w:rPr>
                <w:color w:val="000000"/>
                <w:sz w:val="20"/>
                <w:szCs w:val="20"/>
              </w:rPr>
              <w:t>6,</w:t>
            </w:r>
            <w:r w:rsidR="00551217" w:rsidRPr="00B1063F">
              <w:rPr>
                <w:color w:val="000000"/>
                <w:sz w:val="20"/>
                <w:szCs w:val="20"/>
              </w:rPr>
              <w:t>937</w:t>
            </w:r>
          </w:p>
        </w:tc>
      </w:tr>
      <w:tr w:rsidR="005F78D4" w:rsidRPr="006B6EB9" w:rsidTr="004B72DE">
        <w:trPr>
          <w:cantSplit/>
        </w:trPr>
        <w:tc>
          <w:tcPr>
            <w:tcW w:w="4500" w:type="dxa"/>
            <w:vAlign w:val="bottom"/>
          </w:tcPr>
          <w:p w:rsidR="005F78D4" w:rsidRPr="00B1063F" w:rsidRDefault="005F78D4" w:rsidP="006B6EB9">
            <w:pPr>
              <w:keepNext/>
              <w:keepLines/>
              <w:spacing w:before="60" w:after="60"/>
              <w:rPr>
                <w:rFonts w:eastAsia="SimSun"/>
                <w:sz w:val="20"/>
                <w:szCs w:val="20"/>
                <w:lang w:eastAsia="zh-CN"/>
              </w:rPr>
            </w:pPr>
            <w:r w:rsidRPr="00B1063F">
              <w:rPr>
                <w:rFonts w:eastAsia="SimSun"/>
                <w:sz w:val="20"/>
                <w:szCs w:val="20"/>
                <w:lang w:eastAsia="zh-CN"/>
              </w:rPr>
              <w:t xml:space="preserve">     Total Transportation Schedules</w:t>
            </w:r>
          </w:p>
        </w:tc>
        <w:tc>
          <w:tcPr>
            <w:tcW w:w="1800" w:type="dxa"/>
            <w:shd w:val="clear" w:color="auto" w:fill="auto"/>
          </w:tcPr>
          <w:p w:rsidR="005F78D4" w:rsidRPr="00B1063F" w:rsidRDefault="004B72DE" w:rsidP="004B72DE">
            <w:pPr>
              <w:keepNext/>
              <w:keepLines/>
              <w:spacing w:before="60" w:after="60"/>
              <w:ind w:right="65"/>
              <w:jc w:val="right"/>
              <w:rPr>
                <w:color w:val="000000"/>
                <w:sz w:val="20"/>
                <w:szCs w:val="20"/>
              </w:rPr>
            </w:pPr>
            <w:r w:rsidRPr="00B1063F">
              <w:rPr>
                <w:color w:val="000000"/>
                <w:sz w:val="20"/>
                <w:szCs w:val="20"/>
              </w:rPr>
              <w:t>$15,</w:t>
            </w:r>
            <w:r w:rsidR="003E12C1" w:rsidRPr="00B1063F">
              <w:rPr>
                <w:color w:val="000000"/>
                <w:sz w:val="20"/>
                <w:szCs w:val="20"/>
              </w:rPr>
              <w:t>194,816</w:t>
            </w:r>
          </w:p>
        </w:tc>
        <w:tc>
          <w:tcPr>
            <w:tcW w:w="1710" w:type="dxa"/>
            <w:shd w:val="clear" w:color="auto" w:fill="auto"/>
          </w:tcPr>
          <w:p w:rsidR="005F78D4" w:rsidRPr="00B1063F" w:rsidRDefault="004B72DE" w:rsidP="004B72DE">
            <w:pPr>
              <w:keepNext/>
              <w:keepLines/>
              <w:spacing w:before="60" w:after="60"/>
              <w:ind w:right="65"/>
              <w:jc w:val="right"/>
              <w:rPr>
                <w:color w:val="000000"/>
                <w:sz w:val="20"/>
                <w:szCs w:val="20"/>
              </w:rPr>
            </w:pPr>
            <w:r w:rsidRPr="00B1063F">
              <w:rPr>
                <w:color w:val="000000"/>
                <w:sz w:val="20"/>
                <w:szCs w:val="20"/>
              </w:rPr>
              <w:t>$15,</w:t>
            </w:r>
            <w:r w:rsidR="001D63B1" w:rsidRPr="00B1063F">
              <w:rPr>
                <w:color w:val="000000"/>
                <w:sz w:val="20"/>
                <w:szCs w:val="20"/>
              </w:rPr>
              <w:t>1</w:t>
            </w:r>
            <w:r w:rsidR="00551217" w:rsidRPr="00B1063F">
              <w:rPr>
                <w:color w:val="000000"/>
                <w:sz w:val="20"/>
                <w:szCs w:val="20"/>
              </w:rPr>
              <w:t>55,691</w:t>
            </w:r>
          </w:p>
        </w:tc>
      </w:tr>
      <w:tr w:rsidR="005F78D4" w:rsidRPr="006B6EB9" w:rsidTr="004B72DE">
        <w:trPr>
          <w:cantSplit/>
        </w:trPr>
        <w:tc>
          <w:tcPr>
            <w:tcW w:w="4500" w:type="dxa"/>
            <w:vAlign w:val="bottom"/>
          </w:tcPr>
          <w:p w:rsidR="005F78D4" w:rsidRPr="00B1063F" w:rsidRDefault="005F78D4" w:rsidP="006B6EB9">
            <w:pPr>
              <w:keepNext/>
              <w:keepLines/>
              <w:spacing w:before="60" w:after="60"/>
              <w:rPr>
                <w:rFonts w:eastAsia="SimSun"/>
                <w:sz w:val="20"/>
                <w:szCs w:val="20"/>
                <w:lang w:eastAsia="zh-CN"/>
              </w:rPr>
            </w:pPr>
          </w:p>
        </w:tc>
        <w:tc>
          <w:tcPr>
            <w:tcW w:w="1800" w:type="dxa"/>
            <w:shd w:val="clear" w:color="auto" w:fill="auto"/>
          </w:tcPr>
          <w:p w:rsidR="005F78D4" w:rsidRPr="00B1063F" w:rsidRDefault="005F78D4" w:rsidP="006B6EB9">
            <w:pPr>
              <w:keepNext/>
              <w:keepLines/>
              <w:spacing w:before="60" w:after="60"/>
              <w:ind w:right="65"/>
              <w:jc w:val="right"/>
              <w:rPr>
                <w:color w:val="000000"/>
                <w:sz w:val="20"/>
                <w:szCs w:val="20"/>
              </w:rPr>
            </w:pPr>
          </w:p>
        </w:tc>
        <w:tc>
          <w:tcPr>
            <w:tcW w:w="1710" w:type="dxa"/>
            <w:shd w:val="clear" w:color="auto" w:fill="auto"/>
          </w:tcPr>
          <w:p w:rsidR="005F78D4" w:rsidRPr="00B1063F" w:rsidRDefault="005F78D4" w:rsidP="006B6EB9">
            <w:pPr>
              <w:keepNext/>
              <w:keepLines/>
              <w:spacing w:before="60" w:after="60"/>
              <w:ind w:right="65"/>
              <w:jc w:val="right"/>
              <w:rPr>
                <w:color w:val="000000"/>
                <w:sz w:val="20"/>
                <w:szCs w:val="20"/>
              </w:rPr>
            </w:pPr>
          </w:p>
        </w:tc>
      </w:tr>
      <w:tr w:rsidR="005F78D4" w:rsidRPr="006B6EB9" w:rsidTr="004B72DE">
        <w:trPr>
          <w:cantSplit/>
        </w:trPr>
        <w:tc>
          <w:tcPr>
            <w:tcW w:w="4500" w:type="dxa"/>
            <w:vAlign w:val="bottom"/>
          </w:tcPr>
          <w:p w:rsidR="005F78D4" w:rsidRPr="00B1063F" w:rsidRDefault="005F78D4" w:rsidP="006B6EB9">
            <w:pPr>
              <w:keepNext/>
              <w:keepLines/>
              <w:spacing w:before="60" w:after="60"/>
              <w:rPr>
                <w:rFonts w:eastAsia="SimSun"/>
                <w:sz w:val="20"/>
                <w:szCs w:val="20"/>
                <w:lang w:eastAsia="zh-CN"/>
              </w:rPr>
            </w:pPr>
            <w:r w:rsidRPr="00B1063F">
              <w:rPr>
                <w:rFonts w:eastAsia="SimSun"/>
                <w:sz w:val="20"/>
                <w:szCs w:val="20"/>
                <w:lang w:eastAsia="zh-CN"/>
              </w:rPr>
              <w:t>Rentals (Schedules 71, 72, 74)</w:t>
            </w:r>
          </w:p>
        </w:tc>
        <w:tc>
          <w:tcPr>
            <w:tcW w:w="1800" w:type="dxa"/>
            <w:shd w:val="clear" w:color="auto" w:fill="auto"/>
          </w:tcPr>
          <w:p w:rsidR="005F78D4" w:rsidRPr="00B1063F" w:rsidRDefault="004B72DE" w:rsidP="004B72DE">
            <w:pPr>
              <w:keepNext/>
              <w:keepLines/>
              <w:spacing w:before="60" w:after="60"/>
              <w:ind w:right="65"/>
              <w:jc w:val="right"/>
              <w:rPr>
                <w:color w:val="000000"/>
                <w:sz w:val="20"/>
                <w:szCs w:val="20"/>
              </w:rPr>
            </w:pPr>
            <w:r w:rsidRPr="00B1063F">
              <w:rPr>
                <w:color w:val="000000"/>
                <w:sz w:val="20"/>
                <w:szCs w:val="20"/>
              </w:rPr>
              <w:t>$3,952,</w:t>
            </w:r>
            <w:r w:rsidR="003E12C1" w:rsidRPr="00B1063F">
              <w:rPr>
                <w:color w:val="000000"/>
                <w:sz w:val="20"/>
                <w:szCs w:val="20"/>
              </w:rPr>
              <w:t>898</w:t>
            </w:r>
          </w:p>
        </w:tc>
        <w:tc>
          <w:tcPr>
            <w:tcW w:w="1710" w:type="dxa"/>
            <w:shd w:val="clear" w:color="auto" w:fill="auto"/>
          </w:tcPr>
          <w:p w:rsidR="005F78D4" w:rsidRPr="00B1063F" w:rsidRDefault="004B72DE" w:rsidP="004B72DE">
            <w:pPr>
              <w:keepNext/>
              <w:keepLines/>
              <w:spacing w:before="60" w:after="60"/>
              <w:ind w:right="65"/>
              <w:jc w:val="right"/>
              <w:rPr>
                <w:color w:val="000000"/>
                <w:sz w:val="20"/>
                <w:szCs w:val="20"/>
              </w:rPr>
            </w:pPr>
            <w:r w:rsidRPr="00B1063F">
              <w:rPr>
                <w:color w:val="000000"/>
                <w:sz w:val="20"/>
                <w:szCs w:val="20"/>
              </w:rPr>
              <w:t>$3,95</w:t>
            </w:r>
            <w:r w:rsidR="001D63B1" w:rsidRPr="00B1063F">
              <w:rPr>
                <w:color w:val="000000"/>
                <w:sz w:val="20"/>
                <w:szCs w:val="20"/>
              </w:rPr>
              <w:t>1,</w:t>
            </w:r>
            <w:r w:rsidR="00551217" w:rsidRPr="00B1063F">
              <w:rPr>
                <w:color w:val="000000"/>
                <w:sz w:val="20"/>
                <w:szCs w:val="20"/>
              </w:rPr>
              <w:t>329</w:t>
            </w:r>
          </w:p>
        </w:tc>
      </w:tr>
      <w:tr w:rsidR="005F78D4" w:rsidRPr="006B6EB9" w:rsidTr="004B72DE">
        <w:trPr>
          <w:cantSplit/>
        </w:trPr>
        <w:tc>
          <w:tcPr>
            <w:tcW w:w="4500" w:type="dxa"/>
            <w:vAlign w:val="bottom"/>
          </w:tcPr>
          <w:p w:rsidR="005F78D4" w:rsidRPr="00B1063F" w:rsidRDefault="005F78D4" w:rsidP="006B6EB9">
            <w:pPr>
              <w:keepNext/>
              <w:keepLines/>
              <w:spacing w:before="60" w:after="60"/>
              <w:rPr>
                <w:rFonts w:eastAsia="SimSun"/>
                <w:sz w:val="20"/>
                <w:szCs w:val="20"/>
                <w:lang w:eastAsia="zh-CN"/>
              </w:rPr>
            </w:pPr>
          </w:p>
        </w:tc>
        <w:tc>
          <w:tcPr>
            <w:tcW w:w="1800" w:type="dxa"/>
            <w:shd w:val="clear" w:color="auto" w:fill="auto"/>
          </w:tcPr>
          <w:p w:rsidR="005F78D4" w:rsidRPr="00B1063F" w:rsidRDefault="005F78D4" w:rsidP="006B6EB9">
            <w:pPr>
              <w:keepNext/>
              <w:keepLines/>
              <w:spacing w:before="60" w:after="60"/>
              <w:ind w:right="65"/>
              <w:jc w:val="right"/>
              <w:rPr>
                <w:color w:val="000000"/>
                <w:sz w:val="20"/>
                <w:szCs w:val="20"/>
              </w:rPr>
            </w:pPr>
          </w:p>
        </w:tc>
        <w:tc>
          <w:tcPr>
            <w:tcW w:w="1710" w:type="dxa"/>
            <w:shd w:val="clear" w:color="auto" w:fill="auto"/>
          </w:tcPr>
          <w:p w:rsidR="005F78D4" w:rsidRPr="00B1063F" w:rsidRDefault="005F78D4" w:rsidP="006B6EB9">
            <w:pPr>
              <w:keepNext/>
              <w:keepLines/>
              <w:spacing w:before="60" w:after="60"/>
              <w:ind w:right="65"/>
              <w:jc w:val="right"/>
              <w:rPr>
                <w:color w:val="000000"/>
                <w:sz w:val="20"/>
                <w:szCs w:val="20"/>
              </w:rPr>
            </w:pPr>
          </w:p>
        </w:tc>
      </w:tr>
      <w:tr w:rsidR="00631F5B" w:rsidRPr="006B6EB9" w:rsidTr="004B72DE">
        <w:trPr>
          <w:cantSplit/>
        </w:trPr>
        <w:tc>
          <w:tcPr>
            <w:tcW w:w="4500" w:type="dxa"/>
            <w:vAlign w:val="bottom"/>
          </w:tcPr>
          <w:p w:rsidR="00631F5B" w:rsidRPr="00B1063F" w:rsidRDefault="00631F5B" w:rsidP="006B6EB9">
            <w:pPr>
              <w:keepNext/>
              <w:keepLines/>
              <w:spacing w:before="60" w:after="60"/>
              <w:rPr>
                <w:rFonts w:eastAsia="SimSun"/>
                <w:sz w:val="20"/>
                <w:szCs w:val="20"/>
                <w:lang w:eastAsia="zh-CN"/>
              </w:rPr>
            </w:pPr>
            <w:r w:rsidRPr="00B1063F">
              <w:rPr>
                <w:rFonts w:eastAsia="SimSun"/>
                <w:sz w:val="20"/>
                <w:szCs w:val="20"/>
                <w:lang w:eastAsia="zh-CN"/>
              </w:rPr>
              <w:t>Total Core Customers</w:t>
            </w:r>
          </w:p>
        </w:tc>
        <w:tc>
          <w:tcPr>
            <w:tcW w:w="1800" w:type="dxa"/>
            <w:shd w:val="clear" w:color="auto" w:fill="auto"/>
          </w:tcPr>
          <w:p w:rsidR="00631F5B" w:rsidRPr="00B1063F" w:rsidRDefault="004B72DE" w:rsidP="004B72DE">
            <w:pPr>
              <w:keepNext/>
              <w:keepLines/>
              <w:spacing w:before="60" w:after="60"/>
              <w:ind w:right="65"/>
              <w:jc w:val="right"/>
              <w:rPr>
                <w:color w:val="000000"/>
                <w:sz w:val="20"/>
                <w:szCs w:val="20"/>
              </w:rPr>
            </w:pPr>
            <w:r w:rsidRPr="00B1063F">
              <w:rPr>
                <w:color w:val="000000"/>
                <w:sz w:val="20"/>
                <w:szCs w:val="20"/>
              </w:rPr>
              <w:t>$99</w:t>
            </w:r>
            <w:r w:rsidR="003E12C1" w:rsidRPr="00B1063F">
              <w:rPr>
                <w:color w:val="000000"/>
                <w:sz w:val="20"/>
                <w:szCs w:val="20"/>
              </w:rPr>
              <w:t>0,327,285</w:t>
            </w:r>
          </w:p>
        </w:tc>
        <w:tc>
          <w:tcPr>
            <w:tcW w:w="1710" w:type="dxa"/>
            <w:shd w:val="clear" w:color="auto" w:fill="auto"/>
          </w:tcPr>
          <w:p w:rsidR="00631F5B" w:rsidRPr="00B1063F" w:rsidRDefault="004B72DE" w:rsidP="004B72DE">
            <w:pPr>
              <w:keepNext/>
              <w:keepLines/>
              <w:spacing w:before="60" w:after="60"/>
              <w:ind w:right="65"/>
              <w:jc w:val="right"/>
              <w:rPr>
                <w:color w:val="000000"/>
                <w:sz w:val="20"/>
                <w:szCs w:val="20"/>
              </w:rPr>
            </w:pPr>
            <w:r w:rsidRPr="00B1063F">
              <w:rPr>
                <w:color w:val="000000"/>
                <w:sz w:val="20"/>
                <w:szCs w:val="20"/>
              </w:rPr>
              <w:t>$9</w:t>
            </w:r>
            <w:r w:rsidR="001D63B1" w:rsidRPr="00B1063F">
              <w:rPr>
                <w:color w:val="000000"/>
                <w:sz w:val="20"/>
                <w:szCs w:val="20"/>
              </w:rPr>
              <w:t>8</w:t>
            </w:r>
            <w:r w:rsidR="00227E18" w:rsidRPr="00B1063F">
              <w:rPr>
                <w:color w:val="000000"/>
                <w:sz w:val="20"/>
                <w:szCs w:val="20"/>
              </w:rPr>
              <w:t>6,</w:t>
            </w:r>
            <w:r w:rsidR="00551217" w:rsidRPr="00B1063F">
              <w:rPr>
                <w:color w:val="000000"/>
                <w:sz w:val="20"/>
                <w:szCs w:val="20"/>
              </w:rPr>
              <w:t>907,432</w:t>
            </w:r>
          </w:p>
        </w:tc>
      </w:tr>
      <w:tr w:rsidR="00631F5B" w:rsidRPr="006B6EB9" w:rsidTr="004B72DE">
        <w:trPr>
          <w:cantSplit/>
        </w:trPr>
        <w:tc>
          <w:tcPr>
            <w:tcW w:w="4500" w:type="dxa"/>
            <w:vAlign w:val="bottom"/>
          </w:tcPr>
          <w:p w:rsidR="00631F5B" w:rsidRPr="00B1063F" w:rsidRDefault="00631F5B" w:rsidP="006B6EB9">
            <w:pPr>
              <w:keepNext/>
              <w:keepLines/>
              <w:spacing w:before="60" w:after="60"/>
              <w:rPr>
                <w:rFonts w:eastAsia="SimSun"/>
                <w:sz w:val="20"/>
                <w:szCs w:val="20"/>
                <w:lang w:eastAsia="zh-CN"/>
              </w:rPr>
            </w:pPr>
          </w:p>
        </w:tc>
        <w:tc>
          <w:tcPr>
            <w:tcW w:w="1800" w:type="dxa"/>
            <w:shd w:val="clear" w:color="auto" w:fill="auto"/>
          </w:tcPr>
          <w:p w:rsidR="00631F5B" w:rsidRPr="00B1063F" w:rsidRDefault="00631F5B" w:rsidP="006B6EB9">
            <w:pPr>
              <w:keepNext/>
              <w:keepLines/>
              <w:spacing w:before="60" w:after="60"/>
              <w:ind w:right="65"/>
              <w:jc w:val="right"/>
              <w:rPr>
                <w:color w:val="000000"/>
                <w:sz w:val="20"/>
                <w:szCs w:val="20"/>
              </w:rPr>
            </w:pPr>
          </w:p>
        </w:tc>
        <w:tc>
          <w:tcPr>
            <w:tcW w:w="1710" w:type="dxa"/>
            <w:shd w:val="clear" w:color="auto" w:fill="auto"/>
          </w:tcPr>
          <w:p w:rsidR="00631F5B" w:rsidRPr="00B1063F" w:rsidRDefault="00631F5B" w:rsidP="006B6EB9">
            <w:pPr>
              <w:keepNext/>
              <w:keepLines/>
              <w:spacing w:before="60" w:after="60"/>
              <w:ind w:right="65"/>
              <w:jc w:val="right"/>
              <w:rPr>
                <w:color w:val="000000"/>
                <w:sz w:val="20"/>
                <w:szCs w:val="20"/>
              </w:rPr>
            </w:pPr>
          </w:p>
        </w:tc>
      </w:tr>
      <w:tr w:rsidR="005F78D4" w:rsidRPr="006B6EB9" w:rsidTr="004B72DE">
        <w:trPr>
          <w:cantSplit/>
        </w:trPr>
        <w:tc>
          <w:tcPr>
            <w:tcW w:w="4500" w:type="dxa"/>
            <w:vAlign w:val="bottom"/>
          </w:tcPr>
          <w:p w:rsidR="005F78D4" w:rsidRPr="00B1063F" w:rsidRDefault="005F78D4" w:rsidP="006B6EB9">
            <w:pPr>
              <w:keepNext/>
              <w:keepLines/>
              <w:spacing w:before="60" w:after="60"/>
              <w:rPr>
                <w:rFonts w:eastAsia="SimSun"/>
                <w:sz w:val="20"/>
                <w:szCs w:val="20"/>
                <w:lang w:eastAsia="zh-CN"/>
              </w:rPr>
            </w:pPr>
            <w:r w:rsidRPr="00B1063F">
              <w:rPr>
                <w:rFonts w:eastAsia="SimSun"/>
                <w:sz w:val="20"/>
                <w:szCs w:val="20"/>
                <w:lang w:eastAsia="zh-CN"/>
              </w:rPr>
              <w:t xml:space="preserve">TOTE </w:t>
            </w:r>
            <w:r w:rsidR="004D59BE">
              <w:rPr>
                <w:rFonts w:eastAsia="SimSun"/>
                <w:sz w:val="20"/>
                <w:szCs w:val="20"/>
                <w:lang w:eastAsia="zh-CN"/>
              </w:rPr>
              <w:t xml:space="preserve">Special </w:t>
            </w:r>
            <w:r w:rsidRPr="00B1063F">
              <w:rPr>
                <w:rFonts w:eastAsia="SimSun"/>
                <w:sz w:val="20"/>
                <w:szCs w:val="20"/>
                <w:lang w:eastAsia="zh-CN"/>
              </w:rPr>
              <w:t>Contract</w:t>
            </w:r>
          </w:p>
        </w:tc>
        <w:tc>
          <w:tcPr>
            <w:tcW w:w="1800" w:type="dxa"/>
            <w:shd w:val="clear" w:color="auto" w:fill="auto"/>
          </w:tcPr>
          <w:p w:rsidR="005F78D4" w:rsidRPr="00B1063F" w:rsidRDefault="004B72DE" w:rsidP="004B72DE">
            <w:pPr>
              <w:keepNext/>
              <w:keepLines/>
              <w:spacing w:before="60" w:after="60"/>
              <w:ind w:right="65"/>
              <w:jc w:val="right"/>
              <w:rPr>
                <w:color w:val="000000"/>
                <w:sz w:val="20"/>
                <w:szCs w:val="20"/>
              </w:rPr>
            </w:pPr>
            <w:r w:rsidRPr="00B1063F">
              <w:rPr>
                <w:color w:val="000000"/>
                <w:sz w:val="20"/>
                <w:szCs w:val="20"/>
              </w:rPr>
              <w:t>$2</w:t>
            </w:r>
            <w:r w:rsidR="003E12C1" w:rsidRPr="00B1063F">
              <w:rPr>
                <w:color w:val="000000"/>
                <w:sz w:val="20"/>
                <w:szCs w:val="20"/>
              </w:rPr>
              <w:t>4,862,443</w:t>
            </w:r>
          </w:p>
        </w:tc>
        <w:tc>
          <w:tcPr>
            <w:tcW w:w="1710" w:type="dxa"/>
            <w:shd w:val="clear" w:color="auto" w:fill="auto"/>
          </w:tcPr>
          <w:p w:rsidR="005F78D4" w:rsidRPr="00B1063F" w:rsidRDefault="004B72DE" w:rsidP="004B72DE">
            <w:pPr>
              <w:keepNext/>
              <w:keepLines/>
              <w:spacing w:before="60" w:after="60"/>
              <w:ind w:right="65"/>
              <w:jc w:val="right"/>
              <w:rPr>
                <w:color w:val="000000"/>
                <w:sz w:val="20"/>
                <w:szCs w:val="20"/>
              </w:rPr>
            </w:pPr>
            <w:r w:rsidRPr="00B1063F">
              <w:rPr>
                <w:color w:val="000000"/>
                <w:sz w:val="20"/>
                <w:szCs w:val="20"/>
              </w:rPr>
              <w:t>$2</w:t>
            </w:r>
            <w:r w:rsidR="00227E18" w:rsidRPr="00B1063F">
              <w:rPr>
                <w:color w:val="000000"/>
                <w:sz w:val="20"/>
                <w:szCs w:val="20"/>
              </w:rPr>
              <w:t>6,877,170</w:t>
            </w:r>
          </w:p>
        </w:tc>
      </w:tr>
      <w:tr w:rsidR="005F78D4" w:rsidRPr="006B6EB9" w:rsidTr="004B72DE">
        <w:trPr>
          <w:cantSplit/>
        </w:trPr>
        <w:tc>
          <w:tcPr>
            <w:tcW w:w="4500" w:type="dxa"/>
            <w:vAlign w:val="bottom"/>
          </w:tcPr>
          <w:p w:rsidR="005F78D4" w:rsidRPr="00B1063F" w:rsidRDefault="005F78D4" w:rsidP="006B6EB9">
            <w:pPr>
              <w:keepNext/>
              <w:keepLines/>
              <w:spacing w:before="60" w:after="60"/>
              <w:rPr>
                <w:rFonts w:eastAsia="SimSun"/>
                <w:sz w:val="20"/>
                <w:szCs w:val="20"/>
                <w:lang w:eastAsia="zh-CN"/>
              </w:rPr>
            </w:pPr>
          </w:p>
        </w:tc>
        <w:tc>
          <w:tcPr>
            <w:tcW w:w="1800" w:type="dxa"/>
            <w:shd w:val="clear" w:color="auto" w:fill="auto"/>
          </w:tcPr>
          <w:p w:rsidR="005F78D4" w:rsidRPr="00B1063F" w:rsidRDefault="005F78D4" w:rsidP="006B6EB9">
            <w:pPr>
              <w:keepNext/>
              <w:keepLines/>
              <w:spacing w:before="60" w:after="60"/>
              <w:ind w:right="65"/>
              <w:jc w:val="right"/>
              <w:rPr>
                <w:color w:val="000000"/>
                <w:sz w:val="20"/>
                <w:szCs w:val="20"/>
              </w:rPr>
            </w:pPr>
          </w:p>
        </w:tc>
        <w:tc>
          <w:tcPr>
            <w:tcW w:w="1710" w:type="dxa"/>
            <w:shd w:val="clear" w:color="auto" w:fill="auto"/>
          </w:tcPr>
          <w:p w:rsidR="005F78D4" w:rsidRPr="00B1063F" w:rsidRDefault="005F78D4" w:rsidP="006B6EB9">
            <w:pPr>
              <w:keepNext/>
              <w:keepLines/>
              <w:spacing w:before="60" w:after="60"/>
              <w:ind w:right="65"/>
              <w:jc w:val="right"/>
              <w:rPr>
                <w:color w:val="000000"/>
                <w:sz w:val="20"/>
                <w:szCs w:val="20"/>
              </w:rPr>
            </w:pPr>
          </w:p>
        </w:tc>
      </w:tr>
      <w:tr w:rsidR="005F78D4" w:rsidRPr="006B6EB9" w:rsidTr="004B72DE">
        <w:trPr>
          <w:cantSplit/>
        </w:trPr>
        <w:tc>
          <w:tcPr>
            <w:tcW w:w="4500" w:type="dxa"/>
            <w:vAlign w:val="bottom"/>
          </w:tcPr>
          <w:p w:rsidR="005F78D4" w:rsidRPr="00B1063F" w:rsidRDefault="005F78D4" w:rsidP="006B6EB9">
            <w:pPr>
              <w:spacing w:before="60" w:after="60"/>
              <w:rPr>
                <w:rFonts w:eastAsia="SimSun"/>
                <w:sz w:val="20"/>
                <w:szCs w:val="20"/>
                <w:lang w:eastAsia="zh-CN"/>
              </w:rPr>
            </w:pPr>
            <w:r w:rsidRPr="00B1063F">
              <w:rPr>
                <w:rFonts w:eastAsia="SimSun"/>
                <w:sz w:val="20"/>
                <w:szCs w:val="20"/>
                <w:lang w:eastAsia="zh-CN"/>
              </w:rPr>
              <w:t>Total</w:t>
            </w:r>
            <w:r w:rsidR="004B72DE" w:rsidRPr="00B1063F">
              <w:rPr>
                <w:rFonts w:eastAsia="SimSun"/>
                <w:sz w:val="20"/>
                <w:szCs w:val="20"/>
                <w:lang w:eastAsia="zh-CN"/>
              </w:rPr>
              <w:t xml:space="preserve"> Regulated</w:t>
            </w:r>
          </w:p>
        </w:tc>
        <w:tc>
          <w:tcPr>
            <w:tcW w:w="1800" w:type="dxa"/>
            <w:shd w:val="clear" w:color="auto" w:fill="auto"/>
          </w:tcPr>
          <w:p w:rsidR="005F78D4" w:rsidRPr="00B1063F" w:rsidRDefault="004B72DE" w:rsidP="004B72DE">
            <w:pPr>
              <w:keepNext/>
              <w:keepLines/>
              <w:spacing w:before="60" w:after="60"/>
              <w:ind w:right="65"/>
              <w:jc w:val="right"/>
              <w:rPr>
                <w:color w:val="000000"/>
                <w:sz w:val="20"/>
                <w:szCs w:val="20"/>
              </w:rPr>
            </w:pPr>
            <w:r w:rsidRPr="00B1063F">
              <w:rPr>
                <w:color w:val="000000"/>
                <w:sz w:val="20"/>
                <w:szCs w:val="20"/>
              </w:rPr>
              <w:t>$1,015,1</w:t>
            </w:r>
            <w:r w:rsidR="00B52D33" w:rsidRPr="00B1063F">
              <w:rPr>
                <w:color w:val="000000"/>
                <w:sz w:val="20"/>
                <w:szCs w:val="20"/>
              </w:rPr>
              <w:t>89,728</w:t>
            </w:r>
          </w:p>
        </w:tc>
        <w:tc>
          <w:tcPr>
            <w:tcW w:w="1710" w:type="dxa"/>
            <w:shd w:val="clear" w:color="auto" w:fill="auto"/>
          </w:tcPr>
          <w:p w:rsidR="005F78D4" w:rsidRPr="00B1063F" w:rsidRDefault="004B72DE" w:rsidP="004B72DE">
            <w:pPr>
              <w:keepNext/>
              <w:keepLines/>
              <w:spacing w:before="60" w:after="60"/>
              <w:ind w:right="65"/>
              <w:jc w:val="right"/>
              <w:rPr>
                <w:color w:val="000000"/>
                <w:sz w:val="20"/>
                <w:szCs w:val="20"/>
              </w:rPr>
            </w:pPr>
            <w:r w:rsidRPr="00B1063F">
              <w:rPr>
                <w:color w:val="000000"/>
                <w:sz w:val="20"/>
                <w:szCs w:val="20"/>
              </w:rPr>
              <w:t>$1,01</w:t>
            </w:r>
            <w:r w:rsidR="00551217" w:rsidRPr="00B1063F">
              <w:rPr>
                <w:color w:val="000000"/>
                <w:sz w:val="20"/>
                <w:szCs w:val="20"/>
              </w:rPr>
              <w:t>4,780,365</w:t>
            </w:r>
          </w:p>
        </w:tc>
      </w:tr>
    </w:tbl>
    <w:p w:rsidR="006B6EB9" w:rsidRDefault="006B6EB9" w:rsidP="00F85CB7">
      <w:pPr>
        <w:pStyle w:val="answer"/>
        <w:spacing w:before="360"/>
        <w:ind w:firstLine="0"/>
      </w:pPr>
      <w:r>
        <w:t>Please see Exhibit No</w:t>
      </w:r>
      <w:r w:rsidR="004D59BE">
        <w:t>. ___(</w:t>
      </w:r>
      <w:r>
        <w:t>JAP-</w:t>
      </w:r>
      <w:r w:rsidR="00685258">
        <w:t>6</w:t>
      </w:r>
      <w:r>
        <w:t xml:space="preserve">) for additional detail regarding the results presented in </w:t>
      </w:r>
      <w:r w:rsidR="00B76959" w:rsidRPr="00B76959">
        <w:fldChar w:fldCharType="begin"/>
      </w:r>
      <w:r w:rsidR="00B76959" w:rsidRPr="00B76959">
        <w:instrText xml:space="preserve"> REF _Ref412112273 \h  \* MERGEFORMAT </w:instrText>
      </w:r>
      <w:r w:rsidR="00B76959" w:rsidRPr="00B76959">
        <w:fldChar w:fldCharType="separate"/>
      </w:r>
      <w:r w:rsidR="003E12C1" w:rsidRPr="003E12C1">
        <w:rPr>
          <w:bCs/>
        </w:rPr>
        <w:t xml:space="preserve">Table </w:t>
      </w:r>
      <w:r w:rsidR="003E12C1" w:rsidRPr="003E12C1">
        <w:rPr>
          <w:bCs/>
          <w:noProof/>
        </w:rPr>
        <w:t>3</w:t>
      </w:r>
      <w:r w:rsidR="00B76959" w:rsidRPr="00B76959">
        <w:fldChar w:fldCharType="end"/>
      </w:r>
      <w:r>
        <w:t>.  Please see Exhibit No</w:t>
      </w:r>
      <w:r w:rsidR="004D59BE">
        <w:t>. ___(</w:t>
      </w:r>
      <w:r>
        <w:t>JAP-</w:t>
      </w:r>
      <w:r w:rsidR="00685258">
        <w:t>7</w:t>
      </w:r>
      <w:r>
        <w:t xml:space="preserve">) for a presentation of the key allocation factors underlying the results in </w:t>
      </w:r>
      <w:r w:rsidR="00B76959" w:rsidRPr="004C0B6A">
        <w:fldChar w:fldCharType="begin"/>
      </w:r>
      <w:r w:rsidR="00B76959" w:rsidRPr="004C0B6A">
        <w:instrText xml:space="preserve"> REF _Ref412112273 \h  \* MERGEFORMAT </w:instrText>
      </w:r>
      <w:r w:rsidR="00B76959" w:rsidRPr="004C0B6A">
        <w:fldChar w:fldCharType="separate"/>
      </w:r>
      <w:r w:rsidR="003E12C1" w:rsidRPr="003E12C1">
        <w:rPr>
          <w:bCs/>
        </w:rPr>
        <w:t xml:space="preserve">Table </w:t>
      </w:r>
      <w:r w:rsidR="003E12C1" w:rsidRPr="003E12C1">
        <w:rPr>
          <w:bCs/>
          <w:noProof/>
        </w:rPr>
        <w:t>3</w:t>
      </w:r>
      <w:r w:rsidR="00B76959" w:rsidRPr="004C0B6A">
        <w:fldChar w:fldCharType="end"/>
      </w:r>
      <w:r>
        <w:t>.</w:t>
      </w:r>
      <w:r w:rsidR="005A4BCA">
        <w:t xml:space="preserve"> </w:t>
      </w:r>
    </w:p>
    <w:p w:rsidR="00094B99" w:rsidRDefault="00094B99" w:rsidP="00094B99">
      <w:pPr>
        <w:pStyle w:val="question"/>
        <w:keepNext/>
        <w:spacing w:before="120"/>
      </w:pPr>
      <w:r>
        <w:t>Q.</w:t>
      </w:r>
      <w:r>
        <w:tab/>
        <w:t>Is TOTE paying its share of allocated costs?</w:t>
      </w:r>
    </w:p>
    <w:p w:rsidR="00DA4D2F" w:rsidRDefault="00094B99" w:rsidP="00DD2B4E">
      <w:pPr>
        <w:pStyle w:val="answer"/>
      </w:pPr>
      <w:r>
        <w:t>A.</w:t>
      </w:r>
      <w:r>
        <w:tab/>
        <w:t xml:space="preserve">Yes.  As </w:t>
      </w:r>
      <w:r w:rsidR="00D961A6">
        <w:t xml:space="preserve">reflected in the workpapers supporting </w:t>
      </w:r>
      <w:r>
        <w:t>the Prefiled Direct Testimony of Roger Garratt, Exhibit No. ___(RG-1</w:t>
      </w:r>
      <w:r w:rsidR="00B1063F">
        <w:t>C</w:t>
      </w:r>
      <w:r>
        <w:t>T),</w:t>
      </w:r>
      <w:r w:rsidR="00B1063F">
        <w:t xml:space="preserve"> and the Prefiled Direct Testimony of Clay Riding, Exhibit No. ___(CR-1HCT),</w:t>
      </w:r>
      <w:r>
        <w:t xml:space="preserve"> the TOTE </w:t>
      </w:r>
      <w:r w:rsidR="004D59BE">
        <w:t>Special C</w:t>
      </w:r>
      <w:r>
        <w:t xml:space="preserve">ontract is expected to produce </w:t>
      </w:r>
      <w:r w:rsidR="004F5CBF">
        <w:t xml:space="preserve">between </w:t>
      </w:r>
      <w:r w:rsidR="00CE288C">
        <w:t>$24.9</w:t>
      </w:r>
      <w:r w:rsidR="009C51A2">
        <w:t xml:space="preserve"> million</w:t>
      </w:r>
      <w:r w:rsidR="004F5CBF">
        <w:t xml:space="preserve"> and $26.9 million</w:t>
      </w:r>
      <w:r>
        <w:t xml:space="preserve"> in first year revenue.</w:t>
      </w:r>
      <w:r w:rsidR="009C51A2">
        <w:rPr>
          <w:rStyle w:val="FootnoteReference"/>
        </w:rPr>
        <w:footnoteReference w:id="3"/>
      </w:r>
      <w:r>
        <w:t xml:space="preserve">  As shown in </w:t>
      </w:r>
      <w:r w:rsidRPr="004C0B6A">
        <w:fldChar w:fldCharType="begin"/>
      </w:r>
      <w:r w:rsidRPr="004C0B6A">
        <w:instrText xml:space="preserve"> REF _Ref412112273 \h  \* MERGEFORMAT </w:instrText>
      </w:r>
      <w:r w:rsidRPr="004C0B6A">
        <w:fldChar w:fldCharType="separate"/>
      </w:r>
      <w:r w:rsidR="003E12C1" w:rsidRPr="003E12C1">
        <w:rPr>
          <w:bCs/>
        </w:rPr>
        <w:t xml:space="preserve">Table </w:t>
      </w:r>
      <w:r w:rsidR="003E12C1" w:rsidRPr="003E12C1">
        <w:rPr>
          <w:bCs/>
          <w:noProof/>
        </w:rPr>
        <w:t>3</w:t>
      </w:r>
      <w:r w:rsidRPr="004C0B6A">
        <w:fldChar w:fldCharType="end"/>
      </w:r>
      <w:r>
        <w:t xml:space="preserve">, TOTE is allocated </w:t>
      </w:r>
      <w:r w:rsidR="009C51A2">
        <w:t xml:space="preserve">approximately $22.4 million </w:t>
      </w:r>
      <w:r>
        <w:t xml:space="preserve">in </w:t>
      </w:r>
      <w:r w:rsidR="00D961A6">
        <w:t xml:space="preserve">first year </w:t>
      </w:r>
      <w:r>
        <w:t xml:space="preserve">cost.  This results in </w:t>
      </w:r>
      <w:r w:rsidR="00CE288C">
        <w:t>approximately $2.5</w:t>
      </w:r>
      <w:r w:rsidR="009C51A2">
        <w:t xml:space="preserve"> million</w:t>
      </w:r>
      <w:r w:rsidR="00C52858">
        <w:t xml:space="preserve"> to $4.5 million </w:t>
      </w:r>
      <w:r w:rsidR="0097626A">
        <w:t xml:space="preserve">of surplus </w:t>
      </w:r>
      <w:r w:rsidR="00D961A6">
        <w:t xml:space="preserve">first year </w:t>
      </w:r>
      <w:r w:rsidR="0097626A">
        <w:t xml:space="preserve">revenue </w:t>
      </w:r>
      <w:r>
        <w:t xml:space="preserve">to be allocated among </w:t>
      </w:r>
      <w:r w:rsidR="006B6EB9">
        <w:t xml:space="preserve">core </w:t>
      </w:r>
      <w:r w:rsidR="00B76959">
        <w:t xml:space="preserve">natural </w:t>
      </w:r>
      <w:r w:rsidR="006B6EB9">
        <w:t xml:space="preserve">gas customer classes as a credit against their allocated costs.  </w:t>
      </w:r>
      <w:r w:rsidR="00A5614E">
        <w:t xml:space="preserve">For purposes of this analysis, </w:t>
      </w:r>
      <w:r w:rsidR="00E70F2F">
        <w:t xml:space="preserve">this </w:t>
      </w:r>
      <w:r w:rsidR="00A5614E">
        <w:t>surplus revenue</w:t>
      </w:r>
      <w:r w:rsidR="00E70F2F">
        <w:t xml:space="preserve"> wa</w:t>
      </w:r>
      <w:r w:rsidR="00A5614E">
        <w:t>s allocated to core natural gas customers in proportion to their allocated share of the incremental revenue requirement associated with the Tacoma LNG Project, including the Tacoma LNG Facility and associated distribution upgrades.</w:t>
      </w:r>
      <w:r w:rsidR="009C51A2">
        <w:t xml:space="preserve"> </w:t>
      </w:r>
      <w:r w:rsidR="00FD5CE6">
        <w:t xml:space="preserve"> The results in</w:t>
      </w:r>
      <w:r w:rsidR="006B6EB9">
        <w:t xml:space="preserve"> </w:t>
      </w:r>
      <w:r w:rsidR="00B76959" w:rsidRPr="004C0B6A">
        <w:fldChar w:fldCharType="begin"/>
      </w:r>
      <w:r w:rsidR="00B76959" w:rsidRPr="004C0B6A">
        <w:instrText xml:space="preserve"> REF _Ref412112273 \h  \* MERGEFORMAT </w:instrText>
      </w:r>
      <w:r w:rsidR="00B76959" w:rsidRPr="004C0B6A">
        <w:fldChar w:fldCharType="separate"/>
      </w:r>
      <w:r w:rsidR="003E12C1" w:rsidRPr="003E12C1">
        <w:rPr>
          <w:bCs/>
        </w:rPr>
        <w:t xml:space="preserve">Table </w:t>
      </w:r>
      <w:r w:rsidR="003E12C1" w:rsidRPr="003E12C1">
        <w:rPr>
          <w:bCs/>
          <w:noProof/>
        </w:rPr>
        <w:t>3</w:t>
      </w:r>
      <w:r w:rsidR="00B76959" w:rsidRPr="004C0B6A">
        <w:fldChar w:fldCharType="end"/>
      </w:r>
      <w:r w:rsidR="006B6EB9">
        <w:t xml:space="preserve"> </w:t>
      </w:r>
      <w:r w:rsidR="00762812">
        <w:t xml:space="preserve">reflect the allocation of this surplus revenue from TOTE to PSE’s </w:t>
      </w:r>
      <w:r w:rsidR="006B6EB9">
        <w:t xml:space="preserve">core </w:t>
      </w:r>
      <w:r w:rsidR="00B76959">
        <w:t xml:space="preserve">natural </w:t>
      </w:r>
      <w:r w:rsidR="006B6EB9">
        <w:t>gas customers</w:t>
      </w:r>
      <w:r w:rsidR="00F60403">
        <w:t>.</w:t>
      </w:r>
    </w:p>
    <w:p w:rsidR="00AC1A3E" w:rsidRDefault="00AC1A3E" w:rsidP="00F60403">
      <w:pPr>
        <w:pStyle w:val="Heading1"/>
      </w:pPr>
      <w:bookmarkStart w:id="21" w:name="_Toc426899584"/>
      <w:r>
        <w:t>VI.</w:t>
      </w:r>
      <w:r>
        <w:tab/>
        <w:t>OVERALL NET IMPACT OF TACOMA LNG</w:t>
      </w:r>
      <w:r w:rsidR="00F60403">
        <w:br/>
      </w:r>
      <w:r>
        <w:t xml:space="preserve">PROJECT TO CORE </w:t>
      </w:r>
      <w:r w:rsidR="00B76959">
        <w:t xml:space="preserve">NATURAL </w:t>
      </w:r>
      <w:r>
        <w:t>GAS CUSTOMERS</w:t>
      </w:r>
      <w:bookmarkEnd w:id="21"/>
    </w:p>
    <w:p w:rsidR="00AC1A3E" w:rsidRDefault="00AC1A3E" w:rsidP="00F60403">
      <w:pPr>
        <w:pStyle w:val="question"/>
        <w:keepNext/>
        <w:spacing w:before="120"/>
      </w:pPr>
      <w:r>
        <w:t>Q.</w:t>
      </w:r>
      <w:r>
        <w:tab/>
        <w:t xml:space="preserve">What is the overall impact of the Tacoma LNG Project on the baseline costs allocated to core </w:t>
      </w:r>
      <w:r w:rsidR="00B76959">
        <w:t xml:space="preserve">natural </w:t>
      </w:r>
      <w:r>
        <w:t>gas customers?</w:t>
      </w:r>
    </w:p>
    <w:p w:rsidR="00AC1A3E" w:rsidRDefault="00AC1A3E" w:rsidP="00F85CB7">
      <w:pPr>
        <w:pStyle w:val="answer"/>
      </w:pPr>
      <w:r>
        <w:t>A.</w:t>
      </w:r>
      <w:r>
        <w:tab/>
        <w:t xml:space="preserve">Based on the analysis described above, core </w:t>
      </w:r>
      <w:r w:rsidR="00242DB2">
        <w:t xml:space="preserve">natural </w:t>
      </w:r>
      <w:r>
        <w:t>gas customers’ allocated costs, including property tax expenses recovered through Schedule</w:t>
      </w:r>
      <w:r w:rsidR="00F60403">
        <w:t> </w:t>
      </w:r>
      <w:r>
        <w:t>140,</w:t>
      </w:r>
      <w:r w:rsidR="00F60403">
        <w:t xml:space="preserve"> </w:t>
      </w:r>
      <w:r>
        <w:t>are expected to increase by</w:t>
      </w:r>
      <w:r w:rsidR="00B76959">
        <w:t xml:space="preserve"> between</w:t>
      </w:r>
      <w:r>
        <w:t xml:space="preserve"> </w:t>
      </w:r>
      <w:r w:rsidR="005A4BCA">
        <w:t>$</w:t>
      </w:r>
      <w:r w:rsidR="00551217">
        <w:t>30.6</w:t>
      </w:r>
      <w:r w:rsidR="00CE288C">
        <w:t xml:space="preserve"> million to $34.0</w:t>
      </w:r>
      <w:r w:rsidR="005A4BCA">
        <w:t xml:space="preserve"> million </w:t>
      </w:r>
      <w:r>
        <w:t>over baseline levels</w:t>
      </w:r>
      <w:r w:rsidR="00B76959">
        <w:t xml:space="preserve"> depending on the level of sales related to </w:t>
      </w:r>
      <w:r w:rsidR="007F1696">
        <w:t xml:space="preserve">PSE’s </w:t>
      </w:r>
      <w:r w:rsidR="004D59BE">
        <w:t xml:space="preserve">non-regulated </w:t>
      </w:r>
      <w:r w:rsidR="007F1696">
        <w:t xml:space="preserve">investment in </w:t>
      </w:r>
      <w:r w:rsidR="00B76959">
        <w:t xml:space="preserve">the </w:t>
      </w:r>
      <w:r w:rsidR="00FD5CE6">
        <w:t xml:space="preserve">Tacoma </w:t>
      </w:r>
      <w:r w:rsidR="00B76959">
        <w:t>LNG Facility</w:t>
      </w:r>
      <w:r>
        <w:t xml:space="preserve">.  </w:t>
      </w:r>
      <w:r w:rsidR="00F60403">
        <w:t xml:space="preserve">Please see </w:t>
      </w:r>
      <w:r w:rsidR="00B76959" w:rsidRPr="00B76959">
        <w:fldChar w:fldCharType="begin"/>
      </w:r>
      <w:r w:rsidR="00B76959" w:rsidRPr="00B76959">
        <w:instrText xml:space="preserve"> REF _Ref412115011 \h  \* MERGEFORMAT </w:instrText>
      </w:r>
      <w:r w:rsidR="00B76959" w:rsidRPr="00B76959">
        <w:fldChar w:fldCharType="separate"/>
      </w:r>
      <w:r w:rsidR="003E12C1" w:rsidRPr="003E12C1">
        <w:rPr>
          <w:bCs/>
        </w:rPr>
        <w:t xml:space="preserve">Table </w:t>
      </w:r>
      <w:r w:rsidR="003E12C1" w:rsidRPr="003E12C1">
        <w:rPr>
          <w:bCs/>
          <w:noProof/>
        </w:rPr>
        <w:t>4</w:t>
      </w:r>
      <w:r w:rsidR="00B76959" w:rsidRPr="00B76959">
        <w:fldChar w:fldCharType="end"/>
      </w:r>
      <w:r>
        <w:t xml:space="preserve"> below </w:t>
      </w:r>
      <w:r w:rsidR="00F60403">
        <w:t xml:space="preserve">for a projection of how PSE would allocate </w:t>
      </w:r>
      <w:r>
        <w:t xml:space="preserve">this increase among </w:t>
      </w:r>
      <w:r w:rsidR="00F60403">
        <w:t xml:space="preserve">core </w:t>
      </w:r>
      <w:r w:rsidR="00B76959">
        <w:t xml:space="preserve">natural </w:t>
      </w:r>
      <w:r w:rsidR="00F60403">
        <w:t>gas customer rate groups</w:t>
      </w:r>
      <w:r w:rsidR="009C51A2">
        <w:t xml:space="preserve"> using its current approaches to cost allocation</w:t>
      </w:r>
      <w:r w:rsidR="00762812">
        <w:t xml:space="preserve">, </w:t>
      </w:r>
      <w:r w:rsidR="009C51A2">
        <w:t xml:space="preserve">and </w:t>
      </w:r>
      <w:r w:rsidR="00762812">
        <w:t xml:space="preserve">depending on the level of LNG sales associated with PSE’s </w:t>
      </w:r>
      <w:r w:rsidR="004D59BE">
        <w:t xml:space="preserve">non-regulated </w:t>
      </w:r>
      <w:r w:rsidR="00762812">
        <w:t>investment in the Tacoma LNG Facility</w:t>
      </w:r>
      <w:r w:rsidR="00F60403">
        <w:t>.</w:t>
      </w:r>
    </w:p>
    <w:p w:rsidR="00F60403" w:rsidRPr="00F60403" w:rsidRDefault="00F60403" w:rsidP="00F60403">
      <w:pPr>
        <w:keepNext/>
        <w:spacing w:before="120" w:after="120" w:line="240" w:lineRule="exact"/>
        <w:jc w:val="center"/>
        <w:rPr>
          <w:b/>
          <w:bCs/>
        </w:rPr>
      </w:pPr>
      <w:bookmarkStart w:id="22" w:name="_Ref412115011"/>
      <w:r w:rsidRPr="00F60403">
        <w:rPr>
          <w:b/>
          <w:bCs/>
        </w:rPr>
        <w:t xml:space="preserve">Table </w:t>
      </w:r>
      <w:r w:rsidRPr="00F60403">
        <w:rPr>
          <w:b/>
          <w:bCs/>
        </w:rPr>
        <w:fldChar w:fldCharType="begin"/>
      </w:r>
      <w:r w:rsidRPr="00F60403">
        <w:rPr>
          <w:b/>
          <w:bCs/>
        </w:rPr>
        <w:instrText xml:space="preserve"> SEQ Table \* ARABIC </w:instrText>
      </w:r>
      <w:r w:rsidRPr="00F60403">
        <w:rPr>
          <w:b/>
          <w:bCs/>
        </w:rPr>
        <w:fldChar w:fldCharType="separate"/>
      </w:r>
      <w:r w:rsidR="003E12C1">
        <w:rPr>
          <w:b/>
          <w:bCs/>
          <w:noProof/>
        </w:rPr>
        <w:t>4</w:t>
      </w:r>
      <w:r w:rsidRPr="00F60403">
        <w:rPr>
          <w:b/>
          <w:bCs/>
        </w:rPr>
        <w:fldChar w:fldCharType="end"/>
      </w:r>
      <w:bookmarkEnd w:id="22"/>
      <w:r w:rsidRPr="00F60403">
        <w:rPr>
          <w:b/>
          <w:bCs/>
        </w:rPr>
        <w:t xml:space="preserve"> – </w:t>
      </w:r>
      <w:r>
        <w:rPr>
          <w:b/>
          <w:bCs/>
        </w:rPr>
        <w:t xml:space="preserve">Projected </w:t>
      </w:r>
      <w:r w:rsidR="00C316A4">
        <w:rPr>
          <w:b/>
          <w:bCs/>
        </w:rPr>
        <w:t xml:space="preserve">Rate </w:t>
      </w:r>
      <w:r w:rsidRPr="00F60403">
        <w:rPr>
          <w:b/>
          <w:bCs/>
        </w:rPr>
        <w:t>Impact of Tacoma LNG Project Costs</w:t>
      </w:r>
      <w:r>
        <w:rPr>
          <w:b/>
          <w:bCs/>
        </w:rPr>
        <w:br/>
      </w:r>
      <w:r w:rsidRPr="00F60403">
        <w:rPr>
          <w:b/>
          <w:bCs/>
        </w:rPr>
        <w:t xml:space="preserve">On Core </w:t>
      </w:r>
      <w:r w:rsidR="00B76959">
        <w:rPr>
          <w:b/>
          <w:bCs/>
        </w:rPr>
        <w:t xml:space="preserve">Natural </w:t>
      </w:r>
      <w:r w:rsidRPr="00F60403">
        <w:rPr>
          <w:b/>
          <w:bCs/>
        </w:rPr>
        <w:t>Gas Rate Groups</w:t>
      </w:r>
      <w:r w:rsidR="00184B8F">
        <w:rPr>
          <w:b/>
          <w:bCs/>
        </w:rPr>
        <w:t xml:space="preserve"> Relative to Baseline</w:t>
      </w:r>
    </w:p>
    <w:tbl>
      <w:tblPr>
        <w:tblW w:w="8190" w:type="dxa"/>
        <w:jc w:val="center"/>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0"/>
        <w:gridCol w:w="1710"/>
        <w:gridCol w:w="1980"/>
      </w:tblGrid>
      <w:tr w:rsidR="00C316A4" w:rsidRPr="004D59BE" w:rsidTr="004D59BE">
        <w:trPr>
          <w:cantSplit/>
          <w:trHeight w:val="737"/>
          <w:jc w:val="center"/>
        </w:trPr>
        <w:tc>
          <w:tcPr>
            <w:tcW w:w="4500" w:type="dxa"/>
            <w:vMerge w:val="restart"/>
            <w:shd w:val="clear" w:color="auto" w:fill="C0C0C0"/>
            <w:vAlign w:val="bottom"/>
          </w:tcPr>
          <w:p w:rsidR="00C316A4" w:rsidRPr="004D59BE" w:rsidRDefault="00C316A4" w:rsidP="003C2697">
            <w:pPr>
              <w:keepNext/>
              <w:spacing w:before="60" w:after="60"/>
              <w:jc w:val="center"/>
              <w:rPr>
                <w:rFonts w:eastAsia="SimSun"/>
                <w:b/>
                <w:sz w:val="20"/>
                <w:szCs w:val="20"/>
                <w:lang w:eastAsia="zh-CN"/>
              </w:rPr>
            </w:pPr>
            <w:r w:rsidRPr="004D59BE">
              <w:rPr>
                <w:rFonts w:eastAsia="SimSun"/>
                <w:b/>
                <w:sz w:val="20"/>
                <w:szCs w:val="20"/>
                <w:lang w:eastAsia="zh-CN"/>
              </w:rPr>
              <w:t>Rate Group</w:t>
            </w:r>
          </w:p>
        </w:tc>
        <w:tc>
          <w:tcPr>
            <w:tcW w:w="3690" w:type="dxa"/>
            <w:gridSpan w:val="2"/>
            <w:shd w:val="clear" w:color="auto" w:fill="C0C0C0"/>
            <w:vAlign w:val="center"/>
          </w:tcPr>
          <w:p w:rsidR="00C316A4" w:rsidRPr="004D59BE" w:rsidRDefault="00C316A4" w:rsidP="003C2697">
            <w:pPr>
              <w:keepNext/>
              <w:spacing w:before="60" w:after="60"/>
              <w:jc w:val="center"/>
              <w:rPr>
                <w:rFonts w:eastAsia="SimSun"/>
                <w:b/>
                <w:sz w:val="20"/>
                <w:szCs w:val="20"/>
                <w:lang w:eastAsia="zh-CN"/>
              </w:rPr>
            </w:pPr>
            <w:r w:rsidRPr="004D59BE">
              <w:rPr>
                <w:rFonts w:eastAsia="SimSun"/>
                <w:b/>
                <w:sz w:val="20"/>
                <w:szCs w:val="20"/>
                <w:lang w:eastAsia="zh-CN"/>
              </w:rPr>
              <w:t>Projected Rate Impact of</w:t>
            </w:r>
            <w:r w:rsidRPr="004D59BE">
              <w:rPr>
                <w:rFonts w:eastAsia="SimSun"/>
                <w:b/>
                <w:sz w:val="20"/>
                <w:szCs w:val="20"/>
                <w:lang w:eastAsia="zh-CN"/>
              </w:rPr>
              <w:br/>
              <w:t xml:space="preserve">Tacoma LNG Project </w:t>
            </w:r>
          </w:p>
        </w:tc>
      </w:tr>
      <w:tr w:rsidR="00C316A4" w:rsidRPr="004D59BE" w:rsidTr="004D59BE">
        <w:trPr>
          <w:cantSplit/>
          <w:jc w:val="center"/>
        </w:trPr>
        <w:tc>
          <w:tcPr>
            <w:tcW w:w="4500" w:type="dxa"/>
            <w:vMerge/>
            <w:shd w:val="clear" w:color="auto" w:fill="D9D9D9" w:themeFill="background1" w:themeFillShade="D9"/>
            <w:vAlign w:val="bottom"/>
          </w:tcPr>
          <w:p w:rsidR="00C316A4" w:rsidRPr="004D59BE" w:rsidRDefault="00C316A4" w:rsidP="00F60403">
            <w:pPr>
              <w:keepNext/>
              <w:spacing w:before="60" w:after="60"/>
              <w:rPr>
                <w:rFonts w:eastAsia="SimSun"/>
                <w:sz w:val="20"/>
                <w:szCs w:val="20"/>
                <w:lang w:eastAsia="zh-CN"/>
              </w:rPr>
            </w:pPr>
          </w:p>
        </w:tc>
        <w:tc>
          <w:tcPr>
            <w:tcW w:w="1710" w:type="dxa"/>
            <w:shd w:val="clear" w:color="auto" w:fill="BFBFBF" w:themeFill="background1" w:themeFillShade="BF"/>
            <w:vAlign w:val="center"/>
          </w:tcPr>
          <w:p w:rsidR="00C316A4" w:rsidRPr="004D59BE" w:rsidRDefault="00C316A4" w:rsidP="00DD2B4E">
            <w:pPr>
              <w:keepNext/>
              <w:spacing w:before="60" w:after="60"/>
              <w:ind w:right="-115"/>
              <w:jc w:val="center"/>
              <w:rPr>
                <w:rFonts w:eastAsia="SimSun"/>
                <w:sz w:val="20"/>
                <w:szCs w:val="20"/>
                <w:lang w:eastAsia="zh-CN"/>
              </w:rPr>
            </w:pPr>
            <w:r w:rsidRPr="004D59BE">
              <w:rPr>
                <w:rFonts w:eastAsia="SimSun"/>
                <w:b/>
                <w:sz w:val="20"/>
                <w:szCs w:val="20"/>
                <w:lang w:eastAsia="zh-CN"/>
              </w:rPr>
              <w:t>0% Subscribed</w:t>
            </w:r>
          </w:p>
        </w:tc>
        <w:tc>
          <w:tcPr>
            <w:tcW w:w="1980" w:type="dxa"/>
            <w:shd w:val="clear" w:color="auto" w:fill="BFBFBF" w:themeFill="background1" w:themeFillShade="BF"/>
          </w:tcPr>
          <w:p w:rsidR="00C316A4" w:rsidRPr="004D59BE" w:rsidRDefault="00C316A4" w:rsidP="00DD2B4E">
            <w:pPr>
              <w:keepNext/>
              <w:spacing w:before="60" w:after="60"/>
              <w:ind w:right="-25"/>
              <w:jc w:val="center"/>
              <w:rPr>
                <w:rFonts w:eastAsia="SimSun"/>
                <w:b/>
                <w:sz w:val="20"/>
                <w:szCs w:val="20"/>
                <w:lang w:eastAsia="zh-CN"/>
              </w:rPr>
            </w:pPr>
            <w:r w:rsidRPr="004D59BE">
              <w:rPr>
                <w:rFonts w:eastAsia="SimSun"/>
                <w:b/>
                <w:sz w:val="20"/>
                <w:szCs w:val="20"/>
                <w:lang w:eastAsia="zh-CN"/>
              </w:rPr>
              <w:t>100% Subscribed</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Residential (Schedules 23, 16, 53)</w:t>
            </w:r>
          </w:p>
        </w:tc>
        <w:tc>
          <w:tcPr>
            <w:tcW w:w="1710" w:type="dxa"/>
            <w:vAlign w:val="bottom"/>
          </w:tcPr>
          <w:p w:rsidR="005A4BCA" w:rsidRPr="004D59BE" w:rsidRDefault="00CE288C" w:rsidP="00F60403">
            <w:pPr>
              <w:keepNext/>
              <w:spacing w:before="60" w:after="60"/>
              <w:ind w:right="628"/>
              <w:jc w:val="right"/>
              <w:rPr>
                <w:rFonts w:eastAsia="SimSun"/>
                <w:sz w:val="20"/>
                <w:szCs w:val="20"/>
                <w:lang w:eastAsia="zh-CN"/>
              </w:rPr>
            </w:pPr>
            <w:r w:rsidRPr="004D59BE">
              <w:rPr>
                <w:color w:val="000000"/>
                <w:sz w:val="20"/>
                <w:szCs w:val="20"/>
              </w:rPr>
              <w:t>3.6</w:t>
            </w:r>
            <w:r w:rsidR="005A4BCA" w:rsidRPr="004D59BE">
              <w:rPr>
                <w:color w:val="000000"/>
                <w:sz w:val="20"/>
                <w:szCs w:val="20"/>
              </w:rPr>
              <w:t>%</w:t>
            </w:r>
          </w:p>
        </w:tc>
        <w:tc>
          <w:tcPr>
            <w:tcW w:w="1980" w:type="dxa"/>
            <w:vAlign w:val="bottom"/>
          </w:tcPr>
          <w:p w:rsidR="005A4BCA" w:rsidRPr="004D59BE" w:rsidRDefault="005A4BCA" w:rsidP="00FD5CE6">
            <w:pPr>
              <w:keepNext/>
              <w:spacing w:before="60" w:after="60"/>
              <w:ind w:right="628"/>
              <w:jc w:val="right"/>
              <w:rPr>
                <w:color w:val="000000"/>
                <w:sz w:val="20"/>
                <w:szCs w:val="20"/>
              </w:rPr>
            </w:pPr>
            <w:r w:rsidRPr="004D59BE">
              <w:rPr>
                <w:color w:val="000000"/>
                <w:sz w:val="20"/>
                <w:szCs w:val="20"/>
              </w:rPr>
              <w:t>3.</w:t>
            </w:r>
            <w:r w:rsidR="00551217" w:rsidRPr="004D59BE">
              <w:rPr>
                <w:color w:val="000000"/>
                <w:sz w:val="20"/>
                <w:szCs w:val="20"/>
              </w:rPr>
              <w:t>3</w:t>
            </w:r>
            <w:r w:rsidRPr="004D59BE">
              <w:rPr>
                <w:color w:val="000000"/>
                <w:sz w:val="20"/>
                <w:szCs w:val="20"/>
              </w:rPr>
              <w:t>%</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Commercial &amp; Industrial (Schedules 31, 61)</w:t>
            </w:r>
          </w:p>
        </w:tc>
        <w:tc>
          <w:tcPr>
            <w:tcW w:w="1710" w:type="dxa"/>
            <w:vAlign w:val="bottom"/>
          </w:tcPr>
          <w:p w:rsidR="005A4BCA" w:rsidRPr="004D59BE" w:rsidRDefault="005A4BCA" w:rsidP="00F60403">
            <w:pPr>
              <w:keepNext/>
              <w:spacing w:before="60" w:after="60"/>
              <w:ind w:right="628"/>
              <w:jc w:val="right"/>
              <w:rPr>
                <w:rFonts w:eastAsia="SimSun"/>
                <w:sz w:val="20"/>
                <w:szCs w:val="20"/>
                <w:lang w:eastAsia="zh-CN"/>
              </w:rPr>
            </w:pPr>
            <w:r w:rsidRPr="004D59BE">
              <w:rPr>
                <w:color w:val="000000"/>
                <w:sz w:val="20"/>
                <w:szCs w:val="20"/>
              </w:rPr>
              <w:t>3.7%</w:t>
            </w:r>
          </w:p>
        </w:tc>
        <w:tc>
          <w:tcPr>
            <w:tcW w:w="1980" w:type="dxa"/>
            <w:vAlign w:val="bottom"/>
          </w:tcPr>
          <w:p w:rsidR="005A4BCA" w:rsidRPr="004D59BE" w:rsidRDefault="005A4BCA" w:rsidP="00FD5CE6">
            <w:pPr>
              <w:keepNext/>
              <w:spacing w:before="60" w:after="60"/>
              <w:ind w:right="628"/>
              <w:jc w:val="right"/>
              <w:rPr>
                <w:rFonts w:eastAsia="SimSun"/>
                <w:sz w:val="20"/>
                <w:szCs w:val="20"/>
                <w:lang w:eastAsia="zh-CN"/>
              </w:rPr>
            </w:pPr>
            <w:r w:rsidRPr="004D59BE">
              <w:rPr>
                <w:color w:val="000000"/>
                <w:sz w:val="20"/>
                <w:szCs w:val="20"/>
              </w:rPr>
              <w:t>3.</w:t>
            </w:r>
            <w:r w:rsidR="00551217" w:rsidRPr="004D59BE">
              <w:rPr>
                <w:color w:val="000000"/>
                <w:sz w:val="20"/>
                <w:szCs w:val="20"/>
              </w:rPr>
              <w:t>3</w:t>
            </w:r>
            <w:r w:rsidRPr="004D59BE">
              <w:rPr>
                <w:color w:val="000000"/>
                <w:sz w:val="20"/>
                <w:szCs w:val="20"/>
              </w:rPr>
              <w:t>%</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Large Volume (Schedule 41)</w:t>
            </w:r>
          </w:p>
        </w:tc>
        <w:tc>
          <w:tcPr>
            <w:tcW w:w="1710" w:type="dxa"/>
            <w:vAlign w:val="bottom"/>
          </w:tcPr>
          <w:p w:rsidR="005A4BCA" w:rsidRPr="004D59BE" w:rsidRDefault="005A4BCA" w:rsidP="00F60403">
            <w:pPr>
              <w:keepNext/>
              <w:spacing w:before="60" w:after="60"/>
              <w:ind w:right="628"/>
              <w:jc w:val="right"/>
              <w:rPr>
                <w:rFonts w:eastAsia="SimSun"/>
                <w:sz w:val="20"/>
                <w:szCs w:val="20"/>
                <w:lang w:eastAsia="zh-CN"/>
              </w:rPr>
            </w:pPr>
            <w:r w:rsidRPr="004D59BE">
              <w:rPr>
                <w:color w:val="000000"/>
                <w:sz w:val="20"/>
                <w:szCs w:val="20"/>
              </w:rPr>
              <w:t>2.9%</w:t>
            </w:r>
          </w:p>
        </w:tc>
        <w:tc>
          <w:tcPr>
            <w:tcW w:w="1980" w:type="dxa"/>
            <w:vAlign w:val="bottom"/>
          </w:tcPr>
          <w:p w:rsidR="005A4BCA" w:rsidRPr="004D59BE" w:rsidRDefault="005A4BCA" w:rsidP="00FD5CE6">
            <w:pPr>
              <w:keepNext/>
              <w:spacing w:before="60" w:after="60"/>
              <w:ind w:right="628"/>
              <w:jc w:val="right"/>
              <w:rPr>
                <w:rFonts w:eastAsia="SimSun"/>
                <w:sz w:val="20"/>
                <w:szCs w:val="20"/>
                <w:lang w:eastAsia="zh-CN"/>
              </w:rPr>
            </w:pPr>
            <w:r w:rsidRPr="004D59BE">
              <w:rPr>
                <w:color w:val="000000"/>
                <w:sz w:val="20"/>
                <w:szCs w:val="20"/>
              </w:rPr>
              <w:t>2.</w:t>
            </w:r>
            <w:r w:rsidR="00551217" w:rsidRPr="004D59BE">
              <w:rPr>
                <w:color w:val="000000"/>
                <w:sz w:val="20"/>
                <w:szCs w:val="20"/>
              </w:rPr>
              <w:t>7</w:t>
            </w:r>
            <w:r w:rsidRPr="004D59BE">
              <w:rPr>
                <w:color w:val="000000"/>
                <w:sz w:val="20"/>
                <w:szCs w:val="20"/>
              </w:rPr>
              <w:t>%</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Interruptible (Schedule 85)</w:t>
            </w:r>
          </w:p>
        </w:tc>
        <w:tc>
          <w:tcPr>
            <w:tcW w:w="1710" w:type="dxa"/>
            <w:vAlign w:val="bottom"/>
          </w:tcPr>
          <w:p w:rsidR="005A4BCA" w:rsidRPr="004D59BE" w:rsidRDefault="00CE288C" w:rsidP="00F60403">
            <w:pPr>
              <w:keepNext/>
              <w:spacing w:before="60" w:after="60"/>
              <w:ind w:right="628"/>
              <w:jc w:val="right"/>
              <w:rPr>
                <w:rFonts w:eastAsia="SimSun"/>
                <w:sz w:val="20"/>
                <w:szCs w:val="20"/>
                <w:lang w:eastAsia="zh-CN"/>
              </w:rPr>
            </w:pPr>
            <w:r w:rsidRPr="004D59BE">
              <w:rPr>
                <w:color w:val="000000"/>
                <w:sz w:val="20"/>
                <w:szCs w:val="20"/>
              </w:rPr>
              <w:t>1.8</w:t>
            </w:r>
            <w:r w:rsidR="005A4BCA" w:rsidRPr="004D59BE">
              <w:rPr>
                <w:color w:val="000000"/>
                <w:sz w:val="20"/>
                <w:szCs w:val="20"/>
              </w:rPr>
              <w:t>%</w:t>
            </w:r>
          </w:p>
        </w:tc>
        <w:tc>
          <w:tcPr>
            <w:tcW w:w="1980" w:type="dxa"/>
            <w:vAlign w:val="bottom"/>
          </w:tcPr>
          <w:p w:rsidR="005A4BCA" w:rsidRPr="004D59BE" w:rsidRDefault="00551217" w:rsidP="00F60403">
            <w:pPr>
              <w:keepNext/>
              <w:spacing w:before="60" w:after="60"/>
              <w:ind w:right="628"/>
              <w:jc w:val="right"/>
              <w:rPr>
                <w:rFonts w:eastAsia="SimSun"/>
                <w:sz w:val="20"/>
                <w:szCs w:val="20"/>
                <w:lang w:eastAsia="zh-CN"/>
              </w:rPr>
            </w:pPr>
            <w:r w:rsidRPr="004D59BE">
              <w:rPr>
                <w:color w:val="000000"/>
                <w:sz w:val="20"/>
                <w:szCs w:val="20"/>
              </w:rPr>
              <w:t>1.7</w:t>
            </w:r>
            <w:r w:rsidR="005A4BCA" w:rsidRPr="004D59BE">
              <w:rPr>
                <w:color w:val="000000"/>
                <w:sz w:val="20"/>
                <w:szCs w:val="20"/>
              </w:rPr>
              <w:t>%</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Limited Interruptible (Schedule 86)</w:t>
            </w:r>
          </w:p>
        </w:tc>
        <w:tc>
          <w:tcPr>
            <w:tcW w:w="1710" w:type="dxa"/>
            <w:vAlign w:val="bottom"/>
          </w:tcPr>
          <w:p w:rsidR="005A4BCA" w:rsidRPr="004D59BE" w:rsidRDefault="00CE288C" w:rsidP="00F60403">
            <w:pPr>
              <w:keepNext/>
              <w:spacing w:before="60" w:after="60"/>
              <w:ind w:right="628"/>
              <w:jc w:val="right"/>
              <w:rPr>
                <w:rFonts w:eastAsia="SimSun"/>
                <w:sz w:val="20"/>
                <w:szCs w:val="20"/>
                <w:lang w:eastAsia="zh-CN"/>
              </w:rPr>
            </w:pPr>
            <w:r w:rsidRPr="004D59BE">
              <w:rPr>
                <w:color w:val="000000"/>
                <w:sz w:val="20"/>
                <w:szCs w:val="20"/>
              </w:rPr>
              <w:t>2.2</w:t>
            </w:r>
            <w:r w:rsidR="005A4BCA" w:rsidRPr="004D59BE">
              <w:rPr>
                <w:color w:val="000000"/>
                <w:sz w:val="20"/>
                <w:szCs w:val="20"/>
              </w:rPr>
              <w:t>%</w:t>
            </w:r>
          </w:p>
        </w:tc>
        <w:tc>
          <w:tcPr>
            <w:tcW w:w="1980" w:type="dxa"/>
            <w:vAlign w:val="bottom"/>
          </w:tcPr>
          <w:p w:rsidR="005A4BCA" w:rsidRPr="004D59BE" w:rsidRDefault="005A4BCA" w:rsidP="00FD5CE6">
            <w:pPr>
              <w:keepNext/>
              <w:spacing w:before="60" w:after="60"/>
              <w:ind w:right="628"/>
              <w:jc w:val="right"/>
              <w:rPr>
                <w:rFonts w:eastAsia="SimSun"/>
                <w:sz w:val="20"/>
                <w:szCs w:val="20"/>
                <w:lang w:eastAsia="zh-CN"/>
              </w:rPr>
            </w:pPr>
            <w:r w:rsidRPr="004D59BE">
              <w:rPr>
                <w:color w:val="000000"/>
                <w:sz w:val="20"/>
                <w:szCs w:val="20"/>
              </w:rPr>
              <w:t>2.</w:t>
            </w:r>
            <w:r w:rsidR="00551217" w:rsidRPr="004D59BE">
              <w:rPr>
                <w:color w:val="000000"/>
                <w:sz w:val="20"/>
                <w:szCs w:val="20"/>
              </w:rPr>
              <w:t>1</w:t>
            </w:r>
            <w:r w:rsidRPr="004D59BE">
              <w:rPr>
                <w:color w:val="000000"/>
                <w:sz w:val="20"/>
                <w:szCs w:val="20"/>
              </w:rPr>
              <w:t>%</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 xml:space="preserve">Non-exclusive Interruptible (Schedule 87) </w:t>
            </w:r>
          </w:p>
        </w:tc>
        <w:tc>
          <w:tcPr>
            <w:tcW w:w="1710" w:type="dxa"/>
            <w:vAlign w:val="bottom"/>
          </w:tcPr>
          <w:p w:rsidR="005A4BCA" w:rsidRPr="004D59BE" w:rsidRDefault="005A4BCA" w:rsidP="00F60403">
            <w:pPr>
              <w:keepNext/>
              <w:spacing w:before="60" w:after="60"/>
              <w:ind w:right="628"/>
              <w:jc w:val="right"/>
              <w:rPr>
                <w:rFonts w:eastAsia="SimSun"/>
                <w:sz w:val="20"/>
                <w:szCs w:val="20"/>
                <w:lang w:eastAsia="zh-CN"/>
              </w:rPr>
            </w:pPr>
            <w:r w:rsidRPr="004D59BE">
              <w:rPr>
                <w:color w:val="000000"/>
                <w:sz w:val="20"/>
                <w:szCs w:val="20"/>
              </w:rPr>
              <w:t>1.6%</w:t>
            </w:r>
          </w:p>
        </w:tc>
        <w:tc>
          <w:tcPr>
            <w:tcW w:w="1980" w:type="dxa"/>
            <w:vAlign w:val="bottom"/>
          </w:tcPr>
          <w:p w:rsidR="005A4BCA" w:rsidRPr="004D59BE" w:rsidRDefault="005A4BCA" w:rsidP="00FD5CE6">
            <w:pPr>
              <w:keepNext/>
              <w:spacing w:before="60" w:after="60"/>
              <w:ind w:right="628"/>
              <w:jc w:val="right"/>
              <w:rPr>
                <w:rFonts w:eastAsia="SimSun"/>
                <w:sz w:val="20"/>
                <w:szCs w:val="20"/>
                <w:lang w:eastAsia="zh-CN"/>
              </w:rPr>
            </w:pPr>
            <w:r w:rsidRPr="004D59BE">
              <w:rPr>
                <w:color w:val="000000"/>
                <w:sz w:val="20"/>
                <w:szCs w:val="20"/>
              </w:rPr>
              <w:t>1.</w:t>
            </w:r>
            <w:r w:rsidR="00551217" w:rsidRPr="004D59BE">
              <w:rPr>
                <w:color w:val="000000"/>
                <w:sz w:val="20"/>
                <w:szCs w:val="20"/>
              </w:rPr>
              <w:t>5</w:t>
            </w:r>
            <w:r w:rsidRPr="004D59BE">
              <w:rPr>
                <w:color w:val="000000"/>
                <w:sz w:val="20"/>
                <w:szCs w:val="20"/>
              </w:rPr>
              <w:t>%</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 xml:space="preserve">     Total Sales Schedules</w:t>
            </w:r>
          </w:p>
        </w:tc>
        <w:tc>
          <w:tcPr>
            <w:tcW w:w="1710" w:type="dxa"/>
            <w:vAlign w:val="bottom"/>
          </w:tcPr>
          <w:p w:rsidR="005A4BCA" w:rsidRPr="004D59BE" w:rsidRDefault="005A4BCA" w:rsidP="00F60403">
            <w:pPr>
              <w:keepNext/>
              <w:spacing w:before="60" w:after="60"/>
              <w:ind w:right="628"/>
              <w:jc w:val="right"/>
              <w:rPr>
                <w:rFonts w:eastAsia="SimSun"/>
                <w:sz w:val="20"/>
                <w:szCs w:val="20"/>
                <w:lang w:eastAsia="zh-CN"/>
              </w:rPr>
            </w:pPr>
            <w:r w:rsidRPr="004D59BE">
              <w:rPr>
                <w:color w:val="000000"/>
                <w:sz w:val="20"/>
                <w:szCs w:val="20"/>
              </w:rPr>
              <w:t>3.6%</w:t>
            </w:r>
          </w:p>
        </w:tc>
        <w:tc>
          <w:tcPr>
            <w:tcW w:w="1980" w:type="dxa"/>
            <w:vAlign w:val="bottom"/>
          </w:tcPr>
          <w:p w:rsidR="005A4BCA" w:rsidRPr="004D59BE" w:rsidRDefault="005A4BCA" w:rsidP="00FD5CE6">
            <w:pPr>
              <w:keepNext/>
              <w:spacing w:before="60" w:after="60"/>
              <w:ind w:right="628"/>
              <w:jc w:val="right"/>
              <w:rPr>
                <w:rFonts w:eastAsia="SimSun"/>
                <w:sz w:val="20"/>
                <w:szCs w:val="20"/>
                <w:lang w:eastAsia="zh-CN"/>
              </w:rPr>
            </w:pPr>
            <w:r w:rsidRPr="004D59BE">
              <w:rPr>
                <w:color w:val="000000"/>
                <w:sz w:val="20"/>
                <w:szCs w:val="20"/>
              </w:rPr>
              <w:t>3.</w:t>
            </w:r>
            <w:r w:rsidR="00551217" w:rsidRPr="004D59BE">
              <w:rPr>
                <w:color w:val="000000"/>
                <w:sz w:val="20"/>
                <w:szCs w:val="20"/>
              </w:rPr>
              <w:t>2</w:t>
            </w:r>
            <w:r w:rsidRPr="004D59BE">
              <w:rPr>
                <w:color w:val="000000"/>
                <w:sz w:val="20"/>
                <w:szCs w:val="20"/>
              </w:rPr>
              <w:t>%</w:t>
            </w:r>
          </w:p>
        </w:tc>
      </w:tr>
      <w:tr w:rsidR="00C316A4" w:rsidRPr="004D59BE" w:rsidTr="004D59BE">
        <w:trPr>
          <w:cantSplit/>
          <w:jc w:val="center"/>
        </w:trPr>
        <w:tc>
          <w:tcPr>
            <w:tcW w:w="4500" w:type="dxa"/>
            <w:vAlign w:val="bottom"/>
          </w:tcPr>
          <w:p w:rsidR="00C316A4" w:rsidRPr="004D59BE" w:rsidRDefault="00C316A4" w:rsidP="00F60403">
            <w:pPr>
              <w:keepNext/>
              <w:spacing w:before="60" w:after="60"/>
              <w:rPr>
                <w:rFonts w:eastAsia="SimSun"/>
                <w:sz w:val="20"/>
                <w:szCs w:val="20"/>
                <w:lang w:eastAsia="zh-CN"/>
              </w:rPr>
            </w:pPr>
          </w:p>
        </w:tc>
        <w:tc>
          <w:tcPr>
            <w:tcW w:w="1710" w:type="dxa"/>
          </w:tcPr>
          <w:p w:rsidR="00C316A4" w:rsidRPr="004D59BE" w:rsidRDefault="00C316A4" w:rsidP="00F60403">
            <w:pPr>
              <w:keepNext/>
              <w:spacing w:before="60" w:after="60"/>
              <w:ind w:right="628"/>
              <w:jc w:val="right"/>
              <w:rPr>
                <w:rFonts w:eastAsia="SimSun"/>
                <w:sz w:val="20"/>
                <w:szCs w:val="20"/>
                <w:lang w:eastAsia="zh-CN"/>
              </w:rPr>
            </w:pPr>
          </w:p>
        </w:tc>
        <w:tc>
          <w:tcPr>
            <w:tcW w:w="1980" w:type="dxa"/>
          </w:tcPr>
          <w:p w:rsidR="00C316A4" w:rsidRPr="004D59BE" w:rsidRDefault="00C316A4" w:rsidP="00F60403">
            <w:pPr>
              <w:keepNext/>
              <w:spacing w:before="60" w:after="60"/>
              <w:ind w:right="628"/>
              <w:jc w:val="right"/>
              <w:rPr>
                <w:rFonts w:eastAsia="SimSun"/>
                <w:sz w:val="20"/>
                <w:szCs w:val="20"/>
                <w:lang w:eastAsia="zh-CN"/>
              </w:rPr>
            </w:pP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Large Volume (Schedule 41T)</w:t>
            </w:r>
          </w:p>
        </w:tc>
        <w:tc>
          <w:tcPr>
            <w:tcW w:w="1710" w:type="dxa"/>
            <w:vAlign w:val="bottom"/>
          </w:tcPr>
          <w:p w:rsidR="005A4BCA" w:rsidRPr="004D59BE" w:rsidRDefault="00CE288C" w:rsidP="00F60403">
            <w:pPr>
              <w:keepNext/>
              <w:spacing w:before="60" w:after="60"/>
              <w:ind w:right="628"/>
              <w:jc w:val="right"/>
              <w:rPr>
                <w:rFonts w:eastAsia="SimSun"/>
                <w:sz w:val="20"/>
                <w:szCs w:val="20"/>
                <w:lang w:eastAsia="zh-CN"/>
              </w:rPr>
            </w:pPr>
            <w:r w:rsidRPr="004D59BE">
              <w:rPr>
                <w:color w:val="000000"/>
                <w:sz w:val="20"/>
                <w:szCs w:val="20"/>
              </w:rPr>
              <w:t>3.1</w:t>
            </w:r>
            <w:r w:rsidR="005A4BCA" w:rsidRPr="004D59BE">
              <w:rPr>
                <w:color w:val="000000"/>
                <w:sz w:val="20"/>
                <w:szCs w:val="20"/>
              </w:rPr>
              <w:t>%</w:t>
            </w:r>
          </w:p>
        </w:tc>
        <w:tc>
          <w:tcPr>
            <w:tcW w:w="1980" w:type="dxa"/>
            <w:vAlign w:val="bottom"/>
          </w:tcPr>
          <w:p w:rsidR="005A4BCA" w:rsidRPr="004D59BE" w:rsidRDefault="00FD5CE6" w:rsidP="00F60403">
            <w:pPr>
              <w:keepNext/>
              <w:spacing w:before="60" w:after="60"/>
              <w:ind w:right="628"/>
              <w:jc w:val="right"/>
              <w:rPr>
                <w:rFonts w:eastAsia="SimSun"/>
                <w:sz w:val="20"/>
                <w:szCs w:val="20"/>
                <w:lang w:eastAsia="zh-CN"/>
              </w:rPr>
            </w:pPr>
            <w:r w:rsidRPr="004D59BE">
              <w:rPr>
                <w:color w:val="000000"/>
                <w:sz w:val="20"/>
                <w:szCs w:val="20"/>
              </w:rPr>
              <w:t>2.</w:t>
            </w:r>
            <w:r w:rsidR="00551217" w:rsidRPr="004D59BE">
              <w:rPr>
                <w:color w:val="000000"/>
                <w:sz w:val="20"/>
                <w:szCs w:val="20"/>
              </w:rPr>
              <w:t>7</w:t>
            </w:r>
            <w:r w:rsidR="005A4BCA" w:rsidRPr="004D59BE">
              <w:rPr>
                <w:color w:val="000000"/>
                <w:sz w:val="20"/>
                <w:szCs w:val="20"/>
              </w:rPr>
              <w:t>%</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Interruptible (Schedule 85T)</w:t>
            </w:r>
          </w:p>
        </w:tc>
        <w:tc>
          <w:tcPr>
            <w:tcW w:w="1710" w:type="dxa"/>
            <w:vAlign w:val="bottom"/>
          </w:tcPr>
          <w:p w:rsidR="005A4BCA" w:rsidRPr="004D59BE" w:rsidRDefault="00CE288C" w:rsidP="00F60403">
            <w:pPr>
              <w:keepNext/>
              <w:spacing w:before="60" w:after="60"/>
              <w:ind w:right="628"/>
              <w:jc w:val="right"/>
              <w:rPr>
                <w:rFonts w:eastAsia="SimSun"/>
                <w:sz w:val="20"/>
                <w:szCs w:val="20"/>
                <w:lang w:eastAsia="zh-CN"/>
              </w:rPr>
            </w:pPr>
            <w:r w:rsidRPr="004D59BE">
              <w:rPr>
                <w:color w:val="000000"/>
                <w:sz w:val="20"/>
                <w:szCs w:val="20"/>
              </w:rPr>
              <w:t>3.9</w:t>
            </w:r>
            <w:r w:rsidR="005A4BCA" w:rsidRPr="004D59BE">
              <w:rPr>
                <w:color w:val="000000"/>
                <w:sz w:val="20"/>
                <w:szCs w:val="20"/>
              </w:rPr>
              <w:t>%</w:t>
            </w:r>
          </w:p>
        </w:tc>
        <w:tc>
          <w:tcPr>
            <w:tcW w:w="1980" w:type="dxa"/>
            <w:vAlign w:val="bottom"/>
          </w:tcPr>
          <w:p w:rsidR="005A4BCA" w:rsidRPr="004D59BE" w:rsidRDefault="00551217" w:rsidP="00FD5CE6">
            <w:pPr>
              <w:keepNext/>
              <w:spacing w:before="60" w:after="60"/>
              <w:ind w:right="628"/>
              <w:jc w:val="right"/>
              <w:rPr>
                <w:rFonts w:eastAsia="SimSun"/>
                <w:sz w:val="20"/>
                <w:szCs w:val="20"/>
                <w:lang w:eastAsia="zh-CN"/>
              </w:rPr>
            </w:pPr>
            <w:r w:rsidRPr="004D59BE">
              <w:rPr>
                <w:color w:val="000000"/>
                <w:sz w:val="20"/>
                <w:szCs w:val="20"/>
              </w:rPr>
              <w:t>4.0</w:t>
            </w:r>
            <w:r w:rsidR="005A4BCA" w:rsidRPr="004D59BE">
              <w:rPr>
                <w:color w:val="000000"/>
                <w:sz w:val="20"/>
                <w:szCs w:val="20"/>
              </w:rPr>
              <w:t>%</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Limited Interruptible (Schedule 86T)</w:t>
            </w:r>
          </w:p>
        </w:tc>
        <w:tc>
          <w:tcPr>
            <w:tcW w:w="1710" w:type="dxa"/>
            <w:vAlign w:val="bottom"/>
          </w:tcPr>
          <w:p w:rsidR="005A4BCA" w:rsidRPr="004D59BE" w:rsidRDefault="00CE288C" w:rsidP="00F60403">
            <w:pPr>
              <w:keepNext/>
              <w:spacing w:before="60" w:after="60"/>
              <w:ind w:right="628"/>
              <w:jc w:val="right"/>
              <w:rPr>
                <w:rFonts w:eastAsia="SimSun"/>
                <w:sz w:val="20"/>
                <w:szCs w:val="20"/>
                <w:lang w:eastAsia="zh-CN"/>
              </w:rPr>
            </w:pPr>
            <w:r w:rsidRPr="004D59BE">
              <w:rPr>
                <w:color w:val="000000"/>
                <w:sz w:val="20"/>
                <w:szCs w:val="20"/>
              </w:rPr>
              <w:t>4.0</w:t>
            </w:r>
            <w:r w:rsidR="005A4BCA" w:rsidRPr="004D59BE">
              <w:rPr>
                <w:color w:val="000000"/>
                <w:sz w:val="20"/>
                <w:szCs w:val="20"/>
              </w:rPr>
              <w:t>%</w:t>
            </w:r>
          </w:p>
        </w:tc>
        <w:tc>
          <w:tcPr>
            <w:tcW w:w="1980" w:type="dxa"/>
            <w:vAlign w:val="bottom"/>
          </w:tcPr>
          <w:p w:rsidR="005A4BCA" w:rsidRPr="004D59BE" w:rsidRDefault="00551217" w:rsidP="00F60403">
            <w:pPr>
              <w:keepNext/>
              <w:spacing w:before="60" w:after="60"/>
              <w:ind w:right="628"/>
              <w:jc w:val="right"/>
              <w:rPr>
                <w:rFonts w:eastAsia="SimSun"/>
                <w:sz w:val="20"/>
                <w:szCs w:val="20"/>
                <w:lang w:eastAsia="zh-CN"/>
              </w:rPr>
            </w:pPr>
            <w:r w:rsidRPr="004D59BE">
              <w:rPr>
                <w:color w:val="000000"/>
                <w:sz w:val="20"/>
                <w:szCs w:val="20"/>
              </w:rPr>
              <w:t>4.7</w:t>
            </w:r>
            <w:r w:rsidR="005A4BCA" w:rsidRPr="004D59BE">
              <w:rPr>
                <w:color w:val="000000"/>
                <w:sz w:val="20"/>
                <w:szCs w:val="20"/>
              </w:rPr>
              <w:t>%</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 xml:space="preserve">Non-exclusive Interruptible (Schedule 87T) </w:t>
            </w:r>
          </w:p>
        </w:tc>
        <w:tc>
          <w:tcPr>
            <w:tcW w:w="1710" w:type="dxa"/>
            <w:vAlign w:val="bottom"/>
          </w:tcPr>
          <w:p w:rsidR="005A4BCA" w:rsidRPr="004D59BE" w:rsidRDefault="00CE288C" w:rsidP="00F60403">
            <w:pPr>
              <w:keepNext/>
              <w:spacing w:before="60" w:after="60"/>
              <w:ind w:right="628"/>
              <w:jc w:val="right"/>
              <w:rPr>
                <w:rFonts w:eastAsia="SimSun"/>
                <w:sz w:val="20"/>
                <w:szCs w:val="20"/>
                <w:lang w:eastAsia="zh-CN"/>
              </w:rPr>
            </w:pPr>
            <w:r w:rsidRPr="004D59BE">
              <w:rPr>
                <w:color w:val="000000"/>
                <w:sz w:val="20"/>
                <w:szCs w:val="20"/>
              </w:rPr>
              <w:t>5.2</w:t>
            </w:r>
            <w:r w:rsidR="005A4BCA" w:rsidRPr="004D59BE">
              <w:rPr>
                <w:color w:val="000000"/>
                <w:sz w:val="20"/>
                <w:szCs w:val="20"/>
              </w:rPr>
              <w:t>%</w:t>
            </w:r>
          </w:p>
        </w:tc>
        <w:tc>
          <w:tcPr>
            <w:tcW w:w="1980" w:type="dxa"/>
            <w:vAlign w:val="bottom"/>
          </w:tcPr>
          <w:p w:rsidR="005A4BCA" w:rsidRPr="004D59BE" w:rsidRDefault="005A4BCA" w:rsidP="00FD5CE6">
            <w:pPr>
              <w:keepNext/>
              <w:spacing w:before="60" w:after="60"/>
              <w:ind w:right="628"/>
              <w:jc w:val="right"/>
              <w:rPr>
                <w:rFonts w:eastAsia="SimSun"/>
                <w:sz w:val="20"/>
                <w:szCs w:val="20"/>
                <w:lang w:eastAsia="zh-CN"/>
              </w:rPr>
            </w:pPr>
            <w:r w:rsidRPr="004D59BE">
              <w:rPr>
                <w:color w:val="000000"/>
                <w:sz w:val="20"/>
                <w:szCs w:val="20"/>
              </w:rPr>
              <w:t>4.</w:t>
            </w:r>
            <w:r w:rsidR="00551217" w:rsidRPr="004D59BE">
              <w:rPr>
                <w:color w:val="000000"/>
                <w:sz w:val="20"/>
                <w:szCs w:val="20"/>
              </w:rPr>
              <w:t>5</w:t>
            </w:r>
            <w:r w:rsidRPr="004D59BE">
              <w:rPr>
                <w:color w:val="000000"/>
                <w:sz w:val="20"/>
                <w:szCs w:val="20"/>
              </w:rPr>
              <w:t>%</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 xml:space="preserve">Special Contracts </w:t>
            </w:r>
          </w:p>
        </w:tc>
        <w:tc>
          <w:tcPr>
            <w:tcW w:w="1710" w:type="dxa"/>
            <w:vAlign w:val="bottom"/>
          </w:tcPr>
          <w:p w:rsidR="005A4BCA" w:rsidRPr="004D59BE" w:rsidRDefault="00CE288C" w:rsidP="00F60403">
            <w:pPr>
              <w:keepNext/>
              <w:spacing w:before="60" w:after="60"/>
              <w:ind w:right="628"/>
              <w:jc w:val="right"/>
              <w:rPr>
                <w:rFonts w:eastAsia="SimSun"/>
                <w:sz w:val="20"/>
                <w:szCs w:val="20"/>
                <w:lang w:eastAsia="zh-CN"/>
              </w:rPr>
            </w:pPr>
            <w:r w:rsidRPr="004D59BE">
              <w:rPr>
                <w:color w:val="000000"/>
                <w:sz w:val="20"/>
                <w:szCs w:val="20"/>
              </w:rPr>
              <w:t>4.6</w:t>
            </w:r>
            <w:r w:rsidR="005A4BCA" w:rsidRPr="004D59BE">
              <w:rPr>
                <w:color w:val="000000"/>
                <w:sz w:val="20"/>
                <w:szCs w:val="20"/>
              </w:rPr>
              <w:t>%</w:t>
            </w:r>
          </w:p>
        </w:tc>
        <w:tc>
          <w:tcPr>
            <w:tcW w:w="1980" w:type="dxa"/>
            <w:vAlign w:val="bottom"/>
          </w:tcPr>
          <w:p w:rsidR="005A4BCA" w:rsidRPr="004D59BE" w:rsidRDefault="00551217" w:rsidP="00FD5CE6">
            <w:pPr>
              <w:keepNext/>
              <w:spacing w:before="60" w:after="60"/>
              <w:ind w:right="628"/>
              <w:jc w:val="right"/>
              <w:rPr>
                <w:rFonts w:eastAsia="SimSun"/>
                <w:sz w:val="20"/>
                <w:szCs w:val="20"/>
                <w:lang w:eastAsia="zh-CN"/>
              </w:rPr>
            </w:pPr>
            <w:r w:rsidRPr="004D59BE">
              <w:rPr>
                <w:color w:val="000000"/>
                <w:sz w:val="20"/>
                <w:szCs w:val="20"/>
              </w:rPr>
              <w:t>3.9</w:t>
            </w:r>
            <w:r w:rsidR="005A4BCA" w:rsidRPr="004D59BE">
              <w:rPr>
                <w:color w:val="000000"/>
                <w:sz w:val="20"/>
                <w:szCs w:val="20"/>
              </w:rPr>
              <w:t>%</w:t>
            </w:r>
          </w:p>
        </w:tc>
      </w:tr>
      <w:tr w:rsidR="00C316A4" w:rsidRPr="004D59BE" w:rsidTr="004D59BE">
        <w:trPr>
          <w:cantSplit/>
          <w:jc w:val="center"/>
        </w:trPr>
        <w:tc>
          <w:tcPr>
            <w:tcW w:w="4500" w:type="dxa"/>
            <w:vAlign w:val="bottom"/>
          </w:tcPr>
          <w:p w:rsidR="00C316A4" w:rsidRPr="004D59BE" w:rsidRDefault="00C316A4" w:rsidP="00183416">
            <w:pPr>
              <w:keepNext/>
              <w:keepLines/>
              <w:spacing w:before="60" w:after="60"/>
              <w:rPr>
                <w:rFonts w:eastAsia="SimSun"/>
                <w:sz w:val="20"/>
                <w:szCs w:val="20"/>
                <w:lang w:eastAsia="zh-CN"/>
              </w:rPr>
            </w:pPr>
            <w:r w:rsidRPr="004D59BE">
              <w:rPr>
                <w:rFonts w:eastAsia="SimSun"/>
                <w:sz w:val="20"/>
                <w:szCs w:val="20"/>
                <w:lang w:eastAsia="zh-CN"/>
              </w:rPr>
              <w:t xml:space="preserve">     Total Transportation Schedules</w:t>
            </w:r>
          </w:p>
        </w:tc>
        <w:tc>
          <w:tcPr>
            <w:tcW w:w="1710" w:type="dxa"/>
          </w:tcPr>
          <w:p w:rsidR="00C316A4" w:rsidRPr="004D59BE" w:rsidRDefault="00CE288C" w:rsidP="005A4BCA">
            <w:pPr>
              <w:keepNext/>
              <w:spacing w:before="60" w:after="60"/>
              <w:ind w:right="628"/>
              <w:jc w:val="right"/>
              <w:rPr>
                <w:color w:val="000000"/>
                <w:sz w:val="20"/>
                <w:szCs w:val="20"/>
              </w:rPr>
            </w:pPr>
            <w:r w:rsidRPr="004D59BE">
              <w:rPr>
                <w:color w:val="000000"/>
                <w:sz w:val="20"/>
                <w:szCs w:val="20"/>
              </w:rPr>
              <w:t>4.2</w:t>
            </w:r>
            <w:r w:rsidR="005A4BCA" w:rsidRPr="004D59BE">
              <w:rPr>
                <w:color w:val="000000"/>
                <w:sz w:val="20"/>
                <w:szCs w:val="20"/>
              </w:rPr>
              <w:t>%</w:t>
            </w:r>
          </w:p>
        </w:tc>
        <w:tc>
          <w:tcPr>
            <w:tcW w:w="1980" w:type="dxa"/>
          </w:tcPr>
          <w:p w:rsidR="00C316A4" w:rsidRPr="004D59BE" w:rsidRDefault="00551217" w:rsidP="00FD5CE6">
            <w:pPr>
              <w:keepNext/>
              <w:spacing w:before="60" w:after="60"/>
              <w:ind w:right="628"/>
              <w:jc w:val="right"/>
              <w:rPr>
                <w:color w:val="000000"/>
                <w:sz w:val="20"/>
                <w:szCs w:val="20"/>
              </w:rPr>
            </w:pPr>
            <w:r w:rsidRPr="004D59BE">
              <w:rPr>
                <w:color w:val="000000"/>
                <w:sz w:val="20"/>
                <w:szCs w:val="20"/>
              </w:rPr>
              <w:t>3.9</w:t>
            </w:r>
            <w:r w:rsidR="009C51A2" w:rsidRPr="004D59BE">
              <w:rPr>
                <w:color w:val="000000"/>
                <w:sz w:val="20"/>
                <w:szCs w:val="20"/>
              </w:rPr>
              <w:t>%</w:t>
            </w:r>
          </w:p>
        </w:tc>
      </w:tr>
      <w:tr w:rsidR="00C316A4" w:rsidRPr="004D59BE" w:rsidTr="004D59BE">
        <w:trPr>
          <w:cantSplit/>
          <w:jc w:val="center"/>
        </w:trPr>
        <w:tc>
          <w:tcPr>
            <w:tcW w:w="4500" w:type="dxa"/>
            <w:vAlign w:val="bottom"/>
          </w:tcPr>
          <w:p w:rsidR="00C316A4" w:rsidRPr="004D59BE" w:rsidRDefault="00C316A4" w:rsidP="00183416">
            <w:pPr>
              <w:keepNext/>
              <w:keepLines/>
              <w:spacing w:before="60" w:after="60"/>
              <w:rPr>
                <w:rFonts w:eastAsia="SimSun"/>
                <w:sz w:val="20"/>
                <w:szCs w:val="20"/>
                <w:lang w:eastAsia="zh-CN"/>
              </w:rPr>
            </w:pPr>
          </w:p>
        </w:tc>
        <w:tc>
          <w:tcPr>
            <w:tcW w:w="1710" w:type="dxa"/>
          </w:tcPr>
          <w:p w:rsidR="00C316A4" w:rsidRPr="004D59BE" w:rsidRDefault="00C316A4" w:rsidP="005A4BCA">
            <w:pPr>
              <w:keepNext/>
              <w:spacing w:before="60" w:after="60"/>
              <w:ind w:right="628"/>
              <w:jc w:val="right"/>
              <w:rPr>
                <w:color w:val="000000"/>
                <w:sz w:val="20"/>
                <w:szCs w:val="20"/>
              </w:rPr>
            </w:pPr>
          </w:p>
        </w:tc>
        <w:tc>
          <w:tcPr>
            <w:tcW w:w="1980" w:type="dxa"/>
          </w:tcPr>
          <w:p w:rsidR="00C316A4" w:rsidRPr="004D59BE" w:rsidRDefault="00C316A4" w:rsidP="005A4BCA">
            <w:pPr>
              <w:keepNext/>
              <w:spacing w:before="60" w:after="60"/>
              <w:ind w:right="628"/>
              <w:jc w:val="right"/>
              <w:rPr>
                <w:color w:val="000000"/>
                <w:sz w:val="20"/>
                <w:szCs w:val="20"/>
              </w:rPr>
            </w:pPr>
          </w:p>
        </w:tc>
      </w:tr>
      <w:tr w:rsidR="00C316A4" w:rsidRPr="004D59BE" w:rsidTr="004D59BE">
        <w:trPr>
          <w:cantSplit/>
          <w:jc w:val="center"/>
        </w:trPr>
        <w:tc>
          <w:tcPr>
            <w:tcW w:w="4500" w:type="dxa"/>
            <w:vAlign w:val="bottom"/>
          </w:tcPr>
          <w:p w:rsidR="00C316A4" w:rsidRPr="004D59BE" w:rsidRDefault="00C316A4" w:rsidP="00183416">
            <w:pPr>
              <w:keepNext/>
              <w:keepLines/>
              <w:spacing w:before="60" w:after="60"/>
              <w:rPr>
                <w:rFonts w:eastAsia="SimSun"/>
                <w:sz w:val="20"/>
                <w:szCs w:val="20"/>
                <w:lang w:eastAsia="zh-CN"/>
              </w:rPr>
            </w:pPr>
            <w:r w:rsidRPr="004D59BE">
              <w:rPr>
                <w:rFonts w:eastAsia="SimSun"/>
                <w:sz w:val="20"/>
                <w:szCs w:val="20"/>
                <w:lang w:eastAsia="zh-CN"/>
              </w:rPr>
              <w:t>Rentals (Schedules 71, 72, 74)</w:t>
            </w:r>
          </w:p>
        </w:tc>
        <w:tc>
          <w:tcPr>
            <w:tcW w:w="1710" w:type="dxa"/>
          </w:tcPr>
          <w:p w:rsidR="00C316A4" w:rsidRPr="004D59BE" w:rsidRDefault="005A4BCA" w:rsidP="005A4BCA">
            <w:pPr>
              <w:keepNext/>
              <w:spacing w:before="60" w:after="60"/>
              <w:ind w:right="628"/>
              <w:jc w:val="right"/>
              <w:rPr>
                <w:color w:val="000000"/>
                <w:sz w:val="20"/>
                <w:szCs w:val="20"/>
              </w:rPr>
            </w:pPr>
            <w:r w:rsidRPr="004D59BE">
              <w:rPr>
                <w:color w:val="000000"/>
                <w:sz w:val="20"/>
                <w:szCs w:val="20"/>
              </w:rPr>
              <w:t>0.4%</w:t>
            </w:r>
          </w:p>
        </w:tc>
        <w:tc>
          <w:tcPr>
            <w:tcW w:w="1980" w:type="dxa"/>
          </w:tcPr>
          <w:p w:rsidR="00C316A4" w:rsidRPr="004D59BE" w:rsidRDefault="009C51A2" w:rsidP="005A4BCA">
            <w:pPr>
              <w:keepNext/>
              <w:spacing w:before="60" w:after="60"/>
              <w:ind w:right="628"/>
              <w:jc w:val="right"/>
              <w:rPr>
                <w:color w:val="000000"/>
                <w:sz w:val="20"/>
                <w:szCs w:val="20"/>
              </w:rPr>
            </w:pPr>
            <w:r w:rsidRPr="004D59BE">
              <w:rPr>
                <w:color w:val="000000"/>
                <w:sz w:val="20"/>
                <w:szCs w:val="20"/>
              </w:rPr>
              <w:t>0.4%</w:t>
            </w:r>
          </w:p>
        </w:tc>
      </w:tr>
      <w:tr w:rsidR="00C316A4" w:rsidRPr="004D59BE" w:rsidTr="004D59BE">
        <w:trPr>
          <w:cantSplit/>
          <w:jc w:val="center"/>
        </w:trPr>
        <w:tc>
          <w:tcPr>
            <w:tcW w:w="4500" w:type="dxa"/>
            <w:vAlign w:val="bottom"/>
          </w:tcPr>
          <w:p w:rsidR="00C316A4" w:rsidRPr="004D59BE" w:rsidRDefault="00C316A4" w:rsidP="00183416">
            <w:pPr>
              <w:keepNext/>
              <w:keepLines/>
              <w:spacing w:before="60" w:after="60"/>
              <w:rPr>
                <w:rFonts w:eastAsia="SimSun"/>
                <w:sz w:val="20"/>
                <w:szCs w:val="20"/>
                <w:lang w:eastAsia="zh-CN"/>
              </w:rPr>
            </w:pPr>
          </w:p>
        </w:tc>
        <w:tc>
          <w:tcPr>
            <w:tcW w:w="1710" w:type="dxa"/>
          </w:tcPr>
          <w:p w:rsidR="00C316A4" w:rsidRPr="004D59BE" w:rsidRDefault="00C316A4" w:rsidP="005A4BCA">
            <w:pPr>
              <w:keepNext/>
              <w:spacing w:before="60" w:after="60"/>
              <w:ind w:right="628"/>
              <w:jc w:val="right"/>
              <w:rPr>
                <w:color w:val="000000"/>
                <w:sz w:val="20"/>
                <w:szCs w:val="20"/>
              </w:rPr>
            </w:pPr>
          </w:p>
        </w:tc>
        <w:tc>
          <w:tcPr>
            <w:tcW w:w="1980" w:type="dxa"/>
          </w:tcPr>
          <w:p w:rsidR="00C316A4" w:rsidRPr="004D59BE" w:rsidRDefault="00C316A4" w:rsidP="005A4BCA">
            <w:pPr>
              <w:keepNext/>
              <w:spacing w:before="60" w:after="60"/>
              <w:ind w:right="628"/>
              <w:jc w:val="right"/>
              <w:rPr>
                <w:color w:val="000000"/>
                <w:sz w:val="20"/>
                <w:szCs w:val="20"/>
              </w:rPr>
            </w:pPr>
          </w:p>
        </w:tc>
      </w:tr>
      <w:tr w:rsidR="00C316A4" w:rsidRPr="004D59BE" w:rsidTr="004D59BE">
        <w:trPr>
          <w:cantSplit/>
          <w:jc w:val="center"/>
        </w:trPr>
        <w:tc>
          <w:tcPr>
            <w:tcW w:w="4500" w:type="dxa"/>
            <w:vAlign w:val="bottom"/>
          </w:tcPr>
          <w:p w:rsidR="00C316A4" w:rsidRPr="004D59BE" w:rsidRDefault="00C316A4" w:rsidP="00F60403">
            <w:pPr>
              <w:spacing w:before="60" w:after="60"/>
              <w:rPr>
                <w:rFonts w:eastAsia="SimSun"/>
                <w:sz w:val="20"/>
                <w:szCs w:val="20"/>
                <w:lang w:eastAsia="zh-CN"/>
              </w:rPr>
            </w:pPr>
            <w:r w:rsidRPr="004D59BE">
              <w:rPr>
                <w:rFonts w:eastAsia="SimSun"/>
                <w:sz w:val="20"/>
                <w:szCs w:val="20"/>
                <w:lang w:eastAsia="zh-CN"/>
              </w:rPr>
              <w:t>Total</w:t>
            </w:r>
            <w:r w:rsidR="009C51A2" w:rsidRPr="004D59BE">
              <w:rPr>
                <w:rFonts w:eastAsia="SimSun"/>
                <w:sz w:val="20"/>
                <w:szCs w:val="20"/>
                <w:lang w:eastAsia="zh-CN"/>
              </w:rPr>
              <w:t xml:space="preserve"> Core Customers</w:t>
            </w:r>
          </w:p>
        </w:tc>
        <w:tc>
          <w:tcPr>
            <w:tcW w:w="1710" w:type="dxa"/>
          </w:tcPr>
          <w:p w:rsidR="00C316A4" w:rsidRPr="004D59BE" w:rsidRDefault="005A4BCA" w:rsidP="005A4BCA">
            <w:pPr>
              <w:keepNext/>
              <w:spacing w:before="60" w:after="60"/>
              <w:ind w:right="628"/>
              <w:jc w:val="right"/>
              <w:rPr>
                <w:color w:val="000000"/>
                <w:sz w:val="20"/>
                <w:szCs w:val="20"/>
              </w:rPr>
            </w:pPr>
            <w:r w:rsidRPr="004D59BE">
              <w:rPr>
                <w:color w:val="000000"/>
                <w:sz w:val="20"/>
                <w:szCs w:val="20"/>
              </w:rPr>
              <w:t>3.6%</w:t>
            </w:r>
          </w:p>
        </w:tc>
        <w:tc>
          <w:tcPr>
            <w:tcW w:w="1980" w:type="dxa"/>
          </w:tcPr>
          <w:p w:rsidR="00C316A4" w:rsidRPr="004D59BE" w:rsidRDefault="009C51A2" w:rsidP="00FD5CE6">
            <w:pPr>
              <w:keepNext/>
              <w:spacing w:before="60" w:after="60"/>
              <w:ind w:right="628"/>
              <w:jc w:val="right"/>
              <w:rPr>
                <w:color w:val="000000"/>
                <w:sz w:val="20"/>
                <w:szCs w:val="20"/>
              </w:rPr>
            </w:pPr>
            <w:r w:rsidRPr="004D59BE">
              <w:rPr>
                <w:color w:val="000000"/>
                <w:sz w:val="20"/>
                <w:szCs w:val="20"/>
              </w:rPr>
              <w:t>3.</w:t>
            </w:r>
            <w:r w:rsidR="00551217" w:rsidRPr="004D59BE">
              <w:rPr>
                <w:color w:val="000000"/>
                <w:sz w:val="20"/>
                <w:szCs w:val="20"/>
              </w:rPr>
              <w:t>2</w:t>
            </w:r>
            <w:r w:rsidRPr="004D59BE">
              <w:rPr>
                <w:color w:val="000000"/>
                <w:sz w:val="20"/>
                <w:szCs w:val="20"/>
              </w:rPr>
              <w:t>%</w:t>
            </w:r>
          </w:p>
        </w:tc>
      </w:tr>
    </w:tbl>
    <w:p w:rsidR="00AC1A3E" w:rsidRDefault="00AC1A3E" w:rsidP="00183416">
      <w:pPr>
        <w:pStyle w:val="question"/>
        <w:keepNext/>
        <w:spacing w:before="360"/>
      </w:pPr>
      <w:r>
        <w:t>Q.</w:t>
      </w:r>
      <w:r>
        <w:tab/>
        <w:t xml:space="preserve">What is the </w:t>
      </w:r>
      <w:r w:rsidR="00183416">
        <w:t xml:space="preserve">projected </w:t>
      </w:r>
      <w:r>
        <w:t>impact of these results on a typical residential customers’ bill?</w:t>
      </w:r>
    </w:p>
    <w:p w:rsidR="00AC1A3E" w:rsidRDefault="00AC1A3E" w:rsidP="00F85CB7">
      <w:pPr>
        <w:pStyle w:val="answer"/>
      </w:pPr>
      <w:r>
        <w:t>A.</w:t>
      </w:r>
      <w:r>
        <w:tab/>
        <w:t xml:space="preserve">Based on the results shown in </w:t>
      </w:r>
      <w:r w:rsidR="00B76959" w:rsidRPr="004C0B6A">
        <w:fldChar w:fldCharType="begin"/>
      </w:r>
      <w:r w:rsidR="00B76959" w:rsidRPr="004C0B6A">
        <w:instrText xml:space="preserve"> REF _Ref412115011 \h  \* MERGEFORMAT </w:instrText>
      </w:r>
      <w:r w:rsidR="00B76959" w:rsidRPr="004C0B6A">
        <w:fldChar w:fldCharType="separate"/>
      </w:r>
      <w:r w:rsidR="003E12C1" w:rsidRPr="003E12C1">
        <w:rPr>
          <w:bCs/>
        </w:rPr>
        <w:t xml:space="preserve">Table </w:t>
      </w:r>
      <w:r w:rsidR="003E12C1" w:rsidRPr="003E12C1">
        <w:rPr>
          <w:bCs/>
          <w:noProof/>
        </w:rPr>
        <w:t>4</w:t>
      </w:r>
      <w:r w:rsidR="00B76959" w:rsidRPr="004C0B6A">
        <w:fldChar w:fldCharType="end"/>
      </w:r>
      <w:r>
        <w:t>, the impact on a typical monthly bill of $</w:t>
      </w:r>
      <w:r w:rsidR="00E70F2F">
        <w:t>81.26</w:t>
      </w:r>
      <w:r>
        <w:t xml:space="preserve"> per month for residential gas customers</w:t>
      </w:r>
      <w:r w:rsidR="00FD5CE6">
        <w:rPr>
          <w:rStyle w:val="FootnoteReference"/>
        </w:rPr>
        <w:footnoteReference w:id="4"/>
      </w:r>
      <w:r>
        <w:t xml:space="preserve"> would </w:t>
      </w:r>
      <w:r w:rsidR="00B76959">
        <w:t xml:space="preserve">range from </w:t>
      </w:r>
      <w:r w:rsidR="00183416">
        <w:t xml:space="preserve">approximately </w:t>
      </w:r>
      <w:r w:rsidR="005A4BCA">
        <w:t>$2.</w:t>
      </w:r>
      <w:r w:rsidR="00551217">
        <w:t>68</w:t>
      </w:r>
      <w:r w:rsidR="00FD5CE6">
        <w:t xml:space="preserve"> </w:t>
      </w:r>
      <w:r w:rsidR="00F835E0">
        <w:t>to $2.93</w:t>
      </w:r>
      <w:r w:rsidR="005A4BCA">
        <w:t xml:space="preserve"> </w:t>
      </w:r>
      <w:r>
        <w:t>per month</w:t>
      </w:r>
      <w:r w:rsidR="005A4BCA">
        <w:t xml:space="preserve"> (or 3.</w:t>
      </w:r>
      <w:r w:rsidR="00551217">
        <w:t>3</w:t>
      </w:r>
      <w:r w:rsidR="00FD5CE6">
        <w:t xml:space="preserve"> </w:t>
      </w:r>
      <w:r w:rsidR="00F835E0">
        <w:t>percent to 3.6</w:t>
      </w:r>
      <w:r w:rsidR="005A4BCA">
        <w:t xml:space="preserve"> percent)</w:t>
      </w:r>
      <w:r w:rsidR="004D59BE">
        <w:t xml:space="preserve"> over baseline levels.</w:t>
      </w:r>
    </w:p>
    <w:p w:rsidR="00AC1A3E" w:rsidRDefault="00AC1A3E" w:rsidP="00183416">
      <w:pPr>
        <w:pStyle w:val="question"/>
        <w:keepNext/>
        <w:spacing w:before="120"/>
      </w:pPr>
      <w:r>
        <w:t>Q.</w:t>
      </w:r>
      <w:r>
        <w:tab/>
        <w:t xml:space="preserve">Does this mean that the rates for these customers will increase by the amounts summarized in </w:t>
      </w:r>
      <w:r w:rsidR="00E70F2F" w:rsidRPr="00E70F2F">
        <w:fldChar w:fldCharType="begin"/>
      </w:r>
      <w:r w:rsidR="00E70F2F" w:rsidRPr="00E70F2F">
        <w:instrText xml:space="preserve"> REF _Ref412115011 \h  \* MERGEFORMAT </w:instrText>
      </w:r>
      <w:r w:rsidR="00E70F2F" w:rsidRPr="00E70F2F">
        <w:fldChar w:fldCharType="separate"/>
      </w:r>
      <w:r w:rsidR="003E12C1" w:rsidRPr="003E12C1">
        <w:rPr>
          <w:bCs w:val="0"/>
        </w:rPr>
        <w:t xml:space="preserve">Table </w:t>
      </w:r>
      <w:r w:rsidR="003E12C1" w:rsidRPr="003E12C1">
        <w:rPr>
          <w:bCs w:val="0"/>
          <w:noProof/>
        </w:rPr>
        <w:t>4</w:t>
      </w:r>
      <w:r w:rsidR="00E70F2F" w:rsidRPr="00E70F2F">
        <w:fldChar w:fldCharType="end"/>
      </w:r>
      <w:r>
        <w:t>?</w:t>
      </w:r>
    </w:p>
    <w:p w:rsidR="00183416" w:rsidRDefault="00AC1A3E" w:rsidP="00F85CB7">
      <w:pPr>
        <w:pStyle w:val="answer"/>
      </w:pPr>
      <w:r>
        <w:t>A.</w:t>
      </w:r>
      <w:r>
        <w:tab/>
        <w:t>Not necessarily.  The ultimate rate impact will depend on</w:t>
      </w:r>
      <w:r w:rsidR="00F772C0">
        <w:t>:</w:t>
      </w:r>
      <w:r>
        <w:t xml:space="preserve"> </w:t>
      </w:r>
    </w:p>
    <w:p w:rsidR="00183416" w:rsidRDefault="00183416" w:rsidP="00183416">
      <w:pPr>
        <w:pStyle w:val="answer"/>
        <w:widowControl w:val="0"/>
        <w:spacing w:before="0" w:after="280" w:line="240" w:lineRule="auto"/>
        <w:ind w:left="2160" w:right="720"/>
      </w:pPr>
      <w:r>
        <w:t>(i)</w:t>
      </w:r>
      <w:r>
        <w:tab/>
      </w:r>
      <w:r w:rsidR="00AC1A3E">
        <w:t xml:space="preserve">the actual regulated pro forma revenue for these groups at the time the </w:t>
      </w:r>
      <w:r>
        <w:t xml:space="preserve">actual costs associated with regulated operations of the </w:t>
      </w:r>
      <w:r w:rsidR="00AC1A3E">
        <w:t>Tacoma LNG Project are added to PSE’s revenue requirement for rate purposes</w:t>
      </w:r>
      <w:r>
        <w:t>;</w:t>
      </w:r>
    </w:p>
    <w:p w:rsidR="00183416" w:rsidRDefault="00183416" w:rsidP="00183416">
      <w:pPr>
        <w:pStyle w:val="answer"/>
        <w:widowControl w:val="0"/>
        <w:spacing w:before="0" w:after="280" w:line="240" w:lineRule="auto"/>
        <w:ind w:left="2160" w:right="720"/>
      </w:pPr>
      <w:r>
        <w:t>(ii)</w:t>
      </w:r>
      <w:r>
        <w:tab/>
      </w:r>
      <w:r w:rsidR="00AC1A3E">
        <w:t xml:space="preserve">the overall change in rates required to cover PSE’s overall </w:t>
      </w:r>
      <w:r w:rsidR="00E70F2F">
        <w:t xml:space="preserve">natural </w:t>
      </w:r>
      <w:r w:rsidR="00AC1A3E">
        <w:t>gas revenue requirement at that time</w:t>
      </w:r>
      <w:r>
        <w:t>;</w:t>
      </w:r>
    </w:p>
    <w:p w:rsidR="00762812" w:rsidRDefault="00183416" w:rsidP="00183416">
      <w:pPr>
        <w:pStyle w:val="answer"/>
        <w:widowControl w:val="0"/>
        <w:spacing w:before="0" w:after="280" w:line="240" w:lineRule="auto"/>
        <w:ind w:left="2160" w:right="720"/>
      </w:pPr>
      <w:r>
        <w:t>(iii)</w:t>
      </w:r>
      <w:r>
        <w:tab/>
      </w:r>
      <w:r w:rsidR="00AC1A3E">
        <w:t xml:space="preserve">the final costs associated with </w:t>
      </w:r>
      <w:r>
        <w:t xml:space="preserve">regulated operations of </w:t>
      </w:r>
      <w:r w:rsidR="00AC1A3E">
        <w:t>the Tacoma LNG Project</w:t>
      </w:r>
      <w:r w:rsidR="00762812">
        <w:t xml:space="preserve">; </w:t>
      </w:r>
    </w:p>
    <w:p w:rsidR="00E70F2F" w:rsidRDefault="00762812" w:rsidP="00183416">
      <w:pPr>
        <w:pStyle w:val="answer"/>
        <w:widowControl w:val="0"/>
        <w:spacing w:before="0" w:after="280" w:line="240" w:lineRule="auto"/>
        <w:ind w:left="2160" w:right="720"/>
      </w:pPr>
      <w:r>
        <w:t>(iv)</w:t>
      </w:r>
      <w:r>
        <w:tab/>
      </w:r>
      <w:r w:rsidR="00E70F2F">
        <w:t>the amount of LNG sales volume;</w:t>
      </w:r>
    </w:p>
    <w:p w:rsidR="00183416" w:rsidRDefault="00E70F2F" w:rsidP="00183416">
      <w:pPr>
        <w:pStyle w:val="answer"/>
        <w:widowControl w:val="0"/>
        <w:spacing w:before="0" w:after="280" w:line="240" w:lineRule="auto"/>
        <w:ind w:left="2160" w:right="720"/>
      </w:pPr>
      <w:r>
        <w:t xml:space="preserve">(v) </w:t>
      </w:r>
      <w:r>
        <w:tab/>
      </w:r>
      <w:r w:rsidR="00AC1A3E">
        <w:t xml:space="preserve">as well as the </w:t>
      </w:r>
      <w:r w:rsidR="00FD5CE6">
        <w:t xml:space="preserve">ultimate approach taken to allocate costs and spread rates </w:t>
      </w:r>
      <w:r w:rsidR="00AC1A3E">
        <w:t xml:space="preserve">in that case.  </w:t>
      </w:r>
    </w:p>
    <w:p w:rsidR="00AC1A3E" w:rsidRDefault="00AC1A3E" w:rsidP="00F85CB7">
      <w:pPr>
        <w:pStyle w:val="answer"/>
        <w:ind w:firstLine="0"/>
      </w:pPr>
      <w:r>
        <w:t>With that caveat, the results present</w:t>
      </w:r>
      <w:r w:rsidR="00F772C0">
        <w:t>ed</w:t>
      </w:r>
      <w:r>
        <w:t xml:space="preserve"> </w:t>
      </w:r>
      <w:r w:rsidR="0018535A">
        <w:t xml:space="preserve">in </w:t>
      </w:r>
      <w:r w:rsidR="00B76959" w:rsidRPr="004C0B6A">
        <w:fldChar w:fldCharType="begin"/>
      </w:r>
      <w:r w:rsidR="00B76959" w:rsidRPr="004C0B6A">
        <w:instrText xml:space="preserve"> REF _Ref412115011 \h  \* MERGEFORMAT </w:instrText>
      </w:r>
      <w:r w:rsidR="00B76959" w:rsidRPr="004C0B6A">
        <w:fldChar w:fldCharType="separate"/>
      </w:r>
      <w:r w:rsidR="003E12C1" w:rsidRPr="003E12C1">
        <w:rPr>
          <w:bCs/>
        </w:rPr>
        <w:t xml:space="preserve">Table </w:t>
      </w:r>
      <w:r w:rsidR="003E12C1" w:rsidRPr="003E12C1">
        <w:rPr>
          <w:bCs/>
          <w:noProof/>
        </w:rPr>
        <w:t>4</w:t>
      </w:r>
      <w:r w:rsidR="00B76959" w:rsidRPr="004C0B6A">
        <w:fldChar w:fldCharType="end"/>
      </w:r>
      <w:r w:rsidR="0018535A">
        <w:t xml:space="preserve"> </w:t>
      </w:r>
      <w:r>
        <w:t>provide a reasonable approximation for the expected rate impacts resulting from the addition</w:t>
      </w:r>
      <w:r w:rsidR="0018535A">
        <w:t xml:space="preserve"> of costs associated with regulated operations of the Tacoma LNG </w:t>
      </w:r>
      <w:r w:rsidR="00B76959">
        <w:t xml:space="preserve">Project </w:t>
      </w:r>
      <w:r w:rsidR="0018535A">
        <w:t xml:space="preserve">to PSE’s </w:t>
      </w:r>
      <w:r w:rsidR="00B76959">
        <w:t xml:space="preserve">natural </w:t>
      </w:r>
      <w:r w:rsidR="0018535A">
        <w:t>gas revenue requirement.</w:t>
      </w:r>
    </w:p>
    <w:p w:rsidR="00AC1A3E" w:rsidRDefault="00AC1A3E" w:rsidP="0018535A">
      <w:pPr>
        <w:pStyle w:val="Heading1"/>
      </w:pPr>
      <w:bookmarkStart w:id="23" w:name="_Toc426899585"/>
      <w:r>
        <w:t>VII.</w:t>
      </w:r>
      <w:r>
        <w:tab/>
        <w:t>CONCLUSION</w:t>
      </w:r>
      <w:bookmarkEnd w:id="23"/>
    </w:p>
    <w:p w:rsidR="00AC1A3E" w:rsidRDefault="00AC1A3E" w:rsidP="0018535A">
      <w:pPr>
        <w:pStyle w:val="question"/>
        <w:keepNext/>
        <w:spacing w:before="120"/>
      </w:pPr>
      <w:r>
        <w:t>Q.</w:t>
      </w:r>
      <w:r>
        <w:tab/>
        <w:t>Does that conclude your prefiled direct testimony?</w:t>
      </w:r>
    </w:p>
    <w:p w:rsidR="00AC1A3E" w:rsidRDefault="00AC1A3E" w:rsidP="00F85CB7">
      <w:pPr>
        <w:pStyle w:val="answer"/>
      </w:pPr>
      <w:r>
        <w:t>A.</w:t>
      </w:r>
      <w:r>
        <w:tab/>
        <w:t>Yes, it does.</w:t>
      </w:r>
    </w:p>
    <w:sectPr w:rsidR="00AC1A3E" w:rsidSect="00FB09A7">
      <w:footerReference w:type="default" r:id="rId18"/>
      <w:footerReference w:type="first" r:id="rId19"/>
      <w:pgSz w:w="12240" w:h="15840" w:code="1"/>
      <w:pgMar w:top="1440" w:right="1440" w:bottom="1530" w:left="2160" w:header="864" w:footer="411"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63F" w:rsidRDefault="00B1063F">
      <w:r>
        <w:separator/>
      </w:r>
    </w:p>
  </w:endnote>
  <w:endnote w:type="continuationSeparator" w:id="0">
    <w:p w:rsidR="00B1063F" w:rsidRDefault="00B1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3F" w:rsidRPr="009C14C3" w:rsidRDefault="00B1063F">
    <w:pPr>
      <w:pStyle w:val="Footer"/>
      <w:rPr>
        <w:sz w:val="16"/>
      </w:rPr>
    </w:pPr>
    <w:r>
      <w:rPr>
        <w:sz w:val="16"/>
      </w:rPr>
      <w:t>WS: 796788_2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3F" w:rsidRPr="006A4EC4" w:rsidRDefault="00B1063F" w:rsidP="006650C9">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B1063F" w:rsidRPr="006A4EC4" w:rsidRDefault="00B1063F" w:rsidP="006650C9">
    <w:pPr>
      <w:pStyle w:val="Footer"/>
      <w:tabs>
        <w:tab w:val="clear" w:pos="4507"/>
        <w:tab w:val="clear" w:pos="9000"/>
        <w:tab w:val="right" w:pos="8640"/>
      </w:tabs>
      <w:spacing w:line="240" w:lineRule="auto"/>
      <w:ind w:right="0"/>
      <w:rPr>
        <w:sz w:val="10"/>
        <w:szCs w:val="10"/>
      </w:rPr>
    </w:pPr>
  </w:p>
  <w:p w:rsidR="00B1063F" w:rsidRDefault="00B1063F" w:rsidP="006650C9">
    <w:pPr>
      <w:pStyle w:val="Footer"/>
      <w:tabs>
        <w:tab w:val="clear" w:pos="4507"/>
        <w:tab w:val="clear" w:pos="9000"/>
        <w:tab w:val="right" w:pos="8640"/>
      </w:tabs>
      <w:ind w:hanging="4"/>
    </w:pPr>
    <w:r>
      <w:t>Prefiled Direct Testimony</w:t>
    </w:r>
    <w:r>
      <w:tab/>
      <w:t>Exhibit No. ___(JAP-1T)</w:t>
    </w:r>
  </w:p>
  <w:p w:rsidR="00B1063F" w:rsidRDefault="00B1063F" w:rsidP="006650C9">
    <w:pPr>
      <w:pStyle w:val="Footer"/>
      <w:tabs>
        <w:tab w:val="clear" w:pos="4507"/>
        <w:tab w:val="clear" w:pos="9000"/>
        <w:tab w:val="right" w:pos="8640"/>
      </w:tabs>
      <w:ind w:hanging="4"/>
    </w:pPr>
    <w:r>
      <w:t>(Nonconfidential) of</w:t>
    </w:r>
    <w:r>
      <w:tab/>
      <w:t>Page </w:t>
    </w:r>
    <w:r>
      <w:rPr>
        <w:rStyle w:val="PageNumber"/>
      </w:rPr>
      <w:fldChar w:fldCharType="begin"/>
    </w:r>
    <w:r>
      <w:rPr>
        <w:rStyle w:val="PageNumber"/>
      </w:rPr>
      <w:instrText xml:space="preserve"> PAGE </w:instrText>
    </w:r>
    <w:r>
      <w:rPr>
        <w:rStyle w:val="PageNumber"/>
      </w:rPr>
      <w:fldChar w:fldCharType="separate"/>
    </w:r>
    <w:r w:rsidR="00CF0E01">
      <w:rPr>
        <w:rStyle w:val="PageNumber"/>
        <w:noProof/>
      </w:rPr>
      <w:t>i</w:t>
    </w:r>
    <w:r>
      <w:rPr>
        <w:rStyle w:val="PageNumber"/>
      </w:rPr>
      <w:fldChar w:fldCharType="end"/>
    </w:r>
    <w:r>
      <w:rPr>
        <w:rStyle w:val="PageNumber"/>
      </w:rPr>
      <w:t xml:space="preserve"> of i</w:t>
    </w:r>
    <w:r>
      <w:rPr>
        <w:rStyle w:val="PageNumber"/>
      </w:rPr>
      <w:br/>
    </w:r>
    <w:r>
      <w:t>Jon A. Piliaris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3F" w:rsidRPr="006A4EC4" w:rsidRDefault="00B1063F"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B1063F" w:rsidRPr="006A4EC4" w:rsidRDefault="00B1063F" w:rsidP="00E05C6E">
    <w:pPr>
      <w:pStyle w:val="Footer"/>
      <w:tabs>
        <w:tab w:val="clear" w:pos="4507"/>
        <w:tab w:val="clear" w:pos="9000"/>
        <w:tab w:val="right" w:pos="8640"/>
      </w:tabs>
      <w:spacing w:line="240" w:lineRule="auto"/>
      <w:ind w:right="0"/>
      <w:rPr>
        <w:sz w:val="10"/>
        <w:szCs w:val="10"/>
      </w:rPr>
    </w:pPr>
  </w:p>
  <w:p w:rsidR="00B1063F" w:rsidRDefault="00B1063F" w:rsidP="004611C3">
    <w:pPr>
      <w:pStyle w:val="Footer"/>
      <w:tabs>
        <w:tab w:val="clear" w:pos="4507"/>
        <w:tab w:val="clear" w:pos="9000"/>
        <w:tab w:val="right" w:pos="8640"/>
      </w:tabs>
      <w:ind w:hanging="4"/>
    </w:pPr>
    <w:r>
      <w:t>Prefiled Direct Testimony</w:t>
    </w:r>
    <w:r>
      <w:tab/>
      <w:t>Exhibit No. ___(JAP-1T)</w:t>
    </w:r>
  </w:p>
  <w:p w:rsidR="00B1063F" w:rsidRDefault="00B1063F" w:rsidP="004611C3">
    <w:pPr>
      <w:pStyle w:val="Footer"/>
      <w:tabs>
        <w:tab w:val="clear" w:pos="4507"/>
        <w:tab w:val="clear" w:pos="9000"/>
        <w:tab w:val="right" w:pos="8640"/>
      </w:tabs>
      <w:ind w:hanging="4"/>
    </w:pPr>
    <w:r>
      <w:t>(Nonconfidential) of</w:t>
    </w:r>
    <w:r>
      <w:tab/>
      <w:t>Page </w:t>
    </w:r>
    <w:r>
      <w:rPr>
        <w:rStyle w:val="PageNumber"/>
      </w:rPr>
      <w:fldChar w:fldCharType="begin"/>
    </w:r>
    <w:r>
      <w:rPr>
        <w:rStyle w:val="PageNumber"/>
      </w:rPr>
      <w:instrText xml:space="preserve"> PAGE </w:instrText>
    </w:r>
    <w:r>
      <w:rPr>
        <w:rStyle w:val="PageNumber"/>
      </w:rPr>
      <w:fldChar w:fldCharType="separate"/>
    </w:r>
    <w:r w:rsidR="00CF0E01">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CF0E01">
      <w:rPr>
        <w:rStyle w:val="PageNumber"/>
        <w:noProof/>
      </w:rPr>
      <w:t>3</w:t>
    </w:r>
    <w:r>
      <w:rPr>
        <w:rStyle w:val="PageNumber"/>
      </w:rPr>
      <w:fldChar w:fldCharType="end"/>
    </w:r>
    <w:r>
      <w:rPr>
        <w:rStyle w:val="PageNumber"/>
      </w:rPr>
      <w:br/>
    </w:r>
    <w:r>
      <w:t>Jon A. Piliaris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3F" w:rsidRDefault="00B1063F"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63F" w:rsidRDefault="00B1063F">
      <w:r>
        <w:separator/>
      </w:r>
    </w:p>
  </w:footnote>
  <w:footnote w:type="continuationSeparator" w:id="0">
    <w:p w:rsidR="00B1063F" w:rsidRDefault="00B1063F">
      <w:r>
        <w:continuationSeparator/>
      </w:r>
    </w:p>
  </w:footnote>
  <w:footnote w:id="1">
    <w:p w:rsidR="00B1063F" w:rsidRDefault="00B1063F" w:rsidP="00B1063F">
      <w:pPr>
        <w:pStyle w:val="FootnoteText"/>
        <w:tabs>
          <w:tab w:val="left" w:pos="720"/>
        </w:tabs>
        <w:spacing w:before="60" w:after="60" w:line="240" w:lineRule="auto"/>
        <w:ind w:firstLine="360"/>
      </w:pPr>
      <w:r>
        <w:rPr>
          <w:rStyle w:val="FootnoteReference"/>
        </w:rPr>
        <w:footnoteRef/>
      </w:r>
      <w:r w:rsidRPr="00B1063F">
        <w:rPr>
          <w:sz w:val="20"/>
          <w:szCs w:val="20"/>
        </w:rPr>
        <w:tab/>
        <w:t>Please see the Prefiled Direct Testimony of Roger Garratt, Exhibit No.</w:t>
      </w:r>
      <w:r>
        <w:rPr>
          <w:sz w:val="20"/>
          <w:szCs w:val="20"/>
        </w:rPr>
        <w:t> </w:t>
      </w:r>
      <w:r w:rsidRPr="00B1063F">
        <w:rPr>
          <w:sz w:val="20"/>
          <w:szCs w:val="20"/>
        </w:rPr>
        <w:t>___(RG-1</w:t>
      </w:r>
      <w:r>
        <w:rPr>
          <w:sz w:val="20"/>
          <w:szCs w:val="20"/>
        </w:rPr>
        <w:t>C</w:t>
      </w:r>
      <w:r w:rsidRPr="00B1063F">
        <w:rPr>
          <w:sz w:val="20"/>
          <w:szCs w:val="20"/>
        </w:rPr>
        <w:t>T), for a detailed explanation of the distinction between the Tacoma LNG Facility and the Tacoma LNG Project, as well as the regulated vs. unregulated portions of the Tacoma LNG Facility.</w:t>
      </w:r>
    </w:p>
  </w:footnote>
  <w:footnote w:id="2">
    <w:p w:rsidR="00B1063F" w:rsidRDefault="00B1063F" w:rsidP="0043678B">
      <w:pPr>
        <w:pStyle w:val="FootnoteText"/>
        <w:spacing w:before="60" w:after="60" w:line="240" w:lineRule="auto"/>
        <w:ind w:firstLine="360"/>
      </w:pPr>
      <w:r>
        <w:rPr>
          <w:rStyle w:val="FootnoteReference"/>
        </w:rPr>
        <w:footnoteRef/>
      </w:r>
      <w:r w:rsidR="0043678B" w:rsidRPr="0043678B">
        <w:rPr>
          <w:sz w:val="20"/>
          <w:szCs w:val="20"/>
        </w:rPr>
        <w:tab/>
      </w:r>
      <w:r w:rsidRPr="0043678B">
        <w:rPr>
          <w:sz w:val="20"/>
          <w:szCs w:val="20"/>
        </w:rPr>
        <w:t>Please see the Prefiled Direct Testimony of Clay Riding, Exhibit No.</w:t>
      </w:r>
      <w:r w:rsidR="0043678B">
        <w:rPr>
          <w:sz w:val="20"/>
          <w:szCs w:val="20"/>
        </w:rPr>
        <w:t> </w:t>
      </w:r>
      <w:r w:rsidRPr="0043678B">
        <w:rPr>
          <w:sz w:val="20"/>
          <w:szCs w:val="20"/>
        </w:rPr>
        <w:t xml:space="preserve">___(CR-1HCT), for a discussion of </w:t>
      </w:r>
      <w:r w:rsidR="0043678B" w:rsidRPr="0043678B">
        <w:rPr>
          <w:sz w:val="20"/>
          <w:szCs w:val="20"/>
        </w:rPr>
        <w:t xml:space="preserve">the </w:t>
      </w:r>
      <w:r w:rsidRPr="0043678B">
        <w:rPr>
          <w:sz w:val="20"/>
          <w:szCs w:val="20"/>
        </w:rPr>
        <w:t>TOTE</w:t>
      </w:r>
      <w:r w:rsidR="0043678B" w:rsidRPr="0043678B">
        <w:rPr>
          <w:sz w:val="20"/>
          <w:szCs w:val="20"/>
        </w:rPr>
        <w:t xml:space="preserve"> Special Contract</w:t>
      </w:r>
      <w:r w:rsidRPr="0043678B">
        <w:rPr>
          <w:sz w:val="20"/>
          <w:szCs w:val="20"/>
        </w:rPr>
        <w:t>.</w:t>
      </w:r>
    </w:p>
  </w:footnote>
  <w:footnote w:id="3">
    <w:p w:rsidR="00B1063F" w:rsidRDefault="00B1063F" w:rsidP="004D59BE">
      <w:pPr>
        <w:pStyle w:val="FootnoteText"/>
        <w:spacing w:before="60" w:after="60" w:line="240" w:lineRule="auto"/>
        <w:ind w:firstLine="360"/>
      </w:pPr>
      <w:r>
        <w:rPr>
          <w:rStyle w:val="FootnoteReference"/>
        </w:rPr>
        <w:footnoteRef/>
      </w:r>
      <w:r w:rsidR="004D59BE">
        <w:tab/>
      </w:r>
      <w:r w:rsidRPr="004D59BE">
        <w:rPr>
          <w:sz w:val="20"/>
          <w:szCs w:val="20"/>
        </w:rPr>
        <w:t>This amount excludes the pass-through of electricity and natural gas commodity costs, as discussed in the Prefiled Direct Testimony of Clay Riding, Exhibit No.</w:t>
      </w:r>
      <w:r w:rsidR="004D59BE">
        <w:rPr>
          <w:sz w:val="20"/>
          <w:szCs w:val="20"/>
        </w:rPr>
        <w:t> </w:t>
      </w:r>
      <w:r w:rsidRPr="004D59BE">
        <w:rPr>
          <w:sz w:val="20"/>
          <w:szCs w:val="20"/>
        </w:rPr>
        <w:t>___(CR-1HCT).</w:t>
      </w:r>
    </w:p>
  </w:footnote>
  <w:footnote w:id="4">
    <w:p w:rsidR="00B1063F" w:rsidRDefault="00B1063F" w:rsidP="004D59BE">
      <w:pPr>
        <w:pStyle w:val="FootnoteText"/>
        <w:spacing w:before="60" w:after="60" w:line="240" w:lineRule="auto"/>
        <w:ind w:firstLine="360"/>
      </w:pPr>
      <w:r>
        <w:rPr>
          <w:rStyle w:val="FootnoteReference"/>
        </w:rPr>
        <w:footnoteRef/>
      </w:r>
      <w:r w:rsidR="004D59BE">
        <w:rPr>
          <w:sz w:val="20"/>
          <w:szCs w:val="20"/>
        </w:rPr>
        <w:tab/>
      </w:r>
      <w:r w:rsidRPr="004D59BE">
        <w:rPr>
          <w:sz w:val="20"/>
          <w:szCs w:val="20"/>
        </w:rPr>
        <w:t>Note that this typical bill represents current rates, not those that could be experienced using the baseline revenue requirement shown in Table 1.  However, the differences are not expected to be material, given the other simplifying assumptions used to derive the impacts.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3F" w:rsidRDefault="00B1063F">
    <w:pPr>
      <w:pStyle w:val="Header"/>
    </w:pP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3F" w:rsidRDefault="00B1063F">
    <w:pPr>
      <w:pStyle w:val="Header"/>
    </w:pPr>
    <w:r>
      <w:rPr>
        <w:noProof/>
        <w:lang w:eastAsia="en-US"/>
      </w:rPr>
      <mc:AlternateContent>
        <mc:Choice Requires="wps">
          <w:drawing>
            <wp:anchor distT="0" distB="0" distL="114300" distR="114300" simplePos="0" relativeHeight="251657216" behindDoc="0" locked="0" layoutInCell="1" allowOverlap="1" wp14:anchorId="7F9CBC41" wp14:editId="3AEF173A">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1">
    <w:nsid w:val="05FE16F4"/>
    <w:multiLevelType w:val="hybridMultilevel"/>
    <w:tmpl w:val="A1B41EDE"/>
    <w:lvl w:ilvl="0" w:tplc="0C09000F">
      <w:start w:val="1"/>
      <w:numFmt w:val="decimal"/>
      <w:lvlText w:val="%1."/>
      <w:lvlJc w:val="left"/>
      <w:pPr>
        <w:tabs>
          <w:tab w:val="num" w:pos="778"/>
        </w:tabs>
        <w:ind w:left="778" w:hanging="360"/>
      </w:pPr>
      <w:rPr>
        <w:rFonts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2">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nsid w:val="08DD3F25"/>
    <w:multiLevelType w:val="hybridMultilevel"/>
    <w:tmpl w:val="81B809CA"/>
    <w:lvl w:ilvl="0" w:tplc="0C090001">
      <w:start w:val="1"/>
      <w:numFmt w:val="bullet"/>
      <w:lvlText w:val=""/>
      <w:lvlJc w:val="left"/>
      <w:pPr>
        <w:tabs>
          <w:tab w:val="num" w:pos="778"/>
        </w:tabs>
        <w:ind w:left="778" w:hanging="360"/>
      </w:pPr>
      <w:rPr>
        <w:rFonts w:ascii="Symbol" w:hAnsi="Symbol"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4">
    <w:nsid w:val="0ACC55C3"/>
    <w:multiLevelType w:val="hybridMultilevel"/>
    <w:tmpl w:val="86F035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1EA6F66"/>
    <w:multiLevelType w:val="hybridMultilevel"/>
    <w:tmpl w:val="E8E40012"/>
    <w:lvl w:ilvl="0" w:tplc="D22C90FC">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6">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7">
    <w:nsid w:val="167A6F06"/>
    <w:multiLevelType w:val="hybridMultilevel"/>
    <w:tmpl w:val="737A9700"/>
    <w:lvl w:ilvl="0" w:tplc="4124770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9">
    <w:nsid w:val="22C62E6E"/>
    <w:multiLevelType w:val="hybridMultilevel"/>
    <w:tmpl w:val="ED742E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37B530E"/>
    <w:multiLevelType w:val="hybridMultilevel"/>
    <w:tmpl w:val="EF5AD5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3AC2E13"/>
    <w:multiLevelType w:val="hybridMultilevel"/>
    <w:tmpl w:val="AA4498A8"/>
    <w:lvl w:ilvl="0" w:tplc="6972AB9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B731134"/>
    <w:multiLevelType w:val="hybridMultilevel"/>
    <w:tmpl w:val="6DC20D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8320482"/>
    <w:multiLevelType w:val="hybridMultilevel"/>
    <w:tmpl w:val="21B8E15E"/>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5">
    <w:nsid w:val="3B421620"/>
    <w:multiLevelType w:val="hybridMultilevel"/>
    <w:tmpl w:val="F372280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6">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nsid w:val="42BA178D"/>
    <w:multiLevelType w:val="hybridMultilevel"/>
    <w:tmpl w:val="7D4A2526"/>
    <w:lvl w:ilvl="0" w:tplc="96E0BBD6">
      <w:start w:val="1"/>
      <w:numFmt w:val="bullet"/>
      <w:lvlText w:val=""/>
      <w:lvlJc w:val="left"/>
      <w:pPr>
        <w:tabs>
          <w:tab w:val="num" w:pos="1080"/>
        </w:tabs>
        <w:ind w:left="1080" w:hanging="360"/>
      </w:pPr>
      <w:rPr>
        <w:rFonts w:ascii="Symbol" w:eastAsia="SimSu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7C64918"/>
    <w:multiLevelType w:val="hybridMultilevel"/>
    <w:tmpl w:val="C02E4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30">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2">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3">
    <w:nsid w:val="5BCA2287"/>
    <w:multiLevelType w:val="hybridMultilevel"/>
    <w:tmpl w:val="81C83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35">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6">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7">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38">
    <w:nsid w:val="7215704B"/>
    <w:multiLevelType w:val="hybridMultilevel"/>
    <w:tmpl w:val="95AA037A"/>
    <w:lvl w:ilvl="0" w:tplc="595A4A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56F772A"/>
    <w:multiLevelType w:val="hybridMultilevel"/>
    <w:tmpl w:val="9328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41">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35"/>
  </w:num>
  <w:num w:numId="2">
    <w:abstractNumId w:val="12"/>
  </w:num>
  <w:num w:numId="3">
    <w:abstractNumId w:val="36"/>
  </w:num>
  <w:num w:numId="4">
    <w:abstractNumId w:val="26"/>
  </w:num>
  <w:num w:numId="5">
    <w:abstractNumId w:val="32"/>
  </w:num>
  <w:num w:numId="6">
    <w:abstractNumId w:val="34"/>
  </w:num>
  <w:num w:numId="7">
    <w:abstractNumId w:val="37"/>
  </w:num>
  <w:num w:numId="8">
    <w:abstractNumId w:val="29"/>
  </w:num>
  <w:num w:numId="9">
    <w:abstractNumId w:val="41"/>
  </w:num>
  <w:num w:numId="10">
    <w:abstractNumId w:val="30"/>
  </w:num>
  <w:num w:numId="11">
    <w:abstractNumId w:val="31"/>
  </w:num>
  <w:num w:numId="12">
    <w:abstractNumId w:val="18"/>
  </w:num>
  <w:num w:numId="13">
    <w:abstractNumId w:val="16"/>
  </w:num>
  <w:num w:numId="14">
    <w:abstractNumId w:val="2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40"/>
  </w:num>
  <w:num w:numId="27">
    <w:abstractNumId w:val="13"/>
  </w:num>
  <w:num w:numId="28">
    <w:abstractNumId w:val="11"/>
  </w:num>
  <w:num w:numId="29">
    <w:abstractNumId w:val="24"/>
  </w:num>
  <w:num w:numId="30">
    <w:abstractNumId w:val="21"/>
  </w:num>
  <w:num w:numId="31">
    <w:abstractNumId w:val="38"/>
  </w:num>
  <w:num w:numId="32">
    <w:abstractNumId w:val="17"/>
  </w:num>
  <w:num w:numId="33">
    <w:abstractNumId w:val="27"/>
  </w:num>
  <w:num w:numId="34">
    <w:abstractNumId w:val="14"/>
  </w:num>
  <w:num w:numId="35">
    <w:abstractNumId w:val="25"/>
  </w:num>
  <w:num w:numId="36">
    <w:abstractNumId w:val="39"/>
  </w:num>
  <w:num w:numId="37">
    <w:abstractNumId w:val="19"/>
  </w:num>
  <w:num w:numId="38">
    <w:abstractNumId w:val="33"/>
  </w:num>
  <w:num w:numId="39">
    <w:abstractNumId w:val="20"/>
  </w:num>
  <w:num w:numId="40">
    <w:abstractNumId w:val="28"/>
  </w:num>
  <w:num w:numId="41">
    <w:abstractNumId w:val="15"/>
  </w:num>
  <w:num w:numId="42">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E5"/>
    <w:rsid w:val="00001A4E"/>
    <w:rsid w:val="00001A95"/>
    <w:rsid w:val="0000267D"/>
    <w:rsid w:val="000038D1"/>
    <w:rsid w:val="00003993"/>
    <w:rsid w:val="00003FC5"/>
    <w:rsid w:val="00004E7F"/>
    <w:rsid w:val="00004F3D"/>
    <w:rsid w:val="000057A7"/>
    <w:rsid w:val="00006590"/>
    <w:rsid w:val="000068BE"/>
    <w:rsid w:val="00006999"/>
    <w:rsid w:val="00006CDE"/>
    <w:rsid w:val="000075CC"/>
    <w:rsid w:val="000105BC"/>
    <w:rsid w:val="000109B4"/>
    <w:rsid w:val="00010B53"/>
    <w:rsid w:val="00011A48"/>
    <w:rsid w:val="00012276"/>
    <w:rsid w:val="0001236B"/>
    <w:rsid w:val="00012397"/>
    <w:rsid w:val="00014348"/>
    <w:rsid w:val="00015C4A"/>
    <w:rsid w:val="000168EC"/>
    <w:rsid w:val="00016DD6"/>
    <w:rsid w:val="00016EB5"/>
    <w:rsid w:val="000171A2"/>
    <w:rsid w:val="00021598"/>
    <w:rsid w:val="00022279"/>
    <w:rsid w:val="00022631"/>
    <w:rsid w:val="00023F79"/>
    <w:rsid w:val="00025457"/>
    <w:rsid w:val="00026A20"/>
    <w:rsid w:val="00027FC1"/>
    <w:rsid w:val="0003065A"/>
    <w:rsid w:val="000309E8"/>
    <w:rsid w:val="000310FF"/>
    <w:rsid w:val="0003181B"/>
    <w:rsid w:val="000321EF"/>
    <w:rsid w:val="00032732"/>
    <w:rsid w:val="00032E29"/>
    <w:rsid w:val="00033037"/>
    <w:rsid w:val="000337FC"/>
    <w:rsid w:val="00034263"/>
    <w:rsid w:val="00034D4C"/>
    <w:rsid w:val="0003518E"/>
    <w:rsid w:val="00036164"/>
    <w:rsid w:val="000361EE"/>
    <w:rsid w:val="00036714"/>
    <w:rsid w:val="00036D22"/>
    <w:rsid w:val="00036E7F"/>
    <w:rsid w:val="0003718A"/>
    <w:rsid w:val="0004049B"/>
    <w:rsid w:val="00040A77"/>
    <w:rsid w:val="00041E64"/>
    <w:rsid w:val="0004274C"/>
    <w:rsid w:val="00042EA0"/>
    <w:rsid w:val="0004395D"/>
    <w:rsid w:val="000447CA"/>
    <w:rsid w:val="000457F3"/>
    <w:rsid w:val="00045DCD"/>
    <w:rsid w:val="00046125"/>
    <w:rsid w:val="00047B7C"/>
    <w:rsid w:val="00047BC0"/>
    <w:rsid w:val="00050CE9"/>
    <w:rsid w:val="00050D0A"/>
    <w:rsid w:val="00051B5A"/>
    <w:rsid w:val="00051B98"/>
    <w:rsid w:val="000545ED"/>
    <w:rsid w:val="00055585"/>
    <w:rsid w:val="000561B0"/>
    <w:rsid w:val="00056671"/>
    <w:rsid w:val="0005731E"/>
    <w:rsid w:val="000573B4"/>
    <w:rsid w:val="00060DE1"/>
    <w:rsid w:val="00061223"/>
    <w:rsid w:val="000626A8"/>
    <w:rsid w:val="000626F6"/>
    <w:rsid w:val="00062A35"/>
    <w:rsid w:val="00063096"/>
    <w:rsid w:val="000630DF"/>
    <w:rsid w:val="00063E83"/>
    <w:rsid w:val="00064D13"/>
    <w:rsid w:val="00065CA1"/>
    <w:rsid w:val="00066742"/>
    <w:rsid w:val="00066842"/>
    <w:rsid w:val="0006775A"/>
    <w:rsid w:val="00067AC2"/>
    <w:rsid w:val="0007012D"/>
    <w:rsid w:val="00071233"/>
    <w:rsid w:val="000742CA"/>
    <w:rsid w:val="0007430F"/>
    <w:rsid w:val="00074504"/>
    <w:rsid w:val="00074F3A"/>
    <w:rsid w:val="0007524A"/>
    <w:rsid w:val="0007701B"/>
    <w:rsid w:val="00080B87"/>
    <w:rsid w:val="00080ECE"/>
    <w:rsid w:val="000810A0"/>
    <w:rsid w:val="00081400"/>
    <w:rsid w:val="00081C91"/>
    <w:rsid w:val="00081EB3"/>
    <w:rsid w:val="00081FE4"/>
    <w:rsid w:val="00082A97"/>
    <w:rsid w:val="00082DF4"/>
    <w:rsid w:val="00083FB6"/>
    <w:rsid w:val="0008472E"/>
    <w:rsid w:val="0008729E"/>
    <w:rsid w:val="00087A30"/>
    <w:rsid w:val="000919AB"/>
    <w:rsid w:val="00092433"/>
    <w:rsid w:val="00092A7F"/>
    <w:rsid w:val="00094B99"/>
    <w:rsid w:val="0009584C"/>
    <w:rsid w:val="00096020"/>
    <w:rsid w:val="000968F9"/>
    <w:rsid w:val="00096964"/>
    <w:rsid w:val="0009700A"/>
    <w:rsid w:val="0009797F"/>
    <w:rsid w:val="000A0295"/>
    <w:rsid w:val="000A0F54"/>
    <w:rsid w:val="000A236A"/>
    <w:rsid w:val="000A3D1A"/>
    <w:rsid w:val="000A40CA"/>
    <w:rsid w:val="000A41ED"/>
    <w:rsid w:val="000A4245"/>
    <w:rsid w:val="000A449F"/>
    <w:rsid w:val="000A576B"/>
    <w:rsid w:val="000A6297"/>
    <w:rsid w:val="000A638A"/>
    <w:rsid w:val="000A7079"/>
    <w:rsid w:val="000A76B1"/>
    <w:rsid w:val="000A7765"/>
    <w:rsid w:val="000A7CAA"/>
    <w:rsid w:val="000B0E7D"/>
    <w:rsid w:val="000B10F1"/>
    <w:rsid w:val="000B20C4"/>
    <w:rsid w:val="000B213E"/>
    <w:rsid w:val="000B2D6B"/>
    <w:rsid w:val="000B3C98"/>
    <w:rsid w:val="000B458E"/>
    <w:rsid w:val="000B4D8C"/>
    <w:rsid w:val="000B4F31"/>
    <w:rsid w:val="000B529D"/>
    <w:rsid w:val="000B6DF0"/>
    <w:rsid w:val="000B7CA0"/>
    <w:rsid w:val="000B7E28"/>
    <w:rsid w:val="000C11B0"/>
    <w:rsid w:val="000C23C5"/>
    <w:rsid w:val="000C3A74"/>
    <w:rsid w:val="000C6645"/>
    <w:rsid w:val="000D0887"/>
    <w:rsid w:val="000D27F1"/>
    <w:rsid w:val="000D2BDA"/>
    <w:rsid w:val="000D3058"/>
    <w:rsid w:val="000D39DD"/>
    <w:rsid w:val="000D3FD5"/>
    <w:rsid w:val="000D40B0"/>
    <w:rsid w:val="000D4239"/>
    <w:rsid w:val="000D498B"/>
    <w:rsid w:val="000D524A"/>
    <w:rsid w:val="000D5D82"/>
    <w:rsid w:val="000D70CB"/>
    <w:rsid w:val="000D79AE"/>
    <w:rsid w:val="000D7BFD"/>
    <w:rsid w:val="000E0276"/>
    <w:rsid w:val="000E101B"/>
    <w:rsid w:val="000E1602"/>
    <w:rsid w:val="000E2C75"/>
    <w:rsid w:val="000E39D3"/>
    <w:rsid w:val="000E3D14"/>
    <w:rsid w:val="000E42B7"/>
    <w:rsid w:val="000E58B7"/>
    <w:rsid w:val="000E6401"/>
    <w:rsid w:val="000E690D"/>
    <w:rsid w:val="000E6FF1"/>
    <w:rsid w:val="000E7B1B"/>
    <w:rsid w:val="000F0F85"/>
    <w:rsid w:val="000F19BC"/>
    <w:rsid w:val="000F206E"/>
    <w:rsid w:val="000F207C"/>
    <w:rsid w:val="000F25B1"/>
    <w:rsid w:val="000F2C3E"/>
    <w:rsid w:val="000F4366"/>
    <w:rsid w:val="000F47DA"/>
    <w:rsid w:val="000F4965"/>
    <w:rsid w:val="000F594A"/>
    <w:rsid w:val="000F61F8"/>
    <w:rsid w:val="000F633F"/>
    <w:rsid w:val="000F67CD"/>
    <w:rsid w:val="000F6928"/>
    <w:rsid w:val="000F75A6"/>
    <w:rsid w:val="000F77AD"/>
    <w:rsid w:val="00101646"/>
    <w:rsid w:val="001019FC"/>
    <w:rsid w:val="00102133"/>
    <w:rsid w:val="00102724"/>
    <w:rsid w:val="00103510"/>
    <w:rsid w:val="00103580"/>
    <w:rsid w:val="0010496F"/>
    <w:rsid w:val="00106525"/>
    <w:rsid w:val="00107774"/>
    <w:rsid w:val="00107E7F"/>
    <w:rsid w:val="001109C4"/>
    <w:rsid w:val="00110F1D"/>
    <w:rsid w:val="00111758"/>
    <w:rsid w:val="00112095"/>
    <w:rsid w:val="0011298A"/>
    <w:rsid w:val="00113842"/>
    <w:rsid w:val="00114CF5"/>
    <w:rsid w:val="0011516D"/>
    <w:rsid w:val="001167E6"/>
    <w:rsid w:val="00116C39"/>
    <w:rsid w:val="00120E3E"/>
    <w:rsid w:val="00123215"/>
    <w:rsid w:val="00123FB2"/>
    <w:rsid w:val="0012613C"/>
    <w:rsid w:val="0012738A"/>
    <w:rsid w:val="0012749B"/>
    <w:rsid w:val="001301D2"/>
    <w:rsid w:val="001302BD"/>
    <w:rsid w:val="0013189C"/>
    <w:rsid w:val="00131B5D"/>
    <w:rsid w:val="00132074"/>
    <w:rsid w:val="001327BA"/>
    <w:rsid w:val="00133381"/>
    <w:rsid w:val="0013405A"/>
    <w:rsid w:val="00134A5D"/>
    <w:rsid w:val="0013586A"/>
    <w:rsid w:val="00135B45"/>
    <w:rsid w:val="0013632D"/>
    <w:rsid w:val="001372FA"/>
    <w:rsid w:val="0013799B"/>
    <w:rsid w:val="00140A4D"/>
    <w:rsid w:val="00140FA8"/>
    <w:rsid w:val="00141B9D"/>
    <w:rsid w:val="00142C57"/>
    <w:rsid w:val="001442A0"/>
    <w:rsid w:val="0014432A"/>
    <w:rsid w:val="00144AFC"/>
    <w:rsid w:val="00145325"/>
    <w:rsid w:val="001457DD"/>
    <w:rsid w:val="0014678E"/>
    <w:rsid w:val="00147354"/>
    <w:rsid w:val="0014755E"/>
    <w:rsid w:val="001476C6"/>
    <w:rsid w:val="00147FFB"/>
    <w:rsid w:val="001501FF"/>
    <w:rsid w:val="00150EAC"/>
    <w:rsid w:val="00151924"/>
    <w:rsid w:val="00151E0A"/>
    <w:rsid w:val="0015301D"/>
    <w:rsid w:val="00153592"/>
    <w:rsid w:val="00154A96"/>
    <w:rsid w:val="00155F50"/>
    <w:rsid w:val="001564A7"/>
    <w:rsid w:val="00157D22"/>
    <w:rsid w:val="00157FE4"/>
    <w:rsid w:val="001617E1"/>
    <w:rsid w:val="0016296B"/>
    <w:rsid w:val="0016319C"/>
    <w:rsid w:val="001639D5"/>
    <w:rsid w:val="00164ADE"/>
    <w:rsid w:val="00164E5F"/>
    <w:rsid w:val="00165FC6"/>
    <w:rsid w:val="00166C21"/>
    <w:rsid w:val="00167586"/>
    <w:rsid w:val="0017017D"/>
    <w:rsid w:val="00170495"/>
    <w:rsid w:val="00170C7F"/>
    <w:rsid w:val="00171EB2"/>
    <w:rsid w:val="001722C5"/>
    <w:rsid w:val="0017241E"/>
    <w:rsid w:val="00172EF7"/>
    <w:rsid w:val="001754B6"/>
    <w:rsid w:val="00175CC1"/>
    <w:rsid w:val="00176AFD"/>
    <w:rsid w:val="00177C36"/>
    <w:rsid w:val="00177F2E"/>
    <w:rsid w:val="0018002E"/>
    <w:rsid w:val="00181DBB"/>
    <w:rsid w:val="00182AF5"/>
    <w:rsid w:val="00182B04"/>
    <w:rsid w:val="001833D6"/>
    <w:rsid w:val="00183416"/>
    <w:rsid w:val="001834DD"/>
    <w:rsid w:val="00183670"/>
    <w:rsid w:val="00184331"/>
    <w:rsid w:val="00184B8F"/>
    <w:rsid w:val="00184FDC"/>
    <w:rsid w:val="001851DC"/>
    <w:rsid w:val="00185207"/>
    <w:rsid w:val="0018535A"/>
    <w:rsid w:val="00185613"/>
    <w:rsid w:val="00185955"/>
    <w:rsid w:val="00186746"/>
    <w:rsid w:val="00186965"/>
    <w:rsid w:val="001877D2"/>
    <w:rsid w:val="00190BD8"/>
    <w:rsid w:val="00190BDC"/>
    <w:rsid w:val="00192AD8"/>
    <w:rsid w:val="00193A40"/>
    <w:rsid w:val="00195350"/>
    <w:rsid w:val="001A0B89"/>
    <w:rsid w:val="001A0D96"/>
    <w:rsid w:val="001A1E87"/>
    <w:rsid w:val="001A22C2"/>
    <w:rsid w:val="001A387F"/>
    <w:rsid w:val="001A393E"/>
    <w:rsid w:val="001A4BF0"/>
    <w:rsid w:val="001A4FB1"/>
    <w:rsid w:val="001A506F"/>
    <w:rsid w:val="001A5EE8"/>
    <w:rsid w:val="001A6D21"/>
    <w:rsid w:val="001B0FCD"/>
    <w:rsid w:val="001B1548"/>
    <w:rsid w:val="001B1A57"/>
    <w:rsid w:val="001B1F31"/>
    <w:rsid w:val="001B26D6"/>
    <w:rsid w:val="001B2FC7"/>
    <w:rsid w:val="001B315D"/>
    <w:rsid w:val="001B3195"/>
    <w:rsid w:val="001B4260"/>
    <w:rsid w:val="001B4D74"/>
    <w:rsid w:val="001B5729"/>
    <w:rsid w:val="001B577C"/>
    <w:rsid w:val="001B5AE3"/>
    <w:rsid w:val="001B682D"/>
    <w:rsid w:val="001B694F"/>
    <w:rsid w:val="001C0A3F"/>
    <w:rsid w:val="001C13E3"/>
    <w:rsid w:val="001C3520"/>
    <w:rsid w:val="001C4596"/>
    <w:rsid w:val="001C45DB"/>
    <w:rsid w:val="001C5BD4"/>
    <w:rsid w:val="001C7999"/>
    <w:rsid w:val="001D00D0"/>
    <w:rsid w:val="001D03F2"/>
    <w:rsid w:val="001D076A"/>
    <w:rsid w:val="001D13F7"/>
    <w:rsid w:val="001D1820"/>
    <w:rsid w:val="001D1E62"/>
    <w:rsid w:val="001D1E89"/>
    <w:rsid w:val="001D24FC"/>
    <w:rsid w:val="001D268D"/>
    <w:rsid w:val="001D3AC7"/>
    <w:rsid w:val="001D4F79"/>
    <w:rsid w:val="001D51EF"/>
    <w:rsid w:val="001D52B3"/>
    <w:rsid w:val="001D5B1A"/>
    <w:rsid w:val="001D5D57"/>
    <w:rsid w:val="001D5F9B"/>
    <w:rsid w:val="001D63B1"/>
    <w:rsid w:val="001D67FE"/>
    <w:rsid w:val="001D6D5E"/>
    <w:rsid w:val="001D7DB8"/>
    <w:rsid w:val="001E080D"/>
    <w:rsid w:val="001E0D14"/>
    <w:rsid w:val="001E1F56"/>
    <w:rsid w:val="001E295C"/>
    <w:rsid w:val="001E35AB"/>
    <w:rsid w:val="001E3E58"/>
    <w:rsid w:val="001E438E"/>
    <w:rsid w:val="001E5156"/>
    <w:rsid w:val="001E535C"/>
    <w:rsid w:val="001E55AD"/>
    <w:rsid w:val="001E6331"/>
    <w:rsid w:val="001E774A"/>
    <w:rsid w:val="001F0BAF"/>
    <w:rsid w:val="001F122D"/>
    <w:rsid w:val="001F128A"/>
    <w:rsid w:val="001F15B2"/>
    <w:rsid w:val="001F3055"/>
    <w:rsid w:val="001F30F5"/>
    <w:rsid w:val="001F38E6"/>
    <w:rsid w:val="002018F6"/>
    <w:rsid w:val="00202F83"/>
    <w:rsid w:val="00203F6B"/>
    <w:rsid w:val="002049C6"/>
    <w:rsid w:val="00205492"/>
    <w:rsid w:val="00205848"/>
    <w:rsid w:val="00205DE3"/>
    <w:rsid w:val="002067D4"/>
    <w:rsid w:val="0020686F"/>
    <w:rsid w:val="00206D43"/>
    <w:rsid w:val="0020789D"/>
    <w:rsid w:val="0021006B"/>
    <w:rsid w:val="002110A4"/>
    <w:rsid w:val="00211F43"/>
    <w:rsid w:val="002136D4"/>
    <w:rsid w:val="0021384A"/>
    <w:rsid w:val="00214A34"/>
    <w:rsid w:val="0021620C"/>
    <w:rsid w:val="00217121"/>
    <w:rsid w:val="002174DC"/>
    <w:rsid w:val="002205A0"/>
    <w:rsid w:val="0022088D"/>
    <w:rsid w:val="00220CE1"/>
    <w:rsid w:val="002210F2"/>
    <w:rsid w:val="00221FB5"/>
    <w:rsid w:val="00222277"/>
    <w:rsid w:val="00222A07"/>
    <w:rsid w:val="00223F84"/>
    <w:rsid w:val="002249DB"/>
    <w:rsid w:val="00225143"/>
    <w:rsid w:val="002260D0"/>
    <w:rsid w:val="002261CE"/>
    <w:rsid w:val="00226820"/>
    <w:rsid w:val="0022698C"/>
    <w:rsid w:val="00226C19"/>
    <w:rsid w:val="00227E18"/>
    <w:rsid w:val="00230F8C"/>
    <w:rsid w:val="002316BF"/>
    <w:rsid w:val="00231E33"/>
    <w:rsid w:val="00235A63"/>
    <w:rsid w:val="00236E52"/>
    <w:rsid w:val="00241AC8"/>
    <w:rsid w:val="00241B0F"/>
    <w:rsid w:val="00242141"/>
    <w:rsid w:val="00242DB2"/>
    <w:rsid w:val="00242EE7"/>
    <w:rsid w:val="002431F5"/>
    <w:rsid w:val="00243DD1"/>
    <w:rsid w:val="00245186"/>
    <w:rsid w:val="00247302"/>
    <w:rsid w:val="0025146D"/>
    <w:rsid w:val="00253225"/>
    <w:rsid w:val="00254B8A"/>
    <w:rsid w:val="002558BD"/>
    <w:rsid w:val="00255921"/>
    <w:rsid w:val="002562A7"/>
    <w:rsid w:val="0025676F"/>
    <w:rsid w:val="0025783A"/>
    <w:rsid w:val="00257F1F"/>
    <w:rsid w:val="00257FB9"/>
    <w:rsid w:val="0026052D"/>
    <w:rsid w:val="00261459"/>
    <w:rsid w:val="002616AE"/>
    <w:rsid w:val="002633A0"/>
    <w:rsid w:val="0026464D"/>
    <w:rsid w:val="00264C5A"/>
    <w:rsid w:val="00265B2E"/>
    <w:rsid w:val="00265CB2"/>
    <w:rsid w:val="00266ABB"/>
    <w:rsid w:val="00267B6A"/>
    <w:rsid w:val="00271480"/>
    <w:rsid w:val="002717B4"/>
    <w:rsid w:val="00273345"/>
    <w:rsid w:val="00273684"/>
    <w:rsid w:val="00273D05"/>
    <w:rsid w:val="002744E5"/>
    <w:rsid w:val="0027553A"/>
    <w:rsid w:val="00275B9E"/>
    <w:rsid w:val="00276004"/>
    <w:rsid w:val="00276990"/>
    <w:rsid w:val="00276C69"/>
    <w:rsid w:val="002774F1"/>
    <w:rsid w:val="00277F59"/>
    <w:rsid w:val="00277FC3"/>
    <w:rsid w:val="002813F1"/>
    <w:rsid w:val="00281C17"/>
    <w:rsid w:val="0028218B"/>
    <w:rsid w:val="0028232E"/>
    <w:rsid w:val="00284220"/>
    <w:rsid w:val="0028507E"/>
    <w:rsid w:val="00285762"/>
    <w:rsid w:val="0028590E"/>
    <w:rsid w:val="00285997"/>
    <w:rsid w:val="00290E0F"/>
    <w:rsid w:val="00291C8F"/>
    <w:rsid w:val="002930AB"/>
    <w:rsid w:val="00293674"/>
    <w:rsid w:val="00293934"/>
    <w:rsid w:val="00293A68"/>
    <w:rsid w:val="00293BA8"/>
    <w:rsid w:val="00293C18"/>
    <w:rsid w:val="0029484B"/>
    <w:rsid w:val="002949DE"/>
    <w:rsid w:val="00296BDF"/>
    <w:rsid w:val="00297202"/>
    <w:rsid w:val="00297708"/>
    <w:rsid w:val="00297E88"/>
    <w:rsid w:val="002A1C82"/>
    <w:rsid w:val="002A2BAC"/>
    <w:rsid w:val="002A4485"/>
    <w:rsid w:val="002A4C38"/>
    <w:rsid w:val="002A5398"/>
    <w:rsid w:val="002A6E1C"/>
    <w:rsid w:val="002A7C94"/>
    <w:rsid w:val="002B0F15"/>
    <w:rsid w:val="002B165F"/>
    <w:rsid w:val="002B17C0"/>
    <w:rsid w:val="002B1928"/>
    <w:rsid w:val="002B2878"/>
    <w:rsid w:val="002B4D27"/>
    <w:rsid w:val="002B5686"/>
    <w:rsid w:val="002C037F"/>
    <w:rsid w:val="002C0490"/>
    <w:rsid w:val="002C07C5"/>
    <w:rsid w:val="002C0BD0"/>
    <w:rsid w:val="002C1893"/>
    <w:rsid w:val="002C1A0F"/>
    <w:rsid w:val="002C295F"/>
    <w:rsid w:val="002C2E5D"/>
    <w:rsid w:val="002C44E2"/>
    <w:rsid w:val="002C4855"/>
    <w:rsid w:val="002C53AB"/>
    <w:rsid w:val="002C578A"/>
    <w:rsid w:val="002C65BE"/>
    <w:rsid w:val="002D05EF"/>
    <w:rsid w:val="002D2450"/>
    <w:rsid w:val="002D2D1F"/>
    <w:rsid w:val="002D3053"/>
    <w:rsid w:val="002D3AA8"/>
    <w:rsid w:val="002D3DC9"/>
    <w:rsid w:val="002D4966"/>
    <w:rsid w:val="002D4EC6"/>
    <w:rsid w:val="002D519A"/>
    <w:rsid w:val="002D56FC"/>
    <w:rsid w:val="002D6F91"/>
    <w:rsid w:val="002D73D7"/>
    <w:rsid w:val="002D7875"/>
    <w:rsid w:val="002E0307"/>
    <w:rsid w:val="002E14D9"/>
    <w:rsid w:val="002E170B"/>
    <w:rsid w:val="002E2A63"/>
    <w:rsid w:val="002E357D"/>
    <w:rsid w:val="002E365A"/>
    <w:rsid w:val="002E4864"/>
    <w:rsid w:val="002E5751"/>
    <w:rsid w:val="002E5E34"/>
    <w:rsid w:val="002E604D"/>
    <w:rsid w:val="002E7201"/>
    <w:rsid w:val="002E7915"/>
    <w:rsid w:val="002E7C13"/>
    <w:rsid w:val="002F0C46"/>
    <w:rsid w:val="002F0DCB"/>
    <w:rsid w:val="002F0F54"/>
    <w:rsid w:val="002F1B87"/>
    <w:rsid w:val="002F1D57"/>
    <w:rsid w:val="002F2D5C"/>
    <w:rsid w:val="002F3507"/>
    <w:rsid w:val="002F3F61"/>
    <w:rsid w:val="002F4022"/>
    <w:rsid w:val="002F45AA"/>
    <w:rsid w:val="002F5641"/>
    <w:rsid w:val="002F69A9"/>
    <w:rsid w:val="002F6F40"/>
    <w:rsid w:val="002F72F4"/>
    <w:rsid w:val="002F75BA"/>
    <w:rsid w:val="002F7F99"/>
    <w:rsid w:val="003006DF"/>
    <w:rsid w:val="003008BC"/>
    <w:rsid w:val="0030108A"/>
    <w:rsid w:val="0030150D"/>
    <w:rsid w:val="00301A58"/>
    <w:rsid w:val="0030273D"/>
    <w:rsid w:val="00303948"/>
    <w:rsid w:val="0030402A"/>
    <w:rsid w:val="00304199"/>
    <w:rsid w:val="003043D4"/>
    <w:rsid w:val="003047EF"/>
    <w:rsid w:val="0030599D"/>
    <w:rsid w:val="00305B0F"/>
    <w:rsid w:val="003113E0"/>
    <w:rsid w:val="0031315B"/>
    <w:rsid w:val="0031357E"/>
    <w:rsid w:val="0031385F"/>
    <w:rsid w:val="00314725"/>
    <w:rsid w:val="003160AD"/>
    <w:rsid w:val="003173F8"/>
    <w:rsid w:val="003205EC"/>
    <w:rsid w:val="0032084F"/>
    <w:rsid w:val="0032174D"/>
    <w:rsid w:val="003241C9"/>
    <w:rsid w:val="00324E94"/>
    <w:rsid w:val="003253CA"/>
    <w:rsid w:val="00325404"/>
    <w:rsid w:val="00326D0C"/>
    <w:rsid w:val="003271D9"/>
    <w:rsid w:val="00330241"/>
    <w:rsid w:val="00330537"/>
    <w:rsid w:val="00330F68"/>
    <w:rsid w:val="00331044"/>
    <w:rsid w:val="003314CE"/>
    <w:rsid w:val="00331FB7"/>
    <w:rsid w:val="00332A24"/>
    <w:rsid w:val="003342EB"/>
    <w:rsid w:val="0033531F"/>
    <w:rsid w:val="00335E31"/>
    <w:rsid w:val="00335E4D"/>
    <w:rsid w:val="003362AF"/>
    <w:rsid w:val="003378C4"/>
    <w:rsid w:val="00337C9B"/>
    <w:rsid w:val="00340995"/>
    <w:rsid w:val="003420DA"/>
    <w:rsid w:val="00342CB1"/>
    <w:rsid w:val="00343981"/>
    <w:rsid w:val="00346179"/>
    <w:rsid w:val="00350C50"/>
    <w:rsid w:val="00350CB5"/>
    <w:rsid w:val="00351317"/>
    <w:rsid w:val="00351918"/>
    <w:rsid w:val="00351A38"/>
    <w:rsid w:val="00352255"/>
    <w:rsid w:val="003534A1"/>
    <w:rsid w:val="003536F7"/>
    <w:rsid w:val="00353913"/>
    <w:rsid w:val="00355305"/>
    <w:rsid w:val="0035658E"/>
    <w:rsid w:val="00356746"/>
    <w:rsid w:val="00360559"/>
    <w:rsid w:val="00360B0A"/>
    <w:rsid w:val="00360F19"/>
    <w:rsid w:val="00361918"/>
    <w:rsid w:val="00361AA7"/>
    <w:rsid w:val="003626B1"/>
    <w:rsid w:val="003638BD"/>
    <w:rsid w:val="00363AD7"/>
    <w:rsid w:val="00363CD6"/>
    <w:rsid w:val="00365DAC"/>
    <w:rsid w:val="00366E20"/>
    <w:rsid w:val="00367593"/>
    <w:rsid w:val="00370D07"/>
    <w:rsid w:val="0037302C"/>
    <w:rsid w:val="00373D8A"/>
    <w:rsid w:val="00375958"/>
    <w:rsid w:val="0037609D"/>
    <w:rsid w:val="0037668D"/>
    <w:rsid w:val="0038077A"/>
    <w:rsid w:val="00381A66"/>
    <w:rsid w:val="00382B0E"/>
    <w:rsid w:val="003830F2"/>
    <w:rsid w:val="00385723"/>
    <w:rsid w:val="0038586F"/>
    <w:rsid w:val="00386AAB"/>
    <w:rsid w:val="00386C3D"/>
    <w:rsid w:val="0038716D"/>
    <w:rsid w:val="003876BC"/>
    <w:rsid w:val="00391252"/>
    <w:rsid w:val="00391CAF"/>
    <w:rsid w:val="0039225E"/>
    <w:rsid w:val="00394402"/>
    <w:rsid w:val="003945E2"/>
    <w:rsid w:val="00394CDA"/>
    <w:rsid w:val="0039576C"/>
    <w:rsid w:val="00396982"/>
    <w:rsid w:val="00397629"/>
    <w:rsid w:val="00397FD3"/>
    <w:rsid w:val="003A23F1"/>
    <w:rsid w:val="003A355D"/>
    <w:rsid w:val="003A3BD5"/>
    <w:rsid w:val="003A418F"/>
    <w:rsid w:val="003A4381"/>
    <w:rsid w:val="003A4EA7"/>
    <w:rsid w:val="003A53F3"/>
    <w:rsid w:val="003A6E01"/>
    <w:rsid w:val="003A765B"/>
    <w:rsid w:val="003B1157"/>
    <w:rsid w:val="003B159E"/>
    <w:rsid w:val="003B18F0"/>
    <w:rsid w:val="003B1D72"/>
    <w:rsid w:val="003B2BDB"/>
    <w:rsid w:val="003B3A57"/>
    <w:rsid w:val="003B5653"/>
    <w:rsid w:val="003B5E91"/>
    <w:rsid w:val="003B798F"/>
    <w:rsid w:val="003C2226"/>
    <w:rsid w:val="003C237E"/>
    <w:rsid w:val="003C25CD"/>
    <w:rsid w:val="003C2697"/>
    <w:rsid w:val="003C2CF0"/>
    <w:rsid w:val="003C2D21"/>
    <w:rsid w:val="003C433F"/>
    <w:rsid w:val="003C4975"/>
    <w:rsid w:val="003C64C6"/>
    <w:rsid w:val="003C67B3"/>
    <w:rsid w:val="003C7611"/>
    <w:rsid w:val="003C7AAB"/>
    <w:rsid w:val="003C7BC7"/>
    <w:rsid w:val="003D0187"/>
    <w:rsid w:val="003D0DB4"/>
    <w:rsid w:val="003D390F"/>
    <w:rsid w:val="003D3FCF"/>
    <w:rsid w:val="003D456D"/>
    <w:rsid w:val="003D4BB8"/>
    <w:rsid w:val="003D6AC9"/>
    <w:rsid w:val="003D77EB"/>
    <w:rsid w:val="003E0F92"/>
    <w:rsid w:val="003E12C1"/>
    <w:rsid w:val="003E15A5"/>
    <w:rsid w:val="003E1AD0"/>
    <w:rsid w:val="003E1FFA"/>
    <w:rsid w:val="003E2797"/>
    <w:rsid w:val="003E27B1"/>
    <w:rsid w:val="003E300D"/>
    <w:rsid w:val="003E367A"/>
    <w:rsid w:val="003E3DCB"/>
    <w:rsid w:val="003E4BB9"/>
    <w:rsid w:val="003E4FC4"/>
    <w:rsid w:val="003E6C70"/>
    <w:rsid w:val="003E6DCA"/>
    <w:rsid w:val="003F10B7"/>
    <w:rsid w:val="003F152A"/>
    <w:rsid w:val="003F1CF4"/>
    <w:rsid w:val="003F2638"/>
    <w:rsid w:val="003F2C59"/>
    <w:rsid w:val="003F2CDB"/>
    <w:rsid w:val="003F3075"/>
    <w:rsid w:val="003F3171"/>
    <w:rsid w:val="003F572A"/>
    <w:rsid w:val="003F60CE"/>
    <w:rsid w:val="003F62A1"/>
    <w:rsid w:val="003F6487"/>
    <w:rsid w:val="003F6CA7"/>
    <w:rsid w:val="003F71BA"/>
    <w:rsid w:val="003F7A47"/>
    <w:rsid w:val="00400619"/>
    <w:rsid w:val="004011A8"/>
    <w:rsid w:val="00401ACB"/>
    <w:rsid w:val="00402120"/>
    <w:rsid w:val="00402AC6"/>
    <w:rsid w:val="0040369B"/>
    <w:rsid w:val="004054A6"/>
    <w:rsid w:val="00405C52"/>
    <w:rsid w:val="004064F3"/>
    <w:rsid w:val="00406F2C"/>
    <w:rsid w:val="00407298"/>
    <w:rsid w:val="00407C69"/>
    <w:rsid w:val="00407F55"/>
    <w:rsid w:val="00410109"/>
    <w:rsid w:val="00410132"/>
    <w:rsid w:val="00411426"/>
    <w:rsid w:val="004122E8"/>
    <w:rsid w:val="0041378F"/>
    <w:rsid w:val="00414C2C"/>
    <w:rsid w:val="0041561A"/>
    <w:rsid w:val="004157EA"/>
    <w:rsid w:val="004162E2"/>
    <w:rsid w:val="00416D32"/>
    <w:rsid w:val="00417970"/>
    <w:rsid w:val="004203AC"/>
    <w:rsid w:val="004206D2"/>
    <w:rsid w:val="004210FB"/>
    <w:rsid w:val="00421FE2"/>
    <w:rsid w:val="00422B46"/>
    <w:rsid w:val="00422FCB"/>
    <w:rsid w:val="0042384E"/>
    <w:rsid w:val="00423A60"/>
    <w:rsid w:val="00424826"/>
    <w:rsid w:val="0042496A"/>
    <w:rsid w:val="00424F21"/>
    <w:rsid w:val="004251A1"/>
    <w:rsid w:val="004254AF"/>
    <w:rsid w:val="004270AA"/>
    <w:rsid w:val="00427665"/>
    <w:rsid w:val="00427CE2"/>
    <w:rsid w:val="00430A5A"/>
    <w:rsid w:val="00430B8E"/>
    <w:rsid w:val="00431663"/>
    <w:rsid w:val="004322C5"/>
    <w:rsid w:val="00432588"/>
    <w:rsid w:val="00433878"/>
    <w:rsid w:val="00434B7E"/>
    <w:rsid w:val="00434FEF"/>
    <w:rsid w:val="00435715"/>
    <w:rsid w:val="00435896"/>
    <w:rsid w:val="0043678B"/>
    <w:rsid w:val="0043715C"/>
    <w:rsid w:val="0044020B"/>
    <w:rsid w:val="00440679"/>
    <w:rsid w:val="00441A6F"/>
    <w:rsid w:val="00444224"/>
    <w:rsid w:val="0044478C"/>
    <w:rsid w:val="004447AE"/>
    <w:rsid w:val="004455C0"/>
    <w:rsid w:val="004458DE"/>
    <w:rsid w:val="00445C2C"/>
    <w:rsid w:val="00446C00"/>
    <w:rsid w:val="00446C51"/>
    <w:rsid w:val="00446ED3"/>
    <w:rsid w:val="00447225"/>
    <w:rsid w:val="00450140"/>
    <w:rsid w:val="0045014F"/>
    <w:rsid w:val="00451133"/>
    <w:rsid w:val="00451A16"/>
    <w:rsid w:val="0045387C"/>
    <w:rsid w:val="0045524D"/>
    <w:rsid w:val="004552BF"/>
    <w:rsid w:val="004552FB"/>
    <w:rsid w:val="00455A3A"/>
    <w:rsid w:val="004561AF"/>
    <w:rsid w:val="0045721C"/>
    <w:rsid w:val="004611C3"/>
    <w:rsid w:val="00461BA6"/>
    <w:rsid w:val="00462310"/>
    <w:rsid w:val="00462494"/>
    <w:rsid w:val="004625FA"/>
    <w:rsid w:val="00462A39"/>
    <w:rsid w:val="0046338A"/>
    <w:rsid w:val="004643C3"/>
    <w:rsid w:val="00464597"/>
    <w:rsid w:val="00464A2E"/>
    <w:rsid w:val="00464D95"/>
    <w:rsid w:val="00465913"/>
    <w:rsid w:val="00465D09"/>
    <w:rsid w:val="004660CF"/>
    <w:rsid w:val="00466F35"/>
    <w:rsid w:val="004674C2"/>
    <w:rsid w:val="00467759"/>
    <w:rsid w:val="0047040F"/>
    <w:rsid w:val="004709CB"/>
    <w:rsid w:val="004718B4"/>
    <w:rsid w:val="00471F54"/>
    <w:rsid w:val="004722E2"/>
    <w:rsid w:val="00473AF7"/>
    <w:rsid w:val="00477B3B"/>
    <w:rsid w:val="004800F2"/>
    <w:rsid w:val="0048099B"/>
    <w:rsid w:val="00481211"/>
    <w:rsid w:val="0048197D"/>
    <w:rsid w:val="004823C5"/>
    <w:rsid w:val="00483B4B"/>
    <w:rsid w:val="0048477F"/>
    <w:rsid w:val="00484CFB"/>
    <w:rsid w:val="0048529D"/>
    <w:rsid w:val="004863BD"/>
    <w:rsid w:val="00486470"/>
    <w:rsid w:val="00491987"/>
    <w:rsid w:val="00491B4F"/>
    <w:rsid w:val="0049291C"/>
    <w:rsid w:val="00493F2E"/>
    <w:rsid w:val="00495029"/>
    <w:rsid w:val="004956E5"/>
    <w:rsid w:val="00495A75"/>
    <w:rsid w:val="00495BD5"/>
    <w:rsid w:val="00495D3F"/>
    <w:rsid w:val="004965A4"/>
    <w:rsid w:val="00496D67"/>
    <w:rsid w:val="00497341"/>
    <w:rsid w:val="004A14EE"/>
    <w:rsid w:val="004A323F"/>
    <w:rsid w:val="004A36FA"/>
    <w:rsid w:val="004A381A"/>
    <w:rsid w:val="004A3B2A"/>
    <w:rsid w:val="004A4887"/>
    <w:rsid w:val="004A659E"/>
    <w:rsid w:val="004A6A74"/>
    <w:rsid w:val="004A7097"/>
    <w:rsid w:val="004A7123"/>
    <w:rsid w:val="004B0EBF"/>
    <w:rsid w:val="004B1160"/>
    <w:rsid w:val="004B2BD7"/>
    <w:rsid w:val="004B2E3C"/>
    <w:rsid w:val="004B5F0C"/>
    <w:rsid w:val="004B5F3C"/>
    <w:rsid w:val="004B65DB"/>
    <w:rsid w:val="004B6B8B"/>
    <w:rsid w:val="004B6C41"/>
    <w:rsid w:val="004B72DE"/>
    <w:rsid w:val="004B7680"/>
    <w:rsid w:val="004C133C"/>
    <w:rsid w:val="004C2FB3"/>
    <w:rsid w:val="004C3752"/>
    <w:rsid w:val="004C4E67"/>
    <w:rsid w:val="004C5011"/>
    <w:rsid w:val="004C59FA"/>
    <w:rsid w:val="004C5EB9"/>
    <w:rsid w:val="004C7318"/>
    <w:rsid w:val="004C7D91"/>
    <w:rsid w:val="004D04AE"/>
    <w:rsid w:val="004D0C75"/>
    <w:rsid w:val="004D16CC"/>
    <w:rsid w:val="004D1976"/>
    <w:rsid w:val="004D3387"/>
    <w:rsid w:val="004D45BC"/>
    <w:rsid w:val="004D4C36"/>
    <w:rsid w:val="004D59BE"/>
    <w:rsid w:val="004D5B3A"/>
    <w:rsid w:val="004D70EC"/>
    <w:rsid w:val="004D7940"/>
    <w:rsid w:val="004E011F"/>
    <w:rsid w:val="004E0E6E"/>
    <w:rsid w:val="004E1FBC"/>
    <w:rsid w:val="004E2295"/>
    <w:rsid w:val="004E2FFF"/>
    <w:rsid w:val="004E39B3"/>
    <w:rsid w:val="004E40B6"/>
    <w:rsid w:val="004E4787"/>
    <w:rsid w:val="004E5AA5"/>
    <w:rsid w:val="004E61F6"/>
    <w:rsid w:val="004E695E"/>
    <w:rsid w:val="004E69EB"/>
    <w:rsid w:val="004E7CB6"/>
    <w:rsid w:val="004F00AD"/>
    <w:rsid w:val="004F05D1"/>
    <w:rsid w:val="004F107C"/>
    <w:rsid w:val="004F2CD5"/>
    <w:rsid w:val="004F345D"/>
    <w:rsid w:val="004F4D77"/>
    <w:rsid w:val="004F4F7B"/>
    <w:rsid w:val="004F5CBF"/>
    <w:rsid w:val="004F6011"/>
    <w:rsid w:val="004F6A7C"/>
    <w:rsid w:val="00500381"/>
    <w:rsid w:val="0050105E"/>
    <w:rsid w:val="00502714"/>
    <w:rsid w:val="00503313"/>
    <w:rsid w:val="00503F67"/>
    <w:rsid w:val="0050455D"/>
    <w:rsid w:val="00506FE6"/>
    <w:rsid w:val="00507616"/>
    <w:rsid w:val="00507861"/>
    <w:rsid w:val="00511424"/>
    <w:rsid w:val="00512CF1"/>
    <w:rsid w:val="005149B5"/>
    <w:rsid w:val="00514EB4"/>
    <w:rsid w:val="00515B5F"/>
    <w:rsid w:val="00516353"/>
    <w:rsid w:val="0051660A"/>
    <w:rsid w:val="00516634"/>
    <w:rsid w:val="005167F9"/>
    <w:rsid w:val="0051713D"/>
    <w:rsid w:val="00517897"/>
    <w:rsid w:val="00520483"/>
    <w:rsid w:val="00520988"/>
    <w:rsid w:val="00520A5F"/>
    <w:rsid w:val="005231EB"/>
    <w:rsid w:val="00525197"/>
    <w:rsid w:val="00525708"/>
    <w:rsid w:val="00525985"/>
    <w:rsid w:val="00526651"/>
    <w:rsid w:val="005266DE"/>
    <w:rsid w:val="00526A48"/>
    <w:rsid w:val="005275EE"/>
    <w:rsid w:val="005310A1"/>
    <w:rsid w:val="00531584"/>
    <w:rsid w:val="005327A0"/>
    <w:rsid w:val="005328BE"/>
    <w:rsid w:val="00533963"/>
    <w:rsid w:val="005350DC"/>
    <w:rsid w:val="00535EE6"/>
    <w:rsid w:val="00536414"/>
    <w:rsid w:val="0053694B"/>
    <w:rsid w:val="00536E0D"/>
    <w:rsid w:val="00537044"/>
    <w:rsid w:val="00537741"/>
    <w:rsid w:val="005377A3"/>
    <w:rsid w:val="005378CA"/>
    <w:rsid w:val="00540390"/>
    <w:rsid w:val="005409CF"/>
    <w:rsid w:val="00541CE7"/>
    <w:rsid w:val="00542AB9"/>
    <w:rsid w:val="00542FC0"/>
    <w:rsid w:val="005457D1"/>
    <w:rsid w:val="00545F60"/>
    <w:rsid w:val="005460F2"/>
    <w:rsid w:val="00546E5E"/>
    <w:rsid w:val="00547765"/>
    <w:rsid w:val="00547C52"/>
    <w:rsid w:val="005508D6"/>
    <w:rsid w:val="00551217"/>
    <w:rsid w:val="005512B6"/>
    <w:rsid w:val="00552C0A"/>
    <w:rsid w:val="005539FF"/>
    <w:rsid w:val="005542A1"/>
    <w:rsid w:val="00555784"/>
    <w:rsid w:val="0055632F"/>
    <w:rsid w:val="005569F0"/>
    <w:rsid w:val="00556B87"/>
    <w:rsid w:val="00557073"/>
    <w:rsid w:val="005600E8"/>
    <w:rsid w:val="00561387"/>
    <w:rsid w:val="0056140E"/>
    <w:rsid w:val="00561564"/>
    <w:rsid w:val="00561AD6"/>
    <w:rsid w:val="00562436"/>
    <w:rsid w:val="0056268F"/>
    <w:rsid w:val="005627AA"/>
    <w:rsid w:val="00562C0C"/>
    <w:rsid w:val="0056310E"/>
    <w:rsid w:val="00565713"/>
    <w:rsid w:val="005669B7"/>
    <w:rsid w:val="00566D46"/>
    <w:rsid w:val="0056714A"/>
    <w:rsid w:val="00567509"/>
    <w:rsid w:val="00570062"/>
    <w:rsid w:val="00570FBA"/>
    <w:rsid w:val="00571AC1"/>
    <w:rsid w:val="005722DB"/>
    <w:rsid w:val="00573155"/>
    <w:rsid w:val="00573D62"/>
    <w:rsid w:val="00574472"/>
    <w:rsid w:val="0057460E"/>
    <w:rsid w:val="0057498F"/>
    <w:rsid w:val="00574ED0"/>
    <w:rsid w:val="00575AB6"/>
    <w:rsid w:val="00576D42"/>
    <w:rsid w:val="00576E16"/>
    <w:rsid w:val="005774CB"/>
    <w:rsid w:val="00581405"/>
    <w:rsid w:val="005819D4"/>
    <w:rsid w:val="00581AEF"/>
    <w:rsid w:val="00581CB4"/>
    <w:rsid w:val="00582496"/>
    <w:rsid w:val="005833D6"/>
    <w:rsid w:val="00583DEA"/>
    <w:rsid w:val="00584A5A"/>
    <w:rsid w:val="00585A28"/>
    <w:rsid w:val="00585D52"/>
    <w:rsid w:val="00586DEE"/>
    <w:rsid w:val="00586EE1"/>
    <w:rsid w:val="005877CB"/>
    <w:rsid w:val="00587EAC"/>
    <w:rsid w:val="00590110"/>
    <w:rsid w:val="00590950"/>
    <w:rsid w:val="00591618"/>
    <w:rsid w:val="00596115"/>
    <w:rsid w:val="00596646"/>
    <w:rsid w:val="00596906"/>
    <w:rsid w:val="0059697B"/>
    <w:rsid w:val="00596A3E"/>
    <w:rsid w:val="00596A99"/>
    <w:rsid w:val="005A118A"/>
    <w:rsid w:val="005A31F8"/>
    <w:rsid w:val="005A39C3"/>
    <w:rsid w:val="005A3B53"/>
    <w:rsid w:val="005A4BCA"/>
    <w:rsid w:val="005A5F4F"/>
    <w:rsid w:val="005A60B4"/>
    <w:rsid w:val="005A6EA2"/>
    <w:rsid w:val="005A7ABE"/>
    <w:rsid w:val="005B144F"/>
    <w:rsid w:val="005B1D85"/>
    <w:rsid w:val="005B1DB7"/>
    <w:rsid w:val="005B20C8"/>
    <w:rsid w:val="005B21C9"/>
    <w:rsid w:val="005B24DE"/>
    <w:rsid w:val="005B35D6"/>
    <w:rsid w:val="005B5474"/>
    <w:rsid w:val="005B6D30"/>
    <w:rsid w:val="005B6ED7"/>
    <w:rsid w:val="005B75FD"/>
    <w:rsid w:val="005C009D"/>
    <w:rsid w:val="005C1484"/>
    <w:rsid w:val="005C29FD"/>
    <w:rsid w:val="005C320B"/>
    <w:rsid w:val="005C354E"/>
    <w:rsid w:val="005C4415"/>
    <w:rsid w:val="005C5025"/>
    <w:rsid w:val="005C5787"/>
    <w:rsid w:val="005C5B5F"/>
    <w:rsid w:val="005C703E"/>
    <w:rsid w:val="005C7D47"/>
    <w:rsid w:val="005C7E22"/>
    <w:rsid w:val="005D0C5F"/>
    <w:rsid w:val="005D0EAE"/>
    <w:rsid w:val="005D0FAF"/>
    <w:rsid w:val="005D14A3"/>
    <w:rsid w:val="005D332E"/>
    <w:rsid w:val="005D3D47"/>
    <w:rsid w:val="005D4AA5"/>
    <w:rsid w:val="005D4BBD"/>
    <w:rsid w:val="005D4E0C"/>
    <w:rsid w:val="005D51F2"/>
    <w:rsid w:val="005D5503"/>
    <w:rsid w:val="005D5BDF"/>
    <w:rsid w:val="005D6173"/>
    <w:rsid w:val="005D723C"/>
    <w:rsid w:val="005E0771"/>
    <w:rsid w:val="005E0B7E"/>
    <w:rsid w:val="005E11C3"/>
    <w:rsid w:val="005E2F32"/>
    <w:rsid w:val="005E469F"/>
    <w:rsid w:val="005E485D"/>
    <w:rsid w:val="005E4F1A"/>
    <w:rsid w:val="005E57CE"/>
    <w:rsid w:val="005E77A7"/>
    <w:rsid w:val="005F014F"/>
    <w:rsid w:val="005F12D9"/>
    <w:rsid w:val="005F36D9"/>
    <w:rsid w:val="005F3CCB"/>
    <w:rsid w:val="005F49E6"/>
    <w:rsid w:val="005F523B"/>
    <w:rsid w:val="005F705E"/>
    <w:rsid w:val="005F7616"/>
    <w:rsid w:val="005F78D4"/>
    <w:rsid w:val="005F7BA7"/>
    <w:rsid w:val="005F7E46"/>
    <w:rsid w:val="00601BA9"/>
    <w:rsid w:val="006026FB"/>
    <w:rsid w:val="00603D56"/>
    <w:rsid w:val="00604938"/>
    <w:rsid w:val="00604D90"/>
    <w:rsid w:val="00604EB8"/>
    <w:rsid w:val="00604F4E"/>
    <w:rsid w:val="006051A9"/>
    <w:rsid w:val="00605288"/>
    <w:rsid w:val="006053F4"/>
    <w:rsid w:val="0060688A"/>
    <w:rsid w:val="00606D33"/>
    <w:rsid w:val="00607C56"/>
    <w:rsid w:val="00610606"/>
    <w:rsid w:val="006108E2"/>
    <w:rsid w:val="00611E66"/>
    <w:rsid w:val="0061328E"/>
    <w:rsid w:val="00613F42"/>
    <w:rsid w:val="006140D5"/>
    <w:rsid w:val="0061448F"/>
    <w:rsid w:val="00614579"/>
    <w:rsid w:val="006163F6"/>
    <w:rsid w:val="006169D1"/>
    <w:rsid w:val="00616B03"/>
    <w:rsid w:val="00617458"/>
    <w:rsid w:val="006177A4"/>
    <w:rsid w:val="00620654"/>
    <w:rsid w:val="006223CA"/>
    <w:rsid w:val="006233D0"/>
    <w:rsid w:val="006236FF"/>
    <w:rsid w:val="006242BA"/>
    <w:rsid w:val="00625192"/>
    <w:rsid w:val="00625C51"/>
    <w:rsid w:val="006271CF"/>
    <w:rsid w:val="006275F3"/>
    <w:rsid w:val="00627755"/>
    <w:rsid w:val="00630ADE"/>
    <w:rsid w:val="0063171E"/>
    <w:rsid w:val="00631A23"/>
    <w:rsid w:val="00631F5B"/>
    <w:rsid w:val="0063276A"/>
    <w:rsid w:val="00632A2E"/>
    <w:rsid w:val="00632F7E"/>
    <w:rsid w:val="00634A4F"/>
    <w:rsid w:val="0063567D"/>
    <w:rsid w:val="00635D2A"/>
    <w:rsid w:val="00635ECC"/>
    <w:rsid w:val="006369AF"/>
    <w:rsid w:val="00636C31"/>
    <w:rsid w:val="0063795E"/>
    <w:rsid w:val="0064110E"/>
    <w:rsid w:val="00641F5B"/>
    <w:rsid w:val="00643260"/>
    <w:rsid w:val="00643E7B"/>
    <w:rsid w:val="006444E9"/>
    <w:rsid w:val="00645340"/>
    <w:rsid w:val="00645BF2"/>
    <w:rsid w:val="0064621E"/>
    <w:rsid w:val="0064739F"/>
    <w:rsid w:val="0064762B"/>
    <w:rsid w:val="00647CFD"/>
    <w:rsid w:val="00650C4F"/>
    <w:rsid w:val="006519F4"/>
    <w:rsid w:val="00653108"/>
    <w:rsid w:val="0065376C"/>
    <w:rsid w:val="00653AB5"/>
    <w:rsid w:val="006543F9"/>
    <w:rsid w:val="00654FCA"/>
    <w:rsid w:val="00654FD3"/>
    <w:rsid w:val="006553F8"/>
    <w:rsid w:val="0065594B"/>
    <w:rsid w:val="00657FCA"/>
    <w:rsid w:val="006604F6"/>
    <w:rsid w:val="00660643"/>
    <w:rsid w:val="00660791"/>
    <w:rsid w:val="0066147B"/>
    <w:rsid w:val="00661660"/>
    <w:rsid w:val="006638B4"/>
    <w:rsid w:val="006645B5"/>
    <w:rsid w:val="006650C9"/>
    <w:rsid w:val="006655A6"/>
    <w:rsid w:val="0066565D"/>
    <w:rsid w:val="00665973"/>
    <w:rsid w:val="00665A3D"/>
    <w:rsid w:val="0066673C"/>
    <w:rsid w:val="00667822"/>
    <w:rsid w:val="00667E9A"/>
    <w:rsid w:val="00670C3C"/>
    <w:rsid w:val="00670EE1"/>
    <w:rsid w:val="006719BE"/>
    <w:rsid w:val="00672288"/>
    <w:rsid w:val="006737B3"/>
    <w:rsid w:val="0067390E"/>
    <w:rsid w:val="006758C7"/>
    <w:rsid w:val="00675A62"/>
    <w:rsid w:val="00675C9C"/>
    <w:rsid w:val="006761FC"/>
    <w:rsid w:val="006768F1"/>
    <w:rsid w:val="00676ED7"/>
    <w:rsid w:val="006774FD"/>
    <w:rsid w:val="00677B6E"/>
    <w:rsid w:val="00677FD1"/>
    <w:rsid w:val="0068034A"/>
    <w:rsid w:val="00680D60"/>
    <w:rsid w:val="00681C1D"/>
    <w:rsid w:val="00681EEE"/>
    <w:rsid w:val="006820DF"/>
    <w:rsid w:val="0068303E"/>
    <w:rsid w:val="00683FDC"/>
    <w:rsid w:val="006844D2"/>
    <w:rsid w:val="00685258"/>
    <w:rsid w:val="00685329"/>
    <w:rsid w:val="006854DE"/>
    <w:rsid w:val="00686128"/>
    <w:rsid w:val="006868CC"/>
    <w:rsid w:val="00687114"/>
    <w:rsid w:val="0068715D"/>
    <w:rsid w:val="00687B93"/>
    <w:rsid w:val="0069039B"/>
    <w:rsid w:val="006905F0"/>
    <w:rsid w:val="00691189"/>
    <w:rsid w:val="00691767"/>
    <w:rsid w:val="00691B74"/>
    <w:rsid w:val="0069216B"/>
    <w:rsid w:val="006922B1"/>
    <w:rsid w:val="006926B8"/>
    <w:rsid w:val="00692D67"/>
    <w:rsid w:val="006935EA"/>
    <w:rsid w:val="00694931"/>
    <w:rsid w:val="00694FE8"/>
    <w:rsid w:val="0069513C"/>
    <w:rsid w:val="00695C44"/>
    <w:rsid w:val="00696F85"/>
    <w:rsid w:val="006A0EA1"/>
    <w:rsid w:val="006A2687"/>
    <w:rsid w:val="006A271D"/>
    <w:rsid w:val="006A2945"/>
    <w:rsid w:val="006A298F"/>
    <w:rsid w:val="006A49A2"/>
    <w:rsid w:val="006A50D1"/>
    <w:rsid w:val="006A54DB"/>
    <w:rsid w:val="006A55E9"/>
    <w:rsid w:val="006A56F7"/>
    <w:rsid w:val="006A5BE3"/>
    <w:rsid w:val="006A615F"/>
    <w:rsid w:val="006A632B"/>
    <w:rsid w:val="006A64A4"/>
    <w:rsid w:val="006A7EE1"/>
    <w:rsid w:val="006B1D56"/>
    <w:rsid w:val="006B2F4D"/>
    <w:rsid w:val="006B3AEA"/>
    <w:rsid w:val="006B505A"/>
    <w:rsid w:val="006B56CD"/>
    <w:rsid w:val="006B5B4D"/>
    <w:rsid w:val="006B63C3"/>
    <w:rsid w:val="006B6BE4"/>
    <w:rsid w:val="006B6EB9"/>
    <w:rsid w:val="006C18F4"/>
    <w:rsid w:val="006C274D"/>
    <w:rsid w:val="006C309A"/>
    <w:rsid w:val="006C328A"/>
    <w:rsid w:val="006C40EE"/>
    <w:rsid w:val="006C4D56"/>
    <w:rsid w:val="006D079F"/>
    <w:rsid w:val="006D15EC"/>
    <w:rsid w:val="006D2D70"/>
    <w:rsid w:val="006D31A5"/>
    <w:rsid w:val="006D4897"/>
    <w:rsid w:val="006D605D"/>
    <w:rsid w:val="006D6427"/>
    <w:rsid w:val="006D6B2C"/>
    <w:rsid w:val="006D6FB9"/>
    <w:rsid w:val="006D7C71"/>
    <w:rsid w:val="006E0720"/>
    <w:rsid w:val="006E1405"/>
    <w:rsid w:val="006E2973"/>
    <w:rsid w:val="006E2A4C"/>
    <w:rsid w:val="006E2AE4"/>
    <w:rsid w:val="006E3121"/>
    <w:rsid w:val="006E55D7"/>
    <w:rsid w:val="006E63CB"/>
    <w:rsid w:val="006E7898"/>
    <w:rsid w:val="006F05BF"/>
    <w:rsid w:val="006F076F"/>
    <w:rsid w:val="006F11A9"/>
    <w:rsid w:val="006F19D9"/>
    <w:rsid w:val="006F2E67"/>
    <w:rsid w:val="006F3AD8"/>
    <w:rsid w:val="006F791E"/>
    <w:rsid w:val="0070026E"/>
    <w:rsid w:val="00700761"/>
    <w:rsid w:val="00700987"/>
    <w:rsid w:val="0070140B"/>
    <w:rsid w:val="00701E2A"/>
    <w:rsid w:val="007051E2"/>
    <w:rsid w:val="007056DC"/>
    <w:rsid w:val="00706513"/>
    <w:rsid w:val="007066E6"/>
    <w:rsid w:val="00706C56"/>
    <w:rsid w:val="00706C80"/>
    <w:rsid w:val="00707737"/>
    <w:rsid w:val="0070787B"/>
    <w:rsid w:val="0070792E"/>
    <w:rsid w:val="00707973"/>
    <w:rsid w:val="00707C10"/>
    <w:rsid w:val="00707CAA"/>
    <w:rsid w:val="0071117F"/>
    <w:rsid w:val="007129BE"/>
    <w:rsid w:val="007129FE"/>
    <w:rsid w:val="00712C6F"/>
    <w:rsid w:val="00713CD0"/>
    <w:rsid w:val="00714320"/>
    <w:rsid w:val="007148BD"/>
    <w:rsid w:val="0071737D"/>
    <w:rsid w:val="00717D23"/>
    <w:rsid w:val="00717DB1"/>
    <w:rsid w:val="00717DD2"/>
    <w:rsid w:val="0072237A"/>
    <w:rsid w:val="00722910"/>
    <w:rsid w:val="0072299C"/>
    <w:rsid w:val="00727A17"/>
    <w:rsid w:val="00727A29"/>
    <w:rsid w:val="00731446"/>
    <w:rsid w:val="00732CE8"/>
    <w:rsid w:val="00732F6C"/>
    <w:rsid w:val="0073356A"/>
    <w:rsid w:val="007336FC"/>
    <w:rsid w:val="00733AA8"/>
    <w:rsid w:val="00733D18"/>
    <w:rsid w:val="007344B7"/>
    <w:rsid w:val="00734839"/>
    <w:rsid w:val="00734969"/>
    <w:rsid w:val="00735949"/>
    <w:rsid w:val="00740063"/>
    <w:rsid w:val="00740798"/>
    <w:rsid w:val="00741660"/>
    <w:rsid w:val="007419D3"/>
    <w:rsid w:val="007449DD"/>
    <w:rsid w:val="00744A26"/>
    <w:rsid w:val="00744A32"/>
    <w:rsid w:val="00744E4E"/>
    <w:rsid w:val="00744EDE"/>
    <w:rsid w:val="0074659F"/>
    <w:rsid w:val="00746B93"/>
    <w:rsid w:val="00746C7A"/>
    <w:rsid w:val="00747EBC"/>
    <w:rsid w:val="0075043D"/>
    <w:rsid w:val="007504FB"/>
    <w:rsid w:val="007514C6"/>
    <w:rsid w:val="007515D2"/>
    <w:rsid w:val="00751D03"/>
    <w:rsid w:val="00752F21"/>
    <w:rsid w:val="0075312C"/>
    <w:rsid w:val="007538C3"/>
    <w:rsid w:val="00753F32"/>
    <w:rsid w:val="00756EB3"/>
    <w:rsid w:val="00757719"/>
    <w:rsid w:val="00757A89"/>
    <w:rsid w:val="00761A5B"/>
    <w:rsid w:val="00762812"/>
    <w:rsid w:val="00762FE3"/>
    <w:rsid w:val="00763F8B"/>
    <w:rsid w:val="0076529C"/>
    <w:rsid w:val="007739A1"/>
    <w:rsid w:val="00775A40"/>
    <w:rsid w:val="00775E54"/>
    <w:rsid w:val="007762FD"/>
    <w:rsid w:val="0077672D"/>
    <w:rsid w:val="00777B5F"/>
    <w:rsid w:val="0078036F"/>
    <w:rsid w:val="00780AD1"/>
    <w:rsid w:val="00782EE1"/>
    <w:rsid w:val="007836B4"/>
    <w:rsid w:val="00784407"/>
    <w:rsid w:val="00786616"/>
    <w:rsid w:val="0078664D"/>
    <w:rsid w:val="007870E7"/>
    <w:rsid w:val="00787D45"/>
    <w:rsid w:val="00787F4F"/>
    <w:rsid w:val="007904AC"/>
    <w:rsid w:val="00791D12"/>
    <w:rsid w:val="00793F48"/>
    <w:rsid w:val="00794662"/>
    <w:rsid w:val="00795074"/>
    <w:rsid w:val="007957E4"/>
    <w:rsid w:val="007A0B38"/>
    <w:rsid w:val="007A0ED1"/>
    <w:rsid w:val="007A2C3A"/>
    <w:rsid w:val="007A3276"/>
    <w:rsid w:val="007A3DE8"/>
    <w:rsid w:val="007A60AB"/>
    <w:rsid w:val="007A7045"/>
    <w:rsid w:val="007B0D1D"/>
    <w:rsid w:val="007B0F31"/>
    <w:rsid w:val="007B28A2"/>
    <w:rsid w:val="007B4219"/>
    <w:rsid w:val="007B4542"/>
    <w:rsid w:val="007B5155"/>
    <w:rsid w:val="007B5726"/>
    <w:rsid w:val="007B5E43"/>
    <w:rsid w:val="007B6288"/>
    <w:rsid w:val="007B64E7"/>
    <w:rsid w:val="007B6CB7"/>
    <w:rsid w:val="007C07C5"/>
    <w:rsid w:val="007C154C"/>
    <w:rsid w:val="007C26C3"/>
    <w:rsid w:val="007C2D87"/>
    <w:rsid w:val="007C3392"/>
    <w:rsid w:val="007C3B81"/>
    <w:rsid w:val="007C63CA"/>
    <w:rsid w:val="007C6C3D"/>
    <w:rsid w:val="007D12C1"/>
    <w:rsid w:val="007D2050"/>
    <w:rsid w:val="007D254F"/>
    <w:rsid w:val="007D3E65"/>
    <w:rsid w:val="007D5150"/>
    <w:rsid w:val="007D5C62"/>
    <w:rsid w:val="007D5F31"/>
    <w:rsid w:val="007D6989"/>
    <w:rsid w:val="007D7AFC"/>
    <w:rsid w:val="007D7DDA"/>
    <w:rsid w:val="007E0540"/>
    <w:rsid w:val="007E072D"/>
    <w:rsid w:val="007E0C34"/>
    <w:rsid w:val="007E12F8"/>
    <w:rsid w:val="007E2061"/>
    <w:rsid w:val="007E2C55"/>
    <w:rsid w:val="007E3190"/>
    <w:rsid w:val="007E32F2"/>
    <w:rsid w:val="007E4086"/>
    <w:rsid w:val="007E4F38"/>
    <w:rsid w:val="007E5EC6"/>
    <w:rsid w:val="007E7A2D"/>
    <w:rsid w:val="007F1696"/>
    <w:rsid w:val="007F2615"/>
    <w:rsid w:val="007F2F93"/>
    <w:rsid w:val="007F38F7"/>
    <w:rsid w:val="007F46E9"/>
    <w:rsid w:val="007F4B5E"/>
    <w:rsid w:val="007F6494"/>
    <w:rsid w:val="007F67BE"/>
    <w:rsid w:val="007F6A99"/>
    <w:rsid w:val="007F702A"/>
    <w:rsid w:val="007F7FF5"/>
    <w:rsid w:val="00801EC0"/>
    <w:rsid w:val="00802D16"/>
    <w:rsid w:val="00804248"/>
    <w:rsid w:val="00805CD4"/>
    <w:rsid w:val="008076A1"/>
    <w:rsid w:val="008106A8"/>
    <w:rsid w:val="008106B0"/>
    <w:rsid w:val="00812036"/>
    <w:rsid w:val="00812440"/>
    <w:rsid w:val="008124A8"/>
    <w:rsid w:val="00812EE5"/>
    <w:rsid w:val="008146FC"/>
    <w:rsid w:val="00814F0D"/>
    <w:rsid w:val="0081561C"/>
    <w:rsid w:val="00815DC3"/>
    <w:rsid w:val="00816037"/>
    <w:rsid w:val="0081778C"/>
    <w:rsid w:val="00817851"/>
    <w:rsid w:val="00820BCF"/>
    <w:rsid w:val="00821FAA"/>
    <w:rsid w:val="00822483"/>
    <w:rsid w:val="00822BE8"/>
    <w:rsid w:val="00822E40"/>
    <w:rsid w:val="00822F90"/>
    <w:rsid w:val="0082423E"/>
    <w:rsid w:val="008251B6"/>
    <w:rsid w:val="00825BE0"/>
    <w:rsid w:val="0082619D"/>
    <w:rsid w:val="0082650F"/>
    <w:rsid w:val="00827FB3"/>
    <w:rsid w:val="0083008F"/>
    <w:rsid w:val="0083022D"/>
    <w:rsid w:val="008302EB"/>
    <w:rsid w:val="00831FFA"/>
    <w:rsid w:val="008326D5"/>
    <w:rsid w:val="00833069"/>
    <w:rsid w:val="0083398F"/>
    <w:rsid w:val="00834380"/>
    <w:rsid w:val="00836249"/>
    <w:rsid w:val="00836CA5"/>
    <w:rsid w:val="00837D26"/>
    <w:rsid w:val="0084163F"/>
    <w:rsid w:val="00841DA4"/>
    <w:rsid w:val="00843A09"/>
    <w:rsid w:val="00843DFC"/>
    <w:rsid w:val="008446BD"/>
    <w:rsid w:val="00844746"/>
    <w:rsid w:val="00845925"/>
    <w:rsid w:val="00845A35"/>
    <w:rsid w:val="00846442"/>
    <w:rsid w:val="00846D4E"/>
    <w:rsid w:val="00846FAC"/>
    <w:rsid w:val="00850818"/>
    <w:rsid w:val="00851148"/>
    <w:rsid w:val="00851608"/>
    <w:rsid w:val="008525CA"/>
    <w:rsid w:val="00852DA8"/>
    <w:rsid w:val="00852EC8"/>
    <w:rsid w:val="00853342"/>
    <w:rsid w:val="008544C9"/>
    <w:rsid w:val="00854BEC"/>
    <w:rsid w:val="00855E7B"/>
    <w:rsid w:val="00856AD9"/>
    <w:rsid w:val="00857196"/>
    <w:rsid w:val="00860241"/>
    <w:rsid w:val="00860796"/>
    <w:rsid w:val="0086111A"/>
    <w:rsid w:val="008621FB"/>
    <w:rsid w:val="00862AA6"/>
    <w:rsid w:val="00864BA6"/>
    <w:rsid w:val="00866032"/>
    <w:rsid w:val="00866F7C"/>
    <w:rsid w:val="008675A5"/>
    <w:rsid w:val="008700A9"/>
    <w:rsid w:val="00870B20"/>
    <w:rsid w:val="00870C43"/>
    <w:rsid w:val="00872890"/>
    <w:rsid w:val="00872928"/>
    <w:rsid w:val="0087436C"/>
    <w:rsid w:val="00874B0D"/>
    <w:rsid w:val="0087573D"/>
    <w:rsid w:val="008761B7"/>
    <w:rsid w:val="008805AD"/>
    <w:rsid w:val="008805B1"/>
    <w:rsid w:val="008815C4"/>
    <w:rsid w:val="008815C6"/>
    <w:rsid w:val="0088191C"/>
    <w:rsid w:val="008823B3"/>
    <w:rsid w:val="008830D8"/>
    <w:rsid w:val="00883413"/>
    <w:rsid w:val="00883FFA"/>
    <w:rsid w:val="008855B5"/>
    <w:rsid w:val="00885770"/>
    <w:rsid w:val="008858C6"/>
    <w:rsid w:val="008864A2"/>
    <w:rsid w:val="008878CC"/>
    <w:rsid w:val="00887F89"/>
    <w:rsid w:val="008914D3"/>
    <w:rsid w:val="00892BB6"/>
    <w:rsid w:val="00893BAB"/>
    <w:rsid w:val="00896096"/>
    <w:rsid w:val="00896467"/>
    <w:rsid w:val="00896D34"/>
    <w:rsid w:val="0089721C"/>
    <w:rsid w:val="0089753C"/>
    <w:rsid w:val="008978DA"/>
    <w:rsid w:val="008A13C7"/>
    <w:rsid w:val="008A1DB9"/>
    <w:rsid w:val="008A3C93"/>
    <w:rsid w:val="008A4102"/>
    <w:rsid w:val="008A4E6D"/>
    <w:rsid w:val="008A5505"/>
    <w:rsid w:val="008A60B8"/>
    <w:rsid w:val="008A6602"/>
    <w:rsid w:val="008A69D5"/>
    <w:rsid w:val="008A75E9"/>
    <w:rsid w:val="008A7642"/>
    <w:rsid w:val="008A7F92"/>
    <w:rsid w:val="008B3D97"/>
    <w:rsid w:val="008B450C"/>
    <w:rsid w:val="008B79CD"/>
    <w:rsid w:val="008C0D2C"/>
    <w:rsid w:val="008C2AFF"/>
    <w:rsid w:val="008C3EDD"/>
    <w:rsid w:val="008C4A78"/>
    <w:rsid w:val="008C5021"/>
    <w:rsid w:val="008C5722"/>
    <w:rsid w:val="008C614F"/>
    <w:rsid w:val="008C63C3"/>
    <w:rsid w:val="008C6B3B"/>
    <w:rsid w:val="008D3B8A"/>
    <w:rsid w:val="008D3E6B"/>
    <w:rsid w:val="008D4172"/>
    <w:rsid w:val="008D4239"/>
    <w:rsid w:val="008D70D5"/>
    <w:rsid w:val="008D74FA"/>
    <w:rsid w:val="008E0B0B"/>
    <w:rsid w:val="008E2CE3"/>
    <w:rsid w:val="008E3B23"/>
    <w:rsid w:val="008E4188"/>
    <w:rsid w:val="008E49ED"/>
    <w:rsid w:val="008E5FC6"/>
    <w:rsid w:val="008E630E"/>
    <w:rsid w:val="008E641B"/>
    <w:rsid w:val="008E7A67"/>
    <w:rsid w:val="008F0833"/>
    <w:rsid w:val="008F16ED"/>
    <w:rsid w:val="008F26C2"/>
    <w:rsid w:val="008F43AC"/>
    <w:rsid w:val="008F465E"/>
    <w:rsid w:val="008F4C05"/>
    <w:rsid w:val="008F4FD6"/>
    <w:rsid w:val="008F5422"/>
    <w:rsid w:val="008F5DC3"/>
    <w:rsid w:val="008F6511"/>
    <w:rsid w:val="008F713C"/>
    <w:rsid w:val="008F762F"/>
    <w:rsid w:val="008F7866"/>
    <w:rsid w:val="0090011F"/>
    <w:rsid w:val="009004E1"/>
    <w:rsid w:val="00902E4A"/>
    <w:rsid w:val="00902E94"/>
    <w:rsid w:val="00904A0F"/>
    <w:rsid w:val="00905623"/>
    <w:rsid w:val="00905A57"/>
    <w:rsid w:val="00905D1C"/>
    <w:rsid w:val="0090651D"/>
    <w:rsid w:val="009070FF"/>
    <w:rsid w:val="00907A00"/>
    <w:rsid w:val="00910E78"/>
    <w:rsid w:val="00911897"/>
    <w:rsid w:val="00911D20"/>
    <w:rsid w:val="009131CD"/>
    <w:rsid w:val="009154E0"/>
    <w:rsid w:val="00915A29"/>
    <w:rsid w:val="00915F37"/>
    <w:rsid w:val="009165D6"/>
    <w:rsid w:val="00916B2B"/>
    <w:rsid w:val="00917B05"/>
    <w:rsid w:val="00917D0B"/>
    <w:rsid w:val="00920523"/>
    <w:rsid w:val="00920934"/>
    <w:rsid w:val="009209D2"/>
    <w:rsid w:val="00920EB6"/>
    <w:rsid w:val="0092176F"/>
    <w:rsid w:val="00922505"/>
    <w:rsid w:val="00922A1A"/>
    <w:rsid w:val="00923841"/>
    <w:rsid w:val="00924A4E"/>
    <w:rsid w:val="009259BB"/>
    <w:rsid w:val="00926D65"/>
    <w:rsid w:val="00927C3A"/>
    <w:rsid w:val="00927F24"/>
    <w:rsid w:val="00930648"/>
    <w:rsid w:val="00933243"/>
    <w:rsid w:val="00933494"/>
    <w:rsid w:val="00933BFD"/>
    <w:rsid w:val="00934883"/>
    <w:rsid w:val="00936262"/>
    <w:rsid w:val="00937022"/>
    <w:rsid w:val="00937A03"/>
    <w:rsid w:val="00937AE1"/>
    <w:rsid w:val="00937B6E"/>
    <w:rsid w:val="00937C36"/>
    <w:rsid w:val="00940653"/>
    <w:rsid w:val="0094065F"/>
    <w:rsid w:val="00941F95"/>
    <w:rsid w:val="00942431"/>
    <w:rsid w:val="00942688"/>
    <w:rsid w:val="0094366E"/>
    <w:rsid w:val="00943E5E"/>
    <w:rsid w:val="00944E83"/>
    <w:rsid w:val="0094502F"/>
    <w:rsid w:val="0094570D"/>
    <w:rsid w:val="00947069"/>
    <w:rsid w:val="00950038"/>
    <w:rsid w:val="00950A3D"/>
    <w:rsid w:val="00951BD4"/>
    <w:rsid w:val="009520A7"/>
    <w:rsid w:val="0095213C"/>
    <w:rsid w:val="00953914"/>
    <w:rsid w:val="00953B2D"/>
    <w:rsid w:val="00954349"/>
    <w:rsid w:val="00954E25"/>
    <w:rsid w:val="0095511B"/>
    <w:rsid w:val="009555E1"/>
    <w:rsid w:val="009559F1"/>
    <w:rsid w:val="00956C46"/>
    <w:rsid w:val="00960075"/>
    <w:rsid w:val="00960D88"/>
    <w:rsid w:val="00961674"/>
    <w:rsid w:val="00961B1A"/>
    <w:rsid w:val="00961CEA"/>
    <w:rsid w:val="00962541"/>
    <w:rsid w:val="0096285A"/>
    <w:rsid w:val="0096376F"/>
    <w:rsid w:val="00964021"/>
    <w:rsid w:val="00964EFA"/>
    <w:rsid w:val="00965756"/>
    <w:rsid w:val="00965D70"/>
    <w:rsid w:val="00967861"/>
    <w:rsid w:val="009708E7"/>
    <w:rsid w:val="00972EAE"/>
    <w:rsid w:val="00974343"/>
    <w:rsid w:val="00974356"/>
    <w:rsid w:val="00974618"/>
    <w:rsid w:val="0097485D"/>
    <w:rsid w:val="009749A9"/>
    <w:rsid w:val="00974CB0"/>
    <w:rsid w:val="00974E08"/>
    <w:rsid w:val="009750B2"/>
    <w:rsid w:val="009753AB"/>
    <w:rsid w:val="0097626A"/>
    <w:rsid w:val="00977264"/>
    <w:rsid w:val="009775C9"/>
    <w:rsid w:val="00977F9E"/>
    <w:rsid w:val="0098032C"/>
    <w:rsid w:val="0098095C"/>
    <w:rsid w:val="009814C2"/>
    <w:rsid w:val="00983536"/>
    <w:rsid w:val="009842E4"/>
    <w:rsid w:val="00984AE2"/>
    <w:rsid w:val="00984E6A"/>
    <w:rsid w:val="00986E0D"/>
    <w:rsid w:val="00990F00"/>
    <w:rsid w:val="0099104F"/>
    <w:rsid w:val="00991594"/>
    <w:rsid w:val="009921BA"/>
    <w:rsid w:val="0099255D"/>
    <w:rsid w:val="00993077"/>
    <w:rsid w:val="0099490A"/>
    <w:rsid w:val="009952F3"/>
    <w:rsid w:val="00996D13"/>
    <w:rsid w:val="009A107F"/>
    <w:rsid w:val="009A1CB1"/>
    <w:rsid w:val="009A2B1D"/>
    <w:rsid w:val="009A33E6"/>
    <w:rsid w:val="009A3E25"/>
    <w:rsid w:val="009A3F4F"/>
    <w:rsid w:val="009A4226"/>
    <w:rsid w:val="009A4FCB"/>
    <w:rsid w:val="009A5CB6"/>
    <w:rsid w:val="009A5E93"/>
    <w:rsid w:val="009A6A6C"/>
    <w:rsid w:val="009B0467"/>
    <w:rsid w:val="009B1227"/>
    <w:rsid w:val="009B25E6"/>
    <w:rsid w:val="009B2954"/>
    <w:rsid w:val="009B4CE8"/>
    <w:rsid w:val="009B524F"/>
    <w:rsid w:val="009B559D"/>
    <w:rsid w:val="009B63C3"/>
    <w:rsid w:val="009B6B51"/>
    <w:rsid w:val="009B7823"/>
    <w:rsid w:val="009B7D00"/>
    <w:rsid w:val="009B7D72"/>
    <w:rsid w:val="009C0488"/>
    <w:rsid w:val="009C14C3"/>
    <w:rsid w:val="009C1BB8"/>
    <w:rsid w:val="009C20BE"/>
    <w:rsid w:val="009C221A"/>
    <w:rsid w:val="009C2504"/>
    <w:rsid w:val="009C253C"/>
    <w:rsid w:val="009C4064"/>
    <w:rsid w:val="009C4BF4"/>
    <w:rsid w:val="009C51A2"/>
    <w:rsid w:val="009C5BB3"/>
    <w:rsid w:val="009C5C69"/>
    <w:rsid w:val="009C60B2"/>
    <w:rsid w:val="009C6132"/>
    <w:rsid w:val="009C7840"/>
    <w:rsid w:val="009D02A4"/>
    <w:rsid w:val="009D03C6"/>
    <w:rsid w:val="009D0AE9"/>
    <w:rsid w:val="009D0DE0"/>
    <w:rsid w:val="009D3BDA"/>
    <w:rsid w:val="009D461A"/>
    <w:rsid w:val="009D6C45"/>
    <w:rsid w:val="009E058B"/>
    <w:rsid w:val="009E0C99"/>
    <w:rsid w:val="009E1994"/>
    <w:rsid w:val="009E19D8"/>
    <w:rsid w:val="009E4BAE"/>
    <w:rsid w:val="009E55D3"/>
    <w:rsid w:val="009E6071"/>
    <w:rsid w:val="009E70FD"/>
    <w:rsid w:val="009E7690"/>
    <w:rsid w:val="009F12DC"/>
    <w:rsid w:val="009F1347"/>
    <w:rsid w:val="009F3553"/>
    <w:rsid w:val="009F3900"/>
    <w:rsid w:val="009F4784"/>
    <w:rsid w:val="009F4929"/>
    <w:rsid w:val="009F54E5"/>
    <w:rsid w:val="009F55B0"/>
    <w:rsid w:val="009F566B"/>
    <w:rsid w:val="009F59A8"/>
    <w:rsid w:val="009F5AC5"/>
    <w:rsid w:val="009F5B49"/>
    <w:rsid w:val="00A00C33"/>
    <w:rsid w:val="00A011D6"/>
    <w:rsid w:val="00A01872"/>
    <w:rsid w:val="00A01EF7"/>
    <w:rsid w:val="00A02EFA"/>
    <w:rsid w:val="00A03305"/>
    <w:rsid w:val="00A036A0"/>
    <w:rsid w:val="00A03A73"/>
    <w:rsid w:val="00A03D31"/>
    <w:rsid w:val="00A043C2"/>
    <w:rsid w:val="00A04D0A"/>
    <w:rsid w:val="00A0550B"/>
    <w:rsid w:val="00A05B96"/>
    <w:rsid w:val="00A06EE8"/>
    <w:rsid w:val="00A07A8F"/>
    <w:rsid w:val="00A11238"/>
    <w:rsid w:val="00A11A21"/>
    <w:rsid w:val="00A11FC1"/>
    <w:rsid w:val="00A1265C"/>
    <w:rsid w:val="00A132E3"/>
    <w:rsid w:val="00A13DAB"/>
    <w:rsid w:val="00A142A0"/>
    <w:rsid w:val="00A14C93"/>
    <w:rsid w:val="00A15FD1"/>
    <w:rsid w:val="00A16229"/>
    <w:rsid w:val="00A1672F"/>
    <w:rsid w:val="00A173F1"/>
    <w:rsid w:val="00A177C9"/>
    <w:rsid w:val="00A17AF9"/>
    <w:rsid w:val="00A17CA9"/>
    <w:rsid w:val="00A20816"/>
    <w:rsid w:val="00A21D12"/>
    <w:rsid w:val="00A22BE8"/>
    <w:rsid w:val="00A24EB4"/>
    <w:rsid w:val="00A25037"/>
    <w:rsid w:val="00A25889"/>
    <w:rsid w:val="00A25B52"/>
    <w:rsid w:val="00A26DA9"/>
    <w:rsid w:val="00A32343"/>
    <w:rsid w:val="00A32D04"/>
    <w:rsid w:val="00A32F15"/>
    <w:rsid w:val="00A342E7"/>
    <w:rsid w:val="00A3787D"/>
    <w:rsid w:val="00A37BBA"/>
    <w:rsid w:val="00A42030"/>
    <w:rsid w:val="00A425D6"/>
    <w:rsid w:val="00A439CB"/>
    <w:rsid w:val="00A451A9"/>
    <w:rsid w:val="00A45CA8"/>
    <w:rsid w:val="00A464DD"/>
    <w:rsid w:val="00A468B0"/>
    <w:rsid w:val="00A46EAE"/>
    <w:rsid w:val="00A47816"/>
    <w:rsid w:val="00A47A17"/>
    <w:rsid w:val="00A5127D"/>
    <w:rsid w:val="00A515A0"/>
    <w:rsid w:val="00A51B9F"/>
    <w:rsid w:val="00A5326A"/>
    <w:rsid w:val="00A54487"/>
    <w:rsid w:val="00A551B7"/>
    <w:rsid w:val="00A557A4"/>
    <w:rsid w:val="00A5606D"/>
    <w:rsid w:val="00A5614E"/>
    <w:rsid w:val="00A56703"/>
    <w:rsid w:val="00A56CDD"/>
    <w:rsid w:val="00A5716C"/>
    <w:rsid w:val="00A60202"/>
    <w:rsid w:val="00A60434"/>
    <w:rsid w:val="00A6047B"/>
    <w:rsid w:val="00A6126A"/>
    <w:rsid w:val="00A612FA"/>
    <w:rsid w:val="00A619CF"/>
    <w:rsid w:val="00A61A25"/>
    <w:rsid w:val="00A644E9"/>
    <w:rsid w:val="00A647B6"/>
    <w:rsid w:val="00A64AF4"/>
    <w:rsid w:val="00A65356"/>
    <w:rsid w:val="00A65C02"/>
    <w:rsid w:val="00A65D7D"/>
    <w:rsid w:val="00A666F1"/>
    <w:rsid w:val="00A670EF"/>
    <w:rsid w:val="00A6728A"/>
    <w:rsid w:val="00A67F14"/>
    <w:rsid w:val="00A703C7"/>
    <w:rsid w:val="00A70F9A"/>
    <w:rsid w:val="00A71CF8"/>
    <w:rsid w:val="00A72F1A"/>
    <w:rsid w:val="00A734C7"/>
    <w:rsid w:val="00A73792"/>
    <w:rsid w:val="00A7382B"/>
    <w:rsid w:val="00A73E82"/>
    <w:rsid w:val="00A7489B"/>
    <w:rsid w:val="00A74E2A"/>
    <w:rsid w:val="00A75100"/>
    <w:rsid w:val="00A760C7"/>
    <w:rsid w:val="00A767F3"/>
    <w:rsid w:val="00A76B90"/>
    <w:rsid w:val="00A807F8"/>
    <w:rsid w:val="00A818EB"/>
    <w:rsid w:val="00A82042"/>
    <w:rsid w:val="00A8212F"/>
    <w:rsid w:val="00A82EE7"/>
    <w:rsid w:val="00A84031"/>
    <w:rsid w:val="00A865A1"/>
    <w:rsid w:val="00A879EB"/>
    <w:rsid w:val="00A90020"/>
    <w:rsid w:val="00A91527"/>
    <w:rsid w:val="00A91A28"/>
    <w:rsid w:val="00A91BE0"/>
    <w:rsid w:val="00A93E18"/>
    <w:rsid w:val="00A93FCF"/>
    <w:rsid w:val="00A94D5E"/>
    <w:rsid w:val="00A9533A"/>
    <w:rsid w:val="00A9549D"/>
    <w:rsid w:val="00A960E8"/>
    <w:rsid w:val="00A963B5"/>
    <w:rsid w:val="00A96722"/>
    <w:rsid w:val="00AA0075"/>
    <w:rsid w:val="00AA07CF"/>
    <w:rsid w:val="00AA0F49"/>
    <w:rsid w:val="00AA1E48"/>
    <w:rsid w:val="00AA4E4A"/>
    <w:rsid w:val="00AA5CAF"/>
    <w:rsid w:val="00AA600A"/>
    <w:rsid w:val="00AA6353"/>
    <w:rsid w:val="00AA66A6"/>
    <w:rsid w:val="00AA6B90"/>
    <w:rsid w:val="00AB08F5"/>
    <w:rsid w:val="00AB102B"/>
    <w:rsid w:val="00AB1484"/>
    <w:rsid w:val="00AB1AA5"/>
    <w:rsid w:val="00AB1B24"/>
    <w:rsid w:val="00AB1C39"/>
    <w:rsid w:val="00AB3D48"/>
    <w:rsid w:val="00AB7694"/>
    <w:rsid w:val="00AB7A64"/>
    <w:rsid w:val="00AB7AA5"/>
    <w:rsid w:val="00AB7ABF"/>
    <w:rsid w:val="00AC07A9"/>
    <w:rsid w:val="00AC07BE"/>
    <w:rsid w:val="00AC1A3E"/>
    <w:rsid w:val="00AC37B9"/>
    <w:rsid w:val="00AC3AB5"/>
    <w:rsid w:val="00AC441E"/>
    <w:rsid w:val="00AC44B8"/>
    <w:rsid w:val="00AC6857"/>
    <w:rsid w:val="00AC6A17"/>
    <w:rsid w:val="00AC70B9"/>
    <w:rsid w:val="00AD059C"/>
    <w:rsid w:val="00AD07D5"/>
    <w:rsid w:val="00AD138C"/>
    <w:rsid w:val="00AD14C8"/>
    <w:rsid w:val="00AD1C44"/>
    <w:rsid w:val="00AD1E26"/>
    <w:rsid w:val="00AD2B76"/>
    <w:rsid w:val="00AD2E8D"/>
    <w:rsid w:val="00AD3A8A"/>
    <w:rsid w:val="00AD3F7C"/>
    <w:rsid w:val="00AD3FB0"/>
    <w:rsid w:val="00AD4556"/>
    <w:rsid w:val="00AD5E3B"/>
    <w:rsid w:val="00AD66EC"/>
    <w:rsid w:val="00AE0642"/>
    <w:rsid w:val="00AE24DB"/>
    <w:rsid w:val="00AE4C13"/>
    <w:rsid w:val="00AE58B2"/>
    <w:rsid w:val="00AE6CD8"/>
    <w:rsid w:val="00AE7890"/>
    <w:rsid w:val="00AF023F"/>
    <w:rsid w:val="00AF075B"/>
    <w:rsid w:val="00AF095C"/>
    <w:rsid w:val="00AF0A6E"/>
    <w:rsid w:val="00AF12B3"/>
    <w:rsid w:val="00AF3516"/>
    <w:rsid w:val="00AF3E16"/>
    <w:rsid w:val="00AF5055"/>
    <w:rsid w:val="00AF5129"/>
    <w:rsid w:val="00AF5FB8"/>
    <w:rsid w:val="00AF62A2"/>
    <w:rsid w:val="00AF6BB4"/>
    <w:rsid w:val="00AF7FA6"/>
    <w:rsid w:val="00B00254"/>
    <w:rsid w:val="00B03046"/>
    <w:rsid w:val="00B03409"/>
    <w:rsid w:val="00B044B6"/>
    <w:rsid w:val="00B04E0D"/>
    <w:rsid w:val="00B06389"/>
    <w:rsid w:val="00B066CC"/>
    <w:rsid w:val="00B06D40"/>
    <w:rsid w:val="00B06F33"/>
    <w:rsid w:val="00B077D0"/>
    <w:rsid w:val="00B10200"/>
    <w:rsid w:val="00B1063F"/>
    <w:rsid w:val="00B10690"/>
    <w:rsid w:val="00B10D0D"/>
    <w:rsid w:val="00B11780"/>
    <w:rsid w:val="00B128A7"/>
    <w:rsid w:val="00B1354B"/>
    <w:rsid w:val="00B13AA0"/>
    <w:rsid w:val="00B155DD"/>
    <w:rsid w:val="00B158ED"/>
    <w:rsid w:val="00B15D90"/>
    <w:rsid w:val="00B16247"/>
    <w:rsid w:val="00B16C54"/>
    <w:rsid w:val="00B173BF"/>
    <w:rsid w:val="00B17B7D"/>
    <w:rsid w:val="00B205A3"/>
    <w:rsid w:val="00B22C68"/>
    <w:rsid w:val="00B23D41"/>
    <w:rsid w:val="00B25A82"/>
    <w:rsid w:val="00B26174"/>
    <w:rsid w:val="00B26E94"/>
    <w:rsid w:val="00B2726C"/>
    <w:rsid w:val="00B27F7F"/>
    <w:rsid w:val="00B30356"/>
    <w:rsid w:val="00B309D0"/>
    <w:rsid w:val="00B30DE1"/>
    <w:rsid w:val="00B31590"/>
    <w:rsid w:val="00B3170E"/>
    <w:rsid w:val="00B330A4"/>
    <w:rsid w:val="00B3366B"/>
    <w:rsid w:val="00B3584F"/>
    <w:rsid w:val="00B35935"/>
    <w:rsid w:val="00B3602F"/>
    <w:rsid w:val="00B36802"/>
    <w:rsid w:val="00B37109"/>
    <w:rsid w:val="00B373D0"/>
    <w:rsid w:val="00B37ED8"/>
    <w:rsid w:val="00B40976"/>
    <w:rsid w:val="00B40FFF"/>
    <w:rsid w:val="00B41B6D"/>
    <w:rsid w:val="00B41C03"/>
    <w:rsid w:val="00B42B05"/>
    <w:rsid w:val="00B4357B"/>
    <w:rsid w:val="00B43E38"/>
    <w:rsid w:val="00B44F5C"/>
    <w:rsid w:val="00B45A4F"/>
    <w:rsid w:val="00B46673"/>
    <w:rsid w:val="00B47350"/>
    <w:rsid w:val="00B4782C"/>
    <w:rsid w:val="00B50523"/>
    <w:rsid w:val="00B50A75"/>
    <w:rsid w:val="00B5166C"/>
    <w:rsid w:val="00B52175"/>
    <w:rsid w:val="00B52D33"/>
    <w:rsid w:val="00B52FCC"/>
    <w:rsid w:val="00B53022"/>
    <w:rsid w:val="00B532FB"/>
    <w:rsid w:val="00B54294"/>
    <w:rsid w:val="00B55244"/>
    <w:rsid w:val="00B55572"/>
    <w:rsid w:val="00B55936"/>
    <w:rsid w:val="00B56108"/>
    <w:rsid w:val="00B56364"/>
    <w:rsid w:val="00B567F6"/>
    <w:rsid w:val="00B56BBE"/>
    <w:rsid w:val="00B600DE"/>
    <w:rsid w:val="00B61859"/>
    <w:rsid w:val="00B64B29"/>
    <w:rsid w:val="00B65699"/>
    <w:rsid w:val="00B6610B"/>
    <w:rsid w:val="00B66656"/>
    <w:rsid w:val="00B67206"/>
    <w:rsid w:val="00B67C12"/>
    <w:rsid w:val="00B701C3"/>
    <w:rsid w:val="00B711E8"/>
    <w:rsid w:val="00B72CA2"/>
    <w:rsid w:val="00B72F20"/>
    <w:rsid w:val="00B73764"/>
    <w:rsid w:val="00B7403F"/>
    <w:rsid w:val="00B742D8"/>
    <w:rsid w:val="00B74344"/>
    <w:rsid w:val="00B745E1"/>
    <w:rsid w:val="00B74CF8"/>
    <w:rsid w:val="00B76024"/>
    <w:rsid w:val="00B76959"/>
    <w:rsid w:val="00B76F67"/>
    <w:rsid w:val="00B76FC2"/>
    <w:rsid w:val="00B77E20"/>
    <w:rsid w:val="00B77F44"/>
    <w:rsid w:val="00B802A8"/>
    <w:rsid w:val="00B804A5"/>
    <w:rsid w:val="00B82FF2"/>
    <w:rsid w:val="00B8411C"/>
    <w:rsid w:val="00B84CC8"/>
    <w:rsid w:val="00B85556"/>
    <w:rsid w:val="00B902E5"/>
    <w:rsid w:val="00B907AB"/>
    <w:rsid w:val="00B915B6"/>
    <w:rsid w:val="00B927F7"/>
    <w:rsid w:val="00B93674"/>
    <w:rsid w:val="00B94333"/>
    <w:rsid w:val="00B945F8"/>
    <w:rsid w:val="00B94618"/>
    <w:rsid w:val="00B95776"/>
    <w:rsid w:val="00B95CBD"/>
    <w:rsid w:val="00BA06F3"/>
    <w:rsid w:val="00BA198A"/>
    <w:rsid w:val="00BA4131"/>
    <w:rsid w:val="00BA4748"/>
    <w:rsid w:val="00BA4B20"/>
    <w:rsid w:val="00BA5320"/>
    <w:rsid w:val="00BA654E"/>
    <w:rsid w:val="00BA7A55"/>
    <w:rsid w:val="00BB17DB"/>
    <w:rsid w:val="00BB277B"/>
    <w:rsid w:val="00BB2CA4"/>
    <w:rsid w:val="00BB2F6D"/>
    <w:rsid w:val="00BB3485"/>
    <w:rsid w:val="00BB3674"/>
    <w:rsid w:val="00BB38B7"/>
    <w:rsid w:val="00BB5AF2"/>
    <w:rsid w:val="00BB5DDE"/>
    <w:rsid w:val="00BB6427"/>
    <w:rsid w:val="00BB7700"/>
    <w:rsid w:val="00BB7FE8"/>
    <w:rsid w:val="00BC1E0C"/>
    <w:rsid w:val="00BC1E56"/>
    <w:rsid w:val="00BC2A21"/>
    <w:rsid w:val="00BC360C"/>
    <w:rsid w:val="00BC40B2"/>
    <w:rsid w:val="00BC53F8"/>
    <w:rsid w:val="00BC6039"/>
    <w:rsid w:val="00BC6AFD"/>
    <w:rsid w:val="00BC7730"/>
    <w:rsid w:val="00BD00FC"/>
    <w:rsid w:val="00BD0950"/>
    <w:rsid w:val="00BD0DC1"/>
    <w:rsid w:val="00BD10CB"/>
    <w:rsid w:val="00BD32F8"/>
    <w:rsid w:val="00BD38B2"/>
    <w:rsid w:val="00BD41FE"/>
    <w:rsid w:val="00BD4791"/>
    <w:rsid w:val="00BD4DDB"/>
    <w:rsid w:val="00BD51C4"/>
    <w:rsid w:val="00BD5450"/>
    <w:rsid w:val="00BD5629"/>
    <w:rsid w:val="00BD650C"/>
    <w:rsid w:val="00BD6952"/>
    <w:rsid w:val="00BD6B27"/>
    <w:rsid w:val="00BE05D8"/>
    <w:rsid w:val="00BE0BA5"/>
    <w:rsid w:val="00BE1DCC"/>
    <w:rsid w:val="00BE29E8"/>
    <w:rsid w:val="00BE2E62"/>
    <w:rsid w:val="00BE327D"/>
    <w:rsid w:val="00BE40FB"/>
    <w:rsid w:val="00BE47FF"/>
    <w:rsid w:val="00BE5D9C"/>
    <w:rsid w:val="00BE60D6"/>
    <w:rsid w:val="00BE6999"/>
    <w:rsid w:val="00BF09DE"/>
    <w:rsid w:val="00BF0E8E"/>
    <w:rsid w:val="00BF1F96"/>
    <w:rsid w:val="00BF222B"/>
    <w:rsid w:val="00BF2731"/>
    <w:rsid w:val="00BF348A"/>
    <w:rsid w:val="00BF369C"/>
    <w:rsid w:val="00BF4280"/>
    <w:rsid w:val="00BF50EF"/>
    <w:rsid w:val="00BF5520"/>
    <w:rsid w:val="00BF57A5"/>
    <w:rsid w:val="00BF5FC0"/>
    <w:rsid w:val="00BF7106"/>
    <w:rsid w:val="00BF7250"/>
    <w:rsid w:val="00C00867"/>
    <w:rsid w:val="00C02E65"/>
    <w:rsid w:val="00C036E1"/>
    <w:rsid w:val="00C039EF"/>
    <w:rsid w:val="00C03C38"/>
    <w:rsid w:val="00C05348"/>
    <w:rsid w:val="00C05668"/>
    <w:rsid w:val="00C06B10"/>
    <w:rsid w:val="00C06DEC"/>
    <w:rsid w:val="00C07472"/>
    <w:rsid w:val="00C07917"/>
    <w:rsid w:val="00C07E17"/>
    <w:rsid w:val="00C102F3"/>
    <w:rsid w:val="00C111CC"/>
    <w:rsid w:val="00C112A2"/>
    <w:rsid w:val="00C11CBF"/>
    <w:rsid w:val="00C1321D"/>
    <w:rsid w:val="00C143F7"/>
    <w:rsid w:val="00C14597"/>
    <w:rsid w:val="00C14C52"/>
    <w:rsid w:val="00C15A4A"/>
    <w:rsid w:val="00C15AFA"/>
    <w:rsid w:val="00C16D69"/>
    <w:rsid w:val="00C178EE"/>
    <w:rsid w:val="00C2040E"/>
    <w:rsid w:val="00C20F04"/>
    <w:rsid w:val="00C21C0A"/>
    <w:rsid w:val="00C221C8"/>
    <w:rsid w:val="00C223BC"/>
    <w:rsid w:val="00C24157"/>
    <w:rsid w:val="00C24A88"/>
    <w:rsid w:val="00C24B2A"/>
    <w:rsid w:val="00C24E47"/>
    <w:rsid w:val="00C24F7B"/>
    <w:rsid w:val="00C2520A"/>
    <w:rsid w:val="00C25BB5"/>
    <w:rsid w:val="00C26346"/>
    <w:rsid w:val="00C26417"/>
    <w:rsid w:val="00C2692A"/>
    <w:rsid w:val="00C274AD"/>
    <w:rsid w:val="00C275C2"/>
    <w:rsid w:val="00C2788A"/>
    <w:rsid w:val="00C27DD0"/>
    <w:rsid w:val="00C30FC3"/>
    <w:rsid w:val="00C3104E"/>
    <w:rsid w:val="00C316A4"/>
    <w:rsid w:val="00C321DA"/>
    <w:rsid w:val="00C3225A"/>
    <w:rsid w:val="00C32861"/>
    <w:rsid w:val="00C36A7A"/>
    <w:rsid w:val="00C403FA"/>
    <w:rsid w:val="00C4187C"/>
    <w:rsid w:val="00C4269E"/>
    <w:rsid w:val="00C42E00"/>
    <w:rsid w:val="00C4346C"/>
    <w:rsid w:val="00C440CD"/>
    <w:rsid w:val="00C45436"/>
    <w:rsid w:val="00C45E37"/>
    <w:rsid w:val="00C46662"/>
    <w:rsid w:val="00C479A7"/>
    <w:rsid w:val="00C47E24"/>
    <w:rsid w:val="00C52858"/>
    <w:rsid w:val="00C53A01"/>
    <w:rsid w:val="00C5511C"/>
    <w:rsid w:val="00C55298"/>
    <w:rsid w:val="00C558AA"/>
    <w:rsid w:val="00C55CAE"/>
    <w:rsid w:val="00C5680A"/>
    <w:rsid w:val="00C575F1"/>
    <w:rsid w:val="00C578D7"/>
    <w:rsid w:val="00C57D74"/>
    <w:rsid w:val="00C57F71"/>
    <w:rsid w:val="00C60355"/>
    <w:rsid w:val="00C625F6"/>
    <w:rsid w:val="00C64CFF"/>
    <w:rsid w:val="00C66E45"/>
    <w:rsid w:val="00C67851"/>
    <w:rsid w:val="00C71457"/>
    <w:rsid w:val="00C72608"/>
    <w:rsid w:val="00C73136"/>
    <w:rsid w:val="00C744F5"/>
    <w:rsid w:val="00C7464B"/>
    <w:rsid w:val="00C7523F"/>
    <w:rsid w:val="00C75F99"/>
    <w:rsid w:val="00C764A9"/>
    <w:rsid w:val="00C7727B"/>
    <w:rsid w:val="00C804B4"/>
    <w:rsid w:val="00C806BF"/>
    <w:rsid w:val="00C806C6"/>
    <w:rsid w:val="00C80A69"/>
    <w:rsid w:val="00C815D3"/>
    <w:rsid w:val="00C81F24"/>
    <w:rsid w:val="00C81F4B"/>
    <w:rsid w:val="00C82B9F"/>
    <w:rsid w:val="00C83CE2"/>
    <w:rsid w:val="00C849FF"/>
    <w:rsid w:val="00C851AC"/>
    <w:rsid w:val="00C85313"/>
    <w:rsid w:val="00C858F2"/>
    <w:rsid w:val="00C85D59"/>
    <w:rsid w:val="00C86746"/>
    <w:rsid w:val="00C874DE"/>
    <w:rsid w:val="00C878B0"/>
    <w:rsid w:val="00C87F9F"/>
    <w:rsid w:val="00C906EB"/>
    <w:rsid w:val="00C90942"/>
    <w:rsid w:val="00C92290"/>
    <w:rsid w:val="00C92A77"/>
    <w:rsid w:val="00C933E2"/>
    <w:rsid w:val="00C93482"/>
    <w:rsid w:val="00C94323"/>
    <w:rsid w:val="00C95C9D"/>
    <w:rsid w:val="00C96196"/>
    <w:rsid w:val="00C967BA"/>
    <w:rsid w:val="00CA0011"/>
    <w:rsid w:val="00CA0114"/>
    <w:rsid w:val="00CA030A"/>
    <w:rsid w:val="00CA03BD"/>
    <w:rsid w:val="00CA089D"/>
    <w:rsid w:val="00CA0FF6"/>
    <w:rsid w:val="00CA125D"/>
    <w:rsid w:val="00CA1D98"/>
    <w:rsid w:val="00CA2388"/>
    <w:rsid w:val="00CA2A9A"/>
    <w:rsid w:val="00CA4013"/>
    <w:rsid w:val="00CA52A3"/>
    <w:rsid w:val="00CA5532"/>
    <w:rsid w:val="00CA58BF"/>
    <w:rsid w:val="00CA5ED2"/>
    <w:rsid w:val="00CA6878"/>
    <w:rsid w:val="00CA797D"/>
    <w:rsid w:val="00CB1960"/>
    <w:rsid w:val="00CB19C1"/>
    <w:rsid w:val="00CB1C8D"/>
    <w:rsid w:val="00CB1C95"/>
    <w:rsid w:val="00CB216E"/>
    <w:rsid w:val="00CB2C56"/>
    <w:rsid w:val="00CB2EF3"/>
    <w:rsid w:val="00CB32A7"/>
    <w:rsid w:val="00CB51A8"/>
    <w:rsid w:val="00CB5505"/>
    <w:rsid w:val="00CB6143"/>
    <w:rsid w:val="00CB6864"/>
    <w:rsid w:val="00CB6C92"/>
    <w:rsid w:val="00CB7DB9"/>
    <w:rsid w:val="00CC0DFF"/>
    <w:rsid w:val="00CC1415"/>
    <w:rsid w:val="00CC1B3B"/>
    <w:rsid w:val="00CC2802"/>
    <w:rsid w:val="00CC2AC9"/>
    <w:rsid w:val="00CC32D9"/>
    <w:rsid w:val="00CC4909"/>
    <w:rsid w:val="00CC5122"/>
    <w:rsid w:val="00CC588C"/>
    <w:rsid w:val="00CC6F71"/>
    <w:rsid w:val="00CD2346"/>
    <w:rsid w:val="00CD3237"/>
    <w:rsid w:val="00CD3446"/>
    <w:rsid w:val="00CE07DD"/>
    <w:rsid w:val="00CE0BA0"/>
    <w:rsid w:val="00CE14DE"/>
    <w:rsid w:val="00CE1945"/>
    <w:rsid w:val="00CE288C"/>
    <w:rsid w:val="00CE5032"/>
    <w:rsid w:val="00CE7E18"/>
    <w:rsid w:val="00CF0E01"/>
    <w:rsid w:val="00CF2359"/>
    <w:rsid w:val="00CF3690"/>
    <w:rsid w:val="00CF3F7A"/>
    <w:rsid w:val="00CF4B2E"/>
    <w:rsid w:val="00CF4BFE"/>
    <w:rsid w:val="00CF4EC3"/>
    <w:rsid w:val="00CF6D44"/>
    <w:rsid w:val="00CF7ECC"/>
    <w:rsid w:val="00D00C0E"/>
    <w:rsid w:val="00D0155A"/>
    <w:rsid w:val="00D01623"/>
    <w:rsid w:val="00D01BB0"/>
    <w:rsid w:val="00D01D16"/>
    <w:rsid w:val="00D0233D"/>
    <w:rsid w:val="00D02674"/>
    <w:rsid w:val="00D02ACA"/>
    <w:rsid w:val="00D03EF6"/>
    <w:rsid w:val="00D048E0"/>
    <w:rsid w:val="00D0496E"/>
    <w:rsid w:val="00D05616"/>
    <w:rsid w:val="00D06148"/>
    <w:rsid w:val="00D06E57"/>
    <w:rsid w:val="00D07C49"/>
    <w:rsid w:val="00D07D37"/>
    <w:rsid w:val="00D119B6"/>
    <w:rsid w:val="00D12099"/>
    <w:rsid w:val="00D125F8"/>
    <w:rsid w:val="00D12785"/>
    <w:rsid w:val="00D13A95"/>
    <w:rsid w:val="00D13BFF"/>
    <w:rsid w:val="00D14470"/>
    <w:rsid w:val="00D14E42"/>
    <w:rsid w:val="00D1519F"/>
    <w:rsid w:val="00D15B5D"/>
    <w:rsid w:val="00D16184"/>
    <w:rsid w:val="00D16615"/>
    <w:rsid w:val="00D1713C"/>
    <w:rsid w:val="00D17147"/>
    <w:rsid w:val="00D176BC"/>
    <w:rsid w:val="00D200B3"/>
    <w:rsid w:val="00D20109"/>
    <w:rsid w:val="00D20245"/>
    <w:rsid w:val="00D21179"/>
    <w:rsid w:val="00D215E6"/>
    <w:rsid w:val="00D21DC6"/>
    <w:rsid w:val="00D22812"/>
    <w:rsid w:val="00D2343A"/>
    <w:rsid w:val="00D24E0A"/>
    <w:rsid w:val="00D24E13"/>
    <w:rsid w:val="00D25260"/>
    <w:rsid w:val="00D262C8"/>
    <w:rsid w:val="00D262E4"/>
    <w:rsid w:val="00D26C5B"/>
    <w:rsid w:val="00D2731A"/>
    <w:rsid w:val="00D30629"/>
    <w:rsid w:val="00D30B68"/>
    <w:rsid w:val="00D30CD9"/>
    <w:rsid w:val="00D30D90"/>
    <w:rsid w:val="00D3112A"/>
    <w:rsid w:val="00D31641"/>
    <w:rsid w:val="00D33333"/>
    <w:rsid w:val="00D33B21"/>
    <w:rsid w:val="00D33C63"/>
    <w:rsid w:val="00D34865"/>
    <w:rsid w:val="00D34D65"/>
    <w:rsid w:val="00D3651F"/>
    <w:rsid w:val="00D37533"/>
    <w:rsid w:val="00D40088"/>
    <w:rsid w:val="00D457F6"/>
    <w:rsid w:val="00D45908"/>
    <w:rsid w:val="00D467E8"/>
    <w:rsid w:val="00D46BEB"/>
    <w:rsid w:val="00D47028"/>
    <w:rsid w:val="00D47336"/>
    <w:rsid w:val="00D50719"/>
    <w:rsid w:val="00D50A9D"/>
    <w:rsid w:val="00D50FF5"/>
    <w:rsid w:val="00D51995"/>
    <w:rsid w:val="00D51CF8"/>
    <w:rsid w:val="00D51EFF"/>
    <w:rsid w:val="00D52294"/>
    <w:rsid w:val="00D52DDF"/>
    <w:rsid w:val="00D532F8"/>
    <w:rsid w:val="00D53BA7"/>
    <w:rsid w:val="00D53D7C"/>
    <w:rsid w:val="00D54655"/>
    <w:rsid w:val="00D573E1"/>
    <w:rsid w:val="00D57CED"/>
    <w:rsid w:val="00D60D1C"/>
    <w:rsid w:val="00D6453A"/>
    <w:rsid w:val="00D64FAB"/>
    <w:rsid w:val="00D66910"/>
    <w:rsid w:val="00D66C14"/>
    <w:rsid w:val="00D67241"/>
    <w:rsid w:val="00D708F3"/>
    <w:rsid w:val="00D70933"/>
    <w:rsid w:val="00D70EF5"/>
    <w:rsid w:val="00D71387"/>
    <w:rsid w:val="00D71744"/>
    <w:rsid w:val="00D7183B"/>
    <w:rsid w:val="00D71B73"/>
    <w:rsid w:val="00D72265"/>
    <w:rsid w:val="00D722CF"/>
    <w:rsid w:val="00D7293D"/>
    <w:rsid w:val="00D7363F"/>
    <w:rsid w:val="00D73F43"/>
    <w:rsid w:val="00D76F13"/>
    <w:rsid w:val="00D80CBB"/>
    <w:rsid w:val="00D81ADC"/>
    <w:rsid w:val="00D81ADE"/>
    <w:rsid w:val="00D859E3"/>
    <w:rsid w:val="00D87CA3"/>
    <w:rsid w:val="00D91596"/>
    <w:rsid w:val="00D91A89"/>
    <w:rsid w:val="00D91DF4"/>
    <w:rsid w:val="00D92541"/>
    <w:rsid w:val="00D926F3"/>
    <w:rsid w:val="00D95D67"/>
    <w:rsid w:val="00D961A6"/>
    <w:rsid w:val="00D96F01"/>
    <w:rsid w:val="00DA0054"/>
    <w:rsid w:val="00DA0A86"/>
    <w:rsid w:val="00DA0AFE"/>
    <w:rsid w:val="00DA1EAB"/>
    <w:rsid w:val="00DA2AC1"/>
    <w:rsid w:val="00DA2F85"/>
    <w:rsid w:val="00DA3459"/>
    <w:rsid w:val="00DA4A5D"/>
    <w:rsid w:val="00DA4D2F"/>
    <w:rsid w:val="00DA6180"/>
    <w:rsid w:val="00DA698B"/>
    <w:rsid w:val="00DB0635"/>
    <w:rsid w:val="00DB0C6A"/>
    <w:rsid w:val="00DB2611"/>
    <w:rsid w:val="00DB3AFE"/>
    <w:rsid w:val="00DB425A"/>
    <w:rsid w:val="00DB5AD4"/>
    <w:rsid w:val="00DB6234"/>
    <w:rsid w:val="00DB6372"/>
    <w:rsid w:val="00DB6373"/>
    <w:rsid w:val="00DB69AC"/>
    <w:rsid w:val="00DB6BD1"/>
    <w:rsid w:val="00DC119D"/>
    <w:rsid w:val="00DC1EF2"/>
    <w:rsid w:val="00DC2BCB"/>
    <w:rsid w:val="00DC2D67"/>
    <w:rsid w:val="00DC4521"/>
    <w:rsid w:val="00DC5F10"/>
    <w:rsid w:val="00DC6565"/>
    <w:rsid w:val="00DC724A"/>
    <w:rsid w:val="00DD170F"/>
    <w:rsid w:val="00DD29F9"/>
    <w:rsid w:val="00DD2B4E"/>
    <w:rsid w:val="00DD2D8E"/>
    <w:rsid w:val="00DD2DBB"/>
    <w:rsid w:val="00DD3602"/>
    <w:rsid w:val="00DD3D19"/>
    <w:rsid w:val="00DD3F6C"/>
    <w:rsid w:val="00DD4ACE"/>
    <w:rsid w:val="00DD5353"/>
    <w:rsid w:val="00DD5F36"/>
    <w:rsid w:val="00DD632E"/>
    <w:rsid w:val="00DD6B5D"/>
    <w:rsid w:val="00DD72CB"/>
    <w:rsid w:val="00DD7D0C"/>
    <w:rsid w:val="00DE0A9B"/>
    <w:rsid w:val="00DE1FC2"/>
    <w:rsid w:val="00DE20C4"/>
    <w:rsid w:val="00DE21F5"/>
    <w:rsid w:val="00DE22E7"/>
    <w:rsid w:val="00DE2E92"/>
    <w:rsid w:val="00DE3522"/>
    <w:rsid w:val="00DE3E13"/>
    <w:rsid w:val="00DE4553"/>
    <w:rsid w:val="00DE4DC2"/>
    <w:rsid w:val="00DE5BB2"/>
    <w:rsid w:val="00DE67AE"/>
    <w:rsid w:val="00DE737F"/>
    <w:rsid w:val="00DE7943"/>
    <w:rsid w:val="00DE7A7D"/>
    <w:rsid w:val="00DE7CE0"/>
    <w:rsid w:val="00DF084E"/>
    <w:rsid w:val="00DF0AA9"/>
    <w:rsid w:val="00DF0DA6"/>
    <w:rsid w:val="00DF116E"/>
    <w:rsid w:val="00DF128A"/>
    <w:rsid w:val="00DF1953"/>
    <w:rsid w:val="00DF3F3E"/>
    <w:rsid w:val="00DF4020"/>
    <w:rsid w:val="00DF40C0"/>
    <w:rsid w:val="00DF62F5"/>
    <w:rsid w:val="00DF6713"/>
    <w:rsid w:val="00DF6BA3"/>
    <w:rsid w:val="00DF7987"/>
    <w:rsid w:val="00E004D9"/>
    <w:rsid w:val="00E00D7C"/>
    <w:rsid w:val="00E01672"/>
    <w:rsid w:val="00E025F7"/>
    <w:rsid w:val="00E02B34"/>
    <w:rsid w:val="00E036A6"/>
    <w:rsid w:val="00E0374D"/>
    <w:rsid w:val="00E041EF"/>
    <w:rsid w:val="00E046A2"/>
    <w:rsid w:val="00E04BA1"/>
    <w:rsid w:val="00E05434"/>
    <w:rsid w:val="00E05BE2"/>
    <w:rsid w:val="00E05C6E"/>
    <w:rsid w:val="00E0710E"/>
    <w:rsid w:val="00E07937"/>
    <w:rsid w:val="00E100AD"/>
    <w:rsid w:val="00E10944"/>
    <w:rsid w:val="00E10A3F"/>
    <w:rsid w:val="00E11333"/>
    <w:rsid w:val="00E117E4"/>
    <w:rsid w:val="00E11B41"/>
    <w:rsid w:val="00E171A3"/>
    <w:rsid w:val="00E178D4"/>
    <w:rsid w:val="00E222E7"/>
    <w:rsid w:val="00E22D5F"/>
    <w:rsid w:val="00E24EF9"/>
    <w:rsid w:val="00E25FD1"/>
    <w:rsid w:val="00E262B1"/>
    <w:rsid w:val="00E26D0E"/>
    <w:rsid w:val="00E27DF2"/>
    <w:rsid w:val="00E31B0C"/>
    <w:rsid w:val="00E31C60"/>
    <w:rsid w:val="00E342F5"/>
    <w:rsid w:val="00E3495E"/>
    <w:rsid w:val="00E34B78"/>
    <w:rsid w:val="00E34DD0"/>
    <w:rsid w:val="00E34EA7"/>
    <w:rsid w:val="00E355F7"/>
    <w:rsid w:val="00E367FD"/>
    <w:rsid w:val="00E37A56"/>
    <w:rsid w:val="00E4039C"/>
    <w:rsid w:val="00E40DC9"/>
    <w:rsid w:val="00E413F0"/>
    <w:rsid w:val="00E41D7A"/>
    <w:rsid w:val="00E433DF"/>
    <w:rsid w:val="00E43BEF"/>
    <w:rsid w:val="00E43C5F"/>
    <w:rsid w:val="00E44BDE"/>
    <w:rsid w:val="00E46589"/>
    <w:rsid w:val="00E47323"/>
    <w:rsid w:val="00E504BA"/>
    <w:rsid w:val="00E50F76"/>
    <w:rsid w:val="00E51A1F"/>
    <w:rsid w:val="00E52627"/>
    <w:rsid w:val="00E52868"/>
    <w:rsid w:val="00E52925"/>
    <w:rsid w:val="00E53EF0"/>
    <w:rsid w:val="00E54164"/>
    <w:rsid w:val="00E54931"/>
    <w:rsid w:val="00E54A8F"/>
    <w:rsid w:val="00E55DB7"/>
    <w:rsid w:val="00E5673A"/>
    <w:rsid w:val="00E57C7F"/>
    <w:rsid w:val="00E604BA"/>
    <w:rsid w:val="00E609CA"/>
    <w:rsid w:val="00E613B7"/>
    <w:rsid w:val="00E61CB1"/>
    <w:rsid w:val="00E6361C"/>
    <w:rsid w:val="00E65108"/>
    <w:rsid w:val="00E70F2F"/>
    <w:rsid w:val="00E718B1"/>
    <w:rsid w:val="00E71BCD"/>
    <w:rsid w:val="00E7201F"/>
    <w:rsid w:val="00E7319E"/>
    <w:rsid w:val="00E74C18"/>
    <w:rsid w:val="00E750D9"/>
    <w:rsid w:val="00E75229"/>
    <w:rsid w:val="00E779EF"/>
    <w:rsid w:val="00E77BCC"/>
    <w:rsid w:val="00E81E18"/>
    <w:rsid w:val="00E82E39"/>
    <w:rsid w:val="00E8322D"/>
    <w:rsid w:val="00E83A37"/>
    <w:rsid w:val="00E84762"/>
    <w:rsid w:val="00E85033"/>
    <w:rsid w:val="00E857C5"/>
    <w:rsid w:val="00E85904"/>
    <w:rsid w:val="00E85BBA"/>
    <w:rsid w:val="00E874D5"/>
    <w:rsid w:val="00E902C9"/>
    <w:rsid w:val="00E90969"/>
    <w:rsid w:val="00E90DB4"/>
    <w:rsid w:val="00E93024"/>
    <w:rsid w:val="00E9445B"/>
    <w:rsid w:val="00E95172"/>
    <w:rsid w:val="00E96040"/>
    <w:rsid w:val="00E974BA"/>
    <w:rsid w:val="00E97FB2"/>
    <w:rsid w:val="00EA02BF"/>
    <w:rsid w:val="00EA07B4"/>
    <w:rsid w:val="00EA11FE"/>
    <w:rsid w:val="00EA1543"/>
    <w:rsid w:val="00EA173A"/>
    <w:rsid w:val="00EA32AB"/>
    <w:rsid w:val="00EA4403"/>
    <w:rsid w:val="00EA6D0E"/>
    <w:rsid w:val="00EA6EB9"/>
    <w:rsid w:val="00EB0520"/>
    <w:rsid w:val="00EB0629"/>
    <w:rsid w:val="00EB0781"/>
    <w:rsid w:val="00EB2619"/>
    <w:rsid w:val="00EB3B70"/>
    <w:rsid w:val="00EB4F02"/>
    <w:rsid w:val="00EB5144"/>
    <w:rsid w:val="00EB5D26"/>
    <w:rsid w:val="00EB6619"/>
    <w:rsid w:val="00EB755B"/>
    <w:rsid w:val="00EC0E67"/>
    <w:rsid w:val="00EC1198"/>
    <w:rsid w:val="00EC16C9"/>
    <w:rsid w:val="00EC1B45"/>
    <w:rsid w:val="00EC1CC5"/>
    <w:rsid w:val="00EC1D4B"/>
    <w:rsid w:val="00EC23FD"/>
    <w:rsid w:val="00EC27D7"/>
    <w:rsid w:val="00EC3CDD"/>
    <w:rsid w:val="00EC4107"/>
    <w:rsid w:val="00EC68DD"/>
    <w:rsid w:val="00EC6E2D"/>
    <w:rsid w:val="00ED050A"/>
    <w:rsid w:val="00ED09D3"/>
    <w:rsid w:val="00ED0D9E"/>
    <w:rsid w:val="00ED0E73"/>
    <w:rsid w:val="00ED1FA1"/>
    <w:rsid w:val="00ED23C1"/>
    <w:rsid w:val="00ED2E76"/>
    <w:rsid w:val="00ED3014"/>
    <w:rsid w:val="00ED31EA"/>
    <w:rsid w:val="00ED3AB6"/>
    <w:rsid w:val="00ED3B1B"/>
    <w:rsid w:val="00ED3C33"/>
    <w:rsid w:val="00ED64B2"/>
    <w:rsid w:val="00ED7F57"/>
    <w:rsid w:val="00EE0722"/>
    <w:rsid w:val="00EE26C4"/>
    <w:rsid w:val="00EE30D3"/>
    <w:rsid w:val="00EE34A0"/>
    <w:rsid w:val="00EE35BB"/>
    <w:rsid w:val="00EE3854"/>
    <w:rsid w:val="00EE39CE"/>
    <w:rsid w:val="00EE3DD6"/>
    <w:rsid w:val="00EE4EC6"/>
    <w:rsid w:val="00EE5A04"/>
    <w:rsid w:val="00EE6A20"/>
    <w:rsid w:val="00EE7A11"/>
    <w:rsid w:val="00EF0AC0"/>
    <w:rsid w:val="00EF100D"/>
    <w:rsid w:val="00EF13B1"/>
    <w:rsid w:val="00EF16DB"/>
    <w:rsid w:val="00EF1DF4"/>
    <w:rsid w:val="00EF1F6C"/>
    <w:rsid w:val="00EF3C92"/>
    <w:rsid w:val="00EF4AB6"/>
    <w:rsid w:val="00EF653A"/>
    <w:rsid w:val="00EF6666"/>
    <w:rsid w:val="00EF6AC5"/>
    <w:rsid w:val="00EF6C54"/>
    <w:rsid w:val="00EF7805"/>
    <w:rsid w:val="00F005B4"/>
    <w:rsid w:val="00F0103F"/>
    <w:rsid w:val="00F01550"/>
    <w:rsid w:val="00F0175A"/>
    <w:rsid w:val="00F01912"/>
    <w:rsid w:val="00F025BA"/>
    <w:rsid w:val="00F030EA"/>
    <w:rsid w:val="00F03298"/>
    <w:rsid w:val="00F04EF4"/>
    <w:rsid w:val="00F06080"/>
    <w:rsid w:val="00F06A09"/>
    <w:rsid w:val="00F07711"/>
    <w:rsid w:val="00F07B5D"/>
    <w:rsid w:val="00F07BC2"/>
    <w:rsid w:val="00F11E3E"/>
    <w:rsid w:val="00F12DC2"/>
    <w:rsid w:val="00F137B5"/>
    <w:rsid w:val="00F14E3F"/>
    <w:rsid w:val="00F1503A"/>
    <w:rsid w:val="00F15C3B"/>
    <w:rsid w:val="00F17BD1"/>
    <w:rsid w:val="00F17C5F"/>
    <w:rsid w:val="00F20332"/>
    <w:rsid w:val="00F2057A"/>
    <w:rsid w:val="00F2498E"/>
    <w:rsid w:val="00F24FA5"/>
    <w:rsid w:val="00F25621"/>
    <w:rsid w:val="00F27004"/>
    <w:rsid w:val="00F315B0"/>
    <w:rsid w:val="00F31F94"/>
    <w:rsid w:val="00F33A7D"/>
    <w:rsid w:val="00F342FC"/>
    <w:rsid w:val="00F35418"/>
    <w:rsid w:val="00F35B0D"/>
    <w:rsid w:val="00F35E85"/>
    <w:rsid w:val="00F402FF"/>
    <w:rsid w:val="00F40B1F"/>
    <w:rsid w:val="00F40CB5"/>
    <w:rsid w:val="00F415AC"/>
    <w:rsid w:val="00F41C32"/>
    <w:rsid w:val="00F427E5"/>
    <w:rsid w:val="00F43449"/>
    <w:rsid w:val="00F43C61"/>
    <w:rsid w:val="00F43DC9"/>
    <w:rsid w:val="00F47FB5"/>
    <w:rsid w:val="00F5080B"/>
    <w:rsid w:val="00F50C67"/>
    <w:rsid w:val="00F50F97"/>
    <w:rsid w:val="00F521E0"/>
    <w:rsid w:val="00F54227"/>
    <w:rsid w:val="00F60403"/>
    <w:rsid w:val="00F6162F"/>
    <w:rsid w:val="00F63E20"/>
    <w:rsid w:val="00F63EF7"/>
    <w:rsid w:val="00F640E8"/>
    <w:rsid w:val="00F64D88"/>
    <w:rsid w:val="00F651FD"/>
    <w:rsid w:val="00F65587"/>
    <w:rsid w:val="00F65C1D"/>
    <w:rsid w:val="00F70857"/>
    <w:rsid w:val="00F70C61"/>
    <w:rsid w:val="00F70F9B"/>
    <w:rsid w:val="00F710F5"/>
    <w:rsid w:val="00F71768"/>
    <w:rsid w:val="00F71D7D"/>
    <w:rsid w:val="00F72CA7"/>
    <w:rsid w:val="00F73342"/>
    <w:rsid w:val="00F74663"/>
    <w:rsid w:val="00F746A0"/>
    <w:rsid w:val="00F75225"/>
    <w:rsid w:val="00F769D6"/>
    <w:rsid w:val="00F772C0"/>
    <w:rsid w:val="00F77D7B"/>
    <w:rsid w:val="00F77F36"/>
    <w:rsid w:val="00F800A1"/>
    <w:rsid w:val="00F823A7"/>
    <w:rsid w:val="00F835E0"/>
    <w:rsid w:val="00F839DF"/>
    <w:rsid w:val="00F842F5"/>
    <w:rsid w:val="00F8440A"/>
    <w:rsid w:val="00F85CB7"/>
    <w:rsid w:val="00F8648F"/>
    <w:rsid w:val="00F86AD6"/>
    <w:rsid w:val="00F86F04"/>
    <w:rsid w:val="00F92775"/>
    <w:rsid w:val="00F9281A"/>
    <w:rsid w:val="00F933BB"/>
    <w:rsid w:val="00F93438"/>
    <w:rsid w:val="00F942CC"/>
    <w:rsid w:val="00F944C0"/>
    <w:rsid w:val="00F9670B"/>
    <w:rsid w:val="00F96C4D"/>
    <w:rsid w:val="00F96C84"/>
    <w:rsid w:val="00F9761F"/>
    <w:rsid w:val="00F978BD"/>
    <w:rsid w:val="00FA046B"/>
    <w:rsid w:val="00FA1E54"/>
    <w:rsid w:val="00FA22D8"/>
    <w:rsid w:val="00FA2FF5"/>
    <w:rsid w:val="00FA3FDD"/>
    <w:rsid w:val="00FA49A9"/>
    <w:rsid w:val="00FA5F9C"/>
    <w:rsid w:val="00FA6A0A"/>
    <w:rsid w:val="00FB0274"/>
    <w:rsid w:val="00FB09A7"/>
    <w:rsid w:val="00FB0C14"/>
    <w:rsid w:val="00FB1C38"/>
    <w:rsid w:val="00FB2501"/>
    <w:rsid w:val="00FB5D14"/>
    <w:rsid w:val="00FB68D0"/>
    <w:rsid w:val="00FB7685"/>
    <w:rsid w:val="00FB77B7"/>
    <w:rsid w:val="00FB7A5F"/>
    <w:rsid w:val="00FB7CB3"/>
    <w:rsid w:val="00FC0E62"/>
    <w:rsid w:val="00FC1394"/>
    <w:rsid w:val="00FC256A"/>
    <w:rsid w:val="00FC268C"/>
    <w:rsid w:val="00FC26CA"/>
    <w:rsid w:val="00FC2F9E"/>
    <w:rsid w:val="00FC4B2C"/>
    <w:rsid w:val="00FC50A5"/>
    <w:rsid w:val="00FC63D3"/>
    <w:rsid w:val="00FC7234"/>
    <w:rsid w:val="00FC7599"/>
    <w:rsid w:val="00FC7A2F"/>
    <w:rsid w:val="00FC7F62"/>
    <w:rsid w:val="00FC7FB4"/>
    <w:rsid w:val="00FD018A"/>
    <w:rsid w:val="00FD0663"/>
    <w:rsid w:val="00FD0D65"/>
    <w:rsid w:val="00FD1FC6"/>
    <w:rsid w:val="00FD3666"/>
    <w:rsid w:val="00FD4008"/>
    <w:rsid w:val="00FD4624"/>
    <w:rsid w:val="00FD49C2"/>
    <w:rsid w:val="00FD4CAD"/>
    <w:rsid w:val="00FD589C"/>
    <w:rsid w:val="00FD5A00"/>
    <w:rsid w:val="00FD5CE6"/>
    <w:rsid w:val="00FD79B9"/>
    <w:rsid w:val="00FE0DF6"/>
    <w:rsid w:val="00FE1282"/>
    <w:rsid w:val="00FE1914"/>
    <w:rsid w:val="00FE1C8D"/>
    <w:rsid w:val="00FE35E1"/>
    <w:rsid w:val="00FE3A0E"/>
    <w:rsid w:val="00FE5213"/>
    <w:rsid w:val="00FE6160"/>
    <w:rsid w:val="00FE6599"/>
    <w:rsid w:val="00FF01D1"/>
    <w:rsid w:val="00FF021B"/>
    <w:rsid w:val="00FF0B18"/>
    <w:rsid w:val="00FF0F3E"/>
    <w:rsid w:val="00FF1063"/>
    <w:rsid w:val="00FF175B"/>
    <w:rsid w:val="00FF1D0E"/>
    <w:rsid w:val="00FF2345"/>
    <w:rsid w:val="00FF2D56"/>
    <w:rsid w:val="00FF2E31"/>
    <w:rsid w:val="00FF333B"/>
    <w:rsid w:val="00FF37E0"/>
    <w:rsid w:val="00FF38B9"/>
    <w:rsid w:val="00FF3FA5"/>
    <w:rsid w:val="00FF6147"/>
    <w:rsid w:val="00FF63F9"/>
    <w:rsid w:val="00FF6876"/>
    <w:rsid w:val="00FF6CE1"/>
    <w:rsid w:val="00FF6CEA"/>
    <w:rsid w:val="00FF6EAE"/>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Normal"/>
    <w:next w:val="Normal"/>
    <w:link w:val="Heading1Char"/>
    <w:qFormat/>
    <w:rsid w:val="003F152A"/>
    <w:pPr>
      <w:keepNext/>
      <w:keepLines/>
      <w:spacing w:before="240" w:after="360"/>
      <w:ind w:left="720" w:right="720"/>
      <w:jc w:val="center"/>
      <w:outlineLvl w:val="0"/>
    </w:pPr>
    <w:rPr>
      <w:b/>
      <w:szCs w:val="20"/>
      <w:lang w:eastAsia="zh-CN"/>
    </w:rPr>
  </w:style>
  <w:style w:type="paragraph" w:styleId="Heading2">
    <w:name w:val="heading 2"/>
    <w:aliases w:val="h2"/>
    <w:basedOn w:val="Heading1"/>
    <w:next w:val="Normal"/>
    <w:link w:val="Heading2Char"/>
    <w:qFormat/>
    <w:rsid w:val="00CC32D9"/>
    <w:pPr>
      <w:spacing w:before="360"/>
      <w:ind w:hanging="720"/>
      <w:jc w:val="left"/>
      <w:outlineLvl w:val="1"/>
    </w:pPr>
    <w:rPr>
      <w:rFonts w:ascii="Times New Roman Bold" w:eastAsia="SimSun" w:hAnsi="Times New Roman Bold"/>
      <w:bCs/>
      <w:snapToGrid w:val="0"/>
      <w:szCs w:val="24"/>
      <w:u w:val="single"/>
    </w:rPr>
  </w:style>
  <w:style w:type="paragraph" w:styleId="Heading3">
    <w:name w:val="heading 3"/>
    <w:aliases w:val="h3"/>
    <w:basedOn w:val="Heading2"/>
    <w:next w:val="Normal"/>
    <w:link w:val="Heading3Char"/>
    <w:qFormat/>
    <w:pPr>
      <w:spacing w:before="12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3F152A"/>
    <w:rPr>
      <w:rFonts w:ascii="Times New Roman" w:hAnsi="Times New Roman"/>
      <w:b/>
      <w:noProof w:val="0"/>
      <w:sz w:val="24"/>
      <w:lang w:val="en-US" w:eastAsia="zh-CN" w:bidi="ar-SA"/>
    </w:rPr>
  </w:style>
  <w:style w:type="character" w:customStyle="1" w:styleId="Heading2Char">
    <w:name w:val="Heading 2 Char"/>
    <w:aliases w:val="h2 Char"/>
    <w:basedOn w:val="Heading1Char"/>
    <w:link w:val="Heading2"/>
    <w:rsid w:val="00CC32D9"/>
    <w:rPr>
      <w:rFonts w:ascii="Times New Roman Bold" w:eastAsia="SimSun" w:hAnsi="Times New Roman Bold"/>
      <w:b/>
      <w:bCs/>
      <w:noProof w:val="0"/>
      <w:snapToGrid w:val="0"/>
      <w:sz w:val="24"/>
      <w:szCs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Normal"/>
    <w:next w:val="Normal"/>
    <w:link w:val="Heading1Char"/>
    <w:qFormat/>
    <w:rsid w:val="003F152A"/>
    <w:pPr>
      <w:keepNext/>
      <w:keepLines/>
      <w:spacing w:before="240" w:after="360"/>
      <w:ind w:left="720" w:right="720"/>
      <w:jc w:val="center"/>
      <w:outlineLvl w:val="0"/>
    </w:pPr>
    <w:rPr>
      <w:b/>
      <w:szCs w:val="20"/>
      <w:lang w:eastAsia="zh-CN"/>
    </w:rPr>
  </w:style>
  <w:style w:type="paragraph" w:styleId="Heading2">
    <w:name w:val="heading 2"/>
    <w:aliases w:val="h2"/>
    <w:basedOn w:val="Heading1"/>
    <w:next w:val="Normal"/>
    <w:link w:val="Heading2Char"/>
    <w:qFormat/>
    <w:rsid w:val="00CC32D9"/>
    <w:pPr>
      <w:spacing w:before="360"/>
      <w:ind w:hanging="720"/>
      <w:jc w:val="left"/>
      <w:outlineLvl w:val="1"/>
    </w:pPr>
    <w:rPr>
      <w:rFonts w:ascii="Times New Roman Bold" w:eastAsia="SimSun" w:hAnsi="Times New Roman Bold"/>
      <w:bCs/>
      <w:snapToGrid w:val="0"/>
      <w:szCs w:val="24"/>
      <w:u w:val="single"/>
    </w:rPr>
  </w:style>
  <w:style w:type="paragraph" w:styleId="Heading3">
    <w:name w:val="heading 3"/>
    <w:aliases w:val="h3"/>
    <w:basedOn w:val="Heading2"/>
    <w:next w:val="Normal"/>
    <w:link w:val="Heading3Char"/>
    <w:qFormat/>
    <w:pPr>
      <w:spacing w:before="12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3F152A"/>
    <w:rPr>
      <w:rFonts w:ascii="Times New Roman" w:hAnsi="Times New Roman"/>
      <w:b/>
      <w:noProof w:val="0"/>
      <w:sz w:val="24"/>
      <w:lang w:val="en-US" w:eastAsia="zh-CN" w:bidi="ar-SA"/>
    </w:rPr>
  </w:style>
  <w:style w:type="character" w:customStyle="1" w:styleId="Heading2Char">
    <w:name w:val="Heading 2 Char"/>
    <w:aliases w:val="h2 Char"/>
    <w:basedOn w:val="Heading1Char"/>
    <w:link w:val="Heading2"/>
    <w:rsid w:val="00CC32D9"/>
    <w:rPr>
      <w:rFonts w:ascii="Times New Roman Bold" w:eastAsia="SimSun" w:hAnsi="Times New Roman Bold"/>
      <w:b/>
      <w:bCs/>
      <w:noProof w:val="0"/>
      <w:snapToGrid w:val="0"/>
      <w:sz w:val="24"/>
      <w:szCs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19936145">
      <w:bodyDiv w:val="1"/>
      <w:marLeft w:val="0"/>
      <w:marRight w:val="0"/>
      <w:marTop w:val="0"/>
      <w:marBottom w:val="0"/>
      <w:divBdr>
        <w:top w:val="none" w:sz="0" w:space="0" w:color="auto"/>
        <w:left w:val="none" w:sz="0" w:space="0" w:color="auto"/>
        <w:bottom w:val="none" w:sz="0" w:space="0" w:color="auto"/>
        <w:right w:val="none" w:sz="0" w:space="0" w:color="auto"/>
      </w:divBdr>
    </w:div>
    <w:div w:id="43021037">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59640952">
      <w:bodyDiv w:val="1"/>
      <w:marLeft w:val="0"/>
      <w:marRight w:val="0"/>
      <w:marTop w:val="0"/>
      <w:marBottom w:val="0"/>
      <w:divBdr>
        <w:top w:val="none" w:sz="0" w:space="0" w:color="auto"/>
        <w:left w:val="none" w:sz="0" w:space="0" w:color="auto"/>
        <w:bottom w:val="none" w:sz="0" w:space="0" w:color="auto"/>
        <w:right w:val="none" w:sz="0" w:space="0" w:color="auto"/>
      </w:divBdr>
    </w:div>
    <w:div w:id="90048986">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298343026">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478036755">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86444150">
      <w:bodyDiv w:val="1"/>
      <w:marLeft w:val="0"/>
      <w:marRight w:val="0"/>
      <w:marTop w:val="0"/>
      <w:marBottom w:val="0"/>
      <w:divBdr>
        <w:top w:val="none" w:sz="0" w:space="0" w:color="auto"/>
        <w:left w:val="none" w:sz="0" w:space="0" w:color="auto"/>
        <w:bottom w:val="none" w:sz="0" w:space="0" w:color="auto"/>
        <w:right w:val="none" w:sz="0" w:space="0" w:color="auto"/>
      </w:divBdr>
    </w:div>
    <w:div w:id="742728084">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798111169">
      <w:bodyDiv w:val="1"/>
      <w:marLeft w:val="0"/>
      <w:marRight w:val="0"/>
      <w:marTop w:val="0"/>
      <w:marBottom w:val="0"/>
      <w:divBdr>
        <w:top w:val="none" w:sz="0" w:space="0" w:color="auto"/>
        <w:left w:val="none" w:sz="0" w:space="0" w:color="auto"/>
        <w:bottom w:val="none" w:sz="0" w:space="0" w:color="auto"/>
        <w:right w:val="none" w:sz="0" w:space="0" w:color="auto"/>
      </w:divBdr>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9002027">
      <w:bodyDiv w:val="1"/>
      <w:marLeft w:val="0"/>
      <w:marRight w:val="0"/>
      <w:marTop w:val="0"/>
      <w:marBottom w:val="0"/>
      <w:divBdr>
        <w:top w:val="none" w:sz="0" w:space="0" w:color="auto"/>
        <w:left w:val="none" w:sz="0" w:space="0" w:color="auto"/>
        <w:bottom w:val="none" w:sz="0" w:space="0" w:color="auto"/>
        <w:right w:val="none" w:sz="0" w:space="0" w:color="auto"/>
      </w:divBdr>
    </w:div>
    <w:div w:id="863858228">
      <w:bodyDiv w:val="1"/>
      <w:marLeft w:val="0"/>
      <w:marRight w:val="0"/>
      <w:marTop w:val="0"/>
      <w:marBottom w:val="0"/>
      <w:divBdr>
        <w:top w:val="none" w:sz="0" w:space="0" w:color="auto"/>
        <w:left w:val="none" w:sz="0" w:space="0" w:color="auto"/>
        <w:bottom w:val="none" w:sz="0" w:space="0" w:color="auto"/>
        <w:right w:val="none" w:sz="0" w:space="0" w:color="auto"/>
      </w:divBdr>
    </w:div>
    <w:div w:id="871766974">
      <w:bodyDiv w:val="1"/>
      <w:marLeft w:val="0"/>
      <w:marRight w:val="0"/>
      <w:marTop w:val="0"/>
      <w:marBottom w:val="0"/>
      <w:divBdr>
        <w:top w:val="none" w:sz="0" w:space="0" w:color="auto"/>
        <w:left w:val="none" w:sz="0" w:space="0" w:color="auto"/>
        <w:bottom w:val="none" w:sz="0" w:space="0" w:color="auto"/>
        <w:right w:val="none" w:sz="0" w:space="0" w:color="auto"/>
      </w:divBdr>
    </w:div>
    <w:div w:id="932057317">
      <w:bodyDiv w:val="1"/>
      <w:marLeft w:val="0"/>
      <w:marRight w:val="0"/>
      <w:marTop w:val="0"/>
      <w:marBottom w:val="0"/>
      <w:divBdr>
        <w:top w:val="none" w:sz="0" w:space="0" w:color="auto"/>
        <w:left w:val="none" w:sz="0" w:space="0" w:color="auto"/>
        <w:bottom w:val="none" w:sz="0" w:space="0" w:color="auto"/>
        <w:right w:val="none" w:sz="0" w:space="0" w:color="auto"/>
      </w:divBdr>
    </w:div>
    <w:div w:id="934434630">
      <w:bodyDiv w:val="1"/>
      <w:marLeft w:val="0"/>
      <w:marRight w:val="0"/>
      <w:marTop w:val="0"/>
      <w:marBottom w:val="0"/>
      <w:divBdr>
        <w:top w:val="none" w:sz="0" w:space="0" w:color="auto"/>
        <w:left w:val="none" w:sz="0" w:space="0" w:color="auto"/>
        <w:bottom w:val="none" w:sz="0" w:space="0" w:color="auto"/>
        <w:right w:val="none" w:sz="0" w:space="0" w:color="auto"/>
      </w:divBdr>
    </w:div>
    <w:div w:id="937104642">
      <w:bodyDiv w:val="1"/>
      <w:marLeft w:val="0"/>
      <w:marRight w:val="0"/>
      <w:marTop w:val="0"/>
      <w:marBottom w:val="0"/>
      <w:divBdr>
        <w:top w:val="none" w:sz="0" w:space="0" w:color="auto"/>
        <w:left w:val="none" w:sz="0" w:space="0" w:color="auto"/>
        <w:bottom w:val="none" w:sz="0" w:space="0" w:color="auto"/>
        <w:right w:val="none" w:sz="0" w:space="0" w:color="auto"/>
      </w:divBdr>
    </w:div>
    <w:div w:id="985285200">
      <w:bodyDiv w:val="1"/>
      <w:marLeft w:val="0"/>
      <w:marRight w:val="0"/>
      <w:marTop w:val="0"/>
      <w:marBottom w:val="0"/>
      <w:divBdr>
        <w:top w:val="none" w:sz="0" w:space="0" w:color="auto"/>
        <w:left w:val="none" w:sz="0" w:space="0" w:color="auto"/>
        <w:bottom w:val="none" w:sz="0" w:space="0" w:color="auto"/>
        <w:right w:val="none" w:sz="0" w:space="0" w:color="auto"/>
      </w:divBdr>
    </w:div>
    <w:div w:id="1004161511">
      <w:bodyDiv w:val="1"/>
      <w:marLeft w:val="0"/>
      <w:marRight w:val="0"/>
      <w:marTop w:val="0"/>
      <w:marBottom w:val="0"/>
      <w:divBdr>
        <w:top w:val="none" w:sz="0" w:space="0" w:color="auto"/>
        <w:left w:val="none" w:sz="0" w:space="0" w:color="auto"/>
        <w:bottom w:val="none" w:sz="0" w:space="0" w:color="auto"/>
        <w:right w:val="none" w:sz="0" w:space="0" w:color="auto"/>
      </w:divBdr>
    </w:div>
    <w:div w:id="1005324974">
      <w:bodyDiv w:val="1"/>
      <w:marLeft w:val="0"/>
      <w:marRight w:val="0"/>
      <w:marTop w:val="0"/>
      <w:marBottom w:val="0"/>
      <w:divBdr>
        <w:top w:val="none" w:sz="0" w:space="0" w:color="auto"/>
        <w:left w:val="none" w:sz="0" w:space="0" w:color="auto"/>
        <w:bottom w:val="none" w:sz="0" w:space="0" w:color="auto"/>
        <w:right w:val="none" w:sz="0" w:space="0" w:color="auto"/>
      </w:divBdr>
    </w:div>
    <w:div w:id="1035303075">
      <w:bodyDiv w:val="1"/>
      <w:marLeft w:val="0"/>
      <w:marRight w:val="0"/>
      <w:marTop w:val="0"/>
      <w:marBottom w:val="0"/>
      <w:divBdr>
        <w:top w:val="none" w:sz="0" w:space="0" w:color="auto"/>
        <w:left w:val="none" w:sz="0" w:space="0" w:color="auto"/>
        <w:bottom w:val="none" w:sz="0" w:space="0" w:color="auto"/>
        <w:right w:val="none" w:sz="0" w:space="0" w:color="auto"/>
      </w:divBdr>
    </w:div>
    <w:div w:id="1036125715">
      <w:bodyDiv w:val="1"/>
      <w:marLeft w:val="0"/>
      <w:marRight w:val="0"/>
      <w:marTop w:val="0"/>
      <w:marBottom w:val="0"/>
      <w:divBdr>
        <w:top w:val="none" w:sz="0" w:space="0" w:color="auto"/>
        <w:left w:val="none" w:sz="0" w:space="0" w:color="auto"/>
        <w:bottom w:val="none" w:sz="0" w:space="0" w:color="auto"/>
        <w:right w:val="none" w:sz="0" w:space="0" w:color="auto"/>
      </w:divBdr>
    </w:div>
    <w:div w:id="1076900003">
      <w:bodyDiv w:val="1"/>
      <w:marLeft w:val="0"/>
      <w:marRight w:val="0"/>
      <w:marTop w:val="0"/>
      <w:marBottom w:val="0"/>
      <w:divBdr>
        <w:top w:val="none" w:sz="0" w:space="0" w:color="auto"/>
        <w:left w:val="none" w:sz="0" w:space="0" w:color="auto"/>
        <w:bottom w:val="none" w:sz="0" w:space="0" w:color="auto"/>
        <w:right w:val="none" w:sz="0" w:space="0" w:color="auto"/>
      </w:divBdr>
    </w:div>
    <w:div w:id="1125541670">
      <w:bodyDiv w:val="1"/>
      <w:marLeft w:val="0"/>
      <w:marRight w:val="0"/>
      <w:marTop w:val="0"/>
      <w:marBottom w:val="0"/>
      <w:divBdr>
        <w:top w:val="none" w:sz="0" w:space="0" w:color="auto"/>
        <w:left w:val="none" w:sz="0" w:space="0" w:color="auto"/>
        <w:bottom w:val="none" w:sz="0" w:space="0" w:color="auto"/>
        <w:right w:val="none" w:sz="0" w:space="0" w:color="auto"/>
      </w:divBdr>
    </w:div>
    <w:div w:id="1126463005">
      <w:bodyDiv w:val="1"/>
      <w:marLeft w:val="0"/>
      <w:marRight w:val="0"/>
      <w:marTop w:val="0"/>
      <w:marBottom w:val="0"/>
      <w:divBdr>
        <w:top w:val="none" w:sz="0" w:space="0" w:color="auto"/>
        <w:left w:val="none" w:sz="0" w:space="0" w:color="auto"/>
        <w:bottom w:val="none" w:sz="0" w:space="0" w:color="auto"/>
        <w:right w:val="none" w:sz="0" w:space="0" w:color="auto"/>
      </w:divBdr>
    </w:div>
    <w:div w:id="1222860127">
      <w:bodyDiv w:val="1"/>
      <w:marLeft w:val="0"/>
      <w:marRight w:val="0"/>
      <w:marTop w:val="0"/>
      <w:marBottom w:val="0"/>
      <w:divBdr>
        <w:top w:val="none" w:sz="0" w:space="0" w:color="auto"/>
        <w:left w:val="none" w:sz="0" w:space="0" w:color="auto"/>
        <w:bottom w:val="none" w:sz="0" w:space="0" w:color="auto"/>
        <w:right w:val="none" w:sz="0" w:space="0" w:color="auto"/>
      </w:divBdr>
    </w:div>
    <w:div w:id="1240095188">
      <w:bodyDiv w:val="1"/>
      <w:marLeft w:val="0"/>
      <w:marRight w:val="0"/>
      <w:marTop w:val="0"/>
      <w:marBottom w:val="0"/>
      <w:divBdr>
        <w:top w:val="none" w:sz="0" w:space="0" w:color="auto"/>
        <w:left w:val="none" w:sz="0" w:space="0" w:color="auto"/>
        <w:bottom w:val="none" w:sz="0" w:space="0" w:color="auto"/>
        <w:right w:val="none" w:sz="0" w:space="0" w:color="auto"/>
      </w:divBdr>
    </w:div>
    <w:div w:id="1323662344">
      <w:bodyDiv w:val="1"/>
      <w:marLeft w:val="0"/>
      <w:marRight w:val="0"/>
      <w:marTop w:val="0"/>
      <w:marBottom w:val="0"/>
      <w:divBdr>
        <w:top w:val="none" w:sz="0" w:space="0" w:color="auto"/>
        <w:left w:val="none" w:sz="0" w:space="0" w:color="auto"/>
        <w:bottom w:val="none" w:sz="0" w:space="0" w:color="auto"/>
        <w:right w:val="none" w:sz="0" w:space="0" w:color="auto"/>
      </w:divBdr>
    </w:div>
    <w:div w:id="1476140068">
      <w:bodyDiv w:val="1"/>
      <w:marLeft w:val="0"/>
      <w:marRight w:val="0"/>
      <w:marTop w:val="0"/>
      <w:marBottom w:val="0"/>
      <w:divBdr>
        <w:top w:val="none" w:sz="0" w:space="0" w:color="auto"/>
        <w:left w:val="none" w:sz="0" w:space="0" w:color="auto"/>
        <w:bottom w:val="none" w:sz="0" w:space="0" w:color="auto"/>
        <w:right w:val="none" w:sz="0" w:space="0" w:color="auto"/>
      </w:divBdr>
    </w:div>
    <w:div w:id="1509177774">
      <w:bodyDiv w:val="1"/>
      <w:marLeft w:val="0"/>
      <w:marRight w:val="0"/>
      <w:marTop w:val="0"/>
      <w:marBottom w:val="0"/>
      <w:divBdr>
        <w:top w:val="none" w:sz="0" w:space="0" w:color="auto"/>
        <w:left w:val="none" w:sz="0" w:space="0" w:color="auto"/>
        <w:bottom w:val="none" w:sz="0" w:space="0" w:color="auto"/>
        <w:right w:val="none" w:sz="0" w:space="0" w:color="auto"/>
      </w:divBdr>
    </w:div>
    <w:div w:id="1516069676">
      <w:bodyDiv w:val="1"/>
      <w:marLeft w:val="0"/>
      <w:marRight w:val="0"/>
      <w:marTop w:val="0"/>
      <w:marBottom w:val="0"/>
      <w:divBdr>
        <w:top w:val="none" w:sz="0" w:space="0" w:color="auto"/>
        <w:left w:val="none" w:sz="0" w:space="0" w:color="auto"/>
        <w:bottom w:val="none" w:sz="0" w:space="0" w:color="auto"/>
        <w:right w:val="none" w:sz="0" w:space="0" w:color="auto"/>
      </w:divBdr>
    </w:div>
    <w:div w:id="1520966651">
      <w:bodyDiv w:val="1"/>
      <w:marLeft w:val="0"/>
      <w:marRight w:val="0"/>
      <w:marTop w:val="0"/>
      <w:marBottom w:val="0"/>
      <w:divBdr>
        <w:top w:val="none" w:sz="0" w:space="0" w:color="auto"/>
        <w:left w:val="none" w:sz="0" w:space="0" w:color="auto"/>
        <w:bottom w:val="none" w:sz="0" w:space="0" w:color="auto"/>
        <w:right w:val="none" w:sz="0" w:space="0" w:color="auto"/>
      </w:divBdr>
    </w:div>
    <w:div w:id="1569613129">
      <w:bodyDiv w:val="1"/>
      <w:marLeft w:val="0"/>
      <w:marRight w:val="0"/>
      <w:marTop w:val="0"/>
      <w:marBottom w:val="0"/>
      <w:divBdr>
        <w:top w:val="none" w:sz="0" w:space="0" w:color="auto"/>
        <w:left w:val="none" w:sz="0" w:space="0" w:color="auto"/>
        <w:bottom w:val="none" w:sz="0" w:space="0" w:color="auto"/>
        <w:right w:val="none" w:sz="0" w:space="0" w:color="auto"/>
      </w:divBdr>
    </w:div>
    <w:div w:id="1615554084">
      <w:bodyDiv w:val="1"/>
      <w:marLeft w:val="0"/>
      <w:marRight w:val="0"/>
      <w:marTop w:val="0"/>
      <w:marBottom w:val="0"/>
      <w:divBdr>
        <w:top w:val="none" w:sz="0" w:space="0" w:color="auto"/>
        <w:left w:val="none" w:sz="0" w:space="0" w:color="auto"/>
        <w:bottom w:val="none" w:sz="0" w:space="0" w:color="auto"/>
        <w:right w:val="none" w:sz="0" w:space="0" w:color="auto"/>
      </w:divBdr>
    </w:div>
    <w:div w:id="1630623514">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682393871">
      <w:bodyDiv w:val="1"/>
      <w:marLeft w:val="0"/>
      <w:marRight w:val="0"/>
      <w:marTop w:val="0"/>
      <w:marBottom w:val="0"/>
      <w:divBdr>
        <w:top w:val="none" w:sz="0" w:space="0" w:color="auto"/>
        <w:left w:val="none" w:sz="0" w:space="0" w:color="auto"/>
        <w:bottom w:val="none" w:sz="0" w:space="0" w:color="auto"/>
        <w:right w:val="none" w:sz="0" w:space="0" w:color="auto"/>
      </w:divBdr>
    </w:div>
    <w:div w:id="1702628969">
      <w:bodyDiv w:val="1"/>
      <w:marLeft w:val="0"/>
      <w:marRight w:val="0"/>
      <w:marTop w:val="0"/>
      <w:marBottom w:val="0"/>
      <w:divBdr>
        <w:top w:val="none" w:sz="0" w:space="0" w:color="auto"/>
        <w:left w:val="none" w:sz="0" w:space="0" w:color="auto"/>
        <w:bottom w:val="none" w:sz="0" w:space="0" w:color="auto"/>
        <w:right w:val="none" w:sz="0" w:space="0" w:color="auto"/>
      </w:divBdr>
    </w:div>
    <w:div w:id="1729841718">
      <w:bodyDiv w:val="1"/>
      <w:marLeft w:val="0"/>
      <w:marRight w:val="0"/>
      <w:marTop w:val="0"/>
      <w:marBottom w:val="0"/>
      <w:divBdr>
        <w:top w:val="none" w:sz="0" w:space="0" w:color="auto"/>
        <w:left w:val="none" w:sz="0" w:space="0" w:color="auto"/>
        <w:bottom w:val="none" w:sz="0" w:space="0" w:color="auto"/>
        <w:right w:val="none" w:sz="0" w:space="0" w:color="auto"/>
      </w:divBdr>
    </w:div>
    <w:div w:id="1771968879">
      <w:bodyDiv w:val="1"/>
      <w:marLeft w:val="0"/>
      <w:marRight w:val="0"/>
      <w:marTop w:val="0"/>
      <w:marBottom w:val="0"/>
      <w:divBdr>
        <w:top w:val="none" w:sz="0" w:space="0" w:color="auto"/>
        <w:left w:val="none" w:sz="0" w:space="0" w:color="auto"/>
        <w:bottom w:val="none" w:sz="0" w:space="0" w:color="auto"/>
        <w:right w:val="none" w:sz="0" w:space="0" w:color="auto"/>
      </w:divBdr>
    </w:div>
    <w:div w:id="1831827105">
      <w:bodyDiv w:val="1"/>
      <w:marLeft w:val="0"/>
      <w:marRight w:val="0"/>
      <w:marTop w:val="0"/>
      <w:marBottom w:val="0"/>
      <w:divBdr>
        <w:top w:val="none" w:sz="0" w:space="0" w:color="auto"/>
        <w:left w:val="none" w:sz="0" w:space="0" w:color="auto"/>
        <w:bottom w:val="none" w:sz="0" w:space="0" w:color="auto"/>
        <w:right w:val="none" w:sz="0" w:space="0" w:color="auto"/>
      </w:divBdr>
    </w:div>
    <w:div w:id="1902668172">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 w:id="1976331850">
      <w:bodyDiv w:val="1"/>
      <w:marLeft w:val="0"/>
      <w:marRight w:val="0"/>
      <w:marTop w:val="0"/>
      <w:marBottom w:val="0"/>
      <w:divBdr>
        <w:top w:val="none" w:sz="0" w:space="0" w:color="auto"/>
        <w:left w:val="none" w:sz="0" w:space="0" w:color="auto"/>
        <w:bottom w:val="none" w:sz="0" w:space="0" w:color="auto"/>
        <w:right w:val="none" w:sz="0" w:space="0" w:color="auto"/>
      </w:divBdr>
    </w:div>
    <w:div w:id="20965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styles" Target="styles.xml" />
  <Relationship Id="rId13" Type="http://schemas.openxmlformats.org/officeDocument/2006/relationships/endnotes" Target="endnotes.xml" />
  <Relationship Id="rId18" Type="http://schemas.openxmlformats.org/officeDocument/2006/relationships/footer" Target="footer3.xml" />
  <Relationship Id="rId3" Type="http://schemas.openxmlformats.org/officeDocument/2006/relationships/customXml" Target="../customXml/item3.xml" />
  <Relationship Id="rId21" Type="http://schemas.openxmlformats.org/officeDocument/2006/relationships/theme" Target="theme/theme1.xml" />
  <Relationship Id="rId7" Type="http://schemas.openxmlformats.org/officeDocument/2006/relationships/numbering" Target="numbering.xml" />
  <Relationship Id="rId12" Type="http://schemas.openxmlformats.org/officeDocument/2006/relationships/footnotes" Target="footnotes.xml" />
  <Relationship Id="rId17" Type="http://schemas.openxmlformats.org/officeDocument/2006/relationships/footer" Target="footer2.xml" />
  <Relationship Id="rId2" Type="http://schemas.openxmlformats.org/officeDocument/2006/relationships/customXml" Target="../customXml/item2.xml" />
  <Relationship Id="rId16" Type="http://schemas.openxmlformats.org/officeDocument/2006/relationships/footer" Target="footer1.xml" />
  <Relationship Id="rId20"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customXml" Target="../customXml/item6.xml" />
  <Relationship Id="rId11" Type="http://schemas.openxmlformats.org/officeDocument/2006/relationships/webSettings" Target="webSettings.xml" />
  <Relationship Id="rId5" Type="http://schemas.openxmlformats.org/officeDocument/2006/relationships/customXml" Target="../customXml/item5.xml" />
  <Relationship Id="rId15" Type="http://schemas.openxmlformats.org/officeDocument/2006/relationships/header" Target="header2.xml" />
  <Relationship Id="rId10" Type="http://schemas.openxmlformats.org/officeDocument/2006/relationships/settings" Target="settings.xml" />
  <Relationship Id="rId19" Type="http://schemas.openxmlformats.org/officeDocument/2006/relationships/footer" Target="footer4.xml" />
  <Relationship Id="rId4" Type="http://schemas.openxmlformats.org/officeDocument/2006/relationships/customXml" Target="../customXml/item4.xml" />
  <Relationship Id="rId9" Type="http://schemas.microsoft.com/office/2007/relationships/stylesWithEffects" Target="stylesWithEffects.xml" />
  <Relationship Id="rId14"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_rels/item6.xml.rels>&#65279;<?xml version="1.0" encoding="UTF-8" standalone="yes"?>
<Relationships xmlns="http://schemas.openxmlformats.org/package/2006/relationships">
  <Relationship Id="rId1" Type="http://schemas.openxmlformats.org/officeDocument/2006/relationships/customXmlProps" Target="itemProps6.xml" />
</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2015-08-11T07:00:00+00:00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81466-367C-4BFE-BD8A-F46EBCB7F2A1}"/>
</file>

<file path=customXml/itemProps2.xml><?xml version="1.0" encoding="utf-8"?>
<ds:datastoreItem xmlns:ds="http://schemas.openxmlformats.org/officeDocument/2006/customXml" ds:itemID="{2D015D2B-CF7F-4C13-AD3A-99BC4F933A23}"/>
</file>

<file path=customXml/itemProps3.xml><?xml version="1.0" encoding="utf-8"?>
<ds:datastoreItem xmlns:ds="http://schemas.openxmlformats.org/officeDocument/2006/customXml" ds:itemID="{FA837CE5-5DF8-4534-9781-75DDCFC910EA}"/>
</file>

<file path=customXml/itemProps4.xml><?xml version="1.0" encoding="utf-8"?>
<ds:datastoreItem xmlns:ds="http://schemas.openxmlformats.org/officeDocument/2006/customXml" ds:itemID="{BC04D9AA-5EE4-455D-B424-22AA29620063}"/>
</file>

<file path=customXml/itemProps5.xml><?xml version="1.0" encoding="utf-8"?>
<ds:datastoreItem xmlns:ds="http://schemas.openxmlformats.org/officeDocument/2006/customXml" ds:itemID="{A605E504-B992-4035-9702-B2C6B64CCC40}"/>
</file>

<file path=customXml/itemProps6.xml><?xml version="1.0" encoding="utf-8"?>
<ds:datastoreItem xmlns:ds="http://schemas.openxmlformats.org/officeDocument/2006/customXml" ds:itemID="{5B762D8C-0D3B-4B36-AF3B-72060BA4EA6B}"/>
</file>

<file path=docProps/app.xml><?xml version="1.0" encoding="utf-8"?>
<Properties xmlns="http://schemas.openxmlformats.org/officeDocument/2006/extended-properties" xmlns:vt="http://schemas.openxmlformats.org/officeDocument/2006/docPropsVTypes">
  <Template>Normal.dotm</Template>
  <TotalTime>21</TotalTime>
  <Pages>5</Pages>
  <Words>4698</Words>
  <Characters>26783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31419</CharactersWithSpaces>
  <SharedDoc>false</SharedDoc>
  <HyperlinkBase/>
  <HLinks>
    <vt:vector size="48" baseType="variant">
      <vt:variant>
        <vt:i4>1310779</vt:i4>
      </vt:variant>
      <vt:variant>
        <vt:i4>44</vt:i4>
      </vt:variant>
      <vt:variant>
        <vt:i4>0</vt:i4>
      </vt:variant>
      <vt:variant>
        <vt:i4>5</vt:i4>
      </vt:variant>
      <vt:variant>
        <vt:lpwstr/>
      </vt:variant>
      <vt:variant>
        <vt:lpwstr>_Toc202733877</vt:lpwstr>
      </vt:variant>
      <vt:variant>
        <vt:i4>1310779</vt:i4>
      </vt:variant>
      <vt:variant>
        <vt:i4>38</vt:i4>
      </vt:variant>
      <vt:variant>
        <vt:i4>0</vt:i4>
      </vt:variant>
      <vt:variant>
        <vt:i4>5</vt:i4>
      </vt:variant>
      <vt:variant>
        <vt:lpwstr/>
      </vt:variant>
      <vt:variant>
        <vt:lpwstr>_Toc202733876</vt:lpwstr>
      </vt:variant>
      <vt:variant>
        <vt:i4>1310779</vt:i4>
      </vt:variant>
      <vt:variant>
        <vt:i4>32</vt:i4>
      </vt:variant>
      <vt:variant>
        <vt:i4>0</vt:i4>
      </vt:variant>
      <vt:variant>
        <vt:i4>5</vt:i4>
      </vt:variant>
      <vt:variant>
        <vt:lpwstr/>
      </vt:variant>
      <vt:variant>
        <vt:lpwstr>_Toc202733875</vt:lpwstr>
      </vt:variant>
      <vt:variant>
        <vt:i4>1310779</vt:i4>
      </vt:variant>
      <vt:variant>
        <vt:i4>26</vt:i4>
      </vt:variant>
      <vt:variant>
        <vt:i4>0</vt:i4>
      </vt:variant>
      <vt:variant>
        <vt:i4>5</vt:i4>
      </vt:variant>
      <vt:variant>
        <vt:lpwstr/>
      </vt:variant>
      <vt:variant>
        <vt:lpwstr>_Toc202733874</vt:lpwstr>
      </vt:variant>
      <vt:variant>
        <vt:i4>1310779</vt:i4>
      </vt:variant>
      <vt:variant>
        <vt:i4>20</vt:i4>
      </vt:variant>
      <vt:variant>
        <vt:i4>0</vt:i4>
      </vt:variant>
      <vt:variant>
        <vt:i4>5</vt:i4>
      </vt:variant>
      <vt:variant>
        <vt:lpwstr/>
      </vt:variant>
      <vt:variant>
        <vt:lpwstr>_Toc202733873</vt:lpwstr>
      </vt:variant>
      <vt:variant>
        <vt:i4>1310779</vt:i4>
      </vt:variant>
      <vt:variant>
        <vt:i4>14</vt:i4>
      </vt:variant>
      <vt:variant>
        <vt:i4>0</vt:i4>
      </vt:variant>
      <vt:variant>
        <vt:i4>5</vt:i4>
      </vt:variant>
      <vt:variant>
        <vt:lpwstr/>
      </vt:variant>
      <vt:variant>
        <vt:lpwstr>_Toc202733872</vt:lpwstr>
      </vt:variant>
      <vt:variant>
        <vt:i4>1310779</vt:i4>
      </vt:variant>
      <vt:variant>
        <vt:i4>8</vt:i4>
      </vt:variant>
      <vt:variant>
        <vt:i4>0</vt:i4>
      </vt:variant>
      <vt:variant>
        <vt:i4>5</vt:i4>
      </vt:variant>
      <vt:variant>
        <vt:lpwstr/>
      </vt:variant>
      <vt:variant>
        <vt:lpwstr>_Toc202733871</vt:lpwstr>
      </vt:variant>
      <vt:variant>
        <vt:i4>1310779</vt:i4>
      </vt:variant>
      <vt:variant>
        <vt:i4>2</vt:i4>
      </vt:variant>
      <vt:variant>
        <vt:i4>0</vt:i4>
      </vt:variant>
      <vt:variant>
        <vt:i4>5</vt:i4>
      </vt:variant>
      <vt:variant>
        <vt:lpwstr/>
      </vt:variant>
      <vt:variant>
        <vt:lpwstr>_Toc202733870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Piliaris, Jon</dc:creator>
  <cp:lastModifiedBy>No Name</cp:lastModifiedBy>
  <cp:revision>9</cp:revision>
  <cp:lastPrinted>2015-08-07T16:26:00Z</cp:lastPrinted>
  <dcterms:created xsi:type="dcterms:W3CDTF">2015-08-07T23:55:00Z</dcterms:created>
  <dcterms:modified xsi:type="dcterms:W3CDTF">2015-08-11T14:29:00Z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gFAA9xAl/vizjZiYderJNU53T1uIXanyFsGKImPaiOdML/2rkZTN5vVzX+oiLEJKA5vLGnZmT22ZWg3u
slGj7Xuzt8G9ycoOHSrJk2W4yK9KcDzB7XSNg60KJKKmOTyMDb7LF5VymlK+Ocdm6u965sJBBCZn
yn1ojVouIWMhotolomRcek81n+HpXI/G5sO/ciK+axGOs0g43cuoJFBbT2o10uXUOcarePmZLt3K
/3X/VwQB2HF6IciOO</vt:lpwstr>
  </property>
  <property fmtid="{D5CDD505-2E9C-101B-9397-08002B2CF9AE}" pid="3" name="MAIL_MSG_ID2">
    <vt:lpwstr>8anJnxJkkzjZFeOuVgyqoL4FXpkjmlvDwKBU2PBeXQcWRCOiuOhutYM6eJ+
XjemH2GygyCoO6jcRQDg1/EOszU/c9+3kWygmQ==</vt:lpwstr>
  </property>
  <property fmtid="{D5CDD505-2E9C-101B-9397-08002B2CF9AE}" pid="4" name="RESPONSE_SENDER_NAME">
    <vt:lpwstr>4AAAyjQjm0EOGgKCco1mIReK4IGilQszIVC+ND26wKlUCfYW32p2wnZ7PA==</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y fmtid="{D5CDD505-2E9C-101B-9397-08002B2CF9AE}" pid="8" name="IsEFSEC">
    <vt:bool>false</vt:bool>
  </property>
</Properties>
</file>