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A4F0B" w14:textId="77777777" w:rsidR="00C0665B" w:rsidRPr="00B814E2" w:rsidRDefault="00B814E2" w:rsidP="00B814E2">
      <w:pPr>
        <w:ind w:left="5760"/>
        <w:rPr>
          <w:b/>
        </w:rPr>
      </w:pPr>
      <w:r w:rsidRPr="00B814E2">
        <w:rPr>
          <w:b/>
        </w:rPr>
        <w:t>Exhibit No. ___T (</w:t>
      </w:r>
      <w:r w:rsidR="001B19DD">
        <w:rPr>
          <w:b/>
        </w:rPr>
        <w:t>MC</w:t>
      </w:r>
      <w:r w:rsidRPr="00B814E2">
        <w:rPr>
          <w:b/>
        </w:rPr>
        <w:t>-</w:t>
      </w:r>
      <w:r w:rsidR="00EC14B6">
        <w:rPr>
          <w:b/>
        </w:rPr>
        <w:t>1</w:t>
      </w:r>
      <w:r w:rsidR="00B77CC9">
        <w:rPr>
          <w:b/>
        </w:rPr>
        <w:t>3</w:t>
      </w:r>
      <w:r w:rsidRPr="00B814E2">
        <w:rPr>
          <w:b/>
        </w:rPr>
        <w:t>T)</w:t>
      </w:r>
    </w:p>
    <w:p w14:paraId="41DA4F0C" w14:textId="77777777" w:rsidR="00B814E2" w:rsidRPr="00B814E2" w:rsidRDefault="00B814E2" w:rsidP="00B814E2">
      <w:pPr>
        <w:ind w:left="5760"/>
        <w:rPr>
          <w:b/>
        </w:rPr>
      </w:pPr>
      <w:r w:rsidRPr="00B814E2">
        <w:rPr>
          <w:b/>
        </w:rPr>
        <w:t xml:space="preserve">Docket </w:t>
      </w:r>
      <w:r w:rsidR="001B19DD">
        <w:rPr>
          <w:b/>
        </w:rPr>
        <w:t>TG-</w:t>
      </w:r>
      <w:r w:rsidR="00541EBD">
        <w:rPr>
          <w:b/>
        </w:rPr>
        <w:t>140560</w:t>
      </w:r>
    </w:p>
    <w:p w14:paraId="41DA4F0D" w14:textId="77777777" w:rsidR="00B814E2" w:rsidRPr="00B814E2" w:rsidRDefault="0046251D" w:rsidP="00B814E2">
      <w:pPr>
        <w:ind w:left="5760"/>
        <w:rPr>
          <w:b/>
        </w:rPr>
      </w:pPr>
      <w:r>
        <w:rPr>
          <w:b/>
        </w:rPr>
        <w:t xml:space="preserve">Witness:  </w:t>
      </w:r>
      <w:r w:rsidR="001B19DD">
        <w:rPr>
          <w:b/>
        </w:rPr>
        <w:t>Melissa Cheesman</w:t>
      </w:r>
    </w:p>
    <w:p w14:paraId="41DA4F0E" w14:textId="77777777" w:rsidR="00011064" w:rsidRDefault="00011064" w:rsidP="00EF0D43">
      <w:pPr>
        <w:pStyle w:val="ListParagraph"/>
        <w:rPr>
          <w:b/>
        </w:rPr>
      </w:pPr>
    </w:p>
    <w:p w14:paraId="41DA4F0F" w14:textId="77777777" w:rsidR="00EB3875" w:rsidRDefault="00EB3875" w:rsidP="00EB3875">
      <w:pPr>
        <w:rPr>
          <w:b/>
        </w:rPr>
      </w:pPr>
    </w:p>
    <w:p w14:paraId="41DA4F10" w14:textId="77777777" w:rsidR="00EB3875" w:rsidRDefault="00EB3875" w:rsidP="00EB3875">
      <w:pPr>
        <w:rPr>
          <w:b/>
        </w:rPr>
      </w:pPr>
    </w:p>
    <w:p w14:paraId="41DA4F11" w14:textId="77777777" w:rsidR="00EB3875" w:rsidRDefault="00EB3875" w:rsidP="00EB3875">
      <w:pPr>
        <w:rPr>
          <w:b/>
        </w:rPr>
      </w:pPr>
    </w:p>
    <w:p w14:paraId="41DA4F12" w14:textId="77777777" w:rsidR="00EB3875" w:rsidRPr="00EF0D43" w:rsidRDefault="00EB3875" w:rsidP="00EB3875">
      <w:pPr>
        <w:rPr>
          <w:b/>
        </w:rPr>
      </w:pPr>
    </w:p>
    <w:p w14:paraId="41DA4F13" w14:textId="77777777" w:rsidR="00B814E2" w:rsidRPr="00B814E2" w:rsidRDefault="00B814E2" w:rsidP="00B814E2">
      <w:pPr>
        <w:ind w:left="-360" w:right="-252"/>
        <w:jc w:val="center"/>
        <w:rPr>
          <w:b/>
        </w:rPr>
      </w:pPr>
      <w:r w:rsidRPr="00B814E2">
        <w:rPr>
          <w:b/>
        </w:rPr>
        <w:t>BEFORE THE WASHINGTON UTILITIES AND TRANSPORTATION COMMISSION</w:t>
      </w:r>
    </w:p>
    <w:p w14:paraId="41DA4F14" w14:textId="77777777" w:rsidR="00B814E2" w:rsidRPr="00B814E2" w:rsidRDefault="00B814E2" w:rsidP="00B814E2">
      <w:pPr>
        <w:rPr>
          <w:b/>
        </w:rPr>
      </w:pPr>
    </w:p>
    <w:p w14:paraId="41DA4F15"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41DA4F23" w14:textId="77777777" w:rsidTr="00EC14B6">
        <w:tc>
          <w:tcPr>
            <w:tcW w:w="4590" w:type="dxa"/>
            <w:tcBorders>
              <w:top w:val="single" w:sz="6" w:space="0" w:color="FFFFFF"/>
              <w:left w:val="single" w:sz="6" w:space="0" w:color="FFFFFF"/>
              <w:bottom w:val="single" w:sz="7" w:space="0" w:color="000000"/>
              <w:right w:val="single" w:sz="6" w:space="0" w:color="FFFFFF"/>
            </w:tcBorders>
          </w:tcPr>
          <w:p w14:paraId="41DA4F16" w14:textId="77777777" w:rsidR="001B19DD" w:rsidRPr="001B19DD" w:rsidRDefault="001B19DD" w:rsidP="001B19DD">
            <w:pPr>
              <w:rPr>
                <w:b/>
              </w:rPr>
            </w:pPr>
            <w:r w:rsidRPr="001B19DD">
              <w:rPr>
                <w:b/>
              </w:rPr>
              <w:t>WASHINGTON UTILITIES AND TRANSPORTATION COMMISSION,</w:t>
            </w:r>
          </w:p>
          <w:p w14:paraId="41DA4F17" w14:textId="77777777" w:rsidR="001B19DD" w:rsidRPr="001B19DD" w:rsidRDefault="001B19DD" w:rsidP="001B19DD">
            <w:pPr>
              <w:rPr>
                <w:b/>
              </w:rPr>
            </w:pPr>
          </w:p>
          <w:p w14:paraId="41DA4F18" w14:textId="77777777" w:rsidR="001B19DD" w:rsidRPr="001B19DD" w:rsidRDefault="001B19DD" w:rsidP="001B19DD">
            <w:pPr>
              <w:rPr>
                <w:b/>
              </w:rPr>
            </w:pPr>
            <w:r w:rsidRPr="001B19DD">
              <w:rPr>
                <w:b/>
              </w:rPr>
              <w:tab/>
              <w:t>Complainant,</w:t>
            </w:r>
          </w:p>
          <w:p w14:paraId="41DA4F19" w14:textId="77777777" w:rsidR="001B19DD" w:rsidRPr="001B19DD" w:rsidRDefault="001B19DD" w:rsidP="001B19DD">
            <w:pPr>
              <w:rPr>
                <w:b/>
              </w:rPr>
            </w:pPr>
          </w:p>
          <w:p w14:paraId="41DA4F1A" w14:textId="77777777" w:rsidR="001B19DD" w:rsidRPr="001B19DD" w:rsidRDefault="001B19DD" w:rsidP="001B19DD">
            <w:pPr>
              <w:rPr>
                <w:b/>
              </w:rPr>
            </w:pPr>
            <w:r w:rsidRPr="001B19DD">
              <w:rPr>
                <w:b/>
              </w:rPr>
              <w:t>v.</w:t>
            </w:r>
          </w:p>
          <w:p w14:paraId="41DA4F1B" w14:textId="77777777" w:rsidR="001B19DD" w:rsidRPr="001B19DD" w:rsidRDefault="001B19DD" w:rsidP="001B19DD">
            <w:pPr>
              <w:rPr>
                <w:b/>
              </w:rPr>
            </w:pPr>
          </w:p>
          <w:p w14:paraId="41DA4F1C" w14:textId="77777777" w:rsidR="001B19DD" w:rsidRPr="001B19DD" w:rsidRDefault="001B19DD" w:rsidP="001B19DD">
            <w:pPr>
              <w:rPr>
                <w:b/>
              </w:rPr>
            </w:pPr>
            <w:r w:rsidRPr="001B19DD">
              <w:rPr>
                <w:b/>
              </w:rPr>
              <w:t>WASTE CONTROL, INC. (G-101),</w:t>
            </w:r>
          </w:p>
          <w:p w14:paraId="41DA4F1D" w14:textId="77777777" w:rsidR="001B19DD" w:rsidRPr="001B19DD" w:rsidRDefault="001B19DD" w:rsidP="001B19DD">
            <w:pPr>
              <w:rPr>
                <w:b/>
              </w:rPr>
            </w:pPr>
          </w:p>
          <w:p w14:paraId="41DA4F1E" w14:textId="77777777" w:rsidR="00B814E2" w:rsidRDefault="001B19DD" w:rsidP="001B19DD">
            <w:pPr>
              <w:spacing w:after="19"/>
              <w:rPr>
                <w:b/>
              </w:rPr>
            </w:pPr>
            <w:r w:rsidRPr="001B19DD">
              <w:rPr>
                <w:b/>
              </w:rPr>
              <w:tab/>
              <w:t>Respondent.</w:t>
            </w:r>
          </w:p>
          <w:p w14:paraId="41DA4F1F" w14:textId="77777777" w:rsidR="001B19DD" w:rsidRDefault="001B19DD" w:rsidP="001B19DD">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41DA4F20" w14:textId="77777777" w:rsidR="00B814E2" w:rsidRDefault="00B814E2" w:rsidP="00EC14B6">
            <w:pPr>
              <w:ind w:firstLine="720"/>
              <w:rPr>
                <w:b/>
                <w:bCs/>
              </w:rPr>
            </w:pPr>
            <w:r>
              <w:rPr>
                <w:b/>
                <w:bCs/>
              </w:rPr>
              <w:t xml:space="preserve">DOCKET </w:t>
            </w:r>
            <w:r w:rsidR="001B19DD">
              <w:rPr>
                <w:b/>
                <w:bCs/>
              </w:rPr>
              <w:t>TG-</w:t>
            </w:r>
            <w:r w:rsidR="00541EBD">
              <w:rPr>
                <w:b/>
                <w:bCs/>
              </w:rPr>
              <w:t>140560</w:t>
            </w:r>
          </w:p>
          <w:p w14:paraId="41DA4F21" w14:textId="77777777" w:rsidR="00B814E2" w:rsidRDefault="00B814E2" w:rsidP="00EC14B6">
            <w:pPr>
              <w:rPr>
                <w:b/>
                <w:bCs/>
              </w:rPr>
            </w:pPr>
          </w:p>
          <w:p w14:paraId="41DA4F22" w14:textId="77777777" w:rsidR="00B814E2" w:rsidRDefault="00B814E2" w:rsidP="00EC14B6">
            <w:pPr>
              <w:spacing w:after="19"/>
              <w:ind w:left="720"/>
              <w:rPr>
                <w:b/>
                <w:bCs/>
              </w:rPr>
            </w:pPr>
          </w:p>
        </w:tc>
      </w:tr>
    </w:tbl>
    <w:p w14:paraId="41DA4F24" w14:textId="77777777" w:rsidR="00B814E2" w:rsidRDefault="00B814E2" w:rsidP="00B814E2">
      <w:pPr>
        <w:jc w:val="both"/>
      </w:pPr>
    </w:p>
    <w:p w14:paraId="41DA4F25" w14:textId="77777777" w:rsidR="00B814E2" w:rsidRDefault="00B814E2" w:rsidP="00B814E2">
      <w:pPr>
        <w:rPr>
          <w:b/>
          <w:bCs/>
        </w:rPr>
      </w:pPr>
    </w:p>
    <w:p w14:paraId="41DA4F26" w14:textId="77777777" w:rsidR="00B814E2" w:rsidRDefault="00B814E2" w:rsidP="00B814E2">
      <w:pPr>
        <w:rPr>
          <w:b/>
          <w:bCs/>
        </w:rPr>
      </w:pPr>
    </w:p>
    <w:p w14:paraId="41DA4F27" w14:textId="77777777" w:rsidR="00B814E2" w:rsidRDefault="00DA4CB8" w:rsidP="00B814E2">
      <w:pPr>
        <w:tabs>
          <w:tab w:val="center" w:pos="4680"/>
        </w:tabs>
        <w:jc w:val="center"/>
        <w:rPr>
          <w:b/>
          <w:bCs/>
        </w:rPr>
      </w:pPr>
      <w:r>
        <w:rPr>
          <w:b/>
          <w:bCs/>
        </w:rPr>
        <w:t xml:space="preserve">SUPPLEMENTAL </w:t>
      </w:r>
      <w:r w:rsidR="00B814E2">
        <w:rPr>
          <w:b/>
          <w:bCs/>
        </w:rPr>
        <w:t>TESTIMONY OF</w:t>
      </w:r>
    </w:p>
    <w:p w14:paraId="41DA4F28" w14:textId="77777777" w:rsidR="00B814E2" w:rsidRDefault="00B814E2" w:rsidP="00B814E2">
      <w:pPr>
        <w:jc w:val="center"/>
        <w:rPr>
          <w:b/>
          <w:bCs/>
        </w:rPr>
      </w:pPr>
    </w:p>
    <w:p w14:paraId="41DA4F29" w14:textId="77777777" w:rsidR="00B814E2" w:rsidRDefault="001B19DD" w:rsidP="00B814E2">
      <w:pPr>
        <w:tabs>
          <w:tab w:val="center" w:pos="4680"/>
        </w:tabs>
        <w:jc w:val="center"/>
        <w:rPr>
          <w:b/>
          <w:bCs/>
        </w:rPr>
      </w:pPr>
      <w:r>
        <w:rPr>
          <w:b/>
          <w:bCs/>
        </w:rPr>
        <w:t>Melissa Cheesman</w:t>
      </w:r>
    </w:p>
    <w:p w14:paraId="41DA4F2A" w14:textId="77777777" w:rsidR="00B814E2" w:rsidRDefault="00B814E2" w:rsidP="00B814E2">
      <w:pPr>
        <w:tabs>
          <w:tab w:val="center" w:pos="4680"/>
        </w:tabs>
        <w:jc w:val="center"/>
        <w:rPr>
          <w:b/>
          <w:bCs/>
        </w:rPr>
      </w:pPr>
    </w:p>
    <w:p w14:paraId="41DA4F2B" w14:textId="77777777" w:rsidR="00B814E2" w:rsidRDefault="00B814E2" w:rsidP="00B814E2">
      <w:pPr>
        <w:tabs>
          <w:tab w:val="center" w:pos="4680"/>
        </w:tabs>
        <w:jc w:val="center"/>
        <w:rPr>
          <w:b/>
          <w:bCs/>
        </w:rPr>
      </w:pPr>
      <w:r>
        <w:rPr>
          <w:b/>
          <w:bCs/>
        </w:rPr>
        <w:t>STAFF OF</w:t>
      </w:r>
    </w:p>
    <w:p w14:paraId="41DA4F2C"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41DA4F2D" w14:textId="77777777" w:rsidR="00B814E2" w:rsidRDefault="00B814E2" w:rsidP="00B814E2">
      <w:pPr>
        <w:tabs>
          <w:tab w:val="center" w:pos="4680"/>
        </w:tabs>
        <w:jc w:val="center"/>
        <w:rPr>
          <w:b/>
          <w:bCs/>
        </w:rPr>
      </w:pPr>
      <w:r>
        <w:rPr>
          <w:b/>
          <w:bCs/>
        </w:rPr>
        <w:t>TRANSPORTATION COMMISSION</w:t>
      </w:r>
    </w:p>
    <w:p w14:paraId="41DA4F2E" w14:textId="77777777" w:rsidR="00B814E2" w:rsidRDefault="00B814E2" w:rsidP="00B814E2">
      <w:pPr>
        <w:jc w:val="center"/>
        <w:rPr>
          <w:b/>
          <w:bCs/>
        </w:rPr>
      </w:pPr>
    </w:p>
    <w:p w14:paraId="41DA4F2F" w14:textId="77777777" w:rsidR="00B814E2" w:rsidRDefault="00B814E2" w:rsidP="00B814E2">
      <w:pPr>
        <w:rPr>
          <w:b/>
          <w:bCs/>
        </w:rPr>
      </w:pPr>
    </w:p>
    <w:p w14:paraId="41DA4F30" w14:textId="77777777" w:rsidR="00B814E2" w:rsidRDefault="00B814E2" w:rsidP="00B814E2">
      <w:pPr>
        <w:rPr>
          <w:b/>
          <w:bCs/>
        </w:rPr>
      </w:pPr>
    </w:p>
    <w:p w14:paraId="41DA4F31" w14:textId="77777777" w:rsidR="00EC14B6" w:rsidRDefault="00EC14B6" w:rsidP="00B814E2">
      <w:pPr>
        <w:rPr>
          <w:b/>
          <w:bCs/>
        </w:rPr>
      </w:pPr>
    </w:p>
    <w:p w14:paraId="41DA4F32" w14:textId="77777777" w:rsidR="00EC14B6" w:rsidRDefault="00EC14B6" w:rsidP="00B814E2">
      <w:pPr>
        <w:rPr>
          <w:b/>
          <w:bCs/>
        </w:rPr>
      </w:pPr>
    </w:p>
    <w:p w14:paraId="41DA4F33" w14:textId="77777777" w:rsidR="00EC14B6" w:rsidRDefault="00EC14B6" w:rsidP="00B814E2">
      <w:pPr>
        <w:rPr>
          <w:b/>
          <w:bCs/>
        </w:rPr>
      </w:pPr>
    </w:p>
    <w:p w14:paraId="41DA4F34" w14:textId="77777777" w:rsidR="00EC14B6" w:rsidRDefault="00EC14B6" w:rsidP="00B814E2">
      <w:pPr>
        <w:rPr>
          <w:b/>
          <w:bCs/>
        </w:rPr>
      </w:pPr>
    </w:p>
    <w:p w14:paraId="41DA4F35" w14:textId="77777777" w:rsidR="00EC14B6" w:rsidRDefault="00EC14B6" w:rsidP="00B814E2">
      <w:pPr>
        <w:rPr>
          <w:b/>
          <w:bCs/>
        </w:rPr>
      </w:pPr>
    </w:p>
    <w:p w14:paraId="41DA4F36" w14:textId="77777777" w:rsidR="00EC14B6" w:rsidRDefault="00EC14B6" w:rsidP="00B814E2">
      <w:pPr>
        <w:rPr>
          <w:b/>
          <w:bCs/>
        </w:rPr>
      </w:pPr>
    </w:p>
    <w:p w14:paraId="41DA4F37" w14:textId="77777777" w:rsidR="00EC14B6" w:rsidRDefault="00EC14B6" w:rsidP="00B814E2">
      <w:pPr>
        <w:rPr>
          <w:b/>
          <w:bCs/>
        </w:rPr>
      </w:pPr>
    </w:p>
    <w:p w14:paraId="41DA4F38" w14:textId="77777777" w:rsidR="00EC14B6" w:rsidRDefault="00EC14B6" w:rsidP="00B814E2">
      <w:pPr>
        <w:rPr>
          <w:b/>
          <w:bCs/>
        </w:rPr>
      </w:pPr>
    </w:p>
    <w:p w14:paraId="41DA4F39" w14:textId="77777777" w:rsidR="00B814E2" w:rsidRDefault="007C438D" w:rsidP="00116089">
      <w:pPr>
        <w:jc w:val="center"/>
      </w:pPr>
      <w:r>
        <w:rPr>
          <w:b/>
          <w:bCs/>
        </w:rPr>
        <w:t>February 2</w:t>
      </w:r>
      <w:r w:rsidR="00116089">
        <w:rPr>
          <w:b/>
          <w:bCs/>
        </w:rPr>
        <w:t>, 2015</w:t>
      </w:r>
    </w:p>
    <w:p w14:paraId="41DA4F3A" w14:textId="77777777" w:rsidR="00B814E2" w:rsidRDefault="00B814E2" w:rsidP="00B814E2"/>
    <w:p w14:paraId="41DA4F3B"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41DA4F3C" w14:textId="77777777" w:rsidR="00B814E2" w:rsidRDefault="00B814E2" w:rsidP="00B814E2">
      <w:pPr>
        <w:jc w:val="center"/>
      </w:pPr>
      <w:r>
        <w:rPr>
          <w:b/>
        </w:rPr>
        <w:lastRenderedPageBreak/>
        <w:t>TABLE OF CONTENTS</w:t>
      </w:r>
    </w:p>
    <w:p w14:paraId="41DA4F3D" w14:textId="77777777" w:rsidR="00B814E2" w:rsidRDefault="00B814E2" w:rsidP="00B814E2"/>
    <w:p w14:paraId="41DA4F3E" w14:textId="77777777" w:rsidR="00B814E2" w:rsidRDefault="00B814E2" w:rsidP="00B814E2"/>
    <w:p w14:paraId="41DA4F3F" w14:textId="77777777" w:rsidR="00B814E2" w:rsidRDefault="00B814E2" w:rsidP="00B814E2">
      <w:pPr>
        <w:tabs>
          <w:tab w:val="left" w:pos="720"/>
          <w:tab w:val="left" w:pos="1440"/>
          <w:tab w:val="left" w:pos="2160"/>
          <w:tab w:val="right" w:leader="dot" w:pos="8820"/>
        </w:tabs>
      </w:pPr>
      <w:r>
        <w:t>I.</w:t>
      </w:r>
      <w:r>
        <w:tab/>
      </w:r>
      <w:r w:rsidR="000E74C6">
        <w:t>INTRODUCTION</w:t>
      </w:r>
      <w:r>
        <w:tab/>
        <w:t>1</w:t>
      </w:r>
    </w:p>
    <w:p w14:paraId="41DA4F40" w14:textId="77777777" w:rsidR="00B814E2" w:rsidRDefault="00B814E2" w:rsidP="00B814E2">
      <w:pPr>
        <w:tabs>
          <w:tab w:val="left" w:pos="720"/>
          <w:tab w:val="left" w:pos="1440"/>
          <w:tab w:val="left" w:pos="2160"/>
          <w:tab w:val="right" w:leader="dot" w:pos="8820"/>
        </w:tabs>
      </w:pPr>
    </w:p>
    <w:p w14:paraId="41DA4F41" w14:textId="77777777" w:rsidR="00ED58FC" w:rsidRPr="004A2647" w:rsidRDefault="00B814E2" w:rsidP="00600008">
      <w:pPr>
        <w:tabs>
          <w:tab w:val="left" w:pos="720"/>
          <w:tab w:val="left" w:pos="1440"/>
          <w:tab w:val="left" w:pos="2160"/>
          <w:tab w:val="right" w:leader="dot" w:pos="8820"/>
        </w:tabs>
        <w:spacing w:line="480" w:lineRule="auto"/>
      </w:pPr>
      <w:r w:rsidRPr="004A2647">
        <w:t>II.</w:t>
      </w:r>
      <w:r w:rsidRPr="004A2647">
        <w:tab/>
      </w:r>
      <w:r w:rsidR="008377B1" w:rsidRPr="004A2647">
        <w:t xml:space="preserve">PURPOSE </w:t>
      </w:r>
      <w:r w:rsidR="00C62D3B" w:rsidRPr="004A2647">
        <w:t xml:space="preserve">AND SCOPE </w:t>
      </w:r>
      <w:r w:rsidR="008377B1" w:rsidRPr="004A2647">
        <w:t>OF SUPPLEMENTAL TESTIMONY</w:t>
      </w:r>
      <w:r w:rsidR="00ED58FC" w:rsidRPr="004A2647">
        <w:tab/>
      </w:r>
      <w:r w:rsidR="00AD07A1" w:rsidRPr="004A2647">
        <w:t>1</w:t>
      </w:r>
    </w:p>
    <w:p w14:paraId="41DA4F42" w14:textId="4FC38721" w:rsidR="00E91810" w:rsidRPr="004A2647" w:rsidRDefault="00ED58FC" w:rsidP="00600008">
      <w:pPr>
        <w:tabs>
          <w:tab w:val="left" w:pos="720"/>
          <w:tab w:val="left" w:pos="1440"/>
          <w:tab w:val="left" w:pos="2160"/>
          <w:tab w:val="right" w:leader="dot" w:pos="8820"/>
        </w:tabs>
        <w:spacing w:line="480" w:lineRule="auto"/>
      </w:pPr>
      <w:r w:rsidRPr="004A2647">
        <w:t>III.</w:t>
      </w:r>
      <w:r w:rsidRPr="004A2647">
        <w:tab/>
      </w:r>
      <w:r w:rsidR="00030616" w:rsidRPr="004A2647">
        <w:t>FOUR CONTESTED ISSUES</w:t>
      </w:r>
      <w:r w:rsidR="00947A26">
        <w:t xml:space="preserve"> </w:t>
      </w:r>
      <w:r w:rsidR="00947A26">
        <w:tab/>
        <w:t>2</w:t>
      </w:r>
    </w:p>
    <w:p w14:paraId="41DA4F43" w14:textId="77777777" w:rsidR="00501A33" w:rsidRPr="004A2647" w:rsidRDefault="00030616" w:rsidP="002D4DEF">
      <w:pPr>
        <w:pStyle w:val="ListParagraph"/>
        <w:numPr>
          <w:ilvl w:val="0"/>
          <w:numId w:val="53"/>
        </w:numPr>
        <w:tabs>
          <w:tab w:val="left" w:pos="720"/>
          <w:tab w:val="left" w:pos="1440"/>
          <w:tab w:val="left" w:pos="2160"/>
          <w:tab w:val="right" w:leader="dot" w:pos="8820"/>
        </w:tabs>
        <w:spacing w:line="480" w:lineRule="auto"/>
        <w:ind w:left="720" w:firstLine="0"/>
      </w:pPr>
      <w:r w:rsidRPr="004A2647">
        <w:t>Shared Utilities Expense, Adjustment R-6D</w:t>
      </w:r>
      <w:r w:rsidR="00191A4A" w:rsidRPr="004A2647">
        <w:tab/>
      </w:r>
      <w:r w:rsidR="00AD07A1" w:rsidRPr="004A2647">
        <w:t>2</w:t>
      </w:r>
    </w:p>
    <w:p w14:paraId="41DA4F44" w14:textId="77777777" w:rsidR="00501A33" w:rsidRPr="004A2647" w:rsidRDefault="00030616" w:rsidP="002D4DEF">
      <w:pPr>
        <w:pStyle w:val="ListParagraph"/>
        <w:numPr>
          <w:ilvl w:val="0"/>
          <w:numId w:val="53"/>
        </w:numPr>
        <w:tabs>
          <w:tab w:val="left" w:pos="720"/>
          <w:tab w:val="left" w:pos="1440"/>
          <w:tab w:val="left" w:pos="2160"/>
          <w:tab w:val="right" w:leader="dot" w:pos="8820"/>
        </w:tabs>
        <w:spacing w:line="480" w:lineRule="auto"/>
        <w:ind w:left="720" w:firstLine="0"/>
      </w:pPr>
      <w:r w:rsidRPr="004A2647">
        <w:t xml:space="preserve">Affiliate Land Rents, Adjustment R-6E </w:t>
      </w:r>
      <w:r w:rsidR="00191A4A" w:rsidRPr="004A2647">
        <w:tab/>
      </w:r>
      <w:r w:rsidR="00AD07A1" w:rsidRPr="004A2647">
        <w:t>4</w:t>
      </w:r>
    </w:p>
    <w:p w14:paraId="41DA4F45" w14:textId="77777777" w:rsidR="00030616" w:rsidRPr="004A2647" w:rsidRDefault="00030616" w:rsidP="002D4DEF">
      <w:pPr>
        <w:pStyle w:val="ListParagraph"/>
        <w:numPr>
          <w:ilvl w:val="0"/>
          <w:numId w:val="53"/>
        </w:numPr>
        <w:tabs>
          <w:tab w:val="left" w:pos="720"/>
          <w:tab w:val="left" w:pos="1440"/>
          <w:tab w:val="left" w:pos="2160"/>
          <w:tab w:val="right" w:leader="dot" w:pos="8820"/>
        </w:tabs>
        <w:spacing w:line="480" w:lineRule="auto"/>
        <w:ind w:left="720" w:firstLine="0"/>
      </w:pPr>
      <w:r w:rsidRPr="004A2647">
        <w:t>Rate Case Costs</w:t>
      </w:r>
      <w:r w:rsidR="005C12B8" w:rsidRPr="004A2647">
        <w:tab/>
      </w:r>
      <w:r w:rsidR="00AD07A1" w:rsidRPr="004A2647">
        <w:t>5</w:t>
      </w:r>
    </w:p>
    <w:p w14:paraId="41DA4F46" w14:textId="77777777" w:rsidR="00B77CC9" w:rsidRPr="004A2647" w:rsidRDefault="005C12B8" w:rsidP="00C23B8F">
      <w:pPr>
        <w:pStyle w:val="ListParagraph"/>
        <w:numPr>
          <w:ilvl w:val="0"/>
          <w:numId w:val="53"/>
        </w:numPr>
        <w:tabs>
          <w:tab w:val="left" w:pos="720"/>
          <w:tab w:val="left" w:pos="1440"/>
          <w:tab w:val="left" w:pos="2160"/>
          <w:tab w:val="right" w:leader="dot" w:pos="8820"/>
        </w:tabs>
        <w:spacing w:line="480" w:lineRule="auto"/>
        <w:ind w:left="720" w:firstLine="0"/>
      </w:pPr>
      <w:r w:rsidRPr="004A2647">
        <w:t>Investigation Fees</w:t>
      </w:r>
      <w:r w:rsidRPr="004A2647">
        <w:tab/>
      </w:r>
      <w:r w:rsidR="00AD07A1" w:rsidRPr="004A2647">
        <w:t>7</w:t>
      </w:r>
    </w:p>
    <w:p w14:paraId="41DA4F47" w14:textId="1B23D568" w:rsidR="00B77CC9" w:rsidRPr="004A2647" w:rsidRDefault="00B77CC9" w:rsidP="00C23B8F">
      <w:pPr>
        <w:tabs>
          <w:tab w:val="left" w:pos="720"/>
          <w:tab w:val="left" w:pos="1440"/>
          <w:tab w:val="left" w:pos="2160"/>
          <w:tab w:val="right" w:leader="dot" w:pos="8820"/>
        </w:tabs>
        <w:spacing w:line="480" w:lineRule="auto"/>
        <w:ind w:left="720" w:hanging="720"/>
      </w:pPr>
      <w:r w:rsidRPr="004A2647">
        <w:t>IV.</w:t>
      </w:r>
      <w:r w:rsidRPr="004A2647">
        <w:tab/>
        <w:t>RESPONSES TO WCI NOVEMBER SUPPLEMENTAL TESTIMONIES</w:t>
      </w:r>
      <w:r w:rsidR="00947A26">
        <w:t xml:space="preserve"> </w:t>
      </w:r>
      <w:r w:rsidR="00947A26">
        <w:tab/>
        <w:t>8</w:t>
      </w:r>
    </w:p>
    <w:p w14:paraId="41DA4F48" w14:textId="5784E167" w:rsidR="00B77CC9" w:rsidRPr="004A2647" w:rsidRDefault="00B77CC9" w:rsidP="00C23B8F">
      <w:pPr>
        <w:tabs>
          <w:tab w:val="left" w:pos="720"/>
          <w:tab w:val="left" w:pos="1440"/>
          <w:tab w:val="left" w:pos="2160"/>
          <w:tab w:val="right" w:leader="dot" w:pos="8820"/>
        </w:tabs>
        <w:spacing w:line="480" w:lineRule="auto"/>
        <w:ind w:left="720" w:hanging="720"/>
      </w:pPr>
      <w:r w:rsidRPr="004A2647">
        <w:tab/>
        <w:t>A.</w:t>
      </w:r>
      <w:r w:rsidRPr="004A2647">
        <w:tab/>
      </w:r>
      <w:r w:rsidR="00697320" w:rsidRPr="004A2647">
        <w:t>Staff</w:t>
      </w:r>
      <w:r w:rsidR="0056250C">
        <w:t>’s</w:t>
      </w:r>
      <w:r w:rsidR="00697320" w:rsidRPr="004A2647">
        <w:t xml:space="preserve"> Response to Unidentified Staff</w:t>
      </w:r>
      <w:r w:rsidR="00697320" w:rsidRPr="004A2647" w:rsidDel="000A77D9">
        <w:t xml:space="preserve"> </w:t>
      </w:r>
      <w:r w:rsidRPr="004A2647">
        <w:tab/>
      </w:r>
      <w:r w:rsidR="00947A26">
        <w:t>8</w:t>
      </w:r>
    </w:p>
    <w:p w14:paraId="41DA4F49" w14:textId="5A9601C4" w:rsidR="00B77CC9" w:rsidRPr="004A2647" w:rsidRDefault="00B77CC9" w:rsidP="00C23B8F">
      <w:pPr>
        <w:tabs>
          <w:tab w:val="left" w:pos="720"/>
          <w:tab w:val="left" w:pos="1440"/>
          <w:tab w:val="left" w:pos="2160"/>
          <w:tab w:val="right" w:leader="dot" w:pos="8820"/>
        </w:tabs>
        <w:spacing w:line="480" w:lineRule="auto"/>
        <w:ind w:left="720" w:hanging="720"/>
      </w:pPr>
      <w:r w:rsidRPr="004A2647">
        <w:tab/>
        <w:t>B.</w:t>
      </w:r>
      <w:r w:rsidRPr="004A2647">
        <w:tab/>
      </w:r>
      <w:r w:rsidR="00697320" w:rsidRPr="004A2647">
        <w:t>Staff</w:t>
      </w:r>
      <w:r w:rsidR="0056250C">
        <w:t>’s</w:t>
      </w:r>
      <w:r w:rsidR="00697320" w:rsidRPr="004A2647">
        <w:t xml:space="preserve"> Response to General Rate Case Costs Related to Kalama</w:t>
      </w:r>
      <w:r w:rsidR="00697320" w:rsidRPr="004A2647" w:rsidDel="000A77D9">
        <w:t xml:space="preserve"> </w:t>
      </w:r>
      <w:r w:rsidRPr="004A2647">
        <w:tab/>
      </w:r>
      <w:r w:rsidR="00947A26">
        <w:t>9</w:t>
      </w:r>
    </w:p>
    <w:p w14:paraId="41DA4F4A" w14:textId="77777777" w:rsidR="00B77CC9" w:rsidRPr="004A2647" w:rsidRDefault="00B77CC9" w:rsidP="00C23B8F">
      <w:pPr>
        <w:tabs>
          <w:tab w:val="left" w:pos="720"/>
          <w:tab w:val="left" w:pos="1440"/>
          <w:tab w:val="left" w:pos="2160"/>
          <w:tab w:val="right" w:leader="dot" w:pos="8820"/>
        </w:tabs>
        <w:spacing w:line="480" w:lineRule="auto"/>
        <w:ind w:left="720" w:hanging="720"/>
      </w:pPr>
      <w:r w:rsidRPr="004A2647">
        <w:tab/>
        <w:t>C.</w:t>
      </w:r>
      <w:r w:rsidRPr="004A2647">
        <w:tab/>
      </w:r>
      <w:r w:rsidR="00697320" w:rsidRPr="004A2647">
        <w:t>Staff</w:t>
      </w:r>
      <w:r w:rsidR="0056250C">
        <w:t>’s</w:t>
      </w:r>
      <w:r w:rsidR="00697320" w:rsidRPr="004A2647">
        <w:t xml:space="preserve"> Response to Recovery Associated with General Rate Case Costs</w:t>
      </w:r>
      <w:r w:rsidRPr="004A2647">
        <w:tab/>
      </w:r>
      <w:r w:rsidR="00AD07A1" w:rsidRPr="004A2647">
        <w:t>1</w:t>
      </w:r>
      <w:r w:rsidR="00723587">
        <w:t>1</w:t>
      </w:r>
    </w:p>
    <w:p w14:paraId="41DA4F4B" w14:textId="5A790003" w:rsidR="00B77CC9" w:rsidRPr="003143FB" w:rsidRDefault="00B77CC9" w:rsidP="00C23B8F">
      <w:pPr>
        <w:tabs>
          <w:tab w:val="left" w:pos="720"/>
          <w:tab w:val="left" w:pos="1440"/>
          <w:tab w:val="left" w:pos="2160"/>
          <w:tab w:val="right" w:leader="dot" w:pos="8820"/>
        </w:tabs>
        <w:spacing w:line="480" w:lineRule="auto"/>
        <w:ind w:left="720" w:hanging="720"/>
      </w:pPr>
      <w:r w:rsidRPr="004A2647">
        <w:tab/>
      </w:r>
      <w:r w:rsidR="004A2647">
        <w:t>D</w:t>
      </w:r>
      <w:r w:rsidRPr="004A2647">
        <w:t>.</w:t>
      </w:r>
      <w:r w:rsidRPr="004A2647">
        <w:tab/>
      </w:r>
      <w:r w:rsidR="00697320" w:rsidRPr="004A2647">
        <w:t>Staff</w:t>
      </w:r>
      <w:r w:rsidR="0056250C">
        <w:t>’s</w:t>
      </w:r>
      <w:r w:rsidR="00697320" w:rsidRPr="004A2647">
        <w:t xml:space="preserve"> Response to Affiliate Landlord Capital Structure</w:t>
      </w:r>
      <w:r w:rsidRPr="004A2647">
        <w:tab/>
      </w:r>
      <w:r w:rsidR="004A2647">
        <w:t>1</w:t>
      </w:r>
      <w:r w:rsidR="00947A26">
        <w:t>4</w:t>
      </w:r>
    </w:p>
    <w:p w14:paraId="41DA4F4C" w14:textId="77777777" w:rsidR="00DE3E41" w:rsidRDefault="00DE3E41" w:rsidP="00947A26">
      <w:pPr>
        <w:tabs>
          <w:tab w:val="left" w:pos="720"/>
          <w:tab w:val="left" w:pos="1440"/>
          <w:tab w:val="left" w:pos="2160"/>
          <w:tab w:val="right" w:leader="dot" w:pos="8820"/>
        </w:tabs>
      </w:pPr>
      <w:bookmarkStart w:id="0" w:name="_GoBack"/>
      <w:bookmarkEnd w:id="0"/>
    </w:p>
    <w:p w14:paraId="41DA4F4D" w14:textId="77777777" w:rsidR="00EC14B6" w:rsidRDefault="00EC14B6" w:rsidP="00B814E2"/>
    <w:p w14:paraId="41DA4F4E" w14:textId="77777777" w:rsidR="00EC14B6" w:rsidRDefault="00EC14B6" w:rsidP="00B814E2"/>
    <w:p w14:paraId="41DA4F4F" w14:textId="77777777" w:rsidR="00EC14B6" w:rsidRDefault="00EC14B6" w:rsidP="00B814E2">
      <w:pPr>
        <w:sectPr w:rsidR="00EC14B6" w:rsidSect="0015026F">
          <w:footerReference w:type="default" r:id="rId11"/>
          <w:pgSz w:w="12240" w:h="15840"/>
          <w:pgMar w:top="1440" w:right="1440" w:bottom="1440" w:left="1872" w:header="720" w:footer="720" w:gutter="0"/>
          <w:pgNumType w:fmt="lowerRoman" w:start="1"/>
          <w:cols w:space="720"/>
          <w:docGrid w:linePitch="360"/>
        </w:sectPr>
      </w:pPr>
    </w:p>
    <w:p w14:paraId="41DA4F50" w14:textId="77777777" w:rsidR="00B814E2" w:rsidRDefault="00B814E2" w:rsidP="00B814E2">
      <w:pPr>
        <w:spacing w:line="480" w:lineRule="auto"/>
        <w:jc w:val="center"/>
        <w:rPr>
          <w:b/>
        </w:rPr>
      </w:pPr>
      <w:r>
        <w:rPr>
          <w:b/>
        </w:rPr>
        <w:lastRenderedPageBreak/>
        <w:t>I.</w:t>
      </w:r>
      <w:r>
        <w:rPr>
          <w:b/>
        </w:rPr>
        <w:tab/>
        <w:t>INTRODUCTION</w:t>
      </w:r>
    </w:p>
    <w:p w14:paraId="77A40EF7" w14:textId="77777777" w:rsidR="00291C9D" w:rsidRDefault="00291C9D" w:rsidP="00B814E2">
      <w:pPr>
        <w:spacing w:line="480" w:lineRule="auto"/>
        <w:jc w:val="center"/>
        <w:rPr>
          <w:b/>
        </w:rPr>
      </w:pPr>
    </w:p>
    <w:p w14:paraId="41DA4F51" w14:textId="77777777" w:rsidR="00B814E2" w:rsidRDefault="00B814E2" w:rsidP="00116089">
      <w:pPr>
        <w:spacing w:line="480" w:lineRule="auto"/>
        <w:ind w:left="720" w:hanging="720"/>
      </w:pPr>
      <w:r>
        <w:rPr>
          <w:b/>
        </w:rPr>
        <w:t>Q.</w:t>
      </w:r>
      <w:r>
        <w:rPr>
          <w:b/>
        </w:rPr>
        <w:tab/>
      </w:r>
      <w:r w:rsidR="00116089">
        <w:rPr>
          <w:b/>
        </w:rPr>
        <w:t xml:space="preserve">Are you the same Melissa Cheesman who previously filed testimony in </w:t>
      </w:r>
      <w:r w:rsidR="00E0220B">
        <w:rPr>
          <w:b/>
        </w:rPr>
        <w:t>dockets</w:t>
      </w:r>
      <w:r w:rsidR="00116089">
        <w:rPr>
          <w:b/>
        </w:rPr>
        <w:t xml:space="preserve"> TG-140560?</w:t>
      </w:r>
      <w:r>
        <w:rPr>
          <w:b/>
        </w:rPr>
        <w:t xml:space="preserve">  </w:t>
      </w:r>
    </w:p>
    <w:p w14:paraId="41DA4F52" w14:textId="77777777" w:rsidR="00B814E2" w:rsidRDefault="00EC14B6" w:rsidP="00B814E2">
      <w:pPr>
        <w:spacing w:line="480" w:lineRule="auto"/>
        <w:ind w:left="720" w:hanging="720"/>
      </w:pPr>
      <w:r>
        <w:t>A.</w:t>
      </w:r>
      <w:r>
        <w:tab/>
      </w:r>
      <w:r w:rsidR="00116089">
        <w:t>Yes.</w:t>
      </w:r>
      <w:r w:rsidR="00B814E2">
        <w:t xml:space="preserve">  </w:t>
      </w:r>
    </w:p>
    <w:p w14:paraId="41DA4F53" w14:textId="77777777" w:rsidR="00B814E2" w:rsidRDefault="00B814E2" w:rsidP="00B814E2">
      <w:pPr>
        <w:spacing w:line="480" w:lineRule="auto"/>
        <w:ind w:left="720" w:hanging="720"/>
      </w:pPr>
    </w:p>
    <w:p w14:paraId="41DA4F54" w14:textId="77777777" w:rsidR="00B814E2" w:rsidRDefault="00B814E2" w:rsidP="00B814E2">
      <w:pPr>
        <w:spacing w:line="480" w:lineRule="auto"/>
        <w:ind w:left="720" w:hanging="720"/>
      </w:pPr>
      <w:r>
        <w:rPr>
          <w:b/>
        </w:rPr>
        <w:t>Q.</w:t>
      </w:r>
      <w:r>
        <w:rPr>
          <w:b/>
        </w:rPr>
        <w:tab/>
      </w:r>
      <w:r w:rsidR="00116089">
        <w:rPr>
          <w:b/>
        </w:rPr>
        <w:t>Has your contact information, employment status, or educational and professional background materially changed since</w:t>
      </w:r>
      <w:r w:rsidR="00E0220B">
        <w:rPr>
          <w:b/>
        </w:rPr>
        <w:t xml:space="preserve"> your prior testimony</w:t>
      </w:r>
      <w:r w:rsidR="00116089">
        <w:rPr>
          <w:b/>
        </w:rPr>
        <w:t>?</w:t>
      </w:r>
      <w:r>
        <w:rPr>
          <w:b/>
        </w:rPr>
        <w:t xml:space="preserve"> </w:t>
      </w:r>
    </w:p>
    <w:p w14:paraId="41DA4F55" w14:textId="77777777" w:rsidR="00B814E2" w:rsidRDefault="00116089" w:rsidP="00B814E2">
      <w:pPr>
        <w:spacing w:line="480" w:lineRule="auto"/>
        <w:ind w:left="720" w:hanging="720"/>
      </w:pPr>
      <w:r>
        <w:t>A.</w:t>
      </w:r>
      <w:r>
        <w:tab/>
        <w:t xml:space="preserve">No. </w:t>
      </w:r>
    </w:p>
    <w:p w14:paraId="41DA4F56" w14:textId="77777777" w:rsidR="003916B5" w:rsidRDefault="003916B5" w:rsidP="00B814E2">
      <w:pPr>
        <w:spacing w:line="480" w:lineRule="auto"/>
        <w:ind w:left="720" w:hanging="720"/>
      </w:pPr>
    </w:p>
    <w:p w14:paraId="41DA4F57" w14:textId="77777777" w:rsidR="003916B5" w:rsidRPr="00EC03C5" w:rsidRDefault="003916B5" w:rsidP="003916B5">
      <w:pPr>
        <w:spacing w:line="480" w:lineRule="auto"/>
        <w:ind w:left="720" w:hanging="720"/>
        <w:rPr>
          <w:b/>
        </w:rPr>
      </w:pPr>
      <w:r w:rsidRPr="00EC03C5">
        <w:rPr>
          <w:b/>
        </w:rPr>
        <w:t>Q.</w:t>
      </w:r>
      <w:r w:rsidRPr="00EC03C5">
        <w:rPr>
          <w:b/>
        </w:rPr>
        <w:tab/>
        <w:t>Does Staff’s</w:t>
      </w:r>
      <w:r>
        <w:rPr>
          <w:b/>
        </w:rPr>
        <w:t xml:space="preserve"> initial brief, filed on November 7, 2014</w:t>
      </w:r>
      <w:r w:rsidRPr="00EC03C5">
        <w:rPr>
          <w:b/>
        </w:rPr>
        <w:t>, still accurately summarize Staff’</w:t>
      </w:r>
      <w:r>
        <w:rPr>
          <w:b/>
        </w:rPr>
        <w:t>s arguments and positions?</w:t>
      </w:r>
    </w:p>
    <w:p w14:paraId="41DA4F58" w14:textId="77777777" w:rsidR="003916B5" w:rsidRDefault="003916B5" w:rsidP="003916B5">
      <w:pPr>
        <w:spacing w:line="480" w:lineRule="auto"/>
        <w:ind w:left="720" w:hanging="720"/>
      </w:pPr>
      <w:r>
        <w:t>A.</w:t>
      </w:r>
      <w:r>
        <w:tab/>
        <w:t xml:space="preserve">Yes. </w:t>
      </w:r>
    </w:p>
    <w:p w14:paraId="41DA4F59" w14:textId="77777777" w:rsidR="001871D6" w:rsidRDefault="001871D6" w:rsidP="00B814E2">
      <w:pPr>
        <w:spacing w:line="480" w:lineRule="auto"/>
        <w:ind w:left="720" w:hanging="720"/>
      </w:pPr>
    </w:p>
    <w:p w14:paraId="41DA4F5A" w14:textId="77777777" w:rsidR="0023172D" w:rsidRDefault="00873FE6" w:rsidP="008A49DD">
      <w:pPr>
        <w:spacing w:line="480" w:lineRule="auto"/>
        <w:ind w:left="720" w:hanging="720"/>
        <w:rPr>
          <w:b/>
        </w:rPr>
      </w:pPr>
      <w:r>
        <w:tab/>
      </w:r>
      <w:r w:rsidR="002D4DEF">
        <w:rPr>
          <w:b/>
        </w:rPr>
        <w:t>II.</w:t>
      </w:r>
      <w:r w:rsidR="002D4DEF">
        <w:rPr>
          <w:b/>
        </w:rPr>
        <w:tab/>
      </w:r>
      <w:r w:rsidR="00191A4A">
        <w:rPr>
          <w:b/>
        </w:rPr>
        <w:t>PURPOSE</w:t>
      </w:r>
      <w:r w:rsidR="00C62D3B">
        <w:rPr>
          <w:b/>
        </w:rPr>
        <w:t xml:space="preserve"> AND SCOPE </w:t>
      </w:r>
      <w:r w:rsidR="00191A4A">
        <w:rPr>
          <w:b/>
        </w:rPr>
        <w:t xml:space="preserve">OF </w:t>
      </w:r>
      <w:r w:rsidR="008377B1">
        <w:rPr>
          <w:b/>
        </w:rPr>
        <w:t xml:space="preserve">SUPPLEMENTAL </w:t>
      </w:r>
      <w:r w:rsidR="00191A4A">
        <w:rPr>
          <w:b/>
        </w:rPr>
        <w:t>TESTIMONY</w:t>
      </w:r>
    </w:p>
    <w:p w14:paraId="5A78DC4A" w14:textId="77777777" w:rsidR="00291C9D" w:rsidRDefault="00291C9D" w:rsidP="008A49DD">
      <w:pPr>
        <w:spacing w:line="480" w:lineRule="auto"/>
        <w:ind w:left="720" w:hanging="720"/>
        <w:rPr>
          <w:b/>
        </w:rPr>
      </w:pPr>
    </w:p>
    <w:p w14:paraId="41DA4F5B" w14:textId="77777777" w:rsidR="00BA648D" w:rsidRPr="00BA648D" w:rsidRDefault="00BA648D" w:rsidP="00BA648D">
      <w:pPr>
        <w:spacing w:line="480" w:lineRule="auto"/>
        <w:rPr>
          <w:b/>
        </w:rPr>
      </w:pPr>
      <w:r w:rsidRPr="00BA648D">
        <w:rPr>
          <w:b/>
        </w:rPr>
        <w:t>Q.</w:t>
      </w:r>
      <w:r w:rsidRPr="00BA648D">
        <w:rPr>
          <w:b/>
        </w:rPr>
        <w:tab/>
      </w:r>
      <w:r w:rsidR="008A49DD">
        <w:rPr>
          <w:b/>
        </w:rPr>
        <w:t xml:space="preserve">Please explain why Staff is filing supplemental testimony. </w:t>
      </w:r>
      <w:r w:rsidRPr="00BA648D">
        <w:rPr>
          <w:b/>
        </w:rPr>
        <w:t xml:space="preserve"> </w:t>
      </w:r>
    </w:p>
    <w:p w14:paraId="41DA4F5C" w14:textId="77777777" w:rsidR="00537C92" w:rsidRDefault="00056F03" w:rsidP="00056F03">
      <w:pPr>
        <w:spacing w:line="480" w:lineRule="auto"/>
        <w:ind w:left="720" w:hanging="720"/>
      </w:pPr>
      <w:r>
        <w:t>A.</w:t>
      </w:r>
      <w:r>
        <w:tab/>
      </w:r>
      <w:r w:rsidR="008A49DD">
        <w:t>Waste Control, Inc. (“WCI”)</w:t>
      </w:r>
      <w:r w:rsidR="00872283">
        <w:t>,</w:t>
      </w:r>
      <w:r w:rsidR="008A49DD">
        <w:t xml:space="preserve"> filed </w:t>
      </w:r>
      <w:r w:rsidR="005E6752">
        <w:t xml:space="preserve">another edition of </w:t>
      </w:r>
      <w:r w:rsidR="008A49DD">
        <w:t>supplem</w:t>
      </w:r>
      <w:r w:rsidR="005E6752">
        <w:t>ental testimon</w:t>
      </w:r>
      <w:r w:rsidR="00872283">
        <w:t>ies</w:t>
      </w:r>
      <w:r w:rsidR="005E6752">
        <w:t xml:space="preserve"> </w:t>
      </w:r>
      <w:r w:rsidR="00051F5D">
        <w:t>on November 7, 2014</w:t>
      </w:r>
      <w:r w:rsidR="008A49DD">
        <w:t xml:space="preserve">. </w:t>
      </w:r>
      <w:r w:rsidR="005E6752">
        <w:t xml:space="preserve"> </w:t>
      </w:r>
      <w:r>
        <w:t xml:space="preserve">The </w:t>
      </w:r>
      <w:r w:rsidR="008A49DD">
        <w:t>Commission’s Order 10 granted Staff the opportunity to respond</w:t>
      </w:r>
      <w:r w:rsidR="00537C92">
        <w:t xml:space="preserve">.  </w:t>
      </w:r>
      <w:r w:rsidR="00EC03C5">
        <w:t xml:space="preserve">Staff recognizes an obligation to clarify the record to provide the appropriate context for the Commission’s </w:t>
      </w:r>
      <w:r w:rsidR="007509B2">
        <w:t xml:space="preserve">final </w:t>
      </w:r>
      <w:r w:rsidR="00EC03C5">
        <w:t xml:space="preserve">review.  </w:t>
      </w:r>
    </w:p>
    <w:p w14:paraId="41DA4F5D" w14:textId="77777777" w:rsidR="00EC03C5" w:rsidRDefault="00EC03C5" w:rsidP="00056F03">
      <w:pPr>
        <w:spacing w:line="480" w:lineRule="auto"/>
        <w:ind w:left="720" w:hanging="720"/>
      </w:pPr>
    </w:p>
    <w:p w14:paraId="41DA4F5E" w14:textId="77777777" w:rsidR="00BD7282" w:rsidRDefault="004E2B1B" w:rsidP="00291C9D">
      <w:pPr>
        <w:keepNext/>
        <w:spacing w:line="480" w:lineRule="auto"/>
        <w:ind w:left="720" w:hanging="720"/>
        <w:rPr>
          <w:b/>
        </w:rPr>
      </w:pPr>
      <w:r w:rsidRPr="00F5733A">
        <w:rPr>
          <w:b/>
        </w:rPr>
        <w:lastRenderedPageBreak/>
        <w:t xml:space="preserve">Q.  </w:t>
      </w:r>
      <w:r w:rsidR="00791BC8" w:rsidRPr="00F5733A">
        <w:rPr>
          <w:b/>
        </w:rPr>
        <w:tab/>
      </w:r>
      <w:r w:rsidR="00537C92">
        <w:rPr>
          <w:b/>
        </w:rPr>
        <w:t xml:space="preserve">Please provide a brief outline of your supplemental testimony. </w:t>
      </w:r>
    </w:p>
    <w:p w14:paraId="41DA4F5F" w14:textId="77777777" w:rsidR="00537C92" w:rsidRDefault="00BD7282" w:rsidP="00EC03C5">
      <w:pPr>
        <w:spacing w:line="480" w:lineRule="auto"/>
        <w:ind w:left="720" w:hanging="720"/>
      </w:pPr>
      <w:r>
        <w:t>A.</w:t>
      </w:r>
      <w:r>
        <w:tab/>
      </w:r>
      <w:r w:rsidR="005C12B8">
        <w:t xml:space="preserve">Section III </w:t>
      </w:r>
      <w:r w:rsidR="00B32A58">
        <w:t xml:space="preserve">briefly </w:t>
      </w:r>
      <w:r w:rsidR="005C12B8">
        <w:t>re</w:t>
      </w:r>
      <w:r w:rsidR="00B32A58">
        <w:t>states</w:t>
      </w:r>
      <w:r w:rsidR="00537C92">
        <w:t xml:space="preserve"> Staff’s positions regarding the remaining four contested issues. </w:t>
      </w:r>
      <w:r w:rsidR="005D4539">
        <w:t xml:space="preserve"> </w:t>
      </w:r>
      <w:r w:rsidR="00A46E62">
        <w:t>Section IV</w:t>
      </w:r>
      <w:r w:rsidR="00051F5D">
        <w:t xml:space="preserve"> address</w:t>
      </w:r>
      <w:r w:rsidR="00890AD2">
        <w:t>es</w:t>
      </w:r>
      <w:r w:rsidR="00890AD2" w:rsidRPr="00890AD2">
        <w:t xml:space="preserve"> the novel arguments and</w:t>
      </w:r>
      <w:r w:rsidR="00051F5D">
        <w:t xml:space="preserve"> misstatements</w:t>
      </w:r>
      <w:r w:rsidR="00890AD2">
        <w:t xml:space="preserve"> </w:t>
      </w:r>
      <w:r w:rsidR="00051F5D">
        <w:t xml:space="preserve">included in the Company’s </w:t>
      </w:r>
      <w:r w:rsidR="00EC03C5">
        <w:t xml:space="preserve">most recent </w:t>
      </w:r>
      <w:r w:rsidR="00051F5D">
        <w:t>supplemental testimon</w:t>
      </w:r>
      <w:r w:rsidR="00890AD2">
        <w:t>ies</w:t>
      </w:r>
      <w:r w:rsidR="005645AB">
        <w:t>, filed November 7, 2014</w:t>
      </w:r>
      <w:r w:rsidR="00051F5D">
        <w:t xml:space="preserve">. </w:t>
      </w:r>
    </w:p>
    <w:p w14:paraId="41DA4F60" w14:textId="77777777" w:rsidR="00FE6F06" w:rsidRPr="008A46D0" w:rsidRDefault="00FE6F06" w:rsidP="0023172D">
      <w:pPr>
        <w:spacing w:line="480" w:lineRule="auto"/>
        <w:ind w:left="720" w:hanging="720"/>
      </w:pPr>
    </w:p>
    <w:p w14:paraId="41DA4F61" w14:textId="77777777" w:rsidR="00501A33" w:rsidRDefault="00260C65" w:rsidP="00260C65">
      <w:pPr>
        <w:spacing w:line="480" w:lineRule="auto"/>
        <w:jc w:val="center"/>
        <w:rPr>
          <w:b/>
        </w:rPr>
      </w:pPr>
      <w:r>
        <w:rPr>
          <w:b/>
        </w:rPr>
        <w:t>III.</w:t>
      </w:r>
      <w:r w:rsidR="002D4DEF">
        <w:rPr>
          <w:b/>
        </w:rPr>
        <w:tab/>
      </w:r>
      <w:r w:rsidR="00A4079D">
        <w:rPr>
          <w:b/>
        </w:rPr>
        <w:t>FOUR CONTESTED ISSUES</w:t>
      </w:r>
    </w:p>
    <w:p w14:paraId="41DA4F62" w14:textId="77777777" w:rsidR="00815551" w:rsidRDefault="00815551" w:rsidP="00260C65">
      <w:pPr>
        <w:spacing w:line="480" w:lineRule="auto"/>
        <w:jc w:val="center"/>
        <w:rPr>
          <w:b/>
        </w:rPr>
      </w:pPr>
    </w:p>
    <w:p w14:paraId="41DA4F63" w14:textId="52CED4DB" w:rsidR="00815551" w:rsidRDefault="00815551" w:rsidP="00291C9D">
      <w:pPr>
        <w:spacing w:line="480" w:lineRule="auto"/>
        <w:ind w:left="720"/>
      </w:pPr>
      <w:r>
        <w:t xml:space="preserve">As briefly mentioned above, Staff feels that it is important to restate four contested issues and reiterate the manner in which Staff has addressed each issue. </w:t>
      </w:r>
      <w:r w:rsidR="005D4539">
        <w:t xml:space="preserve"> </w:t>
      </w:r>
      <w:r>
        <w:t xml:space="preserve">The four issues are: The adjustment to </w:t>
      </w:r>
      <w:r w:rsidR="002D078C">
        <w:t>Shared U</w:t>
      </w:r>
      <w:r>
        <w:t xml:space="preserve">tility </w:t>
      </w:r>
      <w:r w:rsidR="002D078C">
        <w:t>E</w:t>
      </w:r>
      <w:r>
        <w:t xml:space="preserve">xpenses </w:t>
      </w:r>
      <w:r w:rsidR="002D078C">
        <w:t>incurred by</w:t>
      </w:r>
      <w:r>
        <w:t xml:space="preserve"> WCI </w:t>
      </w:r>
      <w:r w:rsidR="002D078C">
        <w:t>and two affiliates</w:t>
      </w:r>
      <w:r w:rsidR="00A94DCC">
        <w:t xml:space="preserve"> through shared facilities</w:t>
      </w:r>
      <w:r>
        <w:t xml:space="preserve">; </w:t>
      </w:r>
      <w:r w:rsidR="0075232E">
        <w:t>the</w:t>
      </w:r>
      <w:r>
        <w:t xml:space="preserve"> manner in which </w:t>
      </w:r>
      <w:r w:rsidR="002D078C">
        <w:t>A</w:t>
      </w:r>
      <w:r>
        <w:t xml:space="preserve">ffiliate </w:t>
      </w:r>
      <w:r w:rsidR="002D078C">
        <w:t>L</w:t>
      </w:r>
      <w:r>
        <w:t xml:space="preserve">and </w:t>
      </w:r>
      <w:r w:rsidR="002D078C">
        <w:t>R</w:t>
      </w:r>
      <w:r>
        <w:t xml:space="preserve">ents are </w:t>
      </w:r>
      <w:r w:rsidR="002D078C">
        <w:t>priced and allocated</w:t>
      </w:r>
      <w:r>
        <w:t xml:space="preserve"> to </w:t>
      </w:r>
      <w:r w:rsidR="002D078C">
        <w:t>WCI</w:t>
      </w:r>
      <w:r>
        <w:t>; The amount of rate case costs that should be included in rates</w:t>
      </w:r>
      <w:r w:rsidR="00AE14A4">
        <w:t xml:space="preserve">; and last, Staff’s </w:t>
      </w:r>
      <w:r w:rsidR="00F77DE9">
        <w:t xml:space="preserve">recommendation </w:t>
      </w:r>
      <w:r w:rsidR="00AE14A4">
        <w:t xml:space="preserve">for </w:t>
      </w:r>
      <w:r>
        <w:t>reimbursement of Staff investigation costs</w:t>
      </w:r>
      <w:r w:rsidR="00AE14A4">
        <w:t>.</w:t>
      </w:r>
    </w:p>
    <w:p w14:paraId="04BF2374" w14:textId="77777777" w:rsidR="00291C9D" w:rsidRPr="003143FB" w:rsidRDefault="00291C9D" w:rsidP="00291C9D">
      <w:pPr>
        <w:spacing w:line="480" w:lineRule="auto"/>
        <w:ind w:left="720"/>
      </w:pPr>
    </w:p>
    <w:p w14:paraId="41DA4F64" w14:textId="7E86B4BA" w:rsidR="002D4DEF" w:rsidRDefault="00291C9D" w:rsidP="00A4079D">
      <w:pPr>
        <w:spacing w:line="480" w:lineRule="auto"/>
        <w:rPr>
          <w:b/>
        </w:rPr>
      </w:pPr>
      <w:r w:rsidRPr="00291C9D">
        <w:rPr>
          <w:b/>
        </w:rPr>
        <w:t xml:space="preserve">A. </w:t>
      </w:r>
      <w:r>
        <w:rPr>
          <w:b/>
        </w:rPr>
        <w:tab/>
      </w:r>
      <w:r w:rsidRPr="00291C9D">
        <w:rPr>
          <w:b/>
        </w:rPr>
        <w:t>Shared Utilities Expense, Adjustment R-6</w:t>
      </w:r>
      <w:r>
        <w:rPr>
          <w:b/>
        </w:rPr>
        <w:t>D</w:t>
      </w:r>
    </w:p>
    <w:p w14:paraId="339E0BCB" w14:textId="77777777" w:rsidR="00291C9D" w:rsidRPr="00291C9D" w:rsidRDefault="00291C9D" w:rsidP="00A4079D">
      <w:pPr>
        <w:spacing w:line="480" w:lineRule="auto"/>
        <w:rPr>
          <w:b/>
        </w:rPr>
      </w:pPr>
    </w:p>
    <w:p w14:paraId="41DA4F65" w14:textId="77777777" w:rsidR="00501A33" w:rsidRPr="006C190A" w:rsidRDefault="00501A33" w:rsidP="00501A33">
      <w:pPr>
        <w:spacing w:line="480" w:lineRule="auto"/>
        <w:ind w:left="720" w:hanging="720"/>
        <w:rPr>
          <w:b/>
        </w:rPr>
      </w:pPr>
      <w:r w:rsidRPr="006C190A">
        <w:rPr>
          <w:b/>
        </w:rPr>
        <w:t xml:space="preserve">Q. </w:t>
      </w:r>
      <w:r w:rsidRPr="006C190A">
        <w:rPr>
          <w:b/>
        </w:rPr>
        <w:tab/>
      </w:r>
      <w:r w:rsidR="00A4079D">
        <w:rPr>
          <w:b/>
        </w:rPr>
        <w:t xml:space="preserve">What is Staff’s recommendation for Shared Utilities Expense, Adjustment R-6D? </w:t>
      </w:r>
    </w:p>
    <w:p w14:paraId="41DA4F66" w14:textId="77777777" w:rsidR="00501A33" w:rsidRDefault="00501A33" w:rsidP="00501A33">
      <w:pPr>
        <w:spacing w:line="480" w:lineRule="auto"/>
        <w:ind w:left="720" w:hanging="720"/>
      </w:pPr>
      <w:r>
        <w:t>A.</w:t>
      </w:r>
      <w:r>
        <w:tab/>
      </w:r>
      <w:r w:rsidR="00A4079D">
        <w:t xml:space="preserve">Staff recommends the Commission </w:t>
      </w:r>
      <w:r w:rsidR="00A168BA">
        <w:t xml:space="preserve">allow WCI to recover </w:t>
      </w:r>
      <w:r w:rsidR="00600D6F">
        <w:t xml:space="preserve">a total </w:t>
      </w:r>
      <w:r w:rsidR="00A168BA">
        <w:t xml:space="preserve">allocation </w:t>
      </w:r>
      <w:r w:rsidR="00600D6F">
        <w:t>of</w:t>
      </w:r>
      <w:r w:rsidR="00A4079D">
        <w:t xml:space="preserve"> $13,975 in </w:t>
      </w:r>
      <w:r w:rsidR="00A168BA">
        <w:t>Shared U</w:t>
      </w:r>
      <w:r w:rsidR="00A4079D">
        <w:t xml:space="preserve">tilities </w:t>
      </w:r>
      <w:r w:rsidR="00A168BA">
        <w:t>E</w:t>
      </w:r>
      <w:r w:rsidR="00A4079D">
        <w:t>xpense</w:t>
      </w:r>
      <w:r w:rsidR="00600D6F">
        <w:t>.</w:t>
      </w:r>
      <w:r w:rsidR="004254F8">
        <w:rPr>
          <w:rStyle w:val="FootnoteReference"/>
        </w:rPr>
        <w:footnoteReference w:id="2"/>
      </w:r>
      <w:r w:rsidR="00600D6F">
        <w:t xml:space="preserve"> </w:t>
      </w:r>
      <w:r w:rsidR="00005434">
        <w:t xml:space="preserve"> </w:t>
      </w:r>
    </w:p>
    <w:p w14:paraId="41DA4F67" w14:textId="77777777" w:rsidR="004A2647" w:rsidRDefault="004A2647" w:rsidP="00501A33">
      <w:pPr>
        <w:spacing w:line="480" w:lineRule="auto"/>
        <w:ind w:left="720" w:hanging="720"/>
      </w:pPr>
    </w:p>
    <w:p w14:paraId="41DA4F68" w14:textId="77777777" w:rsidR="00464F4C" w:rsidRDefault="00464F4C" w:rsidP="00464F4C">
      <w:pPr>
        <w:spacing w:line="480" w:lineRule="auto"/>
        <w:ind w:left="720" w:hanging="720"/>
      </w:pPr>
      <w:r>
        <w:rPr>
          <w:b/>
        </w:rPr>
        <w:lastRenderedPageBreak/>
        <w:t>Q.</w:t>
      </w:r>
      <w:r>
        <w:rPr>
          <w:b/>
        </w:rPr>
        <w:tab/>
        <w:t>Why is the Shared Utilities Expense, Adjustment R-6D important?</w:t>
      </w:r>
    </w:p>
    <w:p w14:paraId="41DA4F69" w14:textId="77777777" w:rsidR="00464F4C" w:rsidRDefault="00464F4C" w:rsidP="00464F4C">
      <w:pPr>
        <w:spacing w:line="480" w:lineRule="auto"/>
        <w:ind w:left="720" w:hanging="720"/>
      </w:pPr>
      <w:r>
        <w:t>A.</w:t>
      </w:r>
      <w:r>
        <w:tab/>
        <w:t>WCI shares facilities with two other affiliates</w:t>
      </w:r>
      <w:r w:rsidR="00A94DCC">
        <w:t>, WCE and WCR.</w:t>
      </w:r>
      <w:r>
        <w:t xml:space="preserve"> </w:t>
      </w:r>
      <w:r w:rsidR="005D4539">
        <w:t xml:space="preserve"> </w:t>
      </w:r>
      <w:r>
        <w:t xml:space="preserve">Regulated ratepayers should not pay more than a fair allocation of Shared Utilities Expense related to those shared facilities.  A fair allocation is based on </w:t>
      </w:r>
      <w:r w:rsidR="00A94DCC">
        <w:t>reasonable and supported cost drivers</w:t>
      </w:r>
      <w:r>
        <w:t>.</w:t>
      </w:r>
    </w:p>
    <w:p w14:paraId="41DA4F6A" w14:textId="77777777" w:rsidR="00600D6F" w:rsidRDefault="00600D6F" w:rsidP="00501A33">
      <w:pPr>
        <w:spacing w:line="480" w:lineRule="auto"/>
        <w:ind w:left="720" w:hanging="720"/>
      </w:pPr>
    </w:p>
    <w:p w14:paraId="41DA4F6B" w14:textId="77777777" w:rsidR="00501A33" w:rsidRPr="00600D6F" w:rsidRDefault="00600D6F" w:rsidP="00501A33">
      <w:pPr>
        <w:spacing w:line="480" w:lineRule="auto"/>
        <w:ind w:left="720" w:hanging="720"/>
        <w:rPr>
          <w:b/>
        </w:rPr>
      </w:pPr>
      <w:r w:rsidRPr="00600D6F">
        <w:rPr>
          <w:b/>
        </w:rPr>
        <w:t>Q.</w:t>
      </w:r>
      <w:r w:rsidRPr="00600D6F">
        <w:rPr>
          <w:b/>
        </w:rPr>
        <w:tab/>
        <w:t>Briefly explain Staff’s recommendation.</w:t>
      </w:r>
    </w:p>
    <w:p w14:paraId="41DA4F6C" w14:textId="77777777" w:rsidR="00600D6F" w:rsidRDefault="00600D6F" w:rsidP="00501A33">
      <w:pPr>
        <w:spacing w:line="480" w:lineRule="auto"/>
        <w:ind w:left="720" w:hanging="720"/>
      </w:pPr>
      <w:r>
        <w:t>A.</w:t>
      </w:r>
      <w:r>
        <w:tab/>
      </w:r>
      <w:r w:rsidR="00AE14A4">
        <w:t xml:space="preserve">Utility services (e.g. electricity, water, </w:t>
      </w:r>
      <w:r w:rsidR="00A94DCC">
        <w:t>and sewer</w:t>
      </w:r>
      <w:r w:rsidR="00AE14A4">
        <w:t xml:space="preserve">) have been used by each </w:t>
      </w:r>
      <w:r w:rsidR="00A94DCC">
        <w:t>affiliate</w:t>
      </w:r>
      <w:r w:rsidR="00AE14A4">
        <w:t xml:space="preserve"> </w:t>
      </w:r>
      <w:r w:rsidR="00A94DCC">
        <w:t>sharing the facilities with</w:t>
      </w:r>
      <w:r w:rsidR="00AE14A4">
        <w:t xml:space="preserve"> WCI. </w:t>
      </w:r>
      <w:r w:rsidR="005D4539">
        <w:t xml:space="preserve"> </w:t>
      </w:r>
      <w:r w:rsidR="00AE14A4">
        <w:t xml:space="preserve">Therefore, to </w:t>
      </w:r>
      <w:r w:rsidR="00DE6229">
        <w:t xml:space="preserve">fairly </w:t>
      </w:r>
      <w:r w:rsidR="00AE14A4">
        <w:t xml:space="preserve">allocate </w:t>
      </w:r>
      <w:r w:rsidR="00DE6229">
        <w:t>Shared U</w:t>
      </w:r>
      <w:r w:rsidR="00AE14A4">
        <w:t>tilit</w:t>
      </w:r>
      <w:r w:rsidR="00DE6229">
        <w:t>ies</w:t>
      </w:r>
      <w:r w:rsidR="00AE14A4">
        <w:t xml:space="preserve"> </w:t>
      </w:r>
      <w:r w:rsidR="00DE6229">
        <w:t>E</w:t>
      </w:r>
      <w:r w:rsidR="00AE14A4">
        <w:t xml:space="preserve">xpense between </w:t>
      </w:r>
      <w:r w:rsidR="00DE6229">
        <w:t>affiliates</w:t>
      </w:r>
      <w:r w:rsidR="0056250C">
        <w:t>,</w:t>
      </w:r>
      <w:r w:rsidR="00AE14A4">
        <w:t xml:space="preserve"> Staff developed, </w:t>
      </w:r>
      <w:r w:rsidR="00F77DE9">
        <w:t xml:space="preserve">and later </w:t>
      </w:r>
      <w:r w:rsidR="00AE14A4">
        <w:t xml:space="preserve">updated an allocator that uses three factors. </w:t>
      </w:r>
      <w:r w:rsidR="005D4539">
        <w:t xml:space="preserve"> </w:t>
      </w:r>
      <w:r w:rsidR="00AE14A4">
        <w:t xml:space="preserve">A thorough </w:t>
      </w:r>
      <w:r w:rsidR="00030616">
        <w:t xml:space="preserve">description of </w:t>
      </w:r>
      <w:r w:rsidR="00464F4C">
        <w:t>the three-factor allocator</w:t>
      </w:r>
      <w:r w:rsidR="00030616">
        <w:t xml:space="preserve"> </w:t>
      </w:r>
      <w:r w:rsidR="00F77DE9">
        <w:t>is set forth</w:t>
      </w:r>
      <w:r w:rsidR="00030616">
        <w:t xml:space="preserve"> in </w:t>
      </w:r>
      <w:r w:rsidR="00F77DE9">
        <w:t xml:space="preserve">my </w:t>
      </w:r>
      <w:r w:rsidR="005E40FA">
        <w:t>testimony, exhibits,</w:t>
      </w:r>
      <w:r w:rsidR="00030616">
        <w:t xml:space="preserve"> </w:t>
      </w:r>
      <w:r w:rsidR="007117DC">
        <w:t xml:space="preserve">partial settlement, </w:t>
      </w:r>
      <w:r w:rsidR="00030616">
        <w:t>and brief</w:t>
      </w:r>
      <w:r w:rsidR="003F360D">
        <w:t>,</w:t>
      </w:r>
      <w:r w:rsidR="00030616">
        <w:t xml:space="preserve"> and need not be repeated.</w:t>
      </w:r>
      <w:r w:rsidR="005C12B8">
        <w:rPr>
          <w:rStyle w:val="FootnoteReference"/>
        </w:rPr>
        <w:footnoteReference w:id="3"/>
      </w:r>
      <w:r w:rsidR="00030616">
        <w:t xml:space="preserve"> </w:t>
      </w:r>
    </w:p>
    <w:p w14:paraId="41DA4F6D" w14:textId="77777777" w:rsidR="00600D6F" w:rsidRDefault="00600D6F" w:rsidP="00501A33">
      <w:pPr>
        <w:spacing w:line="480" w:lineRule="auto"/>
        <w:ind w:left="720" w:hanging="720"/>
      </w:pPr>
    </w:p>
    <w:p w14:paraId="41DA4F6E" w14:textId="77777777" w:rsidR="00600D6F" w:rsidRPr="00600D6F" w:rsidRDefault="00600D6F" w:rsidP="00501A33">
      <w:pPr>
        <w:spacing w:line="480" w:lineRule="auto"/>
        <w:ind w:left="720" w:hanging="720"/>
        <w:rPr>
          <w:b/>
        </w:rPr>
      </w:pPr>
      <w:r w:rsidRPr="00600D6F">
        <w:rPr>
          <w:b/>
        </w:rPr>
        <w:t>Q.</w:t>
      </w:r>
      <w:r w:rsidRPr="00600D6F">
        <w:rPr>
          <w:b/>
        </w:rPr>
        <w:tab/>
        <w:t>Why did Staff create its own allocator?</w:t>
      </w:r>
    </w:p>
    <w:p w14:paraId="41DA4F6F" w14:textId="77777777" w:rsidR="00600D6F" w:rsidRDefault="00600D6F" w:rsidP="00501A33">
      <w:pPr>
        <w:spacing w:line="480" w:lineRule="auto"/>
        <w:ind w:left="720" w:hanging="720"/>
      </w:pPr>
      <w:r>
        <w:t>A.</w:t>
      </w:r>
      <w:r>
        <w:tab/>
      </w:r>
      <w:r w:rsidR="00464F4C">
        <w:t>Staff created its own allocator b</w:t>
      </w:r>
      <w:r>
        <w:t>ecause the Company</w:t>
      </w:r>
      <w:r w:rsidR="00EE7C0B">
        <w:t>’s direct case</w:t>
      </w:r>
      <w:r>
        <w:t xml:space="preserve"> did not </w:t>
      </w:r>
      <w:r w:rsidR="00895524">
        <w:t>propose</w:t>
      </w:r>
      <w:r>
        <w:t xml:space="preserve"> </w:t>
      </w:r>
      <w:r w:rsidR="00C34F12">
        <w:t>a</w:t>
      </w:r>
      <w:r w:rsidR="00301D8F">
        <w:t>n</w:t>
      </w:r>
      <w:r w:rsidR="00C34F12">
        <w:t xml:space="preserve"> </w:t>
      </w:r>
      <w:r w:rsidR="00301D8F">
        <w:t xml:space="preserve">allocator based on </w:t>
      </w:r>
      <w:r w:rsidR="00DE6229">
        <w:t xml:space="preserve">reasonable </w:t>
      </w:r>
      <w:r w:rsidR="00895524">
        <w:t>and</w:t>
      </w:r>
      <w:r>
        <w:t xml:space="preserve"> </w:t>
      </w:r>
      <w:r w:rsidR="00DE6229">
        <w:t>supported</w:t>
      </w:r>
      <w:r w:rsidR="00DE6229" w:rsidDel="00DE6229">
        <w:t xml:space="preserve"> </w:t>
      </w:r>
      <w:r w:rsidR="00DE6229">
        <w:t>cost drivers</w:t>
      </w:r>
      <w:r>
        <w:t>.</w:t>
      </w:r>
      <w:r w:rsidR="00030616">
        <w:rPr>
          <w:rStyle w:val="FootnoteReference"/>
        </w:rPr>
        <w:footnoteReference w:id="4"/>
      </w:r>
      <w:r w:rsidR="005E40FA">
        <w:t xml:space="preserve"> </w:t>
      </w:r>
      <w:r>
        <w:t xml:space="preserve"> Staff was left to either exclude </w:t>
      </w:r>
      <w:r w:rsidR="00DB431F">
        <w:t>Shared U</w:t>
      </w:r>
      <w:r>
        <w:t xml:space="preserve">tilities </w:t>
      </w:r>
      <w:r w:rsidR="00DB431F">
        <w:t>E</w:t>
      </w:r>
      <w:r>
        <w:t>xpens</w:t>
      </w:r>
      <w:r w:rsidR="00C333F7">
        <w:t>e as unsupported or develop an</w:t>
      </w:r>
      <w:r>
        <w:t xml:space="preserve"> allocation</w:t>
      </w:r>
      <w:r w:rsidR="00301D8F">
        <w:t xml:space="preserve"> factor</w:t>
      </w:r>
      <w:r>
        <w:t xml:space="preserve">.  </w:t>
      </w:r>
      <w:r w:rsidR="004A2647">
        <w:lastRenderedPageBreak/>
        <w:t>WCI</w:t>
      </w:r>
      <w:r>
        <w:t xml:space="preserve"> </w:t>
      </w:r>
      <w:r w:rsidR="003C4735">
        <w:t>must consume</w:t>
      </w:r>
      <w:r>
        <w:t xml:space="preserve"> some amount of utilities, </w:t>
      </w:r>
      <w:r w:rsidR="00C34F12">
        <w:t xml:space="preserve">so </w:t>
      </w:r>
      <w:r>
        <w:t xml:space="preserve">Staff took on the task of creating a </w:t>
      </w:r>
      <w:r w:rsidR="00301D8F">
        <w:t xml:space="preserve">reasonable </w:t>
      </w:r>
      <w:r w:rsidR="00895524">
        <w:t xml:space="preserve">and </w:t>
      </w:r>
      <w:r w:rsidR="00301D8F">
        <w:t xml:space="preserve">supported </w:t>
      </w:r>
      <w:r>
        <w:t xml:space="preserve">allocation </w:t>
      </w:r>
      <w:r w:rsidR="00301D8F">
        <w:t>factor</w:t>
      </w:r>
      <w:r>
        <w:t>.</w:t>
      </w:r>
    </w:p>
    <w:p w14:paraId="41DA4F71" w14:textId="77777777" w:rsidR="008D662A" w:rsidRDefault="008D662A" w:rsidP="008B563F">
      <w:pPr>
        <w:spacing w:line="480" w:lineRule="auto"/>
        <w:ind w:left="720" w:hanging="720"/>
      </w:pPr>
    </w:p>
    <w:p w14:paraId="41DA4F72" w14:textId="37050512" w:rsidR="00C333F7" w:rsidRPr="00291C9D" w:rsidRDefault="00291C9D" w:rsidP="008B563F">
      <w:pPr>
        <w:spacing w:line="480" w:lineRule="auto"/>
        <w:ind w:left="720" w:hanging="720"/>
        <w:rPr>
          <w:b/>
        </w:rPr>
      </w:pPr>
      <w:r>
        <w:rPr>
          <w:b/>
        </w:rPr>
        <w:t xml:space="preserve">B. </w:t>
      </w:r>
      <w:r>
        <w:rPr>
          <w:b/>
        </w:rPr>
        <w:tab/>
        <w:t>A</w:t>
      </w:r>
      <w:r w:rsidR="00C333F7" w:rsidRPr="00291C9D">
        <w:rPr>
          <w:b/>
        </w:rPr>
        <w:t>ffiliate Land Rents, Adjustment R-6E</w:t>
      </w:r>
    </w:p>
    <w:p w14:paraId="0B259D43" w14:textId="77777777" w:rsidR="00291C9D" w:rsidRDefault="00291C9D" w:rsidP="008B563F">
      <w:pPr>
        <w:spacing w:line="480" w:lineRule="auto"/>
        <w:ind w:left="720" w:hanging="720"/>
        <w:rPr>
          <w:b/>
        </w:rPr>
      </w:pPr>
    </w:p>
    <w:p w14:paraId="41DA4F73" w14:textId="77777777" w:rsidR="00C333F7" w:rsidRPr="00C333F7" w:rsidRDefault="00C333F7" w:rsidP="008B563F">
      <w:pPr>
        <w:spacing w:line="480" w:lineRule="auto"/>
        <w:ind w:left="720" w:hanging="720"/>
        <w:rPr>
          <w:b/>
        </w:rPr>
      </w:pPr>
      <w:r w:rsidRPr="00C333F7">
        <w:rPr>
          <w:b/>
        </w:rPr>
        <w:t xml:space="preserve">Q. </w:t>
      </w:r>
      <w:r w:rsidRPr="00C333F7">
        <w:rPr>
          <w:b/>
        </w:rPr>
        <w:tab/>
        <w:t>What is Staff’s recommendation for Affiliate Land Rents, Adjustment R-6E?</w:t>
      </w:r>
    </w:p>
    <w:p w14:paraId="41DA4F74" w14:textId="77777777" w:rsidR="00C333F7" w:rsidRDefault="00C333F7" w:rsidP="008B563F">
      <w:pPr>
        <w:spacing w:line="480" w:lineRule="auto"/>
        <w:ind w:left="720" w:hanging="720"/>
      </w:pPr>
      <w:r>
        <w:t>A.</w:t>
      </w:r>
      <w:r>
        <w:tab/>
        <w:t xml:space="preserve">Staff recommends the Commission allow WCI to </w:t>
      </w:r>
      <w:r w:rsidR="00E87525">
        <w:t xml:space="preserve">recover </w:t>
      </w:r>
      <w:r>
        <w:t xml:space="preserve">$85,217 </w:t>
      </w:r>
      <w:r w:rsidR="003412B0">
        <w:t xml:space="preserve">for </w:t>
      </w:r>
      <w:r w:rsidR="00056674">
        <w:t>A</w:t>
      </w:r>
      <w:r>
        <w:t xml:space="preserve">ffiliate </w:t>
      </w:r>
      <w:r w:rsidR="004843EA">
        <w:t>Land R</w:t>
      </w:r>
      <w:r>
        <w:t>ent</w:t>
      </w:r>
      <w:r w:rsidR="004843EA">
        <w:t>s.</w:t>
      </w:r>
      <w:r w:rsidR="00895524">
        <w:rPr>
          <w:rStyle w:val="FootnoteReference"/>
        </w:rPr>
        <w:footnoteReference w:id="5"/>
      </w:r>
    </w:p>
    <w:p w14:paraId="41DA4F75" w14:textId="77777777" w:rsidR="00F10330" w:rsidRDefault="00F10330" w:rsidP="008B563F">
      <w:pPr>
        <w:spacing w:line="480" w:lineRule="auto"/>
        <w:ind w:left="720" w:hanging="720"/>
      </w:pPr>
    </w:p>
    <w:p w14:paraId="41DA4F76" w14:textId="77777777" w:rsidR="00C333F7" w:rsidRPr="00C333F7" w:rsidRDefault="00C333F7" w:rsidP="008B563F">
      <w:pPr>
        <w:spacing w:line="480" w:lineRule="auto"/>
        <w:ind w:left="720" w:hanging="720"/>
        <w:rPr>
          <w:b/>
        </w:rPr>
      </w:pPr>
      <w:r w:rsidRPr="00C333F7">
        <w:rPr>
          <w:b/>
        </w:rPr>
        <w:t>Q.</w:t>
      </w:r>
      <w:r w:rsidRPr="00C333F7">
        <w:rPr>
          <w:b/>
        </w:rPr>
        <w:tab/>
        <w:t xml:space="preserve">Briefly explain the components of Staff’s recommendation. </w:t>
      </w:r>
    </w:p>
    <w:p w14:paraId="41DA4F77" w14:textId="77777777" w:rsidR="00C333F7" w:rsidRDefault="00C333F7" w:rsidP="008B563F">
      <w:pPr>
        <w:spacing w:line="480" w:lineRule="auto"/>
        <w:ind w:left="720" w:hanging="720"/>
      </w:pPr>
      <w:r>
        <w:t>A.</w:t>
      </w:r>
      <w:r>
        <w:tab/>
        <w:t xml:space="preserve">Staff recommends </w:t>
      </w:r>
      <w:r w:rsidR="00F10330">
        <w:t xml:space="preserve">the Commission price the </w:t>
      </w:r>
      <w:r w:rsidR="00056674">
        <w:t>A</w:t>
      </w:r>
      <w:r w:rsidR="00F10330">
        <w:t xml:space="preserve">ffiliate </w:t>
      </w:r>
      <w:r w:rsidR="00056674">
        <w:t xml:space="preserve">Land Rents </w:t>
      </w:r>
      <w:r w:rsidR="00F10330">
        <w:t>transaction at the lower of cost or market</w:t>
      </w:r>
      <w:r w:rsidR="00725ECF">
        <w:t xml:space="preserve"> </w:t>
      </w:r>
      <w:r w:rsidR="00266202">
        <w:t>using</w:t>
      </w:r>
      <w:r w:rsidR="00F10330">
        <w:t xml:space="preserve"> </w:t>
      </w:r>
      <w:r w:rsidR="001871D6">
        <w:t>Staff’s</w:t>
      </w:r>
      <w:r w:rsidR="00F10330">
        <w:t xml:space="preserve"> </w:t>
      </w:r>
      <w:r>
        <w:t xml:space="preserve">cost-plus-return </w:t>
      </w:r>
      <w:r w:rsidR="00B270B6">
        <w:t>calculation</w:t>
      </w:r>
      <w:r>
        <w:t xml:space="preserve"> </w:t>
      </w:r>
      <w:r w:rsidR="00266202">
        <w:t>a</w:t>
      </w:r>
      <w:r w:rsidR="00F10330">
        <w:t>s the</w:t>
      </w:r>
      <w:r w:rsidR="001871D6">
        <w:t xml:space="preserve"> </w:t>
      </w:r>
      <w:r w:rsidR="00F10330">
        <w:t xml:space="preserve">appropriate methodology.  Staff’s recommendation </w:t>
      </w:r>
      <w:r>
        <w:t>relies on</w:t>
      </w:r>
      <w:r w:rsidR="00F10330">
        <w:t xml:space="preserve"> inputs for</w:t>
      </w:r>
      <w:r>
        <w:t xml:space="preserve"> </w:t>
      </w:r>
      <w:r w:rsidR="00056674">
        <w:t xml:space="preserve">each </w:t>
      </w:r>
      <w:r w:rsidR="004A2647">
        <w:t xml:space="preserve">individual </w:t>
      </w:r>
      <w:r w:rsidR="00056674">
        <w:t>affiliate landlord</w:t>
      </w:r>
      <w:r w:rsidR="004A2647">
        <w:t>’</w:t>
      </w:r>
      <w:r w:rsidR="00056674">
        <w:t>s separate</w:t>
      </w:r>
      <w:r w:rsidR="00780E2A">
        <w:t xml:space="preserve"> total company</w:t>
      </w:r>
      <w:r w:rsidR="00056674">
        <w:t xml:space="preserve"> </w:t>
      </w:r>
      <w:r>
        <w:t xml:space="preserve">capital structure, </w:t>
      </w:r>
      <w:r w:rsidR="00984518">
        <w:t>cost of</w:t>
      </w:r>
      <w:r>
        <w:t xml:space="preserve"> equity, cost of debt, and </w:t>
      </w:r>
      <w:r w:rsidR="00962799">
        <w:t xml:space="preserve">the </w:t>
      </w:r>
      <w:r>
        <w:t>allocation of</w:t>
      </w:r>
      <w:r w:rsidR="00962799">
        <w:t xml:space="preserve"> shared facilities</w:t>
      </w:r>
      <w:r w:rsidR="004617EE">
        <w:t>’</w:t>
      </w:r>
      <w:r>
        <w:t xml:space="preserve"> depreciation and average net investment.</w:t>
      </w:r>
      <w:r w:rsidR="00A1421F">
        <w:rPr>
          <w:rStyle w:val="FootnoteReference"/>
        </w:rPr>
        <w:footnoteReference w:id="6"/>
      </w:r>
      <w:r>
        <w:t xml:space="preserve"> </w:t>
      </w:r>
    </w:p>
    <w:p w14:paraId="41DA4F78" w14:textId="77777777" w:rsidR="00F10330" w:rsidRDefault="00F10330" w:rsidP="008B563F">
      <w:pPr>
        <w:spacing w:line="480" w:lineRule="auto"/>
        <w:ind w:left="720" w:hanging="720"/>
      </w:pPr>
    </w:p>
    <w:p w14:paraId="41DA4F79" w14:textId="77777777" w:rsidR="00C333F7" w:rsidRPr="00CD5B98" w:rsidRDefault="00C333F7" w:rsidP="008B563F">
      <w:pPr>
        <w:spacing w:line="480" w:lineRule="auto"/>
        <w:ind w:left="720" w:hanging="720"/>
        <w:rPr>
          <w:b/>
        </w:rPr>
      </w:pPr>
      <w:r w:rsidRPr="00CD5B98">
        <w:rPr>
          <w:b/>
        </w:rPr>
        <w:t>Q.</w:t>
      </w:r>
      <w:r w:rsidRPr="00CD5B98">
        <w:rPr>
          <w:b/>
        </w:rPr>
        <w:tab/>
      </w:r>
      <w:r w:rsidR="00CD5B98" w:rsidRPr="00CD5B98">
        <w:rPr>
          <w:b/>
        </w:rPr>
        <w:t>Briefly explain Staff’s recommendation for capital structure.</w:t>
      </w:r>
    </w:p>
    <w:p w14:paraId="41DA4F7A" w14:textId="77777777" w:rsidR="005057E4" w:rsidRDefault="00C333F7" w:rsidP="00B06423">
      <w:pPr>
        <w:spacing w:line="480" w:lineRule="auto"/>
        <w:ind w:left="720" w:hanging="720"/>
      </w:pPr>
      <w:r>
        <w:t>A.</w:t>
      </w:r>
      <w:r>
        <w:tab/>
        <w:t xml:space="preserve">The Commission should use </w:t>
      </w:r>
      <w:r w:rsidR="00056674">
        <w:t xml:space="preserve">each </w:t>
      </w:r>
      <w:r w:rsidR="00947673">
        <w:t xml:space="preserve">individual </w:t>
      </w:r>
      <w:r w:rsidR="00B270B6">
        <w:t xml:space="preserve">affiliate </w:t>
      </w:r>
      <w:r>
        <w:t>landlord</w:t>
      </w:r>
      <w:r w:rsidR="00947673">
        <w:t>’</w:t>
      </w:r>
      <w:r>
        <w:t xml:space="preserve">s </w:t>
      </w:r>
      <w:r w:rsidR="00056674">
        <w:t>separate</w:t>
      </w:r>
      <w:r w:rsidR="00C34F12">
        <w:t>,</w:t>
      </w:r>
      <w:r w:rsidR="00056674">
        <w:t xml:space="preserve"> total </w:t>
      </w:r>
      <w:r w:rsidR="00574A61">
        <w:t xml:space="preserve">company </w:t>
      </w:r>
      <w:r>
        <w:t xml:space="preserve">capital structure.  </w:t>
      </w:r>
    </w:p>
    <w:p w14:paraId="41DA4F7B" w14:textId="77777777" w:rsidR="00B06423" w:rsidRDefault="00B06423" w:rsidP="00B06423">
      <w:pPr>
        <w:spacing w:line="480" w:lineRule="auto"/>
        <w:ind w:left="720" w:hanging="720"/>
      </w:pPr>
    </w:p>
    <w:p w14:paraId="41DA4F7C" w14:textId="77777777" w:rsidR="005057E4" w:rsidRPr="008D662A" w:rsidRDefault="005057E4" w:rsidP="005057E4">
      <w:pPr>
        <w:spacing w:line="480" w:lineRule="auto"/>
        <w:ind w:left="720" w:hanging="720"/>
        <w:rPr>
          <w:b/>
        </w:rPr>
      </w:pPr>
      <w:r w:rsidRPr="008D662A">
        <w:rPr>
          <w:b/>
        </w:rPr>
        <w:lastRenderedPageBreak/>
        <w:t>Q.</w:t>
      </w:r>
      <w:r w:rsidRPr="008D662A">
        <w:rPr>
          <w:b/>
        </w:rPr>
        <w:tab/>
        <w:t>Please briefly describe Staff’s recommendation for</w:t>
      </w:r>
      <w:r w:rsidR="00574A61">
        <w:rPr>
          <w:b/>
        </w:rPr>
        <w:t xml:space="preserve"> each affiliate</w:t>
      </w:r>
      <w:r w:rsidR="0056250C">
        <w:rPr>
          <w:b/>
        </w:rPr>
        <w:t>’</w:t>
      </w:r>
      <w:r w:rsidR="00574A61">
        <w:rPr>
          <w:b/>
        </w:rPr>
        <w:t>s separate</w:t>
      </w:r>
      <w:r w:rsidRPr="008D662A">
        <w:rPr>
          <w:b/>
        </w:rPr>
        <w:t xml:space="preserve"> </w:t>
      </w:r>
      <w:r w:rsidR="008123F0">
        <w:rPr>
          <w:b/>
        </w:rPr>
        <w:t>cost of</w:t>
      </w:r>
      <w:r w:rsidR="00574A61">
        <w:rPr>
          <w:b/>
        </w:rPr>
        <w:t xml:space="preserve"> </w:t>
      </w:r>
      <w:r w:rsidRPr="008D662A">
        <w:rPr>
          <w:b/>
        </w:rPr>
        <w:t xml:space="preserve">equity, cost of debt, and </w:t>
      </w:r>
      <w:r w:rsidR="004617EE">
        <w:rPr>
          <w:b/>
        </w:rPr>
        <w:t xml:space="preserve">the </w:t>
      </w:r>
      <w:r w:rsidRPr="008D662A">
        <w:rPr>
          <w:b/>
        </w:rPr>
        <w:t xml:space="preserve">allocation of </w:t>
      </w:r>
      <w:r w:rsidR="004617EE">
        <w:rPr>
          <w:b/>
        </w:rPr>
        <w:t xml:space="preserve">shared facilities’ </w:t>
      </w:r>
      <w:r w:rsidRPr="008D662A">
        <w:rPr>
          <w:b/>
        </w:rPr>
        <w:t>depreciation and average net investment.</w:t>
      </w:r>
    </w:p>
    <w:p w14:paraId="41DA4F7D" w14:textId="77777777" w:rsidR="005057E4" w:rsidRDefault="005057E4" w:rsidP="005057E4">
      <w:pPr>
        <w:spacing w:line="480" w:lineRule="auto"/>
        <w:ind w:left="720" w:hanging="720"/>
      </w:pPr>
      <w:r>
        <w:t>A.</w:t>
      </w:r>
      <w:r>
        <w:tab/>
        <w:t xml:space="preserve">Staff recommends the Commission </w:t>
      </w:r>
      <w:r w:rsidR="00E0220B">
        <w:t>set</w:t>
      </w:r>
      <w:r>
        <w:t xml:space="preserve"> HBI</w:t>
      </w:r>
      <w:r w:rsidR="00E0220B">
        <w:t>’s</w:t>
      </w:r>
      <w:r>
        <w:t xml:space="preserve"> and HBII</w:t>
      </w:r>
      <w:r w:rsidR="00E0220B">
        <w:t>’s</w:t>
      </w:r>
      <w:r>
        <w:t xml:space="preserve"> </w:t>
      </w:r>
      <w:r w:rsidR="008123F0">
        <w:t>cost of</w:t>
      </w:r>
      <w:r>
        <w:t xml:space="preserve"> equity</w:t>
      </w:r>
      <w:r w:rsidR="00E0220B">
        <w:t xml:space="preserve"> at 12.5 percent and 13.1 percent, respectively. </w:t>
      </w:r>
      <w:r w:rsidR="005D4539">
        <w:t xml:space="preserve"> </w:t>
      </w:r>
      <w:r w:rsidR="0006427E">
        <w:t xml:space="preserve">HBI’s and HBII’s </w:t>
      </w:r>
      <w:r w:rsidR="008123F0">
        <w:t xml:space="preserve">cost of </w:t>
      </w:r>
      <w:r>
        <w:t>equity reflect</w:t>
      </w:r>
      <w:r w:rsidR="008123F0">
        <w:t>s Staff’</w:t>
      </w:r>
      <w:r w:rsidR="00A16DD1">
        <w:t>s Discounted Cash F</w:t>
      </w:r>
      <w:r w:rsidR="008123F0">
        <w:t>low calculation</w:t>
      </w:r>
      <w:r w:rsidR="00A16DD1">
        <w:t>s</w:t>
      </w:r>
      <w:r>
        <w:t xml:space="preserve"> </w:t>
      </w:r>
      <w:r w:rsidR="008123F0">
        <w:t>for</w:t>
      </w:r>
      <w:r>
        <w:t xml:space="preserve"> the </w:t>
      </w:r>
      <w:r w:rsidR="007509B2">
        <w:t xml:space="preserve">real estate </w:t>
      </w:r>
      <w:r w:rsidR="00F653F1">
        <w:t xml:space="preserve">investment </w:t>
      </w:r>
      <w:r w:rsidR="007509B2">
        <w:t>industry</w:t>
      </w:r>
      <w:r w:rsidR="00A16DD1">
        <w:rPr>
          <w:rStyle w:val="FootnoteReference"/>
        </w:rPr>
        <w:footnoteReference w:id="7"/>
      </w:r>
      <w:r>
        <w:t>.</w:t>
      </w:r>
    </w:p>
    <w:p w14:paraId="41DA4F7E" w14:textId="77777777" w:rsidR="00F10330" w:rsidRDefault="005057E4" w:rsidP="005057E4">
      <w:pPr>
        <w:spacing w:line="480" w:lineRule="auto"/>
        <w:ind w:left="720" w:hanging="720"/>
      </w:pPr>
      <w:r>
        <w:tab/>
      </w:r>
      <w:r>
        <w:tab/>
        <w:t xml:space="preserve">For </w:t>
      </w:r>
      <w:r w:rsidR="00574A61">
        <w:t xml:space="preserve">cost of </w:t>
      </w:r>
      <w:r>
        <w:t>debt, Staff recommends the Commission use HBI’s and HBII’s actual cost</w:t>
      </w:r>
      <w:r w:rsidR="00E0220B">
        <w:t>s</w:t>
      </w:r>
      <w:r>
        <w:t xml:space="preserve"> of debt </w:t>
      </w:r>
      <w:r w:rsidR="00E0220B">
        <w:t>of 2.2 percent and 4.3 percent, respectively.</w:t>
      </w:r>
      <w:r w:rsidR="00F04426">
        <w:rPr>
          <w:rStyle w:val="FootnoteReference"/>
        </w:rPr>
        <w:footnoteReference w:id="8"/>
      </w:r>
      <w:r w:rsidR="00E0220B">
        <w:t xml:space="preserve">  </w:t>
      </w:r>
    </w:p>
    <w:p w14:paraId="41DA4F7F" w14:textId="77777777" w:rsidR="00F10330" w:rsidRDefault="00F10330" w:rsidP="005057E4">
      <w:pPr>
        <w:spacing w:line="480" w:lineRule="auto"/>
        <w:ind w:left="720" w:hanging="720"/>
      </w:pPr>
      <w:r>
        <w:tab/>
      </w:r>
      <w:r>
        <w:tab/>
        <w:t>For allocating</w:t>
      </w:r>
      <w:r w:rsidR="00F653F1">
        <w:t xml:space="preserve"> shared facilities’</w:t>
      </w:r>
      <w:r>
        <w:t xml:space="preserve"> depreciation and average net investment, Staff recommends the Commission use the </w:t>
      </w:r>
      <w:r w:rsidR="00574A61">
        <w:t xml:space="preserve">updated </w:t>
      </w:r>
      <w:r>
        <w:t>three-factor allocator.</w:t>
      </w:r>
      <w:r w:rsidR="00E0220B">
        <w:t xml:space="preserve"> </w:t>
      </w:r>
    </w:p>
    <w:p w14:paraId="41DA4F80" w14:textId="77777777" w:rsidR="008D662A" w:rsidRDefault="008D662A" w:rsidP="005057E4">
      <w:pPr>
        <w:spacing w:line="480" w:lineRule="auto"/>
        <w:ind w:left="720" w:hanging="720"/>
      </w:pPr>
    </w:p>
    <w:p w14:paraId="41DA4F81" w14:textId="77777777" w:rsidR="00F10330" w:rsidRPr="008D662A" w:rsidRDefault="00F10330" w:rsidP="005057E4">
      <w:pPr>
        <w:spacing w:line="480" w:lineRule="auto"/>
        <w:ind w:left="720" w:hanging="720"/>
        <w:rPr>
          <w:b/>
        </w:rPr>
      </w:pPr>
      <w:r w:rsidRPr="008D662A">
        <w:rPr>
          <w:b/>
        </w:rPr>
        <w:t>Q.</w:t>
      </w:r>
      <w:r w:rsidRPr="008D662A">
        <w:rPr>
          <w:b/>
        </w:rPr>
        <w:tab/>
        <w:t>Why is Affiliate Land Rents, Adjustment R-6E important?</w:t>
      </w:r>
    </w:p>
    <w:p w14:paraId="41DA4F82" w14:textId="77777777" w:rsidR="00F10330" w:rsidRDefault="00F10330" w:rsidP="005057E4">
      <w:pPr>
        <w:spacing w:line="480" w:lineRule="auto"/>
        <w:ind w:left="720" w:hanging="720"/>
      </w:pPr>
      <w:r>
        <w:t>A.</w:t>
      </w:r>
      <w:r>
        <w:tab/>
      </w:r>
      <w:r w:rsidR="003C4735">
        <w:t xml:space="preserve">WCI </w:t>
      </w:r>
      <w:r w:rsidR="00132480">
        <w:t xml:space="preserve">is </w:t>
      </w:r>
      <w:r w:rsidR="000E4103">
        <w:t xml:space="preserve">effectively </w:t>
      </w:r>
      <w:r w:rsidR="003C4735">
        <w:t xml:space="preserve">asking the Commission to approve </w:t>
      </w:r>
      <w:r w:rsidR="007F398B">
        <w:t xml:space="preserve">a methodology that allows </w:t>
      </w:r>
      <w:r w:rsidR="00132480">
        <w:t xml:space="preserve">WCI to manipulate its debt and equity to inflate </w:t>
      </w:r>
      <w:r w:rsidR="00D815E0">
        <w:t xml:space="preserve">the amounts of rent paid to </w:t>
      </w:r>
      <w:r w:rsidR="004E0B44">
        <w:t xml:space="preserve">HBI and HBII </w:t>
      </w:r>
      <w:r w:rsidR="00D815E0">
        <w:t>for Affiliate Land Rents</w:t>
      </w:r>
      <w:r w:rsidR="003C4735">
        <w:t xml:space="preserve">. </w:t>
      </w:r>
      <w:r w:rsidR="005D4539">
        <w:t xml:space="preserve"> </w:t>
      </w:r>
      <w:r w:rsidR="0006427E">
        <w:t>The Company’s position is unfair</w:t>
      </w:r>
      <w:r w:rsidR="007F398B">
        <w:t xml:space="preserve"> to ratepayers</w:t>
      </w:r>
      <w:r w:rsidR="00903A18">
        <w:t xml:space="preserve"> and does not reflect Commission</w:t>
      </w:r>
      <w:r w:rsidR="0056250C">
        <w:t>’s</w:t>
      </w:r>
      <w:r w:rsidR="00903A18">
        <w:t xml:space="preserve"> practice</w:t>
      </w:r>
      <w:r w:rsidR="0006427E">
        <w:t xml:space="preserve">. </w:t>
      </w:r>
    </w:p>
    <w:p w14:paraId="41DA4F83" w14:textId="77777777" w:rsidR="0006427E" w:rsidRDefault="0006427E" w:rsidP="005057E4">
      <w:pPr>
        <w:spacing w:line="480" w:lineRule="auto"/>
        <w:ind w:left="720" w:hanging="720"/>
      </w:pPr>
    </w:p>
    <w:p w14:paraId="41DA4F84" w14:textId="54A2DAFD" w:rsidR="00F10330" w:rsidRDefault="008D662A" w:rsidP="00291C9D">
      <w:pPr>
        <w:keepNext/>
        <w:spacing w:line="480" w:lineRule="auto"/>
        <w:ind w:left="720" w:hanging="720"/>
        <w:rPr>
          <w:b/>
        </w:rPr>
      </w:pPr>
      <w:r w:rsidRPr="00291C9D">
        <w:rPr>
          <w:b/>
        </w:rPr>
        <w:t xml:space="preserve">C. </w:t>
      </w:r>
      <w:r w:rsidR="00291C9D">
        <w:rPr>
          <w:b/>
        </w:rPr>
        <w:tab/>
      </w:r>
      <w:r w:rsidRPr="00291C9D">
        <w:rPr>
          <w:b/>
        </w:rPr>
        <w:t>Rate Case Costs</w:t>
      </w:r>
    </w:p>
    <w:p w14:paraId="6DED660E" w14:textId="77777777" w:rsidR="00291C9D" w:rsidRPr="00291C9D" w:rsidRDefault="00291C9D" w:rsidP="00291C9D">
      <w:pPr>
        <w:keepNext/>
        <w:spacing w:line="480" w:lineRule="auto"/>
        <w:ind w:left="720" w:hanging="720"/>
        <w:rPr>
          <w:b/>
        </w:rPr>
      </w:pPr>
    </w:p>
    <w:p w14:paraId="41DA4F85" w14:textId="77777777" w:rsidR="0006427E" w:rsidRDefault="0006427E" w:rsidP="005057E4">
      <w:pPr>
        <w:spacing w:line="480" w:lineRule="auto"/>
        <w:ind w:left="720" w:hanging="720"/>
        <w:rPr>
          <w:b/>
        </w:rPr>
      </w:pPr>
      <w:r>
        <w:rPr>
          <w:b/>
        </w:rPr>
        <w:t>Q.</w:t>
      </w:r>
      <w:r>
        <w:rPr>
          <w:b/>
        </w:rPr>
        <w:tab/>
        <w:t>What is Staff’s recommendation for treatment of rate case costs?</w:t>
      </w:r>
    </w:p>
    <w:p w14:paraId="41DA4F86" w14:textId="77777777" w:rsidR="0006427E" w:rsidRDefault="0006427E" w:rsidP="005057E4">
      <w:pPr>
        <w:spacing w:line="480" w:lineRule="auto"/>
        <w:ind w:left="720" w:hanging="720"/>
      </w:pPr>
      <w:r>
        <w:lastRenderedPageBreak/>
        <w:t>A.</w:t>
      </w:r>
      <w:r>
        <w:tab/>
        <w:t xml:space="preserve">Staff recommends the Commission </w:t>
      </w:r>
      <w:r w:rsidR="000E4103">
        <w:t xml:space="preserve">allow the Company to recover 100 percent of </w:t>
      </w:r>
      <w:r w:rsidR="000806B0">
        <w:t xml:space="preserve">the </w:t>
      </w:r>
      <w:r w:rsidR="000806B0" w:rsidRPr="000806B0">
        <w:t>rate case expenses incurred prior to the Notice of Prehearing Conference issued</w:t>
      </w:r>
      <w:r w:rsidR="00903A18">
        <w:t xml:space="preserve"> </w:t>
      </w:r>
      <w:r w:rsidR="000E4103">
        <w:t xml:space="preserve">in Docket TG-131794, 50 percent of </w:t>
      </w:r>
      <w:r w:rsidR="000806B0" w:rsidRPr="000806B0">
        <w:t>rate case expenses incurred after the Notice of Prehearing Conference issued</w:t>
      </w:r>
      <w:r w:rsidR="000806B0" w:rsidRPr="000806B0" w:rsidDel="000806B0">
        <w:t xml:space="preserve"> </w:t>
      </w:r>
      <w:r w:rsidR="000E4103">
        <w:t xml:space="preserve"> in Docket TG-131794, and 50 percent of all </w:t>
      </w:r>
      <w:r w:rsidR="000806B0" w:rsidRPr="000806B0">
        <w:t xml:space="preserve">rate case expenses </w:t>
      </w:r>
      <w:r w:rsidR="000806B0">
        <w:t xml:space="preserve">incurred in </w:t>
      </w:r>
      <w:r w:rsidR="000E4103">
        <w:t xml:space="preserve">Docket TG-140560. </w:t>
      </w:r>
      <w:r w:rsidR="00F04426">
        <w:t xml:space="preserve"> </w:t>
      </w:r>
      <w:r w:rsidR="00962F70">
        <w:t>Staff then recommends the allowed rate case costs be amortized over five years.</w:t>
      </w:r>
      <w:r w:rsidR="000806B0">
        <w:rPr>
          <w:rStyle w:val="FootnoteReference"/>
        </w:rPr>
        <w:footnoteReference w:id="9"/>
      </w:r>
      <w:r w:rsidR="00962F70">
        <w:t xml:space="preserve"> </w:t>
      </w:r>
    </w:p>
    <w:p w14:paraId="41DA4F87" w14:textId="77777777" w:rsidR="00E0220B" w:rsidRDefault="00E0220B" w:rsidP="005057E4">
      <w:pPr>
        <w:spacing w:line="480" w:lineRule="auto"/>
        <w:ind w:left="720" w:hanging="720"/>
      </w:pPr>
    </w:p>
    <w:p w14:paraId="41DA4F88" w14:textId="77777777" w:rsidR="000E4103" w:rsidRPr="00DE7174" w:rsidRDefault="000E4103" w:rsidP="005057E4">
      <w:pPr>
        <w:spacing w:line="480" w:lineRule="auto"/>
        <w:ind w:left="720" w:hanging="720"/>
        <w:rPr>
          <w:b/>
        </w:rPr>
      </w:pPr>
      <w:r w:rsidRPr="00DE7174">
        <w:rPr>
          <w:b/>
        </w:rPr>
        <w:t>Q.</w:t>
      </w:r>
      <w:r w:rsidRPr="00DE7174">
        <w:rPr>
          <w:b/>
        </w:rPr>
        <w:tab/>
        <w:t>Please briefly explain Staff’s recommendation.</w:t>
      </w:r>
    </w:p>
    <w:p w14:paraId="41DA4F89" w14:textId="77777777" w:rsidR="00DE7174" w:rsidRDefault="000E4103" w:rsidP="00DE7174">
      <w:pPr>
        <w:spacing w:line="480" w:lineRule="auto"/>
        <w:ind w:left="720" w:hanging="720"/>
      </w:pPr>
      <w:r>
        <w:t>A.</w:t>
      </w:r>
      <w:r>
        <w:tab/>
        <w:t xml:space="preserve">WCI’s </w:t>
      </w:r>
      <w:r w:rsidR="00D12B56">
        <w:t xml:space="preserve">management </w:t>
      </w:r>
      <w:r>
        <w:t xml:space="preserve">control the Company’s rate filing, the strategy employed, and the professionals involved.  Ratepayers have no input. </w:t>
      </w:r>
      <w:r w:rsidR="00A60E4B">
        <w:t xml:space="preserve"> </w:t>
      </w:r>
      <w:r w:rsidR="00DE7174">
        <w:t>It is not fair or reasonable that ratepayers bear the entire cost for the Company’s initial failure to file a statutorily adequate rate case</w:t>
      </w:r>
      <w:r w:rsidR="002000FD">
        <w:t xml:space="preserve"> </w:t>
      </w:r>
      <w:r w:rsidR="00DE7174">
        <w:t>and the Company’s illogical positions</w:t>
      </w:r>
      <w:r w:rsidR="00CE71C9">
        <w:t xml:space="preserve"> on </w:t>
      </w:r>
      <w:r w:rsidR="00B9574A">
        <w:t>hardcodes</w:t>
      </w:r>
      <w:r w:rsidR="00746933">
        <w:rPr>
          <w:rStyle w:val="FootnoteReference"/>
        </w:rPr>
        <w:footnoteReference w:id="10"/>
      </w:r>
      <w:r w:rsidR="00DE7174">
        <w:t xml:space="preserve"> that created significant, unnecessary litigation. </w:t>
      </w:r>
      <w:r w:rsidR="00A60E4B">
        <w:t xml:space="preserve"> </w:t>
      </w:r>
      <w:r w:rsidR="00DE7174">
        <w:t>Staff’s recommendation is to balance ratepayer</w:t>
      </w:r>
      <w:r w:rsidR="00903A18">
        <w:t>s’</w:t>
      </w:r>
      <w:r w:rsidR="00DE7174">
        <w:t xml:space="preserve"> and shareholder</w:t>
      </w:r>
      <w:r w:rsidR="00903A18">
        <w:t>s’</w:t>
      </w:r>
      <w:r w:rsidR="00DE7174">
        <w:t xml:space="preserve"> interests.  </w:t>
      </w:r>
    </w:p>
    <w:p w14:paraId="41DA4F8A" w14:textId="77777777" w:rsidR="005B69EB" w:rsidRDefault="00962F70" w:rsidP="00DE7174">
      <w:pPr>
        <w:spacing w:line="480" w:lineRule="auto"/>
        <w:ind w:left="720" w:hanging="720"/>
      </w:pPr>
      <w:r>
        <w:tab/>
      </w:r>
      <w:r>
        <w:tab/>
        <w:t>Staff’s recommended five-year amortization period is reasonable based on the historical intervals between WCI’s rate cases.</w:t>
      </w:r>
      <w:r w:rsidR="00B508DD">
        <w:rPr>
          <w:rStyle w:val="FootnoteReference"/>
        </w:rPr>
        <w:footnoteReference w:id="11"/>
      </w:r>
      <w:r w:rsidR="00A60E4B">
        <w:t xml:space="preserve"> </w:t>
      </w:r>
      <w:r>
        <w:t xml:space="preserve"> Five years is also more than fair to the Company because WCI is unlikely to incur a similar level of rate case costs within five years.</w:t>
      </w:r>
    </w:p>
    <w:p w14:paraId="41DA4F8B" w14:textId="77777777" w:rsidR="00F96D5B" w:rsidRDefault="00F96D5B" w:rsidP="00DE7174">
      <w:pPr>
        <w:spacing w:line="480" w:lineRule="auto"/>
        <w:ind w:left="720" w:hanging="720"/>
      </w:pPr>
      <w:r>
        <w:tab/>
      </w:r>
      <w:r>
        <w:tab/>
        <w:t xml:space="preserve">Staff </w:t>
      </w:r>
      <w:r w:rsidR="00290673">
        <w:t xml:space="preserve">also </w:t>
      </w:r>
      <w:r>
        <w:t xml:space="preserve">believes that an amortization period of 10 to 20 years is reasonable. </w:t>
      </w:r>
      <w:r w:rsidR="00A60E4B">
        <w:t xml:space="preserve"> </w:t>
      </w:r>
      <w:r>
        <w:t xml:space="preserve">Because WCI’s filings in TG-131794 and TG-140560 are the first litigated solid waste cases in over 20 years, there has never been a dismissed solid waste litigated </w:t>
      </w:r>
      <w:r>
        <w:lastRenderedPageBreak/>
        <w:t xml:space="preserve">case in the history of the Commission, and TG-140560 was </w:t>
      </w:r>
      <w:r w:rsidR="00290673">
        <w:t xml:space="preserve">a </w:t>
      </w:r>
      <w:r>
        <w:t>required filing to resolve temporary rates</w:t>
      </w:r>
      <w:r w:rsidR="00290673">
        <w:t xml:space="preserve"> that WCI chose to litigate</w:t>
      </w:r>
      <w:r w:rsidR="0056250C">
        <w:t>.</w:t>
      </w:r>
      <w:r>
        <w:t xml:space="preserve"> </w:t>
      </w:r>
      <w:r w:rsidR="008A0538">
        <w:t xml:space="preserve"> </w:t>
      </w:r>
      <w:r w:rsidR="0056250C">
        <w:t>T</w:t>
      </w:r>
      <w:r>
        <w:t xml:space="preserve">hese events may never occur again. </w:t>
      </w:r>
      <w:r w:rsidR="00A60E4B">
        <w:t xml:space="preserve"> </w:t>
      </w:r>
      <w:r>
        <w:t>At the very least, these event</w:t>
      </w:r>
      <w:r w:rsidR="0056250C">
        <w:t>s</w:t>
      </w:r>
      <w:r>
        <w:t xml:space="preserve"> may not repeat for another 10 to 20 years. </w:t>
      </w:r>
    </w:p>
    <w:p w14:paraId="41DA4F8C" w14:textId="7938E2DD" w:rsidR="00962F70" w:rsidRDefault="00962F70" w:rsidP="00DE7174">
      <w:pPr>
        <w:spacing w:line="480" w:lineRule="auto"/>
        <w:ind w:left="720" w:hanging="720"/>
      </w:pPr>
    </w:p>
    <w:p w14:paraId="41DA4F8D" w14:textId="222957DC" w:rsidR="008D662A" w:rsidRDefault="008D662A" w:rsidP="00DE7174">
      <w:pPr>
        <w:spacing w:line="480" w:lineRule="auto"/>
        <w:ind w:left="720" w:hanging="720"/>
        <w:rPr>
          <w:b/>
        </w:rPr>
      </w:pPr>
      <w:r w:rsidRPr="00291C9D">
        <w:rPr>
          <w:b/>
        </w:rPr>
        <w:t xml:space="preserve">D. </w:t>
      </w:r>
      <w:r w:rsidR="00291C9D" w:rsidRPr="00291C9D">
        <w:rPr>
          <w:b/>
        </w:rPr>
        <w:tab/>
      </w:r>
      <w:r w:rsidRPr="00291C9D">
        <w:rPr>
          <w:b/>
        </w:rPr>
        <w:t>Investigation Fees</w:t>
      </w:r>
    </w:p>
    <w:p w14:paraId="61121BD2" w14:textId="77777777" w:rsidR="00291C9D" w:rsidRPr="00291C9D" w:rsidRDefault="00291C9D" w:rsidP="00DE7174">
      <w:pPr>
        <w:spacing w:line="480" w:lineRule="auto"/>
        <w:ind w:left="720" w:hanging="720"/>
        <w:rPr>
          <w:b/>
        </w:rPr>
      </w:pPr>
    </w:p>
    <w:p w14:paraId="41DA4F8E" w14:textId="77777777" w:rsidR="00962F70" w:rsidRPr="00962F70" w:rsidRDefault="00962F70" w:rsidP="005057E4">
      <w:pPr>
        <w:spacing w:line="480" w:lineRule="auto"/>
        <w:ind w:left="720" w:hanging="720"/>
        <w:rPr>
          <w:b/>
        </w:rPr>
      </w:pPr>
      <w:r w:rsidRPr="00962F70">
        <w:rPr>
          <w:b/>
        </w:rPr>
        <w:t>Q.</w:t>
      </w:r>
      <w:r w:rsidRPr="00962F70">
        <w:rPr>
          <w:b/>
        </w:rPr>
        <w:tab/>
        <w:t>What is Staff’s recommendation for investigation fees?</w:t>
      </w:r>
    </w:p>
    <w:p w14:paraId="41DA4F8F" w14:textId="77777777" w:rsidR="005057E4" w:rsidRDefault="00962F70" w:rsidP="005057E4">
      <w:pPr>
        <w:spacing w:line="480" w:lineRule="auto"/>
        <w:ind w:left="720" w:hanging="720"/>
      </w:pPr>
      <w:r>
        <w:t>A.</w:t>
      </w:r>
      <w:r>
        <w:tab/>
        <w:t xml:space="preserve">Staff recommends the Commission </w:t>
      </w:r>
      <w:r w:rsidR="001871D6">
        <w:t xml:space="preserve">bill WCI for </w:t>
      </w:r>
      <w:r>
        <w:t>$43,818.82</w:t>
      </w:r>
      <w:r w:rsidR="001871D6">
        <w:t xml:space="preserve"> of costs incurred by the Commission for Staff’s investigation </w:t>
      </w:r>
      <w:r w:rsidR="00B53F5E">
        <w:t>as it relate</w:t>
      </w:r>
      <w:r w:rsidR="0056250C">
        <w:t>s</w:t>
      </w:r>
      <w:r w:rsidR="00B53F5E">
        <w:t xml:space="preserve"> to </w:t>
      </w:r>
      <w:r w:rsidR="001871D6">
        <w:t>Dockets TG-131794 and TG-140560.</w:t>
      </w:r>
      <w:r w:rsidR="000806B0">
        <w:rPr>
          <w:rStyle w:val="FootnoteReference"/>
        </w:rPr>
        <w:footnoteReference w:id="12"/>
      </w:r>
      <w:r>
        <w:t xml:space="preserve">  To ensure fairness to ratepayers, the Commission should not allow the Company to recoup investigation fees in rates. </w:t>
      </w:r>
    </w:p>
    <w:p w14:paraId="41DA4F90" w14:textId="77777777" w:rsidR="001871D6" w:rsidRDefault="001871D6" w:rsidP="005057E4">
      <w:pPr>
        <w:spacing w:line="480" w:lineRule="auto"/>
        <w:ind w:left="720" w:hanging="720"/>
      </w:pPr>
    </w:p>
    <w:p w14:paraId="41DA4F91" w14:textId="77777777" w:rsidR="00962F70" w:rsidRPr="001871D6" w:rsidRDefault="00962F70" w:rsidP="005057E4">
      <w:pPr>
        <w:spacing w:line="480" w:lineRule="auto"/>
        <w:ind w:left="720" w:hanging="720"/>
        <w:rPr>
          <w:b/>
        </w:rPr>
      </w:pPr>
      <w:r w:rsidRPr="001871D6">
        <w:rPr>
          <w:b/>
        </w:rPr>
        <w:t>Q.</w:t>
      </w:r>
      <w:r w:rsidRPr="001871D6">
        <w:rPr>
          <w:b/>
        </w:rPr>
        <w:tab/>
        <w:t>Please briefly explain Staff’s recommendation.</w:t>
      </w:r>
    </w:p>
    <w:p w14:paraId="41DA4F92" w14:textId="77777777" w:rsidR="00962F70" w:rsidRDefault="00962F70" w:rsidP="005057E4">
      <w:pPr>
        <w:spacing w:line="480" w:lineRule="auto"/>
        <w:ind w:left="720" w:hanging="720"/>
      </w:pPr>
      <w:r>
        <w:t>A.</w:t>
      </w:r>
      <w:r>
        <w:tab/>
        <w:t xml:space="preserve">Staff devoted an extraordinary amount of time and resources to Dockets TG-131794 and TG-140560.  </w:t>
      </w:r>
      <w:r w:rsidR="001871D6">
        <w:t xml:space="preserve">The Company’s </w:t>
      </w:r>
      <w:r w:rsidR="00B53F5E">
        <w:t xml:space="preserve">complicated, </w:t>
      </w:r>
      <w:r w:rsidR="001871D6" w:rsidRPr="003143FB">
        <w:t xml:space="preserve">duplicative, </w:t>
      </w:r>
      <w:r w:rsidR="00170FC5" w:rsidRPr="003143FB">
        <w:t xml:space="preserve">and </w:t>
      </w:r>
      <w:r w:rsidR="00163DDB" w:rsidRPr="003143FB">
        <w:t>un</w:t>
      </w:r>
      <w:r w:rsidR="00B53F5E" w:rsidRPr="003143FB">
        <w:t>supported</w:t>
      </w:r>
      <w:r w:rsidR="001871D6">
        <w:t xml:space="preserve"> filings followed by WCI’s refusal to respond to Staff</w:t>
      </w:r>
      <w:r w:rsidR="00163DDB">
        <w:t>’s</w:t>
      </w:r>
      <w:r w:rsidR="001871D6">
        <w:t xml:space="preserve"> </w:t>
      </w:r>
      <w:r w:rsidR="00C23B8F">
        <w:t xml:space="preserve">data </w:t>
      </w:r>
      <w:r w:rsidR="001871D6">
        <w:t xml:space="preserve">requests </w:t>
      </w:r>
      <w:r w:rsidR="00163DDB">
        <w:t xml:space="preserve">7, 8, and 11 (which resulted in Staff’s Motion to Compel) </w:t>
      </w:r>
      <w:r w:rsidR="001871D6">
        <w:t xml:space="preserve">led to extensive delay, unnecessary litigation, and extraordinary costs to the </w:t>
      </w:r>
      <w:r w:rsidR="00B20CBC">
        <w:t xml:space="preserve">Company and the </w:t>
      </w:r>
      <w:r w:rsidR="001871D6">
        <w:t>Commission.</w:t>
      </w:r>
      <w:r w:rsidR="00672885">
        <w:rPr>
          <w:rStyle w:val="FootnoteReference"/>
        </w:rPr>
        <w:footnoteReference w:id="13"/>
      </w:r>
      <w:r w:rsidR="001871D6">
        <w:t xml:space="preserve">  </w:t>
      </w:r>
      <w:r w:rsidR="00EC03C5">
        <w:t>WCI’s shareholders</w:t>
      </w:r>
      <w:r w:rsidR="00B20CBC">
        <w:t>, not ratepayers,</w:t>
      </w:r>
      <w:r w:rsidR="00EC03C5">
        <w:t xml:space="preserve"> should bear those costs.</w:t>
      </w:r>
    </w:p>
    <w:p w14:paraId="41DA4F93" w14:textId="77777777" w:rsidR="00BA648D" w:rsidRDefault="00BA648D" w:rsidP="00C23B8F">
      <w:pPr>
        <w:spacing w:line="480" w:lineRule="auto"/>
        <w:rPr>
          <w:b/>
        </w:rPr>
      </w:pPr>
    </w:p>
    <w:p w14:paraId="41DA4F94" w14:textId="77777777" w:rsidR="00EB4AE2" w:rsidRDefault="00EB4AE2" w:rsidP="00291C9D">
      <w:pPr>
        <w:keepNext/>
        <w:spacing w:line="480" w:lineRule="auto"/>
        <w:jc w:val="center"/>
        <w:rPr>
          <w:b/>
        </w:rPr>
      </w:pPr>
      <w:r w:rsidRPr="00EB4AE2">
        <w:rPr>
          <w:b/>
        </w:rPr>
        <w:lastRenderedPageBreak/>
        <w:t>IV.</w:t>
      </w:r>
      <w:r w:rsidRPr="00EB4AE2">
        <w:rPr>
          <w:b/>
        </w:rPr>
        <w:tab/>
        <w:t>RESPONSES TO WCI NOVEMBER SUPPLEMENTAL TESTIMONIES</w:t>
      </w:r>
    </w:p>
    <w:p w14:paraId="41DA4F95" w14:textId="77777777" w:rsidR="00EB4AE2" w:rsidRDefault="00EB4AE2" w:rsidP="00C23B8F">
      <w:pPr>
        <w:spacing w:line="480" w:lineRule="auto"/>
      </w:pPr>
    </w:p>
    <w:p w14:paraId="41DA4F96" w14:textId="25D8DB8B" w:rsidR="00672885" w:rsidRDefault="00EB4AE2" w:rsidP="00672885">
      <w:pPr>
        <w:spacing w:line="480" w:lineRule="auto"/>
        <w:rPr>
          <w:b/>
        </w:rPr>
      </w:pPr>
      <w:r w:rsidRPr="00291C9D">
        <w:rPr>
          <w:b/>
        </w:rPr>
        <w:t xml:space="preserve">A. </w:t>
      </w:r>
      <w:r w:rsidR="00291C9D" w:rsidRPr="00291C9D">
        <w:rPr>
          <w:b/>
        </w:rPr>
        <w:tab/>
      </w:r>
      <w:r w:rsidR="00672885" w:rsidRPr="00291C9D">
        <w:rPr>
          <w:b/>
        </w:rPr>
        <w:t>Staff</w:t>
      </w:r>
      <w:r w:rsidR="0056250C" w:rsidRPr="00291C9D">
        <w:rPr>
          <w:b/>
        </w:rPr>
        <w:t>’s</w:t>
      </w:r>
      <w:r w:rsidR="00672885" w:rsidRPr="00291C9D">
        <w:rPr>
          <w:b/>
        </w:rPr>
        <w:t xml:space="preserve"> Response to Unidentified Staff</w:t>
      </w:r>
    </w:p>
    <w:p w14:paraId="0A8CB39A" w14:textId="77777777" w:rsidR="00291C9D" w:rsidRPr="00291C9D" w:rsidRDefault="00291C9D" w:rsidP="00672885">
      <w:pPr>
        <w:spacing w:line="480" w:lineRule="auto"/>
      </w:pPr>
    </w:p>
    <w:p w14:paraId="41DA4F97" w14:textId="77777777" w:rsidR="003143FB" w:rsidRPr="003143FB" w:rsidRDefault="003143FB" w:rsidP="003143FB">
      <w:pPr>
        <w:spacing w:line="480" w:lineRule="auto"/>
        <w:ind w:left="720" w:hanging="720"/>
        <w:rPr>
          <w:b/>
        </w:rPr>
      </w:pPr>
      <w:r w:rsidRPr="003143FB">
        <w:rPr>
          <w:b/>
        </w:rPr>
        <w:t>Q.</w:t>
      </w:r>
      <w:r w:rsidRPr="003143FB">
        <w:rPr>
          <w:b/>
        </w:rPr>
        <w:tab/>
        <w:t>Please specify the Company’s November 7, 2014, supplemental testimony statement</w:t>
      </w:r>
      <w:r>
        <w:rPr>
          <w:b/>
        </w:rPr>
        <w:t xml:space="preserve"> to which Staff is responding.</w:t>
      </w:r>
    </w:p>
    <w:p w14:paraId="41DA4F98" w14:textId="77777777" w:rsidR="003143FB" w:rsidRDefault="003143FB" w:rsidP="003143FB">
      <w:pPr>
        <w:spacing w:line="480" w:lineRule="auto"/>
        <w:ind w:left="720" w:hanging="720"/>
      </w:pPr>
      <w:r>
        <w:t>A.</w:t>
      </w:r>
      <w:r>
        <w:tab/>
        <w:t>Jackie Davis’ supplemental testimony filed November 7, 2014, states after the 2009 case, “…we were told by the Staff it was unnecessary to separate re</w:t>
      </w:r>
      <w:r w:rsidR="005A4995">
        <w:t>venues and expenses in Kalama…”</w:t>
      </w:r>
      <w:r w:rsidR="005A4995">
        <w:rPr>
          <w:rStyle w:val="FootnoteReference"/>
        </w:rPr>
        <w:footnoteReference w:id="14"/>
      </w:r>
      <w:r>
        <w:t xml:space="preserve">  </w:t>
      </w:r>
    </w:p>
    <w:p w14:paraId="41DA4F99" w14:textId="77777777" w:rsidR="003143FB" w:rsidRDefault="003143FB" w:rsidP="003143FB">
      <w:pPr>
        <w:spacing w:line="480" w:lineRule="auto"/>
      </w:pPr>
    </w:p>
    <w:p w14:paraId="41DA4F9A" w14:textId="77777777" w:rsidR="003143FB" w:rsidRPr="003143FB" w:rsidRDefault="003143FB" w:rsidP="003143FB">
      <w:pPr>
        <w:spacing w:line="480" w:lineRule="auto"/>
        <w:rPr>
          <w:b/>
        </w:rPr>
      </w:pPr>
      <w:r w:rsidRPr="003143FB">
        <w:rPr>
          <w:b/>
        </w:rPr>
        <w:t>Q.</w:t>
      </w:r>
      <w:r w:rsidRPr="003143FB">
        <w:rPr>
          <w:b/>
        </w:rPr>
        <w:tab/>
        <w:t xml:space="preserve">What </w:t>
      </w:r>
      <w:r w:rsidR="0056250C">
        <w:rPr>
          <w:b/>
        </w:rPr>
        <w:t>are</w:t>
      </w:r>
      <w:r w:rsidR="0056250C" w:rsidRPr="003143FB">
        <w:rPr>
          <w:b/>
        </w:rPr>
        <w:t xml:space="preserve"> </w:t>
      </w:r>
      <w:r w:rsidRPr="003143FB">
        <w:rPr>
          <w:b/>
        </w:rPr>
        <w:t xml:space="preserve">Staff’s issues with </w:t>
      </w:r>
      <w:r w:rsidR="00872283">
        <w:rPr>
          <w:b/>
        </w:rPr>
        <w:t>this</w:t>
      </w:r>
      <w:r w:rsidR="00872283" w:rsidRPr="003143FB">
        <w:rPr>
          <w:b/>
        </w:rPr>
        <w:t xml:space="preserve"> </w:t>
      </w:r>
      <w:r w:rsidRPr="003143FB">
        <w:rPr>
          <w:b/>
        </w:rPr>
        <w:t>statement?</w:t>
      </w:r>
    </w:p>
    <w:p w14:paraId="41DA4F9B" w14:textId="77777777" w:rsidR="00672885" w:rsidRDefault="003143FB" w:rsidP="005B2030">
      <w:pPr>
        <w:spacing w:line="480" w:lineRule="auto"/>
        <w:ind w:left="720" w:hanging="720"/>
      </w:pPr>
      <w:r>
        <w:t>A.</w:t>
      </w:r>
      <w:r>
        <w:tab/>
        <w:t xml:space="preserve">The Company does not identify the “UTC Staff auditor” who “instructed” the Company to file commingled regulated and non-regulated Kalama operations. </w:t>
      </w:r>
      <w:r w:rsidR="00A60E4B">
        <w:t xml:space="preserve"> </w:t>
      </w:r>
      <w:r>
        <w:t xml:space="preserve">WCI provides no support for its statements. </w:t>
      </w:r>
      <w:r w:rsidR="00A60E4B">
        <w:t xml:space="preserve"> </w:t>
      </w:r>
      <w:r>
        <w:t>There is no record in WCI’s 2009 rate case, including the “Top Of File Memo”</w:t>
      </w:r>
      <w:r w:rsidR="005A4995">
        <w:rPr>
          <w:rStyle w:val="FootnoteReference"/>
        </w:rPr>
        <w:footnoteReference w:id="15"/>
      </w:r>
      <w:r>
        <w:t xml:space="preserve">, to support WCI’s statements. </w:t>
      </w:r>
      <w:r w:rsidR="00A60E4B">
        <w:t xml:space="preserve"> </w:t>
      </w:r>
      <w:r>
        <w:t xml:space="preserve">Despite WCI’s claims, WCI filed both of its direct cases in TG-131794 and TG-140560 with a separation of regulated and non-regulated Kalama results of operations, which means the Company ignored the unidentified auditor’s undocumented, previously unacknowledged advice. </w:t>
      </w:r>
      <w:r w:rsidR="00A60E4B">
        <w:t xml:space="preserve"> </w:t>
      </w:r>
    </w:p>
    <w:p w14:paraId="41DA4F9C" w14:textId="77777777" w:rsidR="00AD07A1" w:rsidRPr="00291C9D" w:rsidRDefault="00AD07A1" w:rsidP="00672885">
      <w:pPr>
        <w:spacing w:line="480" w:lineRule="auto"/>
      </w:pPr>
    </w:p>
    <w:p w14:paraId="41DA4F9E" w14:textId="7FC6B19F" w:rsidR="006B7489" w:rsidRDefault="00672885" w:rsidP="00291C9D">
      <w:pPr>
        <w:keepNext/>
        <w:spacing w:line="480" w:lineRule="auto"/>
        <w:rPr>
          <w:b/>
        </w:rPr>
      </w:pPr>
      <w:r w:rsidRPr="00291C9D">
        <w:rPr>
          <w:b/>
        </w:rPr>
        <w:lastRenderedPageBreak/>
        <w:t xml:space="preserve">B. </w:t>
      </w:r>
      <w:r w:rsidR="00291C9D" w:rsidRPr="00291C9D">
        <w:rPr>
          <w:b/>
        </w:rPr>
        <w:tab/>
      </w:r>
      <w:r w:rsidRPr="00291C9D">
        <w:rPr>
          <w:b/>
        </w:rPr>
        <w:t>Staff</w:t>
      </w:r>
      <w:r w:rsidR="0056250C" w:rsidRPr="00291C9D">
        <w:rPr>
          <w:b/>
        </w:rPr>
        <w:t>’s</w:t>
      </w:r>
      <w:r w:rsidRPr="00291C9D">
        <w:rPr>
          <w:b/>
        </w:rPr>
        <w:t xml:space="preserve"> Response to General Rate Case Costs Related to Kalama</w:t>
      </w:r>
    </w:p>
    <w:p w14:paraId="358BF994" w14:textId="77777777" w:rsidR="00291C9D" w:rsidRPr="00291C9D" w:rsidRDefault="00291C9D" w:rsidP="00291C9D">
      <w:pPr>
        <w:keepNext/>
        <w:spacing w:line="480" w:lineRule="auto"/>
      </w:pPr>
    </w:p>
    <w:p w14:paraId="41DA4F9F" w14:textId="77777777" w:rsidR="006B7489" w:rsidRPr="006B7489" w:rsidRDefault="006B7489" w:rsidP="006B7489">
      <w:pPr>
        <w:spacing w:line="480" w:lineRule="auto"/>
        <w:ind w:left="720" w:hanging="720"/>
        <w:rPr>
          <w:b/>
        </w:rPr>
      </w:pPr>
      <w:r w:rsidRPr="006B7489">
        <w:rPr>
          <w:b/>
        </w:rPr>
        <w:t>Q.</w:t>
      </w:r>
      <w:r w:rsidRPr="006B7489">
        <w:rPr>
          <w:b/>
        </w:rPr>
        <w:tab/>
        <w:t>Please specify the Company’s November 7, 2014, supplemental testimony to which Staff is responding.</w:t>
      </w:r>
    </w:p>
    <w:p w14:paraId="41DA4FA0" w14:textId="77777777" w:rsidR="006B7489" w:rsidRDefault="006B7489" w:rsidP="006B7489">
      <w:pPr>
        <w:spacing w:line="480" w:lineRule="auto"/>
        <w:ind w:left="720" w:hanging="720"/>
      </w:pPr>
      <w:r>
        <w:t>A.</w:t>
      </w:r>
      <w:r>
        <w:tab/>
        <w:t xml:space="preserve">In general, Staff is responding to Jackie Davis’ testimony regarding the general rate case costs associated with the separation of non-regulated Kalama. </w:t>
      </w:r>
    </w:p>
    <w:p w14:paraId="41DA4FA1" w14:textId="77777777" w:rsidR="006B7489" w:rsidRDefault="006B7489" w:rsidP="006B7489">
      <w:pPr>
        <w:spacing w:line="480" w:lineRule="auto"/>
      </w:pPr>
    </w:p>
    <w:p w14:paraId="41DA4FA2" w14:textId="77777777" w:rsidR="006B7489" w:rsidRPr="006B7489" w:rsidRDefault="006B7489" w:rsidP="006B7489">
      <w:pPr>
        <w:spacing w:line="480" w:lineRule="auto"/>
        <w:ind w:left="720" w:hanging="720"/>
        <w:rPr>
          <w:b/>
        </w:rPr>
      </w:pPr>
      <w:r w:rsidRPr="006B7489">
        <w:rPr>
          <w:b/>
        </w:rPr>
        <w:t>Q.</w:t>
      </w:r>
      <w:r w:rsidRPr="006B7489">
        <w:rPr>
          <w:b/>
        </w:rPr>
        <w:tab/>
        <w:t>What is your response to Jackie Davis’ testimony regarding the general rate case costs associated with the separation of non-regulated Kalama?</w:t>
      </w:r>
    </w:p>
    <w:p w14:paraId="41DA4FA3" w14:textId="77777777" w:rsidR="006B7489" w:rsidRDefault="006B7489" w:rsidP="006B7489">
      <w:pPr>
        <w:spacing w:line="480" w:lineRule="auto"/>
        <w:ind w:left="720" w:hanging="720"/>
      </w:pPr>
      <w:r>
        <w:t>A.</w:t>
      </w:r>
      <w:r>
        <w:tab/>
        <w:t xml:space="preserve">WCI’s actions contributed greatly to costs incurred related to the separation of non-regulated Kalama. </w:t>
      </w:r>
      <w:r w:rsidR="00A60E4B">
        <w:t xml:space="preserve"> </w:t>
      </w:r>
      <w:r>
        <w:t xml:space="preserve">Jackie Davis’ supplemental testimony fails to discuss WCI’s attempts at describing all non-regulated Kalama operations and the unreliability of WCI’s test year route study. </w:t>
      </w:r>
      <w:r w:rsidR="00A60E4B">
        <w:t xml:space="preserve"> </w:t>
      </w:r>
      <w:r>
        <w:t>Staff issued five data requests</w:t>
      </w:r>
      <w:r w:rsidR="00B0117F">
        <w:rPr>
          <w:rStyle w:val="FootnoteReference"/>
        </w:rPr>
        <w:footnoteReference w:id="16"/>
      </w:r>
      <w:r>
        <w:t xml:space="preserve"> and engaged in several phone calls to request WCI describe all non-regulated Kalama operations.  WCI continually showed an inability to even reasonably describe non-regulated Kalama customer classes (i.e. residential, commercial, or drop-box).</w:t>
      </w:r>
      <w:r w:rsidR="00B0117F">
        <w:rPr>
          <w:rStyle w:val="FootnoteReference"/>
        </w:rPr>
        <w:footnoteReference w:id="17"/>
      </w:r>
      <w:r>
        <w:t xml:space="preserve"> </w:t>
      </w:r>
    </w:p>
    <w:p w14:paraId="41DA4FA4" w14:textId="77777777" w:rsidR="006B7489" w:rsidRDefault="006B7489" w:rsidP="006B7489">
      <w:pPr>
        <w:spacing w:line="480" w:lineRule="auto"/>
      </w:pPr>
    </w:p>
    <w:p w14:paraId="41DA4FA5" w14:textId="77777777" w:rsidR="006B7489" w:rsidRPr="006B7489" w:rsidRDefault="006B7489" w:rsidP="006B7489">
      <w:pPr>
        <w:spacing w:line="480" w:lineRule="auto"/>
        <w:ind w:left="720" w:hanging="720"/>
        <w:rPr>
          <w:b/>
        </w:rPr>
      </w:pPr>
      <w:r w:rsidRPr="006B7489">
        <w:rPr>
          <w:b/>
        </w:rPr>
        <w:t>Q.</w:t>
      </w:r>
      <w:r w:rsidRPr="006B7489">
        <w:rPr>
          <w:b/>
        </w:rPr>
        <w:tab/>
        <w:t>Please summari</w:t>
      </w:r>
      <w:r w:rsidR="004554BD">
        <w:rPr>
          <w:b/>
        </w:rPr>
        <w:t>ze</w:t>
      </w:r>
      <w:r w:rsidRPr="006B7489">
        <w:rPr>
          <w:b/>
        </w:rPr>
        <w:t xml:space="preserve"> WCI’s attempts to describe non-regulated Kalama customers.</w:t>
      </w:r>
    </w:p>
    <w:p w14:paraId="41DA4FA6" w14:textId="77777777" w:rsidR="00672885" w:rsidRDefault="006B7489" w:rsidP="006B7489">
      <w:pPr>
        <w:spacing w:line="480" w:lineRule="auto"/>
      </w:pPr>
      <w:r>
        <w:t>A.</w:t>
      </w:r>
      <w:r>
        <w:tab/>
        <w:t>The following table summarizes WCI’s attempts to describe non-regulated Kalama:</w:t>
      </w:r>
    </w:p>
    <w:tbl>
      <w:tblPr>
        <w:tblStyle w:val="TableGrid"/>
        <w:tblW w:w="0" w:type="auto"/>
        <w:tblInd w:w="720" w:type="dxa"/>
        <w:tblLook w:val="04A0" w:firstRow="1" w:lastRow="0" w:firstColumn="1" w:lastColumn="0" w:noHBand="0" w:noVBand="1"/>
      </w:tblPr>
      <w:tblGrid>
        <w:gridCol w:w="2336"/>
        <w:gridCol w:w="1970"/>
        <w:gridCol w:w="2064"/>
        <w:gridCol w:w="1828"/>
      </w:tblGrid>
      <w:tr w:rsidR="006B7489" w:rsidRPr="00E6548D" w14:paraId="41DA4FAB" w14:textId="77777777" w:rsidTr="006B7489">
        <w:trPr>
          <w:tblHeader/>
        </w:trPr>
        <w:tc>
          <w:tcPr>
            <w:tcW w:w="2336" w:type="dxa"/>
            <w:vAlign w:val="center"/>
          </w:tcPr>
          <w:p w14:paraId="41DA4FA7" w14:textId="77777777" w:rsidR="006B7489" w:rsidRPr="00E6548D" w:rsidRDefault="006B7489" w:rsidP="00D84493">
            <w:pPr>
              <w:jc w:val="center"/>
              <w:rPr>
                <w:rFonts w:ascii="Times New Roman" w:hAnsi="Times New Roman" w:cs="Times New Roman"/>
                <w:b/>
                <w:sz w:val="24"/>
                <w:szCs w:val="24"/>
              </w:rPr>
            </w:pPr>
            <w:r w:rsidRPr="00E6548D">
              <w:rPr>
                <w:rFonts w:ascii="Times New Roman" w:hAnsi="Times New Roman" w:cs="Times New Roman"/>
                <w:b/>
                <w:sz w:val="24"/>
                <w:szCs w:val="24"/>
              </w:rPr>
              <w:lastRenderedPageBreak/>
              <w:t>Date</w:t>
            </w:r>
          </w:p>
        </w:tc>
        <w:tc>
          <w:tcPr>
            <w:tcW w:w="1970" w:type="dxa"/>
            <w:vAlign w:val="center"/>
          </w:tcPr>
          <w:p w14:paraId="41DA4FA8" w14:textId="77777777" w:rsidR="006B7489" w:rsidRPr="00E6548D" w:rsidRDefault="006B7489" w:rsidP="00D84493">
            <w:pPr>
              <w:jc w:val="center"/>
              <w:rPr>
                <w:rFonts w:ascii="Times New Roman" w:hAnsi="Times New Roman" w:cs="Times New Roman"/>
                <w:b/>
                <w:sz w:val="24"/>
                <w:szCs w:val="24"/>
              </w:rPr>
            </w:pPr>
            <w:r w:rsidRPr="00E6548D">
              <w:rPr>
                <w:rFonts w:ascii="Times New Roman" w:hAnsi="Times New Roman" w:cs="Times New Roman"/>
                <w:b/>
                <w:sz w:val="24"/>
                <w:szCs w:val="24"/>
              </w:rPr>
              <w:t>Residential Cart Customers</w:t>
            </w:r>
          </w:p>
        </w:tc>
        <w:tc>
          <w:tcPr>
            <w:tcW w:w="2064" w:type="dxa"/>
            <w:vAlign w:val="center"/>
          </w:tcPr>
          <w:p w14:paraId="41DA4FA9" w14:textId="77777777" w:rsidR="006B7489" w:rsidRPr="00E6548D" w:rsidRDefault="006B7489" w:rsidP="00D84493">
            <w:pPr>
              <w:jc w:val="center"/>
              <w:rPr>
                <w:rFonts w:ascii="Times New Roman" w:hAnsi="Times New Roman" w:cs="Times New Roman"/>
                <w:b/>
                <w:sz w:val="24"/>
                <w:szCs w:val="24"/>
              </w:rPr>
            </w:pPr>
            <w:r w:rsidRPr="00E6548D">
              <w:rPr>
                <w:rFonts w:ascii="Times New Roman" w:hAnsi="Times New Roman" w:cs="Times New Roman"/>
                <w:b/>
                <w:sz w:val="24"/>
                <w:szCs w:val="24"/>
              </w:rPr>
              <w:t>Commercial Cart Customers</w:t>
            </w:r>
          </w:p>
        </w:tc>
        <w:tc>
          <w:tcPr>
            <w:tcW w:w="1828" w:type="dxa"/>
            <w:vAlign w:val="center"/>
          </w:tcPr>
          <w:p w14:paraId="41DA4FAA" w14:textId="77777777" w:rsidR="006B7489" w:rsidRPr="00E6548D" w:rsidRDefault="006B7489" w:rsidP="00D84493">
            <w:pPr>
              <w:jc w:val="center"/>
              <w:rPr>
                <w:rFonts w:ascii="Times New Roman" w:hAnsi="Times New Roman" w:cs="Times New Roman"/>
                <w:b/>
                <w:sz w:val="24"/>
                <w:szCs w:val="24"/>
              </w:rPr>
            </w:pPr>
            <w:r w:rsidRPr="00E6548D">
              <w:rPr>
                <w:rFonts w:ascii="Times New Roman" w:hAnsi="Times New Roman" w:cs="Times New Roman"/>
                <w:b/>
                <w:sz w:val="24"/>
                <w:szCs w:val="24"/>
              </w:rPr>
              <w:t>Commercial Container Customers</w:t>
            </w:r>
          </w:p>
        </w:tc>
      </w:tr>
      <w:tr w:rsidR="006B7489" w14:paraId="41DA4FB0" w14:textId="77777777" w:rsidTr="006B7489">
        <w:tc>
          <w:tcPr>
            <w:tcW w:w="2336" w:type="dxa"/>
          </w:tcPr>
          <w:p w14:paraId="41DA4FAC" w14:textId="77777777" w:rsidR="006B7489" w:rsidRDefault="006B7489" w:rsidP="00D84493">
            <w:pPr>
              <w:rPr>
                <w:rFonts w:ascii="Times New Roman" w:hAnsi="Times New Roman" w:cs="Times New Roman"/>
                <w:sz w:val="24"/>
                <w:szCs w:val="24"/>
              </w:rPr>
            </w:pPr>
            <w:r>
              <w:rPr>
                <w:rFonts w:ascii="Times New Roman" w:hAnsi="Times New Roman" w:cs="Times New Roman"/>
                <w:sz w:val="24"/>
                <w:szCs w:val="24"/>
              </w:rPr>
              <w:t>September 23, 2013</w:t>
            </w:r>
            <w:r>
              <w:rPr>
                <w:rStyle w:val="FootnoteReference"/>
                <w:rFonts w:ascii="Times New Roman" w:hAnsi="Times New Roman" w:cs="Times New Roman"/>
                <w:sz w:val="24"/>
                <w:szCs w:val="24"/>
              </w:rPr>
              <w:footnoteReference w:id="18"/>
            </w:r>
          </w:p>
        </w:tc>
        <w:tc>
          <w:tcPr>
            <w:tcW w:w="1970" w:type="dxa"/>
          </w:tcPr>
          <w:p w14:paraId="41DA4FAD"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789</w:t>
            </w:r>
          </w:p>
        </w:tc>
        <w:tc>
          <w:tcPr>
            <w:tcW w:w="2064" w:type="dxa"/>
          </w:tcPr>
          <w:p w14:paraId="41DA4FAE"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147</w:t>
            </w:r>
          </w:p>
        </w:tc>
        <w:tc>
          <w:tcPr>
            <w:tcW w:w="1828" w:type="dxa"/>
          </w:tcPr>
          <w:p w14:paraId="41DA4FAF"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29</w:t>
            </w:r>
          </w:p>
        </w:tc>
      </w:tr>
      <w:tr w:rsidR="006B7489" w14:paraId="41DA4FB5" w14:textId="77777777" w:rsidTr="006B7489">
        <w:tc>
          <w:tcPr>
            <w:tcW w:w="2336" w:type="dxa"/>
          </w:tcPr>
          <w:p w14:paraId="41DA4FB1" w14:textId="77777777" w:rsidR="006B7489" w:rsidRDefault="006B7489" w:rsidP="00D84493">
            <w:pPr>
              <w:rPr>
                <w:rFonts w:ascii="Times New Roman" w:hAnsi="Times New Roman" w:cs="Times New Roman"/>
                <w:sz w:val="24"/>
                <w:szCs w:val="24"/>
              </w:rPr>
            </w:pPr>
            <w:r>
              <w:rPr>
                <w:rFonts w:ascii="Times New Roman" w:hAnsi="Times New Roman" w:cs="Times New Roman"/>
                <w:sz w:val="24"/>
                <w:szCs w:val="24"/>
              </w:rPr>
              <w:t>November 2013</w:t>
            </w:r>
            <w:r>
              <w:rPr>
                <w:rStyle w:val="FootnoteReference"/>
                <w:rFonts w:ascii="Times New Roman" w:hAnsi="Times New Roman" w:cs="Times New Roman"/>
                <w:sz w:val="24"/>
                <w:szCs w:val="24"/>
              </w:rPr>
              <w:footnoteReference w:id="19"/>
            </w:r>
          </w:p>
        </w:tc>
        <w:tc>
          <w:tcPr>
            <w:tcW w:w="1970" w:type="dxa"/>
          </w:tcPr>
          <w:p w14:paraId="41DA4FB2"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789</w:t>
            </w:r>
          </w:p>
        </w:tc>
        <w:tc>
          <w:tcPr>
            <w:tcW w:w="2064" w:type="dxa"/>
          </w:tcPr>
          <w:p w14:paraId="41DA4FB3"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0</w:t>
            </w:r>
          </w:p>
        </w:tc>
        <w:tc>
          <w:tcPr>
            <w:tcW w:w="1828" w:type="dxa"/>
          </w:tcPr>
          <w:p w14:paraId="41DA4FB4"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0</w:t>
            </w:r>
          </w:p>
        </w:tc>
      </w:tr>
      <w:tr w:rsidR="006B7489" w14:paraId="41DA4FBA" w14:textId="77777777" w:rsidTr="006B7489">
        <w:tc>
          <w:tcPr>
            <w:tcW w:w="2336" w:type="dxa"/>
          </w:tcPr>
          <w:p w14:paraId="41DA4FB6" w14:textId="77777777" w:rsidR="006B7489" w:rsidRDefault="006B7489" w:rsidP="00D84493">
            <w:pPr>
              <w:rPr>
                <w:rFonts w:ascii="Times New Roman" w:hAnsi="Times New Roman" w:cs="Times New Roman"/>
                <w:sz w:val="24"/>
                <w:szCs w:val="24"/>
              </w:rPr>
            </w:pPr>
            <w:r>
              <w:rPr>
                <w:rFonts w:ascii="Times New Roman" w:hAnsi="Times New Roman" w:cs="Times New Roman"/>
                <w:sz w:val="24"/>
                <w:szCs w:val="24"/>
              </w:rPr>
              <w:t>April 3, 2014</w:t>
            </w:r>
            <w:r>
              <w:rPr>
                <w:rStyle w:val="FootnoteReference"/>
                <w:rFonts w:ascii="Times New Roman" w:hAnsi="Times New Roman" w:cs="Times New Roman"/>
                <w:sz w:val="24"/>
                <w:szCs w:val="24"/>
              </w:rPr>
              <w:footnoteReference w:id="20"/>
            </w:r>
          </w:p>
        </w:tc>
        <w:tc>
          <w:tcPr>
            <w:tcW w:w="1970" w:type="dxa"/>
          </w:tcPr>
          <w:p w14:paraId="41DA4FB7"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789</w:t>
            </w:r>
          </w:p>
        </w:tc>
        <w:tc>
          <w:tcPr>
            <w:tcW w:w="2064" w:type="dxa"/>
          </w:tcPr>
          <w:p w14:paraId="41DA4FB8"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0</w:t>
            </w:r>
          </w:p>
        </w:tc>
        <w:tc>
          <w:tcPr>
            <w:tcW w:w="1828" w:type="dxa"/>
          </w:tcPr>
          <w:p w14:paraId="41DA4FB9"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0</w:t>
            </w:r>
          </w:p>
        </w:tc>
      </w:tr>
      <w:tr w:rsidR="006B7489" w14:paraId="41DA4FBF" w14:textId="77777777" w:rsidTr="006B7489">
        <w:tc>
          <w:tcPr>
            <w:tcW w:w="2336" w:type="dxa"/>
          </w:tcPr>
          <w:p w14:paraId="41DA4FBB" w14:textId="77777777" w:rsidR="006B7489" w:rsidRDefault="006B7489" w:rsidP="00D84493">
            <w:pPr>
              <w:rPr>
                <w:rFonts w:ascii="Times New Roman" w:hAnsi="Times New Roman" w:cs="Times New Roman"/>
                <w:sz w:val="24"/>
                <w:szCs w:val="24"/>
              </w:rPr>
            </w:pPr>
            <w:r>
              <w:rPr>
                <w:rFonts w:ascii="Times New Roman" w:hAnsi="Times New Roman" w:cs="Times New Roman"/>
                <w:sz w:val="24"/>
                <w:szCs w:val="24"/>
              </w:rPr>
              <w:t>May 13, 2014</w:t>
            </w:r>
            <w:r>
              <w:rPr>
                <w:rStyle w:val="FootnoteReference"/>
                <w:rFonts w:ascii="Times New Roman" w:hAnsi="Times New Roman" w:cs="Times New Roman"/>
                <w:sz w:val="24"/>
                <w:szCs w:val="24"/>
              </w:rPr>
              <w:footnoteReference w:id="21"/>
            </w:r>
          </w:p>
        </w:tc>
        <w:tc>
          <w:tcPr>
            <w:tcW w:w="1970" w:type="dxa"/>
          </w:tcPr>
          <w:p w14:paraId="41DA4FBC"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789</w:t>
            </w:r>
          </w:p>
        </w:tc>
        <w:tc>
          <w:tcPr>
            <w:tcW w:w="2064" w:type="dxa"/>
          </w:tcPr>
          <w:p w14:paraId="41DA4FBD"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147</w:t>
            </w:r>
          </w:p>
        </w:tc>
        <w:tc>
          <w:tcPr>
            <w:tcW w:w="1828" w:type="dxa"/>
          </w:tcPr>
          <w:p w14:paraId="41DA4FBE"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0</w:t>
            </w:r>
          </w:p>
        </w:tc>
      </w:tr>
      <w:tr w:rsidR="006B7489" w14:paraId="41DA4FC4" w14:textId="77777777" w:rsidTr="006B7489">
        <w:tc>
          <w:tcPr>
            <w:tcW w:w="2336" w:type="dxa"/>
          </w:tcPr>
          <w:p w14:paraId="41DA4FC0" w14:textId="77777777" w:rsidR="006B7489" w:rsidRDefault="006B7489" w:rsidP="00D84493">
            <w:pPr>
              <w:rPr>
                <w:rFonts w:ascii="Times New Roman" w:hAnsi="Times New Roman" w:cs="Times New Roman"/>
                <w:sz w:val="24"/>
                <w:szCs w:val="24"/>
              </w:rPr>
            </w:pPr>
            <w:r>
              <w:rPr>
                <w:rFonts w:ascii="Times New Roman" w:hAnsi="Times New Roman" w:cs="Times New Roman"/>
                <w:sz w:val="24"/>
                <w:szCs w:val="24"/>
              </w:rPr>
              <w:t>May 23, 2014</w:t>
            </w:r>
            <w:r>
              <w:rPr>
                <w:rStyle w:val="FootnoteReference"/>
                <w:rFonts w:ascii="Times New Roman" w:hAnsi="Times New Roman" w:cs="Times New Roman"/>
                <w:sz w:val="24"/>
                <w:szCs w:val="24"/>
              </w:rPr>
              <w:footnoteReference w:id="22"/>
            </w:r>
          </w:p>
        </w:tc>
        <w:tc>
          <w:tcPr>
            <w:tcW w:w="1970" w:type="dxa"/>
          </w:tcPr>
          <w:p w14:paraId="41DA4FC1"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642</w:t>
            </w:r>
          </w:p>
        </w:tc>
        <w:tc>
          <w:tcPr>
            <w:tcW w:w="2064" w:type="dxa"/>
          </w:tcPr>
          <w:p w14:paraId="41DA4FC2"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147</w:t>
            </w:r>
          </w:p>
        </w:tc>
        <w:tc>
          <w:tcPr>
            <w:tcW w:w="1828" w:type="dxa"/>
          </w:tcPr>
          <w:p w14:paraId="41DA4FC3" w14:textId="77777777" w:rsidR="006B7489" w:rsidRDefault="006B7489" w:rsidP="00D84493">
            <w:pPr>
              <w:jc w:val="center"/>
              <w:rPr>
                <w:rFonts w:ascii="Times New Roman" w:hAnsi="Times New Roman" w:cs="Times New Roman"/>
                <w:sz w:val="24"/>
                <w:szCs w:val="24"/>
              </w:rPr>
            </w:pPr>
            <w:r>
              <w:rPr>
                <w:rFonts w:ascii="Times New Roman" w:hAnsi="Times New Roman" w:cs="Times New Roman"/>
                <w:sz w:val="24"/>
                <w:szCs w:val="24"/>
              </w:rPr>
              <w:t>38</w:t>
            </w:r>
          </w:p>
        </w:tc>
      </w:tr>
    </w:tbl>
    <w:p w14:paraId="41DA4FC5" w14:textId="77777777" w:rsidR="006B7489" w:rsidRDefault="006B7489" w:rsidP="006B7489">
      <w:pPr>
        <w:spacing w:line="480" w:lineRule="auto"/>
      </w:pPr>
    </w:p>
    <w:p w14:paraId="41DA4FC6" w14:textId="77777777" w:rsidR="006B7489" w:rsidRDefault="006B7489" w:rsidP="00581AF6">
      <w:pPr>
        <w:spacing w:line="480" w:lineRule="auto"/>
        <w:ind w:left="720" w:firstLine="720"/>
      </w:pPr>
      <w:r>
        <w:t xml:space="preserve">WCI provided no reconciliation or price-out to verify the changes made to the data that the Company used to calculate its customer count allocation factor for non-regulated Kalama. </w:t>
      </w:r>
    </w:p>
    <w:p w14:paraId="41DA4FC7" w14:textId="77777777" w:rsidR="006B7489" w:rsidRDefault="006B7489" w:rsidP="006B7489">
      <w:pPr>
        <w:spacing w:line="480" w:lineRule="auto"/>
      </w:pPr>
    </w:p>
    <w:p w14:paraId="41DA4FC8" w14:textId="77777777" w:rsidR="006B7489" w:rsidRPr="006B7489" w:rsidRDefault="006B7489" w:rsidP="006B7489">
      <w:pPr>
        <w:spacing w:line="480" w:lineRule="auto"/>
        <w:rPr>
          <w:b/>
        </w:rPr>
      </w:pPr>
      <w:r w:rsidRPr="006B7489">
        <w:rPr>
          <w:b/>
        </w:rPr>
        <w:t>Q.</w:t>
      </w:r>
      <w:r w:rsidRPr="006B7489">
        <w:rPr>
          <w:b/>
        </w:rPr>
        <w:tab/>
        <w:t>Does Staff have anyt</w:t>
      </w:r>
      <w:r>
        <w:rPr>
          <w:b/>
        </w:rPr>
        <w:t>hing else it would like to add?</w:t>
      </w:r>
    </w:p>
    <w:p w14:paraId="41DA4FC9" w14:textId="77777777" w:rsidR="006B7489" w:rsidRDefault="006B7489" w:rsidP="00581AF6">
      <w:pPr>
        <w:spacing w:line="480" w:lineRule="auto"/>
        <w:ind w:left="720" w:hanging="720"/>
      </w:pPr>
      <w:r>
        <w:t>A.</w:t>
      </w:r>
      <w:r>
        <w:tab/>
        <w:t xml:space="preserve">Yes. </w:t>
      </w:r>
      <w:r w:rsidR="00A60E4B">
        <w:t xml:space="preserve"> </w:t>
      </w:r>
      <w:r>
        <w:t xml:space="preserve">Staff’s testimony filed on July 18, 2014, relied on customer counts and billing information provided by the City of Kalama to define non-regulated Kalama operations. </w:t>
      </w:r>
      <w:r w:rsidR="00A60E4B">
        <w:t xml:space="preserve"> </w:t>
      </w:r>
      <w:r>
        <w:t xml:space="preserve">Staff’s testimony also relied on WCI’s data, as filed on May 23, 2014, to </w:t>
      </w:r>
      <w:r>
        <w:lastRenderedPageBreak/>
        <w:t xml:space="preserve">define regulated operations. </w:t>
      </w:r>
      <w:r w:rsidR="00A60E4B">
        <w:t xml:space="preserve"> </w:t>
      </w:r>
      <w:r>
        <w:t xml:space="preserve">Staff </w:t>
      </w:r>
      <w:r w:rsidR="004A2647">
        <w:t>required</w:t>
      </w:r>
      <w:r>
        <w:t xml:space="preserve"> WCI’s results of operations be separated between regulated and non-regulated Kalama operations so that the revenue requirement calculated using the Lur</w:t>
      </w:r>
      <w:r w:rsidR="0056250C">
        <w:t>i</w:t>
      </w:r>
      <w:r>
        <w:t>to-Gallagher methodology only reflects regulated operations.</w:t>
      </w:r>
    </w:p>
    <w:p w14:paraId="41DA4FCA" w14:textId="77777777" w:rsidR="006B7489" w:rsidRDefault="006B7489" w:rsidP="00581AF6">
      <w:pPr>
        <w:spacing w:line="480" w:lineRule="auto"/>
        <w:ind w:left="720" w:firstLine="360"/>
      </w:pPr>
      <w:r>
        <w:t>Ultimately, Staff agreed in settlement to commingle regulated and non-regulated operations because:</w:t>
      </w:r>
    </w:p>
    <w:p w14:paraId="41DA4FCB" w14:textId="77777777" w:rsidR="006B7489" w:rsidRDefault="006B7489" w:rsidP="00291C9D">
      <w:pPr>
        <w:pStyle w:val="ListParagraph"/>
        <w:numPr>
          <w:ilvl w:val="0"/>
          <w:numId w:val="55"/>
        </w:numPr>
        <w:spacing w:line="360" w:lineRule="auto"/>
        <w:ind w:left="1530"/>
      </w:pPr>
      <w:r>
        <w:t>WCI’s changing descriptions of customers for non-regulated Kalama.</w:t>
      </w:r>
    </w:p>
    <w:p w14:paraId="41DA4FCC" w14:textId="77777777" w:rsidR="006B7489" w:rsidRDefault="006B7489" w:rsidP="00291C9D">
      <w:pPr>
        <w:pStyle w:val="ListParagraph"/>
        <w:numPr>
          <w:ilvl w:val="0"/>
          <w:numId w:val="55"/>
        </w:numPr>
        <w:spacing w:line="360" w:lineRule="auto"/>
        <w:ind w:left="1530"/>
      </w:pPr>
      <w:r>
        <w:t>Staff could not rely on WCI’s test period route study.</w:t>
      </w:r>
      <w:r w:rsidR="00EF35BF">
        <w:rPr>
          <w:rStyle w:val="FootnoteReference"/>
        </w:rPr>
        <w:footnoteReference w:id="23"/>
      </w:r>
      <w:r>
        <w:t xml:space="preserve"> </w:t>
      </w:r>
    </w:p>
    <w:p w14:paraId="41DA4FCD" w14:textId="77777777" w:rsidR="006B7489" w:rsidRDefault="006B7489" w:rsidP="00291C9D">
      <w:pPr>
        <w:pStyle w:val="ListParagraph"/>
        <w:numPr>
          <w:ilvl w:val="0"/>
          <w:numId w:val="55"/>
        </w:numPr>
        <w:spacing w:line="360" w:lineRule="auto"/>
        <w:ind w:left="1530"/>
      </w:pPr>
      <w:r>
        <w:t>WCI acknowledges no longer tr</w:t>
      </w:r>
      <w:r w:rsidR="00777AFE">
        <w:t>acking non-regulated operations</w:t>
      </w:r>
      <w:r>
        <w:t>.</w:t>
      </w:r>
      <w:r w:rsidR="00EF35BF">
        <w:rPr>
          <w:rStyle w:val="FootnoteReference"/>
        </w:rPr>
        <w:footnoteReference w:id="24"/>
      </w:r>
    </w:p>
    <w:p w14:paraId="41DA4FCE" w14:textId="77777777" w:rsidR="006B7489" w:rsidRDefault="006B7489" w:rsidP="00291C9D">
      <w:pPr>
        <w:pStyle w:val="ListParagraph"/>
        <w:numPr>
          <w:ilvl w:val="0"/>
          <w:numId w:val="55"/>
        </w:numPr>
        <w:spacing w:line="360" w:lineRule="auto"/>
        <w:ind w:left="1530"/>
      </w:pPr>
      <w:r>
        <w:t>Staff determined that its own allocators were unreliable because they relied on the inaccurate data included in WCI’s filings.</w:t>
      </w:r>
    </w:p>
    <w:p w14:paraId="41DA4FCF" w14:textId="77777777" w:rsidR="006B7489" w:rsidRDefault="006B7489" w:rsidP="00291C9D">
      <w:pPr>
        <w:pStyle w:val="ListParagraph"/>
        <w:numPr>
          <w:ilvl w:val="0"/>
          <w:numId w:val="55"/>
        </w:numPr>
        <w:spacing w:line="360" w:lineRule="auto"/>
        <w:ind w:left="1530"/>
      </w:pPr>
      <w:r>
        <w:t>WCI’s new route study is also unreliable because the route study is more than a year outside of the test year.</w:t>
      </w:r>
    </w:p>
    <w:p w14:paraId="41DA4FD0" w14:textId="77777777" w:rsidR="006B7489" w:rsidRDefault="006B7489" w:rsidP="00291C9D">
      <w:pPr>
        <w:pStyle w:val="ListParagraph"/>
        <w:numPr>
          <w:ilvl w:val="0"/>
          <w:numId w:val="55"/>
        </w:numPr>
        <w:spacing w:line="360" w:lineRule="auto"/>
        <w:ind w:left="1530"/>
      </w:pPr>
      <w:r>
        <w:t>Non-regulated Kalama operations represent 5.5 percent of total Company revenues.</w:t>
      </w:r>
    </w:p>
    <w:p w14:paraId="41DA4FD1" w14:textId="77777777" w:rsidR="00672885" w:rsidRDefault="006B7489" w:rsidP="00291C9D">
      <w:pPr>
        <w:pStyle w:val="ListParagraph"/>
        <w:numPr>
          <w:ilvl w:val="0"/>
          <w:numId w:val="55"/>
        </w:numPr>
        <w:spacing w:line="360" w:lineRule="auto"/>
        <w:ind w:left="1530"/>
      </w:pPr>
      <w:r>
        <w:t>Staff and the Company agreed to assign a portion of the final revenue requirement to non-regulated Kalama.</w:t>
      </w:r>
    </w:p>
    <w:p w14:paraId="41DA4FD2" w14:textId="77777777" w:rsidR="006B7489" w:rsidRDefault="006B7489" w:rsidP="00672885">
      <w:pPr>
        <w:spacing w:line="480" w:lineRule="auto"/>
      </w:pPr>
    </w:p>
    <w:p w14:paraId="41DA4FD4" w14:textId="27A4EC76" w:rsidR="003143FB" w:rsidRDefault="00672885" w:rsidP="00672885">
      <w:pPr>
        <w:spacing w:line="480" w:lineRule="auto"/>
        <w:rPr>
          <w:b/>
        </w:rPr>
      </w:pPr>
      <w:r w:rsidRPr="00291C9D">
        <w:rPr>
          <w:b/>
        </w:rPr>
        <w:t xml:space="preserve">C. </w:t>
      </w:r>
      <w:r w:rsidR="00291C9D" w:rsidRPr="00291C9D">
        <w:rPr>
          <w:b/>
        </w:rPr>
        <w:tab/>
      </w:r>
      <w:r w:rsidR="003143FB" w:rsidRPr="00291C9D">
        <w:rPr>
          <w:b/>
        </w:rPr>
        <w:t>Staff</w:t>
      </w:r>
      <w:r w:rsidR="0056250C" w:rsidRPr="00291C9D">
        <w:rPr>
          <w:b/>
        </w:rPr>
        <w:t>’s</w:t>
      </w:r>
      <w:r w:rsidR="003143FB" w:rsidRPr="00291C9D">
        <w:rPr>
          <w:b/>
        </w:rPr>
        <w:t xml:space="preserve"> Response to Recovery Associated with General Rate Case Costs </w:t>
      </w:r>
    </w:p>
    <w:p w14:paraId="002C4DAD" w14:textId="77777777" w:rsidR="00291C9D" w:rsidRPr="00291C9D" w:rsidRDefault="00291C9D" w:rsidP="00672885">
      <w:pPr>
        <w:spacing w:line="480" w:lineRule="auto"/>
      </w:pPr>
    </w:p>
    <w:p w14:paraId="41DA4FD5" w14:textId="77777777" w:rsidR="00423773" w:rsidRPr="00423773" w:rsidRDefault="00423773" w:rsidP="00423773">
      <w:pPr>
        <w:spacing w:line="480" w:lineRule="auto"/>
        <w:ind w:left="720" w:hanging="720"/>
        <w:rPr>
          <w:b/>
        </w:rPr>
      </w:pPr>
      <w:r w:rsidRPr="00423773">
        <w:rPr>
          <w:b/>
        </w:rPr>
        <w:t>Q.</w:t>
      </w:r>
      <w:r w:rsidRPr="00423773">
        <w:rPr>
          <w:b/>
        </w:rPr>
        <w:tab/>
        <w:t>Please specify the Company’s November 7, 2014, supplemental testimony statement to which Staff is responding.</w:t>
      </w:r>
    </w:p>
    <w:p w14:paraId="41DA4FD6" w14:textId="77777777" w:rsidR="00423773" w:rsidRDefault="00423773" w:rsidP="00423773">
      <w:pPr>
        <w:spacing w:line="480" w:lineRule="auto"/>
        <w:ind w:left="720" w:hanging="720"/>
      </w:pPr>
      <w:r>
        <w:t>A.</w:t>
      </w:r>
      <w:r>
        <w:tab/>
        <w:t xml:space="preserve">Jackie Davis’ supplemental testimony filed November 7, 2014, describes how WCI’s rate case expenses increased and attempts to document the “volume of focused </w:t>
      </w:r>
      <w:r>
        <w:lastRenderedPageBreak/>
        <w:t xml:space="preserve">analytical work performed” in support of the Company’s rate case costs. </w:t>
      </w:r>
      <w:r w:rsidR="00A60E4B">
        <w:t xml:space="preserve"> </w:t>
      </w:r>
      <w:r>
        <w:t xml:space="preserve">Ms. Davis’ testimony argues that Staff’s practices caused WCI’s rate case costs and supports the Company’s argument that Staff’s recommendation to limit recovery of rate case costs is arbitrary.  </w:t>
      </w:r>
    </w:p>
    <w:p w14:paraId="41DA4FD7" w14:textId="77777777" w:rsidR="00423773" w:rsidRDefault="00423773" w:rsidP="00423773">
      <w:pPr>
        <w:spacing w:line="480" w:lineRule="auto"/>
      </w:pPr>
    </w:p>
    <w:p w14:paraId="41DA4FD8" w14:textId="25A27C9B" w:rsidR="00423773" w:rsidRPr="00423773" w:rsidRDefault="00423773" w:rsidP="00423773">
      <w:pPr>
        <w:spacing w:line="480" w:lineRule="auto"/>
        <w:ind w:left="720" w:hanging="720"/>
        <w:rPr>
          <w:b/>
        </w:rPr>
      </w:pPr>
      <w:r w:rsidRPr="00423773">
        <w:rPr>
          <w:b/>
        </w:rPr>
        <w:t>Q.</w:t>
      </w:r>
      <w:r w:rsidRPr="00423773">
        <w:rPr>
          <w:b/>
        </w:rPr>
        <w:tab/>
        <w:t>Would Staff like to provide greater clarification on its recommended recovery associated with general rate case costs??</w:t>
      </w:r>
    </w:p>
    <w:p w14:paraId="41DA4FD9" w14:textId="77777777" w:rsidR="00423773" w:rsidRDefault="00423773" w:rsidP="00581AF6">
      <w:pPr>
        <w:spacing w:line="480" w:lineRule="auto"/>
        <w:ind w:left="720" w:hanging="720"/>
      </w:pPr>
      <w:r>
        <w:t>A.</w:t>
      </w:r>
      <w:r>
        <w:tab/>
        <w:t xml:space="preserve">Yes. </w:t>
      </w:r>
      <w:r w:rsidR="00A60E4B">
        <w:t xml:space="preserve"> </w:t>
      </w:r>
      <w:r>
        <w:t xml:space="preserve">On December 19, 2013, WCI and Staff convened a settlement conference, but did not reach agreement. </w:t>
      </w:r>
      <w:r w:rsidR="00A60E4B">
        <w:t xml:space="preserve"> </w:t>
      </w:r>
      <w:r>
        <w:t xml:space="preserve">December 24, 2013, is a logical and reasonable starting date for 50 percent recovery because that is the Notice of Prehearing Conference date </w:t>
      </w:r>
      <w:r w:rsidR="00BF4259">
        <w:t xml:space="preserve">that </w:t>
      </w:r>
      <w:r>
        <w:t xml:space="preserve">marks the beginning of the formal adjudication process in TG-131794. </w:t>
      </w:r>
      <w:r w:rsidR="00A60E4B">
        <w:t xml:space="preserve"> </w:t>
      </w:r>
      <w:r>
        <w:t>Staff believes that on or after December 24, 2013, WCI began preparing its direct case.</w:t>
      </w:r>
    </w:p>
    <w:p w14:paraId="41DA4FDA" w14:textId="77777777" w:rsidR="00423773" w:rsidRDefault="00423773" w:rsidP="00581AF6">
      <w:pPr>
        <w:spacing w:line="480" w:lineRule="auto"/>
        <w:ind w:left="720" w:firstLine="720"/>
      </w:pPr>
      <w:r>
        <w:t xml:space="preserve">Staff’s proposed general rate case recovery is logical and reasonable because half recovery of each formal adjudicated general rate case allows recovery of one fully supported formal adjudicated general rate case. </w:t>
      </w:r>
      <w:r w:rsidR="00A60E4B">
        <w:t xml:space="preserve"> </w:t>
      </w:r>
      <w:r>
        <w:t xml:space="preserve">WCI is requesting the Commission allow full recovery of two formal adjudicated general rate cases. </w:t>
      </w:r>
      <w:r w:rsidR="00A60E4B">
        <w:t xml:space="preserve"> </w:t>
      </w:r>
      <w:r>
        <w:t>The ratepayers should bear 100 percent of the general rate case costs prior to TG-131794 Notice of Prehearing Conference, 50 percent of the general rate case costs related to WCI’s failed direct case in TG-131794, and 50 percent of costs related to the unduly complex filing of TG-140560.</w:t>
      </w:r>
      <w:r w:rsidR="00C32355">
        <w:rPr>
          <w:rStyle w:val="FootnoteReference"/>
        </w:rPr>
        <w:footnoteReference w:id="25"/>
      </w:r>
      <w:r>
        <w:t xml:space="preserve">  </w:t>
      </w:r>
    </w:p>
    <w:p w14:paraId="41DA4FDB" w14:textId="77777777" w:rsidR="00423773" w:rsidRDefault="00423773" w:rsidP="00423773">
      <w:pPr>
        <w:spacing w:line="480" w:lineRule="auto"/>
      </w:pPr>
    </w:p>
    <w:p w14:paraId="41DA4FDC" w14:textId="77777777" w:rsidR="00423773" w:rsidRPr="00423773" w:rsidRDefault="00423773" w:rsidP="00423773">
      <w:pPr>
        <w:spacing w:line="480" w:lineRule="auto"/>
        <w:ind w:left="720" w:hanging="720"/>
        <w:rPr>
          <w:b/>
        </w:rPr>
      </w:pPr>
      <w:r w:rsidRPr="00423773">
        <w:rPr>
          <w:b/>
        </w:rPr>
        <w:lastRenderedPageBreak/>
        <w:t>Q.</w:t>
      </w:r>
      <w:r w:rsidRPr="00423773">
        <w:rPr>
          <w:b/>
        </w:rPr>
        <w:tab/>
        <w:t>Is there anything else Staff would like to add with regards to why Staff thinks that WCI’s ratepayers should not bear 100 percent of the formal adjudication general rate case costs in TG-131794 and TG-140560?</w:t>
      </w:r>
    </w:p>
    <w:p w14:paraId="41DA4FDD" w14:textId="77777777" w:rsidR="00423773" w:rsidRDefault="00423773" w:rsidP="00581AF6">
      <w:pPr>
        <w:spacing w:line="480" w:lineRule="auto"/>
        <w:ind w:left="720" w:hanging="720"/>
      </w:pPr>
      <w:r>
        <w:t>A.</w:t>
      </w:r>
      <w:r>
        <w:tab/>
        <w:t xml:space="preserve">Yes. </w:t>
      </w:r>
      <w:r w:rsidR="00A60E4B">
        <w:t xml:space="preserve"> </w:t>
      </w:r>
      <w:r>
        <w:t xml:space="preserve">WCI and Staff had an opportunity to, at a minimum, partially settle adjustments during the informal proceedings of TG-131794 general rate case. </w:t>
      </w:r>
      <w:r w:rsidR="00A60E4B">
        <w:t xml:space="preserve"> </w:t>
      </w:r>
      <w:r>
        <w:t>WCI terminated settlement discussions.</w:t>
      </w:r>
      <w:r w:rsidR="00C32355">
        <w:rPr>
          <w:rStyle w:val="FootnoteReference"/>
        </w:rPr>
        <w:footnoteReference w:id="26"/>
      </w:r>
      <w:r>
        <w:t xml:space="preserve"> </w:t>
      </w:r>
    </w:p>
    <w:p w14:paraId="41DA4FDE" w14:textId="77777777" w:rsidR="003143FB" w:rsidRDefault="00423773" w:rsidP="00581AF6">
      <w:pPr>
        <w:spacing w:line="480" w:lineRule="auto"/>
        <w:ind w:left="720" w:firstLine="720"/>
      </w:pPr>
      <w:r>
        <w:t xml:space="preserve">The extraordinary general rate case costs associated with TG-131794 and TG-140560 are the fault of the Company. </w:t>
      </w:r>
      <w:r w:rsidR="00A60E4B">
        <w:t xml:space="preserve"> </w:t>
      </w:r>
      <w:r>
        <w:t>In TG-131794, WCI’s direct case was dismissed for failure to meet its burden of proof by producing insufficient evidence to support its rate request.</w:t>
      </w:r>
      <w:r w:rsidR="00A962EE">
        <w:rPr>
          <w:rStyle w:val="FootnoteReference"/>
        </w:rPr>
        <w:footnoteReference w:id="27"/>
      </w:r>
      <w:r>
        <w:t xml:space="preserve">  In TG-140560, WCI filed supplemental testimony and </w:t>
      </w:r>
      <w:r w:rsidR="004A2647">
        <w:t>exhibits</w:t>
      </w:r>
      <w:r>
        <w:t xml:space="preserve"> to accompany its direct testimony and </w:t>
      </w:r>
      <w:r w:rsidR="004A2647">
        <w:t xml:space="preserve">exhibits </w:t>
      </w:r>
      <w:r>
        <w:t>from its failed dismissed case</w:t>
      </w:r>
      <w:r w:rsidR="004A2647">
        <w:t xml:space="preserve"> which made the filing overly complicated and duplicative</w:t>
      </w:r>
      <w:r>
        <w:t xml:space="preserve">. </w:t>
      </w:r>
      <w:r w:rsidR="00A60E4B">
        <w:t xml:space="preserve"> </w:t>
      </w:r>
      <w:r w:rsidR="006C1C34">
        <w:t xml:space="preserve">WCI has filed four sets of testimony and continues to provide additional supporting information almost a year from its initial filing on April 3, 2014.  </w:t>
      </w:r>
      <w:r w:rsidR="004A2647">
        <w:t>Additionally, WCI’s</w:t>
      </w:r>
      <w:r>
        <w:t xml:space="preserve"> filing did not meet minimum filing requirements</w:t>
      </w:r>
      <w:r w:rsidR="004A2647">
        <w:t xml:space="preserve"> even though WCI used </w:t>
      </w:r>
      <w:r w:rsidR="00A06701">
        <w:t>Staff</w:t>
      </w:r>
      <w:r w:rsidR="005F6A29">
        <w:t>’s</w:t>
      </w:r>
      <w:r w:rsidR="00A06701">
        <w:t xml:space="preserve"> provided Solid Waste General Rate Case Checklist</w:t>
      </w:r>
      <w:r>
        <w:t xml:space="preserve">. </w:t>
      </w:r>
      <w:r w:rsidR="00A60E4B">
        <w:t xml:space="preserve"> </w:t>
      </w:r>
      <w:r w:rsidR="00A06701">
        <w:t>The</w:t>
      </w:r>
      <w:r>
        <w:t xml:space="preserve"> Company </w:t>
      </w:r>
      <w:r w:rsidR="00A06701">
        <w:t xml:space="preserve">has the </w:t>
      </w:r>
      <w:r>
        <w:t xml:space="preserve">burden to </w:t>
      </w:r>
      <w:r w:rsidR="00A06701">
        <w:t xml:space="preserve">demonstrate that the </w:t>
      </w:r>
      <w:r w:rsidR="00A06701">
        <w:lastRenderedPageBreak/>
        <w:t>proposed expenses are prudent and reasonable.</w:t>
      </w:r>
      <w:r w:rsidR="00A60E4B">
        <w:t xml:space="preserve"> </w:t>
      </w:r>
      <w:r w:rsidR="00A06701">
        <w:t xml:space="preserve"> If Staff determines the supporting information provided by the Company is insufficient, Staff requests, both informally and formally, for additional information to support the proposed expense</w:t>
      </w:r>
      <w:r w:rsidR="0056250C">
        <w:t>s</w:t>
      </w:r>
      <w:r w:rsidR="00A06701">
        <w:t>.</w:t>
      </w:r>
    </w:p>
    <w:p w14:paraId="41DA4FDF" w14:textId="77777777" w:rsidR="00A06701" w:rsidRDefault="00A06701" w:rsidP="00581AF6">
      <w:pPr>
        <w:spacing w:line="480" w:lineRule="auto"/>
        <w:ind w:left="720" w:firstLine="720"/>
      </w:pPr>
      <w:r>
        <w:t xml:space="preserve">Staff’s review in </w:t>
      </w:r>
      <w:r w:rsidRPr="00A06701">
        <w:t xml:space="preserve">TG-131794 and TG-140560 are based on affiliate transactions and financial information as provided by the Company in its initial filings and subsequent responses to data requests. </w:t>
      </w:r>
      <w:r w:rsidR="00A60E4B">
        <w:t xml:space="preserve"> </w:t>
      </w:r>
      <w:r w:rsidRPr="00A06701">
        <w:t>The more incomplete and unsupported the Company’s initial filings and responses to Staff’s data requests, the more data requests Staff issued to seek completeness and support.</w:t>
      </w:r>
      <w:r>
        <w:t xml:space="preserve"> </w:t>
      </w:r>
    </w:p>
    <w:p w14:paraId="41DA4FE0" w14:textId="77777777" w:rsidR="007159FB" w:rsidRDefault="007159FB" w:rsidP="00581AF6">
      <w:pPr>
        <w:spacing w:line="480" w:lineRule="auto"/>
        <w:ind w:left="720" w:firstLine="720"/>
      </w:pPr>
      <w:r>
        <w:t xml:space="preserve">WCI criticizes Staff for not using audit sampling during Staff’s review of the Company’s filings.  </w:t>
      </w:r>
      <w:r w:rsidR="00BC307E">
        <w:t xml:space="preserve">Staff disagrees with this criticism. </w:t>
      </w:r>
      <w:r>
        <w:t xml:space="preserve"> </w:t>
      </w:r>
      <w:r w:rsidR="00BC307E">
        <w:t>Staff did not use audit sampling</w:t>
      </w:r>
      <w:r w:rsidR="00BC307E">
        <w:rPr>
          <w:rStyle w:val="FootnoteReference"/>
        </w:rPr>
        <w:footnoteReference w:id="28"/>
      </w:r>
      <w:r w:rsidR="00BC307E">
        <w:t xml:space="preserve"> because Staff is not preparing to communicate an opinion on whether WCI’s financial statements are free from material misstatement.  In TG-131794, </w:t>
      </w:r>
      <w:r w:rsidR="00BC307E" w:rsidRPr="00BC307E">
        <w:t>Staff selected a limited number of accounts to review based on a trend analysis</w:t>
      </w:r>
      <w:r w:rsidR="002E7822">
        <w:t>, in addition to reviewing all restating and pro forma adjustments, and all affiliate transactions</w:t>
      </w:r>
      <w:r w:rsidR="00BC307E" w:rsidRPr="00BC307E">
        <w:t>.</w:t>
      </w:r>
      <w:r w:rsidR="00BC307E">
        <w:t xml:space="preserve">  Staff did not select additional accounts to review in TG-140560, because </w:t>
      </w:r>
      <w:r w:rsidR="00BC307E" w:rsidRPr="00BC307E">
        <w:t>WCI used the same test year</w:t>
      </w:r>
      <w:r w:rsidR="00BC307E">
        <w:t xml:space="preserve"> </w:t>
      </w:r>
      <w:r w:rsidR="00BC307E" w:rsidRPr="00BC307E">
        <w:t>and included adjustments based on Staff’s review of selected accounts in TG-131794.</w:t>
      </w:r>
    </w:p>
    <w:p w14:paraId="41DA4FE1" w14:textId="77777777" w:rsidR="003143FB" w:rsidRDefault="003143FB" w:rsidP="00672885">
      <w:pPr>
        <w:spacing w:line="480" w:lineRule="auto"/>
      </w:pPr>
    </w:p>
    <w:p w14:paraId="41DA4FE5" w14:textId="2910EC59" w:rsidR="00EB4AE2" w:rsidRDefault="00070172" w:rsidP="00672885">
      <w:pPr>
        <w:spacing w:line="480" w:lineRule="auto"/>
        <w:rPr>
          <w:b/>
        </w:rPr>
      </w:pPr>
      <w:r w:rsidRPr="00291C9D">
        <w:rPr>
          <w:b/>
        </w:rPr>
        <w:t>D</w:t>
      </w:r>
      <w:r w:rsidR="00672885" w:rsidRPr="00291C9D">
        <w:rPr>
          <w:b/>
        </w:rPr>
        <w:t xml:space="preserve">. </w:t>
      </w:r>
      <w:r w:rsidR="00291C9D">
        <w:rPr>
          <w:b/>
        </w:rPr>
        <w:tab/>
      </w:r>
      <w:r w:rsidR="00672885" w:rsidRPr="00291C9D">
        <w:rPr>
          <w:b/>
        </w:rPr>
        <w:t>Staff</w:t>
      </w:r>
      <w:r w:rsidR="00587B2D" w:rsidRPr="00291C9D">
        <w:rPr>
          <w:b/>
        </w:rPr>
        <w:t>’s</w:t>
      </w:r>
      <w:r w:rsidR="00672885" w:rsidRPr="00291C9D">
        <w:rPr>
          <w:b/>
        </w:rPr>
        <w:t xml:space="preserve"> Response to Affiliate Landlord Capital Structure</w:t>
      </w:r>
    </w:p>
    <w:p w14:paraId="0947DC97" w14:textId="77777777" w:rsidR="00291C9D" w:rsidRPr="00291C9D" w:rsidRDefault="00291C9D" w:rsidP="00672885">
      <w:pPr>
        <w:spacing w:line="480" w:lineRule="auto"/>
      </w:pPr>
    </w:p>
    <w:p w14:paraId="41DA4FE6" w14:textId="77777777" w:rsidR="00A32830" w:rsidRPr="00A32830" w:rsidRDefault="00A32830" w:rsidP="00A32830">
      <w:pPr>
        <w:spacing w:line="480" w:lineRule="auto"/>
        <w:ind w:left="720" w:hanging="720"/>
        <w:rPr>
          <w:b/>
        </w:rPr>
      </w:pPr>
      <w:r w:rsidRPr="00A32830">
        <w:rPr>
          <w:b/>
        </w:rPr>
        <w:t>Q.</w:t>
      </w:r>
      <w:r w:rsidRPr="00A32830">
        <w:rPr>
          <w:b/>
        </w:rPr>
        <w:tab/>
        <w:t>Please specify the Company’s November 7, 2014, supplemental testimony statement to which Staff is responding.</w:t>
      </w:r>
    </w:p>
    <w:p w14:paraId="41DA4FE7" w14:textId="77777777" w:rsidR="00A32830" w:rsidRDefault="00A32830" w:rsidP="00A32830">
      <w:pPr>
        <w:spacing w:line="480" w:lineRule="auto"/>
        <w:ind w:left="720" w:hanging="720"/>
      </w:pPr>
      <w:r>
        <w:lastRenderedPageBreak/>
        <w:t>A.</w:t>
      </w:r>
      <w:r>
        <w:tab/>
        <w:t>Joe Willis’ supplemental testimony filed November 7, 2014, states “Here, Staff is advocating commingling the capital structures of the affiliate landlords for calculating the overall rate of return factors on the leased properties.”</w:t>
      </w:r>
      <w:r>
        <w:rPr>
          <w:rStyle w:val="FootnoteReference"/>
        </w:rPr>
        <w:footnoteReference w:id="29"/>
      </w:r>
      <w:r>
        <w:t xml:space="preserve"> </w:t>
      </w:r>
    </w:p>
    <w:p w14:paraId="41DA4FE8" w14:textId="77777777" w:rsidR="00A32830" w:rsidRDefault="00A32830" w:rsidP="00A32830">
      <w:pPr>
        <w:spacing w:line="480" w:lineRule="auto"/>
      </w:pPr>
    </w:p>
    <w:p w14:paraId="41DA4FE9" w14:textId="77777777" w:rsidR="00A32830" w:rsidRPr="00A32830" w:rsidRDefault="00A32830" w:rsidP="00A32830">
      <w:pPr>
        <w:spacing w:line="480" w:lineRule="auto"/>
        <w:rPr>
          <w:b/>
        </w:rPr>
      </w:pPr>
      <w:r w:rsidRPr="00A32830">
        <w:rPr>
          <w:b/>
        </w:rPr>
        <w:t>Q.</w:t>
      </w:r>
      <w:r w:rsidRPr="00A32830">
        <w:rPr>
          <w:b/>
        </w:rPr>
        <w:tab/>
        <w:t>Does S</w:t>
      </w:r>
      <w:r>
        <w:rPr>
          <w:b/>
        </w:rPr>
        <w:t>taff agree with this statement?</w:t>
      </w:r>
    </w:p>
    <w:p w14:paraId="41DA4FEA" w14:textId="77777777" w:rsidR="00A32830" w:rsidRDefault="00A32830" w:rsidP="00A32830">
      <w:pPr>
        <w:spacing w:line="480" w:lineRule="auto"/>
      </w:pPr>
      <w:r>
        <w:t>A.</w:t>
      </w:r>
      <w:r>
        <w:tab/>
        <w:t>No.</w:t>
      </w:r>
    </w:p>
    <w:p w14:paraId="41DA4FEB" w14:textId="77777777" w:rsidR="00A32830" w:rsidRDefault="00A32830" w:rsidP="00A32830">
      <w:pPr>
        <w:spacing w:line="480" w:lineRule="auto"/>
      </w:pPr>
    </w:p>
    <w:p w14:paraId="41DA4FEC" w14:textId="77777777" w:rsidR="00A32830" w:rsidRPr="00A32830" w:rsidRDefault="00A32830" w:rsidP="00A32830">
      <w:pPr>
        <w:spacing w:line="480" w:lineRule="auto"/>
        <w:rPr>
          <w:b/>
        </w:rPr>
      </w:pPr>
      <w:r>
        <w:rPr>
          <w:b/>
        </w:rPr>
        <w:t>Q.</w:t>
      </w:r>
      <w:r>
        <w:rPr>
          <w:b/>
        </w:rPr>
        <w:tab/>
        <w:t>Please explain.</w:t>
      </w:r>
    </w:p>
    <w:p w14:paraId="41DA4FED" w14:textId="77777777" w:rsidR="00672885" w:rsidRDefault="00A32830" w:rsidP="005B2030">
      <w:pPr>
        <w:spacing w:line="480" w:lineRule="auto"/>
        <w:ind w:left="720" w:hanging="720"/>
      </w:pPr>
      <w:r>
        <w:t>A.</w:t>
      </w:r>
      <w:r>
        <w:tab/>
        <w:t>Staff used a separate total company capital structure for each individual affiliate landlord, HBI and HBII, which captures and takes into account each of the companies’ actual financial risk.</w:t>
      </w:r>
      <w:r>
        <w:rPr>
          <w:rStyle w:val="FootnoteReference"/>
        </w:rPr>
        <w:footnoteReference w:id="30"/>
      </w:r>
      <w:r>
        <w:t xml:space="preserve">  Therefore, if Staff used separate total company capital structures to calculate a separate return for each affiliate landlord, HBI and HBII, then Staff did not advocate commingling the capital structures of the affiliate </w:t>
      </w:r>
      <w:r w:rsidR="005B2030">
        <w:t>landlords.</w:t>
      </w:r>
    </w:p>
    <w:p w14:paraId="41DA4FEE" w14:textId="77777777" w:rsidR="00672885" w:rsidRDefault="00672885" w:rsidP="00672885">
      <w:pPr>
        <w:spacing w:line="480" w:lineRule="auto"/>
      </w:pPr>
    </w:p>
    <w:p w14:paraId="41DA4FEF" w14:textId="77777777" w:rsidR="00672885" w:rsidRDefault="00672885" w:rsidP="00672885">
      <w:pPr>
        <w:spacing w:line="480" w:lineRule="auto"/>
        <w:rPr>
          <w:b/>
        </w:rPr>
      </w:pPr>
      <w:r>
        <w:rPr>
          <w:b/>
        </w:rPr>
        <w:t>Q.</w:t>
      </w:r>
      <w:r>
        <w:rPr>
          <w:b/>
        </w:rPr>
        <w:tab/>
        <w:t>Does this conclude Staff’s supplemental testimony?</w:t>
      </w:r>
    </w:p>
    <w:p w14:paraId="41DA4FF0" w14:textId="77777777" w:rsidR="00672885" w:rsidRPr="00672885" w:rsidRDefault="00672885" w:rsidP="00672885">
      <w:pPr>
        <w:spacing w:line="480" w:lineRule="auto"/>
        <w:rPr>
          <w:b/>
        </w:rPr>
      </w:pPr>
      <w:r>
        <w:t>A.</w:t>
      </w:r>
      <w:r>
        <w:tab/>
        <w:t>Yes.</w:t>
      </w:r>
      <w:r>
        <w:rPr>
          <w:b/>
        </w:rPr>
        <w:t xml:space="preserve"> </w:t>
      </w:r>
    </w:p>
    <w:sectPr w:rsidR="00672885" w:rsidRPr="00672885" w:rsidSect="00C524F1">
      <w:footerReference w:type="default" r:id="rId12"/>
      <w:pgSz w:w="12240" w:h="15840" w:code="1"/>
      <w:pgMar w:top="1440" w:right="1440" w:bottom="1440" w:left="1872" w:header="720" w:footer="720" w:gutter="0"/>
      <w:paperSrc w:first="1" w:other="1"/>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A4FF4" w14:textId="77777777" w:rsidR="00856802" w:rsidRDefault="00856802" w:rsidP="0015026F">
      <w:r>
        <w:separator/>
      </w:r>
    </w:p>
  </w:endnote>
  <w:endnote w:type="continuationSeparator" w:id="0">
    <w:p w14:paraId="41DA4FF5" w14:textId="77777777" w:rsidR="00856802" w:rsidRDefault="00856802" w:rsidP="0015026F">
      <w:r>
        <w:continuationSeparator/>
      </w:r>
    </w:p>
  </w:endnote>
  <w:endnote w:type="continuationNotice" w:id="1">
    <w:p w14:paraId="41DA4FF6" w14:textId="77777777" w:rsidR="00856802" w:rsidRDefault="00856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4FFD" w14:textId="77777777" w:rsidR="004B6E23" w:rsidRPr="0015026F" w:rsidRDefault="004B6E23" w:rsidP="0015026F">
    <w:pPr>
      <w:pStyle w:val="Footer"/>
      <w:tabs>
        <w:tab w:val="clear" w:pos="9360"/>
        <w:tab w:val="right" w:pos="8910"/>
      </w:tabs>
      <w:rPr>
        <w:sz w:val="20"/>
        <w:szCs w:val="20"/>
      </w:rPr>
    </w:pPr>
  </w:p>
  <w:p w14:paraId="41DA4FFE" w14:textId="0FC01EA5" w:rsidR="004B6E23" w:rsidRPr="0015026F" w:rsidRDefault="004B6E23" w:rsidP="0015026F">
    <w:pPr>
      <w:pStyle w:val="Footer"/>
      <w:tabs>
        <w:tab w:val="clear" w:pos="9360"/>
        <w:tab w:val="right" w:pos="8910"/>
      </w:tabs>
      <w:rPr>
        <w:sz w:val="20"/>
        <w:szCs w:val="20"/>
      </w:rPr>
    </w:pPr>
    <w:r w:rsidRPr="0015026F">
      <w:rPr>
        <w:sz w:val="20"/>
        <w:szCs w:val="20"/>
      </w:rPr>
      <w:t xml:space="preserve">TESTIMONY OF </w:t>
    </w:r>
    <w:r>
      <w:rPr>
        <w:sz w:val="20"/>
        <w:szCs w:val="20"/>
      </w:rPr>
      <w:t>MELI</w:t>
    </w:r>
    <w:r w:rsidR="00291C9D">
      <w:rPr>
        <w:sz w:val="20"/>
        <w:szCs w:val="20"/>
      </w:rPr>
      <w:t xml:space="preserve">SSA CHEESMAN </w:t>
    </w:r>
    <w:r w:rsidR="00291C9D">
      <w:rPr>
        <w:sz w:val="20"/>
        <w:szCs w:val="20"/>
      </w:rPr>
      <w:tab/>
    </w:r>
    <w:r w:rsidR="00291C9D">
      <w:rPr>
        <w:sz w:val="20"/>
        <w:szCs w:val="20"/>
      </w:rPr>
      <w:tab/>
      <w:t>Exhibit No. MC-13</w:t>
    </w:r>
    <w:r w:rsidRPr="0015026F">
      <w:rPr>
        <w:sz w:val="20"/>
        <w:szCs w:val="20"/>
      </w:rPr>
      <w:t>T</w:t>
    </w:r>
  </w:p>
  <w:p w14:paraId="41DA4FFF" w14:textId="77777777" w:rsidR="004B6E23" w:rsidRPr="0015026F" w:rsidRDefault="004B6E23" w:rsidP="0015026F">
    <w:pPr>
      <w:pStyle w:val="Footer"/>
      <w:tabs>
        <w:tab w:val="clear" w:pos="9360"/>
        <w:tab w:val="right" w:pos="8910"/>
      </w:tabs>
      <w:rPr>
        <w:sz w:val="20"/>
        <w:szCs w:val="20"/>
      </w:rPr>
    </w:pPr>
    <w:r w:rsidRPr="0015026F">
      <w:rPr>
        <w:sz w:val="20"/>
        <w:szCs w:val="20"/>
      </w:rPr>
      <w:t xml:space="preserve">Docket </w:t>
    </w:r>
    <w:r>
      <w:rPr>
        <w:sz w:val="20"/>
        <w:szCs w:val="20"/>
      </w:rPr>
      <w:t>TG-140560</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947A26">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5000" w14:textId="77777777" w:rsidR="004B6E23" w:rsidRPr="0015026F" w:rsidRDefault="004B6E23" w:rsidP="0015026F">
    <w:pPr>
      <w:pStyle w:val="Footer"/>
      <w:tabs>
        <w:tab w:val="clear" w:pos="9360"/>
        <w:tab w:val="right" w:pos="8910"/>
      </w:tabs>
      <w:rPr>
        <w:sz w:val="20"/>
        <w:szCs w:val="20"/>
      </w:rPr>
    </w:pPr>
  </w:p>
  <w:p w14:paraId="41DA5001" w14:textId="1FF4C92C" w:rsidR="004B6E23" w:rsidRPr="0015026F" w:rsidRDefault="004B6E23" w:rsidP="00EC14B6">
    <w:pPr>
      <w:pStyle w:val="Footer"/>
      <w:tabs>
        <w:tab w:val="clear" w:pos="9360"/>
        <w:tab w:val="right" w:pos="8910"/>
      </w:tabs>
      <w:rPr>
        <w:sz w:val="20"/>
        <w:szCs w:val="20"/>
      </w:rPr>
    </w:pPr>
    <w:r w:rsidRPr="0015026F">
      <w:rPr>
        <w:sz w:val="20"/>
        <w:szCs w:val="20"/>
      </w:rPr>
      <w:t xml:space="preserve">TESTIMONY OF </w:t>
    </w:r>
    <w:r>
      <w:rPr>
        <w:sz w:val="20"/>
        <w:szCs w:val="20"/>
      </w:rPr>
      <w:t xml:space="preserve">MELISSA CHEESMAN </w:t>
    </w:r>
    <w:r>
      <w:rPr>
        <w:sz w:val="20"/>
        <w:szCs w:val="20"/>
      </w:rPr>
      <w:tab/>
    </w:r>
    <w:r>
      <w:rPr>
        <w:sz w:val="20"/>
        <w:szCs w:val="20"/>
      </w:rPr>
      <w:tab/>
      <w:t>Exhibi</w:t>
    </w:r>
    <w:r w:rsidR="00291C9D">
      <w:rPr>
        <w:sz w:val="20"/>
        <w:szCs w:val="20"/>
      </w:rPr>
      <w:t>t No. MC-13</w:t>
    </w:r>
    <w:r w:rsidRPr="0015026F">
      <w:rPr>
        <w:sz w:val="20"/>
        <w:szCs w:val="20"/>
      </w:rPr>
      <w:t>T</w:t>
    </w:r>
  </w:p>
  <w:p w14:paraId="41DA5002" w14:textId="77777777" w:rsidR="004B6E23" w:rsidRPr="0015026F" w:rsidRDefault="004B6E23" w:rsidP="00EC14B6">
    <w:pPr>
      <w:pStyle w:val="Footer"/>
      <w:tabs>
        <w:tab w:val="clear" w:pos="9360"/>
        <w:tab w:val="right" w:pos="8910"/>
      </w:tabs>
      <w:rPr>
        <w:sz w:val="20"/>
        <w:szCs w:val="20"/>
      </w:rPr>
    </w:pPr>
    <w:r w:rsidRPr="0015026F">
      <w:rPr>
        <w:sz w:val="20"/>
        <w:szCs w:val="20"/>
      </w:rPr>
      <w:t xml:space="preserve">Docket </w:t>
    </w:r>
    <w:r>
      <w:rPr>
        <w:sz w:val="20"/>
        <w:szCs w:val="20"/>
      </w:rPr>
      <w:t>TG-140560</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947A26">
      <w:rPr>
        <w:noProof/>
        <w:sz w:val="20"/>
        <w:szCs w:val="20"/>
      </w:rPr>
      <w:t>15</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A4FF1" w14:textId="77777777" w:rsidR="00856802" w:rsidRDefault="00856802" w:rsidP="0015026F">
      <w:r>
        <w:separator/>
      </w:r>
    </w:p>
  </w:footnote>
  <w:footnote w:type="continuationSeparator" w:id="0">
    <w:p w14:paraId="41DA4FF2" w14:textId="77777777" w:rsidR="00856802" w:rsidRDefault="00856802" w:rsidP="0015026F">
      <w:r>
        <w:continuationSeparator/>
      </w:r>
    </w:p>
  </w:footnote>
  <w:footnote w:type="continuationNotice" w:id="1">
    <w:p w14:paraId="41DA4FF3" w14:textId="77777777" w:rsidR="00856802" w:rsidRDefault="00856802"/>
  </w:footnote>
  <w:footnote w:id="2">
    <w:p w14:paraId="41DA5003" w14:textId="77777777" w:rsidR="004254F8" w:rsidRDefault="004254F8">
      <w:pPr>
        <w:pStyle w:val="FootnoteText"/>
      </w:pPr>
      <w:r>
        <w:rPr>
          <w:rStyle w:val="FootnoteReference"/>
        </w:rPr>
        <w:footnoteRef/>
      </w:r>
      <w:r>
        <w:t xml:space="preserve"> </w:t>
      </w:r>
      <w:r w:rsidRPr="00291C9D">
        <w:rPr>
          <w:rFonts w:ascii="Times New Roman" w:hAnsi="Times New Roman"/>
        </w:rPr>
        <w:t>Initial Brief on Behalf of Commission Staff</w:t>
      </w:r>
      <w:r w:rsidR="00895524" w:rsidRPr="00291C9D">
        <w:rPr>
          <w:rFonts w:ascii="Times New Roman" w:hAnsi="Times New Roman"/>
        </w:rPr>
        <w:t>, Section II.A.</w:t>
      </w:r>
      <w:r w:rsidRPr="00291C9D">
        <w:rPr>
          <w:rFonts w:ascii="Times New Roman" w:hAnsi="Times New Roman"/>
        </w:rPr>
        <w:t xml:space="preserve">, </w:t>
      </w:r>
      <w:r w:rsidR="00895524" w:rsidRPr="00291C9D">
        <w:rPr>
          <w:rFonts w:ascii="Times New Roman" w:hAnsi="Times New Roman"/>
        </w:rPr>
        <w:t>p</w:t>
      </w:r>
      <w:r w:rsidR="00520E1D" w:rsidRPr="00291C9D">
        <w:rPr>
          <w:rFonts w:ascii="Times New Roman" w:hAnsi="Times New Roman"/>
        </w:rPr>
        <w:t>.</w:t>
      </w:r>
      <w:r w:rsidR="00895524" w:rsidRPr="00291C9D">
        <w:rPr>
          <w:rFonts w:ascii="Times New Roman" w:hAnsi="Times New Roman"/>
        </w:rPr>
        <w:t xml:space="preserve"> 4</w:t>
      </w:r>
      <w:r w:rsidRPr="00291C9D">
        <w:rPr>
          <w:rFonts w:ascii="Times New Roman" w:hAnsi="Times New Roman"/>
        </w:rPr>
        <w:t xml:space="preserve">, paragraph </w:t>
      </w:r>
      <w:r w:rsidR="00895524" w:rsidRPr="00291C9D">
        <w:rPr>
          <w:rFonts w:ascii="Times New Roman" w:hAnsi="Times New Roman"/>
        </w:rPr>
        <w:t>9</w:t>
      </w:r>
      <w:r w:rsidR="00520E1D" w:rsidRPr="00291C9D">
        <w:rPr>
          <w:rFonts w:ascii="Times New Roman" w:hAnsi="Times New Roman"/>
        </w:rPr>
        <w:t xml:space="preserve"> (Nov. 7, 2014)</w:t>
      </w:r>
      <w:r w:rsidRPr="00291C9D">
        <w:rPr>
          <w:rFonts w:ascii="Times New Roman" w:hAnsi="Times New Roman"/>
        </w:rPr>
        <w:t>.</w:t>
      </w:r>
    </w:p>
  </w:footnote>
  <w:footnote w:id="3">
    <w:p w14:paraId="41DA5004" w14:textId="77777777" w:rsidR="005C12B8" w:rsidRPr="00132E7F" w:rsidRDefault="005C12B8">
      <w:pPr>
        <w:pStyle w:val="FootnoteText"/>
        <w:rPr>
          <w:rFonts w:ascii="Times New Roman" w:hAnsi="Times New Roman"/>
        </w:rPr>
      </w:pPr>
      <w:r w:rsidRPr="00C23B8F">
        <w:rPr>
          <w:rStyle w:val="FootnoteReference"/>
          <w:rFonts w:ascii="Times New Roman" w:hAnsi="Times New Roman"/>
        </w:rPr>
        <w:footnoteRef/>
      </w:r>
      <w:r w:rsidRPr="00C23B8F">
        <w:rPr>
          <w:rFonts w:ascii="Times New Roman" w:hAnsi="Times New Roman"/>
        </w:rPr>
        <w:t xml:space="preserve"> Staff’s </w:t>
      </w:r>
      <w:r w:rsidR="007D2C32">
        <w:rPr>
          <w:rFonts w:ascii="Times New Roman" w:hAnsi="Times New Roman"/>
        </w:rPr>
        <w:t xml:space="preserve">updated </w:t>
      </w:r>
      <w:r w:rsidRPr="00C23B8F">
        <w:rPr>
          <w:rFonts w:ascii="Times New Roman" w:hAnsi="Times New Roman"/>
        </w:rPr>
        <w:t xml:space="preserve">three-factor </w:t>
      </w:r>
      <w:r w:rsidR="004254F8">
        <w:rPr>
          <w:rFonts w:ascii="Times New Roman" w:hAnsi="Times New Roman"/>
        </w:rPr>
        <w:t>allocator</w:t>
      </w:r>
      <w:r w:rsidR="007D2C32">
        <w:rPr>
          <w:rFonts w:ascii="Times New Roman" w:hAnsi="Times New Roman"/>
        </w:rPr>
        <w:t xml:space="preserve"> </w:t>
      </w:r>
      <w:r w:rsidRPr="00C23B8F">
        <w:rPr>
          <w:rFonts w:ascii="Times New Roman" w:hAnsi="Times New Roman"/>
        </w:rPr>
        <w:t xml:space="preserve">calculates the average relative percentage of each </w:t>
      </w:r>
      <w:r w:rsidR="0042692C">
        <w:rPr>
          <w:rFonts w:ascii="Times New Roman" w:hAnsi="Times New Roman"/>
        </w:rPr>
        <w:t xml:space="preserve">affiliate </w:t>
      </w:r>
      <w:r w:rsidRPr="00C23B8F">
        <w:rPr>
          <w:rFonts w:ascii="Times New Roman" w:hAnsi="Times New Roman"/>
        </w:rPr>
        <w:t xml:space="preserve">entity’s </w:t>
      </w:r>
      <w:r w:rsidR="00DE6229">
        <w:rPr>
          <w:rFonts w:ascii="Times New Roman" w:hAnsi="Times New Roman"/>
        </w:rPr>
        <w:t xml:space="preserve">adjusted </w:t>
      </w:r>
      <w:r w:rsidRPr="00C23B8F">
        <w:rPr>
          <w:rFonts w:ascii="Times New Roman" w:hAnsi="Times New Roman"/>
        </w:rPr>
        <w:t xml:space="preserve">revenues, </w:t>
      </w:r>
      <w:r w:rsidR="00DE6229">
        <w:rPr>
          <w:rFonts w:ascii="Times New Roman" w:hAnsi="Times New Roman"/>
        </w:rPr>
        <w:t xml:space="preserve">number of </w:t>
      </w:r>
      <w:r w:rsidRPr="00C23B8F">
        <w:rPr>
          <w:rFonts w:ascii="Times New Roman" w:hAnsi="Times New Roman"/>
        </w:rPr>
        <w:t>employees, and fixed assets</w:t>
      </w:r>
      <w:r w:rsidR="00DE6229">
        <w:rPr>
          <w:rFonts w:ascii="Times New Roman" w:hAnsi="Times New Roman"/>
        </w:rPr>
        <w:t xml:space="preserve"> per book value</w:t>
      </w:r>
      <w:r w:rsidRPr="00C23B8F">
        <w:rPr>
          <w:rFonts w:ascii="Times New Roman" w:hAnsi="Times New Roman"/>
        </w:rPr>
        <w:t xml:space="preserve">. </w:t>
      </w:r>
      <w:r w:rsidR="005B2030">
        <w:rPr>
          <w:rFonts w:ascii="Times New Roman" w:hAnsi="Times New Roman"/>
        </w:rPr>
        <w:t xml:space="preserve"> </w:t>
      </w:r>
      <w:r w:rsidR="00D94E89">
        <w:rPr>
          <w:rFonts w:ascii="Times New Roman" w:hAnsi="Times New Roman"/>
        </w:rPr>
        <w:t xml:space="preserve">For discussion of Staff original three-factor allocator </w:t>
      </w:r>
      <w:r w:rsidR="00D94E89">
        <w:rPr>
          <w:rFonts w:ascii="Times New Roman" w:hAnsi="Times New Roman"/>
          <w:i/>
        </w:rPr>
        <w:t xml:space="preserve">see </w:t>
      </w:r>
      <w:r w:rsidRPr="00C23B8F">
        <w:rPr>
          <w:rFonts w:ascii="Times New Roman" w:hAnsi="Times New Roman"/>
        </w:rPr>
        <w:t>Testimony of Melissa Cheesman, Exhibit No. ___ (MC-1T), p</w:t>
      </w:r>
      <w:r w:rsidR="00C37D95">
        <w:rPr>
          <w:rFonts w:ascii="Times New Roman" w:hAnsi="Times New Roman"/>
        </w:rPr>
        <w:t>.</w:t>
      </w:r>
      <w:r w:rsidRPr="00C23B8F">
        <w:rPr>
          <w:rFonts w:ascii="Times New Roman" w:hAnsi="Times New Roman"/>
        </w:rPr>
        <w:t xml:space="preserve"> 1</w:t>
      </w:r>
      <w:r w:rsidR="00925940">
        <w:rPr>
          <w:rFonts w:ascii="Times New Roman" w:hAnsi="Times New Roman"/>
        </w:rPr>
        <w:t xml:space="preserve">5, line 11 through </w:t>
      </w:r>
      <w:r w:rsidR="00C37D95">
        <w:rPr>
          <w:rFonts w:ascii="Times New Roman" w:hAnsi="Times New Roman"/>
        </w:rPr>
        <w:t>p.</w:t>
      </w:r>
      <w:r w:rsidR="00925940">
        <w:rPr>
          <w:rFonts w:ascii="Times New Roman" w:hAnsi="Times New Roman"/>
        </w:rPr>
        <w:t xml:space="preserve"> </w:t>
      </w:r>
      <w:r w:rsidRPr="00C23B8F">
        <w:rPr>
          <w:rFonts w:ascii="Times New Roman" w:hAnsi="Times New Roman"/>
        </w:rPr>
        <w:t>17</w:t>
      </w:r>
      <w:r w:rsidR="00925940">
        <w:rPr>
          <w:rFonts w:ascii="Times New Roman" w:hAnsi="Times New Roman"/>
        </w:rPr>
        <w:t xml:space="preserve">, line 19 </w:t>
      </w:r>
      <w:r w:rsidRPr="00C23B8F">
        <w:rPr>
          <w:rFonts w:ascii="Times New Roman" w:hAnsi="Times New Roman"/>
        </w:rPr>
        <w:t xml:space="preserve">(July 18, 2014). </w:t>
      </w:r>
      <w:r w:rsidR="005B2030">
        <w:rPr>
          <w:rFonts w:ascii="Times New Roman" w:hAnsi="Times New Roman"/>
        </w:rPr>
        <w:t xml:space="preserve"> </w:t>
      </w:r>
      <w:r w:rsidRPr="00C23B8F">
        <w:rPr>
          <w:rFonts w:ascii="Times New Roman" w:hAnsi="Times New Roman"/>
        </w:rPr>
        <w:t xml:space="preserve">For a summary of Staff’s </w:t>
      </w:r>
      <w:r w:rsidR="00BA5876">
        <w:rPr>
          <w:rFonts w:ascii="Times New Roman" w:hAnsi="Times New Roman"/>
        </w:rPr>
        <w:t xml:space="preserve">updated </w:t>
      </w:r>
      <w:r w:rsidRPr="00C23B8F">
        <w:rPr>
          <w:rFonts w:ascii="Times New Roman" w:hAnsi="Times New Roman"/>
        </w:rPr>
        <w:t xml:space="preserve">three-factor allocator </w:t>
      </w:r>
      <w:r w:rsidR="003F360D">
        <w:rPr>
          <w:rFonts w:ascii="Times New Roman" w:hAnsi="Times New Roman"/>
          <w:i/>
        </w:rPr>
        <w:t>s</w:t>
      </w:r>
      <w:r w:rsidRPr="00C23B8F">
        <w:rPr>
          <w:rFonts w:ascii="Times New Roman" w:hAnsi="Times New Roman"/>
          <w:i/>
        </w:rPr>
        <w:t xml:space="preserve">ee </w:t>
      </w:r>
      <w:r w:rsidRPr="00C23B8F">
        <w:rPr>
          <w:rFonts w:ascii="Times New Roman" w:hAnsi="Times New Roman"/>
        </w:rPr>
        <w:t>Initial Brief on behalf of Commission Staff, Section II.B., pp. 6-7</w:t>
      </w:r>
      <w:r w:rsidR="003F360D">
        <w:rPr>
          <w:rFonts w:ascii="Times New Roman" w:hAnsi="Times New Roman"/>
        </w:rPr>
        <w:t xml:space="preserve"> (Nov. 7, 2014)</w:t>
      </w:r>
      <w:r w:rsidRPr="00C23B8F">
        <w:rPr>
          <w:rFonts w:ascii="Times New Roman" w:hAnsi="Times New Roman"/>
        </w:rPr>
        <w:t xml:space="preserve">. </w:t>
      </w:r>
      <w:r w:rsidR="005B2030">
        <w:rPr>
          <w:rFonts w:ascii="Times New Roman" w:hAnsi="Times New Roman"/>
        </w:rPr>
        <w:t xml:space="preserve"> </w:t>
      </w:r>
      <w:r w:rsidR="007117DC">
        <w:rPr>
          <w:rFonts w:ascii="Times New Roman" w:hAnsi="Times New Roman"/>
        </w:rPr>
        <w:t>For discussions on the updates that modified Staff’s</w:t>
      </w:r>
      <w:r w:rsidR="00BA5876">
        <w:rPr>
          <w:rFonts w:ascii="Times New Roman" w:hAnsi="Times New Roman"/>
        </w:rPr>
        <w:t xml:space="preserve"> original</w:t>
      </w:r>
      <w:r w:rsidR="007117DC">
        <w:rPr>
          <w:rFonts w:ascii="Times New Roman" w:hAnsi="Times New Roman"/>
        </w:rPr>
        <w:t xml:space="preserve"> three-factor allocation </w:t>
      </w:r>
      <w:r w:rsidR="007117DC">
        <w:rPr>
          <w:rFonts w:ascii="Times New Roman" w:hAnsi="Times New Roman"/>
          <w:i/>
        </w:rPr>
        <w:t xml:space="preserve">see </w:t>
      </w:r>
      <w:r w:rsidR="00DB431F">
        <w:rPr>
          <w:rFonts w:ascii="Times New Roman" w:hAnsi="Times New Roman"/>
        </w:rPr>
        <w:t>Testimony of Melissa Cheesman, In Support of Proposed Partial Settleme</w:t>
      </w:r>
      <w:r w:rsidR="00F306B3">
        <w:rPr>
          <w:rFonts w:ascii="Times New Roman" w:hAnsi="Times New Roman"/>
        </w:rPr>
        <w:t xml:space="preserve">nt Agreement, </w:t>
      </w:r>
      <w:r w:rsidR="00DB431F">
        <w:rPr>
          <w:rFonts w:ascii="Times New Roman" w:hAnsi="Times New Roman"/>
        </w:rPr>
        <w:t>Section V.</w:t>
      </w:r>
      <w:r w:rsidR="00C37D95">
        <w:rPr>
          <w:rFonts w:ascii="Times New Roman" w:hAnsi="Times New Roman"/>
        </w:rPr>
        <w:t>C</w:t>
      </w:r>
      <w:r w:rsidR="00DB431F">
        <w:rPr>
          <w:rFonts w:ascii="Times New Roman" w:hAnsi="Times New Roman"/>
        </w:rPr>
        <w:t>., p</w:t>
      </w:r>
      <w:r w:rsidR="00C37D95">
        <w:rPr>
          <w:rFonts w:ascii="Times New Roman" w:hAnsi="Times New Roman"/>
        </w:rPr>
        <w:t>.</w:t>
      </w:r>
      <w:r w:rsidR="00DB431F">
        <w:rPr>
          <w:rFonts w:ascii="Times New Roman" w:hAnsi="Times New Roman"/>
        </w:rPr>
        <w:t xml:space="preserve"> 21, lines 10 through 22</w:t>
      </w:r>
      <w:r w:rsidR="00F306B3">
        <w:rPr>
          <w:rFonts w:ascii="Times New Roman" w:hAnsi="Times New Roman"/>
        </w:rPr>
        <w:t xml:space="preserve"> (Oct. 13, 2014)</w:t>
      </w:r>
      <w:r w:rsidR="00DB431F">
        <w:rPr>
          <w:rFonts w:ascii="Times New Roman" w:hAnsi="Times New Roman"/>
        </w:rPr>
        <w:t xml:space="preserve">. </w:t>
      </w:r>
      <w:r w:rsidR="005B2030">
        <w:rPr>
          <w:rFonts w:ascii="Times New Roman" w:hAnsi="Times New Roman"/>
        </w:rPr>
        <w:t xml:space="preserve"> </w:t>
      </w:r>
      <w:r w:rsidRPr="00132E7F">
        <w:rPr>
          <w:rFonts w:ascii="Times New Roman" w:hAnsi="Times New Roman"/>
        </w:rPr>
        <w:t xml:space="preserve">For a discussion of Staff’s recommended updates based on the Company’s August 20, 2014, rebuttal testimony, </w:t>
      </w:r>
      <w:r w:rsidRPr="00132E7F">
        <w:rPr>
          <w:rFonts w:ascii="Times New Roman" w:hAnsi="Times New Roman"/>
          <w:i/>
        </w:rPr>
        <w:t xml:space="preserve">see </w:t>
      </w:r>
      <w:r w:rsidRPr="00132E7F">
        <w:rPr>
          <w:rFonts w:ascii="Times New Roman" w:hAnsi="Times New Roman"/>
        </w:rPr>
        <w:t>Initial Brief on behalf of</w:t>
      </w:r>
      <w:r w:rsidR="005E40FA" w:rsidRPr="00132E7F">
        <w:rPr>
          <w:rFonts w:ascii="Times New Roman" w:hAnsi="Times New Roman"/>
        </w:rPr>
        <w:t xml:space="preserve"> Commission Staff, Section I.B.1</w:t>
      </w:r>
      <w:r w:rsidRPr="00132E7F">
        <w:rPr>
          <w:rFonts w:ascii="Times New Roman" w:hAnsi="Times New Roman"/>
        </w:rPr>
        <w:t>., p. 2</w:t>
      </w:r>
      <w:r w:rsidR="00A739B5">
        <w:rPr>
          <w:rFonts w:ascii="Times New Roman" w:hAnsi="Times New Roman"/>
        </w:rPr>
        <w:t>, paragraph 4 through p. 3 paragraph 5</w:t>
      </w:r>
      <w:r w:rsidR="00936714">
        <w:rPr>
          <w:rFonts w:ascii="Times New Roman" w:hAnsi="Times New Roman"/>
        </w:rPr>
        <w:t xml:space="preserve"> (Nov. 7, 2014)</w:t>
      </w:r>
      <w:r w:rsidR="005E40FA" w:rsidRPr="00132E7F">
        <w:rPr>
          <w:rFonts w:ascii="Times New Roman" w:hAnsi="Times New Roman"/>
        </w:rPr>
        <w:t xml:space="preserve">. </w:t>
      </w:r>
      <w:r w:rsidRPr="00132E7F">
        <w:rPr>
          <w:rFonts w:ascii="Times New Roman" w:hAnsi="Times New Roman"/>
        </w:rPr>
        <w:t xml:space="preserve">  </w:t>
      </w:r>
    </w:p>
  </w:footnote>
  <w:footnote w:id="4">
    <w:p w14:paraId="41DA5005" w14:textId="77777777" w:rsidR="00030616" w:rsidRPr="00EA008D" w:rsidRDefault="00030616">
      <w:pPr>
        <w:pStyle w:val="FootnoteText"/>
        <w:rPr>
          <w:rFonts w:ascii="Times New Roman" w:hAnsi="Times New Roman"/>
        </w:rPr>
      </w:pPr>
      <w:r w:rsidRPr="00EA008D">
        <w:rPr>
          <w:rStyle w:val="FootnoteReference"/>
          <w:rFonts w:ascii="Times New Roman" w:hAnsi="Times New Roman"/>
        </w:rPr>
        <w:footnoteRef/>
      </w:r>
      <w:r w:rsidRPr="00EA008D">
        <w:rPr>
          <w:rFonts w:ascii="Times New Roman" w:hAnsi="Times New Roman"/>
        </w:rPr>
        <w:t xml:space="preserve"> </w:t>
      </w:r>
      <w:r w:rsidRPr="00EA008D">
        <w:rPr>
          <w:rFonts w:ascii="Times New Roman" w:hAnsi="Times New Roman"/>
          <w:i/>
        </w:rPr>
        <w:t xml:space="preserve">See </w:t>
      </w:r>
      <w:r w:rsidRPr="00EA008D">
        <w:rPr>
          <w:rFonts w:ascii="Times New Roman" w:hAnsi="Times New Roman"/>
        </w:rPr>
        <w:t>Initial Brief on behalf of Commission Staff, Section II.C., pp. 8-11</w:t>
      </w:r>
      <w:r>
        <w:rPr>
          <w:rFonts w:ascii="Times New Roman" w:hAnsi="Times New Roman"/>
        </w:rPr>
        <w:t xml:space="preserve"> (Nov. 7, 2014)</w:t>
      </w:r>
      <w:r w:rsidRPr="00EA008D">
        <w:rPr>
          <w:rFonts w:ascii="Times New Roman" w:hAnsi="Times New Roman"/>
        </w:rPr>
        <w:t xml:space="preserve"> for</w:t>
      </w:r>
      <w:r>
        <w:rPr>
          <w:rFonts w:ascii="Times New Roman" w:hAnsi="Times New Roman"/>
        </w:rPr>
        <w:t xml:space="preserve"> an</w:t>
      </w:r>
      <w:r w:rsidRPr="00EA008D">
        <w:rPr>
          <w:rFonts w:ascii="Times New Roman" w:hAnsi="Times New Roman"/>
        </w:rPr>
        <w:t xml:space="preserve"> accurate summary of Company’s incomplete, overly-simplistic, </w:t>
      </w:r>
      <w:r w:rsidR="00132E7F">
        <w:rPr>
          <w:rFonts w:ascii="Times New Roman" w:hAnsi="Times New Roman"/>
        </w:rPr>
        <w:t>and</w:t>
      </w:r>
      <w:r w:rsidR="00132E7F" w:rsidRPr="00EA008D">
        <w:rPr>
          <w:rFonts w:ascii="Times New Roman" w:hAnsi="Times New Roman"/>
        </w:rPr>
        <w:t xml:space="preserve"> </w:t>
      </w:r>
      <w:r w:rsidRPr="00EA008D">
        <w:rPr>
          <w:rFonts w:ascii="Times New Roman" w:hAnsi="Times New Roman"/>
        </w:rPr>
        <w:t>unreasonable proposed allocators.</w:t>
      </w:r>
    </w:p>
  </w:footnote>
  <w:footnote w:id="5">
    <w:p w14:paraId="41DA5006" w14:textId="77777777" w:rsidR="00895524" w:rsidRDefault="00895524">
      <w:pPr>
        <w:pStyle w:val="FootnoteText"/>
      </w:pPr>
      <w:r>
        <w:rPr>
          <w:rStyle w:val="FootnoteReference"/>
        </w:rPr>
        <w:footnoteRef/>
      </w:r>
      <w:r>
        <w:t xml:space="preserve"> </w:t>
      </w:r>
      <w:r w:rsidRPr="00291C9D">
        <w:rPr>
          <w:rFonts w:ascii="Times New Roman" w:hAnsi="Times New Roman"/>
        </w:rPr>
        <w:t>Initial Brief on Behalf of Commission Staff, Section III., p</w:t>
      </w:r>
      <w:r w:rsidR="00520E1D" w:rsidRPr="00291C9D">
        <w:rPr>
          <w:rFonts w:ascii="Times New Roman" w:hAnsi="Times New Roman"/>
        </w:rPr>
        <w:t>.</w:t>
      </w:r>
      <w:r w:rsidRPr="00291C9D">
        <w:rPr>
          <w:rFonts w:ascii="Times New Roman" w:hAnsi="Times New Roman"/>
        </w:rPr>
        <w:t xml:space="preserve"> 11, paragraph 25</w:t>
      </w:r>
      <w:r w:rsidR="00520E1D" w:rsidRPr="00291C9D">
        <w:rPr>
          <w:rFonts w:ascii="Times New Roman" w:hAnsi="Times New Roman"/>
        </w:rPr>
        <w:t xml:space="preserve"> (Nov. 7, 2014)</w:t>
      </w:r>
      <w:r w:rsidRPr="00291C9D">
        <w:rPr>
          <w:rFonts w:ascii="Times New Roman" w:hAnsi="Times New Roman"/>
        </w:rPr>
        <w:t>.</w:t>
      </w:r>
    </w:p>
  </w:footnote>
  <w:footnote w:id="6">
    <w:p w14:paraId="41DA5007" w14:textId="77777777" w:rsidR="00A1421F" w:rsidRDefault="00A1421F">
      <w:pPr>
        <w:pStyle w:val="FootnoteText"/>
      </w:pPr>
      <w:r>
        <w:rPr>
          <w:rStyle w:val="FootnoteReference"/>
        </w:rPr>
        <w:footnoteRef/>
      </w:r>
      <w:r>
        <w:t xml:space="preserve"> </w:t>
      </w:r>
      <w:r w:rsidRPr="00291C9D">
        <w:rPr>
          <w:rFonts w:ascii="Times New Roman" w:hAnsi="Times New Roman"/>
        </w:rPr>
        <w:t>Testimony of Melissa Cheesman, p</w:t>
      </w:r>
      <w:r w:rsidR="00520E1D" w:rsidRPr="00291C9D">
        <w:rPr>
          <w:rFonts w:ascii="Times New Roman" w:hAnsi="Times New Roman"/>
        </w:rPr>
        <w:t>.</w:t>
      </w:r>
      <w:r w:rsidRPr="00291C9D">
        <w:rPr>
          <w:rFonts w:ascii="Times New Roman" w:hAnsi="Times New Roman"/>
        </w:rPr>
        <w:t xml:space="preserve"> 18, lines 15 through 21</w:t>
      </w:r>
      <w:r w:rsidR="00520E1D" w:rsidRPr="00291C9D">
        <w:rPr>
          <w:rFonts w:ascii="Times New Roman" w:hAnsi="Times New Roman"/>
        </w:rPr>
        <w:t xml:space="preserve"> (July 18, 2014)</w:t>
      </w:r>
      <w:r w:rsidRPr="00291C9D">
        <w:rPr>
          <w:rFonts w:ascii="Times New Roman" w:hAnsi="Times New Roman"/>
        </w:rPr>
        <w:t>.</w:t>
      </w:r>
    </w:p>
  </w:footnote>
  <w:footnote w:id="7">
    <w:p w14:paraId="41DA5008" w14:textId="77777777" w:rsidR="00A16DD1" w:rsidRPr="00291C9D" w:rsidRDefault="00A16DD1">
      <w:pPr>
        <w:pStyle w:val="FootnoteText"/>
        <w:rPr>
          <w:rFonts w:ascii="Times New Roman" w:hAnsi="Times New Roman"/>
        </w:rPr>
      </w:pPr>
      <w:r>
        <w:rPr>
          <w:rStyle w:val="FootnoteReference"/>
        </w:rPr>
        <w:footnoteRef/>
      </w:r>
      <w:r>
        <w:t xml:space="preserve"> </w:t>
      </w:r>
      <w:r w:rsidRPr="00291C9D">
        <w:rPr>
          <w:rFonts w:ascii="Times New Roman" w:hAnsi="Times New Roman"/>
        </w:rPr>
        <w:t>Staff sampled publicly traded companies in the Real Estate Investment industry.</w:t>
      </w:r>
      <w:r w:rsidR="00A60E4B" w:rsidRPr="00291C9D">
        <w:rPr>
          <w:rFonts w:ascii="Times New Roman" w:hAnsi="Times New Roman"/>
        </w:rPr>
        <w:t xml:space="preserve"> </w:t>
      </w:r>
      <w:r w:rsidRPr="00291C9D">
        <w:rPr>
          <w:rFonts w:ascii="Times New Roman" w:hAnsi="Times New Roman"/>
        </w:rPr>
        <w:t xml:space="preserve"> The public companies selected included varying capital structures, and had data available on the U.S. Securities and Exchange Commission website and Value Line.</w:t>
      </w:r>
    </w:p>
  </w:footnote>
  <w:footnote w:id="8">
    <w:p w14:paraId="41DA5009" w14:textId="66765C1A" w:rsidR="00F04426" w:rsidRPr="00F306B3" w:rsidRDefault="00F04426">
      <w:pPr>
        <w:pStyle w:val="FootnoteText"/>
      </w:pPr>
      <w:r>
        <w:rPr>
          <w:rStyle w:val="FootnoteReference"/>
        </w:rPr>
        <w:footnoteRef/>
      </w:r>
      <w:r>
        <w:t xml:space="preserve"> </w:t>
      </w:r>
      <w:r w:rsidRPr="00EA008D">
        <w:rPr>
          <w:rFonts w:ascii="Times New Roman" w:hAnsi="Times New Roman"/>
        </w:rPr>
        <w:t xml:space="preserve">The cost of debt figures include </w:t>
      </w:r>
      <w:r w:rsidR="0027642B" w:rsidRPr="00EA008D">
        <w:rPr>
          <w:rFonts w:ascii="Times New Roman" w:hAnsi="Times New Roman"/>
        </w:rPr>
        <w:t xml:space="preserve">Staff’s recommended </w:t>
      </w:r>
      <w:r w:rsidRPr="00EA008D">
        <w:rPr>
          <w:rFonts w:ascii="Times New Roman" w:hAnsi="Times New Roman"/>
        </w:rPr>
        <w:t>updates to amortize the cost of origination fees over the life of the loan.</w:t>
      </w:r>
      <w:r w:rsidR="00A60E4B">
        <w:rPr>
          <w:rFonts w:ascii="Times New Roman" w:hAnsi="Times New Roman"/>
        </w:rPr>
        <w:t xml:space="preserve"> </w:t>
      </w:r>
      <w:r w:rsidRPr="00EA008D">
        <w:rPr>
          <w:rFonts w:ascii="Times New Roman" w:hAnsi="Times New Roman"/>
        </w:rPr>
        <w:t xml:space="preserve"> </w:t>
      </w:r>
      <w:r w:rsidR="0027642B" w:rsidRPr="00EA008D">
        <w:rPr>
          <w:rFonts w:ascii="Times New Roman" w:hAnsi="Times New Roman"/>
          <w:i/>
        </w:rPr>
        <w:t xml:space="preserve">See </w:t>
      </w:r>
      <w:r w:rsidR="0027642B" w:rsidRPr="00EA008D">
        <w:rPr>
          <w:rFonts w:ascii="Times New Roman" w:hAnsi="Times New Roman"/>
        </w:rPr>
        <w:t>Initial Brief on behalf of Co</w:t>
      </w:r>
      <w:r w:rsidR="0075232E">
        <w:rPr>
          <w:rFonts w:ascii="Times New Roman" w:hAnsi="Times New Roman"/>
        </w:rPr>
        <w:t xml:space="preserve">mmission Staff, Section I.B.2, at </w:t>
      </w:r>
      <w:r w:rsidR="0075232E" w:rsidRPr="00EA008D">
        <w:rPr>
          <w:rFonts w:ascii="Times New Roman" w:hAnsi="Times New Roman"/>
        </w:rPr>
        <w:t>3</w:t>
      </w:r>
      <w:r w:rsidR="0027642B" w:rsidRPr="00EA008D">
        <w:rPr>
          <w:rFonts w:ascii="Times New Roman" w:hAnsi="Times New Roman"/>
        </w:rPr>
        <w:t xml:space="preserve"> (Nov. 7, 2014).</w:t>
      </w:r>
      <w:r w:rsidR="00F306B3">
        <w:rPr>
          <w:rFonts w:ascii="Times New Roman" w:hAnsi="Times New Roman"/>
        </w:rPr>
        <w:t xml:space="preserve"> </w:t>
      </w:r>
    </w:p>
  </w:footnote>
  <w:footnote w:id="9">
    <w:p w14:paraId="41DA500A" w14:textId="77777777" w:rsidR="000806B0" w:rsidRPr="00291C9D" w:rsidRDefault="000806B0">
      <w:pPr>
        <w:pStyle w:val="FootnoteText"/>
        <w:rPr>
          <w:rFonts w:ascii="Times New Roman" w:hAnsi="Times New Roman"/>
        </w:rPr>
      </w:pPr>
      <w:r>
        <w:rPr>
          <w:rStyle w:val="FootnoteReference"/>
        </w:rPr>
        <w:footnoteRef/>
      </w:r>
      <w:r>
        <w:t xml:space="preserve"> </w:t>
      </w:r>
      <w:r w:rsidRPr="00291C9D">
        <w:rPr>
          <w:rFonts w:ascii="Times New Roman" w:hAnsi="Times New Roman"/>
        </w:rPr>
        <w:t>Testimony of Melissa Cheesman, p</w:t>
      </w:r>
      <w:r w:rsidR="00520E1D" w:rsidRPr="00291C9D">
        <w:rPr>
          <w:rFonts w:ascii="Times New Roman" w:hAnsi="Times New Roman"/>
        </w:rPr>
        <w:t>.</w:t>
      </w:r>
      <w:r w:rsidRPr="00291C9D">
        <w:rPr>
          <w:rFonts w:ascii="Times New Roman" w:hAnsi="Times New Roman"/>
        </w:rPr>
        <w:t xml:space="preserve"> 47, lines 1 through 5</w:t>
      </w:r>
      <w:r w:rsidR="00520E1D" w:rsidRPr="00291C9D">
        <w:rPr>
          <w:rFonts w:ascii="Times New Roman" w:hAnsi="Times New Roman"/>
        </w:rPr>
        <w:t xml:space="preserve"> (July 18, 2014)</w:t>
      </w:r>
      <w:r w:rsidRPr="00291C9D">
        <w:rPr>
          <w:rFonts w:ascii="Times New Roman" w:hAnsi="Times New Roman"/>
        </w:rPr>
        <w:t>.</w:t>
      </w:r>
    </w:p>
  </w:footnote>
  <w:footnote w:id="10">
    <w:p w14:paraId="41DA500B" w14:textId="77777777" w:rsidR="00746933" w:rsidRDefault="00746933">
      <w:pPr>
        <w:pStyle w:val="FootnoteText"/>
      </w:pPr>
      <w:r>
        <w:rPr>
          <w:rStyle w:val="FootnoteReference"/>
        </w:rPr>
        <w:footnoteRef/>
      </w:r>
      <w:r>
        <w:t xml:space="preserve"> </w:t>
      </w:r>
      <w:r w:rsidRPr="00291C9D">
        <w:rPr>
          <w:rFonts w:ascii="Times New Roman" w:hAnsi="Times New Roman"/>
        </w:rPr>
        <w:t>TG-140560, Order 05, page 9, paragraph 20</w:t>
      </w:r>
      <w:r>
        <w:t>.</w:t>
      </w:r>
    </w:p>
  </w:footnote>
  <w:footnote w:id="11">
    <w:p w14:paraId="41DA500C" w14:textId="77777777" w:rsidR="00B508DD" w:rsidRDefault="00B508DD">
      <w:pPr>
        <w:pStyle w:val="FootnoteText"/>
      </w:pPr>
      <w:r>
        <w:rPr>
          <w:rStyle w:val="FootnoteReference"/>
        </w:rPr>
        <w:footnoteRef/>
      </w:r>
      <w:r w:rsidRPr="00291C9D">
        <w:rPr>
          <w:rFonts w:ascii="Times New Roman" w:hAnsi="Times New Roman"/>
        </w:rPr>
        <w:t xml:space="preserve"> Testimony of Melissa Cheesman, p</w:t>
      </w:r>
      <w:r w:rsidR="00520E1D" w:rsidRPr="00291C9D">
        <w:rPr>
          <w:rFonts w:ascii="Times New Roman" w:hAnsi="Times New Roman"/>
        </w:rPr>
        <w:t>.</w:t>
      </w:r>
      <w:r w:rsidRPr="00291C9D">
        <w:rPr>
          <w:rFonts w:ascii="Times New Roman" w:hAnsi="Times New Roman"/>
        </w:rPr>
        <w:t xml:space="preserve"> 47, line 19 through page 48, line 3</w:t>
      </w:r>
      <w:r w:rsidR="00520E1D" w:rsidRPr="00291C9D">
        <w:rPr>
          <w:rFonts w:ascii="Times New Roman" w:hAnsi="Times New Roman"/>
        </w:rPr>
        <w:t xml:space="preserve"> (July 18, 2014)</w:t>
      </w:r>
      <w:r w:rsidRPr="00291C9D">
        <w:rPr>
          <w:rFonts w:ascii="Times New Roman" w:hAnsi="Times New Roman"/>
        </w:rPr>
        <w:t>.</w:t>
      </w:r>
    </w:p>
  </w:footnote>
  <w:footnote w:id="12">
    <w:p w14:paraId="41DA500D" w14:textId="77777777" w:rsidR="000806B0" w:rsidRPr="00291C9D" w:rsidRDefault="000806B0">
      <w:pPr>
        <w:pStyle w:val="FootnoteText"/>
        <w:rPr>
          <w:rFonts w:ascii="Times New Roman" w:hAnsi="Times New Roman"/>
        </w:rPr>
      </w:pPr>
      <w:r>
        <w:rPr>
          <w:rStyle w:val="FootnoteReference"/>
        </w:rPr>
        <w:footnoteRef/>
      </w:r>
      <w:r>
        <w:t xml:space="preserve"> </w:t>
      </w:r>
      <w:r w:rsidR="00B53F5E" w:rsidRPr="00291C9D">
        <w:rPr>
          <w:rFonts w:ascii="Times New Roman" w:hAnsi="Times New Roman"/>
        </w:rPr>
        <w:t>Testimony of Melissa Cheesman, p</w:t>
      </w:r>
      <w:r w:rsidR="00520E1D" w:rsidRPr="00291C9D">
        <w:rPr>
          <w:rFonts w:ascii="Times New Roman" w:hAnsi="Times New Roman"/>
        </w:rPr>
        <w:t>.</w:t>
      </w:r>
      <w:r w:rsidR="00B53F5E" w:rsidRPr="00291C9D">
        <w:rPr>
          <w:rFonts w:ascii="Times New Roman" w:hAnsi="Times New Roman"/>
        </w:rPr>
        <w:t xml:space="preserve"> 54, line 21 through p</w:t>
      </w:r>
      <w:r w:rsidR="00520E1D" w:rsidRPr="00291C9D">
        <w:rPr>
          <w:rFonts w:ascii="Times New Roman" w:hAnsi="Times New Roman"/>
        </w:rPr>
        <w:t>.</w:t>
      </w:r>
      <w:r w:rsidR="00B53F5E" w:rsidRPr="00291C9D">
        <w:rPr>
          <w:rFonts w:ascii="Times New Roman" w:hAnsi="Times New Roman"/>
        </w:rPr>
        <w:t xml:space="preserve"> 55, line 1</w:t>
      </w:r>
      <w:r w:rsidR="00520E1D" w:rsidRPr="00291C9D">
        <w:rPr>
          <w:rFonts w:ascii="Times New Roman" w:hAnsi="Times New Roman"/>
        </w:rPr>
        <w:t xml:space="preserve"> (July 18, 2014)</w:t>
      </w:r>
      <w:r w:rsidR="00B53F5E" w:rsidRPr="00291C9D">
        <w:rPr>
          <w:rFonts w:ascii="Times New Roman" w:hAnsi="Times New Roman"/>
        </w:rPr>
        <w:t>.</w:t>
      </w:r>
    </w:p>
  </w:footnote>
  <w:footnote w:id="13">
    <w:p w14:paraId="41DA500E" w14:textId="77777777" w:rsidR="00672885" w:rsidRPr="00291C9D" w:rsidRDefault="00672885">
      <w:pPr>
        <w:pStyle w:val="FootnoteText"/>
        <w:rPr>
          <w:rFonts w:ascii="Times New Roman" w:hAnsi="Times New Roman"/>
        </w:rPr>
      </w:pPr>
      <w:r>
        <w:rPr>
          <w:rStyle w:val="FootnoteReference"/>
        </w:rPr>
        <w:footnoteRef/>
      </w:r>
      <w:r>
        <w:t xml:space="preserve"> </w:t>
      </w:r>
      <w:r w:rsidRPr="00291C9D">
        <w:rPr>
          <w:rFonts w:ascii="Times New Roman" w:hAnsi="Times New Roman"/>
        </w:rPr>
        <w:t xml:space="preserve">For a full discussion on why Staff is recommending an assessed investigation fee on WCI, </w:t>
      </w:r>
      <w:r w:rsidRPr="00291C9D">
        <w:rPr>
          <w:rFonts w:ascii="Times New Roman" w:hAnsi="Times New Roman"/>
          <w:i/>
        </w:rPr>
        <w:t xml:space="preserve">see </w:t>
      </w:r>
      <w:r w:rsidRPr="00291C9D">
        <w:rPr>
          <w:rFonts w:ascii="Times New Roman" w:hAnsi="Times New Roman"/>
        </w:rPr>
        <w:t>Testimony of Melissa Cheesman, p</w:t>
      </w:r>
      <w:r w:rsidR="00520E1D" w:rsidRPr="00291C9D">
        <w:rPr>
          <w:rFonts w:ascii="Times New Roman" w:hAnsi="Times New Roman"/>
        </w:rPr>
        <w:t>.</w:t>
      </w:r>
      <w:r w:rsidRPr="00291C9D">
        <w:rPr>
          <w:rFonts w:ascii="Times New Roman" w:hAnsi="Times New Roman"/>
        </w:rPr>
        <w:t xml:space="preserve"> 55, line 21 through p</w:t>
      </w:r>
      <w:r w:rsidR="00520E1D" w:rsidRPr="00291C9D">
        <w:rPr>
          <w:rFonts w:ascii="Times New Roman" w:hAnsi="Times New Roman"/>
        </w:rPr>
        <w:t>.</w:t>
      </w:r>
      <w:r w:rsidRPr="00291C9D">
        <w:rPr>
          <w:rFonts w:ascii="Times New Roman" w:hAnsi="Times New Roman"/>
        </w:rPr>
        <w:t xml:space="preserve"> 56, line 12</w:t>
      </w:r>
      <w:r w:rsidR="00520E1D" w:rsidRPr="00291C9D">
        <w:rPr>
          <w:rFonts w:ascii="Times New Roman" w:hAnsi="Times New Roman"/>
        </w:rPr>
        <w:t xml:space="preserve"> (July 18, 2014)</w:t>
      </w:r>
      <w:r w:rsidRPr="00291C9D">
        <w:rPr>
          <w:rFonts w:ascii="Times New Roman" w:hAnsi="Times New Roman"/>
        </w:rPr>
        <w:t>.</w:t>
      </w:r>
    </w:p>
  </w:footnote>
  <w:footnote w:id="14">
    <w:p w14:paraId="41DA500F" w14:textId="77777777" w:rsidR="005A4995" w:rsidRPr="009F06DB" w:rsidRDefault="005A4995">
      <w:pPr>
        <w:pStyle w:val="FootnoteText"/>
        <w:rPr>
          <w:rFonts w:ascii="Times New Roman" w:hAnsi="Times New Roman"/>
        </w:rPr>
      </w:pPr>
      <w:r w:rsidRPr="009F06DB">
        <w:rPr>
          <w:rStyle w:val="FootnoteReference"/>
          <w:rFonts w:ascii="Times New Roman" w:hAnsi="Times New Roman"/>
        </w:rPr>
        <w:footnoteRef/>
      </w:r>
      <w:r w:rsidRPr="009F06DB">
        <w:rPr>
          <w:rFonts w:ascii="Times New Roman" w:hAnsi="Times New Roman"/>
        </w:rPr>
        <w:t xml:space="preserve"> Exhibit JD-50T, Supplement</w:t>
      </w:r>
      <w:r w:rsidR="00227685" w:rsidRPr="009F06DB">
        <w:rPr>
          <w:rFonts w:ascii="Times New Roman" w:hAnsi="Times New Roman"/>
        </w:rPr>
        <w:t>al</w:t>
      </w:r>
      <w:r w:rsidRPr="009F06DB">
        <w:rPr>
          <w:rFonts w:ascii="Times New Roman" w:hAnsi="Times New Roman"/>
        </w:rPr>
        <w:t xml:space="preserve"> Testimony of Jackie Davis, page 2, lines 7 through 13</w:t>
      </w:r>
      <w:r w:rsidR="00520E1D" w:rsidRPr="009F06DB">
        <w:rPr>
          <w:rFonts w:ascii="Times New Roman" w:hAnsi="Times New Roman"/>
        </w:rPr>
        <w:t xml:space="preserve"> (Nov. 7, 2014)</w:t>
      </w:r>
      <w:r w:rsidRPr="009F06DB">
        <w:rPr>
          <w:rFonts w:ascii="Times New Roman" w:hAnsi="Times New Roman"/>
        </w:rPr>
        <w:t>.</w:t>
      </w:r>
    </w:p>
  </w:footnote>
  <w:footnote w:id="15">
    <w:p w14:paraId="41DA5010" w14:textId="77777777" w:rsidR="005A4995" w:rsidRPr="009F06DB" w:rsidRDefault="005A4995">
      <w:pPr>
        <w:pStyle w:val="FootnoteText"/>
        <w:rPr>
          <w:rFonts w:ascii="Times New Roman" w:hAnsi="Times New Roman"/>
        </w:rPr>
      </w:pPr>
      <w:r w:rsidRPr="009F06DB">
        <w:rPr>
          <w:rStyle w:val="FootnoteReference"/>
          <w:rFonts w:ascii="Times New Roman" w:hAnsi="Times New Roman"/>
        </w:rPr>
        <w:footnoteRef/>
      </w:r>
      <w:r w:rsidRPr="009F06DB">
        <w:rPr>
          <w:rFonts w:ascii="Times New Roman" w:hAnsi="Times New Roman"/>
        </w:rPr>
        <w:t xml:space="preserve"> Exhibit JW-9</w:t>
      </w:r>
      <w:r w:rsidR="00520E1D" w:rsidRPr="009F06DB">
        <w:rPr>
          <w:rFonts w:ascii="Times New Roman" w:hAnsi="Times New Roman"/>
        </w:rPr>
        <w:t xml:space="preserve"> (Nov. 7, 2014)</w:t>
      </w:r>
      <w:r w:rsidRPr="009F06DB">
        <w:rPr>
          <w:rFonts w:ascii="Times New Roman" w:hAnsi="Times New Roman"/>
        </w:rPr>
        <w:t>.</w:t>
      </w:r>
    </w:p>
  </w:footnote>
  <w:footnote w:id="16">
    <w:p w14:paraId="41DA5011" w14:textId="77777777" w:rsidR="00B0117F" w:rsidRPr="00291C9D" w:rsidRDefault="00B0117F">
      <w:pPr>
        <w:pStyle w:val="FootnoteText"/>
        <w:rPr>
          <w:rFonts w:ascii="Times New Roman" w:hAnsi="Times New Roman"/>
        </w:rPr>
      </w:pPr>
      <w:r w:rsidRPr="00291C9D">
        <w:rPr>
          <w:rStyle w:val="FootnoteReference"/>
          <w:rFonts w:ascii="Times New Roman" w:hAnsi="Times New Roman"/>
        </w:rPr>
        <w:footnoteRef/>
      </w:r>
      <w:r w:rsidRPr="00291C9D">
        <w:rPr>
          <w:rFonts w:ascii="Times New Roman" w:hAnsi="Times New Roman"/>
        </w:rPr>
        <w:t xml:space="preserve"> In TG-131794 Staff issued data request 3, question 2, and in TG-140560 Staff issued data requests 1, 3, 4, and 11.</w:t>
      </w:r>
    </w:p>
  </w:footnote>
  <w:footnote w:id="17">
    <w:p w14:paraId="41DA5012" w14:textId="77777777" w:rsidR="00B0117F" w:rsidRPr="00291C9D" w:rsidRDefault="00B0117F">
      <w:pPr>
        <w:pStyle w:val="FootnoteText"/>
        <w:rPr>
          <w:rFonts w:ascii="Times New Roman" w:hAnsi="Times New Roman"/>
        </w:rPr>
      </w:pPr>
      <w:r>
        <w:rPr>
          <w:rStyle w:val="FootnoteReference"/>
        </w:rPr>
        <w:footnoteRef/>
      </w:r>
      <w:r>
        <w:t xml:space="preserve"> </w:t>
      </w:r>
      <w:r w:rsidRPr="00291C9D">
        <w:rPr>
          <w:rFonts w:ascii="Times New Roman" w:hAnsi="Times New Roman"/>
        </w:rPr>
        <w:t xml:space="preserve">WAC 480-07-520(4)(e) requires the Company’s initial filing work papers to include “A detailed list of all nonregulated operations, including the rates charged for the services rendered. </w:t>
      </w:r>
      <w:r w:rsidR="00480699" w:rsidRPr="00291C9D">
        <w:rPr>
          <w:rFonts w:ascii="Times New Roman" w:hAnsi="Times New Roman"/>
        </w:rPr>
        <w:t xml:space="preserve"> </w:t>
      </w:r>
      <w:r w:rsidRPr="00291C9D">
        <w:rPr>
          <w:rFonts w:ascii="Times New Roman" w:hAnsi="Times New Roman"/>
        </w:rPr>
        <w:t>Copies of all contracts must be provided on request.”</w:t>
      </w:r>
    </w:p>
  </w:footnote>
  <w:footnote w:id="18">
    <w:p w14:paraId="41DA5013" w14:textId="77777777" w:rsidR="006B7489" w:rsidRPr="00291C9D" w:rsidRDefault="006B7489" w:rsidP="006B7489">
      <w:pPr>
        <w:pStyle w:val="FootnoteText"/>
        <w:rPr>
          <w:rFonts w:ascii="Times New Roman" w:hAnsi="Times New Roman"/>
        </w:rPr>
      </w:pPr>
      <w:r>
        <w:rPr>
          <w:rStyle w:val="FootnoteReference"/>
        </w:rPr>
        <w:footnoteRef/>
      </w:r>
      <w:r>
        <w:t xml:space="preserve"> </w:t>
      </w:r>
      <w:r w:rsidRPr="00291C9D">
        <w:rPr>
          <w:rFonts w:ascii="Times New Roman" w:hAnsi="Times New Roman"/>
        </w:rPr>
        <w:t>WCI’s initial general rate filing in docket TG-131794 included non-regulated Kalama customer counts of 789 residential cart customers, 147 commercial cart customers, and 29 commercial container customers.</w:t>
      </w:r>
    </w:p>
  </w:footnote>
  <w:footnote w:id="19">
    <w:p w14:paraId="41DA5014" w14:textId="77777777" w:rsidR="006B7489" w:rsidRPr="00291C9D" w:rsidRDefault="006B7489" w:rsidP="006B7489">
      <w:pPr>
        <w:pStyle w:val="FootnoteText"/>
        <w:rPr>
          <w:rFonts w:ascii="Times New Roman" w:hAnsi="Times New Roman"/>
        </w:rPr>
      </w:pPr>
      <w:r>
        <w:rPr>
          <w:rStyle w:val="FootnoteReference"/>
        </w:rPr>
        <w:footnoteRef/>
      </w:r>
      <w:r>
        <w:t xml:space="preserve"> </w:t>
      </w:r>
      <w:r w:rsidRPr="00291C9D">
        <w:rPr>
          <w:rFonts w:ascii="Times New Roman" w:hAnsi="Times New Roman"/>
        </w:rPr>
        <w:t xml:space="preserve">Staff used the information in WCI’s initial filing to calculate a customer count allocation factor for non-regulated Kalama. </w:t>
      </w:r>
      <w:r w:rsidR="00A60E4B" w:rsidRPr="00291C9D">
        <w:rPr>
          <w:rFonts w:ascii="Times New Roman" w:hAnsi="Times New Roman"/>
        </w:rPr>
        <w:t xml:space="preserve"> </w:t>
      </w:r>
      <w:r w:rsidRPr="00291C9D">
        <w:rPr>
          <w:rFonts w:ascii="Times New Roman" w:hAnsi="Times New Roman"/>
        </w:rPr>
        <w:t xml:space="preserve">During informal discussions, WCI disagreed with Staff’s calculation and stated that its own filing was incorrect and the customer count allocation factor for non-regulated Kalama needed to only include 789 residential cart customers. </w:t>
      </w:r>
      <w:r w:rsidR="00A60E4B" w:rsidRPr="00291C9D">
        <w:rPr>
          <w:rFonts w:ascii="Times New Roman" w:hAnsi="Times New Roman"/>
        </w:rPr>
        <w:t xml:space="preserve"> </w:t>
      </w:r>
      <w:r w:rsidRPr="00291C9D">
        <w:rPr>
          <w:rFonts w:ascii="Times New Roman" w:hAnsi="Times New Roman"/>
        </w:rPr>
        <w:t xml:space="preserve">Staff asked WCI to provide a copy of the City of Kalama contract. </w:t>
      </w:r>
      <w:r w:rsidR="00A60E4B" w:rsidRPr="00291C9D">
        <w:rPr>
          <w:rFonts w:ascii="Times New Roman" w:hAnsi="Times New Roman"/>
        </w:rPr>
        <w:t xml:space="preserve"> </w:t>
      </w:r>
      <w:r w:rsidRPr="00291C9D">
        <w:rPr>
          <w:rFonts w:ascii="Times New Roman" w:hAnsi="Times New Roman"/>
        </w:rPr>
        <w:t>Upon review, Staff discovered that the contract plainly states that WCI collected and disposed of all garbage and refuse in Kalama, and the Company’s non-regulated operations in the city were not limited to residential carts.</w:t>
      </w:r>
    </w:p>
  </w:footnote>
  <w:footnote w:id="20">
    <w:p w14:paraId="41DA5015" w14:textId="77777777" w:rsidR="006B7489" w:rsidRPr="00291C9D" w:rsidRDefault="006B7489" w:rsidP="006B7489">
      <w:pPr>
        <w:pStyle w:val="FootnoteText"/>
        <w:rPr>
          <w:rFonts w:ascii="Times New Roman" w:hAnsi="Times New Roman"/>
        </w:rPr>
      </w:pPr>
      <w:r>
        <w:rPr>
          <w:rStyle w:val="FootnoteReference"/>
        </w:rPr>
        <w:footnoteRef/>
      </w:r>
      <w:r>
        <w:t xml:space="preserve"> </w:t>
      </w:r>
      <w:r w:rsidRPr="00291C9D">
        <w:rPr>
          <w:rFonts w:ascii="Times New Roman" w:hAnsi="Times New Roman"/>
        </w:rPr>
        <w:t xml:space="preserve">WCI’s TG-140560 initial filed Exhibit JD-11, included non-regulated Kalama customer counts of 789 residential cart customers, 147 commercial cart customers, and 29 commercial container customers. </w:t>
      </w:r>
      <w:r w:rsidR="00A60E4B" w:rsidRPr="00291C9D">
        <w:rPr>
          <w:rFonts w:ascii="Times New Roman" w:hAnsi="Times New Roman"/>
        </w:rPr>
        <w:t xml:space="preserve"> </w:t>
      </w:r>
      <w:r w:rsidRPr="00291C9D">
        <w:rPr>
          <w:rFonts w:ascii="Times New Roman" w:hAnsi="Times New Roman"/>
        </w:rPr>
        <w:t>The Company’s Exhibit JD-11 contradicted its general filing because Exhibit JD-11’s customer count allocation factors for non-regulated Kalama included only 789 residential cart customers.</w:t>
      </w:r>
    </w:p>
  </w:footnote>
  <w:footnote w:id="21">
    <w:p w14:paraId="41DA5016" w14:textId="77777777" w:rsidR="006B7489" w:rsidRPr="00291C9D" w:rsidRDefault="006B7489" w:rsidP="006B7489">
      <w:pPr>
        <w:pStyle w:val="FootnoteText"/>
        <w:rPr>
          <w:rFonts w:ascii="Times New Roman" w:hAnsi="Times New Roman"/>
        </w:rPr>
      </w:pPr>
      <w:r w:rsidRPr="00291C9D">
        <w:rPr>
          <w:rStyle w:val="FootnoteReference"/>
          <w:rFonts w:ascii="Times New Roman" w:hAnsi="Times New Roman"/>
        </w:rPr>
        <w:footnoteRef/>
      </w:r>
      <w:r w:rsidRPr="00291C9D">
        <w:rPr>
          <w:rFonts w:ascii="Times New Roman" w:hAnsi="Times New Roman"/>
        </w:rPr>
        <w:t xml:space="preserve"> In response to Staff’s data requests 1 and 11 and phone discussions, WCI provided a revised results of operations Excel workbook to replace Exhibit JD-11. </w:t>
      </w:r>
      <w:r w:rsidR="00A60E4B" w:rsidRPr="00291C9D">
        <w:rPr>
          <w:rFonts w:ascii="Times New Roman" w:hAnsi="Times New Roman"/>
        </w:rPr>
        <w:t xml:space="preserve"> </w:t>
      </w:r>
      <w:r w:rsidRPr="00291C9D">
        <w:rPr>
          <w:rFonts w:ascii="Times New Roman" w:hAnsi="Times New Roman"/>
        </w:rPr>
        <w:t>The revision included a description that stated that non-regulated Kalama includes only residential and commercial cart customers.</w:t>
      </w:r>
      <w:r w:rsidR="00A60E4B" w:rsidRPr="00291C9D">
        <w:rPr>
          <w:rFonts w:ascii="Times New Roman" w:hAnsi="Times New Roman"/>
        </w:rPr>
        <w:t xml:space="preserve"> </w:t>
      </w:r>
      <w:r w:rsidRPr="00291C9D">
        <w:rPr>
          <w:rFonts w:ascii="Times New Roman" w:hAnsi="Times New Roman"/>
        </w:rPr>
        <w:t xml:space="preserve"> However, the Company did not change its customer count allocation factors to include the additional 147 commercial cart customers.</w:t>
      </w:r>
    </w:p>
  </w:footnote>
  <w:footnote w:id="22">
    <w:p w14:paraId="41DA5017" w14:textId="77777777" w:rsidR="006B7489" w:rsidRPr="00291C9D" w:rsidRDefault="006B7489" w:rsidP="006B7489">
      <w:pPr>
        <w:pStyle w:val="FootnoteText"/>
        <w:rPr>
          <w:rFonts w:ascii="Times New Roman" w:hAnsi="Times New Roman"/>
        </w:rPr>
      </w:pPr>
      <w:r w:rsidRPr="00291C9D">
        <w:rPr>
          <w:rStyle w:val="FootnoteReference"/>
          <w:rFonts w:ascii="Times New Roman" w:hAnsi="Times New Roman"/>
        </w:rPr>
        <w:footnoteRef/>
      </w:r>
      <w:r w:rsidRPr="00291C9D">
        <w:rPr>
          <w:rFonts w:ascii="Times New Roman" w:hAnsi="Times New Roman"/>
        </w:rPr>
        <w:t xml:space="preserve"> In response to Staff’s data request 3 and 4 and after additional phone discussions, WCI provided another revision of Exhibit JD-11. </w:t>
      </w:r>
      <w:r w:rsidR="00A60E4B" w:rsidRPr="00291C9D">
        <w:rPr>
          <w:rFonts w:ascii="Times New Roman" w:hAnsi="Times New Roman"/>
        </w:rPr>
        <w:t xml:space="preserve"> </w:t>
      </w:r>
      <w:r w:rsidRPr="00291C9D">
        <w:rPr>
          <w:rFonts w:ascii="Times New Roman" w:hAnsi="Times New Roman"/>
        </w:rPr>
        <w:t xml:space="preserve">WCI again modified the customer count allocation factor for non-regulated Kalama to include residential cart customers, commercial cart customers, and commercial container customers. </w:t>
      </w:r>
      <w:r w:rsidR="00A60E4B" w:rsidRPr="00291C9D">
        <w:rPr>
          <w:rFonts w:ascii="Times New Roman" w:hAnsi="Times New Roman"/>
        </w:rPr>
        <w:t xml:space="preserve"> </w:t>
      </w:r>
      <w:r w:rsidRPr="00291C9D">
        <w:rPr>
          <w:rFonts w:ascii="Times New Roman" w:hAnsi="Times New Roman"/>
        </w:rPr>
        <w:t>WCI changed its customer count allocation factor by reducing the previous 789 residential cart customer count to 642, added the 147 commercial cart customers that WCI had left out of it prior revision, and added 38 commercial container customers.</w:t>
      </w:r>
    </w:p>
  </w:footnote>
  <w:footnote w:id="23">
    <w:p w14:paraId="41DA5018" w14:textId="77777777" w:rsidR="00EF35BF" w:rsidRPr="00291C9D" w:rsidRDefault="00EF35BF">
      <w:pPr>
        <w:pStyle w:val="FootnoteText"/>
        <w:rPr>
          <w:rFonts w:ascii="Times New Roman" w:hAnsi="Times New Roman"/>
        </w:rPr>
      </w:pPr>
      <w:r>
        <w:rPr>
          <w:rStyle w:val="FootnoteReference"/>
        </w:rPr>
        <w:footnoteRef/>
      </w:r>
      <w:r>
        <w:t xml:space="preserve"> </w:t>
      </w:r>
      <w:r w:rsidRPr="00291C9D">
        <w:rPr>
          <w:rFonts w:ascii="Times New Roman" w:hAnsi="Times New Roman"/>
        </w:rPr>
        <w:t xml:space="preserve">For the discussion of the Company acknowledging problems with WCI’s test period route study </w:t>
      </w:r>
      <w:r w:rsidRPr="00291C9D">
        <w:rPr>
          <w:rFonts w:ascii="Times New Roman" w:hAnsi="Times New Roman"/>
          <w:i/>
        </w:rPr>
        <w:t>see</w:t>
      </w:r>
      <w:r w:rsidR="00C32355" w:rsidRPr="00291C9D">
        <w:rPr>
          <w:rFonts w:ascii="Times New Roman" w:hAnsi="Times New Roman"/>
        </w:rPr>
        <w:t>,</w:t>
      </w:r>
      <w:r w:rsidRPr="00291C9D">
        <w:rPr>
          <w:rFonts w:ascii="Times New Roman" w:hAnsi="Times New Roman"/>
        </w:rPr>
        <w:t xml:space="preserve"> Rebuttal Testimony of Jackie Davis, </w:t>
      </w:r>
      <w:r w:rsidR="001C1911" w:rsidRPr="00291C9D">
        <w:rPr>
          <w:rFonts w:ascii="Times New Roman" w:hAnsi="Times New Roman"/>
        </w:rPr>
        <w:t xml:space="preserve">p. </w:t>
      </w:r>
      <w:r w:rsidRPr="00291C9D">
        <w:rPr>
          <w:rFonts w:ascii="Times New Roman" w:hAnsi="Times New Roman"/>
        </w:rPr>
        <w:t xml:space="preserve">34, lines 5 through </w:t>
      </w:r>
      <w:r w:rsidR="001C1911" w:rsidRPr="00291C9D">
        <w:rPr>
          <w:rFonts w:ascii="Times New Roman" w:hAnsi="Times New Roman"/>
        </w:rPr>
        <w:t>8</w:t>
      </w:r>
      <w:r w:rsidR="00520E1D" w:rsidRPr="00291C9D">
        <w:rPr>
          <w:rFonts w:ascii="Times New Roman" w:hAnsi="Times New Roman"/>
        </w:rPr>
        <w:t xml:space="preserve"> (Aug. 20, 2014)</w:t>
      </w:r>
      <w:r w:rsidRPr="00291C9D">
        <w:rPr>
          <w:rFonts w:ascii="Times New Roman" w:hAnsi="Times New Roman"/>
        </w:rPr>
        <w:t>.</w:t>
      </w:r>
    </w:p>
  </w:footnote>
  <w:footnote w:id="24">
    <w:p w14:paraId="41DA5019" w14:textId="77777777" w:rsidR="00EF35BF" w:rsidRPr="00291C9D" w:rsidRDefault="00EF35BF">
      <w:pPr>
        <w:pStyle w:val="FootnoteText"/>
        <w:rPr>
          <w:rFonts w:ascii="Times New Roman" w:hAnsi="Times New Roman"/>
        </w:rPr>
      </w:pPr>
      <w:r>
        <w:rPr>
          <w:rStyle w:val="FootnoteReference"/>
        </w:rPr>
        <w:footnoteRef/>
      </w:r>
      <w:r>
        <w:t xml:space="preserve"> </w:t>
      </w:r>
      <w:r w:rsidRPr="00291C9D">
        <w:rPr>
          <w:rFonts w:ascii="Times New Roman" w:hAnsi="Times New Roman"/>
        </w:rPr>
        <w:t>Rebuttal Testimony of Jackie Davis, p</w:t>
      </w:r>
      <w:r w:rsidR="00520E1D" w:rsidRPr="00291C9D">
        <w:rPr>
          <w:rFonts w:ascii="Times New Roman" w:hAnsi="Times New Roman"/>
        </w:rPr>
        <w:t>.</w:t>
      </w:r>
      <w:r w:rsidRPr="00291C9D">
        <w:rPr>
          <w:rFonts w:ascii="Times New Roman" w:hAnsi="Times New Roman"/>
        </w:rPr>
        <w:t xml:space="preserve"> 32, lines 5 through 11</w:t>
      </w:r>
      <w:r w:rsidR="00520E1D" w:rsidRPr="00291C9D">
        <w:rPr>
          <w:rFonts w:ascii="Times New Roman" w:hAnsi="Times New Roman"/>
        </w:rPr>
        <w:t xml:space="preserve"> (Aug. 20, 2014)</w:t>
      </w:r>
      <w:r w:rsidRPr="00291C9D">
        <w:rPr>
          <w:rFonts w:ascii="Times New Roman" w:hAnsi="Times New Roman"/>
        </w:rPr>
        <w:t>.</w:t>
      </w:r>
    </w:p>
  </w:footnote>
  <w:footnote w:id="25">
    <w:p w14:paraId="41DA501A" w14:textId="77777777" w:rsidR="00C32355" w:rsidRPr="00291C9D" w:rsidRDefault="00C32355" w:rsidP="00C32355">
      <w:pPr>
        <w:pStyle w:val="FootnoteText"/>
        <w:rPr>
          <w:rFonts w:ascii="Times New Roman" w:hAnsi="Times New Roman"/>
        </w:rPr>
      </w:pPr>
      <w:r w:rsidRPr="00291C9D">
        <w:rPr>
          <w:rStyle w:val="FootnoteReference"/>
          <w:rFonts w:ascii="Times New Roman" w:hAnsi="Times New Roman"/>
        </w:rPr>
        <w:footnoteRef/>
      </w:r>
      <w:r w:rsidRPr="00291C9D">
        <w:rPr>
          <w:rFonts w:ascii="Times New Roman" w:hAnsi="Times New Roman"/>
        </w:rPr>
        <w:t xml:space="preserve"> For Staff’s explanation for the proposed general rate case recovery see, Testimony of Melissa Cheesman, p</w:t>
      </w:r>
      <w:r w:rsidR="00F4267A" w:rsidRPr="00291C9D">
        <w:rPr>
          <w:rFonts w:ascii="Times New Roman" w:hAnsi="Times New Roman"/>
        </w:rPr>
        <w:t>.</w:t>
      </w:r>
      <w:r w:rsidRPr="00291C9D">
        <w:rPr>
          <w:rFonts w:ascii="Times New Roman" w:hAnsi="Times New Roman"/>
        </w:rPr>
        <w:t xml:space="preserve"> 48, lines 5 through p</w:t>
      </w:r>
      <w:r w:rsidR="00F4267A" w:rsidRPr="00291C9D">
        <w:rPr>
          <w:rFonts w:ascii="Times New Roman" w:hAnsi="Times New Roman"/>
        </w:rPr>
        <w:t>.</w:t>
      </w:r>
      <w:r w:rsidRPr="00291C9D">
        <w:rPr>
          <w:rFonts w:ascii="Times New Roman" w:hAnsi="Times New Roman"/>
        </w:rPr>
        <w:t xml:space="preserve"> 49, line 11</w:t>
      </w:r>
      <w:r w:rsidR="00F4267A" w:rsidRPr="00291C9D">
        <w:rPr>
          <w:rFonts w:ascii="Times New Roman" w:hAnsi="Times New Roman"/>
        </w:rPr>
        <w:t xml:space="preserve"> (July 18, 2014)</w:t>
      </w:r>
      <w:r w:rsidRPr="00291C9D">
        <w:rPr>
          <w:rFonts w:ascii="Times New Roman" w:hAnsi="Times New Roman"/>
        </w:rPr>
        <w:t>.</w:t>
      </w:r>
    </w:p>
  </w:footnote>
  <w:footnote w:id="26">
    <w:p w14:paraId="41DA501B" w14:textId="77777777" w:rsidR="00C32355" w:rsidRPr="00291C9D" w:rsidRDefault="00C32355" w:rsidP="00C32355">
      <w:pPr>
        <w:pStyle w:val="FootnoteText"/>
        <w:rPr>
          <w:rFonts w:ascii="Times New Roman" w:hAnsi="Times New Roman"/>
        </w:rPr>
      </w:pPr>
      <w:r w:rsidRPr="00291C9D">
        <w:rPr>
          <w:rStyle w:val="FootnoteReference"/>
          <w:rFonts w:ascii="Times New Roman" w:hAnsi="Times New Roman"/>
        </w:rPr>
        <w:footnoteRef/>
      </w:r>
      <w:r w:rsidRPr="00291C9D">
        <w:rPr>
          <w:rFonts w:ascii="Times New Roman" w:hAnsi="Times New Roman"/>
        </w:rPr>
        <w:t xml:space="preserve"> Staff’s Response to TG-131794 WCI Formal Data Request 8: “On December 19, 2013, staff made no proposal on a revised revenue requirement because the company ended settlement discussion and requested a Prehearing Conference. </w:t>
      </w:r>
      <w:r w:rsidR="007C65B2" w:rsidRPr="00291C9D">
        <w:rPr>
          <w:rFonts w:ascii="Times New Roman" w:hAnsi="Times New Roman"/>
        </w:rPr>
        <w:t xml:space="preserve"> </w:t>
      </w:r>
      <w:r w:rsidRPr="00291C9D">
        <w:rPr>
          <w:rFonts w:ascii="Times New Roman" w:hAnsi="Times New Roman"/>
        </w:rPr>
        <w:t>Staff’s current pro forma is a work-in-process and will provide its position in its testimony, which will be filed on March 26, 2014.”</w:t>
      </w:r>
    </w:p>
    <w:p w14:paraId="41DA501C" w14:textId="11E61B9D" w:rsidR="00C32355" w:rsidRPr="00291C9D" w:rsidRDefault="009F06DB" w:rsidP="009F06DB">
      <w:pPr>
        <w:pStyle w:val="FootnoteText"/>
        <w:tabs>
          <w:tab w:val="left" w:pos="540"/>
        </w:tabs>
        <w:rPr>
          <w:rFonts w:ascii="Times New Roman" w:hAnsi="Times New Roman"/>
        </w:rPr>
      </w:pPr>
      <w:r>
        <w:rPr>
          <w:rFonts w:ascii="Times New Roman" w:hAnsi="Times New Roman"/>
        </w:rPr>
        <w:tab/>
      </w:r>
      <w:r w:rsidR="00C32355" w:rsidRPr="00291C9D">
        <w:rPr>
          <w:rFonts w:ascii="Times New Roman" w:hAnsi="Times New Roman"/>
        </w:rPr>
        <w:t xml:space="preserve">Staff’s Response to TG-131794 WCI Follow-up Formal Data Request 8: “Yes, when staff did not agree to the company’s position on rental payments for the regulated company, the company terminated settlement discussion without considering the other nine identified issues. </w:t>
      </w:r>
      <w:r w:rsidR="00A60E4B" w:rsidRPr="00291C9D">
        <w:rPr>
          <w:rFonts w:ascii="Times New Roman" w:hAnsi="Times New Roman"/>
        </w:rPr>
        <w:t xml:space="preserve"> </w:t>
      </w:r>
      <w:r w:rsidR="00C32355" w:rsidRPr="00291C9D">
        <w:rPr>
          <w:rFonts w:ascii="Times New Roman" w:hAnsi="Times New Roman"/>
        </w:rPr>
        <w:t xml:space="preserve">Before engaging in settlement discussions, the company, by email dated December 17, 2013, (copy attached), identified eight issues and attached Excel files to demonstrate its proposed revenue requirement. </w:t>
      </w:r>
      <w:r w:rsidR="00A60E4B" w:rsidRPr="00291C9D">
        <w:rPr>
          <w:rFonts w:ascii="Times New Roman" w:hAnsi="Times New Roman"/>
        </w:rPr>
        <w:t xml:space="preserve"> </w:t>
      </w:r>
      <w:r w:rsidR="00C32355" w:rsidRPr="00291C9D">
        <w:rPr>
          <w:rFonts w:ascii="Times New Roman" w:hAnsi="Times New Roman"/>
        </w:rPr>
        <w:t xml:space="preserve">After review, staff identified two additional issues, sent to the company by email dated December 17, 2013 (copy attached). </w:t>
      </w:r>
      <w:r w:rsidR="00A60E4B" w:rsidRPr="00291C9D">
        <w:rPr>
          <w:rFonts w:ascii="Times New Roman" w:hAnsi="Times New Roman"/>
        </w:rPr>
        <w:t xml:space="preserve"> </w:t>
      </w:r>
      <w:r w:rsidR="00C32355" w:rsidRPr="00291C9D">
        <w:rPr>
          <w:rFonts w:ascii="Times New Roman" w:hAnsi="Times New Roman"/>
        </w:rPr>
        <w:t xml:space="preserve">On December 19, 2013, staff and the company engaged in a phone conference to discuss settlement of the ten issues. </w:t>
      </w:r>
      <w:r w:rsidR="00A60E4B" w:rsidRPr="00291C9D">
        <w:rPr>
          <w:rFonts w:ascii="Times New Roman" w:hAnsi="Times New Roman"/>
        </w:rPr>
        <w:t xml:space="preserve"> </w:t>
      </w:r>
      <w:r w:rsidR="00C32355" w:rsidRPr="00291C9D">
        <w:rPr>
          <w:rFonts w:ascii="Times New Roman" w:hAnsi="Times New Roman"/>
        </w:rPr>
        <w:t xml:space="preserve">The first issue discussed was Waste Control, Inc.’s rental payments to its affiliates. </w:t>
      </w:r>
      <w:r w:rsidR="00A60E4B" w:rsidRPr="00291C9D">
        <w:rPr>
          <w:rFonts w:ascii="Times New Roman" w:hAnsi="Times New Roman"/>
        </w:rPr>
        <w:t xml:space="preserve"> </w:t>
      </w:r>
      <w:r w:rsidR="00C32355" w:rsidRPr="00291C9D">
        <w:rPr>
          <w:rFonts w:ascii="Times New Roman" w:hAnsi="Times New Roman"/>
        </w:rPr>
        <w:t xml:space="preserve">Staff did not agree to the company’s position, but stated we would consider revising the cost of equity based on a review of the affiliate companies’ financial risk. </w:t>
      </w:r>
      <w:r w:rsidR="00A60E4B" w:rsidRPr="00291C9D">
        <w:rPr>
          <w:rFonts w:ascii="Times New Roman" w:hAnsi="Times New Roman"/>
        </w:rPr>
        <w:t xml:space="preserve"> </w:t>
      </w:r>
      <w:r w:rsidR="00C32355" w:rsidRPr="00291C9D">
        <w:rPr>
          <w:rFonts w:ascii="Times New Roman" w:hAnsi="Times New Roman"/>
        </w:rPr>
        <w:t>The company terminated the settlement discussion without any discussion of the remaining nine issues.”</w:t>
      </w:r>
    </w:p>
  </w:footnote>
  <w:footnote w:id="27">
    <w:p w14:paraId="41DA501D" w14:textId="77777777" w:rsidR="00A962EE" w:rsidRPr="00291C9D" w:rsidRDefault="00A962EE">
      <w:pPr>
        <w:pStyle w:val="FootnoteText"/>
        <w:rPr>
          <w:rFonts w:ascii="Times New Roman" w:hAnsi="Times New Roman"/>
        </w:rPr>
      </w:pPr>
      <w:r w:rsidRPr="00291C9D">
        <w:rPr>
          <w:rStyle w:val="FootnoteReference"/>
          <w:rFonts w:ascii="Times New Roman" w:hAnsi="Times New Roman"/>
        </w:rPr>
        <w:footnoteRef/>
      </w:r>
      <w:r w:rsidR="005B5E37" w:rsidRPr="00291C9D">
        <w:rPr>
          <w:rFonts w:ascii="Times New Roman" w:hAnsi="Times New Roman"/>
        </w:rPr>
        <w:t>TG-131794, Order 05</w:t>
      </w:r>
      <w:r w:rsidRPr="00291C9D">
        <w:rPr>
          <w:rFonts w:ascii="Times New Roman" w:hAnsi="Times New Roman"/>
        </w:rPr>
        <w:t xml:space="preserve">, page 9, paragraph 26. </w:t>
      </w:r>
    </w:p>
  </w:footnote>
  <w:footnote w:id="28">
    <w:p w14:paraId="41DA501E" w14:textId="77777777" w:rsidR="00BC307E" w:rsidRPr="00291C9D" w:rsidRDefault="00BC307E" w:rsidP="00BC307E">
      <w:pPr>
        <w:pStyle w:val="FootnoteText"/>
        <w:rPr>
          <w:rFonts w:ascii="Times New Roman" w:hAnsi="Times New Roman"/>
        </w:rPr>
      </w:pPr>
      <w:r w:rsidRPr="00291C9D">
        <w:rPr>
          <w:rStyle w:val="FootnoteReference"/>
          <w:rFonts w:ascii="Times New Roman" w:hAnsi="Times New Roman"/>
        </w:rPr>
        <w:footnoteRef/>
      </w:r>
      <w:r w:rsidRPr="00291C9D">
        <w:rPr>
          <w:rFonts w:ascii="Times New Roman" w:hAnsi="Times New Roman"/>
        </w:rPr>
        <w:t xml:space="preserve"> As defined in Auditing Standards Section 350.</w:t>
      </w:r>
    </w:p>
  </w:footnote>
  <w:footnote w:id="29">
    <w:p w14:paraId="41DA501F" w14:textId="77777777" w:rsidR="00A32830" w:rsidRPr="00291C9D" w:rsidRDefault="00A32830">
      <w:pPr>
        <w:pStyle w:val="FootnoteText"/>
        <w:rPr>
          <w:rFonts w:ascii="Times New Roman" w:hAnsi="Times New Roman"/>
        </w:rPr>
      </w:pPr>
      <w:r w:rsidRPr="00291C9D">
        <w:rPr>
          <w:rStyle w:val="FootnoteReference"/>
          <w:rFonts w:ascii="Times New Roman" w:hAnsi="Times New Roman"/>
        </w:rPr>
        <w:footnoteRef/>
      </w:r>
      <w:r w:rsidRPr="00291C9D">
        <w:rPr>
          <w:rFonts w:ascii="Times New Roman" w:hAnsi="Times New Roman"/>
        </w:rPr>
        <w:t xml:space="preserve"> Exhibit JW-8T, Supplement</w:t>
      </w:r>
      <w:r w:rsidR="00F4267A" w:rsidRPr="00291C9D">
        <w:rPr>
          <w:rFonts w:ascii="Times New Roman" w:hAnsi="Times New Roman"/>
        </w:rPr>
        <w:t>al</w:t>
      </w:r>
      <w:r w:rsidRPr="00291C9D">
        <w:rPr>
          <w:rFonts w:ascii="Times New Roman" w:hAnsi="Times New Roman"/>
        </w:rPr>
        <w:t xml:space="preserve"> Testimony of Joe Willis, p</w:t>
      </w:r>
      <w:r w:rsidR="00F4267A" w:rsidRPr="00291C9D">
        <w:rPr>
          <w:rFonts w:ascii="Times New Roman" w:hAnsi="Times New Roman"/>
        </w:rPr>
        <w:t>.</w:t>
      </w:r>
      <w:r w:rsidRPr="00291C9D">
        <w:rPr>
          <w:rFonts w:ascii="Times New Roman" w:hAnsi="Times New Roman"/>
        </w:rPr>
        <w:t xml:space="preserve"> 3, lines 5 through 7</w:t>
      </w:r>
      <w:r w:rsidR="00F4267A" w:rsidRPr="00291C9D">
        <w:rPr>
          <w:rFonts w:ascii="Times New Roman" w:hAnsi="Times New Roman"/>
        </w:rPr>
        <w:t xml:space="preserve"> (Nov. 7, 2014)</w:t>
      </w:r>
      <w:r w:rsidRPr="00291C9D">
        <w:rPr>
          <w:rFonts w:ascii="Times New Roman" w:hAnsi="Times New Roman"/>
        </w:rPr>
        <w:t>.</w:t>
      </w:r>
    </w:p>
  </w:footnote>
  <w:footnote w:id="30">
    <w:p w14:paraId="41DA5020" w14:textId="77777777" w:rsidR="00A32830" w:rsidRPr="00291C9D" w:rsidRDefault="00A32830">
      <w:pPr>
        <w:pStyle w:val="FootnoteText"/>
        <w:rPr>
          <w:rFonts w:ascii="Times New Roman" w:hAnsi="Times New Roman"/>
        </w:rPr>
      </w:pPr>
      <w:r w:rsidRPr="00291C9D">
        <w:rPr>
          <w:rStyle w:val="FootnoteReference"/>
          <w:rFonts w:ascii="Times New Roman" w:hAnsi="Times New Roman"/>
        </w:rPr>
        <w:footnoteRef/>
      </w:r>
      <w:r w:rsidRPr="00291C9D">
        <w:rPr>
          <w:rFonts w:ascii="Times New Roman" w:hAnsi="Times New Roman"/>
        </w:rPr>
        <w:t xml:space="preserve"> Testimony of Melissa Cheesman, p</w:t>
      </w:r>
      <w:r w:rsidR="00F4267A" w:rsidRPr="00291C9D">
        <w:rPr>
          <w:rFonts w:ascii="Times New Roman" w:hAnsi="Times New Roman"/>
        </w:rPr>
        <w:t>.</w:t>
      </w:r>
      <w:r w:rsidRPr="00291C9D">
        <w:rPr>
          <w:rFonts w:ascii="Times New Roman" w:hAnsi="Times New Roman"/>
        </w:rPr>
        <w:t xml:space="preserve"> 20, lines 1 through 3</w:t>
      </w:r>
      <w:r w:rsidR="00F4267A" w:rsidRPr="00291C9D">
        <w:rPr>
          <w:rFonts w:ascii="Times New Roman" w:hAnsi="Times New Roman"/>
        </w:rPr>
        <w:t xml:space="preserve"> (July 18, 2014)</w:t>
      </w:r>
      <w:r w:rsidRPr="00291C9D">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6CD"/>
    <w:multiLevelType w:val="hybridMultilevel"/>
    <w:tmpl w:val="0D3E59E8"/>
    <w:lvl w:ilvl="0" w:tplc="04090015">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3E4B"/>
    <w:multiLevelType w:val="hybridMultilevel"/>
    <w:tmpl w:val="2FDA1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F413CD"/>
    <w:multiLevelType w:val="hybridMultilevel"/>
    <w:tmpl w:val="7BAACD10"/>
    <w:lvl w:ilvl="0" w:tplc="EC564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9F4F39"/>
    <w:multiLevelType w:val="hybridMultilevel"/>
    <w:tmpl w:val="ED2A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F3656E"/>
    <w:multiLevelType w:val="hybridMultilevel"/>
    <w:tmpl w:val="D4B6C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5C04FD"/>
    <w:multiLevelType w:val="hybridMultilevel"/>
    <w:tmpl w:val="D68E9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F7F05"/>
    <w:multiLevelType w:val="hybridMultilevel"/>
    <w:tmpl w:val="B2342A2A"/>
    <w:lvl w:ilvl="0" w:tplc="0130C5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AD54D7A"/>
    <w:multiLevelType w:val="hybridMultilevel"/>
    <w:tmpl w:val="185CDDAA"/>
    <w:lvl w:ilvl="0" w:tplc="0E728A4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B352156"/>
    <w:multiLevelType w:val="hybridMultilevel"/>
    <w:tmpl w:val="2DC66B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4292C6F"/>
    <w:multiLevelType w:val="hybridMultilevel"/>
    <w:tmpl w:val="75164B26"/>
    <w:lvl w:ilvl="0" w:tplc="BEC05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86519A"/>
    <w:multiLevelType w:val="hybridMultilevel"/>
    <w:tmpl w:val="42C26ACE"/>
    <w:lvl w:ilvl="0" w:tplc="45343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D2CE1"/>
    <w:multiLevelType w:val="hybridMultilevel"/>
    <w:tmpl w:val="09541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063B6"/>
    <w:multiLevelType w:val="hybridMultilevel"/>
    <w:tmpl w:val="1E504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866C97"/>
    <w:multiLevelType w:val="hybridMultilevel"/>
    <w:tmpl w:val="6B6C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211D8B"/>
    <w:multiLevelType w:val="hybridMultilevel"/>
    <w:tmpl w:val="2FE001D2"/>
    <w:lvl w:ilvl="0" w:tplc="D262A81E">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3234A4"/>
    <w:multiLevelType w:val="hybridMultilevel"/>
    <w:tmpl w:val="977A9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EB233B"/>
    <w:multiLevelType w:val="hybridMultilevel"/>
    <w:tmpl w:val="7E448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447DB6"/>
    <w:multiLevelType w:val="hybridMultilevel"/>
    <w:tmpl w:val="228E2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5474F5"/>
    <w:multiLevelType w:val="hybridMultilevel"/>
    <w:tmpl w:val="36EC5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904422D"/>
    <w:multiLevelType w:val="hybridMultilevel"/>
    <w:tmpl w:val="968A9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A759AC"/>
    <w:multiLevelType w:val="hybridMultilevel"/>
    <w:tmpl w:val="AAD2BB66"/>
    <w:lvl w:ilvl="0" w:tplc="0CC66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5963A5"/>
    <w:multiLevelType w:val="hybridMultilevel"/>
    <w:tmpl w:val="242E8348"/>
    <w:lvl w:ilvl="0" w:tplc="CDA49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2A71CD"/>
    <w:multiLevelType w:val="hybridMultilevel"/>
    <w:tmpl w:val="11566CD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3">
    <w:nsid w:val="30BB3950"/>
    <w:multiLevelType w:val="hybridMultilevel"/>
    <w:tmpl w:val="EC8A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273ADF"/>
    <w:multiLevelType w:val="hybridMultilevel"/>
    <w:tmpl w:val="07D4A70A"/>
    <w:lvl w:ilvl="0" w:tplc="EDF6B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65B095A"/>
    <w:multiLevelType w:val="hybridMultilevel"/>
    <w:tmpl w:val="164A9650"/>
    <w:lvl w:ilvl="0" w:tplc="056EC2E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9362D0"/>
    <w:multiLevelType w:val="hybridMultilevel"/>
    <w:tmpl w:val="12CA1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3A505185"/>
    <w:multiLevelType w:val="hybridMultilevel"/>
    <w:tmpl w:val="1DE64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AD1BA7"/>
    <w:multiLevelType w:val="hybridMultilevel"/>
    <w:tmpl w:val="258A8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046701A"/>
    <w:multiLevelType w:val="hybridMultilevel"/>
    <w:tmpl w:val="6D26C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BC38FC"/>
    <w:multiLevelType w:val="hybridMultilevel"/>
    <w:tmpl w:val="D8724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C9F3CFF"/>
    <w:multiLevelType w:val="hybridMultilevel"/>
    <w:tmpl w:val="69126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8A46ED"/>
    <w:multiLevelType w:val="hybridMultilevel"/>
    <w:tmpl w:val="53541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781CF6"/>
    <w:multiLevelType w:val="hybridMultilevel"/>
    <w:tmpl w:val="4064A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D415DC"/>
    <w:multiLevelType w:val="hybridMultilevel"/>
    <w:tmpl w:val="29CA8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2F7F66"/>
    <w:multiLevelType w:val="hybridMultilevel"/>
    <w:tmpl w:val="89EA52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5E5126E1"/>
    <w:multiLevelType w:val="hybridMultilevel"/>
    <w:tmpl w:val="DEF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F00C9C"/>
    <w:multiLevelType w:val="hybridMultilevel"/>
    <w:tmpl w:val="C9C41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3E516CD"/>
    <w:multiLevelType w:val="hybridMultilevel"/>
    <w:tmpl w:val="ECD08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6801681"/>
    <w:multiLevelType w:val="hybridMultilevel"/>
    <w:tmpl w:val="0510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4B3FDA"/>
    <w:multiLevelType w:val="hybridMultilevel"/>
    <w:tmpl w:val="952E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757FD3"/>
    <w:multiLevelType w:val="hybridMultilevel"/>
    <w:tmpl w:val="34842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9A24C36"/>
    <w:multiLevelType w:val="hybridMultilevel"/>
    <w:tmpl w:val="01A44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D5607C"/>
    <w:multiLevelType w:val="hybridMultilevel"/>
    <w:tmpl w:val="7A92BE66"/>
    <w:lvl w:ilvl="0" w:tplc="0130C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C00CE1"/>
    <w:multiLevelType w:val="hybridMultilevel"/>
    <w:tmpl w:val="6C8C91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C4311C"/>
    <w:multiLevelType w:val="hybridMultilevel"/>
    <w:tmpl w:val="5C5A6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6BCA7E19"/>
    <w:multiLevelType w:val="hybridMultilevel"/>
    <w:tmpl w:val="2A7C59C8"/>
    <w:lvl w:ilvl="0" w:tplc="5A8E80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D87C64"/>
    <w:multiLevelType w:val="hybridMultilevel"/>
    <w:tmpl w:val="1272EF98"/>
    <w:lvl w:ilvl="0" w:tplc="9CD4F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CCF1BE1"/>
    <w:multiLevelType w:val="hybridMultilevel"/>
    <w:tmpl w:val="3C34F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3E323B"/>
    <w:multiLevelType w:val="hybridMultilevel"/>
    <w:tmpl w:val="192AE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5C3107"/>
    <w:multiLevelType w:val="hybridMultilevel"/>
    <w:tmpl w:val="D83C0970"/>
    <w:lvl w:ilvl="0" w:tplc="852C52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B966A9"/>
    <w:multiLevelType w:val="hybridMultilevel"/>
    <w:tmpl w:val="74160F52"/>
    <w:lvl w:ilvl="0" w:tplc="0130C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0555D3"/>
    <w:multiLevelType w:val="hybridMultilevel"/>
    <w:tmpl w:val="6C16E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7EFF429C"/>
    <w:multiLevelType w:val="hybridMultilevel"/>
    <w:tmpl w:val="C5A62358"/>
    <w:lvl w:ilvl="0" w:tplc="238E4C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9"/>
  </w:num>
  <w:num w:numId="3">
    <w:abstractNumId w:val="32"/>
  </w:num>
  <w:num w:numId="4">
    <w:abstractNumId w:val="3"/>
  </w:num>
  <w:num w:numId="5">
    <w:abstractNumId w:val="16"/>
  </w:num>
  <w:num w:numId="6">
    <w:abstractNumId w:val="41"/>
  </w:num>
  <w:num w:numId="7">
    <w:abstractNumId w:val="27"/>
  </w:num>
  <w:num w:numId="8">
    <w:abstractNumId w:val="22"/>
  </w:num>
  <w:num w:numId="9">
    <w:abstractNumId w:val="40"/>
  </w:num>
  <w:num w:numId="10">
    <w:abstractNumId w:val="23"/>
  </w:num>
  <w:num w:numId="11">
    <w:abstractNumId w:val="24"/>
  </w:num>
  <w:num w:numId="12">
    <w:abstractNumId w:val="25"/>
  </w:num>
  <w:num w:numId="13">
    <w:abstractNumId w:val="19"/>
  </w:num>
  <w:num w:numId="14">
    <w:abstractNumId w:val="0"/>
  </w:num>
  <w:num w:numId="15">
    <w:abstractNumId w:val="46"/>
  </w:num>
  <w:num w:numId="16">
    <w:abstractNumId w:val="20"/>
  </w:num>
  <w:num w:numId="17">
    <w:abstractNumId w:val="51"/>
  </w:num>
  <w:num w:numId="18">
    <w:abstractNumId w:val="15"/>
  </w:num>
  <w:num w:numId="19">
    <w:abstractNumId w:val="38"/>
  </w:num>
  <w:num w:numId="20">
    <w:abstractNumId w:val="44"/>
  </w:num>
  <w:num w:numId="21">
    <w:abstractNumId w:val="14"/>
  </w:num>
  <w:num w:numId="22">
    <w:abstractNumId w:val="6"/>
  </w:num>
  <w:num w:numId="23">
    <w:abstractNumId w:val="8"/>
  </w:num>
  <w:num w:numId="24">
    <w:abstractNumId w:val="26"/>
  </w:num>
  <w:num w:numId="25">
    <w:abstractNumId w:val="30"/>
  </w:num>
  <w:num w:numId="26">
    <w:abstractNumId w:val="35"/>
  </w:num>
  <w:num w:numId="27">
    <w:abstractNumId w:val="7"/>
  </w:num>
  <w:num w:numId="28">
    <w:abstractNumId w:val="18"/>
  </w:num>
  <w:num w:numId="29">
    <w:abstractNumId w:val="9"/>
  </w:num>
  <w:num w:numId="30">
    <w:abstractNumId w:val="52"/>
  </w:num>
  <w:num w:numId="31">
    <w:abstractNumId w:val="37"/>
  </w:num>
  <w:num w:numId="32">
    <w:abstractNumId w:val="17"/>
  </w:num>
  <w:num w:numId="33">
    <w:abstractNumId w:val="34"/>
  </w:num>
  <w:num w:numId="34">
    <w:abstractNumId w:val="1"/>
  </w:num>
  <w:num w:numId="35">
    <w:abstractNumId w:val="13"/>
  </w:num>
  <w:num w:numId="36">
    <w:abstractNumId w:val="12"/>
  </w:num>
  <w:num w:numId="37">
    <w:abstractNumId w:val="31"/>
  </w:num>
  <w:num w:numId="38">
    <w:abstractNumId w:val="50"/>
  </w:num>
  <w:num w:numId="39">
    <w:abstractNumId w:val="21"/>
  </w:num>
  <w:num w:numId="40">
    <w:abstractNumId w:val="29"/>
  </w:num>
  <w:num w:numId="41">
    <w:abstractNumId w:val="36"/>
  </w:num>
  <w:num w:numId="42">
    <w:abstractNumId w:val="33"/>
  </w:num>
  <w:num w:numId="43">
    <w:abstractNumId w:val="28"/>
  </w:num>
  <w:num w:numId="44">
    <w:abstractNumId w:val="42"/>
  </w:num>
  <w:num w:numId="45">
    <w:abstractNumId w:val="54"/>
  </w:num>
  <w:num w:numId="46">
    <w:abstractNumId w:val="11"/>
  </w:num>
  <w:num w:numId="47">
    <w:abstractNumId w:val="10"/>
  </w:num>
  <w:num w:numId="48">
    <w:abstractNumId w:val="48"/>
  </w:num>
  <w:num w:numId="49">
    <w:abstractNumId w:val="4"/>
  </w:num>
  <w:num w:numId="50">
    <w:abstractNumId w:val="53"/>
  </w:num>
  <w:num w:numId="51">
    <w:abstractNumId w:val="5"/>
  </w:num>
  <w:num w:numId="52">
    <w:abstractNumId w:val="45"/>
  </w:num>
  <w:num w:numId="53">
    <w:abstractNumId w:val="2"/>
  </w:num>
  <w:num w:numId="54">
    <w:abstractNumId w:val="43"/>
  </w:num>
  <w:num w:numId="55">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67D"/>
    <w:rsid w:val="000016AF"/>
    <w:rsid w:val="000029FE"/>
    <w:rsid w:val="00002C18"/>
    <w:rsid w:val="00003165"/>
    <w:rsid w:val="000033F4"/>
    <w:rsid w:val="000036C0"/>
    <w:rsid w:val="00003B02"/>
    <w:rsid w:val="00005434"/>
    <w:rsid w:val="000107A6"/>
    <w:rsid w:val="00010A13"/>
    <w:rsid w:val="00011064"/>
    <w:rsid w:val="000114A5"/>
    <w:rsid w:val="000116DD"/>
    <w:rsid w:val="000127B4"/>
    <w:rsid w:val="00012ED0"/>
    <w:rsid w:val="00014B20"/>
    <w:rsid w:val="00016123"/>
    <w:rsid w:val="00016796"/>
    <w:rsid w:val="00020E40"/>
    <w:rsid w:val="000248B8"/>
    <w:rsid w:val="000257EB"/>
    <w:rsid w:val="00025A0C"/>
    <w:rsid w:val="00026755"/>
    <w:rsid w:val="00030616"/>
    <w:rsid w:val="00030F83"/>
    <w:rsid w:val="00031886"/>
    <w:rsid w:val="000323CC"/>
    <w:rsid w:val="000361C5"/>
    <w:rsid w:val="00036358"/>
    <w:rsid w:val="000375C4"/>
    <w:rsid w:val="00041C84"/>
    <w:rsid w:val="00044D4B"/>
    <w:rsid w:val="00045EB3"/>
    <w:rsid w:val="00051F5D"/>
    <w:rsid w:val="00052FE3"/>
    <w:rsid w:val="00053886"/>
    <w:rsid w:val="000545FA"/>
    <w:rsid w:val="0005480C"/>
    <w:rsid w:val="00056674"/>
    <w:rsid w:val="00056F03"/>
    <w:rsid w:val="00060CC1"/>
    <w:rsid w:val="00060CF4"/>
    <w:rsid w:val="00062E4D"/>
    <w:rsid w:val="00062EF1"/>
    <w:rsid w:val="000637C6"/>
    <w:rsid w:val="0006427E"/>
    <w:rsid w:val="00064310"/>
    <w:rsid w:val="00065FD7"/>
    <w:rsid w:val="00070172"/>
    <w:rsid w:val="000704C3"/>
    <w:rsid w:val="0007233E"/>
    <w:rsid w:val="00072566"/>
    <w:rsid w:val="00072725"/>
    <w:rsid w:val="00072CDC"/>
    <w:rsid w:val="00073EF6"/>
    <w:rsid w:val="00075064"/>
    <w:rsid w:val="00075650"/>
    <w:rsid w:val="00076333"/>
    <w:rsid w:val="000806B0"/>
    <w:rsid w:val="00082BE9"/>
    <w:rsid w:val="00086BE8"/>
    <w:rsid w:val="0009192B"/>
    <w:rsid w:val="00091A2C"/>
    <w:rsid w:val="00091F67"/>
    <w:rsid w:val="00093D68"/>
    <w:rsid w:val="000957C1"/>
    <w:rsid w:val="000964C7"/>
    <w:rsid w:val="00096E7A"/>
    <w:rsid w:val="000A0705"/>
    <w:rsid w:val="000A126E"/>
    <w:rsid w:val="000A229E"/>
    <w:rsid w:val="000A4EA2"/>
    <w:rsid w:val="000A70BB"/>
    <w:rsid w:val="000A77D9"/>
    <w:rsid w:val="000A7B44"/>
    <w:rsid w:val="000B2180"/>
    <w:rsid w:val="000B3B10"/>
    <w:rsid w:val="000B4D9B"/>
    <w:rsid w:val="000B6A8F"/>
    <w:rsid w:val="000B731F"/>
    <w:rsid w:val="000C2382"/>
    <w:rsid w:val="000C362B"/>
    <w:rsid w:val="000C3E49"/>
    <w:rsid w:val="000C4F33"/>
    <w:rsid w:val="000D305F"/>
    <w:rsid w:val="000D3E22"/>
    <w:rsid w:val="000D41EA"/>
    <w:rsid w:val="000D4353"/>
    <w:rsid w:val="000D5FD7"/>
    <w:rsid w:val="000D64C0"/>
    <w:rsid w:val="000D76FB"/>
    <w:rsid w:val="000E04FF"/>
    <w:rsid w:val="000E0CAD"/>
    <w:rsid w:val="000E3170"/>
    <w:rsid w:val="000E33F5"/>
    <w:rsid w:val="000E3755"/>
    <w:rsid w:val="000E4103"/>
    <w:rsid w:val="000E74C6"/>
    <w:rsid w:val="000E78B0"/>
    <w:rsid w:val="000E7A79"/>
    <w:rsid w:val="000E7AB7"/>
    <w:rsid w:val="000F0060"/>
    <w:rsid w:val="000F3D12"/>
    <w:rsid w:val="000F442D"/>
    <w:rsid w:val="000F4A38"/>
    <w:rsid w:val="000F6423"/>
    <w:rsid w:val="000F6AD4"/>
    <w:rsid w:val="000F73C0"/>
    <w:rsid w:val="00101260"/>
    <w:rsid w:val="00101C86"/>
    <w:rsid w:val="00103176"/>
    <w:rsid w:val="001044A6"/>
    <w:rsid w:val="00106E5C"/>
    <w:rsid w:val="00106FB7"/>
    <w:rsid w:val="00106FEF"/>
    <w:rsid w:val="0010795B"/>
    <w:rsid w:val="00110457"/>
    <w:rsid w:val="0011066D"/>
    <w:rsid w:val="001139E5"/>
    <w:rsid w:val="00113A2D"/>
    <w:rsid w:val="00114167"/>
    <w:rsid w:val="001144DE"/>
    <w:rsid w:val="001148CA"/>
    <w:rsid w:val="001156A6"/>
    <w:rsid w:val="00116089"/>
    <w:rsid w:val="001165F8"/>
    <w:rsid w:val="001217AD"/>
    <w:rsid w:val="00121C25"/>
    <w:rsid w:val="0012374E"/>
    <w:rsid w:val="001237B6"/>
    <w:rsid w:val="00124533"/>
    <w:rsid w:val="00124B55"/>
    <w:rsid w:val="00125033"/>
    <w:rsid w:val="00125E5D"/>
    <w:rsid w:val="0012669A"/>
    <w:rsid w:val="001272CD"/>
    <w:rsid w:val="00131F94"/>
    <w:rsid w:val="00132480"/>
    <w:rsid w:val="00132E7F"/>
    <w:rsid w:val="00133C34"/>
    <w:rsid w:val="001344A5"/>
    <w:rsid w:val="00135670"/>
    <w:rsid w:val="001357E2"/>
    <w:rsid w:val="00135C49"/>
    <w:rsid w:val="00142291"/>
    <w:rsid w:val="001424E9"/>
    <w:rsid w:val="0014341B"/>
    <w:rsid w:val="00143C36"/>
    <w:rsid w:val="0014533B"/>
    <w:rsid w:val="0015026F"/>
    <w:rsid w:val="00152BEB"/>
    <w:rsid w:val="00152DDF"/>
    <w:rsid w:val="00154755"/>
    <w:rsid w:val="00154A9B"/>
    <w:rsid w:val="0016001C"/>
    <w:rsid w:val="00163211"/>
    <w:rsid w:val="00163729"/>
    <w:rsid w:val="00163B69"/>
    <w:rsid w:val="00163DDB"/>
    <w:rsid w:val="00164AD4"/>
    <w:rsid w:val="00166E85"/>
    <w:rsid w:val="00167920"/>
    <w:rsid w:val="00170BF4"/>
    <w:rsid w:val="00170FC5"/>
    <w:rsid w:val="00171846"/>
    <w:rsid w:val="0017456A"/>
    <w:rsid w:val="00175ABC"/>
    <w:rsid w:val="00175F1D"/>
    <w:rsid w:val="0017762C"/>
    <w:rsid w:val="001777DE"/>
    <w:rsid w:val="00184DC5"/>
    <w:rsid w:val="001871D6"/>
    <w:rsid w:val="00187826"/>
    <w:rsid w:val="00191A4A"/>
    <w:rsid w:val="001930A2"/>
    <w:rsid w:val="00195415"/>
    <w:rsid w:val="00196F63"/>
    <w:rsid w:val="001A03C7"/>
    <w:rsid w:val="001A0588"/>
    <w:rsid w:val="001A0F19"/>
    <w:rsid w:val="001A3A92"/>
    <w:rsid w:val="001A4377"/>
    <w:rsid w:val="001A4FFC"/>
    <w:rsid w:val="001A5DB6"/>
    <w:rsid w:val="001A6974"/>
    <w:rsid w:val="001A6DCC"/>
    <w:rsid w:val="001A7C62"/>
    <w:rsid w:val="001B19DD"/>
    <w:rsid w:val="001B2662"/>
    <w:rsid w:val="001B41AD"/>
    <w:rsid w:val="001B487C"/>
    <w:rsid w:val="001B6940"/>
    <w:rsid w:val="001C063E"/>
    <w:rsid w:val="001C1911"/>
    <w:rsid w:val="001C2562"/>
    <w:rsid w:val="001C3976"/>
    <w:rsid w:val="001C573A"/>
    <w:rsid w:val="001C68BD"/>
    <w:rsid w:val="001C74F3"/>
    <w:rsid w:val="001D022E"/>
    <w:rsid w:val="001D2E2E"/>
    <w:rsid w:val="001D4B2F"/>
    <w:rsid w:val="001D658F"/>
    <w:rsid w:val="001D693F"/>
    <w:rsid w:val="001D7444"/>
    <w:rsid w:val="001D77D2"/>
    <w:rsid w:val="001E1CC4"/>
    <w:rsid w:val="001E1F99"/>
    <w:rsid w:val="001E536A"/>
    <w:rsid w:val="001E5B2B"/>
    <w:rsid w:val="001E6E39"/>
    <w:rsid w:val="001F0172"/>
    <w:rsid w:val="001F0357"/>
    <w:rsid w:val="001F113B"/>
    <w:rsid w:val="001F6BAD"/>
    <w:rsid w:val="001F7178"/>
    <w:rsid w:val="001F7222"/>
    <w:rsid w:val="002000FD"/>
    <w:rsid w:val="00200BA3"/>
    <w:rsid w:val="0020122C"/>
    <w:rsid w:val="002077C1"/>
    <w:rsid w:val="00207B2F"/>
    <w:rsid w:val="002102F7"/>
    <w:rsid w:val="00210FE4"/>
    <w:rsid w:val="00211070"/>
    <w:rsid w:val="002110A3"/>
    <w:rsid w:val="00211111"/>
    <w:rsid w:val="00211126"/>
    <w:rsid w:val="00213326"/>
    <w:rsid w:val="00214207"/>
    <w:rsid w:val="00214F8F"/>
    <w:rsid w:val="002154CB"/>
    <w:rsid w:val="00215ECC"/>
    <w:rsid w:val="00220E93"/>
    <w:rsid w:val="00221704"/>
    <w:rsid w:val="00222D8A"/>
    <w:rsid w:val="00223060"/>
    <w:rsid w:val="002234FE"/>
    <w:rsid w:val="00223C16"/>
    <w:rsid w:val="00224558"/>
    <w:rsid w:val="002250EC"/>
    <w:rsid w:val="00227685"/>
    <w:rsid w:val="002307AA"/>
    <w:rsid w:val="00230A58"/>
    <w:rsid w:val="0023172D"/>
    <w:rsid w:val="00231E5D"/>
    <w:rsid w:val="0023221A"/>
    <w:rsid w:val="00232DDF"/>
    <w:rsid w:val="0023324F"/>
    <w:rsid w:val="00235558"/>
    <w:rsid w:val="002356A5"/>
    <w:rsid w:val="002369D2"/>
    <w:rsid w:val="002371F0"/>
    <w:rsid w:val="002461BC"/>
    <w:rsid w:val="0025218D"/>
    <w:rsid w:val="0025299A"/>
    <w:rsid w:val="0025440B"/>
    <w:rsid w:val="002545BC"/>
    <w:rsid w:val="00254A02"/>
    <w:rsid w:val="002569D3"/>
    <w:rsid w:val="00257838"/>
    <w:rsid w:val="00260A23"/>
    <w:rsid w:val="00260C65"/>
    <w:rsid w:val="00261ED2"/>
    <w:rsid w:val="0026527A"/>
    <w:rsid w:val="002659BE"/>
    <w:rsid w:val="00266202"/>
    <w:rsid w:val="0026715D"/>
    <w:rsid w:val="00271110"/>
    <w:rsid w:val="00271D97"/>
    <w:rsid w:val="00275143"/>
    <w:rsid w:val="00275614"/>
    <w:rsid w:val="002756C6"/>
    <w:rsid w:val="0027642B"/>
    <w:rsid w:val="002831AB"/>
    <w:rsid w:val="002833F7"/>
    <w:rsid w:val="002850C4"/>
    <w:rsid w:val="00285340"/>
    <w:rsid w:val="002858C5"/>
    <w:rsid w:val="002863BC"/>
    <w:rsid w:val="0028697E"/>
    <w:rsid w:val="00286D5D"/>
    <w:rsid w:val="00287DA6"/>
    <w:rsid w:val="00290131"/>
    <w:rsid w:val="00290673"/>
    <w:rsid w:val="00291C9D"/>
    <w:rsid w:val="002920E9"/>
    <w:rsid w:val="002939D1"/>
    <w:rsid w:val="002950EC"/>
    <w:rsid w:val="0029570C"/>
    <w:rsid w:val="00297F13"/>
    <w:rsid w:val="002A1EFA"/>
    <w:rsid w:val="002A3B42"/>
    <w:rsid w:val="002A56B9"/>
    <w:rsid w:val="002A56E9"/>
    <w:rsid w:val="002B0892"/>
    <w:rsid w:val="002B1440"/>
    <w:rsid w:val="002B1E09"/>
    <w:rsid w:val="002B5441"/>
    <w:rsid w:val="002C173B"/>
    <w:rsid w:val="002C2749"/>
    <w:rsid w:val="002C4193"/>
    <w:rsid w:val="002D078C"/>
    <w:rsid w:val="002D1857"/>
    <w:rsid w:val="002D22E9"/>
    <w:rsid w:val="002D2A30"/>
    <w:rsid w:val="002D3038"/>
    <w:rsid w:val="002D4DEF"/>
    <w:rsid w:val="002D51EF"/>
    <w:rsid w:val="002D565D"/>
    <w:rsid w:val="002D581A"/>
    <w:rsid w:val="002D5B22"/>
    <w:rsid w:val="002E19C5"/>
    <w:rsid w:val="002E1A04"/>
    <w:rsid w:val="002E28D3"/>
    <w:rsid w:val="002E361F"/>
    <w:rsid w:val="002E3BBD"/>
    <w:rsid w:val="002E4553"/>
    <w:rsid w:val="002E53AC"/>
    <w:rsid w:val="002E5964"/>
    <w:rsid w:val="002E6220"/>
    <w:rsid w:val="002E6E86"/>
    <w:rsid w:val="002E7822"/>
    <w:rsid w:val="002E7E84"/>
    <w:rsid w:val="002F06A4"/>
    <w:rsid w:val="002F1423"/>
    <w:rsid w:val="002F26B2"/>
    <w:rsid w:val="002F4366"/>
    <w:rsid w:val="002F550B"/>
    <w:rsid w:val="002F72CC"/>
    <w:rsid w:val="00301D8F"/>
    <w:rsid w:val="0030240A"/>
    <w:rsid w:val="003046E9"/>
    <w:rsid w:val="00307A41"/>
    <w:rsid w:val="00312C40"/>
    <w:rsid w:val="00312DD6"/>
    <w:rsid w:val="00312DE9"/>
    <w:rsid w:val="00313A7B"/>
    <w:rsid w:val="003143FB"/>
    <w:rsid w:val="0031584E"/>
    <w:rsid w:val="00316158"/>
    <w:rsid w:val="003176F2"/>
    <w:rsid w:val="00317E81"/>
    <w:rsid w:val="00320C86"/>
    <w:rsid w:val="00321083"/>
    <w:rsid w:val="003233FD"/>
    <w:rsid w:val="003244A1"/>
    <w:rsid w:val="00326C7C"/>
    <w:rsid w:val="00326D29"/>
    <w:rsid w:val="00327222"/>
    <w:rsid w:val="00330B56"/>
    <w:rsid w:val="00330BB6"/>
    <w:rsid w:val="00331973"/>
    <w:rsid w:val="003333D1"/>
    <w:rsid w:val="003338F8"/>
    <w:rsid w:val="003342D1"/>
    <w:rsid w:val="00335BF9"/>
    <w:rsid w:val="00336BFB"/>
    <w:rsid w:val="00336FBD"/>
    <w:rsid w:val="003378EC"/>
    <w:rsid w:val="00337C27"/>
    <w:rsid w:val="003407A5"/>
    <w:rsid w:val="00340BD8"/>
    <w:rsid w:val="003412B0"/>
    <w:rsid w:val="003439AF"/>
    <w:rsid w:val="00344C34"/>
    <w:rsid w:val="00346A17"/>
    <w:rsid w:val="00350E71"/>
    <w:rsid w:val="003510DB"/>
    <w:rsid w:val="003516D2"/>
    <w:rsid w:val="0035199D"/>
    <w:rsid w:val="00351E20"/>
    <w:rsid w:val="00353CD0"/>
    <w:rsid w:val="00354564"/>
    <w:rsid w:val="00354D81"/>
    <w:rsid w:val="00355B45"/>
    <w:rsid w:val="003561B3"/>
    <w:rsid w:val="00356266"/>
    <w:rsid w:val="00357123"/>
    <w:rsid w:val="0035717F"/>
    <w:rsid w:val="00361278"/>
    <w:rsid w:val="00361BE8"/>
    <w:rsid w:val="003633E2"/>
    <w:rsid w:val="00363A93"/>
    <w:rsid w:val="00364411"/>
    <w:rsid w:val="00364D37"/>
    <w:rsid w:val="0036636F"/>
    <w:rsid w:val="00366392"/>
    <w:rsid w:val="0036690F"/>
    <w:rsid w:val="00367BFB"/>
    <w:rsid w:val="00370A33"/>
    <w:rsid w:val="00371888"/>
    <w:rsid w:val="00373B8A"/>
    <w:rsid w:val="00373DB7"/>
    <w:rsid w:val="003744DA"/>
    <w:rsid w:val="003766A5"/>
    <w:rsid w:val="003808F9"/>
    <w:rsid w:val="00380D8A"/>
    <w:rsid w:val="0038195C"/>
    <w:rsid w:val="00382D2D"/>
    <w:rsid w:val="00382D71"/>
    <w:rsid w:val="003833F5"/>
    <w:rsid w:val="0038376C"/>
    <w:rsid w:val="003854B5"/>
    <w:rsid w:val="00385E06"/>
    <w:rsid w:val="0039012B"/>
    <w:rsid w:val="003916B5"/>
    <w:rsid w:val="00391ACD"/>
    <w:rsid w:val="003924AC"/>
    <w:rsid w:val="003928F5"/>
    <w:rsid w:val="00392F99"/>
    <w:rsid w:val="00393010"/>
    <w:rsid w:val="003944C4"/>
    <w:rsid w:val="00394B57"/>
    <w:rsid w:val="00396805"/>
    <w:rsid w:val="003972DF"/>
    <w:rsid w:val="00397A36"/>
    <w:rsid w:val="003A1167"/>
    <w:rsid w:val="003A1280"/>
    <w:rsid w:val="003A502E"/>
    <w:rsid w:val="003A62B0"/>
    <w:rsid w:val="003A637C"/>
    <w:rsid w:val="003A7445"/>
    <w:rsid w:val="003A7951"/>
    <w:rsid w:val="003B4A8A"/>
    <w:rsid w:val="003B54FB"/>
    <w:rsid w:val="003B5FBE"/>
    <w:rsid w:val="003B680F"/>
    <w:rsid w:val="003C0290"/>
    <w:rsid w:val="003C25AF"/>
    <w:rsid w:val="003C388A"/>
    <w:rsid w:val="003C401F"/>
    <w:rsid w:val="003C4735"/>
    <w:rsid w:val="003C72A8"/>
    <w:rsid w:val="003D2E01"/>
    <w:rsid w:val="003D42B9"/>
    <w:rsid w:val="003E031E"/>
    <w:rsid w:val="003E0B4C"/>
    <w:rsid w:val="003E1AB7"/>
    <w:rsid w:val="003E38D6"/>
    <w:rsid w:val="003F06BF"/>
    <w:rsid w:val="003F0D8F"/>
    <w:rsid w:val="003F1A68"/>
    <w:rsid w:val="003F1EFB"/>
    <w:rsid w:val="003F23A2"/>
    <w:rsid w:val="003F2E99"/>
    <w:rsid w:val="003F328D"/>
    <w:rsid w:val="003F360D"/>
    <w:rsid w:val="003F3B84"/>
    <w:rsid w:val="003F4EE3"/>
    <w:rsid w:val="003F61D2"/>
    <w:rsid w:val="003F6FB4"/>
    <w:rsid w:val="003F6FC1"/>
    <w:rsid w:val="003F7411"/>
    <w:rsid w:val="00400274"/>
    <w:rsid w:val="004004E5"/>
    <w:rsid w:val="004039C5"/>
    <w:rsid w:val="00404B55"/>
    <w:rsid w:val="004051A4"/>
    <w:rsid w:val="004053C0"/>
    <w:rsid w:val="00405E16"/>
    <w:rsid w:val="0041117C"/>
    <w:rsid w:val="004118A5"/>
    <w:rsid w:val="00411904"/>
    <w:rsid w:val="00411CAF"/>
    <w:rsid w:val="0041595D"/>
    <w:rsid w:val="004167DE"/>
    <w:rsid w:val="00417741"/>
    <w:rsid w:val="004205DC"/>
    <w:rsid w:val="00420B3B"/>
    <w:rsid w:val="00422B56"/>
    <w:rsid w:val="00422E16"/>
    <w:rsid w:val="00423773"/>
    <w:rsid w:val="004254F8"/>
    <w:rsid w:val="0042692C"/>
    <w:rsid w:val="0043103B"/>
    <w:rsid w:val="0043126C"/>
    <w:rsid w:val="00432F3C"/>
    <w:rsid w:val="00434928"/>
    <w:rsid w:val="00435C8F"/>
    <w:rsid w:val="00437CC9"/>
    <w:rsid w:val="00440D4C"/>
    <w:rsid w:val="004444C1"/>
    <w:rsid w:val="00445657"/>
    <w:rsid w:val="0044661D"/>
    <w:rsid w:val="004466E4"/>
    <w:rsid w:val="00447A44"/>
    <w:rsid w:val="00451172"/>
    <w:rsid w:val="0045341B"/>
    <w:rsid w:val="004550AC"/>
    <w:rsid w:val="004554BD"/>
    <w:rsid w:val="004557D4"/>
    <w:rsid w:val="00456321"/>
    <w:rsid w:val="00460DDD"/>
    <w:rsid w:val="004617EE"/>
    <w:rsid w:val="0046230F"/>
    <w:rsid w:val="0046251D"/>
    <w:rsid w:val="00464F4C"/>
    <w:rsid w:val="00465A6F"/>
    <w:rsid w:val="00466A63"/>
    <w:rsid w:val="00467201"/>
    <w:rsid w:val="00467622"/>
    <w:rsid w:val="004701EB"/>
    <w:rsid w:val="00471C6C"/>
    <w:rsid w:val="00474549"/>
    <w:rsid w:val="004767AF"/>
    <w:rsid w:val="00480699"/>
    <w:rsid w:val="0048165E"/>
    <w:rsid w:val="0048427F"/>
    <w:rsid w:val="004843EA"/>
    <w:rsid w:val="00485F4E"/>
    <w:rsid w:val="00486E3A"/>
    <w:rsid w:val="00486F21"/>
    <w:rsid w:val="004874EF"/>
    <w:rsid w:val="0049160E"/>
    <w:rsid w:val="0049561A"/>
    <w:rsid w:val="00496982"/>
    <w:rsid w:val="00497442"/>
    <w:rsid w:val="004A0224"/>
    <w:rsid w:val="004A08CB"/>
    <w:rsid w:val="004A0BBF"/>
    <w:rsid w:val="004A2647"/>
    <w:rsid w:val="004A26BD"/>
    <w:rsid w:val="004A5DB0"/>
    <w:rsid w:val="004A61F4"/>
    <w:rsid w:val="004A649F"/>
    <w:rsid w:val="004A6F26"/>
    <w:rsid w:val="004A7FE4"/>
    <w:rsid w:val="004B1509"/>
    <w:rsid w:val="004B3997"/>
    <w:rsid w:val="004B3A56"/>
    <w:rsid w:val="004B4E27"/>
    <w:rsid w:val="004B532D"/>
    <w:rsid w:val="004B5D22"/>
    <w:rsid w:val="004B6E23"/>
    <w:rsid w:val="004B6ED5"/>
    <w:rsid w:val="004B77C3"/>
    <w:rsid w:val="004C0E7E"/>
    <w:rsid w:val="004C1833"/>
    <w:rsid w:val="004C184D"/>
    <w:rsid w:val="004C280F"/>
    <w:rsid w:val="004C427D"/>
    <w:rsid w:val="004C665D"/>
    <w:rsid w:val="004C681F"/>
    <w:rsid w:val="004C6B8F"/>
    <w:rsid w:val="004D04E0"/>
    <w:rsid w:val="004D26EE"/>
    <w:rsid w:val="004D3A40"/>
    <w:rsid w:val="004D4037"/>
    <w:rsid w:val="004D5404"/>
    <w:rsid w:val="004D62CC"/>
    <w:rsid w:val="004D6BAB"/>
    <w:rsid w:val="004D6D85"/>
    <w:rsid w:val="004E0B44"/>
    <w:rsid w:val="004E1460"/>
    <w:rsid w:val="004E1ED6"/>
    <w:rsid w:val="004E2B1B"/>
    <w:rsid w:val="004E4251"/>
    <w:rsid w:val="004E53E5"/>
    <w:rsid w:val="004E5772"/>
    <w:rsid w:val="004E59AD"/>
    <w:rsid w:val="004E5FEE"/>
    <w:rsid w:val="004E6687"/>
    <w:rsid w:val="004E6FF9"/>
    <w:rsid w:val="004E7BB2"/>
    <w:rsid w:val="004E7C16"/>
    <w:rsid w:val="004F15CD"/>
    <w:rsid w:val="004F6935"/>
    <w:rsid w:val="00500837"/>
    <w:rsid w:val="00500929"/>
    <w:rsid w:val="00500A45"/>
    <w:rsid w:val="00500D4E"/>
    <w:rsid w:val="00501A33"/>
    <w:rsid w:val="00501C51"/>
    <w:rsid w:val="00504340"/>
    <w:rsid w:val="005057E4"/>
    <w:rsid w:val="00510456"/>
    <w:rsid w:val="00512259"/>
    <w:rsid w:val="0051328E"/>
    <w:rsid w:val="005138F0"/>
    <w:rsid w:val="0051417B"/>
    <w:rsid w:val="00514E75"/>
    <w:rsid w:val="0051582C"/>
    <w:rsid w:val="00515DBE"/>
    <w:rsid w:val="00520E1D"/>
    <w:rsid w:val="00521F55"/>
    <w:rsid w:val="00523566"/>
    <w:rsid w:val="005241C4"/>
    <w:rsid w:val="0052569B"/>
    <w:rsid w:val="005259FE"/>
    <w:rsid w:val="00526329"/>
    <w:rsid w:val="0052754C"/>
    <w:rsid w:val="00532373"/>
    <w:rsid w:val="00533854"/>
    <w:rsid w:val="005343A3"/>
    <w:rsid w:val="0053599D"/>
    <w:rsid w:val="0053645C"/>
    <w:rsid w:val="005375C4"/>
    <w:rsid w:val="00537C92"/>
    <w:rsid w:val="0054124C"/>
    <w:rsid w:val="00541EBD"/>
    <w:rsid w:val="00541EC1"/>
    <w:rsid w:val="00542157"/>
    <w:rsid w:val="005450E6"/>
    <w:rsid w:val="00545CE8"/>
    <w:rsid w:val="005466CF"/>
    <w:rsid w:val="005470B1"/>
    <w:rsid w:val="0055019D"/>
    <w:rsid w:val="00551CCB"/>
    <w:rsid w:val="00552CAB"/>
    <w:rsid w:val="005540B6"/>
    <w:rsid w:val="00554343"/>
    <w:rsid w:val="005544D9"/>
    <w:rsid w:val="0055549F"/>
    <w:rsid w:val="005555FC"/>
    <w:rsid w:val="005572AF"/>
    <w:rsid w:val="0055741D"/>
    <w:rsid w:val="0055782A"/>
    <w:rsid w:val="00557B99"/>
    <w:rsid w:val="005612A4"/>
    <w:rsid w:val="00561FA0"/>
    <w:rsid w:val="0056250C"/>
    <w:rsid w:val="00562BE6"/>
    <w:rsid w:val="00563C57"/>
    <w:rsid w:val="00564241"/>
    <w:rsid w:val="005645AB"/>
    <w:rsid w:val="00564719"/>
    <w:rsid w:val="005652FC"/>
    <w:rsid w:val="005668B8"/>
    <w:rsid w:val="005720E9"/>
    <w:rsid w:val="00572EDC"/>
    <w:rsid w:val="0057313B"/>
    <w:rsid w:val="00574A61"/>
    <w:rsid w:val="00576118"/>
    <w:rsid w:val="005767EF"/>
    <w:rsid w:val="00576C5B"/>
    <w:rsid w:val="0058092D"/>
    <w:rsid w:val="00581AF6"/>
    <w:rsid w:val="00581D0B"/>
    <w:rsid w:val="00582A1D"/>
    <w:rsid w:val="00583368"/>
    <w:rsid w:val="0058458D"/>
    <w:rsid w:val="00587904"/>
    <w:rsid w:val="00587B2D"/>
    <w:rsid w:val="005948A2"/>
    <w:rsid w:val="00594978"/>
    <w:rsid w:val="00594B46"/>
    <w:rsid w:val="0059596A"/>
    <w:rsid w:val="00596129"/>
    <w:rsid w:val="00597D9D"/>
    <w:rsid w:val="005A0486"/>
    <w:rsid w:val="005A04A0"/>
    <w:rsid w:val="005A0686"/>
    <w:rsid w:val="005A1D65"/>
    <w:rsid w:val="005A2567"/>
    <w:rsid w:val="005A2CF7"/>
    <w:rsid w:val="005A4074"/>
    <w:rsid w:val="005A4995"/>
    <w:rsid w:val="005A521D"/>
    <w:rsid w:val="005A5735"/>
    <w:rsid w:val="005A5788"/>
    <w:rsid w:val="005A5C16"/>
    <w:rsid w:val="005A5CBA"/>
    <w:rsid w:val="005A7A1B"/>
    <w:rsid w:val="005B053F"/>
    <w:rsid w:val="005B2030"/>
    <w:rsid w:val="005B212B"/>
    <w:rsid w:val="005B2BD2"/>
    <w:rsid w:val="005B3724"/>
    <w:rsid w:val="005B4D8E"/>
    <w:rsid w:val="005B5E37"/>
    <w:rsid w:val="005B69EB"/>
    <w:rsid w:val="005C0BC8"/>
    <w:rsid w:val="005C12B8"/>
    <w:rsid w:val="005C14E5"/>
    <w:rsid w:val="005C39A4"/>
    <w:rsid w:val="005C59A4"/>
    <w:rsid w:val="005C5ACF"/>
    <w:rsid w:val="005C73FF"/>
    <w:rsid w:val="005D15B7"/>
    <w:rsid w:val="005D15F9"/>
    <w:rsid w:val="005D2709"/>
    <w:rsid w:val="005D41D9"/>
    <w:rsid w:val="005D4539"/>
    <w:rsid w:val="005E040B"/>
    <w:rsid w:val="005E07A0"/>
    <w:rsid w:val="005E10FB"/>
    <w:rsid w:val="005E17E0"/>
    <w:rsid w:val="005E40FA"/>
    <w:rsid w:val="005E4B12"/>
    <w:rsid w:val="005E4C64"/>
    <w:rsid w:val="005E5A53"/>
    <w:rsid w:val="005E5FCE"/>
    <w:rsid w:val="005E6752"/>
    <w:rsid w:val="005E7335"/>
    <w:rsid w:val="005E7C16"/>
    <w:rsid w:val="005F1721"/>
    <w:rsid w:val="005F23A2"/>
    <w:rsid w:val="005F4635"/>
    <w:rsid w:val="005F4E53"/>
    <w:rsid w:val="005F5C4D"/>
    <w:rsid w:val="005F64D0"/>
    <w:rsid w:val="005F6514"/>
    <w:rsid w:val="005F6A29"/>
    <w:rsid w:val="00600008"/>
    <w:rsid w:val="006003B0"/>
    <w:rsid w:val="006005F3"/>
    <w:rsid w:val="00600D6F"/>
    <w:rsid w:val="00601360"/>
    <w:rsid w:val="0060143C"/>
    <w:rsid w:val="00601E45"/>
    <w:rsid w:val="00604272"/>
    <w:rsid w:val="0060610C"/>
    <w:rsid w:val="006071D0"/>
    <w:rsid w:val="00607F66"/>
    <w:rsid w:val="00610FF0"/>
    <w:rsid w:val="006117B9"/>
    <w:rsid w:val="0061331A"/>
    <w:rsid w:val="0061471A"/>
    <w:rsid w:val="006151EA"/>
    <w:rsid w:val="00617E3A"/>
    <w:rsid w:val="00617F8D"/>
    <w:rsid w:val="006222B5"/>
    <w:rsid w:val="00623534"/>
    <w:rsid w:val="00623AAE"/>
    <w:rsid w:val="00623CB7"/>
    <w:rsid w:val="006261D9"/>
    <w:rsid w:val="00627293"/>
    <w:rsid w:val="0063069B"/>
    <w:rsid w:val="006310F5"/>
    <w:rsid w:val="00633919"/>
    <w:rsid w:val="00633BF1"/>
    <w:rsid w:val="00633EC9"/>
    <w:rsid w:val="00633F40"/>
    <w:rsid w:val="00635C2D"/>
    <w:rsid w:val="0064267D"/>
    <w:rsid w:val="006479AF"/>
    <w:rsid w:val="00647E00"/>
    <w:rsid w:val="006503EF"/>
    <w:rsid w:val="006514E4"/>
    <w:rsid w:val="00651A9B"/>
    <w:rsid w:val="00653283"/>
    <w:rsid w:val="00655731"/>
    <w:rsid w:val="00656F87"/>
    <w:rsid w:val="00657AAF"/>
    <w:rsid w:val="0066089D"/>
    <w:rsid w:val="00661A5B"/>
    <w:rsid w:val="00661C73"/>
    <w:rsid w:val="0066252B"/>
    <w:rsid w:val="0066295A"/>
    <w:rsid w:val="006637D1"/>
    <w:rsid w:val="00666284"/>
    <w:rsid w:val="006675ED"/>
    <w:rsid w:val="00667AF1"/>
    <w:rsid w:val="00667B4A"/>
    <w:rsid w:val="00667CC0"/>
    <w:rsid w:val="00667F34"/>
    <w:rsid w:val="006701CA"/>
    <w:rsid w:val="00670673"/>
    <w:rsid w:val="00670F89"/>
    <w:rsid w:val="00672885"/>
    <w:rsid w:val="006738E0"/>
    <w:rsid w:val="006764DD"/>
    <w:rsid w:val="00676687"/>
    <w:rsid w:val="00677812"/>
    <w:rsid w:val="0067785F"/>
    <w:rsid w:val="00681AD3"/>
    <w:rsid w:val="00682AF9"/>
    <w:rsid w:val="0068312F"/>
    <w:rsid w:val="0068396C"/>
    <w:rsid w:val="00683E0E"/>
    <w:rsid w:val="00684132"/>
    <w:rsid w:val="006868FD"/>
    <w:rsid w:val="0068792E"/>
    <w:rsid w:val="00690B1E"/>
    <w:rsid w:val="0069180A"/>
    <w:rsid w:val="0069428B"/>
    <w:rsid w:val="006944CF"/>
    <w:rsid w:val="00696B99"/>
    <w:rsid w:val="00696DBF"/>
    <w:rsid w:val="0069701D"/>
    <w:rsid w:val="00697320"/>
    <w:rsid w:val="00697C44"/>
    <w:rsid w:val="006A0369"/>
    <w:rsid w:val="006A0424"/>
    <w:rsid w:val="006A0B0F"/>
    <w:rsid w:val="006A1BC4"/>
    <w:rsid w:val="006A229F"/>
    <w:rsid w:val="006A2579"/>
    <w:rsid w:val="006A3751"/>
    <w:rsid w:val="006A3A82"/>
    <w:rsid w:val="006A3BA0"/>
    <w:rsid w:val="006A3C1D"/>
    <w:rsid w:val="006A3ED3"/>
    <w:rsid w:val="006A5D78"/>
    <w:rsid w:val="006B0B4B"/>
    <w:rsid w:val="006B18D3"/>
    <w:rsid w:val="006B2634"/>
    <w:rsid w:val="006B2B7B"/>
    <w:rsid w:val="006B3227"/>
    <w:rsid w:val="006B44EE"/>
    <w:rsid w:val="006B5742"/>
    <w:rsid w:val="006B5D21"/>
    <w:rsid w:val="006B7489"/>
    <w:rsid w:val="006C190A"/>
    <w:rsid w:val="006C1C34"/>
    <w:rsid w:val="006C1D69"/>
    <w:rsid w:val="006C1FF9"/>
    <w:rsid w:val="006C3CCA"/>
    <w:rsid w:val="006C3DC5"/>
    <w:rsid w:val="006C451F"/>
    <w:rsid w:val="006C45F0"/>
    <w:rsid w:val="006C716D"/>
    <w:rsid w:val="006C7198"/>
    <w:rsid w:val="006D0F33"/>
    <w:rsid w:val="006D1000"/>
    <w:rsid w:val="006D13C2"/>
    <w:rsid w:val="006D1493"/>
    <w:rsid w:val="006D2DDA"/>
    <w:rsid w:val="006D4156"/>
    <w:rsid w:val="006D45D6"/>
    <w:rsid w:val="006D5898"/>
    <w:rsid w:val="006D68AB"/>
    <w:rsid w:val="006D73DA"/>
    <w:rsid w:val="006D7903"/>
    <w:rsid w:val="006E00D6"/>
    <w:rsid w:val="006E14EB"/>
    <w:rsid w:val="006E2584"/>
    <w:rsid w:val="006E3220"/>
    <w:rsid w:val="006E3400"/>
    <w:rsid w:val="006E38B0"/>
    <w:rsid w:val="006E4777"/>
    <w:rsid w:val="006E4D37"/>
    <w:rsid w:val="006E633A"/>
    <w:rsid w:val="006E699A"/>
    <w:rsid w:val="006E7033"/>
    <w:rsid w:val="006F2664"/>
    <w:rsid w:val="006F3582"/>
    <w:rsid w:val="006F3841"/>
    <w:rsid w:val="006F3C1C"/>
    <w:rsid w:val="006F407B"/>
    <w:rsid w:val="006F5DBB"/>
    <w:rsid w:val="006F612C"/>
    <w:rsid w:val="006F6421"/>
    <w:rsid w:val="006F7F2A"/>
    <w:rsid w:val="007047C1"/>
    <w:rsid w:val="00704D22"/>
    <w:rsid w:val="00704D95"/>
    <w:rsid w:val="00705634"/>
    <w:rsid w:val="00705EE3"/>
    <w:rsid w:val="007062E6"/>
    <w:rsid w:val="00707038"/>
    <w:rsid w:val="00707DF8"/>
    <w:rsid w:val="007105C2"/>
    <w:rsid w:val="0071112C"/>
    <w:rsid w:val="007117DC"/>
    <w:rsid w:val="00711F65"/>
    <w:rsid w:val="00713F41"/>
    <w:rsid w:val="007143BB"/>
    <w:rsid w:val="007158E7"/>
    <w:rsid w:val="0071595A"/>
    <w:rsid w:val="007159FB"/>
    <w:rsid w:val="00715DB4"/>
    <w:rsid w:val="007207B0"/>
    <w:rsid w:val="00720FE7"/>
    <w:rsid w:val="00721119"/>
    <w:rsid w:val="00723587"/>
    <w:rsid w:val="00723B6A"/>
    <w:rsid w:val="00723C98"/>
    <w:rsid w:val="00724217"/>
    <w:rsid w:val="00724517"/>
    <w:rsid w:val="0072490F"/>
    <w:rsid w:val="00725ECF"/>
    <w:rsid w:val="00726077"/>
    <w:rsid w:val="007274C3"/>
    <w:rsid w:val="007303D5"/>
    <w:rsid w:val="00731D8E"/>
    <w:rsid w:val="0073572D"/>
    <w:rsid w:val="00735B61"/>
    <w:rsid w:val="00735BD1"/>
    <w:rsid w:val="0074038E"/>
    <w:rsid w:val="00742B37"/>
    <w:rsid w:val="00742D61"/>
    <w:rsid w:val="00743F9F"/>
    <w:rsid w:val="007456F9"/>
    <w:rsid w:val="00745A6A"/>
    <w:rsid w:val="00745C09"/>
    <w:rsid w:val="0074632B"/>
    <w:rsid w:val="00746933"/>
    <w:rsid w:val="007509B2"/>
    <w:rsid w:val="00751C28"/>
    <w:rsid w:val="0075232E"/>
    <w:rsid w:val="00752469"/>
    <w:rsid w:val="00752945"/>
    <w:rsid w:val="00753A81"/>
    <w:rsid w:val="00754E12"/>
    <w:rsid w:val="00756437"/>
    <w:rsid w:val="00756F4B"/>
    <w:rsid w:val="007574D5"/>
    <w:rsid w:val="0076404B"/>
    <w:rsid w:val="00764A42"/>
    <w:rsid w:val="00765EC0"/>
    <w:rsid w:val="00766F83"/>
    <w:rsid w:val="007703D7"/>
    <w:rsid w:val="00770F33"/>
    <w:rsid w:val="007722E4"/>
    <w:rsid w:val="007731E9"/>
    <w:rsid w:val="00773535"/>
    <w:rsid w:val="00775836"/>
    <w:rsid w:val="00775DDF"/>
    <w:rsid w:val="0077677E"/>
    <w:rsid w:val="00777AFE"/>
    <w:rsid w:val="00777B8A"/>
    <w:rsid w:val="00780E2A"/>
    <w:rsid w:val="00791BC8"/>
    <w:rsid w:val="007959E4"/>
    <w:rsid w:val="00796C44"/>
    <w:rsid w:val="00797717"/>
    <w:rsid w:val="00797F74"/>
    <w:rsid w:val="007A1E4C"/>
    <w:rsid w:val="007A44DD"/>
    <w:rsid w:val="007A497D"/>
    <w:rsid w:val="007A5DD3"/>
    <w:rsid w:val="007A664A"/>
    <w:rsid w:val="007A6D38"/>
    <w:rsid w:val="007A779F"/>
    <w:rsid w:val="007B0B7A"/>
    <w:rsid w:val="007B26C5"/>
    <w:rsid w:val="007B2AD6"/>
    <w:rsid w:val="007B38E9"/>
    <w:rsid w:val="007B4522"/>
    <w:rsid w:val="007B5146"/>
    <w:rsid w:val="007B61F0"/>
    <w:rsid w:val="007B7059"/>
    <w:rsid w:val="007C01B1"/>
    <w:rsid w:val="007C1736"/>
    <w:rsid w:val="007C1B20"/>
    <w:rsid w:val="007C2AFF"/>
    <w:rsid w:val="007C3E7B"/>
    <w:rsid w:val="007C438D"/>
    <w:rsid w:val="007C5280"/>
    <w:rsid w:val="007C5594"/>
    <w:rsid w:val="007C65B2"/>
    <w:rsid w:val="007C719A"/>
    <w:rsid w:val="007C7F7D"/>
    <w:rsid w:val="007D0D3D"/>
    <w:rsid w:val="007D102B"/>
    <w:rsid w:val="007D11B5"/>
    <w:rsid w:val="007D2AEE"/>
    <w:rsid w:val="007D2C32"/>
    <w:rsid w:val="007D46B5"/>
    <w:rsid w:val="007D4B6C"/>
    <w:rsid w:val="007D4CE5"/>
    <w:rsid w:val="007D4FB5"/>
    <w:rsid w:val="007D5099"/>
    <w:rsid w:val="007E580C"/>
    <w:rsid w:val="007E592C"/>
    <w:rsid w:val="007E671C"/>
    <w:rsid w:val="007E6791"/>
    <w:rsid w:val="007E679F"/>
    <w:rsid w:val="007F1456"/>
    <w:rsid w:val="007F21FF"/>
    <w:rsid w:val="007F2A5A"/>
    <w:rsid w:val="007F3189"/>
    <w:rsid w:val="007F368C"/>
    <w:rsid w:val="007F398B"/>
    <w:rsid w:val="007F3A09"/>
    <w:rsid w:val="007F581C"/>
    <w:rsid w:val="007F6CE9"/>
    <w:rsid w:val="0080011D"/>
    <w:rsid w:val="008022C1"/>
    <w:rsid w:val="00802AD4"/>
    <w:rsid w:val="00805145"/>
    <w:rsid w:val="0080561D"/>
    <w:rsid w:val="00805D88"/>
    <w:rsid w:val="00807983"/>
    <w:rsid w:val="0081041F"/>
    <w:rsid w:val="00812199"/>
    <w:rsid w:val="00812385"/>
    <w:rsid w:val="008123F0"/>
    <w:rsid w:val="008126ED"/>
    <w:rsid w:val="00815551"/>
    <w:rsid w:val="00815910"/>
    <w:rsid w:val="008162C6"/>
    <w:rsid w:val="008165CE"/>
    <w:rsid w:val="008165EE"/>
    <w:rsid w:val="00820703"/>
    <w:rsid w:val="00821216"/>
    <w:rsid w:val="008225FB"/>
    <w:rsid w:val="00823574"/>
    <w:rsid w:val="00823676"/>
    <w:rsid w:val="0082393E"/>
    <w:rsid w:val="00823D37"/>
    <w:rsid w:val="008247A9"/>
    <w:rsid w:val="00826AC6"/>
    <w:rsid w:val="00826DBA"/>
    <w:rsid w:val="0083134C"/>
    <w:rsid w:val="008339C5"/>
    <w:rsid w:val="008344D3"/>
    <w:rsid w:val="00834D1C"/>
    <w:rsid w:val="00835A6E"/>
    <w:rsid w:val="00836906"/>
    <w:rsid w:val="008377B1"/>
    <w:rsid w:val="00837B62"/>
    <w:rsid w:val="00840124"/>
    <w:rsid w:val="0084201F"/>
    <w:rsid w:val="0084338E"/>
    <w:rsid w:val="008434B8"/>
    <w:rsid w:val="00843A66"/>
    <w:rsid w:val="00843C6D"/>
    <w:rsid w:val="0084410F"/>
    <w:rsid w:val="008445A9"/>
    <w:rsid w:val="008445C3"/>
    <w:rsid w:val="00844F7A"/>
    <w:rsid w:val="00845835"/>
    <w:rsid w:val="0084744E"/>
    <w:rsid w:val="008507B5"/>
    <w:rsid w:val="00850B6C"/>
    <w:rsid w:val="00852DC9"/>
    <w:rsid w:val="00853DA8"/>
    <w:rsid w:val="00853E03"/>
    <w:rsid w:val="0085427F"/>
    <w:rsid w:val="00855D19"/>
    <w:rsid w:val="00856802"/>
    <w:rsid w:val="00857E44"/>
    <w:rsid w:val="00862CF5"/>
    <w:rsid w:val="00862F70"/>
    <w:rsid w:val="00864E00"/>
    <w:rsid w:val="00866F44"/>
    <w:rsid w:val="00867B07"/>
    <w:rsid w:val="008700B5"/>
    <w:rsid w:val="00870135"/>
    <w:rsid w:val="00870E8A"/>
    <w:rsid w:val="00870F1F"/>
    <w:rsid w:val="00872283"/>
    <w:rsid w:val="008727FA"/>
    <w:rsid w:val="00873FE6"/>
    <w:rsid w:val="00874827"/>
    <w:rsid w:val="00874D2B"/>
    <w:rsid w:val="00875348"/>
    <w:rsid w:val="00875D5C"/>
    <w:rsid w:val="0087796D"/>
    <w:rsid w:val="00877A31"/>
    <w:rsid w:val="00880C3E"/>
    <w:rsid w:val="00881363"/>
    <w:rsid w:val="0088220D"/>
    <w:rsid w:val="00884691"/>
    <w:rsid w:val="0088798A"/>
    <w:rsid w:val="0089002F"/>
    <w:rsid w:val="00890AD2"/>
    <w:rsid w:val="008918AC"/>
    <w:rsid w:val="00891DDB"/>
    <w:rsid w:val="00892DD3"/>
    <w:rsid w:val="00892E4F"/>
    <w:rsid w:val="008947C0"/>
    <w:rsid w:val="0089491E"/>
    <w:rsid w:val="00894A2F"/>
    <w:rsid w:val="00895524"/>
    <w:rsid w:val="0089641D"/>
    <w:rsid w:val="00897876"/>
    <w:rsid w:val="008A0538"/>
    <w:rsid w:val="008A17AE"/>
    <w:rsid w:val="008A1A39"/>
    <w:rsid w:val="008A1DF7"/>
    <w:rsid w:val="008A25DF"/>
    <w:rsid w:val="008A27CA"/>
    <w:rsid w:val="008A4060"/>
    <w:rsid w:val="008A46D0"/>
    <w:rsid w:val="008A49DD"/>
    <w:rsid w:val="008A53B5"/>
    <w:rsid w:val="008A632C"/>
    <w:rsid w:val="008A7786"/>
    <w:rsid w:val="008B0B3A"/>
    <w:rsid w:val="008B112A"/>
    <w:rsid w:val="008B14A3"/>
    <w:rsid w:val="008B2A6C"/>
    <w:rsid w:val="008B33C2"/>
    <w:rsid w:val="008B35B4"/>
    <w:rsid w:val="008B563F"/>
    <w:rsid w:val="008B7E84"/>
    <w:rsid w:val="008C05DD"/>
    <w:rsid w:val="008C1116"/>
    <w:rsid w:val="008C1525"/>
    <w:rsid w:val="008C23CA"/>
    <w:rsid w:val="008C2EA9"/>
    <w:rsid w:val="008C445C"/>
    <w:rsid w:val="008C4A52"/>
    <w:rsid w:val="008C7424"/>
    <w:rsid w:val="008D0FAA"/>
    <w:rsid w:val="008D1C6D"/>
    <w:rsid w:val="008D237F"/>
    <w:rsid w:val="008D64F0"/>
    <w:rsid w:val="008D662A"/>
    <w:rsid w:val="008D6CF1"/>
    <w:rsid w:val="008D6CFB"/>
    <w:rsid w:val="008D7EA5"/>
    <w:rsid w:val="008E1682"/>
    <w:rsid w:val="008E22BE"/>
    <w:rsid w:val="008E384B"/>
    <w:rsid w:val="008E551C"/>
    <w:rsid w:val="008F1399"/>
    <w:rsid w:val="008F17E9"/>
    <w:rsid w:val="008F3533"/>
    <w:rsid w:val="008F4545"/>
    <w:rsid w:val="008F4E07"/>
    <w:rsid w:val="008F678C"/>
    <w:rsid w:val="008F7080"/>
    <w:rsid w:val="009000BC"/>
    <w:rsid w:val="009004FC"/>
    <w:rsid w:val="00901058"/>
    <w:rsid w:val="00903606"/>
    <w:rsid w:val="0090381F"/>
    <w:rsid w:val="00903A18"/>
    <w:rsid w:val="009040E1"/>
    <w:rsid w:val="00905CC8"/>
    <w:rsid w:val="00905D98"/>
    <w:rsid w:val="00906AE0"/>
    <w:rsid w:val="00907A6B"/>
    <w:rsid w:val="00907D17"/>
    <w:rsid w:val="00911180"/>
    <w:rsid w:val="00912435"/>
    <w:rsid w:val="009177A5"/>
    <w:rsid w:val="00917929"/>
    <w:rsid w:val="0092267E"/>
    <w:rsid w:val="00922912"/>
    <w:rsid w:val="00922A10"/>
    <w:rsid w:val="009235F3"/>
    <w:rsid w:val="00923ACE"/>
    <w:rsid w:val="00923E3F"/>
    <w:rsid w:val="00925940"/>
    <w:rsid w:val="00925AFC"/>
    <w:rsid w:val="00926BD3"/>
    <w:rsid w:val="00927C33"/>
    <w:rsid w:val="00927FC3"/>
    <w:rsid w:val="009313EE"/>
    <w:rsid w:val="00936714"/>
    <w:rsid w:val="00936DFB"/>
    <w:rsid w:val="00936F8F"/>
    <w:rsid w:val="00937B58"/>
    <w:rsid w:val="0094011B"/>
    <w:rsid w:val="00940ABF"/>
    <w:rsid w:val="0094258A"/>
    <w:rsid w:val="009429E0"/>
    <w:rsid w:val="00942DE6"/>
    <w:rsid w:val="00945015"/>
    <w:rsid w:val="00945A3A"/>
    <w:rsid w:val="0094668E"/>
    <w:rsid w:val="009466E0"/>
    <w:rsid w:val="0094754E"/>
    <w:rsid w:val="00947673"/>
    <w:rsid w:val="00947A26"/>
    <w:rsid w:val="00950565"/>
    <w:rsid w:val="00950616"/>
    <w:rsid w:val="0095177E"/>
    <w:rsid w:val="0095203B"/>
    <w:rsid w:val="00954F15"/>
    <w:rsid w:val="009554B3"/>
    <w:rsid w:val="0095707B"/>
    <w:rsid w:val="009571AF"/>
    <w:rsid w:val="009573D1"/>
    <w:rsid w:val="00961C98"/>
    <w:rsid w:val="00962125"/>
    <w:rsid w:val="009625B7"/>
    <w:rsid w:val="00962799"/>
    <w:rsid w:val="00962F70"/>
    <w:rsid w:val="00962FAE"/>
    <w:rsid w:val="009638F6"/>
    <w:rsid w:val="009643D1"/>
    <w:rsid w:val="0096569B"/>
    <w:rsid w:val="009677B0"/>
    <w:rsid w:val="00967A9C"/>
    <w:rsid w:val="00971FC8"/>
    <w:rsid w:val="00972E74"/>
    <w:rsid w:val="00973F8D"/>
    <w:rsid w:val="00975E29"/>
    <w:rsid w:val="00977A7F"/>
    <w:rsid w:val="00977BC5"/>
    <w:rsid w:val="0098135D"/>
    <w:rsid w:val="009813B0"/>
    <w:rsid w:val="00981A86"/>
    <w:rsid w:val="00981F11"/>
    <w:rsid w:val="00984518"/>
    <w:rsid w:val="009849A3"/>
    <w:rsid w:val="009855B3"/>
    <w:rsid w:val="009857B6"/>
    <w:rsid w:val="00986367"/>
    <w:rsid w:val="00986945"/>
    <w:rsid w:val="00987D63"/>
    <w:rsid w:val="00993031"/>
    <w:rsid w:val="00995FAF"/>
    <w:rsid w:val="00997F76"/>
    <w:rsid w:val="009A07CA"/>
    <w:rsid w:val="009A20EA"/>
    <w:rsid w:val="009A2A51"/>
    <w:rsid w:val="009A3706"/>
    <w:rsid w:val="009A371D"/>
    <w:rsid w:val="009A4A68"/>
    <w:rsid w:val="009A5F5F"/>
    <w:rsid w:val="009A7137"/>
    <w:rsid w:val="009B187C"/>
    <w:rsid w:val="009B4F39"/>
    <w:rsid w:val="009B6079"/>
    <w:rsid w:val="009B6094"/>
    <w:rsid w:val="009B7082"/>
    <w:rsid w:val="009B71AC"/>
    <w:rsid w:val="009B79B1"/>
    <w:rsid w:val="009C0B62"/>
    <w:rsid w:val="009C19AE"/>
    <w:rsid w:val="009C2B86"/>
    <w:rsid w:val="009C3CAA"/>
    <w:rsid w:val="009C4E19"/>
    <w:rsid w:val="009C5CF3"/>
    <w:rsid w:val="009C623E"/>
    <w:rsid w:val="009C69D0"/>
    <w:rsid w:val="009C6E6E"/>
    <w:rsid w:val="009C72B8"/>
    <w:rsid w:val="009C7313"/>
    <w:rsid w:val="009D12C8"/>
    <w:rsid w:val="009D2EC6"/>
    <w:rsid w:val="009D472C"/>
    <w:rsid w:val="009D5E99"/>
    <w:rsid w:val="009D717E"/>
    <w:rsid w:val="009D76B9"/>
    <w:rsid w:val="009E1875"/>
    <w:rsid w:val="009E256E"/>
    <w:rsid w:val="009E356A"/>
    <w:rsid w:val="009E36A8"/>
    <w:rsid w:val="009E3933"/>
    <w:rsid w:val="009E6D7E"/>
    <w:rsid w:val="009F00F9"/>
    <w:rsid w:val="009F06DB"/>
    <w:rsid w:val="009F0C2D"/>
    <w:rsid w:val="009F305A"/>
    <w:rsid w:val="009F3F9C"/>
    <w:rsid w:val="009F46FB"/>
    <w:rsid w:val="009F4930"/>
    <w:rsid w:val="009F5E93"/>
    <w:rsid w:val="00A01775"/>
    <w:rsid w:val="00A03467"/>
    <w:rsid w:val="00A03B16"/>
    <w:rsid w:val="00A058B6"/>
    <w:rsid w:val="00A06701"/>
    <w:rsid w:val="00A06B9C"/>
    <w:rsid w:val="00A06E62"/>
    <w:rsid w:val="00A07953"/>
    <w:rsid w:val="00A11611"/>
    <w:rsid w:val="00A12A90"/>
    <w:rsid w:val="00A1421F"/>
    <w:rsid w:val="00A15468"/>
    <w:rsid w:val="00A16176"/>
    <w:rsid w:val="00A168BA"/>
    <w:rsid w:val="00A16DD1"/>
    <w:rsid w:val="00A17E6E"/>
    <w:rsid w:val="00A202FA"/>
    <w:rsid w:val="00A20436"/>
    <w:rsid w:val="00A2350C"/>
    <w:rsid w:val="00A24671"/>
    <w:rsid w:val="00A24D39"/>
    <w:rsid w:val="00A2627C"/>
    <w:rsid w:val="00A31EBB"/>
    <w:rsid w:val="00A32830"/>
    <w:rsid w:val="00A3298F"/>
    <w:rsid w:val="00A34011"/>
    <w:rsid w:val="00A34C91"/>
    <w:rsid w:val="00A35079"/>
    <w:rsid w:val="00A40795"/>
    <w:rsid w:val="00A4079D"/>
    <w:rsid w:val="00A40D3C"/>
    <w:rsid w:val="00A41318"/>
    <w:rsid w:val="00A415FA"/>
    <w:rsid w:val="00A421D9"/>
    <w:rsid w:val="00A42C07"/>
    <w:rsid w:val="00A42C5D"/>
    <w:rsid w:val="00A45988"/>
    <w:rsid w:val="00A46E62"/>
    <w:rsid w:val="00A47523"/>
    <w:rsid w:val="00A4791F"/>
    <w:rsid w:val="00A47FE3"/>
    <w:rsid w:val="00A5047D"/>
    <w:rsid w:val="00A52121"/>
    <w:rsid w:val="00A523B1"/>
    <w:rsid w:val="00A5286C"/>
    <w:rsid w:val="00A5612D"/>
    <w:rsid w:val="00A57BCA"/>
    <w:rsid w:val="00A601BA"/>
    <w:rsid w:val="00A60DEB"/>
    <w:rsid w:val="00A60E4B"/>
    <w:rsid w:val="00A61D7E"/>
    <w:rsid w:val="00A64D91"/>
    <w:rsid w:val="00A66640"/>
    <w:rsid w:val="00A66AEC"/>
    <w:rsid w:val="00A67B5F"/>
    <w:rsid w:val="00A70C08"/>
    <w:rsid w:val="00A71E51"/>
    <w:rsid w:val="00A724C9"/>
    <w:rsid w:val="00A739B5"/>
    <w:rsid w:val="00A74330"/>
    <w:rsid w:val="00A75105"/>
    <w:rsid w:val="00A75352"/>
    <w:rsid w:val="00A811B3"/>
    <w:rsid w:val="00A82263"/>
    <w:rsid w:val="00A8467F"/>
    <w:rsid w:val="00A84A7F"/>
    <w:rsid w:val="00A84DBB"/>
    <w:rsid w:val="00A860C7"/>
    <w:rsid w:val="00A8751D"/>
    <w:rsid w:val="00A9021F"/>
    <w:rsid w:val="00A903CE"/>
    <w:rsid w:val="00A92BB1"/>
    <w:rsid w:val="00A92CE5"/>
    <w:rsid w:val="00A94DCC"/>
    <w:rsid w:val="00A962EE"/>
    <w:rsid w:val="00A9651E"/>
    <w:rsid w:val="00A96712"/>
    <w:rsid w:val="00A97583"/>
    <w:rsid w:val="00AA06F2"/>
    <w:rsid w:val="00AA125D"/>
    <w:rsid w:val="00AA15C8"/>
    <w:rsid w:val="00AA1C0F"/>
    <w:rsid w:val="00AA36DF"/>
    <w:rsid w:val="00AA5712"/>
    <w:rsid w:val="00AA6067"/>
    <w:rsid w:val="00AA663C"/>
    <w:rsid w:val="00AA7A34"/>
    <w:rsid w:val="00AB004C"/>
    <w:rsid w:val="00AB106C"/>
    <w:rsid w:val="00AB1534"/>
    <w:rsid w:val="00AB1FF2"/>
    <w:rsid w:val="00AB2EF2"/>
    <w:rsid w:val="00AB4664"/>
    <w:rsid w:val="00AB4E0B"/>
    <w:rsid w:val="00AB63E6"/>
    <w:rsid w:val="00AB7385"/>
    <w:rsid w:val="00AB7416"/>
    <w:rsid w:val="00AC1681"/>
    <w:rsid w:val="00AC40DB"/>
    <w:rsid w:val="00AD07A1"/>
    <w:rsid w:val="00AD1489"/>
    <w:rsid w:val="00AD22CF"/>
    <w:rsid w:val="00AD4A79"/>
    <w:rsid w:val="00AD664A"/>
    <w:rsid w:val="00AE0175"/>
    <w:rsid w:val="00AE0AB6"/>
    <w:rsid w:val="00AE14A4"/>
    <w:rsid w:val="00AE1D51"/>
    <w:rsid w:val="00AE25B2"/>
    <w:rsid w:val="00AE39D5"/>
    <w:rsid w:val="00AE3AD7"/>
    <w:rsid w:val="00AE4CC7"/>
    <w:rsid w:val="00AE526B"/>
    <w:rsid w:val="00AE6EBD"/>
    <w:rsid w:val="00AE7820"/>
    <w:rsid w:val="00AF0441"/>
    <w:rsid w:val="00AF21A3"/>
    <w:rsid w:val="00AF4BA2"/>
    <w:rsid w:val="00AF5378"/>
    <w:rsid w:val="00AF7BD8"/>
    <w:rsid w:val="00B004CD"/>
    <w:rsid w:val="00B00CA4"/>
    <w:rsid w:val="00B0117F"/>
    <w:rsid w:val="00B02E03"/>
    <w:rsid w:val="00B03206"/>
    <w:rsid w:val="00B063D2"/>
    <w:rsid w:val="00B06423"/>
    <w:rsid w:val="00B06957"/>
    <w:rsid w:val="00B11708"/>
    <w:rsid w:val="00B11D5A"/>
    <w:rsid w:val="00B125E4"/>
    <w:rsid w:val="00B14082"/>
    <w:rsid w:val="00B14F61"/>
    <w:rsid w:val="00B204E8"/>
    <w:rsid w:val="00B20CBC"/>
    <w:rsid w:val="00B212E7"/>
    <w:rsid w:val="00B216D8"/>
    <w:rsid w:val="00B21781"/>
    <w:rsid w:val="00B25B94"/>
    <w:rsid w:val="00B270B6"/>
    <w:rsid w:val="00B32A58"/>
    <w:rsid w:val="00B32C0B"/>
    <w:rsid w:val="00B3609B"/>
    <w:rsid w:val="00B371AF"/>
    <w:rsid w:val="00B4146A"/>
    <w:rsid w:val="00B41C14"/>
    <w:rsid w:val="00B438F3"/>
    <w:rsid w:val="00B43AE2"/>
    <w:rsid w:val="00B46332"/>
    <w:rsid w:val="00B466F3"/>
    <w:rsid w:val="00B471CD"/>
    <w:rsid w:val="00B4728C"/>
    <w:rsid w:val="00B508DD"/>
    <w:rsid w:val="00B50F80"/>
    <w:rsid w:val="00B52EA6"/>
    <w:rsid w:val="00B53F5E"/>
    <w:rsid w:val="00B54CC4"/>
    <w:rsid w:val="00B55B78"/>
    <w:rsid w:val="00B57E31"/>
    <w:rsid w:val="00B61006"/>
    <w:rsid w:val="00B6134D"/>
    <w:rsid w:val="00B615CB"/>
    <w:rsid w:val="00B61794"/>
    <w:rsid w:val="00B62242"/>
    <w:rsid w:val="00B625CE"/>
    <w:rsid w:val="00B62651"/>
    <w:rsid w:val="00B631AC"/>
    <w:rsid w:val="00B64C45"/>
    <w:rsid w:val="00B64D45"/>
    <w:rsid w:val="00B66FE1"/>
    <w:rsid w:val="00B679EB"/>
    <w:rsid w:val="00B710A1"/>
    <w:rsid w:val="00B71E15"/>
    <w:rsid w:val="00B74A93"/>
    <w:rsid w:val="00B760A6"/>
    <w:rsid w:val="00B76A06"/>
    <w:rsid w:val="00B77CC9"/>
    <w:rsid w:val="00B814E2"/>
    <w:rsid w:val="00B82E18"/>
    <w:rsid w:val="00B84BFE"/>
    <w:rsid w:val="00B852E8"/>
    <w:rsid w:val="00B8702B"/>
    <w:rsid w:val="00B87CC2"/>
    <w:rsid w:val="00B9109A"/>
    <w:rsid w:val="00B91A5F"/>
    <w:rsid w:val="00B924F1"/>
    <w:rsid w:val="00B93943"/>
    <w:rsid w:val="00B941B0"/>
    <w:rsid w:val="00B9574A"/>
    <w:rsid w:val="00B9652B"/>
    <w:rsid w:val="00B97E48"/>
    <w:rsid w:val="00BA1BDD"/>
    <w:rsid w:val="00BA22F7"/>
    <w:rsid w:val="00BA47E7"/>
    <w:rsid w:val="00BA5876"/>
    <w:rsid w:val="00BA648D"/>
    <w:rsid w:val="00BA7382"/>
    <w:rsid w:val="00BB01E1"/>
    <w:rsid w:val="00BB0CBA"/>
    <w:rsid w:val="00BB14B5"/>
    <w:rsid w:val="00BB1EE9"/>
    <w:rsid w:val="00BB2866"/>
    <w:rsid w:val="00BB45A1"/>
    <w:rsid w:val="00BB4D32"/>
    <w:rsid w:val="00BB502E"/>
    <w:rsid w:val="00BB6258"/>
    <w:rsid w:val="00BB65D1"/>
    <w:rsid w:val="00BB6CA0"/>
    <w:rsid w:val="00BC0C0A"/>
    <w:rsid w:val="00BC307E"/>
    <w:rsid w:val="00BC3304"/>
    <w:rsid w:val="00BC35DB"/>
    <w:rsid w:val="00BC44A6"/>
    <w:rsid w:val="00BC571C"/>
    <w:rsid w:val="00BC679F"/>
    <w:rsid w:val="00BC6A4D"/>
    <w:rsid w:val="00BC72D8"/>
    <w:rsid w:val="00BD07CA"/>
    <w:rsid w:val="00BD25FD"/>
    <w:rsid w:val="00BD3D72"/>
    <w:rsid w:val="00BD532C"/>
    <w:rsid w:val="00BD5700"/>
    <w:rsid w:val="00BD6381"/>
    <w:rsid w:val="00BD7282"/>
    <w:rsid w:val="00BE0150"/>
    <w:rsid w:val="00BE11C6"/>
    <w:rsid w:val="00BE1FFE"/>
    <w:rsid w:val="00BE35A3"/>
    <w:rsid w:val="00BE4F37"/>
    <w:rsid w:val="00BF1ED4"/>
    <w:rsid w:val="00BF2C16"/>
    <w:rsid w:val="00BF4259"/>
    <w:rsid w:val="00BF6C08"/>
    <w:rsid w:val="00BF702D"/>
    <w:rsid w:val="00C02C40"/>
    <w:rsid w:val="00C0353F"/>
    <w:rsid w:val="00C04347"/>
    <w:rsid w:val="00C0665B"/>
    <w:rsid w:val="00C104A2"/>
    <w:rsid w:val="00C11C42"/>
    <w:rsid w:val="00C12F5E"/>
    <w:rsid w:val="00C1562E"/>
    <w:rsid w:val="00C1621B"/>
    <w:rsid w:val="00C16BC6"/>
    <w:rsid w:val="00C20692"/>
    <w:rsid w:val="00C20946"/>
    <w:rsid w:val="00C20E28"/>
    <w:rsid w:val="00C20EA4"/>
    <w:rsid w:val="00C21316"/>
    <w:rsid w:val="00C217B6"/>
    <w:rsid w:val="00C23AF8"/>
    <w:rsid w:val="00C23B8F"/>
    <w:rsid w:val="00C24DDA"/>
    <w:rsid w:val="00C25D2C"/>
    <w:rsid w:val="00C27019"/>
    <w:rsid w:val="00C273E8"/>
    <w:rsid w:val="00C2786A"/>
    <w:rsid w:val="00C30B07"/>
    <w:rsid w:val="00C30C89"/>
    <w:rsid w:val="00C31023"/>
    <w:rsid w:val="00C31079"/>
    <w:rsid w:val="00C32003"/>
    <w:rsid w:val="00C32355"/>
    <w:rsid w:val="00C32E15"/>
    <w:rsid w:val="00C32FB2"/>
    <w:rsid w:val="00C32FD8"/>
    <w:rsid w:val="00C333F7"/>
    <w:rsid w:val="00C348DC"/>
    <w:rsid w:val="00C34F12"/>
    <w:rsid w:val="00C35584"/>
    <w:rsid w:val="00C355BB"/>
    <w:rsid w:val="00C371EC"/>
    <w:rsid w:val="00C37299"/>
    <w:rsid w:val="00C37D95"/>
    <w:rsid w:val="00C4022E"/>
    <w:rsid w:val="00C4173C"/>
    <w:rsid w:val="00C420B8"/>
    <w:rsid w:val="00C42108"/>
    <w:rsid w:val="00C43D0F"/>
    <w:rsid w:val="00C44163"/>
    <w:rsid w:val="00C44FE4"/>
    <w:rsid w:val="00C46CB4"/>
    <w:rsid w:val="00C46ECA"/>
    <w:rsid w:val="00C4794A"/>
    <w:rsid w:val="00C47BE5"/>
    <w:rsid w:val="00C47E7D"/>
    <w:rsid w:val="00C50BF7"/>
    <w:rsid w:val="00C52492"/>
    <w:rsid w:val="00C524F1"/>
    <w:rsid w:val="00C5268E"/>
    <w:rsid w:val="00C56D1E"/>
    <w:rsid w:val="00C578CE"/>
    <w:rsid w:val="00C60583"/>
    <w:rsid w:val="00C60A4F"/>
    <w:rsid w:val="00C60F7C"/>
    <w:rsid w:val="00C62D3B"/>
    <w:rsid w:val="00C634EA"/>
    <w:rsid w:val="00C64870"/>
    <w:rsid w:val="00C650D4"/>
    <w:rsid w:val="00C65F9A"/>
    <w:rsid w:val="00C66663"/>
    <w:rsid w:val="00C66A81"/>
    <w:rsid w:val="00C67952"/>
    <w:rsid w:val="00C71048"/>
    <w:rsid w:val="00C71F92"/>
    <w:rsid w:val="00C72A3D"/>
    <w:rsid w:val="00C75521"/>
    <w:rsid w:val="00C7612B"/>
    <w:rsid w:val="00C77048"/>
    <w:rsid w:val="00C820E5"/>
    <w:rsid w:val="00C8297D"/>
    <w:rsid w:val="00C82D24"/>
    <w:rsid w:val="00C860FC"/>
    <w:rsid w:val="00C918E1"/>
    <w:rsid w:val="00C91F1D"/>
    <w:rsid w:val="00C92BE3"/>
    <w:rsid w:val="00C93F44"/>
    <w:rsid w:val="00C9456D"/>
    <w:rsid w:val="00C94CE5"/>
    <w:rsid w:val="00C96705"/>
    <w:rsid w:val="00CA05ED"/>
    <w:rsid w:val="00CA10CF"/>
    <w:rsid w:val="00CA51E2"/>
    <w:rsid w:val="00CA5C33"/>
    <w:rsid w:val="00CB20E5"/>
    <w:rsid w:val="00CB2DE7"/>
    <w:rsid w:val="00CB3871"/>
    <w:rsid w:val="00CB4ED2"/>
    <w:rsid w:val="00CB5A25"/>
    <w:rsid w:val="00CB6688"/>
    <w:rsid w:val="00CB68E1"/>
    <w:rsid w:val="00CC16C0"/>
    <w:rsid w:val="00CC2926"/>
    <w:rsid w:val="00CC2E15"/>
    <w:rsid w:val="00CC44C9"/>
    <w:rsid w:val="00CC5DEE"/>
    <w:rsid w:val="00CC62C8"/>
    <w:rsid w:val="00CC6F12"/>
    <w:rsid w:val="00CC781E"/>
    <w:rsid w:val="00CD01CB"/>
    <w:rsid w:val="00CD2CD9"/>
    <w:rsid w:val="00CD5270"/>
    <w:rsid w:val="00CD573E"/>
    <w:rsid w:val="00CD5B98"/>
    <w:rsid w:val="00CD6AE2"/>
    <w:rsid w:val="00CD740C"/>
    <w:rsid w:val="00CE0F8D"/>
    <w:rsid w:val="00CE3118"/>
    <w:rsid w:val="00CE517E"/>
    <w:rsid w:val="00CE54C8"/>
    <w:rsid w:val="00CE56EF"/>
    <w:rsid w:val="00CE6862"/>
    <w:rsid w:val="00CE71C9"/>
    <w:rsid w:val="00CF5BA7"/>
    <w:rsid w:val="00CF6336"/>
    <w:rsid w:val="00CF6F5B"/>
    <w:rsid w:val="00D00181"/>
    <w:rsid w:val="00D00DBD"/>
    <w:rsid w:val="00D01320"/>
    <w:rsid w:val="00D01419"/>
    <w:rsid w:val="00D0327A"/>
    <w:rsid w:val="00D03981"/>
    <w:rsid w:val="00D0684E"/>
    <w:rsid w:val="00D06CA5"/>
    <w:rsid w:val="00D12B56"/>
    <w:rsid w:val="00D146C5"/>
    <w:rsid w:val="00D1496C"/>
    <w:rsid w:val="00D14CFD"/>
    <w:rsid w:val="00D2464F"/>
    <w:rsid w:val="00D335CE"/>
    <w:rsid w:val="00D340AE"/>
    <w:rsid w:val="00D34D75"/>
    <w:rsid w:val="00D35080"/>
    <w:rsid w:val="00D354EA"/>
    <w:rsid w:val="00D36917"/>
    <w:rsid w:val="00D376E1"/>
    <w:rsid w:val="00D37DCE"/>
    <w:rsid w:val="00D43089"/>
    <w:rsid w:val="00D44DC0"/>
    <w:rsid w:val="00D45878"/>
    <w:rsid w:val="00D46BCB"/>
    <w:rsid w:val="00D46D44"/>
    <w:rsid w:val="00D500C8"/>
    <w:rsid w:val="00D50609"/>
    <w:rsid w:val="00D507D9"/>
    <w:rsid w:val="00D53A19"/>
    <w:rsid w:val="00D54709"/>
    <w:rsid w:val="00D54E0C"/>
    <w:rsid w:val="00D55078"/>
    <w:rsid w:val="00D5671C"/>
    <w:rsid w:val="00D56AC5"/>
    <w:rsid w:val="00D61E82"/>
    <w:rsid w:val="00D62F64"/>
    <w:rsid w:val="00D658CF"/>
    <w:rsid w:val="00D66F9C"/>
    <w:rsid w:val="00D7181C"/>
    <w:rsid w:val="00D722C9"/>
    <w:rsid w:val="00D73067"/>
    <w:rsid w:val="00D73B4B"/>
    <w:rsid w:val="00D742C2"/>
    <w:rsid w:val="00D74EE5"/>
    <w:rsid w:val="00D7580C"/>
    <w:rsid w:val="00D7603A"/>
    <w:rsid w:val="00D777E9"/>
    <w:rsid w:val="00D815E0"/>
    <w:rsid w:val="00D81EA1"/>
    <w:rsid w:val="00D835C3"/>
    <w:rsid w:val="00D85620"/>
    <w:rsid w:val="00D86D09"/>
    <w:rsid w:val="00D908A3"/>
    <w:rsid w:val="00D92B32"/>
    <w:rsid w:val="00D935DA"/>
    <w:rsid w:val="00D93738"/>
    <w:rsid w:val="00D94E89"/>
    <w:rsid w:val="00D955F0"/>
    <w:rsid w:val="00D95E4C"/>
    <w:rsid w:val="00DA00BA"/>
    <w:rsid w:val="00DA157A"/>
    <w:rsid w:val="00DA4A66"/>
    <w:rsid w:val="00DA4CB8"/>
    <w:rsid w:val="00DA6CBE"/>
    <w:rsid w:val="00DA75A4"/>
    <w:rsid w:val="00DA793C"/>
    <w:rsid w:val="00DA7D02"/>
    <w:rsid w:val="00DB2EE2"/>
    <w:rsid w:val="00DB32AC"/>
    <w:rsid w:val="00DB4057"/>
    <w:rsid w:val="00DB4191"/>
    <w:rsid w:val="00DB431F"/>
    <w:rsid w:val="00DB445F"/>
    <w:rsid w:val="00DB4567"/>
    <w:rsid w:val="00DB4D4F"/>
    <w:rsid w:val="00DB4E6F"/>
    <w:rsid w:val="00DB5A32"/>
    <w:rsid w:val="00DB699A"/>
    <w:rsid w:val="00DB69E0"/>
    <w:rsid w:val="00DB6E8C"/>
    <w:rsid w:val="00DC103D"/>
    <w:rsid w:val="00DC1BBC"/>
    <w:rsid w:val="00DC2D38"/>
    <w:rsid w:val="00DC3309"/>
    <w:rsid w:val="00DC3B27"/>
    <w:rsid w:val="00DC6F18"/>
    <w:rsid w:val="00DC70F6"/>
    <w:rsid w:val="00DC7AB9"/>
    <w:rsid w:val="00DC7CFA"/>
    <w:rsid w:val="00DD09E1"/>
    <w:rsid w:val="00DD2624"/>
    <w:rsid w:val="00DD42DA"/>
    <w:rsid w:val="00DD62FE"/>
    <w:rsid w:val="00DD7158"/>
    <w:rsid w:val="00DE13FA"/>
    <w:rsid w:val="00DE3E41"/>
    <w:rsid w:val="00DE5F55"/>
    <w:rsid w:val="00DE60AD"/>
    <w:rsid w:val="00DE6229"/>
    <w:rsid w:val="00DE6FDA"/>
    <w:rsid w:val="00DE7174"/>
    <w:rsid w:val="00DE71B8"/>
    <w:rsid w:val="00DE72A3"/>
    <w:rsid w:val="00DE7B7E"/>
    <w:rsid w:val="00DF209A"/>
    <w:rsid w:val="00DF27EF"/>
    <w:rsid w:val="00DF5BF8"/>
    <w:rsid w:val="00DF6454"/>
    <w:rsid w:val="00DF66A7"/>
    <w:rsid w:val="00DF74E4"/>
    <w:rsid w:val="00E00306"/>
    <w:rsid w:val="00E00A42"/>
    <w:rsid w:val="00E01BC2"/>
    <w:rsid w:val="00E0220B"/>
    <w:rsid w:val="00E028DE"/>
    <w:rsid w:val="00E02AAE"/>
    <w:rsid w:val="00E0301A"/>
    <w:rsid w:val="00E030E8"/>
    <w:rsid w:val="00E0390A"/>
    <w:rsid w:val="00E043E8"/>
    <w:rsid w:val="00E047BC"/>
    <w:rsid w:val="00E04DED"/>
    <w:rsid w:val="00E06324"/>
    <w:rsid w:val="00E07381"/>
    <w:rsid w:val="00E101A0"/>
    <w:rsid w:val="00E1088D"/>
    <w:rsid w:val="00E111BD"/>
    <w:rsid w:val="00E124ED"/>
    <w:rsid w:val="00E12E58"/>
    <w:rsid w:val="00E130B8"/>
    <w:rsid w:val="00E13F6F"/>
    <w:rsid w:val="00E14DC6"/>
    <w:rsid w:val="00E14DEB"/>
    <w:rsid w:val="00E25079"/>
    <w:rsid w:val="00E2795E"/>
    <w:rsid w:val="00E316B5"/>
    <w:rsid w:val="00E32F24"/>
    <w:rsid w:val="00E34933"/>
    <w:rsid w:val="00E34938"/>
    <w:rsid w:val="00E36B67"/>
    <w:rsid w:val="00E37CE1"/>
    <w:rsid w:val="00E41DE5"/>
    <w:rsid w:val="00E41EC7"/>
    <w:rsid w:val="00E42A62"/>
    <w:rsid w:val="00E4355D"/>
    <w:rsid w:val="00E44BCC"/>
    <w:rsid w:val="00E50BE2"/>
    <w:rsid w:val="00E512D4"/>
    <w:rsid w:val="00E522F6"/>
    <w:rsid w:val="00E52798"/>
    <w:rsid w:val="00E54B88"/>
    <w:rsid w:val="00E55F23"/>
    <w:rsid w:val="00E6108D"/>
    <w:rsid w:val="00E63602"/>
    <w:rsid w:val="00E64626"/>
    <w:rsid w:val="00E65C4B"/>
    <w:rsid w:val="00E6665D"/>
    <w:rsid w:val="00E668A1"/>
    <w:rsid w:val="00E66FC3"/>
    <w:rsid w:val="00E67207"/>
    <w:rsid w:val="00E70C38"/>
    <w:rsid w:val="00E71674"/>
    <w:rsid w:val="00E71920"/>
    <w:rsid w:val="00E71AE7"/>
    <w:rsid w:val="00E7378E"/>
    <w:rsid w:val="00E74397"/>
    <w:rsid w:val="00E75A86"/>
    <w:rsid w:val="00E7608C"/>
    <w:rsid w:val="00E76C39"/>
    <w:rsid w:val="00E774E9"/>
    <w:rsid w:val="00E80E1D"/>
    <w:rsid w:val="00E83623"/>
    <w:rsid w:val="00E846C2"/>
    <w:rsid w:val="00E85F9A"/>
    <w:rsid w:val="00E87525"/>
    <w:rsid w:val="00E901AA"/>
    <w:rsid w:val="00E91810"/>
    <w:rsid w:val="00E9281E"/>
    <w:rsid w:val="00E92AFD"/>
    <w:rsid w:val="00E94844"/>
    <w:rsid w:val="00E953E4"/>
    <w:rsid w:val="00E95887"/>
    <w:rsid w:val="00E95AF8"/>
    <w:rsid w:val="00E970E8"/>
    <w:rsid w:val="00E97443"/>
    <w:rsid w:val="00EA008D"/>
    <w:rsid w:val="00EA0F78"/>
    <w:rsid w:val="00EA4C29"/>
    <w:rsid w:val="00EA58EF"/>
    <w:rsid w:val="00EA5F01"/>
    <w:rsid w:val="00EA5FC3"/>
    <w:rsid w:val="00EA6A6C"/>
    <w:rsid w:val="00EA787B"/>
    <w:rsid w:val="00EB1168"/>
    <w:rsid w:val="00EB2626"/>
    <w:rsid w:val="00EB2E0F"/>
    <w:rsid w:val="00EB3553"/>
    <w:rsid w:val="00EB3875"/>
    <w:rsid w:val="00EB38AF"/>
    <w:rsid w:val="00EB4873"/>
    <w:rsid w:val="00EB4987"/>
    <w:rsid w:val="00EB4AE2"/>
    <w:rsid w:val="00EB52DC"/>
    <w:rsid w:val="00EB54A1"/>
    <w:rsid w:val="00EB6899"/>
    <w:rsid w:val="00EB6D86"/>
    <w:rsid w:val="00EC0047"/>
    <w:rsid w:val="00EC03C5"/>
    <w:rsid w:val="00EC14B6"/>
    <w:rsid w:val="00EC2481"/>
    <w:rsid w:val="00EC699C"/>
    <w:rsid w:val="00EC736A"/>
    <w:rsid w:val="00EC75E2"/>
    <w:rsid w:val="00EC7964"/>
    <w:rsid w:val="00ED54E3"/>
    <w:rsid w:val="00ED58FC"/>
    <w:rsid w:val="00ED6DF3"/>
    <w:rsid w:val="00ED774D"/>
    <w:rsid w:val="00EE2E25"/>
    <w:rsid w:val="00EE32EB"/>
    <w:rsid w:val="00EE33F4"/>
    <w:rsid w:val="00EE47E5"/>
    <w:rsid w:val="00EE4E10"/>
    <w:rsid w:val="00EE7C0B"/>
    <w:rsid w:val="00EF0D43"/>
    <w:rsid w:val="00EF1A07"/>
    <w:rsid w:val="00EF1F6E"/>
    <w:rsid w:val="00EF35BF"/>
    <w:rsid w:val="00EF3AD8"/>
    <w:rsid w:val="00EF3B00"/>
    <w:rsid w:val="00EF553D"/>
    <w:rsid w:val="00EF689D"/>
    <w:rsid w:val="00EF68B9"/>
    <w:rsid w:val="00F00ACD"/>
    <w:rsid w:val="00F01E7E"/>
    <w:rsid w:val="00F04426"/>
    <w:rsid w:val="00F04BAB"/>
    <w:rsid w:val="00F0587F"/>
    <w:rsid w:val="00F06556"/>
    <w:rsid w:val="00F0709B"/>
    <w:rsid w:val="00F1030C"/>
    <w:rsid w:val="00F10330"/>
    <w:rsid w:val="00F10E7F"/>
    <w:rsid w:val="00F11B4D"/>
    <w:rsid w:val="00F151D0"/>
    <w:rsid w:val="00F155B2"/>
    <w:rsid w:val="00F16B21"/>
    <w:rsid w:val="00F1725F"/>
    <w:rsid w:val="00F17C57"/>
    <w:rsid w:val="00F226C0"/>
    <w:rsid w:val="00F235FB"/>
    <w:rsid w:val="00F23FEA"/>
    <w:rsid w:val="00F2489F"/>
    <w:rsid w:val="00F306B3"/>
    <w:rsid w:val="00F31E56"/>
    <w:rsid w:val="00F3218A"/>
    <w:rsid w:val="00F33431"/>
    <w:rsid w:val="00F3610D"/>
    <w:rsid w:val="00F3661E"/>
    <w:rsid w:val="00F3731F"/>
    <w:rsid w:val="00F37358"/>
    <w:rsid w:val="00F415A8"/>
    <w:rsid w:val="00F4255E"/>
    <w:rsid w:val="00F4267A"/>
    <w:rsid w:val="00F42E30"/>
    <w:rsid w:val="00F45B8B"/>
    <w:rsid w:val="00F46620"/>
    <w:rsid w:val="00F4755C"/>
    <w:rsid w:val="00F51526"/>
    <w:rsid w:val="00F51718"/>
    <w:rsid w:val="00F53B7B"/>
    <w:rsid w:val="00F54B1D"/>
    <w:rsid w:val="00F56843"/>
    <w:rsid w:val="00F571F4"/>
    <w:rsid w:val="00F5733A"/>
    <w:rsid w:val="00F60A1D"/>
    <w:rsid w:val="00F60A91"/>
    <w:rsid w:val="00F62C33"/>
    <w:rsid w:val="00F6382A"/>
    <w:rsid w:val="00F63CFA"/>
    <w:rsid w:val="00F64CB9"/>
    <w:rsid w:val="00F653F1"/>
    <w:rsid w:val="00F656A7"/>
    <w:rsid w:val="00F67354"/>
    <w:rsid w:val="00F72953"/>
    <w:rsid w:val="00F75415"/>
    <w:rsid w:val="00F75B36"/>
    <w:rsid w:val="00F768DC"/>
    <w:rsid w:val="00F77DE9"/>
    <w:rsid w:val="00F81398"/>
    <w:rsid w:val="00F83D37"/>
    <w:rsid w:val="00F86D22"/>
    <w:rsid w:val="00F87FB7"/>
    <w:rsid w:val="00F907C5"/>
    <w:rsid w:val="00F933FB"/>
    <w:rsid w:val="00F93888"/>
    <w:rsid w:val="00F93EE8"/>
    <w:rsid w:val="00F94743"/>
    <w:rsid w:val="00F94ACF"/>
    <w:rsid w:val="00F94F7D"/>
    <w:rsid w:val="00F9634F"/>
    <w:rsid w:val="00F96D5B"/>
    <w:rsid w:val="00FA3CF4"/>
    <w:rsid w:val="00FA6DAE"/>
    <w:rsid w:val="00FA7E2F"/>
    <w:rsid w:val="00FB0679"/>
    <w:rsid w:val="00FB17A9"/>
    <w:rsid w:val="00FB19B5"/>
    <w:rsid w:val="00FB2615"/>
    <w:rsid w:val="00FB2A65"/>
    <w:rsid w:val="00FB36E8"/>
    <w:rsid w:val="00FB38C7"/>
    <w:rsid w:val="00FB55C5"/>
    <w:rsid w:val="00FB57C3"/>
    <w:rsid w:val="00FB69F7"/>
    <w:rsid w:val="00FB6B58"/>
    <w:rsid w:val="00FB7C82"/>
    <w:rsid w:val="00FB7CE3"/>
    <w:rsid w:val="00FC1BD3"/>
    <w:rsid w:val="00FC20BE"/>
    <w:rsid w:val="00FC3F99"/>
    <w:rsid w:val="00FC4106"/>
    <w:rsid w:val="00FC4A69"/>
    <w:rsid w:val="00FC7F4F"/>
    <w:rsid w:val="00FD0E72"/>
    <w:rsid w:val="00FD0F33"/>
    <w:rsid w:val="00FD1BD0"/>
    <w:rsid w:val="00FD1E03"/>
    <w:rsid w:val="00FD3575"/>
    <w:rsid w:val="00FD63FC"/>
    <w:rsid w:val="00FD713A"/>
    <w:rsid w:val="00FE3487"/>
    <w:rsid w:val="00FE470C"/>
    <w:rsid w:val="00FE50D2"/>
    <w:rsid w:val="00FE5BED"/>
    <w:rsid w:val="00FE5DFB"/>
    <w:rsid w:val="00FE6F06"/>
    <w:rsid w:val="00FF0C92"/>
    <w:rsid w:val="00FF0D32"/>
    <w:rsid w:val="00FF680E"/>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41DA4F0B"/>
  <w15:docId w15:val="{3A01C6AA-BE84-4E8F-AFEC-5B733E06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4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0E74C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E74C6"/>
    <w:rPr>
      <w:rFonts w:ascii="Calibri" w:eastAsia="Calibri" w:hAnsi="Calibri"/>
      <w:sz w:val="20"/>
      <w:szCs w:val="20"/>
    </w:rPr>
  </w:style>
  <w:style w:type="character" w:styleId="FootnoteReference">
    <w:name w:val="footnote reference"/>
    <w:basedOn w:val="DefaultParagraphFont"/>
    <w:uiPriority w:val="99"/>
    <w:semiHidden/>
    <w:unhideWhenUsed/>
    <w:rsid w:val="000E74C6"/>
    <w:rPr>
      <w:vertAlign w:val="superscript"/>
    </w:rPr>
  </w:style>
  <w:style w:type="character" w:styleId="Hyperlink">
    <w:name w:val="Hyperlink"/>
    <w:basedOn w:val="DefaultParagraphFont"/>
    <w:uiPriority w:val="99"/>
    <w:unhideWhenUsed/>
    <w:rsid w:val="004004E5"/>
    <w:rPr>
      <w:color w:val="0000FF" w:themeColor="hyperlink"/>
      <w:u w:val="single"/>
    </w:rPr>
  </w:style>
  <w:style w:type="paragraph" w:styleId="BodyTextIndent">
    <w:name w:val="Body Text Indent"/>
    <w:basedOn w:val="Normal"/>
    <w:link w:val="BodyTextIndentChar"/>
    <w:rsid w:val="00290131"/>
    <w:pPr>
      <w:spacing w:line="480" w:lineRule="auto"/>
      <w:ind w:left="720" w:hanging="720"/>
    </w:pPr>
    <w:rPr>
      <w:rFonts w:eastAsia="Times New Roman"/>
      <w:sz w:val="20"/>
    </w:rPr>
  </w:style>
  <w:style w:type="character" w:customStyle="1" w:styleId="BodyTextIndentChar">
    <w:name w:val="Body Text Indent Char"/>
    <w:basedOn w:val="DefaultParagraphFont"/>
    <w:link w:val="BodyTextIndent"/>
    <w:rsid w:val="00290131"/>
    <w:rPr>
      <w:rFonts w:eastAsia="Times New Roman"/>
      <w:sz w:val="20"/>
    </w:rPr>
  </w:style>
  <w:style w:type="paragraph" w:styleId="BalloonText">
    <w:name w:val="Balloon Text"/>
    <w:basedOn w:val="Normal"/>
    <w:link w:val="BalloonTextChar"/>
    <w:uiPriority w:val="99"/>
    <w:semiHidden/>
    <w:unhideWhenUsed/>
    <w:rsid w:val="00F933FB"/>
    <w:rPr>
      <w:rFonts w:ascii="Tahoma" w:hAnsi="Tahoma" w:cs="Tahoma"/>
      <w:sz w:val="16"/>
      <w:szCs w:val="16"/>
    </w:rPr>
  </w:style>
  <w:style w:type="character" w:customStyle="1" w:styleId="BalloonTextChar">
    <w:name w:val="Balloon Text Char"/>
    <w:basedOn w:val="DefaultParagraphFont"/>
    <w:link w:val="BalloonText"/>
    <w:uiPriority w:val="99"/>
    <w:semiHidden/>
    <w:rsid w:val="00F933FB"/>
    <w:rPr>
      <w:rFonts w:ascii="Tahoma" w:hAnsi="Tahoma" w:cs="Tahoma"/>
      <w:sz w:val="16"/>
      <w:szCs w:val="16"/>
    </w:rPr>
  </w:style>
  <w:style w:type="paragraph" w:customStyle="1" w:styleId="Default">
    <w:name w:val="Default"/>
    <w:rsid w:val="005A1D65"/>
    <w:pPr>
      <w:autoSpaceDE w:val="0"/>
      <w:autoSpaceDN w:val="0"/>
      <w:adjustRightInd w:val="0"/>
      <w:spacing w:after="0" w:line="240" w:lineRule="auto"/>
    </w:pPr>
    <w:rPr>
      <w:rFonts w:eastAsia="Times New Roman"/>
      <w:color w:val="000000"/>
    </w:rPr>
  </w:style>
  <w:style w:type="table" w:styleId="TableGrid">
    <w:name w:val="Table Grid"/>
    <w:basedOn w:val="TableNormal"/>
    <w:uiPriority w:val="59"/>
    <w:rsid w:val="00C3558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22CF"/>
    <w:rPr>
      <w:sz w:val="16"/>
      <w:szCs w:val="16"/>
    </w:rPr>
  </w:style>
  <w:style w:type="paragraph" w:styleId="CommentText">
    <w:name w:val="annotation text"/>
    <w:basedOn w:val="Normal"/>
    <w:link w:val="CommentTextChar"/>
    <w:uiPriority w:val="99"/>
    <w:unhideWhenUsed/>
    <w:rsid w:val="00AD22CF"/>
    <w:rPr>
      <w:sz w:val="20"/>
      <w:szCs w:val="20"/>
    </w:rPr>
  </w:style>
  <w:style w:type="character" w:customStyle="1" w:styleId="CommentTextChar">
    <w:name w:val="Comment Text Char"/>
    <w:basedOn w:val="DefaultParagraphFont"/>
    <w:link w:val="CommentText"/>
    <w:uiPriority w:val="99"/>
    <w:rsid w:val="00AD22CF"/>
    <w:rPr>
      <w:sz w:val="20"/>
      <w:szCs w:val="20"/>
    </w:rPr>
  </w:style>
  <w:style w:type="paragraph" w:styleId="CommentSubject">
    <w:name w:val="annotation subject"/>
    <w:basedOn w:val="CommentText"/>
    <w:next w:val="CommentText"/>
    <w:link w:val="CommentSubjectChar"/>
    <w:uiPriority w:val="99"/>
    <w:semiHidden/>
    <w:unhideWhenUsed/>
    <w:rsid w:val="00AD22CF"/>
    <w:rPr>
      <w:b/>
      <w:bCs/>
    </w:rPr>
  </w:style>
  <w:style w:type="character" w:customStyle="1" w:styleId="CommentSubjectChar">
    <w:name w:val="Comment Subject Char"/>
    <w:basedOn w:val="CommentTextChar"/>
    <w:link w:val="CommentSubject"/>
    <w:uiPriority w:val="99"/>
    <w:semiHidden/>
    <w:rsid w:val="00AD22CF"/>
    <w:rPr>
      <w:b/>
      <w:bCs/>
      <w:sz w:val="20"/>
      <w:szCs w:val="20"/>
    </w:rPr>
  </w:style>
  <w:style w:type="paragraph" w:styleId="Revision">
    <w:name w:val="Revision"/>
    <w:hidden/>
    <w:uiPriority w:val="99"/>
    <w:semiHidden/>
    <w:rsid w:val="00AD22CF"/>
    <w:pPr>
      <w:spacing w:after="0" w:line="240" w:lineRule="auto"/>
    </w:pPr>
  </w:style>
  <w:style w:type="character" w:styleId="FollowedHyperlink">
    <w:name w:val="FollowedHyperlink"/>
    <w:basedOn w:val="DefaultParagraphFont"/>
    <w:uiPriority w:val="99"/>
    <w:semiHidden/>
    <w:unhideWhenUsed/>
    <w:rsid w:val="003A637C"/>
    <w:rPr>
      <w:color w:val="800080" w:themeColor="followedHyperlink"/>
      <w:u w:val="single"/>
    </w:rPr>
  </w:style>
  <w:style w:type="paragraph" w:customStyle="1" w:styleId="Judge">
    <w:name w:val="Judge"/>
    <w:basedOn w:val="Normal"/>
    <w:semiHidden/>
    <w:rsid w:val="00C634EA"/>
    <w:pPr>
      <w:spacing w:line="240" w:lineRule="exact"/>
      <w:jc w:val="right"/>
    </w:pPr>
    <w:rPr>
      <w:rFonts w:eastAsia="Times New Roman"/>
    </w:rPr>
  </w:style>
  <w:style w:type="paragraph" w:styleId="EndnoteText">
    <w:name w:val="endnote text"/>
    <w:basedOn w:val="Normal"/>
    <w:link w:val="EndnoteTextChar"/>
    <w:uiPriority w:val="99"/>
    <w:semiHidden/>
    <w:unhideWhenUsed/>
    <w:rsid w:val="003233FD"/>
    <w:rPr>
      <w:sz w:val="20"/>
      <w:szCs w:val="20"/>
    </w:rPr>
  </w:style>
  <w:style w:type="character" w:customStyle="1" w:styleId="EndnoteTextChar">
    <w:name w:val="Endnote Text Char"/>
    <w:basedOn w:val="DefaultParagraphFont"/>
    <w:link w:val="EndnoteText"/>
    <w:uiPriority w:val="99"/>
    <w:semiHidden/>
    <w:rsid w:val="003233FD"/>
    <w:rPr>
      <w:sz w:val="20"/>
      <w:szCs w:val="20"/>
    </w:rPr>
  </w:style>
  <w:style w:type="character" w:styleId="EndnoteReference">
    <w:name w:val="endnote reference"/>
    <w:basedOn w:val="DefaultParagraphFont"/>
    <w:uiPriority w:val="99"/>
    <w:semiHidden/>
    <w:unhideWhenUsed/>
    <w:rsid w:val="003233FD"/>
    <w:rPr>
      <w:vertAlign w:val="superscript"/>
    </w:rPr>
  </w:style>
  <w:style w:type="character" w:styleId="PlaceholderText">
    <w:name w:val="Placeholder Text"/>
    <w:basedOn w:val="DefaultParagraphFont"/>
    <w:uiPriority w:val="99"/>
    <w:semiHidden/>
    <w:rsid w:val="003F32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5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2015-02-02T23:20:30+00:00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96BDC-E352-4851-A973-94DA3A09901D}"/>
</file>

<file path=customXml/itemProps2.xml><?xml version="1.0" encoding="utf-8"?>
<ds:datastoreItem xmlns:ds="http://schemas.openxmlformats.org/officeDocument/2006/customXml" ds:itemID="{CBF6FC4D-A030-41BA-9418-45EF24F94903}"/>
</file>

<file path=customXml/itemProps3.xml><?xml version="1.0" encoding="utf-8"?>
<ds:datastoreItem xmlns:ds="http://schemas.openxmlformats.org/officeDocument/2006/customXml" ds:itemID="{D33066FA-EF68-4079-AE63-B6BD243FD2DA}"/>
</file>

<file path=customXml/itemProps4.xml><?xml version="1.0" encoding="utf-8"?>
<ds:datastoreItem xmlns:ds="http://schemas.openxmlformats.org/officeDocument/2006/customXml" ds:itemID="{1DD8868F-E443-43D8-8A9E-0EBAC52F2CF0}"/>
</file>

<file path=customXml/itemProps5.xml><?xml version="1.0" encoding="utf-8"?>
<ds:datastoreItem xmlns:ds="http://schemas.openxmlformats.org/officeDocument/2006/customXml" ds:itemID="{B6349A53-CFC5-440E-BA85-66ECA819ACED}"/>
</file>

<file path=docProps/app.xml><?xml version="1.0" encoding="utf-8"?>
<Properties xmlns="http://schemas.openxmlformats.org/officeDocument/2006/extended-properties" xmlns:vt="http://schemas.openxmlformats.org/officeDocument/2006/docPropsVTypes">
  <Template>Normal.dotm</Template>
  <TotalTime>28</TotalTime>
  <Pages>17</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August 14, 2014 Staff Supplemental Testimony</vt:lpstr>
    </vt:vector>
  </TitlesOfParts>
  <Company>Washington Utilities and Transportation Commission</Company>
  <LinksUpToDate>false</LinksUpToDate>
  <CharactersWithSpaces>17893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14, 2014 Staff Supplemental Testimony</dc:title>
  <dc:creator>Krista Gross</dc:creator>
  <cp:lastModifiedBy>Gross, Krista (UTC)</cp:lastModifiedBy>
  <cp:revision>5</cp:revision>
  <cp:lastPrinted>2015-02-02T22:13:00Z</cp:lastPrinted>
  <dcterms:created xsi:type="dcterms:W3CDTF">2015-02-02T21:53:00Z</dcterms:created>
  <dcterms:modified xsi:type="dcterms:W3CDTF">2015-02-02T22:27:00Z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