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1B404" w14:textId="77777777" w:rsidR="00735A6A" w:rsidRPr="003C035C" w:rsidRDefault="00735A6A" w:rsidP="00735A6A">
      <w:pPr>
        <w:pStyle w:val="Header"/>
        <w:spacing w:line="240" w:lineRule="exact"/>
        <w:jc w:val="center"/>
        <w:rPr>
          <w:rFonts w:ascii="Times New Roman" w:hAnsi="Times New Roman"/>
          <w:b/>
        </w:rPr>
      </w:pPr>
    </w:p>
    <w:p w14:paraId="1C83558B" w14:textId="77777777" w:rsidR="00735A6A" w:rsidRPr="003C035C" w:rsidRDefault="00735A6A" w:rsidP="00735A6A">
      <w:pPr>
        <w:pStyle w:val="Header"/>
        <w:spacing w:line="240" w:lineRule="exact"/>
        <w:jc w:val="center"/>
        <w:rPr>
          <w:rFonts w:ascii="Times New Roman" w:hAnsi="Times New Roman"/>
          <w:b/>
        </w:rPr>
      </w:pPr>
    </w:p>
    <w:p w14:paraId="448CD810" w14:textId="56D3F5A3" w:rsidR="00735A6A" w:rsidRPr="003C035C" w:rsidRDefault="00735A6A" w:rsidP="00735A6A">
      <w:pPr>
        <w:pStyle w:val="Header"/>
        <w:spacing w:line="240" w:lineRule="exact"/>
        <w:jc w:val="center"/>
        <w:rPr>
          <w:rFonts w:ascii="Times New Roman" w:hAnsi="Times New Roman"/>
          <w:b/>
        </w:rPr>
      </w:pPr>
      <w:r w:rsidRPr="003C035C">
        <w:rPr>
          <w:rFonts w:ascii="Times New Roman" w:hAnsi="Times New Roman"/>
          <w:b/>
        </w:rPr>
        <w:t>BEFORE THE</w:t>
      </w:r>
    </w:p>
    <w:p w14:paraId="127D7F40" w14:textId="6A49C151" w:rsidR="00735A6A" w:rsidRPr="003C035C" w:rsidRDefault="00735A6A" w:rsidP="00735A6A">
      <w:pPr>
        <w:pStyle w:val="Header"/>
        <w:spacing w:line="240" w:lineRule="exact"/>
        <w:jc w:val="center"/>
        <w:rPr>
          <w:rFonts w:ascii="Times New Roman" w:hAnsi="Times New Roman"/>
          <w:b/>
        </w:rPr>
      </w:pPr>
      <w:r w:rsidRPr="003C035C">
        <w:rPr>
          <w:rFonts w:ascii="Times New Roman" w:hAnsi="Times New Roman"/>
          <w:b/>
        </w:rPr>
        <w:t>WASHINGTON UTILITIES AND TRANSPORTATION COMMISSION</w:t>
      </w:r>
    </w:p>
    <w:p w14:paraId="73878121" w14:textId="77777777" w:rsidR="00735A6A" w:rsidRPr="003C035C" w:rsidRDefault="00735A6A" w:rsidP="00735A6A">
      <w:pPr>
        <w:pStyle w:val="Header"/>
        <w:spacing w:line="240" w:lineRule="exact"/>
        <w:ind w:left="360"/>
        <w:rPr>
          <w:rFonts w:ascii="Times New Roman" w:hAnsi="Times New Roman"/>
          <w:b/>
        </w:rPr>
      </w:pPr>
    </w:p>
    <w:p w14:paraId="106065E5" w14:textId="77777777" w:rsidR="00735A6A" w:rsidRPr="003C035C" w:rsidRDefault="00735A6A" w:rsidP="00735A6A">
      <w:pPr>
        <w:pStyle w:val="Header"/>
        <w:spacing w:line="240" w:lineRule="exact"/>
        <w:ind w:left="360"/>
        <w:rPr>
          <w:rFonts w:ascii="Times New Roman" w:hAnsi="Times New Roman"/>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735A6A" w:rsidRPr="003C035C" w14:paraId="4C2AF2E4" w14:textId="77777777" w:rsidTr="000A0211">
        <w:tc>
          <w:tcPr>
            <w:tcW w:w="4590" w:type="dxa"/>
            <w:tcBorders>
              <w:top w:val="single" w:sz="6" w:space="0" w:color="FFFFFF"/>
              <w:left w:val="single" w:sz="6" w:space="0" w:color="FFFFFF"/>
              <w:bottom w:val="single" w:sz="7" w:space="0" w:color="000000"/>
              <w:right w:val="single" w:sz="6" w:space="0" w:color="FFFFFF"/>
            </w:tcBorders>
          </w:tcPr>
          <w:p w14:paraId="3071C8BF" w14:textId="77777777" w:rsidR="00735A6A" w:rsidRPr="003C035C" w:rsidRDefault="00735A6A" w:rsidP="00735A6A">
            <w:pPr>
              <w:pStyle w:val="Header"/>
              <w:tabs>
                <w:tab w:val="left" w:pos="681"/>
                <w:tab w:val="left" w:pos="1401"/>
              </w:tabs>
              <w:spacing w:line="240" w:lineRule="exact"/>
              <w:rPr>
                <w:rFonts w:ascii="Times New Roman" w:hAnsi="Times New Roman"/>
                <w:b/>
              </w:rPr>
            </w:pPr>
            <w:r w:rsidRPr="003C035C">
              <w:rPr>
                <w:rFonts w:ascii="Times New Roman" w:hAnsi="Times New Roman"/>
                <w:b/>
              </w:rPr>
              <w:t>WASHINGTON UTILITIES AND TRANSPORTATION COMMISSION,</w:t>
            </w:r>
          </w:p>
          <w:p w14:paraId="182F27AC" w14:textId="77777777" w:rsidR="00735A6A" w:rsidRPr="003C035C" w:rsidRDefault="00735A6A" w:rsidP="00735A6A">
            <w:pPr>
              <w:pStyle w:val="Header"/>
              <w:tabs>
                <w:tab w:val="left" w:pos="681"/>
                <w:tab w:val="left" w:pos="1401"/>
              </w:tabs>
              <w:spacing w:line="240" w:lineRule="exact"/>
              <w:rPr>
                <w:rFonts w:ascii="Times New Roman" w:hAnsi="Times New Roman"/>
                <w:b/>
              </w:rPr>
            </w:pPr>
          </w:p>
          <w:p w14:paraId="6411B49E" w14:textId="77777777" w:rsidR="00735A6A" w:rsidRPr="003C035C" w:rsidRDefault="00735A6A" w:rsidP="00735A6A">
            <w:pPr>
              <w:pStyle w:val="Header"/>
              <w:tabs>
                <w:tab w:val="left" w:pos="681"/>
                <w:tab w:val="left" w:pos="1401"/>
              </w:tabs>
              <w:spacing w:line="240" w:lineRule="exact"/>
              <w:rPr>
                <w:rFonts w:ascii="Times New Roman" w:hAnsi="Times New Roman"/>
                <w:b/>
              </w:rPr>
            </w:pPr>
            <w:r w:rsidRPr="003C035C">
              <w:rPr>
                <w:rFonts w:ascii="Times New Roman" w:hAnsi="Times New Roman"/>
                <w:b/>
              </w:rPr>
              <w:tab/>
            </w:r>
            <w:r w:rsidRPr="003C035C">
              <w:rPr>
                <w:rFonts w:ascii="Times New Roman" w:hAnsi="Times New Roman"/>
                <w:b/>
              </w:rPr>
              <w:tab/>
              <w:t>Complainant,</w:t>
            </w:r>
          </w:p>
          <w:p w14:paraId="164B0803" w14:textId="77777777" w:rsidR="00735A6A" w:rsidRPr="003C035C" w:rsidRDefault="00735A6A" w:rsidP="00735A6A">
            <w:pPr>
              <w:pStyle w:val="Header"/>
              <w:tabs>
                <w:tab w:val="left" w:pos="681"/>
                <w:tab w:val="left" w:pos="1401"/>
              </w:tabs>
              <w:spacing w:line="240" w:lineRule="exact"/>
              <w:rPr>
                <w:rFonts w:ascii="Times New Roman" w:hAnsi="Times New Roman"/>
                <w:b/>
              </w:rPr>
            </w:pPr>
          </w:p>
          <w:p w14:paraId="577F232B" w14:textId="77777777" w:rsidR="00735A6A" w:rsidRPr="003C035C" w:rsidRDefault="00735A6A" w:rsidP="00735A6A">
            <w:pPr>
              <w:pStyle w:val="Header"/>
              <w:tabs>
                <w:tab w:val="left" w:pos="681"/>
                <w:tab w:val="left" w:pos="1401"/>
              </w:tabs>
              <w:spacing w:line="240" w:lineRule="exact"/>
              <w:rPr>
                <w:rFonts w:ascii="Times New Roman" w:hAnsi="Times New Roman"/>
                <w:b/>
              </w:rPr>
            </w:pPr>
            <w:r w:rsidRPr="003C035C">
              <w:rPr>
                <w:rFonts w:ascii="Times New Roman" w:hAnsi="Times New Roman"/>
                <w:b/>
              </w:rPr>
              <w:t>v.</w:t>
            </w:r>
          </w:p>
          <w:p w14:paraId="43751EC8" w14:textId="77777777" w:rsidR="00735A6A" w:rsidRPr="003C035C" w:rsidRDefault="00735A6A" w:rsidP="00735A6A">
            <w:pPr>
              <w:pStyle w:val="Header"/>
              <w:tabs>
                <w:tab w:val="left" w:pos="681"/>
                <w:tab w:val="left" w:pos="1401"/>
              </w:tabs>
              <w:spacing w:line="240" w:lineRule="exact"/>
              <w:rPr>
                <w:rFonts w:ascii="Times New Roman" w:hAnsi="Times New Roman"/>
                <w:b/>
              </w:rPr>
            </w:pPr>
          </w:p>
          <w:p w14:paraId="7F2AC9A6" w14:textId="46DB521F" w:rsidR="00735A6A" w:rsidRPr="003C035C" w:rsidRDefault="00554C0A" w:rsidP="00735A6A">
            <w:pPr>
              <w:pStyle w:val="Header"/>
              <w:tabs>
                <w:tab w:val="left" w:pos="681"/>
                <w:tab w:val="left" w:pos="1401"/>
              </w:tabs>
              <w:spacing w:line="240" w:lineRule="exact"/>
              <w:rPr>
                <w:rFonts w:ascii="Times New Roman" w:hAnsi="Times New Roman"/>
                <w:b/>
              </w:rPr>
            </w:pPr>
            <w:r>
              <w:rPr>
                <w:rFonts w:ascii="Times New Roman" w:hAnsi="Times New Roman"/>
                <w:b/>
              </w:rPr>
              <w:t>BEST MOVING AND DELIVERY,</w:t>
            </w:r>
          </w:p>
          <w:p w14:paraId="2786F432" w14:textId="77777777" w:rsidR="00735A6A" w:rsidRPr="003C035C" w:rsidRDefault="00735A6A" w:rsidP="00735A6A">
            <w:pPr>
              <w:pStyle w:val="Header"/>
              <w:tabs>
                <w:tab w:val="left" w:pos="681"/>
                <w:tab w:val="left" w:pos="1401"/>
              </w:tabs>
              <w:spacing w:line="240" w:lineRule="exact"/>
              <w:rPr>
                <w:rFonts w:ascii="Times New Roman" w:hAnsi="Times New Roman"/>
                <w:b/>
              </w:rPr>
            </w:pPr>
          </w:p>
          <w:p w14:paraId="7F52E49F" w14:textId="77777777" w:rsidR="00735A6A" w:rsidRPr="003C035C" w:rsidRDefault="00735A6A" w:rsidP="00735A6A">
            <w:pPr>
              <w:pStyle w:val="Header"/>
              <w:tabs>
                <w:tab w:val="left" w:pos="681"/>
                <w:tab w:val="left" w:pos="1401"/>
              </w:tabs>
              <w:spacing w:line="240" w:lineRule="exact"/>
              <w:rPr>
                <w:rFonts w:ascii="Times New Roman" w:hAnsi="Times New Roman"/>
                <w:b/>
              </w:rPr>
            </w:pPr>
            <w:r w:rsidRPr="003C035C">
              <w:rPr>
                <w:rFonts w:ascii="Times New Roman" w:hAnsi="Times New Roman"/>
                <w:b/>
              </w:rPr>
              <w:tab/>
            </w:r>
            <w:r w:rsidRPr="003C035C">
              <w:rPr>
                <w:rFonts w:ascii="Times New Roman" w:hAnsi="Times New Roman"/>
                <w:b/>
              </w:rPr>
              <w:tab/>
              <w:t>Respondent.</w:t>
            </w:r>
          </w:p>
          <w:p w14:paraId="2A19AC63" w14:textId="77777777" w:rsidR="00735A6A" w:rsidRPr="003C035C" w:rsidRDefault="00735A6A" w:rsidP="00735A6A">
            <w:pPr>
              <w:pStyle w:val="Header"/>
              <w:tabs>
                <w:tab w:val="left" w:pos="681"/>
                <w:tab w:val="left" w:pos="1401"/>
              </w:tabs>
              <w:spacing w:line="240" w:lineRule="exact"/>
              <w:rPr>
                <w:rFonts w:ascii="Times New Roman" w:hAnsi="Times New Roman"/>
                <w:b/>
              </w:rPr>
            </w:pPr>
          </w:p>
        </w:tc>
        <w:tc>
          <w:tcPr>
            <w:tcW w:w="4590" w:type="dxa"/>
            <w:tcBorders>
              <w:top w:val="single" w:sz="6" w:space="0" w:color="FFFFFF"/>
              <w:left w:val="single" w:sz="7" w:space="0" w:color="000000"/>
              <w:bottom w:val="single" w:sz="6" w:space="0" w:color="FFFFFF"/>
              <w:right w:val="single" w:sz="6" w:space="0" w:color="FFFFFF"/>
            </w:tcBorders>
          </w:tcPr>
          <w:p w14:paraId="35F718EC" w14:textId="7D6E30F3" w:rsidR="00735A6A" w:rsidRPr="003C035C" w:rsidRDefault="00367717" w:rsidP="00735A6A">
            <w:pPr>
              <w:pStyle w:val="Header"/>
              <w:spacing w:line="240" w:lineRule="exact"/>
              <w:ind w:left="416"/>
              <w:rPr>
                <w:rFonts w:ascii="Times New Roman" w:hAnsi="Times New Roman"/>
                <w:b/>
              </w:rPr>
            </w:pPr>
            <w:r>
              <w:rPr>
                <w:rFonts w:ascii="Times New Roman" w:hAnsi="Times New Roman"/>
                <w:b/>
              </w:rPr>
              <w:t>DOCKET TV</w:t>
            </w:r>
            <w:r w:rsidR="00735A6A" w:rsidRPr="003C035C">
              <w:rPr>
                <w:rFonts w:ascii="Times New Roman" w:hAnsi="Times New Roman"/>
                <w:b/>
              </w:rPr>
              <w:t>-1</w:t>
            </w:r>
            <w:r w:rsidR="00554C0A">
              <w:rPr>
                <w:rFonts w:ascii="Times New Roman" w:hAnsi="Times New Roman"/>
                <w:b/>
              </w:rPr>
              <w:t>32030</w:t>
            </w:r>
          </w:p>
          <w:p w14:paraId="6383F019" w14:textId="77777777" w:rsidR="00735A6A" w:rsidRPr="003C035C" w:rsidRDefault="00735A6A" w:rsidP="00735A6A">
            <w:pPr>
              <w:pStyle w:val="Header"/>
              <w:spacing w:line="240" w:lineRule="exact"/>
              <w:ind w:left="416"/>
              <w:rPr>
                <w:rFonts w:ascii="Times New Roman" w:hAnsi="Times New Roman"/>
                <w:b/>
              </w:rPr>
            </w:pPr>
          </w:p>
          <w:p w14:paraId="01E51388" w14:textId="77777777" w:rsidR="00735A6A" w:rsidRPr="003C035C" w:rsidRDefault="00735A6A" w:rsidP="00735A6A">
            <w:pPr>
              <w:pStyle w:val="BodyTextIndent2"/>
              <w:spacing w:line="240" w:lineRule="exact"/>
              <w:ind w:left="416"/>
              <w:rPr>
                <w:rFonts w:ascii="Times New Roman" w:hAnsi="Times New Roman"/>
                <w:b/>
              </w:rPr>
            </w:pPr>
          </w:p>
        </w:tc>
      </w:tr>
    </w:tbl>
    <w:p w14:paraId="26B4EE4C" w14:textId="77777777" w:rsidR="00735A6A" w:rsidRPr="003C035C" w:rsidRDefault="00735A6A" w:rsidP="00735A6A">
      <w:pPr>
        <w:pStyle w:val="Header"/>
        <w:rPr>
          <w:rFonts w:ascii="Times New Roman" w:hAnsi="Times New Roman"/>
          <w:b/>
        </w:rPr>
      </w:pPr>
    </w:p>
    <w:p w14:paraId="210D5CB4" w14:textId="77777777" w:rsidR="00735A6A" w:rsidRPr="003C035C" w:rsidRDefault="00735A6A" w:rsidP="00735A6A">
      <w:pPr>
        <w:pStyle w:val="Header"/>
        <w:rPr>
          <w:rFonts w:ascii="Times New Roman" w:hAnsi="Times New Roman"/>
          <w:b/>
        </w:rPr>
      </w:pPr>
    </w:p>
    <w:p w14:paraId="18AA3185" w14:textId="77777777" w:rsidR="00735A6A" w:rsidRDefault="00735A6A" w:rsidP="00735A6A">
      <w:pPr>
        <w:pStyle w:val="Header"/>
        <w:rPr>
          <w:rFonts w:ascii="Times New Roman" w:hAnsi="Times New Roman"/>
        </w:rPr>
      </w:pPr>
    </w:p>
    <w:p w14:paraId="543A83C5" w14:textId="77777777" w:rsidR="00735A6A" w:rsidRDefault="00735A6A" w:rsidP="00735A6A">
      <w:pPr>
        <w:pStyle w:val="Header"/>
        <w:rPr>
          <w:rFonts w:ascii="Times New Roman" w:hAnsi="Times New Roman"/>
        </w:rPr>
      </w:pPr>
    </w:p>
    <w:p w14:paraId="63DE0F34" w14:textId="77777777" w:rsidR="00735A6A" w:rsidRDefault="00735A6A" w:rsidP="00735A6A">
      <w:pPr>
        <w:pStyle w:val="Header"/>
        <w:rPr>
          <w:rFonts w:ascii="Times New Roman" w:hAnsi="Times New Roman"/>
        </w:rPr>
      </w:pPr>
    </w:p>
    <w:p w14:paraId="6D67FEBF" w14:textId="77777777" w:rsidR="00735A6A" w:rsidRDefault="00735A6A" w:rsidP="00735A6A">
      <w:pPr>
        <w:pStyle w:val="Header"/>
        <w:rPr>
          <w:rFonts w:ascii="Times New Roman" w:hAnsi="Times New Roman"/>
        </w:rPr>
      </w:pPr>
    </w:p>
    <w:p w14:paraId="49A4C8BE" w14:textId="77777777" w:rsidR="00735A6A" w:rsidRDefault="00735A6A" w:rsidP="00735A6A">
      <w:pPr>
        <w:pStyle w:val="Header"/>
        <w:rPr>
          <w:rFonts w:ascii="Times New Roman" w:hAnsi="Times New Roman"/>
        </w:rPr>
      </w:pPr>
    </w:p>
    <w:p w14:paraId="51B5F578" w14:textId="77777777" w:rsidR="00735A6A" w:rsidRDefault="00735A6A" w:rsidP="00735A6A">
      <w:pPr>
        <w:pStyle w:val="Header"/>
        <w:rPr>
          <w:rFonts w:ascii="Times New Roman" w:hAnsi="Times New Roman"/>
        </w:rPr>
      </w:pPr>
    </w:p>
    <w:p w14:paraId="1D49E38C" w14:textId="72C2D626" w:rsidR="000A0211" w:rsidRPr="000A0211" w:rsidRDefault="00B9636D" w:rsidP="000A0211">
      <w:pPr>
        <w:spacing w:after="0" w:line="240" w:lineRule="auto"/>
        <w:jc w:val="center"/>
        <w:rPr>
          <w:rFonts w:eastAsia="Times New Roman" w:cs="Times New Roman"/>
          <w:b/>
          <w:bCs/>
          <w:szCs w:val="24"/>
        </w:rPr>
      </w:pPr>
      <w:r>
        <w:rPr>
          <w:rFonts w:eastAsia="Times New Roman" w:cs="Times New Roman"/>
          <w:b/>
          <w:bCs/>
          <w:szCs w:val="24"/>
        </w:rPr>
        <w:t>BRIEF ON BEHALF OF COMMISSION STAFF</w:t>
      </w:r>
    </w:p>
    <w:p w14:paraId="36AB20B1" w14:textId="77777777" w:rsidR="000A0211" w:rsidRPr="000A0211" w:rsidRDefault="000A0211" w:rsidP="000A0211">
      <w:pPr>
        <w:spacing w:after="0" w:line="240" w:lineRule="auto"/>
        <w:rPr>
          <w:rFonts w:eastAsia="Times New Roman" w:cs="Times New Roman"/>
          <w:b/>
          <w:bCs/>
          <w:szCs w:val="24"/>
        </w:rPr>
      </w:pPr>
    </w:p>
    <w:p w14:paraId="5E11EDEE" w14:textId="77777777" w:rsidR="000A0211" w:rsidRDefault="000A0211" w:rsidP="000A0211">
      <w:pPr>
        <w:spacing w:after="0" w:line="240" w:lineRule="auto"/>
        <w:rPr>
          <w:rFonts w:eastAsia="Times New Roman" w:cs="Times New Roman"/>
          <w:b/>
          <w:bCs/>
          <w:szCs w:val="24"/>
        </w:rPr>
      </w:pPr>
    </w:p>
    <w:p w14:paraId="08436B21" w14:textId="77777777" w:rsidR="000A0211" w:rsidRDefault="000A0211" w:rsidP="000A0211">
      <w:pPr>
        <w:spacing w:after="0" w:line="240" w:lineRule="auto"/>
        <w:rPr>
          <w:rFonts w:eastAsia="Times New Roman" w:cs="Times New Roman"/>
          <w:b/>
          <w:bCs/>
          <w:szCs w:val="24"/>
        </w:rPr>
      </w:pPr>
    </w:p>
    <w:p w14:paraId="1D7194A7" w14:textId="77777777" w:rsidR="000A0211" w:rsidRPr="000A0211" w:rsidRDefault="000A0211" w:rsidP="000A0211">
      <w:pPr>
        <w:spacing w:after="0" w:line="240" w:lineRule="auto"/>
        <w:rPr>
          <w:rFonts w:eastAsia="Times New Roman" w:cs="Times New Roman"/>
          <w:b/>
          <w:bCs/>
          <w:szCs w:val="24"/>
        </w:rPr>
      </w:pPr>
    </w:p>
    <w:p w14:paraId="6DD60A22" w14:textId="007CBEA8" w:rsidR="00B9636D" w:rsidRPr="000A0211" w:rsidRDefault="00B9636D" w:rsidP="00B9636D">
      <w:pPr>
        <w:spacing w:after="0" w:line="240" w:lineRule="auto"/>
        <w:ind w:left="3600" w:firstLine="720"/>
        <w:rPr>
          <w:rFonts w:eastAsia="Times New Roman" w:cs="Times New Roman"/>
          <w:b/>
          <w:bCs/>
          <w:szCs w:val="24"/>
        </w:rPr>
      </w:pPr>
      <w:r>
        <w:rPr>
          <w:rFonts w:eastAsia="Times New Roman" w:cs="Times New Roman"/>
          <w:b/>
          <w:bCs/>
          <w:szCs w:val="24"/>
        </w:rPr>
        <w:t>MARCH 16, 2015</w:t>
      </w:r>
    </w:p>
    <w:p w14:paraId="474FA0B4" w14:textId="77777777" w:rsidR="00B9636D" w:rsidRDefault="00B9636D" w:rsidP="00B9636D">
      <w:pPr>
        <w:spacing w:after="0" w:line="240" w:lineRule="auto"/>
        <w:rPr>
          <w:rFonts w:eastAsia="Times New Roman" w:cs="Times New Roman"/>
          <w:b/>
          <w:bCs/>
          <w:szCs w:val="24"/>
        </w:rPr>
      </w:pPr>
    </w:p>
    <w:p w14:paraId="54D4F806" w14:textId="77777777" w:rsidR="00B9636D" w:rsidRPr="000A0211" w:rsidRDefault="00B9636D" w:rsidP="00B9636D">
      <w:pPr>
        <w:spacing w:after="0" w:line="240" w:lineRule="auto"/>
        <w:rPr>
          <w:rFonts w:eastAsia="Times New Roman" w:cs="Times New Roman"/>
          <w:b/>
          <w:bCs/>
          <w:szCs w:val="24"/>
        </w:rPr>
      </w:pPr>
    </w:p>
    <w:p w14:paraId="093BE7D5" w14:textId="77777777" w:rsidR="00B9636D" w:rsidRPr="000A0211" w:rsidRDefault="00B9636D" w:rsidP="00B9636D">
      <w:pPr>
        <w:spacing w:after="0" w:line="240" w:lineRule="auto"/>
        <w:rPr>
          <w:rFonts w:eastAsia="Times New Roman" w:cs="Times New Roman"/>
          <w:b/>
          <w:bCs/>
          <w:szCs w:val="24"/>
        </w:rPr>
      </w:pP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t>ROBERT W. FERGUSON</w:t>
      </w:r>
    </w:p>
    <w:p w14:paraId="5A398E33" w14:textId="77777777" w:rsidR="00B9636D" w:rsidRPr="000A0211" w:rsidRDefault="00B9636D" w:rsidP="00B9636D">
      <w:pPr>
        <w:spacing w:after="0" w:line="240" w:lineRule="auto"/>
        <w:rPr>
          <w:rFonts w:eastAsia="Times New Roman" w:cs="Times New Roman"/>
          <w:b/>
          <w:bCs/>
          <w:szCs w:val="24"/>
        </w:rPr>
      </w:pP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t xml:space="preserve">Attorney General </w:t>
      </w:r>
    </w:p>
    <w:p w14:paraId="6D1120BA" w14:textId="77777777" w:rsidR="00B9636D" w:rsidRPr="000A0211" w:rsidRDefault="00B9636D" w:rsidP="00B9636D">
      <w:pPr>
        <w:spacing w:after="0" w:line="240" w:lineRule="auto"/>
        <w:rPr>
          <w:rFonts w:eastAsia="Times New Roman" w:cs="Times New Roman"/>
          <w:b/>
          <w:bCs/>
          <w:szCs w:val="24"/>
        </w:rPr>
      </w:pPr>
    </w:p>
    <w:p w14:paraId="4521767B" w14:textId="77777777" w:rsidR="00B9636D" w:rsidRPr="000A0211" w:rsidRDefault="00B9636D" w:rsidP="00B9636D">
      <w:pPr>
        <w:spacing w:after="0" w:line="240" w:lineRule="auto"/>
        <w:rPr>
          <w:rFonts w:eastAsia="Times New Roman" w:cs="Times New Roman"/>
          <w:b/>
          <w:szCs w:val="24"/>
        </w:rPr>
      </w:pP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sidRPr="000A0211">
        <w:rPr>
          <w:rFonts w:eastAsia="Times New Roman" w:cs="Times New Roman"/>
          <w:b/>
          <w:bCs/>
          <w:szCs w:val="24"/>
        </w:rPr>
        <w:tab/>
      </w:r>
      <w:r>
        <w:rPr>
          <w:rFonts w:eastAsia="Times New Roman" w:cs="Times New Roman"/>
          <w:b/>
          <w:bCs/>
          <w:szCs w:val="24"/>
        </w:rPr>
        <w:t xml:space="preserve">BRETT P. SHEARER </w:t>
      </w:r>
    </w:p>
    <w:p w14:paraId="2FCB30B7" w14:textId="77777777" w:rsidR="00B9636D" w:rsidRPr="000A0211" w:rsidRDefault="00B9636D" w:rsidP="00B9636D">
      <w:pPr>
        <w:spacing w:after="0" w:line="240" w:lineRule="auto"/>
        <w:rPr>
          <w:rFonts w:eastAsia="Times New Roman" w:cs="Times New Roman"/>
          <w:b/>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t xml:space="preserve">Assistant Attorney General </w:t>
      </w:r>
    </w:p>
    <w:p w14:paraId="2118A2C4" w14:textId="77777777" w:rsidR="00B9636D" w:rsidRPr="000A0211" w:rsidRDefault="00B9636D" w:rsidP="00B9636D">
      <w:pPr>
        <w:spacing w:after="0" w:line="240" w:lineRule="auto"/>
        <w:rPr>
          <w:rFonts w:eastAsia="Times New Roman" w:cs="Times New Roman"/>
          <w:b/>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t xml:space="preserve">Office of the Attorney General </w:t>
      </w:r>
    </w:p>
    <w:p w14:paraId="4928FB37" w14:textId="77777777" w:rsidR="00B9636D" w:rsidRPr="000A0211" w:rsidRDefault="00B9636D" w:rsidP="00B9636D">
      <w:pPr>
        <w:spacing w:after="0" w:line="240" w:lineRule="auto"/>
        <w:rPr>
          <w:rFonts w:eastAsia="Times New Roman" w:cs="Times New Roman"/>
          <w:b/>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t>Utilities &amp; Transportation Division</w:t>
      </w:r>
    </w:p>
    <w:p w14:paraId="443A47CB" w14:textId="77777777" w:rsidR="00B9636D" w:rsidRPr="000A0211" w:rsidRDefault="00B9636D" w:rsidP="00B9636D">
      <w:pPr>
        <w:spacing w:after="0" w:line="240" w:lineRule="auto"/>
        <w:rPr>
          <w:rFonts w:eastAsia="Times New Roman" w:cs="Times New Roman"/>
          <w:b/>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t xml:space="preserve"> </w:t>
      </w:r>
    </w:p>
    <w:p w14:paraId="0AE11649" w14:textId="77777777" w:rsidR="00B9636D" w:rsidRPr="000A0211" w:rsidRDefault="00B9636D" w:rsidP="00B9636D">
      <w:pPr>
        <w:spacing w:after="0" w:line="240" w:lineRule="auto"/>
        <w:rPr>
          <w:rFonts w:eastAsia="Times New Roman" w:cs="Times New Roman"/>
          <w:b/>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t>1400 S Evergreen Park Drive S.W.</w:t>
      </w:r>
    </w:p>
    <w:p w14:paraId="78209255" w14:textId="77777777" w:rsidR="00B9636D" w:rsidRPr="000A0211" w:rsidRDefault="00B9636D" w:rsidP="00B9636D">
      <w:pPr>
        <w:spacing w:after="0" w:line="240" w:lineRule="auto"/>
        <w:rPr>
          <w:rFonts w:eastAsia="Times New Roman" w:cs="Times New Roman"/>
          <w:b/>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A0211">
                <w:rPr>
                  <w:rFonts w:eastAsia="Times New Roman" w:cs="Times New Roman"/>
                  <w:b/>
                  <w:szCs w:val="24"/>
                </w:rPr>
                <w:t>P.O. Box</w:t>
              </w:r>
            </w:smartTag>
          </w:smartTag>
          <w:r w:rsidRPr="000A0211">
            <w:rPr>
              <w:rFonts w:eastAsia="Times New Roman" w:cs="Times New Roman"/>
              <w:b/>
              <w:szCs w:val="24"/>
            </w:rPr>
            <w:t xml:space="preserve"> 40128</w:t>
          </w:r>
        </w:smartTag>
      </w:smartTag>
    </w:p>
    <w:p w14:paraId="149AC057" w14:textId="77777777" w:rsidR="00B9636D" w:rsidRPr="000A0211" w:rsidRDefault="00B9636D" w:rsidP="00B9636D">
      <w:pPr>
        <w:spacing w:after="0" w:line="240" w:lineRule="auto"/>
        <w:rPr>
          <w:rFonts w:eastAsia="Times New Roman" w:cs="Times New Roman"/>
          <w:b/>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smartTag w:uri="urn:schemas-microsoft-com:office:smarttags" w:element="City">
        <w:smartTag w:uri="urn:schemas-microsoft-com:office:smarttags" w:element="place">
          <w:r w:rsidRPr="000A0211">
            <w:rPr>
              <w:rFonts w:eastAsia="Times New Roman" w:cs="Times New Roman"/>
              <w:b/>
              <w:szCs w:val="24"/>
            </w:rPr>
            <w:t>Olympia</w:t>
          </w:r>
        </w:smartTag>
        <w:r w:rsidRPr="000A0211">
          <w:rPr>
            <w:rFonts w:eastAsia="Times New Roman" w:cs="Times New Roman"/>
            <w:b/>
            <w:szCs w:val="24"/>
          </w:rPr>
          <w:t xml:space="preserve">, </w:t>
        </w:r>
        <w:smartTag w:uri="urn:schemas-microsoft-com:office:smarttags" w:element="PostalCode">
          <w:smartTag w:uri="urn:schemas-microsoft-com:office:smarttags" w:element="State">
            <w:r w:rsidRPr="000A0211">
              <w:rPr>
                <w:rFonts w:eastAsia="Times New Roman" w:cs="Times New Roman"/>
                <w:b/>
                <w:szCs w:val="24"/>
              </w:rPr>
              <w:t>WA</w:t>
            </w:r>
          </w:smartTag>
        </w:smartTag>
        <w:r w:rsidRPr="000A0211">
          <w:rPr>
            <w:rFonts w:eastAsia="Times New Roman" w:cs="Times New Roman"/>
            <w:b/>
            <w:szCs w:val="24"/>
          </w:rPr>
          <w:t xml:space="preserve">  </w:t>
        </w:r>
        <w:smartTag w:uri="urn:schemas-microsoft-com:office:smarttags" w:element="PostalCode">
          <w:r w:rsidRPr="000A0211">
            <w:rPr>
              <w:rFonts w:eastAsia="Times New Roman" w:cs="Times New Roman"/>
              <w:b/>
              <w:szCs w:val="24"/>
            </w:rPr>
            <w:t>98504-0128</w:t>
          </w:r>
        </w:smartTag>
      </w:smartTag>
      <w:r w:rsidRPr="000A0211">
        <w:rPr>
          <w:rFonts w:eastAsia="Times New Roman" w:cs="Times New Roman"/>
          <w:b/>
          <w:szCs w:val="24"/>
        </w:rPr>
        <w:t xml:space="preserve"> </w:t>
      </w:r>
    </w:p>
    <w:p w14:paraId="0FD18E05" w14:textId="77777777" w:rsidR="00B9636D" w:rsidRPr="000A0211" w:rsidRDefault="00B9636D" w:rsidP="00B9636D">
      <w:pPr>
        <w:spacing w:after="0" w:line="240" w:lineRule="auto"/>
        <w:rPr>
          <w:rFonts w:eastAsia="Times New Roman" w:cs="Times New Roman"/>
          <w:b/>
          <w:bCs/>
          <w:szCs w:val="24"/>
        </w:rPr>
      </w:pP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r>
      <w:r w:rsidRPr="000A0211">
        <w:rPr>
          <w:rFonts w:eastAsia="Times New Roman" w:cs="Times New Roman"/>
          <w:b/>
          <w:szCs w:val="24"/>
        </w:rPr>
        <w:tab/>
        <w:t>(360) 664-</w:t>
      </w:r>
      <w:r>
        <w:rPr>
          <w:rFonts w:eastAsia="Times New Roman" w:cs="Times New Roman"/>
          <w:b/>
          <w:szCs w:val="24"/>
        </w:rPr>
        <w:t>1187</w:t>
      </w:r>
    </w:p>
    <w:p w14:paraId="39B0B8D4" w14:textId="77777777" w:rsidR="000A0211" w:rsidRPr="000A0211" w:rsidRDefault="000A0211" w:rsidP="000A0211">
      <w:pPr>
        <w:spacing w:after="0" w:line="240" w:lineRule="auto"/>
        <w:rPr>
          <w:rFonts w:eastAsia="Times New Roman" w:cs="Times New Roman"/>
          <w:szCs w:val="24"/>
        </w:rPr>
      </w:pPr>
    </w:p>
    <w:p w14:paraId="06269F72" w14:textId="77777777" w:rsidR="00735A6A" w:rsidRDefault="00735A6A" w:rsidP="00735A6A">
      <w:pPr>
        <w:rPr>
          <w:rFonts w:cs="Times New Roman"/>
        </w:rPr>
      </w:pPr>
    </w:p>
    <w:p w14:paraId="44130E3E" w14:textId="77777777" w:rsidR="00735A6A" w:rsidRDefault="00735A6A" w:rsidP="00735A6A">
      <w:pPr>
        <w:rPr>
          <w:rFonts w:cs="Times New Roman"/>
        </w:rPr>
        <w:sectPr w:rsidR="00735A6A" w:rsidSect="00C82D79">
          <w:footerReference w:type="default" r:id="rId11"/>
          <w:pgSz w:w="12240" w:h="15840"/>
          <w:pgMar w:top="1440" w:right="1440" w:bottom="1440" w:left="1584" w:header="720" w:footer="720" w:gutter="0"/>
          <w:cols w:space="720"/>
          <w:titlePg/>
          <w:docGrid w:linePitch="360"/>
        </w:sectPr>
      </w:pPr>
    </w:p>
    <w:p w14:paraId="10C287AB" w14:textId="77777777" w:rsidR="00B9636D" w:rsidRDefault="00B9636D" w:rsidP="00B9636D">
      <w:pPr>
        <w:pStyle w:val="ListParagraph"/>
        <w:tabs>
          <w:tab w:val="left" w:pos="720"/>
          <w:tab w:val="left" w:pos="1440"/>
          <w:tab w:val="left" w:pos="2160"/>
          <w:tab w:val="left" w:leader="dot" w:pos="9187"/>
        </w:tabs>
        <w:spacing w:after="0" w:line="480" w:lineRule="auto"/>
        <w:ind w:left="0"/>
        <w:jc w:val="center"/>
        <w:rPr>
          <w:rFonts w:cs="Times New Roman"/>
          <w:b/>
          <w:szCs w:val="24"/>
        </w:rPr>
      </w:pPr>
      <w:r>
        <w:rPr>
          <w:rFonts w:cs="Times New Roman"/>
          <w:b/>
          <w:szCs w:val="24"/>
        </w:rPr>
        <w:lastRenderedPageBreak/>
        <w:t>TABLE OF CONTENTS</w:t>
      </w:r>
    </w:p>
    <w:p w14:paraId="11DB542F" w14:textId="77777777" w:rsidR="00B9636D" w:rsidRDefault="00B9636D" w:rsidP="00B9636D">
      <w:pPr>
        <w:pStyle w:val="ListParagraph"/>
        <w:tabs>
          <w:tab w:val="left" w:pos="720"/>
          <w:tab w:val="left" w:pos="1440"/>
          <w:tab w:val="left" w:pos="2160"/>
          <w:tab w:val="left" w:leader="dot" w:pos="9187"/>
        </w:tabs>
        <w:spacing w:after="0" w:line="480" w:lineRule="auto"/>
        <w:ind w:left="0"/>
        <w:jc w:val="center"/>
        <w:rPr>
          <w:rFonts w:cs="Times New Roman"/>
          <w:szCs w:val="24"/>
        </w:rPr>
      </w:pPr>
    </w:p>
    <w:p w14:paraId="6C7AD3F9" w14:textId="7C95F021" w:rsidR="00B9636D" w:rsidRPr="00EB2A9F" w:rsidRDefault="00B9636D" w:rsidP="00EB2A9F">
      <w:pPr>
        <w:pStyle w:val="ListParagraph"/>
        <w:numPr>
          <w:ilvl w:val="0"/>
          <w:numId w:val="17"/>
        </w:numPr>
        <w:tabs>
          <w:tab w:val="left" w:pos="720"/>
          <w:tab w:val="left" w:pos="1440"/>
          <w:tab w:val="right" w:leader="dot" w:pos="9000"/>
        </w:tabs>
        <w:spacing w:after="0" w:line="480" w:lineRule="auto"/>
        <w:ind w:left="0" w:firstLine="0"/>
        <w:rPr>
          <w:rFonts w:cs="Times New Roman"/>
          <w:szCs w:val="24"/>
        </w:rPr>
      </w:pPr>
      <w:r w:rsidRPr="007E34CD">
        <w:rPr>
          <w:rFonts w:cs="Times New Roman"/>
          <w:szCs w:val="24"/>
        </w:rPr>
        <w:t>Introduction</w:t>
      </w:r>
      <w:r w:rsidR="00EB2A9F">
        <w:rPr>
          <w:rFonts w:cs="Times New Roman"/>
          <w:szCs w:val="24"/>
        </w:rPr>
        <w:t xml:space="preserve"> and Background</w:t>
      </w:r>
      <w:r w:rsidRPr="007E34CD">
        <w:rPr>
          <w:rFonts w:cs="Times New Roman"/>
          <w:szCs w:val="24"/>
        </w:rPr>
        <w:tab/>
        <w:t>1</w:t>
      </w:r>
    </w:p>
    <w:p w14:paraId="3F22E620" w14:textId="45D6FA33" w:rsidR="00B9636D" w:rsidRPr="007E34CD" w:rsidRDefault="00EB2A9F" w:rsidP="00B9636D">
      <w:pPr>
        <w:pStyle w:val="ListParagraph"/>
        <w:numPr>
          <w:ilvl w:val="0"/>
          <w:numId w:val="17"/>
        </w:numPr>
        <w:tabs>
          <w:tab w:val="left" w:pos="720"/>
          <w:tab w:val="left" w:pos="1440"/>
          <w:tab w:val="left" w:pos="2160"/>
          <w:tab w:val="left" w:pos="2880"/>
          <w:tab w:val="left" w:pos="3600"/>
          <w:tab w:val="right" w:leader="dot" w:pos="9000"/>
        </w:tabs>
        <w:spacing w:after="0" w:line="480" w:lineRule="auto"/>
        <w:ind w:left="0" w:firstLine="0"/>
        <w:rPr>
          <w:rFonts w:cs="Times New Roman"/>
          <w:szCs w:val="24"/>
        </w:rPr>
      </w:pPr>
      <w:r>
        <w:rPr>
          <w:rFonts w:cs="Times New Roman"/>
          <w:szCs w:val="24"/>
        </w:rPr>
        <w:t>Violations of Commission Rules</w:t>
      </w:r>
      <w:r w:rsidR="00B6124D">
        <w:rPr>
          <w:rFonts w:cs="Times New Roman"/>
          <w:szCs w:val="24"/>
        </w:rPr>
        <w:tab/>
        <w:t>2</w:t>
      </w:r>
    </w:p>
    <w:p w14:paraId="38E33E68" w14:textId="0F8E6CF6" w:rsidR="00B9636D" w:rsidRPr="007E34CD" w:rsidRDefault="00EB2A9F" w:rsidP="00B9636D">
      <w:pPr>
        <w:pStyle w:val="ListParagraph"/>
        <w:numPr>
          <w:ilvl w:val="0"/>
          <w:numId w:val="20"/>
        </w:numPr>
        <w:tabs>
          <w:tab w:val="left" w:pos="720"/>
          <w:tab w:val="left" w:pos="1440"/>
          <w:tab w:val="left" w:pos="2160"/>
          <w:tab w:val="right" w:leader="dot" w:pos="9000"/>
        </w:tabs>
        <w:spacing w:after="0" w:line="480" w:lineRule="auto"/>
        <w:ind w:left="720" w:firstLine="0"/>
        <w:rPr>
          <w:rFonts w:cs="Times New Roman"/>
          <w:szCs w:val="24"/>
        </w:rPr>
      </w:pPr>
      <w:r>
        <w:rPr>
          <w:rFonts w:cs="Times New Roman"/>
          <w:szCs w:val="24"/>
        </w:rPr>
        <w:t>First Cause of Action</w:t>
      </w:r>
      <w:r w:rsidR="00B6124D">
        <w:rPr>
          <w:rFonts w:cs="Times New Roman"/>
          <w:szCs w:val="24"/>
        </w:rPr>
        <w:tab/>
        <w:t>2</w:t>
      </w:r>
    </w:p>
    <w:p w14:paraId="627597BF" w14:textId="47E98E78" w:rsidR="00B9636D" w:rsidRPr="00EB2A9F" w:rsidRDefault="00EB2A9F" w:rsidP="00EB2A9F">
      <w:pPr>
        <w:pStyle w:val="ListParagraph"/>
        <w:numPr>
          <w:ilvl w:val="0"/>
          <w:numId w:val="20"/>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Pr>
          <w:rFonts w:cs="Times New Roman"/>
          <w:szCs w:val="24"/>
        </w:rPr>
        <w:t xml:space="preserve">Second Cause of Action </w:t>
      </w:r>
      <w:r w:rsidR="00B6124D">
        <w:rPr>
          <w:rFonts w:cs="Times New Roman"/>
          <w:szCs w:val="24"/>
        </w:rPr>
        <w:tab/>
        <w:t>3</w:t>
      </w:r>
    </w:p>
    <w:p w14:paraId="544B6010" w14:textId="12616C82" w:rsidR="00B9636D" w:rsidRDefault="00EB2A9F" w:rsidP="00B9636D">
      <w:pPr>
        <w:pStyle w:val="ListParagraph"/>
        <w:numPr>
          <w:ilvl w:val="0"/>
          <w:numId w:val="20"/>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Pr>
          <w:rFonts w:cs="Times New Roman"/>
          <w:szCs w:val="24"/>
        </w:rPr>
        <w:t xml:space="preserve">Third Cause of Action </w:t>
      </w:r>
      <w:r w:rsidR="009F5FD2">
        <w:rPr>
          <w:rFonts w:cs="Times New Roman"/>
          <w:szCs w:val="24"/>
        </w:rPr>
        <w:tab/>
        <w:t>3</w:t>
      </w:r>
    </w:p>
    <w:p w14:paraId="3B46BAD6" w14:textId="389A6CF4" w:rsidR="00EB2A9F" w:rsidRDefault="00EB2A9F" w:rsidP="00B9636D">
      <w:pPr>
        <w:pStyle w:val="ListParagraph"/>
        <w:numPr>
          <w:ilvl w:val="0"/>
          <w:numId w:val="20"/>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Pr>
          <w:rFonts w:cs="Times New Roman"/>
          <w:szCs w:val="24"/>
        </w:rPr>
        <w:t xml:space="preserve">Fourth Cause of Action  </w:t>
      </w:r>
      <w:r w:rsidR="00B6124D">
        <w:rPr>
          <w:rFonts w:cs="Times New Roman"/>
          <w:szCs w:val="24"/>
        </w:rPr>
        <w:tab/>
        <w:t>4</w:t>
      </w:r>
    </w:p>
    <w:p w14:paraId="36A53945" w14:textId="555CD5CD" w:rsidR="00EB2A9F" w:rsidRDefault="00EB2A9F" w:rsidP="00B9636D">
      <w:pPr>
        <w:pStyle w:val="ListParagraph"/>
        <w:numPr>
          <w:ilvl w:val="0"/>
          <w:numId w:val="20"/>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Pr>
          <w:rFonts w:cs="Times New Roman"/>
          <w:szCs w:val="24"/>
        </w:rPr>
        <w:t xml:space="preserve">Fifth Cause of Action  </w:t>
      </w:r>
      <w:r w:rsidR="00B6124D">
        <w:rPr>
          <w:rFonts w:cs="Times New Roman"/>
          <w:szCs w:val="24"/>
        </w:rPr>
        <w:tab/>
        <w:t>5</w:t>
      </w:r>
    </w:p>
    <w:p w14:paraId="09D93353" w14:textId="6A500628" w:rsidR="00EB2A9F" w:rsidRDefault="00EB2A9F" w:rsidP="00B9636D">
      <w:pPr>
        <w:pStyle w:val="ListParagraph"/>
        <w:numPr>
          <w:ilvl w:val="0"/>
          <w:numId w:val="20"/>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Pr>
          <w:rFonts w:cs="Times New Roman"/>
          <w:szCs w:val="24"/>
        </w:rPr>
        <w:t xml:space="preserve">Sixth Cause of Action  </w:t>
      </w:r>
      <w:r w:rsidR="00B6124D">
        <w:rPr>
          <w:rFonts w:cs="Times New Roman"/>
          <w:szCs w:val="24"/>
        </w:rPr>
        <w:tab/>
        <w:t>6</w:t>
      </w:r>
    </w:p>
    <w:p w14:paraId="545E9EFD" w14:textId="1B091E93" w:rsidR="00EB2A9F" w:rsidRDefault="00EB2A9F" w:rsidP="00B9636D">
      <w:pPr>
        <w:pStyle w:val="ListParagraph"/>
        <w:numPr>
          <w:ilvl w:val="0"/>
          <w:numId w:val="20"/>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Pr>
          <w:rFonts w:cs="Times New Roman"/>
          <w:szCs w:val="24"/>
        </w:rPr>
        <w:t xml:space="preserve">Seventh Cause of Action </w:t>
      </w:r>
      <w:r>
        <w:rPr>
          <w:rFonts w:cs="Times New Roman"/>
          <w:szCs w:val="24"/>
        </w:rPr>
        <w:tab/>
      </w:r>
      <w:r w:rsidR="00B6124D">
        <w:rPr>
          <w:rFonts w:cs="Times New Roman"/>
          <w:szCs w:val="24"/>
        </w:rPr>
        <w:t>7</w:t>
      </w:r>
    </w:p>
    <w:p w14:paraId="4D06325E" w14:textId="47E6B269" w:rsidR="00EB2A9F" w:rsidRDefault="00EB2A9F" w:rsidP="00B9636D">
      <w:pPr>
        <w:pStyle w:val="ListParagraph"/>
        <w:numPr>
          <w:ilvl w:val="0"/>
          <w:numId w:val="20"/>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Pr>
          <w:rFonts w:cs="Times New Roman"/>
          <w:szCs w:val="24"/>
        </w:rPr>
        <w:t xml:space="preserve">Eighth Cause of Action </w:t>
      </w:r>
      <w:r>
        <w:rPr>
          <w:rFonts w:cs="Times New Roman"/>
          <w:szCs w:val="24"/>
        </w:rPr>
        <w:tab/>
      </w:r>
      <w:r w:rsidR="00B6124D">
        <w:rPr>
          <w:rFonts w:cs="Times New Roman"/>
          <w:szCs w:val="24"/>
        </w:rPr>
        <w:t>7</w:t>
      </w:r>
    </w:p>
    <w:p w14:paraId="0C7213AD" w14:textId="78574B25" w:rsidR="00EB2A9F" w:rsidRDefault="00EB2A9F" w:rsidP="00EB2A9F">
      <w:pPr>
        <w:pStyle w:val="ListParagraph"/>
        <w:numPr>
          <w:ilvl w:val="0"/>
          <w:numId w:val="45"/>
        </w:numPr>
        <w:tabs>
          <w:tab w:val="left" w:pos="720"/>
          <w:tab w:val="left" w:pos="1440"/>
          <w:tab w:val="left" w:pos="2160"/>
          <w:tab w:val="left" w:pos="2880"/>
          <w:tab w:val="left" w:pos="3600"/>
          <w:tab w:val="right" w:leader="dot" w:pos="9000"/>
        </w:tabs>
        <w:spacing w:after="0" w:line="480" w:lineRule="auto"/>
        <w:rPr>
          <w:rFonts w:cs="Times New Roman"/>
          <w:szCs w:val="24"/>
        </w:rPr>
      </w:pPr>
      <w:r>
        <w:rPr>
          <w:rFonts w:cs="Times New Roman"/>
          <w:szCs w:val="24"/>
        </w:rPr>
        <w:t>Weekend Moves</w:t>
      </w:r>
      <w:r>
        <w:rPr>
          <w:rFonts w:cs="Times New Roman"/>
          <w:szCs w:val="24"/>
        </w:rPr>
        <w:tab/>
      </w:r>
      <w:r>
        <w:rPr>
          <w:rFonts w:cs="Times New Roman"/>
          <w:szCs w:val="24"/>
        </w:rPr>
        <w:tab/>
      </w:r>
      <w:r w:rsidR="00B6124D">
        <w:rPr>
          <w:rFonts w:cs="Times New Roman"/>
          <w:szCs w:val="24"/>
        </w:rPr>
        <w:t>8</w:t>
      </w:r>
    </w:p>
    <w:p w14:paraId="32766A99" w14:textId="47EAC4F3" w:rsidR="00EB2A9F" w:rsidRDefault="00EB2A9F" w:rsidP="00EB2A9F">
      <w:pPr>
        <w:pStyle w:val="ListParagraph"/>
        <w:numPr>
          <w:ilvl w:val="0"/>
          <w:numId w:val="45"/>
        </w:numPr>
        <w:tabs>
          <w:tab w:val="left" w:pos="720"/>
          <w:tab w:val="left" w:pos="1440"/>
          <w:tab w:val="left" w:pos="2160"/>
          <w:tab w:val="left" w:pos="2880"/>
          <w:tab w:val="left" w:pos="3600"/>
          <w:tab w:val="right" w:leader="dot" w:pos="9000"/>
        </w:tabs>
        <w:spacing w:after="0" w:line="480" w:lineRule="auto"/>
        <w:rPr>
          <w:rFonts w:cs="Times New Roman"/>
          <w:szCs w:val="24"/>
        </w:rPr>
      </w:pPr>
      <w:r>
        <w:rPr>
          <w:rFonts w:cs="Times New Roman"/>
          <w:szCs w:val="24"/>
        </w:rPr>
        <w:t>Billing Increments</w:t>
      </w:r>
      <w:r>
        <w:rPr>
          <w:rFonts w:cs="Times New Roman"/>
          <w:szCs w:val="24"/>
        </w:rPr>
        <w:tab/>
        <w:t xml:space="preserve">  </w:t>
      </w:r>
      <w:r>
        <w:rPr>
          <w:rFonts w:cs="Times New Roman"/>
          <w:szCs w:val="24"/>
        </w:rPr>
        <w:tab/>
      </w:r>
      <w:r w:rsidR="00B6124D">
        <w:rPr>
          <w:rFonts w:cs="Times New Roman"/>
          <w:szCs w:val="24"/>
        </w:rPr>
        <w:t>8</w:t>
      </w:r>
    </w:p>
    <w:p w14:paraId="689C10E4" w14:textId="1BFBC015" w:rsidR="00EB2A9F" w:rsidRPr="00EB2A9F" w:rsidRDefault="00EB2A9F" w:rsidP="00EB2A9F">
      <w:pPr>
        <w:pStyle w:val="ListParagraph"/>
        <w:numPr>
          <w:ilvl w:val="0"/>
          <w:numId w:val="45"/>
        </w:numPr>
        <w:tabs>
          <w:tab w:val="left" w:pos="720"/>
          <w:tab w:val="left" w:pos="1440"/>
          <w:tab w:val="left" w:pos="2160"/>
          <w:tab w:val="left" w:pos="2880"/>
          <w:tab w:val="left" w:pos="3600"/>
          <w:tab w:val="right" w:leader="dot" w:pos="9000"/>
        </w:tabs>
        <w:spacing w:after="0" w:line="480" w:lineRule="auto"/>
        <w:rPr>
          <w:rFonts w:cs="Times New Roman"/>
          <w:szCs w:val="24"/>
        </w:rPr>
      </w:pPr>
      <w:r>
        <w:rPr>
          <w:rFonts w:cs="Times New Roman"/>
          <w:szCs w:val="24"/>
        </w:rPr>
        <w:t xml:space="preserve">Fuel Surcharges  </w:t>
      </w:r>
      <w:r>
        <w:rPr>
          <w:rFonts w:cs="Times New Roman"/>
          <w:szCs w:val="24"/>
        </w:rPr>
        <w:tab/>
      </w:r>
      <w:r>
        <w:rPr>
          <w:rFonts w:cs="Times New Roman"/>
          <w:szCs w:val="24"/>
        </w:rPr>
        <w:tab/>
      </w:r>
      <w:r w:rsidR="009573BA">
        <w:rPr>
          <w:rFonts w:cs="Times New Roman"/>
          <w:szCs w:val="24"/>
        </w:rPr>
        <w:t>8</w:t>
      </w:r>
    </w:p>
    <w:p w14:paraId="6C3C5459" w14:textId="61B1B34D" w:rsidR="00B9636D" w:rsidRPr="007E34CD" w:rsidRDefault="00EB2A9F" w:rsidP="00B9636D">
      <w:pPr>
        <w:pStyle w:val="ListParagraph"/>
        <w:numPr>
          <w:ilvl w:val="0"/>
          <w:numId w:val="17"/>
        </w:numPr>
        <w:tabs>
          <w:tab w:val="left" w:pos="720"/>
          <w:tab w:val="left" w:pos="1440"/>
          <w:tab w:val="left" w:pos="2160"/>
          <w:tab w:val="left" w:pos="2880"/>
          <w:tab w:val="left" w:pos="3600"/>
          <w:tab w:val="right" w:leader="dot" w:pos="9000"/>
        </w:tabs>
        <w:spacing w:after="0" w:line="480" w:lineRule="auto"/>
        <w:ind w:left="0" w:firstLine="0"/>
        <w:rPr>
          <w:rFonts w:cs="Times New Roman"/>
          <w:szCs w:val="24"/>
        </w:rPr>
      </w:pPr>
      <w:r>
        <w:rPr>
          <w:rFonts w:cs="Times New Roman"/>
          <w:szCs w:val="24"/>
        </w:rPr>
        <w:t>PENALTIES</w:t>
      </w:r>
      <w:r>
        <w:rPr>
          <w:rFonts w:cs="Times New Roman"/>
          <w:szCs w:val="24"/>
        </w:rPr>
        <w:tab/>
      </w:r>
      <w:r>
        <w:rPr>
          <w:rFonts w:cs="Times New Roman"/>
          <w:szCs w:val="24"/>
        </w:rPr>
        <w:tab/>
      </w:r>
      <w:r>
        <w:rPr>
          <w:rFonts w:cs="Times New Roman"/>
          <w:szCs w:val="24"/>
        </w:rPr>
        <w:tab/>
      </w:r>
      <w:r w:rsidR="00B9636D" w:rsidRPr="007E34CD">
        <w:rPr>
          <w:rFonts w:cs="Times New Roman"/>
          <w:szCs w:val="24"/>
        </w:rPr>
        <w:tab/>
      </w:r>
      <w:r w:rsidR="00B6124D">
        <w:rPr>
          <w:rFonts w:cs="Times New Roman"/>
          <w:szCs w:val="24"/>
        </w:rPr>
        <w:t>9</w:t>
      </w:r>
    </w:p>
    <w:p w14:paraId="617CD1EB" w14:textId="07F5B63E" w:rsidR="00B9636D" w:rsidRPr="007E34CD" w:rsidRDefault="00B9636D" w:rsidP="00B9636D">
      <w:pPr>
        <w:pStyle w:val="ListParagraph"/>
        <w:numPr>
          <w:ilvl w:val="0"/>
          <w:numId w:val="23"/>
        </w:numPr>
        <w:tabs>
          <w:tab w:val="left" w:pos="720"/>
          <w:tab w:val="left" w:pos="1440"/>
          <w:tab w:val="left" w:pos="2160"/>
          <w:tab w:val="left" w:pos="2880"/>
          <w:tab w:val="left" w:pos="3600"/>
          <w:tab w:val="right" w:leader="dot" w:pos="9000"/>
        </w:tabs>
        <w:spacing w:after="0" w:line="480" w:lineRule="auto"/>
        <w:ind w:left="720" w:firstLine="0"/>
        <w:rPr>
          <w:rFonts w:cs="Times New Roman"/>
          <w:szCs w:val="24"/>
        </w:rPr>
      </w:pPr>
      <w:r w:rsidRPr="007E34CD">
        <w:rPr>
          <w:rFonts w:cs="Times New Roman"/>
          <w:szCs w:val="24"/>
        </w:rPr>
        <w:t>Overview</w:t>
      </w:r>
      <w:r w:rsidRPr="007E34CD">
        <w:rPr>
          <w:rFonts w:cs="Times New Roman"/>
          <w:szCs w:val="24"/>
        </w:rPr>
        <w:tab/>
      </w:r>
      <w:r w:rsidR="00EB2A9F">
        <w:rPr>
          <w:rFonts w:cs="Times New Roman"/>
          <w:szCs w:val="24"/>
        </w:rPr>
        <w:tab/>
      </w:r>
      <w:r w:rsidR="00EB2A9F">
        <w:rPr>
          <w:rFonts w:cs="Times New Roman"/>
          <w:szCs w:val="24"/>
        </w:rPr>
        <w:tab/>
      </w:r>
      <w:r w:rsidR="00B6124D">
        <w:rPr>
          <w:rFonts w:cs="Times New Roman"/>
          <w:szCs w:val="24"/>
        </w:rPr>
        <w:t>9</w:t>
      </w:r>
    </w:p>
    <w:p w14:paraId="0C8E1165" w14:textId="26AC01D0" w:rsidR="00B9636D" w:rsidRDefault="00EB2A9F" w:rsidP="00B9636D">
      <w:pPr>
        <w:pStyle w:val="ListParagraph"/>
        <w:numPr>
          <w:ilvl w:val="0"/>
          <w:numId w:val="23"/>
        </w:numPr>
        <w:tabs>
          <w:tab w:val="left" w:pos="720"/>
          <w:tab w:val="left" w:pos="1440"/>
          <w:tab w:val="left" w:pos="2160"/>
          <w:tab w:val="left" w:pos="2880"/>
          <w:tab w:val="right" w:leader="dot" w:pos="9000"/>
        </w:tabs>
        <w:spacing w:after="0" w:line="480" w:lineRule="auto"/>
        <w:ind w:left="720" w:firstLine="0"/>
        <w:rPr>
          <w:rFonts w:cs="Times New Roman"/>
          <w:szCs w:val="24"/>
        </w:rPr>
      </w:pPr>
      <w:r>
        <w:rPr>
          <w:rFonts w:cs="Times New Roman"/>
          <w:szCs w:val="24"/>
        </w:rPr>
        <w:t xml:space="preserve">Considerations for Penalties </w:t>
      </w:r>
      <w:r w:rsidR="00B6124D">
        <w:rPr>
          <w:rFonts w:cs="Times New Roman"/>
          <w:szCs w:val="24"/>
        </w:rPr>
        <w:tab/>
        <w:t>10</w:t>
      </w:r>
    </w:p>
    <w:p w14:paraId="599372BD" w14:textId="185A80DB" w:rsidR="00B9636D" w:rsidRPr="007E34CD" w:rsidRDefault="000A4E64" w:rsidP="00B9636D">
      <w:pPr>
        <w:pStyle w:val="ListParagraph"/>
        <w:numPr>
          <w:ilvl w:val="0"/>
          <w:numId w:val="17"/>
        </w:numPr>
        <w:tabs>
          <w:tab w:val="left" w:pos="720"/>
          <w:tab w:val="left" w:pos="1440"/>
          <w:tab w:val="left" w:pos="2160"/>
          <w:tab w:val="right" w:leader="dot" w:pos="9000"/>
        </w:tabs>
        <w:spacing w:after="0" w:line="480" w:lineRule="auto"/>
        <w:ind w:left="0" w:firstLine="0"/>
        <w:rPr>
          <w:rFonts w:cs="Times New Roman"/>
          <w:szCs w:val="24"/>
        </w:rPr>
      </w:pPr>
      <w:r>
        <w:rPr>
          <w:rFonts w:cs="Times New Roman"/>
          <w:szCs w:val="24"/>
        </w:rPr>
        <w:t>CONCLUSION</w:t>
      </w:r>
      <w:r w:rsidR="00B6124D">
        <w:rPr>
          <w:rFonts w:cs="Times New Roman"/>
          <w:szCs w:val="24"/>
        </w:rPr>
        <w:tab/>
        <w:t>11</w:t>
      </w:r>
    </w:p>
    <w:p w14:paraId="14CC645B" w14:textId="77777777" w:rsidR="000A4E64" w:rsidRDefault="000A4E64" w:rsidP="00B9636D">
      <w:pPr>
        <w:widowControl w:val="0"/>
        <w:tabs>
          <w:tab w:val="left" w:pos="720"/>
          <w:tab w:val="left" w:pos="1440"/>
          <w:tab w:val="left" w:pos="2160"/>
          <w:tab w:val="right" w:leader="dot" w:pos="9000"/>
        </w:tabs>
        <w:spacing w:after="0" w:line="240" w:lineRule="auto"/>
        <w:contextualSpacing/>
        <w:jc w:val="center"/>
        <w:rPr>
          <w:rFonts w:eastAsia="Calibri" w:cs="Times New Roman"/>
          <w:b/>
          <w:szCs w:val="24"/>
        </w:rPr>
      </w:pPr>
    </w:p>
    <w:p w14:paraId="0032A631" w14:textId="77777777" w:rsidR="000A4E64" w:rsidRDefault="000A4E64" w:rsidP="00B9636D">
      <w:pPr>
        <w:widowControl w:val="0"/>
        <w:tabs>
          <w:tab w:val="left" w:pos="720"/>
          <w:tab w:val="left" w:pos="1440"/>
          <w:tab w:val="left" w:pos="2160"/>
          <w:tab w:val="right" w:leader="dot" w:pos="9000"/>
        </w:tabs>
        <w:spacing w:after="0" w:line="240" w:lineRule="auto"/>
        <w:contextualSpacing/>
        <w:jc w:val="center"/>
        <w:rPr>
          <w:rFonts w:eastAsia="Calibri" w:cs="Times New Roman"/>
          <w:b/>
          <w:szCs w:val="24"/>
        </w:rPr>
      </w:pPr>
    </w:p>
    <w:p w14:paraId="321E62F2" w14:textId="77777777" w:rsidR="000A4E64" w:rsidRDefault="000A4E64" w:rsidP="00B9636D">
      <w:pPr>
        <w:widowControl w:val="0"/>
        <w:tabs>
          <w:tab w:val="left" w:pos="720"/>
          <w:tab w:val="left" w:pos="1440"/>
          <w:tab w:val="left" w:pos="2160"/>
          <w:tab w:val="right" w:leader="dot" w:pos="9000"/>
        </w:tabs>
        <w:spacing w:after="0" w:line="240" w:lineRule="auto"/>
        <w:contextualSpacing/>
        <w:jc w:val="center"/>
        <w:rPr>
          <w:rFonts w:eastAsia="Calibri" w:cs="Times New Roman"/>
          <w:b/>
          <w:szCs w:val="24"/>
        </w:rPr>
      </w:pPr>
    </w:p>
    <w:p w14:paraId="52C699C8" w14:textId="77777777" w:rsidR="000A4E64" w:rsidRDefault="000A4E64" w:rsidP="00B9636D">
      <w:pPr>
        <w:widowControl w:val="0"/>
        <w:tabs>
          <w:tab w:val="left" w:pos="720"/>
          <w:tab w:val="left" w:pos="1440"/>
          <w:tab w:val="left" w:pos="2160"/>
          <w:tab w:val="right" w:leader="dot" w:pos="9000"/>
        </w:tabs>
        <w:spacing w:after="0" w:line="240" w:lineRule="auto"/>
        <w:contextualSpacing/>
        <w:jc w:val="center"/>
        <w:rPr>
          <w:rFonts w:eastAsia="Calibri" w:cs="Times New Roman"/>
          <w:b/>
          <w:szCs w:val="24"/>
        </w:rPr>
      </w:pPr>
    </w:p>
    <w:p w14:paraId="28067AE7" w14:textId="77777777" w:rsidR="000A4E64" w:rsidRDefault="000A4E64" w:rsidP="00B9636D">
      <w:pPr>
        <w:widowControl w:val="0"/>
        <w:tabs>
          <w:tab w:val="left" w:pos="720"/>
          <w:tab w:val="left" w:pos="1440"/>
          <w:tab w:val="left" w:pos="2160"/>
          <w:tab w:val="right" w:leader="dot" w:pos="9000"/>
        </w:tabs>
        <w:spacing w:after="0" w:line="240" w:lineRule="auto"/>
        <w:contextualSpacing/>
        <w:jc w:val="center"/>
        <w:rPr>
          <w:rFonts w:eastAsia="Calibri" w:cs="Times New Roman"/>
          <w:b/>
          <w:szCs w:val="24"/>
        </w:rPr>
      </w:pPr>
    </w:p>
    <w:p w14:paraId="1BA5C351" w14:textId="77777777" w:rsidR="000A4E64" w:rsidRDefault="000A4E64" w:rsidP="00B9636D">
      <w:pPr>
        <w:widowControl w:val="0"/>
        <w:tabs>
          <w:tab w:val="left" w:pos="720"/>
          <w:tab w:val="left" w:pos="1440"/>
          <w:tab w:val="left" w:pos="2160"/>
          <w:tab w:val="right" w:leader="dot" w:pos="9000"/>
        </w:tabs>
        <w:spacing w:after="0" w:line="240" w:lineRule="auto"/>
        <w:contextualSpacing/>
        <w:jc w:val="center"/>
        <w:rPr>
          <w:rFonts w:eastAsia="Calibri" w:cs="Times New Roman"/>
          <w:b/>
          <w:szCs w:val="24"/>
        </w:rPr>
      </w:pPr>
    </w:p>
    <w:p w14:paraId="4142B445" w14:textId="77777777" w:rsidR="000A4E64" w:rsidRDefault="000A4E64" w:rsidP="00B9636D">
      <w:pPr>
        <w:widowControl w:val="0"/>
        <w:tabs>
          <w:tab w:val="left" w:pos="720"/>
          <w:tab w:val="left" w:pos="1440"/>
          <w:tab w:val="left" w:pos="2160"/>
          <w:tab w:val="right" w:leader="dot" w:pos="9000"/>
        </w:tabs>
        <w:spacing w:after="0" w:line="240" w:lineRule="auto"/>
        <w:contextualSpacing/>
        <w:jc w:val="center"/>
        <w:rPr>
          <w:rFonts w:eastAsia="Calibri" w:cs="Times New Roman"/>
          <w:b/>
          <w:szCs w:val="24"/>
        </w:rPr>
      </w:pPr>
    </w:p>
    <w:p w14:paraId="370A9D99" w14:textId="77777777" w:rsidR="000A4E64" w:rsidRDefault="000A4E64" w:rsidP="00B9636D">
      <w:pPr>
        <w:widowControl w:val="0"/>
        <w:tabs>
          <w:tab w:val="left" w:pos="720"/>
          <w:tab w:val="left" w:pos="1440"/>
          <w:tab w:val="left" w:pos="2160"/>
          <w:tab w:val="right" w:leader="dot" w:pos="9000"/>
        </w:tabs>
        <w:spacing w:after="0" w:line="240" w:lineRule="auto"/>
        <w:contextualSpacing/>
        <w:jc w:val="center"/>
        <w:rPr>
          <w:rFonts w:eastAsia="Calibri" w:cs="Times New Roman"/>
          <w:b/>
          <w:szCs w:val="24"/>
        </w:rPr>
      </w:pPr>
    </w:p>
    <w:p w14:paraId="62B4DB7A" w14:textId="77777777" w:rsidR="00B9636D" w:rsidRPr="00784560" w:rsidRDefault="00B9636D" w:rsidP="00B9636D">
      <w:pPr>
        <w:widowControl w:val="0"/>
        <w:tabs>
          <w:tab w:val="left" w:pos="720"/>
          <w:tab w:val="left" w:pos="1440"/>
          <w:tab w:val="left" w:pos="2160"/>
          <w:tab w:val="right" w:leader="dot" w:pos="9000"/>
        </w:tabs>
        <w:spacing w:after="0" w:line="240" w:lineRule="auto"/>
        <w:contextualSpacing/>
        <w:jc w:val="center"/>
        <w:rPr>
          <w:rFonts w:eastAsia="Calibri" w:cs="Times New Roman"/>
          <w:b/>
          <w:szCs w:val="24"/>
        </w:rPr>
      </w:pPr>
      <w:r w:rsidRPr="00784560">
        <w:rPr>
          <w:rFonts w:eastAsia="Calibri" w:cs="Times New Roman"/>
          <w:b/>
          <w:szCs w:val="24"/>
        </w:rPr>
        <w:lastRenderedPageBreak/>
        <w:t>TABLE OF AUTHORITIES</w:t>
      </w:r>
    </w:p>
    <w:p w14:paraId="4F54B248" w14:textId="77777777" w:rsidR="00B9636D" w:rsidRDefault="00B9636D" w:rsidP="00B9636D">
      <w:pPr>
        <w:spacing w:after="0"/>
        <w:jc w:val="center"/>
        <w:rPr>
          <w:rFonts w:cs="Times New Roman"/>
          <w:i/>
          <w:szCs w:val="24"/>
        </w:rPr>
      </w:pPr>
    </w:p>
    <w:p w14:paraId="7F48619F" w14:textId="77777777" w:rsidR="00B9636D" w:rsidRDefault="00B9636D" w:rsidP="00B9636D">
      <w:pPr>
        <w:spacing w:after="0"/>
        <w:jc w:val="center"/>
        <w:rPr>
          <w:rFonts w:cs="Times New Roman"/>
          <w:i/>
          <w:szCs w:val="24"/>
        </w:rPr>
      </w:pPr>
    </w:p>
    <w:p w14:paraId="43656604" w14:textId="77777777" w:rsidR="00B9636D" w:rsidRPr="0016032B" w:rsidRDefault="00B9636D" w:rsidP="00B9636D">
      <w:pPr>
        <w:tabs>
          <w:tab w:val="left" w:pos="720"/>
          <w:tab w:val="left" w:pos="1440"/>
          <w:tab w:val="left" w:pos="2160"/>
          <w:tab w:val="right" w:pos="9180"/>
        </w:tabs>
        <w:spacing w:after="0" w:line="240" w:lineRule="auto"/>
        <w:jc w:val="center"/>
        <w:rPr>
          <w:rFonts w:cs="Times New Roman"/>
          <w:b/>
          <w:i/>
          <w:szCs w:val="24"/>
        </w:rPr>
      </w:pPr>
      <w:r w:rsidRPr="0016032B">
        <w:rPr>
          <w:rFonts w:cs="Times New Roman"/>
          <w:b/>
          <w:i/>
          <w:szCs w:val="24"/>
        </w:rPr>
        <w:t>Statutes and Rules</w:t>
      </w:r>
    </w:p>
    <w:p w14:paraId="24077AB3" w14:textId="77777777" w:rsidR="00B9636D" w:rsidRPr="00FE0AC6" w:rsidRDefault="00B9636D" w:rsidP="00B9636D">
      <w:pPr>
        <w:tabs>
          <w:tab w:val="left" w:pos="720"/>
          <w:tab w:val="left" w:pos="1440"/>
          <w:tab w:val="left" w:pos="2160"/>
          <w:tab w:val="right" w:pos="9180"/>
        </w:tabs>
        <w:spacing w:after="0" w:line="240" w:lineRule="auto"/>
        <w:rPr>
          <w:rFonts w:cs="Times New Roman"/>
          <w:szCs w:val="24"/>
        </w:rPr>
      </w:pPr>
    </w:p>
    <w:p w14:paraId="4DFAF74C" w14:textId="1D8F2060" w:rsidR="00B9636D" w:rsidRDefault="00B9636D" w:rsidP="00B9636D">
      <w:pPr>
        <w:tabs>
          <w:tab w:val="left" w:pos="720"/>
          <w:tab w:val="left" w:pos="1440"/>
          <w:tab w:val="left" w:pos="1620"/>
          <w:tab w:val="right" w:leader="dot" w:pos="9180"/>
        </w:tabs>
        <w:spacing w:after="0" w:line="240" w:lineRule="auto"/>
        <w:rPr>
          <w:rFonts w:cs="Times New Roman"/>
          <w:szCs w:val="24"/>
        </w:rPr>
      </w:pPr>
      <w:r w:rsidRPr="00FE0AC6">
        <w:rPr>
          <w:rFonts w:cs="Times New Roman"/>
          <w:szCs w:val="24"/>
        </w:rPr>
        <w:t>RCW 81.</w:t>
      </w:r>
      <w:r w:rsidR="005C696B">
        <w:rPr>
          <w:rFonts w:cs="Times New Roman"/>
          <w:szCs w:val="24"/>
        </w:rPr>
        <w:t>04.070</w:t>
      </w:r>
      <w:r w:rsidRPr="00FE0AC6">
        <w:rPr>
          <w:rFonts w:cs="Times New Roman"/>
          <w:szCs w:val="24"/>
        </w:rPr>
        <w:tab/>
      </w:r>
      <w:r>
        <w:rPr>
          <w:rFonts w:cs="Times New Roman"/>
          <w:szCs w:val="24"/>
        </w:rPr>
        <w:tab/>
      </w:r>
      <w:r w:rsidR="009F5FD2">
        <w:rPr>
          <w:rFonts w:cs="Times New Roman"/>
          <w:szCs w:val="24"/>
        </w:rPr>
        <w:t>2</w:t>
      </w:r>
    </w:p>
    <w:p w14:paraId="2FEE0962" w14:textId="77777777" w:rsidR="00B9636D" w:rsidRPr="00FE0AC6" w:rsidRDefault="00B9636D" w:rsidP="00B9636D">
      <w:pPr>
        <w:tabs>
          <w:tab w:val="left" w:pos="720"/>
          <w:tab w:val="left" w:pos="1440"/>
          <w:tab w:val="left" w:pos="1620"/>
          <w:tab w:val="right" w:leader="dot" w:pos="9180"/>
        </w:tabs>
        <w:spacing w:after="0" w:line="240" w:lineRule="auto"/>
        <w:rPr>
          <w:rFonts w:cs="Times New Roman"/>
          <w:szCs w:val="24"/>
        </w:rPr>
      </w:pPr>
    </w:p>
    <w:p w14:paraId="1C72A9E4" w14:textId="77777777" w:rsidR="009F5FD2" w:rsidRDefault="009F5FD2" w:rsidP="009F5FD2">
      <w:pPr>
        <w:tabs>
          <w:tab w:val="left" w:pos="720"/>
          <w:tab w:val="left" w:pos="1440"/>
          <w:tab w:val="left" w:pos="1620"/>
          <w:tab w:val="right" w:leader="dot" w:pos="9180"/>
        </w:tabs>
        <w:spacing w:after="0" w:line="480" w:lineRule="auto"/>
        <w:rPr>
          <w:rFonts w:cs="Times New Roman"/>
          <w:szCs w:val="24"/>
        </w:rPr>
      </w:pPr>
      <w:r>
        <w:rPr>
          <w:rFonts w:cs="Times New Roman"/>
          <w:szCs w:val="24"/>
        </w:rPr>
        <w:t>WAC 480-15-450</w:t>
      </w:r>
      <w:r>
        <w:rPr>
          <w:rFonts w:cs="Times New Roman"/>
          <w:szCs w:val="24"/>
        </w:rPr>
        <w:tab/>
        <w:t>9</w:t>
      </w:r>
    </w:p>
    <w:p w14:paraId="0111C60B" w14:textId="77777777" w:rsidR="009F5FD2" w:rsidRDefault="009F5FD2" w:rsidP="009F5FD2">
      <w:pPr>
        <w:tabs>
          <w:tab w:val="left" w:pos="720"/>
          <w:tab w:val="left" w:pos="1440"/>
          <w:tab w:val="left" w:pos="1620"/>
          <w:tab w:val="right" w:leader="dot" w:pos="9180"/>
        </w:tabs>
        <w:spacing w:after="0" w:line="480" w:lineRule="auto"/>
        <w:rPr>
          <w:rFonts w:cs="Times New Roman"/>
          <w:szCs w:val="24"/>
        </w:rPr>
      </w:pPr>
      <w:r>
        <w:rPr>
          <w:rFonts w:cs="Times New Roman"/>
          <w:szCs w:val="24"/>
        </w:rPr>
        <w:t>WAC 480-15-490(3)</w:t>
      </w:r>
      <w:r>
        <w:rPr>
          <w:rFonts w:cs="Times New Roman"/>
          <w:szCs w:val="24"/>
        </w:rPr>
        <w:tab/>
        <w:t>7, 8</w:t>
      </w:r>
    </w:p>
    <w:p w14:paraId="0C0A69FB" w14:textId="77777777" w:rsidR="009F5FD2" w:rsidRDefault="009F5FD2" w:rsidP="009F5FD2">
      <w:pPr>
        <w:tabs>
          <w:tab w:val="left" w:pos="720"/>
          <w:tab w:val="left" w:pos="1440"/>
          <w:tab w:val="left" w:pos="1620"/>
          <w:tab w:val="right" w:leader="dot" w:pos="9180"/>
        </w:tabs>
        <w:spacing w:after="0" w:line="480" w:lineRule="auto"/>
        <w:rPr>
          <w:rFonts w:cs="Times New Roman"/>
          <w:szCs w:val="24"/>
        </w:rPr>
      </w:pPr>
      <w:r>
        <w:rPr>
          <w:rFonts w:cs="Times New Roman"/>
          <w:szCs w:val="24"/>
        </w:rPr>
        <w:t>WAC 480-15-610(1)</w:t>
      </w:r>
      <w:r>
        <w:rPr>
          <w:rFonts w:cs="Times New Roman"/>
          <w:szCs w:val="24"/>
        </w:rPr>
        <w:tab/>
        <w:t>7</w:t>
      </w:r>
    </w:p>
    <w:p w14:paraId="59EAC838" w14:textId="51A5333D" w:rsidR="00B9636D" w:rsidRDefault="005C696B" w:rsidP="009F5FD2">
      <w:pPr>
        <w:tabs>
          <w:tab w:val="left" w:pos="720"/>
          <w:tab w:val="left" w:pos="1440"/>
          <w:tab w:val="left" w:pos="1620"/>
          <w:tab w:val="right" w:leader="dot" w:pos="9180"/>
        </w:tabs>
        <w:spacing w:after="0" w:line="240" w:lineRule="auto"/>
        <w:rPr>
          <w:rFonts w:cs="Times New Roman"/>
          <w:szCs w:val="24"/>
        </w:rPr>
      </w:pPr>
      <w:bookmarkStart w:id="0" w:name="_GoBack"/>
      <w:bookmarkEnd w:id="0"/>
      <w:r>
        <w:rPr>
          <w:rFonts w:cs="Times New Roman"/>
          <w:szCs w:val="24"/>
        </w:rPr>
        <w:t>WAC 480-15-630</w:t>
      </w:r>
      <w:r w:rsidR="00B9636D">
        <w:rPr>
          <w:rFonts w:cs="Times New Roman"/>
          <w:szCs w:val="24"/>
        </w:rPr>
        <w:tab/>
      </w:r>
      <w:r>
        <w:rPr>
          <w:rFonts w:cs="Times New Roman"/>
          <w:szCs w:val="24"/>
        </w:rPr>
        <w:t>3, 4, 5</w:t>
      </w:r>
    </w:p>
    <w:p w14:paraId="1F100176" w14:textId="77777777" w:rsidR="00B9636D" w:rsidRPr="00FE0AC6" w:rsidRDefault="00B9636D" w:rsidP="00B9636D">
      <w:pPr>
        <w:tabs>
          <w:tab w:val="left" w:pos="720"/>
          <w:tab w:val="left" w:pos="1440"/>
          <w:tab w:val="left" w:pos="1620"/>
          <w:tab w:val="right" w:leader="dot" w:pos="9180"/>
        </w:tabs>
        <w:spacing w:after="0" w:line="240" w:lineRule="auto"/>
        <w:rPr>
          <w:rFonts w:cs="Times New Roman"/>
          <w:szCs w:val="24"/>
        </w:rPr>
      </w:pPr>
    </w:p>
    <w:p w14:paraId="4414BBAC" w14:textId="561C944B" w:rsidR="00B9636D" w:rsidRDefault="005C696B" w:rsidP="00B9636D">
      <w:pPr>
        <w:tabs>
          <w:tab w:val="left" w:pos="720"/>
          <w:tab w:val="left" w:pos="1440"/>
          <w:tab w:val="left" w:pos="1620"/>
          <w:tab w:val="right" w:leader="dot" w:pos="9180"/>
        </w:tabs>
        <w:spacing w:after="0" w:line="240" w:lineRule="auto"/>
        <w:rPr>
          <w:rFonts w:cs="Times New Roman"/>
          <w:szCs w:val="24"/>
        </w:rPr>
      </w:pPr>
      <w:r>
        <w:rPr>
          <w:rFonts w:cs="Times New Roman"/>
          <w:szCs w:val="24"/>
        </w:rPr>
        <w:t>WAC 480-15-710</w:t>
      </w:r>
      <w:r w:rsidR="00B9636D">
        <w:rPr>
          <w:rFonts w:cs="Times New Roman"/>
          <w:szCs w:val="24"/>
        </w:rPr>
        <w:tab/>
      </w:r>
      <w:r>
        <w:rPr>
          <w:rFonts w:cs="Times New Roman"/>
          <w:szCs w:val="24"/>
        </w:rPr>
        <w:t>5, 6</w:t>
      </w:r>
    </w:p>
    <w:p w14:paraId="6A708AFA" w14:textId="77777777" w:rsidR="00B9636D" w:rsidRPr="00FE0AC6" w:rsidRDefault="00B9636D" w:rsidP="00B9636D">
      <w:pPr>
        <w:tabs>
          <w:tab w:val="left" w:pos="720"/>
          <w:tab w:val="left" w:pos="1440"/>
          <w:tab w:val="left" w:pos="1620"/>
          <w:tab w:val="right" w:leader="dot" w:pos="9180"/>
        </w:tabs>
        <w:spacing w:after="0" w:line="240" w:lineRule="auto"/>
        <w:rPr>
          <w:rFonts w:cs="Times New Roman"/>
          <w:szCs w:val="24"/>
        </w:rPr>
      </w:pPr>
    </w:p>
    <w:p w14:paraId="3A67A660" w14:textId="0C03FCB9" w:rsidR="005C696B" w:rsidRDefault="005C696B" w:rsidP="00BE4048">
      <w:pPr>
        <w:tabs>
          <w:tab w:val="left" w:pos="720"/>
          <w:tab w:val="left" w:pos="1440"/>
          <w:tab w:val="left" w:pos="1620"/>
          <w:tab w:val="right" w:leader="dot" w:pos="9180"/>
        </w:tabs>
        <w:spacing w:after="0" w:line="480" w:lineRule="auto"/>
        <w:rPr>
          <w:rFonts w:cs="Times New Roman"/>
          <w:szCs w:val="24"/>
        </w:rPr>
      </w:pPr>
      <w:r>
        <w:rPr>
          <w:rFonts w:cs="Times New Roman"/>
          <w:szCs w:val="24"/>
        </w:rPr>
        <w:t>Tariff No. 15-C</w:t>
      </w:r>
      <w:r w:rsidR="00BE4048">
        <w:rPr>
          <w:rFonts w:cs="Times New Roman"/>
          <w:szCs w:val="24"/>
        </w:rPr>
        <w:tab/>
      </w:r>
      <w:r w:rsidR="00BE4048">
        <w:rPr>
          <w:rFonts w:cs="Times New Roman"/>
          <w:szCs w:val="24"/>
        </w:rPr>
        <w:tab/>
        <w:t>3-11</w:t>
      </w:r>
    </w:p>
    <w:p w14:paraId="13FE5E63" w14:textId="77777777" w:rsidR="00B9636D" w:rsidRDefault="00B9636D" w:rsidP="00B9636D">
      <w:pPr>
        <w:tabs>
          <w:tab w:val="left" w:pos="720"/>
          <w:tab w:val="left" w:pos="1440"/>
          <w:tab w:val="left" w:pos="1620"/>
          <w:tab w:val="right" w:leader="dot" w:pos="9180"/>
        </w:tabs>
        <w:spacing w:after="0" w:line="240" w:lineRule="auto"/>
        <w:rPr>
          <w:rFonts w:cs="Times New Roman"/>
          <w:szCs w:val="24"/>
        </w:rPr>
      </w:pPr>
    </w:p>
    <w:p w14:paraId="2077B48A" w14:textId="77777777" w:rsidR="00B9636D" w:rsidRPr="00FE0AC6" w:rsidRDefault="00B9636D" w:rsidP="00B9636D">
      <w:pPr>
        <w:tabs>
          <w:tab w:val="left" w:pos="720"/>
          <w:tab w:val="left" w:pos="1440"/>
          <w:tab w:val="left" w:pos="2160"/>
          <w:tab w:val="right" w:leader="dot" w:pos="9180"/>
        </w:tabs>
        <w:spacing w:after="0" w:line="240" w:lineRule="auto"/>
        <w:rPr>
          <w:rFonts w:cs="Times New Roman"/>
          <w:szCs w:val="24"/>
        </w:rPr>
      </w:pPr>
    </w:p>
    <w:p w14:paraId="1690E1B3" w14:textId="77777777" w:rsidR="00B9636D" w:rsidRDefault="00B9636D" w:rsidP="00B9636D">
      <w:pPr>
        <w:spacing w:after="0" w:line="240" w:lineRule="auto"/>
        <w:rPr>
          <w:rFonts w:cs="Times New Roman"/>
        </w:rPr>
      </w:pPr>
    </w:p>
    <w:p w14:paraId="636763F8" w14:textId="5BF4CFF5" w:rsidR="000A0211" w:rsidRDefault="000A0211" w:rsidP="00554C0A">
      <w:pPr>
        <w:rPr>
          <w:rFonts w:cs="Times New Roman"/>
        </w:rPr>
      </w:pPr>
    </w:p>
    <w:p w14:paraId="6F20BF80" w14:textId="77777777" w:rsidR="000A0211" w:rsidRDefault="000A0211" w:rsidP="00735A6A">
      <w:pPr>
        <w:rPr>
          <w:rFonts w:cs="Times New Roman"/>
        </w:rPr>
        <w:sectPr w:rsidR="000A0211" w:rsidSect="00C82D79">
          <w:pgSz w:w="12240" w:h="15840"/>
          <w:pgMar w:top="1440" w:right="1440" w:bottom="1440" w:left="1584" w:header="720" w:footer="720" w:gutter="0"/>
          <w:pgNumType w:fmt="lowerRoman" w:start="1"/>
          <w:cols w:space="720"/>
          <w:docGrid w:linePitch="360"/>
        </w:sectPr>
      </w:pPr>
    </w:p>
    <w:p w14:paraId="5978A512" w14:textId="7464E590" w:rsidR="00B9636D" w:rsidRDefault="00E85424" w:rsidP="00B9636D">
      <w:pPr>
        <w:pStyle w:val="ListParagraph"/>
        <w:numPr>
          <w:ilvl w:val="0"/>
          <w:numId w:val="40"/>
        </w:numPr>
        <w:spacing w:after="0" w:line="480" w:lineRule="auto"/>
        <w:jc w:val="center"/>
        <w:rPr>
          <w:rFonts w:cs="Times New Roman"/>
          <w:b/>
          <w:szCs w:val="24"/>
        </w:rPr>
      </w:pPr>
      <w:r w:rsidRPr="00B9636D">
        <w:rPr>
          <w:rFonts w:cs="Times New Roman"/>
          <w:b/>
          <w:szCs w:val="24"/>
        </w:rPr>
        <w:lastRenderedPageBreak/>
        <w:t>INTRODUCTION</w:t>
      </w:r>
      <w:r w:rsidR="00302433">
        <w:rPr>
          <w:rFonts w:cs="Times New Roman"/>
          <w:b/>
          <w:szCs w:val="24"/>
        </w:rPr>
        <w:t xml:space="preserve"> AND BACKGROUND</w:t>
      </w:r>
    </w:p>
    <w:p w14:paraId="580D392D" w14:textId="364D674C" w:rsidR="00434D90" w:rsidRDefault="00302433"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Washington Utilities and Transportation Commission Staff (“Staff”) initiated an investigation into the business practices of Best Moving and Delivery, LLC (“Best Moving” or “Company”).  Staff’s investigation was required under the terms of a settlement</w:t>
      </w:r>
      <w:r w:rsidR="00434D90">
        <w:rPr>
          <w:rFonts w:cs="Times New Roman"/>
          <w:szCs w:val="24"/>
        </w:rPr>
        <w:t xml:space="preserve"> agreement with the Company in a previous matter</w:t>
      </w:r>
      <w:r>
        <w:rPr>
          <w:rFonts w:cs="Times New Roman"/>
          <w:szCs w:val="24"/>
        </w:rPr>
        <w:t xml:space="preserve">.  </w:t>
      </w:r>
      <w:r w:rsidR="00434D90">
        <w:rPr>
          <w:rFonts w:cs="Times New Roman"/>
          <w:szCs w:val="24"/>
        </w:rPr>
        <w:t xml:space="preserve">In the course of Staff’s investigation, Staff determined that the Company had misrepresented and falsified documents and violated several Commission rules.  </w:t>
      </w:r>
    </w:p>
    <w:p w14:paraId="5D0C3703" w14:textId="7C1B7B08" w:rsidR="00554C0A" w:rsidRDefault="00434D90"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r>
      <w:r w:rsidR="00302433">
        <w:rPr>
          <w:rFonts w:cs="Times New Roman"/>
          <w:szCs w:val="24"/>
        </w:rPr>
        <w:t xml:space="preserve">Upon review of Staff’s Investigation Report and associated documents, the Washington Utilities and Transportation Commission (“Commission”) found probable cause to issue a complaint against Best Moving.  </w:t>
      </w:r>
      <w:r w:rsidR="00CF3E03">
        <w:rPr>
          <w:rFonts w:cs="Times New Roman"/>
          <w:szCs w:val="24"/>
        </w:rPr>
        <w:t xml:space="preserve">The Commission’s complaint included eight causes of action.  </w:t>
      </w:r>
      <w:r w:rsidR="00302433">
        <w:rPr>
          <w:rFonts w:cs="Times New Roman"/>
          <w:szCs w:val="24"/>
        </w:rPr>
        <w:t xml:space="preserve">The Commission conducted an evidentiary hearing involving both Staff and the Company (collectively “the Parties”) on March 9, 2015. </w:t>
      </w:r>
    </w:p>
    <w:p w14:paraId="40C6C061" w14:textId="454BCB8E" w:rsidR="00554C0A" w:rsidRDefault="00B8482F" w:rsidP="00554C0A">
      <w:pPr>
        <w:pStyle w:val="ListParagraph"/>
        <w:numPr>
          <w:ilvl w:val="0"/>
          <w:numId w:val="32"/>
        </w:numPr>
        <w:spacing w:after="0" w:line="480" w:lineRule="auto"/>
        <w:rPr>
          <w:rFonts w:cs="Times New Roman"/>
          <w:szCs w:val="24"/>
        </w:rPr>
      </w:pPr>
      <w:r>
        <w:rPr>
          <w:rFonts w:cs="Times New Roman"/>
          <w:szCs w:val="24"/>
        </w:rPr>
        <w:tab/>
      </w:r>
      <w:r w:rsidR="00434D90">
        <w:rPr>
          <w:rFonts w:cs="Times New Roman"/>
          <w:szCs w:val="24"/>
        </w:rPr>
        <w:t>At the evidentiary hearing, the Company’s owner and officer, Mr. Ivan Ratko, acknowledged that Best Moving had committed the majority of violations alleged in the Commission’s complaint.</w:t>
      </w:r>
      <w:r w:rsidR="00434D90">
        <w:rPr>
          <w:rStyle w:val="FootnoteReference"/>
          <w:rFonts w:cs="Times New Roman"/>
          <w:szCs w:val="24"/>
        </w:rPr>
        <w:footnoteReference w:id="1"/>
      </w:r>
      <w:r w:rsidR="00CF3E03">
        <w:rPr>
          <w:rFonts w:cs="Times New Roman"/>
          <w:szCs w:val="24"/>
        </w:rPr>
        <w:t xml:space="preserve">  Staff presented evidence in the form of 64 Exhibits</w:t>
      </w:r>
      <w:r w:rsidR="00CF3E03">
        <w:rPr>
          <w:rStyle w:val="FootnoteReference"/>
          <w:rFonts w:cs="Times New Roman"/>
          <w:szCs w:val="24"/>
        </w:rPr>
        <w:footnoteReference w:id="2"/>
      </w:r>
      <w:r w:rsidR="00CF3E03">
        <w:rPr>
          <w:rFonts w:cs="Times New Roman"/>
          <w:szCs w:val="24"/>
        </w:rPr>
        <w:t xml:space="preserve"> and verbal testimony from Staff witness Ms. Rayne Pearson documenting and explaining that the Company had committed all of the violations alleged in the Commission’s complaint.  Staff’s testimony and response to Bench Request 1</w:t>
      </w:r>
      <w:r w:rsidR="00CF3E03">
        <w:rPr>
          <w:rStyle w:val="FootnoteReference"/>
          <w:rFonts w:cs="Times New Roman"/>
          <w:szCs w:val="24"/>
        </w:rPr>
        <w:footnoteReference w:id="3"/>
      </w:r>
      <w:r w:rsidR="00CF3E03">
        <w:rPr>
          <w:rFonts w:cs="Times New Roman"/>
          <w:szCs w:val="24"/>
        </w:rPr>
        <w:t xml:space="preserve"> further supported the imposition of a significant monetary penalty against the Company and revocation of Best Moving’s permit for good cause.  </w:t>
      </w:r>
    </w:p>
    <w:p w14:paraId="0AE32BC5" w14:textId="39878462" w:rsidR="00CF3E03" w:rsidRPr="00AB50E7" w:rsidRDefault="00CF3E03" w:rsidP="003B1F70">
      <w:pPr>
        <w:pStyle w:val="ListParagraph"/>
        <w:numPr>
          <w:ilvl w:val="0"/>
          <w:numId w:val="40"/>
        </w:numPr>
        <w:spacing w:after="0" w:line="480" w:lineRule="auto"/>
        <w:jc w:val="center"/>
        <w:rPr>
          <w:rFonts w:cs="Times New Roman"/>
          <w:b/>
          <w:szCs w:val="24"/>
        </w:rPr>
      </w:pPr>
      <w:r w:rsidRPr="00AB50E7">
        <w:rPr>
          <w:rFonts w:cs="Times New Roman"/>
          <w:b/>
          <w:szCs w:val="24"/>
        </w:rPr>
        <w:lastRenderedPageBreak/>
        <w:t>VIOLATIONS OF COMMISSION RULES</w:t>
      </w:r>
    </w:p>
    <w:p w14:paraId="1EEE7D38" w14:textId="021E9645" w:rsidR="00CF3E03" w:rsidRPr="00AB50E7" w:rsidRDefault="00CF3E03" w:rsidP="00C82D79">
      <w:pPr>
        <w:pStyle w:val="ListParagraph"/>
        <w:numPr>
          <w:ilvl w:val="0"/>
          <w:numId w:val="42"/>
        </w:numPr>
        <w:spacing w:after="0" w:line="480" w:lineRule="auto"/>
        <w:ind w:hanging="720"/>
        <w:rPr>
          <w:rFonts w:cs="Times New Roman"/>
          <w:b/>
          <w:szCs w:val="24"/>
        </w:rPr>
      </w:pPr>
      <w:r w:rsidRPr="00AB50E7">
        <w:rPr>
          <w:rFonts w:cs="Times New Roman"/>
          <w:b/>
          <w:szCs w:val="24"/>
        </w:rPr>
        <w:t>First Cause of Action (Violation of RCW 81.04.070)</w:t>
      </w:r>
    </w:p>
    <w:p w14:paraId="07CCE4ED" w14:textId="630E12AB" w:rsidR="00CF3E03" w:rsidRDefault="005A1060"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r>
      <w:r w:rsidR="00CF3E03">
        <w:rPr>
          <w:rFonts w:cs="Times New Roman"/>
          <w:szCs w:val="24"/>
        </w:rPr>
        <w:t>RCW 8</w:t>
      </w:r>
      <w:r>
        <w:rPr>
          <w:rFonts w:cs="Times New Roman"/>
          <w:szCs w:val="24"/>
        </w:rPr>
        <w:t>1.04.070 provides the Commission Staff authority to inspect the books and records of a regulated company.  In allowing Staff the abi</w:t>
      </w:r>
      <w:r w:rsidR="00AB50E7">
        <w:rPr>
          <w:rFonts w:cs="Times New Roman"/>
          <w:szCs w:val="24"/>
        </w:rPr>
        <w:t>lity to access regulated companie</w:t>
      </w:r>
      <w:r>
        <w:rPr>
          <w:rFonts w:cs="Times New Roman"/>
          <w:szCs w:val="24"/>
        </w:rPr>
        <w:t>s</w:t>
      </w:r>
      <w:r w:rsidR="00AB50E7">
        <w:rPr>
          <w:rFonts w:cs="Times New Roman"/>
          <w:szCs w:val="24"/>
        </w:rPr>
        <w:t>’</w:t>
      </w:r>
      <w:r>
        <w:rPr>
          <w:rFonts w:cs="Times New Roman"/>
          <w:szCs w:val="24"/>
        </w:rPr>
        <w:t xml:space="preserve"> books and records, RCW 81.04.070 inherently requires regulated companies to provide access to true and correct versions of those records.  Therefore, any attempt by a regulated entity to falsify documents by altering dates or misrepresenting documents’ content and purpose violates RCW 81.04.070. </w:t>
      </w:r>
    </w:p>
    <w:p w14:paraId="0BE73DE4" w14:textId="4A546E0A" w:rsidR="00CF3E03" w:rsidRDefault="00AB50E7"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r>
      <w:r w:rsidR="005A1060">
        <w:rPr>
          <w:rFonts w:cs="Times New Roman"/>
          <w:szCs w:val="24"/>
        </w:rPr>
        <w:t>Staff witness Ms. Pearson documented in her Investigation Report</w:t>
      </w:r>
      <w:r w:rsidR="005A1060">
        <w:rPr>
          <w:rStyle w:val="FootnoteReference"/>
          <w:rFonts w:cs="Times New Roman"/>
          <w:szCs w:val="24"/>
        </w:rPr>
        <w:footnoteReference w:id="4"/>
      </w:r>
      <w:r w:rsidR="005A1060">
        <w:rPr>
          <w:rFonts w:cs="Times New Roman"/>
          <w:szCs w:val="24"/>
        </w:rPr>
        <w:t xml:space="preserve"> and in oral testimony</w:t>
      </w:r>
      <w:r>
        <w:rPr>
          <w:rStyle w:val="FootnoteReference"/>
          <w:rFonts w:cs="Times New Roman"/>
          <w:szCs w:val="24"/>
        </w:rPr>
        <w:footnoteReference w:id="5"/>
      </w:r>
      <w:r w:rsidR="005A1060">
        <w:rPr>
          <w:rFonts w:cs="Times New Roman"/>
          <w:szCs w:val="24"/>
        </w:rPr>
        <w:t xml:space="preserve"> on March 9, 2015, that Best Moving had provided her with falsified documents.</w:t>
      </w:r>
      <w:r w:rsidR="000849DF">
        <w:rPr>
          <w:rFonts w:cs="Times New Roman"/>
          <w:szCs w:val="24"/>
        </w:rPr>
        <w:t xml:space="preserve">  Staff’s exhibits RP-1 through RP-7 show that the Company completed and dated the estimate forms as if customers had received them prior to or at the time of their move. </w:t>
      </w:r>
      <w:r w:rsidR="005A1060">
        <w:rPr>
          <w:rFonts w:cs="Times New Roman"/>
          <w:szCs w:val="24"/>
        </w:rPr>
        <w:t>Ms. Pearson</w:t>
      </w:r>
      <w:r w:rsidR="000849DF">
        <w:rPr>
          <w:rFonts w:cs="Times New Roman"/>
          <w:szCs w:val="24"/>
        </w:rPr>
        <w:t xml:space="preserve"> </w:t>
      </w:r>
      <w:r w:rsidR="00B6124D">
        <w:rPr>
          <w:rFonts w:cs="Times New Roman"/>
          <w:szCs w:val="24"/>
        </w:rPr>
        <w:t xml:space="preserve">also </w:t>
      </w:r>
      <w:r w:rsidR="000849DF">
        <w:rPr>
          <w:rFonts w:cs="Times New Roman"/>
          <w:szCs w:val="24"/>
        </w:rPr>
        <w:t xml:space="preserve">testified </w:t>
      </w:r>
      <w:r w:rsidR="005A1060">
        <w:rPr>
          <w:rFonts w:cs="Times New Roman"/>
          <w:szCs w:val="24"/>
        </w:rPr>
        <w:t xml:space="preserve">that </w:t>
      </w:r>
      <w:r>
        <w:rPr>
          <w:rFonts w:cs="Times New Roman"/>
          <w:szCs w:val="24"/>
        </w:rPr>
        <w:t xml:space="preserve">Mr. Ratko </w:t>
      </w:r>
      <w:r w:rsidR="000849DF">
        <w:rPr>
          <w:rFonts w:cs="Times New Roman"/>
          <w:szCs w:val="24"/>
        </w:rPr>
        <w:t xml:space="preserve">had </w:t>
      </w:r>
      <w:r>
        <w:rPr>
          <w:rFonts w:cs="Times New Roman"/>
          <w:szCs w:val="24"/>
        </w:rPr>
        <w:t xml:space="preserve">represented to her that all of the estimate forms he provided </w:t>
      </w:r>
      <w:r w:rsidR="000849DF">
        <w:rPr>
          <w:rFonts w:cs="Times New Roman"/>
          <w:szCs w:val="24"/>
        </w:rPr>
        <w:t xml:space="preserve">to Staff </w:t>
      </w:r>
      <w:r>
        <w:rPr>
          <w:rFonts w:cs="Times New Roman"/>
          <w:szCs w:val="24"/>
        </w:rPr>
        <w:t>had been presented to customers prior to or at the time of a move.  Ms. Pearson’s Investigation Re</w:t>
      </w:r>
      <w:r w:rsidR="003A0D15">
        <w:rPr>
          <w:rFonts w:cs="Times New Roman"/>
          <w:szCs w:val="24"/>
        </w:rPr>
        <w:t>port and oral testimony document</w:t>
      </w:r>
      <w:r>
        <w:rPr>
          <w:rFonts w:cs="Times New Roman"/>
          <w:szCs w:val="24"/>
        </w:rPr>
        <w:t xml:space="preserve"> direct conversations with seven customers</w:t>
      </w:r>
      <w:r>
        <w:rPr>
          <w:rStyle w:val="FootnoteReference"/>
          <w:rFonts w:cs="Times New Roman"/>
          <w:szCs w:val="24"/>
        </w:rPr>
        <w:footnoteReference w:id="6"/>
      </w:r>
      <w:r>
        <w:rPr>
          <w:rFonts w:cs="Times New Roman"/>
          <w:szCs w:val="24"/>
        </w:rPr>
        <w:t xml:space="preserve"> who specifically refuted receiving any estimate form from Best Moving.</w:t>
      </w:r>
      <w:r>
        <w:rPr>
          <w:rStyle w:val="FootnoteReference"/>
          <w:rFonts w:cs="Times New Roman"/>
          <w:szCs w:val="24"/>
        </w:rPr>
        <w:footnoteReference w:id="7"/>
      </w:r>
      <w:r>
        <w:rPr>
          <w:rFonts w:cs="Times New Roman"/>
          <w:szCs w:val="24"/>
        </w:rPr>
        <w:t xml:space="preserve">  Therefore, Best Moving, through its officer Mr. Ratko, misrepresented to Staff the contents and use of at least seven documents and falsified records to appear as if those seven customers had received estimate forms at the time of their moves. </w:t>
      </w:r>
    </w:p>
    <w:p w14:paraId="30D588EC" w14:textId="789A1FA5" w:rsidR="000849DF" w:rsidRDefault="000849DF" w:rsidP="000849DF">
      <w:pPr>
        <w:pStyle w:val="ListParagraph"/>
        <w:numPr>
          <w:ilvl w:val="0"/>
          <w:numId w:val="32"/>
        </w:numPr>
        <w:spacing w:after="0" w:line="480" w:lineRule="auto"/>
        <w:rPr>
          <w:rFonts w:cs="Times New Roman"/>
          <w:szCs w:val="24"/>
        </w:rPr>
      </w:pPr>
      <w:r>
        <w:rPr>
          <w:rFonts w:cs="Times New Roman"/>
          <w:szCs w:val="24"/>
        </w:rPr>
        <w:lastRenderedPageBreak/>
        <w:t xml:space="preserve"> </w:t>
      </w:r>
      <w:r>
        <w:rPr>
          <w:rFonts w:cs="Times New Roman"/>
          <w:szCs w:val="24"/>
        </w:rPr>
        <w:tab/>
        <w:t xml:space="preserve">The Commission should uphold the allegations listed in the first of cause of action of the Complaint against Best Moving.  </w:t>
      </w:r>
      <w:r w:rsidR="003A0D15">
        <w:rPr>
          <w:rFonts w:cs="Times New Roman"/>
          <w:szCs w:val="24"/>
        </w:rPr>
        <w:t>It is important that the Commission recognize that falsified and misrepresented forms directly obstruct</w:t>
      </w:r>
      <w:r>
        <w:rPr>
          <w:rFonts w:cs="Times New Roman"/>
          <w:szCs w:val="24"/>
        </w:rPr>
        <w:t xml:space="preserve"> the Commission</w:t>
      </w:r>
      <w:r w:rsidR="00E44E65">
        <w:rPr>
          <w:rFonts w:cs="Times New Roman"/>
          <w:szCs w:val="24"/>
        </w:rPr>
        <w:t xml:space="preserve"> Staff’s</w:t>
      </w:r>
      <w:r>
        <w:rPr>
          <w:rFonts w:cs="Times New Roman"/>
          <w:szCs w:val="24"/>
        </w:rPr>
        <w:t xml:space="preserve"> </w:t>
      </w:r>
      <w:r w:rsidR="00E44E65">
        <w:rPr>
          <w:rFonts w:cs="Times New Roman"/>
          <w:szCs w:val="24"/>
        </w:rPr>
        <w:t>ability</w:t>
      </w:r>
      <w:r>
        <w:rPr>
          <w:rFonts w:cs="Times New Roman"/>
          <w:szCs w:val="24"/>
        </w:rPr>
        <w:t xml:space="preserve"> to regulate in the public interest</w:t>
      </w:r>
      <w:r w:rsidR="003A0D15">
        <w:rPr>
          <w:rFonts w:cs="Times New Roman"/>
          <w:szCs w:val="24"/>
        </w:rPr>
        <w:t xml:space="preserve">.  The Company’s fraudulent activity in this case supports a significant penalty and the Commission should take clear, direct action to prevent this type of misconduct in the future.  </w:t>
      </w:r>
    </w:p>
    <w:p w14:paraId="3E13D118" w14:textId="418D672A" w:rsidR="00AB50E7" w:rsidRPr="00AB50E7" w:rsidRDefault="00AB50E7" w:rsidP="00C82D79">
      <w:pPr>
        <w:pStyle w:val="ListParagraph"/>
        <w:numPr>
          <w:ilvl w:val="0"/>
          <w:numId w:val="42"/>
        </w:numPr>
        <w:spacing w:after="0" w:line="480" w:lineRule="auto"/>
        <w:ind w:hanging="720"/>
        <w:rPr>
          <w:rFonts w:cs="Times New Roman"/>
          <w:b/>
          <w:szCs w:val="24"/>
        </w:rPr>
      </w:pPr>
      <w:r w:rsidRPr="00AB50E7">
        <w:rPr>
          <w:rFonts w:cs="Times New Roman"/>
          <w:b/>
          <w:szCs w:val="24"/>
        </w:rPr>
        <w:t>Second Cause of Action (Violation of WAC 480-15-630)</w:t>
      </w:r>
    </w:p>
    <w:p w14:paraId="33545360" w14:textId="58FBAD92" w:rsidR="003A0D15" w:rsidRDefault="00E44E65"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r>
      <w:r w:rsidR="00AB50E7">
        <w:rPr>
          <w:rFonts w:cs="Times New Roman"/>
          <w:szCs w:val="24"/>
        </w:rPr>
        <w:t>Under WAC 480-15-630, household goods carriers must provide</w:t>
      </w:r>
      <w:r w:rsidR="000849DF">
        <w:rPr>
          <w:rFonts w:cs="Times New Roman"/>
          <w:szCs w:val="24"/>
        </w:rPr>
        <w:t xml:space="preserve"> an estimate form to</w:t>
      </w:r>
      <w:r w:rsidR="00AB50E7">
        <w:rPr>
          <w:rFonts w:cs="Times New Roman"/>
          <w:szCs w:val="24"/>
        </w:rPr>
        <w:t xml:space="preserve"> each customer </w:t>
      </w:r>
      <w:r w:rsidR="000849DF">
        <w:rPr>
          <w:rFonts w:cs="Times New Roman"/>
          <w:szCs w:val="24"/>
        </w:rPr>
        <w:t xml:space="preserve">prior to conducting a move.  In this case, </w:t>
      </w:r>
      <w:r w:rsidR="00490C45">
        <w:rPr>
          <w:rFonts w:cs="Times New Roman"/>
          <w:szCs w:val="24"/>
        </w:rPr>
        <w:t>Ms. Pearson</w:t>
      </w:r>
      <w:r w:rsidR="000849DF">
        <w:rPr>
          <w:rFonts w:cs="Times New Roman"/>
          <w:szCs w:val="24"/>
        </w:rPr>
        <w:t xml:space="preserve"> documented and testified to direct conversations with seven separate individuals who specifically confirmed that Best Moving had not provided them </w:t>
      </w:r>
      <w:r w:rsidR="00490C45">
        <w:rPr>
          <w:rFonts w:cs="Times New Roman"/>
          <w:szCs w:val="24"/>
        </w:rPr>
        <w:t xml:space="preserve">with </w:t>
      </w:r>
      <w:r w:rsidR="000849DF">
        <w:rPr>
          <w:rFonts w:cs="Times New Roman"/>
          <w:szCs w:val="24"/>
        </w:rPr>
        <w:t>estimate forms.</w:t>
      </w:r>
      <w:r w:rsidR="000849DF">
        <w:rPr>
          <w:rStyle w:val="FootnoteReference"/>
          <w:rFonts w:cs="Times New Roman"/>
          <w:szCs w:val="24"/>
        </w:rPr>
        <w:footnoteReference w:id="8"/>
      </w:r>
      <w:r w:rsidR="000849DF">
        <w:rPr>
          <w:rFonts w:cs="Times New Roman"/>
          <w:szCs w:val="24"/>
        </w:rPr>
        <w:t xml:space="preserve">  Moreover, Staff’s Exhibits RP-1 through RP-7 </w:t>
      </w:r>
      <w:r w:rsidR="003A0D15">
        <w:rPr>
          <w:rFonts w:cs="Times New Roman"/>
          <w:szCs w:val="24"/>
        </w:rPr>
        <w:t>clearly indi</w:t>
      </w:r>
      <w:r w:rsidR="000849DF">
        <w:rPr>
          <w:rFonts w:cs="Times New Roman"/>
          <w:szCs w:val="24"/>
        </w:rPr>
        <w:t>cate</w:t>
      </w:r>
      <w:r w:rsidR="003A0D15">
        <w:rPr>
          <w:rFonts w:cs="Times New Roman"/>
          <w:szCs w:val="24"/>
        </w:rPr>
        <w:t xml:space="preserve"> that those</w:t>
      </w:r>
      <w:r w:rsidR="000849DF">
        <w:rPr>
          <w:rFonts w:cs="Times New Roman"/>
          <w:szCs w:val="24"/>
        </w:rPr>
        <w:t xml:space="preserve"> customers did not sign or date for receipt of the estimate form.</w:t>
      </w:r>
      <w:r w:rsidR="000849DF">
        <w:rPr>
          <w:rStyle w:val="FootnoteReference"/>
          <w:rFonts w:cs="Times New Roman"/>
          <w:szCs w:val="24"/>
        </w:rPr>
        <w:footnoteReference w:id="9"/>
      </w:r>
      <w:r w:rsidR="000849DF">
        <w:rPr>
          <w:rFonts w:cs="Times New Roman"/>
          <w:szCs w:val="24"/>
        </w:rPr>
        <w:t xml:space="preserve"> </w:t>
      </w:r>
      <w:r w:rsidR="003A0D15">
        <w:rPr>
          <w:rFonts w:cs="Times New Roman"/>
          <w:szCs w:val="24"/>
        </w:rPr>
        <w:t xml:space="preserve"> </w:t>
      </w:r>
      <w:r w:rsidR="000849DF">
        <w:rPr>
          <w:rFonts w:cs="Times New Roman"/>
          <w:szCs w:val="24"/>
        </w:rPr>
        <w:t xml:space="preserve">The absence of any signature or date from the customer acknowledging receipt of the estimate forms coupled with Staff’s direct conversations with those seven customers demonstrate that the Company </w:t>
      </w:r>
      <w:r w:rsidR="00490C45">
        <w:rPr>
          <w:rFonts w:cs="Times New Roman"/>
          <w:szCs w:val="24"/>
        </w:rPr>
        <w:t>failed to provide customers with estimate forms on at least seven occasions in violation of</w:t>
      </w:r>
      <w:r w:rsidR="000849DF">
        <w:rPr>
          <w:rFonts w:cs="Times New Roman"/>
          <w:szCs w:val="24"/>
        </w:rPr>
        <w:t xml:space="preserve"> WAC 480-15-630.</w:t>
      </w:r>
    </w:p>
    <w:p w14:paraId="74C78B46" w14:textId="7AA1CEBA" w:rsidR="00CF3E03" w:rsidRPr="003A0D15" w:rsidRDefault="003A0D15" w:rsidP="00C82D79">
      <w:pPr>
        <w:pStyle w:val="ListParagraph"/>
        <w:keepNext/>
        <w:numPr>
          <w:ilvl w:val="0"/>
          <w:numId w:val="42"/>
        </w:numPr>
        <w:spacing w:after="0" w:line="480" w:lineRule="auto"/>
        <w:ind w:hanging="720"/>
        <w:rPr>
          <w:rFonts w:cs="Times New Roman"/>
          <w:b/>
          <w:szCs w:val="24"/>
        </w:rPr>
      </w:pPr>
      <w:r w:rsidRPr="003A0D15">
        <w:rPr>
          <w:rFonts w:cs="Times New Roman"/>
          <w:b/>
          <w:szCs w:val="24"/>
        </w:rPr>
        <w:t>Third Cause of Action (Violations of WAC 480-15-630 and Tariff 15-C)</w:t>
      </w:r>
      <w:r w:rsidR="000849DF" w:rsidRPr="003A0D15">
        <w:rPr>
          <w:rFonts w:cs="Times New Roman"/>
          <w:b/>
          <w:szCs w:val="24"/>
        </w:rPr>
        <w:t xml:space="preserve">  </w:t>
      </w:r>
    </w:p>
    <w:p w14:paraId="4BC318BF" w14:textId="2C5C655C" w:rsidR="00AB50E7" w:rsidRDefault="00E44E65"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r>
      <w:r w:rsidR="003A0D15">
        <w:rPr>
          <w:rFonts w:cs="Times New Roman"/>
          <w:szCs w:val="24"/>
        </w:rPr>
        <w:t>Under WAC 480-15-630, household goods carriers must issue an estimate form that complies with the Commission-published tariff.</w:t>
      </w:r>
      <w:r w:rsidR="003A0D15">
        <w:rPr>
          <w:rStyle w:val="FootnoteReference"/>
          <w:rFonts w:cs="Times New Roman"/>
          <w:szCs w:val="24"/>
        </w:rPr>
        <w:footnoteReference w:id="10"/>
      </w:r>
      <w:r>
        <w:rPr>
          <w:rFonts w:cs="Times New Roman"/>
          <w:szCs w:val="24"/>
        </w:rPr>
        <w:t xml:space="preserve">  The Commission’s complaint alleges a number of violations of Commission-published Tariff 15-C.</w:t>
      </w:r>
      <w:r>
        <w:rPr>
          <w:rStyle w:val="FootnoteReference"/>
          <w:rFonts w:cs="Times New Roman"/>
          <w:szCs w:val="24"/>
        </w:rPr>
        <w:footnoteReference w:id="11"/>
      </w:r>
    </w:p>
    <w:p w14:paraId="03980729" w14:textId="19DC7698" w:rsidR="00AB50E7" w:rsidRDefault="008D5408" w:rsidP="00554C0A">
      <w:pPr>
        <w:pStyle w:val="ListParagraph"/>
        <w:numPr>
          <w:ilvl w:val="0"/>
          <w:numId w:val="32"/>
        </w:numPr>
        <w:spacing w:after="0" w:line="480" w:lineRule="auto"/>
        <w:rPr>
          <w:rFonts w:cs="Times New Roman"/>
          <w:szCs w:val="24"/>
        </w:rPr>
      </w:pPr>
      <w:r>
        <w:rPr>
          <w:rFonts w:cs="Times New Roman"/>
          <w:szCs w:val="24"/>
        </w:rPr>
        <w:lastRenderedPageBreak/>
        <w:t xml:space="preserve"> </w:t>
      </w:r>
      <w:r>
        <w:rPr>
          <w:rFonts w:cs="Times New Roman"/>
          <w:szCs w:val="24"/>
        </w:rPr>
        <w:tab/>
      </w:r>
      <w:r w:rsidR="00E44E65">
        <w:rPr>
          <w:rFonts w:cs="Times New Roman"/>
          <w:szCs w:val="24"/>
        </w:rPr>
        <w:t>Staff’s Investigation Report, admitted as Exhibit RP</w:t>
      </w:r>
      <w:r w:rsidR="00490C45">
        <w:rPr>
          <w:rFonts w:cs="Times New Roman"/>
          <w:szCs w:val="24"/>
        </w:rPr>
        <w:t xml:space="preserve">-64, documents eight violations </w:t>
      </w:r>
      <w:r w:rsidR="00E44E65">
        <w:rPr>
          <w:rFonts w:cs="Times New Roman"/>
          <w:szCs w:val="24"/>
        </w:rPr>
        <w:t>of the Commission-published Tariff 15-C</w:t>
      </w:r>
      <w:r>
        <w:rPr>
          <w:rFonts w:cs="Times New Roman"/>
          <w:szCs w:val="24"/>
        </w:rPr>
        <w:t>, Item 85.</w:t>
      </w:r>
      <w:r>
        <w:rPr>
          <w:rStyle w:val="FootnoteReference"/>
          <w:rFonts w:cs="Times New Roman"/>
          <w:szCs w:val="24"/>
        </w:rPr>
        <w:footnoteReference w:id="12"/>
      </w:r>
      <w:r>
        <w:rPr>
          <w:rFonts w:cs="Times New Roman"/>
          <w:szCs w:val="24"/>
        </w:rPr>
        <w:t xml:space="preserve"> </w:t>
      </w:r>
      <w:r w:rsidR="00490C45">
        <w:rPr>
          <w:rFonts w:cs="Times New Roman"/>
          <w:szCs w:val="24"/>
        </w:rPr>
        <w:t xml:space="preserve"> Ms. Pearson</w:t>
      </w:r>
      <w:r>
        <w:rPr>
          <w:rFonts w:cs="Times New Roman"/>
          <w:szCs w:val="24"/>
        </w:rPr>
        <w:t xml:space="preserve"> testified at the hearing that all of those violations </w:t>
      </w:r>
      <w:r w:rsidR="00490C45">
        <w:rPr>
          <w:rFonts w:cs="Times New Roman"/>
          <w:szCs w:val="24"/>
        </w:rPr>
        <w:t xml:space="preserve">of </w:t>
      </w:r>
      <w:r>
        <w:rPr>
          <w:rFonts w:cs="Times New Roman"/>
          <w:szCs w:val="24"/>
        </w:rPr>
        <w:t>Tariff 15-C, Item 85 alleged in her investigation report exist on each and every estimate form documented as Exhibits RP-1 through RP-31.</w:t>
      </w:r>
      <w:r w:rsidR="00FC2FE6">
        <w:rPr>
          <w:rFonts w:cs="Times New Roman"/>
          <w:szCs w:val="24"/>
        </w:rPr>
        <w:t xml:space="preserve"> </w:t>
      </w:r>
      <w:r>
        <w:rPr>
          <w:rFonts w:cs="Times New Roman"/>
          <w:szCs w:val="24"/>
        </w:rPr>
        <w:t xml:space="preserve"> </w:t>
      </w:r>
      <w:r w:rsidR="00490C45">
        <w:rPr>
          <w:rFonts w:cs="Times New Roman"/>
          <w:szCs w:val="24"/>
        </w:rPr>
        <w:t xml:space="preserve">The 31 estimate forms documenting Staff’s findings have also been admitted as Exhibits RP-1 through RP-31.  </w:t>
      </w:r>
      <w:r>
        <w:rPr>
          <w:rFonts w:cs="Times New Roman"/>
          <w:szCs w:val="24"/>
        </w:rPr>
        <w:t xml:space="preserve">Lastly, in oral testimony at the March 9, 2015, evidentiary hearing, Mr. Ratko acknowledged that his Company’s estimate forms contained the violations alleged in the Commission’s complaint. </w:t>
      </w:r>
    </w:p>
    <w:p w14:paraId="2DEB312D" w14:textId="1CBA803E" w:rsidR="00AB50E7" w:rsidRDefault="008D5408"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Given the evidence in this case, Staff’s testimony, and Mr. Ratko’s admission at the evidentiary hearing, the Commission should accept Staff’s finding of 31 violations</w:t>
      </w:r>
      <w:r w:rsidR="00380294">
        <w:rPr>
          <w:rStyle w:val="FootnoteReference"/>
          <w:rFonts w:cs="Times New Roman"/>
          <w:szCs w:val="24"/>
        </w:rPr>
        <w:footnoteReference w:id="13"/>
      </w:r>
      <w:r>
        <w:rPr>
          <w:rFonts w:cs="Times New Roman"/>
          <w:szCs w:val="24"/>
        </w:rPr>
        <w:t xml:space="preserve"> of WAC 480-15-630 and Tariff 15-C.</w:t>
      </w:r>
    </w:p>
    <w:p w14:paraId="526E13D5" w14:textId="642B6FC6" w:rsidR="008D5408" w:rsidRDefault="008D5408" w:rsidP="00C82D79">
      <w:pPr>
        <w:pStyle w:val="ListParagraph"/>
        <w:numPr>
          <w:ilvl w:val="0"/>
          <w:numId w:val="42"/>
        </w:numPr>
        <w:spacing w:after="0" w:line="240" w:lineRule="auto"/>
        <w:ind w:hanging="720"/>
        <w:rPr>
          <w:rFonts w:cs="Times New Roman"/>
          <w:b/>
          <w:szCs w:val="24"/>
        </w:rPr>
      </w:pPr>
      <w:r w:rsidRPr="008D5408">
        <w:rPr>
          <w:rFonts w:cs="Times New Roman"/>
          <w:b/>
          <w:szCs w:val="24"/>
        </w:rPr>
        <w:t>Fourth Cause of Action</w:t>
      </w:r>
      <w:r>
        <w:rPr>
          <w:rFonts w:cs="Times New Roman"/>
          <w:b/>
          <w:szCs w:val="24"/>
        </w:rPr>
        <w:t xml:space="preserve"> (Violation of WAC 4</w:t>
      </w:r>
      <w:r w:rsidR="00C82D79">
        <w:rPr>
          <w:rFonts w:cs="Times New Roman"/>
          <w:b/>
          <w:szCs w:val="24"/>
        </w:rPr>
        <w:t>80-15-630 and Tariff 15-C, Item </w:t>
      </w:r>
      <w:r>
        <w:rPr>
          <w:rFonts w:cs="Times New Roman"/>
          <w:b/>
          <w:szCs w:val="24"/>
        </w:rPr>
        <w:t>85(2)(g)</w:t>
      </w:r>
    </w:p>
    <w:p w14:paraId="364F3597" w14:textId="77777777" w:rsidR="00C82D79" w:rsidRPr="00C82D79" w:rsidRDefault="00C82D79" w:rsidP="00C82D79">
      <w:pPr>
        <w:spacing w:after="0" w:line="240" w:lineRule="auto"/>
        <w:rPr>
          <w:rFonts w:cs="Times New Roman"/>
          <w:b/>
          <w:szCs w:val="24"/>
        </w:rPr>
      </w:pPr>
    </w:p>
    <w:p w14:paraId="1C960680" w14:textId="5DE12033" w:rsidR="00AB50E7" w:rsidRDefault="008567E3"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r>
      <w:r w:rsidR="008D5408">
        <w:rPr>
          <w:rFonts w:cs="Times New Roman"/>
          <w:szCs w:val="24"/>
        </w:rPr>
        <w:t xml:space="preserve">Under WAC 480-15-630, household goods carriers must issue an estimate form that complies with the Commission-published Tariff 15-C.  Tariff 15-C, Item 85(2)(g) requires that an estimate form include a cube sheet inventory of items on which the estimate is based and the estimated cubic footage for each item. </w:t>
      </w:r>
    </w:p>
    <w:p w14:paraId="3B8F942F" w14:textId="0758E4D3" w:rsidR="00AB50E7" w:rsidRDefault="008567E3"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In its investigation, Staff requested Best Moving provide all documents related to each customer move conducted between June 1, 2012</w:t>
      </w:r>
      <w:r w:rsidR="00367717">
        <w:rPr>
          <w:rFonts w:cs="Times New Roman"/>
          <w:szCs w:val="24"/>
        </w:rPr>
        <w:t>,</w:t>
      </w:r>
      <w:r>
        <w:rPr>
          <w:rFonts w:cs="Times New Roman"/>
          <w:szCs w:val="24"/>
        </w:rPr>
        <w:t xml:space="preserve"> through Sept. 30, 2012.</w:t>
      </w:r>
      <w:r>
        <w:rPr>
          <w:rStyle w:val="FootnoteReference"/>
          <w:rFonts w:cs="Times New Roman"/>
          <w:szCs w:val="24"/>
        </w:rPr>
        <w:footnoteReference w:id="14"/>
      </w:r>
      <w:r>
        <w:rPr>
          <w:rFonts w:cs="Times New Roman"/>
          <w:szCs w:val="24"/>
        </w:rPr>
        <w:t xml:space="preserve"> </w:t>
      </w:r>
      <w:r w:rsidR="00490C45">
        <w:rPr>
          <w:rFonts w:cs="Times New Roman"/>
          <w:szCs w:val="24"/>
        </w:rPr>
        <w:t xml:space="preserve"> </w:t>
      </w:r>
      <w:r>
        <w:rPr>
          <w:rFonts w:cs="Times New Roman"/>
          <w:szCs w:val="24"/>
        </w:rPr>
        <w:t>Best Moving responded to Staff’s request on March 26, 2013.</w:t>
      </w:r>
      <w:r>
        <w:rPr>
          <w:rStyle w:val="FootnoteReference"/>
          <w:rFonts w:cs="Times New Roman"/>
          <w:szCs w:val="24"/>
        </w:rPr>
        <w:footnoteReference w:id="15"/>
      </w:r>
      <w:r>
        <w:rPr>
          <w:rFonts w:cs="Times New Roman"/>
          <w:szCs w:val="24"/>
        </w:rPr>
        <w:t xml:space="preserve">  Best Moving did not provide any documentation of cube sheets or estimates of cubic footage.</w:t>
      </w:r>
      <w:r>
        <w:rPr>
          <w:rStyle w:val="FootnoteReference"/>
          <w:rFonts w:cs="Times New Roman"/>
          <w:szCs w:val="24"/>
        </w:rPr>
        <w:footnoteReference w:id="16"/>
      </w:r>
      <w:r>
        <w:rPr>
          <w:rFonts w:cs="Times New Roman"/>
          <w:szCs w:val="24"/>
        </w:rPr>
        <w:t xml:space="preserve"> </w:t>
      </w:r>
    </w:p>
    <w:p w14:paraId="087F51B0" w14:textId="007E29FF" w:rsidR="00AB50E7" w:rsidRDefault="008567E3" w:rsidP="00554C0A">
      <w:pPr>
        <w:pStyle w:val="ListParagraph"/>
        <w:numPr>
          <w:ilvl w:val="0"/>
          <w:numId w:val="32"/>
        </w:numPr>
        <w:spacing w:after="0" w:line="480" w:lineRule="auto"/>
        <w:rPr>
          <w:rFonts w:cs="Times New Roman"/>
          <w:szCs w:val="24"/>
        </w:rPr>
      </w:pPr>
      <w:r>
        <w:rPr>
          <w:rFonts w:cs="Times New Roman"/>
          <w:szCs w:val="24"/>
        </w:rPr>
        <w:lastRenderedPageBreak/>
        <w:t xml:space="preserve"> </w:t>
      </w:r>
      <w:r>
        <w:rPr>
          <w:rFonts w:cs="Times New Roman"/>
          <w:szCs w:val="24"/>
        </w:rPr>
        <w:tab/>
        <w:t>Staff’s witness testified at the hearing that the Company did not provide any cube sheets.  Mr. Ratko testified</w:t>
      </w:r>
      <w:r w:rsidR="00490C45">
        <w:rPr>
          <w:rFonts w:cs="Times New Roman"/>
          <w:szCs w:val="24"/>
        </w:rPr>
        <w:t xml:space="preserve"> at the evidentiary hearing</w:t>
      </w:r>
      <w:r>
        <w:rPr>
          <w:rFonts w:cs="Times New Roman"/>
          <w:szCs w:val="24"/>
        </w:rPr>
        <w:t xml:space="preserve"> that he did not complete cube sheets but simply asked for pictures </w:t>
      </w:r>
      <w:r w:rsidR="00490C45">
        <w:rPr>
          <w:rFonts w:cs="Times New Roman"/>
          <w:szCs w:val="24"/>
        </w:rPr>
        <w:t xml:space="preserve">or lists </w:t>
      </w:r>
      <w:r>
        <w:rPr>
          <w:rFonts w:cs="Times New Roman"/>
          <w:szCs w:val="24"/>
        </w:rPr>
        <w:t xml:space="preserve">from customers.  The relevant rules and Commission-published tariff do </w:t>
      </w:r>
      <w:r w:rsidR="00490C45">
        <w:rPr>
          <w:rFonts w:cs="Times New Roman"/>
          <w:szCs w:val="24"/>
        </w:rPr>
        <w:t xml:space="preserve">not allow </w:t>
      </w:r>
      <w:r>
        <w:rPr>
          <w:rFonts w:cs="Times New Roman"/>
          <w:szCs w:val="24"/>
        </w:rPr>
        <w:t>a picture</w:t>
      </w:r>
      <w:r w:rsidR="00490C45">
        <w:rPr>
          <w:rFonts w:cs="Times New Roman"/>
          <w:szCs w:val="24"/>
        </w:rPr>
        <w:t xml:space="preserve"> or list</w:t>
      </w:r>
      <w:r>
        <w:rPr>
          <w:rFonts w:cs="Times New Roman"/>
          <w:szCs w:val="24"/>
        </w:rPr>
        <w:t xml:space="preserve"> </w:t>
      </w:r>
      <w:r w:rsidR="00490C45">
        <w:rPr>
          <w:rFonts w:cs="Times New Roman"/>
          <w:szCs w:val="24"/>
        </w:rPr>
        <w:t>as a</w:t>
      </w:r>
      <w:r>
        <w:rPr>
          <w:rFonts w:cs="Times New Roman"/>
          <w:szCs w:val="24"/>
        </w:rPr>
        <w:t xml:space="preserve"> substitute for the required cube sheet.</w:t>
      </w:r>
      <w:r>
        <w:rPr>
          <w:rStyle w:val="FootnoteReference"/>
          <w:rFonts w:cs="Times New Roman"/>
          <w:szCs w:val="24"/>
        </w:rPr>
        <w:footnoteReference w:id="17"/>
      </w:r>
      <w:r>
        <w:rPr>
          <w:rFonts w:cs="Times New Roman"/>
          <w:szCs w:val="24"/>
        </w:rPr>
        <w:t xml:space="preserve">  Therefore, the Company violated WAC 480-15-630 an</w:t>
      </w:r>
      <w:r w:rsidR="00490C45">
        <w:rPr>
          <w:rFonts w:cs="Times New Roman"/>
          <w:szCs w:val="24"/>
        </w:rPr>
        <w:t>d Tariff 15-C on 31 occasions, and t</w:t>
      </w:r>
      <w:r>
        <w:rPr>
          <w:rFonts w:cs="Times New Roman"/>
          <w:szCs w:val="24"/>
        </w:rPr>
        <w:t xml:space="preserve">he Commission should </w:t>
      </w:r>
      <w:r w:rsidR="00490C45">
        <w:rPr>
          <w:rFonts w:cs="Times New Roman"/>
          <w:szCs w:val="24"/>
        </w:rPr>
        <w:t xml:space="preserve">again </w:t>
      </w:r>
      <w:r>
        <w:rPr>
          <w:rFonts w:cs="Times New Roman"/>
          <w:szCs w:val="24"/>
        </w:rPr>
        <w:t>support Staff’s finding.</w:t>
      </w:r>
    </w:p>
    <w:p w14:paraId="2248859A" w14:textId="7F9AEC17" w:rsidR="008567E3" w:rsidRPr="008567E3" w:rsidRDefault="008567E3" w:rsidP="00C82D79">
      <w:pPr>
        <w:pStyle w:val="ListParagraph"/>
        <w:numPr>
          <w:ilvl w:val="0"/>
          <w:numId w:val="42"/>
        </w:numPr>
        <w:spacing w:after="0" w:line="480" w:lineRule="auto"/>
        <w:ind w:hanging="720"/>
        <w:rPr>
          <w:rFonts w:cs="Times New Roman"/>
          <w:b/>
          <w:szCs w:val="24"/>
        </w:rPr>
      </w:pPr>
      <w:r w:rsidRPr="008567E3">
        <w:rPr>
          <w:rFonts w:cs="Times New Roman"/>
          <w:b/>
          <w:szCs w:val="24"/>
        </w:rPr>
        <w:t xml:space="preserve">Fifth Cause of Action </w:t>
      </w:r>
      <w:r w:rsidR="0047772B">
        <w:rPr>
          <w:rFonts w:cs="Times New Roman"/>
          <w:b/>
          <w:szCs w:val="24"/>
        </w:rPr>
        <w:t>(Violation of WAC 480-15-710 and Tariff 15-C, Item 95)</w:t>
      </w:r>
    </w:p>
    <w:p w14:paraId="516CA110" w14:textId="7726A258" w:rsidR="00AB50E7" w:rsidRDefault="0047772B"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Under WAC 480-15-710, a household goods carrier must issue customers a bill of lading for every move, and the bill of lading must include all the information described in the Commission-published tariff.  Commission-published Tariff 15-C, Item 95 sets out the information that must be included in a company’s bill of lading.  The Commission’s complaint sets out a number of alleged violations of Tariff 15-C, item 95.</w:t>
      </w:r>
      <w:r>
        <w:rPr>
          <w:rStyle w:val="FootnoteReference"/>
          <w:rFonts w:cs="Times New Roman"/>
          <w:szCs w:val="24"/>
        </w:rPr>
        <w:footnoteReference w:id="18"/>
      </w:r>
      <w:r>
        <w:rPr>
          <w:rFonts w:cs="Times New Roman"/>
          <w:szCs w:val="24"/>
        </w:rPr>
        <w:t xml:space="preserve"> </w:t>
      </w:r>
    </w:p>
    <w:p w14:paraId="5A111197" w14:textId="567E6C08" w:rsidR="008567E3" w:rsidRDefault="0047772B"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Staff’s Investigation Report, included in this proceeding as Exhibit RP-64, documents eight types of violations of Tariff 15-C, Item 95 on Best Moving’s bill of lading. Staff Exhibits RP</w:t>
      </w:r>
      <w:r w:rsidR="00FC2FE6">
        <w:rPr>
          <w:rFonts w:cs="Times New Roman"/>
          <w:szCs w:val="24"/>
        </w:rPr>
        <w:t>-32 through RP-62 provided the bases for Staff’s findings and are also documented in this proceeding.  Ms. Pearson testified on March 9, 2015, that each of the violations documented in her report and in fifth cause of action of the Commission’s complaint exist on each and every bill of lading she reviewed</w:t>
      </w:r>
      <w:r w:rsidR="00367717">
        <w:rPr>
          <w:rFonts w:cs="Times New Roman"/>
          <w:szCs w:val="24"/>
        </w:rPr>
        <w:t>,</w:t>
      </w:r>
      <w:r w:rsidR="00FC2FE6">
        <w:rPr>
          <w:rFonts w:cs="Times New Roman"/>
          <w:szCs w:val="24"/>
        </w:rPr>
        <w:t xml:space="preserve"> and are documented as Exhibits RP-32 through RP-62.  Lastly, Mr. Ratko’s testimony at the evidentiary hearing included an admission that his Company’s bill of lading forms contained the violations alleged in the Commission’s complaint.</w:t>
      </w:r>
    </w:p>
    <w:p w14:paraId="1D7A4AC8" w14:textId="73F00101" w:rsidR="008567E3" w:rsidRDefault="00FC2FE6" w:rsidP="00554C0A">
      <w:pPr>
        <w:pStyle w:val="ListParagraph"/>
        <w:numPr>
          <w:ilvl w:val="0"/>
          <w:numId w:val="32"/>
        </w:numPr>
        <w:spacing w:after="0" w:line="480" w:lineRule="auto"/>
        <w:rPr>
          <w:rFonts w:cs="Times New Roman"/>
          <w:szCs w:val="24"/>
        </w:rPr>
      </w:pPr>
      <w:r>
        <w:rPr>
          <w:rFonts w:cs="Times New Roman"/>
          <w:szCs w:val="24"/>
        </w:rPr>
        <w:lastRenderedPageBreak/>
        <w:t xml:space="preserve"> </w:t>
      </w:r>
      <w:r>
        <w:rPr>
          <w:rFonts w:cs="Times New Roman"/>
          <w:szCs w:val="24"/>
        </w:rPr>
        <w:tab/>
        <w:t>Given the evidence in this case, Staff’s testimony, and Mr. Ratko’s admission at the evidentiary hearing, the Commission should find 31 violations of WAC 480-15-710 and Tariff 15-C, Item 95.</w:t>
      </w:r>
    </w:p>
    <w:p w14:paraId="2C4AB01E" w14:textId="383020F6" w:rsidR="00FC2FE6" w:rsidRPr="00FC2FE6" w:rsidRDefault="00FC2FE6" w:rsidP="00C82D79">
      <w:pPr>
        <w:pStyle w:val="ListParagraph"/>
        <w:numPr>
          <w:ilvl w:val="0"/>
          <w:numId w:val="42"/>
        </w:numPr>
        <w:spacing w:after="0" w:line="480" w:lineRule="auto"/>
        <w:ind w:hanging="720"/>
        <w:rPr>
          <w:rFonts w:cs="Times New Roman"/>
          <w:b/>
          <w:szCs w:val="24"/>
        </w:rPr>
      </w:pPr>
      <w:r w:rsidRPr="00FC2FE6">
        <w:rPr>
          <w:rFonts w:cs="Times New Roman"/>
          <w:b/>
          <w:szCs w:val="24"/>
        </w:rPr>
        <w:t>Sixth Cause of Action (Violation of WAC 480-15-710 a</w:t>
      </w:r>
      <w:r>
        <w:rPr>
          <w:rFonts w:cs="Times New Roman"/>
          <w:b/>
          <w:szCs w:val="24"/>
        </w:rPr>
        <w:t>nd Tariff 15-C, Item 95(2</w:t>
      </w:r>
    </w:p>
    <w:p w14:paraId="479B4B98" w14:textId="39A090DB" w:rsidR="008567E3" w:rsidRDefault="00FC2FE6"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 xml:space="preserve">Under WAC 480-15-710 and Tariff 15-C, a household goods carrier’s bill of lading </w:t>
      </w:r>
      <w:r w:rsidR="001541A1">
        <w:rPr>
          <w:rFonts w:cs="Times New Roman"/>
          <w:szCs w:val="24"/>
        </w:rPr>
        <w:t xml:space="preserve">must </w:t>
      </w:r>
      <w:r w:rsidR="00F747F6">
        <w:rPr>
          <w:rFonts w:cs="Times New Roman"/>
          <w:szCs w:val="24"/>
        </w:rPr>
        <w:t xml:space="preserve">include the terms and conditions </w:t>
      </w:r>
      <w:r w:rsidR="00367717">
        <w:rPr>
          <w:rFonts w:cs="Times New Roman"/>
          <w:szCs w:val="24"/>
        </w:rPr>
        <w:t xml:space="preserve">set out </w:t>
      </w:r>
      <w:r w:rsidR="00F747F6">
        <w:rPr>
          <w:rFonts w:cs="Times New Roman"/>
          <w:szCs w:val="24"/>
        </w:rPr>
        <w:t xml:space="preserve">in Tariff 15-C, Item 95(2).  Tariff 15-C, Item 95(2), Section 6 states that </w:t>
      </w:r>
      <w:r w:rsidR="00FB7ECA">
        <w:rPr>
          <w:rFonts w:cs="Times New Roman"/>
          <w:szCs w:val="24"/>
        </w:rPr>
        <w:t xml:space="preserve">a customer </w:t>
      </w:r>
      <w:r w:rsidR="00F747F6">
        <w:rPr>
          <w:rFonts w:cs="Times New Roman"/>
          <w:szCs w:val="24"/>
        </w:rPr>
        <w:t>may</w:t>
      </w:r>
      <w:r w:rsidR="00FB7ECA">
        <w:rPr>
          <w:rFonts w:cs="Times New Roman"/>
          <w:szCs w:val="24"/>
        </w:rPr>
        <w:t xml:space="preserve"> file a claim for loss, damage, overcharge, injury</w:t>
      </w:r>
      <w:r w:rsidR="00367717">
        <w:rPr>
          <w:rFonts w:cs="Times New Roman"/>
          <w:szCs w:val="24"/>
        </w:rPr>
        <w:t>,</w:t>
      </w:r>
      <w:r w:rsidR="00FB7ECA">
        <w:rPr>
          <w:rFonts w:cs="Times New Roman"/>
          <w:szCs w:val="24"/>
        </w:rPr>
        <w:t xml:space="preserve"> or delay within nine months of date of delivery.  Best Moving</w:t>
      </w:r>
      <w:r w:rsidR="00F747F6">
        <w:rPr>
          <w:rFonts w:cs="Times New Roman"/>
          <w:szCs w:val="24"/>
        </w:rPr>
        <w:t>’s bill of lading, documented in</w:t>
      </w:r>
      <w:r w:rsidR="00FB7ECA">
        <w:rPr>
          <w:rFonts w:cs="Times New Roman"/>
          <w:szCs w:val="24"/>
        </w:rPr>
        <w:t xml:space="preserve"> Exhibits RP-32 through RP-62 in this proceeding, states that customers must report claims for loss or damage within 24 hours.</w:t>
      </w:r>
      <w:r w:rsidR="00FB7ECA">
        <w:rPr>
          <w:rStyle w:val="FootnoteReference"/>
          <w:rFonts w:cs="Times New Roman"/>
          <w:szCs w:val="24"/>
        </w:rPr>
        <w:footnoteReference w:id="19"/>
      </w:r>
      <w:r w:rsidR="00FB7ECA">
        <w:rPr>
          <w:rFonts w:cs="Times New Roman"/>
          <w:szCs w:val="24"/>
        </w:rPr>
        <w:t xml:space="preserve"> </w:t>
      </w:r>
      <w:r w:rsidR="00F747F6">
        <w:rPr>
          <w:rFonts w:cs="Times New Roman"/>
          <w:szCs w:val="24"/>
        </w:rPr>
        <w:t xml:space="preserve"> Therefore, Best Moving’s bill of lading directly contradicts Tariff 15-C, Item 95(2).  </w:t>
      </w:r>
      <w:r w:rsidR="00FB7ECA">
        <w:rPr>
          <w:rFonts w:cs="Times New Roman"/>
          <w:szCs w:val="24"/>
        </w:rPr>
        <w:t xml:space="preserve"> </w:t>
      </w:r>
    </w:p>
    <w:p w14:paraId="6A5F13D6" w14:textId="6E83AEA8" w:rsidR="008567E3" w:rsidRDefault="00FB7ECA"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Staff’s Investigation Report documents the above findings</w:t>
      </w:r>
      <w:r w:rsidR="00380294">
        <w:rPr>
          <w:rFonts w:cs="Times New Roman"/>
          <w:szCs w:val="24"/>
        </w:rPr>
        <w:t xml:space="preserve"> </w:t>
      </w:r>
      <w:r>
        <w:rPr>
          <w:rFonts w:cs="Times New Roman"/>
          <w:szCs w:val="24"/>
        </w:rPr>
        <w:t>and Ms. Pearson testified on March 9, 2015, that each of the Company’s bills of lading in Exhibits RP-32 through RP-62 contain the impermissible language requiring not</w:t>
      </w:r>
      <w:r w:rsidR="00367717">
        <w:rPr>
          <w:rFonts w:cs="Times New Roman"/>
          <w:szCs w:val="24"/>
        </w:rPr>
        <w:t>ice of loss or damage within 24-</w:t>
      </w:r>
      <w:r>
        <w:rPr>
          <w:rFonts w:cs="Times New Roman"/>
          <w:szCs w:val="24"/>
        </w:rPr>
        <w:t>hours.</w:t>
      </w:r>
      <w:r w:rsidR="00380294">
        <w:rPr>
          <w:rStyle w:val="FootnoteReference"/>
          <w:rFonts w:cs="Times New Roman"/>
          <w:szCs w:val="24"/>
        </w:rPr>
        <w:footnoteReference w:id="20"/>
      </w:r>
      <w:r>
        <w:rPr>
          <w:rFonts w:cs="Times New Roman"/>
          <w:szCs w:val="24"/>
        </w:rPr>
        <w:t xml:space="preserve">  </w:t>
      </w:r>
      <w:r w:rsidR="00380294">
        <w:rPr>
          <w:rFonts w:cs="Times New Roman"/>
          <w:szCs w:val="24"/>
        </w:rPr>
        <w:t xml:space="preserve">On March 9, 2015, </w:t>
      </w:r>
      <w:r>
        <w:rPr>
          <w:rFonts w:cs="Times New Roman"/>
          <w:szCs w:val="24"/>
        </w:rPr>
        <w:t>Mr. Ratko also appeared to acknowledge that his Company’s bill</w:t>
      </w:r>
      <w:r w:rsidR="00F747F6">
        <w:rPr>
          <w:rFonts w:cs="Times New Roman"/>
          <w:szCs w:val="24"/>
        </w:rPr>
        <w:t>s of lading did contain the</w:t>
      </w:r>
      <w:r>
        <w:rPr>
          <w:rFonts w:cs="Times New Roman"/>
          <w:szCs w:val="24"/>
        </w:rPr>
        <w:t xml:space="preserve"> impermissible language</w:t>
      </w:r>
      <w:r w:rsidR="00F747F6">
        <w:rPr>
          <w:rFonts w:cs="Times New Roman"/>
          <w:szCs w:val="24"/>
        </w:rPr>
        <w:t xml:space="preserve"> requiring notice within 24-hours</w:t>
      </w:r>
      <w:r>
        <w:rPr>
          <w:rFonts w:cs="Times New Roman"/>
          <w:szCs w:val="24"/>
        </w:rPr>
        <w:t xml:space="preserve">. </w:t>
      </w:r>
    </w:p>
    <w:p w14:paraId="267F18DD" w14:textId="4CD05825" w:rsidR="008567E3" w:rsidRDefault="00FB7ECA"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 xml:space="preserve">With </w:t>
      </w:r>
      <w:r w:rsidR="009573BA">
        <w:rPr>
          <w:rFonts w:cs="Times New Roman"/>
          <w:szCs w:val="24"/>
        </w:rPr>
        <w:t xml:space="preserve">the record </w:t>
      </w:r>
      <w:r>
        <w:rPr>
          <w:rFonts w:cs="Times New Roman"/>
          <w:szCs w:val="24"/>
        </w:rPr>
        <w:t xml:space="preserve">in this case and the Company’s apparent admission, the Commission should find an additional 31 violations of Commission rules and regulations. </w:t>
      </w:r>
    </w:p>
    <w:p w14:paraId="2AD7BA33" w14:textId="78156596" w:rsidR="008567E3" w:rsidRPr="00F15E94" w:rsidRDefault="00F15E94" w:rsidP="00C82D79">
      <w:pPr>
        <w:pStyle w:val="ListParagraph"/>
        <w:keepNext/>
        <w:numPr>
          <w:ilvl w:val="0"/>
          <w:numId w:val="42"/>
        </w:numPr>
        <w:spacing w:after="0" w:line="480" w:lineRule="auto"/>
        <w:ind w:hanging="720"/>
        <w:rPr>
          <w:rFonts w:cs="Times New Roman"/>
          <w:b/>
          <w:szCs w:val="24"/>
        </w:rPr>
      </w:pPr>
      <w:r w:rsidRPr="00F15E94">
        <w:rPr>
          <w:rFonts w:cs="Times New Roman"/>
          <w:b/>
          <w:szCs w:val="24"/>
        </w:rPr>
        <w:lastRenderedPageBreak/>
        <w:t>Seventh Cause of Action (Violation of WAC 480-15-610(1))</w:t>
      </w:r>
    </w:p>
    <w:p w14:paraId="3BF53AEE" w14:textId="3F909D08" w:rsidR="008567E3" w:rsidRDefault="00F70559"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Under WAC 480-15-610(1), a household goods carrier must include a physical address in any advertising, including websites.</w:t>
      </w:r>
      <w:r>
        <w:rPr>
          <w:rStyle w:val="FootnoteReference"/>
          <w:rFonts w:cs="Times New Roman"/>
          <w:szCs w:val="24"/>
        </w:rPr>
        <w:footnoteReference w:id="21"/>
      </w:r>
      <w:r>
        <w:rPr>
          <w:rFonts w:cs="Times New Roman"/>
          <w:szCs w:val="24"/>
        </w:rPr>
        <w:t xml:space="preserve">  In this case, Staff’s witness testified that she accessed Best Moving’s website on May 7, 2014, and the website did not contain the Company’s physical address.  Staff</w:t>
      </w:r>
      <w:r w:rsidR="003B1F70">
        <w:rPr>
          <w:rFonts w:cs="Times New Roman"/>
          <w:szCs w:val="24"/>
        </w:rPr>
        <w:t>’s witness</w:t>
      </w:r>
      <w:r>
        <w:rPr>
          <w:rFonts w:cs="Times New Roman"/>
          <w:szCs w:val="24"/>
        </w:rPr>
        <w:t xml:space="preserve"> then authenticated Exhibit RP-63 as a print out of the Company’s website as of Staff’s access date on May 7, 2014.</w:t>
      </w:r>
      <w:r>
        <w:rPr>
          <w:rStyle w:val="FootnoteReference"/>
          <w:rFonts w:cs="Times New Roman"/>
          <w:szCs w:val="24"/>
        </w:rPr>
        <w:footnoteReference w:id="22"/>
      </w:r>
      <w:r>
        <w:rPr>
          <w:rFonts w:cs="Times New Roman"/>
          <w:szCs w:val="24"/>
        </w:rPr>
        <w:t xml:space="preserve">  At the hearing, Mr. Ratko testified that he did not know whether or not his Company’s website contained the Company’s physical address.  Mr. Ratko professed ignorance despite being aware of the Commission’s complaint since at least September 11, 2014.</w:t>
      </w:r>
      <w:r>
        <w:rPr>
          <w:rStyle w:val="FootnoteReference"/>
          <w:rFonts w:cs="Times New Roman"/>
          <w:szCs w:val="24"/>
        </w:rPr>
        <w:footnoteReference w:id="23"/>
      </w:r>
    </w:p>
    <w:p w14:paraId="1723F857" w14:textId="4CAC19A5" w:rsidR="008567E3" w:rsidRPr="003B1F70" w:rsidRDefault="00F70559" w:rsidP="003B1F70">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 xml:space="preserve">The Company’s inability or refusal to respond to actual notice of a violation </w:t>
      </w:r>
      <w:r w:rsidR="003B1F70">
        <w:rPr>
          <w:rFonts w:cs="Times New Roman"/>
          <w:szCs w:val="24"/>
        </w:rPr>
        <w:t xml:space="preserve">is not a </w:t>
      </w:r>
      <w:r>
        <w:rPr>
          <w:rFonts w:cs="Times New Roman"/>
          <w:szCs w:val="24"/>
        </w:rPr>
        <w:t xml:space="preserve">defense.  Moreover, by not even being aware of whether the address could be found on his Company’s website after receiving actual notice of the problem in a Commission complaint, Mr. Ratko’s testimony further demonstrates Best Moving’s lack of fitness to operate as a regulated carrier.  </w:t>
      </w:r>
      <w:r w:rsidR="003B1F70">
        <w:rPr>
          <w:rFonts w:cs="Times New Roman"/>
          <w:szCs w:val="24"/>
        </w:rPr>
        <w:t xml:space="preserve">The Commission should find a violation of WAC 480-15-610(1). </w:t>
      </w:r>
    </w:p>
    <w:p w14:paraId="7AAE39F3" w14:textId="42E483ED" w:rsidR="003B1F70" w:rsidRPr="003B1F70" w:rsidRDefault="003B1F70" w:rsidP="00C82D79">
      <w:pPr>
        <w:pStyle w:val="ListParagraph"/>
        <w:numPr>
          <w:ilvl w:val="0"/>
          <w:numId w:val="42"/>
        </w:numPr>
        <w:spacing w:after="0" w:line="480" w:lineRule="auto"/>
        <w:ind w:hanging="720"/>
        <w:rPr>
          <w:rFonts w:cs="Times New Roman"/>
          <w:b/>
          <w:szCs w:val="24"/>
        </w:rPr>
      </w:pPr>
      <w:r w:rsidRPr="003B1F70">
        <w:rPr>
          <w:rFonts w:cs="Times New Roman"/>
          <w:b/>
          <w:szCs w:val="24"/>
        </w:rPr>
        <w:t>Eighth Cause of Action (Violation of WAC 480-15-490(3))</w:t>
      </w:r>
    </w:p>
    <w:p w14:paraId="6826A607" w14:textId="54606438" w:rsidR="00F15E94" w:rsidRDefault="003B1F70" w:rsidP="00AB405E">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Under WAC 480-15-490(3), household goods carriers must follow the terms, conditions, rates, and other requirements in the Commission-published Tariff 15-C.  Staff’s testimony and exhibits in this case demonstrate that Best Moving violated Commission-required terms and conditions for weekend moves, billing increments, and fuel surcharges.</w:t>
      </w:r>
      <w:r w:rsidR="00AB405E" w:rsidRPr="00AB405E">
        <w:rPr>
          <w:rFonts w:cs="Times New Roman"/>
          <w:szCs w:val="24"/>
        </w:rPr>
        <w:t xml:space="preserve"> </w:t>
      </w:r>
    </w:p>
    <w:p w14:paraId="10F19735" w14:textId="34EBD037" w:rsidR="00AB405E" w:rsidRPr="001541A1" w:rsidRDefault="00AB405E" w:rsidP="00C82D79">
      <w:pPr>
        <w:pStyle w:val="ListParagraph"/>
        <w:keepNext/>
        <w:numPr>
          <w:ilvl w:val="0"/>
          <w:numId w:val="43"/>
        </w:numPr>
        <w:spacing w:after="0" w:line="480" w:lineRule="auto"/>
        <w:ind w:firstLine="0"/>
        <w:rPr>
          <w:rFonts w:cs="Times New Roman"/>
          <w:b/>
          <w:szCs w:val="24"/>
        </w:rPr>
      </w:pPr>
      <w:r w:rsidRPr="001541A1">
        <w:rPr>
          <w:rFonts w:cs="Times New Roman"/>
          <w:b/>
          <w:szCs w:val="24"/>
        </w:rPr>
        <w:lastRenderedPageBreak/>
        <w:t>Weekend Moves</w:t>
      </w:r>
    </w:p>
    <w:p w14:paraId="2F066710" w14:textId="1EF115EC" w:rsidR="001541A1" w:rsidRPr="001541A1" w:rsidRDefault="001541A1"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r>
      <w:r w:rsidR="00AB405E">
        <w:rPr>
          <w:rFonts w:cs="Times New Roman"/>
          <w:szCs w:val="24"/>
        </w:rPr>
        <w:t>Tariff 15-C, Item 230 requires a minimum hourly charge of four hours for all weekend moves. Staff’s Investigation Report documents three separate occasions where Best Moving charged less than four hours for weekend moves.</w:t>
      </w:r>
      <w:r w:rsidR="00AB405E">
        <w:rPr>
          <w:rStyle w:val="FootnoteReference"/>
          <w:rFonts w:cs="Times New Roman"/>
          <w:szCs w:val="24"/>
        </w:rPr>
        <w:footnoteReference w:id="24"/>
      </w:r>
      <w:r w:rsidR="00AB405E">
        <w:rPr>
          <w:rFonts w:cs="Times New Roman"/>
          <w:szCs w:val="24"/>
        </w:rPr>
        <w:t xml:space="preserve">  Staff exhibits RP-45, RP-61, and RP-62 clearly support Staff’s finding that the Company conducted weekend moves and charged less than the required four hours.</w:t>
      </w:r>
      <w:r w:rsidR="00AB405E">
        <w:t xml:space="preserve">  Exhibit RP-45 is dated 2/25/2012, a Saturday, and includes charges for 3.6 hours. Exhibit RP-61 is dated 2/25/2012, a Saturday, and includes charges for 3.5 hours. Exhibit RP-62 is dated 5/26/2012, a Saturday, and indicates charges for 3.5 hours. Exhibit RP-62 does include an edit to the hourly rate but clearly notes the charges are for 3.5 hours; it is also important for t</w:t>
      </w:r>
      <w:r w:rsidR="00CD3B65">
        <w:t>he Commission to recognize that</w:t>
      </w:r>
      <w:r w:rsidR="00AB405E">
        <w:t xml:space="preserve"> other bills of lading </w:t>
      </w:r>
      <w:r w:rsidR="00CD3B65">
        <w:t xml:space="preserve">documented as exhibits in this case do not </w:t>
      </w:r>
      <w:r w:rsidR="00AB405E">
        <w:t>include the altered hourly rate.</w:t>
      </w:r>
      <w:r>
        <w:rPr>
          <w:rStyle w:val="FootnoteReference"/>
        </w:rPr>
        <w:footnoteReference w:id="25"/>
      </w:r>
      <w:r w:rsidR="00AB405E">
        <w:t xml:space="preserve"> </w:t>
      </w:r>
      <w:r>
        <w:t xml:space="preserve"> </w:t>
      </w:r>
    </w:p>
    <w:p w14:paraId="49F19FBA" w14:textId="30889BD2" w:rsidR="00AB405E" w:rsidRPr="001541A1" w:rsidRDefault="001541A1" w:rsidP="00C82D79">
      <w:pPr>
        <w:pStyle w:val="ListParagraph"/>
        <w:numPr>
          <w:ilvl w:val="0"/>
          <w:numId w:val="43"/>
        </w:numPr>
        <w:spacing w:after="0" w:line="480" w:lineRule="auto"/>
        <w:ind w:firstLine="0"/>
        <w:rPr>
          <w:rFonts w:cs="Times New Roman"/>
          <w:b/>
          <w:szCs w:val="24"/>
        </w:rPr>
      </w:pPr>
      <w:r w:rsidRPr="001541A1">
        <w:rPr>
          <w:b/>
        </w:rPr>
        <w:t>Billing Increments</w:t>
      </w:r>
      <w:r w:rsidR="00AB405E" w:rsidRPr="001541A1">
        <w:rPr>
          <w:b/>
        </w:rPr>
        <w:t xml:space="preserve"> </w:t>
      </w:r>
    </w:p>
    <w:p w14:paraId="34821B4E" w14:textId="41A66D86" w:rsidR="00F15E94" w:rsidRDefault="001541A1"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Tariff 15-C, Item 230 requires household goods carriers to record time in 15-minute increments.  Staff’s investigation report documents one occasion where the Company charged rates by tenths-of-an-hour, or increments of only six minutes.</w:t>
      </w:r>
      <w:r>
        <w:rPr>
          <w:rStyle w:val="FootnoteReference"/>
          <w:rFonts w:cs="Times New Roman"/>
          <w:szCs w:val="24"/>
        </w:rPr>
        <w:footnoteReference w:id="26"/>
      </w:r>
      <w:r>
        <w:rPr>
          <w:rFonts w:cs="Times New Roman"/>
          <w:szCs w:val="24"/>
        </w:rPr>
        <w:t xml:space="preserve">  Staff’s Exhibit RP-45 also clearly indicates that Best Moving charged its customer for 3.1 hours.  Due to Staff’s investigation, testimony, and clear documentation in this proceeding, the Company’s violation of Tariff 15-C, Item 230 </w:t>
      </w:r>
      <w:r w:rsidR="009573BA">
        <w:rPr>
          <w:rFonts w:cs="Times New Roman"/>
          <w:szCs w:val="24"/>
        </w:rPr>
        <w:t>for</w:t>
      </w:r>
      <w:r>
        <w:rPr>
          <w:rFonts w:cs="Times New Roman"/>
          <w:szCs w:val="24"/>
        </w:rPr>
        <w:t xml:space="preserve"> billing increments cannot seriously be disputed. </w:t>
      </w:r>
    </w:p>
    <w:p w14:paraId="22B9A094" w14:textId="59EA9389" w:rsidR="001541A1" w:rsidRPr="001172E2" w:rsidRDefault="001541A1" w:rsidP="00C82D79">
      <w:pPr>
        <w:pStyle w:val="ListParagraph"/>
        <w:keepNext/>
        <w:numPr>
          <w:ilvl w:val="0"/>
          <w:numId w:val="43"/>
        </w:numPr>
        <w:spacing w:after="0" w:line="480" w:lineRule="auto"/>
        <w:ind w:firstLine="0"/>
        <w:rPr>
          <w:rFonts w:cs="Times New Roman"/>
          <w:b/>
          <w:szCs w:val="24"/>
        </w:rPr>
      </w:pPr>
      <w:r w:rsidRPr="001172E2">
        <w:rPr>
          <w:rFonts w:cs="Times New Roman"/>
          <w:b/>
          <w:szCs w:val="24"/>
        </w:rPr>
        <w:t>Fuel Surcharges</w:t>
      </w:r>
    </w:p>
    <w:p w14:paraId="254A8ABC" w14:textId="563AB2CE" w:rsidR="00F15E94" w:rsidRDefault="001172E2"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r>
      <w:r w:rsidR="00C16379">
        <w:rPr>
          <w:rFonts w:cs="Times New Roman"/>
          <w:szCs w:val="24"/>
        </w:rPr>
        <w:t xml:space="preserve">WAC 480-15-490(3) requires household goods carriers to follow the terms, conditions, and rates </w:t>
      </w:r>
      <w:r w:rsidR="004368F0">
        <w:rPr>
          <w:rFonts w:cs="Times New Roman"/>
          <w:szCs w:val="24"/>
        </w:rPr>
        <w:t xml:space="preserve">authorized </w:t>
      </w:r>
      <w:r w:rsidR="00C16379">
        <w:rPr>
          <w:rFonts w:cs="Times New Roman"/>
          <w:szCs w:val="24"/>
        </w:rPr>
        <w:t xml:space="preserve">in the Commission-published tariff.  </w:t>
      </w:r>
      <w:r w:rsidR="001541A1">
        <w:rPr>
          <w:rFonts w:cs="Times New Roman"/>
          <w:szCs w:val="24"/>
        </w:rPr>
        <w:t xml:space="preserve">Tariff 15-C does not authorize fuel </w:t>
      </w:r>
      <w:r w:rsidR="001541A1">
        <w:rPr>
          <w:rFonts w:cs="Times New Roman"/>
          <w:szCs w:val="24"/>
        </w:rPr>
        <w:lastRenderedPageBreak/>
        <w:t xml:space="preserve">surcharges. </w:t>
      </w:r>
      <w:r w:rsidR="004368F0">
        <w:rPr>
          <w:rFonts w:cs="Times New Roman"/>
          <w:szCs w:val="24"/>
        </w:rPr>
        <w:t xml:space="preserve"> Staff’s Investigation Report documents a “gas” fee on the Company’s bills of lading.</w:t>
      </w:r>
      <w:r w:rsidR="004368F0">
        <w:rPr>
          <w:rStyle w:val="FootnoteReference"/>
          <w:rFonts w:cs="Times New Roman"/>
          <w:szCs w:val="24"/>
        </w:rPr>
        <w:footnoteReference w:id="27"/>
      </w:r>
      <w:r w:rsidR="004368F0">
        <w:rPr>
          <w:rFonts w:cs="Times New Roman"/>
          <w:szCs w:val="24"/>
        </w:rPr>
        <w:t xml:space="preserve">  Staff’s oral testimony at the evidentiary hearing further described its findings, </w:t>
      </w:r>
      <w:r w:rsidR="00CD3B65">
        <w:rPr>
          <w:rFonts w:cs="Times New Roman"/>
          <w:szCs w:val="24"/>
        </w:rPr>
        <w:t xml:space="preserve">and </w:t>
      </w:r>
      <w:r w:rsidR="004368F0">
        <w:rPr>
          <w:rFonts w:cs="Times New Roman"/>
          <w:szCs w:val="24"/>
        </w:rPr>
        <w:t xml:space="preserve">Exhibits RP-32 through RP-62 document a line item for charging “gas” fees.  Specifically, Staff’s Exhibits RP-38, RP-40, RP-41, RP-42, RP-43, and RP-44 indicate </w:t>
      </w:r>
      <w:r w:rsidR="00367717">
        <w:rPr>
          <w:rFonts w:cs="Times New Roman"/>
          <w:szCs w:val="24"/>
        </w:rPr>
        <w:t>dollar-figure charges for “gas.”</w:t>
      </w:r>
      <w:r w:rsidR="004368F0">
        <w:rPr>
          <w:rFonts w:cs="Times New Roman"/>
          <w:szCs w:val="24"/>
        </w:rPr>
        <w:t xml:space="preserve">  As Ms. Pearson testified at the hearing, Exhibits RP-38, RP-40, and RP-41 appear to have gas charges that were crossed out or otherwise altered; Exhibits RP-42, RP-43, and RP-44 contain unaltered dollar-figures for gas charges. </w:t>
      </w:r>
    </w:p>
    <w:p w14:paraId="3466005E" w14:textId="723B1A48" w:rsidR="004368F0" w:rsidRDefault="004368F0" w:rsidP="00554C0A">
      <w:pPr>
        <w:pStyle w:val="ListParagraph"/>
        <w:numPr>
          <w:ilvl w:val="0"/>
          <w:numId w:val="32"/>
        </w:numPr>
        <w:spacing w:after="0" w:line="480" w:lineRule="auto"/>
        <w:rPr>
          <w:rFonts w:cs="Times New Roman"/>
          <w:szCs w:val="24"/>
        </w:rPr>
      </w:pPr>
      <w:r>
        <w:rPr>
          <w:rFonts w:cs="Times New Roman"/>
          <w:szCs w:val="24"/>
        </w:rPr>
        <w:t xml:space="preserve"> </w:t>
      </w:r>
      <w:r w:rsidR="001172E2">
        <w:rPr>
          <w:rFonts w:cs="Times New Roman"/>
          <w:szCs w:val="24"/>
        </w:rPr>
        <w:tab/>
      </w:r>
      <w:r>
        <w:rPr>
          <w:rFonts w:cs="Times New Roman"/>
          <w:szCs w:val="24"/>
        </w:rPr>
        <w:t>As described in Staff’s response to Bench Request No. 1</w:t>
      </w:r>
      <w:r w:rsidR="001172E2">
        <w:rPr>
          <w:rFonts w:cs="Times New Roman"/>
          <w:szCs w:val="24"/>
        </w:rPr>
        <w:t xml:space="preserve"> and Ms. Pearson’s testimony on March 9, 2015</w:t>
      </w:r>
      <w:r>
        <w:rPr>
          <w:rFonts w:cs="Times New Roman"/>
          <w:szCs w:val="24"/>
        </w:rPr>
        <w:t>, Mr. Ratko and his Company received technical assistance on this exact item in 2011.</w:t>
      </w:r>
      <w:r w:rsidR="001172E2">
        <w:rPr>
          <w:rStyle w:val="FootnoteReference"/>
          <w:rFonts w:cs="Times New Roman"/>
          <w:szCs w:val="24"/>
        </w:rPr>
        <w:footnoteReference w:id="28"/>
      </w:r>
      <w:r>
        <w:rPr>
          <w:rFonts w:cs="Times New Roman"/>
          <w:szCs w:val="24"/>
        </w:rPr>
        <w:t xml:space="preserve">  Best Moving’s </w:t>
      </w:r>
      <w:r w:rsidR="001172E2">
        <w:rPr>
          <w:rFonts w:cs="Times New Roman"/>
          <w:szCs w:val="24"/>
        </w:rPr>
        <w:t xml:space="preserve">ongoing </w:t>
      </w:r>
      <w:r>
        <w:rPr>
          <w:rFonts w:cs="Times New Roman"/>
          <w:szCs w:val="24"/>
        </w:rPr>
        <w:t xml:space="preserve">failure to remedy a </w:t>
      </w:r>
      <w:r w:rsidR="001172E2">
        <w:rPr>
          <w:rFonts w:cs="Times New Roman"/>
          <w:szCs w:val="24"/>
        </w:rPr>
        <w:t xml:space="preserve">known violation supports Staff’s findings and recommendation for penalties. </w:t>
      </w:r>
    </w:p>
    <w:p w14:paraId="6EC5EEE1" w14:textId="2773BB77" w:rsidR="00F15E94" w:rsidRDefault="001172E2" w:rsidP="00EB2A9F">
      <w:pPr>
        <w:pStyle w:val="ListParagraph"/>
        <w:numPr>
          <w:ilvl w:val="0"/>
          <w:numId w:val="40"/>
        </w:numPr>
        <w:spacing w:after="0" w:line="480" w:lineRule="auto"/>
        <w:ind w:left="0"/>
        <w:jc w:val="center"/>
        <w:rPr>
          <w:rFonts w:cs="Times New Roman"/>
          <w:b/>
          <w:szCs w:val="24"/>
        </w:rPr>
      </w:pPr>
      <w:r w:rsidRPr="001172E2">
        <w:rPr>
          <w:rFonts w:cs="Times New Roman"/>
          <w:b/>
          <w:szCs w:val="24"/>
        </w:rPr>
        <w:t>PENALTIES</w:t>
      </w:r>
    </w:p>
    <w:p w14:paraId="6C51966D" w14:textId="06C71216" w:rsidR="00CB60E4" w:rsidRPr="00CB60E4" w:rsidRDefault="00CB60E4" w:rsidP="00C82D79">
      <w:pPr>
        <w:pStyle w:val="ListParagraph"/>
        <w:numPr>
          <w:ilvl w:val="0"/>
          <w:numId w:val="44"/>
        </w:numPr>
        <w:spacing w:after="0" w:line="480" w:lineRule="auto"/>
        <w:ind w:hanging="720"/>
        <w:rPr>
          <w:rFonts w:cs="Times New Roman"/>
          <w:b/>
          <w:szCs w:val="24"/>
        </w:rPr>
      </w:pPr>
      <w:r>
        <w:rPr>
          <w:rFonts w:cs="Times New Roman"/>
          <w:b/>
          <w:szCs w:val="24"/>
        </w:rPr>
        <w:t>Overview</w:t>
      </w:r>
    </w:p>
    <w:p w14:paraId="29B50D86" w14:textId="456D33EA" w:rsidR="00F15E94" w:rsidRDefault="00CB60E4"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 xml:space="preserve">Staff recommends the Commission impose significant monetary penalties on Best Moving and cancel the Company’s permit for good cause. Under WAC 480-15-450, the Commission can cancel a carrier’s permit for good cause; sections (1)(f) and (1)(g) state that good cause exists where a company fails to provide the Commission with requested information or provides false, misleading, or inaccurate information.  </w:t>
      </w:r>
      <w:r w:rsidR="0063557A">
        <w:rPr>
          <w:rFonts w:cs="Times New Roman"/>
          <w:szCs w:val="24"/>
        </w:rPr>
        <w:t>In this case, the Company provided Staff with altered documents and misrepresented those documents’ prior use.</w:t>
      </w:r>
      <w:r w:rsidR="0063557A">
        <w:rPr>
          <w:rStyle w:val="FootnoteReference"/>
          <w:rFonts w:cs="Times New Roman"/>
          <w:szCs w:val="24"/>
        </w:rPr>
        <w:footnoteReference w:id="29"/>
      </w:r>
      <w:r w:rsidR="0063557A">
        <w:rPr>
          <w:rFonts w:cs="Times New Roman"/>
          <w:szCs w:val="24"/>
        </w:rPr>
        <w:t xml:space="preserve">  Therefore, Best Moving has provided the Commission with sufficient reason to revoke the Company’s permit for good cause. </w:t>
      </w:r>
    </w:p>
    <w:p w14:paraId="7E2223FD" w14:textId="405DB8AD" w:rsidR="00F15E94" w:rsidRPr="00BB7773" w:rsidRDefault="00CB60E4" w:rsidP="00C82D79">
      <w:pPr>
        <w:pStyle w:val="ListParagraph"/>
        <w:numPr>
          <w:ilvl w:val="0"/>
          <w:numId w:val="44"/>
        </w:numPr>
        <w:spacing w:after="0" w:line="480" w:lineRule="auto"/>
        <w:ind w:hanging="720"/>
        <w:rPr>
          <w:rFonts w:cs="Times New Roman"/>
          <w:b/>
          <w:szCs w:val="24"/>
        </w:rPr>
      </w:pPr>
      <w:r w:rsidRPr="00BB7773">
        <w:rPr>
          <w:rFonts w:cs="Times New Roman"/>
          <w:b/>
          <w:szCs w:val="24"/>
        </w:rPr>
        <w:lastRenderedPageBreak/>
        <w:t>Considerations for Penalties</w:t>
      </w:r>
    </w:p>
    <w:p w14:paraId="466CE4F7" w14:textId="63AAFAB8" w:rsidR="00F15E94" w:rsidRDefault="00CB60E4"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Staff’s Investigation Report succinctly recounts the</w:t>
      </w:r>
      <w:r w:rsidR="00363DCA">
        <w:rPr>
          <w:rFonts w:cs="Times New Roman"/>
          <w:szCs w:val="24"/>
        </w:rPr>
        <w:t xml:space="preserve"> ten</w:t>
      </w:r>
      <w:r>
        <w:rPr>
          <w:rFonts w:cs="Times New Roman"/>
          <w:szCs w:val="24"/>
        </w:rPr>
        <w:t xml:space="preserve"> factors</w:t>
      </w:r>
      <w:r w:rsidR="00363DCA">
        <w:rPr>
          <w:rFonts w:cs="Times New Roman"/>
          <w:szCs w:val="24"/>
        </w:rPr>
        <w:t xml:space="preserve"> it</w:t>
      </w:r>
      <w:r>
        <w:rPr>
          <w:rFonts w:cs="Times New Roman"/>
          <w:szCs w:val="24"/>
        </w:rPr>
        <w:t xml:space="preserve"> considered in recommending a penalty.</w:t>
      </w:r>
      <w:r>
        <w:rPr>
          <w:rStyle w:val="FootnoteReference"/>
          <w:rFonts w:cs="Times New Roman"/>
          <w:szCs w:val="24"/>
        </w:rPr>
        <w:footnoteReference w:id="30"/>
      </w:r>
      <w:r>
        <w:rPr>
          <w:rFonts w:cs="Times New Roman"/>
          <w:szCs w:val="24"/>
        </w:rPr>
        <w:t xml:space="preserve">  Ms. Pearson’s testimony at the evidentiary hearing also described the factors she considered in recommending the Commission impose monetary penalties and cancel Best Moving’s permit.  Each of the factors considered by Ms. Pearson is reasonable</w:t>
      </w:r>
      <w:r w:rsidR="00BB7773">
        <w:rPr>
          <w:rFonts w:cs="Times New Roman"/>
          <w:szCs w:val="24"/>
        </w:rPr>
        <w:t xml:space="preserve"> and reflects the C</w:t>
      </w:r>
      <w:r>
        <w:rPr>
          <w:rFonts w:cs="Times New Roman"/>
          <w:szCs w:val="24"/>
        </w:rPr>
        <w:t>ompany’s overall cooperation, integrity, and willingness to comply with Commission rules.  Therefore, Staff’s review and analysis of appropriate penalties should be</w:t>
      </w:r>
      <w:r w:rsidR="00BB7773">
        <w:rPr>
          <w:rFonts w:cs="Times New Roman"/>
          <w:szCs w:val="24"/>
        </w:rPr>
        <w:t xml:space="preserve"> given substantial weight</w:t>
      </w:r>
      <w:r>
        <w:rPr>
          <w:rFonts w:cs="Times New Roman"/>
          <w:szCs w:val="24"/>
        </w:rPr>
        <w:t xml:space="preserve"> in the Commission’s determination. </w:t>
      </w:r>
    </w:p>
    <w:p w14:paraId="112E6A08" w14:textId="3C3A1396" w:rsidR="00EB2A9F" w:rsidRDefault="00363DCA"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t xml:space="preserve">In particular, it is important that the Commission recognize the extensive technical assistance Commission Staff has provided Mr. Ratko dating back to 2009.  Staff’s Investigation Report recounts various communications between Staff and Mr. Ratko </w:t>
      </w:r>
      <w:r w:rsidR="009573BA">
        <w:rPr>
          <w:rFonts w:cs="Times New Roman"/>
          <w:szCs w:val="24"/>
        </w:rPr>
        <w:t>over nearly six years</w:t>
      </w:r>
      <w:r>
        <w:rPr>
          <w:rFonts w:cs="Times New Roman"/>
          <w:szCs w:val="24"/>
        </w:rPr>
        <w:t>.</w:t>
      </w:r>
      <w:r>
        <w:rPr>
          <w:rStyle w:val="FootnoteReference"/>
          <w:rFonts w:cs="Times New Roman"/>
          <w:szCs w:val="24"/>
        </w:rPr>
        <w:footnoteReference w:id="31"/>
      </w:r>
      <w:r>
        <w:rPr>
          <w:rFonts w:cs="Times New Roman"/>
          <w:szCs w:val="24"/>
        </w:rPr>
        <w:t xml:space="preserve">  </w:t>
      </w:r>
      <w:r w:rsidR="00BB7773">
        <w:rPr>
          <w:rFonts w:cs="Times New Roman"/>
          <w:szCs w:val="24"/>
        </w:rPr>
        <w:t xml:space="preserve">Clearly, </w:t>
      </w:r>
      <w:r>
        <w:rPr>
          <w:rFonts w:cs="Times New Roman"/>
          <w:szCs w:val="24"/>
        </w:rPr>
        <w:t>Mr. Ratko</w:t>
      </w:r>
      <w:r w:rsidR="00BB7773">
        <w:rPr>
          <w:rFonts w:cs="Times New Roman"/>
          <w:szCs w:val="24"/>
        </w:rPr>
        <w:t xml:space="preserve"> previously received</w:t>
      </w:r>
      <w:r>
        <w:rPr>
          <w:rFonts w:cs="Times New Roman"/>
          <w:szCs w:val="24"/>
        </w:rPr>
        <w:t xml:space="preserve"> extensive technical assistance for every category of violation in the present proceeding; Ms. Pearson also testified to numerous, lengthy telephone conversations she personally had with Mr. Ratko in which they discussed the Commission’s rules and requirements.  </w:t>
      </w:r>
      <w:r w:rsidR="00BB7773">
        <w:rPr>
          <w:rFonts w:cs="Times New Roman"/>
          <w:szCs w:val="24"/>
        </w:rPr>
        <w:t xml:space="preserve">Moreover, </w:t>
      </w:r>
      <w:r w:rsidR="00EB2A9F">
        <w:rPr>
          <w:rFonts w:cs="Times New Roman"/>
          <w:szCs w:val="24"/>
        </w:rPr>
        <w:t xml:space="preserve">Staff </w:t>
      </w:r>
      <w:r>
        <w:rPr>
          <w:rFonts w:cs="Times New Roman"/>
          <w:szCs w:val="24"/>
        </w:rPr>
        <w:t>initiated a c</w:t>
      </w:r>
      <w:r w:rsidR="00EB2A9F">
        <w:rPr>
          <w:rFonts w:cs="Times New Roman"/>
          <w:szCs w:val="24"/>
        </w:rPr>
        <w:t>omplaint against Best Moving in 2011 and t</w:t>
      </w:r>
      <w:r>
        <w:rPr>
          <w:rFonts w:cs="Times New Roman"/>
          <w:szCs w:val="24"/>
        </w:rPr>
        <w:t>he parties</w:t>
      </w:r>
      <w:r w:rsidR="00EB2A9F">
        <w:rPr>
          <w:rFonts w:cs="Times New Roman"/>
          <w:szCs w:val="24"/>
        </w:rPr>
        <w:t xml:space="preserve"> eventually settled the dispute prior to hearing</w:t>
      </w:r>
      <w:r>
        <w:rPr>
          <w:rFonts w:cs="Times New Roman"/>
          <w:szCs w:val="24"/>
        </w:rPr>
        <w:t>.</w:t>
      </w:r>
      <w:r>
        <w:rPr>
          <w:rStyle w:val="FootnoteReference"/>
          <w:rFonts w:cs="Times New Roman"/>
          <w:szCs w:val="24"/>
        </w:rPr>
        <w:footnoteReference w:id="32"/>
      </w:r>
      <w:r w:rsidR="00C82D79">
        <w:rPr>
          <w:rFonts w:cs="Times New Roman"/>
          <w:szCs w:val="24"/>
        </w:rPr>
        <w:t xml:space="preserve"> </w:t>
      </w:r>
    </w:p>
    <w:p w14:paraId="0C32BB4F" w14:textId="5721C7B8" w:rsidR="00F15E94" w:rsidRDefault="00EB2A9F" w:rsidP="00554C0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r>
      <w:r w:rsidR="00363DCA">
        <w:rPr>
          <w:rFonts w:cs="Times New Roman"/>
          <w:szCs w:val="24"/>
        </w:rPr>
        <w:t>In light of such extensive prior technical assistance, the Company</w:t>
      </w:r>
      <w:r w:rsidR="00BB7773">
        <w:rPr>
          <w:rFonts w:cs="Times New Roman"/>
          <w:szCs w:val="24"/>
        </w:rPr>
        <w:t>’s continued violations</w:t>
      </w:r>
      <w:r w:rsidR="00363DCA">
        <w:rPr>
          <w:rFonts w:cs="Times New Roman"/>
          <w:szCs w:val="24"/>
        </w:rPr>
        <w:t xml:space="preserve"> </w:t>
      </w:r>
      <w:r w:rsidR="00BB7773">
        <w:rPr>
          <w:rFonts w:cs="Times New Roman"/>
          <w:szCs w:val="24"/>
        </w:rPr>
        <w:t xml:space="preserve">establish </w:t>
      </w:r>
      <w:r w:rsidR="00363DCA">
        <w:rPr>
          <w:rFonts w:cs="Times New Roman"/>
          <w:szCs w:val="24"/>
        </w:rPr>
        <w:t xml:space="preserve">either an unwillingness or inability to comply with Commission rules.  At this point, Staff is convinced that Best Moving will not come into compliance with Commission rules absent, at minimum, a significant monetary penalty. </w:t>
      </w:r>
      <w:r w:rsidR="00BB7773">
        <w:rPr>
          <w:rFonts w:cs="Times New Roman"/>
          <w:szCs w:val="24"/>
        </w:rPr>
        <w:t xml:space="preserve"> Mr. Ratko testified at the hearing to the </w:t>
      </w:r>
      <w:r w:rsidR="00BB7773">
        <w:rPr>
          <w:rFonts w:cs="Times New Roman"/>
          <w:szCs w:val="24"/>
        </w:rPr>
        <w:lastRenderedPageBreak/>
        <w:t>constantly changing rules in the Commission-published tariff, but the relevant sections of Tariff 15-C for this case have not substantively changed since well before 2009.</w:t>
      </w:r>
      <w:r w:rsidR="00BB7773">
        <w:rPr>
          <w:rStyle w:val="FootnoteReference"/>
          <w:rFonts w:cs="Times New Roman"/>
          <w:szCs w:val="24"/>
        </w:rPr>
        <w:footnoteReference w:id="33"/>
      </w:r>
      <w:r w:rsidR="00BB7773">
        <w:rPr>
          <w:rFonts w:cs="Times New Roman"/>
          <w:szCs w:val="24"/>
        </w:rPr>
        <w:t xml:space="preserve">  After six years of discourse, Best Moving has simply left Staff no choice other than to pursue such a penalty and revocation of its permit.</w:t>
      </w:r>
    </w:p>
    <w:p w14:paraId="04230D9D" w14:textId="162EB1F4" w:rsidR="00F15E94" w:rsidRPr="0063557A" w:rsidRDefault="00BB7773" w:rsidP="0063557A">
      <w:pPr>
        <w:pStyle w:val="ListParagraph"/>
        <w:numPr>
          <w:ilvl w:val="0"/>
          <w:numId w:val="40"/>
        </w:numPr>
        <w:spacing w:after="0" w:line="480" w:lineRule="auto"/>
        <w:jc w:val="center"/>
        <w:rPr>
          <w:rFonts w:cs="Times New Roman"/>
          <w:b/>
          <w:szCs w:val="24"/>
        </w:rPr>
      </w:pPr>
      <w:r w:rsidRPr="0063557A">
        <w:rPr>
          <w:rFonts w:cs="Times New Roman"/>
          <w:b/>
          <w:szCs w:val="24"/>
        </w:rPr>
        <w:t>CONCLUSION</w:t>
      </w:r>
    </w:p>
    <w:p w14:paraId="186D923E" w14:textId="01DBB402" w:rsidR="00BB7773" w:rsidRPr="009573BA" w:rsidRDefault="0063557A" w:rsidP="009573BA">
      <w:pPr>
        <w:pStyle w:val="ListParagraph"/>
        <w:numPr>
          <w:ilvl w:val="0"/>
          <w:numId w:val="32"/>
        </w:numPr>
        <w:spacing w:after="0" w:line="480" w:lineRule="auto"/>
        <w:rPr>
          <w:rFonts w:cs="Times New Roman"/>
          <w:szCs w:val="24"/>
        </w:rPr>
      </w:pPr>
      <w:r>
        <w:rPr>
          <w:rFonts w:cs="Times New Roman"/>
          <w:szCs w:val="24"/>
        </w:rPr>
        <w:t xml:space="preserve"> </w:t>
      </w:r>
      <w:r>
        <w:rPr>
          <w:rFonts w:cs="Times New Roman"/>
          <w:szCs w:val="24"/>
        </w:rPr>
        <w:tab/>
      </w:r>
      <w:r w:rsidR="00BB7773">
        <w:rPr>
          <w:rFonts w:cs="Times New Roman"/>
          <w:szCs w:val="24"/>
        </w:rPr>
        <w:t xml:space="preserve">Staff has </w:t>
      </w:r>
      <w:r>
        <w:rPr>
          <w:rFonts w:cs="Times New Roman"/>
          <w:szCs w:val="24"/>
        </w:rPr>
        <w:t>documented its findings, provided exten</w:t>
      </w:r>
      <w:r w:rsidR="00367717">
        <w:rPr>
          <w:rFonts w:cs="Times New Roman"/>
          <w:szCs w:val="24"/>
        </w:rPr>
        <w:t xml:space="preserve">sive exhibits, and testified at </w:t>
      </w:r>
      <w:r>
        <w:rPr>
          <w:rFonts w:cs="Times New Roman"/>
          <w:szCs w:val="24"/>
        </w:rPr>
        <w:t>hearing that Best Moving and Delivery LLC committed all of the violations alleged in the Commission’s Complaint in this docket.  Staff has also documented significant past technical assistance and evidence of the Company’s consistent noncompliance with the Commission’s rules and regulations</w:t>
      </w:r>
      <w:r w:rsidR="000A4E64">
        <w:rPr>
          <w:rFonts w:cs="Times New Roman"/>
          <w:szCs w:val="24"/>
        </w:rPr>
        <w:t xml:space="preserve"> dating back to 2009</w:t>
      </w:r>
      <w:r>
        <w:rPr>
          <w:rFonts w:cs="Times New Roman"/>
          <w:szCs w:val="24"/>
        </w:rPr>
        <w:t xml:space="preserve">.  Best Moving has continued </w:t>
      </w:r>
      <w:r w:rsidR="00EB2A9F">
        <w:rPr>
          <w:rFonts w:cs="Times New Roman"/>
          <w:szCs w:val="24"/>
        </w:rPr>
        <w:t xml:space="preserve">to </w:t>
      </w:r>
      <w:r>
        <w:rPr>
          <w:rFonts w:cs="Times New Roman"/>
          <w:szCs w:val="24"/>
        </w:rPr>
        <w:t xml:space="preserve">violate rules and the Commission should </w:t>
      </w:r>
      <w:r w:rsidR="000A4E64">
        <w:rPr>
          <w:rFonts w:cs="Times New Roman"/>
          <w:szCs w:val="24"/>
        </w:rPr>
        <w:t xml:space="preserve">find in favor of Staff’s recommendations on all counts and </w:t>
      </w:r>
      <w:r>
        <w:rPr>
          <w:rFonts w:cs="Times New Roman"/>
          <w:szCs w:val="24"/>
        </w:rPr>
        <w:t>impose a s</w:t>
      </w:r>
      <w:r w:rsidR="009573BA">
        <w:rPr>
          <w:rFonts w:cs="Times New Roman"/>
          <w:szCs w:val="24"/>
        </w:rPr>
        <w:t xml:space="preserve">ignificant penalty, including </w:t>
      </w:r>
      <w:r>
        <w:rPr>
          <w:rFonts w:cs="Times New Roman"/>
          <w:szCs w:val="24"/>
        </w:rPr>
        <w:t xml:space="preserve">revocation of the Company’s permit. </w:t>
      </w:r>
    </w:p>
    <w:p w14:paraId="78923324" w14:textId="14950C8A" w:rsidR="00735A6A" w:rsidRPr="00735A6A" w:rsidRDefault="00C82D79" w:rsidP="00C82D79">
      <w:pPr>
        <w:pStyle w:val="ListParagraph"/>
        <w:spacing w:after="0" w:line="480" w:lineRule="auto"/>
        <w:ind w:left="0" w:firstLine="720"/>
      </w:pPr>
      <w:r w:rsidRPr="00735A6A">
        <w:rPr>
          <w:rFonts w:cs="Times New Roman"/>
          <w:szCs w:val="24"/>
        </w:rPr>
        <w:t>DATED</w:t>
      </w:r>
      <w:r>
        <w:rPr>
          <w:rFonts w:cs="Times New Roman"/>
          <w:szCs w:val="24"/>
        </w:rPr>
        <w:t xml:space="preserve"> this</w:t>
      </w:r>
      <w:r w:rsidR="00B9636D">
        <w:rPr>
          <w:rFonts w:cs="Times New Roman"/>
          <w:szCs w:val="24"/>
        </w:rPr>
        <w:t xml:space="preserve"> </w:t>
      </w:r>
      <w:r w:rsidRPr="00C82D79">
        <w:rPr>
          <w:rFonts w:cs="Times New Roman"/>
          <w:szCs w:val="24"/>
        </w:rPr>
        <w:t>16</w:t>
      </w:r>
      <w:r w:rsidRPr="00C82D79">
        <w:rPr>
          <w:rFonts w:cs="Times New Roman"/>
          <w:szCs w:val="24"/>
          <w:vertAlign w:val="superscript"/>
        </w:rPr>
        <w:t>th</w:t>
      </w:r>
      <w:r>
        <w:rPr>
          <w:rFonts w:cs="Times New Roman"/>
          <w:szCs w:val="24"/>
          <w:vertAlign w:val="superscript"/>
        </w:rPr>
        <w:t xml:space="preserve"> </w:t>
      </w:r>
      <w:r>
        <w:rPr>
          <w:rFonts w:cs="Times New Roman"/>
          <w:szCs w:val="24"/>
        </w:rPr>
        <w:t>o</w:t>
      </w:r>
      <w:r w:rsidR="00B9636D">
        <w:rPr>
          <w:rFonts w:cs="Times New Roman"/>
          <w:szCs w:val="24"/>
        </w:rPr>
        <w:t>f March 2015</w:t>
      </w:r>
      <w:r w:rsidR="00735A6A" w:rsidRPr="00735A6A">
        <w:rPr>
          <w:rFonts w:cs="Times New Roman"/>
          <w:szCs w:val="24"/>
        </w:rPr>
        <w:t>.</w:t>
      </w:r>
    </w:p>
    <w:p w14:paraId="1BC0EFE1" w14:textId="77777777" w:rsidR="00735A6A" w:rsidRPr="00735A6A" w:rsidRDefault="00735A6A" w:rsidP="00735A6A">
      <w:pPr>
        <w:spacing w:after="0" w:line="240" w:lineRule="auto"/>
        <w:ind w:left="4320"/>
        <w:jc w:val="both"/>
        <w:rPr>
          <w:rFonts w:cs="Times New Roman"/>
          <w:szCs w:val="24"/>
        </w:rPr>
      </w:pPr>
      <w:r w:rsidRPr="00735A6A">
        <w:rPr>
          <w:rFonts w:cs="Times New Roman"/>
          <w:szCs w:val="24"/>
        </w:rPr>
        <w:t xml:space="preserve">Respectfully submitted, </w:t>
      </w:r>
    </w:p>
    <w:p w14:paraId="53BF51B2" w14:textId="77777777" w:rsidR="00735A6A" w:rsidRPr="00735A6A" w:rsidRDefault="00735A6A" w:rsidP="00735A6A">
      <w:pPr>
        <w:spacing w:after="0" w:line="240" w:lineRule="auto"/>
        <w:ind w:left="4320"/>
        <w:rPr>
          <w:rFonts w:cs="Times New Roman"/>
          <w:szCs w:val="24"/>
        </w:rPr>
      </w:pPr>
    </w:p>
    <w:p w14:paraId="373BD669" w14:textId="77777777" w:rsidR="00735A6A" w:rsidRDefault="00735A6A" w:rsidP="00735A6A">
      <w:pPr>
        <w:spacing w:after="0" w:line="240" w:lineRule="auto"/>
        <w:ind w:left="4320"/>
        <w:jc w:val="both"/>
        <w:rPr>
          <w:rFonts w:cs="Times New Roman"/>
          <w:szCs w:val="24"/>
        </w:rPr>
      </w:pPr>
    </w:p>
    <w:p w14:paraId="75635C5B" w14:textId="77777777" w:rsidR="00C82D79" w:rsidRPr="00735A6A" w:rsidRDefault="00C82D79" w:rsidP="00735A6A">
      <w:pPr>
        <w:spacing w:after="0" w:line="240" w:lineRule="auto"/>
        <w:ind w:left="4320"/>
        <w:jc w:val="both"/>
        <w:rPr>
          <w:rFonts w:cs="Times New Roman"/>
          <w:szCs w:val="24"/>
        </w:rPr>
      </w:pPr>
    </w:p>
    <w:p w14:paraId="0D9D4F7E" w14:textId="2189BF08" w:rsidR="00735A6A" w:rsidRPr="00735A6A" w:rsidRDefault="00735A6A" w:rsidP="00735A6A">
      <w:pPr>
        <w:spacing w:after="0" w:line="240" w:lineRule="auto"/>
        <w:ind w:left="4320"/>
        <w:jc w:val="both"/>
        <w:rPr>
          <w:rFonts w:cs="Times New Roman"/>
          <w:szCs w:val="24"/>
        </w:rPr>
      </w:pPr>
      <w:r w:rsidRPr="00735A6A">
        <w:rPr>
          <w:rFonts w:cs="Times New Roman"/>
          <w:szCs w:val="24"/>
          <w:u w:val="single"/>
        </w:rPr>
        <w:tab/>
      </w:r>
      <w:r w:rsidRPr="00735A6A">
        <w:rPr>
          <w:rFonts w:cs="Times New Roman"/>
          <w:szCs w:val="24"/>
          <w:u w:val="single"/>
        </w:rPr>
        <w:tab/>
      </w:r>
      <w:r w:rsidRPr="00735A6A">
        <w:rPr>
          <w:rFonts w:cs="Times New Roman"/>
          <w:szCs w:val="24"/>
          <w:u w:val="single"/>
        </w:rPr>
        <w:tab/>
      </w:r>
      <w:r w:rsidRPr="00735A6A">
        <w:rPr>
          <w:rFonts w:cs="Times New Roman"/>
          <w:szCs w:val="24"/>
          <w:u w:val="single"/>
        </w:rPr>
        <w:tab/>
      </w:r>
      <w:r w:rsidRPr="00735A6A">
        <w:rPr>
          <w:rFonts w:cs="Times New Roman"/>
          <w:szCs w:val="24"/>
          <w:u w:val="single"/>
        </w:rPr>
        <w:tab/>
      </w:r>
    </w:p>
    <w:p w14:paraId="66FF43FA" w14:textId="01302DE9" w:rsidR="00735A6A" w:rsidRPr="00B9636D" w:rsidRDefault="00B9636D" w:rsidP="00735A6A">
      <w:pPr>
        <w:spacing w:after="0" w:line="240" w:lineRule="auto"/>
        <w:ind w:left="4320"/>
        <w:jc w:val="both"/>
        <w:rPr>
          <w:rFonts w:cs="Times New Roman"/>
          <w:szCs w:val="24"/>
        </w:rPr>
      </w:pPr>
      <w:r w:rsidRPr="00B9636D">
        <w:rPr>
          <w:rFonts w:cs="Times New Roman"/>
          <w:szCs w:val="24"/>
        </w:rPr>
        <w:t>BRETT P. SHEARER</w:t>
      </w:r>
    </w:p>
    <w:p w14:paraId="176E3EE5" w14:textId="5F69B766" w:rsidR="00554C0A" w:rsidRPr="00B9636D" w:rsidRDefault="00B9636D" w:rsidP="00B9636D">
      <w:pPr>
        <w:spacing w:after="0" w:line="240" w:lineRule="auto"/>
        <w:ind w:left="4320"/>
        <w:jc w:val="both"/>
        <w:rPr>
          <w:rFonts w:cs="Times New Roman"/>
          <w:szCs w:val="24"/>
        </w:rPr>
      </w:pPr>
      <w:r w:rsidRPr="00B9636D">
        <w:rPr>
          <w:rFonts w:cs="Times New Roman"/>
          <w:szCs w:val="24"/>
        </w:rPr>
        <w:t>Assistant Attorney General</w:t>
      </w:r>
    </w:p>
    <w:p w14:paraId="6B83705E" w14:textId="2C7AB32C" w:rsidR="00B9636D" w:rsidRPr="00B9636D" w:rsidRDefault="00B9636D" w:rsidP="00B9636D">
      <w:pPr>
        <w:spacing w:after="0" w:line="240" w:lineRule="auto"/>
        <w:ind w:left="4320"/>
        <w:rPr>
          <w:rFonts w:cs="Times New Roman"/>
          <w:szCs w:val="24"/>
        </w:rPr>
      </w:pPr>
      <w:r w:rsidRPr="00B9636D">
        <w:rPr>
          <w:rFonts w:cs="Times New Roman"/>
          <w:szCs w:val="24"/>
        </w:rPr>
        <w:t>Counsel for Washington Utilities and Transportation Commission Staff</w:t>
      </w:r>
    </w:p>
    <w:sectPr w:rsidR="00B9636D" w:rsidRPr="00B9636D" w:rsidSect="00C82D79">
      <w:footerReference w:type="default" r:id="rId12"/>
      <w:pgSz w:w="12240" w:h="15840"/>
      <w:pgMar w:top="1440" w:right="1440" w:bottom="1440" w:left="158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B70C0" w14:textId="77777777" w:rsidR="006334E3" w:rsidRDefault="006334E3" w:rsidP="00660F80">
      <w:pPr>
        <w:spacing w:after="0" w:line="240" w:lineRule="auto"/>
      </w:pPr>
      <w:r>
        <w:separator/>
      </w:r>
    </w:p>
  </w:endnote>
  <w:endnote w:type="continuationSeparator" w:id="0">
    <w:p w14:paraId="1012E114" w14:textId="77777777" w:rsidR="006334E3" w:rsidRDefault="006334E3" w:rsidP="0066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E8ED1" w14:textId="77777777" w:rsidR="00F15E94" w:rsidRPr="00735A6A" w:rsidRDefault="00F15E94">
    <w:pPr>
      <w:pStyle w:val="Footer"/>
      <w:rPr>
        <w:sz w:val="20"/>
        <w:szCs w:val="20"/>
      </w:rPr>
    </w:pPr>
  </w:p>
  <w:p w14:paraId="477945CB" w14:textId="17FFAC0F" w:rsidR="00F15E94" w:rsidRPr="00735A6A" w:rsidRDefault="00F15E94">
    <w:pPr>
      <w:pStyle w:val="Footer"/>
      <w:rPr>
        <w:sz w:val="20"/>
        <w:szCs w:val="20"/>
      </w:rPr>
    </w:pPr>
    <w:r>
      <w:rPr>
        <w:sz w:val="20"/>
        <w:szCs w:val="20"/>
      </w:rPr>
      <w:t xml:space="preserve">BRIEF </w:t>
    </w:r>
    <w:r w:rsidR="003B1F70">
      <w:rPr>
        <w:sz w:val="20"/>
        <w:szCs w:val="20"/>
      </w:rPr>
      <w:t xml:space="preserve">ON BEHALF OF COMMISSION STAFF </w:t>
    </w:r>
    <w:r w:rsidRPr="00735A6A">
      <w:rPr>
        <w:sz w:val="20"/>
        <w:szCs w:val="20"/>
      </w:rPr>
      <w:t xml:space="preserve">- </w:t>
    </w:r>
    <w:r w:rsidRPr="00735A6A">
      <w:rPr>
        <w:sz w:val="20"/>
        <w:szCs w:val="20"/>
      </w:rPr>
      <w:fldChar w:fldCharType="begin"/>
    </w:r>
    <w:r w:rsidRPr="00735A6A">
      <w:rPr>
        <w:sz w:val="20"/>
        <w:szCs w:val="20"/>
      </w:rPr>
      <w:instrText xml:space="preserve"> PAGE   \* MERGEFORMAT </w:instrText>
    </w:r>
    <w:r w:rsidRPr="00735A6A">
      <w:rPr>
        <w:sz w:val="20"/>
        <w:szCs w:val="20"/>
      </w:rPr>
      <w:fldChar w:fldCharType="separate"/>
    </w:r>
    <w:r w:rsidR="009F5FD2">
      <w:rPr>
        <w:noProof/>
        <w:sz w:val="20"/>
        <w:szCs w:val="20"/>
      </w:rPr>
      <w:t>ii</w:t>
    </w:r>
    <w:r w:rsidRPr="00735A6A">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C4793" w14:textId="77777777" w:rsidR="00F15E94" w:rsidRPr="00735A6A" w:rsidRDefault="00F15E94">
    <w:pPr>
      <w:pStyle w:val="Footer"/>
      <w:rPr>
        <w:sz w:val="20"/>
        <w:szCs w:val="20"/>
      </w:rPr>
    </w:pPr>
  </w:p>
  <w:p w14:paraId="4BA2A067" w14:textId="440FFFE3" w:rsidR="00F15E94" w:rsidRPr="00735A6A" w:rsidRDefault="00F15E94">
    <w:pPr>
      <w:pStyle w:val="Footer"/>
      <w:rPr>
        <w:sz w:val="20"/>
        <w:szCs w:val="20"/>
      </w:rPr>
    </w:pPr>
    <w:r w:rsidRPr="00735A6A">
      <w:rPr>
        <w:sz w:val="20"/>
        <w:szCs w:val="20"/>
      </w:rPr>
      <w:t>BRIEF</w:t>
    </w:r>
    <w:r>
      <w:rPr>
        <w:sz w:val="20"/>
        <w:szCs w:val="20"/>
      </w:rPr>
      <w:t xml:space="preserve"> ON BEHALF OF COMMISSION STAFF</w:t>
    </w:r>
    <w:r w:rsidRPr="00735A6A">
      <w:rPr>
        <w:sz w:val="20"/>
        <w:szCs w:val="20"/>
      </w:rPr>
      <w:t xml:space="preserve"> - </w:t>
    </w:r>
    <w:r w:rsidRPr="00735A6A">
      <w:rPr>
        <w:sz w:val="20"/>
        <w:szCs w:val="20"/>
      </w:rPr>
      <w:fldChar w:fldCharType="begin"/>
    </w:r>
    <w:r w:rsidRPr="00735A6A">
      <w:rPr>
        <w:sz w:val="20"/>
        <w:szCs w:val="20"/>
      </w:rPr>
      <w:instrText xml:space="preserve"> PAGE   \* MERGEFORMAT </w:instrText>
    </w:r>
    <w:r w:rsidRPr="00735A6A">
      <w:rPr>
        <w:sz w:val="20"/>
        <w:szCs w:val="20"/>
      </w:rPr>
      <w:fldChar w:fldCharType="separate"/>
    </w:r>
    <w:r w:rsidR="009F5FD2">
      <w:rPr>
        <w:noProof/>
        <w:sz w:val="20"/>
        <w:szCs w:val="20"/>
      </w:rPr>
      <w:t>2</w:t>
    </w:r>
    <w:r w:rsidRPr="00735A6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C730D" w14:textId="77777777" w:rsidR="006334E3" w:rsidRDefault="006334E3" w:rsidP="00660F80">
      <w:pPr>
        <w:spacing w:after="0" w:line="240" w:lineRule="auto"/>
      </w:pPr>
      <w:r>
        <w:separator/>
      </w:r>
    </w:p>
  </w:footnote>
  <w:footnote w:type="continuationSeparator" w:id="0">
    <w:p w14:paraId="4A262816" w14:textId="77777777" w:rsidR="006334E3" w:rsidRDefault="006334E3" w:rsidP="00660F80">
      <w:pPr>
        <w:spacing w:after="0" w:line="240" w:lineRule="auto"/>
      </w:pPr>
      <w:r>
        <w:continuationSeparator/>
      </w:r>
    </w:p>
  </w:footnote>
  <w:footnote w:id="1">
    <w:p w14:paraId="49163DCC" w14:textId="4CCE2DA9" w:rsidR="00F15E94" w:rsidRDefault="00F15E94">
      <w:pPr>
        <w:pStyle w:val="FootnoteText"/>
      </w:pPr>
      <w:r>
        <w:rPr>
          <w:rStyle w:val="FootnoteReference"/>
        </w:rPr>
        <w:footnoteRef/>
      </w:r>
      <w:r>
        <w:t xml:space="preserve"> In verbal testimony at the hearing, Mr. Ratko acknowledged the violations alleged in the third, fourth, fifth, sixth, and a significant portion of the eighth causes of action. Because the Parties are filing briefs within six business days of the evidentiary</w:t>
      </w:r>
      <w:r w:rsidR="00380294">
        <w:t xml:space="preserve"> hearing</w:t>
      </w:r>
      <w:r>
        <w:t xml:space="preserve"> in this matter, the transcript is not yet available for citation. Should any party dispute the statement that Mr. Ratko did acknowledge the above-noted violations, Staff can cite to the hearing transcript once it becomes available. </w:t>
      </w:r>
    </w:p>
  </w:footnote>
  <w:footnote w:id="2">
    <w:p w14:paraId="1CA03AD0" w14:textId="4F52745E" w:rsidR="00F15E94" w:rsidRDefault="00F15E94">
      <w:pPr>
        <w:pStyle w:val="FootnoteText"/>
      </w:pPr>
      <w:r>
        <w:rPr>
          <w:rStyle w:val="FootnoteReference"/>
        </w:rPr>
        <w:footnoteRef/>
      </w:r>
      <w:r>
        <w:t xml:space="preserve"> Exhibits RP-1 through RP-64. </w:t>
      </w:r>
    </w:p>
  </w:footnote>
  <w:footnote w:id="3">
    <w:p w14:paraId="16C929E4" w14:textId="309C43B8" w:rsidR="00F15E94" w:rsidRDefault="00F15E94">
      <w:pPr>
        <w:pStyle w:val="FootnoteText"/>
      </w:pPr>
      <w:r>
        <w:rPr>
          <w:rStyle w:val="FootnoteReference"/>
        </w:rPr>
        <w:footnoteRef/>
      </w:r>
      <w:r>
        <w:t xml:space="preserve"> Staff’s Response to Bench Request 1, Investigation Report Ivan Ratko DBA Best Moving &amp; Delivery, TV-110977, December 2011, Rayne Pearson.</w:t>
      </w:r>
    </w:p>
  </w:footnote>
  <w:footnote w:id="4">
    <w:p w14:paraId="40D95AA1" w14:textId="3194A7EC" w:rsidR="00F15E94" w:rsidRDefault="00F15E94">
      <w:pPr>
        <w:pStyle w:val="FootnoteText"/>
      </w:pPr>
      <w:r>
        <w:rPr>
          <w:rStyle w:val="FootnoteReference"/>
        </w:rPr>
        <w:footnoteRef/>
      </w:r>
      <w:r>
        <w:t xml:space="preserve"> Exhibit No. ___ (RP-64), Staff Investigation Report, Best Moving and Delivery LLC, TV-132030, April 2014, pp. 9-12</w:t>
      </w:r>
    </w:p>
  </w:footnote>
  <w:footnote w:id="5">
    <w:p w14:paraId="19B36D17" w14:textId="4BAFEA7D" w:rsidR="00F15E94" w:rsidRDefault="00F15E94">
      <w:pPr>
        <w:pStyle w:val="FootnoteText"/>
      </w:pPr>
      <w:r>
        <w:rPr>
          <w:rStyle w:val="FootnoteReference"/>
        </w:rPr>
        <w:footnoteRef/>
      </w:r>
      <w:r>
        <w:t xml:space="preserve"> Should any party dispute the contents of Ms. Pearson’s testimony, Staff can cite to the transcript once it becomes available. </w:t>
      </w:r>
    </w:p>
  </w:footnote>
  <w:footnote w:id="6">
    <w:p w14:paraId="4BE4D3D2" w14:textId="77777777" w:rsidR="00F15E94" w:rsidRDefault="00F15E94" w:rsidP="00AB50E7">
      <w:pPr>
        <w:pStyle w:val="FootnoteText"/>
      </w:pPr>
      <w:r>
        <w:rPr>
          <w:rStyle w:val="FootnoteReference"/>
        </w:rPr>
        <w:footnoteRef/>
      </w:r>
      <w:r>
        <w:t xml:space="preserve"> The customers listed on estimate forms in the record as Exhibits RP-1, RP-2, RP-3, RP-4, RP-5, RP-6, and RP-7. </w:t>
      </w:r>
    </w:p>
  </w:footnote>
  <w:footnote w:id="7">
    <w:p w14:paraId="01A89A16" w14:textId="0010C40C" w:rsidR="00F15E94" w:rsidRDefault="00F15E94">
      <w:pPr>
        <w:pStyle w:val="FootnoteText"/>
      </w:pPr>
      <w:r>
        <w:rPr>
          <w:rStyle w:val="FootnoteReference"/>
        </w:rPr>
        <w:footnoteRef/>
      </w:r>
      <w:r>
        <w:t xml:space="preserve"> Pearson, Exhibit RP-64, pp. 10 and 12. </w:t>
      </w:r>
    </w:p>
  </w:footnote>
  <w:footnote w:id="8">
    <w:p w14:paraId="1E2888C8" w14:textId="0C78500B" w:rsidR="00F15E94" w:rsidRPr="000849DF" w:rsidRDefault="00F15E94" w:rsidP="00C82D79">
      <w:pPr>
        <w:pStyle w:val="FootnoteText"/>
        <w:ind w:right="-234"/>
      </w:pPr>
      <w:r>
        <w:rPr>
          <w:rStyle w:val="FootnoteReference"/>
        </w:rPr>
        <w:footnoteRef/>
      </w:r>
      <w:r>
        <w:t xml:space="preserve"> Pearson, Exhibit RP-64, pp. 10 and 12. </w:t>
      </w:r>
      <w:r>
        <w:rPr>
          <w:i/>
        </w:rPr>
        <w:t xml:space="preserve">See also </w:t>
      </w:r>
      <w:r>
        <w:t xml:space="preserve">Pearson, Exhibits RP-1, RP-2, RP-3, RP-4, RP-5, RP-6, and RP-7. </w:t>
      </w:r>
    </w:p>
  </w:footnote>
  <w:footnote w:id="9">
    <w:p w14:paraId="5D5FE0A5" w14:textId="5E8CD0D0" w:rsidR="00F15E94" w:rsidRDefault="00F15E94">
      <w:pPr>
        <w:pStyle w:val="FootnoteText"/>
      </w:pPr>
      <w:r>
        <w:rPr>
          <w:rStyle w:val="FootnoteReference"/>
        </w:rPr>
        <w:footnoteRef/>
      </w:r>
      <w:r>
        <w:t xml:space="preserve"> Pearson, Exhibits RP-1, RP-2, RP-3, RP-4, RP-5, RP-6, and RP-7.</w:t>
      </w:r>
    </w:p>
  </w:footnote>
  <w:footnote w:id="10">
    <w:p w14:paraId="63920ACC" w14:textId="34E06F6F" w:rsidR="00F15E94" w:rsidRDefault="00F15E94">
      <w:pPr>
        <w:pStyle w:val="FootnoteText"/>
      </w:pPr>
      <w:r>
        <w:rPr>
          <w:rStyle w:val="FootnoteReference"/>
        </w:rPr>
        <w:footnoteRef/>
      </w:r>
      <w:r>
        <w:t xml:space="preserve"> The Commission-published tariff is Tariff 15-C.</w:t>
      </w:r>
    </w:p>
  </w:footnote>
  <w:footnote w:id="11">
    <w:p w14:paraId="0AAA230F" w14:textId="4A76C161" w:rsidR="00F15E94" w:rsidRPr="00E44E65" w:rsidRDefault="00F15E94">
      <w:pPr>
        <w:pStyle w:val="FootnoteText"/>
      </w:pPr>
      <w:r>
        <w:rPr>
          <w:rStyle w:val="FootnoteReference"/>
        </w:rPr>
        <w:footnoteRef/>
      </w:r>
      <w:r>
        <w:t xml:space="preserve"> </w:t>
      </w:r>
      <w:r>
        <w:rPr>
          <w:i/>
        </w:rPr>
        <w:t>WUTC v. Best Moving and Delivery LLC</w:t>
      </w:r>
      <w:r>
        <w:t xml:space="preserve">, Complaint and Notice of Prehearing Conference, Docket TV-132030, pp. 3-4 at </w:t>
      </w:r>
      <w:r>
        <w:rPr>
          <w:rFonts w:cs="Times New Roman"/>
        </w:rPr>
        <w:t>¶¶</w:t>
      </w:r>
      <w:r>
        <w:t xml:space="preserve">18-28, Sept. 11, 2014. </w:t>
      </w:r>
    </w:p>
  </w:footnote>
  <w:footnote w:id="12">
    <w:p w14:paraId="0702E225" w14:textId="5ED0E7FC" w:rsidR="00F15E94" w:rsidRDefault="00F15E94">
      <w:pPr>
        <w:pStyle w:val="FootnoteText"/>
      </w:pPr>
      <w:r>
        <w:rPr>
          <w:rStyle w:val="FootnoteReference"/>
        </w:rPr>
        <w:footnoteRef/>
      </w:r>
      <w:r>
        <w:t xml:space="preserve"> Pearson, Exhibit RP-64, pp. 10-11</w:t>
      </w:r>
    </w:p>
  </w:footnote>
  <w:footnote w:id="13">
    <w:p w14:paraId="39D687D1" w14:textId="0D908FC9" w:rsidR="00380294" w:rsidRDefault="00380294">
      <w:pPr>
        <w:pStyle w:val="FootnoteText"/>
      </w:pPr>
      <w:r>
        <w:rPr>
          <w:rStyle w:val="FootnoteReference"/>
        </w:rPr>
        <w:footnoteRef/>
      </w:r>
      <w:r>
        <w:t xml:space="preserve"> Should the Commission agree with Staff’s arguments on the first and second causes of action (falsifying seven estimate forms and then not providing them to customers), then Staff supports an alternative finding of 24 violations for the third cause of action.  </w:t>
      </w:r>
    </w:p>
  </w:footnote>
  <w:footnote w:id="14">
    <w:p w14:paraId="7C2EA064" w14:textId="38E00E93" w:rsidR="00F15E94" w:rsidRDefault="00F15E94">
      <w:pPr>
        <w:pStyle w:val="FootnoteText"/>
      </w:pPr>
      <w:r>
        <w:rPr>
          <w:rStyle w:val="FootnoteReference"/>
        </w:rPr>
        <w:footnoteRef/>
      </w:r>
      <w:r>
        <w:t xml:space="preserve"> Pearson, Exhibit RP-64, p. 9. </w:t>
      </w:r>
    </w:p>
  </w:footnote>
  <w:footnote w:id="15">
    <w:p w14:paraId="0ECFADCA" w14:textId="4EF66F6E" w:rsidR="00F15E94" w:rsidRPr="008567E3" w:rsidRDefault="00F15E94">
      <w:pPr>
        <w:pStyle w:val="FootnoteText"/>
        <w:rPr>
          <w:i/>
        </w:rPr>
      </w:pPr>
      <w:r>
        <w:rPr>
          <w:rStyle w:val="FootnoteReference"/>
        </w:rPr>
        <w:footnoteRef/>
      </w:r>
      <w:r>
        <w:t xml:space="preserve"> </w:t>
      </w:r>
      <w:r>
        <w:rPr>
          <w:i/>
        </w:rPr>
        <w:t xml:space="preserve">Id. </w:t>
      </w:r>
    </w:p>
  </w:footnote>
  <w:footnote w:id="16">
    <w:p w14:paraId="12E1BE44" w14:textId="0007E681" w:rsidR="00F15E94" w:rsidRDefault="00F15E94">
      <w:pPr>
        <w:pStyle w:val="FootnoteText"/>
      </w:pPr>
      <w:r>
        <w:rPr>
          <w:rStyle w:val="FootnoteReference"/>
        </w:rPr>
        <w:footnoteRef/>
      </w:r>
      <w:r>
        <w:t xml:space="preserve"> Pearson, Exhibit RP-64, p. 13. </w:t>
      </w:r>
    </w:p>
  </w:footnote>
  <w:footnote w:id="17">
    <w:p w14:paraId="11C77E21" w14:textId="145D6465" w:rsidR="00F15E94" w:rsidRPr="008567E3" w:rsidRDefault="00F15E94">
      <w:pPr>
        <w:pStyle w:val="FootnoteText"/>
      </w:pPr>
      <w:r>
        <w:rPr>
          <w:rStyle w:val="FootnoteReference"/>
        </w:rPr>
        <w:footnoteRef/>
      </w:r>
      <w:r>
        <w:t xml:space="preserve"> </w:t>
      </w:r>
      <w:r>
        <w:rPr>
          <w:i/>
        </w:rPr>
        <w:t xml:space="preserve">See </w:t>
      </w:r>
      <w:r>
        <w:t xml:space="preserve">WAC 480-15-630, Tariff 15-C, Item 85, p. 13. </w:t>
      </w:r>
    </w:p>
  </w:footnote>
  <w:footnote w:id="18">
    <w:p w14:paraId="1FCD3340" w14:textId="2B5C3185" w:rsidR="00F15E94" w:rsidRDefault="00F15E94">
      <w:pPr>
        <w:pStyle w:val="FootnoteText"/>
      </w:pPr>
      <w:r>
        <w:rPr>
          <w:rStyle w:val="FootnoteReference"/>
        </w:rPr>
        <w:footnoteRef/>
      </w:r>
      <w:r>
        <w:t xml:space="preserve"> Complaint, TV-132030, pp. 5-6 </w:t>
      </w:r>
      <w:r>
        <w:rPr>
          <w:rFonts w:cs="Times New Roman"/>
        </w:rPr>
        <w:t>¶¶</w:t>
      </w:r>
      <w:r>
        <w:t xml:space="preserve">32-42, Sept. 11, 2014. </w:t>
      </w:r>
    </w:p>
  </w:footnote>
  <w:footnote w:id="19">
    <w:p w14:paraId="54E9170C" w14:textId="77777777" w:rsidR="00F15E94" w:rsidRDefault="00F15E94" w:rsidP="00FB7ECA">
      <w:pPr>
        <w:pStyle w:val="FootnoteText"/>
      </w:pPr>
      <w:r>
        <w:rPr>
          <w:rStyle w:val="FootnoteReference"/>
        </w:rPr>
        <w:footnoteRef/>
      </w:r>
      <w:r>
        <w:t xml:space="preserve"> Approximately half way down the page on the left hand side, all of the exhibits from RP-32 through RP-62 contain a statement that “Any loss or damage must be reported to ‘Best Moving’ within 24 hours from the time of the move.”</w:t>
      </w:r>
    </w:p>
  </w:footnote>
  <w:footnote w:id="20">
    <w:p w14:paraId="30F2E8E6" w14:textId="2FA647D5" w:rsidR="00380294" w:rsidRDefault="00380294">
      <w:pPr>
        <w:pStyle w:val="FootnoteText"/>
      </w:pPr>
      <w:r>
        <w:rPr>
          <w:rStyle w:val="FootnoteReference"/>
        </w:rPr>
        <w:footnoteRef/>
      </w:r>
      <w:r>
        <w:t xml:space="preserve"> Pearson, Exhibit RP-64, p. 19. </w:t>
      </w:r>
    </w:p>
  </w:footnote>
  <w:footnote w:id="21">
    <w:p w14:paraId="30CF0FD8" w14:textId="33A26213" w:rsidR="00F70559" w:rsidRDefault="00F70559">
      <w:pPr>
        <w:pStyle w:val="FootnoteText"/>
      </w:pPr>
      <w:r>
        <w:rPr>
          <w:rStyle w:val="FootnoteReference"/>
        </w:rPr>
        <w:footnoteRef/>
      </w:r>
      <w:r>
        <w:t xml:space="preserve"> WAC 480-15-610(1)(c)</w:t>
      </w:r>
    </w:p>
  </w:footnote>
  <w:footnote w:id="22">
    <w:p w14:paraId="56EEB771" w14:textId="20A059E2" w:rsidR="00F70559" w:rsidRPr="003B1F70" w:rsidRDefault="00F70559">
      <w:pPr>
        <w:pStyle w:val="FootnoteText"/>
      </w:pPr>
      <w:r>
        <w:rPr>
          <w:rStyle w:val="FootnoteReference"/>
        </w:rPr>
        <w:footnoteRef/>
      </w:r>
      <w:r>
        <w:t xml:space="preserve"> Pearson, Exhibit RP-63</w:t>
      </w:r>
      <w:r w:rsidR="003B1F70">
        <w:t xml:space="preserve">. </w:t>
      </w:r>
      <w:r w:rsidR="003B1F70">
        <w:rPr>
          <w:i/>
        </w:rPr>
        <w:t xml:space="preserve">See also </w:t>
      </w:r>
      <w:r w:rsidR="003B1F70">
        <w:t xml:space="preserve">Pearson, Exhibit RP-64, Staff Investigation Report, p. 16 and Appendix E. </w:t>
      </w:r>
    </w:p>
  </w:footnote>
  <w:footnote w:id="23">
    <w:p w14:paraId="5B9350B7" w14:textId="3E646B18" w:rsidR="00F70559" w:rsidRDefault="00F70559">
      <w:pPr>
        <w:pStyle w:val="FootnoteText"/>
      </w:pPr>
      <w:r>
        <w:rPr>
          <w:rStyle w:val="FootnoteReference"/>
        </w:rPr>
        <w:footnoteRef/>
      </w:r>
      <w:r>
        <w:t xml:space="preserve"> </w:t>
      </w:r>
      <w:r>
        <w:rPr>
          <w:i/>
        </w:rPr>
        <w:t xml:space="preserve">See </w:t>
      </w:r>
      <w:r>
        <w:t xml:space="preserve">Complaint, Docket TV-132030, Sept. 11, 2014. </w:t>
      </w:r>
    </w:p>
  </w:footnote>
  <w:footnote w:id="24">
    <w:p w14:paraId="5EE54747" w14:textId="0AA097E9" w:rsidR="00AB405E" w:rsidRDefault="00AB405E">
      <w:pPr>
        <w:pStyle w:val="FootnoteText"/>
      </w:pPr>
      <w:r>
        <w:rPr>
          <w:rStyle w:val="FootnoteReference"/>
        </w:rPr>
        <w:footnoteRef/>
      </w:r>
      <w:r>
        <w:t xml:space="preserve"> Pearson, Exhibit RP-64, p. 17. </w:t>
      </w:r>
    </w:p>
  </w:footnote>
  <w:footnote w:id="25">
    <w:p w14:paraId="0AB17691" w14:textId="149B959E" w:rsidR="001541A1" w:rsidRPr="001541A1" w:rsidRDefault="001541A1">
      <w:pPr>
        <w:pStyle w:val="FootnoteText"/>
      </w:pPr>
      <w:r>
        <w:rPr>
          <w:rStyle w:val="FootnoteReference"/>
        </w:rPr>
        <w:footnoteRef/>
      </w:r>
      <w:r>
        <w:t xml:space="preserve"> </w:t>
      </w:r>
      <w:r>
        <w:rPr>
          <w:i/>
        </w:rPr>
        <w:t xml:space="preserve">See </w:t>
      </w:r>
      <w:r>
        <w:t xml:space="preserve">Pearson, Exhibits RP-32 through RP-61. </w:t>
      </w:r>
    </w:p>
  </w:footnote>
  <w:footnote w:id="26">
    <w:p w14:paraId="19E16956" w14:textId="57626FCB" w:rsidR="001541A1" w:rsidRDefault="001541A1">
      <w:pPr>
        <w:pStyle w:val="FootnoteText"/>
      </w:pPr>
      <w:r>
        <w:rPr>
          <w:rStyle w:val="FootnoteReference"/>
        </w:rPr>
        <w:footnoteRef/>
      </w:r>
      <w:r>
        <w:t xml:space="preserve"> Pearson, Exhibit RP-64, p. 17, second paragraph.</w:t>
      </w:r>
    </w:p>
  </w:footnote>
  <w:footnote w:id="27">
    <w:p w14:paraId="368A39C4" w14:textId="519F57B8" w:rsidR="004368F0" w:rsidRDefault="004368F0">
      <w:pPr>
        <w:pStyle w:val="FootnoteText"/>
      </w:pPr>
      <w:r>
        <w:rPr>
          <w:rStyle w:val="FootnoteReference"/>
        </w:rPr>
        <w:footnoteRef/>
      </w:r>
      <w:r>
        <w:t xml:space="preserve"> Pearson, Exhibit RP-64, pp. 17-18. </w:t>
      </w:r>
    </w:p>
  </w:footnote>
  <w:footnote w:id="28">
    <w:p w14:paraId="1AE6915A" w14:textId="77777777" w:rsidR="001172E2" w:rsidRDefault="001172E2" w:rsidP="001172E2">
      <w:pPr>
        <w:pStyle w:val="FootnoteText"/>
      </w:pPr>
      <w:r>
        <w:rPr>
          <w:rStyle w:val="FootnoteReference"/>
        </w:rPr>
        <w:footnoteRef/>
      </w:r>
      <w:r>
        <w:t xml:space="preserve"> </w:t>
      </w:r>
      <w:r>
        <w:rPr>
          <w:i/>
        </w:rPr>
        <w:t xml:space="preserve">WUTC v. Best Moving and Delivery </w:t>
      </w:r>
      <w:r w:rsidRPr="001172E2">
        <w:t>LLC</w:t>
      </w:r>
      <w:r>
        <w:t xml:space="preserve">, Docket TV-132030, </w:t>
      </w:r>
      <w:r w:rsidRPr="001172E2">
        <w:t>Staff</w:t>
      </w:r>
      <w:r>
        <w:t xml:space="preserve"> Response to Bench Request 1, Staff Investigation Report TV-110977 (Dec. 11, 2011), March 9, 2015. </w:t>
      </w:r>
    </w:p>
  </w:footnote>
  <w:footnote w:id="29">
    <w:p w14:paraId="265D1C89" w14:textId="100651CE" w:rsidR="0063557A" w:rsidRPr="0063557A" w:rsidRDefault="0063557A">
      <w:pPr>
        <w:pStyle w:val="FootnoteText"/>
      </w:pPr>
      <w:r>
        <w:rPr>
          <w:rStyle w:val="FootnoteReference"/>
        </w:rPr>
        <w:footnoteRef/>
      </w:r>
      <w:r>
        <w:t xml:space="preserve"> </w:t>
      </w:r>
      <w:r>
        <w:rPr>
          <w:i/>
        </w:rPr>
        <w:t xml:space="preserve">See supra </w:t>
      </w:r>
      <w:r>
        <w:t>Section II. A. and Section II. H.</w:t>
      </w:r>
    </w:p>
  </w:footnote>
  <w:footnote w:id="30">
    <w:p w14:paraId="42A5F25D" w14:textId="207197CF" w:rsidR="00CB60E4" w:rsidRPr="00363DCA" w:rsidRDefault="00CB60E4">
      <w:pPr>
        <w:pStyle w:val="FootnoteText"/>
      </w:pPr>
      <w:r>
        <w:rPr>
          <w:rStyle w:val="FootnoteReference"/>
        </w:rPr>
        <w:footnoteRef/>
      </w:r>
      <w:r>
        <w:t xml:space="preserve"> Pearson, Exhibit RP-64, pp. 21-22. </w:t>
      </w:r>
      <w:r w:rsidR="00363DCA">
        <w:rPr>
          <w:i/>
        </w:rPr>
        <w:t>See also</w:t>
      </w:r>
      <w:r w:rsidR="00363DCA">
        <w:t xml:space="preserve"> Pearson, Exhibit RP-64, p. 20 for a general summary of Ms. Pearson’s recommended penalty. </w:t>
      </w:r>
    </w:p>
  </w:footnote>
  <w:footnote w:id="31">
    <w:p w14:paraId="4DF47ED5" w14:textId="6D7B2878" w:rsidR="00363DCA" w:rsidRPr="00363DCA" w:rsidRDefault="00363DCA">
      <w:pPr>
        <w:pStyle w:val="FootnoteText"/>
      </w:pPr>
      <w:r>
        <w:rPr>
          <w:rStyle w:val="FootnoteReference"/>
        </w:rPr>
        <w:footnoteRef/>
      </w:r>
      <w:r>
        <w:t xml:space="preserve"> </w:t>
      </w:r>
      <w:r>
        <w:rPr>
          <w:i/>
        </w:rPr>
        <w:t xml:space="preserve">Id. </w:t>
      </w:r>
      <w:r>
        <w:t xml:space="preserve">at pp. 6-8. </w:t>
      </w:r>
    </w:p>
  </w:footnote>
  <w:footnote w:id="32">
    <w:p w14:paraId="1E638080" w14:textId="1B0E3351" w:rsidR="00363DCA" w:rsidRPr="00363DCA" w:rsidRDefault="00363DCA">
      <w:pPr>
        <w:pStyle w:val="FootnoteText"/>
      </w:pPr>
      <w:r>
        <w:rPr>
          <w:rStyle w:val="FootnoteReference"/>
        </w:rPr>
        <w:footnoteRef/>
      </w:r>
      <w:r>
        <w:t xml:space="preserve"> </w:t>
      </w:r>
      <w:r w:rsidR="000A4E64">
        <w:rPr>
          <w:i/>
        </w:rPr>
        <w:t>WUTC v. Ivan Ratko DBA Best Moving and Delivery</w:t>
      </w:r>
      <w:r w:rsidR="000A4E64">
        <w:t xml:space="preserve">, Docket TV-110977, Order 01, Initial Order Approving Settlement Agreement and Mitigating Penalty to $200, March 12, 2012. </w:t>
      </w:r>
      <w:r w:rsidR="000A4E64">
        <w:rPr>
          <w:i/>
        </w:rPr>
        <w:t xml:space="preserve"> </w:t>
      </w:r>
      <w:r w:rsidRPr="000A4E64">
        <w:rPr>
          <w:i/>
        </w:rPr>
        <w:t>See</w:t>
      </w:r>
      <w:r>
        <w:rPr>
          <w:i/>
        </w:rPr>
        <w:t xml:space="preserve"> </w:t>
      </w:r>
      <w:r w:rsidRPr="001172E2">
        <w:t>Staff</w:t>
      </w:r>
      <w:r>
        <w:t xml:space="preserve"> Response to Bench Request </w:t>
      </w:r>
      <w:r w:rsidR="00C82D79">
        <w:t xml:space="preserve">No. </w:t>
      </w:r>
      <w:r>
        <w:t>1, Staff Investigation Report TV-110977 (Dec. 11, 2011), March 9, 2015.</w:t>
      </w:r>
    </w:p>
  </w:footnote>
  <w:footnote w:id="33">
    <w:p w14:paraId="236AE612" w14:textId="2D51227F" w:rsidR="00BB7773" w:rsidRDefault="00BB7773">
      <w:pPr>
        <w:pStyle w:val="FootnoteText"/>
      </w:pPr>
      <w:r>
        <w:rPr>
          <w:rStyle w:val="FootnoteReference"/>
        </w:rPr>
        <w:footnoteRef/>
      </w:r>
      <w:r>
        <w:t xml:space="preserve"> </w:t>
      </w:r>
      <w:r w:rsidR="00BE4048">
        <w:rPr>
          <w:i/>
        </w:rPr>
        <w:t xml:space="preserve">Compare </w:t>
      </w:r>
      <w:r w:rsidR="00BE4048">
        <w:t xml:space="preserve">Order 01, Docket TV-072258 </w:t>
      </w:r>
      <w:r w:rsidR="00BE4048">
        <w:rPr>
          <w:i/>
        </w:rPr>
        <w:t xml:space="preserve">and </w:t>
      </w:r>
      <w:r w:rsidR="00BE4048">
        <w:t>Order 01, Docket TV-121771</w:t>
      </w:r>
      <w:r w:rsidR="00367717">
        <w:t xml:space="preserve"> (approving changes to Tariff 15 for household goods movers)</w:t>
      </w:r>
      <w:r w:rsidR="00BE4048">
        <w:t>.</w:t>
      </w:r>
      <w:r w:rsidR="00EB2A9F">
        <w:t xml:space="preserve"> </w:t>
      </w:r>
      <w:r w:rsidR="00BE4048">
        <w:t xml:space="preserve"> </w:t>
      </w:r>
      <w:r>
        <w:t>Mr. Ratko also testified</w:t>
      </w:r>
      <w:r w:rsidR="0063557A">
        <w:t xml:space="preserve"> at the evidentiary hearing</w:t>
      </w:r>
      <w:r>
        <w:t xml:space="preserve"> that another moving company had over 200 customer complaints and suggested Staff should pursue that company instead of Best Moving.  For </w:t>
      </w:r>
      <w:r w:rsidR="005C696B">
        <w:t xml:space="preserve">the sake of </w:t>
      </w:r>
      <w:r>
        <w:t xml:space="preserve">both the Commission and </w:t>
      </w:r>
      <w:r w:rsidR="005C696B">
        <w:t>other interested parties,</w:t>
      </w:r>
      <w:r>
        <w:t xml:space="preserve"> Staff wants to clarify that Mr. Ratko’s estimate/statement is not accurate.</w:t>
      </w:r>
      <w:r w:rsidR="005C696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6424"/>
    <w:multiLevelType w:val="hybridMultilevel"/>
    <w:tmpl w:val="FA729568"/>
    <w:lvl w:ilvl="0" w:tplc="57B05F4A">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4F1E6E"/>
    <w:multiLevelType w:val="hybridMultilevel"/>
    <w:tmpl w:val="417CA74A"/>
    <w:lvl w:ilvl="0" w:tplc="57B05F4A">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6A02E6"/>
    <w:multiLevelType w:val="hybridMultilevel"/>
    <w:tmpl w:val="8B7A4D1A"/>
    <w:lvl w:ilvl="0" w:tplc="0060B4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CB7A18"/>
    <w:multiLevelType w:val="hybridMultilevel"/>
    <w:tmpl w:val="90E4DD26"/>
    <w:lvl w:ilvl="0" w:tplc="76A4EB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121A9"/>
    <w:multiLevelType w:val="hybridMultilevel"/>
    <w:tmpl w:val="270EC48C"/>
    <w:lvl w:ilvl="0" w:tplc="57B05F4A">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FF440F"/>
    <w:multiLevelType w:val="hybridMultilevel"/>
    <w:tmpl w:val="5B206C94"/>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A2726"/>
    <w:multiLevelType w:val="hybridMultilevel"/>
    <w:tmpl w:val="8BB06004"/>
    <w:lvl w:ilvl="0" w:tplc="0F8486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E83B18"/>
    <w:multiLevelType w:val="hybridMultilevel"/>
    <w:tmpl w:val="9D5C6B7E"/>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28089C"/>
    <w:multiLevelType w:val="hybridMultilevel"/>
    <w:tmpl w:val="B0EE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11914"/>
    <w:multiLevelType w:val="hybridMultilevel"/>
    <w:tmpl w:val="19089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F4803"/>
    <w:multiLevelType w:val="hybridMultilevel"/>
    <w:tmpl w:val="A9C2FD3E"/>
    <w:lvl w:ilvl="0" w:tplc="ECE6BB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145D70"/>
    <w:multiLevelType w:val="hybridMultilevel"/>
    <w:tmpl w:val="8CB450EE"/>
    <w:lvl w:ilvl="0" w:tplc="0D6E9B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1167B9E"/>
    <w:multiLevelType w:val="hybridMultilevel"/>
    <w:tmpl w:val="CE204E46"/>
    <w:lvl w:ilvl="0" w:tplc="F372E494">
      <w:start w:val="1"/>
      <w:numFmt w:val="decimal"/>
      <w:lvlText w:val="%1"/>
      <w:lvlJc w:val="left"/>
      <w:pPr>
        <w:ind w:left="108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5D4340"/>
    <w:multiLevelType w:val="hybridMultilevel"/>
    <w:tmpl w:val="ADF651DA"/>
    <w:lvl w:ilvl="0" w:tplc="9164527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8E3993"/>
    <w:multiLevelType w:val="hybridMultilevel"/>
    <w:tmpl w:val="B0C2954E"/>
    <w:lvl w:ilvl="0" w:tplc="10E6937E">
      <w:start w:val="1"/>
      <w:numFmt w:val="upp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14930"/>
    <w:multiLevelType w:val="hybridMultilevel"/>
    <w:tmpl w:val="9A64903A"/>
    <w:lvl w:ilvl="0" w:tplc="E4CCE2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50F2CBA"/>
    <w:multiLevelType w:val="hybridMultilevel"/>
    <w:tmpl w:val="3014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7F4AB3"/>
    <w:multiLevelType w:val="hybridMultilevel"/>
    <w:tmpl w:val="19449ECA"/>
    <w:lvl w:ilvl="0" w:tplc="EC16C0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A841A3A"/>
    <w:multiLevelType w:val="hybridMultilevel"/>
    <w:tmpl w:val="03E4B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043A41"/>
    <w:multiLevelType w:val="hybridMultilevel"/>
    <w:tmpl w:val="9A3ED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390666"/>
    <w:multiLevelType w:val="hybridMultilevel"/>
    <w:tmpl w:val="F5240288"/>
    <w:lvl w:ilvl="0" w:tplc="2CAE7C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C65BFD"/>
    <w:multiLevelType w:val="hybridMultilevel"/>
    <w:tmpl w:val="9502D646"/>
    <w:lvl w:ilvl="0" w:tplc="FC167F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FB35DB7"/>
    <w:multiLevelType w:val="hybridMultilevel"/>
    <w:tmpl w:val="E6362338"/>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D7104B"/>
    <w:multiLevelType w:val="hybridMultilevel"/>
    <w:tmpl w:val="9C2835B8"/>
    <w:lvl w:ilvl="0" w:tplc="D756B8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3F5337E"/>
    <w:multiLevelType w:val="hybridMultilevel"/>
    <w:tmpl w:val="3AECE4B2"/>
    <w:lvl w:ilvl="0" w:tplc="57B05F4A">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C31DC9"/>
    <w:multiLevelType w:val="hybridMultilevel"/>
    <w:tmpl w:val="A61AD936"/>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0F0662"/>
    <w:multiLevelType w:val="hybridMultilevel"/>
    <w:tmpl w:val="C4EACC08"/>
    <w:lvl w:ilvl="0" w:tplc="03202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1864E4"/>
    <w:multiLevelType w:val="hybridMultilevel"/>
    <w:tmpl w:val="33F24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E13A82"/>
    <w:multiLevelType w:val="hybridMultilevel"/>
    <w:tmpl w:val="EE282710"/>
    <w:lvl w:ilvl="0" w:tplc="FA9006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01D0A11"/>
    <w:multiLevelType w:val="hybridMultilevel"/>
    <w:tmpl w:val="25AC90F2"/>
    <w:lvl w:ilvl="0" w:tplc="F372E494">
      <w:start w:val="1"/>
      <w:numFmt w:val="decimal"/>
      <w:lvlText w:val="%1"/>
      <w:lvlJc w:val="left"/>
      <w:pPr>
        <w:ind w:left="1080" w:hanging="360"/>
      </w:pPr>
      <w:rPr>
        <w:rFonts w:ascii="Times New Roman" w:hAnsi="Times New Roman" w:hint="default"/>
        <w:b w:val="0"/>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0A7D9E"/>
    <w:multiLevelType w:val="hybridMultilevel"/>
    <w:tmpl w:val="23389FBE"/>
    <w:lvl w:ilvl="0" w:tplc="EB664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2F1B8B"/>
    <w:multiLevelType w:val="hybridMultilevel"/>
    <w:tmpl w:val="8DEE6368"/>
    <w:lvl w:ilvl="0" w:tplc="E1FC35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5C17B00"/>
    <w:multiLevelType w:val="hybridMultilevel"/>
    <w:tmpl w:val="443864DA"/>
    <w:lvl w:ilvl="0" w:tplc="280CBC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6E35783"/>
    <w:multiLevelType w:val="hybridMultilevel"/>
    <w:tmpl w:val="2F24E88A"/>
    <w:lvl w:ilvl="0" w:tplc="93DA8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B53CB1"/>
    <w:multiLevelType w:val="hybridMultilevel"/>
    <w:tmpl w:val="18D04CB0"/>
    <w:lvl w:ilvl="0" w:tplc="F2B82D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C9F4E3E"/>
    <w:multiLevelType w:val="hybridMultilevel"/>
    <w:tmpl w:val="69707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D73722"/>
    <w:multiLevelType w:val="hybridMultilevel"/>
    <w:tmpl w:val="A746D00C"/>
    <w:lvl w:ilvl="0" w:tplc="073030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E95829"/>
    <w:multiLevelType w:val="hybridMultilevel"/>
    <w:tmpl w:val="04B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1D060A"/>
    <w:multiLevelType w:val="hybridMultilevel"/>
    <w:tmpl w:val="C314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CE28D5"/>
    <w:multiLevelType w:val="hybridMultilevel"/>
    <w:tmpl w:val="D406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AC6F03"/>
    <w:multiLevelType w:val="hybridMultilevel"/>
    <w:tmpl w:val="4DB221B8"/>
    <w:lvl w:ilvl="0" w:tplc="D8EA0D7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8CD2FD4"/>
    <w:multiLevelType w:val="hybridMultilevel"/>
    <w:tmpl w:val="4EAA3FF8"/>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155A05"/>
    <w:multiLevelType w:val="hybridMultilevel"/>
    <w:tmpl w:val="B732A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564A56"/>
    <w:multiLevelType w:val="hybridMultilevel"/>
    <w:tmpl w:val="172897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C7D1F80"/>
    <w:multiLevelType w:val="hybridMultilevel"/>
    <w:tmpl w:val="7A6E460C"/>
    <w:lvl w:ilvl="0" w:tplc="CBB800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7"/>
  </w:num>
  <w:num w:numId="2">
    <w:abstractNumId w:val="18"/>
  </w:num>
  <w:num w:numId="3">
    <w:abstractNumId w:val="38"/>
  </w:num>
  <w:num w:numId="4">
    <w:abstractNumId w:val="26"/>
  </w:num>
  <w:num w:numId="5">
    <w:abstractNumId w:val="12"/>
  </w:num>
  <w:num w:numId="6">
    <w:abstractNumId w:val="35"/>
  </w:num>
  <w:num w:numId="7">
    <w:abstractNumId w:val="29"/>
  </w:num>
  <w:num w:numId="8">
    <w:abstractNumId w:val="5"/>
  </w:num>
  <w:num w:numId="9">
    <w:abstractNumId w:val="30"/>
  </w:num>
  <w:num w:numId="10">
    <w:abstractNumId w:val="16"/>
  </w:num>
  <w:num w:numId="11">
    <w:abstractNumId w:val="33"/>
  </w:num>
  <w:num w:numId="12">
    <w:abstractNumId w:val="25"/>
  </w:num>
  <w:num w:numId="13">
    <w:abstractNumId w:val="8"/>
  </w:num>
  <w:num w:numId="14">
    <w:abstractNumId w:val="19"/>
  </w:num>
  <w:num w:numId="15">
    <w:abstractNumId w:val="27"/>
  </w:num>
  <w:num w:numId="16">
    <w:abstractNumId w:val="10"/>
  </w:num>
  <w:num w:numId="17">
    <w:abstractNumId w:val="3"/>
  </w:num>
  <w:num w:numId="18">
    <w:abstractNumId w:val="13"/>
  </w:num>
  <w:num w:numId="19">
    <w:abstractNumId w:val="11"/>
  </w:num>
  <w:num w:numId="20">
    <w:abstractNumId w:val="36"/>
  </w:num>
  <w:num w:numId="21">
    <w:abstractNumId w:val="32"/>
  </w:num>
  <w:num w:numId="22">
    <w:abstractNumId w:val="31"/>
  </w:num>
  <w:num w:numId="23">
    <w:abstractNumId w:val="40"/>
  </w:num>
  <w:num w:numId="24">
    <w:abstractNumId w:val="23"/>
  </w:num>
  <w:num w:numId="25">
    <w:abstractNumId w:val="17"/>
  </w:num>
  <w:num w:numId="26">
    <w:abstractNumId w:val="44"/>
  </w:num>
  <w:num w:numId="27">
    <w:abstractNumId w:val="15"/>
  </w:num>
  <w:num w:numId="28">
    <w:abstractNumId w:val="20"/>
  </w:num>
  <w:num w:numId="29">
    <w:abstractNumId w:val="21"/>
  </w:num>
  <w:num w:numId="30">
    <w:abstractNumId w:val="34"/>
  </w:num>
  <w:num w:numId="31">
    <w:abstractNumId w:val="2"/>
  </w:num>
  <w:num w:numId="32">
    <w:abstractNumId w:val="1"/>
  </w:num>
  <w:num w:numId="33">
    <w:abstractNumId w:val="4"/>
  </w:num>
  <w:num w:numId="34">
    <w:abstractNumId w:val="43"/>
  </w:num>
  <w:num w:numId="35">
    <w:abstractNumId w:val="41"/>
  </w:num>
  <w:num w:numId="36">
    <w:abstractNumId w:val="7"/>
  </w:num>
  <w:num w:numId="37">
    <w:abstractNumId w:val="24"/>
  </w:num>
  <w:num w:numId="38">
    <w:abstractNumId w:val="22"/>
  </w:num>
  <w:num w:numId="39">
    <w:abstractNumId w:val="0"/>
  </w:num>
  <w:num w:numId="40">
    <w:abstractNumId w:val="14"/>
  </w:num>
  <w:num w:numId="41">
    <w:abstractNumId w:val="6"/>
  </w:num>
  <w:num w:numId="42">
    <w:abstractNumId w:val="9"/>
  </w:num>
  <w:num w:numId="43">
    <w:abstractNumId w:val="39"/>
  </w:num>
  <w:num w:numId="44">
    <w:abstractNumId w:val="42"/>
  </w:num>
  <w:num w:numId="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24"/>
    <w:rsid w:val="000013F4"/>
    <w:rsid w:val="000021B0"/>
    <w:rsid w:val="00002FC1"/>
    <w:rsid w:val="000057C1"/>
    <w:rsid w:val="000110AE"/>
    <w:rsid w:val="00015727"/>
    <w:rsid w:val="00020DF2"/>
    <w:rsid w:val="00025A1E"/>
    <w:rsid w:val="00026CE2"/>
    <w:rsid w:val="00026D99"/>
    <w:rsid w:val="0002760F"/>
    <w:rsid w:val="00027995"/>
    <w:rsid w:val="00033C76"/>
    <w:rsid w:val="00036DA9"/>
    <w:rsid w:val="00040DF7"/>
    <w:rsid w:val="00042875"/>
    <w:rsid w:val="00046AEA"/>
    <w:rsid w:val="000566B0"/>
    <w:rsid w:val="000608F0"/>
    <w:rsid w:val="000822EB"/>
    <w:rsid w:val="00084863"/>
    <w:rsid w:val="000849DF"/>
    <w:rsid w:val="00091977"/>
    <w:rsid w:val="00092A30"/>
    <w:rsid w:val="000A0211"/>
    <w:rsid w:val="000A4E64"/>
    <w:rsid w:val="000B47DA"/>
    <w:rsid w:val="000B7D50"/>
    <w:rsid w:val="000C49C6"/>
    <w:rsid w:val="00100699"/>
    <w:rsid w:val="001117BB"/>
    <w:rsid w:val="00113F16"/>
    <w:rsid w:val="001151DD"/>
    <w:rsid w:val="0011542F"/>
    <w:rsid w:val="001172E2"/>
    <w:rsid w:val="001219FA"/>
    <w:rsid w:val="00127EAC"/>
    <w:rsid w:val="0014316A"/>
    <w:rsid w:val="00147655"/>
    <w:rsid w:val="001541A1"/>
    <w:rsid w:val="001546C4"/>
    <w:rsid w:val="001576F7"/>
    <w:rsid w:val="0016032B"/>
    <w:rsid w:val="00170D7F"/>
    <w:rsid w:val="001748D1"/>
    <w:rsid w:val="00182408"/>
    <w:rsid w:val="00183CBB"/>
    <w:rsid w:val="001A2D9B"/>
    <w:rsid w:val="001A43C3"/>
    <w:rsid w:val="001A6417"/>
    <w:rsid w:val="001B3B7D"/>
    <w:rsid w:val="001C2BD0"/>
    <w:rsid w:val="001D1980"/>
    <w:rsid w:val="001D589C"/>
    <w:rsid w:val="001E457A"/>
    <w:rsid w:val="001F2280"/>
    <w:rsid w:val="002029A1"/>
    <w:rsid w:val="00206173"/>
    <w:rsid w:val="00214BCD"/>
    <w:rsid w:val="002167F8"/>
    <w:rsid w:val="0022256A"/>
    <w:rsid w:val="00226BEA"/>
    <w:rsid w:val="0023042D"/>
    <w:rsid w:val="00236817"/>
    <w:rsid w:val="00251DC5"/>
    <w:rsid w:val="0025357D"/>
    <w:rsid w:val="002655FD"/>
    <w:rsid w:val="0026757B"/>
    <w:rsid w:val="00274B2A"/>
    <w:rsid w:val="00282F08"/>
    <w:rsid w:val="002A0E96"/>
    <w:rsid w:val="002A1183"/>
    <w:rsid w:val="002A3462"/>
    <w:rsid w:val="002A4EB6"/>
    <w:rsid w:val="002B197A"/>
    <w:rsid w:val="002B6B30"/>
    <w:rsid w:val="002C7835"/>
    <w:rsid w:val="002D07AC"/>
    <w:rsid w:val="002D1B2F"/>
    <w:rsid w:val="002D449B"/>
    <w:rsid w:val="002D770C"/>
    <w:rsid w:val="002E1016"/>
    <w:rsid w:val="002F2642"/>
    <w:rsid w:val="002F6AF4"/>
    <w:rsid w:val="00302433"/>
    <w:rsid w:val="0030531A"/>
    <w:rsid w:val="003111BE"/>
    <w:rsid w:val="003123D1"/>
    <w:rsid w:val="0031298C"/>
    <w:rsid w:val="00316DAA"/>
    <w:rsid w:val="003226E7"/>
    <w:rsid w:val="00326E02"/>
    <w:rsid w:val="00327927"/>
    <w:rsid w:val="00343A2B"/>
    <w:rsid w:val="00346B15"/>
    <w:rsid w:val="0035010F"/>
    <w:rsid w:val="00356196"/>
    <w:rsid w:val="00363DCA"/>
    <w:rsid w:val="00367717"/>
    <w:rsid w:val="00373535"/>
    <w:rsid w:val="0037568C"/>
    <w:rsid w:val="00380294"/>
    <w:rsid w:val="00382D6E"/>
    <w:rsid w:val="0038749F"/>
    <w:rsid w:val="00390345"/>
    <w:rsid w:val="00393562"/>
    <w:rsid w:val="00397252"/>
    <w:rsid w:val="003A0D15"/>
    <w:rsid w:val="003A486B"/>
    <w:rsid w:val="003A59E0"/>
    <w:rsid w:val="003B1F70"/>
    <w:rsid w:val="003C035C"/>
    <w:rsid w:val="003C3A3C"/>
    <w:rsid w:val="003C518D"/>
    <w:rsid w:val="003D30C0"/>
    <w:rsid w:val="003D4728"/>
    <w:rsid w:val="003D5BBA"/>
    <w:rsid w:val="003D7560"/>
    <w:rsid w:val="003E74A7"/>
    <w:rsid w:val="003F3912"/>
    <w:rsid w:val="003F3D04"/>
    <w:rsid w:val="003F6205"/>
    <w:rsid w:val="003F726D"/>
    <w:rsid w:val="00410EBB"/>
    <w:rsid w:val="00414A51"/>
    <w:rsid w:val="00415A88"/>
    <w:rsid w:val="004276E7"/>
    <w:rsid w:val="004318E5"/>
    <w:rsid w:val="00434D90"/>
    <w:rsid w:val="004368F0"/>
    <w:rsid w:val="00443D36"/>
    <w:rsid w:val="00454088"/>
    <w:rsid w:val="004772C6"/>
    <w:rsid w:val="0047772B"/>
    <w:rsid w:val="00477FE6"/>
    <w:rsid w:val="00480905"/>
    <w:rsid w:val="00490C45"/>
    <w:rsid w:val="00490EE0"/>
    <w:rsid w:val="0049226E"/>
    <w:rsid w:val="00496F9F"/>
    <w:rsid w:val="004A20E5"/>
    <w:rsid w:val="004C2777"/>
    <w:rsid w:val="004D0791"/>
    <w:rsid w:val="004E1962"/>
    <w:rsid w:val="004E19C4"/>
    <w:rsid w:val="004E5682"/>
    <w:rsid w:val="004E5F93"/>
    <w:rsid w:val="00500040"/>
    <w:rsid w:val="00500AC6"/>
    <w:rsid w:val="00504EA7"/>
    <w:rsid w:val="00510590"/>
    <w:rsid w:val="0051792F"/>
    <w:rsid w:val="00525642"/>
    <w:rsid w:val="0052666D"/>
    <w:rsid w:val="00533EEA"/>
    <w:rsid w:val="00551954"/>
    <w:rsid w:val="00554103"/>
    <w:rsid w:val="00554C0A"/>
    <w:rsid w:val="00555C41"/>
    <w:rsid w:val="00573985"/>
    <w:rsid w:val="00574D3A"/>
    <w:rsid w:val="00580818"/>
    <w:rsid w:val="005850C8"/>
    <w:rsid w:val="00586DE4"/>
    <w:rsid w:val="005974AC"/>
    <w:rsid w:val="005A1060"/>
    <w:rsid w:val="005B4E38"/>
    <w:rsid w:val="005B53DD"/>
    <w:rsid w:val="005C696B"/>
    <w:rsid w:val="005D06A8"/>
    <w:rsid w:val="005D12F1"/>
    <w:rsid w:val="005D3168"/>
    <w:rsid w:val="005E04FD"/>
    <w:rsid w:val="005E34DE"/>
    <w:rsid w:val="005F041E"/>
    <w:rsid w:val="005F16EF"/>
    <w:rsid w:val="005F2320"/>
    <w:rsid w:val="005F3D9D"/>
    <w:rsid w:val="005F780C"/>
    <w:rsid w:val="00612302"/>
    <w:rsid w:val="00624469"/>
    <w:rsid w:val="006316DF"/>
    <w:rsid w:val="00631FE2"/>
    <w:rsid w:val="00633394"/>
    <w:rsid w:val="006334E3"/>
    <w:rsid w:val="0063557A"/>
    <w:rsid w:val="0065397D"/>
    <w:rsid w:val="00660F80"/>
    <w:rsid w:val="006663EF"/>
    <w:rsid w:val="00667187"/>
    <w:rsid w:val="00674307"/>
    <w:rsid w:val="00674391"/>
    <w:rsid w:val="006751BF"/>
    <w:rsid w:val="00675710"/>
    <w:rsid w:val="0068668F"/>
    <w:rsid w:val="00690C8B"/>
    <w:rsid w:val="0069281D"/>
    <w:rsid w:val="006948B3"/>
    <w:rsid w:val="00695143"/>
    <w:rsid w:val="00695DEC"/>
    <w:rsid w:val="0069675A"/>
    <w:rsid w:val="006A32A5"/>
    <w:rsid w:val="006A7665"/>
    <w:rsid w:val="006A7914"/>
    <w:rsid w:val="006C1A7B"/>
    <w:rsid w:val="006C6AE4"/>
    <w:rsid w:val="006D4983"/>
    <w:rsid w:val="006D7603"/>
    <w:rsid w:val="006E5A1A"/>
    <w:rsid w:val="006E6381"/>
    <w:rsid w:val="006F4FC4"/>
    <w:rsid w:val="00700B92"/>
    <w:rsid w:val="007018C3"/>
    <w:rsid w:val="00705120"/>
    <w:rsid w:val="00707471"/>
    <w:rsid w:val="0071225A"/>
    <w:rsid w:val="00715812"/>
    <w:rsid w:val="00716A23"/>
    <w:rsid w:val="00723949"/>
    <w:rsid w:val="00725E00"/>
    <w:rsid w:val="0072618E"/>
    <w:rsid w:val="00732509"/>
    <w:rsid w:val="00735A6A"/>
    <w:rsid w:val="00755E37"/>
    <w:rsid w:val="007670ED"/>
    <w:rsid w:val="00775463"/>
    <w:rsid w:val="00775B36"/>
    <w:rsid w:val="00777B7C"/>
    <w:rsid w:val="007801EE"/>
    <w:rsid w:val="0078511E"/>
    <w:rsid w:val="00785BDA"/>
    <w:rsid w:val="0079418E"/>
    <w:rsid w:val="007A0FF8"/>
    <w:rsid w:val="007A3358"/>
    <w:rsid w:val="007A49DF"/>
    <w:rsid w:val="007B0DF4"/>
    <w:rsid w:val="007D0CE2"/>
    <w:rsid w:val="007D2F54"/>
    <w:rsid w:val="007D3248"/>
    <w:rsid w:val="007E7298"/>
    <w:rsid w:val="00807ADD"/>
    <w:rsid w:val="00811CB1"/>
    <w:rsid w:val="008170F1"/>
    <w:rsid w:val="00817F1B"/>
    <w:rsid w:val="00822533"/>
    <w:rsid w:val="00823FB8"/>
    <w:rsid w:val="00830B32"/>
    <w:rsid w:val="0084081A"/>
    <w:rsid w:val="00851F6B"/>
    <w:rsid w:val="008567E3"/>
    <w:rsid w:val="008606FE"/>
    <w:rsid w:val="00881EBA"/>
    <w:rsid w:val="0088694B"/>
    <w:rsid w:val="008908D6"/>
    <w:rsid w:val="008922E4"/>
    <w:rsid w:val="008942F0"/>
    <w:rsid w:val="0089549E"/>
    <w:rsid w:val="008A6AFA"/>
    <w:rsid w:val="008B0B4A"/>
    <w:rsid w:val="008B4D1C"/>
    <w:rsid w:val="008B7EFC"/>
    <w:rsid w:val="008C3E8C"/>
    <w:rsid w:val="008D414F"/>
    <w:rsid w:val="008D5408"/>
    <w:rsid w:val="008D64AC"/>
    <w:rsid w:val="008D650E"/>
    <w:rsid w:val="008D79A6"/>
    <w:rsid w:val="008E41BF"/>
    <w:rsid w:val="008F44AD"/>
    <w:rsid w:val="0090337D"/>
    <w:rsid w:val="0090397F"/>
    <w:rsid w:val="0091120D"/>
    <w:rsid w:val="009150F1"/>
    <w:rsid w:val="009163AE"/>
    <w:rsid w:val="009260D2"/>
    <w:rsid w:val="009325BA"/>
    <w:rsid w:val="00934C52"/>
    <w:rsid w:val="0093646B"/>
    <w:rsid w:val="00937939"/>
    <w:rsid w:val="00941044"/>
    <w:rsid w:val="00943F68"/>
    <w:rsid w:val="009464A8"/>
    <w:rsid w:val="0095475D"/>
    <w:rsid w:val="009573BA"/>
    <w:rsid w:val="00960CF1"/>
    <w:rsid w:val="00961DF2"/>
    <w:rsid w:val="00967EE9"/>
    <w:rsid w:val="009913FB"/>
    <w:rsid w:val="009A10F5"/>
    <w:rsid w:val="009A1C4C"/>
    <w:rsid w:val="009A7FF0"/>
    <w:rsid w:val="009B4B1E"/>
    <w:rsid w:val="009B5A88"/>
    <w:rsid w:val="009C63C5"/>
    <w:rsid w:val="009C7305"/>
    <w:rsid w:val="009C7B16"/>
    <w:rsid w:val="009D5842"/>
    <w:rsid w:val="009D5DFE"/>
    <w:rsid w:val="009E7BA8"/>
    <w:rsid w:val="009F5FD2"/>
    <w:rsid w:val="00A02011"/>
    <w:rsid w:val="00A11F3F"/>
    <w:rsid w:val="00A2446C"/>
    <w:rsid w:val="00A3461D"/>
    <w:rsid w:val="00A36507"/>
    <w:rsid w:val="00A36FA2"/>
    <w:rsid w:val="00A401EA"/>
    <w:rsid w:val="00A41447"/>
    <w:rsid w:val="00A41460"/>
    <w:rsid w:val="00A43F01"/>
    <w:rsid w:val="00A52948"/>
    <w:rsid w:val="00A52F6F"/>
    <w:rsid w:val="00A65006"/>
    <w:rsid w:val="00A65904"/>
    <w:rsid w:val="00A672DC"/>
    <w:rsid w:val="00A808BB"/>
    <w:rsid w:val="00A819DB"/>
    <w:rsid w:val="00A83364"/>
    <w:rsid w:val="00A926A5"/>
    <w:rsid w:val="00A949F0"/>
    <w:rsid w:val="00AA2B5B"/>
    <w:rsid w:val="00AA4561"/>
    <w:rsid w:val="00AB21F7"/>
    <w:rsid w:val="00AB405E"/>
    <w:rsid w:val="00AB50E7"/>
    <w:rsid w:val="00AB7367"/>
    <w:rsid w:val="00AC7367"/>
    <w:rsid w:val="00AD2A27"/>
    <w:rsid w:val="00AD729A"/>
    <w:rsid w:val="00AE1F32"/>
    <w:rsid w:val="00AF1F53"/>
    <w:rsid w:val="00AF51C5"/>
    <w:rsid w:val="00B04330"/>
    <w:rsid w:val="00B05EF5"/>
    <w:rsid w:val="00B178EE"/>
    <w:rsid w:val="00B2573F"/>
    <w:rsid w:val="00B27357"/>
    <w:rsid w:val="00B42232"/>
    <w:rsid w:val="00B42748"/>
    <w:rsid w:val="00B47255"/>
    <w:rsid w:val="00B47D44"/>
    <w:rsid w:val="00B6124D"/>
    <w:rsid w:val="00B615D3"/>
    <w:rsid w:val="00B66454"/>
    <w:rsid w:val="00B76298"/>
    <w:rsid w:val="00B8482F"/>
    <w:rsid w:val="00B90C2F"/>
    <w:rsid w:val="00B9636D"/>
    <w:rsid w:val="00BB16C4"/>
    <w:rsid w:val="00BB1873"/>
    <w:rsid w:val="00BB6A2C"/>
    <w:rsid w:val="00BB7773"/>
    <w:rsid w:val="00BC4118"/>
    <w:rsid w:val="00BC5A6A"/>
    <w:rsid w:val="00BC763A"/>
    <w:rsid w:val="00BE28D4"/>
    <w:rsid w:val="00BE4048"/>
    <w:rsid w:val="00BF0646"/>
    <w:rsid w:val="00C03EF9"/>
    <w:rsid w:val="00C0714C"/>
    <w:rsid w:val="00C12F3F"/>
    <w:rsid w:val="00C16379"/>
    <w:rsid w:val="00C27959"/>
    <w:rsid w:val="00C37D86"/>
    <w:rsid w:val="00C42D12"/>
    <w:rsid w:val="00C5696A"/>
    <w:rsid w:val="00C65710"/>
    <w:rsid w:val="00C7735B"/>
    <w:rsid w:val="00C82D79"/>
    <w:rsid w:val="00C841CB"/>
    <w:rsid w:val="00C8643C"/>
    <w:rsid w:val="00C93696"/>
    <w:rsid w:val="00CB01A5"/>
    <w:rsid w:val="00CB2732"/>
    <w:rsid w:val="00CB2EF6"/>
    <w:rsid w:val="00CB5A88"/>
    <w:rsid w:val="00CB60E4"/>
    <w:rsid w:val="00CB7D60"/>
    <w:rsid w:val="00CC2A1C"/>
    <w:rsid w:val="00CD1D09"/>
    <w:rsid w:val="00CD3B65"/>
    <w:rsid w:val="00CE00A6"/>
    <w:rsid w:val="00CE19DA"/>
    <w:rsid w:val="00CE23E7"/>
    <w:rsid w:val="00CE4D9F"/>
    <w:rsid w:val="00CE5C36"/>
    <w:rsid w:val="00CF08F0"/>
    <w:rsid w:val="00CF3E03"/>
    <w:rsid w:val="00D03012"/>
    <w:rsid w:val="00D03137"/>
    <w:rsid w:val="00D062AF"/>
    <w:rsid w:val="00D11A5F"/>
    <w:rsid w:val="00D20A67"/>
    <w:rsid w:val="00D26F39"/>
    <w:rsid w:val="00D30161"/>
    <w:rsid w:val="00D37FA0"/>
    <w:rsid w:val="00D41B08"/>
    <w:rsid w:val="00D50136"/>
    <w:rsid w:val="00D57BB6"/>
    <w:rsid w:val="00D57F01"/>
    <w:rsid w:val="00D7076A"/>
    <w:rsid w:val="00D72BBF"/>
    <w:rsid w:val="00D75735"/>
    <w:rsid w:val="00D819E8"/>
    <w:rsid w:val="00D83088"/>
    <w:rsid w:val="00D84153"/>
    <w:rsid w:val="00D86F60"/>
    <w:rsid w:val="00D97E48"/>
    <w:rsid w:val="00DA6C7C"/>
    <w:rsid w:val="00DB2D6B"/>
    <w:rsid w:val="00DB389F"/>
    <w:rsid w:val="00DC2195"/>
    <w:rsid w:val="00DC5868"/>
    <w:rsid w:val="00DD47D0"/>
    <w:rsid w:val="00DD4C35"/>
    <w:rsid w:val="00DE2258"/>
    <w:rsid w:val="00DE316D"/>
    <w:rsid w:val="00DE384D"/>
    <w:rsid w:val="00DE703C"/>
    <w:rsid w:val="00DF0402"/>
    <w:rsid w:val="00DF1F8D"/>
    <w:rsid w:val="00DF6144"/>
    <w:rsid w:val="00DF74B5"/>
    <w:rsid w:val="00E0441A"/>
    <w:rsid w:val="00E10539"/>
    <w:rsid w:val="00E13C36"/>
    <w:rsid w:val="00E15BB2"/>
    <w:rsid w:val="00E20FD8"/>
    <w:rsid w:val="00E27153"/>
    <w:rsid w:val="00E27F6A"/>
    <w:rsid w:val="00E44E65"/>
    <w:rsid w:val="00E51318"/>
    <w:rsid w:val="00E64062"/>
    <w:rsid w:val="00E70111"/>
    <w:rsid w:val="00E85424"/>
    <w:rsid w:val="00E90242"/>
    <w:rsid w:val="00E9647F"/>
    <w:rsid w:val="00EA2B6D"/>
    <w:rsid w:val="00EA55A0"/>
    <w:rsid w:val="00EB2A9F"/>
    <w:rsid w:val="00EB3570"/>
    <w:rsid w:val="00EC103B"/>
    <w:rsid w:val="00EC3F1E"/>
    <w:rsid w:val="00EC6C75"/>
    <w:rsid w:val="00ED1747"/>
    <w:rsid w:val="00ED6556"/>
    <w:rsid w:val="00ED7BE3"/>
    <w:rsid w:val="00EE147A"/>
    <w:rsid w:val="00EE46CF"/>
    <w:rsid w:val="00EF0AF3"/>
    <w:rsid w:val="00EF0DF6"/>
    <w:rsid w:val="00F01A3B"/>
    <w:rsid w:val="00F02100"/>
    <w:rsid w:val="00F05395"/>
    <w:rsid w:val="00F06E34"/>
    <w:rsid w:val="00F15E94"/>
    <w:rsid w:val="00F22909"/>
    <w:rsid w:val="00F25105"/>
    <w:rsid w:val="00F3383A"/>
    <w:rsid w:val="00F3516C"/>
    <w:rsid w:val="00F45866"/>
    <w:rsid w:val="00F45A3F"/>
    <w:rsid w:val="00F65B7F"/>
    <w:rsid w:val="00F70559"/>
    <w:rsid w:val="00F7445E"/>
    <w:rsid w:val="00F747F6"/>
    <w:rsid w:val="00F913C5"/>
    <w:rsid w:val="00F976C4"/>
    <w:rsid w:val="00FA1B20"/>
    <w:rsid w:val="00FB7ECA"/>
    <w:rsid w:val="00FC1046"/>
    <w:rsid w:val="00FC2FE6"/>
    <w:rsid w:val="00FC4FA3"/>
    <w:rsid w:val="00FD196A"/>
    <w:rsid w:val="00FD57F1"/>
    <w:rsid w:val="00FD70A1"/>
    <w:rsid w:val="00FF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A729F7E"/>
  <w15:docId w15:val="{69A19089-A15B-49FE-B474-807BD5E0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82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0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F80"/>
    <w:rPr>
      <w:sz w:val="20"/>
      <w:szCs w:val="20"/>
    </w:rPr>
  </w:style>
  <w:style w:type="character" w:styleId="FootnoteReference">
    <w:name w:val="footnote reference"/>
    <w:basedOn w:val="DefaultParagraphFont"/>
    <w:uiPriority w:val="99"/>
    <w:semiHidden/>
    <w:unhideWhenUsed/>
    <w:rsid w:val="00660F80"/>
    <w:rPr>
      <w:vertAlign w:val="superscript"/>
    </w:rPr>
  </w:style>
  <w:style w:type="paragraph" w:styleId="ListParagraph">
    <w:name w:val="List Paragraph"/>
    <w:basedOn w:val="Normal"/>
    <w:uiPriority w:val="34"/>
    <w:qFormat/>
    <w:rsid w:val="00660F80"/>
    <w:pPr>
      <w:ind w:left="720"/>
      <w:contextualSpacing/>
    </w:pPr>
  </w:style>
  <w:style w:type="paragraph" w:styleId="BalloonText">
    <w:name w:val="Balloon Text"/>
    <w:basedOn w:val="Normal"/>
    <w:link w:val="BalloonTextChar"/>
    <w:uiPriority w:val="99"/>
    <w:semiHidden/>
    <w:unhideWhenUsed/>
    <w:rsid w:val="00D30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161"/>
    <w:rPr>
      <w:rFonts w:ascii="Tahoma" w:hAnsi="Tahoma" w:cs="Tahoma"/>
      <w:sz w:val="16"/>
      <w:szCs w:val="16"/>
    </w:rPr>
  </w:style>
  <w:style w:type="character" w:styleId="CommentReference">
    <w:name w:val="annotation reference"/>
    <w:basedOn w:val="DefaultParagraphFont"/>
    <w:uiPriority w:val="99"/>
    <w:semiHidden/>
    <w:unhideWhenUsed/>
    <w:rsid w:val="00DC5868"/>
    <w:rPr>
      <w:sz w:val="16"/>
      <w:szCs w:val="16"/>
    </w:rPr>
  </w:style>
  <w:style w:type="paragraph" w:styleId="CommentText">
    <w:name w:val="annotation text"/>
    <w:basedOn w:val="Normal"/>
    <w:link w:val="CommentTextChar"/>
    <w:uiPriority w:val="99"/>
    <w:semiHidden/>
    <w:unhideWhenUsed/>
    <w:rsid w:val="00DC5868"/>
    <w:pPr>
      <w:spacing w:line="240" w:lineRule="auto"/>
    </w:pPr>
    <w:rPr>
      <w:sz w:val="20"/>
      <w:szCs w:val="20"/>
    </w:rPr>
  </w:style>
  <w:style w:type="character" w:customStyle="1" w:styleId="CommentTextChar">
    <w:name w:val="Comment Text Char"/>
    <w:basedOn w:val="DefaultParagraphFont"/>
    <w:link w:val="CommentText"/>
    <w:uiPriority w:val="99"/>
    <w:semiHidden/>
    <w:rsid w:val="00DC5868"/>
    <w:rPr>
      <w:sz w:val="20"/>
      <w:szCs w:val="20"/>
    </w:rPr>
  </w:style>
  <w:style w:type="paragraph" w:styleId="CommentSubject">
    <w:name w:val="annotation subject"/>
    <w:basedOn w:val="CommentText"/>
    <w:next w:val="CommentText"/>
    <w:link w:val="CommentSubjectChar"/>
    <w:uiPriority w:val="99"/>
    <w:semiHidden/>
    <w:unhideWhenUsed/>
    <w:rsid w:val="00DC5868"/>
    <w:rPr>
      <w:b/>
      <w:bCs/>
    </w:rPr>
  </w:style>
  <w:style w:type="character" w:customStyle="1" w:styleId="CommentSubjectChar">
    <w:name w:val="Comment Subject Char"/>
    <w:basedOn w:val="CommentTextChar"/>
    <w:link w:val="CommentSubject"/>
    <w:uiPriority w:val="99"/>
    <w:semiHidden/>
    <w:rsid w:val="00DC5868"/>
    <w:rPr>
      <w:b/>
      <w:bCs/>
      <w:sz w:val="20"/>
      <w:szCs w:val="20"/>
    </w:rPr>
  </w:style>
  <w:style w:type="paragraph" w:styleId="Revision">
    <w:name w:val="Revision"/>
    <w:hidden/>
    <w:uiPriority w:val="99"/>
    <w:semiHidden/>
    <w:rsid w:val="0025357D"/>
    <w:pPr>
      <w:spacing w:after="0" w:line="240" w:lineRule="auto"/>
    </w:pPr>
  </w:style>
  <w:style w:type="paragraph" w:styleId="BodyTextIndent2">
    <w:name w:val="Body Text Indent 2"/>
    <w:basedOn w:val="Normal"/>
    <w:link w:val="BodyTextIndent2Char"/>
    <w:rsid w:val="00735A6A"/>
    <w:pPr>
      <w:spacing w:after="0" w:line="240" w:lineRule="auto"/>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735A6A"/>
    <w:rPr>
      <w:rFonts w:ascii="Palatino Linotype" w:eastAsia="Times New Roman" w:hAnsi="Palatino Linotype" w:cs="Times New Roman"/>
      <w:sz w:val="24"/>
      <w:szCs w:val="24"/>
    </w:rPr>
  </w:style>
  <w:style w:type="paragraph" w:styleId="Header">
    <w:name w:val="header"/>
    <w:basedOn w:val="Normal"/>
    <w:link w:val="HeaderChar"/>
    <w:rsid w:val="00735A6A"/>
    <w:pPr>
      <w:tabs>
        <w:tab w:val="center" w:pos="4320"/>
        <w:tab w:val="right" w:pos="8640"/>
      </w:tabs>
      <w:spacing w:after="0" w:line="240" w:lineRule="auto"/>
    </w:pPr>
    <w:rPr>
      <w:rFonts w:ascii="Palatino Linotype" w:eastAsia="Times New Roman" w:hAnsi="Palatino Linotype" w:cs="Times New Roman"/>
      <w:szCs w:val="24"/>
    </w:rPr>
  </w:style>
  <w:style w:type="character" w:customStyle="1" w:styleId="HeaderChar">
    <w:name w:val="Header Char"/>
    <w:basedOn w:val="DefaultParagraphFont"/>
    <w:link w:val="Header"/>
    <w:rsid w:val="00735A6A"/>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735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Brief</DocumentSetType>
    <IsConfidential xmlns="dc463f71-b30c-4ab2-9473-d307f9d35888">false</IsConfidential>
    <AgendaOrder xmlns="dc463f71-b30c-4ab2-9473-d307f9d35888">false</AgendaOrder>
    <CaseType xmlns="dc463f71-b30c-4ab2-9473-d307f9d35888">Formal Complaint</CaseType>
    <IndustryCode xmlns="dc463f71-b30c-4ab2-9473-d307f9d35888">207</IndustryCode>
    <CaseStatus xmlns="dc463f71-b30c-4ab2-9473-d307f9d35888">Closed</CaseStatus>
    <OpenedDate xmlns="dc463f71-b30c-4ab2-9473-d307f9d35888">2013-11-01T07:00:00+00:00</OpenedDate>
    <Date1 xmlns="dc463f71-b30c-4ab2-9473-d307f9d35888">2015-03-16T20:39:59+00:00</Date1>
    <IsDocumentOrder xmlns="dc463f71-b30c-4ab2-9473-d307f9d35888" xsi:nil="true"/>
    <IsHighlyConfidential xmlns="dc463f71-b30c-4ab2-9473-d307f9d35888">false</IsHighlyConfidential>
    <CaseCompanyNames xmlns="dc463f71-b30c-4ab2-9473-d307f9d35888">Best Moving and Delivery LLC</CaseCompanyNames>
    <DocketNumber xmlns="dc463f71-b30c-4ab2-9473-d307f9d35888">132030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C1A240F6A0A4DAD81E43F92F9841D" ma:contentTypeVersion="135" ma:contentTypeDescription="" ma:contentTypeScope="" ma:versionID="09ddbaf11dd5ea2e1081c72aba6c39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98069-4852-4409-BD05-6BD2250389BA}"/>
</file>

<file path=customXml/itemProps2.xml><?xml version="1.0" encoding="utf-8"?>
<ds:datastoreItem xmlns:ds="http://schemas.openxmlformats.org/officeDocument/2006/customXml" ds:itemID="{67A5304F-52EF-4B6B-BD58-172E4188DFCB}"/>
</file>

<file path=customXml/itemProps3.xml><?xml version="1.0" encoding="utf-8"?>
<ds:datastoreItem xmlns:ds="http://schemas.openxmlformats.org/officeDocument/2006/customXml" ds:itemID="{1EA9E354-2FEC-4F65-BE06-BBB86A216DC3}"/>
</file>

<file path=customXml/itemProps4.xml><?xml version="1.0" encoding="utf-8"?>
<ds:datastoreItem xmlns:ds="http://schemas.openxmlformats.org/officeDocument/2006/customXml" ds:itemID="{FBC63F77-B808-4EC0-8F50-86C231A5AD84}"/>
</file>

<file path=customXml/itemProps5.xml><?xml version="1.0" encoding="utf-8"?>
<ds:datastoreItem xmlns:ds="http://schemas.openxmlformats.org/officeDocument/2006/customXml" ds:itemID="{AA9F290C-3054-4F19-BB4D-41069C553BC8}"/>
</file>

<file path=docProps/app.xml><?xml version="1.0" encoding="utf-8"?>
<Properties xmlns="http://schemas.openxmlformats.org/officeDocument/2006/extended-properties" xmlns:vt="http://schemas.openxmlformats.org/officeDocument/2006/docPropsVTypes">
  <Template>Normal.dotm</Template>
  <TotalTime>330</TotalTime>
  <Pages>14</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Shearer, Brett (UTC)</dc:creator>
  <cp:lastModifiedBy>Gross, Krista (UTC)</cp:lastModifiedBy>
  <cp:revision>9</cp:revision>
  <cp:lastPrinted>2014-11-07T19:11:00Z</cp:lastPrinted>
  <dcterms:created xsi:type="dcterms:W3CDTF">2015-03-13T17:31:00Z</dcterms:created>
  <dcterms:modified xsi:type="dcterms:W3CDTF">2015-03-16T18:57:00Z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0x0101006E56B4D1795A2E4DB2F0B01679ED314A00947C1A240F6A0A4DAD81E43F92F9841D</vt:lpwstr>
  </property>
  <property fmtid="{D5CDD505-2E9C-101B-9397-08002B2CF9AE}" pid="3" name="_docset_NoMedatataSyncRequired">
    <vt:lpwstr>False</vt:lpwstr>
  </property>
</Properties>
</file>