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1A3" w:rsidRPr="00CD3273" w:rsidRDefault="006911A3" w:rsidP="00CD3273">
      <w:pPr>
        <w:tabs>
          <w:tab w:val="center" w:pos="4680"/>
        </w:tabs>
        <w:ind w:right="18"/>
        <w:jc w:val="center"/>
        <w:rPr>
          <w:rFonts w:ascii="Times New Roman" w:hAnsi="Times New Roman"/>
          <w:kern w:val="2"/>
        </w:rPr>
      </w:pPr>
      <w:r w:rsidRPr="00CD3273">
        <w:rPr>
          <w:rFonts w:ascii="Times New Roman" w:hAnsi="Times New Roman"/>
          <w:kern w:val="2"/>
        </w:rPr>
        <w:t>BEFORE THE WASHINGTON UTILITIES AND TRANSPORTATION COMMISSION</w:t>
      </w:r>
    </w:p>
    <w:p w:rsidR="006911A3" w:rsidRPr="00CD3273" w:rsidRDefault="006911A3" w:rsidP="00CD3273">
      <w:pPr>
        <w:ind w:right="18"/>
        <w:jc w:val="both"/>
        <w:rPr>
          <w:rFonts w:ascii="Times New Roman" w:hAnsi="Times New Roman"/>
          <w:kern w:val="2"/>
        </w:rPr>
      </w:pPr>
    </w:p>
    <w:tbl>
      <w:tblPr>
        <w:tblW w:w="5000" w:type="pct"/>
        <w:tblCellMar>
          <w:left w:w="124" w:type="dxa"/>
          <w:right w:w="124" w:type="dxa"/>
        </w:tblCellMar>
        <w:tblLook w:val="0000"/>
      </w:tblPr>
      <w:tblGrid>
        <w:gridCol w:w="4813"/>
        <w:gridCol w:w="4813"/>
      </w:tblGrid>
      <w:tr w:rsidR="006911A3" w:rsidRPr="00CD3273" w:rsidTr="00CD3273">
        <w:tc>
          <w:tcPr>
            <w:tcW w:w="2500" w:type="pct"/>
            <w:tcBorders>
              <w:top w:val="single" w:sz="6" w:space="0" w:color="FFFFFF"/>
              <w:left w:val="single" w:sz="6" w:space="0" w:color="FFFFFF"/>
              <w:bottom w:val="single" w:sz="6" w:space="0" w:color="FFFFFF"/>
              <w:right w:val="single" w:sz="6" w:space="0" w:color="FFFFFF"/>
            </w:tcBorders>
          </w:tcPr>
          <w:p w:rsidR="00F821BD" w:rsidRPr="00CD3273" w:rsidRDefault="00425820" w:rsidP="00CD3273">
            <w:pPr>
              <w:ind w:right="18"/>
              <w:rPr>
                <w:rFonts w:ascii="Times New Roman" w:hAnsi="Times New Roman"/>
                <w:kern w:val="2"/>
              </w:rPr>
            </w:pPr>
            <w:r w:rsidRPr="00CD3273">
              <w:rPr>
                <w:rFonts w:ascii="Times New Roman" w:hAnsi="Times New Roman"/>
                <w:kern w:val="2"/>
              </w:rPr>
              <w:t>WASHINGTON UTILITIES AND TRANSPORTATION COMMISSION,</w:t>
            </w:r>
          </w:p>
          <w:p w:rsidR="00425820" w:rsidRPr="00CD3273" w:rsidRDefault="00425820" w:rsidP="00CD3273">
            <w:pPr>
              <w:ind w:right="18"/>
              <w:rPr>
                <w:rFonts w:ascii="Times New Roman" w:hAnsi="Times New Roman"/>
                <w:kern w:val="2"/>
              </w:rPr>
            </w:pPr>
          </w:p>
          <w:p w:rsidR="00425820" w:rsidRPr="00CD3273" w:rsidRDefault="00425820" w:rsidP="00CD3273">
            <w:pPr>
              <w:ind w:right="18"/>
              <w:rPr>
                <w:rFonts w:ascii="Times New Roman" w:hAnsi="Times New Roman"/>
                <w:kern w:val="2"/>
              </w:rPr>
            </w:pPr>
            <w:r w:rsidRPr="00CD3273">
              <w:rPr>
                <w:rFonts w:ascii="Times New Roman" w:hAnsi="Times New Roman"/>
                <w:kern w:val="2"/>
              </w:rPr>
              <w:tab/>
            </w:r>
            <w:r w:rsidRPr="00CD3273">
              <w:rPr>
                <w:rFonts w:ascii="Times New Roman" w:hAnsi="Times New Roman"/>
                <w:kern w:val="2"/>
              </w:rPr>
              <w:tab/>
              <w:t>Complainant,</w:t>
            </w:r>
          </w:p>
          <w:p w:rsidR="00425820" w:rsidRPr="00CD3273" w:rsidRDefault="00425820" w:rsidP="00CD3273">
            <w:pPr>
              <w:ind w:right="18"/>
              <w:rPr>
                <w:rFonts w:ascii="Times New Roman" w:hAnsi="Times New Roman"/>
                <w:kern w:val="2"/>
              </w:rPr>
            </w:pPr>
          </w:p>
          <w:p w:rsidR="00425820" w:rsidRPr="00CD3273" w:rsidRDefault="00425820" w:rsidP="00CD3273">
            <w:pPr>
              <w:ind w:right="18"/>
              <w:rPr>
                <w:rFonts w:ascii="Times New Roman" w:hAnsi="Times New Roman"/>
                <w:kern w:val="2"/>
              </w:rPr>
            </w:pPr>
            <w:proofErr w:type="gramStart"/>
            <w:r w:rsidRPr="00CD3273">
              <w:rPr>
                <w:rFonts w:ascii="Times New Roman" w:hAnsi="Times New Roman"/>
                <w:kern w:val="2"/>
              </w:rPr>
              <w:t>v</w:t>
            </w:r>
            <w:proofErr w:type="gramEnd"/>
            <w:r w:rsidRPr="00CD3273">
              <w:rPr>
                <w:rFonts w:ascii="Times New Roman" w:hAnsi="Times New Roman"/>
                <w:kern w:val="2"/>
              </w:rPr>
              <w:t>.</w:t>
            </w:r>
          </w:p>
          <w:p w:rsidR="00425820" w:rsidRPr="00CD3273" w:rsidRDefault="00425820" w:rsidP="00CD3273">
            <w:pPr>
              <w:ind w:right="18"/>
              <w:rPr>
                <w:rFonts w:ascii="Times New Roman" w:hAnsi="Times New Roman"/>
                <w:kern w:val="2"/>
              </w:rPr>
            </w:pPr>
          </w:p>
          <w:p w:rsidR="00425820" w:rsidRPr="00CD3273" w:rsidRDefault="00425820" w:rsidP="00CD3273">
            <w:pPr>
              <w:ind w:right="18"/>
              <w:rPr>
                <w:rFonts w:ascii="Times New Roman" w:hAnsi="Times New Roman"/>
                <w:kern w:val="2"/>
              </w:rPr>
            </w:pPr>
            <w:r w:rsidRPr="00CD3273">
              <w:rPr>
                <w:rFonts w:ascii="Times New Roman" w:hAnsi="Times New Roman"/>
                <w:kern w:val="2"/>
              </w:rPr>
              <w:t>SHUTTLE EXPRESS, INC.,</w:t>
            </w:r>
          </w:p>
          <w:p w:rsidR="00425820" w:rsidRPr="00CD3273" w:rsidRDefault="00425820" w:rsidP="00CD3273">
            <w:pPr>
              <w:ind w:right="18"/>
              <w:rPr>
                <w:rFonts w:ascii="Times New Roman" w:hAnsi="Times New Roman"/>
                <w:kern w:val="2"/>
              </w:rPr>
            </w:pPr>
          </w:p>
          <w:p w:rsidR="00425820" w:rsidRPr="00CD3273" w:rsidRDefault="00425820" w:rsidP="00CD3273">
            <w:pPr>
              <w:ind w:right="18"/>
              <w:rPr>
                <w:rFonts w:ascii="Times New Roman" w:hAnsi="Times New Roman"/>
                <w:kern w:val="2"/>
              </w:rPr>
            </w:pPr>
            <w:r w:rsidRPr="00CD3273">
              <w:rPr>
                <w:rFonts w:ascii="Times New Roman" w:hAnsi="Times New Roman"/>
                <w:kern w:val="2"/>
              </w:rPr>
              <w:tab/>
            </w:r>
            <w:r w:rsidRPr="00CD3273">
              <w:rPr>
                <w:rFonts w:ascii="Times New Roman" w:hAnsi="Times New Roman"/>
                <w:kern w:val="2"/>
              </w:rPr>
              <w:tab/>
              <w:t>Respondent.</w:t>
            </w:r>
          </w:p>
        </w:tc>
        <w:tc>
          <w:tcPr>
            <w:tcW w:w="2500" w:type="pct"/>
            <w:tcBorders>
              <w:top w:val="single" w:sz="6" w:space="0" w:color="FFFFFF"/>
              <w:left w:val="single" w:sz="7" w:space="0" w:color="000000"/>
              <w:bottom w:val="single" w:sz="6" w:space="0" w:color="FFFFFF"/>
              <w:right w:val="single" w:sz="6" w:space="0" w:color="FFFFFF"/>
            </w:tcBorders>
          </w:tcPr>
          <w:p w:rsidR="006911A3" w:rsidRPr="00CD3273" w:rsidRDefault="006911A3" w:rsidP="00CD3273">
            <w:pPr>
              <w:spacing w:line="360" w:lineRule="auto"/>
              <w:ind w:right="18"/>
              <w:rPr>
                <w:rFonts w:ascii="Times New Roman" w:hAnsi="Times New Roman"/>
                <w:kern w:val="2"/>
              </w:rPr>
            </w:pPr>
          </w:p>
          <w:p w:rsidR="006911A3" w:rsidRPr="00CD3273" w:rsidRDefault="00F821BD" w:rsidP="00CD3273">
            <w:pPr>
              <w:ind w:left="407" w:right="18"/>
              <w:rPr>
                <w:rFonts w:ascii="Times New Roman" w:hAnsi="Times New Roman"/>
                <w:kern w:val="2"/>
              </w:rPr>
            </w:pPr>
            <w:r w:rsidRPr="00CD3273">
              <w:rPr>
                <w:rFonts w:ascii="Times New Roman" w:hAnsi="Times New Roman"/>
                <w:kern w:val="2"/>
              </w:rPr>
              <w:t>DOCKET</w:t>
            </w:r>
            <w:r w:rsidR="00E049E7" w:rsidRPr="00CD3273">
              <w:rPr>
                <w:rFonts w:ascii="Times New Roman" w:hAnsi="Times New Roman"/>
                <w:kern w:val="2"/>
              </w:rPr>
              <w:t xml:space="preserve"> TC-1</w:t>
            </w:r>
            <w:r w:rsidR="00425820" w:rsidRPr="00CD3273">
              <w:rPr>
                <w:rFonts w:ascii="Times New Roman" w:hAnsi="Times New Roman"/>
                <w:kern w:val="2"/>
              </w:rPr>
              <w:t>20323</w:t>
            </w:r>
          </w:p>
          <w:p w:rsidR="006911A3" w:rsidRPr="00CD3273" w:rsidRDefault="006911A3" w:rsidP="00CD3273">
            <w:pPr>
              <w:ind w:left="407" w:right="18"/>
              <w:rPr>
                <w:rFonts w:ascii="Times New Roman" w:hAnsi="Times New Roman"/>
                <w:kern w:val="2"/>
              </w:rPr>
            </w:pPr>
          </w:p>
          <w:p w:rsidR="006911A3" w:rsidRPr="00CD3273" w:rsidRDefault="00282FDC" w:rsidP="00CD3273">
            <w:pPr>
              <w:pStyle w:val="BodyTextIndent2"/>
              <w:ind w:left="407" w:right="18"/>
              <w:rPr>
                <w:rFonts w:ascii="Times New Roman" w:hAnsi="Times New Roman"/>
                <w:kern w:val="2"/>
              </w:rPr>
            </w:pPr>
            <w:r w:rsidRPr="00CD3273">
              <w:rPr>
                <w:rFonts w:ascii="Times New Roman" w:hAnsi="Times New Roman"/>
                <w:kern w:val="2"/>
              </w:rPr>
              <w:t>MOTION</w:t>
            </w:r>
            <w:r w:rsidR="006911A3" w:rsidRPr="00CD3273">
              <w:rPr>
                <w:rFonts w:ascii="Times New Roman" w:hAnsi="Times New Roman"/>
                <w:kern w:val="2"/>
              </w:rPr>
              <w:t xml:space="preserve"> OF </w:t>
            </w:r>
            <w:r w:rsidR="00015576" w:rsidRPr="00CD3273">
              <w:rPr>
                <w:rFonts w:ascii="Times New Roman" w:hAnsi="Times New Roman"/>
                <w:kern w:val="2"/>
              </w:rPr>
              <w:t>SHUTTLE EXPRESS, INC.</w:t>
            </w:r>
            <w:r w:rsidRPr="00CD3273">
              <w:rPr>
                <w:rFonts w:ascii="Times New Roman" w:hAnsi="Times New Roman"/>
                <w:kern w:val="2"/>
              </w:rPr>
              <w:t xml:space="preserve"> FOR CONTINUANCE</w:t>
            </w:r>
          </w:p>
          <w:p w:rsidR="006911A3" w:rsidRPr="00CD3273" w:rsidRDefault="006911A3" w:rsidP="00CD3273">
            <w:pPr>
              <w:spacing w:after="19"/>
              <w:ind w:left="720" w:right="18"/>
              <w:rPr>
                <w:rFonts w:ascii="Times New Roman" w:hAnsi="Times New Roman"/>
                <w:kern w:val="2"/>
              </w:rPr>
            </w:pPr>
          </w:p>
        </w:tc>
      </w:tr>
      <w:tr w:rsidR="006911A3" w:rsidRPr="00CD3273" w:rsidTr="00CD3273">
        <w:tc>
          <w:tcPr>
            <w:tcW w:w="2500" w:type="pct"/>
            <w:tcBorders>
              <w:top w:val="single" w:sz="6" w:space="0" w:color="FFFFFF"/>
              <w:left w:val="single" w:sz="6" w:space="0" w:color="FFFFFF"/>
              <w:bottom w:val="single" w:sz="7" w:space="0" w:color="000000"/>
              <w:right w:val="single" w:sz="6" w:space="0" w:color="FFFFFF"/>
            </w:tcBorders>
          </w:tcPr>
          <w:p w:rsidR="006911A3" w:rsidRPr="00CD3273" w:rsidRDefault="006911A3" w:rsidP="00CD3273">
            <w:pPr>
              <w:ind w:right="18"/>
              <w:rPr>
                <w:rFonts w:ascii="Times New Roman" w:hAnsi="Times New Roman"/>
                <w:kern w:val="2"/>
              </w:rPr>
            </w:pPr>
          </w:p>
        </w:tc>
        <w:tc>
          <w:tcPr>
            <w:tcW w:w="2500" w:type="pct"/>
            <w:tcBorders>
              <w:top w:val="single" w:sz="6" w:space="0" w:color="FFFFFF"/>
              <w:left w:val="single" w:sz="7" w:space="0" w:color="000000"/>
              <w:bottom w:val="single" w:sz="6" w:space="0" w:color="FFFFFF"/>
              <w:right w:val="single" w:sz="6" w:space="0" w:color="FFFFFF"/>
            </w:tcBorders>
          </w:tcPr>
          <w:p w:rsidR="006911A3" w:rsidRPr="00CD3273" w:rsidRDefault="006911A3" w:rsidP="00CD3273">
            <w:pPr>
              <w:ind w:right="18"/>
              <w:rPr>
                <w:rFonts w:ascii="Times New Roman" w:hAnsi="Times New Roman"/>
                <w:kern w:val="2"/>
              </w:rPr>
            </w:pPr>
          </w:p>
        </w:tc>
      </w:tr>
    </w:tbl>
    <w:p w:rsidR="006911A3" w:rsidRPr="00CD3273" w:rsidRDefault="006911A3" w:rsidP="00CD3273">
      <w:pPr>
        <w:ind w:right="18"/>
        <w:rPr>
          <w:rFonts w:ascii="Times New Roman" w:hAnsi="Times New Roman"/>
          <w:kern w:val="2"/>
        </w:rPr>
      </w:pPr>
    </w:p>
    <w:p w:rsidR="006911A3" w:rsidRPr="00CD3273" w:rsidRDefault="006911A3" w:rsidP="00CD3273">
      <w:pPr>
        <w:pStyle w:val="BodyTextIndent"/>
        <w:ind w:left="0" w:right="18" w:firstLine="0"/>
        <w:jc w:val="left"/>
        <w:rPr>
          <w:rFonts w:ascii="Times New Roman" w:hAnsi="Times New Roman"/>
          <w:kern w:val="2"/>
        </w:rPr>
      </w:pPr>
      <w:r w:rsidRPr="00CD3273">
        <w:rPr>
          <w:rFonts w:ascii="Times New Roman" w:hAnsi="Times New Roman"/>
          <w:kern w:val="2"/>
        </w:rPr>
        <w:t>TO:</w:t>
      </w:r>
      <w:r w:rsidRPr="00CD3273">
        <w:rPr>
          <w:rFonts w:ascii="Times New Roman" w:hAnsi="Times New Roman"/>
          <w:kern w:val="2"/>
        </w:rPr>
        <w:tab/>
      </w:r>
      <w:r w:rsidR="005822C3" w:rsidRPr="00CD3273">
        <w:rPr>
          <w:rFonts w:ascii="Times New Roman" w:hAnsi="Times New Roman"/>
          <w:kern w:val="2"/>
        </w:rPr>
        <w:t>STEVEN V. KING, Executive Director and Secretary, Washington Utilities and Transportation Commission, P.O. Box 47250, Olympia, Washington, 98504-7250; and</w:t>
      </w:r>
    </w:p>
    <w:p w:rsidR="006911A3" w:rsidRPr="00CD3273" w:rsidRDefault="006911A3" w:rsidP="00CD3273">
      <w:pPr>
        <w:ind w:right="18"/>
        <w:jc w:val="both"/>
        <w:rPr>
          <w:rFonts w:ascii="Times New Roman" w:hAnsi="Times New Roman"/>
          <w:kern w:val="2"/>
        </w:rPr>
      </w:pPr>
    </w:p>
    <w:p w:rsidR="00282FDC" w:rsidRPr="00CD3273" w:rsidRDefault="006911A3" w:rsidP="00CD3273">
      <w:pPr>
        <w:tabs>
          <w:tab w:val="left" w:pos="-1440"/>
        </w:tabs>
        <w:ind w:right="18"/>
        <w:jc w:val="both"/>
        <w:rPr>
          <w:rFonts w:ascii="Times New Roman" w:hAnsi="Times New Roman"/>
          <w:kern w:val="2"/>
        </w:rPr>
      </w:pPr>
      <w:r w:rsidRPr="00CD3273">
        <w:rPr>
          <w:rFonts w:ascii="Times New Roman" w:hAnsi="Times New Roman"/>
          <w:kern w:val="2"/>
        </w:rPr>
        <w:t>TO:</w:t>
      </w:r>
      <w:r w:rsidRPr="00CD3273">
        <w:rPr>
          <w:rFonts w:ascii="Times New Roman" w:hAnsi="Times New Roman"/>
          <w:kern w:val="2"/>
        </w:rPr>
        <w:tab/>
      </w:r>
      <w:r w:rsidR="00282FDC" w:rsidRPr="00CD3273">
        <w:rPr>
          <w:rFonts w:ascii="Times New Roman" w:hAnsi="Times New Roman"/>
          <w:kern w:val="2"/>
        </w:rPr>
        <w:t xml:space="preserve">Administrative Law Judge Adam </w:t>
      </w:r>
      <w:proofErr w:type="spellStart"/>
      <w:r w:rsidR="00282FDC" w:rsidRPr="00CD3273">
        <w:rPr>
          <w:rFonts w:ascii="Times New Roman" w:hAnsi="Times New Roman"/>
          <w:kern w:val="2"/>
        </w:rPr>
        <w:t>Torem</w:t>
      </w:r>
      <w:proofErr w:type="spellEnd"/>
    </w:p>
    <w:p w:rsidR="00282FDC" w:rsidRPr="00CD3273" w:rsidRDefault="00282FDC" w:rsidP="00CD3273">
      <w:pPr>
        <w:pStyle w:val="ListParagraph"/>
        <w:ind w:left="0" w:right="18"/>
        <w:rPr>
          <w:rFonts w:ascii="Times New Roman" w:hAnsi="Times New Roman"/>
          <w:kern w:val="2"/>
        </w:rPr>
      </w:pPr>
    </w:p>
    <w:p w:rsidR="006911A3" w:rsidRPr="00CD3273" w:rsidRDefault="00282FDC" w:rsidP="00CD3273">
      <w:pPr>
        <w:tabs>
          <w:tab w:val="left" w:pos="-1440"/>
        </w:tabs>
        <w:ind w:right="18"/>
        <w:jc w:val="both"/>
        <w:rPr>
          <w:rFonts w:ascii="Times New Roman" w:hAnsi="Times New Roman"/>
          <w:kern w:val="2"/>
        </w:rPr>
      </w:pPr>
      <w:r w:rsidRPr="00CD3273">
        <w:rPr>
          <w:rFonts w:ascii="Times New Roman" w:hAnsi="Times New Roman"/>
          <w:kern w:val="2"/>
        </w:rPr>
        <w:t>TO:</w:t>
      </w:r>
      <w:r w:rsidRPr="00CD3273">
        <w:rPr>
          <w:rFonts w:ascii="Times New Roman" w:hAnsi="Times New Roman"/>
          <w:kern w:val="2"/>
        </w:rPr>
        <w:tab/>
      </w:r>
      <w:r w:rsidR="006911A3" w:rsidRPr="00CD3273">
        <w:rPr>
          <w:rFonts w:ascii="Times New Roman" w:hAnsi="Times New Roman"/>
          <w:kern w:val="2"/>
        </w:rPr>
        <w:t>PARTIES OF RECORD</w:t>
      </w:r>
    </w:p>
    <w:p w:rsidR="006911A3" w:rsidRPr="00CD3273" w:rsidRDefault="006911A3" w:rsidP="00CD3273">
      <w:pPr>
        <w:ind w:right="18"/>
        <w:jc w:val="both"/>
        <w:rPr>
          <w:rFonts w:ascii="Times New Roman" w:hAnsi="Times New Roman"/>
          <w:kern w:val="2"/>
        </w:rPr>
      </w:pPr>
    </w:p>
    <w:p w:rsidR="006C666D" w:rsidRPr="00CD3273" w:rsidRDefault="00282FDC" w:rsidP="00CD3273">
      <w:pPr>
        <w:spacing w:line="276" w:lineRule="auto"/>
        <w:ind w:left="-720" w:right="18"/>
        <w:jc w:val="center"/>
        <w:rPr>
          <w:rFonts w:ascii="Times New Roman" w:hAnsi="Times New Roman"/>
          <w:b/>
          <w:kern w:val="2"/>
          <w:u w:val="single"/>
        </w:rPr>
      </w:pPr>
      <w:r w:rsidRPr="00CD3273">
        <w:rPr>
          <w:rFonts w:ascii="Times New Roman" w:hAnsi="Times New Roman"/>
          <w:b/>
          <w:kern w:val="2"/>
          <w:u w:val="single"/>
        </w:rPr>
        <w:t>MOTION</w:t>
      </w:r>
    </w:p>
    <w:p w:rsidR="00282FDC" w:rsidRPr="00CD3273" w:rsidRDefault="00282FDC" w:rsidP="00CD3273">
      <w:pPr>
        <w:pStyle w:val="ListParagraph"/>
        <w:ind w:right="18"/>
        <w:rPr>
          <w:rFonts w:ascii="Times New Roman" w:hAnsi="Times New Roman"/>
          <w:kern w:val="2"/>
        </w:rPr>
      </w:pPr>
    </w:p>
    <w:p w:rsidR="00360D12" w:rsidRPr="00CD3273" w:rsidRDefault="00282FDC" w:rsidP="00CD3273">
      <w:pPr>
        <w:numPr>
          <w:ilvl w:val="0"/>
          <w:numId w:val="4"/>
        </w:numPr>
        <w:spacing w:line="480" w:lineRule="auto"/>
        <w:ind w:right="18" w:firstLine="720"/>
        <w:rPr>
          <w:rFonts w:ascii="Times New Roman" w:hAnsi="Times New Roman"/>
          <w:kern w:val="2"/>
        </w:rPr>
      </w:pPr>
      <w:r w:rsidRPr="00CD3273">
        <w:rPr>
          <w:rFonts w:ascii="Times New Roman" w:hAnsi="Times New Roman"/>
          <w:kern w:val="2"/>
        </w:rPr>
        <w:t>Pursuant to WAC 480-07-385 Respondent Shuttle Express, Inc. (“Shuttle Express”) moves for a continuance of the briefs due in this Docket on September 20, 2013, pending the filing, consideration, and determination of a petition for exemption to be expeditiously filed by Shuttle Express</w:t>
      </w:r>
      <w:r w:rsidR="00F83E1B" w:rsidRPr="00CD3273">
        <w:rPr>
          <w:rFonts w:ascii="Times New Roman" w:hAnsi="Times New Roman"/>
          <w:kern w:val="2"/>
        </w:rPr>
        <w:t>, which would be a condition of the continuance</w:t>
      </w:r>
      <w:r w:rsidRPr="00CD3273">
        <w:rPr>
          <w:rFonts w:ascii="Times New Roman" w:hAnsi="Times New Roman"/>
          <w:kern w:val="2"/>
        </w:rPr>
        <w:t xml:space="preserve">.  </w:t>
      </w:r>
      <w:r w:rsidR="00360D12" w:rsidRPr="00CD3273">
        <w:rPr>
          <w:rFonts w:ascii="Times New Roman" w:hAnsi="Times New Roman"/>
          <w:kern w:val="2"/>
        </w:rPr>
        <w:t xml:space="preserve">Shuttle Express suggests a continuance for six (6) months, to February 28, 2014, solely because </w:t>
      </w:r>
      <w:r w:rsidR="00AB522A" w:rsidRPr="00CD3273">
        <w:rPr>
          <w:rFonts w:ascii="Times New Roman" w:hAnsi="Times New Roman"/>
          <w:kern w:val="2"/>
        </w:rPr>
        <w:t>WAC 480-07-</w:t>
      </w:r>
      <w:r w:rsidR="00360D12" w:rsidRPr="00CD3273">
        <w:rPr>
          <w:rFonts w:ascii="Times New Roman" w:hAnsi="Times New Roman"/>
          <w:kern w:val="2"/>
        </w:rPr>
        <w:t>385(4) requires a date certain.  However, the intent is that litigation in this docket would resume promptly upon conclusion of the exemption petition proceeding, and six months should be sufficient.  Shuttle Express suggest</w:t>
      </w:r>
      <w:r w:rsidR="00CD3273" w:rsidRPr="00CD3273">
        <w:rPr>
          <w:rFonts w:ascii="Times New Roman" w:hAnsi="Times New Roman"/>
          <w:kern w:val="2"/>
        </w:rPr>
        <w:t>s</w:t>
      </w:r>
      <w:r w:rsidR="00360D12" w:rsidRPr="00CD3273">
        <w:rPr>
          <w:rFonts w:ascii="Times New Roman" w:hAnsi="Times New Roman"/>
          <w:kern w:val="2"/>
        </w:rPr>
        <w:t xml:space="preserve"> that a st</w:t>
      </w:r>
      <w:r w:rsidR="00834B72" w:rsidRPr="00CD3273">
        <w:rPr>
          <w:rFonts w:ascii="Times New Roman" w:hAnsi="Times New Roman"/>
          <w:kern w:val="2"/>
        </w:rPr>
        <w:t>atus conference be set on</w:t>
      </w:r>
      <w:r w:rsidR="00360D12" w:rsidRPr="00CD3273">
        <w:rPr>
          <w:rFonts w:ascii="Times New Roman" w:hAnsi="Times New Roman"/>
          <w:kern w:val="2"/>
        </w:rPr>
        <w:t xml:space="preserve"> February 28</w:t>
      </w:r>
      <w:r w:rsidR="00360D12" w:rsidRPr="00CD3273">
        <w:rPr>
          <w:rFonts w:ascii="Times New Roman" w:hAnsi="Times New Roman"/>
          <w:kern w:val="2"/>
          <w:vertAlign w:val="superscript"/>
        </w:rPr>
        <w:t>th</w:t>
      </w:r>
      <w:r w:rsidR="00360D12" w:rsidRPr="00CD3273">
        <w:rPr>
          <w:rFonts w:ascii="Times New Roman" w:hAnsi="Times New Roman"/>
          <w:kern w:val="2"/>
        </w:rPr>
        <w:t xml:space="preserve"> </w:t>
      </w:r>
      <w:r w:rsidR="00834B72" w:rsidRPr="00CD3273">
        <w:rPr>
          <w:rFonts w:ascii="Times New Roman" w:hAnsi="Times New Roman"/>
          <w:kern w:val="2"/>
        </w:rPr>
        <w:t>and the date can be advanced if the exemption proceeding concludes well before that date.</w:t>
      </w:r>
    </w:p>
    <w:p w:rsidR="00360D12" w:rsidRPr="00CD3273" w:rsidRDefault="00360D12" w:rsidP="00CD3273">
      <w:pPr>
        <w:pStyle w:val="ListParagraph"/>
        <w:ind w:right="18"/>
        <w:rPr>
          <w:rFonts w:ascii="Times New Roman" w:hAnsi="Times New Roman"/>
          <w:kern w:val="2"/>
        </w:rPr>
      </w:pPr>
    </w:p>
    <w:p w:rsidR="00282FDC" w:rsidRPr="00CD3273" w:rsidRDefault="00282FDC" w:rsidP="00CD3273">
      <w:pPr>
        <w:numPr>
          <w:ilvl w:val="0"/>
          <w:numId w:val="4"/>
        </w:numPr>
        <w:spacing w:line="480" w:lineRule="auto"/>
        <w:ind w:right="18" w:firstLine="720"/>
        <w:rPr>
          <w:rFonts w:ascii="Times New Roman" w:hAnsi="Times New Roman"/>
          <w:kern w:val="2"/>
        </w:rPr>
      </w:pPr>
      <w:r w:rsidRPr="00CD3273">
        <w:rPr>
          <w:rFonts w:ascii="Times New Roman" w:hAnsi="Times New Roman"/>
          <w:kern w:val="2"/>
        </w:rPr>
        <w:lastRenderedPageBreak/>
        <w:t xml:space="preserve">This motion is based on the pleadings and record </w:t>
      </w:r>
      <w:r w:rsidR="00360D12" w:rsidRPr="00CD3273">
        <w:rPr>
          <w:rFonts w:ascii="Times New Roman" w:hAnsi="Times New Roman"/>
          <w:kern w:val="2"/>
        </w:rPr>
        <w:t xml:space="preserve">developed </w:t>
      </w:r>
      <w:r w:rsidRPr="00CD3273">
        <w:rPr>
          <w:rFonts w:ascii="Times New Roman" w:hAnsi="Times New Roman"/>
          <w:kern w:val="2"/>
        </w:rPr>
        <w:t xml:space="preserve">in this docket </w:t>
      </w:r>
      <w:r w:rsidR="00360D12" w:rsidRPr="00CD3273">
        <w:rPr>
          <w:rFonts w:ascii="Times New Roman" w:hAnsi="Times New Roman"/>
          <w:kern w:val="2"/>
        </w:rPr>
        <w:t xml:space="preserve">to date </w:t>
      </w:r>
      <w:r w:rsidRPr="00CD3273">
        <w:rPr>
          <w:rFonts w:ascii="Times New Roman" w:hAnsi="Times New Roman"/>
          <w:kern w:val="2"/>
        </w:rPr>
        <w:t>and the arguments set forth below.  Shuttle Express has discus</w:t>
      </w:r>
      <w:r w:rsidR="00AB522A" w:rsidRPr="00CD3273">
        <w:rPr>
          <w:rFonts w:ascii="Times New Roman" w:hAnsi="Times New Roman"/>
          <w:kern w:val="2"/>
        </w:rPr>
        <w:t>sed this</w:t>
      </w:r>
      <w:r w:rsidRPr="00CD3273">
        <w:rPr>
          <w:rFonts w:ascii="Times New Roman" w:hAnsi="Times New Roman"/>
          <w:kern w:val="2"/>
        </w:rPr>
        <w:t xml:space="preserve"> motion with Staff and understands that the Staff opposes any continuance.</w:t>
      </w:r>
    </w:p>
    <w:p w:rsidR="00282FDC" w:rsidRPr="00CD3273" w:rsidRDefault="00282FDC" w:rsidP="00CD3273">
      <w:pPr>
        <w:pStyle w:val="ListParagraph"/>
        <w:ind w:right="18"/>
        <w:rPr>
          <w:rFonts w:ascii="Times New Roman" w:hAnsi="Times New Roman"/>
          <w:kern w:val="2"/>
        </w:rPr>
      </w:pPr>
    </w:p>
    <w:p w:rsidR="00282FDC" w:rsidRPr="00CD3273" w:rsidRDefault="00282FDC" w:rsidP="00CD3273">
      <w:pPr>
        <w:spacing w:line="480" w:lineRule="auto"/>
        <w:ind w:right="18"/>
        <w:jc w:val="center"/>
        <w:rPr>
          <w:rFonts w:ascii="Times New Roman" w:hAnsi="Times New Roman"/>
          <w:kern w:val="2"/>
        </w:rPr>
      </w:pPr>
      <w:r w:rsidRPr="00CD3273">
        <w:rPr>
          <w:rFonts w:ascii="Times New Roman" w:hAnsi="Times New Roman"/>
          <w:b/>
          <w:kern w:val="2"/>
          <w:u w:val="single"/>
        </w:rPr>
        <w:t>PROCEDURAL AND FACTUAL HISTORY</w:t>
      </w:r>
    </w:p>
    <w:p w:rsidR="00282FDC" w:rsidRPr="00CD3273" w:rsidRDefault="00282FDC" w:rsidP="00CD3273">
      <w:pPr>
        <w:pStyle w:val="ListParagraph"/>
        <w:ind w:right="18"/>
        <w:rPr>
          <w:rFonts w:ascii="Times New Roman" w:hAnsi="Times New Roman"/>
          <w:kern w:val="2"/>
        </w:rPr>
      </w:pPr>
    </w:p>
    <w:p w:rsidR="00282FDC" w:rsidRPr="00CD3273" w:rsidRDefault="00282FDC" w:rsidP="00CD3273">
      <w:pPr>
        <w:numPr>
          <w:ilvl w:val="0"/>
          <w:numId w:val="4"/>
        </w:numPr>
        <w:spacing w:line="480" w:lineRule="auto"/>
        <w:ind w:right="18" w:firstLine="720"/>
        <w:rPr>
          <w:rFonts w:ascii="Times New Roman" w:hAnsi="Times New Roman"/>
          <w:kern w:val="2"/>
        </w:rPr>
      </w:pPr>
      <w:r w:rsidRPr="00CD3273">
        <w:rPr>
          <w:rFonts w:ascii="Times New Roman" w:hAnsi="Times New Roman"/>
          <w:kern w:val="2"/>
        </w:rPr>
        <w:t xml:space="preserve">The Commission issued its complaint on </w:t>
      </w:r>
      <w:r w:rsidR="00580B34" w:rsidRPr="00CD3273">
        <w:rPr>
          <w:rFonts w:ascii="Times New Roman" w:hAnsi="Times New Roman"/>
          <w:kern w:val="2"/>
        </w:rPr>
        <w:t>May 1</w:t>
      </w:r>
      <w:r w:rsidRPr="00CD3273">
        <w:rPr>
          <w:rFonts w:ascii="Times New Roman" w:hAnsi="Times New Roman"/>
          <w:kern w:val="2"/>
        </w:rPr>
        <w:t xml:space="preserve">, 2013, asserting </w:t>
      </w:r>
      <w:r w:rsidR="00580B34" w:rsidRPr="00CD3273">
        <w:rPr>
          <w:rFonts w:ascii="Times New Roman" w:hAnsi="Times New Roman"/>
          <w:kern w:val="2"/>
        </w:rPr>
        <w:t xml:space="preserve">four causes of action against Shuttle Express.  On May 24, 2013, Shuttle Express filed its </w:t>
      </w:r>
      <w:r w:rsidR="00834B72" w:rsidRPr="00CD3273">
        <w:rPr>
          <w:rFonts w:ascii="Times New Roman" w:hAnsi="Times New Roman"/>
          <w:kern w:val="2"/>
        </w:rPr>
        <w:t xml:space="preserve">formal </w:t>
      </w:r>
      <w:r w:rsidR="00580B34" w:rsidRPr="00CD3273">
        <w:rPr>
          <w:rFonts w:ascii="Times New Roman" w:hAnsi="Times New Roman"/>
          <w:kern w:val="2"/>
        </w:rPr>
        <w:t>answer</w:t>
      </w:r>
      <w:r w:rsidR="00834B72" w:rsidRPr="00CD3273">
        <w:rPr>
          <w:rFonts w:ascii="Times New Roman" w:hAnsi="Times New Roman"/>
          <w:kern w:val="2"/>
        </w:rPr>
        <w:t xml:space="preserve"> to the complaint (styled a “Response”)</w:t>
      </w:r>
      <w:r w:rsidR="00580B34" w:rsidRPr="00CD3273">
        <w:rPr>
          <w:rFonts w:ascii="Times New Roman" w:hAnsi="Times New Roman"/>
          <w:kern w:val="2"/>
        </w:rPr>
        <w:t>, summarily denying each and every cause of action.  As to the First Cause of Action, of alleged violation of WAC 480-03-213, Shuttle Express further alleged “reasonable circumstances.”</w:t>
      </w:r>
    </w:p>
    <w:p w:rsidR="00580B34" w:rsidRPr="00CD3273" w:rsidRDefault="00580B34" w:rsidP="00CD3273">
      <w:pPr>
        <w:pStyle w:val="ListParagraph"/>
        <w:ind w:right="18"/>
        <w:rPr>
          <w:rFonts w:ascii="Times New Roman" w:hAnsi="Times New Roman"/>
          <w:kern w:val="2"/>
        </w:rPr>
      </w:pPr>
    </w:p>
    <w:p w:rsidR="00580B34" w:rsidRPr="00CD3273" w:rsidRDefault="00580B34" w:rsidP="00CD3273">
      <w:pPr>
        <w:numPr>
          <w:ilvl w:val="0"/>
          <w:numId w:val="4"/>
        </w:numPr>
        <w:spacing w:line="480" w:lineRule="auto"/>
        <w:ind w:right="18" w:firstLine="720"/>
        <w:rPr>
          <w:rFonts w:ascii="Times New Roman" w:hAnsi="Times New Roman"/>
          <w:kern w:val="2"/>
        </w:rPr>
      </w:pPr>
      <w:r w:rsidRPr="00CD3273">
        <w:rPr>
          <w:rFonts w:ascii="Times New Roman" w:hAnsi="Times New Roman"/>
          <w:kern w:val="2"/>
        </w:rPr>
        <w:t>A hearing was held in the docket on August 1, 2013.  The Staff was represented by Assistant Attorney General Jennifer Cameron-Rulkowski (</w:t>
      </w:r>
      <w:r w:rsidR="00AB522A" w:rsidRPr="00CD3273">
        <w:rPr>
          <w:rFonts w:ascii="Times New Roman" w:hAnsi="Times New Roman"/>
          <w:kern w:val="2"/>
        </w:rPr>
        <w:t xml:space="preserve">the </w:t>
      </w:r>
      <w:r w:rsidRPr="00CD3273">
        <w:rPr>
          <w:rFonts w:ascii="Times New Roman" w:hAnsi="Times New Roman"/>
          <w:kern w:val="2"/>
        </w:rPr>
        <w:t>“</w:t>
      </w:r>
      <w:proofErr w:type="spellStart"/>
      <w:r w:rsidRPr="00CD3273">
        <w:rPr>
          <w:rFonts w:ascii="Times New Roman" w:hAnsi="Times New Roman"/>
          <w:kern w:val="2"/>
        </w:rPr>
        <w:t>AAG</w:t>
      </w:r>
      <w:proofErr w:type="spellEnd"/>
      <w:r w:rsidRPr="00CD3273">
        <w:rPr>
          <w:rFonts w:ascii="Times New Roman" w:hAnsi="Times New Roman"/>
          <w:kern w:val="2"/>
        </w:rPr>
        <w:t xml:space="preserve">”).  Shuttle Express was represented by </w:t>
      </w:r>
      <w:proofErr w:type="spellStart"/>
      <w:r w:rsidRPr="00CD3273">
        <w:rPr>
          <w:rFonts w:ascii="Times New Roman" w:hAnsi="Times New Roman"/>
          <w:kern w:val="2"/>
        </w:rPr>
        <w:t>Jimy</w:t>
      </w:r>
      <w:proofErr w:type="spellEnd"/>
      <w:r w:rsidRPr="00CD3273">
        <w:rPr>
          <w:rFonts w:ascii="Times New Roman" w:hAnsi="Times New Roman"/>
          <w:kern w:val="2"/>
        </w:rPr>
        <w:t xml:space="preserve"> </w:t>
      </w:r>
      <w:proofErr w:type="spellStart"/>
      <w:r w:rsidRPr="00CD3273">
        <w:rPr>
          <w:rFonts w:ascii="Times New Roman" w:hAnsi="Times New Roman"/>
          <w:kern w:val="2"/>
        </w:rPr>
        <w:t>Sherrell</w:t>
      </w:r>
      <w:proofErr w:type="spellEnd"/>
      <w:r w:rsidRPr="00CD3273">
        <w:rPr>
          <w:rFonts w:ascii="Times New Roman" w:hAnsi="Times New Roman"/>
          <w:kern w:val="2"/>
        </w:rPr>
        <w:t>, who is not an attorney.</w:t>
      </w:r>
      <w:r w:rsidR="00770BDE" w:rsidRPr="00CD3273">
        <w:rPr>
          <w:rFonts w:ascii="Times New Roman" w:hAnsi="Times New Roman"/>
          <w:kern w:val="2"/>
        </w:rPr>
        <w:t xml:space="preserve">  At the hearing, the parties presented testimony and introduced exhibits, which were admitted</w:t>
      </w:r>
      <w:r w:rsidR="00AB522A" w:rsidRPr="00CD3273">
        <w:rPr>
          <w:rFonts w:ascii="Times New Roman" w:hAnsi="Times New Roman"/>
          <w:kern w:val="2"/>
        </w:rPr>
        <w:t xml:space="preserve"> into the record</w:t>
      </w:r>
      <w:r w:rsidR="00770BDE" w:rsidRPr="00CD3273">
        <w:rPr>
          <w:rFonts w:ascii="Times New Roman" w:hAnsi="Times New Roman"/>
          <w:kern w:val="2"/>
        </w:rPr>
        <w:t>.</w:t>
      </w:r>
    </w:p>
    <w:p w:rsidR="00770BDE" w:rsidRPr="00CD3273" w:rsidRDefault="00770BDE" w:rsidP="00CD3273">
      <w:pPr>
        <w:pStyle w:val="ListParagraph"/>
        <w:ind w:right="18"/>
        <w:rPr>
          <w:rFonts w:ascii="Times New Roman" w:hAnsi="Times New Roman"/>
          <w:kern w:val="2"/>
        </w:rPr>
      </w:pPr>
    </w:p>
    <w:p w:rsidR="00770BDE" w:rsidRPr="00CD3273" w:rsidRDefault="00770BDE" w:rsidP="00CD3273">
      <w:pPr>
        <w:numPr>
          <w:ilvl w:val="0"/>
          <w:numId w:val="4"/>
        </w:numPr>
        <w:spacing w:line="480" w:lineRule="auto"/>
        <w:ind w:right="18" w:firstLine="720"/>
        <w:rPr>
          <w:rFonts w:ascii="Times New Roman" w:hAnsi="Times New Roman"/>
          <w:kern w:val="2"/>
        </w:rPr>
      </w:pPr>
      <w:r w:rsidRPr="00CD3273">
        <w:rPr>
          <w:rFonts w:ascii="Times New Roman" w:hAnsi="Times New Roman"/>
          <w:kern w:val="2"/>
        </w:rPr>
        <w:t xml:space="preserve">At the conclusion of the hearing, the administrative law judge (“ALJ”) expressed a </w:t>
      </w:r>
      <w:r w:rsidR="00C06C89" w:rsidRPr="00CD3273">
        <w:rPr>
          <w:rFonts w:ascii="Times New Roman" w:hAnsi="Times New Roman"/>
          <w:kern w:val="2"/>
        </w:rPr>
        <w:t>d</w:t>
      </w:r>
      <w:r w:rsidRPr="00CD3273">
        <w:rPr>
          <w:rFonts w:ascii="Times New Roman" w:hAnsi="Times New Roman"/>
          <w:kern w:val="2"/>
        </w:rPr>
        <w:t xml:space="preserve">esire for a resolution going forward.  For example:  “[T]he Commission I believe needs to be informed on what the path forward is going to be.  And if the path forward leads to the Company being defunct and/or being back in the hearing room with the same questions again, then we are failing as a Commission.” </w:t>
      </w:r>
      <w:r w:rsidR="00430153" w:rsidRPr="00CD3273">
        <w:rPr>
          <w:rFonts w:ascii="Times New Roman" w:hAnsi="Times New Roman"/>
          <w:kern w:val="2"/>
        </w:rPr>
        <w:t xml:space="preserve"> TR. 155. </w:t>
      </w:r>
      <w:r w:rsidRPr="00CD3273">
        <w:rPr>
          <w:rFonts w:ascii="Times New Roman" w:hAnsi="Times New Roman"/>
          <w:kern w:val="2"/>
        </w:rPr>
        <w:t xml:space="preserve"> Further:  “What I want is some recommendation on how Shuttle Express can meet the needs of its passengers and how Shuttle Express can comply with all applicable Commission rules.”</w:t>
      </w:r>
      <w:r w:rsidR="00430153" w:rsidRPr="00CD3273">
        <w:rPr>
          <w:rFonts w:ascii="Times New Roman" w:hAnsi="Times New Roman"/>
          <w:kern w:val="2"/>
        </w:rPr>
        <w:t xml:space="preserve">  TR. 156.  Further to that end, the ALJ directed the parties to attempt to file a joint brief with recommendations or options for going forward.  TR. 155.  After </w:t>
      </w:r>
      <w:r w:rsidR="00430153" w:rsidRPr="00CD3273">
        <w:rPr>
          <w:rFonts w:ascii="Times New Roman" w:hAnsi="Times New Roman"/>
          <w:kern w:val="2"/>
        </w:rPr>
        <w:lastRenderedPageBreak/>
        <w:t>learning of the AAG’s absence from the office from August 26</w:t>
      </w:r>
      <w:r w:rsidR="00430153" w:rsidRPr="00CD3273">
        <w:rPr>
          <w:rFonts w:ascii="Times New Roman" w:hAnsi="Times New Roman"/>
          <w:kern w:val="2"/>
          <w:vertAlign w:val="superscript"/>
        </w:rPr>
        <w:t>th</w:t>
      </w:r>
      <w:r w:rsidR="00430153" w:rsidRPr="00CD3273">
        <w:rPr>
          <w:rFonts w:ascii="Times New Roman" w:hAnsi="Times New Roman"/>
          <w:kern w:val="2"/>
        </w:rPr>
        <w:t xml:space="preserve"> through September 9</w:t>
      </w:r>
      <w:r w:rsidR="00430153" w:rsidRPr="00CD3273">
        <w:rPr>
          <w:rFonts w:ascii="Times New Roman" w:hAnsi="Times New Roman"/>
          <w:kern w:val="2"/>
          <w:vertAlign w:val="superscript"/>
        </w:rPr>
        <w:t>th</w:t>
      </w:r>
      <w:r w:rsidR="00430153" w:rsidRPr="00CD3273">
        <w:rPr>
          <w:rFonts w:ascii="Times New Roman" w:hAnsi="Times New Roman"/>
          <w:kern w:val="2"/>
        </w:rPr>
        <w:t>, the ALJ set September 20</w:t>
      </w:r>
      <w:r w:rsidR="00430153" w:rsidRPr="00CD3273">
        <w:rPr>
          <w:rFonts w:ascii="Times New Roman" w:hAnsi="Times New Roman"/>
          <w:kern w:val="2"/>
          <w:vertAlign w:val="superscript"/>
        </w:rPr>
        <w:t>th</w:t>
      </w:r>
      <w:r w:rsidR="00430153" w:rsidRPr="00CD3273">
        <w:rPr>
          <w:rFonts w:ascii="Times New Roman" w:hAnsi="Times New Roman"/>
          <w:kern w:val="2"/>
        </w:rPr>
        <w:t xml:space="preserve"> as the due date for the brief(s).  </w:t>
      </w:r>
      <w:r w:rsidR="00430153" w:rsidRPr="00CD3273">
        <w:rPr>
          <w:rFonts w:ascii="Times New Roman" w:hAnsi="Times New Roman"/>
          <w:i/>
          <w:kern w:val="2"/>
        </w:rPr>
        <w:t>See</w:t>
      </w:r>
      <w:r w:rsidR="00430153" w:rsidRPr="00CD3273">
        <w:rPr>
          <w:rFonts w:ascii="Times New Roman" w:hAnsi="Times New Roman"/>
          <w:kern w:val="2"/>
        </w:rPr>
        <w:t xml:space="preserve"> TR. 164-67.</w:t>
      </w:r>
    </w:p>
    <w:p w:rsidR="00430153" w:rsidRPr="00CD3273" w:rsidRDefault="00430153" w:rsidP="00CD3273">
      <w:pPr>
        <w:pStyle w:val="ListParagraph"/>
        <w:ind w:right="18"/>
        <w:rPr>
          <w:rFonts w:ascii="Times New Roman" w:hAnsi="Times New Roman"/>
          <w:kern w:val="2"/>
        </w:rPr>
      </w:pPr>
    </w:p>
    <w:p w:rsidR="00430153" w:rsidRPr="00CD3273" w:rsidRDefault="0083782D" w:rsidP="00CD3273">
      <w:pPr>
        <w:numPr>
          <w:ilvl w:val="0"/>
          <w:numId w:val="4"/>
        </w:numPr>
        <w:spacing w:line="480" w:lineRule="auto"/>
        <w:ind w:right="18" w:firstLine="720"/>
        <w:rPr>
          <w:rFonts w:ascii="Times New Roman" w:hAnsi="Times New Roman"/>
          <w:kern w:val="2"/>
        </w:rPr>
      </w:pPr>
      <w:r w:rsidRPr="00CD3273">
        <w:rPr>
          <w:rFonts w:ascii="Times New Roman" w:hAnsi="Times New Roman"/>
          <w:kern w:val="2"/>
        </w:rPr>
        <w:t xml:space="preserve">On August 5, 2012, the ALJ issued a Notice Requiring Post-Hearing Briefing, which memorialized the request on the record that the </w:t>
      </w:r>
      <w:proofErr w:type="gramStart"/>
      <w:r w:rsidRPr="00CD3273">
        <w:rPr>
          <w:rFonts w:ascii="Times New Roman" w:hAnsi="Times New Roman"/>
          <w:kern w:val="2"/>
        </w:rPr>
        <w:t>parties</w:t>
      </w:r>
      <w:r w:rsidR="00AB522A" w:rsidRPr="00CD3273">
        <w:rPr>
          <w:rFonts w:ascii="Times New Roman" w:hAnsi="Times New Roman"/>
          <w:kern w:val="2"/>
        </w:rPr>
        <w:t>,</w:t>
      </w:r>
      <w:proofErr w:type="gramEnd"/>
      <w:r w:rsidRPr="00CD3273">
        <w:rPr>
          <w:rFonts w:ascii="Times New Roman" w:hAnsi="Times New Roman"/>
          <w:kern w:val="2"/>
        </w:rPr>
        <w:t xml:space="preserve"> “address potential means by which Shuttle Express can satisfactorily serve its customers….”  One of the options listed in the Notice was, “Shuttle Express petitioning the Commission for an exception to rule….”</w:t>
      </w:r>
    </w:p>
    <w:p w:rsidR="0083782D" w:rsidRPr="00CD3273" w:rsidRDefault="0083782D" w:rsidP="00CD3273">
      <w:pPr>
        <w:pStyle w:val="ListParagraph"/>
        <w:ind w:right="18"/>
        <w:rPr>
          <w:rFonts w:ascii="Times New Roman" w:hAnsi="Times New Roman"/>
          <w:kern w:val="2"/>
        </w:rPr>
      </w:pPr>
    </w:p>
    <w:p w:rsidR="0083782D" w:rsidRPr="00CD3273" w:rsidRDefault="0083782D" w:rsidP="00CD3273">
      <w:pPr>
        <w:numPr>
          <w:ilvl w:val="0"/>
          <w:numId w:val="4"/>
        </w:numPr>
        <w:spacing w:line="480" w:lineRule="auto"/>
        <w:ind w:right="18" w:firstLine="720"/>
        <w:rPr>
          <w:rFonts w:ascii="Times New Roman" w:hAnsi="Times New Roman"/>
          <w:kern w:val="2"/>
        </w:rPr>
      </w:pPr>
      <w:r w:rsidRPr="00CD3273">
        <w:rPr>
          <w:rFonts w:ascii="Times New Roman" w:hAnsi="Times New Roman"/>
          <w:kern w:val="2"/>
        </w:rPr>
        <w:t>On August 6, 2013, the undersigned appeared in the case as counsel for Shuttle Express.</w:t>
      </w:r>
    </w:p>
    <w:p w:rsidR="0083782D" w:rsidRPr="00CD3273" w:rsidRDefault="0083782D" w:rsidP="00CD3273">
      <w:pPr>
        <w:pStyle w:val="ListParagraph"/>
        <w:ind w:right="18"/>
        <w:rPr>
          <w:rFonts w:ascii="Times New Roman" w:hAnsi="Times New Roman"/>
          <w:kern w:val="2"/>
        </w:rPr>
      </w:pPr>
    </w:p>
    <w:p w:rsidR="0083782D" w:rsidRPr="00CD3273" w:rsidRDefault="0083782D" w:rsidP="00CD3273">
      <w:pPr>
        <w:numPr>
          <w:ilvl w:val="0"/>
          <w:numId w:val="4"/>
        </w:numPr>
        <w:spacing w:line="480" w:lineRule="auto"/>
        <w:ind w:right="18" w:firstLine="720"/>
        <w:rPr>
          <w:rFonts w:ascii="Times New Roman" w:hAnsi="Times New Roman"/>
          <w:kern w:val="2"/>
        </w:rPr>
      </w:pPr>
      <w:r w:rsidRPr="00CD3273">
        <w:rPr>
          <w:rFonts w:ascii="Times New Roman" w:hAnsi="Times New Roman"/>
          <w:kern w:val="2"/>
        </w:rPr>
        <w:t>Mr.</w:t>
      </w:r>
      <w:r w:rsidR="00360D12" w:rsidRPr="00CD3273">
        <w:rPr>
          <w:rFonts w:ascii="Times New Roman" w:hAnsi="Times New Roman"/>
          <w:kern w:val="2"/>
        </w:rPr>
        <w:t xml:space="preserve"> </w:t>
      </w:r>
      <w:proofErr w:type="spellStart"/>
      <w:r w:rsidR="00360D12" w:rsidRPr="00CD3273">
        <w:rPr>
          <w:rFonts w:ascii="Times New Roman" w:hAnsi="Times New Roman"/>
          <w:kern w:val="2"/>
        </w:rPr>
        <w:t>Sherrell</w:t>
      </w:r>
      <w:proofErr w:type="spellEnd"/>
      <w:r w:rsidR="00360D12" w:rsidRPr="00CD3273">
        <w:rPr>
          <w:rFonts w:ascii="Times New Roman" w:hAnsi="Times New Roman"/>
          <w:kern w:val="2"/>
        </w:rPr>
        <w:t xml:space="preserve"> and counsel met with the AAG and representatives of Staff on August 19, 2013 pursuant to the ALJ’s directive.  Later in the week and up to the time of the ALJ’s departure for vacation on</w:t>
      </w:r>
      <w:r w:rsidR="00AB522A" w:rsidRPr="00CD3273">
        <w:rPr>
          <w:rFonts w:ascii="Times New Roman" w:hAnsi="Times New Roman"/>
          <w:kern w:val="2"/>
        </w:rPr>
        <w:t xml:space="preserve"> the afternoon of</w:t>
      </w:r>
      <w:r w:rsidR="00360D12" w:rsidRPr="00CD3273">
        <w:rPr>
          <w:rFonts w:ascii="Times New Roman" w:hAnsi="Times New Roman"/>
          <w:kern w:val="2"/>
        </w:rPr>
        <w:t xml:space="preserve"> August 23, 2013, counsel and the AAG exchanged draft documents and had telephonic discussions.  Shuttle Express believes that further progress could have been made and impasse had not been reach</w:t>
      </w:r>
      <w:r w:rsidR="00AB522A" w:rsidRPr="00CD3273">
        <w:rPr>
          <w:rFonts w:ascii="Times New Roman" w:hAnsi="Times New Roman"/>
          <w:kern w:val="2"/>
        </w:rPr>
        <w:t>ed</w:t>
      </w:r>
      <w:r w:rsidR="00360D12" w:rsidRPr="00CD3273">
        <w:rPr>
          <w:rFonts w:ascii="Times New Roman" w:hAnsi="Times New Roman"/>
          <w:kern w:val="2"/>
        </w:rPr>
        <w:t xml:space="preserve">, but time simply ran out due to the AAG’s schedule.  </w:t>
      </w:r>
    </w:p>
    <w:p w:rsidR="00360D12" w:rsidRPr="00CD3273" w:rsidRDefault="00360D12" w:rsidP="00CD3273">
      <w:pPr>
        <w:pStyle w:val="ListParagraph"/>
        <w:ind w:right="18"/>
        <w:rPr>
          <w:rFonts w:ascii="Times New Roman" w:hAnsi="Times New Roman"/>
          <w:kern w:val="2"/>
        </w:rPr>
      </w:pPr>
    </w:p>
    <w:p w:rsidR="00360D12" w:rsidRPr="00CD3273" w:rsidRDefault="00360D12" w:rsidP="00CD3273">
      <w:pPr>
        <w:numPr>
          <w:ilvl w:val="0"/>
          <w:numId w:val="4"/>
        </w:numPr>
        <w:spacing w:line="480" w:lineRule="auto"/>
        <w:ind w:right="18" w:firstLine="720"/>
        <w:rPr>
          <w:rFonts w:ascii="Times New Roman" w:hAnsi="Times New Roman"/>
          <w:kern w:val="2"/>
        </w:rPr>
      </w:pPr>
      <w:r w:rsidRPr="00CD3273">
        <w:rPr>
          <w:rFonts w:ascii="Times New Roman" w:hAnsi="Times New Roman"/>
          <w:kern w:val="2"/>
        </w:rPr>
        <w:t>Counsel and the AAG discussed the possibility of a continuance, but were unable to agree.</w:t>
      </w:r>
    </w:p>
    <w:p w:rsidR="00360D12" w:rsidRPr="00CD3273" w:rsidRDefault="00360D12" w:rsidP="00CD3273">
      <w:pPr>
        <w:pStyle w:val="ListParagraph"/>
        <w:ind w:right="18"/>
        <w:rPr>
          <w:rFonts w:ascii="Times New Roman" w:hAnsi="Times New Roman"/>
          <w:kern w:val="2"/>
        </w:rPr>
      </w:pPr>
    </w:p>
    <w:p w:rsidR="00360D12" w:rsidRPr="00CD3273" w:rsidRDefault="00360D12" w:rsidP="00CD3273">
      <w:pPr>
        <w:spacing w:line="480" w:lineRule="auto"/>
        <w:ind w:right="18"/>
        <w:jc w:val="center"/>
        <w:rPr>
          <w:rFonts w:ascii="Times New Roman" w:hAnsi="Times New Roman"/>
          <w:kern w:val="2"/>
        </w:rPr>
      </w:pPr>
      <w:r w:rsidRPr="00CD3273">
        <w:rPr>
          <w:rFonts w:ascii="Times New Roman" w:hAnsi="Times New Roman"/>
          <w:b/>
          <w:kern w:val="2"/>
          <w:u w:val="single"/>
        </w:rPr>
        <w:t>DISCUSSION, GROUNDS FOR REQUEST</w:t>
      </w:r>
    </w:p>
    <w:p w:rsidR="00360D12" w:rsidRPr="00CD3273" w:rsidRDefault="00360D12" w:rsidP="00CD3273">
      <w:pPr>
        <w:pStyle w:val="ListParagraph"/>
        <w:ind w:right="18"/>
        <w:rPr>
          <w:rFonts w:ascii="Times New Roman" w:hAnsi="Times New Roman"/>
          <w:kern w:val="2"/>
        </w:rPr>
      </w:pPr>
    </w:p>
    <w:p w:rsidR="00F83E1B" w:rsidRPr="00CD3273" w:rsidRDefault="00834B72" w:rsidP="00CD3273">
      <w:pPr>
        <w:numPr>
          <w:ilvl w:val="0"/>
          <w:numId w:val="4"/>
        </w:numPr>
        <w:spacing w:line="480" w:lineRule="auto"/>
        <w:ind w:right="18" w:firstLine="720"/>
        <w:rPr>
          <w:rFonts w:ascii="Times New Roman" w:hAnsi="Times New Roman"/>
          <w:kern w:val="2"/>
        </w:rPr>
      </w:pPr>
      <w:r w:rsidRPr="00CD3273">
        <w:rPr>
          <w:rFonts w:ascii="Times New Roman" w:hAnsi="Times New Roman"/>
          <w:kern w:val="2"/>
        </w:rPr>
        <w:t xml:space="preserve">At the outset, Shuttle Express wishes to set the record straight on the issue of its position on the alleged violations.  Answers given by Mr. </w:t>
      </w:r>
      <w:proofErr w:type="spellStart"/>
      <w:r w:rsidRPr="00CD3273">
        <w:rPr>
          <w:rFonts w:ascii="Times New Roman" w:hAnsi="Times New Roman"/>
          <w:kern w:val="2"/>
        </w:rPr>
        <w:t>Sherrell</w:t>
      </w:r>
      <w:proofErr w:type="spellEnd"/>
      <w:r w:rsidRPr="00CD3273">
        <w:rPr>
          <w:rFonts w:ascii="Times New Roman" w:hAnsi="Times New Roman"/>
          <w:kern w:val="2"/>
        </w:rPr>
        <w:t xml:space="preserve">—a non-lawyer—at the hearing </w:t>
      </w:r>
      <w:r w:rsidRPr="00CD3273">
        <w:rPr>
          <w:rFonts w:ascii="Times New Roman" w:hAnsi="Times New Roman"/>
          <w:kern w:val="2"/>
        </w:rPr>
        <w:lastRenderedPageBreak/>
        <w:t>may have given the impression that Shuttle Express may admit one of the causes of action.</w:t>
      </w:r>
      <w:r w:rsidRPr="00CD3273">
        <w:rPr>
          <w:rStyle w:val="FootnoteReference"/>
          <w:rFonts w:ascii="Times New Roman" w:hAnsi="Times New Roman"/>
          <w:kern w:val="2"/>
        </w:rPr>
        <w:footnoteReference w:id="1"/>
      </w:r>
      <w:r w:rsidRPr="00CD3273">
        <w:rPr>
          <w:rFonts w:ascii="Times New Roman" w:hAnsi="Times New Roman"/>
          <w:kern w:val="2"/>
        </w:rPr>
        <w:t xml:space="preserve">  That is </w:t>
      </w:r>
      <w:r w:rsidR="00AB522A" w:rsidRPr="00CD3273">
        <w:rPr>
          <w:rFonts w:ascii="Times New Roman" w:hAnsi="Times New Roman"/>
          <w:kern w:val="2"/>
        </w:rPr>
        <w:t xml:space="preserve">most definitely </w:t>
      </w:r>
      <w:r w:rsidRPr="00CD3273">
        <w:rPr>
          <w:rFonts w:ascii="Times New Roman" w:hAnsi="Times New Roman"/>
          <w:kern w:val="2"/>
        </w:rPr>
        <w:t xml:space="preserve">not the case.  All four causes were denied in the Response.  Mr. </w:t>
      </w:r>
      <w:proofErr w:type="spellStart"/>
      <w:r w:rsidRPr="00CD3273">
        <w:rPr>
          <w:rFonts w:ascii="Times New Roman" w:hAnsi="Times New Roman"/>
          <w:kern w:val="2"/>
        </w:rPr>
        <w:t>Sherrell</w:t>
      </w:r>
      <w:proofErr w:type="spellEnd"/>
      <w:r w:rsidRPr="00CD3273">
        <w:rPr>
          <w:rFonts w:ascii="Times New Roman" w:hAnsi="Times New Roman"/>
          <w:kern w:val="2"/>
        </w:rPr>
        <w:t xml:space="preserve"> was never asked if Shuttle Express intended to change its May 24, 2013 pleas and so the denials </w:t>
      </w:r>
      <w:r w:rsidR="00AB522A" w:rsidRPr="00CD3273">
        <w:rPr>
          <w:rFonts w:ascii="Times New Roman" w:hAnsi="Times New Roman"/>
          <w:kern w:val="2"/>
        </w:rPr>
        <w:t xml:space="preserve">in the Response </w:t>
      </w:r>
      <w:r w:rsidRPr="00CD3273">
        <w:rPr>
          <w:rFonts w:ascii="Times New Roman" w:hAnsi="Times New Roman"/>
          <w:kern w:val="2"/>
        </w:rPr>
        <w:t xml:space="preserve">stand.  </w:t>
      </w:r>
    </w:p>
    <w:p w:rsidR="00F83E1B" w:rsidRPr="00CD3273" w:rsidRDefault="00F83E1B" w:rsidP="00CD3273">
      <w:pPr>
        <w:pStyle w:val="ListParagraph"/>
        <w:ind w:right="18"/>
        <w:rPr>
          <w:rFonts w:ascii="Times New Roman" w:hAnsi="Times New Roman"/>
          <w:kern w:val="2"/>
        </w:rPr>
      </w:pPr>
    </w:p>
    <w:p w:rsidR="00360D12" w:rsidRPr="00CD3273" w:rsidRDefault="00834B72" w:rsidP="00CD3273">
      <w:pPr>
        <w:numPr>
          <w:ilvl w:val="0"/>
          <w:numId w:val="4"/>
        </w:numPr>
        <w:spacing w:line="480" w:lineRule="auto"/>
        <w:ind w:right="18" w:firstLine="720"/>
        <w:rPr>
          <w:rFonts w:ascii="Times New Roman" w:hAnsi="Times New Roman"/>
          <w:kern w:val="2"/>
        </w:rPr>
      </w:pPr>
      <w:r w:rsidRPr="00CD3273">
        <w:rPr>
          <w:rFonts w:ascii="Times New Roman" w:hAnsi="Times New Roman"/>
          <w:kern w:val="2"/>
        </w:rPr>
        <w:t>Regardless of its position in this docket, Shuttle Express agrees with the ALJ that a solution going forward is preferable to continued uncertainty</w:t>
      </w:r>
      <w:r w:rsidR="00F83E1B" w:rsidRPr="00CD3273">
        <w:rPr>
          <w:rFonts w:ascii="Times New Roman" w:hAnsi="Times New Roman"/>
          <w:kern w:val="2"/>
        </w:rPr>
        <w:t xml:space="preserve"> about how Shuttle Express can meet the public need and public interest in providing efficient, reliable, and timely service to airport passengers at a cost that is sustainable.  Accordingly, Shuttle Express seeks a reasonable time to pursue such a solution.</w:t>
      </w:r>
    </w:p>
    <w:p w:rsidR="00F83E1B" w:rsidRPr="00CD3273" w:rsidRDefault="00F83E1B" w:rsidP="00CD3273">
      <w:pPr>
        <w:pStyle w:val="ListParagraph"/>
        <w:ind w:right="18"/>
        <w:rPr>
          <w:rFonts w:ascii="Times New Roman" w:hAnsi="Times New Roman"/>
          <w:kern w:val="2"/>
        </w:rPr>
      </w:pPr>
    </w:p>
    <w:p w:rsidR="00F83E1B" w:rsidRPr="00CD3273" w:rsidRDefault="00F83E1B" w:rsidP="00CD3273">
      <w:pPr>
        <w:numPr>
          <w:ilvl w:val="0"/>
          <w:numId w:val="4"/>
        </w:numPr>
        <w:spacing w:line="480" w:lineRule="auto"/>
        <w:ind w:right="18" w:firstLine="720"/>
        <w:rPr>
          <w:rFonts w:ascii="Times New Roman" w:hAnsi="Times New Roman"/>
          <w:kern w:val="2"/>
        </w:rPr>
      </w:pPr>
      <w:r w:rsidRPr="00CD3273">
        <w:rPr>
          <w:rFonts w:ascii="Times New Roman" w:hAnsi="Times New Roman"/>
          <w:kern w:val="2"/>
        </w:rPr>
        <w:t>The Notice identified a petition for exception as one of the potential options available.  Presumably the reference was to a petition under WAC 480-07-110.  In preparation for meetings with the Staff, Shuttle Express prepared an outline of an exemption from WAC 480-30-213, including a number of conditions relating to safety, fares, and regulatory oversight to ensure that the public interest remains fully protected even when independent contractors are used to provide rescue service.  Accordingly, Shuttle Express could file a petition for exemption within one week of the service date of an order granting a continuance.</w:t>
      </w:r>
      <w:r w:rsidR="00A146FB" w:rsidRPr="00CD3273">
        <w:rPr>
          <w:rFonts w:ascii="Times New Roman" w:hAnsi="Times New Roman"/>
          <w:kern w:val="2"/>
        </w:rPr>
        <w:t xml:space="preserve">  Shuttle Express would seek to import the record of this docket into the petition docket, as the public interest issues were well-developed at the hearing on August 1</w:t>
      </w:r>
      <w:r w:rsidR="00A146FB" w:rsidRPr="00CD3273">
        <w:rPr>
          <w:rFonts w:ascii="Times New Roman" w:hAnsi="Times New Roman"/>
          <w:kern w:val="2"/>
          <w:vertAlign w:val="superscript"/>
        </w:rPr>
        <w:t>st</w:t>
      </w:r>
      <w:r w:rsidR="00A146FB" w:rsidRPr="00CD3273">
        <w:rPr>
          <w:rFonts w:ascii="Times New Roman" w:hAnsi="Times New Roman"/>
          <w:kern w:val="2"/>
        </w:rPr>
        <w:t>.</w:t>
      </w:r>
    </w:p>
    <w:p w:rsidR="00430153" w:rsidRPr="00CD3273" w:rsidRDefault="00430153" w:rsidP="00CD3273">
      <w:pPr>
        <w:pStyle w:val="ListParagraph"/>
        <w:ind w:right="18"/>
        <w:rPr>
          <w:rFonts w:ascii="Times New Roman" w:hAnsi="Times New Roman"/>
          <w:kern w:val="2"/>
        </w:rPr>
      </w:pPr>
    </w:p>
    <w:p w:rsidR="00477797" w:rsidRPr="00CD3273" w:rsidRDefault="00A146FB" w:rsidP="00CD3273">
      <w:pPr>
        <w:numPr>
          <w:ilvl w:val="0"/>
          <w:numId w:val="4"/>
        </w:numPr>
        <w:spacing w:line="480" w:lineRule="auto"/>
        <w:ind w:right="18" w:firstLine="720"/>
        <w:rPr>
          <w:rFonts w:ascii="Times New Roman" w:hAnsi="Times New Roman"/>
          <w:kern w:val="2"/>
        </w:rPr>
      </w:pPr>
      <w:r w:rsidRPr="00CD3273">
        <w:rPr>
          <w:rFonts w:ascii="Times New Roman" w:hAnsi="Times New Roman"/>
          <w:kern w:val="2"/>
        </w:rPr>
        <w:t xml:space="preserve">The standard for granting a continuance is “good cause” and if the continuance will not prejudice any party or the Commission.  WAC 480-07-385(2).  </w:t>
      </w:r>
    </w:p>
    <w:p w:rsidR="00477797" w:rsidRPr="00CD3273" w:rsidRDefault="00477797" w:rsidP="00CD3273">
      <w:pPr>
        <w:pStyle w:val="ListParagraph"/>
        <w:ind w:right="18"/>
        <w:rPr>
          <w:rFonts w:ascii="Times New Roman" w:hAnsi="Times New Roman"/>
          <w:kern w:val="2"/>
        </w:rPr>
      </w:pPr>
    </w:p>
    <w:p w:rsidR="00A146FB" w:rsidRPr="00CD3273" w:rsidRDefault="00A146FB" w:rsidP="00CD3273">
      <w:pPr>
        <w:numPr>
          <w:ilvl w:val="0"/>
          <w:numId w:val="4"/>
        </w:numPr>
        <w:spacing w:line="480" w:lineRule="auto"/>
        <w:ind w:right="18" w:firstLine="720"/>
        <w:rPr>
          <w:rFonts w:ascii="Times New Roman" w:hAnsi="Times New Roman"/>
          <w:kern w:val="2"/>
        </w:rPr>
      </w:pPr>
      <w:r w:rsidRPr="00CD3273">
        <w:rPr>
          <w:rFonts w:ascii="Times New Roman" w:hAnsi="Times New Roman"/>
          <w:kern w:val="2"/>
        </w:rPr>
        <w:t xml:space="preserve">Here there are several </w:t>
      </w:r>
      <w:r w:rsidR="00477797" w:rsidRPr="00CD3273">
        <w:rPr>
          <w:rFonts w:ascii="Times New Roman" w:hAnsi="Times New Roman"/>
          <w:kern w:val="2"/>
        </w:rPr>
        <w:t xml:space="preserve">reasons </w:t>
      </w:r>
      <w:r w:rsidRPr="00CD3273">
        <w:rPr>
          <w:rFonts w:ascii="Times New Roman" w:hAnsi="Times New Roman"/>
          <w:kern w:val="2"/>
        </w:rPr>
        <w:t>good cause exists.  First, the presiding office</w:t>
      </w:r>
      <w:r w:rsidR="001F6A0E">
        <w:rPr>
          <w:rFonts w:ascii="Times New Roman" w:hAnsi="Times New Roman"/>
          <w:kern w:val="2"/>
        </w:rPr>
        <w:t>r</w:t>
      </w:r>
      <w:r w:rsidRPr="00CD3273">
        <w:rPr>
          <w:rFonts w:ascii="Times New Roman" w:hAnsi="Times New Roman"/>
          <w:kern w:val="2"/>
        </w:rPr>
        <w:t xml:space="preserve"> has requested a going forward solution, which is urgently needed by the carrier and the public and probably cannot be accorded in the current docket.  An exemption requires a petition by the carrier and allows for participation by other interested parties.  Neither can be accomplished at this stage of this proceeding.  Second, the Commissioners will need to approve any exemption of the rules that may be necessary to effectuate a going forward resolution.  The parties and the ALJ can make recommendations, but will not know until after the case is out of their hands how the Commissioners will react.  An exemption petition would potentially come before the Commissioners early on</w:t>
      </w:r>
      <w:r w:rsidR="00477797" w:rsidRPr="00CD3273">
        <w:rPr>
          <w:rFonts w:ascii="Times New Roman" w:hAnsi="Times New Roman"/>
          <w:kern w:val="2"/>
        </w:rPr>
        <w:t xml:space="preserve"> at a Commission open public meeting and could also be further vetted in an adjudicative proceeding.  WAC 480-07-110(2</w:t>
      </w:r>
      <w:proofErr w:type="gramStart"/>
      <w:r w:rsidR="00477797" w:rsidRPr="00CD3273">
        <w:rPr>
          <w:rFonts w:ascii="Times New Roman" w:hAnsi="Times New Roman"/>
          <w:kern w:val="2"/>
        </w:rPr>
        <w:t>)(</w:t>
      </w:r>
      <w:proofErr w:type="gramEnd"/>
      <w:r w:rsidR="00477797" w:rsidRPr="00CD3273">
        <w:rPr>
          <w:rFonts w:ascii="Times New Roman" w:hAnsi="Times New Roman"/>
          <w:kern w:val="2"/>
        </w:rPr>
        <w:t xml:space="preserve">b).  </w:t>
      </w:r>
      <w:r w:rsidR="00AB522A" w:rsidRPr="00CD3273">
        <w:rPr>
          <w:rFonts w:ascii="Times New Roman" w:hAnsi="Times New Roman"/>
          <w:kern w:val="2"/>
        </w:rPr>
        <w:t>A</w:t>
      </w:r>
      <w:r w:rsidR="00477797" w:rsidRPr="00CD3273">
        <w:rPr>
          <w:rFonts w:ascii="Times New Roman" w:hAnsi="Times New Roman"/>
          <w:kern w:val="2"/>
        </w:rPr>
        <w:t xml:space="preserve"> going forward resolution would narrow the issues in this docket to a determination of what penalty, if any, should be imposed on Shuttle Express.  Guidance from the exemption petition docket might enable the parties to find common ground to settle.  </w:t>
      </w:r>
      <w:r w:rsidR="00AB522A" w:rsidRPr="00CD3273">
        <w:rPr>
          <w:rFonts w:ascii="Times New Roman" w:hAnsi="Times New Roman"/>
          <w:kern w:val="2"/>
        </w:rPr>
        <w:t xml:space="preserve">In contrast, proceeding on the complaint could lead to further and perhaps protracted litigation and appeals, which would not be conducive to seeking a prompt and permanent “win-win” resolution.  </w:t>
      </w:r>
    </w:p>
    <w:p w:rsidR="00477797" w:rsidRPr="00CD3273" w:rsidRDefault="00477797" w:rsidP="00CD3273">
      <w:pPr>
        <w:numPr>
          <w:ilvl w:val="0"/>
          <w:numId w:val="4"/>
        </w:numPr>
        <w:spacing w:line="480" w:lineRule="auto"/>
        <w:ind w:right="18" w:firstLine="720"/>
        <w:rPr>
          <w:rFonts w:ascii="Times New Roman" w:hAnsi="Times New Roman"/>
          <w:kern w:val="2"/>
        </w:rPr>
      </w:pPr>
      <w:r w:rsidRPr="00CD3273">
        <w:rPr>
          <w:rFonts w:ascii="Times New Roman" w:hAnsi="Times New Roman"/>
          <w:kern w:val="2"/>
        </w:rPr>
        <w:t xml:space="preserve">A continuance would not prejudice the staff or the Commission.  There is no danger of loss of evidence or witnesses, as the hearing </w:t>
      </w:r>
      <w:r w:rsidR="00B665C2" w:rsidRPr="00CD3273">
        <w:rPr>
          <w:rFonts w:ascii="Times New Roman" w:hAnsi="Times New Roman"/>
          <w:kern w:val="2"/>
        </w:rPr>
        <w:t>has been</w:t>
      </w:r>
      <w:r w:rsidRPr="00CD3273">
        <w:rPr>
          <w:rFonts w:ascii="Times New Roman" w:hAnsi="Times New Roman"/>
          <w:kern w:val="2"/>
        </w:rPr>
        <w:t xml:space="preserve"> concluded.  There was no evidence of imminent danger to public health, safety, or welfare.</w:t>
      </w:r>
      <w:r w:rsidRPr="00CD3273">
        <w:rPr>
          <w:rStyle w:val="FootnoteReference"/>
          <w:rFonts w:ascii="Times New Roman" w:hAnsi="Times New Roman"/>
          <w:kern w:val="2"/>
        </w:rPr>
        <w:footnoteReference w:id="2"/>
      </w:r>
      <w:r w:rsidR="00B665C2" w:rsidRPr="00CD3273">
        <w:rPr>
          <w:rFonts w:ascii="Times New Roman" w:hAnsi="Times New Roman"/>
          <w:kern w:val="2"/>
        </w:rPr>
        <w:t xml:space="preserve">  The Staff contends that the</w:t>
      </w:r>
      <w:r w:rsidR="00327638" w:rsidRPr="00CD3273">
        <w:rPr>
          <w:rFonts w:ascii="Times New Roman" w:hAnsi="Times New Roman"/>
          <w:kern w:val="2"/>
        </w:rPr>
        <w:t>re</w:t>
      </w:r>
      <w:r w:rsidR="00B665C2" w:rsidRPr="00CD3273">
        <w:rPr>
          <w:rFonts w:ascii="Times New Roman" w:hAnsi="Times New Roman"/>
          <w:kern w:val="2"/>
        </w:rPr>
        <w:t xml:space="preserve"> is an ongoing</w:t>
      </w:r>
      <w:r w:rsidRPr="00CD3273">
        <w:rPr>
          <w:rFonts w:ascii="Times New Roman" w:hAnsi="Times New Roman"/>
          <w:kern w:val="2"/>
        </w:rPr>
        <w:t xml:space="preserve"> rule violat</w:t>
      </w:r>
      <w:r w:rsidR="00B665C2" w:rsidRPr="00CD3273">
        <w:rPr>
          <w:rFonts w:ascii="Times New Roman" w:hAnsi="Times New Roman"/>
          <w:kern w:val="2"/>
        </w:rPr>
        <w:t>ion, but it is clear that an order on the Staff’s complaint without resolving matters going forward will not result in compliance.</w:t>
      </w:r>
      <w:r w:rsidR="00B665C2" w:rsidRPr="00CD3273">
        <w:rPr>
          <w:rStyle w:val="FootnoteReference"/>
          <w:rFonts w:ascii="Times New Roman" w:hAnsi="Times New Roman"/>
          <w:kern w:val="2"/>
        </w:rPr>
        <w:footnoteReference w:id="3"/>
      </w:r>
      <w:r w:rsidR="00B665C2" w:rsidRPr="00CD3273">
        <w:rPr>
          <w:rFonts w:ascii="Times New Roman" w:hAnsi="Times New Roman"/>
          <w:kern w:val="2"/>
        </w:rPr>
        <w:t xml:space="preserve">  Notably, the Staff’s complaint only sought penalties, not a cease and desist order.  The quickest way to ensure compliance </w:t>
      </w:r>
      <w:r w:rsidR="00B665C2" w:rsidRPr="00CD3273">
        <w:rPr>
          <w:rFonts w:ascii="Times New Roman" w:hAnsi="Times New Roman"/>
          <w:kern w:val="2"/>
        </w:rPr>
        <w:lastRenderedPageBreak/>
        <w:t>would be to move forward with the exemption petition, which would be facilitated by the continuance.</w:t>
      </w:r>
    </w:p>
    <w:p w:rsidR="00A146FB" w:rsidRPr="00CD3273" w:rsidRDefault="00A146FB" w:rsidP="00CD3273">
      <w:pPr>
        <w:pStyle w:val="ListParagraph"/>
        <w:ind w:right="18"/>
        <w:rPr>
          <w:rFonts w:ascii="Times New Roman" w:hAnsi="Times New Roman"/>
          <w:kern w:val="2"/>
        </w:rPr>
      </w:pPr>
    </w:p>
    <w:p w:rsidR="006C666D" w:rsidRPr="00CD3273" w:rsidRDefault="00B665C2" w:rsidP="00286AA7">
      <w:pPr>
        <w:spacing w:line="480" w:lineRule="auto"/>
        <w:ind w:right="18"/>
        <w:jc w:val="center"/>
        <w:rPr>
          <w:rFonts w:ascii="Times New Roman" w:hAnsi="Times New Roman"/>
          <w:b/>
          <w:kern w:val="2"/>
          <w:u w:val="single"/>
        </w:rPr>
      </w:pPr>
      <w:r w:rsidRPr="00CD3273">
        <w:rPr>
          <w:rFonts w:ascii="Times New Roman" w:hAnsi="Times New Roman"/>
          <w:b/>
          <w:kern w:val="2"/>
          <w:u w:val="single"/>
        </w:rPr>
        <w:t>CONCLUSION</w:t>
      </w:r>
    </w:p>
    <w:p w:rsidR="00B665C2" w:rsidRPr="00CD3273" w:rsidRDefault="00B665C2" w:rsidP="00CD3273">
      <w:pPr>
        <w:pStyle w:val="ListParagraph"/>
        <w:ind w:right="18"/>
        <w:rPr>
          <w:rFonts w:ascii="Times New Roman" w:hAnsi="Times New Roman"/>
          <w:b/>
          <w:kern w:val="2"/>
          <w:u w:val="single"/>
        </w:rPr>
      </w:pPr>
    </w:p>
    <w:p w:rsidR="00B665C2" w:rsidRPr="00CD3273" w:rsidRDefault="00B665C2" w:rsidP="00CD3273">
      <w:pPr>
        <w:numPr>
          <w:ilvl w:val="0"/>
          <w:numId w:val="4"/>
        </w:numPr>
        <w:spacing w:line="480" w:lineRule="auto"/>
        <w:ind w:right="18" w:firstLine="720"/>
        <w:rPr>
          <w:rFonts w:ascii="Times New Roman" w:hAnsi="Times New Roman"/>
          <w:b/>
          <w:kern w:val="2"/>
          <w:u w:val="single"/>
        </w:rPr>
      </w:pPr>
      <w:r w:rsidRPr="00CD3273">
        <w:rPr>
          <w:rFonts w:ascii="Times New Roman" w:hAnsi="Times New Roman"/>
          <w:kern w:val="2"/>
        </w:rPr>
        <w:t xml:space="preserve">The parties should be given additional time to work on a going forward solution to the demonstrated </w:t>
      </w:r>
      <w:proofErr w:type="gramStart"/>
      <w:r w:rsidRPr="00CD3273">
        <w:rPr>
          <w:rFonts w:ascii="Times New Roman" w:hAnsi="Times New Roman"/>
          <w:kern w:val="2"/>
        </w:rPr>
        <w:t>need</w:t>
      </w:r>
      <w:proofErr w:type="gramEnd"/>
      <w:r w:rsidRPr="00CD3273">
        <w:rPr>
          <w:rFonts w:ascii="Times New Roman" w:hAnsi="Times New Roman"/>
          <w:kern w:val="2"/>
        </w:rPr>
        <w:t xml:space="preserve"> for Shuttle Express to be able to operate a “rescue” service.  A petition for exemption and proceeding under WAC 480-070-110 is the most effective way to accomplish that.  </w:t>
      </w:r>
      <w:r w:rsidR="00733DCD" w:rsidRPr="00CD3273">
        <w:rPr>
          <w:rFonts w:ascii="Times New Roman" w:hAnsi="Times New Roman"/>
          <w:kern w:val="2"/>
        </w:rPr>
        <w:t xml:space="preserve">Moreover, it would allow participation of other carriers, the public, and the Commissioners.  </w:t>
      </w:r>
      <w:r w:rsidRPr="00CD3273">
        <w:rPr>
          <w:rFonts w:ascii="Times New Roman" w:hAnsi="Times New Roman"/>
          <w:kern w:val="2"/>
        </w:rPr>
        <w:t>It is in the public interest to conclude th</w:t>
      </w:r>
      <w:r w:rsidR="00733DCD" w:rsidRPr="00CD3273">
        <w:rPr>
          <w:rFonts w:ascii="Times New Roman" w:hAnsi="Times New Roman"/>
          <w:kern w:val="2"/>
        </w:rPr>
        <w:t>e exemption</w:t>
      </w:r>
      <w:r w:rsidRPr="00CD3273">
        <w:rPr>
          <w:rFonts w:ascii="Times New Roman" w:hAnsi="Times New Roman"/>
          <w:kern w:val="2"/>
        </w:rPr>
        <w:t xml:space="preserve"> proceeding before </w:t>
      </w:r>
      <w:r w:rsidR="00733DCD" w:rsidRPr="00CD3273">
        <w:rPr>
          <w:rFonts w:ascii="Times New Roman" w:hAnsi="Times New Roman"/>
          <w:kern w:val="2"/>
        </w:rPr>
        <w:t xml:space="preserve">entering a decision in this docket. </w:t>
      </w:r>
      <w:r w:rsidR="00327638" w:rsidRPr="00CD3273">
        <w:rPr>
          <w:rFonts w:ascii="Times New Roman" w:hAnsi="Times New Roman"/>
          <w:kern w:val="2"/>
        </w:rPr>
        <w:t xml:space="preserve"> Shuttle Express requests a ruling on this request at least a week before September 20</w:t>
      </w:r>
      <w:r w:rsidR="00327638" w:rsidRPr="00CD3273">
        <w:rPr>
          <w:rFonts w:ascii="Times New Roman" w:hAnsi="Times New Roman"/>
          <w:kern w:val="2"/>
          <w:vertAlign w:val="superscript"/>
        </w:rPr>
        <w:t>th</w:t>
      </w:r>
      <w:r w:rsidR="00327638" w:rsidRPr="00CD3273">
        <w:rPr>
          <w:rFonts w:ascii="Times New Roman" w:hAnsi="Times New Roman"/>
          <w:kern w:val="2"/>
        </w:rPr>
        <w:t>, when work on the briefs would otherwise have to begin.</w:t>
      </w:r>
      <w:r w:rsidR="00327638" w:rsidRPr="00CD3273">
        <w:rPr>
          <w:rStyle w:val="FootnoteReference"/>
          <w:rFonts w:ascii="Times New Roman" w:hAnsi="Times New Roman"/>
          <w:kern w:val="2"/>
        </w:rPr>
        <w:footnoteReference w:id="4"/>
      </w:r>
    </w:p>
    <w:p w:rsidR="00B665C2" w:rsidRPr="00CD3273" w:rsidRDefault="00B665C2" w:rsidP="00CD3273">
      <w:pPr>
        <w:pStyle w:val="BodyTextIndent2"/>
        <w:ind w:left="0" w:right="18" w:firstLine="686"/>
        <w:rPr>
          <w:rFonts w:ascii="Times New Roman" w:hAnsi="Times New Roman"/>
          <w:kern w:val="2"/>
        </w:rPr>
      </w:pPr>
    </w:p>
    <w:p w:rsidR="006911A3" w:rsidRPr="00CD3273" w:rsidRDefault="00B665C2" w:rsidP="00CD3273">
      <w:pPr>
        <w:pStyle w:val="BodyTextIndent2"/>
        <w:ind w:left="720" w:right="18" w:firstLine="720"/>
        <w:rPr>
          <w:rFonts w:ascii="Times New Roman" w:hAnsi="Times New Roman"/>
          <w:kern w:val="2"/>
        </w:rPr>
      </w:pPr>
      <w:proofErr w:type="gramStart"/>
      <w:r w:rsidRPr="00CD3273">
        <w:rPr>
          <w:rFonts w:ascii="Times New Roman" w:hAnsi="Times New Roman"/>
          <w:kern w:val="2"/>
        </w:rPr>
        <w:t>Respectfully submitte</w:t>
      </w:r>
      <w:r w:rsidRPr="00AA645B">
        <w:rPr>
          <w:rFonts w:ascii="Times New Roman" w:hAnsi="Times New Roman"/>
          <w:kern w:val="2"/>
        </w:rPr>
        <w:t xml:space="preserve">d </w:t>
      </w:r>
      <w:r w:rsidR="00282FDC" w:rsidRPr="00AA645B">
        <w:rPr>
          <w:rFonts w:ascii="Times New Roman" w:hAnsi="Times New Roman"/>
          <w:kern w:val="2"/>
        </w:rPr>
        <w:t>this 26</w:t>
      </w:r>
      <w:r w:rsidR="006C666D" w:rsidRPr="00AA645B">
        <w:rPr>
          <w:rFonts w:ascii="Times New Roman" w:hAnsi="Times New Roman"/>
          <w:kern w:val="2"/>
          <w:vertAlign w:val="superscript"/>
        </w:rPr>
        <w:t>th</w:t>
      </w:r>
      <w:r w:rsidR="00F821BD" w:rsidRPr="00CD3273">
        <w:rPr>
          <w:rFonts w:ascii="Times New Roman" w:hAnsi="Times New Roman"/>
          <w:kern w:val="2"/>
        </w:rPr>
        <w:t xml:space="preserve"> day of </w:t>
      </w:r>
      <w:r w:rsidR="006C666D" w:rsidRPr="00CD3273">
        <w:rPr>
          <w:rFonts w:ascii="Times New Roman" w:hAnsi="Times New Roman"/>
          <w:kern w:val="2"/>
        </w:rPr>
        <w:t>August</w:t>
      </w:r>
      <w:r w:rsidR="00F821BD" w:rsidRPr="00CD3273">
        <w:rPr>
          <w:rFonts w:ascii="Times New Roman" w:hAnsi="Times New Roman"/>
          <w:kern w:val="2"/>
        </w:rPr>
        <w:t>, 20</w:t>
      </w:r>
      <w:r w:rsidR="00DE5C2A" w:rsidRPr="00CD3273">
        <w:rPr>
          <w:rFonts w:ascii="Times New Roman" w:hAnsi="Times New Roman"/>
          <w:kern w:val="2"/>
        </w:rPr>
        <w:t>1</w:t>
      </w:r>
      <w:r w:rsidR="00463668" w:rsidRPr="00CD3273">
        <w:rPr>
          <w:rFonts w:ascii="Times New Roman" w:hAnsi="Times New Roman"/>
          <w:kern w:val="2"/>
        </w:rPr>
        <w:t>3</w:t>
      </w:r>
      <w:r w:rsidR="00F821BD" w:rsidRPr="00CD3273">
        <w:rPr>
          <w:rFonts w:ascii="Times New Roman" w:hAnsi="Times New Roman"/>
          <w:kern w:val="2"/>
        </w:rPr>
        <w:t>.</w:t>
      </w:r>
      <w:proofErr w:type="gramEnd"/>
      <w:r w:rsidR="006911A3" w:rsidRPr="00CD3273">
        <w:rPr>
          <w:rFonts w:ascii="Times New Roman" w:hAnsi="Times New Roman"/>
          <w:kern w:val="2"/>
        </w:rPr>
        <w:t xml:space="preserve">  </w:t>
      </w:r>
    </w:p>
    <w:p w:rsidR="006911A3" w:rsidRPr="00CD3273" w:rsidRDefault="006911A3" w:rsidP="00CD3273">
      <w:pPr>
        <w:pStyle w:val="BodyTextIndent2"/>
        <w:ind w:right="18"/>
        <w:rPr>
          <w:rFonts w:ascii="Times New Roman" w:hAnsi="Times New Roman"/>
          <w:kern w:val="2"/>
        </w:rPr>
      </w:pPr>
    </w:p>
    <w:p w:rsidR="00F821BD" w:rsidRPr="00CD3273" w:rsidRDefault="00F821BD" w:rsidP="00CD3273">
      <w:pPr>
        <w:pStyle w:val="BodyTextIndent2"/>
        <w:ind w:right="18"/>
        <w:rPr>
          <w:rFonts w:ascii="Times New Roman" w:hAnsi="Times New Roman"/>
          <w:kern w:val="2"/>
        </w:rPr>
      </w:pPr>
    </w:p>
    <w:p w:rsidR="00733DCD" w:rsidRPr="00CD3273" w:rsidRDefault="00733DCD" w:rsidP="00CD3273">
      <w:pPr>
        <w:pStyle w:val="BodyTextIndent2"/>
        <w:ind w:right="18"/>
        <w:rPr>
          <w:rFonts w:ascii="Times New Roman" w:hAnsi="Times New Roman"/>
          <w:kern w:val="2"/>
        </w:rPr>
      </w:pPr>
    </w:p>
    <w:p w:rsidR="006911A3" w:rsidRPr="00CD3273" w:rsidRDefault="00D9110F" w:rsidP="00CD3273">
      <w:pPr>
        <w:ind w:left="4860" w:right="18"/>
        <w:jc w:val="both"/>
        <w:rPr>
          <w:rFonts w:ascii="Times New Roman" w:hAnsi="Times New Roman"/>
          <w:smallCaps/>
          <w:kern w:val="2"/>
        </w:rPr>
      </w:pPr>
      <w:r w:rsidRPr="00CD3273">
        <w:rPr>
          <w:rFonts w:ascii="Times New Roman" w:hAnsi="Times New Roman"/>
          <w:smallCaps/>
          <w:kern w:val="2"/>
        </w:rPr>
        <w:t>Lukas, Nace, Gutierrez &amp; Sachs, LLP</w:t>
      </w:r>
    </w:p>
    <w:p w:rsidR="00F821BD" w:rsidRPr="00CD3273" w:rsidRDefault="00F821BD" w:rsidP="00CD3273">
      <w:pPr>
        <w:ind w:left="4680" w:right="18" w:firstLine="5040"/>
        <w:jc w:val="both"/>
        <w:rPr>
          <w:rFonts w:ascii="Times New Roman" w:hAnsi="Times New Roman"/>
          <w:kern w:val="2"/>
        </w:rPr>
      </w:pPr>
    </w:p>
    <w:p w:rsidR="00D9110F" w:rsidRPr="00CD3273" w:rsidRDefault="00282FDC" w:rsidP="00CD3273">
      <w:pPr>
        <w:ind w:left="4680" w:right="18" w:firstLine="180"/>
        <w:jc w:val="both"/>
        <w:rPr>
          <w:rFonts w:ascii="Times New Roman" w:hAnsi="Times New Roman"/>
          <w:kern w:val="2"/>
          <w:u w:val="single"/>
        </w:rPr>
      </w:pPr>
      <w:r w:rsidRPr="00CD3273">
        <w:rPr>
          <w:rFonts w:ascii="Times New Roman" w:hAnsi="Times New Roman"/>
          <w:noProof/>
          <w:kern w:val="2"/>
          <w:u w:val="single"/>
        </w:rPr>
        <w:drawing>
          <wp:inline distT="0" distB="0" distL="0" distR="0">
            <wp:extent cx="1932305" cy="389890"/>
            <wp:effectExtent l="19050" t="0" r="0" b="0"/>
            <wp:docPr id="1" name="Picture 1" descr="Digital Signature - BE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tal Signature - BEH"/>
                    <pic:cNvPicPr>
                      <a:picLocks noChangeAspect="1" noChangeArrowheads="1"/>
                    </pic:cNvPicPr>
                  </pic:nvPicPr>
                  <pic:blipFill>
                    <a:blip r:embed="rId8" cstate="print"/>
                    <a:srcRect/>
                    <a:stretch>
                      <a:fillRect/>
                    </a:stretch>
                  </pic:blipFill>
                  <pic:spPr bwMode="auto">
                    <a:xfrm>
                      <a:off x="0" y="0"/>
                      <a:ext cx="1932305" cy="389890"/>
                    </a:xfrm>
                    <a:prstGeom prst="rect">
                      <a:avLst/>
                    </a:prstGeom>
                    <a:noFill/>
                    <a:ln w="9525">
                      <a:noFill/>
                      <a:miter lim="800000"/>
                      <a:headEnd/>
                      <a:tailEnd/>
                    </a:ln>
                  </pic:spPr>
                </pic:pic>
              </a:graphicData>
            </a:graphic>
          </wp:inline>
        </w:drawing>
      </w:r>
      <w:r w:rsidR="00D9110F" w:rsidRPr="00CD3273">
        <w:rPr>
          <w:rFonts w:ascii="Times New Roman" w:hAnsi="Times New Roman"/>
          <w:kern w:val="2"/>
          <w:u w:val="single"/>
        </w:rPr>
        <w:tab/>
      </w:r>
      <w:r w:rsidR="00D9110F" w:rsidRPr="00CD3273">
        <w:rPr>
          <w:rFonts w:ascii="Times New Roman" w:hAnsi="Times New Roman"/>
          <w:kern w:val="2"/>
          <w:u w:val="single"/>
        </w:rPr>
        <w:tab/>
      </w:r>
    </w:p>
    <w:p w:rsidR="006911A3" w:rsidRPr="00CD3273" w:rsidRDefault="00D9110F" w:rsidP="00CD3273">
      <w:pPr>
        <w:ind w:left="4680" w:right="18" w:firstLine="180"/>
        <w:jc w:val="both"/>
        <w:rPr>
          <w:rFonts w:ascii="Times New Roman" w:hAnsi="Times New Roman"/>
          <w:kern w:val="2"/>
        </w:rPr>
      </w:pPr>
      <w:r w:rsidRPr="00CD3273">
        <w:rPr>
          <w:rFonts w:ascii="Times New Roman" w:hAnsi="Times New Roman"/>
          <w:kern w:val="2"/>
        </w:rPr>
        <w:t>Brooks E. Harlow</w:t>
      </w:r>
    </w:p>
    <w:p w:rsidR="006911A3" w:rsidRPr="00CD3273" w:rsidRDefault="006911A3" w:rsidP="00CD3273">
      <w:pPr>
        <w:ind w:left="4680" w:right="18" w:firstLine="180"/>
        <w:jc w:val="both"/>
        <w:rPr>
          <w:rFonts w:ascii="Times New Roman" w:hAnsi="Times New Roman"/>
          <w:kern w:val="2"/>
        </w:rPr>
      </w:pPr>
      <w:r w:rsidRPr="00CD3273">
        <w:rPr>
          <w:rFonts w:ascii="Times New Roman" w:hAnsi="Times New Roman"/>
          <w:kern w:val="2"/>
        </w:rPr>
        <w:t xml:space="preserve">Counsel for </w:t>
      </w:r>
      <w:r w:rsidR="006C666D" w:rsidRPr="00CD3273">
        <w:rPr>
          <w:rFonts w:ascii="Times New Roman" w:hAnsi="Times New Roman"/>
          <w:kern w:val="2"/>
        </w:rPr>
        <w:t>Shuttle Express, Inc.</w:t>
      </w:r>
    </w:p>
    <w:sectPr w:rsidR="006911A3" w:rsidRPr="00CD3273" w:rsidSect="00CD3273">
      <w:headerReference w:type="even" r:id="rId9"/>
      <w:headerReference w:type="default" r:id="rId10"/>
      <w:footerReference w:type="even" r:id="rId11"/>
      <w:footerReference w:type="default" r:id="rId12"/>
      <w:headerReference w:type="first" r:id="rId13"/>
      <w:footerReference w:type="first" r:id="rId14"/>
      <w:pgSz w:w="12240" w:h="15840"/>
      <w:pgMar w:top="1440" w:right="990" w:bottom="1440" w:left="1872" w:header="720" w:footer="720" w:gutter="0"/>
      <w:paperSrc w:first="261" w:other="26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A0E" w:rsidRDefault="001F6A0E">
      <w:r>
        <w:separator/>
      </w:r>
    </w:p>
  </w:endnote>
  <w:endnote w:type="continuationSeparator" w:id="0">
    <w:p w:rsidR="001F6A0E" w:rsidRDefault="001F6A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052" w:rsidRDefault="00CE50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A0E" w:rsidRDefault="001F6A0E">
    <w:pPr>
      <w:pStyle w:val="Footer"/>
      <w:rPr>
        <w:rFonts w:ascii="Times New Roman" w:hAnsi="Times New Roman"/>
        <w:sz w:val="20"/>
        <w:szCs w:val="20"/>
      </w:rPr>
    </w:pPr>
  </w:p>
  <w:p w:rsidR="001F6A0E" w:rsidRPr="00F821BD" w:rsidRDefault="00AA645B">
    <w:pPr>
      <w:pStyle w:val="Footer"/>
      <w:rPr>
        <w:rFonts w:ascii="Times New Roman" w:hAnsi="Times New Roman"/>
        <w:sz w:val="20"/>
        <w:szCs w:val="20"/>
      </w:rPr>
    </w:pPr>
    <w:r>
      <w:rPr>
        <w:rFonts w:ascii="Times New Roman" w:hAnsi="Times New Roman"/>
        <w:sz w:val="20"/>
        <w:szCs w:val="20"/>
      </w:rPr>
      <w:t>MOTION FOR CONTINUANCE</w:t>
    </w:r>
    <w:r w:rsidR="001F6A0E">
      <w:rPr>
        <w:rFonts w:ascii="Times New Roman" w:hAnsi="Times New Roman"/>
        <w:sz w:val="20"/>
        <w:szCs w:val="20"/>
      </w:rPr>
      <w:t xml:space="preserve"> - </w:t>
    </w:r>
    <w:r w:rsidR="00475EBD" w:rsidRPr="007844A5">
      <w:rPr>
        <w:rStyle w:val="PageNumber"/>
        <w:rFonts w:ascii="Times New Roman" w:hAnsi="Times New Roman"/>
        <w:sz w:val="20"/>
        <w:szCs w:val="20"/>
      </w:rPr>
      <w:fldChar w:fldCharType="begin"/>
    </w:r>
    <w:r w:rsidR="001F6A0E" w:rsidRPr="007844A5">
      <w:rPr>
        <w:rStyle w:val="PageNumber"/>
        <w:rFonts w:ascii="Times New Roman" w:hAnsi="Times New Roman"/>
        <w:sz w:val="20"/>
        <w:szCs w:val="20"/>
      </w:rPr>
      <w:instrText xml:space="preserve"> PAGE </w:instrText>
    </w:r>
    <w:r w:rsidR="00475EBD" w:rsidRPr="007844A5">
      <w:rPr>
        <w:rStyle w:val="PageNumber"/>
        <w:rFonts w:ascii="Times New Roman" w:hAnsi="Times New Roman"/>
        <w:sz w:val="20"/>
        <w:szCs w:val="20"/>
      </w:rPr>
      <w:fldChar w:fldCharType="separate"/>
    </w:r>
    <w:r w:rsidR="00CE5052">
      <w:rPr>
        <w:rStyle w:val="PageNumber"/>
        <w:rFonts w:ascii="Times New Roman" w:hAnsi="Times New Roman"/>
        <w:noProof/>
        <w:sz w:val="20"/>
        <w:szCs w:val="20"/>
      </w:rPr>
      <w:t>6</w:t>
    </w:r>
    <w:r w:rsidR="00475EBD" w:rsidRPr="007844A5">
      <w:rPr>
        <w:rStyle w:val="PageNumber"/>
        <w:rFonts w:ascii="Times New Roman" w:hAnsi="Times New Roman"/>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052" w:rsidRDefault="00CE50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A0E" w:rsidRDefault="001F6A0E">
      <w:r>
        <w:separator/>
      </w:r>
    </w:p>
  </w:footnote>
  <w:footnote w:type="continuationSeparator" w:id="0">
    <w:p w:rsidR="001F6A0E" w:rsidRDefault="001F6A0E">
      <w:r>
        <w:continuationSeparator/>
      </w:r>
    </w:p>
  </w:footnote>
  <w:footnote w:id="1">
    <w:p w:rsidR="001F6A0E" w:rsidRPr="001F6A0E" w:rsidRDefault="001F6A0E">
      <w:pPr>
        <w:pStyle w:val="FootnoteText"/>
        <w:rPr>
          <w:rFonts w:ascii="Times New Roman" w:hAnsi="Times New Roman"/>
        </w:rPr>
      </w:pPr>
      <w:r w:rsidRPr="001F6A0E">
        <w:rPr>
          <w:rStyle w:val="FootnoteReference"/>
          <w:rFonts w:ascii="Times New Roman" w:hAnsi="Times New Roman"/>
        </w:rPr>
        <w:footnoteRef/>
      </w:r>
      <w:r w:rsidRPr="001F6A0E">
        <w:rPr>
          <w:rFonts w:ascii="Times New Roman" w:hAnsi="Times New Roman"/>
        </w:rPr>
        <w:t xml:space="preserve"> The questions were in the nature of requests for opinions on matters of law; </w:t>
      </w:r>
      <w:r w:rsidRPr="001F6A0E">
        <w:rPr>
          <w:rFonts w:ascii="Times New Roman" w:hAnsi="Times New Roman"/>
          <w:i/>
        </w:rPr>
        <w:t>e.g.</w:t>
      </w:r>
      <w:r w:rsidRPr="001F6A0E">
        <w:rPr>
          <w:rFonts w:ascii="Times New Roman" w:hAnsi="Times New Roman"/>
        </w:rPr>
        <w:t xml:space="preserve"> application of WAC 480-30-213; and accordingly should be given no weight.  Only the facts adduced at the hearing should be considered in determining if the WACs or statutes were violated.</w:t>
      </w:r>
    </w:p>
  </w:footnote>
  <w:footnote w:id="2">
    <w:p w:rsidR="001F6A0E" w:rsidRPr="001F6A0E" w:rsidRDefault="001F6A0E">
      <w:pPr>
        <w:pStyle w:val="FootnoteText"/>
        <w:rPr>
          <w:rFonts w:ascii="Times New Roman" w:hAnsi="Times New Roman"/>
        </w:rPr>
      </w:pPr>
      <w:r w:rsidRPr="001F6A0E">
        <w:rPr>
          <w:rStyle w:val="FootnoteReference"/>
          <w:rFonts w:ascii="Times New Roman" w:hAnsi="Times New Roman"/>
        </w:rPr>
        <w:footnoteRef/>
      </w:r>
      <w:r w:rsidRPr="001F6A0E">
        <w:rPr>
          <w:rFonts w:ascii="Times New Roman" w:hAnsi="Times New Roman"/>
        </w:rPr>
        <w:t xml:space="preserve"> Staff may dispute this, but realistically a limousine carrying four or five passengers to one location is no safer than a limousine carrying four or five passengers to two locations, which seems to be what the issue may come down to. </w:t>
      </w:r>
    </w:p>
  </w:footnote>
  <w:footnote w:id="3">
    <w:p w:rsidR="001F6A0E" w:rsidRPr="001F6A0E" w:rsidRDefault="001F6A0E">
      <w:pPr>
        <w:pStyle w:val="FootnoteText"/>
        <w:rPr>
          <w:rFonts w:ascii="Times New Roman" w:hAnsi="Times New Roman"/>
        </w:rPr>
      </w:pPr>
      <w:r w:rsidRPr="001F6A0E">
        <w:rPr>
          <w:rStyle w:val="FootnoteReference"/>
          <w:rFonts w:ascii="Times New Roman" w:hAnsi="Times New Roman"/>
        </w:rPr>
        <w:footnoteRef/>
      </w:r>
      <w:r w:rsidRPr="001F6A0E">
        <w:rPr>
          <w:rFonts w:ascii="Times New Roman" w:hAnsi="Times New Roman"/>
        </w:rPr>
        <w:t xml:space="preserve"> Of course should the order find no violation, </w:t>
      </w:r>
      <w:proofErr w:type="gramStart"/>
      <w:r w:rsidRPr="001F6A0E">
        <w:rPr>
          <w:rFonts w:ascii="Times New Roman" w:hAnsi="Times New Roman"/>
        </w:rPr>
        <w:t>then</w:t>
      </w:r>
      <w:proofErr w:type="gramEnd"/>
      <w:r w:rsidRPr="001F6A0E">
        <w:rPr>
          <w:rFonts w:ascii="Times New Roman" w:hAnsi="Times New Roman"/>
        </w:rPr>
        <w:t xml:space="preserve"> </w:t>
      </w:r>
      <w:r w:rsidRPr="001F6A0E">
        <w:rPr>
          <w:rFonts w:ascii="Times New Roman" w:hAnsi="Times New Roman"/>
          <w:i/>
        </w:rPr>
        <w:t>a fortiori</w:t>
      </w:r>
      <w:r w:rsidRPr="001F6A0E">
        <w:rPr>
          <w:rFonts w:ascii="Times New Roman" w:hAnsi="Times New Roman"/>
        </w:rPr>
        <w:t xml:space="preserve"> Shuttle Express would be deemed in compliance.  </w:t>
      </w:r>
    </w:p>
  </w:footnote>
  <w:footnote w:id="4">
    <w:p w:rsidR="001F6A0E" w:rsidRPr="001F6A0E" w:rsidRDefault="001F6A0E">
      <w:pPr>
        <w:pStyle w:val="FootnoteText"/>
        <w:rPr>
          <w:rFonts w:ascii="Times New Roman" w:hAnsi="Times New Roman"/>
        </w:rPr>
      </w:pPr>
      <w:r w:rsidRPr="001F6A0E">
        <w:rPr>
          <w:rStyle w:val="FootnoteReference"/>
          <w:rFonts w:ascii="Times New Roman" w:hAnsi="Times New Roman"/>
        </w:rPr>
        <w:footnoteRef/>
      </w:r>
      <w:r w:rsidRPr="001F6A0E">
        <w:rPr>
          <w:rFonts w:ascii="Times New Roman" w:hAnsi="Times New Roman"/>
        </w:rPr>
        <w:t xml:space="preserve"> Aware of her vacation plans, Shuttle Express’ Counsel advised the AAG before she left that coverage should be arranged because this motion might be filed early this week.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052" w:rsidRDefault="00CE50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052" w:rsidRDefault="00CE50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052" w:rsidRDefault="00CE50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2581F"/>
    <w:multiLevelType w:val="hybridMultilevel"/>
    <w:tmpl w:val="023862A4"/>
    <w:lvl w:ilvl="0" w:tplc="772067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FD725A1"/>
    <w:multiLevelType w:val="hybridMultilevel"/>
    <w:tmpl w:val="BA1AE80E"/>
    <w:lvl w:ilvl="0" w:tplc="20301EB6">
      <w:start w:val="1"/>
      <w:numFmt w:val="decimal"/>
      <w:lvlText w:val="%1"/>
      <w:lvlJc w:val="left"/>
      <w:pPr>
        <w:tabs>
          <w:tab w:val="num" w:pos="720"/>
        </w:tabs>
        <w:ind w:left="720" w:hanging="144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
    <w:nsid w:val="40F07C60"/>
    <w:multiLevelType w:val="hybridMultilevel"/>
    <w:tmpl w:val="68EED976"/>
    <w:lvl w:ilvl="0" w:tplc="1D9C3BE8">
      <w:start w:val="1"/>
      <w:numFmt w:val="decimal"/>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embedSystemFonts/>
  <w:proofState w:spelling="clean" w:grammar="clean"/>
  <w:stylePaneFormatFilter w:val="3F01"/>
  <w:trackRevisions/>
  <w:defaultTabStop w:val="720"/>
  <w:drawingGridHorizontalSpacing w:val="87"/>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rsids>
    <w:rsidRoot w:val="00E3232B"/>
    <w:rsid w:val="000116E1"/>
    <w:rsid w:val="00015576"/>
    <w:rsid w:val="00072583"/>
    <w:rsid w:val="00074ED5"/>
    <w:rsid w:val="000A3DF0"/>
    <w:rsid w:val="000E6F66"/>
    <w:rsid w:val="001401C8"/>
    <w:rsid w:val="001D75CA"/>
    <w:rsid w:val="001F6A0E"/>
    <w:rsid w:val="002209CB"/>
    <w:rsid w:val="00263FE9"/>
    <w:rsid w:val="00270586"/>
    <w:rsid w:val="00282FDC"/>
    <w:rsid w:val="00284A90"/>
    <w:rsid w:val="00286AA7"/>
    <w:rsid w:val="002B29F9"/>
    <w:rsid w:val="00327638"/>
    <w:rsid w:val="00360D12"/>
    <w:rsid w:val="00425820"/>
    <w:rsid w:val="00430153"/>
    <w:rsid w:val="00463668"/>
    <w:rsid w:val="00475EBD"/>
    <w:rsid w:val="00477797"/>
    <w:rsid w:val="00495E3B"/>
    <w:rsid w:val="00496AED"/>
    <w:rsid w:val="0057495B"/>
    <w:rsid w:val="00580B34"/>
    <w:rsid w:val="005822C3"/>
    <w:rsid w:val="005833A9"/>
    <w:rsid w:val="005F48B5"/>
    <w:rsid w:val="00601889"/>
    <w:rsid w:val="006068FF"/>
    <w:rsid w:val="00610252"/>
    <w:rsid w:val="00630EFF"/>
    <w:rsid w:val="00673940"/>
    <w:rsid w:val="006911A3"/>
    <w:rsid w:val="006C666D"/>
    <w:rsid w:val="006F1529"/>
    <w:rsid w:val="00733DCD"/>
    <w:rsid w:val="00770BDE"/>
    <w:rsid w:val="007844A5"/>
    <w:rsid w:val="007F2671"/>
    <w:rsid w:val="00834B72"/>
    <w:rsid w:val="0083782D"/>
    <w:rsid w:val="008740EE"/>
    <w:rsid w:val="009116EA"/>
    <w:rsid w:val="00A011F6"/>
    <w:rsid w:val="00A11F1E"/>
    <w:rsid w:val="00A146FB"/>
    <w:rsid w:val="00AA0946"/>
    <w:rsid w:val="00AA645B"/>
    <w:rsid w:val="00AB522A"/>
    <w:rsid w:val="00AF29C9"/>
    <w:rsid w:val="00B409E4"/>
    <w:rsid w:val="00B665C2"/>
    <w:rsid w:val="00C06C89"/>
    <w:rsid w:val="00C3130D"/>
    <w:rsid w:val="00CC50C2"/>
    <w:rsid w:val="00CD3273"/>
    <w:rsid w:val="00CE5052"/>
    <w:rsid w:val="00CF32DB"/>
    <w:rsid w:val="00D461EA"/>
    <w:rsid w:val="00D8378C"/>
    <w:rsid w:val="00D9110F"/>
    <w:rsid w:val="00DE5C2A"/>
    <w:rsid w:val="00E02FE3"/>
    <w:rsid w:val="00E049E7"/>
    <w:rsid w:val="00E22586"/>
    <w:rsid w:val="00E3232B"/>
    <w:rsid w:val="00F1191B"/>
    <w:rsid w:val="00F821BD"/>
    <w:rsid w:val="00F83E1B"/>
    <w:rsid w:val="00FA57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495B"/>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57495B"/>
    <w:pPr>
      <w:ind w:left="686"/>
    </w:pPr>
  </w:style>
  <w:style w:type="paragraph" w:styleId="Header">
    <w:name w:val="header"/>
    <w:basedOn w:val="Normal"/>
    <w:rsid w:val="0057495B"/>
    <w:pPr>
      <w:tabs>
        <w:tab w:val="center" w:pos="4320"/>
        <w:tab w:val="right" w:pos="8640"/>
      </w:tabs>
    </w:pPr>
  </w:style>
  <w:style w:type="paragraph" w:customStyle="1" w:styleId="Style1">
    <w:name w:val="Style1"/>
    <w:basedOn w:val="Normal"/>
    <w:next w:val="Normal"/>
    <w:autoRedefine/>
    <w:rsid w:val="0057495B"/>
    <w:pPr>
      <w:ind w:left="720" w:right="720"/>
    </w:pPr>
    <w:rPr>
      <w:bCs/>
    </w:rPr>
  </w:style>
  <w:style w:type="paragraph" w:customStyle="1" w:styleId="Style2">
    <w:name w:val="Style2"/>
    <w:basedOn w:val="List"/>
    <w:rsid w:val="0057495B"/>
    <w:pPr>
      <w:numPr>
        <w:numId w:val="1"/>
      </w:numPr>
    </w:pPr>
  </w:style>
  <w:style w:type="paragraph" w:styleId="List">
    <w:name w:val="List"/>
    <w:basedOn w:val="Normal"/>
    <w:rsid w:val="0057495B"/>
    <w:pPr>
      <w:ind w:left="360" w:hanging="360"/>
    </w:pPr>
  </w:style>
  <w:style w:type="paragraph" w:customStyle="1" w:styleId="Testimonyquote">
    <w:name w:val="Testimony quote"/>
    <w:basedOn w:val="Style1"/>
    <w:rsid w:val="0057495B"/>
    <w:pPr>
      <w:ind w:left="1440" w:hanging="720"/>
    </w:pPr>
    <w:rPr>
      <w:bCs w:val="0"/>
      <w:sz w:val="26"/>
      <w:szCs w:val="20"/>
    </w:rPr>
  </w:style>
  <w:style w:type="paragraph" w:customStyle="1" w:styleId="Testimontquote2">
    <w:name w:val="Testimont quote 2"/>
    <w:basedOn w:val="Testimonyquote"/>
    <w:rsid w:val="0057495B"/>
    <w:pPr>
      <w:ind w:firstLine="0"/>
    </w:pPr>
  </w:style>
  <w:style w:type="paragraph" w:customStyle="1" w:styleId="DoubleIndent">
    <w:name w:val="Double Indent"/>
    <w:basedOn w:val="Normal"/>
    <w:rsid w:val="0057495B"/>
    <w:pPr>
      <w:ind w:left="720" w:right="720"/>
    </w:pPr>
    <w:rPr>
      <w:color w:val="000000"/>
      <w:szCs w:val="20"/>
    </w:rPr>
  </w:style>
  <w:style w:type="paragraph" w:styleId="Footer">
    <w:name w:val="footer"/>
    <w:basedOn w:val="Normal"/>
    <w:rsid w:val="0057495B"/>
    <w:pPr>
      <w:tabs>
        <w:tab w:val="center" w:pos="4320"/>
        <w:tab w:val="right" w:pos="8640"/>
      </w:tabs>
    </w:pPr>
  </w:style>
  <w:style w:type="paragraph" w:styleId="BodyTextIndent">
    <w:name w:val="Body Text Indent"/>
    <w:basedOn w:val="Normal"/>
    <w:rsid w:val="0057495B"/>
    <w:pPr>
      <w:widowControl w:val="0"/>
      <w:tabs>
        <w:tab w:val="left" w:pos="-1440"/>
      </w:tabs>
      <w:autoSpaceDE w:val="0"/>
      <w:autoSpaceDN w:val="0"/>
      <w:adjustRightInd w:val="0"/>
      <w:ind w:left="1440" w:hanging="1440"/>
      <w:jc w:val="both"/>
    </w:pPr>
    <w:rPr>
      <w:rFonts w:ascii="CG Times" w:hAnsi="CG Times"/>
    </w:rPr>
  </w:style>
  <w:style w:type="character" w:styleId="PageNumber">
    <w:name w:val="page number"/>
    <w:basedOn w:val="DefaultParagraphFont"/>
    <w:rsid w:val="007844A5"/>
  </w:style>
  <w:style w:type="character" w:styleId="Hyperlink">
    <w:name w:val="Hyperlink"/>
    <w:rsid w:val="00E049E7"/>
    <w:rPr>
      <w:color w:val="0000FF"/>
      <w:u w:val="single"/>
    </w:rPr>
  </w:style>
  <w:style w:type="paragraph" w:styleId="BalloonText">
    <w:name w:val="Balloon Text"/>
    <w:basedOn w:val="Normal"/>
    <w:link w:val="BalloonTextChar"/>
    <w:rsid w:val="005F48B5"/>
    <w:rPr>
      <w:rFonts w:ascii="Tahoma" w:hAnsi="Tahoma" w:cs="Tahoma"/>
      <w:sz w:val="16"/>
      <w:szCs w:val="16"/>
    </w:rPr>
  </w:style>
  <w:style w:type="character" w:customStyle="1" w:styleId="BalloonTextChar">
    <w:name w:val="Balloon Text Char"/>
    <w:basedOn w:val="DefaultParagraphFont"/>
    <w:link w:val="BalloonText"/>
    <w:rsid w:val="005F48B5"/>
    <w:rPr>
      <w:rFonts w:ascii="Tahoma" w:hAnsi="Tahoma" w:cs="Tahoma"/>
      <w:sz w:val="16"/>
      <w:szCs w:val="16"/>
    </w:rPr>
  </w:style>
  <w:style w:type="paragraph" w:styleId="ListParagraph">
    <w:name w:val="List Paragraph"/>
    <w:basedOn w:val="Normal"/>
    <w:uiPriority w:val="34"/>
    <w:qFormat/>
    <w:rsid w:val="00282FDC"/>
    <w:pPr>
      <w:ind w:left="720"/>
    </w:pPr>
  </w:style>
  <w:style w:type="paragraph" w:styleId="FootnoteText">
    <w:name w:val="footnote text"/>
    <w:basedOn w:val="Normal"/>
    <w:link w:val="FootnoteTextChar"/>
    <w:rsid w:val="00834B72"/>
    <w:rPr>
      <w:sz w:val="20"/>
      <w:szCs w:val="20"/>
    </w:rPr>
  </w:style>
  <w:style w:type="character" w:customStyle="1" w:styleId="FootnoteTextChar">
    <w:name w:val="Footnote Text Char"/>
    <w:basedOn w:val="DefaultParagraphFont"/>
    <w:link w:val="FootnoteText"/>
    <w:rsid w:val="00834B72"/>
    <w:rPr>
      <w:rFonts w:ascii="Palatino Linotype" w:hAnsi="Palatino Linotype"/>
    </w:rPr>
  </w:style>
  <w:style w:type="character" w:styleId="FootnoteReference">
    <w:name w:val="footnote reference"/>
    <w:basedOn w:val="DefaultParagraphFont"/>
    <w:rsid w:val="00834B7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Motion</DocumentSetType>
    <IsConfidential xmlns="dc463f71-b30c-4ab2-9473-d307f9d35888">false</IsConfidential>
    <AgendaOrder xmlns="dc463f71-b30c-4ab2-9473-d307f9d35888">false</AgendaOrder>
    <CaseType xmlns="dc463f71-b30c-4ab2-9473-d307f9d35888">Formal Complaint</CaseType>
    <IndustryCode xmlns="dc463f71-b30c-4ab2-9473-d307f9d35888">230</IndustryCode>
    <CaseStatus xmlns="dc463f71-b30c-4ab2-9473-d307f9d35888">Closed</CaseStatus>
    <OpenedDate xmlns="dc463f71-b30c-4ab2-9473-d307f9d35888">2012-03-08T08:00:00+00:00</OpenedDate>
    <Date1 xmlns="dc463f71-b30c-4ab2-9473-d307f9d35888">2013-08-26T07:00:00+00:00</Date1>
    <IsDocumentOrder xmlns="dc463f71-b30c-4ab2-9473-d307f9d35888" xsi:nil="true"/>
    <IsHighlyConfidential xmlns="dc463f71-b30c-4ab2-9473-d307f9d35888">false</IsHighlyConfidential>
    <CaseCompanyNames xmlns="dc463f71-b30c-4ab2-9473-d307f9d35888">Shuttle Express, Inc.</CaseCompanyNames>
    <DocketNumber xmlns="dc463f71-b30c-4ab2-9473-d307f9d35888">120323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DD37EE510C3FC42A647DB35CB368228" ma:contentTypeVersion="139" ma:contentTypeDescription="" ma:contentTypeScope="" ma:versionID="e39095218145830d0a2f5aff5aaee8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5A37AF-827F-4A29-AE07-C44D0DBFF7BD}"/>
</file>

<file path=customXml/itemProps2.xml><?xml version="1.0" encoding="utf-8"?>
<ds:datastoreItem xmlns:ds="http://schemas.openxmlformats.org/officeDocument/2006/customXml" ds:itemID="{97F72B48-FE3E-4EDA-AB85-B28D83AF842B}"/>
</file>

<file path=customXml/itemProps3.xml><?xml version="1.0" encoding="utf-8"?>
<ds:datastoreItem xmlns:ds="http://schemas.openxmlformats.org/officeDocument/2006/customXml" ds:itemID="{ED967B84-6F21-415D-B94B-790CD35D0E77}"/>
</file>

<file path=customXml/itemProps4.xml><?xml version="1.0" encoding="utf-8"?>
<ds:datastoreItem xmlns:ds="http://schemas.openxmlformats.org/officeDocument/2006/customXml" ds:itemID="{30F62B90-5DC4-4794-A941-6024AFF950F6}"/>
</file>

<file path=customXml/itemProps5.xml><?xml version="1.0" encoding="utf-8"?>
<ds:datastoreItem xmlns:ds="http://schemas.openxmlformats.org/officeDocument/2006/customXml" ds:itemID="{4FC156D6-EFC3-4138-9076-3FB6B212E1AA}"/>
</file>

<file path=docProps/app.xml><?xml version="1.0" encoding="utf-8"?>
<Properties xmlns="http://schemas.openxmlformats.org/officeDocument/2006/extended-properties" xmlns:vt="http://schemas.openxmlformats.org/officeDocument/2006/docPropsVTypes">
  <Template>Normal.dotm</Template>
  <TotalTime>0</TotalTime>
  <Pages>6</Pages>
  <Words>1408</Words>
  <Characters>7432</Characters>
  <Application>Microsoft Office Word</Application>
  <DocSecurity>0</DocSecurity>
  <Lines>61</Lines>
  <Paragraphs>17</Paragraphs>
  <ScaleCrop>false</ScaleCrop>
  <Company/>
  <LinksUpToDate>false</LinksUpToDate>
  <CharactersWithSpaces>8823</CharactersWithSpaces>
  <SharedDoc>false</SharedDoc>
  <HLinks>
    <vt:vector size="6" baseType="variant">
      <vt:variant>
        <vt:i4>589944</vt:i4>
      </vt:variant>
      <vt:variant>
        <vt:i4>0</vt:i4>
      </vt:variant>
      <vt:variant>
        <vt:i4>0</vt:i4>
      </vt:variant>
      <vt:variant>
        <vt:i4>5</vt:i4>
      </vt:variant>
      <vt:variant>
        <vt:lpwstr>mailto:jcameron@utc.wa.gov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2013-08-26T20:55:00Z</dcterms:created>
  <dcterms:modified xsi:type="dcterms:W3CDTF">2013-08-26T20:56:00Z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0x0101006E56B4D1795A2E4DB2F0B01679ED314A007DD37EE510C3FC42A647DB35CB368228</vt:lpwstr>
  </property>
  <property fmtid="{D5CDD505-2E9C-101B-9397-08002B2CF9AE}" pid="3" name="_docset_NoMedatataSyncRequired">
    <vt:lpwstr>False</vt:lpwstr>
  </property>
</Properties>
</file>