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15" w:rsidRPr="000F7015" w:rsidRDefault="000F7015" w:rsidP="000F7015">
      <w:pPr>
        <w:overflowPunct/>
        <w:autoSpaceDE/>
        <w:autoSpaceDN/>
        <w:adjustRightInd/>
        <w:spacing w:after="240" w:line="240" w:lineRule="auto"/>
        <w:jc w:val="left"/>
        <w:textAlignment w:val="auto"/>
        <w:rPr>
          <w:rFonts w:ascii="Times New Roman" w:hAnsi="Times New Roman"/>
          <w:b/>
          <w:u w:val="single"/>
        </w:rPr>
      </w:pPr>
      <w:r w:rsidRPr="000F7015">
        <w:rPr>
          <w:rFonts w:ascii="Times New Roman" w:hAnsi="Times New Roman"/>
          <w:b/>
          <w:u w:val="single"/>
        </w:rPr>
        <w:t>Background</w:t>
      </w:r>
    </w:p>
    <w:p w:rsidR="000F7015" w:rsidRPr="000F7015" w:rsidRDefault="000F7015" w:rsidP="000F7015">
      <w:pPr>
        <w:overflowPunct/>
        <w:autoSpaceDE/>
        <w:autoSpaceDN/>
        <w:adjustRightInd/>
        <w:spacing w:after="240" w:line="240" w:lineRule="auto"/>
        <w:jc w:val="left"/>
        <w:textAlignment w:val="auto"/>
        <w:rPr>
          <w:rFonts w:ascii="Times New Roman" w:hAnsi="Times New Roman"/>
        </w:rPr>
      </w:pPr>
      <w:r>
        <w:rPr>
          <w:rFonts w:ascii="Times New Roman" w:hAnsi="Times New Roman"/>
        </w:rPr>
        <w:t xml:space="preserve">Condition 11 of the settlement agreement between CenturyTel/Embarq, the WUTC Staff and the Public Counsel, approved by the Commission in Order </w:t>
      </w:r>
      <w:r w:rsidR="00D21EEF">
        <w:rPr>
          <w:rFonts w:ascii="Times New Roman" w:hAnsi="Times New Roman"/>
        </w:rPr>
        <w:t>05</w:t>
      </w:r>
      <w:r>
        <w:rPr>
          <w:rFonts w:ascii="Times New Roman" w:hAnsi="Times New Roman"/>
        </w:rPr>
        <w:t xml:space="preserve"> in Docket 08-2119, requires advance notification to the Commission Staff and Public Counsel of major system conversions impacting Washington customers.  The full text of the condition is stated below:</w:t>
      </w:r>
    </w:p>
    <w:p w:rsidR="000F7015" w:rsidRPr="000F7015" w:rsidRDefault="00584CC7" w:rsidP="00584CC7">
      <w:pPr>
        <w:numPr>
          <w:ilvl w:val="0"/>
          <w:numId w:val="1"/>
        </w:numPr>
        <w:tabs>
          <w:tab w:val="clear" w:pos="1080"/>
        </w:tabs>
        <w:overflowPunct/>
        <w:autoSpaceDE/>
        <w:autoSpaceDN/>
        <w:adjustRightInd/>
        <w:spacing w:after="240" w:line="240" w:lineRule="auto"/>
        <w:ind w:left="810" w:hanging="450"/>
        <w:jc w:val="left"/>
        <w:textAlignment w:val="auto"/>
        <w:rPr>
          <w:rFonts w:ascii="Times New Roman" w:hAnsi="Times New Roman"/>
          <w:b/>
        </w:rPr>
      </w:pPr>
      <w:r>
        <w:rPr>
          <w:rFonts w:ascii="Times New Roman" w:hAnsi="Times New Roman"/>
          <w:b/>
        </w:rPr>
        <w:t xml:space="preserve"> </w:t>
      </w:r>
      <w:r w:rsidR="000F7015" w:rsidRPr="000F7015">
        <w:rPr>
          <w:rFonts w:ascii="Times New Roman" w:hAnsi="Times New Roman"/>
          <w:b/>
        </w:rPr>
        <w:t>Milestone Reporting</w:t>
      </w:r>
    </w:p>
    <w:p w:rsidR="000F7015" w:rsidRPr="000F7015" w:rsidRDefault="000F7015" w:rsidP="00584CC7">
      <w:pPr>
        <w:overflowPunct/>
        <w:autoSpaceDE/>
        <w:autoSpaceDN/>
        <w:adjustRightInd/>
        <w:spacing w:after="240" w:line="240" w:lineRule="auto"/>
        <w:ind w:left="810"/>
        <w:jc w:val="left"/>
        <w:textAlignment w:val="auto"/>
        <w:rPr>
          <w:rFonts w:ascii="Times New Roman" w:hAnsi="Times New Roman"/>
        </w:rPr>
      </w:pPr>
      <w:r w:rsidRPr="000F7015">
        <w:rPr>
          <w:rFonts w:ascii="Times New Roman" w:hAnsi="Times New Roman"/>
        </w:rPr>
        <w:t>CenturyTel and Embarq agree to provide the Staff and Public Counsel with advance written notice of major system conversions impacting Washington customers and will work with Staff to identify these major conversions.  Those major systems will include, but not necessarily be limited to, business office and trouble reporting call centers, maintenance systems that monitor central office and transport equipment, engineering systems, outside plant record systems, and billing systems.</w:t>
      </w:r>
    </w:p>
    <w:p w:rsidR="007672B2" w:rsidRDefault="00584CC7" w:rsidP="00584CC7">
      <w:pPr>
        <w:spacing w:line="240" w:lineRule="auto"/>
        <w:rPr>
          <w:rFonts w:ascii="Times New Roman" w:hAnsi="Times New Roman"/>
        </w:rPr>
      </w:pPr>
      <w:r>
        <w:rPr>
          <w:rFonts w:ascii="Times New Roman" w:hAnsi="Times New Roman"/>
        </w:rPr>
        <w:t xml:space="preserve">In compliance with this condition, CenturyLink hereby provides written advance notification of </w:t>
      </w:r>
      <w:r w:rsidR="00911318">
        <w:rPr>
          <w:rFonts w:ascii="Times New Roman" w:hAnsi="Times New Roman"/>
        </w:rPr>
        <w:t xml:space="preserve">an </w:t>
      </w:r>
      <w:r>
        <w:rPr>
          <w:rFonts w:ascii="Times New Roman" w:hAnsi="Times New Roman"/>
        </w:rPr>
        <w:t>upcoming system conversion impacting the company’s Washington operations.</w:t>
      </w:r>
    </w:p>
    <w:p w:rsidR="00584CC7" w:rsidRDefault="00584CC7" w:rsidP="00584CC7">
      <w:pPr>
        <w:spacing w:line="240" w:lineRule="auto"/>
        <w:rPr>
          <w:rFonts w:ascii="Times New Roman" w:hAnsi="Times New Roman"/>
        </w:rPr>
      </w:pPr>
    </w:p>
    <w:p w:rsidR="00CA708C" w:rsidRPr="00CA708C" w:rsidRDefault="00CA708C" w:rsidP="00584CC7">
      <w:pPr>
        <w:spacing w:line="240" w:lineRule="auto"/>
        <w:rPr>
          <w:rFonts w:ascii="Times New Roman" w:hAnsi="Times New Roman"/>
          <w:b/>
          <w:u w:val="single"/>
        </w:rPr>
      </w:pPr>
      <w:r w:rsidRPr="00CA708C">
        <w:rPr>
          <w:rFonts w:ascii="Times New Roman" w:hAnsi="Times New Roman"/>
          <w:b/>
          <w:u w:val="single"/>
        </w:rPr>
        <w:t>Wholesale System Conversion</w:t>
      </w:r>
    </w:p>
    <w:p w:rsidR="00CA708C" w:rsidRDefault="00CA708C" w:rsidP="00584CC7">
      <w:pPr>
        <w:spacing w:line="240" w:lineRule="auto"/>
        <w:rPr>
          <w:rFonts w:ascii="Times New Roman" w:hAnsi="Times New Roman"/>
        </w:rPr>
      </w:pPr>
    </w:p>
    <w:p w:rsidR="00CA708C" w:rsidRDefault="00CA708C" w:rsidP="00584CC7">
      <w:pPr>
        <w:spacing w:line="240" w:lineRule="auto"/>
        <w:rPr>
          <w:rFonts w:ascii="Times New Roman" w:hAnsi="Times New Roman"/>
        </w:rPr>
      </w:pPr>
      <w:r>
        <w:rPr>
          <w:rFonts w:ascii="Times New Roman" w:hAnsi="Times New Roman"/>
        </w:rPr>
        <w:t xml:space="preserve">CenturyLink </w:t>
      </w:r>
      <w:r w:rsidR="000B5184">
        <w:rPr>
          <w:rFonts w:ascii="Times New Roman" w:hAnsi="Times New Roman"/>
        </w:rPr>
        <w:t>plans to</w:t>
      </w:r>
      <w:r>
        <w:rPr>
          <w:rFonts w:ascii="Times New Roman" w:hAnsi="Times New Roman"/>
        </w:rPr>
        <w:t xml:space="preserve"> convert the wholesale access billing system for the former Embarq operating areas to the legacy CenturyTel Carrier Access Billing System (CABS).  The conversion is expected to be completed in </w:t>
      </w:r>
      <w:r w:rsidR="000B5184">
        <w:rPr>
          <w:rFonts w:ascii="Times New Roman" w:hAnsi="Times New Roman"/>
        </w:rPr>
        <w:t>September</w:t>
      </w:r>
      <w:r>
        <w:rPr>
          <w:rFonts w:ascii="Times New Roman" w:hAnsi="Times New Roman"/>
        </w:rPr>
        <w:t xml:space="preserve"> 2011.</w:t>
      </w:r>
      <w:r w:rsidR="000B5184">
        <w:rPr>
          <w:rFonts w:ascii="Times New Roman" w:hAnsi="Times New Roman"/>
        </w:rPr>
        <w:t xml:space="preserve">  CenturyLink sent the attached notice (Attachment A) of the planned conversion to its impacted Wholesale customers in July.</w:t>
      </w:r>
    </w:p>
    <w:p w:rsidR="00CA708C" w:rsidRDefault="00CA708C" w:rsidP="00584CC7">
      <w:pPr>
        <w:spacing w:line="240" w:lineRule="auto"/>
        <w:rPr>
          <w:rFonts w:ascii="Times New Roman" w:hAnsi="Times New Roman"/>
        </w:rPr>
      </w:pPr>
    </w:p>
    <w:p w:rsidR="00CA708C" w:rsidRDefault="00CA708C" w:rsidP="004E4047">
      <w:pPr>
        <w:spacing w:line="240" w:lineRule="auto"/>
        <w:rPr>
          <w:rFonts w:ascii="Times New Roman" w:hAnsi="Times New Roman"/>
        </w:rPr>
      </w:pPr>
      <w:proofErr w:type="gramStart"/>
      <w:r>
        <w:rPr>
          <w:rFonts w:ascii="Times New Roman" w:hAnsi="Times New Roman"/>
        </w:rPr>
        <w:t>CABS performs</w:t>
      </w:r>
      <w:proofErr w:type="gramEnd"/>
      <w:r>
        <w:rPr>
          <w:rFonts w:ascii="Times New Roman" w:hAnsi="Times New Roman"/>
        </w:rPr>
        <w:t xml:space="preserve"> the billing and associated functions for the following services:  switched and special access, collocation, facility space and tower leases and interconnection services.</w:t>
      </w:r>
    </w:p>
    <w:p w:rsidR="006767C3" w:rsidRDefault="006767C3" w:rsidP="00584CC7">
      <w:pPr>
        <w:spacing w:line="240" w:lineRule="auto"/>
        <w:rPr>
          <w:rFonts w:ascii="Times New Roman" w:hAnsi="Times New Roman"/>
        </w:rPr>
        <w:sectPr w:rsidR="006767C3" w:rsidSect="00B24FB2">
          <w:headerReference w:type="default" r:id="rId8"/>
          <w:footerReference w:type="default" r:id="rId9"/>
          <w:pgSz w:w="12240" w:h="15840"/>
          <w:pgMar w:top="1440" w:right="1440" w:bottom="990" w:left="1440" w:header="720" w:footer="195" w:gutter="0"/>
          <w:cols w:space="720"/>
          <w:docGrid w:linePitch="360"/>
        </w:sectPr>
      </w:pPr>
    </w:p>
    <w:tbl>
      <w:tblPr>
        <w:tblW w:w="9918" w:type="dxa"/>
        <w:tblCellMar>
          <w:left w:w="0" w:type="dxa"/>
          <w:right w:w="0" w:type="dxa"/>
        </w:tblCellMar>
        <w:tblLook w:val="04A0"/>
      </w:tblPr>
      <w:tblGrid>
        <w:gridCol w:w="3078"/>
        <w:gridCol w:w="6840"/>
      </w:tblGrid>
      <w:tr w:rsidR="006767C3" w:rsidRPr="006767C3" w:rsidTr="006767C3">
        <w:tc>
          <w:tcPr>
            <w:tcW w:w="3078"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lastRenderedPageBreak/>
              <w:t>Announcement Date:</w:t>
            </w:r>
          </w:p>
        </w:tc>
        <w:tc>
          <w:tcPr>
            <w:tcW w:w="6840"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July 6,2011</w:t>
            </w:r>
          </w:p>
        </w:tc>
      </w:tr>
      <w:tr w:rsidR="006767C3" w:rsidRPr="006767C3" w:rsidTr="006767C3">
        <w:tc>
          <w:tcPr>
            <w:tcW w:w="3078"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Effective Date:</w:t>
            </w:r>
          </w:p>
        </w:tc>
        <w:tc>
          <w:tcPr>
            <w:tcW w:w="6840"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September 2011</w:t>
            </w:r>
          </w:p>
        </w:tc>
      </w:tr>
      <w:tr w:rsidR="006767C3" w:rsidRPr="006767C3" w:rsidTr="006767C3">
        <w:tc>
          <w:tcPr>
            <w:tcW w:w="3078"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Notification Number:</w:t>
            </w:r>
          </w:p>
        </w:tc>
        <w:tc>
          <w:tcPr>
            <w:tcW w:w="6840"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color w:val="000000"/>
                <w:sz w:val="22"/>
              </w:rPr>
              <w:t>SYST.CTLL.07.06.11_CABS_Bill_SYST_CONV</w:t>
            </w:r>
          </w:p>
        </w:tc>
      </w:tr>
      <w:tr w:rsidR="006767C3" w:rsidRPr="006767C3" w:rsidTr="006767C3">
        <w:tc>
          <w:tcPr>
            <w:tcW w:w="3078"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Notification Category:</w:t>
            </w:r>
          </w:p>
        </w:tc>
        <w:tc>
          <w:tcPr>
            <w:tcW w:w="6840"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System/BIlling Notification</w:t>
            </w:r>
          </w:p>
        </w:tc>
      </w:tr>
      <w:tr w:rsidR="006767C3" w:rsidRPr="006767C3" w:rsidTr="006767C3">
        <w:tc>
          <w:tcPr>
            <w:tcW w:w="3078"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Target Audience:</w:t>
            </w:r>
          </w:p>
        </w:tc>
        <w:tc>
          <w:tcPr>
            <w:tcW w:w="6840"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outlineLvl w:val="4"/>
              <w:rPr>
                <w:rFonts w:ascii="Times New Roman" w:hAnsi="Times New Roman"/>
                <w:b/>
                <w:bCs/>
                <w:sz w:val="20"/>
                <w:szCs w:val="20"/>
              </w:rPr>
            </w:pPr>
            <w:r w:rsidRPr="006767C3">
              <w:rPr>
                <w:rFonts w:ascii="Times New Roman" w:hAnsi="Times New Roman"/>
                <w:b/>
                <w:bCs/>
                <w:sz w:val="22"/>
                <w:szCs w:val="22"/>
              </w:rPr>
              <w:t>CenturyLink CLECs, Wireless, IXCs and ILECs</w:t>
            </w:r>
          </w:p>
        </w:tc>
      </w:tr>
      <w:tr w:rsidR="006767C3" w:rsidRPr="006767C3" w:rsidTr="006767C3">
        <w:tc>
          <w:tcPr>
            <w:tcW w:w="3078"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Subject:</w:t>
            </w:r>
          </w:p>
        </w:tc>
        <w:tc>
          <w:tcPr>
            <w:tcW w:w="6840" w:type="dxa"/>
            <w:tcMar>
              <w:top w:w="0" w:type="dxa"/>
              <w:left w:w="108" w:type="dxa"/>
              <w:bottom w:w="0" w:type="dxa"/>
              <w:right w:w="108" w:type="dxa"/>
            </w:tcMar>
            <w:hideMark/>
          </w:tcPr>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b/>
                <w:bCs/>
                <w:sz w:val="22"/>
                <w:szCs w:val="22"/>
              </w:rPr>
              <w:t xml:space="preserve">CenturyLink CABS Billing System Conversion </w:t>
            </w:r>
          </w:p>
        </w:tc>
      </w:tr>
    </w:tbl>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sz w:val="22"/>
          <w:szCs w:val="22"/>
        </w:rPr>
        <w:t xml:space="preserve">CenturyLink is converting the legacy EMBARQ CASS billing system to the legacy CenturyTel Carrier Access Billing System (CABS) effective with your September 2011 invoice. </w:t>
      </w:r>
    </w:p>
    <w:p w:rsidR="006767C3" w:rsidRPr="006767C3" w:rsidRDefault="006767C3" w:rsidP="006767C3">
      <w:pPr>
        <w:overflowPunct/>
        <w:autoSpaceDE/>
        <w:autoSpaceDN/>
        <w:adjustRightInd/>
        <w:spacing w:before="100" w:beforeAutospacing="1" w:after="100" w:afterAutospacing="1" w:line="240" w:lineRule="auto"/>
        <w:ind w:right="18"/>
        <w:jc w:val="left"/>
        <w:textAlignment w:val="auto"/>
        <w:rPr>
          <w:rFonts w:ascii="Times New Roman" w:hAnsi="Times New Roman"/>
        </w:rPr>
      </w:pPr>
      <w:r w:rsidRPr="006767C3">
        <w:rPr>
          <w:rFonts w:ascii="Arial" w:hAnsi="Arial" w:cs="Arial"/>
          <w:sz w:val="22"/>
          <w:szCs w:val="22"/>
        </w:rPr>
        <w:t>Customers will see no change in their current billing cycles and will continue to receive their electronic media in BOS version 50 standard format.  Customers familiar with the CABS billing system invoices will now see consistent wholesale invoicing across all CenturyLink serving areas.  Legacy Qwest billing is not being impacted at this time.</w:t>
      </w:r>
    </w:p>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sz w:val="22"/>
          <w:szCs w:val="22"/>
        </w:rPr>
        <w:t xml:space="preserve">To ensure a smooth transition to the CABS billing system, CenturyLink will be posting additional Billing System Conversion information on our website at </w:t>
      </w:r>
      <w:hyperlink r:id="rId10" w:history="1">
        <w:r w:rsidRPr="006767C3">
          <w:rPr>
            <w:rFonts w:ascii="Arial" w:hAnsi="Arial" w:cs="Arial"/>
            <w:color w:val="0000FF"/>
            <w:sz w:val="22"/>
            <w:u w:val="single"/>
          </w:rPr>
          <w:t>www.centurylink.com/wholesalebillingconversions</w:t>
        </w:r>
      </w:hyperlink>
      <w:r w:rsidRPr="006767C3">
        <w:rPr>
          <w:rFonts w:ascii="Arial" w:hAnsi="Arial" w:cs="Arial"/>
          <w:sz w:val="22"/>
          <w:szCs w:val="22"/>
        </w:rPr>
        <w:t xml:space="preserve">.  The information on this site will address questions that may arise between now and the time of the conversion. </w:t>
      </w:r>
    </w:p>
    <w:p w:rsidR="006767C3" w:rsidRPr="006767C3" w:rsidRDefault="006767C3" w:rsidP="006767C3">
      <w:pPr>
        <w:overflowPunct/>
        <w:autoSpaceDE/>
        <w:autoSpaceDN/>
        <w:adjustRightInd/>
        <w:spacing w:before="100" w:beforeAutospacing="1" w:after="100" w:afterAutospacing="1" w:line="240" w:lineRule="auto"/>
        <w:ind w:right="18"/>
        <w:jc w:val="left"/>
        <w:textAlignment w:val="auto"/>
        <w:rPr>
          <w:rFonts w:ascii="Times New Roman" w:hAnsi="Times New Roman"/>
        </w:rPr>
      </w:pPr>
      <w:r w:rsidRPr="006767C3">
        <w:rPr>
          <w:rFonts w:ascii="Arial" w:hAnsi="Arial" w:cs="Arial"/>
          <w:sz w:val="22"/>
          <w:szCs w:val="22"/>
        </w:rPr>
        <w:t>Notable changes as a result of the conversion to the CABS billing system are as follows:</w:t>
      </w:r>
    </w:p>
    <w:p w:rsidR="006767C3" w:rsidRPr="006767C3" w:rsidRDefault="006767C3" w:rsidP="006767C3">
      <w:pPr>
        <w:numPr>
          <w:ilvl w:val="0"/>
          <w:numId w:val="2"/>
        </w:numPr>
        <w:overflowPunct/>
        <w:autoSpaceDE/>
        <w:autoSpaceDN/>
        <w:adjustRightInd/>
        <w:spacing w:before="100" w:beforeAutospacing="1" w:after="100" w:afterAutospacing="1" w:line="240" w:lineRule="auto"/>
        <w:ind w:right="18"/>
        <w:jc w:val="left"/>
        <w:textAlignment w:val="auto"/>
        <w:rPr>
          <w:rFonts w:ascii="Arial" w:hAnsi="Arial" w:cs="Arial"/>
        </w:rPr>
      </w:pPr>
      <w:r w:rsidRPr="006767C3">
        <w:rPr>
          <w:rFonts w:ascii="Arial" w:hAnsi="Arial" w:cs="Arial"/>
          <w:sz w:val="22"/>
          <w:szCs w:val="22"/>
        </w:rPr>
        <w:t xml:space="preserve">New Billing Account Numbers (BANs), which include, where applicable, a consolidation of BANs at a state level, rather than at a LATA level; </w:t>
      </w:r>
    </w:p>
    <w:p w:rsidR="006767C3" w:rsidRPr="006767C3" w:rsidRDefault="006767C3" w:rsidP="006767C3">
      <w:pPr>
        <w:numPr>
          <w:ilvl w:val="0"/>
          <w:numId w:val="2"/>
        </w:numPr>
        <w:overflowPunct/>
        <w:autoSpaceDE/>
        <w:autoSpaceDN/>
        <w:adjustRightInd/>
        <w:spacing w:before="100" w:beforeAutospacing="1" w:after="100" w:afterAutospacing="1" w:line="240" w:lineRule="auto"/>
        <w:jc w:val="left"/>
        <w:textAlignment w:val="auto"/>
        <w:rPr>
          <w:rFonts w:ascii="Arial" w:hAnsi="Arial" w:cs="Arial"/>
        </w:rPr>
      </w:pPr>
      <w:r w:rsidRPr="006767C3">
        <w:rPr>
          <w:rFonts w:ascii="Arial" w:hAnsi="Arial" w:cs="Arial"/>
          <w:sz w:val="22"/>
          <w:szCs w:val="22"/>
        </w:rPr>
        <w:t>Switched invoices will summarize usage detail at a master CIC level;</w:t>
      </w:r>
      <w:r w:rsidRPr="006767C3">
        <w:rPr>
          <w:rFonts w:ascii="Arial" w:hAnsi="Arial" w:cs="Arial"/>
        </w:rPr>
        <w:t xml:space="preserve"> </w:t>
      </w:r>
    </w:p>
    <w:p w:rsidR="006767C3" w:rsidRPr="006767C3" w:rsidRDefault="006767C3" w:rsidP="006767C3">
      <w:pPr>
        <w:numPr>
          <w:ilvl w:val="0"/>
          <w:numId w:val="2"/>
        </w:numPr>
        <w:overflowPunct/>
        <w:autoSpaceDE/>
        <w:autoSpaceDN/>
        <w:adjustRightInd/>
        <w:spacing w:before="100" w:beforeAutospacing="1" w:after="100" w:afterAutospacing="1" w:line="240" w:lineRule="auto"/>
        <w:jc w:val="left"/>
        <w:textAlignment w:val="auto"/>
        <w:rPr>
          <w:rFonts w:ascii="Arial" w:hAnsi="Arial" w:cs="Arial"/>
        </w:rPr>
      </w:pPr>
      <w:r w:rsidRPr="006767C3">
        <w:rPr>
          <w:rFonts w:ascii="Arial" w:hAnsi="Arial" w:cs="Arial"/>
          <w:sz w:val="22"/>
          <w:szCs w:val="22"/>
        </w:rPr>
        <w:t>Customer Service Record (CSR) formatting for all services;</w:t>
      </w:r>
      <w:r w:rsidRPr="006767C3">
        <w:rPr>
          <w:rFonts w:ascii="Arial" w:hAnsi="Arial" w:cs="Arial"/>
        </w:rPr>
        <w:t xml:space="preserve"> </w:t>
      </w:r>
    </w:p>
    <w:p w:rsidR="006767C3" w:rsidRPr="006767C3" w:rsidRDefault="006767C3" w:rsidP="006767C3">
      <w:pPr>
        <w:numPr>
          <w:ilvl w:val="0"/>
          <w:numId w:val="2"/>
        </w:numPr>
        <w:overflowPunct/>
        <w:autoSpaceDE/>
        <w:autoSpaceDN/>
        <w:adjustRightInd/>
        <w:spacing w:before="100" w:beforeAutospacing="1" w:after="100" w:afterAutospacing="1" w:line="240" w:lineRule="auto"/>
        <w:jc w:val="left"/>
        <w:textAlignment w:val="auto"/>
        <w:rPr>
          <w:rFonts w:ascii="Arial" w:hAnsi="Arial" w:cs="Arial"/>
        </w:rPr>
      </w:pPr>
      <w:r w:rsidRPr="006767C3">
        <w:rPr>
          <w:rFonts w:ascii="Arial" w:hAnsi="Arial" w:cs="Arial"/>
          <w:sz w:val="22"/>
          <w:szCs w:val="22"/>
        </w:rPr>
        <w:t>Channel Mileage USOCs will be split into separate fixed and variable USOCs, rather than a single combination USOC.</w:t>
      </w:r>
      <w:r w:rsidRPr="006767C3">
        <w:rPr>
          <w:rFonts w:ascii="Arial" w:hAnsi="Arial" w:cs="Arial"/>
        </w:rPr>
        <w:t xml:space="preserve"> </w:t>
      </w:r>
    </w:p>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Times New Roman" w:hAnsi="Times New Roman"/>
        </w:rPr>
      </w:pPr>
      <w:r w:rsidRPr="006767C3">
        <w:rPr>
          <w:rFonts w:ascii="Arial" w:hAnsi="Arial" w:cs="Arial"/>
          <w:sz w:val="22"/>
          <w:szCs w:val="22"/>
        </w:rPr>
        <w:t xml:space="preserve">Customers who responded by June 30, 2011 to our May 25, 2011 offer for a sample CABS BOS BDT File have received or will receive the sample file soon. </w:t>
      </w:r>
    </w:p>
    <w:p w:rsidR="006767C3" w:rsidRPr="006767C3" w:rsidRDefault="006767C3" w:rsidP="006767C3">
      <w:pPr>
        <w:overflowPunct/>
        <w:autoSpaceDE/>
        <w:autoSpaceDN/>
        <w:adjustRightInd/>
        <w:spacing w:before="100" w:beforeAutospacing="1" w:after="100" w:afterAutospacing="1" w:line="240" w:lineRule="auto"/>
        <w:ind w:right="18"/>
        <w:jc w:val="left"/>
        <w:textAlignment w:val="auto"/>
        <w:rPr>
          <w:rFonts w:ascii="Times New Roman" w:hAnsi="Times New Roman"/>
        </w:rPr>
      </w:pPr>
      <w:r w:rsidRPr="006767C3">
        <w:rPr>
          <w:rFonts w:ascii="Arial" w:hAnsi="Arial" w:cs="Arial"/>
          <w:sz w:val="22"/>
          <w:szCs w:val="22"/>
        </w:rPr>
        <w:t xml:space="preserve">Please ensure that all impacted work groups within your company are aware of this billing system change.  Contact your CenturyLink Account Team or the Wholesale Service Centers if you have any questions.  CenturyLink looks forward to assisting you through this billing system conversion.   </w:t>
      </w:r>
    </w:p>
    <w:p w:rsidR="006767C3" w:rsidRPr="006767C3" w:rsidRDefault="006767C3" w:rsidP="006767C3">
      <w:pPr>
        <w:overflowPunct/>
        <w:autoSpaceDE/>
        <w:autoSpaceDN/>
        <w:adjustRightInd/>
        <w:spacing w:before="100" w:beforeAutospacing="1" w:after="100" w:afterAutospacing="1" w:line="240" w:lineRule="auto"/>
        <w:jc w:val="left"/>
        <w:textAlignment w:val="auto"/>
        <w:rPr>
          <w:rFonts w:ascii="Arial" w:hAnsi="Arial" w:cs="Arial"/>
        </w:rPr>
      </w:pPr>
      <w:r w:rsidRPr="006767C3">
        <w:rPr>
          <w:rFonts w:ascii="Arial" w:hAnsi="Arial" w:cs="Arial"/>
        </w:rPr>
        <w:br/>
        <w:t xml:space="preserve">Sincerely, </w:t>
      </w:r>
      <w:r w:rsidRPr="006767C3">
        <w:rPr>
          <w:rFonts w:ascii="Arial" w:hAnsi="Arial" w:cs="Arial"/>
        </w:rPr>
        <w:br/>
      </w:r>
      <w:r w:rsidRPr="006767C3">
        <w:rPr>
          <w:rFonts w:ascii="Arial" w:hAnsi="Arial" w:cs="Arial"/>
        </w:rPr>
        <w:br/>
      </w:r>
      <w:r w:rsidRPr="006767C3">
        <w:rPr>
          <w:rFonts w:ascii="Arial" w:hAnsi="Arial" w:cs="Arial"/>
        </w:rPr>
        <w:br/>
        <w:t>CenturyLink Inc., on behalf of itself and its subsidiaries</w:t>
      </w:r>
    </w:p>
    <w:p w:rsidR="00CA708C" w:rsidRPr="00584CC7" w:rsidRDefault="00CA708C" w:rsidP="00584CC7">
      <w:pPr>
        <w:spacing w:line="240" w:lineRule="auto"/>
        <w:rPr>
          <w:rFonts w:ascii="Times New Roman" w:hAnsi="Times New Roman"/>
        </w:rPr>
      </w:pPr>
    </w:p>
    <w:sectPr w:rsidR="00CA708C" w:rsidRPr="00584CC7" w:rsidSect="00B24FB2">
      <w:headerReference w:type="default" r:id="rId11"/>
      <w:footerReference w:type="default" r:id="rId12"/>
      <w:pgSz w:w="12240" w:h="15840"/>
      <w:pgMar w:top="1440" w:right="1440" w:bottom="990" w:left="1440" w:header="720" w:footer="1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A7" w:rsidRDefault="00785FA7" w:rsidP="000F7015">
      <w:pPr>
        <w:spacing w:line="240" w:lineRule="auto"/>
      </w:pPr>
      <w:r>
        <w:separator/>
      </w:r>
    </w:p>
  </w:endnote>
  <w:endnote w:type="continuationSeparator" w:id="0">
    <w:p w:rsidR="00785FA7" w:rsidRDefault="00785FA7" w:rsidP="000F70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B2" w:rsidRDefault="00B24FB2">
    <w:pPr>
      <w:pStyle w:val="Footer"/>
      <w:jc w:val="center"/>
    </w:pPr>
    <w:fldSimple w:instr=" PAGE   \* MERGEFORMAT ">
      <w:r w:rsidR="001D1EA2">
        <w:rPr>
          <w:noProof/>
        </w:rPr>
        <w:t>1</w:t>
      </w:r>
    </w:fldSimple>
  </w:p>
  <w:p w:rsidR="00B24FB2" w:rsidRDefault="00B24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C3" w:rsidRDefault="00676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FA7" w:rsidRDefault="00785FA7" w:rsidP="000F7015">
      <w:pPr>
        <w:spacing w:line="240" w:lineRule="auto"/>
      </w:pPr>
      <w:r>
        <w:separator/>
      </w:r>
    </w:p>
  </w:footnote>
  <w:footnote w:type="continuationSeparator" w:id="0">
    <w:p w:rsidR="00785FA7" w:rsidRDefault="00785FA7" w:rsidP="000F70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015" w:rsidRPr="000F7015" w:rsidRDefault="000F7015" w:rsidP="000F7015">
    <w:pPr>
      <w:pStyle w:val="Header"/>
      <w:spacing w:line="240" w:lineRule="auto"/>
      <w:jc w:val="center"/>
      <w:rPr>
        <w:rFonts w:ascii="Times New Roman" w:hAnsi="Times New Roman"/>
        <w:b/>
      </w:rPr>
    </w:pPr>
    <w:r w:rsidRPr="000F7015">
      <w:rPr>
        <w:rFonts w:ascii="Times New Roman" w:hAnsi="Times New Roman"/>
        <w:b/>
      </w:rPr>
      <w:t>CenturyLink</w:t>
    </w:r>
  </w:p>
  <w:p w:rsidR="000F7015" w:rsidRPr="000F7015" w:rsidRDefault="000F7015" w:rsidP="000F7015">
    <w:pPr>
      <w:pStyle w:val="Header"/>
      <w:spacing w:line="240" w:lineRule="auto"/>
      <w:jc w:val="center"/>
      <w:rPr>
        <w:rFonts w:ascii="Times New Roman" w:hAnsi="Times New Roman"/>
        <w:b/>
      </w:rPr>
    </w:pPr>
    <w:r w:rsidRPr="000F7015">
      <w:rPr>
        <w:rFonts w:ascii="Times New Roman" w:hAnsi="Times New Roman"/>
        <w:b/>
      </w:rPr>
      <w:t>Major System Conversion Advance Notice</w:t>
    </w:r>
  </w:p>
  <w:p w:rsidR="000F7015" w:rsidRPr="000F7015" w:rsidRDefault="000F7015" w:rsidP="000F7015">
    <w:pPr>
      <w:pStyle w:val="Header"/>
      <w:spacing w:line="240" w:lineRule="auto"/>
      <w:jc w:val="center"/>
      <w:rPr>
        <w:rFonts w:ascii="Times New Roman" w:hAnsi="Times New Roman"/>
        <w:b/>
      </w:rPr>
    </w:pPr>
    <w:r w:rsidRPr="000F7015">
      <w:rPr>
        <w:rFonts w:ascii="Times New Roman" w:hAnsi="Times New Roman"/>
        <w:b/>
      </w:rPr>
      <w:t>In Compliance with CenturyTel/Embarq Merger Condition 11</w:t>
    </w:r>
  </w:p>
  <w:p w:rsidR="000F7015" w:rsidRDefault="000F7015" w:rsidP="000F7015">
    <w:pPr>
      <w:pStyle w:val="Header"/>
      <w:spacing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86" w:rsidRDefault="00B64986" w:rsidP="006767C3">
    <w:pPr>
      <w:pStyle w:val="Header"/>
      <w:spacing w:line="240" w:lineRule="auto"/>
      <w:jc w:val="right"/>
      <w:rPr>
        <w:rFonts w:ascii="Times New Roman" w:hAnsi="Times New Roman"/>
        <w:b/>
      </w:rPr>
    </w:pPr>
  </w:p>
  <w:p w:rsidR="006767C3" w:rsidRPr="000F7015" w:rsidRDefault="006767C3" w:rsidP="006767C3">
    <w:pPr>
      <w:pStyle w:val="Header"/>
      <w:spacing w:line="240" w:lineRule="auto"/>
      <w:jc w:val="right"/>
      <w:rPr>
        <w:rFonts w:ascii="Times New Roman" w:hAnsi="Times New Roman"/>
        <w:b/>
      </w:rPr>
    </w:pPr>
    <w:r>
      <w:rPr>
        <w:rFonts w:ascii="Times New Roman" w:hAnsi="Times New Roman"/>
        <w:b/>
      </w:rPr>
      <w:t>Attachment A</w:t>
    </w:r>
  </w:p>
  <w:p w:rsidR="006767C3" w:rsidRDefault="006767C3" w:rsidP="000F7015">
    <w:pPr>
      <w:pStyle w:val="Header"/>
      <w:spacing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4BC"/>
    <w:multiLevelType w:val="multilevel"/>
    <w:tmpl w:val="8CD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A14698"/>
    <w:multiLevelType w:val="hybridMultilevel"/>
    <w:tmpl w:val="5D10BD46"/>
    <w:lvl w:ilvl="0" w:tplc="31E47F54">
      <w:start w:val="11"/>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0F7015"/>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508B"/>
    <w:rsid w:val="00035321"/>
    <w:rsid w:val="000357D3"/>
    <w:rsid w:val="00036AD3"/>
    <w:rsid w:val="00037048"/>
    <w:rsid w:val="00040273"/>
    <w:rsid w:val="00040492"/>
    <w:rsid w:val="0004248D"/>
    <w:rsid w:val="00042E1F"/>
    <w:rsid w:val="00044862"/>
    <w:rsid w:val="0004496C"/>
    <w:rsid w:val="000450E0"/>
    <w:rsid w:val="00045487"/>
    <w:rsid w:val="00045D67"/>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5613"/>
    <w:rsid w:val="000A5C3E"/>
    <w:rsid w:val="000A5FEF"/>
    <w:rsid w:val="000A65E3"/>
    <w:rsid w:val="000A65EB"/>
    <w:rsid w:val="000A7A06"/>
    <w:rsid w:val="000B0BB8"/>
    <w:rsid w:val="000B281B"/>
    <w:rsid w:val="000B2CA9"/>
    <w:rsid w:val="000B35B8"/>
    <w:rsid w:val="000B4189"/>
    <w:rsid w:val="000B5184"/>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F04B6"/>
    <w:rsid w:val="000F2DC3"/>
    <w:rsid w:val="000F4037"/>
    <w:rsid w:val="000F4765"/>
    <w:rsid w:val="000F47F7"/>
    <w:rsid w:val="000F524A"/>
    <w:rsid w:val="000F6FDB"/>
    <w:rsid w:val="000F7015"/>
    <w:rsid w:val="000F7744"/>
    <w:rsid w:val="00100B29"/>
    <w:rsid w:val="0010127A"/>
    <w:rsid w:val="00101B8F"/>
    <w:rsid w:val="00103DF0"/>
    <w:rsid w:val="00103FFB"/>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25"/>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7E7"/>
    <w:rsid w:val="001B070F"/>
    <w:rsid w:val="001B1F1A"/>
    <w:rsid w:val="001B266A"/>
    <w:rsid w:val="001B5A2F"/>
    <w:rsid w:val="001B5C94"/>
    <w:rsid w:val="001B6890"/>
    <w:rsid w:val="001B6FED"/>
    <w:rsid w:val="001B7706"/>
    <w:rsid w:val="001B7DB6"/>
    <w:rsid w:val="001C0717"/>
    <w:rsid w:val="001C180F"/>
    <w:rsid w:val="001C2375"/>
    <w:rsid w:val="001C38D0"/>
    <w:rsid w:val="001C48A9"/>
    <w:rsid w:val="001C66FF"/>
    <w:rsid w:val="001C6E04"/>
    <w:rsid w:val="001D17D5"/>
    <w:rsid w:val="001D1EA2"/>
    <w:rsid w:val="001D2764"/>
    <w:rsid w:val="001D4E01"/>
    <w:rsid w:val="001D7163"/>
    <w:rsid w:val="001D7505"/>
    <w:rsid w:val="001E0671"/>
    <w:rsid w:val="001E07DD"/>
    <w:rsid w:val="001E1094"/>
    <w:rsid w:val="001E1875"/>
    <w:rsid w:val="001E2217"/>
    <w:rsid w:val="001E23EF"/>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68"/>
    <w:rsid w:val="0024722F"/>
    <w:rsid w:val="00247B62"/>
    <w:rsid w:val="00250A9C"/>
    <w:rsid w:val="00253956"/>
    <w:rsid w:val="002546D3"/>
    <w:rsid w:val="00254ABF"/>
    <w:rsid w:val="00255E4F"/>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C3D"/>
    <w:rsid w:val="00282E5F"/>
    <w:rsid w:val="00283394"/>
    <w:rsid w:val="0028343F"/>
    <w:rsid w:val="0028372E"/>
    <w:rsid w:val="00283E92"/>
    <w:rsid w:val="00283F1D"/>
    <w:rsid w:val="0028569C"/>
    <w:rsid w:val="00286ACB"/>
    <w:rsid w:val="002876DD"/>
    <w:rsid w:val="002901F5"/>
    <w:rsid w:val="00292A57"/>
    <w:rsid w:val="00292EB8"/>
    <w:rsid w:val="0029330B"/>
    <w:rsid w:val="00293598"/>
    <w:rsid w:val="0029387D"/>
    <w:rsid w:val="00293BF7"/>
    <w:rsid w:val="002940A4"/>
    <w:rsid w:val="002943B9"/>
    <w:rsid w:val="00294F54"/>
    <w:rsid w:val="00295366"/>
    <w:rsid w:val="00297E53"/>
    <w:rsid w:val="002A04A9"/>
    <w:rsid w:val="002A292A"/>
    <w:rsid w:val="002A4BB0"/>
    <w:rsid w:val="002A54AA"/>
    <w:rsid w:val="002A584B"/>
    <w:rsid w:val="002A6399"/>
    <w:rsid w:val="002A655A"/>
    <w:rsid w:val="002A6B15"/>
    <w:rsid w:val="002A7AD5"/>
    <w:rsid w:val="002B1362"/>
    <w:rsid w:val="002B1C4B"/>
    <w:rsid w:val="002B1ECB"/>
    <w:rsid w:val="002B3498"/>
    <w:rsid w:val="002B4F48"/>
    <w:rsid w:val="002B5592"/>
    <w:rsid w:val="002B5A2F"/>
    <w:rsid w:val="002B68AC"/>
    <w:rsid w:val="002B7391"/>
    <w:rsid w:val="002B7B43"/>
    <w:rsid w:val="002B7F81"/>
    <w:rsid w:val="002C049F"/>
    <w:rsid w:val="002C0509"/>
    <w:rsid w:val="002C283B"/>
    <w:rsid w:val="002C2BB8"/>
    <w:rsid w:val="002C3D1D"/>
    <w:rsid w:val="002C414B"/>
    <w:rsid w:val="002C487B"/>
    <w:rsid w:val="002C4C62"/>
    <w:rsid w:val="002C60A3"/>
    <w:rsid w:val="002C7ED3"/>
    <w:rsid w:val="002C7F39"/>
    <w:rsid w:val="002D11A6"/>
    <w:rsid w:val="002D2457"/>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F38"/>
    <w:rsid w:val="003057ED"/>
    <w:rsid w:val="00306CE4"/>
    <w:rsid w:val="00307151"/>
    <w:rsid w:val="003109E5"/>
    <w:rsid w:val="00310A38"/>
    <w:rsid w:val="00311318"/>
    <w:rsid w:val="00311D9D"/>
    <w:rsid w:val="003125F9"/>
    <w:rsid w:val="00316603"/>
    <w:rsid w:val="0031706E"/>
    <w:rsid w:val="003174A3"/>
    <w:rsid w:val="0032026E"/>
    <w:rsid w:val="00320803"/>
    <w:rsid w:val="0032123C"/>
    <w:rsid w:val="0032143D"/>
    <w:rsid w:val="00321454"/>
    <w:rsid w:val="003214FC"/>
    <w:rsid w:val="00322125"/>
    <w:rsid w:val="00322ED5"/>
    <w:rsid w:val="00325006"/>
    <w:rsid w:val="00325BEF"/>
    <w:rsid w:val="003260B4"/>
    <w:rsid w:val="003265A2"/>
    <w:rsid w:val="003265D8"/>
    <w:rsid w:val="0032726A"/>
    <w:rsid w:val="00331F33"/>
    <w:rsid w:val="00332B6F"/>
    <w:rsid w:val="00334F0E"/>
    <w:rsid w:val="003350E7"/>
    <w:rsid w:val="003355A1"/>
    <w:rsid w:val="00336BDC"/>
    <w:rsid w:val="003373C5"/>
    <w:rsid w:val="00340E0C"/>
    <w:rsid w:val="00342660"/>
    <w:rsid w:val="00343750"/>
    <w:rsid w:val="003443C3"/>
    <w:rsid w:val="003467B2"/>
    <w:rsid w:val="00346FBD"/>
    <w:rsid w:val="00347B4B"/>
    <w:rsid w:val="00352A07"/>
    <w:rsid w:val="00352B1E"/>
    <w:rsid w:val="00352BD9"/>
    <w:rsid w:val="00353092"/>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4006E9"/>
    <w:rsid w:val="0040145F"/>
    <w:rsid w:val="0040279C"/>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0AE"/>
    <w:rsid w:val="004521C4"/>
    <w:rsid w:val="00453C9F"/>
    <w:rsid w:val="00454065"/>
    <w:rsid w:val="0045480C"/>
    <w:rsid w:val="004548B5"/>
    <w:rsid w:val="00454BEF"/>
    <w:rsid w:val="00455238"/>
    <w:rsid w:val="004554A8"/>
    <w:rsid w:val="00455926"/>
    <w:rsid w:val="00455BF2"/>
    <w:rsid w:val="00455D3D"/>
    <w:rsid w:val="0045715D"/>
    <w:rsid w:val="00457189"/>
    <w:rsid w:val="00460075"/>
    <w:rsid w:val="0046105A"/>
    <w:rsid w:val="00461DF7"/>
    <w:rsid w:val="00463512"/>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4B70"/>
    <w:rsid w:val="004C4BF7"/>
    <w:rsid w:val="004C4C93"/>
    <w:rsid w:val="004C5DC5"/>
    <w:rsid w:val="004C5DF8"/>
    <w:rsid w:val="004C78FE"/>
    <w:rsid w:val="004C7B20"/>
    <w:rsid w:val="004D130D"/>
    <w:rsid w:val="004D18A2"/>
    <w:rsid w:val="004D1A59"/>
    <w:rsid w:val="004D25BD"/>
    <w:rsid w:val="004D3901"/>
    <w:rsid w:val="004D3CCB"/>
    <w:rsid w:val="004D54F7"/>
    <w:rsid w:val="004D7419"/>
    <w:rsid w:val="004D7FF7"/>
    <w:rsid w:val="004E03CE"/>
    <w:rsid w:val="004E12B7"/>
    <w:rsid w:val="004E283E"/>
    <w:rsid w:val="004E3245"/>
    <w:rsid w:val="004E3714"/>
    <w:rsid w:val="004E4047"/>
    <w:rsid w:val="004E54F8"/>
    <w:rsid w:val="004E5620"/>
    <w:rsid w:val="004E5886"/>
    <w:rsid w:val="004E6035"/>
    <w:rsid w:val="004E660A"/>
    <w:rsid w:val="004E7635"/>
    <w:rsid w:val="004F0D16"/>
    <w:rsid w:val="004F0D5C"/>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580A"/>
    <w:rsid w:val="005062CA"/>
    <w:rsid w:val="00506ABB"/>
    <w:rsid w:val="00506AE5"/>
    <w:rsid w:val="00507F3F"/>
    <w:rsid w:val="00510831"/>
    <w:rsid w:val="005113F6"/>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8DA"/>
    <w:rsid w:val="0053265C"/>
    <w:rsid w:val="0053450F"/>
    <w:rsid w:val="00535694"/>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F71"/>
    <w:rsid w:val="00562AB6"/>
    <w:rsid w:val="005632D3"/>
    <w:rsid w:val="005649C5"/>
    <w:rsid w:val="00564B41"/>
    <w:rsid w:val="005650CA"/>
    <w:rsid w:val="00565289"/>
    <w:rsid w:val="005665D6"/>
    <w:rsid w:val="005669B9"/>
    <w:rsid w:val="0056733F"/>
    <w:rsid w:val="00567822"/>
    <w:rsid w:val="005702BA"/>
    <w:rsid w:val="00570549"/>
    <w:rsid w:val="00570F66"/>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4CC7"/>
    <w:rsid w:val="005854CA"/>
    <w:rsid w:val="005855E9"/>
    <w:rsid w:val="00585A00"/>
    <w:rsid w:val="005862F8"/>
    <w:rsid w:val="005868BE"/>
    <w:rsid w:val="00587B75"/>
    <w:rsid w:val="00587E49"/>
    <w:rsid w:val="005904D0"/>
    <w:rsid w:val="005915C7"/>
    <w:rsid w:val="005915CD"/>
    <w:rsid w:val="00592824"/>
    <w:rsid w:val="0059467B"/>
    <w:rsid w:val="005956E9"/>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53E"/>
    <w:rsid w:val="005C3900"/>
    <w:rsid w:val="005C460C"/>
    <w:rsid w:val="005C5C39"/>
    <w:rsid w:val="005C633B"/>
    <w:rsid w:val="005C6908"/>
    <w:rsid w:val="005C6F30"/>
    <w:rsid w:val="005C73D7"/>
    <w:rsid w:val="005C74BF"/>
    <w:rsid w:val="005C764C"/>
    <w:rsid w:val="005D0D24"/>
    <w:rsid w:val="005D1830"/>
    <w:rsid w:val="005D1E1D"/>
    <w:rsid w:val="005D2728"/>
    <w:rsid w:val="005D35AC"/>
    <w:rsid w:val="005D499B"/>
    <w:rsid w:val="005D4AFA"/>
    <w:rsid w:val="005D4C5C"/>
    <w:rsid w:val="005D7045"/>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1B2C"/>
    <w:rsid w:val="0060392A"/>
    <w:rsid w:val="00604F17"/>
    <w:rsid w:val="00606280"/>
    <w:rsid w:val="00607E6C"/>
    <w:rsid w:val="00610509"/>
    <w:rsid w:val="006115A6"/>
    <w:rsid w:val="0061169F"/>
    <w:rsid w:val="006119D7"/>
    <w:rsid w:val="00612868"/>
    <w:rsid w:val="00612C9F"/>
    <w:rsid w:val="006135C1"/>
    <w:rsid w:val="006147C4"/>
    <w:rsid w:val="00614CA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2936"/>
    <w:rsid w:val="00642A1D"/>
    <w:rsid w:val="00643B45"/>
    <w:rsid w:val="0064414D"/>
    <w:rsid w:val="006443DF"/>
    <w:rsid w:val="00644B02"/>
    <w:rsid w:val="00645EAC"/>
    <w:rsid w:val="006462AC"/>
    <w:rsid w:val="006523FD"/>
    <w:rsid w:val="006523FE"/>
    <w:rsid w:val="00652C2D"/>
    <w:rsid w:val="00655A03"/>
    <w:rsid w:val="00655C99"/>
    <w:rsid w:val="00656005"/>
    <w:rsid w:val="00656ED8"/>
    <w:rsid w:val="0065702E"/>
    <w:rsid w:val="006573DA"/>
    <w:rsid w:val="00661342"/>
    <w:rsid w:val="00662316"/>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67C3"/>
    <w:rsid w:val="00677EC2"/>
    <w:rsid w:val="00680563"/>
    <w:rsid w:val="00681B06"/>
    <w:rsid w:val="006821B7"/>
    <w:rsid w:val="006824B6"/>
    <w:rsid w:val="00684B9B"/>
    <w:rsid w:val="00684BE0"/>
    <w:rsid w:val="00685B5D"/>
    <w:rsid w:val="00686B66"/>
    <w:rsid w:val="00687981"/>
    <w:rsid w:val="00692184"/>
    <w:rsid w:val="00692926"/>
    <w:rsid w:val="00692932"/>
    <w:rsid w:val="00692933"/>
    <w:rsid w:val="00692980"/>
    <w:rsid w:val="00692C02"/>
    <w:rsid w:val="006947E2"/>
    <w:rsid w:val="00695317"/>
    <w:rsid w:val="0069571F"/>
    <w:rsid w:val="006958FA"/>
    <w:rsid w:val="00695DBA"/>
    <w:rsid w:val="006962D5"/>
    <w:rsid w:val="00696725"/>
    <w:rsid w:val="00696DE2"/>
    <w:rsid w:val="006979BC"/>
    <w:rsid w:val="006A0A2B"/>
    <w:rsid w:val="006A0A9F"/>
    <w:rsid w:val="006A19FC"/>
    <w:rsid w:val="006A6298"/>
    <w:rsid w:val="006A6E80"/>
    <w:rsid w:val="006A707E"/>
    <w:rsid w:val="006B114D"/>
    <w:rsid w:val="006B1B61"/>
    <w:rsid w:val="006B1D27"/>
    <w:rsid w:val="006B202F"/>
    <w:rsid w:val="006B3D0A"/>
    <w:rsid w:val="006B47FF"/>
    <w:rsid w:val="006B4AF0"/>
    <w:rsid w:val="006B4C3E"/>
    <w:rsid w:val="006B4EFE"/>
    <w:rsid w:val="006B5012"/>
    <w:rsid w:val="006B5C9E"/>
    <w:rsid w:val="006B606F"/>
    <w:rsid w:val="006B6987"/>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C40"/>
    <w:rsid w:val="006D48F9"/>
    <w:rsid w:val="006D5BE7"/>
    <w:rsid w:val="006D6F65"/>
    <w:rsid w:val="006D7087"/>
    <w:rsid w:val="006E0210"/>
    <w:rsid w:val="006E071E"/>
    <w:rsid w:val="006E1323"/>
    <w:rsid w:val="006E1575"/>
    <w:rsid w:val="006E197D"/>
    <w:rsid w:val="006E1A70"/>
    <w:rsid w:val="006E1C6F"/>
    <w:rsid w:val="006E1F01"/>
    <w:rsid w:val="006E2275"/>
    <w:rsid w:val="006E2913"/>
    <w:rsid w:val="006E334B"/>
    <w:rsid w:val="006E33E6"/>
    <w:rsid w:val="006E37E3"/>
    <w:rsid w:val="006E3A10"/>
    <w:rsid w:val="006E4E39"/>
    <w:rsid w:val="006E5103"/>
    <w:rsid w:val="006E5AA5"/>
    <w:rsid w:val="006E729D"/>
    <w:rsid w:val="006E73F9"/>
    <w:rsid w:val="006E74DE"/>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17BFE"/>
    <w:rsid w:val="007201CD"/>
    <w:rsid w:val="00720FD0"/>
    <w:rsid w:val="007228D3"/>
    <w:rsid w:val="00723B23"/>
    <w:rsid w:val="00725084"/>
    <w:rsid w:val="007250C6"/>
    <w:rsid w:val="00725D50"/>
    <w:rsid w:val="00727AFE"/>
    <w:rsid w:val="0073240C"/>
    <w:rsid w:val="00732A5B"/>
    <w:rsid w:val="00733754"/>
    <w:rsid w:val="007341C2"/>
    <w:rsid w:val="0073786F"/>
    <w:rsid w:val="00737FBF"/>
    <w:rsid w:val="00740898"/>
    <w:rsid w:val="007408DC"/>
    <w:rsid w:val="00740EBB"/>
    <w:rsid w:val="00740ECF"/>
    <w:rsid w:val="00740FA3"/>
    <w:rsid w:val="00741B49"/>
    <w:rsid w:val="007449D9"/>
    <w:rsid w:val="00745317"/>
    <w:rsid w:val="00745324"/>
    <w:rsid w:val="00746F7E"/>
    <w:rsid w:val="00750EA8"/>
    <w:rsid w:val="007516A8"/>
    <w:rsid w:val="00752386"/>
    <w:rsid w:val="00752B34"/>
    <w:rsid w:val="007532CA"/>
    <w:rsid w:val="007541F5"/>
    <w:rsid w:val="007543CC"/>
    <w:rsid w:val="00755E22"/>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5FA7"/>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D0191"/>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519"/>
    <w:rsid w:val="0087332B"/>
    <w:rsid w:val="008735AA"/>
    <w:rsid w:val="008736A7"/>
    <w:rsid w:val="00873DB0"/>
    <w:rsid w:val="008742A0"/>
    <w:rsid w:val="0087583A"/>
    <w:rsid w:val="008758C3"/>
    <w:rsid w:val="00877E8E"/>
    <w:rsid w:val="00880914"/>
    <w:rsid w:val="00882988"/>
    <w:rsid w:val="00885321"/>
    <w:rsid w:val="00887C82"/>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825"/>
    <w:rsid w:val="008A5DF3"/>
    <w:rsid w:val="008A5FB7"/>
    <w:rsid w:val="008B2AE2"/>
    <w:rsid w:val="008B2BB8"/>
    <w:rsid w:val="008B3D18"/>
    <w:rsid w:val="008B3F14"/>
    <w:rsid w:val="008B42DF"/>
    <w:rsid w:val="008B4E27"/>
    <w:rsid w:val="008B6559"/>
    <w:rsid w:val="008B6E91"/>
    <w:rsid w:val="008B7FA3"/>
    <w:rsid w:val="008C0AB7"/>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6F6"/>
    <w:rsid w:val="008E112B"/>
    <w:rsid w:val="008E1A6F"/>
    <w:rsid w:val="008E2AB6"/>
    <w:rsid w:val="008E37D8"/>
    <w:rsid w:val="008E3A25"/>
    <w:rsid w:val="008E4450"/>
    <w:rsid w:val="008E49D3"/>
    <w:rsid w:val="008E531B"/>
    <w:rsid w:val="008E5626"/>
    <w:rsid w:val="008E5E17"/>
    <w:rsid w:val="008E6345"/>
    <w:rsid w:val="008E76BC"/>
    <w:rsid w:val="008E7D8C"/>
    <w:rsid w:val="008F0CE7"/>
    <w:rsid w:val="008F0EE7"/>
    <w:rsid w:val="008F10FF"/>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11318"/>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5F7F"/>
    <w:rsid w:val="0093097E"/>
    <w:rsid w:val="009320B0"/>
    <w:rsid w:val="00934893"/>
    <w:rsid w:val="009349B8"/>
    <w:rsid w:val="00934A13"/>
    <w:rsid w:val="00935916"/>
    <w:rsid w:val="00935C7B"/>
    <w:rsid w:val="00935C9A"/>
    <w:rsid w:val="009364D0"/>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4A20"/>
    <w:rsid w:val="00964FAA"/>
    <w:rsid w:val="00971CD9"/>
    <w:rsid w:val="009749C7"/>
    <w:rsid w:val="0097554D"/>
    <w:rsid w:val="0097571D"/>
    <w:rsid w:val="009769E8"/>
    <w:rsid w:val="0098144E"/>
    <w:rsid w:val="00981A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2E5"/>
    <w:rsid w:val="009F4488"/>
    <w:rsid w:val="009F5C86"/>
    <w:rsid w:val="009F5F17"/>
    <w:rsid w:val="009F6286"/>
    <w:rsid w:val="009F6381"/>
    <w:rsid w:val="009F68D8"/>
    <w:rsid w:val="009F7216"/>
    <w:rsid w:val="00A005F4"/>
    <w:rsid w:val="00A01563"/>
    <w:rsid w:val="00A02FAC"/>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DAD"/>
    <w:rsid w:val="00A45C7B"/>
    <w:rsid w:val="00A45DF6"/>
    <w:rsid w:val="00A46E06"/>
    <w:rsid w:val="00A46F61"/>
    <w:rsid w:val="00A501B7"/>
    <w:rsid w:val="00A504B8"/>
    <w:rsid w:val="00A51A18"/>
    <w:rsid w:val="00A52936"/>
    <w:rsid w:val="00A54291"/>
    <w:rsid w:val="00A56990"/>
    <w:rsid w:val="00A5746C"/>
    <w:rsid w:val="00A60936"/>
    <w:rsid w:val="00A609A2"/>
    <w:rsid w:val="00A60B74"/>
    <w:rsid w:val="00A60C56"/>
    <w:rsid w:val="00A61924"/>
    <w:rsid w:val="00A62743"/>
    <w:rsid w:val="00A6371F"/>
    <w:rsid w:val="00A6492C"/>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4CD"/>
    <w:rsid w:val="00A9651C"/>
    <w:rsid w:val="00A96B73"/>
    <w:rsid w:val="00A97EBC"/>
    <w:rsid w:val="00AA0351"/>
    <w:rsid w:val="00AA0415"/>
    <w:rsid w:val="00AA12A5"/>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E475E"/>
    <w:rsid w:val="00AE570F"/>
    <w:rsid w:val="00AE5E35"/>
    <w:rsid w:val="00AE6431"/>
    <w:rsid w:val="00AE71C7"/>
    <w:rsid w:val="00AE776C"/>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71"/>
    <w:rsid w:val="00B23C9C"/>
    <w:rsid w:val="00B24213"/>
    <w:rsid w:val="00B24FB2"/>
    <w:rsid w:val="00B268F3"/>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BAE"/>
    <w:rsid w:val="00B50467"/>
    <w:rsid w:val="00B51736"/>
    <w:rsid w:val="00B517F3"/>
    <w:rsid w:val="00B519CA"/>
    <w:rsid w:val="00B52F98"/>
    <w:rsid w:val="00B53019"/>
    <w:rsid w:val="00B546AC"/>
    <w:rsid w:val="00B54EB8"/>
    <w:rsid w:val="00B55C8B"/>
    <w:rsid w:val="00B57242"/>
    <w:rsid w:val="00B60BB2"/>
    <w:rsid w:val="00B61BC8"/>
    <w:rsid w:val="00B62CDC"/>
    <w:rsid w:val="00B6302D"/>
    <w:rsid w:val="00B63D14"/>
    <w:rsid w:val="00B64688"/>
    <w:rsid w:val="00B64986"/>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DC5"/>
    <w:rsid w:val="00C15454"/>
    <w:rsid w:val="00C1556A"/>
    <w:rsid w:val="00C16777"/>
    <w:rsid w:val="00C16AAD"/>
    <w:rsid w:val="00C17319"/>
    <w:rsid w:val="00C20BC2"/>
    <w:rsid w:val="00C221E4"/>
    <w:rsid w:val="00C22826"/>
    <w:rsid w:val="00C23482"/>
    <w:rsid w:val="00C24769"/>
    <w:rsid w:val="00C25C0A"/>
    <w:rsid w:val="00C2615D"/>
    <w:rsid w:val="00C26D44"/>
    <w:rsid w:val="00C2708A"/>
    <w:rsid w:val="00C32606"/>
    <w:rsid w:val="00C32644"/>
    <w:rsid w:val="00C32AEA"/>
    <w:rsid w:val="00C32F65"/>
    <w:rsid w:val="00C330CC"/>
    <w:rsid w:val="00C339CE"/>
    <w:rsid w:val="00C33BFC"/>
    <w:rsid w:val="00C34714"/>
    <w:rsid w:val="00C355ED"/>
    <w:rsid w:val="00C3621A"/>
    <w:rsid w:val="00C36527"/>
    <w:rsid w:val="00C37256"/>
    <w:rsid w:val="00C37CAD"/>
    <w:rsid w:val="00C37EB0"/>
    <w:rsid w:val="00C40538"/>
    <w:rsid w:val="00C405C3"/>
    <w:rsid w:val="00C4062C"/>
    <w:rsid w:val="00C41644"/>
    <w:rsid w:val="00C45D50"/>
    <w:rsid w:val="00C4666D"/>
    <w:rsid w:val="00C466AF"/>
    <w:rsid w:val="00C469C4"/>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AD6"/>
    <w:rsid w:val="00C76D40"/>
    <w:rsid w:val="00C7788C"/>
    <w:rsid w:val="00C77A2D"/>
    <w:rsid w:val="00C77B51"/>
    <w:rsid w:val="00C77D3A"/>
    <w:rsid w:val="00C80258"/>
    <w:rsid w:val="00C8235E"/>
    <w:rsid w:val="00C8326E"/>
    <w:rsid w:val="00C83831"/>
    <w:rsid w:val="00C84735"/>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1557"/>
    <w:rsid w:val="00CA218D"/>
    <w:rsid w:val="00CA3493"/>
    <w:rsid w:val="00CA3E73"/>
    <w:rsid w:val="00CA43B6"/>
    <w:rsid w:val="00CA459B"/>
    <w:rsid w:val="00CA4A9B"/>
    <w:rsid w:val="00CA4C8C"/>
    <w:rsid w:val="00CA6BCF"/>
    <w:rsid w:val="00CA6DF9"/>
    <w:rsid w:val="00CA6E42"/>
    <w:rsid w:val="00CA7027"/>
    <w:rsid w:val="00CA708C"/>
    <w:rsid w:val="00CA721B"/>
    <w:rsid w:val="00CA79F8"/>
    <w:rsid w:val="00CB0703"/>
    <w:rsid w:val="00CB0AF6"/>
    <w:rsid w:val="00CB126A"/>
    <w:rsid w:val="00CB12ED"/>
    <w:rsid w:val="00CB1884"/>
    <w:rsid w:val="00CB1A8E"/>
    <w:rsid w:val="00CB1FF0"/>
    <w:rsid w:val="00CB29CD"/>
    <w:rsid w:val="00CB43B1"/>
    <w:rsid w:val="00CB5341"/>
    <w:rsid w:val="00CB53A4"/>
    <w:rsid w:val="00CB5AEC"/>
    <w:rsid w:val="00CB641B"/>
    <w:rsid w:val="00CB6A86"/>
    <w:rsid w:val="00CB748B"/>
    <w:rsid w:val="00CC0424"/>
    <w:rsid w:val="00CC0EC5"/>
    <w:rsid w:val="00CC1FDC"/>
    <w:rsid w:val="00CC3668"/>
    <w:rsid w:val="00CC4260"/>
    <w:rsid w:val="00CC44FF"/>
    <w:rsid w:val="00CC599B"/>
    <w:rsid w:val="00CC5E0F"/>
    <w:rsid w:val="00CC73EB"/>
    <w:rsid w:val="00CC7D1B"/>
    <w:rsid w:val="00CD073E"/>
    <w:rsid w:val="00CD175D"/>
    <w:rsid w:val="00CD18A0"/>
    <w:rsid w:val="00CD2610"/>
    <w:rsid w:val="00CD3010"/>
    <w:rsid w:val="00CD45F3"/>
    <w:rsid w:val="00CD47F0"/>
    <w:rsid w:val="00CD4D92"/>
    <w:rsid w:val="00CD4E16"/>
    <w:rsid w:val="00CD66C0"/>
    <w:rsid w:val="00CD6C01"/>
    <w:rsid w:val="00CE0F1F"/>
    <w:rsid w:val="00CE38E0"/>
    <w:rsid w:val="00CE38F6"/>
    <w:rsid w:val="00CE46CA"/>
    <w:rsid w:val="00CE4D30"/>
    <w:rsid w:val="00CE5469"/>
    <w:rsid w:val="00CE5D2A"/>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CC7"/>
    <w:rsid w:val="00D21385"/>
    <w:rsid w:val="00D21AD6"/>
    <w:rsid w:val="00D21EEF"/>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D1C"/>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602F"/>
    <w:rsid w:val="00DB65AF"/>
    <w:rsid w:val="00DB7DA5"/>
    <w:rsid w:val="00DC060B"/>
    <w:rsid w:val="00DC0D87"/>
    <w:rsid w:val="00DC160B"/>
    <w:rsid w:val="00DC192C"/>
    <w:rsid w:val="00DC1BD4"/>
    <w:rsid w:val="00DC370C"/>
    <w:rsid w:val="00DC372D"/>
    <w:rsid w:val="00DC3B9B"/>
    <w:rsid w:val="00DC3D67"/>
    <w:rsid w:val="00DC3F66"/>
    <w:rsid w:val="00DC41C0"/>
    <w:rsid w:val="00DC4326"/>
    <w:rsid w:val="00DC47FF"/>
    <w:rsid w:val="00DC504C"/>
    <w:rsid w:val="00DC528D"/>
    <w:rsid w:val="00DC62E3"/>
    <w:rsid w:val="00DC7755"/>
    <w:rsid w:val="00DC7955"/>
    <w:rsid w:val="00DD11BD"/>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E785A"/>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5843"/>
    <w:rsid w:val="00E77A2C"/>
    <w:rsid w:val="00E8058C"/>
    <w:rsid w:val="00E80ABA"/>
    <w:rsid w:val="00E814CB"/>
    <w:rsid w:val="00E81C64"/>
    <w:rsid w:val="00E82792"/>
    <w:rsid w:val="00E83B96"/>
    <w:rsid w:val="00E8434E"/>
    <w:rsid w:val="00E85C46"/>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220"/>
    <w:rsid w:val="00EA44C1"/>
    <w:rsid w:val="00EA44D2"/>
    <w:rsid w:val="00EA5D57"/>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AF0"/>
    <w:rsid w:val="00EB7BC1"/>
    <w:rsid w:val="00EC07D7"/>
    <w:rsid w:val="00EC0AB4"/>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3524"/>
    <w:rsid w:val="00F54280"/>
    <w:rsid w:val="00F546AD"/>
    <w:rsid w:val="00F5549F"/>
    <w:rsid w:val="00F55521"/>
    <w:rsid w:val="00F55804"/>
    <w:rsid w:val="00F55F9B"/>
    <w:rsid w:val="00F56211"/>
    <w:rsid w:val="00F5648A"/>
    <w:rsid w:val="00F56F03"/>
    <w:rsid w:val="00F57CF2"/>
    <w:rsid w:val="00F61001"/>
    <w:rsid w:val="00F616D2"/>
    <w:rsid w:val="00F61752"/>
    <w:rsid w:val="00F62C44"/>
    <w:rsid w:val="00F62CD0"/>
    <w:rsid w:val="00F6308D"/>
    <w:rsid w:val="00F63F06"/>
    <w:rsid w:val="00F6599A"/>
    <w:rsid w:val="00F67C27"/>
    <w:rsid w:val="00F67CB8"/>
    <w:rsid w:val="00F708DD"/>
    <w:rsid w:val="00F70974"/>
    <w:rsid w:val="00F71604"/>
    <w:rsid w:val="00F73314"/>
    <w:rsid w:val="00F7415A"/>
    <w:rsid w:val="00F74532"/>
    <w:rsid w:val="00F74C80"/>
    <w:rsid w:val="00F760ED"/>
    <w:rsid w:val="00F76372"/>
    <w:rsid w:val="00F7637C"/>
    <w:rsid w:val="00F769BD"/>
    <w:rsid w:val="00F769E9"/>
    <w:rsid w:val="00F76CF8"/>
    <w:rsid w:val="00F7744C"/>
    <w:rsid w:val="00F77EAD"/>
    <w:rsid w:val="00F80552"/>
    <w:rsid w:val="00F81BEF"/>
    <w:rsid w:val="00F827CC"/>
    <w:rsid w:val="00F82B1B"/>
    <w:rsid w:val="00F82B29"/>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C8B"/>
    <w:rsid w:val="00FC7145"/>
    <w:rsid w:val="00FC7E45"/>
    <w:rsid w:val="00FD0D6D"/>
    <w:rsid w:val="00FD0DF1"/>
    <w:rsid w:val="00FD1D4E"/>
    <w:rsid w:val="00FD3886"/>
    <w:rsid w:val="00FD456C"/>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AB"/>
    <w:rsid w:val="00FF5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15"/>
    <w:pPr>
      <w:overflowPunct w:val="0"/>
      <w:autoSpaceDE w:val="0"/>
      <w:autoSpaceDN w:val="0"/>
      <w:adjustRightInd w:val="0"/>
      <w:spacing w:line="360" w:lineRule="auto"/>
      <w:jc w:val="both"/>
      <w:textAlignment w:val="baseline"/>
    </w:pPr>
    <w:rPr>
      <w:rFonts w:ascii="Palatino Linotype" w:eastAsia="Times New Roman" w:hAnsi="Palatino Linotype"/>
      <w:sz w:val="24"/>
      <w:szCs w:val="24"/>
    </w:rPr>
  </w:style>
  <w:style w:type="paragraph" w:styleId="Heading5">
    <w:name w:val="heading 5"/>
    <w:basedOn w:val="Normal"/>
    <w:link w:val="Heading5Char"/>
    <w:uiPriority w:val="9"/>
    <w:qFormat/>
    <w:rsid w:val="006767C3"/>
    <w:pPr>
      <w:overflowPunct/>
      <w:autoSpaceDE/>
      <w:autoSpaceDN/>
      <w:adjustRightInd/>
      <w:spacing w:before="100" w:beforeAutospacing="1" w:after="100" w:afterAutospacing="1" w:line="240" w:lineRule="auto"/>
      <w:jc w:val="left"/>
      <w:textAlignment w:val="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15"/>
    <w:pPr>
      <w:ind w:left="720"/>
    </w:pPr>
  </w:style>
  <w:style w:type="paragraph" w:styleId="Header">
    <w:name w:val="header"/>
    <w:basedOn w:val="Normal"/>
    <w:link w:val="HeaderChar"/>
    <w:uiPriority w:val="99"/>
    <w:semiHidden/>
    <w:unhideWhenUsed/>
    <w:rsid w:val="000F7015"/>
    <w:pPr>
      <w:tabs>
        <w:tab w:val="center" w:pos="4680"/>
        <w:tab w:val="right" w:pos="9360"/>
      </w:tabs>
    </w:pPr>
  </w:style>
  <w:style w:type="character" w:customStyle="1" w:styleId="HeaderChar">
    <w:name w:val="Header Char"/>
    <w:basedOn w:val="DefaultParagraphFont"/>
    <w:link w:val="Header"/>
    <w:uiPriority w:val="99"/>
    <w:semiHidden/>
    <w:rsid w:val="000F7015"/>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0F7015"/>
    <w:pPr>
      <w:tabs>
        <w:tab w:val="center" w:pos="4680"/>
        <w:tab w:val="right" w:pos="9360"/>
      </w:tabs>
    </w:pPr>
  </w:style>
  <w:style w:type="character" w:customStyle="1" w:styleId="FooterChar">
    <w:name w:val="Footer Char"/>
    <w:basedOn w:val="DefaultParagraphFont"/>
    <w:link w:val="Footer"/>
    <w:uiPriority w:val="99"/>
    <w:rsid w:val="000F7015"/>
    <w:rPr>
      <w:rFonts w:ascii="Palatino Linotype" w:eastAsia="Times New Roman" w:hAnsi="Palatino Linotype" w:cs="Times New Roman"/>
      <w:sz w:val="24"/>
      <w:szCs w:val="24"/>
    </w:rPr>
  </w:style>
  <w:style w:type="character" w:customStyle="1" w:styleId="Heading5Char">
    <w:name w:val="Heading 5 Char"/>
    <w:basedOn w:val="DefaultParagraphFont"/>
    <w:link w:val="Heading5"/>
    <w:uiPriority w:val="9"/>
    <w:rsid w:val="006767C3"/>
    <w:rPr>
      <w:rFonts w:ascii="Times New Roman" w:eastAsia="Times New Roman" w:hAnsi="Times New Roman"/>
      <w:b/>
      <w:bCs/>
    </w:rPr>
  </w:style>
  <w:style w:type="character" w:styleId="Hyperlink">
    <w:name w:val="Hyperlink"/>
    <w:basedOn w:val="DefaultParagraphFont"/>
    <w:uiPriority w:val="99"/>
    <w:semiHidden/>
    <w:unhideWhenUsed/>
    <w:rsid w:val="006767C3"/>
    <w:rPr>
      <w:color w:val="0000FF"/>
      <w:u w:val="single"/>
    </w:rPr>
  </w:style>
  <w:style w:type="character" w:styleId="Strong">
    <w:name w:val="Strong"/>
    <w:basedOn w:val="DefaultParagraphFont"/>
    <w:uiPriority w:val="22"/>
    <w:qFormat/>
    <w:rsid w:val="006767C3"/>
    <w:rPr>
      <w:b/>
      <w:bCs/>
    </w:rPr>
  </w:style>
  <w:style w:type="paragraph" w:styleId="NormalWeb">
    <w:name w:val="Normal (Web)"/>
    <w:basedOn w:val="Normal"/>
    <w:uiPriority w:val="99"/>
    <w:semiHidden/>
    <w:unhideWhenUsed/>
    <w:rsid w:val="006767C3"/>
    <w:pPr>
      <w:overflowPunct/>
      <w:autoSpaceDE/>
      <w:autoSpaceDN/>
      <w:adjustRightInd/>
      <w:spacing w:before="100" w:beforeAutospacing="1" w:after="100" w:afterAutospacing="1" w:line="240" w:lineRule="auto"/>
      <w:jc w:val="left"/>
      <w:textAlignment w:val="auto"/>
    </w:pPr>
    <w:rPr>
      <w:rFonts w:ascii="Times New Roman" w:hAnsi="Times New Roman"/>
    </w:rPr>
  </w:style>
  <w:style w:type="paragraph" w:styleId="BalloonText">
    <w:name w:val="Balloon Text"/>
    <w:basedOn w:val="Normal"/>
    <w:link w:val="BalloonTextChar"/>
    <w:uiPriority w:val="99"/>
    <w:semiHidden/>
    <w:unhideWhenUsed/>
    <w:rsid w:val="00D21E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E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749798">
      <w:bodyDiv w:val="1"/>
      <w:marLeft w:val="0"/>
      <w:marRight w:val="0"/>
      <w:marTop w:val="0"/>
      <w:marBottom w:val="0"/>
      <w:divBdr>
        <w:top w:val="none" w:sz="0" w:space="0" w:color="auto"/>
        <w:left w:val="none" w:sz="0" w:space="0" w:color="auto"/>
        <w:bottom w:val="none" w:sz="0" w:space="0" w:color="auto"/>
        <w:right w:val="none" w:sz="0" w:space="0" w:color="auto"/>
      </w:divBdr>
      <w:divsChild>
        <w:div w:id="163027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enturylink.com/wholesalebillingconver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2011-07-13T07:00:00+00:00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942BFE-09FE-429C-A636-B13810FC6AA4}"/>
</file>

<file path=customXml/itemProps2.xml><?xml version="1.0" encoding="utf-8"?>
<ds:datastoreItem xmlns:ds="http://schemas.openxmlformats.org/officeDocument/2006/customXml" ds:itemID="{3EECBB57-4A40-4855-AD70-D3F4D3CE0CE0}"/>
</file>

<file path=customXml/itemProps3.xml><?xml version="1.0" encoding="utf-8"?>
<ds:datastoreItem xmlns:ds="http://schemas.openxmlformats.org/officeDocument/2006/customXml" ds:itemID="{8BD539DB-B874-44D1-98BF-7160D3E2D522}"/>
</file>

<file path=customXml/itemProps4.xml><?xml version="1.0" encoding="utf-8"?>
<ds:datastoreItem xmlns:ds="http://schemas.openxmlformats.org/officeDocument/2006/customXml" ds:itemID="{B4EAF1A8-AE1A-479D-8065-462A458ABE22}"/>
</file>

<file path=customXml/itemProps5.xml><?xml version="1.0" encoding="utf-8"?>
<ds:datastoreItem xmlns:ds="http://schemas.openxmlformats.org/officeDocument/2006/customXml" ds:itemID="{813BEC27-A833-4054-89DC-C34B2881E469}"/>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3786</CharactersWithSpaces>
  <SharedDoc>false</SharedDoc>
  <HLinks>
    <vt:vector size="6" baseType="variant">
      <vt:variant>
        <vt:i4>3342376</vt:i4>
      </vt:variant>
      <vt:variant>
        <vt:i4>0</vt:i4>
      </vt:variant>
      <vt:variant>
        <vt:i4>0</vt:i4>
      </vt:variant>
      <vt:variant>
        <vt:i4>5</vt:i4>
      </vt:variant>
      <vt:variant>
        <vt:lpwstr>http://www.centurylink.com/wholesalebillingconversions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Felz</dc:creator>
  <cp:keywords/>
  <dc:description/>
  <cp:lastModifiedBy>Johnson, Leslie</cp:lastModifiedBy>
  <cp:revision>2</cp:revision>
  <cp:lastPrinted>2011-07-13T16:48:00Z</cp:lastPrinted>
  <dcterms:created xsi:type="dcterms:W3CDTF">2011-07-13T18:41:00Z</dcterms:created>
  <dcterms:modified xsi:type="dcterms:W3CDTF">2011-07-13T18:41:00Z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