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D7D55" w14:textId="77777777" w:rsidR="00244353" w:rsidRPr="00CB7F45" w:rsidRDefault="00244353" w:rsidP="00E051E8">
      <w:pPr>
        <w:pStyle w:val="Title"/>
        <w:spacing w:line="264" w:lineRule="auto"/>
        <w:rPr>
          <w:rFonts w:ascii="Times New Roman" w:hAnsi="Times New Roman"/>
          <w:sz w:val="25"/>
          <w:szCs w:val="25"/>
        </w:rPr>
      </w:pPr>
      <w:bookmarkStart w:id="0" w:name="_GoBack"/>
      <w:bookmarkEnd w:id="0"/>
      <w:r w:rsidRPr="00CB7F45">
        <w:rPr>
          <w:rFonts w:ascii="Times New Roman" w:hAnsi="Times New Roman"/>
          <w:sz w:val="25"/>
          <w:szCs w:val="25"/>
        </w:rPr>
        <w:t>BEFORE THE WASHINGTON</w:t>
      </w:r>
    </w:p>
    <w:p w14:paraId="7D2DF334" w14:textId="77777777" w:rsidR="00244353" w:rsidRPr="00CB7F45" w:rsidRDefault="00244353" w:rsidP="00E051E8">
      <w:pPr>
        <w:pStyle w:val="Heading2"/>
        <w:spacing w:line="264" w:lineRule="auto"/>
        <w:rPr>
          <w:rFonts w:ascii="Times New Roman" w:hAnsi="Times New Roman"/>
          <w:sz w:val="25"/>
          <w:szCs w:val="25"/>
        </w:rPr>
      </w:pPr>
      <w:r w:rsidRPr="00CB7F45">
        <w:rPr>
          <w:rFonts w:ascii="Times New Roman" w:hAnsi="Times New Roman"/>
          <w:sz w:val="25"/>
          <w:szCs w:val="25"/>
        </w:rPr>
        <w:t>UTILITIES AND TRANSPORTATION COMMISSION</w:t>
      </w:r>
    </w:p>
    <w:p w14:paraId="66D7FD1C" w14:textId="77777777" w:rsidR="00E051E8" w:rsidRPr="00CB7F45" w:rsidRDefault="00E051E8" w:rsidP="00E051E8">
      <w:pPr>
        <w:spacing w:line="264" w:lineRule="auto"/>
        <w:rPr>
          <w:rFonts w:ascii="Times New Roman" w:hAnsi="Times New Roman"/>
          <w:sz w:val="25"/>
          <w:szCs w:val="25"/>
        </w:rPr>
      </w:pPr>
    </w:p>
    <w:tbl>
      <w:tblPr>
        <w:tblW w:w="8670" w:type="dxa"/>
        <w:tblLook w:val="0000" w:firstRow="0" w:lastRow="0" w:firstColumn="0" w:lastColumn="0" w:noHBand="0" w:noVBand="0"/>
      </w:tblPr>
      <w:tblGrid>
        <w:gridCol w:w="9162"/>
        <w:gridCol w:w="222"/>
        <w:gridCol w:w="222"/>
      </w:tblGrid>
      <w:tr w:rsidR="00244353" w:rsidRPr="00CB7F45" w14:paraId="5A7E9D48" w14:textId="77777777" w:rsidTr="00A63050">
        <w:tc>
          <w:tcPr>
            <w:tcW w:w="8198" w:type="dxa"/>
          </w:tcPr>
          <w:p w14:paraId="11ADAC3C" w14:textId="77777777" w:rsidR="003E56DF" w:rsidRPr="00DC129E" w:rsidRDefault="003E56DF" w:rsidP="003E56DF">
            <w:pPr>
              <w:pStyle w:val="BodyText"/>
              <w:rPr>
                <w:rFonts w:ascii="Times New Roman" w:hAnsi="Times New Roman"/>
                <w:sz w:val="25"/>
                <w:szCs w:val="25"/>
              </w:rPr>
            </w:pPr>
          </w:p>
          <w:tbl>
            <w:tblPr>
              <w:tblStyle w:val="TableGrid"/>
              <w:tblW w:w="8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50"/>
              <w:gridCol w:w="4248"/>
            </w:tblGrid>
            <w:tr w:rsidR="003E56DF" w:rsidRPr="003E56DF" w14:paraId="7B0B6C63" w14:textId="77777777" w:rsidTr="00B850EA">
              <w:tc>
                <w:tcPr>
                  <w:tcW w:w="4248" w:type="dxa"/>
                </w:tcPr>
                <w:p w14:paraId="4EB545C6" w14:textId="77777777" w:rsidR="003E56DF" w:rsidRDefault="003E56DF" w:rsidP="003E56DF">
                  <w:pPr>
                    <w:pStyle w:val="BodyText"/>
                    <w:rPr>
                      <w:rFonts w:ascii="Times New Roman" w:hAnsi="Times New Roman"/>
                      <w:b w:val="0"/>
                      <w:sz w:val="25"/>
                      <w:szCs w:val="25"/>
                    </w:rPr>
                  </w:pPr>
                  <w:r w:rsidRPr="003E56DF">
                    <w:rPr>
                      <w:rFonts w:ascii="Times New Roman" w:hAnsi="Times New Roman"/>
                      <w:b w:val="0"/>
                      <w:sz w:val="25"/>
                      <w:szCs w:val="25"/>
                    </w:rPr>
                    <w:t>WASHINGTON UTILITIES AND TRANSPORTATION COMMISSION,</w:t>
                  </w:r>
                </w:p>
                <w:p w14:paraId="1B429DD1" w14:textId="77777777" w:rsidR="003E56DF" w:rsidRPr="003E56DF" w:rsidRDefault="003E56DF" w:rsidP="003E56DF">
                  <w:pPr>
                    <w:pStyle w:val="BodyText"/>
                    <w:rPr>
                      <w:rFonts w:ascii="Times New Roman" w:hAnsi="Times New Roman"/>
                      <w:b w:val="0"/>
                      <w:sz w:val="25"/>
                      <w:szCs w:val="25"/>
                    </w:rPr>
                  </w:pPr>
                </w:p>
                <w:p w14:paraId="65AD0914" w14:textId="77777777" w:rsidR="003E56DF" w:rsidRDefault="003E56DF" w:rsidP="003E56DF">
                  <w:pPr>
                    <w:pStyle w:val="BodyText"/>
                    <w:tabs>
                      <w:tab w:val="left" w:pos="2174"/>
                    </w:tabs>
                    <w:rPr>
                      <w:rFonts w:ascii="Times New Roman" w:hAnsi="Times New Roman"/>
                      <w:b w:val="0"/>
                      <w:sz w:val="25"/>
                      <w:szCs w:val="25"/>
                    </w:rPr>
                  </w:pPr>
                  <w:r w:rsidRPr="003E56DF">
                    <w:rPr>
                      <w:rFonts w:ascii="Times New Roman" w:hAnsi="Times New Roman"/>
                      <w:b w:val="0"/>
                      <w:sz w:val="25"/>
                      <w:szCs w:val="25"/>
                    </w:rPr>
                    <w:tab/>
                    <w:t>Complainant,</w:t>
                  </w:r>
                </w:p>
                <w:p w14:paraId="3A424046" w14:textId="77777777" w:rsidR="003E56DF" w:rsidRPr="003E56DF" w:rsidRDefault="003E56DF" w:rsidP="003E56DF">
                  <w:pPr>
                    <w:pStyle w:val="BodyText"/>
                    <w:tabs>
                      <w:tab w:val="left" w:pos="2174"/>
                    </w:tabs>
                    <w:rPr>
                      <w:rFonts w:ascii="Times New Roman" w:hAnsi="Times New Roman"/>
                      <w:b w:val="0"/>
                      <w:sz w:val="25"/>
                      <w:szCs w:val="25"/>
                    </w:rPr>
                  </w:pPr>
                </w:p>
                <w:p w14:paraId="1AA88883" w14:textId="77777777" w:rsidR="003E56DF" w:rsidRDefault="003E56DF" w:rsidP="003E56DF">
                  <w:pPr>
                    <w:pStyle w:val="BodyText"/>
                    <w:tabs>
                      <w:tab w:val="left" w:pos="2174"/>
                    </w:tabs>
                    <w:rPr>
                      <w:rFonts w:ascii="Times New Roman" w:hAnsi="Times New Roman"/>
                      <w:b w:val="0"/>
                      <w:sz w:val="25"/>
                      <w:szCs w:val="25"/>
                    </w:rPr>
                  </w:pPr>
                  <w:r w:rsidRPr="003E56DF">
                    <w:rPr>
                      <w:rFonts w:ascii="Times New Roman" w:hAnsi="Times New Roman"/>
                      <w:b w:val="0"/>
                      <w:sz w:val="25"/>
                      <w:szCs w:val="25"/>
                    </w:rPr>
                    <w:t>v.</w:t>
                  </w:r>
                </w:p>
                <w:p w14:paraId="0E5F7BC3" w14:textId="77777777" w:rsidR="00FC7FCA" w:rsidRDefault="00FC7FCA" w:rsidP="003E56DF">
                  <w:pPr>
                    <w:pStyle w:val="BodyText"/>
                    <w:tabs>
                      <w:tab w:val="left" w:pos="2174"/>
                    </w:tabs>
                    <w:rPr>
                      <w:rFonts w:ascii="Times New Roman" w:hAnsi="Times New Roman"/>
                      <w:b w:val="0"/>
                      <w:sz w:val="25"/>
                      <w:szCs w:val="25"/>
                    </w:rPr>
                  </w:pPr>
                </w:p>
                <w:p w14:paraId="248CC870" w14:textId="04B8CBF4" w:rsidR="00FC7FCA" w:rsidRPr="003E56DF" w:rsidRDefault="003E56DF" w:rsidP="003E56DF">
                  <w:pPr>
                    <w:pStyle w:val="BodyText"/>
                    <w:tabs>
                      <w:tab w:val="left" w:pos="2174"/>
                    </w:tabs>
                    <w:rPr>
                      <w:rFonts w:ascii="Times New Roman" w:hAnsi="Times New Roman"/>
                      <w:b w:val="0"/>
                      <w:sz w:val="25"/>
                      <w:szCs w:val="25"/>
                    </w:rPr>
                  </w:pPr>
                  <w:r w:rsidRPr="003E56DF">
                    <w:rPr>
                      <w:rFonts w:ascii="Times New Roman" w:hAnsi="Times New Roman"/>
                      <w:b w:val="0"/>
                      <w:sz w:val="25"/>
                      <w:szCs w:val="25"/>
                    </w:rPr>
                    <w:t>WASTE CONTROL, INC. (G-101),</w:t>
                  </w:r>
                </w:p>
                <w:p w14:paraId="71CB6000" w14:textId="77777777" w:rsidR="003E56DF" w:rsidRPr="003E56DF" w:rsidRDefault="003E56DF" w:rsidP="003E56DF">
                  <w:pPr>
                    <w:pStyle w:val="BodyText"/>
                    <w:tabs>
                      <w:tab w:val="left" w:pos="2174"/>
                    </w:tabs>
                    <w:rPr>
                      <w:rFonts w:ascii="Times New Roman" w:hAnsi="Times New Roman"/>
                      <w:b w:val="0"/>
                      <w:sz w:val="25"/>
                      <w:szCs w:val="25"/>
                    </w:rPr>
                  </w:pPr>
                </w:p>
                <w:p w14:paraId="222ED557" w14:textId="77777777" w:rsidR="003E56DF" w:rsidRDefault="003E56DF" w:rsidP="003E56DF">
                  <w:pPr>
                    <w:pStyle w:val="BodyText"/>
                    <w:tabs>
                      <w:tab w:val="left" w:pos="2174"/>
                    </w:tabs>
                    <w:rPr>
                      <w:rFonts w:ascii="Times New Roman" w:hAnsi="Times New Roman"/>
                      <w:b w:val="0"/>
                      <w:sz w:val="25"/>
                      <w:szCs w:val="25"/>
                    </w:rPr>
                  </w:pPr>
                  <w:r w:rsidRPr="003E56DF">
                    <w:rPr>
                      <w:rFonts w:ascii="Times New Roman" w:hAnsi="Times New Roman"/>
                      <w:b w:val="0"/>
                      <w:sz w:val="25"/>
                      <w:szCs w:val="25"/>
                    </w:rPr>
                    <w:tab/>
                    <w:t>Respondent.</w:t>
                  </w:r>
                </w:p>
                <w:p w14:paraId="1BDAF07C" w14:textId="77777777" w:rsidR="00FC7FCA" w:rsidRPr="003E56DF" w:rsidRDefault="00FC7FCA" w:rsidP="003E56DF">
                  <w:pPr>
                    <w:pStyle w:val="BodyText"/>
                    <w:tabs>
                      <w:tab w:val="left" w:pos="2174"/>
                    </w:tabs>
                    <w:rPr>
                      <w:rFonts w:ascii="Times New Roman" w:hAnsi="Times New Roman"/>
                      <w:b w:val="0"/>
                      <w:sz w:val="25"/>
                      <w:szCs w:val="25"/>
                    </w:rPr>
                  </w:pPr>
                </w:p>
                <w:p w14:paraId="1D18BF4D" w14:textId="77777777" w:rsidR="003E56DF" w:rsidRPr="003E56DF" w:rsidRDefault="003E56DF" w:rsidP="003E56DF">
                  <w:pPr>
                    <w:pStyle w:val="BodyText"/>
                    <w:tabs>
                      <w:tab w:val="left" w:pos="2174"/>
                    </w:tabs>
                    <w:rPr>
                      <w:rFonts w:ascii="Times New Roman" w:hAnsi="Times New Roman"/>
                      <w:b w:val="0"/>
                      <w:sz w:val="25"/>
                      <w:szCs w:val="25"/>
                    </w:rPr>
                  </w:pPr>
                  <w:r w:rsidRPr="003E56DF">
                    <w:rPr>
                      <w:rFonts w:ascii="Times New Roman" w:hAnsi="Times New Roman"/>
                      <w:b w:val="0"/>
                      <w:sz w:val="25"/>
                      <w:szCs w:val="25"/>
                    </w:rPr>
                    <w:t>. . . . . . . . . . . . . . . . . . . . . . . . . . . . . . . .</w:t>
                  </w:r>
                </w:p>
              </w:tc>
              <w:tc>
                <w:tcPr>
                  <w:tcW w:w="450" w:type="dxa"/>
                </w:tcPr>
                <w:p w14:paraId="6EA2523A" w14:textId="0EDF5948" w:rsidR="003E56DF" w:rsidRPr="003E56DF" w:rsidRDefault="003E56DF" w:rsidP="003E56DF">
                  <w:pPr>
                    <w:pStyle w:val="BodyText"/>
                    <w:rPr>
                      <w:rFonts w:ascii="Times New Roman" w:hAnsi="Times New Roman"/>
                      <w:b w:val="0"/>
                      <w:sz w:val="25"/>
                      <w:szCs w:val="25"/>
                    </w:rPr>
                  </w:pPr>
                  <w:r w:rsidRPr="003E56DF">
                    <w:rPr>
                      <w:rFonts w:ascii="Times New Roman" w:hAnsi="Times New Roman"/>
                      <w:b w:val="0"/>
                      <w:sz w:val="25"/>
                      <w:szCs w:val="25"/>
                    </w:rPr>
                    <w:t>)</w:t>
                  </w:r>
                </w:p>
                <w:p w14:paraId="64397D25" w14:textId="77777777" w:rsidR="003E56DF" w:rsidRPr="003E56DF" w:rsidRDefault="003E56DF" w:rsidP="003E56DF">
                  <w:pPr>
                    <w:pStyle w:val="BodyText"/>
                    <w:rPr>
                      <w:rFonts w:ascii="Times New Roman" w:hAnsi="Times New Roman"/>
                      <w:b w:val="0"/>
                      <w:sz w:val="25"/>
                      <w:szCs w:val="25"/>
                    </w:rPr>
                  </w:pPr>
                  <w:r w:rsidRPr="003E56DF">
                    <w:rPr>
                      <w:rFonts w:ascii="Times New Roman" w:hAnsi="Times New Roman"/>
                      <w:b w:val="0"/>
                      <w:sz w:val="25"/>
                      <w:szCs w:val="25"/>
                    </w:rPr>
                    <w:t>)</w:t>
                  </w:r>
                </w:p>
                <w:p w14:paraId="13135C1B" w14:textId="67254FD8" w:rsidR="003E56DF" w:rsidRPr="003E56DF" w:rsidRDefault="003E56DF" w:rsidP="003E56DF">
                  <w:pPr>
                    <w:pStyle w:val="BodyText"/>
                    <w:rPr>
                      <w:rFonts w:ascii="Times New Roman" w:hAnsi="Times New Roman"/>
                      <w:b w:val="0"/>
                      <w:sz w:val="25"/>
                      <w:szCs w:val="25"/>
                    </w:rPr>
                  </w:pPr>
                  <w:r w:rsidRPr="003E56DF">
                    <w:rPr>
                      <w:rFonts w:ascii="Times New Roman" w:hAnsi="Times New Roman"/>
                      <w:b w:val="0"/>
                      <w:sz w:val="25"/>
                      <w:szCs w:val="25"/>
                    </w:rPr>
                    <w:t>)</w:t>
                  </w:r>
                </w:p>
                <w:p w14:paraId="68C12909" w14:textId="77777777" w:rsidR="003E56DF" w:rsidRPr="003E56DF" w:rsidRDefault="003E56DF" w:rsidP="003E56DF">
                  <w:pPr>
                    <w:pStyle w:val="BodyText"/>
                    <w:rPr>
                      <w:rFonts w:ascii="Times New Roman" w:hAnsi="Times New Roman"/>
                      <w:b w:val="0"/>
                      <w:sz w:val="25"/>
                      <w:szCs w:val="25"/>
                    </w:rPr>
                  </w:pPr>
                  <w:r w:rsidRPr="003E56DF">
                    <w:rPr>
                      <w:rFonts w:ascii="Times New Roman" w:hAnsi="Times New Roman"/>
                      <w:b w:val="0"/>
                      <w:sz w:val="25"/>
                      <w:szCs w:val="25"/>
                    </w:rPr>
                    <w:t>)</w:t>
                  </w:r>
                </w:p>
                <w:p w14:paraId="55502512" w14:textId="77777777" w:rsidR="003E56DF" w:rsidRPr="003E56DF" w:rsidRDefault="003E56DF" w:rsidP="003E56DF">
                  <w:pPr>
                    <w:pStyle w:val="BodyText"/>
                    <w:rPr>
                      <w:rFonts w:ascii="Times New Roman" w:hAnsi="Times New Roman"/>
                      <w:b w:val="0"/>
                      <w:sz w:val="25"/>
                      <w:szCs w:val="25"/>
                    </w:rPr>
                  </w:pPr>
                  <w:r w:rsidRPr="003E56DF">
                    <w:rPr>
                      <w:rFonts w:ascii="Times New Roman" w:hAnsi="Times New Roman"/>
                      <w:b w:val="0"/>
                      <w:sz w:val="25"/>
                      <w:szCs w:val="25"/>
                    </w:rPr>
                    <w:t>)</w:t>
                  </w:r>
                </w:p>
                <w:p w14:paraId="7EAB0578" w14:textId="77777777" w:rsidR="003E56DF" w:rsidRPr="003E56DF" w:rsidRDefault="003E56DF" w:rsidP="003E56DF">
                  <w:pPr>
                    <w:pStyle w:val="BodyText"/>
                    <w:rPr>
                      <w:rFonts w:ascii="Times New Roman" w:hAnsi="Times New Roman"/>
                      <w:b w:val="0"/>
                      <w:sz w:val="25"/>
                      <w:szCs w:val="25"/>
                    </w:rPr>
                  </w:pPr>
                  <w:r w:rsidRPr="003E56DF">
                    <w:rPr>
                      <w:rFonts w:ascii="Times New Roman" w:hAnsi="Times New Roman"/>
                      <w:b w:val="0"/>
                      <w:sz w:val="25"/>
                      <w:szCs w:val="25"/>
                    </w:rPr>
                    <w:t>)</w:t>
                  </w:r>
                </w:p>
                <w:p w14:paraId="01FDB5F2" w14:textId="77777777" w:rsidR="003E56DF" w:rsidRPr="003E56DF" w:rsidRDefault="003E56DF" w:rsidP="003E56DF">
                  <w:pPr>
                    <w:pStyle w:val="BodyText"/>
                    <w:rPr>
                      <w:rFonts w:ascii="Times New Roman" w:hAnsi="Times New Roman"/>
                      <w:b w:val="0"/>
                      <w:sz w:val="25"/>
                      <w:szCs w:val="25"/>
                    </w:rPr>
                  </w:pPr>
                  <w:r w:rsidRPr="003E56DF">
                    <w:rPr>
                      <w:rFonts w:ascii="Times New Roman" w:hAnsi="Times New Roman"/>
                      <w:b w:val="0"/>
                      <w:sz w:val="25"/>
                      <w:szCs w:val="25"/>
                    </w:rPr>
                    <w:t>)</w:t>
                  </w:r>
                </w:p>
                <w:p w14:paraId="7D39C75F" w14:textId="77777777" w:rsidR="003E56DF" w:rsidRPr="003E56DF" w:rsidRDefault="003E56DF" w:rsidP="003E56DF">
                  <w:pPr>
                    <w:pStyle w:val="BodyText"/>
                    <w:rPr>
                      <w:rFonts w:ascii="Times New Roman" w:hAnsi="Times New Roman"/>
                      <w:b w:val="0"/>
                      <w:sz w:val="25"/>
                      <w:szCs w:val="25"/>
                    </w:rPr>
                  </w:pPr>
                  <w:r w:rsidRPr="003E56DF">
                    <w:rPr>
                      <w:rFonts w:ascii="Times New Roman" w:hAnsi="Times New Roman"/>
                      <w:b w:val="0"/>
                      <w:sz w:val="25"/>
                      <w:szCs w:val="25"/>
                    </w:rPr>
                    <w:t>)</w:t>
                  </w:r>
                </w:p>
                <w:p w14:paraId="47F22BBB" w14:textId="77777777" w:rsidR="003E56DF" w:rsidRDefault="003E56DF" w:rsidP="003E56DF">
                  <w:pPr>
                    <w:pStyle w:val="BodyText"/>
                    <w:rPr>
                      <w:rFonts w:ascii="Times New Roman" w:hAnsi="Times New Roman"/>
                      <w:b w:val="0"/>
                      <w:sz w:val="25"/>
                      <w:szCs w:val="25"/>
                    </w:rPr>
                  </w:pPr>
                  <w:r w:rsidRPr="003E56DF">
                    <w:rPr>
                      <w:rFonts w:ascii="Times New Roman" w:hAnsi="Times New Roman"/>
                      <w:b w:val="0"/>
                      <w:sz w:val="25"/>
                      <w:szCs w:val="25"/>
                    </w:rPr>
                    <w:t>)</w:t>
                  </w:r>
                </w:p>
                <w:p w14:paraId="308483DE" w14:textId="77777777" w:rsidR="00FC7FCA" w:rsidRDefault="00FC7FCA" w:rsidP="003E56DF">
                  <w:pPr>
                    <w:pStyle w:val="BodyText"/>
                    <w:rPr>
                      <w:rFonts w:ascii="Times New Roman" w:hAnsi="Times New Roman"/>
                      <w:b w:val="0"/>
                      <w:sz w:val="25"/>
                      <w:szCs w:val="25"/>
                    </w:rPr>
                  </w:pPr>
                  <w:r>
                    <w:rPr>
                      <w:rFonts w:ascii="Times New Roman" w:hAnsi="Times New Roman"/>
                      <w:b w:val="0"/>
                      <w:sz w:val="25"/>
                      <w:szCs w:val="25"/>
                    </w:rPr>
                    <w:t>)</w:t>
                  </w:r>
                </w:p>
                <w:p w14:paraId="7DE264E5" w14:textId="77777777" w:rsidR="00FC7FCA" w:rsidRDefault="00FC7FCA" w:rsidP="003E56DF">
                  <w:pPr>
                    <w:pStyle w:val="BodyText"/>
                    <w:rPr>
                      <w:rFonts w:ascii="Times New Roman" w:hAnsi="Times New Roman"/>
                      <w:b w:val="0"/>
                      <w:sz w:val="25"/>
                      <w:szCs w:val="25"/>
                    </w:rPr>
                  </w:pPr>
                  <w:r>
                    <w:rPr>
                      <w:rFonts w:ascii="Times New Roman" w:hAnsi="Times New Roman"/>
                      <w:b w:val="0"/>
                      <w:sz w:val="25"/>
                      <w:szCs w:val="25"/>
                    </w:rPr>
                    <w:t>)</w:t>
                  </w:r>
                </w:p>
                <w:p w14:paraId="2CA28C23" w14:textId="43A8B9AA" w:rsidR="00FC7FCA" w:rsidRPr="003E56DF" w:rsidRDefault="00FC7FCA" w:rsidP="00DC129E">
                  <w:pPr>
                    <w:pStyle w:val="BodyText"/>
                    <w:rPr>
                      <w:rFonts w:ascii="Times New Roman" w:hAnsi="Times New Roman"/>
                      <w:b w:val="0"/>
                      <w:sz w:val="25"/>
                      <w:szCs w:val="25"/>
                    </w:rPr>
                  </w:pPr>
                  <w:r>
                    <w:rPr>
                      <w:rFonts w:ascii="Times New Roman" w:hAnsi="Times New Roman"/>
                      <w:b w:val="0"/>
                      <w:sz w:val="25"/>
                      <w:szCs w:val="25"/>
                    </w:rPr>
                    <w:t>)</w:t>
                  </w:r>
                </w:p>
              </w:tc>
              <w:tc>
                <w:tcPr>
                  <w:tcW w:w="4248" w:type="dxa"/>
                </w:tcPr>
                <w:p w14:paraId="28D43BD2" w14:textId="0885884E" w:rsidR="003C7362" w:rsidRDefault="003E56DF" w:rsidP="003E56DF">
                  <w:pPr>
                    <w:pStyle w:val="BodyText"/>
                    <w:rPr>
                      <w:rFonts w:ascii="Times New Roman" w:hAnsi="Times New Roman"/>
                      <w:b w:val="0"/>
                      <w:sz w:val="25"/>
                      <w:szCs w:val="25"/>
                    </w:rPr>
                  </w:pPr>
                  <w:r w:rsidRPr="003E56DF">
                    <w:rPr>
                      <w:rFonts w:ascii="Times New Roman" w:hAnsi="Times New Roman"/>
                      <w:b w:val="0"/>
                      <w:sz w:val="25"/>
                      <w:szCs w:val="25"/>
                    </w:rPr>
                    <w:t>DOCKET TG-140560</w:t>
                  </w:r>
                </w:p>
                <w:p w14:paraId="1A641806" w14:textId="77777777" w:rsidR="00F34BFC" w:rsidRPr="003E56DF" w:rsidRDefault="00F34BFC" w:rsidP="003E56DF">
                  <w:pPr>
                    <w:pStyle w:val="BodyText"/>
                    <w:rPr>
                      <w:rFonts w:ascii="Times New Roman" w:hAnsi="Times New Roman"/>
                      <w:b w:val="0"/>
                      <w:sz w:val="25"/>
                      <w:szCs w:val="25"/>
                    </w:rPr>
                  </w:pPr>
                </w:p>
                <w:p w14:paraId="21DBF647" w14:textId="77777777" w:rsidR="003E56DF" w:rsidRPr="003E56DF" w:rsidRDefault="003E56DF" w:rsidP="003E56DF">
                  <w:pPr>
                    <w:pStyle w:val="BodyText"/>
                    <w:rPr>
                      <w:rFonts w:ascii="Times New Roman" w:hAnsi="Times New Roman"/>
                      <w:b w:val="0"/>
                      <w:sz w:val="25"/>
                      <w:szCs w:val="25"/>
                    </w:rPr>
                  </w:pPr>
                </w:p>
                <w:p w14:paraId="7107B30A" w14:textId="5E921F74" w:rsidR="003C7362" w:rsidRDefault="003E56DF" w:rsidP="003E56DF">
                  <w:pPr>
                    <w:pStyle w:val="BodyText"/>
                    <w:rPr>
                      <w:rFonts w:ascii="Times New Roman" w:hAnsi="Times New Roman"/>
                      <w:b w:val="0"/>
                      <w:sz w:val="25"/>
                      <w:szCs w:val="25"/>
                    </w:rPr>
                  </w:pPr>
                  <w:r w:rsidRPr="003E56DF">
                    <w:rPr>
                      <w:rFonts w:ascii="Times New Roman" w:hAnsi="Times New Roman"/>
                      <w:b w:val="0"/>
                      <w:sz w:val="25"/>
                      <w:szCs w:val="25"/>
                    </w:rPr>
                    <w:t xml:space="preserve">ORDER </w:t>
                  </w:r>
                  <w:r w:rsidR="00CC2D91">
                    <w:rPr>
                      <w:rFonts w:ascii="Times New Roman" w:hAnsi="Times New Roman"/>
                      <w:b w:val="0"/>
                      <w:sz w:val="25"/>
                      <w:szCs w:val="25"/>
                    </w:rPr>
                    <w:t>10</w:t>
                  </w:r>
                </w:p>
                <w:p w14:paraId="0CFA5D59" w14:textId="77777777" w:rsidR="00F34BFC" w:rsidRPr="003E56DF" w:rsidRDefault="00F34BFC" w:rsidP="003E56DF">
                  <w:pPr>
                    <w:pStyle w:val="BodyText"/>
                    <w:rPr>
                      <w:rFonts w:ascii="Times New Roman" w:hAnsi="Times New Roman"/>
                      <w:b w:val="0"/>
                      <w:sz w:val="25"/>
                      <w:szCs w:val="25"/>
                    </w:rPr>
                  </w:pPr>
                </w:p>
                <w:p w14:paraId="69F4868D" w14:textId="77777777" w:rsidR="003E56DF" w:rsidRPr="003E56DF" w:rsidRDefault="003E56DF" w:rsidP="003E56DF">
                  <w:pPr>
                    <w:pStyle w:val="BodyText"/>
                    <w:rPr>
                      <w:rFonts w:ascii="Times New Roman" w:hAnsi="Times New Roman"/>
                      <w:b w:val="0"/>
                      <w:sz w:val="25"/>
                      <w:szCs w:val="25"/>
                    </w:rPr>
                  </w:pPr>
                </w:p>
                <w:p w14:paraId="54EEF2CB" w14:textId="3A21A85E" w:rsidR="003C7362" w:rsidRDefault="003E56DF" w:rsidP="003C7362">
                  <w:pPr>
                    <w:spacing w:line="264" w:lineRule="auto"/>
                    <w:rPr>
                      <w:rFonts w:ascii="Times New Roman" w:hAnsi="Times New Roman"/>
                      <w:sz w:val="25"/>
                      <w:szCs w:val="25"/>
                    </w:rPr>
                  </w:pPr>
                  <w:r>
                    <w:rPr>
                      <w:rFonts w:ascii="Times New Roman" w:hAnsi="Times New Roman"/>
                      <w:sz w:val="25"/>
                      <w:szCs w:val="25"/>
                    </w:rPr>
                    <w:t xml:space="preserve">ORDER </w:t>
                  </w:r>
                  <w:r w:rsidR="002F7086">
                    <w:rPr>
                      <w:rFonts w:ascii="Times New Roman" w:hAnsi="Times New Roman"/>
                      <w:sz w:val="25"/>
                      <w:szCs w:val="25"/>
                    </w:rPr>
                    <w:t xml:space="preserve">DENYING </w:t>
                  </w:r>
                  <w:r w:rsidR="003522F1">
                    <w:rPr>
                      <w:rFonts w:ascii="Times New Roman" w:hAnsi="Times New Roman"/>
                      <w:sz w:val="25"/>
                      <w:szCs w:val="25"/>
                    </w:rPr>
                    <w:t xml:space="preserve">STAFF’S </w:t>
                  </w:r>
                  <w:r w:rsidR="00C64E6F">
                    <w:rPr>
                      <w:rFonts w:ascii="Times New Roman" w:hAnsi="Times New Roman"/>
                      <w:sz w:val="25"/>
                      <w:szCs w:val="25"/>
                    </w:rPr>
                    <w:t xml:space="preserve">OBJECTION TO AND MOTION TO STRIKE SUPPLEMENTAL TESTIMONY AND EXHIBITS </w:t>
                  </w:r>
                </w:p>
                <w:p w14:paraId="0BB0070E" w14:textId="77777777" w:rsidR="003E56DF" w:rsidRPr="003E56DF" w:rsidRDefault="003E56DF" w:rsidP="00C64E6F">
                  <w:pPr>
                    <w:spacing w:line="264" w:lineRule="auto"/>
                    <w:rPr>
                      <w:rFonts w:ascii="Times New Roman" w:hAnsi="Times New Roman"/>
                      <w:b/>
                      <w:sz w:val="25"/>
                      <w:szCs w:val="25"/>
                    </w:rPr>
                  </w:pPr>
                </w:p>
              </w:tc>
            </w:tr>
          </w:tbl>
          <w:p w14:paraId="6412E524" w14:textId="341AF30E" w:rsidR="00244353" w:rsidRPr="00CB7F45" w:rsidRDefault="00244353" w:rsidP="00DE5340">
            <w:pPr>
              <w:tabs>
                <w:tab w:val="left" w:pos="2160"/>
              </w:tabs>
              <w:spacing w:line="264" w:lineRule="auto"/>
              <w:rPr>
                <w:rFonts w:ascii="Times New Roman" w:hAnsi="Times New Roman"/>
                <w:sz w:val="25"/>
                <w:szCs w:val="25"/>
              </w:rPr>
            </w:pPr>
          </w:p>
        </w:tc>
        <w:tc>
          <w:tcPr>
            <w:tcW w:w="236" w:type="dxa"/>
          </w:tcPr>
          <w:p w14:paraId="293FB9DA" w14:textId="77777777" w:rsidR="00C05C38" w:rsidRPr="00CB7F45" w:rsidRDefault="00C05C38" w:rsidP="00E051E8">
            <w:pPr>
              <w:spacing w:line="264" w:lineRule="auto"/>
              <w:rPr>
                <w:rFonts w:ascii="Times New Roman" w:hAnsi="Times New Roman"/>
                <w:sz w:val="25"/>
                <w:szCs w:val="25"/>
              </w:rPr>
            </w:pPr>
          </w:p>
        </w:tc>
        <w:tc>
          <w:tcPr>
            <w:tcW w:w="236" w:type="dxa"/>
          </w:tcPr>
          <w:p w14:paraId="49FBC342" w14:textId="4A360EA1" w:rsidR="00244353" w:rsidRPr="00CB7F45" w:rsidRDefault="00244353" w:rsidP="00A75C5F">
            <w:pPr>
              <w:spacing w:line="264" w:lineRule="auto"/>
              <w:rPr>
                <w:rFonts w:ascii="Times New Roman" w:hAnsi="Times New Roman"/>
                <w:sz w:val="25"/>
                <w:szCs w:val="25"/>
              </w:rPr>
            </w:pPr>
          </w:p>
        </w:tc>
      </w:tr>
    </w:tbl>
    <w:p w14:paraId="3BDC072A" w14:textId="105FCEC8" w:rsidR="00573CD4" w:rsidRDefault="00573CD4" w:rsidP="000A29A6">
      <w:pPr>
        <w:spacing w:line="288" w:lineRule="auto"/>
        <w:rPr>
          <w:rFonts w:ascii="Times New Roman" w:hAnsi="Times New Roman"/>
          <w:sz w:val="25"/>
          <w:szCs w:val="25"/>
        </w:rPr>
      </w:pPr>
    </w:p>
    <w:p w14:paraId="2F9C3C8B" w14:textId="77777777" w:rsidR="00DC129E" w:rsidRPr="000A29A6" w:rsidRDefault="00DC129E" w:rsidP="000A29A6">
      <w:pPr>
        <w:spacing w:line="288" w:lineRule="auto"/>
        <w:rPr>
          <w:rFonts w:ascii="Times New Roman" w:hAnsi="Times New Roman"/>
          <w:sz w:val="25"/>
          <w:szCs w:val="25"/>
        </w:rPr>
      </w:pPr>
    </w:p>
    <w:p w14:paraId="207B5421" w14:textId="2D552D22" w:rsidR="00716A0F" w:rsidRDefault="003C7362" w:rsidP="00F34BFC">
      <w:pPr>
        <w:numPr>
          <w:ilvl w:val="0"/>
          <w:numId w:val="1"/>
        </w:numPr>
        <w:spacing w:line="288" w:lineRule="auto"/>
        <w:ind w:hanging="720"/>
        <w:rPr>
          <w:rFonts w:ascii="Times New Roman" w:hAnsi="Times New Roman"/>
          <w:sz w:val="25"/>
          <w:szCs w:val="25"/>
        </w:rPr>
      </w:pPr>
      <w:r w:rsidRPr="00C73166">
        <w:rPr>
          <w:rFonts w:ascii="Times New Roman" w:hAnsi="Times New Roman"/>
          <w:sz w:val="25"/>
          <w:szCs w:val="25"/>
        </w:rPr>
        <w:t xml:space="preserve">On </w:t>
      </w:r>
      <w:r w:rsidR="00C64E6F">
        <w:rPr>
          <w:rFonts w:ascii="Times New Roman" w:hAnsi="Times New Roman"/>
          <w:sz w:val="25"/>
          <w:szCs w:val="25"/>
        </w:rPr>
        <w:t>October 23</w:t>
      </w:r>
      <w:r w:rsidRPr="00C73166">
        <w:rPr>
          <w:rFonts w:ascii="Times New Roman" w:hAnsi="Times New Roman"/>
          <w:sz w:val="25"/>
          <w:szCs w:val="25"/>
        </w:rPr>
        <w:t xml:space="preserve">, 2014, </w:t>
      </w:r>
      <w:r w:rsidR="00C64E6F">
        <w:rPr>
          <w:rFonts w:ascii="Times New Roman" w:hAnsi="Times New Roman"/>
          <w:sz w:val="25"/>
          <w:szCs w:val="25"/>
        </w:rPr>
        <w:t xml:space="preserve">the regulatory staff </w:t>
      </w:r>
      <w:r w:rsidR="00F34BFC">
        <w:rPr>
          <w:rFonts w:ascii="Times New Roman" w:hAnsi="Times New Roman"/>
          <w:sz w:val="25"/>
          <w:szCs w:val="25"/>
        </w:rPr>
        <w:t>(Staff)</w:t>
      </w:r>
      <w:r w:rsidR="008C6EF1" w:rsidRPr="003C7362">
        <w:rPr>
          <w:rStyle w:val="FootnoteReference"/>
          <w:rFonts w:ascii="Times New Roman" w:hAnsi="Times New Roman"/>
          <w:sz w:val="25"/>
          <w:szCs w:val="25"/>
        </w:rPr>
        <w:footnoteReference w:id="1"/>
      </w:r>
      <w:r w:rsidR="00F34BFC">
        <w:rPr>
          <w:rFonts w:ascii="Times New Roman" w:hAnsi="Times New Roman"/>
          <w:sz w:val="25"/>
          <w:szCs w:val="25"/>
        </w:rPr>
        <w:t xml:space="preserve"> </w:t>
      </w:r>
      <w:r w:rsidR="00C64E6F">
        <w:rPr>
          <w:rFonts w:ascii="Times New Roman" w:hAnsi="Times New Roman"/>
          <w:sz w:val="25"/>
          <w:szCs w:val="25"/>
        </w:rPr>
        <w:t xml:space="preserve">of the Washington Utilities </w:t>
      </w:r>
      <w:r w:rsidR="00F34BFC">
        <w:rPr>
          <w:rFonts w:ascii="Times New Roman" w:hAnsi="Times New Roman"/>
          <w:sz w:val="25"/>
          <w:szCs w:val="25"/>
        </w:rPr>
        <w:t xml:space="preserve">and Transportation Commission (Commission) and </w:t>
      </w:r>
      <w:r w:rsidRPr="00F34BFC">
        <w:rPr>
          <w:rFonts w:ascii="Times New Roman" w:hAnsi="Times New Roman"/>
          <w:sz w:val="25"/>
          <w:szCs w:val="25"/>
        </w:rPr>
        <w:t xml:space="preserve">Waste Control, Inc. (WCI or Company) filed </w:t>
      </w:r>
      <w:r w:rsidR="00F34BFC">
        <w:rPr>
          <w:rFonts w:ascii="Times New Roman" w:hAnsi="Times New Roman"/>
          <w:sz w:val="25"/>
          <w:szCs w:val="25"/>
        </w:rPr>
        <w:t xml:space="preserve">a joint request (Joint Motion) to resolve the four remaining </w:t>
      </w:r>
      <w:r w:rsidR="00DC7C45">
        <w:rPr>
          <w:rFonts w:ascii="Times New Roman" w:hAnsi="Times New Roman"/>
          <w:sz w:val="25"/>
          <w:szCs w:val="25"/>
        </w:rPr>
        <w:t>accounting adjustment</w:t>
      </w:r>
      <w:r w:rsidR="00F34BFC">
        <w:rPr>
          <w:rFonts w:ascii="Times New Roman" w:hAnsi="Times New Roman"/>
          <w:sz w:val="25"/>
          <w:szCs w:val="25"/>
        </w:rPr>
        <w:t xml:space="preserve"> issues</w:t>
      </w:r>
      <w:r w:rsidR="00F34BFC">
        <w:rPr>
          <w:rStyle w:val="FootnoteReference"/>
          <w:rFonts w:ascii="Times New Roman" w:hAnsi="Times New Roman"/>
          <w:sz w:val="25"/>
          <w:szCs w:val="25"/>
        </w:rPr>
        <w:footnoteReference w:id="2"/>
      </w:r>
      <w:r w:rsidR="00F34BFC">
        <w:rPr>
          <w:rFonts w:ascii="Times New Roman" w:hAnsi="Times New Roman"/>
          <w:sz w:val="25"/>
          <w:szCs w:val="25"/>
        </w:rPr>
        <w:t xml:space="preserve"> on a “paper record,” obviating the nee</w:t>
      </w:r>
      <w:r w:rsidR="00DC7C45">
        <w:rPr>
          <w:rFonts w:ascii="Times New Roman" w:hAnsi="Times New Roman"/>
          <w:sz w:val="25"/>
          <w:szCs w:val="25"/>
        </w:rPr>
        <w:t xml:space="preserve">d for an evidentiary hearing by instead </w:t>
      </w:r>
      <w:r w:rsidR="00F34BFC">
        <w:rPr>
          <w:rFonts w:ascii="Times New Roman" w:hAnsi="Times New Roman"/>
          <w:sz w:val="25"/>
          <w:szCs w:val="25"/>
        </w:rPr>
        <w:t>allowing the parties to file initial and reply briefs</w:t>
      </w:r>
      <w:r w:rsidRPr="00F34BFC">
        <w:rPr>
          <w:rFonts w:ascii="Times New Roman" w:hAnsi="Times New Roman"/>
          <w:sz w:val="25"/>
          <w:szCs w:val="25"/>
        </w:rPr>
        <w:t>.</w:t>
      </w:r>
      <w:r w:rsidR="00716A0F">
        <w:rPr>
          <w:rStyle w:val="FootnoteReference"/>
          <w:rFonts w:ascii="Times New Roman" w:hAnsi="Times New Roman"/>
          <w:sz w:val="25"/>
          <w:szCs w:val="25"/>
        </w:rPr>
        <w:footnoteReference w:id="3"/>
      </w:r>
      <w:r w:rsidRPr="00F34BFC">
        <w:rPr>
          <w:rFonts w:ascii="Times New Roman" w:hAnsi="Times New Roman"/>
          <w:sz w:val="25"/>
          <w:szCs w:val="25"/>
        </w:rPr>
        <w:t xml:space="preserve">  </w:t>
      </w:r>
      <w:r w:rsidR="00716A0F">
        <w:rPr>
          <w:rFonts w:ascii="Times New Roman" w:hAnsi="Times New Roman"/>
          <w:sz w:val="25"/>
          <w:szCs w:val="25"/>
        </w:rPr>
        <w:t xml:space="preserve">The Joint Motion specifically </w:t>
      </w:r>
      <w:r w:rsidR="002744CD">
        <w:rPr>
          <w:rFonts w:ascii="Times New Roman" w:hAnsi="Times New Roman"/>
          <w:sz w:val="25"/>
          <w:szCs w:val="25"/>
        </w:rPr>
        <w:t>provid</w:t>
      </w:r>
      <w:r w:rsidR="00716A0F">
        <w:rPr>
          <w:rFonts w:ascii="Times New Roman" w:hAnsi="Times New Roman"/>
          <w:sz w:val="25"/>
          <w:szCs w:val="25"/>
        </w:rPr>
        <w:t>ed for the filing of supplemental testimony “on the remaining contested accounting adjustment issues with the parties reserving the right to object to information provided in briefing or supplemental testimony ….”</w:t>
      </w:r>
      <w:r w:rsidR="00716A0F">
        <w:rPr>
          <w:rStyle w:val="FootnoteReference"/>
          <w:rFonts w:ascii="Times New Roman" w:hAnsi="Times New Roman"/>
          <w:sz w:val="25"/>
          <w:szCs w:val="25"/>
        </w:rPr>
        <w:footnoteReference w:id="4"/>
      </w:r>
      <w:r w:rsidR="00716A0F">
        <w:rPr>
          <w:rFonts w:ascii="Times New Roman" w:hAnsi="Times New Roman"/>
          <w:sz w:val="25"/>
          <w:szCs w:val="25"/>
        </w:rPr>
        <w:t xml:space="preserve"> </w:t>
      </w:r>
    </w:p>
    <w:p w14:paraId="4AB5F6B1" w14:textId="77777777" w:rsidR="00716A0F" w:rsidRDefault="00716A0F" w:rsidP="00716A0F">
      <w:pPr>
        <w:spacing w:line="288" w:lineRule="auto"/>
        <w:rPr>
          <w:rFonts w:ascii="Times New Roman" w:hAnsi="Times New Roman"/>
          <w:sz w:val="25"/>
          <w:szCs w:val="25"/>
        </w:rPr>
      </w:pPr>
    </w:p>
    <w:p w14:paraId="4664C473" w14:textId="75352FAA" w:rsidR="001E3132" w:rsidRDefault="00716A0F" w:rsidP="00F34BFC">
      <w:pPr>
        <w:numPr>
          <w:ilvl w:val="0"/>
          <w:numId w:val="1"/>
        </w:numPr>
        <w:spacing w:line="288" w:lineRule="auto"/>
        <w:ind w:hanging="720"/>
        <w:rPr>
          <w:rFonts w:ascii="Times New Roman" w:hAnsi="Times New Roman"/>
          <w:sz w:val="25"/>
          <w:szCs w:val="25"/>
        </w:rPr>
      </w:pPr>
      <w:r>
        <w:rPr>
          <w:rFonts w:ascii="Times New Roman" w:hAnsi="Times New Roman"/>
          <w:sz w:val="25"/>
          <w:szCs w:val="25"/>
        </w:rPr>
        <w:lastRenderedPageBreak/>
        <w:t xml:space="preserve">The Commission </w:t>
      </w:r>
      <w:r w:rsidR="00DC7C45">
        <w:rPr>
          <w:rFonts w:ascii="Times New Roman" w:hAnsi="Times New Roman"/>
          <w:sz w:val="25"/>
          <w:szCs w:val="25"/>
        </w:rPr>
        <w:t xml:space="preserve">granted </w:t>
      </w:r>
      <w:r>
        <w:rPr>
          <w:rFonts w:ascii="Times New Roman" w:hAnsi="Times New Roman"/>
          <w:sz w:val="25"/>
          <w:szCs w:val="25"/>
        </w:rPr>
        <w:t>the parties’ request and issued a Notice Modifying Procedural Schedule on October 27, 2014.</w:t>
      </w:r>
      <w:r w:rsidR="00101032" w:rsidRPr="00F34BFC">
        <w:rPr>
          <w:rFonts w:ascii="Times New Roman" w:hAnsi="Times New Roman"/>
          <w:sz w:val="25"/>
          <w:szCs w:val="25"/>
        </w:rPr>
        <w:t xml:space="preserve"> </w:t>
      </w:r>
      <w:r>
        <w:rPr>
          <w:rFonts w:ascii="Times New Roman" w:hAnsi="Times New Roman"/>
          <w:sz w:val="25"/>
          <w:szCs w:val="25"/>
        </w:rPr>
        <w:t xml:space="preserve"> Parties were directed to file simultaneous initial briefs on November 7, 2014, and simultaneous reply briefs on November 20, 2014.</w:t>
      </w:r>
    </w:p>
    <w:p w14:paraId="57AF1937" w14:textId="77777777" w:rsidR="00A675D5" w:rsidRDefault="00A675D5" w:rsidP="00DC129E">
      <w:pPr>
        <w:pStyle w:val="ListParagraph"/>
        <w:ind w:left="0"/>
        <w:rPr>
          <w:sz w:val="25"/>
          <w:szCs w:val="25"/>
        </w:rPr>
      </w:pPr>
    </w:p>
    <w:p w14:paraId="439574D0" w14:textId="239EA15B" w:rsidR="00A675D5" w:rsidRPr="00F34BFC" w:rsidRDefault="00A675D5" w:rsidP="00F34BFC">
      <w:pPr>
        <w:numPr>
          <w:ilvl w:val="0"/>
          <w:numId w:val="1"/>
        </w:numPr>
        <w:spacing w:line="288" w:lineRule="auto"/>
        <w:ind w:hanging="720"/>
        <w:rPr>
          <w:rFonts w:ascii="Times New Roman" w:hAnsi="Times New Roman"/>
          <w:sz w:val="25"/>
          <w:szCs w:val="25"/>
        </w:rPr>
      </w:pPr>
      <w:r>
        <w:rPr>
          <w:rFonts w:ascii="Times New Roman" w:hAnsi="Times New Roman"/>
          <w:sz w:val="25"/>
          <w:szCs w:val="25"/>
        </w:rPr>
        <w:t>WCI filed its initial brief on November 7, 2014, including the supplemental testimony and exhibits of Layne Demas, Jacqueline G. Davis, and Joe Willis.  While Staff and WRRA also filed initial briefs at this time, neither filed supplemental testimony or additional exhibits.</w:t>
      </w:r>
    </w:p>
    <w:p w14:paraId="15B0567B" w14:textId="77777777" w:rsidR="002F1460" w:rsidRDefault="002F1460" w:rsidP="002F1460">
      <w:pPr>
        <w:spacing w:line="288" w:lineRule="auto"/>
        <w:rPr>
          <w:rFonts w:ascii="Times New Roman" w:hAnsi="Times New Roman"/>
          <w:sz w:val="25"/>
          <w:szCs w:val="25"/>
        </w:rPr>
      </w:pPr>
    </w:p>
    <w:p w14:paraId="54EA7BA8" w14:textId="1472834C" w:rsidR="004E7B57" w:rsidRPr="00DC129E" w:rsidRDefault="004E7B57" w:rsidP="00210BB8">
      <w:pPr>
        <w:numPr>
          <w:ilvl w:val="0"/>
          <w:numId w:val="1"/>
        </w:numPr>
        <w:spacing w:line="264" w:lineRule="auto"/>
        <w:ind w:hanging="720"/>
        <w:rPr>
          <w:rFonts w:ascii="Times New Roman" w:hAnsi="Times New Roman"/>
          <w:sz w:val="25"/>
          <w:szCs w:val="25"/>
        </w:rPr>
      </w:pPr>
      <w:r w:rsidRPr="00CC2D91">
        <w:rPr>
          <w:rFonts w:ascii="Times New Roman" w:hAnsi="Times New Roman"/>
          <w:sz w:val="25"/>
          <w:szCs w:val="25"/>
        </w:rPr>
        <w:t xml:space="preserve">On </w:t>
      </w:r>
      <w:r w:rsidR="001B609F" w:rsidRPr="00CC2D91">
        <w:rPr>
          <w:rFonts w:ascii="Times New Roman" w:hAnsi="Times New Roman"/>
          <w:sz w:val="25"/>
          <w:szCs w:val="25"/>
        </w:rPr>
        <w:t>November 17</w:t>
      </w:r>
      <w:r w:rsidRPr="00CC2D91">
        <w:rPr>
          <w:rFonts w:ascii="Times New Roman" w:hAnsi="Times New Roman"/>
          <w:sz w:val="25"/>
          <w:szCs w:val="25"/>
        </w:rPr>
        <w:t>, 2014, Staff filed a</w:t>
      </w:r>
      <w:r w:rsidR="000C335A" w:rsidRPr="00CC2D91">
        <w:rPr>
          <w:rFonts w:ascii="Times New Roman" w:hAnsi="Times New Roman"/>
          <w:sz w:val="25"/>
          <w:szCs w:val="25"/>
        </w:rPr>
        <w:t xml:space="preserve">n Objection to and Motion to Strike Supplemental Testimony and Exhibits (Staff’s Motion).  </w:t>
      </w:r>
      <w:r w:rsidR="00BD38E1">
        <w:rPr>
          <w:rFonts w:ascii="Times New Roman" w:hAnsi="Times New Roman"/>
          <w:sz w:val="25"/>
          <w:szCs w:val="25"/>
        </w:rPr>
        <w:t>The Commission vacated the procedural schedule in this matter on November 18, 2014</w:t>
      </w:r>
      <w:r w:rsidR="00DC7C45">
        <w:rPr>
          <w:rFonts w:ascii="Times New Roman" w:hAnsi="Times New Roman"/>
          <w:sz w:val="25"/>
          <w:szCs w:val="25"/>
        </w:rPr>
        <w:t>,</w:t>
      </w:r>
      <w:r w:rsidR="00BD38E1">
        <w:rPr>
          <w:rFonts w:ascii="Times New Roman" w:hAnsi="Times New Roman"/>
          <w:sz w:val="25"/>
          <w:szCs w:val="25"/>
        </w:rPr>
        <w:t xml:space="preserve"> and established the time for responses and replies to Staff’s Motion.  </w:t>
      </w:r>
      <w:r w:rsidRPr="00CC2D91">
        <w:rPr>
          <w:rFonts w:ascii="Times New Roman" w:hAnsi="Times New Roman"/>
          <w:sz w:val="25"/>
          <w:szCs w:val="25"/>
        </w:rPr>
        <w:t xml:space="preserve">WCI </w:t>
      </w:r>
      <w:r w:rsidR="00A6406D" w:rsidRPr="00CC2D91">
        <w:rPr>
          <w:rFonts w:ascii="Times New Roman" w:hAnsi="Times New Roman"/>
          <w:sz w:val="25"/>
          <w:szCs w:val="25"/>
        </w:rPr>
        <w:t xml:space="preserve">and WRRA each </w:t>
      </w:r>
      <w:r w:rsidRPr="00CC2D91">
        <w:rPr>
          <w:rFonts w:ascii="Times New Roman" w:hAnsi="Times New Roman"/>
          <w:sz w:val="25"/>
          <w:szCs w:val="25"/>
        </w:rPr>
        <w:t xml:space="preserve">filed </w:t>
      </w:r>
      <w:r w:rsidR="00A6406D" w:rsidRPr="00CC2D91">
        <w:rPr>
          <w:rFonts w:ascii="Times New Roman" w:hAnsi="Times New Roman"/>
          <w:sz w:val="25"/>
          <w:szCs w:val="25"/>
        </w:rPr>
        <w:t>responses</w:t>
      </w:r>
      <w:r w:rsidR="002744CD">
        <w:rPr>
          <w:rStyle w:val="FootnoteReference"/>
          <w:rFonts w:ascii="Times New Roman" w:hAnsi="Times New Roman"/>
          <w:sz w:val="25"/>
          <w:szCs w:val="25"/>
        </w:rPr>
        <w:footnoteReference w:id="5"/>
      </w:r>
      <w:r w:rsidR="00A6406D" w:rsidRPr="00CC2D91">
        <w:rPr>
          <w:rFonts w:ascii="Times New Roman" w:hAnsi="Times New Roman"/>
          <w:sz w:val="25"/>
          <w:szCs w:val="25"/>
        </w:rPr>
        <w:t xml:space="preserve"> to S</w:t>
      </w:r>
      <w:r w:rsidRPr="00CC2D91">
        <w:rPr>
          <w:rFonts w:ascii="Times New Roman" w:hAnsi="Times New Roman"/>
          <w:sz w:val="25"/>
          <w:szCs w:val="25"/>
        </w:rPr>
        <w:t>taff</w:t>
      </w:r>
      <w:r w:rsidR="00A6406D" w:rsidRPr="00CC2D91">
        <w:rPr>
          <w:rFonts w:ascii="Times New Roman" w:hAnsi="Times New Roman"/>
          <w:sz w:val="25"/>
          <w:szCs w:val="25"/>
        </w:rPr>
        <w:t>’s</w:t>
      </w:r>
      <w:r w:rsidRPr="00CC2D91">
        <w:rPr>
          <w:rFonts w:ascii="Times New Roman" w:hAnsi="Times New Roman"/>
          <w:sz w:val="25"/>
          <w:szCs w:val="25"/>
        </w:rPr>
        <w:t xml:space="preserve"> Motion on </w:t>
      </w:r>
      <w:r w:rsidR="00A6406D" w:rsidRPr="00CC2D91">
        <w:rPr>
          <w:rFonts w:ascii="Times New Roman" w:hAnsi="Times New Roman"/>
          <w:sz w:val="25"/>
          <w:szCs w:val="25"/>
        </w:rPr>
        <w:t>December 5</w:t>
      </w:r>
      <w:r w:rsidRPr="00CC2D91">
        <w:rPr>
          <w:rFonts w:ascii="Times New Roman" w:hAnsi="Times New Roman"/>
          <w:sz w:val="25"/>
          <w:szCs w:val="25"/>
        </w:rPr>
        <w:t>, 2014.</w:t>
      </w:r>
      <w:r w:rsidR="00A6406D" w:rsidRPr="00CC2D91">
        <w:rPr>
          <w:rFonts w:ascii="Times New Roman" w:hAnsi="Times New Roman"/>
          <w:sz w:val="25"/>
          <w:szCs w:val="25"/>
        </w:rPr>
        <w:t xml:space="preserve">  Staff filed a Reply to WCI’s Response to Staff’s Motion (Staff’s Reply) on December 11, 2014.</w:t>
      </w:r>
    </w:p>
    <w:p w14:paraId="1B3F1C6A" w14:textId="77777777" w:rsidR="004E7B57" w:rsidRDefault="004E7B57" w:rsidP="00DC129E">
      <w:pPr>
        <w:pStyle w:val="ListParagraph"/>
        <w:ind w:left="0"/>
        <w:rPr>
          <w:sz w:val="25"/>
          <w:szCs w:val="25"/>
        </w:rPr>
      </w:pPr>
    </w:p>
    <w:p w14:paraId="63CF6F5A" w14:textId="2912C804" w:rsidR="00EA661B" w:rsidRDefault="00BD38E1" w:rsidP="00C82B11">
      <w:pPr>
        <w:numPr>
          <w:ilvl w:val="0"/>
          <w:numId w:val="1"/>
        </w:numPr>
        <w:spacing w:line="264" w:lineRule="auto"/>
        <w:ind w:hanging="720"/>
        <w:rPr>
          <w:rFonts w:ascii="Times New Roman" w:hAnsi="Times New Roman"/>
          <w:sz w:val="25"/>
          <w:szCs w:val="25"/>
        </w:rPr>
      </w:pPr>
      <w:r w:rsidRPr="00CC2D91">
        <w:rPr>
          <w:rFonts w:ascii="Times New Roman" w:hAnsi="Times New Roman"/>
          <w:b/>
          <w:sz w:val="25"/>
          <w:szCs w:val="25"/>
        </w:rPr>
        <w:t>Staff’s Motion.</w:t>
      </w:r>
      <w:r w:rsidRPr="00CC2D91">
        <w:rPr>
          <w:rFonts w:ascii="Times New Roman" w:hAnsi="Times New Roman"/>
          <w:sz w:val="25"/>
          <w:szCs w:val="25"/>
        </w:rPr>
        <w:t xml:space="preserve">  </w:t>
      </w:r>
      <w:r w:rsidR="003369A3">
        <w:rPr>
          <w:rFonts w:ascii="Times New Roman" w:hAnsi="Times New Roman"/>
          <w:sz w:val="25"/>
          <w:szCs w:val="25"/>
        </w:rPr>
        <w:t>Staff requests that the Commission</w:t>
      </w:r>
      <w:r w:rsidR="00887EDE">
        <w:rPr>
          <w:rFonts w:ascii="Times New Roman" w:hAnsi="Times New Roman"/>
          <w:sz w:val="25"/>
          <w:szCs w:val="25"/>
        </w:rPr>
        <w:t xml:space="preserve"> </w:t>
      </w:r>
      <w:r w:rsidR="003369A3">
        <w:rPr>
          <w:rFonts w:ascii="Times New Roman" w:hAnsi="Times New Roman"/>
          <w:sz w:val="25"/>
          <w:szCs w:val="25"/>
        </w:rPr>
        <w:t>strike the testimony and exhibits of Mr. Demas, Ms. Davis, and Mr. Willis in their entirety as “</w:t>
      </w:r>
      <w:r w:rsidR="00F04B3E">
        <w:rPr>
          <w:rFonts w:ascii="Times New Roman" w:hAnsi="Times New Roman"/>
          <w:sz w:val="25"/>
          <w:szCs w:val="25"/>
        </w:rPr>
        <w:t xml:space="preserve">wholly </w:t>
      </w:r>
      <w:r w:rsidR="003369A3">
        <w:rPr>
          <w:rFonts w:ascii="Times New Roman" w:hAnsi="Times New Roman"/>
          <w:sz w:val="25"/>
          <w:szCs w:val="25"/>
        </w:rPr>
        <w:t xml:space="preserve">inappropriate, prejudicial to </w:t>
      </w:r>
      <w:r w:rsidR="009E4A86">
        <w:rPr>
          <w:rFonts w:ascii="Times New Roman" w:hAnsi="Times New Roman"/>
          <w:sz w:val="25"/>
          <w:szCs w:val="25"/>
        </w:rPr>
        <w:t>[</w:t>
      </w:r>
      <w:r w:rsidR="003369A3">
        <w:rPr>
          <w:rFonts w:ascii="Times New Roman" w:hAnsi="Times New Roman"/>
          <w:sz w:val="25"/>
          <w:szCs w:val="25"/>
        </w:rPr>
        <w:t>Staff</w:t>
      </w:r>
      <w:r w:rsidR="009E4A86">
        <w:rPr>
          <w:rFonts w:ascii="Times New Roman" w:hAnsi="Times New Roman"/>
          <w:sz w:val="25"/>
          <w:szCs w:val="25"/>
        </w:rPr>
        <w:t>]</w:t>
      </w:r>
      <w:r w:rsidR="003369A3">
        <w:rPr>
          <w:rFonts w:ascii="Times New Roman" w:hAnsi="Times New Roman"/>
          <w:sz w:val="25"/>
          <w:szCs w:val="25"/>
        </w:rPr>
        <w:t>, and unprecedented.”</w:t>
      </w:r>
      <w:r w:rsidR="003369A3">
        <w:rPr>
          <w:rStyle w:val="FootnoteReference"/>
          <w:rFonts w:ascii="Times New Roman" w:hAnsi="Times New Roman"/>
          <w:sz w:val="25"/>
          <w:szCs w:val="25"/>
        </w:rPr>
        <w:footnoteReference w:id="6"/>
      </w:r>
      <w:r w:rsidR="003369A3">
        <w:rPr>
          <w:rFonts w:ascii="Times New Roman" w:hAnsi="Times New Roman"/>
          <w:sz w:val="25"/>
          <w:szCs w:val="25"/>
        </w:rPr>
        <w:t xml:space="preserve">  Staff argues that the parties in no way agreed to supplement the record with new evidence at a time when, procedurally, closing briefs are due.</w:t>
      </w:r>
      <w:r w:rsidR="00D476AF">
        <w:rPr>
          <w:rStyle w:val="FootnoteReference"/>
          <w:rFonts w:ascii="Times New Roman" w:hAnsi="Times New Roman"/>
          <w:sz w:val="25"/>
          <w:szCs w:val="25"/>
        </w:rPr>
        <w:footnoteReference w:id="7"/>
      </w:r>
      <w:r w:rsidR="003369A3">
        <w:rPr>
          <w:rFonts w:ascii="Times New Roman" w:hAnsi="Times New Roman"/>
          <w:sz w:val="25"/>
          <w:szCs w:val="25"/>
        </w:rPr>
        <w:t xml:space="preserve">  </w:t>
      </w:r>
      <w:r w:rsidR="00D476AF">
        <w:rPr>
          <w:rFonts w:ascii="Times New Roman" w:hAnsi="Times New Roman"/>
          <w:sz w:val="25"/>
          <w:szCs w:val="25"/>
        </w:rPr>
        <w:t xml:space="preserve">WCI, according to Staff, also </w:t>
      </w:r>
      <w:r w:rsidR="008D2299">
        <w:rPr>
          <w:rFonts w:ascii="Times New Roman" w:hAnsi="Times New Roman"/>
          <w:sz w:val="25"/>
          <w:szCs w:val="25"/>
        </w:rPr>
        <w:t xml:space="preserve">unfairly accuses </w:t>
      </w:r>
      <w:r w:rsidR="009E4A86">
        <w:rPr>
          <w:rFonts w:ascii="Times New Roman" w:hAnsi="Times New Roman"/>
          <w:sz w:val="25"/>
          <w:szCs w:val="25"/>
        </w:rPr>
        <w:t>it</w:t>
      </w:r>
      <w:r w:rsidR="008D2299">
        <w:rPr>
          <w:rFonts w:ascii="Times New Roman" w:hAnsi="Times New Roman"/>
          <w:sz w:val="25"/>
          <w:szCs w:val="25"/>
        </w:rPr>
        <w:t xml:space="preserve"> of a “retributive attitude” in its “conduct of these proceedings,” makes references to a rate case filing that was not suspended and is not part of the record, s</w:t>
      </w:r>
      <w:r w:rsidR="001F2182">
        <w:rPr>
          <w:rFonts w:ascii="Times New Roman" w:hAnsi="Times New Roman"/>
          <w:sz w:val="25"/>
          <w:szCs w:val="25"/>
        </w:rPr>
        <w:t>peculates in testimony as to the capital structure position of a former Staff member, and discloses confidential settlement discussion details.</w:t>
      </w:r>
      <w:r w:rsidR="001F2182">
        <w:rPr>
          <w:rStyle w:val="FootnoteReference"/>
          <w:rFonts w:ascii="Times New Roman" w:hAnsi="Times New Roman"/>
          <w:sz w:val="25"/>
          <w:szCs w:val="25"/>
        </w:rPr>
        <w:footnoteReference w:id="8"/>
      </w:r>
      <w:r w:rsidR="00590AB4">
        <w:rPr>
          <w:rFonts w:ascii="Times New Roman" w:hAnsi="Times New Roman"/>
          <w:sz w:val="25"/>
          <w:szCs w:val="25"/>
        </w:rPr>
        <w:t xml:space="preserve">  </w:t>
      </w:r>
    </w:p>
    <w:p w14:paraId="34DCFB19" w14:textId="77777777" w:rsidR="00590AB4" w:rsidRDefault="00590AB4" w:rsidP="00590AB4">
      <w:pPr>
        <w:pStyle w:val="ListParagraph"/>
        <w:rPr>
          <w:sz w:val="25"/>
          <w:szCs w:val="25"/>
        </w:rPr>
      </w:pPr>
    </w:p>
    <w:p w14:paraId="3AE56E81" w14:textId="3F047101" w:rsidR="00A13291" w:rsidRDefault="001F2182" w:rsidP="00C82B11">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In its reply to WCI’s Response, Staff asserts that WCI </w:t>
      </w:r>
      <w:r w:rsidR="00611249">
        <w:rPr>
          <w:rFonts w:ascii="Times New Roman" w:hAnsi="Times New Roman"/>
          <w:sz w:val="25"/>
          <w:szCs w:val="25"/>
        </w:rPr>
        <w:t>has</w:t>
      </w:r>
      <w:r w:rsidR="000E34D4">
        <w:rPr>
          <w:rFonts w:ascii="Times New Roman" w:hAnsi="Times New Roman"/>
          <w:sz w:val="25"/>
          <w:szCs w:val="25"/>
        </w:rPr>
        <w:t xml:space="preserve"> supplied new evidence on brief.  Staff </w:t>
      </w:r>
      <w:r w:rsidR="00F04B3E">
        <w:rPr>
          <w:rFonts w:ascii="Times New Roman" w:hAnsi="Times New Roman"/>
          <w:sz w:val="25"/>
          <w:szCs w:val="25"/>
        </w:rPr>
        <w:t>repeats its claim that</w:t>
      </w:r>
      <w:r w:rsidR="00422F55">
        <w:rPr>
          <w:rFonts w:ascii="Times New Roman" w:hAnsi="Times New Roman"/>
          <w:sz w:val="25"/>
          <w:szCs w:val="25"/>
        </w:rPr>
        <w:t xml:space="preserve"> </w:t>
      </w:r>
      <w:r w:rsidR="009E4A86">
        <w:rPr>
          <w:rFonts w:ascii="Times New Roman" w:hAnsi="Times New Roman"/>
          <w:sz w:val="25"/>
          <w:szCs w:val="25"/>
        </w:rPr>
        <w:t>the Company</w:t>
      </w:r>
      <w:r w:rsidR="00F04B3E">
        <w:rPr>
          <w:rFonts w:ascii="Times New Roman" w:hAnsi="Times New Roman"/>
          <w:sz w:val="25"/>
          <w:szCs w:val="25"/>
        </w:rPr>
        <w:t>, in Mr. Willis’ testimony,</w:t>
      </w:r>
      <w:r w:rsidR="00422F55">
        <w:rPr>
          <w:rFonts w:ascii="Times New Roman" w:hAnsi="Times New Roman"/>
          <w:sz w:val="25"/>
          <w:szCs w:val="25"/>
        </w:rPr>
        <w:t xml:space="preserve"> has “include[d] several novel arguments, wholly irrelevant discussions of [its] 2009 rate case, and even speculates as to former Commission employee perceptions.”</w:t>
      </w:r>
      <w:r w:rsidR="00422F55">
        <w:rPr>
          <w:rStyle w:val="FootnoteReference"/>
          <w:rFonts w:ascii="Times New Roman" w:hAnsi="Times New Roman"/>
          <w:sz w:val="25"/>
          <w:szCs w:val="25"/>
        </w:rPr>
        <w:footnoteReference w:id="9"/>
      </w:r>
      <w:r w:rsidR="008E5B60">
        <w:rPr>
          <w:rFonts w:ascii="Times New Roman" w:hAnsi="Times New Roman"/>
          <w:sz w:val="25"/>
          <w:szCs w:val="25"/>
        </w:rPr>
        <w:t xml:space="preserve">  </w:t>
      </w:r>
      <w:r w:rsidR="00A13291">
        <w:rPr>
          <w:rFonts w:ascii="Times New Roman" w:hAnsi="Times New Roman"/>
          <w:sz w:val="25"/>
          <w:szCs w:val="25"/>
        </w:rPr>
        <w:t xml:space="preserve">For </w:t>
      </w:r>
      <w:r w:rsidR="00A13291">
        <w:rPr>
          <w:rFonts w:ascii="Times New Roman" w:hAnsi="Times New Roman"/>
          <w:sz w:val="25"/>
          <w:szCs w:val="25"/>
        </w:rPr>
        <w:lastRenderedPageBreak/>
        <w:t xml:space="preserve">example, </w:t>
      </w:r>
      <w:r w:rsidR="00422F55">
        <w:rPr>
          <w:rFonts w:ascii="Times New Roman" w:hAnsi="Times New Roman"/>
          <w:sz w:val="25"/>
          <w:szCs w:val="25"/>
        </w:rPr>
        <w:t xml:space="preserve">Staff points to page 1 of Mr. Willis’ testimony </w:t>
      </w:r>
      <w:r w:rsidR="00587224">
        <w:rPr>
          <w:rFonts w:ascii="Times New Roman" w:hAnsi="Times New Roman"/>
          <w:sz w:val="25"/>
          <w:szCs w:val="25"/>
        </w:rPr>
        <w:t>where he discusses WCI’s 2009 general rate case filing.</w:t>
      </w:r>
      <w:r w:rsidR="00587224">
        <w:rPr>
          <w:rStyle w:val="FootnoteReference"/>
          <w:rFonts w:ascii="Times New Roman" w:hAnsi="Times New Roman"/>
          <w:sz w:val="25"/>
          <w:szCs w:val="25"/>
        </w:rPr>
        <w:footnoteReference w:id="10"/>
      </w:r>
      <w:r w:rsidR="00A13291">
        <w:rPr>
          <w:rFonts w:ascii="Times New Roman" w:hAnsi="Times New Roman"/>
          <w:sz w:val="25"/>
          <w:szCs w:val="25"/>
        </w:rPr>
        <w:t xml:space="preserve">  </w:t>
      </w:r>
      <w:r w:rsidR="00587224">
        <w:rPr>
          <w:rFonts w:ascii="Times New Roman" w:hAnsi="Times New Roman"/>
          <w:sz w:val="25"/>
          <w:szCs w:val="25"/>
        </w:rPr>
        <w:t>By agreeing to a paper record, Staff states that it has waived its right to cross</w:t>
      </w:r>
      <w:r w:rsidR="00945701">
        <w:rPr>
          <w:rFonts w:ascii="Times New Roman" w:hAnsi="Times New Roman"/>
          <w:sz w:val="25"/>
          <w:szCs w:val="25"/>
        </w:rPr>
        <w:t>-</w:t>
      </w:r>
      <w:r w:rsidR="00587224">
        <w:rPr>
          <w:rFonts w:ascii="Times New Roman" w:hAnsi="Times New Roman"/>
          <w:sz w:val="25"/>
          <w:szCs w:val="25"/>
        </w:rPr>
        <w:t>examine Mr. Willis and is now at a distinct disadvantage.</w:t>
      </w:r>
      <w:r w:rsidR="00587224">
        <w:rPr>
          <w:rStyle w:val="FootnoteReference"/>
          <w:rFonts w:ascii="Times New Roman" w:hAnsi="Times New Roman"/>
          <w:sz w:val="25"/>
          <w:szCs w:val="25"/>
        </w:rPr>
        <w:footnoteReference w:id="11"/>
      </w:r>
      <w:r w:rsidR="00A13291">
        <w:rPr>
          <w:rFonts w:ascii="Times New Roman" w:hAnsi="Times New Roman"/>
          <w:sz w:val="25"/>
          <w:szCs w:val="25"/>
        </w:rPr>
        <w:t xml:space="preserve">  </w:t>
      </w:r>
      <w:r w:rsidR="00587224">
        <w:rPr>
          <w:rFonts w:ascii="Times New Roman" w:hAnsi="Times New Roman"/>
          <w:sz w:val="25"/>
          <w:szCs w:val="25"/>
        </w:rPr>
        <w:t>Starting on page 3 of Mr. Willis’ testimony, Staff alleges the witness mischaracterizes Staff’s position on capital structures of affiliate landlords for calculating an overall return for each affiliate landlord.</w:t>
      </w:r>
      <w:r w:rsidR="001923DB">
        <w:rPr>
          <w:rStyle w:val="FootnoteReference"/>
          <w:rFonts w:ascii="Times New Roman" w:hAnsi="Times New Roman"/>
          <w:sz w:val="25"/>
          <w:szCs w:val="25"/>
        </w:rPr>
        <w:footnoteReference w:id="12"/>
      </w:r>
      <w:r w:rsidR="001923DB">
        <w:rPr>
          <w:rFonts w:ascii="Times New Roman" w:hAnsi="Times New Roman"/>
          <w:sz w:val="25"/>
          <w:szCs w:val="25"/>
        </w:rPr>
        <w:t xml:space="preserve">  Likewise, Mr. Willis’ exhibit, Exhibit No. JW-9, contains information from the Company’s 2009 general rate case not previously in the record.</w:t>
      </w:r>
      <w:r w:rsidR="001923DB">
        <w:rPr>
          <w:rStyle w:val="FootnoteReference"/>
          <w:rFonts w:ascii="Times New Roman" w:hAnsi="Times New Roman"/>
          <w:sz w:val="25"/>
          <w:szCs w:val="25"/>
        </w:rPr>
        <w:footnoteReference w:id="13"/>
      </w:r>
      <w:r w:rsidR="001923DB">
        <w:rPr>
          <w:rFonts w:ascii="Times New Roman" w:hAnsi="Times New Roman"/>
          <w:sz w:val="25"/>
          <w:szCs w:val="25"/>
        </w:rPr>
        <w:t xml:space="preserve">  Staff contends WCI had ample opportunity to introduce this exhibit into the record prior to closing briefs, and </w:t>
      </w:r>
      <w:r w:rsidR="003923F3">
        <w:rPr>
          <w:rFonts w:ascii="Times New Roman" w:hAnsi="Times New Roman"/>
          <w:sz w:val="25"/>
          <w:szCs w:val="25"/>
        </w:rPr>
        <w:t>it can no longer adequately respond to such new information.</w:t>
      </w:r>
      <w:r w:rsidR="003923F3">
        <w:rPr>
          <w:rStyle w:val="FootnoteReference"/>
          <w:rFonts w:ascii="Times New Roman" w:hAnsi="Times New Roman"/>
          <w:sz w:val="25"/>
          <w:szCs w:val="25"/>
        </w:rPr>
        <w:footnoteReference w:id="14"/>
      </w:r>
    </w:p>
    <w:p w14:paraId="6C317FA6" w14:textId="77777777" w:rsidR="00A13291" w:rsidRDefault="00A13291" w:rsidP="00A13291">
      <w:pPr>
        <w:pStyle w:val="ListParagraph"/>
        <w:rPr>
          <w:sz w:val="25"/>
          <w:szCs w:val="25"/>
        </w:rPr>
      </w:pPr>
    </w:p>
    <w:p w14:paraId="1D5B25E1" w14:textId="3DA9752D" w:rsidR="00590AB4" w:rsidRDefault="00332B6D" w:rsidP="00C82B11">
      <w:pPr>
        <w:numPr>
          <w:ilvl w:val="0"/>
          <w:numId w:val="1"/>
        </w:numPr>
        <w:spacing w:line="264" w:lineRule="auto"/>
        <w:ind w:hanging="720"/>
        <w:rPr>
          <w:rFonts w:ascii="Times New Roman" w:hAnsi="Times New Roman"/>
          <w:sz w:val="25"/>
          <w:szCs w:val="25"/>
        </w:rPr>
      </w:pPr>
      <w:r>
        <w:rPr>
          <w:rFonts w:ascii="Times New Roman" w:hAnsi="Times New Roman"/>
          <w:sz w:val="25"/>
          <w:szCs w:val="25"/>
        </w:rPr>
        <w:t>Mr. Demas’ testimony presents similar difficulties for Staf</w:t>
      </w:r>
      <w:r w:rsidR="002160DD">
        <w:rPr>
          <w:rFonts w:ascii="Times New Roman" w:hAnsi="Times New Roman"/>
          <w:sz w:val="25"/>
          <w:szCs w:val="25"/>
        </w:rPr>
        <w:t>f.  Staff argue</w:t>
      </w:r>
      <w:r w:rsidR="009E4A86">
        <w:rPr>
          <w:rFonts w:ascii="Times New Roman" w:hAnsi="Times New Roman"/>
          <w:sz w:val="25"/>
          <w:szCs w:val="25"/>
        </w:rPr>
        <w:t>s</w:t>
      </w:r>
      <w:r w:rsidR="002160DD">
        <w:rPr>
          <w:rFonts w:ascii="Times New Roman" w:hAnsi="Times New Roman"/>
          <w:sz w:val="25"/>
          <w:szCs w:val="25"/>
        </w:rPr>
        <w:t xml:space="preserve"> that his testimony references a new position taken by the Company at this late stage, discusses materials provided to Staff by the Company but does not cite to anything in the record, and includes two new tables and a new proposed calculation.</w:t>
      </w:r>
      <w:r w:rsidR="002160DD">
        <w:rPr>
          <w:rStyle w:val="FootnoteReference"/>
          <w:rFonts w:ascii="Times New Roman" w:hAnsi="Times New Roman"/>
          <w:sz w:val="25"/>
          <w:szCs w:val="25"/>
        </w:rPr>
        <w:footnoteReference w:id="15"/>
      </w:r>
      <w:r w:rsidR="002160DD">
        <w:rPr>
          <w:rFonts w:ascii="Times New Roman" w:hAnsi="Times New Roman"/>
          <w:sz w:val="25"/>
          <w:szCs w:val="25"/>
        </w:rPr>
        <w:t xml:space="preserve">  As with Mr. Willis’ testimony, Staff recommends that the Commission strike Mr. Demas’ testimony in its entirety.</w:t>
      </w:r>
    </w:p>
    <w:p w14:paraId="36977933" w14:textId="77777777" w:rsidR="002160DD" w:rsidRDefault="002160DD" w:rsidP="002160DD">
      <w:pPr>
        <w:pStyle w:val="ListParagraph"/>
        <w:rPr>
          <w:sz w:val="25"/>
          <w:szCs w:val="25"/>
        </w:rPr>
      </w:pPr>
    </w:p>
    <w:p w14:paraId="53B5E995" w14:textId="457EBEEF" w:rsidR="002160DD" w:rsidRDefault="002160DD" w:rsidP="00C82B11">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Staff asserts that Ms. Davis’ testimony </w:t>
      </w:r>
      <w:r w:rsidR="004A0CDC">
        <w:rPr>
          <w:rFonts w:ascii="Times New Roman" w:hAnsi="Times New Roman"/>
          <w:sz w:val="25"/>
          <w:szCs w:val="25"/>
        </w:rPr>
        <w:t xml:space="preserve">contains new details, as well as </w:t>
      </w:r>
      <w:r w:rsidR="009E4A86">
        <w:rPr>
          <w:rFonts w:ascii="Times New Roman" w:hAnsi="Times New Roman"/>
          <w:sz w:val="25"/>
          <w:szCs w:val="25"/>
        </w:rPr>
        <w:t xml:space="preserve">unfair </w:t>
      </w:r>
      <w:r w:rsidR="004A0CDC">
        <w:rPr>
          <w:rFonts w:ascii="Times New Roman" w:hAnsi="Times New Roman"/>
          <w:sz w:val="25"/>
          <w:szCs w:val="25"/>
        </w:rPr>
        <w:t>allegations of Staff misconduct</w:t>
      </w:r>
      <w:r w:rsidR="00095377">
        <w:rPr>
          <w:rFonts w:ascii="Times New Roman" w:hAnsi="Times New Roman"/>
          <w:sz w:val="25"/>
          <w:szCs w:val="25"/>
        </w:rPr>
        <w:t>, both of which the Commission find inappropriate</w:t>
      </w:r>
      <w:r w:rsidR="004A0CDC">
        <w:rPr>
          <w:rFonts w:ascii="Times New Roman" w:hAnsi="Times New Roman"/>
          <w:sz w:val="25"/>
          <w:szCs w:val="25"/>
        </w:rPr>
        <w:t>.</w:t>
      </w:r>
      <w:r w:rsidR="004A0CDC">
        <w:rPr>
          <w:rStyle w:val="FootnoteReference"/>
          <w:rFonts w:ascii="Times New Roman" w:hAnsi="Times New Roman"/>
          <w:sz w:val="25"/>
          <w:szCs w:val="25"/>
        </w:rPr>
        <w:footnoteReference w:id="16"/>
      </w:r>
      <w:r w:rsidR="004A0CDC">
        <w:rPr>
          <w:rFonts w:ascii="Times New Roman" w:hAnsi="Times New Roman"/>
          <w:sz w:val="25"/>
          <w:szCs w:val="25"/>
        </w:rPr>
        <w:t xml:space="preserve">  </w:t>
      </w:r>
      <w:r w:rsidR="00C94BBC">
        <w:rPr>
          <w:rFonts w:ascii="Times New Roman" w:hAnsi="Times New Roman"/>
          <w:sz w:val="25"/>
          <w:szCs w:val="25"/>
        </w:rPr>
        <w:t xml:space="preserve">In addition, Ms. Davis </w:t>
      </w:r>
      <w:r w:rsidR="00095377">
        <w:rPr>
          <w:rFonts w:ascii="Times New Roman" w:hAnsi="Times New Roman"/>
          <w:sz w:val="25"/>
          <w:szCs w:val="25"/>
        </w:rPr>
        <w:t>concentrates much of her testimony on defending the Company’s rate case costs.</w:t>
      </w:r>
      <w:r w:rsidR="00095377">
        <w:rPr>
          <w:rStyle w:val="FootnoteReference"/>
          <w:rFonts w:ascii="Times New Roman" w:hAnsi="Times New Roman"/>
          <w:sz w:val="25"/>
          <w:szCs w:val="25"/>
        </w:rPr>
        <w:footnoteReference w:id="17"/>
      </w:r>
      <w:r w:rsidR="00095377">
        <w:rPr>
          <w:rFonts w:ascii="Times New Roman" w:hAnsi="Times New Roman"/>
          <w:sz w:val="25"/>
          <w:szCs w:val="25"/>
        </w:rPr>
        <w:t xml:space="preserve">  </w:t>
      </w:r>
      <w:r w:rsidR="007E6874">
        <w:rPr>
          <w:rFonts w:ascii="Times New Roman" w:hAnsi="Times New Roman"/>
          <w:sz w:val="25"/>
          <w:szCs w:val="25"/>
        </w:rPr>
        <w:t xml:space="preserve">Since </w:t>
      </w:r>
      <w:r w:rsidR="009E4A86">
        <w:rPr>
          <w:rFonts w:ascii="Times New Roman" w:hAnsi="Times New Roman"/>
          <w:sz w:val="25"/>
          <w:szCs w:val="25"/>
        </w:rPr>
        <w:t>Staff is</w:t>
      </w:r>
      <w:r w:rsidR="007E6874">
        <w:rPr>
          <w:rFonts w:ascii="Times New Roman" w:hAnsi="Times New Roman"/>
          <w:sz w:val="25"/>
          <w:szCs w:val="25"/>
        </w:rPr>
        <w:t xml:space="preserve"> not specifically contesting the totals for the Company’s rate case costs, Staff contends that “Ms. Davis’ entire supplemental testimony is substantively irrelevant to the present proceeding.”</w:t>
      </w:r>
      <w:r w:rsidR="007E6874">
        <w:rPr>
          <w:rStyle w:val="FootnoteReference"/>
          <w:rFonts w:ascii="Times New Roman" w:hAnsi="Times New Roman"/>
          <w:sz w:val="25"/>
          <w:szCs w:val="25"/>
        </w:rPr>
        <w:footnoteReference w:id="18"/>
      </w:r>
    </w:p>
    <w:p w14:paraId="3FD844F6" w14:textId="77777777" w:rsidR="00197403" w:rsidRDefault="00197403" w:rsidP="00197403">
      <w:pPr>
        <w:pStyle w:val="ListParagraph"/>
        <w:rPr>
          <w:sz w:val="25"/>
          <w:szCs w:val="25"/>
        </w:rPr>
      </w:pPr>
    </w:p>
    <w:p w14:paraId="05726C31" w14:textId="7B6A5D4A" w:rsidR="00C723A9" w:rsidRDefault="00B14095" w:rsidP="00C82B11">
      <w:pPr>
        <w:numPr>
          <w:ilvl w:val="0"/>
          <w:numId w:val="1"/>
        </w:numPr>
        <w:spacing w:line="264" w:lineRule="auto"/>
        <w:ind w:hanging="720"/>
        <w:rPr>
          <w:rFonts w:ascii="Times New Roman" w:hAnsi="Times New Roman"/>
          <w:sz w:val="25"/>
          <w:szCs w:val="25"/>
        </w:rPr>
      </w:pPr>
      <w:r>
        <w:rPr>
          <w:rFonts w:ascii="Times New Roman" w:hAnsi="Times New Roman"/>
          <w:sz w:val="25"/>
          <w:szCs w:val="25"/>
        </w:rPr>
        <w:t>The Commission, according to Staff, should strike the testimonies in their entirety.  All</w:t>
      </w:r>
      <w:r w:rsidR="00CC2D91">
        <w:rPr>
          <w:rFonts w:ascii="Times New Roman" w:hAnsi="Times New Roman"/>
          <w:sz w:val="25"/>
          <w:szCs w:val="25"/>
        </w:rPr>
        <w:t xml:space="preserve"> parties have had a chance to brief their initial positions, and the Commission </w:t>
      </w:r>
      <w:r w:rsidR="00CC2D91">
        <w:rPr>
          <w:rFonts w:ascii="Times New Roman" w:hAnsi="Times New Roman"/>
          <w:sz w:val="25"/>
          <w:szCs w:val="25"/>
        </w:rPr>
        <w:lastRenderedPageBreak/>
        <w:t xml:space="preserve">should not re-open the matter for a full hearing on the four remaining contested issues.  </w:t>
      </w:r>
      <w:r>
        <w:rPr>
          <w:rFonts w:ascii="Times New Roman" w:hAnsi="Times New Roman"/>
          <w:sz w:val="25"/>
          <w:szCs w:val="25"/>
        </w:rPr>
        <w:t>Instead, Staff recommends allowing the parties to file closing briefs.  If</w:t>
      </w:r>
      <w:r w:rsidR="00CC2D91">
        <w:rPr>
          <w:rFonts w:ascii="Times New Roman" w:hAnsi="Times New Roman"/>
          <w:sz w:val="25"/>
          <w:szCs w:val="25"/>
        </w:rPr>
        <w:t xml:space="preserve"> the Commission </w:t>
      </w:r>
      <w:r>
        <w:rPr>
          <w:rFonts w:ascii="Times New Roman" w:hAnsi="Times New Roman"/>
          <w:sz w:val="25"/>
          <w:szCs w:val="25"/>
        </w:rPr>
        <w:t xml:space="preserve">denies Staff’s Motion and </w:t>
      </w:r>
      <w:r w:rsidR="00E27D76">
        <w:rPr>
          <w:rFonts w:ascii="Times New Roman" w:hAnsi="Times New Roman"/>
          <w:sz w:val="25"/>
          <w:szCs w:val="25"/>
        </w:rPr>
        <w:t>convene</w:t>
      </w:r>
      <w:r>
        <w:rPr>
          <w:rFonts w:ascii="Times New Roman" w:hAnsi="Times New Roman"/>
          <w:sz w:val="25"/>
          <w:szCs w:val="25"/>
        </w:rPr>
        <w:t>s</w:t>
      </w:r>
      <w:r w:rsidR="00E27D76">
        <w:rPr>
          <w:rFonts w:ascii="Times New Roman" w:hAnsi="Times New Roman"/>
          <w:sz w:val="25"/>
          <w:szCs w:val="25"/>
        </w:rPr>
        <w:t xml:space="preserve"> a hearing on the supplemental testimony to allow Staff the opportunity to cross-examine Mr. Willis, Mr. Demas, and Ms. Davis, Staff proposes a short proceeding</w:t>
      </w:r>
      <w:r w:rsidR="00CC2D91">
        <w:rPr>
          <w:rFonts w:ascii="Times New Roman" w:hAnsi="Times New Roman"/>
          <w:sz w:val="25"/>
          <w:szCs w:val="25"/>
        </w:rPr>
        <w:t xml:space="preserve"> </w:t>
      </w:r>
      <w:r w:rsidR="00E27D76">
        <w:rPr>
          <w:rFonts w:ascii="Times New Roman" w:hAnsi="Times New Roman"/>
          <w:sz w:val="25"/>
          <w:szCs w:val="25"/>
        </w:rPr>
        <w:t>followed by the filing of reply briefs.</w:t>
      </w:r>
      <w:r w:rsidR="00E27D76">
        <w:rPr>
          <w:rStyle w:val="FootnoteReference"/>
          <w:rFonts w:ascii="Times New Roman" w:hAnsi="Times New Roman"/>
          <w:sz w:val="25"/>
          <w:szCs w:val="25"/>
        </w:rPr>
        <w:footnoteReference w:id="19"/>
      </w:r>
    </w:p>
    <w:p w14:paraId="561299C5" w14:textId="77777777" w:rsidR="005D4F4D" w:rsidRDefault="005D4F4D" w:rsidP="005D4F4D">
      <w:pPr>
        <w:pStyle w:val="ListParagraph"/>
        <w:rPr>
          <w:sz w:val="25"/>
          <w:szCs w:val="25"/>
        </w:rPr>
      </w:pPr>
    </w:p>
    <w:p w14:paraId="5A9FAA9E" w14:textId="77777777" w:rsidR="004543D4" w:rsidRDefault="00E27D76" w:rsidP="001F2182">
      <w:pPr>
        <w:numPr>
          <w:ilvl w:val="0"/>
          <w:numId w:val="1"/>
        </w:numPr>
        <w:spacing w:line="264" w:lineRule="auto"/>
        <w:ind w:hanging="720"/>
        <w:rPr>
          <w:rFonts w:ascii="Times New Roman" w:hAnsi="Times New Roman"/>
          <w:sz w:val="25"/>
          <w:szCs w:val="25"/>
        </w:rPr>
      </w:pPr>
      <w:r>
        <w:rPr>
          <w:rFonts w:ascii="Times New Roman" w:hAnsi="Times New Roman"/>
          <w:b/>
          <w:sz w:val="25"/>
          <w:szCs w:val="25"/>
        </w:rPr>
        <w:t xml:space="preserve">WCI’s Response.  </w:t>
      </w:r>
      <w:r>
        <w:rPr>
          <w:rFonts w:ascii="Times New Roman" w:hAnsi="Times New Roman"/>
          <w:sz w:val="25"/>
          <w:szCs w:val="25"/>
        </w:rPr>
        <w:t xml:space="preserve">WCI </w:t>
      </w:r>
      <w:r w:rsidR="001F715B">
        <w:rPr>
          <w:rFonts w:ascii="Times New Roman" w:hAnsi="Times New Roman"/>
          <w:sz w:val="25"/>
          <w:szCs w:val="25"/>
        </w:rPr>
        <w:t>argues that the parties, and in particular, counsel for Staff and WCI, agreed that supplemental testimony could be filed with the initial briefs.</w:t>
      </w:r>
      <w:r w:rsidR="00383776">
        <w:rPr>
          <w:rStyle w:val="FootnoteReference"/>
          <w:rFonts w:ascii="Times New Roman" w:hAnsi="Times New Roman"/>
          <w:sz w:val="25"/>
          <w:szCs w:val="25"/>
        </w:rPr>
        <w:footnoteReference w:id="20"/>
      </w:r>
      <w:r w:rsidR="00383776" w:rsidRPr="00490747">
        <w:rPr>
          <w:rFonts w:ascii="Times New Roman" w:hAnsi="Times New Roman"/>
          <w:sz w:val="25"/>
          <w:szCs w:val="25"/>
        </w:rPr>
        <w:t xml:space="preserve">  </w:t>
      </w:r>
      <w:r w:rsidR="001F715B">
        <w:rPr>
          <w:rFonts w:ascii="Times New Roman" w:hAnsi="Times New Roman"/>
          <w:sz w:val="25"/>
          <w:szCs w:val="25"/>
        </w:rPr>
        <w:t>Staff reserved the right to object to the testimony if it wasn’t “new/bringing up novel issues and arguments.”</w:t>
      </w:r>
      <w:r w:rsidR="001F715B">
        <w:rPr>
          <w:rStyle w:val="FootnoteReference"/>
          <w:rFonts w:ascii="Times New Roman" w:hAnsi="Times New Roman"/>
          <w:sz w:val="25"/>
          <w:szCs w:val="25"/>
        </w:rPr>
        <w:footnoteReference w:id="21"/>
      </w:r>
      <w:r w:rsidR="001F715B">
        <w:rPr>
          <w:rFonts w:ascii="Times New Roman" w:hAnsi="Times New Roman"/>
          <w:sz w:val="25"/>
          <w:szCs w:val="25"/>
        </w:rPr>
        <w:t xml:space="preserve">  </w:t>
      </w:r>
      <w:r w:rsidR="00A24D60">
        <w:rPr>
          <w:rFonts w:ascii="Times New Roman" w:hAnsi="Times New Roman"/>
          <w:sz w:val="25"/>
          <w:szCs w:val="25"/>
        </w:rPr>
        <w:t>Further, WCI alleges that Staff stated its acquiescence to the Company’s filing of a rate case cost update with its initial brief.</w:t>
      </w:r>
      <w:r w:rsidR="004543D4">
        <w:rPr>
          <w:rStyle w:val="FootnoteReference"/>
          <w:rFonts w:ascii="Times New Roman" w:hAnsi="Times New Roman"/>
          <w:sz w:val="25"/>
          <w:szCs w:val="25"/>
        </w:rPr>
        <w:footnoteReference w:id="22"/>
      </w:r>
      <w:r w:rsidR="00A24D60">
        <w:rPr>
          <w:rFonts w:ascii="Times New Roman" w:hAnsi="Times New Roman"/>
          <w:sz w:val="25"/>
          <w:szCs w:val="25"/>
        </w:rPr>
        <w:t xml:space="preserve">  </w:t>
      </w:r>
    </w:p>
    <w:p w14:paraId="40C50086" w14:textId="77777777" w:rsidR="004543D4" w:rsidRDefault="004543D4" w:rsidP="004543D4">
      <w:pPr>
        <w:pStyle w:val="ListParagraph"/>
        <w:rPr>
          <w:sz w:val="25"/>
          <w:szCs w:val="25"/>
        </w:rPr>
      </w:pPr>
    </w:p>
    <w:p w14:paraId="46F1E36C" w14:textId="3F743B0C" w:rsidR="00D02359" w:rsidRPr="004543D4" w:rsidRDefault="001F715B" w:rsidP="004543D4">
      <w:pPr>
        <w:numPr>
          <w:ilvl w:val="0"/>
          <w:numId w:val="1"/>
        </w:numPr>
        <w:spacing w:line="264" w:lineRule="auto"/>
        <w:ind w:hanging="720"/>
        <w:rPr>
          <w:rFonts w:ascii="Times New Roman" w:hAnsi="Times New Roman"/>
          <w:sz w:val="25"/>
          <w:szCs w:val="25"/>
        </w:rPr>
      </w:pPr>
      <w:r w:rsidRPr="004543D4">
        <w:rPr>
          <w:rFonts w:ascii="Times New Roman" w:hAnsi="Times New Roman"/>
          <w:sz w:val="25"/>
          <w:szCs w:val="25"/>
        </w:rPr>
        <w:t xml:space="preserve">WCI </w:t>
      </w:r>
      <w:r w:rsidR="00B14095">
        <w:rPr>
          <w:rFonts w:ascii="Times New Roman" w:hAnsi="Times New Roman"/>
          <w:sz w:val="25"/>
          <w:szCs w:val="25"/>
        </w:rPr>
        <w:t>notes that</w:t>
      </w:r>
      <w:r w:rsidRPr="004543D4">
        <w:rPr>
          <w:rFonts w:ascii="Times New Roman" w:hAnsi="Times New Roman"/>
          <w:sz w:val="25"/>
          <w:szCs w:val="25"/>
        </w:rPr>
        <w:t xml:space="preserve"> Staff </w:t>
      </w:r>
      <w:r w:rsidR="00A24D60" w:rsidRPr="004543D4">
        <w:rPr>
          <w:rFonts w:ascii="Times New Roman" w:hAnsi="Times New Roman"/>
          <w:sz w:val="25"/>
          <w:szCs w:val="25"/>
        </w:rPr>
        <w:t>failed to provide specific references to support its claims that the testimony in question should be stricken.</w:t>
      </w:r>
      <w:r w:rsidR="00A24D60">
        <w:rPr>
          <w:rStyle w:val="FootnoteReference"/>
          <w:rFonts w:ascii="Times New Roman" w:hAnsi="Times New Roman"/>
          <w:sz w:val="25"/>
          <w:szCs w:val="25"/>
        </w:rPr>
        <w:footnoteReference w:id="23"/>
      </w:r>
      <w:r w:rsidR="00A24D60" w:rsidRPr="004543D4">
        <w:rPr>
          <w:rFonts w:ascii="Times New Roman" w:hAnsi="Times New Roman"/>
          <w:sz w:val="25"/>
          <w:szCs w:val="25"/>
        </w:rPr>
        <w:t xml:space="preserve"> </w:t>
      </w:r>
      <w:r w:rsidR="003F6D88">
        <w:rPr>
          <w:rFonts w:ascii="Times New Roman" w:hAnsi="Times New Roman"/>
          <w:sz w:val="25"/>
          <w:szCs w:val="25"/>
        </w:rPr>
        <w:t xml:space="preserve"> In answering Staff’s allegation </w:t>
      </w:r>
      <w:r w:rsidR="00411CF3">
        <w:rPr>
          <w:rFonts w:ascii="Times New Roman" w:hAnsi="Times New Roman"/>
          <w:sz w:val="25"/>
          <w:szCs w:val="25"/>
        </w:rPr>
        <w:t xml:space="preserve">of </w:t>
      </w:r>
      <w:r w:rsidR="003F6D88">
        <w:rPr>
          <w:rFonts w:ascii="Times New Roman" w:hAnsi="Times New Roman"/>
          <w:sz w:val="25"/>
          <w:szCs w:val="25"/>
        </w:rPr>
        <w:t>disclos</w:t>
      </w:r>
      <w:r w:rsidR="00411CF3">
        <w:rPr>
          <w:rFonts w:ascii="Times New Roman" w:hAnsi="Times New Roman"/>
          <w:sz w:val="25"/>
          <w:szCs w:val="25"/>
        </w:rPr>
        <w:t>ure of</w:t>
      </w:r>
      <w:r w:rsidR="003F6D88">
        <w:rPr>
          <w:rFonts w:ascii="Times New Roman" w:hAnsi="Times New Roman"/>
          <w:sz w:val="25"/>
          <w:szCs w:val="25"/>
        </w:rPr>
        <w:t xml:space="preserve"> confidential information, the Company </w:t>
      </w:r>
      <w:r w:rsidR="00411CF3">
        <w:rPr>
          <w:rFonts w:ascii="Times New Roman" w:hAnsi="Times New Roman"/>
          <w:sz w:val="25"/>
          <w:szCs w:val="25"/>
        </w:rPr>
        <w:t xml:space="preserve">states that it </w:t>
      </w:r>
      <w:r w:rsidR="00CC44EC">
        <w:rPr>
          <w:rFonts w:ascii="Times New Roman" w:hAnsi="Times New Roman"/>
          <w:sz w:val="25"/>
          <w:szCs w:val="25"/>
        </w:rPr>
        <w:t xml:space="preserve">is </w:t>
      </w:r>
      <w:r w:rsidR="00411CF3">
        <w:rPr>
          <w:rFonts w:ascii="Times New Roman" w:hAnsi="Times New Roman"/>
          <w:sz w:val="25"/>
          <w:szCs w:val="25"/>
        </w:rPr>
        <w:t xml:space="preserve">forced to speculate that Staff is referring to the $1,449 </w:t>
      </w:r>
      <w:r w:rsidR="00CC44EC">
        <w:rPr>
          <w:rFonts w:ascii="Times New Roman" w:hAnsi="Times New Roman"/>
          <w:sz w:val="25"/>
          <w:szCs w:val="25"/>
        </w:rPr>
        <w:t xml:space="preserve">utility expense </w:t>
      </w:r>
      <w:r w:rsidR="00411CF3">
        <w:rPr>
          <w:rFonts w:ascii="Times New Roman" w:hAnsi="Times New Roman"/>
          <w:sz w:val="25"/>
          <w:szCs w:val="25"/>
        </w:rPr>
        <w:t xml:space="preserve">discrepancy </w:t>
      </w:r>
      <w:r w:rsidR="00CC44EC">
        <w:rPr>
          <w:rFonts w:ascii="Times New Roman" w:hAnsi="Times New Roman"/>
          <w:sz w:val="25"/>
          <w:szCs w:val="25"/>
        </w:rPr>
        <w:t>between Mr. Demas’ supplemental testimony and Staff’s initial brief</w:t>
      </w:r>
      <w:r w:rsidR="00411CF3">
        <w:rPr>
          <w:rFonts w:ascii="Times New Roman" w:hAnsi="Times New Roman"/>
          <w:sz w:val="25"/>
          <w:szCs w:val="25"/>
        </w:rPr>
        <w:t>.</w:t>
      </w:r>
      <w:r w:rsidR="00411CF3">
        <w:rPr>
          <w:rStyle w:val="FootnoteReference"/>
          <w:rFonts w:ascii="Times New Roman" w:hAnsi="Times New Roman"/>
          <w:sz w:val="25"/>
          <w:szCs w:val="25"/>
        </w:rPr>
        <w:footnoteReference w:id="24"/>
      </w:r>
      <w:r w:rsidR="00411CF3">
        <w:rPr>
          <w:rFonts w:ascii="Times New Roman" w:hAnsi="Times New Roman"/>
          <w:sz w:val="25"/>
          <w:szCs w:val="25"/>
        </w:rPr>
        <w:t xml:space="preserve">  </w:t>
      </w:r>
      <w:r w:rsidR="008C22E7">
        <w:rPr>
          <w:rFonts w:ascii="Times New Roman" w:hAnsi="Times New Roman"/>
          <w:sz w:val="25"/>
          <w:szCs w:val="25"/>
        </w:rPr>
        <w:t xml:space="preserve">WCI argues that </w:t>
      </w:r>
      <w:r w:rsidR="00CC44EC">
        <w:rPr>
          <w:rFonts w:ascii="Times New Roman" w:hAnsi="Times New Roman"/>
          <w:sz w:val="25"/>
          <w:szCs w:val="25"/>
        </w:rPr>
        <w:t>the discrepancies between the Company’s interpretations of Staff’s allowed utility expense and Staff’s actual position</w:t>
      </w:r>
      <w:r w:rsidR="008C22E7">
        <w:rPr>
          <w:rFonts w:ascii="Times New Roman" w:hAnsi="Times New Roman"/>
          <w:sz w:val="25"/>
          <w:szCs w:val="25"/>
        </w:rPr>
        <w:t xml:space="preserve"> is not only </w:t>
      </w:r>
      <w:r w:rsidR="008C22E7">
        <w:rPr>
          <w:rFonts w:ascii="Times New Roman" w:hAnsi="Times New Roman"/>
          <w:i/>
          <w:sz w:val="25"/>
          <w:szCs w:val="25"/>
        </w:rPr>
        <w:t>de minimis</w:t>
      </w:r>
      <w:r w:rsidR="008C22E7">
        <w:rPr>
          <w:rFonts w:ascii="Times New Roman" w:hAnsi="Times New Roman"/>
          <w:sz w:val="25"/>
          <w:szCs w:val="25"/>
        </w:rPr>
        <w:t xml:space="preserve"> </w:t>
      </w:r>
      <w:r w:rsidR="00CC44EC">
        <w:rPr>
          <w:rFonts w:ascii="Times New Roman" w:hAnsi="Times New Roman"/>
          <w:sz w:val="25"/>
          <w:szCs w:val="25"/>
        </w:rPr>
        <w:t xml:space="preserve">but </w:t>
      </w:r>
      <w:r w:rsidR="008C22E7">
        <w:rPr>
          <w:rFonts w:ascii="Times New Roman" w:hAnsi="Times New Roman"/>
          <w:sz w:val="25"/>
          <w:szCs w:val="25"/>
        </w:rPr>
        <w:t>can hardly be considered the intentional communication of wrongful confidential information.</w:t>
      </w:r>
      <w:r w:rsidR="008C22E7">
        <w:rPr>
          <w:rStyle w:val="FootnoteReference"/>
          <w:rFonts w:ascii="Times New Roman" w:hAnsi="Times New Roman"/>
          <w:sz w:val="25"/>
          <w:szCs w:val="25"/>
        </w:rPr>
        <w:footnoteReference w:id="25"/>
      </w:r>
      <w:r w:rsidR="00CC44EC">
        <w:rPr>
          <w:rFonts w:ascii="Times New Roman" w:hAnsi="Times New Roman"/>
          <w:sz w:val="25"/>
          <w:szCs w:val="25"/>
        </w:rPr>
        <w:t xml:space="preserve">  The Company, pointing to Staff’s higher actual allowed utility expense figure, indicates that its rendition of Staff’s position on utility expense was lower that Staff’s actual position</w:t>
      </w:r>
      <w:r w:rsidR="008C22E7">
        <w:rPr>
          <w:rFonts w:ascii="Times New Roman" w:hAnsi="Times New Roman"/>
          <w:sz w:val="25"/>
          <w:szCs w:val="25"/>
        </w:rPr>
        <w:t>.</w:t>
      </w:r>
      <w:r w:rsidR="008C22E7">
        <w:rPr>
          <w:rStyle w:val="FootnoteReference"/>
          <w:rFonts w:ascii="Times New Roman" w:hAnsi="Times New Roman"/>
          <w:sz w:val="25"/>
          <w:szCs w:val="25"/>
        </w:rPr>
        <w:footnoteReference w:id="26"/>
      </w:r>
      <w:r w:rsidR="008C22E7">
        <w:rPr>
          <w:rFonts w:ascii="Times New Roman" w:hAnsi="Times New Roman"/>
          <w:sz w:val="25"/>
          <w:szCs w:val="25"/>
        </w:rPr>
        <w:t xml:space="preserve">  </w:t>
      </w:r>
    </w:p>
    <w:p w14:paraId="692F2DAD" w14:textId="77777777" w:rsidR="00D02359" w:rsidRDefault="00D02359" w:rsidP="00D02359">
      <w:pPr>
        <w:spacing w:line="264" w:lineRule="auto"/>
        <w:rPr>
          <w:rFonts w:ascii="Times New Roman" w:hAnsi="Times New Roman"/>
          <w:sz w:val="25"/>
          <w:szCs w:val="25"/>
        </w:rPr>
      </w:pPr>
    </w:p>
    <w:p w14:paraId="6A1C5EDD" w14:textId="57EDAEE7" w:rsidR="000D31AC" w:rsidRPr="00827E3C" w:rsidRDefault="00CC44EC" w:rsidP="000D31AC">
      <w:pPr>
        <w:numPr>
          <w:ilvl w:val="0"/>
          <w:numId w:val="1"/>
        </w:numPr>
        <w:spacing w:line="264" w:lineRule="auto"/>
        <w:ind w:hanging="720"/>
        <w:rPr>
          <w:sz w:val="25"/>
          <w:szCs w:val="25"/>
        </w:rPr>
      </w:pPr>
      <w:r>
        <w:rPr>
          <w:rFonts w:ascii="Times New Roman" w:hAnsi="Times New Roman"/>
          <w:sz w:val="25"/>
          <w:szCs w:val="25"/>
        </w:rPr>
        <w:lastRenderedPageBreak/>
        <w:t xml:space="preserve">With regard to Staff’s objection to </w:t>
      </w:r>
      <w:r w:rsidR="00643A94">
        <w:rPr>
          <w:rFonts w:ascii="Times New Roman" w:hAnsi="Times New Roman"/>
          <w:sz w:val="25"/>
          <w:szCs w:val="25"/>
        </w:rPr>
        <w:t xml:space="preserve">the </w:t>
      </w:r>
      <w:r>
        <w:rPr>
          <w:rFonts w:ascii="Times New Roman" w:hAnsi="Times New Roman"/>
          <w:sz w:val="25"/>
          <w:szCs w:val="25"/>
        </w:rPr>
        <w:t>2009 rate case</w:t>
      </w:r>
      <w:r w:rsidR="00D63733">
        <w:rPr>
          <w:rFonts w:ascii="Times New Roman" w:hAnsi="Times New Roman"/>
          <w:sz w:val="25"/>
          <w:szCs w:val="25"/>
        </w:rPr>
        <w:t xml:space="preserve"> references</w:t>
      </w:r>
      <w:r w:rsidR="00643A94">
        <w:rPr>
          <w:rFonts w:ascii="Times New Roman" w:hAnsi="Times New Roman"/>
          <w:sz w:val="25"/>
          <w:szCs w:val="25"/>
        </w:rPr>
        <w:t>, the Company argues that the record is replete with references to this case</w:t>
      </w:r>
      <w:r w:rsidR="00021F6B">
        <w:rPr>
          <w:rFonts w:ascii="Times New Roman" w:hAnsi="Times New Roman"/>
          <w:sz w:val="25"/>
          <w:szCs w:val="25"/>
        </w:rPr>
        <w:t xml:space="preserve"> already</w:t>
      </w:r>
      <w:r w:rsidR="00643A94">
        <w:rPr>
          <w:rFonts w:ascii="Times New Roman" w:hAnsi="Times New Roman"/>
          <w:sz w:val="25"/>
          <w:szCs w:val="25"/>
        </w:rPr>
        <w:t>.</w:t>
      </w:r>
      <w:r w:rsidR="00643A94">
        <w:rPr>
          <w:rStyle w:val="FootnoteReference"/>
          <w:rFonts w:ascii="Times New Roman" w:hAnsi="Times New Roman"/>
          <w:sz w:val="25"/>
          <w:szCs w:val="25"/>
        </w:rPr>
        <w:footnoteReference w:id="27"/>
      </w:r>
      <w:r w:rsidR="00643A94">
        <w:rPr>
          <w:rFonts w:ascii="Times New Roman" w:hAnsi="Times New Roman"/>
          <w:sz w:val="25"/>
          <w:szCs w:val="25"/>
        </w:rPr>
        <w:t xml:space="preserve">  </w:t>
      </w:r>
      <w:r w:rsidR="00021F6B">
        <w:rPr>
          <w:rFonts w:ascii="Times New Roman" w:hAnsi="Times New Roman"/>
          <w:sz w:val="25"/>
          <w:szCs w:val="25"/>
        </w:rPr>
        <w:t xml:space="preserve">Further, </w:t>
      </w:r>
      <w:r w:rsidR="00643A94">
        <w:rPr>
          <w:rFonts w:ascii="Times New Roman" w:hAnsi="Times New Roman"/>
          <w:sz w:val="25"/>
          <w:szCs w:val="25"/>
        </w:rPr>
        <w:t>WCI states the admissibility of testimony referencing the rate case does not rest on whether the case itself was suspended or approved without an interim suspension order.</w:t>
      </w:r>
      <w:r w:rsidR="00643A94">
        <w:rPr>
          <w:rStyle w:val="FootnoteReference"/>
          <w:rFonts w:ascii="Times New Roman" w:hAnsi="Times New Roman"/>
          <w:sz w:val="25"/>
          <w:szCs w:val="25"/>
        </w:rPr>
        <w:footnoteReference w:id="28"/>
      </w:r>
      <w:r w:rsidR="00643A94">
        <w:rPr>
          <w:rFonts w:ascii="Times New Roman" w:hAnsi="Times New Roman"/>
          <w:sz w:val="25"/>
          <w:szCs w:val="25"/>
        </w:rPr>
        <w:t xml:space="preserve">  </w:t>
      </w:r>
      <w:r w:rsidR="00D725FF">
        <w:rPr>
          <w:rFonts w:ascii="Times New Roman" w:hAnsi="Times New Roman"/>
          <w:sz w:val="25"/>
          <w:szCs w:val="25"/>
        </w:rPr>
        <w:t>As the Company asserts, “[t]he fact that it was not suspended should in no way estop the Company principals from testifying as to outcomes, accounting treatments, asset disposition or any other circumstances to which its representative witnesses can personally attest.”</w:t>
      </w:r>
      <w:r w:rsidR="00D725FF">
        <w:rPr>
          <w:rStyle w:val="FootnoteReference"/>
          <w:rFonts w:ascii="Times New Roman" w:hAnsi="Times New Roman"/>
          <w:sz w:val="25"/>
          <w:szCs w:val="25"/>
        </w:rPr>
        <w:footnoteReference w:id="29"/>
      </w:r>
      <w:r w:rsidR="004679B7">
        <w:rPr>
          <w:rFonts w:ascii="Times New Roman" w:hAnsi="Times New Roman"/>
          <w:sz w:val="25"/>
          <w:szCs w:val="25"/>
        </w:rPr>
        <w:t xml:space="preserve">  </w:t>
      </w:r>
      <w:r w:rsidR="007167F4">
        <w:rPr>
          <w:rFonts w:ascii="Times New Roman" w:hAnsi="Times New Roman"/>
          <w:sz w:val="25"/>
          <w:szCs w:val="25"/>
        </w:rPr>
        <w:t>WCI recommends that the Commission convene a live hearing on the four contested accounting issues to address Staff’s due process concerns.</w:t>
      </w:r>
      <w:r w:rsidR="007167F4">
        <w:rPr>
          <w:rStyle w:val="FootnoteReference"/>
          <w:rFonts w:ascii="Times New Roman" w:hAnsi="Times New Roman"/>
          <w:sz w:val="25"/>
          <w:szCs w:val="25"/>
        </w:rPr>
        <w:footnoteReference w:id="30"/>
      </w:r>
      <w:r w:rsidR="007167F4">
        <w:rPr>
          <w:rFonts w:ascii="Times New Roman" w:hAnsi="Times New Roman"/>
          <w:sz w:val="25"/>
          <w:szCs w:val="25"/>
        </w:rPr>
        <w:t xml:space="preserve"> </w:t>
      </w:r>
      <w:r w:rsidR="00D32451">
        <w:rPr>
          <w:rFonts w:ascii="Times New Roman" w:hAnsi="Times New Roman"/>
          <w:sz w:val="25"/>
          <w:szCs w:val="25"/>
        </w:rPr>
        <w:t xml:space="preserve"> If the Commission schedules a hearing in order to allow Staff the opportunity to cross-examine WCI’s three witnesses, the Company would like the opportunity to cross-examine Staff’s witness</w:t>
      </w:r>
      <w:r w:rsidR="00827E3C">
        <w:rPr>
          <w:rFonts w:ascii="Times New Roman" w:hAnsi="Times New Roman"/>
          <w:sz w:val="25"/>
          <w:szCs w:val="25"/>
        </w:rPr>
        <w:t xml:space="preserve"> on these same four issues.</w:t>
      </w:r>
      <w:r w:rsidR="00827E3C">
        <w:rPr>
          <w:rStyle w:val="FootnoteReference"/>
          <w:rFonts w:ascii="Times New Roman" w:hAnsi="Times New Roman"/>
          <w:sz w:val="25"/>
          <w:szCs w:val="25"/>
        </w:rPr>
        <w:footnoteReference w:id="31"/>
      </w:r>
    </w:p>
    <w:p w14:paraId="36099819" w14:textId="77777777" w:rsidR="00827E3C" w:rsidRDefault="00827E3C" w:rsidP="00827E3C">
      <w:pPr>
        <w:pStyle w:val="ListParagraph"/>
        <w:rPr>
          <w:sz w:val="25"/>
          <w:szCs w:val="25"/>
        </w:rPr>
      </w:pPr>
    </w:p>
    <w:p w14:paraId="0E9CF256" w14:textId="789B2205" w:rsidR="00827E3C" w:rsidRPr="00AD6522" w:rsidRDefault="00827E3C" w:rsidP="000D31AC">
      <w:pPr>
        <w:numPr>
          <w:ilvl w:val="0"/>
          <w:numId w:val="1"/>
        </w:numPr>
        <w:spacing w:line="264" w:lineRule="auto"/>
        <w:ind w:hanging="720"/>
        <w:rPr>
          <w:sz w:val="25"/>
          <w:szCs w:val="25"/>
        </w:rPr>
      </w:pPr>
      <w:r>
        <w:rPr>
          <w:rFonts w:ascii="Times New Roman" w:hAnsi="Times New Roman"/>
          <w:b/>
          <w:sz w:val="25"/>
          <w:szCs w:val="25"/>
        </w:rPr>
        <w:t xml:space="preserve">WRRA’s Response.  </w:t>
      </w:r>
      <w:r w:rsidR="00B27E7D">
        <w:rPr>
          <w:rFonts w:ascii="Times New Roman" w:hAnsi="Times New Roman"/>
          <w:sz w:val="25"/>
          <w:szCs w:val="25"/>
        </w:rPr>
        <w:t xml:space="preserve">WRRA argues that, in the interest of a full and complete record, Staff’s Motion should be denied.  </w:t>
      </w:r>
      <w:r w:rsidR="0078056E">
        <w:rPr>
          <w:rFonts w:ascii="Times New Roman" w:hAnsi="Times New Roman"/>
          <w:sz w:val="25"/>
          <w:szCs w:val="25"/>
        </w:rPr>
        <w:t xml:space="preserve">WRRA states that “the more relevant information and evidence </w:t>
      </w:r>
      <w:r w:rsidR="00021F6B">
        <w:rPr>
          <w:rFonts w:ascii="Times New Roman" w:hAnsi="Times New Roman"/>
          <w:sz w:val="25"/>
          <w:szCs w:val="25"/>
        </w:rPr>
        <w:t xml:space="preserve">the Presiding Officer, and the </w:t>
      </w:r>
      <w:r w:rsidR="0078056E">
        <w:rPr>
          <w:rFonts w:ascii="Times New Roman" w:hAnsi="Times New Roman"/>
          <w:sz w:val="25"/>
          <w:szCs w:val="25"/>
        </w:rPr>
        <w:t>Commission</w:t>
      </w:r>
      <w:r w:rsidR="00021F6B">
        <w:rPr>
          <w:rFonts w:ascii="Times New Roman" w:hAnsi="Times New Roman"/>
          <w:sz w:val="25"/>
          <w:szCs w:val="25"/>
        </w:rPr>
        <w:t xml:space="preserve"> itself</w:t>
      </w:r>
      <w:r w:rsidR="0078056E">
        <w:rPr>
          <w:rFonts w:ascii="Times New Roman" w:hAnsi="Times New Roman"/>
          <w:sz w:val="25"/>
          <w:szCs w:val="25"/>
        </w:rPr>
        <w:t>, consider, the more fair and useful the ultimate decision will be.”</w:t>
      </w:r>
      <w:r w:rsidR="0078056E">
        <w:rPr>
          <w:rStyle w:val="FootnoteReference"/>
          <w:rFonts w:ascii="Times New Roman" w:hAnsi="Times New Roman"/>
          <w:sz w:val="25"/>
          <w:szCs w:val="25"/>
        </w:rPr>
        <w:footnoteReference w:id="32"/>
      </w:r>
      <w:r w:rsidR="002259AA">
        <w:rPr>
          <w:rFonts w:ascii="Times New Roman" w:hAnsi="Times New Roman"/>
          <w:sz w:val="25"/>
          <w:szCs w:val="25"/>
        </w:rPr>
        <w:t xml:space="preserve">  WRRA also asserts that “[a] comprehensive and insightful decision in this case will be closely studied and followed by both Staff and the regulated companies, probably for years to come.”</w:t>
      </w:r>
      <w:r w:rsidR="002259AA">
        <w:rPr>
          <w:rStyle w:val="FootnoteReference"/>
          <w:rFonts w:ascii="Times New Roman" w:hAnsi="Times New Roman"/>
          <w:sz w:val="25"/>
          <w:szCs w:val="25"/>
        </w:rPr>
        <w:footnoteReference w:id="33"/>
      </w:r>
      <w:r w:rsidR="002259AA">
        <w:rPr>
          <w:rFonts w:ascii="Times New Roman" w:hAnsi="Times New Roman"/>
          <w:sz w:val="25"/>
          <w:szCs w:val="25"/>
        </w:rPr>
        <w:t xml:space="preserve">  </w:t>
      </w:r>
      <w:r w:rsidR="0059276D">
        <w:rPr>
          <w:rFonts w:ascii="Times New Roman" w:hAnsi="Times New Roman"/>
          <w:sz w:val="25"/>
          <w:szCs w:val="25"/>
        </w:rPr>
        <w:t>In hindsight, WRRA states that a paper record, without oral testimony and cross-examination, was “not in the best interests of compilation of a complete record.”</w:t>
      </w:r>
      <w:r w:rsidR="0059276D">
        <w:rPr>
          <w:rStyle w:val="FootnoteReference"/>
          <w:rFonts w:ascii="Times New Roman" w:hAnsi="Times New Roman"/>
          <w:sz w:val="25"/>
          <w:szCs w:val="25"/>
        </w:rPr>
        <w:footnoteReference w:id="34"/>
      </w:r>
      <w:r w:rsidR="0059276D">
        <w:rPr>
          <w:rFonts w:ascii="Times New Roman" w:hAnsi="Times New Roman"/>
          <w:sz w:val="25"/>
          <w:szCs w:val="25"/>
        </w:rPr>
        <w:t xml:space="preserve">  WRRA recommends that the Commission convene a hearing so that all parties may cross-examine the principal witnesses testifying on the four contested </w:t>
      </w:r>
      <w:r w:rsidR="00021F6B">
        <w:rPr>
          <w:rFonts w:ascii="Times New Roman" w:hAnsi="Times New Roman"/>
          <w:sz w:val="25"/>
          <w:szCs w:val="25"/>
        </w:rPr>
        <w:t xml:space="preserve">accounting </w:t>
      </w:r>
      <w:r w:rsidR="0059276D">
        <w:rPr>
          <w:rFonts w:ascii="Times New Roman" w:hAnsi="Times New Roman"/>
          <w:sz w:val="25"/>
          <w:szCs w:val="25"/>
        </w:rPr>
        <w:t>issues.</w:t>
      </w:r>
      <w:r w:rsidR="0059276D">
        <w:rPr>
          <w:rStyle w:val="FootnoteReference"/>
          <w:rFonts w:ascii="Times New Roman" w:hAnsi="Times New Roman"/>
          <w:sz w:val="25"/>
          <w:szCs w:val="25"/>
        </w:rPr>
        <w:footnoteReference w:id="35"/>
      </w:r>
    </w:p>
    <w:p w14:paraId="7A6166CC" w14:textId="77777777" w:rsidR="00AD6522" w:rsidRDefault="00AD6522" w:rsidP="00AD6522">
      <w:pPr>
        <w:spacing w:line="264" w:lineRule="auto"/>
        <w:rPr>
          <w:rFonts w:ascii="Times New Roman" w:hAnsi="Times New Roman"/>
          <w:sz w:val="25"/>
          <w:szCs w:val="25"/>
        </w:rPr>
      </w:pPr>
    </w:p>
    <w:p w14:paraId="05B19CCB" w14:textId="10F1C983" w:rsidR="00AD6522" w:rsidRPr="0024430F" w:rsidRDefault="00F04B3E" w:rsidP="00AD6522">
      <w:pPr>
        <w:numPr>
          <w:ilvl w:val="0"/>
          <w:numId w:val="1"/>
        </w:numPr>
        <w:spacing w:line="264" w:lineRule="auto"/>
        <w:ind w:hanging="720"/>
        <w:rPr>
          <w:sz w:val="25"/>
          <w:szCs w:val="25"/>
        </w:rPr>
      </w:pPr>
      <w:r w:rsidRPr="00F04B3E">
        <w:rPr>
          <w:rFonts w:ascii="Times New Roman" w:hAnsi="Times New Roman"/>
          <w:b/>
          <w:sz w:val="25"/>
          <w:szCs w:val="25"/>
        </w:rPr>
        <w:lastRenderedPageBreak/>
        <w:t>Decision.</w:t>
      </w:r>
      <w:r>
        <w:rPr>
          <w:rFonts w:ascii="Times New Roman" w:hAnsi="Times New Roman"/>
          <w:sz w:val="25"/>
          <w:szCs w:val="25"/>
        </w:rPr>
        <w:t xml:space="preserve">  </w:t>
      </w:r>
      <w:r w:rsidR="00712545">
        <w:rPr>
          <w:rFonts w:ascii="Times New Roman" w:hAnsi="Times New Roman"/>
          <w:sz w:val="25"/>
          <w:szCs w:val="25"/>
        </w:rPr>
        <w:t>The</w:t>
      </w:r>
      <w:r w:rsidR="00DA4A4A">
        <w:rPr>
          <w:rFonts w:ascii="Times New Roman" w:hAnsi="Times New Roman"/>
          <w:sz w:val="25"/>
          <w:szCs w:val="25"/>
        </w:rPr>
        <w:t xml:space="preserve"> Commission’s rules </w:t>
      </w:r>
      <w:r w:rsidR="006756E0">
        <w:rPr>
          <w:rFonts w:ascii="Times New Roman" w:hAnsi="Times New Roman"/>
          <w:sz w:val="25"/>
          <w:szCs w:val="25"/>
        </w:rPr>
        <w:t>allow for the exclusion of evidence, including testimony, which is “irrelevant, repetitive, or inadmissible.”</w:t>
      </w:r>
      <w:r w:rsidR="006756E0">
        <w:rPr>
          <w:rStyle w:val="FootnoteReference"/>
          <w:rFonts w:ascii="Times New Roman" w:hAnsi="Times New Roman"/>
          <w:sz w:val="25"/>
          <w:szCs w:val="25"/>
        </w:rPr>
        <w:footnoteReference w:id="36"/>
      </w:r>
      <w:r w:rsidR="00DA4A4A">
        <w:rPr>
          <w:rFonts w:ascii="Times New Roman" w:hAnsi="Times New Roman"/>
          <w:sz w:val="25"/>
          <w:szCs w:val="25"/>
        </w:rPr>
        <w:t xml:space="preserve"> </w:t>
      </w:r>
      <w:r w:rsidR="002E216D">
        <w:rPr>
          <w:rFonts w:ascii="Times New Roman" w:hAnsi="Times New Roman"/>
          <w:sz w:val="25"/>
          <w:szCs w:val="25"/>
        </w:rPr>
        <w:t xml:space="preserve"> </w:t>
      </w:r>
      <w:r w:rsidR="006756E0">
        <w:rPr>
          <w:rFonts w:ascii="Times New Roman" w:hAnsi="Times New Roman"/>
          <w:sz w:val="25"/>
          <w:szCs w:val="25"/>
        </w:rPr>
        <w:t>Parties objecting to the inclusion of evidence must state the grounds for the objection at the time the evidence is offered.</w:t>
      </w:r>
      <w:r w:rsidR="006756E0">
        <w:rPr>
          <w:rStyle w:val="FootnoteReference"/>
          <w:rFonts w:ascii="Times New Roman" w:hAnsi="Times New Roman"/>
          <w:sz w:val="25"/>
          <w:szCs w:val="25"/>
        </w:rPr>
        <w:footnoteReference w:id="37"/>
      </w:r>
      <w:r w:rsidR="006756E0">
        <w:rPr>
          <w:rFonts w:ascii="Times New Roman" w:hAnsi="Times New Roman"/>
          <w:sz w:val="25"/>
          <w:szCs w:val="25"/>
        </w:rPr>
        <w:t xml:space="preserve">  </w:t>
      </w:r>
      <w:r w:rsidR="00917CE9">
        <w:rPr>
          <w:rFonts w:ascii="Times New Roman" w:hAnsi="Times New Roman"/>
          <w:sz w:val="25"/>
          <w:szCs w:val="25"/>
        </w:rPr>
        <w:t>Failure to object constitutes a waiver of the right to object.</w:t>
      </w:r>
      <w:r w:rsidR="00917CE9">
        <w:rPr>
          <w:rStyle w:val="FootnoteReference"/>
          <w:rFonts w:ascii="Times New Roman" w:hAnsi="Times New Roman"/>
          <w:sz w:val="25"/>
          <w:szCs w:val="25"/>
        </w:rPr>
        <w:footnoteReference w:id="38"/>
      </w:r>
      <w:r w:rsidR="00917CE9">
        <w:rPr>
          <w:rFonts w:ascii="Times New Roman" w:hAnsi="Times New Roman"/>
          <w:sz w:val="25"/>
          <w:szCs w:val="25"/>
        </w:rPr>
        <w:t xml:space="preserve">  Staff’s </w:t>
      </w:r>
      <w:r w:rsidR="003A123E">
        <w:rPr>
          <w:rFonts w:ascii="Times New Roman" w:hAnsi="Times New Roman"/>
          <w:sz w:val="25"/>
          <w:szCs w:val="25"/>
        </w:rPr>
        <w:t xml:space="preserve">overarching </w:t>
      </w:r>
      <w:r w:rsidR="00917CE9">
        <w:rPr>
          <w:rFonts w:ascii="Times New Roman" w:hAnsi="Times New Roman"/>
          <w:sz w:val="25"/>
          <w:szCs w:val="25"/>
        </w:rPr>
        <w:t xml:space="preserve">objection to </w:t>
      </w:r>
      <w:r w:rsidR="00C36643">
        <w:rPr>
          <w:rFonts w:ascii="Times New Roman" w:hAnsi="Times New Roman"/>
          <w:sz w:val="25"/>
          <w:szCs w:val="25"/>
        </w:rPr>
        <w:t>the Company’s filing of testimony</w:t>
      </w:r>
      <w:r w:rsidR="003A123E">
        <w:rPr>
          <w:rFonts w:ascii="Times New Roman" w:hAnsi="Times New Roman"/>
          <w:sz w:val="25"/>
          <w:szCs w:val="25"/>
        </w:rPr>
        <w:t>, that it is inappropriate at this phase of the proceeding,</w:t>
      </w:r>
      <w:r w:rsidR="00C36643">
        <w:rPr>
          <w:rFonts w:ascii="Times New Roman" w:hAnsi="Times New Roman"/>
          <w:sz w:val="25"/>
          <w:szCs w:val="25"/>
        </w:rPr>
        <w:t xml:space="preserve"> is </w:t>
      </w:r>
      <w:r w:rsidR="00021F6B">
        <w:rPr>
          <w:rFonts w:ascii="Times New Roman" w:hAnsi="Times New Roman"/>
          <w:sz w:val="25"/>
          <w:szCs w:val="25"/>
        </w:rPr>
        <w:t>puzzling</w:t>
      </w:r>
      <w:r w:rsidR="00C36643">
        <w:rPr>
          <w:rFonts w:ascii="Times New Roman" w:hAnsi="Times New Roman"/>
          <w:sz w:val="25"/>
          <w:szCs w:val="25"/>
        </w:rPr>
        <w:t>.</w:t>
      </w:r>
      <w:r w:rsidR="00021F6B">
        <w:rPr>
          <w:rStyle w:val="FootnoteReference"/>
          <w:rFonts w:ascii="Times New Roman" w:hAnsi="Times New Roman"/>
          <w:sz w:val="25"/>
          <w:szCs w:val="25"/>
        </w:rPr>
        <w:footnoteReference w:id="39"/>
      </w:r>
      <w:r w:rsidR="00C36643">
        <w:rPr>
          <w:rFonts w:ascii="Times New Roman" w:hAnsi="Times New Roman"/>
          <w:sz w:val="25"/>
          <w:szCs w:val="25"/>
        </w:rPr>
        <w:t xml:space="preserve">  As is evident from the email exchange between counsels for both parties, the filing of testimony by WCI should not have come as a surprise to Staff.  It was agreed to, even if conditionally.  </w:t>
      </w:r>
    </w:p>
    <w:p w14:paraId="6C60C749" w14:textId="77777777" w:rsidR="0024430F" w:rsidRDefault="0024430F" w:rsidP="0024430F">
      <w:pPr>
        <w:pStyle w:val="ListParagraph"/>
        <w:rPr>
          <w:sz w:val="25"/>
          <w:szCs w:val="25"/>
        </w:rPr>
      </w:pPr>
    </w:p>
    <w:p w14:paraId="5548FEB8" w14:textId="687726A4" w:rsidR="0024430F" w:rsidRPr="008F3C00" w:rsidRDefault="00917CE9" w:rsidP="00AD6522">
      <w:pPr>
        <w:numPr>
          <w:ilvl w:val="0"/>
          <w:numId w:val="1"/>
        </w:numPr>
        <w:spacing w:line="264" w:lineRule="auto"/>
        <w:ind w:hanging="720"/>
        <w:rPr>
          <w:sz w:val="25"/>
          <w:szCs w:val="25"/>
        </w:rPr>
      </w:pPr>
      <w:r>
        <w:rPr>
          <w:rFonts w:ascii="Times New Roman" w:hAnsi="Times New Roman"/>
          <w:i/>
          <w:sz w:val="25"/>
          <w:szCs w:val="25"/>
        </w:rPr>
        <w:t xml:space="preserve">Mr. Willis’ Testimony. </w:t>
      </w:r>
      <w:r w:rsidR="008F3C00">
        <w:rPr>
          <w:rFonts w:ascii="Times New Roman" w:hAnsi="Times New Roman"/>
          <w:sz w:val="25"/>
          <w:szCs w:val="25"/>
        </w:rPr>
        <w:t xml:space="preserve"> </w:t>
      </w:r>
      <w:r w:rsidR="00C36643">
        <w:rPr>
          <w:rFonts w:ascii="Times New Roman" w:hAnsi="Times New Roman"/>
          <w:sz w:val="25"/>
          <w:szCs w:val="25"/>
        </w:rPr>
        <w:t xml:space="preserve">Mr. Willis does, as Staff alleges, reference a 2009 rate case filing in his supplemental testimony.  This is not a new reference and is easily found in both his and Ms. Davis’ testimony from Docket TG-131794, filed on February 18, 2014.  Staff </w:t>
      </w:r>
      <w:r w:rsidR="003B746D">
        <w:rPr>
          <w:rFonts w:ascii="Times New Roman" w:hAnsi="Times New Roman"/>
          <w:sz w:val="25"/>
          <w:szCs w:val="25"/>
        </w:rPr>
        <w:t xml:space="preserve">specifically requested </w:t>
      </w:r>
      <w:r w:rsidR="008713D5">
        <w:rPr>
          <w:rFonts w:ascii="Times New Roman" w:hAnsi="Times New Roman"/>
          <w:sz w:val="25"/>
          <w:szCs w:val="25"/>
        </w:rPr>
        <w:t xml:space="preserve">the inclusion of </w:t>
      </w:r>
      <w:r w:rsidR="003B746D">
        <w:rPr>
          <w:rFonts w:ascii="Times New Roman" w:hAnsi="Times New Roman"/>
          <w:sz w:val="25"/>
          <w:szCs w:val="25"/>
        </w:rPr>
        <w:t xml:space="preserve">all testimony, exhibits, and orders arising from Docket TG-131794 within the </w:t>
      </w:r>
      <w:r w:rsidR="008713D5">
        <w:rPr>
          <w:rFonts w:ascii="Times New Roman" w:hAnsi="Times New Roman"/>
          <w:sz w:val="25"/>
          <w:szCs w:val="25"/>
        </w:rPr>
        <w:t xml:space="preserve">record of the </w:t>
      </w:r>
      <w:r w:rsidR="003B746D">
        <w:rPr>
          <w:rFonts w:ascii="Times New Roman" w:hAnsi="Times New Roman"/>
          <w:sz w:val="25"/>
          <w:szCs w:val="25"/>
        </w:rPr>
        <w:t xml:space="preserve">instant </w:t>
      </w:r>
      <w:r w:rsidR="008713D5">
        <w:rPr>
          <w:rFonts w:ascii="Times New Roman" w:hAnsi="Times New Roman"/>
          <w:sz w:val="25"/>
          <w:szCs w:val="25"/>
        </w:rPr>
        <w:t xml:space="preserve">matter.  </w:t>
      </w:r>
      <w:r w:rsidR="00187B58">
        <w:rPr>
          <w:rFonts w:ascii="Times New Roman" w:hAnsi="Times New Roman"/>
          <w:sz w:val="25"/>
          <w:szCs w:val="25"/>
        </w:rPr>
        <w:t xml:space="preserve">The time to contest the inclusion of such information has passed.  </w:t>
      </w:r>
      <w:r w:rsidR="008713D5">
        <w:rPr>
          <w:rFonts w:ascii="Times New Roman" w:hAnsi="Times New Roman"/>
          <w:sz w:val="25"/>
          <w:szCs w:val="25"/>
        </w:rPr>
        <w:t>Staff is correct</w:t>
      </w:r>
      <w:r w:rsidR="00187B58">
        <w:rPr>
          <w:rFonts w:ascii="Times New Roman" w:hAnsi="Times New Roman"/>
          <w:sz w:val="25"/>
          <w:szCs w:val="25"/>
        </w:rPr>
        <w:t>, however,</w:t>
      </w:r>
      <w:r w:rsidR="008713D5">
        <w:rPr>
          <w:rFonts w:ascii="Times New Roman" w:hAnsi="Times New Roman"/>
          <w:sz w:val="25"/>
          <w:szCs w:val="25"/>
        </w:rPr>
        <w:t xml:space="preserve"> that it has not had an opportunity to contest WCI’s arguments involving the 2009 rate case.  This inequity, however, can easily be remedied by allowing Staff the opportunity to file limited testimony in opposition to </w:t>
      </w:r>
      <w:r w:rsidR="00187B58">
        <w:rPr>
          <w:rFonts w:ascii="Times New Roman" w:hAnsi="Times New Roman"/>
          <w:sz w:val="25"/>
          <w:szCs w:val="25"/>
        </w:rPr>
        <w:t>Mr. Willis’</w:t>
      </w:r>
      <w:r w:rsidR="008713D5">
        <w:rPr>
          <w:rFonts w:ascii="Times New Roman" w:hAnsi="Times New Roman"/>
          <w:sz w:val="25"/>
          <w:szCs w:val="25"/>
        </w:rPr>
        <w:t xml:space="preserve"> arguments and allowing all parties the opportunity to cross-examine</w:t>
      </w:r>
      <w:r w:rsidR="007C26D6">
        <w:rPr>
          <w:rFonts w:ascii="Times New Roman" w:hAnsi="Times New Roman"/>
          <w:sz w:val="25"/>
          <w:szCs w:val="25"/>
        </w:rPr>
        <w:t xml:space="preserve"> </w:t>
      </w:r>
      <w:r w:rsidR="008713D5">
        <w:rPr>
          <w:rFonts w:ascii="Times New Roman" w:hAnsi="Times New Roman"/>
          <w:sz w:val="25"/>
          <w:szCs w:val="25"/>
        </w:rPr>
        <w:t xml:space="preserve">the </w:t>
      </w:r>
      <w:r w:rsidR="00187B58">
        <w:rPr>
          <w:rFonts w:ascii="Times New Roman" w:hAnsi="Times New Roman"/>
          <w:sz w:val="25"/>
          <w:szCs w:val="25"/>
        </w:rPr>
        <w:t xml:space="preserve">proffered </w:t>
      </w:r>
      <w:r w:rsidR="008713D5">
        <w:rPr>
          <w:rFonts w:ascii="Times New Roman" w:hAnsi="Times New Roman"/>
          <w:sz w:val="25"/>
          <w:szCs w:val="25"/>
        </w:rPr>
        <w:t>witnesses.</w:t>
      </w:r>
    </w:p>
    <w:p w14:paraId="36759988" w14:textId="77777777" w:rsidR="008F3C00" w:rsidRDefault="008F3C00" w:rsidP="008F3C00">
      <w:pPr>
        <w:pStyle w:val="ListParagraph"/>
        <w:rPr>
          <w:sz w:val="25"/>
          <w:szCs w:val="25"/>
        </w:rPr>
      </w:pPr>
    </w:p>
    <w:p w14:paraId="182EE23F" w14:textId="526EE907" w:rsidR="00C46B65" w:rsidRDefault="008713D5" w:rsidP="00AD6522">
      <w:pPr>
        <w:numPr>
          <w:ilvl w:val="0"/>
          <w:numId w:val="1"/>
        </w:numPr>
        <w:spacing w:line="264" w:lineRule="auto"/>
        <w:ind w:hanging="720"/>
        <w:rPr>
          <w:rFonts w:ascii="Times New Roman" w:hAnsi="Times New Roman"/>
          <w:sz w:val="25"/>
          <w:szCs w:val="25"/>
        </w:rPr>
      </w:pPr>
      <w:r>
        <w:rPr>
          <w:rFonts w:ascii="Times New Roman" w:hAnsi="Times New Roman"/>
          <w:sz w:val="25"/>
          <w:szCs w:val="25"/>
        </w:rPr>
        <w:t>Staff also</w:t>
      </w:r>
      <w:r w:rsidR="0077324A">
        <w:rPr>
          <w:rFonts w:ascii="Times New Roman" w:hAnsi="Times New Roman"/>
          <w:sz w:val="25"/>
          <w:szCs w:val="25"/>
        </w:rPr>
        <w:t xml:space="preserve"> takes issue with WCI’s mention of </w:t>
      </w:r>
      <w:r w:rsidR="00BD4174">
        <w:rPr>
          <w:rFonts w:ascii="Times New Roman" w:hAnsi="Times New Roman"/>
          <w:sz w:val="25"/>
          <w:szCs w:val="25"/>
        </w:rPr>
        <w:t xml:space="preserve">information it obtained through </w:t>
      </w:r>
      <w:r w:rsidR="0077324A">
        <w:rPr>
          <w:rFonts w:ascii="Times New Roman" w:hAnsi="Times New Roman"/>
          <w:sz w:val="25"/>
          <w:szCs w:val="25"/>
        </w:rPr>
        <w:t>informal discussions it had with Staff</w:t>
      </w:r>
      <w:r w:rsidR="00216986">
        <w:rPr>
          <w:rStyle w:val="FootnoteReference"/>
          <w:rFonts w:ascii="Times New Roman" w:hAnsi="Times New Roman"/>
          <w:sz w:val="25"/>
          <w:szCs w:val="25"/>
        </w:rPr>
        <w:footnoteReference w:id="40"/>
      </w:r>
      <w:r w:rsidR="0077324A">
        <w:rPr>
          <w:rFonts w:ascii="Times New Roman" w:hAnsi="Times New Roman"/>
          <w:sz w:val="25"/>
          <w:szCs w:val="25"/>
        </w:rPr>
        <w:t xml:space="preserve"> and the involvement of a former Director of Regulatory Services in the 2009 rate case, arguing that both have been offered without any support in the record.  Still, Staff has not asserted that they are irrelevant</w:t>
      </w:r>
      <w:r w:rsidR="00216986">
        <w:rPr>
          <w:rFonts w:ascii="Times New Roman" w:hAnsi="Times New Roman"/>
          <w:sz w:val="25"/>
          <w:szCs w:val="25"/>
        </w:rPr>
        <w:t>.  U</w:t>
      </w:r>
      <w:r w:rsidR="0077324A">
        <w:rPr>
          <w:rFonts w:ascii="Times New Roman" w:hAnsi="Times New Roman"/>
          <w:sz w:val="25"/>
          <w:szCs w:val="25"/>
        </w:rPr>
        <w:t xml:space="preserve">ltimately, if WCI’s arguments are without support, the Commission will consider that in weighing the entire record before us. </w:t>
      </w:r>
      <w:r w:rsidR="00C46B65">
        <w:rPr>
          <w:rFonts w:ascii="Times New Roman" w:hAnsi="Times New Roman"/>
          <w:sz w:val="25"/>
          <w:szCs w:val="25"/>
        </w:rPr>
        <w:t xml:space="preserve"> </w:t>
      </w:r>
    </w:p>
    <w:p w14:paraId="73F91E03" w14:textId="77777777" w:rsidR="00C46B65" w:rsidRDefault="00C46B65" w:rsidP="00C46B65">
      <w:pPr>
        <w:pStyle w:val="ListParagraph"/>
        <w:rPr>
          <w:sz w:val="25"/>
          <w:szCs w:val="25"/>
        </w:rPr>
      </w:pPr>
    </w:p>
    <w:p w14:paraId="2E3FFC00" w14:textId="7FFC70E6" w:rsidR="00694CC9" w:rsidRDefault="00C46B65" w:rsidP="00AD6522">
      <w:pPr>
        <w:numPr>
          <w:ilvl w:val="0"/>
          <w:numId w:val="1"/>
        </w:numPr>
        <w:spacing w:line="264" w:lineRule="auto"/>
        <w:ind w:hanging="720"/>
        <w:rPr>
          <w:rFonts w:ascii="Times New Roman" w:hAnsi="Times New Roman"/>
          <w:sz w:val="25"/>
          <w:szCs w:val="25"/>
        </w:rPr>
      </w:pPr>
      <w:r>
        <w:rPr>
          <w:rFonts w:ascii="Times New Roman" w:hAnsi="Times New Roman"/>
          <w:sz w:val="25"/>
          <w:szCs w:val="25"/>
        </w:rPr>
        <w:lastRenderedPageBreak/>
        <w:t>Further, if WCI’s characterization of Staff’s position on a consolidated capital structure</w:t>
      </w:r>
      <w:r w:rsidR="00187B58">
        <w:rPr>
          <w:rFonts w:ascii="Times New Roman" w:hAnsi="Times New Roman"/>
          <w:sz w:val="25"/>
          <w:szCs w:val="25"/>
        </w:rPr>
        <w:t xml:space="preserve"> is inaccurate</w:t>
      </w:r>
      <w:r>
        <w:rPr>
          <w:rFonts w:ascii="Times New Roman" w:hAnsi="Times New Roman"/>
          <w:sz w:val="25"/>
          <w:szCs w:val="25"/>
        </w:rPr>
        <w:t>, Staff will have the opportunity to rebut this characterization by offering its own testimony</w:t>
      </w:r>
      <w:r w:rsidR="00D31E13">
        <w:rPr>
          <w:rFonts w:ascii="Times New Roman" w:hAnsi="Times New Roman"/>
          <w:sz w:val="25"/>
          <w:szCs w:val="25"/>
        </w:rPr>
        <w:t>,</w:t>
      </w:r>
      <w:r>
        <w:rPr>
          <w:rFonts w:ascii="Times New Roman" w:hAnsi="Times New Roman"/>
          <w:sz w:val="25"/>
          <w:szCs w:val="25"/>
        </w:rPr>
        <w:t xml:space="preserve"> cross examini</w:t>
      </w:r>
      <w:r w:rsidR="00187B58">
        <w:rPr>
          <w:rFonts w:ascii="Times New Roman" w:hAnsi="Times New Roman"/>
          <w:sz w:val="25"/>
          <w:szCs w:val="25"/>
        </w:rPr>
        <w:t>ng</w:t>
      </w:r>
      <w:r>
        <w:rPr>
          <w:rFonts w:ascii="Times New Roman" w:hAnsi="Times New Roman"/>
          <w:sz w:val="25"/>
          <w:szCs w:val="25"/>
        </w:rPr>
        <w:t xml:space="preserve"> Mr. Willis, or both.  We will accord the appropriate weight to each position </w:t>
      </w:r>
      <w:r w:rsidR="00187B58">
        <w:rPr>
          <w:rFonts w:ascii="Times New Roman" w:hAnsi="Times New Roman"/>
          <w:sz w:val="25"/>
          <w:szCs w:val="25"/>
        </w:rPr>
        <w:t>based on the full evidentiary record</w:t>
      </w:r>
      <w:r>
        <w:rPr>
          <w:rFonts w:ascii="Times New Roman" w:hAnsi="Times New Roman"/>
          <w:sz w:val="25"/>
          <w:szCs w:val="25"/>
        </w:rPr>
        <w:t xml:space="preserve">. </w:t>
      </w:r>
      <w:r w:rsidR="00694CC9">
        <w:rPr>
          <w:rFonts w:ascii="Times New Roman" w:hAnsi="Times New Roman"/>
          <w:sz w:val="25"/>
          <w:szCs w:val="25"/>
        </w:rPr>
        <w:t xml:space="preserve"> </w:t>
      </w:r>
    </w:p>
    <w:p w14:paraId="68007EA8" w14:textId="77777777" w:rsidR="00694CC9" w:rsidRDefault="00694CC9" w:rsidP="00694CC9">
      <w:pPr>
        <w:pStyle w:val="ListParagraph"/>
        <w:rPr>
          <w:sz w:val="25"/>
          <w:szCs w:val="25"/>
        </w:rPr>
      </w:pPr>
    </w:p>
    <w:p w14:paraId="1A2FCA6E" w14:textId="19E2E4D7" w:rsidR="008F3C00" w:rsidRDefault="00C46B65" w:rsidP="00AD6522">
      <w:pPr>
        <w:numPr>
          <w:ilvl w:val="0"/>
          <w:numId w:val="1"/>
        </w:numPr>
        <w:spacing w:line="264" w:lineRule="auto"/>
        <w:ind w:hanging="720"/>
        <w:rPr>
          <w:rFonts w:ascii="Times New Roman" w:hAnsi="Times New Roman"/>
          <w:sz w:val="25"/>
          <w:szCs w:val="25"/>
        </w:rPr>
      </w:pPr>
      <w:r>
        <w:rPr>
          <w:rFonts w:ascii="Times New Roman" w:hAnsi="Times New Roman"/>
          <w:i/>
          <w:sz w:val="25"/>
          <w:szCs w:val="25"/>
        </w:rPr>
        <w:t xml:space="preserve">Mr. Demas’ Testimony.  </w:t>
      </w:r>
      <w:r w:rsidR="00BD4174">
        <w:rPr>
          <w:rFonts w:ascii="Times New Roman" w:hAnsi="Times New Roman"/>
          <w:sz w:val="25"/>
          <w:szCs w:val="25"/>
        </w:rPr>
        <w:t xml:space="preserve">As with Staff’s </w:t>
      </w:r>
      <w:r w:rsidR="00B842CC">
        <w:rPr>
          <w:rFonts w:ascii="Times New Roman" w:hAnsi="Times New Roman"/>
          <w:sz w:val="25"/>
          <w:szCs w:val="25"/>
        </w:rPr>
        <w:t xml:space="preserve">complaints against the testimony filed by Mr. Willis, much of Staff’s difficulties can be addressed by allowing it to file testimony, cross-examine Mr. Demas, or both.  In at least one instance, Staff alleges that Mr. Demas’ testimony is based </w:t>
      </w:r>
      <w:r w:rsidR="00187B58">
        <w:rPr>
          <w:rFonts w:ascii="Times New Roman" w:hAnsi="Times New Roman"/>
          <w:sz w:val="25"/>
          <w:szCs w:val="25"/>
        </w:rPr>
        <w:t xml:space="preserve">on </w:t>
      </w:r>
      <w:r w:rsidR="00B842CC">
        <w:rPr>
          <w:rFonts w:ascii="Times New Roman" w:hAnsi="Times New Roman"/>
          <w:sz w:val="25"/>
          <w:szCs w:val="25"/>
        </w:rPr>
        <w:t>information he acquired through settlement negotiations.  Staff does n</w:t>
      </w:r>
      <w:r w:rsidR="00723243">
        <w:rPr>
          <w:rFonts w:ascii="Times New Roman" w:hAnsi="Times New Roman"/>
          <w:sz w:val="25"/>
          <w:szCs w:val="25"/>
        </w:rPr>
        <w:t>ot, however, cite to a specific reference made by Mr. Demas in his testim</w:t>
      </w:r>
      <w:r w:rsidR="00187B58">
        <w:rPr>
          <w:rFonts w:ascii="Times New Roman" w:hAnsi="Times New Roman"/>
          <w:sz w:val="25"/>
          <w:szCs w:val="25"/>
        </w:rPr>
        <w:t>ony.  Without more particularity</w:t>
      </w:r>
      <w:r w:rsidR="00723243">
        <w:rPr>
          <w:rFonts w:ascii="Times New Roman" w:hAnsi="Times New Roman"/>
          <w:sz w:val="25"/>
          <w:szCs w:val="25"/>
        </w:rPr>
        <w:t xml:space="preserve">, we cannot </w:t>
      </w:r>
      <w:r w:rsidR="00D31E13">
        <w:rPr>
          <w:rFonts w:ascii="Times New Roman" w:hAnsi="Times New Roman"/>
          <w:sz w:val="25"/>
          <w:szCs w:val="25"/>
        </w:rPr>
        <w:t>find in favor of Staff</w:t>
      </w:r>
      <w:r w:rsidR="00723243">
        <w:rPr>
          <w:rFonts w:ascii="Times New Roman" w:hAnsi="Times New Roman"/>
          <w:sz w:val="25"/>
          <w:szCs w:val="25"/>
        </w:rPr>
        <w:t xml:space="preserve"> on this allegation.</w:t>
      </w:r>
    </w:p>
    <w:p w14:paraId="2BD1C70D" w14:textId="77777777" w:rsidR="001228A0" w:rsidRDefault="001228A0" w:rsidP="001228A0">
      <w:pPr>
        <w:pStyle w:val="ListParagraph"/>
        <w:rPr>
          <w:sz w:val="25"/>
          <w:szCs w:val="25"/>
        </w:rPr>
      </w:pPr>
    </w:p>
    <w:p w14:paraId="29CE11F2" w14:textId="31FDE945" w:rsidR="00723243" w:rsidRDefault="00723243" w:rsidP="00723243">
      <w:pPr>
        <w:numPr>
          <w:ilvl w:val="0"/>
          <w:numId w:val="1"/>
        </w:numPr>
        <w:spacing w:line="264" w:lineRule="auto"/>
        <w:ind w:hanging="720"/>
        <w:rPr>
          <w:rFonts w:ascii="Times New Roman" w:hAnsi="Times New Roman"/>
          <w:sz w:val="25"/>
          <w:szCs w:val="25"/>
        </w:rPr>
      </w:pPr>
      <w:r>
        <w:rPr>
          <w:rFonts w:ascii="Times New Roman" w:hAnsi="Times New Roman"/>
          <w:i/>
          <w:sz w:val="25"/>
          <w:szCs w:val="25"/>
        </w:rPr>
        <w:t xml:space="preserve">Ms. Davis’ Testimony.  </w:t>
      </w:r>
      <w:r w:rsidR="00A11EF9">
        <w:rPr>
          <w:rFonts w:ascii="Times New Roman" w:hAnsi="Times New Roman"/>
          <w:sz w:val="25"/>
          <w:szCs w:val="25"/>
        </w:rPr>
        <w:t xml:space="preserve">Once again, most of Staff’s misgivings associated with Ms. Davis’ supplemental testimony can be remedied with an opportunity for it to file testimony, cross-examine Ms. Davis, or both.  Staff can address any new positions it believes the Company has taken in either forum.  </w:t>
      </w:r>
      <w:r w:rsidR="0060655F">
        <w:rPr>
          <w:rFonts w:ascii="Times New Roman" w:hAnsi="Times New Roman"/>
          <w:sz w:val="25"/>
          <w:szCs w:val="25"/>
        </w:rPr>
        <w:t xml:space="preserve">While Staff alleges WCI </w:t>
      </w:r>
      <w:r w:rsidR="00567083">
        <w:rPr>
          <w:rFonts w:ascii="Times New Roman" w:hAnsi="Times New Roman"/>
          <w:sz w:val="25"/>
          <w:szCs w:val="25"/>
        </w:rPr>
        <w:t>has engaged in personal attacks, it does not point to a</w:t>
      </w:r>
      <w:r w:rsidR="00D31E13">
        <w:rPr>
          <w:rFonts w:ascii="Times New Roman" w:hAnsi="Times New Roman"/>
          <w:sz w:val="25"/>
          <w:szCs w:val="25"/>
        </w:rPr>
        <w:t>ny</w:t>
      </w:r>
      <w:r w:rsidR="00567083">
        <w:rPr>
          <w:rFonts w:ascii="Times New Roman" w:hAnsi="Times New Roman"/>
          <w:sz w:val="25"/>
          <w:szCs w:val="25"/>
        </w:rPr>
        <w:t xml:space="preserve"> </w:t>
      </w:r>
      <w:r w:rsidR="00D31E13">
        <w:rPr>
          <w:rFonts w:ascii="Times New Roman" w:hAnsi="Times New Roman"/>
          <w:sz w:val="25"/>
          <w:szCs w:val="25"/>
        </w:rPr>
        <w:t xml:space="preserve">specific detail in </w:t>
      </w:r>
      <w:r w:rsidR="00567083">
        <w:rPr>
          <w:rFonts w:ascii="Times New Roman" w:hAnsi="Times New Roman"/>
          <w:sz w:val="25"/>
          <w:szCs w:val="25"/>
        </w:rPr>
        <w:t xml:space="preserve">Ms. Davis’ testimony.  </w:t>
      </w:r>
      <w:r w:rsidR="004428F5">
        <w:rPr>
          <w:rFonts w:ascii="Times New Roman" w:hAnsi="Times New Roman"/>
          <w:sz w:val="25"/>
          <w:szCs w:val="25"/>
        </w:rPr>
        <w:t>While Ms. Davis does acknowledge Staff’s zeal in auditing the Company,</w:t>
      </w:r>
      <w:r w:rsidR="004428F5">
        <w:rPr>
          <w:rStyle w:val="FootnoteReference"/>
          <w:rFonts w:ascii="Times New Roman" w:hAnsi="Times New Roman"/>
          <w:sz w:val="25"/>
          <w:szCs w:val="25"/>
        </w:rPr>
        <w:footnoteReference w:id="41"/>
      </w:r>
      <w:r w:rsidR="004428F5">
        <w:rPr>
          <w:rFonts w:ascii="Times New Roman" w:hAnsi="Times New Roman"/>
          <w:sz w:val="25"/>
          <w:szCs w:val="25"/>
        </w:rPr>
        <w:t xml:space="preserve"> this hardly seems to be a “personal attack.”  </w:t>
      </w:r>
      <w:r w:rsidR="00567083">
        <w:rPr>
          <w:rFonts w:ascii="Times New Roman" w:hAnsi="Times New Roman"/>
          <w:sz w:val="25"/>
          <w:szCs w:val="25"/>
        </w:rPr>
        <w:t xml:space="preserve">In addition, </w:t>
      </w:r>
      <w:r w:rsidR="00567083" w:rsidRPr="00567083">
        <w:rPr>
          <w:rFonts w:ascii="Times New Roman" w:hAnsi="Times New Roman"/>
          <w:sz w:val="25"/>
          <w:szCs w:val="25"/>
        </w:rPr>
        <w:t>rate case costs</w:t>
      </w:r>
      <w:r w:rsidR="00567083">
        <w:rPr>
          <w:rFonts w:ascii="Times New Roman" w:hAnsi="Times New Roman"/>
          <w:sz w:val="25"/>
          <w:szCs w:val="25"/>
        </w:rPr>
        <w:t>/</w:t>
      </w:r>
      <w:r w:rsidR="00567083" w:rsidRPr="00567083">
        <w:rPr>
          <w:rFonts w:ascii="Times New Roman" w:hAnsi="Times New Roman"/>
          <w:sz w:val="25"/>
          <w:szCs w:val="25"/>
        </w:rPr>
        <w:t>investigation fees and reimbursement of the Commission for investigation costs</w:t>
      </w:r>
      <w:r w:rsidR="00567083">
        <w:rPr>
          <w:rFonts w:ascii="Times New Roman" w:hAnsi="Times New Roman"/>
          <w:sz w:val="25"/>
          <w:szCs w:val="25"/>
        </w:rPr>
        <w:t xml:space="preserve"> are two of the four contested issues </w:t>
      </w:r>
      <w:r w:rsidR="007C53C6">
        <w:rPr>
          <w:rFonts w:ascii="Times New Roman" w:hAnsi="Times New Roman"/>
          <w:sz w:val="25"/>
          <w:szCs w:val="25"/>
        </w:rPr>
        <w:t xml:space="preserve">remaining in the matter. </w:t>
      </w:r>
      <w:r w:rsidR="00D31E13">
        <w:rPr>
          <w:rFonts w:ascii="Times New Roman" w:hAnsi="Times New Roman"/>
          <w:sz w:val="25"/>
          <w:szCs w:val="25"/>
        </w:rPr>
        <w:t xml:space="preserve"> Thus, it’s difficult to understand why Staff would find irrelevant Ms. Davis’ testimony relating to the time and expense involved in WCI’s preparation of the rate case.</w:t>
      </w:r>
      <w:r w:rsidR="007C53C6">
        <w:rPr>
          <w:rFonts w:ascii="Times New Roman" w:hAnsi="Times New Roman"/>
          <w:sz w:val="25"/>
          <w:szCs w:val="25"/>
        </w:rPr>
        <w:t xml:space="preserve"> </w:t>
      </w:r>
    </w:p>
    <w:p w14:paraId="52EBEF20" w14:textId="77777777" w:rsidR="004428F5" w:rsidRDefault="004428F5" w:rsidP="004428F5">
      <w:pPr>
        <w:pStyle w:val="ListParagraph"/>
        <w:rPr>
          <w:sz w:val="25"/>
          <w:szCs w:val="25"/>
        </w:rPr>
      </w:pPr>
    </w:p>
    <w:p w14:paraId="148090C7" w14:textId="4DD2A64E" w:rsidR="00630DDB" w:rsidRPr="006361E1" w:rsidRDefault="004428F5" w:rsidP="006361E1">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It has become fairly obvious to the Commission that the remaining four contested issues cannot be addressed on a paper record only.  With the filing of testimony by WCI, Staff and WRRA should be afforded a similar opportunity to present </w:t>
      </w:r>
      <w:r w:rsidR="00CE64AC">
        <w:rPr>
          <w:rFonts w:ascii="Times New Roman" w:hAnsi="Times New Roman"/>
          <w:sz w:val="25"/>
          <w:szCs w:val="25"/>
        </w:rPr>
        <w:t>their</w:t>
      </w:r>
      <w:r>
        <w:rPr>
          <w:rFonts w:ascii="Times New Roman" w:hAnsi="Times New Roman"/>
          <w:sz w:val="25"/>
          <w:szCs w:val="25"/>
        </w:rPr>
        <w:t xml:space="preserve"> case</w:t>
      </w:r>
      <w:r w:rsidR="00CE64AC">
        <w:rPr>
          <w:rFonts w:ascii="Times New Roman" w:hAnsi="Times New Roman"/>
          <w:sz w:val="25"/>
          <w:szCs w:val="25"/>
        </w:rPr>
        <w:t>s</w:t>
      </w:r>
      <w:r>
        <w:rPr>
          <w:rFonts w:ascii="Times New Roman" w:hAnsi="Times New Roman"/>
          <w:sz w:val="25"/>
          <w:szCs w:val="25"/>
        </w:rPr>
        <w:t xml:space="preserve"> on </w:t>
      </w:r>
      <w:r w:rsidR="00CE64AC">
        <w:rPr>
          <w:rFonts w:ascii="Times New Roman" w:hAnsi="Times New Roman"/>
          <w:sz w:val="25"/>
          <w:szCs w:val="25"/>
        </w:rPr>
        <w:t>these issues.  Further, all parties should have the opportunity to cross-examine the witnesses that have been proffered</w:t>
      </w:r>
      <w:r w:rsidR="006361E1">
        <w:rPr>
          <w:rFonts w:ascii="Times New Roman" w:hAnsi="Times New Roman"/>
          <w:sz w:val="25"/>
          <w:szCs w:val="25"/>
        </w:rPr>
        <w:t xml:space="preserve"> to address these four issues in an evidentiary hearing.  Parties would be limited to cross-examination of the witnesses that have filed testimony on the content of that testimony as </w:t>
      </w:r>
      <w:r w:rsidR="00D31E13">
        <w:rPr>
          <w:rFonts w:ascii="Times New Roman" w:hAnsi="Times New Roman"/>
          <w:sz w:val="25"/>
          <w:szCs w:val="25"/>
        </w:rPr>
        <w:t>it</w:t>
      </w:r>
      <w:r w:rsidR="006361E1">
        <w:rPr>
          <w:rFonts w:ascii="Times New Roman" w:hAnsi="Times New Roman"/>
          <w:sz w:val="25"/>
          <w:szCs w:val="25"/>
        </w:rPr>
        <w:t xml:space="preserve"> relates to the four contested issues.  The Commission will set a time for the filing of testimony by Staff and WRRA and work with the parties on an appropriate hearing date shortly after this order is entered.  </w:t>
      </w:r>
      <w:r w:rsidR="00CE64AC" w:rsidRPr="00CE64AC">
        <w:rPr>
          <w:rFonts w:ascii="Times New Roman" w:hAnsi="Times New Roman"/>
          <w:sz w:val="25"/>
          <w:szCs w:val="25"/>
        </w:rPr>
        <w:t xml:space="preserve"> </w:t>
      </w:r>
    </w:p>
    <w:p w14:paraId="1DC726FC" w14:textId="2672A42D" w:rsidR="00083D37" w:rsidRDefault="00083D37">
      <w:pPr>
        <w:rPr>
          <w:rFonts w:ascii="Times New Roman" w:hAnsi="Times New Roman"/>
          <w:b/>
          <w:sz w:val="25"/>
          <w:szCs w:val="25"/>
          <w:u w:val="single"/>
        </w:rPr>
      </w:pPr>
    </w:p>
    <w:p w14:paraId="7C2F6444" w14:textId="77777777" w:rsidR="000D35DA" w:rsidRPr="000D35DA" w:rsidRDefault="000D35DA" w:rsidP="000D35DA">
      <w:pPr>
        <w:spacing w:line="264" w:lineRule="auto"/>
        <w:jc w:val="center"/>
        <w:rPr>
          <w:rFonts w:ascii="Times New Roman" w:hAnsi="Times New Roman"/>
          <w:b/>
          <w:sz w:val="25"/>
          <w:szCs w:val="25"/>
          <w:u w:val="single"/>
        </w:rPr>
      </w:pPr>
      <w:r w:rsidRPr="000D35DA">
        <w:rPr>
          <w:rFonts w:ascii="Times New Roman" w:hAnsi="Times New Roman"/>
          <w:b/>
          <w:sz w:val="25"/>
          <w:szCs w:val="25"/>
          <w:u w:val="single"/>
        </w:rPr>
        <w:lastRenderedPageBreak/>
        <w:t>ORDER</w:t>
      </w:r>
    </w:p>
    <w:p w14:paraId="412672EC" w14:textId="77777777" w:rsidR="000D35DA" w:rsidRDefault="000D35DA" w:rsidP="000D35DA">
      <w:pPr>
        <w:spacing w:line="264" w:lineRule="auto"/>
        <w:rPr>
          <w:rFonts w:ascii="Times New Roman" w:hAnsi="Times New Roman"/>
          <w:sz w:val="25"/>
          <w:szCs w:val="25"/>
        </w:rPr>
      </w:pPr>
    </w:p>
    <w:p w14:paraId="3D86FD1D" w14:textId="4722D909" w:rsidR="0043005E" w:rsidRPr="00146059" w:rsidRDefault="000D35DA" w:rsidP="00074450">
      <w:pPr>
        <w:numPr>
          <w:ilvl w:val="0"/>
          <w:numId w:val="1"/>
        </w:numPr>
        <w:spacing w:line="264" w:lineRule="auto"/>
        <w:ind w:hanging="720"/>
        <w:rPr>
          <w:rFonts w:ascii="Times New Roman" w:hAnsi="Times New Roman"/>
          <w:b/>
          <w:bCs/>
          <w:sz w:val="25"/>
          <w:szCs w:val="25"/>
        </w:rPr>
      </w:pPr>
      <w:r w:rsidRPr="00DC129E">
        <w:rPr>
          <w:rFonts w:ascii="Times New Roman" w:hAnsi="Times New Roman"/>
          <w:sz w:val="25"/>
          <w:szCs w:val="25"/>
        </w:rPr>
        <w:t>THE COMMISSION ORDERS THAT</w:t>
      </w:r>
      <w:r w:rsidR="006361E1" w:rsidRPr="00DC129E">
        <w:rPr>
          <w:rFonts w:ascii="Times New Roman" w:hAnsi="Times New Roman"/>
          <w:sz w:val="25"/>
          <w:szCs w:val="25"/>
        </w:rPr>
        <w:t xml:space="preserve"> </w:t>
      </w:r>
      <w:proofErr w:type="gramStart"/>
      <w:r w:rsidR="00670470" w:rsidRPr="00DC129E">
        <w:rPr>
          <w:rFonts w:ascii="Times New Roman" w:hAnsi="Times New Roman"/>
          <w:bCs/>
          <w:sz w:val="25"/>
          <w:szCs w:val="25"/>
        </w:rPr>
        <w:t>The</w:t>
      </w:r>
      <w:proofErr w:type="gramEnd"/>
      <w:r w:rsidR="00951A2B" w:rsidRPr="00146059">
        <w:rPr>
          <w:rFonts w:ascii="Times New Roman" w:hAnsi="Times New Roman"/>
          <w:bCs/>
          <w:sz w:val="25"/>
          <w:szCs w:val="25"/>
        </w:rPr>
        <w:t xml:space="preserve"> </w:t>
      </w:r>
      <w:r w:rsidR="00146059" w:rsidRPr="00146059">
        <w:rPr>
          <w:rFonts w:ascii="Times New Roman" w:hAnsi="Times New Roman"/>
          <w:bCs/>
          <w:sz w:val="25"/>
          <w:szCs w:val="25"/>
        </w:rPr>
        <w:t>Objection to and Motion to Strike Supplemental Testimony and Exhibits is denied.</w:t>
      </w:r>
    </w:p>
    <w:p w14:paraId="6DC28FBF" w14:textId="77777777" w:rsidR="00244353" w:rsidRPr="00CB7F45" w:rsidRDefault="00244353" w:rsidP="00E051E8">
      <w:pPr>
        <w:pStyle w:val="Header"/>
        <w:tabs>
          <w:tab w:val="clear" w:pos="4320"/>
          <w:tab w:val="clear" w:pos="8640"/>
        </w:tabs>
        <w:spacing w:line="264" w:lineRule="auto"/>
        <w:rPr>
          <w:rFonts w:ascii="Times New Roman" w:hAnsi="Times New Roman"/>
          <w:sz w:val="25"/>
          <w:szCs w:val="25"/>
        </w:rPr>
      </w:pPr>
    </w:p>
    <w:p w14:paraId="5C117D9C" w14:textId="2E7B6731"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 xml:space="preserve">DATED at Olympia, Washington, and effective </w:t>
      </w:r>
      <w:r w:rsidR="00146059">
        <w:rPr>
          <w:rFonts w:ascii="Times New Roman" w:hAnsi="Times New Roman"/>
          <w:sz w:val="25"/>
          <w:szCs w:val="25"/>
        </w:rPr>
        <w:t xml:space="preserve">January </w:t>
      </w:r>
      <w:r w:rsidR="00DC129E">
        <w:rPr>
          <w:rFonts w:ascii="Times New Roman" w:hAnsi="Times New Roman"/>
          <w:sz w:val="25"/>
          <w:szCs w:val="25"/>
        </w:rPr>
        <w:t>7</w:t>
      </w:r>
      <w:r w:rsidR="00146059">
        <w:rPr>
          <w:rFonts w:ascii="Times New Roman" w:hAnsi="Times New Roman"/>
          <w:sz w:val="25"/>
          <w:szCs w:val="25"/>
        </w:rPr>
        <w:t>, 2015</w:t>
      </w:r>
      <w:r w:rsidRPr="00CB7F45">
        <w:rPr>
          <w:rFonts w:ascii="Times New Roman" w:hAnsi="Times New Roman"/>
          <w:sz w:val="25"/>
          <w:szCs w:val="25"/>
        </w:rPr>
        <w:t>.</w:t>
      </w:r>
    </w:p>
    <w:p w14:paraId="260CA0D1" w14:textId="77777777" w:rsidR="00244353" w:rsidRPr="00CB7F45" w:rsidRDefault="00244353" w:rsidP="00E051E8">
      <w:pPr>
        <w:spacing w:line="264" w:lineRule="auto"/>
        <w:rPr>
          <w:rFonts w:ascii="Times New Roman" w:hAnsi="Times New Roman"/>
          <w:sz w:val="25"/>
          <w:szCs w:val="25"/>
        </w:rPr>
      </w:pPr>
    </w:p>
    <w:p w14:paraId="4D822EEB" w14:textId="77777777" w:rsidR="00244353" w:rsidRPr="00CB7F45" w:rsidRDefault="00244353" w:rsidP="00E051E8">
      <w:pPr>
        <w:spacing w:line="264" w:lineRule="auto"/>
        <w:jc w:val="center"/>
        <w:rPr>
          <w:rFonts w:ascii="Times New Roman" w:hAnsi="Times New Roman"/>
          <w:sz w:val="25"/>
          <w:szCs w:val="25"/>
        </w:rPr>
      </w:pPr>
      <w:r w:rsidRPr="00CB7F45">
        <w:rPr>
          <w:rFonts w:ascii="Times New Roman" w:hAnsi="Times New Roman"/>
          <w:sz w:val="25"/>
          <w:szCs w:val="25"/>
        </w:rPr>
        <w:t>WASHINGTON UTILITIES AND TRANSPORTATION COMMISSION</w:t>
      </w:r>
    </w:p>
    <w:p w14:paraId="164EC1AB" w14:textId="77777777" w:rsidR="00244353" w:rsidRPr="00CB7F45" w:rsidRDefault="00244353" w:rsidP="00E051E8">
      <w:pPr>
        <w:spacing w:line="264" w:lineRule="auto"/>
        <w:rPr>
          <w:rFonts w:ascii="Times New Roman" w:hAnsi="Times New Roman"/>
          <w:sz w:val="25"/>
          <w:szCs w:val="25"/>
        </w:rPr>
      </w:pPr>
    </w:p>
    <w:p w14:paraId="66687DDB" w14:textId="77777777" w:rsidR="00244353" w:rsidRDefault="00244353" w:rsidP="00E051E8">
      <w:pPr>
        <w:spacing w:line="264" w:lineRule="auto"/>
        <w:rPr>
          <w:rFonts w:ascii="Times New Roman" w:hAnsi="Times New Roman"/>
          <w:sz w:val="25"/>
          <w:szCs w:val="25"/>
        </w:rPr>
      </w:pPr>
    </w:p>
    <w:p w14:paraId="51B1385D" w14:textId="77777777" w:rsidR="00E051E8" w:rsidRPr="00CB7F45" w:rsidRDefault="00E051E8" w:rsidP="00E051E8">
      <w:pPr>
        <w:spacing w:line="264" w:lineRule="auto"/>
        <w:rPr>
          <w:rFonts w:ascii="Times New Roman" w:hAnsi="Times New Roman"/>
          <w:sz w:val="25"/>
          <w:szCs w:val="25"/>
        </w:rPr>
      </w:pPr>
    </w:p>
    <w:p w14:paraId="16CC20A7" w14:textId="77777777" w:rsidR="00244353" w:rsidRPr="00CB7F45" w:rsidRDefault="00244353" w:rsidP="00E051E8">
      <w:pPr>
        <w:spacing w:line="264" w:lineRule="auto"/>
        <w:rPr>
          <w:rFonts w:ascii="Times New Roman" w:hAnsi="Times New Roman"/>
          <w:sz w:val="25"/>
          <w:szCs w:val="25"/>
        </w:rPr>
      </w:pPr>
    </w:p>
    <w:p w14:paraId="300D6A7B" w14:textId="29C1BBF5" w:rsidR="00244353" w:rsidRPr="00CB7F45" w:rsidRDefault="00244353" w:rsidP="00E051E8">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794A6C">
        <w:rPr>
          <w:rFonts w:ascii="Times New Roman" w:hAnsi="Times New Roman"/>
          <w:sz w:val="25"/>
          <w:szCs w:val="25"/>
        </w:rPr>
        <w:t>MARGUERITE E. FRIEDLANDER</w:t>
      </w:r>
    </w:p>
    <w:p w14:paraId="1AD4D988" w14:textId="7D557C42" w:rsidR="00244353" w:rsidRDefault="00244353" w:rsidP="00951A2B">
      <w:pPr>
        <w:spacing w:line="24" w:lineRule="atLeast"/>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4378AA">
        <w:rPr>
          <w:rFonts w:ascii="Times New Roman" w:hAnsi="Times New Roman"/>
          <w:sz w:val="25"/>
          <w:szCs w:val="25"/>
        </w:rPr>
        <w:t>Administrative Law Judge</w:t>
      </w:r>
    </w:p>
    <w:p w14:paraId="5C78FA45" w14:textId="77777777" w:rsidR="00146059" w:rsidRDefault="00146059" w:rsidP="00951A2B">
      <w:pPr>
        <w:spacing w:line="24" w:lineRule="atLeast"/>
        <w:rPr>
          <w:rFonts w:ascii="Times New Roman" w:hAnsi="Times New Roman"/>
          <w:sz w:val="25"/>
          <w:szCs w:val="25"/>
        </w:rPr>
      </w:pPr>
    </w:p>
    <w:p w14:paraId="7710ABA2" w14:textId="77777777" w:rsidR="00146059" w:rsidRDefault="00146059" w:rsidP="00951A2B">
      <w:pPr>
        <w:spacing w:line="24" w:lineRule="atLeast"/>
        <w:rPr>
          <w:rFonts w:ascii="Times New Roman" w:hAnsi="Times New Roman"/>
          <w:sz w:val="25"/>
          <w:szCs w:val="25"/>
        </w:rPr>
      </w:pPr>
    </w:p>
    <w:p w14:paraId="3600F870" w14:textId="77777777" w:rsidR="00146059" w:rsidRPr="00146059" w:rsidRDefault="00146059" w:rsidP="00146059">
      <w:pPr>
        <w:spacing w:line="264" w:lineRule="auto"/>
        <w:rPr>
          <w:rFonts w:ascii="Times New Roman" w:hAnsi="Times New Roman"/>
          <w:sz w:val="25"/>
          <w:szCs w:val="25"/>
        </w:rPr>
      </w:pPr>
      <w:r w:rsidRPr="00146059">
        <w:rPr>
          <w:rFonts w:ascii="Times New Roman" w:hAnsi="Times New Roman"/>
          <w:b/>
          <w:bCs/>
          <w:sz w:val="25"/>
          <w:szCs w:val="25"/>
        </w:rPr>
        <w:t xml:space="preserve">NOTICE TO PARTIES:  This is an Interlocutory Order of the Commission.  Administrative review may be available through a petition for review, filed within 10 days of the service of this Order pursuant to </w:t>
      </w:r>
      <w:r w:rsidRPr="00146059">
        <w:rPr>
          <w:rFonts w:ascii="Times New Roman" w:hAnsi="Times New Roman"/>
          <w:b/>
          <w:bCs/>
          <w:i/>
          <w:iCs/>
          <w:sz w:val="25"/>
          <w:szCs w:val="25"/>
        </w:rPr>
        <w:t>WAC 480-07-810</w:t>
      </w:r>
      <w:r w:rsidRPr="00146059">
        <w:rPr>
          <w:rFonts w:ascii="Times New Roman" w:hAnsi="Times New Roman"/>
          <w:b/>
          <w:bCs/>
          <w:sz w:val="25"/>
          <w:szCs w:val="25"/>
        </w:rPr>
        <w:t>.</w:t>
      </w:r>
    </w:p>
    <w:p w14:paraId="5595544B" w14:textId="77777777" w:rsidR="00146059" w:rsidRPr="000D35DA" w:rsidRDefault="00146059" w:rsidP="00951A2B">
      <w:pPr>
        <w:spacing w:line="24" w:lineRule="atLeast"/>
        <w:rPr>
          <w:rFonts w:ascii="Times New Roman" w:eastAsia="Calibri" w:hAnsi="Times New Roman"/>
          <w:sz w:val="25"/>
          <w:szCs w:val="25"/>
        </w:rPr>
      </w:pPr>
    </w:p>
    <w:sectPr w:rsidR="00146059" w:rsidRPr="000D35DA" w:rsidSect="004C0A9E">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32E7B" w14:textId="77777777" w:rsidR="00B850EA" w:rsidRDefault="00B850EA">
      <w:r>
        <w:separator/>
      </w:r>
    </w:p>
  </w:endnote>
  <w:endnote w:type="continuationSeparator" w:id="0">
    <w:p w14:paraId="0A0D4B82" w14:textId="77777777" w:rsidR="00B850EA" w:rsidRDefault="00B8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9E7EE" w14:textId="77777777" w:rsidR="00B850EA" w:rsidRDefault="00B850EA">
      <w:r>
        <w:separator/>
      </w:r>
    </w:p>
  </w:footnote>
  <w:footnote w:type="continuationSeparator" w:id="0">
    <w:p w14:paraId="0560482A" w14:textId="77777777" w:rsidR="00B850EA" w:rsidRDefault="00B850EA">
      <w:r>
        <w:continuationSeparator/>
      </w:r>
    </w:p>
  </w:footnote>
  <w:footnote w:id="1">
    <w:p w14:paraId="0A451FA9" w14:textId="77777777" w:rsidR="008C6EF1" w:rsidRPr="003C7362" w:rsidRDefault="008C6EF1" w:rsidP="00DC129E">
      <w:pPr>
        <w:pStyle w:val="FootnoteText"/>
        <w:spacing w:before="120"/>
        <w:rPr>
          <w:rFonts w:ascii="Times New Roman" w:hAnsi="Times New Roman"/>
          <w:sz w:val="22"/>
          <w:szCs w:val="22"/>
        </w:rPr>
      </w:pPr>
      <w:r w:rsidRPr="003C7362">
        <w:rPr>
          <w:rStyle w:val="FootnoteReference"/>
          <w:rFonts w:ascii="Times New Roman" w:hAnsi="Times New Roman"/>
          <w:sz w:val="22"/>
          <w:szCs w:val="22"/>
        </w:rPr>
        <w:footnoteRef/>
      </w:r>
      <w:r w:rsidRPr="003C7362">
        <w:rPr>
          <w:rFonts w:ascii="Times New Roman" w:hAnsi="Times New Roman"/>
          <w:sz w:val="22"/>
          <w:szCs w:val="22"/>
        </w:rPr>
        <w:t xml:space="preserve"> In a </w:t>
      </w:r>
      <w:r w:rsidRPr="003C7362">
        <w:rPr>
          <w:rFonts w:ascii="Times New Roman" w:hAnsi="Times New Roman"/>
          <w:iCs/>
          <w:sz w:val="22"/>
          <w:szCs w:val="22"/>
        </w:rPr>
        <w:t xml:space="preserve">formal proceeding, such as this, the Commission’s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3C7362">
        <w:rPr>
          <w:rFonts w:ascii="Times New Roman" w:hAnsi="Times New Roman"/>
          <w:i/>
          <w:iCs/>
          <w:sz w:val="22"/>
          <w:szCs w:val="22"/>
        </w:rPr>
        <w:t>See</w:t>
      </w:r>
      <w:r w:rsidRPr="003C7362">
        <w:rPr>
          <w:rFonts w:ascii="Times New Roman" w:hAnsi="Times New Roman"/>
          <w:iCs/>
          <w:sz w:val="22"/>
          <w:szCs w:val="22"/>
        </w:rPr>
        <w:t xml:space="preserve"> RCW 34.05.455.</w:t>
      </w:r>
    </w:p>
  </w:footnote>
  <w:footnote w:id="2">
    <w:p w14:paraId="56529E73" w14:textId="1AC06137" w:rsidR="008C6EF1" w:rsidRPr="00F34BFC" w:rsidRDefault="00F34BFC" w:rsidP="00DC129E">
      <w:pPr>
        <w:pStyle w:val="FootnoteText"/>
        <w:spacing w:before="120"/>
        <w:rPr>
          <w:rFonts w:ascii="Times New Roman" w:hAnsi="Times New Roman"/>
        </w:rPr>
      </w:pPr>
      <w:r w:rsidRPr="00F34BFC">
        <w:rPr>
          <w:rStyle w:val="FootnoteReference"/>
          <w:rFonts w:ascii="Times New Roman" w:hAnsi="Times New Roman"/>
          <w:sz w:val="22"/>
        </w:rPr>
        <w:footnoteRef/>
      </w:r>
      <w:r w:rsidRPr="00F34BFC">
        <w:rPr>
          <w:rFonts w:ascii="Times New Roman" w:hAnsi="Times New Roman"/>
          <w:sz w:val="22"/>
        </w:rPr>
        <w:t xml:space="preserve"> </w:t>
      </w:r>
      <w:r>
        <w:rPr>
          <w:rFonts w:ascii="Times New Roman" w:hAnsi="Times New Roman"/>
          <w:sz w:val="22"/>
        </w:rPr>
        <w:t xml:space="preserve">Joint Motion, ¶¶ 4-8.  Prior to </w:t>
      </w:r>
      <w:r w:rsidR="00DC7C45">
        <w:rPr>
          <w:rFonts w:ascii="Times New Roman" w:hAnsi="Times New Roman"/>
          <w:sz w:val="22"/>
        </w:rPr>
        <w:t xml:space="preserve">filing the </w:t>
      </w:r>
      <w:r>
        <w:rPr>
          <w:rFonts w:ascii="Times New Roman" w:hAnsi="Times New Roman"/>
          <w:sz w:val="22"/>
        </w:rPr>
        <w:t xml:space="preserve">Joint Motion, the parties </w:t>
      </w:r>
      <w:r w:rsidR="00DC7C45">
        <w:rPr>
          <w:rFonts w:ascii="Times New Roman" w:hAnsi="Times New Roman"/>
          <w:sz w:val="22"/>
        </w:rPr>
        <w:t>reached</w:t>
      </w:r>
      <w:r>
        <w:rPr>
          <w:rFonts w:ascii="Times New Roman" w:hAnsi="Times New Roman"/>
          <w:sz w:val="22"/>
        </w:rPr>
        <w:t xml:space="preserve"> a partial settlement agreement resolving all but four issues in this matter: </w:t>
      </w:r>
      <w:r w:rsidR="002E163E">
        <w:rPr>
          <w:rFonts w:ascii="Times New Roman" w:hAnsi="Times New Roman"/>
          <w:sz w:val="22"/>
        </w:rPr>
        <w:t>the methodology used to allocate common utility costs, appropriate inputs for calculating affiliate land rents, rate case costs and investigation fees, and reimbursement of the Commission for investigation costs.</w:t>
      </w:r>
    </w:p>
  </w:footnote>
  <w:footnote w:id="3">
    <w:p w14:paraId="3A95873B" w14:textId="615E33C6" w:rsidR="008C6EF1" w:rsidRPr="00716A0F" w:rsidRDefault="00716A0F" w:rsidP="00DC129E">
      <w:pPr>
        <w:pStyle w:val="FootnoteText"/>
        <w:spacing w:before="120"/>
        <w:rPr>
          <w:rFonts w:ascii="Times New Roman" w:hAnsi="Times New Roman"/>
        </w:rPr>
      </w:pPr>
      <w:r w:rsidRPr="00716A0F">
        <w:rPr>
          <w:rStyle w:val="FootnoteReference"/>
          <w:rFonts w:ascii="Times New Roman" w:hAnsi="Times New Roman"/>
          <w:sz w:val="22"/>
        </w:rPr>
        <w:footnoteRef/>
      </w:r>
      <w:r w:rsidRPr="00716A0F">
        <w:rPr>
          <w:rFonts w:ascii="Times New Roman" w:hAnsi="Times New Roman"/>
          <w:sz w:val="22"/>
        </w:rPr>
        <w:t xml:space="preserve"> </w:t>
      </w:r>
      <w:r>
        <w:rPr>
          <w:rFonts w:ascii="Times New Roman" w:hAnsi="Times New Roman"/>
          <w:sz w:val="22"/>
        </w:rPr>
        <w:t xml:space="preserve">While </w:t>
      </w:r>
      <w:r w:rsidR="00DC7C45">
        <w:rPr>
          <w:rFonts w:ascii="Times New Roman" w:hAnsi="Times New Roman"/>
          <w:sz w:val="22"/>
        </w:rPr>
        <w:t xml:space="preserve">the </w:t>
      </w:r>
      <w:r>
        <w:rPr>
          <w:rFonts w:ascii="Times New Roman" w:hAnsi="Times New Roman"/>
          <w:sz w:val="22"/>
        </w:rPr>
        <w:t>W</w:t>
      </w:r>
      <w:r w:rsidR="000C335A">
        <w:rPr>
          <w:rFonts w:ascii="Times New Roman" w:hAnsi="Times New Roman"/>
          <w:sz w:val="22"/>
        </w:rPr>
        <w:t xml:space="preserve">ashington </w:t>
      </w:r>
      <w:r>
        <w:rPr>
          <w:rFonts w:ascii="Times New Roman" w:hAnsi="Times New Roman"/>
          <w:sz w:val="22"/>
        </w:rPr>
        <w:t>R</w:t>
      </w:r>
      <w:r w:rsidR="000C335A">
        <w:rPr>
          <w:rFonts w:ascii="Times New Roman" w:hAnsi="Times New Roman"/>
          <w:sz w:val="22"/>
        </w:rPr>
        <w:t xml:space="preserve">efuse and </w:t>
      </w:r>
      <w:r>
        <w:rPr>
          <w:rFonts w:ascii="Times New Roman" w:hAnsi="Times New Roman"/>
          <w:sz w:val="22"/>
        </w:rPr>
        <w:t>R</w:t>
      </w:r>
      <w:r w:rsidR="000C335A">
        <w:rPr>
          <w:rFonts w:ascii="Times New Roman" w:hAnsi="Times New Roman"/>
          <w:sz w:val="22"/>
        </w:rPr>
        <w:t xml:space="preserve">ecycling </w:t>
      </w:r>
      <w:r>
        <w:rPr>
          <w:rFonts w:ascii="Times New Roman" w:hAnsi="Times New Roman"/>
          <w:sz w:val="22"/>
        </w:rPr>
        <w:t>A</w:t>
      </w:r>
      <w:r w:rsidR="000C335A">
        <w:rPr>
          <w:rFonts w:ascii="Times New Roman" w:hAnsi="Times New Roman"/>
          <w:sz w:val="22"/>
        </w:rPr>
        <w:t>ssociation (WRRA)</w:t>
      </w:r>
      <w:r>
        <w:rPr>
          <w:rFonts w:ascii="Times New Roman" w:hAnsi="Times New Roman"/>
          <w:sz w:val="22"/>
        </w:rPr>
        <w:t xml:space="preserve"> did not explicitly sign the Joint Motion, it did express agreement with the request. </w:t>
      </w:r>
    </w:p>
  </w:footnote>
  <w:footnote w:id="4">
    <w:p w14:paraId="731D8D8E" w14:textId="372EFBB6" w:rsidR="00716A0F" w:rsidRPr="00716A0F" w:rsidRDefault="00716A0F" w:rsidP="00DC129E">
      <w:pPr>
        <w:pStyle w:val="FootnoteText"/>
        <w:spacing w:before="120"/>
        <w:rPr>
          <w:rFonts w:ascii="Times New Roman" w:hAnsi="Times New Roman"/>
        </w:rPr>
      </w:pPr>
      <w:r w:rsidRPr="00716A0F">
        <w:rPr>
          <w:rStyle w:val="FootnoteReference"/>
          <w:rFonts w:ascii="Times New Roman" w:hAnsi="Times New Roman"/>
          <w:sz w:val="22"/>
        </w:rPr>
        <w:footnoteRef/>
      </w:r>
      <w:r w:rsidRPr="00716A0F">
        <w:rPr>
          <w:rFonts w:ascii="Times New Roman" w:hAnsi="Times New Roman"/>
          <w:sz w:val="22"/>
        </w:rPr>
        <w:t xml:space="preserve"> </w:t>
      </w:r>
      <w:r>
        <w:rPr>
          <w:rFonts w:ascii="Times New Roman" w:hAnsi="Times New Roman"/>
          <w:sz w:val="22"/>
        </w:rPr>
        <w:t xml:space="preserve">Joint </w:t>
      </w:r>
      <w:r w:rsidRPr="00DC129E">
        <w:rPr>
          <w:rFonts w:ascii="Times New Roman" w:hAnsi="Times New Roman"/>
          <w:sz w:val="22"/>
          <w:szCs w:val="22"/>
        </w:rPr>
        <w:t>Motion</w:t>
      </w:r>
      <w:r>
        <w:rPr>
          <w:rFonts w:ascii="Times New Roman" w:hAnsi="Times New Roman"/>
          <w:sz w:val="22"/>
        </w:rPr>
        <w:t>, ¶ 9.</w:t>
      </w:r>
    </w:p>
  </w:footnote>
  <w:footnote w:id="5">
    <w:p w14:paraId="7317D48A" w14:textId="21817A0A" w:rsidR="002744CD" w:rsidRPr="002744CD" w:rsidRDefault="002744CD" w:rsidP="00DC129E">
      <w:pPr>
        <w:pStyle w:val="FootnoteText"/>
        <w:spacing w:before="120"/>
        <w:rPr>
          <w:rFonts w:ascii="Times New Roman" w:hAnsi="Times New Roman"/>
        </w:rPr>
      </w:pPr>
      <w:r w:rsidRPr="002744CD">
        <w:rPr>
          <w:rStyle w:val="FootnoteReference"/>
          <w:rFonts w:ascii="Times New Roman" w:hAnsi="Times New Roman"/>
          <w:sz w:val="22"/>
        </w:rPr>
        <w:footnoteRef/>
      </w:r>
      <w:r w:rsidRPr="002744CD">
        <w:rPr>
          <w:rFonts w:ascii="Times New Roman" w:hAnsi="Times New Roman"/>
          <w:sz w:val="22"/>
        </w:rPr>
        <w:t xml:space="preserve"> </w:t>
      </w:r>
      <w:r>
        <w:rPr>
          <w:rFonts w:ascii="Times New Roman" w:hAnsi="Times New Roman"/>
          <w:sz w:val="22"/>
        </w:rPr>
        <w:t>We will refer to these filings as WCI’s Response and WRRA’s Response, respectively.</w:t>
      </w:r>
    </w:p>
  </w:footnote>
  <w:footnote w:id="6">
    <w:p w14:paraId="42B8E488" w14:textId="196D4663" w:rsidR="003369A3" w:rsidRPr="003369A3" w:rsidRDefault="003369A3" w:rsidP="00DC129E">
      <w:pPr>
        <w:pStyle w:val="FootnoteText"/>
        <w:spacing w:before="120"/>
        <w:rPr>
          <w:rFonts w:ascii="Times New Roman" w:hAnsi="Times New Roman"/>
          <w:sz w:val="22"/>
          <w:szCs w:val="22"/>
        </w:rPr>
      </w:pPr>
      <w:r w:rsidRPr="003369A3">
        <w:rPr>
          <w:rStyle w:val="FootnoteReference"/>
          <w:rFonts w:ascii="Times New Roman" w:hAnsi="Times New Roman"/>
          <w:sz w:val="22"/>
          <w:szCs w:val="22"/>
        </w:rPr>
        <w:footnoteRef/>
      </w:r>
      <w:r w:rsidRPr="003369A3">
        <w:rPr>
          <w:rFonts w:ascii="Times New Roman" w:hAnsi="Times New Roman"/>
          <w:sz w:val="22"/>
          <w:szCs w:val="22"/>
        </w:rPr>
        <w:t xml:space="preserve"> </w:t>
      </w:r>
      <w:r>
        <w:rPr>
          <w:rFonts w:ascii="Times New Roman" w:hAnsi="Times New Roman"/>
          <w:sz w:val="22"/>
          <w:szCs w:val="22"/>
        </w:rPr>
        <w:t xml:space="preserve">Staff’s </w:t>
      </w:r>
      <w:r w:rsidRPr="00DC129E">
        <w:rPr>
          <w:rFonts w:ascii="Times New Roman" w:hAnsi="Times New Roman"/>
          <w:sz w:val="22"/>
        </w:rPr>
        <w:t>Motion</w:t>
      </w:r>
      <w:r>
        <w:rPr>
          <w:rFonts w:ascii="Times New Roman" w:hAnsi="Times New Roman"/>
          <w:sz w:val="22"/>
          <w:szCs w:val="22"/>
        </w:rPr>
        <w:t>, ¶ 1.</w:t>
      </w:r>
    </w:p>
  </w:footnote>
  <w:footnote w:id="7">
    <w:p w14:paraId="21626B83" w14:textId="653A6DAD" w:rsidR="00D476AF" w:rsidRPr="00D476AF" w:rsidRDefault="00D476AF" w:rsidP="00DC129E">
      <w:pPr>
        <w:pStyle w:val="FootnoteText"/>
        <w:spacing w:before="120"/>
        <w:rPr>
          <w:rFonts w:ascii="Times New Roman" w:hAnsi="Times New Roman"/>
          <w:i/>
        </w:rPr>
      </w:pPr>
      <w:r w:rsidRPr="00D476AF">
        <w:rPr>
          <w:rStyle w:val="FootnoteReference"/>
          <w:rFonts w:ascii="Times New Roman" w:hAnsi="Times New Roman"/>
          <w:sz w:val="22"/>
        </w:rPr>
        <w:footnoteRef/>
      </w:r>
      <w:r w:rsidRPr="00D476AF">
        <w:rPr>
          <w:rFonts w:ascii="Times New Roman" w:hAnsi="Times New Roman"/>
          <w:sz w:val="22"/>
        </w:rPr>
        <w:t xml:space="preserve"> </w:t>
      </w:r>
      <w:r w:rsidRPr="00DC129E">
        <w:rPr>
          <w:rFonts w:ascii="Times New Roman" w:hAnsi="Times New Roman"/>
          <w:i/>
          <w:sz w:val="22"/>
        </w:rPr>
        <w:t>Id</w:t>
      </w:r>
      <w:r w:rsidRPr="00D476AF">
        <w:rPr>
          <w:rFonts w:ascii="Times New Roman" w:hAnsi="Times New Roman"/>
          <w:sz w:val="22"/>
        </w:rPr>
        <w:t>., ¶ 2.</w:t>
      </w:r>
    </w:p>
  </w:footnote>
  <w:footnote w:id="8">
    <w:p w14:paraId="4841A235" w14:textId="488505B5" w:rsidR="001F2182" w:rsidRPr="001F2182" w:rsidRDefault="001F2182" w:rsidP="00DC129E">
      <w:pPr>
        <w:pStyle w:val="FootnoteText"/>
        <w:spacing w:before="120"/>
        <w:rPr>
          <w:rFonts w:ascii="Times New Roman" w:hAnsi="Times New Roman"/>
        </w:rPr>
      </w:pPr>
      <w:r w:rsidRPr="001F2182">
        <w:rPr>
          <w:rStyle w:val="FootnoteReference"/>
          <w:rFonts w:ascii="Times New Roman" w:hAnsi="Times New Roman"/>
          <w:sz w:val="22"/>
        </w:rPr>
        <w:footnoteRef/>
      </w:r>
      <w:r w:rsidRPr="001F2182">
        <w:rPr>
          <w:rFonts w:ascii="Times New Roman" w:hAnsi="Times New Roman"/>
          <w:sz w:val="22"/>
        </w:rPr>
        <w:t xml:space="preserve"> </w:t>
      </w:r>
      <w:r w:rsidRPr="00DC129E">
        <w:rPr>
          <w:rFonts w:ascii="Times New Roman" w:hAnsi="Times New Roman"/>
          <w:i/>
          <w:sz w:val="22"/>
        </w:rPr>
        <w:t>Id</w:t>
      </w:r>
      <w:r>
        <w:rPr>
          <w:rFonts w:ascii="Times New Roman" w:hAnsi="Times New Roman"/>
          <w:sz w:val="22"/>
        </w:rPr>
        <w:t>.</w:t>
      </w:r>
    </w:p>
  </w:footnote>
  <w:footnote w:id="9">
    <w:p w14:paraId="65D171F0" w14:textId="5D9F3E76" w:rsidR="00422F55" w:rsidRPr="00422F55" w:rsidRDefault="00422F55" w:rsidP="00DC129E">
      <w:pPr>
        <w:pStyle w:val="FootnoteText"/>
        <w:spacing w:before="120"/>
        <w:rPr>
          <w:rFonts w:ascii="Times New Roman" w:hAnsi="Times New Roman"/>
        </w:rPr>
      </w:pPr>
      <w:r w:rsidRPr="00422F55">
        <w:rPr>
          <w:rStyle w:val="FootnoteReference"/>
          <w:rFonts w:ascii="Times New Roman" w:hAnsi="Times New Roman"/>
          <w:sz w:val="22"/>
        </w:rPr>
        <w:footnoteRef/>
      </w:r>
      <w:r w:rsidRPr="00422F55">
        <w:rPr>
          <w:rFonts w:ascii="Times New Roman" w:hAnsi="Times New Roman"/>
          <w:sz w:val="22"/>
        </w:rPr>
        <w:t xml:space="preserve"> </w:t>
      </w:r>
      <w:r>
        <w:rPr>
          <w:rFonts w:ascii="Times New Roman" w:hAnsi="Times New Roman"/>
          <w:sz w:val="22"/>
        </w:rPr>
        <w:t>Staff’s Reply, ¶ 6.</w:t>
      </w:r>
    </w:p>
  </w:footnote>
  <w:footnote w:id="10">
    <w:p w14:paraId="1E698F02" w14:textId="06B68E9D" w:rsidR="00587224" w:rsidRPr="00587224" w:rsidRDefault="00587224" w:rsidP="00DC129E">
      <w:pPr>
        <w:pStyle w:val="FootnoteText"/>
        <w:spacing w:before="120"/>
        <w:rPr>
          <w:rFonts w:ascii="Times New Roman" w:hAnsi="Times New Roman"/>
        </w:rPr>
      </w:pPr>
      <w:r w:rsidRPr="00587224">
        <w:rPr>
          <w:rStyle w:val="FootnoteReference"/>
          <w:rFonts w:ascii="Times New Roman" w:hAnsi="Times New Roman"/>
          <w:sz w:val="22"/>
        </w:rPr>
        <w:footnoteRef/>
      </w:r>
      <w:r w:rsidRPr="00587224">
        <w:rPr>
          <w:rFonts w:ascii="Times New Roman" w:hAnsi="Times New Roman"/>
          <w:sz w:val="22"/>
        </w:rPr>
        <w:t xml:space="preserve"> </w:t>
      </w:r>
      <w:r w:rsidRPr="00DC129E">
        <w:rPr>
          <w:rFonts w:ascii="Times New Roman" w:hAnsi="Times New Roman"/>
          <w:i/>
          <w:sz w:val="22"/>
        </w:rPr>
        <w:t>Id</w:t>
      </w:r>
      <w:r>
        <w:rPr>
          <w:rFonts w:ascii="Times New Roman" w:hAnsi="Times New Roman"/>
          <w:sz w:val="22"/>
        </w:rPr>
        <w:t>.,</w:t>
      </w:r>
      <w:r w:rsidR="00C94BBC">
        <w:rPr>
          <w:rFonts w:ascii="Times New Roman" w:hAnsi="Times New Roman"/>
          <w:sz w:val="22"/>
        </w:rPr>
        <w:t xml:space="preserve"> </w:t>
      </w:r>
      <w:r>
        <w:rPr>
          <w:rFonts w:ascii="Times New Roman" w:hAnsi="Times New Roman"/>
          <w:sz w:val="22"/>
        </w:rPr>
        <w:t>¶ 7.</w:t>
      </w:r>
    </w:p>
  </w:footnote>
  <w:footnote w:id="11">
    <w:p w14:paraId="39B0FC50" w14:textId="128248B6" w:rsidR="00587224" w:rsidRPr="00587224" w:rsidRDefault="00587224" w:rsidP="00DC129E">
      <w:pPr>
        <w:pStyle w:val="FootnoteText"/>
        <w:spacing w:before="120"/>
        <w:rPr>
          <w:rFonts w:ascii="Times New Roman" w:hAnsi="Times New Roman"/>
        </w:rPr>
      </w:pPr>
      <w:r w:rsidRPr="00587224">
        <w:rPr>
          <w:rStyle w:val="FootnoteReference"/>
          <w:rFonts w:ascii="Times New Roman" w:hAnsi="Times New Roman"/>
          <w:sz w:val="22"/>
        </w:rPr>
        <w:footnoteRef/>
      </w:r>
      <w:r w:rsidRPr="00587224">
        <w:rPr>
          <w:rFonts w:ascii="Times New Roman" w:hAnsi="Times New Roman"/>
          <w:sz w:val="22"/>
        </w:rPr>
        <w:t xml:space="preserve"> </w:t>
      </w:r>
      <w:r w:rsidRPr="00DC129E">
        <w:rPr>
          <w:rFonts w:ascii="Times New Roman" w:hAnsi="Times New Roman"/>
          <w:i/>
          <w:sz w:val="22"/>
        </w:rPr>
        <w:t>Id</w:t>
      </w:r>
      <w:r>
        <w:rPr>
          <w:rFonts w:ascii="Times New Roman" w:hAnsi="Times New Roman"/>
          <w:sz w:val="22"/>
        </w:rPr>
        <w:t>.</w:t>
      </w:r>
    </w:p>
  </w:footnote>
  <w:footnote w:id="12">
    <w:p w14:paraId="513586E0" w14:textId="4559868F" w:rsidR="001923DB" w:rsidRPr="001923DB" w:rsidRDefault="001923DB" w:rsidP="00DC129E">
      <w:pPr>
        <w:pStyle w:val="FootnoteText"/>
        <w:spacing w:before="120"/>
        <w:rPr>
          <w:rFonts w:ascii="Times New Roman" w:hAnsi="Times New Roman"/>
        </w:rPr>
      </w:pPr>
      <w:r w:rsidRPr="001923DB">
        <w:rPr>
          <w:rStyle w:val="FootnoteReference"/>
          <w:rFonts w:ascii="Times New Roman" w:hAnsi="Times New Roman"/>
          <w:sz w:val="22"/>
        </w:rPr>
        <w:footnoteRef/>
      </w:r>
      <w:r w:rsidRPr="001923DB">
        <w:rPr>
          <w:rFonts w:ascii="Times New Roman" w:hAnsi="Times New Roman"/>
          <w:sz w:val="22"/>
        </w:rPr>
        <w:t xml:space="preserve"> </w:t>
      </w:r>
      <w:r w:rsidRPr="00DC129E">
        <w:rPr>
          <w:rFonts w:ascii="Times New Roman" w:hAnsi="Times New Roman"/>
          <w:i/>
          <w:sz w:val="22"/>
        </w:rPr>
        <w:t>Id</w:t>
      </w:r>
      <w:r>
        <w:rPr>
          <w:rFonts w:ascii="Times New Roman" w:hAnsi="Times New Roman"/>
          <w:sz w:val="22"/>
        </w:rPr>
        <w:t>., ¶ 8.</w:t>
      </w:r>
    </w:p>
  </w:footnote>
  <w:footnote w:id="13">
    <w:p w14:paraId="36EC246E" w14:textId="4FD29254" w:rsidR="001923DB" w:rsidRPr="001923DB" w:rsidRDefault="001923DB" w:rsidP="00DC129E">
      <w:pPr>
        <w:pStyle w:val="FootnoteText"/>
        <w:spacing w:before="120"/>
        <w:rPr>
          <w:rFonts w:ascii="Times New Roman" w:hAnsi="Times New Roman"/>
        </w:rPr>
      </w:pPr>
      <w:r w:rsidRPr="001923DB">
        <w:rPr>
          <w:rStyle w:val="FootnoteReference"/>
          <w:rFonts w:ascii="Times New Roman" w:hAnsi="Times New Roman"/>
          <w:sz w:val="22"/>
        </w:rPr>
        <w:footnoteRef/>
      </w:r>
      <w:r w:rsidRPr="001923DB">
        <w:rPr>
          <w:rFonts w:ascii="Times New Roman" w:hAnsi="Times New Roman"/>
          <w:sz w:val="22"/>
        </w:rPr>
        <w:t xml:space="preserve"> </w:t>
      </w:r>
      <w:r w:rsidRPr="00DC129E">
        <w:rPr>
          <w:rFonts w:ascii="Times New Roman" w:hAnsi="Times New Roman"/>
          <w:i/>
          <w:sz w:val="22"/>
        </w:rPr>
        <w:t>Id</w:t>
      </w:r>
      <w:r>
        <w:rPr>
          <w:rFonts w:ascii="Times New Roman" w:hAnsi="Times New Roman"/>
          <w:sz w:val="22"/>
        </w:rPr>
        <w:t>., ¶ 9.</w:t>
      </w:r>
    </w:p>
  </w:footnote>
  <w:footnote w:id="14">
    <w:p w14:paraId="3EDD3314" w14:textId="1AE72BDC" w:rsidR="003923F3" w:rsidRPr="003923F3" w:rsidRDefault="003923F3" w:rsidP="00DC129E">
      <w:pPr>
        <w:pStyle w:val="FootnoteText"/>
        <w:spacing w:before="120"/>
        <w:rPr>
          <w:rFonts w:ascii="Times New Roman" w:hAnsi="Times New Roman"/>
        </w:rPr>
      </w:pPr>
      <w:r w:rsidRPr="003923F3">
        <w:rPr>
          <w:rStyle w:val="FootnoteReference"/>
          <w:rFonts w:ascii="Times New Roman" w:hAnsi="Times New Roman"/>
          <w:sz w:val="22"/>
        </w:rPr>
        <w:footnoteRef/>
      </w:r>
      <w:r w:rsidRPr="003923F3">
        <w:rPr>
          <w:rFonts w:ascii="Times New Roman" w:hAnsi="Times New Roman"/>
          <w:sz w:val="22"/>
        </w:rPr>
        <w:t xml:space="preserve"> </w:t>
      </w:r>
      <w:r w:rsidRPr="00DC129E">
        <w:rPr>
          <w:rFonts w:ascii="Times New Roman" w:hAnsi="Times New Roman"/>
          <w:i/>
          <w:sz w:val="22"/>
        </w:rPr>
        <w:t>Id</w:t>
      </w:r>
      <w:r>
        <w:rPr>
          <w:rFonts w:ascii="Times New Roman" w:hAnsi="Times New Roman"/>
          <w:sz w:val="22"/>
        </w:rPr>
        <w:t>.</w:t>
      </w:r>
    </w:p>
  </w:footnote>
  <w:footnote w:id="15">
    <w:p w14:paraId="3471386F" w14:textId="77C7B5D4" w:rsidR="002160DD" w:rsidRPr="002160DD" w:rsidRDefault="002160DD" w:rsidP="00DC129E">
      <w:pPr>
        <w:pStyle w:val="FootnoteText"/>
        <w:spacing w:before="120"/>
        <w:rPr>
          <w:rFonts w:ascii="Times New Roman" w:hAnsi="Times New Roman"/>
        </w:rPr>
      </w:pPr>
      <w:r w:rsidRPr="002160DD">
        <w:rPr>
          <w:rStyle w:val="FootnoteReference"/>
          <w:rFonts w:ascii="Times New Roman" w:hAnsi="Times New Roman"/>
          <w:sz w:val="22"/>
        </w:rPr>
        <w:footnoteRef/>
      </w:r>
      <w:r w:rsidRPr="002160DD">
        <w:rPr>
          <w:rFonts w:ascii="Times New Roman" w:hAnsi="Times New Roman"/>
          <w:sz w:val="22"/>
        </w:rPr>
        <w:t xml:space="preserve"> </w:t>
      </w:r>
      <w:r w:rsidRPr="00DC129E">
        <w:rPr>
          <w:rFonts w:ascii="Times New Roman" w:hAnsi="Times New Roman"/>
          <w:i/>
          <w:sz w:val="22"/>
        </w:rPr>
        <w:t>Id</w:t>
      </w:r>
      <w:r>
        <w:rPr>
          <w:rFonts w:ascii="Times New Roman" w:hAnsi="Times New Roman"/>
          <w:sz w:val="22"/>
        </w:rPr>
        <w:t>., ¶ 10.</w:t>
      </w:r>
    </w:p>
  </w:footnote>
  <w:footnote w:id="16">
    <w:p w14:paraId="1689F75E" w14:textId="3473B886" w:rsidR="004A0CDC" w:rsidRPr="004A0CDC" w:rsidRDefault="004A0CDC" w:rsidP="00DC129E">
      <w:pPr>
        <w:pStyle w:val="FootnoteText"/>
        <w:spacing w:before="120"/>
        <w:rPr>
          <w:rFonts w:ascii="Times New Roman" w:hAnsi="Times New Roman"/>
        </w:rPr>
      </w:pPr>
      <w:r w:rsidRPr="004A0CDC">
        <w:rPr>
          <w:rStyle w:val="FootnoteReference"/>
          <w:rFonts w:ascii="Times New Roman" w:hAnsi="Times New Roman"/>
          <w:sz w:val="22"/>
        </w:rPr>
        <w:footnoteRef/>
      </w:r>
      <w:r w:rsidRPr="004A0CDC">
        <w:rPr>
          <w:rFonts w:ascii="Times New Roman" w:hAnsi="Times New Roman"/>
          <w:sz w:val="22"/>
        </w:rPr>
        <w:t xml:space="preserve"> </w:t>
      </w:r>
      <w:r w:rsidRPr="00DC129E">
        <w:rPr>
          <w:rFonts w:ascii="Times New Roman" w:hAnsi="Times New Roman"/>
          <w:i/>
          <w:sz w:val="22"/>
        </w:rPr>
        <w:t>Id</w:t>
      </w:r>
      <w:r>
        <w:rPr>
          <w:rFonts w:ascii="Times New Roman" w:hAnsi="Times New Roman"/>
          <w:sz w:val="22"/>
        </w:rPr>
        <w:t>., ¶ 11.</w:t>
      </w:r>
    </w:p>
  </w:footnote>
  <w:footnote w:id="17">
    <w:p w14:paraId="33141332" w14:textId="5E8CBA3C" w:rsidR="00095377" w:rsidRPr="00095377" w:rsidRDefault="00095377" w:rsidP="00DC129E">
      <w:pPr>
        <w:pStyle w:val="FootnoteText"/>
        <w:spacing w:before="120"/>
        <w:rPr>
          <w:rFonts w:ascii="Times New Roman" w:hAnsi="Times New Roman"/>
        </w:rPr>
      </w:pPr>
      <w:r w:rsidRPr="00095377">
        <w:rPr>
          <w:rStyle w:val="FootnoteReference"/>
          <w:rFonts w:ascii="Times New Roman" w:hAnsi="Times New Roman"/>
          <w:sz w:val="22"/>
        </w:rPr>
        <w:footnoteRef/>
      </w:r>
      <w:r w:rsidRPr="00095377">
        <w:rPr>
          <w:rFonts w:ascii="Times New Roman" w:hAnsi="Times New Roman"/>
          <w:sz w:val="22"/>
        </w:rPr>
        <w:t xml:space="preserve"> </w:t>
      </w:r>
      <w:r w:rsidRPr="00DC129E">
        <w:rPr>
          <w:rFonts w:ascii="Times New Roman" w:hAnsi="Times New Roman"/>
          <w:i/>
          <w:sz w:val="22"/>
        </w:rPr>
        <w:t>Id</w:t>
      </w:r>
      <w:r>
        <w:rPr>
          <w:rFonts w:ascii="Times New Roman" w:hAnsi="Times New Roman"/>
          <w:sz w:val="22"/>
        </w:rPr>
        <w:t>., ¶ 12.</w:t>
      </w:r>
    </w:p>
  </w:footnote>
  <w:footnote w:id="18">
    <w:p w14:paraId="7376684D" w14:textId="62233E12" w:rsidR="007E6874" w:rsidRPr="007E6874" w:rsidRDefault="007E6874" w:rsidP="00DC129E">
      <w:pPr>
        <w:pStyle w:val="FootnoteText"/>
        <w:spacing w:before="120"/>
        <w:rPr>
          <w:rFonts w:ascii="Times New Roman" w:hAnsi="Times New Roman"/>
        </w:rPr>
      </w:pPr>
      <w:r w:rsidRPr="007E6874">
        <w:rPr>
          <w:rStyle w:val="FootnoteReference"/>
          <w:rFonts w:ascii="Times New Roman" w:hAnsi="Times New Roman"/>
          <w:sz w:val="22"/>
        </w:rPr>
        <w:footnoteRef/>
      </w:r>
      <w:r w:rsidRPr="007E6874">
        <w:rPr>
          <w:rFonts w:ascii="Times New Roman" w:hAnsi="Times New Roman"/>
          <w:sz w:val="22"/>
        </w:rPr>
        <w:t xml:space="preserve"> </w:t>
      </w:r>
      <w:r w:rsidRPr="00DC129E">
        <w:rPr>
          <w:rFonts w:ascii="Times New Roman" w:hAnsi="Times New Roman"/>
          <w:i/>
          <w:sz w:val="22"/>
        </w:rPr>
        <w:t>Id</w:t>
      </w:r>
      <w:r>
        <w:rPr>
          <w:rFonts w:ascii="Times New Roman" w:hAnsi="Times New Roman"/>
          <w:sz w:val="22"/>
        </w:rPr>
        <w:t>.</w:t>
      </w:r>
    </w:p>
  </w:footnote>
  <w:footnote w:id="19">
    <w:p w14:paraId="2A7264E2" w14:textId="5AAE6CA5" w:rsidR="00E27D76" w:rsidRPr="00E27D76" w:rsidRDefault="00E27D76" w:rsidP="00DC129E">
      <w:pPr>
        <w:pStyle w:val="FootnoteText"/>
        <w:spacing w:before="120"/>
        <w:rPr>
          <w:rFonts w:ascii="Times New Roman" w:hAnsi="Times New Roman"/>
          <w:sz w:val="22"/>
        </w:rPr>
      </w:pPr>
      <w:r w:rsidRPr="00E27D76">
        <w:rPr>
          <w:rStyle w:val="FootnoteReference"/>
          <w:rFonts w:ascii="Times New Roman" w:hAnsi="Times New Roman"/>
          <w:sz w:val="22"/>
        </w:rPr>
        <w:footnoteRef/>
      </w:r>
      <w:r w:rsidRPr="00E27D76">
        <w:rPr>
          <w:rFonts w:ascii="Times New Roman" w:hAnsi="Times New Roman"/>
          <w:sz w:val="22"/>
        </w:rPr>
        <w:t xml:space="preserve"> </w:t>
      </w:r>
      <w:r w:rsidRPr="00DC129E">
        <w:rPr>
          <w:rFonts w:ascii="Times New Roman" w:hAnsi="Times New Roman"/>
          <w:i/>
          <w:sz w:val="22"/>
        </w:rPr>
        <w:t>Id</w:t>
      </w:r>
      <w:r>
        <w:rPr>
          <w:rFonts w:ascii="Times New Roman" w:hAnsi="Times New Roman"/>
          <w:sz w:val="22"/>
        </w:rPr>
        <w:t>., ¶ 13.</w:t>
      </w:r>
    </w:p>
  </w:footnote>
  <w:footnote w:id="20">
    <w:p w14:paraId="29F2F47E" w14:textId="0F823223" w:rsidR="00B850EA" w:rsidRPr="00383776" w:rsidRDefault="00B850EA" w:rsidP="00DC129E">
      <w:pPr>
        <w:pStyle w:val="FootnoteText"/>
        <w:spacing w:before="120"/>
        <w:rPr>
          <w:rFonts w:ascii="Times New Roman" w:hAnsi="Times New Roman"/>
        </w:rPr>
      </w:pPr>
      <w:r w:rsidRPr="00383776">
        <w:rPr>
          <w:rStyle w:val="FootnoteReference"/>
          <w:rFonts w:ascii="Times New Roman" w:hAnsi="Times New Roman"/>
          <w:sz w:val="22"/>
        </w:rPr>
        <w:footnoteRef/>
      </w:r>
      <w:r w:rsidRPr="00383776">
        <w:rPr>
          <w:rFonts w:ascii="Times New Roman" w:hAnsi="Times New Roman"/>
          <w:sz w:val="22"/>
        </w:rPr>
        <w:t xml:space="preserve"> </w:t>
      </w:r>
      <w:r w:rsidR="001F715B">
        <w:rPr>
          <w:rFonts w:ascii="Times New Roman" w:hAnsi="Times New Roman"/>
          <w:sz w:val="22"/>
        </w:rPr>
        <w:t>WCI</w:t>
      </w:r>
      <w:r>
        <w:rPr>
          <w:rFonts w:ascii="Times New Roman" w:hAnsi="Times New Roman"/>
          <w:sz w:val="22"/>
        </w:rPr>
        <w:t xml:space="preserve">’s Response, ¶ </w:t>
      </w:r>
      <w:r w:rsidR="001F715B">
        <w:rPr>
          <w:rFonts w:ascii="Times New Roman" w:hAnsi="Times New Roman"/>
          <w:sz w:val="22"/>
        </w:rPr>
        <w:t>2</w:t>
      </w:r>
      <w:r>
        <w:rPr>
          <w:rFonts w:ascii="Times New Roman" w:hAnsi="Times New Roman"/>
          <w:sz w:val="22"/>
        </w:rPr>
        <w:t>.</w:t>
      </w:r>
    </w:p>
  </w:footnote>
  <w:footnote w:id="21">
    <w:p w14:paraId="23F3CE00" w14:textId="5BC77DF3" w:rsidR="001F715B" w:rsidRPr="001F715B" w:rsidRDefault="001F715B" w:rsidP="00DC129E">
      <w:pPr>
        <w:pStyle w:val="FootnoteText"/>
        <w:spacing w:before="120"/>
        <w:rPr>
          <w:rFonts w:ascii="Times New Roman" w:hAnsi="Times New Roman"/>
        </w:rPr>
      </w:pPr>
      <w:r w:rsidRPr="001F715B">
        <w:rPr>
          <w:rStyle w:val="FootnoteReference"/>
          <w:rFonts w:ascii="Times New Roman" w:hAnsi="Times New Roman"/>
          <w:sz w:val="22"/>
        </w:rPr>
        <w:footnoteRef/>
      </w:r>
      <w:r w:rsidRPr="001F715B">
        <w:rPr>
          <w:rFonts w:ascii="Times New Roman" w:hAnsi="Times New Roman"/>
          <w:sz w:val="22"/>
        </w:rPr>
        <w:t xml:space="preserve"> </w:t>
      </w:r>
      <w:r>
        <w:rPr>
          <w:rFonts w:ascii="Times New Roman" w:hAnsi="Times New Roman"/>
          <w:sz w:val="22"/>
        </w:rPr>
        <w:t xml:space="preserve">Email from Brett Shearer, Commission, to Dave Wiley, WCI, dated October 22, 2014, attached to Declaration of David W. Wiley in Response to Commission Staff’s Motion to Strike Waste Control Inc.’s Supplemental Testimony. </w:t>
      </w:r>
    </w:p>
  </w:footnote>
  <w:footnote w:id="22">
    <w:p w14:paraId="0D4170F1" w14:textId="5D003351" w:rsidR="004543D4" w:rsidRPr="004543D4" w:rsidRDefault="004543D4" w:rsidP="00DC129E">
      <w:pPr>
        <w:pStyle w:val="FootnoteText"/>
        <w:spacing w:before="120"/>
        <w:rPr>
          <w:rFonts w:ascii="Times New Roman" w:hAnsi="Times New Roman"/>
        </w:rPr>
      </w:pPr>
      <w:r w:rsidRPr="004543D4">
        <w:rPr>
          <w:rStyle w:val="FootnoteReference"/>
          <w:rFonts w:ascii="Times New Roman" w:hAnsi="Times New Roman"/>
          <w:sz w:val="22"/>
        </w:rPr>
        <w:footnoteRef/>
      </w:r>
      <w:r w:rsidRPr="004543D4">
        <w:rPr>
          <w:rFonts w:ascii="Times New Roman" w:hAnsi="Times New Roman"/>
          <w:sz w:val="22"/>
        </w:rPr>
        <w:t xml:space="preserve"> </w:t>
      </w:r>
      <w:r>
        <w:rPr>
          <w:rFonts w:ascii="Times New Roman" w:hAnsi="Times New Roman"/>
          <w:sz w:val="22"/>
        </w:rPr>
        <w:t>W</w:t>
      </w:r>
      <w:r w:rsidR="00021F6B">
        <w:rPr>
          <w:rFonts w:ascii="Times New Roman" w:hAnsi="Times New Roman"/>
          <w:sz w:val="22"/>
        </w:rPr>
        <w:t>CI’s Response, ¶ 10 (citing to e</w:t>
      </w:r>
      <w:r>
        <w:rPr>
          <w:rFonts w:ascii="Times New Roman" w:hAnsi="Times New Roman"/>
          <w:sz w:val="22"/>
        </w:rPr>
        <w:t>mail from Brett Shearer, Commission, to Dave Wiley, WCI, dated October 22, 2014, which states that “[i]f the testimony reiterates previous arguments or provides updates to certain costs, it will be a non-issue anyway.”)</w:t>
      </w:r>
    </w:p>
  </w:footnote>
  <w:footnote w:id="23">
    <w:p w14:paraId="3D5BD373" w14:textId="0529497B" w:rsidR="00A24D60" w:rsidRPr="00A24D60" w:rsidRDefault="00A24D60">
      <w:pPr>
        <w:pStyle w:val="FootnoteText"/>
        <w:rPr>
          <w:rFonts w:ascii="Times New Roman" w:hAnsi="Times New Roman"/>
        </w:rPr>
      </w:pPr>
      <w:r w:rsidRPr="00A24D60">
        <w:rPr>
          <w:rStyle w:val="FootnoteReference"/>
          <w:rFonts w:ascii="Times New Roman" w:hAnsi="Times New Roman"/>
          <w:sz w:val="22"/>
        </w:rPr>
        <w:footnoteRef/>
      </w:r>
      <w:r w:rsidRPr="00A24D60">
        <w:rPr>
          <w:rFonts w:ascii="Times New Roman" w:hAnsi="Times New Roman"/>
          <w:sz w:val="22"/>
        </w:rPr>
        <w:t xml:space="preserve"> </w:t>
      </w:r>
      <w:r>
        <w:rPr>
          <w:rFonts w:ascii="Times New Roman" w:hAnsi="Times New Roman"/>
          <w:sz w:val="22"/>
        </w:rPr>
        <w:t>WCI’s Response, ¶ 7.</w:t>
      </w:r>
    </w:p>
  </w:footnote>
  <w:footnote w:id="24">
    <w:p w14:paraId="7C1112EF" w14:textId="48B3AB01" w:rsidR="00411CF3" w:rsidRPr="00411CF3" w:rsidRDefault="00411CF3" w:rsidP="00DC129E">
      <w:pPr>
        <w:pStyle w:val="FootnoteText"/>
        <w:spacing w:before="120"/>
        <w:rPr>
          <w:rFonts w:ascii="Times New Roman" w:hAnsi="Times New Roman"/>
        </w:rPr>
      </w:pPr>
      <w:r w:rsidRPr="00411CF3">
        <w:rPr>
          <w:rStyle w:val="FootnoteReference"/>
          <w:rFonts w:ascii="Times New Roman" w:hAnsi="Times New Roman"/>
          <w:sz w:val="22"/>
        </w:rPr>
        <w:footnoteRef/>
      </w:r>
      <w:r w:rsidRPr="00411CF3">
        <w:rPr>
          <w:rFonts w:ascii="Times New Roman" w:hAnsi="Times New Roman"/>
          <w:sz w:val="22"/>
        </w:rPr>
        <w:t xml:space="preserve"> </w:t>
      </w:r>
      <w:r w:rsidRPr="00DC129E">
        <w:rPr>
          <w:rFonts w:ascii="Times New Roman" w:hAnsi="Times New Roman"/>
          <w:i/>
          <w:sz w:val="22"/>
        </w:rPr>
        <w:t>Id</w:t>
      </w:r>
      <w:r>
        <w:rPr>
          <w:rFonts w:ascii="Times New Roman" w:hAnsi="Times New Roman"/>
          <w:sz w:val="22"/>
        </w:rPr>
        <w:t>., ¶ 11.</w:t>
      </w:r>
    </w:p>
  </w:footnote>
  <w:footnote w:id="25">
    <w:p w14:paraId="2CB9206D" w14:textId="625B532B" w:rsidR="008C22E7" w:rsidRPr="008C22E7" w:rsidRDefault="008C22E7" w:rsidP="00DC129E">
      <w:pPr>
        <w:pStyle w:val="FootnoteText"/>
        <w:spacing w:before="120"/>
        <w:rPr>
          <w:rFonts w:ascii="Times New Roman" w:hAnsi="Times New Roman"/>
        </w:rPr>
      </w:pPr>
      <w:r w:rsidRPr="008C22E7">
        <w:rPr>
          <w:rStyle w:val="FootnoteReference"/>
          <w:rFonts w:ascii="Times New Roman" w:hAnsi="Times New Roman"/>
          <w:sz w:val="22"/>
        </w:rPr>
        <w:footnoteRef/>
      </w:r>
      <w:r w:rsidRPr="008C22E7">
        <w:rPr>
          <w:rFonts w:ascii="Times New Roman" w:hAnsi="Times New Roman"/>
          <w:sz w:val="22"/>
        </w:rPr>
        <w:t xml:space="preserve"> </w:t>
      </w:r>
      <w:r w:rsidRPr="00DC129E">
        <w:rPr>
          <w:rFonts w:ascii="Times New Roman" w:hAnsi="Times New Roman"/>
          <w:i/>
          <w:sz w:val="22"/>
        </w:rPr>
        <w:t>Id</w:t>
      </w:r>
      <w:r>
        <w:rPr>
          <w:rFonts w:ascii="Times New Roman" w:hAnsi="Times New Roman"/>
          <w:sz w:val="22"/>
        </w:rPr>
        <w:t>., ¶ 12.</w:t>
      </w:r>
    </w:p>
  </w:footnote>
  <w:footnote w:id="26">
    <w:p w14:paraId="510F4976" w14:textId="1F334146" w:rsidR="008C22E7" w:rsidRPr="008C22E7" w:rsidRDefault="008C22E7" w:rsidP="00DC129E">
      <w:pPr>
        <w:pStyle w:val="FootnoteText"/>
        <w:spacing w:before="120"/>
        <w:rPr>
          <w:rFonts w:ascii="Times New Roman" w:hAnsi="Times New Roman"/>
        </w:rPr>
      </w:pPr>
      <w:r w:rsidRPr="008C22E7">
        <w:rPr>
          <w:rStyle w:val="FootnoteReference"/>
          <w:rFonts w:ascii="Times New Roman" w:hAnsi="Times New Roman"/>
          <w:sz w:val="22"/>
        </w:rPr>
        <w:footnoteRef/>
      </w:r>
      <w:r w:rsidRPr="008C22E7">
        <w:rPr>
          <w:rFonts w:ascii="Times New Roman" w:hAnsi="Times New Roman"/>
          <w:sz w:val="22"/>
        </w:rPr>
        <w:t xml:space="preserve"> </w:t>
      </w:r>
      <w:r w:rsidRPr="00DC129E">
        <w:rPr>
          <w:rFonts w:ascii="Times New Roman" w:hAnsi="Times New Roman"/>
          <w:i/>
          <w:sz w:val="22"/>
        </w:rPr>
        <w:t>Id</w:t>
      </w:r>
      <w:r>
        <w:rPr>
          <w:rFonts w:ascii="Times New Roman" w:hAnsi="Times New Roman"/>
          <w:sz w:val="22"/>
        </w:rPr>
        <w:t>., ¶ 13.</w:t>
      </w:r>
    </w:p>
  </w:footnote>
  <w:footnote w:id="27">
    <w:p w14:paraId="4E7EEFE5" w14:textId="10CA2F00" w:rsidR="00643A94" w:rsidRPr="00643A94" w:rsidRDefault="00643A94" w:rsidP="00DC129E">
      <w:pPr>
        <w:pStyle w:val="FootnoteText"/>
        <w:spacing w:before="120"/>
        <w:rPr>
          <w:rFonts w:ascii="Times New Roman" w:hAnsi="Times New Roman"/>
        </w:rPr>
      </w:pPr>
      <w:r w:rsidRPr="00643A94">
        <w:rPr>
          <w:rStyle w:val="FootnoteReference"/>
          <w:rFonts w:ascii="Times New Roman" w:hAnsi="Times New Roman"/>
          <w:sz w:val="22"/>
        </w:rPr>
        <w:footnoteRef/>
      </w:r>
      <w:r w:rsidRPr="00643A94">
        <w:rPr>
          <w:rFonts w:ascii="Times New Roman" w:hAnsi="Times New Roman"/>
          <w:sz w:val="22"/>
        </w:rPr>
        <w:t xml:space="preserve"> </w:t>
      </w:r>
      <w:r w:rsidRPr="00DC129E">
        <w:rPr>
          <w:rFonts w:ascii="Times New Roman" w:hAnsi="Times New Roman"/>
          <w:i/>
          <w:sz w:val="22"/>
        </w:rPr>
        <w:t>Id</w:t>
      </w:r>
      <w:r>
        <w:rPr>
          <w:rFonts w:ascii="Times New Roman" w:hAnsi="Times New Roman"/>
          <w:sz w:val="22"/>
        </w:rPr>
        <w:t xml:space="preserve">., ¶ 14.  WCI cites to testimony filed on February 18, 2014, </w:t>
      </w:r>
      <w:r w:rsidR="00021F6B">
        <w:rPr>
          <w:rFonts w:ascii="Times New Roman" w:hAnsi="Times New Roman"/>
          <w:sz w:val="22"/>
        </w:rPr>
        <w:t xml:space="preserve">and </w:t>
      </w:r>
      <w:r>
        <w:rPr>
          <w:rFonts w:ascii="Times New Roman" w:hAnsi="Times New Roman"/>
          <w:sz w:val="22"/>
        </w:rPr>
        <w:t>April 3, 2014, and the August 20, 2014, filing as examples.</w:t>
      </w:r>
    </w:p>
  </w:footnote>
  <w:footnote w:id="28">
    <w:p w14:paraId="3C6EE200" w14:textId="41DFE532" w:rsidR="00643A94" w:rsidRPr="00643A94" w:rsidRDefault="00643A94" w:rsidP="00DC129E">
      <w:pPr>
        <w:pStyle w:val="FootnoteText"/>
        <w:spacing w:before="120"/>
        <w:rPr>
          <w:rFonts w:ascii="Times New Roman" w:hAnsi="Times New Roman"/>
        </w:rPr>
      </w:pPr>
      <w:r w:rsidRPr="00643A94">
        <w:rPr>
          <w:rStyle w:val="FootnoteReference"/>
          <w:rFonts w:ascii="Times New Roman" w:hAnsi="Times New Roman"/>
          <w:sz w:val="22"/>
        </w:rPr>
        <w:footnoteRef/>
      </w:r>
      <w:r w:rsidRPr="00643A94">
        <w:rPr>
          <w:rFonts w:ascii="Times New Roman" w:hAnsi="Times New Roman"/>
          <w:sz w:val="22"/>
        </w:rPr>
        <w:t xml:space="preserve"> </w:t>
      </w:r>
      <w:r w:rsidRPr="00DC129E">
        <w:rPr>
          <w:rFonts w:ascii="Times New Roman" w:hAnsi="Times New Roman"/>
          <w:i/>
          <w:sz w:val="22"/>
        </w:rPr>
        <w:t>Id</w:t>
      </w:r>
      <w:r>
        <w:rPr>
          <w:rFonts w:ascii="Times New Roman" w:hAnsi="Times New Roman"/>
          <w:sz w:val="22"/>
        </w:rPr>
        <w:t>.</w:t>
      </w:r>
    </w:p>
  </w:footnote>
  <w:footnote w:id="29">
    <w:p w14:paraId="64E682DB" w14:textId="0701F000" w:rsidR="00D725FF" w:rsidRPr="00D725FF" w:rsidRDefault="00D725FF" w:rsidP="00DC129E">
      <w:pPr>
        <w:pStyle w:val="FootnoteText"/>
        <w:spacing w:before="120"/>
        <w:rPr>
          <w:rFonts w:ascii="Times New Roman" w:hAnsi="Times New Roman"/>
        </w:rPr>
      </w:pPr>
      <w:r w:rsidRPr="00D725FF">
        <w:rPr>
          <w:rStyle w:val="FootnoteReference"/>
          <w:rFonts w:ascii="Times New Roman" w:hAnsi="Times New Roman"/>
          <w:sz w:val="22"/>
        </w:rPr>
        <w:footnoteRef/>
      </w:r>
      <w:r w:rsidRPr="00D725FF">
        <w:rPr>
          <w:rFonts w:ascii="Times New Roman" w:hAnsi="Times New Roman"/>
          <w:sz w:val="22"/>
        </w:rPr>
        <w:t xml:space="preserve"> </w:t>
      </w:r>
      <w:r w:rsidRPr="00DC129E">
        <w:rPr>
          <w:rFonts w:ascii="Times New Roman" w:hAnsi="Times New Roman"/>
          <w:i/>
          <w:sz w:val="22"/>
        </w:rPr>
        <w:t>Id</w:t>
      </w:r>
      <w:r>
        <w:rPr>
          <w:rFonts w:ascii="Times New Roman" w:hAnsi="Times New Roman"/>
          <w:sz w:val="22"/>
        </w:rPr>
        <w:t>.</w:t>
      </w:r>
    </w:p>
  </w:footnote>
  <w:footnote w:id="30">
    <w:p w14:paraId="181CD002" w14:textId="546A7946" w:rsidR="007167F4" w:rsidRPr="007167F4" w:rsidRDefault="007167F4" w:rsidP="00DC129E">
      <w:pPr>
        <w:pStyle w:val="FootnoteText"/>
        <w:spacing w:before="120"/>
        <w:rPr>
          <w:rFonts w:ascii="Times New Roman" w:hAnsi="Times New Roman"/>
        </w:rPr>
      </w:pPr>
      <w:r w:rsidRPr="007167F4">
        <w:rPr>
          <w:rStyle w:val="FootnoteReference"/>
          <w:rFonts w:ascii="Times New Roman" w:hAnsi="Times New Roman"/>
          <w:sz w:val="22"/>
        </w:rPr>
        <w:footnoteRef/>
      </w:r>
      <w:r w:rsidRPr="007167F4">
        <w:rPr>
          <w:rFonts w:ascii="Times New Roman" w:hAnsi="Times New Roman"/>
          <w:sz w:val="22"/>
        </w:rPr>
        <w:t xml:space="preserve"> </w:t>
      </w:r>
      <w:r w:rsidRPr="00DC129E">
        <w:rPr>
          <w:rFonts w:ascii="Times New Roman" w:hAnsi="Times New Roman"/>
          <w:i/>
          <w:sz w:val="22"/>
        </w:rPr>
        <w:t>Id</w:t>
      </w:r>
      <w:r>
        <w:rPr>
          <w:rFonts w:ascii="Times New Roman" w:hAnsi="Times New Roman"/>
          <w:sz w:val="22"/>
        </w:rPr>
        <w:t>., n. 2.</w:t>
      </w:r>
    </w:p>
  </w:footnote>
  <w:footnote w:id="31">
    <w:p w14:paraId="628AC495" w14:textId="32C36F98" w:rsidR="00827E3C" w:rsidRPr="00827E3C" w:rsidRDefault="00827E3C" w:rsidP="00DC129E">
      <w:pPr>
        <w:pStyle w:val="FootnoteText"/>
        <w:spacing w:before="120"/>
        <w:rPr>
          <w:rFonts w:ascii="Times New Roman" w:hAnsi="Times New Roman"/>
        </w:rPr>
      </w:pPr>
      <w:r w:rsidRPr="00827E3C">
        <w:rPr>
          <w:rStyle w:val="FootnoteReference"/>
          <w:rFonts w:ascii="Times New Roman" w:hAnsi="Times New Roman"/>
          <w:sz w:val="22"/>
        </w:rPr>
        <w:footnoteRef/>
      </w:r>
      <w:r>
        <w:rPr>
          <w:rFonts w:ascii="Times New Roman" w:hAnsi="Times New Roman"/>
        </w:rPr>
        <w:t xml:space="preserve"> </w:t>
      </w:r>
      <w:r w:rsidRPr="00DC129E">
        <w:rPr>
          <w:rFonts w:ascii="Times New Roman" w:hAnsi="Times New Roman"/>
          <w:i/>
          <w:sz w:val="22"/>
        </w:rPr>
        <w:t>Id</w:t>
      </w:r>
      <w:r>
        <w:rPr>
          <w:rFonts w:ascii="Times New Roman" w:hAnsi="Times New Roman"/>
          <w:sz w:val="22"/>
        </w:rPr>
        <w:t>.</w:t>
      </w:r>
      <w:r w:rsidRPr="00827E3C">
        <w:rPr>
          <w:rFonts w:ascii="Times New Roman" w:hAnsi="Times New Roman"/>
        </w:rPr>
        <w:t xml:space="preserve"> </w:t>
      </w:r>
    </w:p>
  </w:footnote>
  <w:footnote w:id="32">
    <w:p w14:paraId="71DD7AE4" w14:textId="437CD6C4" w:rsidR="0078056E" w:rsidRPr="0078056E" w:rsidRDefault="0078056E" w:rsidP="00DC129E">
      <w:pPr>
        <w:pStyle w:val="FootnoteText"/>
        <w:spacing w:before="120"/>
        <w:rPr>
          <w:rFonts w:ascii="Times New Roman" w:hAnsi="Times New Roman"/>
        </w:rPr>
      </w:pPr>
      <w:r w:rsidRPr="0078056E">
        <w:rPr>
          <w:rStyle w:val="FootnoteReference"/>
          <w:rFonts w:ascii="Times New Roman" w:hAnsi="Times New Roman"/>
          <w:sz w:val="22"/>
        </w:rPr>
        <w:footnoteRef/>
      </w:r>
      <w:r w:rsidRPr="0078056E">
        <w:rPr>
          <w:rFonts w:ascii="Times New Roman" w:hAnsi="Times New Roman"/>
          <w:sz w:val="22"/>
        </w:rPr>
        <w:t xml:space="preserve"> </w:t>
      </w:r>
      <w:r>
        <w:rPr>
          <w:rFonts w:ascii="Times New Roman" w:hAnsi="Times New Roman"/>
          <w:sz w:val="22"/>
        </w:rPr>
        <w:t>WRRA’s Response at 2.</w:t>
      </w:r>
    </w:p>
  </w:footnote>
  <w:footnote w:id="33">
    <w:p w14:paraId="7EFDE721" w14:textId="6F780C55" w:rsidR="002259AA" w:rsidRPr="002259AA" w:rsidRDefault="002259AA" w:rsidP="00DC129E">
      <w:pPr>
        <w:pStyle w:val="FootnoteText"/>
        <w:spacing w:before="120"/>
        <w:rPr>
          <w:rFonts w:ascii="Times New Roman" w:hAnsi="Times New Roman"/>
        </w:rPr>
      </w:pPr>
      <w:r w:rsidRPr="002259AA">
        <w:rPr>
          <w:rStyle w:val="FootnoteReference"/>
          <w:rFonts w:ascii="Times New Roman" w:hAnsi="Times New Roman"/>
          <w:sz w:val="22"/>
        </w:rPr>
        <w:footnoteRef/>
      </w:r>
      <w:r w:rsidRPr="002259AA">
        <w:rPr>
          <w:rFonts w:ascii="Times New Roman" w:hAnsi="Times New Roman"/>
          <w:sz w:val="22"/>
        </w:rPr>
        <w:t xml:space="preserve"> </w:t>
      </w:r>
      <w:r w:rsidRPr="00DC129E">
        <w:rPr>
          <w:rFonts w:ascii="Times New Roman" w:hAnsi="Times New Roman"/>
          <w:i/>
          <w:sz w:val="22"/>
        </w:rPr>
        <w:t>Id</w:t>
      </w:r>
      <w:r>
        <w:rPr>
          <w:rFonts w:ascii="Times New Roman" w:hAnsi="Times New Roman"/>
          <w:sz w:val="22"/>
        </w:rPr>
        <w:t>.</w:t>
      </w:r>
    </w:p>
  </w:footnote>
  <w:footnote w:id="34">
    <w:p w14:paraId="72287D2A" w14:textId="52A53418" w:rsidR="0059276D" w:rsidRPr="0059276D" w:rsidRDefault="0059276D" w:rsidP="00DC129E">
      <w:pPr>
        <w:pStyle w:val="FootnoteText"/>
        <w:spacing w:before="120"/>
        <w:rPr>
          <w:rFonts w:ascii="Times New Roman" w:hAnsi="Times New Roman"/>
        </w:rPr>
      </w:pPr>
      <w:r w:rsidRPr="0059276D">
        <w:rPr>
          <w:rStyle w:val="FootnoteReference"/>
          <w:rFonts w:ascii="Times New Roman" w:hAnsi="Times New Roman"/>
          <w:sz w:val="22"/>
        </w:rPr>
        <w:footnoteRef/>
      </w:r>
      <w:r w:rsidRPr="0059276D">
        <w:rPr>
          <w:rFonts w:ascii="Times New Roman" w:hAnsi="Times New Roman"/>
          <w:sz w:val="22"/>
        </w:rPr>
        <w:t xml:space="preserve"> </w:t>
      </w:r>
      <w:r w:rsidRPr="00DC129E">
        <w:rPr>
          <w:rFonts w:ascii="Times New Roman" w:hAnsi="Times New Roman"/>
          <w:i/>
          <w:sz w:val="22"/>
        </w:rPr>
        <w:t>Id</w:t>
      </w:r>
      <w:r>
        <w:rPr>
          <w:rFonts w:ascii="Times New Roman" w:hAnsi="Times New Roman"/>
          <w:sz w:val="22"/>
        </w:rPr>
        <w:t>.</w:t>
      </w:r>
    </w:p>
  </w:footnote>
  <w:footnote w:id="35">
    <w:p w14:paraId="2FC45312" w14:textId="13D7F556" w:rsidR="0059276D" w:rsidRPr="0059276D" w:rsidRDefault="0059276D" w:rsidP="00DC129E">
      <w:pPr>
        <w:pStyle w:val="FootnoteText"/>
        <w:spacing w:before="120"/>
        <w:rPr>
          <w:rFonts w:ascii="Times New Roman" w:hAnsi="Times New Roman"/>
        </w:rPr>
      </w:pPr>
      <w:r w:rsidRPr="0059276D">
        <w:rPr>
          <w:rStyle w:val="FootnoteReference"/>
          <w:rFonts w:ascii="Times New Roman" w:hAnsi="Times New Roman"/>
          <w:sz w:val="22"/>
        </w:rPr>
        <w:footnoteRef/>
      </w:r>
      <w:r w:rsidRPr="0059276D">
        <w:rPr>
          <w:rFonts w:ascii="Times New Roman" w:hAnsi="Times New Roman"/>
          <w:sz w:val="22"/>
        </w:rPr>
        <w:t xml:space="preserve"> </w:t>
      </w:r>
      <w:r w:rsidRPr="00DC129E">
        <w:rPr>
          <w:rFonts w:ascii="Times New Roman" w:hAnsi="Times New Roman"/>
          <w:i/>
          <w:sz w:val="22"/>
        </w:rPr>
        <w:t>Id</w:t>
      </w:r>
      <w:r>
        <w:rPr>
          <w:rFonts w:ascii="Times New Roman" w:hAnsi="Times New Roman"/>
          <w:sz w:val="22"/>
        </w:rPr>
        <w:t>. at 3.</w:t>
      </w:r>
    </w:p>
  </w:footnote>
  <w:footnote w:id="36">
    <w:p w14:paraId="79A99666" w14:textId="3E124D07" w:rsidR="006756E0" w:rsidRPr="006756E0" w:rsidRDefault="006756E0" w:rsidP="00DC129E">
      <w:pPr>
        <w:pStyle w:val="FootnoteText"/>
        <w:spacing w:before="120"/>
        <w:rPr>
          <w:rFonts w:ascii="Times New Roman" w:hAnsi="Times New Roman"/>
        </w:rPr>
      </w:pPr>
      <w:r w:rsidRPr="006756E0">
        <w:rPr>
          <w:rStyle w:val="FootnoteReference"/>
          <w:rFonts w:ascii="Times New Roman" w:hAnsi="Times New Roman"/>
          <w:sz w:val="22"/>
        </w:rPr>
        <w:footnoteRef/>
      </w:r>
      <w:r w:rsidRPr="006756E0">
        <w:rPr>
          <w:rFonts w:ascii="Times New Roman" w:hAnsi="Times New Roman"/>
          <w:sz w:val="22"/>
        </w:rPr>
        <w:t xml:space="preserve"> </w:t>
      </w:r>
      <w:r>
        <w:rPr>
          <w:rFonts w:ascii="Times New Roman" w:hAnsi="Times New Roman"/>
          <w:sz w:val="22"/>
        </w:rPr>
        <w:t>WAC 480-07-495(1)</w:t>
      </w:r>
      <w:r w:rsidR="00DC129E">
        <w:rPr>
          <w:rFonts w:ascii="Times New Roman" w:hAnsi="Times New Roman"/>
          <w:sz w:val="22"/>
        </w:rPr>
        <w:t>.</w:t>
      </w:r>
    </w:p>
  </w:footnote>
  <w:footnote w:id="37">
    <w:p w14:paraId="5AF6498C" w14:textId="7945AD3D" w:rsidR="006756E0" w:rsidRPr="006756E0" w:rsidRDefault="006756E0" w:rsidP="00DC129E">
      <w:pPr>
        <w:pStyle w:val="FootnoteText"/>
        <w:spacing w:before="120"/>
        <w:rPr>
          <w:rFonts w:ascii="Times New Roman" w:hAnsi="Times New Roman"/>
        </w:rPr>
      </w:pPr>
      <w:r w:rsidRPr="006756E0">
        <w:rPr>
          <w:rStyle w:val="FootnoteReference"/>
          <w:rFonts w:ascii="Times New Roman" w:hAnsi="Times New Roman"/>
          <w:sz w:val="22"/>
        </w:rPr>
        <w:footnoteRef/>
      </w:r>
      <w:r w:rsidRPr="006756E0">
        <w:rPr>
          <w:rFonts w:ascii="Times New Roman" w:hAnsi="Times New Roman"/>
          <w:sz w:val="22"/>
        </w:rPr>
        <w:t xml:space="preserve"> </w:t>
      </w:r>
      <w:r w:rsidRPr="00DC129E">
        <w:rPr>
          <w:rFonts w:ascii="Times New Roman" w:hAnsi="Times New Roman"/>
          <w:i/>
          <w:sz w:val="22"/>
        </w:rPr>
        <w:t>Id</w:t>
      </w:r>
      <w:r>
        <w:rPr>
          <w:rFonts w:ascii="Times New Roman" w:hAnsi="Times New Roman"/>
          <w:sz w:val="22"/>
        </w:rPr>
        <w:t>.</w:t>
      </w:r>
    </w:p>
  </w:footnote>
  <w:footnote w:id="38">
    <w:p w14:paraId="743F21DB" w14:textId="00FBA82F" w:rsidR="00917CE9" w:rsidRPr="00917CE9" w:rsidRDefault="00917CE9" w:rsidP="00DC129E">
      <w:pPr>
        <w:pStyle w:val="FootnoteText"/>
        <w:spacing w:before="120"/>
        <w:rPr>
          <w:rFonts w:ascii="Times New Roman" w:hAnsi="Times New Roman"/>
        </w:rPr>
      </w:pPr>
      <w:r w:rsidRPr="00917CE9">
        <w:rPr>
          <w:rStyle w:val="FootnoteReference"/>
          <w:rFonts w:ascii="Times New Roman" w:hAnsi="Times New Roman"/>
          <w:sz w:val="22"/>
        </w:rPr>
        <w:footnoteRef/>
      </w:r>
      <w:r w:rsidRPr="00917CE9">
        <w:rPr>
          <w:rFonts w:ascii="Times New Roman" w:hAnsi="Times New Roman"/>
          <w:sz w:val="22"/>
        </w:rPr>
        <w:t xml:space="preserve"> </w:t>
      </w:r>
      <w:r>
        <w:rPr>
          <w:rFonts w:ascii="Times New Roman" w:hAnsi="Times New Roman"/>
          <w:sz w:val="22"/>
        </w:rPr>
        <w:t>WAC 480-07-490(7).</w:t>
      </w:r>
    </w:p>
  </w:footnote>
  <w:footnote w:id="39">
    <w:p w14:paraId="38643045" w14:textId="1C1E402F" w:rsidR="00021F6B" w:rsidRPr="00021F6B" w:rsidRDefault="00021F6B" w:rsidP="00DC129E">
      <w:pPr>
        <w:pStyle w:val="FootnoteText"/>
        <w:spacing w:before="120"/>
        <w:rPr>
          <w:rFonts w:ascii="Times New Roman" w:hAnsi="Times New Roman"/>
        </w:rPr>
      </w:pPr>
      <w:r w:rsidRPr="00021F6B">
        <w:rPr>
          <w:rStyle w:val="FootnoteReference"/>
          <w:rFonts w:ascii="Times New Roman" w:hAnsi="Times New Roman"/>
          <w:sz w:val="22"/>
        </w:rPr>
        <w:footnoteRef/>
      </w:r>
      <w:r w:rsidRPr="00021F6B">
        <w:rPr>
          <w:rFonts w:ascii="Times New Roman" w:hAnsi="Times New Roman"/>
          <w:sz w:val="22"/>
        </w:rPr>
        <w:t xml:space="preserve"> </w:t>
      </w:r>
      <w:r w:rsidR="003A123E">
        <w:rPr>
          <w:rFonts w:ascii="Times New Roman" w:hAnsi="Times New Roman"/>
          <w:sz w:val="22"/>
        </w:rPr>
        <w:t>It is fair to say we were underwhelmed by Staff’s Motion.  In a mere two paragraphs, Staff made</w:t>
      </w:r>
      <w:r>
        <w:rPr>
          <w:rFonts w:ascii="Times New Roman" w:hAnsi="Times New Roman"/>
          <w:sz w:val="22"/>
        </w:rPr>
        <w:t xml:space="preserve"> </w:t>
      </w:r>
      <w:r w:rsidR="003A123E">
        <w:rPr>
          <w:rFonts w:ascii="Times New Roman" w:hAnsi="Times New Roman"/>
          <w:sz w:val="22"/>
        </w:rPr>
        <w:t>sweeping statements</w:t>
      </w:r>
      <w:r>
        <w:rPr>
          <w:rFonts w:ascii="Times New Roman" w:hAnsi="Times New Roman"/>
          <w:sz w:val="22"/>
        </w:rPr>
        <w:t xml:space="preserve"> </w:t>
      </w:r>
      <w:r w:rsidR="003A123E">
        <w:rPr>
          <w:rFonts w:ascii="Times New Roman" w:hAnsi="Times New Roman"/>
          <w:sz w:val="22"/>
        </w:rPr>
        <w:t>that</w:t>
      </w:r>
      <w:r>
        <w:rPr>
          <w:rFonts w:ascii="Times New Roman" w:hAnsi="Times New Roman"/>
          <w:sz w:val="22"/>
        </w:rPr>
        <w:t xml:space="preserve"> lack</w:t>
      </w:r>
      <w:r w:rsidR="003A123E">
        <w:rPr>
          <w:rFonts w:ascii="Times New Roman" w:hAnsi="Times New Roman"/>
          <w:sz w:val="22"/>
        </w:rPr>
        <w:t>ed</w:t>
      </w:r>
      <w:r>
        <w:rPr>
          <w:rFonts w:ascii="Times New Roman" w:hAnsi="Times New Roman"/>
          <w:sz w:val="22"/>
        </w:rPr>
        <w:t xml:space="preserve"> any </w:t>
      </w:r>
      <w:r w:rsidR="003A123E">
        <w:rPr>
          <w:rFonts w:ascii="Times New Roman" w:hAnsi="Times New Roman"/>
          <w:sz w:val="22"/>
        </w:rPr>
        <w:t xml:space="preserve">supporting </w:t>
      </w:r>
      <w:r>
        <w:rPr>
          <w:rFonts w:ascii="Times New Roman" w:hAnsi="Times New Roman"/>
          <w:sz w:val="22"/>
        </w:rPr>
        <w:t xml:space="preserve">citation to the testimony at issue.  Staff, in an attempt to cure these deficiencies, provided more detail </w:t>
      </w:r>
      <w:r w:rsidR="003A123E">
        <w:rPr>
          <w:rFonts w:ascii="Times New Roman" w:hAnsi="Times New Roman"/>
          <w:sz w:val="22"/>
        </w:rPr>
        <w:t xml:space="preserve">and some citations to the testimony </w:t>
      </w:r>
      <w:r>
        <w:rPr>
          <w:rFonts w:ascii="Times New Roman" w:hAnsi="Times New Roman"/>
          <w:sz w:val="22"/>
        </w:rPr>
        <w:t xml:space="preserve">in its Reply.  </w:t>
      </w:r>
      <w:r w:rsidR="003A123E">
        <w:rPr>
          <w:rFonts w:ascii="Times New Roman" w:hAnsi="Times New Roman"/>
          <w:sz w:val="22"/>
        </w:rPr>
        <w:t>This is not the typical role of the reply, and we will not look favorably on a motion with such scant detail in the future.</w:t>
      </w:r>
    </w:p>
  </w:footnote>
  <w:footnote w:id="40">
    <w:p w14:paraId="2BEE5710" w14:textId="4B6712D9" w:rsidR="00216986" w:rsidRPr="00216986" w:rsidRDefault="00216986" w:rsidP="00DC129E">
      <w:pPr>
        <w:pStyle w:val="FootnoteText"/>
        <w:spacing w:before="120"/>
        <w:rPr>
          <w:rFonts w:ascii="Times New Roman" w:hAnsi="Times New Roman"/>
        </w:rPr>
      </w:pPr>
      <w:r w:rsidRPr="00216986">
        <w:rPr>
          <w:rStyle w:val="FootnoteReference"/>
          <w:rFonts w:ascii="Times New Roman" w:hAnsi="Times New Roman"/>
          <w:sz w:val="22"/>
        </w:rPr>
        <w:footnoteRef/>
      </w:r>
      <w:r w:rsidRPr="00216986">
        <w:rPr>
          <w:rFonts w:ascii="Times New Roman" w:hAnsi="Times New Roman"/>
          <w:sz w:val="22"/>
        </w:rPr>
        <w:t xml:space="preserve"> </w:t>
      </w:r>
      <w:r>
        <w:rPr>
          <w:rFonts w:ascii="Times New Roman" w:hAnsi="Times New Roman"/>
          <w:sz w:val="22"/>
        </w:rPr>
        <w:t xml:space="preserve">In its Motion, Staff originally characterized these discussions as “confidential settlement discussions.”  In its discussion of Mr. Willis’ supplemental testimony, Staff’s Reply noted the discussions were “informal” without any reference to them taking place in a settlement context. </w:t>
      </w:r>
    </w:p>
  </w:footnote>
  <w:footnote w:id="41">
    <w:p w14:paraId="49ED6031" w14:textId="01C05B57" w:rsidR="004428F5" w:rsidRPr="004428F5" w:rsidRDefault="004428F5" w:rsidP="00DC129E">
      <w:pPr>
        <w:pStyle w:val="FootnoteText"/>
        <w:spacing w:before="120"/>
        <w:rPr>
          <w:rFonts w:ascii="Times New Roman" w:hAnsi="Times New Roman"/>
          <w:sz w:val="22"/>
        </w:rPr>
      </w:pPr>
      <w:r w:rsidRPr="004428F5">
        <w:rPr>
          <w:rStyle w:val="FootnoteReference"/>
          <w:rFonts w:ascii="Times New Roman" w:hAnsi="Times New Roman"/>
          <w:sz w:val="22"/>
        </w:rPr>
        <w:footnoteRef/>
      </w:r>
      <w:r w:rsidRPr="004428F5">
        <w:rPr>
          <w:rFonts w:ascii="Times New Roman" w:hAnsi="Times New Roman"/>
        </w:rPr>
        <w:t xml:space="preserve"> </w:t>
      </w:r>
      <w:r>
        <w:rPr>
          <w:rFonts w:ascii="Times New Roman" w:hAnsi="Times New Roman"/>
          <w:sz w:val="22"/>
        </w:rPr>
        <w:t>Davis, Exh. No. JD-50T, at 6:3-5 and 6:20-24.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677B8" w14:textId="78DF74A2" w:rsidR="00B850EA" w:rsidRDefault="00B850EA">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TG-140560</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DA16A7">
      <w:rPr>
        <w:rStyle w:val="PageNumber"/>
        <w:rFonts w:ascii="Times New Roman" w:hAnsi="Times New Roman"/>
        <w:b/>
        <w:bCs/>
        <w:noProof/>
        <w:sz w:val="20"/>
      </w:rPr>
      <w:t>8</w:t>
    </w:r>
    <w:r w:rsidRPr="00DE41B1">
      <w:rPr>
        <w:rStyle w:val="PageNumber"/>
        <w:rFonts w:ascii="Times New Roman" w:hAnsi="Times New Roman"/>
        <w:b/>
        <w:bCs/>
        <w:sz w:val="20"/>
      </w:rPr>
      <w:fldChar w:fldCharType="end"/>
    </w:r>
  </w:p>
  <w:p w14:paraId="2CEBB3D3" w14:textId="49D68DC1" w:rsidR="00B850EA" w:rsidRPr="00DE41B1" w:rsidRDefault="00CC2D91">
    <w:pPr>
      <w:pStyle w:val="Header"/>
      <w:tabs>
        <w:tab w:val="clear" w:pos="8640"/>
        <w:tab w:val="right" w:pos="8460"/>
      </w:tabs>
      <w:rPr>
        <w:rStyle w:val="PageNumber"/>
        <w:rFonts w:ascii="Times New Roman" w:hAnsi="Times New Roman"/>
        <w:b/>
        <w:bCs/>
        <w:sz w:val="20"/>
      </w:rPr>
    </w:pPr>
    <w:r>
      <w:rPr>
        <w:rStyle w:val="PageNumber"/>
        <w:rFonts w:ascii="Times New Roman" w:hAnsi="Times New Roman"/>
        <w:b/>
        <w:bCs/>
        <w:sz w:val="20"/>
      </w:rPr>
      <w:t>ORDER 10</w:t>
    </w:r>
  </w:p>
  <w:p w14:paraId="695E614B" w14:textId="77777777" w:rsidR="00B850EA" w:rsidRPr="00DE41B1" w:rsidRDefault="00B850EA">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B2DB5" w14:textId="0069EC19" w:rsidR="00C754D0" w:rsidRPr="00C754D0" w:rsidRDefault="00C754D0" w:rsidP="00C754D0">
    <w:pPr>
      <w:pStyle w:val="Header"/>
      <w:tabs>
        <w:tab w:val="clear" w:pos="4320"/>
      </w:tabs>
      <w:rPr>
        <w:rFonts w:ascii="Times New Roman" w:hAnsi="Times New Roman"/>
        <w:b/>
        <w:sz w:val="20"/>
        <w:szCs w:val="20"/>
      </w:rPr>
    </w:pPr>
    <w:r>
      <w:rPr>
        <w:rFonts w:ascii="Times New Roman" w:hAnsi="Times New Roman"/>
        <w:sz w:val="20"/>
        <w:szCs w:val="20"/>
      </w:rPr>
      <w:tab/>
    </w:r>
    <w:r w:rsidRPr="00C754D0">
      <w:rPr>
        <w:rFonts w:ascii="Times New Roman" w:hAnsi="Times New Roman"/>
        <w:b/>
        <w:sz w:val="20"/>
        <w:szCs w:val="20"/>
      </w:rPr>
      <w:t>[Service Date January 7,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41253"/>
    <w:multiLevelType w:val="hybridMultilevel"/>
    <w:tmpl w:val="2028E846"/>
    <w:lvl w:ilvl="0" w:tplc="7E482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3A39"/>
    <w:rsid w:val="00006F0E"/>
    <w:rsid w:val="00011E1D"/>
    <w:rsid w:val="00014893"/>
    <w:rsid w:val="0001495D"/>
    <w:rsid w:val="00021F6B"/>
    <w:rsid w:val="00034D47"/>
    <w:rsid w:val="000563EA"/>
    <w:rsid w:val="0006772D"/>
    <w:rsid w:val="000709C4"/>
    <w:rsid w:val="00083D37"/>
    <w:rsid w:val="00095377"/>
    <w:rsid w:val="000A1F62"/>
    <w:rsid w:val="000A29A6"/>
    <w:rsid w:val="000A3443"/>
    <w:rsid w:val="000A400B"/>
    <w:rsid w:val="000A4235"/>
    <w:rsid w:val="000A7EAD"/>
    <w:rsid w:val="000B3933"/>
    <w:rsid w:val="000B729B"/>
    <w:rsid w:val="000C335A"/>
    <w:rsid w:val="000C3F2F"/>
    <w:rsid w:val="000D31AC"/>
    <w:rsid w:val="000D35DA"/>
    <w:rsid w:val="000E3477"/>
    <w:rsid w:val="000E34D4"/>
    <w:rsid w:val="000E5587"/>
    <w:rsid w:val="000E6C4D"/>
    <w:rsid w:val="000F6D02"/>
    <w:rsid w:val="00101032"/>
    <w:rsid w:val="00106754"/>
    <w:rsid w:val="001228A0"/>
    <w:rsid w:val="00124915"/>
    <w:rsid w:val="00130FEA"/>
    <w:rsid w:val="001315ED"/>
    <w:rsid w:val="00137EF6"/>
    <w:rsid w:val="00146059"/>
    <w:rsid w:val="001573A2"/>
    <w:rsid w:val="00162C21"/>
    <w:rsid w:val="00181BC5"/>
    <w:rsid w:val="00184D7C"/>
    <w:rsid w:val="00187B58"/>
    <w:rsid w:val="001923DB"/>
    <w:rsid w:val="001938C9"/>
    <w:rsid w:val="00197403"/>
    <w:rsid w:val="001B609F"/>
    <w:rsid w:val="001C5253"/>
    <w:rsid w:val="001D0F7B"/>
    <w:rsid w:val="001D4E4C"/>
    <w:rsid w:val="001E3132"/>
    <w:rsid w:val="001F2182"/>
    <w:rsid w:val="001F69DE"/>
    <w:rsid w:val="001F715B"/>
    <w:rsid w:val="00202564"/>
    <w:rsid w:val="0020355B"/>
    <w:rsid w:val="002079F4"/>
    <w:rsid w:val="0021028A"/>
    <w:rsid w:val="00210B0C"/>
    <w:rsid w:val="002160DD"/>
    <w:rsid w:val="00216986"/>
    <w:rsid w:val="00222950"/>
    <w:rsid w:val="002259AA"/>
    <w:rsid w:val="002359D4"/>
    <w:rsid w:val="0024430F"/>
    <w:rsid w:val="00244353"/>
    <w:rsid w:val="0024468B"/>
    <w:rsid w:val="00262565"/>
    <w:rsid w:val="002628A9"/>
    <w:rsid w:val="00264102"/>
    <w:rsid w:val="002744CD"/>
    <w:rsid w:val="00277D5A"/>
    <w:rsid w:val="00284672"/>
    <w:rsid w:val="0029248A"/>
    <w:rsid w:val="00295C89"/>
    <w:rsid w:val="002A0CC3"/>
    <w:rsid w:val="002A5F78"/>
    <w:rsid w:val="002B63B7"/>
    <w:rsid w:val="002C15B3"/>
    <w:rsid w:val="002C3FB6"/>
    <w:rsid w:val="002D26AD"/>
    <w:rsid w:val="002D2983"/>
    <w:rsid w:val="002E163E"/>
    <w:rsid w:val="002E216D"/>
    <w:rsid w:val="002E27D8"/>
    <w:rsid w:val="002F1460"/>
    <w:rsid w:val="002F5A16"/>
    <w:rsid w:val="002F7086"/>
    <w:rsid w:val="0030371B"/>
    <w:rsid w:val="00321D34"/>
    <w:rsid w:val="00323378"/>
    <w:rsid w:val="00332B6D"/>
    <w:rsid w:val="003369A3"/>
    <w:rsid w:val="00337A69"/>
    <w:rsid w:val="003522F1"/>
    <w:rsid w:val="00352BEB"/>
    <w:rsid w:val="00373799"/>
    <w:rsid w:val="00375D51"/>
    <w:rsid w:val="00383776"/>
    <w:rsid w:val="0039083F"/>
    <w:rsid w:val="00391CF3"/>
    <w:rsid w:val="003923F3"/>
    <w:rsid w:val="0039621D"/>
    <w:rsid w:val="003A123E"/>
    <w:rsid w:val="003A6E8D"/>
    <w:rsid w:val="003B1688"/>
    <w:rsid w:val="003B746D"/>
    <w:rsid w:val="003C7362"/>
    <w:rsid w:val="003D1DAB"/>
    <w:rsid w:val="003D4BBA"/>
    <w:rsid w:val="003E0C54"/>
    <w:rsid w:val="003E12A3"/>
    <w:rsid w:val="003E25F1"/>
    <w:rsid w:val="003E56DF"/>
    <w:rsid w:val="003E6255"/>
    <w:rsid w:val="003E74A9"/>
    <w:rsid w:val="003E7978"/>
    <w:rsid w:val="003F025E"/>
    <w:rsid w:val="003F6D88"/>
    <w:rsid w:val="00411CF3"/>
    <w:rsid w:val="00422F55"/>
    <w:rsid w:val="00425BAD"/>
    <w:rsid w:val="0043005E"/>
    <w:rsid w:val="004378AA"/>
    <w:rsid w:val="00440221"/>
    <w:rsid w:val="004424E1"/>
    <w:rsid w:val="004428F5"/>
    <w:rsid w:val="00446976"/>
    <w:rsid w:val="004532B7"/>
    <w:rsid w:val="004543D4"/>
    <w:rsid w:val="004569ED"/>
    <w:rsid w:val="00461AB2"/>
    <w:rsid w:val="00461EDE"/>
    <w:rsid w:val="00463184"/>
    <w:rsid w:val="0046617A"/>
    <w:rsid w:val="004679B7"/>
    <w:rsid w:val="00470FD6"/>
    <w:rsid w:val="00473314"/>
    <w:rsid w:val="004901BC"/>
    <w:rsid w:val="00490747"/>
    <w:rsid w:val="00492EB1"/>
    <w:rsid w:val="00494542"/>
    <w:rsid w:val="004977DA"/>
    <w:rsid w:val="004A0CDC"/>
    <w:rsid w:val="004B1A94"/>
    <w:rsid w:val="004B2C54"/>
    <w:rsid w:val="004B2CA6"/>
    <w:rsid w:val="004B7E30"/>
    <w:rsid w:val="004C0A9E"/>
    <w:rsid w:val="004C17F8"/>
    <w:rsid w:val="004C6B14"/>
    <w:rsid w:val="004C77FA"/>
    <w:rsid w:val="004D11DB"/>
    <w:rsid w:val="004D3870"/>
    <w:rsid w:val="004D3CFB"/>
    <w:rsid w:val="004E04C7"/>
    <w:rsid w:val="004E7B57"/>
    <w:rsid w:val="004F1D61"/>
    <w:rsid w:val="00503AEA"/>
    <w:rsid w:val="0050772E"/>
    <w:rsid w:val="00512AAF"/>
    <w:rsid w:val="005173F7"/>
    <w:rsid w:val="0052384C"/>
    <w:rsid w:val="00524026"/>
    <w:rsid w:val="00526FEE"/>
    <w:rsid w:val="005277F9"/>
    <w:rsid w:val="00527C12"/>
    <w:rsid w:val="00536090"/>
    <w:rsid w:val="00544A9C"/>
    <w:rsid w:val="005524F5"/>
    <w:rsid w:val="00555203"/>
    <w:rsid w:val="0056486C"/>
    <w:rsid w:val="00567083"/>
    <w:rsid w:val="00573CD4"/>
    <w:rsid w:val="00577BB1"/>
    <w:rsid w:val="00587224"/>
    <w:rsid w:val="00590AB4"/>
    <w:rsid w:val="0059276D"/>
    <w:rsid w:val="00594C66"/>
    <w:rsid w:val="00594E57"/>
    <w:rsid w:val="005C4944"/>
    <w:rsid w:val="005C5611"/>
    <w:rsid w:val="005D4C2C"/>
    <w:rsid w:val="005D4F4D"/>
    <w:rsid w:val="005E7E5F"/>
    <w:rsid w:val="005F171C"/>
    <w:rsid w:val="005F7C51"/>
    <w:rsid w:val="0060282C"/>
    <w:rsid w:val="00605777"/>
    <w:rsid w:val="0060655F"/>
    <w:rsid w:val="00611249"/>
    <w:rsid w:val="006112B5"/>
    <w:rsid w:val="006128A2"/>
    <w:rsid w:val="00622CA2"/>
    <w:rsid w:val="0062460D"/>
    <w:rsid w:val="00627A9B"/>
    <w:rsid w:val="00630DDB"/>
    <w:rsid w:val="00634CA1"/>
    <w:rsid w:val="006361E1"/>
    <w:rsid w:val="00637E27"/>
    <w:rsid w:val="00643717"/>
    <w:rsid w:val="00643A94"/>
    <w:rsid w:val="00645425"/>
    <w:rsid w:val="006546C2"/>
    <w:rsid w:val="006552FA"/>
    <w:rsid w:val="00656874"/>
    <w:rsid w:val="00656A63"/>
    <w:rsid w:val="00657251"/>
    <w:rsid w:val="006632C0"/>
    <w:rsid w:val="00663F29"/>
    <w:rsid w:val="00667CC5"/>
    <w:rsid w:val="00670470"/>
    <w:rsid w:val="00674DA7"/>
    <w:rsid w:val="006756E0"/>
    <w:rsid w:val="00676E5B"/>
    <w:rsid w:val="00681456"/>
    <w:rsid w:val="0068363A"/>
    <w:rsid w:val="006878FB"/>
    <w:rsid w:val="00691FAB"/>
    <w:rsid w:val="00694CC9"/>
    <w:rsid w:val="00695F50"/>
    <w:rsid w:val="006A05F3"/>
    <w:rsid w:val="006A13C8"/>
    <w:rsid w:val="006A3B1F"/>
    <w:rsid w:val="006A77C0"/>
    <w:rsid w:val="006B533C"/>
    <w:rsid w:val="006B6CD0"/>
    <w:rsid w:val="006B7390"/>
    <w:rsid w:val="006C1AC0"/>
    <w:rsid w:val="006E7862"/>
    <w:rsid w:val="006F6AF1"/>
    <w:rsid w:val="0070529E"/>
    <w:rsid w:val="00712545"/>
    <w:rsid w:val="0071419F"/>
    <w:rsid w:val="007167F4"/>
    <w:rsid w:val="00716A0F"/>
    <w:rsid w:val="00721A70"/>
    <w:rsid w:val="00721BC6"/>
    <w:rsid w:val="00723243"/>
    <w:rsid w:val="00725BD3"/>
    <w:rsid w:val="00736600"/>
    <w:rsid w:val="00751B8A"/>
    <w:rsid w:val="0077324A"/>
    <w:rsid w:val="00777008"/>
    <w:rsid w:val="00777E14"/>
    <w:rsid w:val="0078056E"/>
    <w:rsid w:val="00782F03"/>
    <w:rsid w:val="007851BC"/>
    <w:rsid w:val="00794A6C"/>
    <w:rsid w:val="007A2110"/>
    <w:rsid w:val="007A6D7B"/>
    <w:rsid w:val="007B0BE7"/>
    <w:rsid w:val="007B1E8B"/>
    <w:rsid w:val="007B61E2"/>
    <w:rsid w:val="007C2107"/>
    <w:rsid w:val="007C26D6"/>
    <w:rsid w:val="007C2F20"/>
    <w:rsid w:val="007C3682"/>
    <w:rsid w:val="007C53C6"/>
    <w:rsid w:val="007D36F2"/>
    <w:rsid w:val="007D4DB1"/>
    <w:rsid w:val="007D5C8D"/>
    <w:rsid w:val="007E1317"/>
    <w:rsid w:val="007E1C9F"/>
    <w:rsid w:val="007E6874"/>
    <w:rsid w:val="007F7914"/>
    <w:rsid w:val="00804CFB"/>
    <w:rsid w:val="00813337"/>
    <w:rsid w:val="0081737E"/>
    <w:rsid w:val="00820550"/>
    <w:rsid w:val="00827E3C"/>
    <w:rsid w:val="0083609B"/>
    <w:rsid w:val="00843C52"/>
    <w:rsid w:val="00852870"/>
    <w:rsid w:val="00857506"/>
    <w:rsid w:val="00857F68"/>
    <w:rsid w:val="00861717"/>
    <w:rsid w:val="00865D78"/>
    <w:rsid w:val="008713D5"/>
    <w:rsid w:val="00877951"/>
    <w:rsid w:val="00883D0F"/>
    <w:rsid w:val="00887EDE"/>
    <w:rsid w:val="008B19D1"/>
    <w:rsid w:val="008C22E7"/>
    <w:rsid w:val="008C412C"/>
    <w:rsid w:val="008C6850"/>
    <w:rsid w:val="008C6EF1"/>
    <w:rsid w:val="008D2299"/>
    <w:rsid w:val="008D6939"/>
    <w:rsid w:val="008E1F89"/>
    <w:rsid w:val="008E5B60"/>
    <w:rsid w:val="008E6D45"/>
    <w:rsid w:val="008F2563"/>
    <w:rsid w:val="008F3C00"/>
    <w:rsid w:val="00917CE9"/>
    <w:rsid w:val="00920BF9"/>
    <w:rsid w:val="00924DFD"/>
    <w:rsid w:val="00924E5E"/>
    <w:rsid w:val="0093140A"/>
    <w:rsid w:val="009314C3"/>
    <w:rsid w:val="009335E8"/>
    <w:rsid w:val="00944271"/>
    <w:rsid w:val="00945701"/>
    <w:rsid w:val="00951A2B"/>
    <w:rsid w:val="00952399"/>
    <w:rsid w:val="009535BF"/>
    <w:rsid w:val="009616DC"/>
    <w:rsid w:val="00962C35"/>
    <w:rsid w:val="0096654F"/>
    <w:rsid w:val="0097359E"/>
    <w:rsid w:val="00977470"/>
    <w:rsid w:val="00981D7A"/>
    <w:rsid w:val="0099732C"/>
    <w:rsid w:val="009A47BB"/>
    <w:rsid w:val="009B0FAF"/>
    <w:rsid w:val="009C3A0E"/>
    <w:rsid w:val="009D7A90"/>
    <w:rsid w:val="009E032E"/>
    <w:rsid w:val="009E0ED6"/>
    <w:rsid w:val="009E4A86"/>
    <w:rsid w:val="009F1121"/>
    <w:rsid w:val="00A115AF"/>
    <w:rsid w:val="00A11EF9"/>
    <w:rsid w:val="00A13291"/>
    <w:rsid w:val="00A24D60"/>
    <w:rsid w:val="00A33CF6"/>
    <w:rsid w:val="00A354F9"/>
    <w:rsid w:val="00A5337F"/>
    <w:rsid w:val="00A56E7C"/>
    <w:rsid w:val="00A575FB"/>
    <w:rsid w:val="00A6303C"/>
    <w:rsid w:val="00A63050"/>
    <w:rsid w:val="00A6406D"/>
    <w:rsid w:val="00A6690E"/>
    <w:rsid w:val="00A675D5"/>
    <w:rsid w:val="00A75C5F"/>
    <w:rsid w:val="00A81198"/>
    <w:rsid w:val="00A94F1F"/>
    <w:rsid w:val="00AA2342"/>
    <w:rsid w:val="00AA2E3C"/>
    <w:rsid w:val="00AA3A8C"/>
    <w:rsid w:val="00AA3B02"/>
    <w:rsid w:val="00AC4B10"/>
    <w:rsid w:val="00AD3000"/>
    <w:rsid w:val="00AD6522"/>
    <w:rsid w:val="00AD7C92"/>
    <w:rsid w:val="00AF0348"/>
    <w:rsid w:val="00AF210D"/>
    <w:rsid w:val="00B14095"/>
    <w:rsid w:val="00B142B9"/>
    <w:rsid w:val="00B21C2F"/>
    <w:rsid w:val="00B27149"/>
    <w:rsid w:val="00B27E7D"/>
    <w:rsid w:val="00B31CD7"/>
    <w:rsid w:val="00B35460"/>
    <w:rsid w:val="00B457F3"/>
    <w:rsid w:val="00B51E36"/>
    <w:rsid w:val="00B52A89"/>
    <w:rsid w:val="00B7016A"/>
    <w:rsid w:val="00B73B02"/>
    <w:rsid w:val="00B771E5"/>
    <w:rsid w:val="00B82901"/>
    <w:rsid w:val="00B842CC"/>
    <w:rsid w:val="00B850EA"/>
    <w:rsid w:val="00B87CE0"/>
    <w:rsid w:val="00B95C03"/>
    <w:rsid w:val="00BA089C"/>
    <w:rsid w:val="00BB0F7F"/>
    <w:rsid w:val="00BC2A10"/>
    <w:rsid w:val="00BC57B8"/>
    <w:rsid w:val="00BD38E1"/>
    <w:rsid w:val="00BD3995"/>
    <w:rsid w:val="00BD4174"/>
    <w:rsid w:val="00BD457C"/>
    <w:rsid w:val="00BF3A35"/>
    <w:rsid w:val="00BF3CAF"/>
    <w:rsid w:val="00BF596D"/>
    <w:rsid w:val="00C05C38"/>
    <w:rsid w:val="00C115F7"/>
    <w:rsid w:val="00C241EE"/>
    <w:rsid w:val="00C25454"/>
    <w:rsid w:val="00C25490"/>
    <w:rsid w:val="00C3151B"/>
    <w:rsid w:val="00C36643"/>
    <w:rsid w:val="00C42688"/>
    <w:rsid w:val="00C46B65"/>
    <w:rsid w:val="00C5271F"/>
    <w:rsid w:val="00C5736E"/>
    <w:rsid w:val="00C64E6F"/>
    <w:rsid w:val="00C656FD"/>
    <w:rsid w:val="00C66769"/>
    <w:rsid w:val="00C677F9"/>
    <w:rsid w:val="00C7070B"/>
    <w:rsid w:val="00C723A9"/>
    <w:rsid w:val="00C7500B"/>
    <w:rsid w:val="00C754D0"/>
    <w:rsid w:val="00C82B11"/>
    <w:rsid w:val="00C841D2"/>
    <w:rsid w:val="00C930FC"/>
    <w:rsid w:val="00C94BBC"/>
    <w:rsid w:val="00C96422"/>
    <w:rsid w:val="00CA0A12"/>
    <w:rsid w:val="00CB734A"/>
    <w:rsid w:val="00CB7F45"/>
    <w:rsid w:val="00CC2D91"/>
    <w:rsid w:val="00CC44EC"/>
    <w:rsid w:val="00CD4D52"/>
    <w:rsid w:val="00CD77CA"/>
    <w:rsid w:val="00CE133C"/>
    <w:rsid w:val="00CE1A16"/>
    <w:rsid w:val="00CE6200"/>
    <w:rsid w:val="00CE64AC"/>
    <w:rsid w:val="00CF1408"/>
    <w:rsid w:val="00CF4806"/>
    <w:rsid w:val="00D0009F"/>
    <w:rsid w:val="00D02359"/>
    <w:rsid w:val="00D0300E"/>
    <w:rsid w:val="00D04211"/>
    <w:rsid w:val="00D119A7"/>
    <w:rsid w:val="00D25D8C"/>
    <w:rsid w:val="00D31E13"/>
    <w:rsid w:val="00D32451"/>
    <w:rsid w:val="00D36878"/>
    <w:rsid w:val="00D40FC4"/>
    <w:rsid w:val="00D476AF"/>
    <w:rsid w:val="00D6049D"/>
    <w:rsid w:val="00D6106B"/>
    <w:rsid w:val="00D63733"/>
    <w:rsid w:val="00D725FF"/>
    <w:rsid w:val="00D74E30"/>
    <w:rsid w:val="00D763A9"/>
    <w:rsid w:val="00DA16A7"/>
    <w:rsid w:val="00DA29A4"/>
    <w:rsid w:val="00DA2AEF"/>
    <w:rsid w:val="00DA4A4A"/>
    <w:rsid w:val="00DB6233"/>
    <w:rsid w:val="00DC129E"/>
    <w:rsid w:val="00DC30B8"/>
    <w:rsid w:val="00DC7C45"/>
    <w:rsid w:val="00DD6102"/>
    <w:rsid w:val="00DE41B1"/>
    <w:rsid w:val="00DE5340"/>
    <w:rsid w:val="00DF1EA7"/>
    <w:rsid w:val="00E02999"/>
    <w:rsid w:val="00E03C7F"/>
    <w:rsid w:val="00E051E8"/>
    <w:rsid w:val="00E05C01"/>
    <w:rsid w:val="00E13A07"/>
    <w:rsid w:val="00E140AD"/>
    <w:rsid w:val="00E17031"/>
    <w:rsid w:val="00E22DCD"/>
    <w:rsid w:val="00E24884"/>
    <w:rsid w:val="00E27D76"/>
    <w:rsid w:val="00E358FA"/>
    <w:rsid w:val="00E40D54"/>
    <w:rsid w:val="00E44114"/>
    <w:rsid w:val="00E56887"/>
    <w:rsid w:val="00E62E99"/>
    <w:rsid w:val="00E64AEC"/>
    <w:rsid w:val="00E7203A"/>
    <w:rsid w:val="00E73526"/>
    <w:rsid w:val="00EA3A3D"/>
    <w:rsid w:val="00EA661B"/>
    <w:rsid w:val="00EB0C27"/>
    <w:rsid w:val="00EB2CF3"/>
    <w:rsid w:val="00EC343C"/>
    <w:rsid w:val="00EC402F"/>
    <w:rsid w:val="00EF2AFF"/>
    <w:rsid w:val="00EF2CC1"/>
    <w:rsid w:val="00F02432"/>
    <w:rsid w:val="00F02A0B"/>
    <w:rsid w:val="00F04B3E"/>
    <w:rsid w:val="00F05982"/>
    <w:rsid w:val="00F20C1B"/>
    <w:rsid w:val="00F23949"/>
    <w:rsid w:val="00F25484"/>
    <w:rsid w:val="00F27E47"/>
    <w:rsid w:val="00F31D3A"/>
    <w:rsid w:val="00F34BFC"/>
    <w:rsid w:val="00F4523B"/>
    <w:rsid w:val="00F72E4F"/>
    <w:rsid w:val="00F846B2"/>
    <w:rsid w:val="00F871A2"/>
    <w:rsid w:val="00F91519"/>
    <w:rsid w:val="00F9461C"/>
    <w:rsid w:val="00F95B1D"/>
    <w:rsid w:val="00FB190C"/>
    <w:rsid w:val="00FC7FCA"/>
    <w:rsid w:val="00FE6BD9"/>
    <w:rsid w:val="00FF6A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B54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Pr>
      <w:sz w:val="20"/>
      <w:szCs w:val="20"/>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character" w:styleId="CommentReference">
    <w:name w:val="annotation reference"/>
    <w:basedOn w:val="DefaultParagraphFont"/>
    <w:rsid w:val="00E22DCD"/>
    <w:rPr>
      <w:sz w:val="16"/>
      <w:szCs w:val="16"/>
    </w:rPr>
  </w:style>
  <w:style w:type="paragraph" w:styleId="CommentText">
    <w:name w:val="annotation text"/>
    <w:basedOn w:val="Normal"/>
    <w:link w:val="CommentTextChar"/>
    <w:rsid w:val="00E22DCD"/>
    <w:rPr>
      <w:sz w:val="20"/>
      <w:szCs w:val="20"/>
    </w:rPr>
  </w:style>
  <w:style w:type="character" w:customStyle="1" w:styleId="CommentTextChar">
    <w:name w:val="Comment Text Char"/>
    <w:basedOn w:val="DefaultParagraphFont"/>
    <w:link w:val="CommentText"/>
    <w:rsid w:val="00E22DCD"/>
    <w:rPr>
      <w:rFonts w:ascii="Palatino Linotype" w:hAnsi="Palatino Linotype"/>
    </w:rPr>
  </w:style>
  <w:style w:type="paragraph" w:styleId="CommentSubject">
    <w:name w:val="annotation subject"/>
    <w:basedOn w:val="CommentText"/>
    <w:next w:val="CommentText"/>
    <w:link w:val="CommentSubjectChar"/>
    <w:rsid w:val="00E22DCD"/>
    <w:rPr>
      <w:b/>
      <w:bCs/>
    </w:rPr>
  </w:style>
  <w:style w:type="character" w:customStyle="1" w:styleId="CommentSubjectChar">
    <w:name w:val="Comment Subject Char"/>
    <w:basedOn w:val="CommentTextChar"/>
    <w:link w:val="CommentSubject"/>
    <w:rsid w:val="00E22DCD"/>
    <w:rPr>
      <w:rFonts w:ascii="Palatino Linotype" w:hAnsi="Palatino Linotype"/>
      <w:b/>
      <w:bCs/>
    </w:rPr>
  </w:style>
  <w:style w:type="paragraph" w:styleId="BalloonText">
    <w:name w:val="Balloon Text"/>
    <w:basedOn w:val="Normal"/>
    <w:link w:val="BalloonTextChar"/>
    <w:rsid w:val="00E22DCD"/>
    <w:rPr>
      <w:rFonts w:ascii="Tahoma" w:hAnsi="Tahoma" w:cs="Tahoma"/>
      <w:sz w:val="16"/>
      <w:szCs w:val="16"/>
    </w:rPr>
  </w:style>
  <w:style w:type="character" w:customStyle="1" w:styleId="BalloonTextChar">
    <w:name w:val="Balloon Text Char"/>
    <w:basedOn w:val="DefaultParagraphFont"/>
    <w:link w:val="BalloonText"/>
    <w:rsid w:val="00E22DCD"/>
    <w:rPr>
      <w:rFonts w:ascii="Tahoma" w:hAnsi="Tahoma" w:cs="Tahoma"/>
      <w:sz w:val="16"/>
      <w:szCs w:val="16"/>
    </w:rPr>
  </w:style>
  <w:style w:type="table" w:styleId="TableGrid">
    <w:name w:val="Table Grid"/>
    <w:basedOn w:val="TableNormal"/>
    <w:uiPriority w:val="59"/>
    <w:rsid w:val="003E5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C00"/>
    <w:rPr>
      <w:color w:val="808080"/>
    </w:rPr>
  </w:style>
  <w:style w:type="paragraph" w:styleId="PlainText">
    <w:name w:val="Plain Text"/>
    <w:basedOn w:val="Normal"/>
    <w:link w:val="PlainTextChar"/>
    <w:uiPriority w:val="99"/>
    <w:unhideWhenUsed/>
    <w:rsid w:val="009535BF"/>
    <w:rPr>
      <w:rFonts w:ascii="Consolas" w:eastAsia="Calibri" w:hAnsi="Consolas"/>
      <w:sz w:val="21"/>
      <w:szCs w:val="21"/>
    </w:rPr>
  </w:style>
  <w:style w:type="character" w:customStyle="1" w:styleId="PlainTextChar">
    <w:name w:val="Plain Text Char"/>
    <w:basedOn w:val="DefaultParagraphFont"/>
    <w:link w:val="PlainText"/>
    <w:uiPriority w:val="99"/>
    <w:rsid w:val="009535BF"/>
    <w:rPr>
      <w:rFonts w:ascii="Consolas" w:eastAsia="Calibri" w:hAnsi="Consolas"/>
      <w:sz w:val="21"/>
      <w:szCs w:val="21"/>
    </w:rPr>
  </w:style>
  <w:style w:type="character" w:customStyle="1" w:styleId="HeaderChar">
    <w:name w:val="Header Char"/>
    <w:basedOn w:val="DefaultParagraphFont"/>
    <w:link w:val="Header"/>
    <w:uiPriority w:val="99"/>
    <w:rsid w:val="00C754D0"/>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Formal</CaseStatus>
    <OpenedDate xmlns="dc463f71-b30c-4ab2-9473-d307f9d35888">2014-04-03T07:00:00+00:00</OpenedDate>
    <Date1 xmlns="dc463f71-b30c-4ab2-9473-d307f9d35888">2015-01-07T08:00:00+00:00</Date1>
    <IsDocumentOrder xmlns="dc463f71-b30c-4ab2-9473-d307f9d35888">true</IsDocumentOrder>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B5393-1871-436D-9B34-D49A715AD738}"/>
</file>

<file path=customXml/itemProps2.xml><?xml version="1.0" encoding="utf-8"?>
<ds:datastoreItem xmlns:ds="http://schemas.openxmlformats.org/officeDocument/2006/customXml" ds:itemID="{1900F2A3-2BBD-4CD2-8EE6-085D286D4610}"/>
</file>

<file path=customXml/itemProps3.xml><?xml version="1.0" encoding="utf-8"?>
<ds:datastoreItem xmlns:ds="http://schemas.openxmlformats.org/officeDocument/2006/customXml" ds:itemID="{14564D84-856B-461C-BDB1-03474EB21B4D}"/>
</file>

<file path=customXml/itemProps4.xml><?xml version="1.0" encoding="utf-8"?>
<ds:datastoreItem xmlns:ds="http://schemas.openxmlformats.org/officeDocument/2006/customXml" ds:itemID="{AD2747B4-B3CD-46CA-8369-A0E3CBA5FF63}"/>
</file>

<file path=customXml/itemProps5.xml><?xml version="1.0" encoding="utf-8"?>
<ds:datastoreItem xmlns:ds="http://schemas.openxmlformats.org/officeDocument/2006/customXml" ds:itemID="{FB3CC8A3-6171-45DF-BF15-C16752E54935}"/>
</file>

<file path=docProps/app.xml><?xml version="1.0" encoding="utf-8"?>
<Properties xmlns="http://schemas.openxmlformats.org/officeDocument/2006/extended-properties" xmlns:vt="http://schemas.openxmlformats.org/officeDocument/2006/docPropsVTypes">
  <Template>Normal</Template>
  <TotalTime>0</TotalTime>
  <Pages>8</Pages>
  <Words>2094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13380</CharactersWithSpaces>
  <SharedDoc>false</SharedDoc>
  <HLinks>
    <vt:vector size="18" baseType="variant">
      <vt:variant>
        <vt:i4>4456502</vt:i4>
      </vt:variant>
      <vt:variant>
        <vt:i4>6</vt:i4>
      </vt:variant>
      <vt:variant>
        <vt:i4>0</vt:i4>
      </vt:variant>
      <vt:variant>
        <vt:i4>5</vt:i4>
      </vt:variant>
      <vt:variant>
        <vt:lpwstr>mailto:kris.o@olympicmovers.net</vt:lpwstr>
      </vt:variant>
      <vt:variant>
        <vt:lpwstr/>
      </vt:variant>
      <vt:variant>
        <vt:i4>393340</vt:i4>
      </vt:variant>
      <vt:variant>
        <vt:i4>3</vt:i4>
      </vt:variant>
      <vt:variant>
        <vt:i4>0</vt:i4>
      </vt:variant>
      <vt:variant>
        <vt:i4>5</vt:i4>
      </vt:variant>
      <vt:variant>
        <vt:lpwstr>mailto:bshearer@utc.wa.gov</vt:lpwstr>
      </vt:variant>
      <vt:variant>
        <vt:lpwstr/>
      </vt:variant>
      <vt:variant>
        <vt:i4>5373994</vt:i4>
      </vt:variant>
      <vt:variant>
        <vt:i4>0</vt:i4>
      </vt:variant>
      <vt:variant>
        <vt:i4>0</vt:i4>
      </vt:variant>
      <vt:variant>
        <vt:i4>5</vt:i4>
      </vt:variant>
      <vt:variant>
        <vt:lpwstr>mailto:mfassio@utc.wa.gov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2015-01-07T15:35:00Z</dcterms:created>
  <dcterms:modified xsi:type="dcterms:W3CDTF">2015-01-07T15:35:00Z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