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2A" w:rsidRPr="00BA18B1" w:rsidRDefault="0045522A" w:rsidP="000623D1">
      <w:pPr>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rsidP="000623D1">
      <w:pPr>
        <w:tabs>
          <w:tab w:val="left" w:pos="1260"/>
        </w:tabs>
        <w:spacing w:line="480" w:lineRule="auto"/>
        <w:ind w:firstLine="720"/>
        <w:jc w:val="center"/>
      </w:pPr>
    </w:p>
    <w:p w:rsidR="001C2555" w:rsidRPr="00BA18B1" w:rsidRDefault="001C2555" w:rsidP="003C545E">
      <w:pPr>
        <w:spacing w:line="480" w:lineRule="auto"/>
      </w:pPr>
      <w:r w:rsidRPr="00BA18B1">
        <w:t>BEFORE THE WASHINGTON UTILITIES AND TRANSPORTATION COMMISSION</w:t>
      </w:r>
    </w:p>
    <w:p w:rsidR="001C2555" w:rsidRPr="00BA18B1" w:rsidRDefault="001C2555" w:rsidP="000623D1">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DOCKET NO. </w:t>
      </w:r>
      <w:r w:rsidRPr="002E76C8">
        <w:t>UG-1</w:t>
      </w:r>
      <w:r w:rsidR="00BB651D">
        <w:t>7</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E56A77">
      <w:pPr>
        <w:pStyle w:val="BodyTextIndent"/>
        <w:spacing w:line="480" w:lineRule="auto"/>
        <w:ind w:left="0" w:firstLine="72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E56A77">
      <w:pPr>
        <w:spacing w:line="480" w:lineRule="auto"/>
        <w:ind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E56A77">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216C63" w:rsidRDefault="001C2555" w:rsidP="00216C63">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 xml:space="preserve">a </w:t>
      </w:r>
      <w:proofErr w:type="spellStart"/>
      <w:r>
        <w:t>Bachelors</w:t>
      </w:r>
      <w:proofErr w:type="spellEnd"/>
      <w:r>
        <w:t xml:space="preserve"> degree</w:t>
      </w:r>
      <w:r w:rsidRPr="005540EB">
        <w:t xml:space="preserve"> in Business Administration</w:t>
      </w:r>
      <w:r>
        <w:t xml:space="preserve">, majoring in Accounting.  In </w:t>
      </w:r>
      <w:r w:rsidRPr="008E54E9">
        <w:t>2005</w:t>
      </w:r>
      <w:r>
        <w:t xml:space="preserve"> I graduated from Gonzaga University with a </w:t>
      </w:r>
      <w:proofErr w:type="spellStart"/>
      <w:r>
        <w:t>Masters</w:t>
      </w:r>
      <w:proofErr w:type="spellEnd"/>
      <w:r>
        <w:t xml:space="preserve">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w:t>
      </w:r>
      <w:r w:rsidR="0025384F">
        <w:t xml:space="preserve"> </w:t>
      </w:r>
      <w:r>
        <w:t xml:space="preserve"> In January 2009, I joined the State and Federal Regulation Department as a Regulatory Analyst.  My primary responsibility was coordinating discovery for the Company’s gene</w:t>
      </w:r>
      <w:r w:rsidR="009B42E7">
        <w:t xml:space="preserve">ral rate case filings.  In </w:t>
      </w:r>
      <w:r w:rsidR="00C83C13">
        <w:t>my current role, as a</w:t>
      </w:r>
      <w:r>
        <w:t xml:space="preserve"> Senior Regulatory Analyst, </w:t>
      </w:r>
      <w:r w:rsidR="00C83C13">
        <w:t>I am responsible for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820CFC">
        <w:t>urisdictions</w:t>
      </w:r>
      <w:r>
        <w:t>.</w:t>
      </w:r>
      <w:r w:rsidR="00216C63">
        <w:br w:type="page"/>
      </w: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8F13EC">
      <w:pPr>
        <w:tabs>
          <w:tab w:val="left" w:pos="1440"/>
          <w:tab w:val="right" w:pos="8730"/>
        </w:tabs>
        <w:spacing w:line="360" w:lineRule="auto"/>
        <w:ind w:firstLine="720"/>
        <w:jc w:val="both"/>
        <w:rPr>
          <w:rStyle w:val="LineNumber"/>
        </w:rPr>
      </w:pPr>
      <w:r>
        <w:rPr>
          <w:rStyle w:val="LineNumber"/>
        </w:rPr>
        <w:t>I.</w:t>
      </w:r>
      <w:r>
        <w:rPr>
          <w:rStyle w:val="LineNumber"/>
        </w:rPr>
        <w:tab/>
        <w:t>Introduction</w:t>
      </w:r>
      <w:r w:rsidR="004D4C81">
        <w:rPr>
          <w:rStyle w:val="LineNumber"/>
        </w:rPr>
        <w:t xml:space="preserve"> and Summary</w:t>
      </w:r>
      <w:r>
        <w:rPr>
          <w:rStyle w:val="LineNumber"/>
        </w:rPr>
        <w:tab/>
        <w:t>1</w:t>
      </w:r>
    </w:p>
    <w:p w:rsidR="0019561B" w:rsidRDefault="0019561B" w:rsidP="008F13EC">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Default="009C3B2B" w:rsidP="008F13EC">
      <w:pPr>
        <w:tabs>
          <w:tab w:val="left" w:pos="1440"/>
          <w:tab w:val="left" w:pos="2160"/>
          <w:tab w:val="right" w:pos="8730"/>
        </w:tabs>
        <w:spacing w:line="360" w:lineRule="auto"/>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bookmarkStart w:id="0" w:name="_GoBack"/>
      <w:bookmarkEnd w:id="0"/>
      <w:r w:rsidR="00F22A7D">
        <w:rPr>
          <w:rStyle w:val="LineNumber"/>
        </w:rPr>
        <w:t>10</w:t>
      </w:r>
    </w:p>
    <w:p w:rsidR="00A014FC" w:rsidRDefault="00CD644D" w:rsidP="003356D4">
      <w:pPr>
        <w:tabs>
          <w:tab w:val="left" w:pos="1440"/>
          <w:tab w:val="left" w:pos="2160"/>
          <w:tab w:val="right" w:pos="8730"/>
        </w:tabs>
        <w:spacing w:line="360" w:lineRule="auto"/>
        <w:ind w:firstLine="720"/>
        <w:jc w:val="both"/>
        <w:rPr>
          <w:rStyle w:val="LineNumber"/>
        </w:rPr>
      </w:pPr>
      <w:r>
        <w:rPr>
          <w:rStyle w:val="LineNumber"/>
        </w:rPr>
        <w:t>I</w:t>
      </w:r>
      <w:r w:rsidR="00915D98">
        <w:rPr>
          <w:rStyle w:val="LineNumber"/>
        </w:rPr>
        <w:t>V.</w:t>
      </w:r>
      <w:r w:rsidR="00915D98">
        <w:rPr>
          <w:rStyle w:val="LineNumber"/>
        </w:rPr>
        <w:tab/>
        <w:t>Results</w:t>
      </w:r>
      <w:r w:rsidR="00357DFE">
        <w:rPr>
          <w:rStyle w:val="LineNumber"/>
        </w:rPr>
        <w:tab/>
      </w:r>
      <w:r w:rsidR="00357DFE">
        <w:rPr>
          <w:rStyle w:val="LineNumber"/>
        </w:rPr>
        <w:tab/>
        <w:t>21</w:t>
      </w:r>
    </w:p>
    <w:p w:rsidR="0012020A" w:rsidRDefault="0012020A" w:rsidP="007E2EBB">
      <w:pPr>
        <w:tabs>
          <w:tab w:val="left" w:pos="1440"/>
          <w:tab w:val="left" w:pos="2160"/>
          <w:tab w:val="right" w:pos="8730"/>
        </w:tabs>
        <w:spacing w:line="360" w:lineRule="auto"/>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 xml:space="preserve">I am sponsoring </w:t>
      </w:r>
      <w:proofErr w:type="spellStart"/>
      <w:r>
        <w:rPr>
          <w:rStyle w:val="LineNumber"/>
        </w:rPr>
        <w:t>Exh</w:t>
      </w:r>
      <w:proofErr w:type="spellEnd"/>
      <w:r>
        <w:rPr>
          <w:rStyle w:val="LineNumber"/>
        </w:rPr>
        <w:t xml:space="preserve">. </w:t>
      </w:r>
      <w:r w:rsidR="009C3B2B">
        <w:rPr>
          <w:rStyle w:val="LineNumber"/>
        </w:rPr>
        <w:t>JDM</w:t>
      </w:r>
      <w:r>
        <w:rPr>
          <w:rStyle w:val="LineNumber"/>
        </w:rPr>
        <w:t>-</w:t>
      </w:r>
      <w:r w:rsidR="008D3AED">
        <w:rPr>
          <w:rStyle w:val="LineNumber"/>
        </w:rPr>
        <w:t>2</w:t>
      </w:r>
      <w:r>
        <w:rPr>
          <w:rStyle w:val="LineNumber"/>
        </w:rPr>
        <w:t xml:space="preserve"> </w:t>
      </w:r>
      <w:r w:rsidR="00C33A08">
        <w:rPr>
          <w:rStyle w:val="LineNumber"/>
        </w:rPr>
        <w:t xml:space="preserve">which includes a narrative of </w:t>
      </w:r>
      <w:r>
        <w:rPr>
          <w:rStyle w:val="LineNumber"/>
        </w:rPr>
        <w:t>the natural gas co</w:t>
      </w:r>
      <w:r w:rsidR="00A42F72">
        <w:rPr>
          <w:rStyle w:val="LineNumber"/>
        </w:rPr>
        <w:t>st of service study process,</w:t>
      </w:r>
      <w:r>
        <w:rPr>
          <w:rStyle w:val="LineNumber"/>
        </w:rPr>
        <w:t xml:space="preserve"> </w:t>
      </w:r>
      <w:r w:rsidR="000103AF">
        <w:rPr>
          <w:rStyle w:val="LineNumber"/>
        </w:rPr>
        <w:t xml:space="preserve">and </w:t>
      </w:r>
      <w:proofErr w:type="spellStart"/>
      <w:r>
        <w:rPr>
          <w:rStyle w:val="LineNumber"/>
        </w:rPr>
        <w:t>Exh</w:t>
      </w:r>
      <w:proofErr w:type="spellEnd"/>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8D58E8" w:rsidRDefault="00906168" w:rsidP="008D58E8">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p>
    <w:p w:rsidR="008D58E8" w:rsidRPr="0050645E" w:rsidRDefault="008D58E8" w:rsidP="008D58E8">
      <w:pPr>
        <w:tabs>
          <w:tab w:val="left" w:pos="1440"/>
          <w:tab w:val="right" w:pos="8730"/>
        </w:tabs>
        <w:spacing w:line="480" w:lineRule="auto"/>
        <w:ind w:firstLine="720"/>
        <w:jc w:val="both"/>
        <w:rPr>
          <w:rStyle w:val="LineNumber"/>
          <w:b/>
        </w:rPr>
      </w:pPr>
      <w:r>
        <w:rPr>
          <w:rStyle w:val="LineNumber"/>
          <w:b/>
        </w:rPr>
        <w:t>Q.</w:t>
      </w:r>
      <w:r>
        <w:rPr>
          <w:rStyle w:val="LineNumber"/>
          <w:b/>
        </w:rPr>
        <w:tab/>
        <w:t>By way of summary what do your cost of service study results show</w:t>
      </w:r>
      <w:r w:rsidRPr="0050645E">
        <w:rPr>
          <w:rStyle w:val="LineNumber"/>
          <w:b/>
        </w:rPr>
        <w:t>?</w:t>
      </w:r>
    </w:p>
    <w:p w:rsidR="008D58E8" w:rsidRDefault="008D58E8" w:rsidP="008D58E8">
      <w:pPr>
        <w:pStyle w:val="BodyText2"/>
        <w:tabs>
          <w:tab w:val="left" w:pos="1440"/>
        </w:tabs>
        <w:ind w:firstLine="720"/>
        <w:rPr>
          <w:rStyle w:val="LineNumber"/>
        </w:rPr>
      </w:pPr>
      <w:r>
        <w:rPr>
          <w:rStyle w:val="LineNumber"/>
        </w:rPr>
        <w:t>A.</w:t>
      </w:r>
      <w:r>
        <w:rPr>
          <w:rStyle w:val="LineNumber"/>
        </w:rPr>
        <w:tab/>
      </w:r>
      <w:r w:rsidRPr="00540E44">
        <w:rPr>
          <w:rStyle w:val="LineNumber"/>
        </w:rPr>
        <w:t xml:space="preserve">The </w:t>
      </w:r>
      <w:r>
        <w:rPr>
          <w:rStyle w:val="LineNumber"/>
        </w:rPr>
        <w:t xml:space="preserve">cost of service </w:t>
      </w:r>
      <w:r w:rsidRPr="00540E44">
        <w:rPr>
          <w:rStyle w:val="LineNumber"/>
        </w:rPr>
        <w:t>study indicates that General Service Schedule</w:t>
      </w:r>
      <w:r w:rsidR="00F4010E">
        <w:rPr>
          <w:rStyle w:val="LineNumber"/>
        </w:rPr>
        <w:t>s</w:t>
      </w:r>
      <w:r w:rsidRPr="00540E44">
        <w:rPr>
          <w:rStyle w:val="LineNumber"/>
        </w:rPr>
        <w:t xml:space="preserve"> 101</w:t>
      </w:r>
      <w:r w:rsidR="00F4010E">
        <w:rPr>
          <w:rStyle w:val="LineNumber"/>
        </w:rPr>
        <w:t>/102</w:t>
      </w:r>
      <w:r w:rsidR="003C545E">
        <w:rPr>
          <w:rStyle w:val="LineNumber"/>
        </w:rPr>
        <w:t xml:space="preserve"> (serving</w:t>
      </w:r>
      <w:r w:rsidRPr="00540E44">
        <w:rPr>
          <w:rStyle w:val="LineNumber"/>
        </w:rPr>
        <w:t xml:space="preserve"> most</w:t>
      </w:r>
      <w:r w:rsidR="003C545E">
        <w:rPr>
          <w:rStyle w:val="LineNumber"/>
        </w:rPr>
        <w:t>ly</w:t>
      </w:r>
      <w:r w:rsidRPr="00540E44">
        <w:rPr>
          <w:rStyle w:val="LineNumber"/>
        </w:rPr>
        <w:t xml:space="preserve"> residential customers) and Transportation S</w:t>
      </w:r>
      <w:r w:rsidR="003C545E">
        <w:rPr>
          <w:rStyle w:val="LineNumber"/>
        </w:rPr>
        <w:t>chedule 146</w:t>
      </w:r>
      <w:r w:rsidRPr="00540E44">
        <w:rPr>
          <w:rStyle w:val="LineNumber"/>
        </w:rPr>
        <w:t xml:space="preserve"> are providing less than the overall rate of return (unity), and Large General, High Load Factor Large General, and Interruptible service schedules (111/112, 121/122 and 131/132) are providing more than unity.  The following</w:t>
      </w:r>
      <w:r w:rsidRPr="00BA18B1">
        <w:rPr>
          <w:rStyle w:val="LineNumber"/>
        </w:rPr>
        <w:t xml:space="preserve">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8D58E8" w:rsidRDefault="008D58E8" w:rsidP="008D58E8">
      <w:pPr>
        <w:pStyle w:val="BodyText2"/>
        <w:tabs>
          <w:tab w:val="left" w:pos="1440"/>
        </w:tabs>
        <w:ind w:firstLine="720"/>
        <w:rPr>
          <w:rStyle w:val="LineNumber"/>
        </w:rPr>
      </w:pPr>
    </w:p>
    <w:p w:rsidR="008D58E8" w:rsidRPr="001771CB" w:rsidRDefault="008D58E8" w:rsidP="008D58E8">
      <w:pPr>
        <w:pStyle w:val="BodyText2"/>
        <w:tabs>
          <w:tab w:val="left" w:pos="1440"/>
        </w:tabs>
        <w:rPr>
          <w:b/>
          <w:u w:val="single"/>
        </w:rPr>
      </w:pPr>
      <w:r w:rsidRPr="001771CB">
        <w:rPr>
          <w:b/>
          <w:u w:val="single"/>
        </w:rPr>
        <w:lastRenderedPageBreak/>
        <w:t>Table No.1:</w:t>
      </w:r>
      <w:r w:rsidR="003C545E" w:rsidRPr="001771CB">
        <w:rPr>
          <w:b/>
          <w:u w:val="single"/>
        </w:rPr>
        <w:t xml:space="preserve">  </w:t>
      </w:r>
      <w:r w:rsidRPr="001771CB">
        <w:rPr>
          <w:b/>
          <w:u w:val="single"/>
        </w:rPr>
        <w:t>Base Case Results</w:t>
      </w:r>
    </w:p>
    <w:p w:rsidR="008D58E8" w:rsidRDefault="00FB0159" w:rsidP="008D58E8">
      <w:pPr>
        <w:pStyle w:val="BodyText2"/>
        <w:tabs>
          <w:tab w:val="left" w:pos="1440"/>
        </w:tabs>
        <w:rPr>
          <w:b/>
          <w:u w:val="single"/>
        </w:rPr>
      </w:pPr>
      <w:r w:rsidRPr="00FB0159">
        <w:rPr>
          <w:noProof/>
        </w:rPr>
        <w:drawing>
          <wp:anchor distT="0" distB="0" distL="114300" distR="114300" simplePos="0" relativeHeight="251677696" behindDoc="1" locked="0" layoutInCell="1" allowOverlap="1">
            <wp:simplePos x="0" y="0"/>
            <wp:positionH relativeFrom="column">
              <wp:posOffset>3976</wp:posOffset>
            </wp:positionH>
            <wp:positionV relativeFrom="paragraph">
              <wp:posOffset>-663</wp:posOffset>
            </wp:positionV>
            <wp:extent cx="5311775" cy="1781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17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8E8" w:rsidRDefault="008D58E8" w:rsidP="00C91149">
      <w:pPr>
        <w:pStyle w:val="BodyText2"/>
        <w:tabs>
          <w:tab w:val="left" w:pos="1440"/>
        </w:tabs>
        <w:jc w:val="right"/>
        <w:rPr>
          <w:b/>
          <w:u w:val="single"/>
        </w:rPr>
      </w:pPr>
    </w:p>
    <w:p w:rsidR="008D58E8" w:rsidRDefault="008D58E8" w:rsidP="00FB0159">
      <w:pPr>
        <w:pStyle w:val="BodyText2"/>
        <w:tabs>
          <w:tab w:val="left" w:pos="2592"/>
        </w:tabs>
        <w:rPr>
          <w:b/>
          <w:u w:val="single"/>
        </w:rPr>
      </w:pPr>
    </w:p>
    <w:p w:rsidR="008D58E8" w:rsidRDefault="008D58E8" w:rsidP="008D58E8">
      <w:pPr>
        <w:pStyle w:val="BodyText2"/>
        <w:tabs>
          <w:tab w:val="left" w:pos="1440"/>
        </w:tabs>
        <w:rPr>
          <w:b/>
          <w:u w:val="single"/>
        </w:rPr>
      </w:pPr>
    </w:p>
    <w:p w:rsidR="00847226" w:rsidRDefault="00847226" w:rsidP="008D58E8">
      <w:pPr>
        <w:tabs>
          <w:tab w:val="left" w:pos="1440"/>
          <w:tab w:val="right" w:pos="8730"/>
        </w:tabs>
        <w:spacing w:line="480" w:lineRule="auto"/>
        <w:jc w:val="both"/>
        <w:rPr>
          <w:rStyle w:val="LineNumber"/>
          <w:b/>
          <w:bCs/>
        </w:rPr>
      </w:pPr>
    </w:p>
    <w:p w:rsidR="0027260A" w:rsidRDefault="0027260A" w:rsidP="008D58E8">
      <w:pPr>
        <w:tabs>
          <w:tab w:val="left" w:pos="1440"/>
          <w:tab w:val="right" w:pos="8730"/>
        </w:tabs>
        <w:spacing w:line="480" w:lineRule="auto"/>
        <w:jc w:val="both"/>
        <w:rPr>
          <w:rStyle w:val="LineNumber"/>
        </w:rPr>
      </w:pPr>
    </w:p>
    <w:p w:rsidR="00A01E27" w:rsidRPr="00E56C8B" w:rsidRDefault="00E56C8B" w:rsidP="008D58E8">
      <w:pPr>
        <w:tabs>
          <w:tab w:val="left" w:pos="1440"/>
          <w:tab w:val="right" w:pos="8730"/>
        </w:tabs>
        <w:spacing w:line="480" w:lineRule="auto"/>
        <w:ind w:firstLine="720"/>
        <w:jc w:val="both"/>
        <w:rPr>
          <w:rStyle w:val="LineNumber"/>
          <w:b/>
          <w:u w:val="single"/>
        </w:rPr>
      </w:pPr>
      <w:r w:rsidRPr="00E56C8B">
        <w:rPr>
          <w:rStyle w:val="PageNumber"/>
        </w:rPr>
        <w:tab/>
      </w:r>
      <w:r w:rsidR="0019561B" w:rsidRPr="00E56C8B">
        <w:rPr>
          <w:rStyle w:val="PageNumber"/>
          <w:b/>
          <w:u w:val="single"/>
        </w:rPr>
        <w:t xml:space="preserve">II.  </w:t>
      </w:r>
      <w:r w:rsidR="000C1B06" w:rsidRPr="00E56C8B">
        <w:rPr>
          <w:rStyle w:val="PageNumber"/>
          <w:b/>
          <w:u w:val="single"/>
        </w:rPr>
        <w:t xml:space="preserve">NATURAL GAS </w:t>
      </w:r>
      <w:r w:rsidR="0019561B" w:rsidRPr="00E56C8B">
        <w:rPr>
          <w:rStyle w:val="PageNumber"/>
          <w:b/>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w:t>
      </w:r>
      <w:r w:rsidR="00D40434">
        <w:rPr>
          <w:rStyle w:val="LineNumber"/>
          <w:b/>
          <w:bCs/>
        </w:rPr>
        <w:t>please describe the natural gas</w:t>
      </w:r>
      <w:r w:rsidR="00721059">
        <w:rPr>
          <w:rStyle w:val="LineNumber"/>
          <w:b/>
          <w:bCs/>
        </w:rPr>
        <w:t xml:space="preserve"> </w:t>
      </w:r>
      <w:r w:rsidRPr="00BA18B1">
        <w:rPr>
          <w:rStyle w:val="LineNumber"/>
          <w:b/>
          <w:bCs/>
        </w:rPr>
        <w:t xml:space="preserve">revenue </w:t>
      </w:r>
      <w:r>
        <w:rPr>
          <w:rStyle w:val="LineNumber"/>
          <w:b/>
          <w:bCs/>
        </w:rPr>
        <w:t xml:space="preserve">normalization </w:t>
      </w:r>
      <w:r w:rsidRPr="00BA18B1">
        <w:rPr>
          <w:rStyle w:val="LineNumber"/>
          <w:b/>
          <w:bCs/>
        </w:rPr>
        <w:t xml:space="preserve">adjustment included in </w:t>
      </w:r>
      <w:r w:rsidR="008F5D3F">
        <w:rPr>
          <w:rStyle w:val="LineNumber"/>
          <w:b/>
          <w:bCs/>
        </w:rPr>
        <w:t xml:space="preserve">Company witness </w:t>
      </w:r>
      <w:r w:rsidRPr="00BA18B1">
        <w:rPr>
          <w:rStyle w:val="LineNumber"/>
          <w:b/>
          <w:bCs/>
        </w:rPr>
        <w:t xml:space="preserve">Ms. </w:t>
      </w:r>
      <w:r w:rsidR="00A559F4">
        <w:rPr>
          <w:rStyle w:val="LineNumber"/>
          <w:b/>
          <w:bCs/>
        </w:rPr>
        <w:t>Andrew</w:t>
      </w:r>
      <w:r w:rsidR="000048F6">
        <w:rPr>
          <w:rStyle w:val="LineNumber"/>
          <w:b/>
          <w:bCs/>
        </w:rPr>
        <w:t>’s</w:t>
      </w:r>
      <w:r w:rsidRPr="00BA18B1">
        <w:rPr>
          <w:rStyle w:val="LineNumber"/>
          <w:b/>
          <w:bCs/>
        </w:rPr>
        <w:t xml:space="preserve"> </w:t>
      </w:r>
      <w:r w:rsidR="0027260A">
        <w:rPr>
          <w:rStyle w:val="LineNumber"/>
          <w:b/>
          <w:bCs/>
        </w:rPr>
        <w:t>Revenue Requirement Studies</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w:t>
      </w:r>
      <w:r w:rsidR="0027260A">
        <w:rPr>
          <w:rStyle w:val="LineNumber"/>
          <w:bCs/>
        </w:rPr>
        <w:t>As Ms. Andrews includes the same revenue adjustments in multiple studies</w:t>
      </w:r>
      <w:r w:rsidR="0027260A">
        <w:rPr>
          <w:rStyle w:val="FootnoteReference"/>
          <w:bCs/>
        </w:rPr>
        <w:footnoteReference w:id="1"/>
      </w:r>
      <w:r w:rsidR="0027260A">
        <w:rPr>
          <w:rStyle w:val="LineNumber"/>
          <w:bCs/>
        </w:rPr>
        <w:t xml:space="preserve">, for ease of reference unless otherwise stated, my testimony will refer specifically to her </w:t>
      </w:r>
      <w:proofErr w:type="spellStart"/>
      <w:r w:rsidR="0027260A">
        <w:rPr>
          <w:rStyle w:val="LineNumber"/>
          <w:bCs/>
        </w:rPr>
        <w:t>Exh</w:t>
      </w:r>
      <w:proofErr w:type="spellEnd"/>
      <w:r w:rsidR="0027260A">
        <w:rPr>
          <w:rStyle w:val="LineNumber"/>
          <w:bCs/>
        </w:rPr>
        <w:t xml:space="preserve">. EMA-7 Natural Gas EOP </w:t>
      </w:r>
      <w:r w:rsidR="004B6917">
        <w:rPr>
          <w:rStyle w:val="LineNumber"/>
          <w:bCs/>
        </w:rPr>
        <w:t xml:space="preserve">Rate Base </w:t>
      </w:r>
      <w:r w:rsidR="0027260A">
        <w:rPr>
          <w:rStyle w:val="LineNumber"/>
          <w:bCs/>
        </w:rPr>
        <w:t xml:space="preserve">Study.  </w:t>
      </w:r>
      <w:r w:rsidR="008F5D3F">
        <w:rPr>
          <w:rStyle w:val="LineNumber"/>
          <w:bCs/>
        </w:rPr>
        <w:t>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xml:space="preserve">, sponsored by Company witness Ms. Knox, there are </w:t>
      </w:r>
      <w:r w:rsidR="00031057">
        <w:rPr>
          <w:rStyle w:val="LineNumber"/>
          <w:bCs/>
        </w:rPr>
        <w:t>three</w:t>
      </w:r>
      <w:r w:rsidR="008F5D3F">
        <w:rPr>
          <w:rStyle w:val="LineNumber"/>
          <w:bCs/>
        </w:rPr>
        <w:t xml:space="preserve"> separate adjustments that normalize revenue as part of </w:t>
      </w:r>
      <w:r w:rsidR="00126EAD">
        <w:rPr>
          <w:rStyle w:val="LineNumber"/>
          <w:bCs/>
        </w:rPr>
        <w:t xml:space="preserve">the natural gas </w:t>
      </w:r>
      <w:r w:rsidR="003C545E">
        <w:rPr>
          <w:rStyle w:val="LineNumber"/>
          <w:bCs/>
        </w:rPr>
        <w:t>EOP</w:t>
      </w:r>
      <w:r w:rsidR="00126EAD">
        <w:rPr>
          <w:rStyle w:val="LineNumber"/>
          <w:bCs/>
        </w:rPr>
        <w:t xml:space="preserve"> </w:t>
      </w:r>
      <w:r w:rsidR="004B6917">
        <w:rPr>
          <w:rStyle w:val="LineNumber"/>
          <w:bCs/>
        </w:rPr>
        <w:t xml:space="preserve">Rate Base </w:t>
      </w:r>
      <w:r w:rsidR="00126EAD">
        <w:rPr>
          <w:rStyle w:val="LineNumber"/>
          <w:bCs/>
        </w:rPr>
        <w:t>Study:</w:t>
      </w:r>
    </w:p>
    <w:p w:rsidR="0027260A" w:rsidRPr="00046DF0" w:rsidRDefault="0027260A" w:rsidP="0027260A">
      <w:pPr>
        <w:pStyle w:val="BodyText2"/>
        <w:tabs>
          <w:tab w:val="left" w:pos="1440"/>
        </w:tabs>
        <w:ind w:firstLine="720"/>
        <w:rPr>
          <w:rStyle w:val="LineNumber"/>
          <w:bCs/>
        </w:rPr>
      </w:pPr>
      <w:r w:rsidRPr="00A6717C">
        <w:rPr>
          <w:rStyle w:val="LineNumber"/>
          <w:b/>
          <w:bCs/>
        </w:rPr>
        <w:t>1</w:t>
      </w:r>
      <w:r>
        <w:rPr>
          <w:rStyle w:val="LineNumber"/>
          <w:b/>
          <w:bCs/>
        </w:rPr>
        <w:t>.</w:t>
      </w:r>
      <w:r w:rsidRPr="00046DF0">
        <w:rPr>
          <w:rStyle w:val="LineNumber"/>
          <w:bCs/>
        </w:rPr>
        <w:t xml:space="preserve"> </w:t>
      </w:r>
      <w:r w:rsidRPr="005F5D7B">
        <w:rPr>
          <w:rStyle w:val="LineNumber"/>
          <w:b/>
          <w:bCs/>
        </w:rPr>
        <w:t>Weather Normalization</w:t>
      </w:r>
      <w:r>
        <w:rPr>
          <w:rStyle w:val="LineNumber"/>
          <w:bCs/>
        </w:rPr>
        <w:t xml:space="preserve">:  Column 2.10 of Ms. Andrews’ </w:t>
      </w:r>
      <w:proofErr w:type="spellStart"/>
      <w:r>
        <w:rPr>
          <w:rStyle w:val="LineNumber"/>
          <w:bCs/>
        </w:rPr>
        <w:t>Exh</w:t>
      </w:r>
      <w:proofErr w:type="spellEnd"/>
      <w:r>
        <w:rPr>
          <w:rStyle w:val="LineNumber"/>
          <w:bCs/>
        </w:rPr>
        <w:t xml:space="preserve">. EMA-7, page </w:t>
      </w:r>
      <w:r w:rsidR="000B6DDE" w:rsidRPr="000B6DDE">
        <w:rPr>
          <w:rStyle w:val="LineNumber"/>
          <w:bCs/>
        </w:rPr>
        <w:t>6</w:t>
      </w:r>
      <w:r>
        <w:rPr>
          <w:rStyle w:val="LineNumber"/>
          <w:bCs/>
        </w:rPr>
        <w:t xml:space="preserve"> is</w:t>
      </w:r>
      <w:r w:rsidRPr="00046DF0">
        <w:rPr>
          <w:rStyle w:val="LineNumber"/>
          <w:bCs/>
        </w:rPr>
        <w:t xml:space="preserve"> a Commission Basis weather normalization </w:t>
      </w:r>
      <w:r>
        <w:rPr>
          <w:rStyle w:val="LineNumber"/>
          <w:bCs/>
        </w:rPr>
        <w:t xml:space="preserve">restating </w:t>
      </w:r>
      <w:r w:rsidRPr="00046DF0">
        <w:rPr>
          <w:rStyle w:val="LineNumber"/>
          <w:bCs/>
        </w:rPr>
        <w:t xml:space="preserve">adjustment.  Revenues for this adjustment are based on rates that were in effect during the </w:t>
      </w:r>
      <w:r>
        <w:rPr>
          <w:rStyle w:val="LineNumber"/>
          <w:bCs/>
        </w:rPr>
        <w:t>January</w:t>
      </w:r>
      <w:r w:rsidRPr="00046DF0">
        <w:rPr>
          <w:rStyle w:val="LineNumber"/>
          <w:bCs/>
        </w:rPr>
        <w:t xml:space="preserve"> 201</w:t>
      </w:r>
      <w:r>
        <w:rPr>
          <w:rStyle w:val="LineNumber"/>
          <w:bCs/>
        </w:rPr>
        <w:t>6</w:t>
      </w:r>
      <w:r w:rsidRPr="00046DF0">
        <w:rPr>
          <w:rStyle w:val="LineNumber"/>
          <w:bCs/>
        </w:rPr>
        <w:t xml:space="preserve"> through </w:t>
      </w:r>
      <w:r>
        <w:rPr>
          <w:rStyle w:val="LineNumber"/>
          <w:bCs/>
        </w:rPr>
        <w:t>December</w:t>
      </w:r>
      <w:r w:rsidRPr="00046DF0">
        <w:rPr>
          <w:rStyle w:val="LineNumber"/>
          <w:bCs/>
        </w:rPr>
        <w:t xml:space="preserve"> 201</w:t>
      </w:r>
      <w:r>
        <w:rPr>
          <w:rStyle w:val="LineNumber"/>
          <w:bCs/>
        </w:rPr>
        <w:t xml:space="preserve">6 test period, and </w:t>
      </w:r>
      <w:proofErr w:type="spellStart"/>
      <w:r>
        <w:rPr>
          <w:rStyle w:val="LineNumber"/>
          <w:bCs/>
        </w:rPr>
        <w:t>therm</w:t>
      </w:r>
      <w:proofErr w:type="spellEnd"/>
      <w:r>
        <w:rPr>
          <w:rStyle w:val="LineNumber"/>
          <w:bCs/>
        </w:rPr>
        <w:t xml:space="preserve"> sales and revenues have been adjusted to reflect normal weather conditions.  The weather-related revenues associated with the Company’s natural gas decoupling </w:t>
      </w:r>
      <w:r>
        <w:rPr>
          <w:rStyle w:val="LineNumber"/>
          <w:bCs/>
        </w:rPr>
        <w:lastRenderedPageBreak/>
        <w:t xml:space="preserve">mechanism are removed in this adjustment, as </w:t>
      </w:r>
      <w:proofErr w:type="spellStart"/>
      <w:r>
        <w:rPr>
          <w:rStyle w:val="LineNumber"/>
          <w:bCs/>
        </w:rPr>
        <w:t>therm</w:t>
      </w:r>
      <w:proofErr w:type="spellEnd"/>
      <w:r>
        <w:rPr>
          <w:rStyle w:val="LineNumber"/>
          <w:bCs/>
        </w:rPr>
        <w:t xml:space="preserve"> sales and revenues have been normalized to reflect normal weather conditions.</w:t>
      </w:r>
    </w:p>
    <w:p w:rsidR="0027260A" w:rsidRPr="00046DF0" w:rsidRDefault="0027260A" w:rsidP="0027260A">
      <w:pPr>
        <w:pStyle w:val="BodyText2"/>
        <w:tabs>
          <w:tab w:val="left" w:pos="1440"/>
        </w:tabs>
        <w:ind w:firstLine="720"/>
        <w:rPr>
          <w:rStyle w:val="LineNumber"/>
          <w:bCs/>
        </w:rPr>
      </w:pPr>
      <w:r w:rsidRPr="00A6717C">
        <w:rPr>
          <w:rStyle w:val="LineNumber"/>
          <w:b/>
          <w:bCs/>
        </w:rPr>
        <w:t>2</w:t>
      </w:r>
      <w:r>
        <w:rPr>
          <w:rStyle w:val="LineNumber"/>
          <w:b/>
          <w:bCs/>
        </w:rPr>
        <w:t>.</w:t>
      </w:r>
      <w:r w:rsidRPr="00046DF0">
        <w:rPr>
          <w:rStyle w:val="LineNumber"/>
          <w:bCs/>
        </w:rPr>
        <w:t xml:space="preserve"> </w:t>
      </w:r>
      <w:r w:rsidRPr="005F5D7B">
        <w:rPr>
          <w:rStyle w:val="LineNumber"/>
          <w:b/>
          <w:bCs/>
        </w:rPr>
        <w:t>Eliminate Adder Schedules</w:t>
      </w:r>
      <w:r>
        <w:rPr>
          <w:rStyle w:val="LineNumber"/>
          <w:bCs/>
        </w:rPr>
        <w:t xml:space="preserve">:  </w:t>
      </w:r>
      <w:r w:rsidRPr="00046DF0">
        <w:rPr>
          <w:rStyle w:val="LineNumber"/>
          <w:bCs/>
        </w:rPr>
        <w:t xml:space="preserve">In addition to the weather normalization adjustment, </w:t>
      </w:r>
      <w:r>
        <w:rPr>
          <w:rStyle w:val="LineNumber"/>
          <w:bCs/>
        </w:rPr>
        <w:t>Ms. Andrews’ study</w:t>
      </w:r>
      <w:r w:rsidRPr="00046DF0">
        <w:rPr>
          <w:rStyle w:val="LineNumber"/>
          <w:bCs/>
        </w:rPr>
        <w:t xml:space="preserve"> also include</w:t>
      </w:r>
      <w:r>
        <w:rPr>
          <w:rStyle w:val="LineNumber"/>
          <w:bCs/>
        </w:rPr>
        <w:t>s</w:t>
      </w:r>
      <w:r w:rsidRPr="00046DF0">
        <w:rPr>
          <w:rStyle w:val="LineNumber"/>
          <w:bCs/>
        </w:rPr>
        <w:t xml:space="preserve"> an Eliminate Adder Schedules </w:t>
      </w:r>
      <w:r>
        <w:rPr>
          <w:rStyle w:val="LineNumber"/>
          <w:bCs/>
        </w:rPr>
        <w:t xml:space="preserve">restating </w:t>
      </w:r>
      <w:r w:rsidRPr="00046DF0">
        <w:rPr>
          <w:rStyle w:val="LineNumber"/>
          <w:bCs/>
        </w:rPr>
        <w:t>adjustment</w:t>
      </w:r>
      <w:r>
        <w:rPr>
          <w:rStyle w:val="LineNumber"/>
          <w:bCs/>
        </w:rPr>
        <w:t xml:space="preserve"> in column 2.11 of </w:t>
      </w:r>
      <w:proofErr w:type="spellStart"/>
      <w:r>
        <w:rPr>
          <w:rStyle w:val="LineNumber"/>
          <w:bCs/>
        </w:rPr>
        <w:t>Exh</w:t>
      </w:r>
      <w:proofErr w:type="spellEnd"/>
      <w:r>
        <w:rPr>
          <w:rStyle w:val="LineNumber"/>
          <w:bCs/>
        </w:rPr>
        <w:t xml:space="preserve">. EMA-7, page </w:t>
      </w:r>
      <w:r w:rsidR="000B6DDE" w:rsidRPr="000B6DDE">
        <w:rPr>
          <w:rStyle w:val="LineNumber"/>
          <w:bCs/>
        </w:rPr>
        <w:t>6</w:t>
      </w:r>
      <w:r>
        <w:rPr>
          <w:rStyle w:val="LineNumber"/>
          <w:bCs/>
        </w:rPr>
        <w:t>,</w:t>
      </w:r>
      <w:r w:rsidRPr="00046DF0">
        <w:rPr>
          <w:rStyle w:val="LineNumber"/>
          <w:bCs/>
        </w:rPr>
        <w:t xml:space="preserve"> which removes the impact of adder schedule revenues and related expenses during the </w:t>
      </w:r>
      <w:r>
        <w:rPr>
          <w:rStyle w:val="LineNumber"/>
          <w:bCs/>
        </w:rPr>
        <w:t>January</w:t>
      </w:r>
      <w:r w:rsidRPr="00046DF0">
        <w:rPr>
          <w:rStyle w:val="LineNumber"/>
          <w:bCs/>
        </w:rPr>
        <w:t xml:space="preserve"> 201</w:t>
      </w:r>
      <w:r>
        <w:rPr>
          <w:rStyle w:val="LineNumber"/>
          <w:bCs/>
        </w:rPr>
        <w:t>6</w:t>
      </w:r>
      <w:r w:rsidRPr="00046DF0">
        <w:rPr>
          <w:rStyle w:val="LineNumber"/>
          <w:bCs/>
        </w:rPr>
        <w:t xml:space="preserve"> through </w:t>
      </w:r>
      <w:r>
        <w:rPr>
          <w:rStyle w:val="LineNumber"/>
          <w:bCs/>
        </w:rPr>
        <w:t>December</w:t>
      </w:r>
      <w:r w:rsidRPr="00046DF0">
        <w:rPr>
          <w:rStyle w:val="LineNumber"/>
          <w:bCs/>
        </w:rPr>
        <w:t xml:space="preserve"> 201</w:t>
      </w:r>
      <w:r>
        <w:rPr>
          <w:rStyle w:val="LineNumber"/>
          <w:bCs/>
        </w:rPr>
        <w:t>6</w:t>
      </w:r>
      <w:r w:rsidRPr="00046DF0">
        <w:rPr>
          <w:rStyle w:val="LineNumber"/>
          <w:bCs/>
        </w:rPr>
        <w:t xml:space="preserve"> test period.</w:t>
      </w:r>
    </w:p>
    <w:p w:rsidR="0027260A" w:rsidRDefault="0027260A" w:rsidP="0027260A">
      <w:pPr>
        <w:pStyle w:val="BodyText2"/>
        <w:tabs>
          <w:tab w:val="left" w:pos="1440"/>
        </w:tabs>
        <w:ind w:firstLine="720"/>
        <w:rPr>
          <w:rStyle w:val="LineNumber"/>
          <w:bCs/>
        </w:rPr>
      </w:pPr>
      <w:r w:rsidRPr="00A6717C">
        <w:rPr>
          <w:rStyle w:val="LineNumber"/>
          <w:b/>
          <w:bCs/>
        </w:rPr>
        <w:t>3</w:t>
      </w:r>
      <w:r>
        <w:rPr>
          <w:rStyle w:val="LineNumber"/>
          <w:b/>
          <w:bCs/>
        </w:rPr>
        <w:t>.</w:t>
      </w:r>
      <w:r w:rsidRPr="00046DF0">
        <w:rPr>
          <w:rStyle w:val="LineNumber"/>
          <w:bCs/>
        </w:rPr>
        <w:t xml:space="preserve"> </w:t>
      </w:r>
      <w:r w:rsidRPr="005F5D7B">
        <w:rPr>
          <w:rStyle w:val="LineNumber"/>
          <w:b/>
          <w:bCs/>
        </w:rPr>
        <w:t>Pro Forma Revenue</w:t>
      </w:r>
      <w:r>
        <w:rPr>
          <w:rStyle w:val="LineNumber"/>
          <w:bCs/>
        </w:rPr>
        <w:t xml:space="preserve">:  </w:t>
      </w:r>
      <w:r w:rsidRPr="00046DF0">
        <w:rPr>
          <w:rStyle w:val="LineNumber"/>
          <w:bCs/>
        </w:rPr>
        <w:t xml:space="preserve"> The Pro Forma Revenue Normalization Adjustment in </w:t>
      </w:r>
      <w:r w:rsidRPr="008959F0">
        <w:rPr>
          <w:rStyle w:val="LineNumber"/>
          <w:bCs/>
        </w:rPr>
        <w:t xml:space="preserve">column </w:t>
      </w:r>
      <w:r>
        <w:rPr>
          <w:rStyle w:val="LineNumber"/>
          <w:bCs/>
        </w:rPr>
        <w:t>3.08</w:t>
      </w:r>
      <w:r w:rsidRPr="008959F0">
        <w:rPr>
          <w:rStyle w:val="LineNumber"/>
          <w:bCs/>
        </w:rPr>
        <w:t xml:space="preserve"> of </w:t>
      </w:r>
      <w:proofErr w:type="spellStart"/>
      <w:r>
        <w:rPr>
          <w:rStyle w:val="LineNumber"/>
          <w:bCs/>
        </w:rPr>
        <w:t>Exh</w:t>
      </w:r>
      <w:proofErr w:type="spellEnd"/>
      <w:r>
        <w:rPr>
          <w:rStyle w:val="LineNumber"/>
          <w:bCs/>
        </w:rPr>
        <w:t xml:space="preserve">. EMA-7, page </w:t>
      </w:r>
      <w:r w:rsidR="000B6DDE">
        <w:rPr>
          <w:rStyle w:val="LineNumber"/>
          <w:bCs/>
        </w:rPr>
        <w:t>7</w:t>
      </w:r>
      <w:r w:rsidRPr="000B6DDE">
        <w:rPr>
          <w:rStyle w:val="LineNumber"/>
          <w:bCs/>
        </w:rPr>
        <w:t>,</w:t>
      </w:r>
      <w:r w:rsidRPr="00046DF0">
        <w:rPr>
          <w:rStyle w:val="LineNumber"/>
          <w:bCs/>
        </w:rPr>
        <w:t xml:space="preserve"> adjusts </w:t>
      </w:r>
      <w:r>
        <w:rPr>
          <w:rStyle w:val="LineNumber"/>
          <w:bCs/>
        </w:rPr>
        <w:t>January</w:t>
      </w:r>
      <w:r w:rsidRPr="00046DF0">
        <w:rPr>
          <w:rStyle w:val="LineNumber"/>
          <w:bCs/>
        </w:rPr>
        <w:t xml:space="preserve"> 201</w:t>
      </w:r>
      <w:r>
        <w:rPr>
          <w:rStyle w:val="LineNumber"/>
          <w:bCs/>
        </w:rPr>
        <w:t>6</w:t>
      </w:r>
      <w:r w:rsidRPr="00046DF0">
        <w:rPr>
          <w:rStyle w:val="LineNumber"/>
          <w:bCs/>
        </w:rPr>
        <w:t xml:space="preserve"> through </w:t>
      </w:r>
      <w:r>
        <w:rPr>
          <w:rStyle w:val="LineNumber"/>
          <w:bCs/>
        </w:rPr>
        <w:t>December</w:t>
      </w:r>
      <w:r w:rsidRPr="00046DF0">
        <w:rPr>
          <w:rStyle w:val="LineNumber"/>
          <w:bCs/>
        </w:rPr>
        <w:t xml:space="preserve"> 201</w:t>
      </w:r>
      <w:r>
        <w:rPr>
          <w:rStyle w:val="LineNumber"/>
          <w:bCs/>
        </w:rPr>
        <w:t>6</w:t>
      </w:r>
      <w:r w:rsidRPr="00046DF0">
        <w:rPr>
          <w:rStyle w:val="LineNumber"/>
          <w:bCs/>
        </w:rPr>
        <w:t xml:space="preserve"> test period customers and usage for any known and measurable (pro forma) changes.  In addition, the adjustment re-prices billed, unbilled, and weather adjusted usage at the base tariff rates approved for 2016, as if the January 11, 2016 </w:t>
      </w:r>
      <w:r>
        <w:rPr>
          <w:rStyle w:val="LineNumber"/>
          <w:bCs/>
        </w:rPr>
        <w:t>base tariff rates</w:t>
      </w:r>
      <w:r w:rsidRPr="00046DF0">
        <w:rPr>
          <w:rStyle w:val="LineNumber"/>
          <w:bCs/>
        </w:rPr>
        <w:t xml:space="preserve"> were effective for the full 12-months of the test year.</w:t>
      </w:r>
      <w:r>
        <w:rPr>
          <w:rStyle w:val="LineNumber"/>
          <w:bCs/>
        </w:rPr>
        <w:t xml:space="preserve">  </w:t>
      </w:r>
    </w:p>
    <w:p w:rsidR="0027260A" w:rsidRDefault="0027260A" w:rsidP="0027260A">
      <w:pPr>
        <w:pStyle w:val="BodyText2"/>
        <w:tabs>
          <w:tab w:val="left" w:pos="1440"/>
        </w:tabs>
        <w:ind w:firstLine="720"/>
        <w:rPr>
          <w:rStyle w:val="LineNumber"/>
          <w:bCs/>
        </w:rPr>
      </w:pPr>
    </w:p>
    <w:p w:rsidR="00387CD5" w:rsidRPr="00387CD5" w:rsidRDefault="00387CD5" w:rsidP="00387CD5">
      <w:pPr>
        <w:pStyle w:val="BodyText2"/>
        <w:tabs>
          <w:tab w:val="left" w:pos="1440"/>
        </w:tabs>
        <w:rPr>
          <w:rStyle w:val="LineNumber"/>
          <w:b/>
          <w:bCs/>
          <w:u w:val="single"/>
        </w:rPr>
      </w:pPr>
      <w:r w:rsidRPr="00387CD5">
        <w:rPr>
          <w:rStyle w:val="LineNumber"/>
          <w:b/>
          <w:bCs/>
          <w:u w:val="single"/>
        </w:rPr>
        <w:t>Weather Normalization</w:t>
      </w:r>
      <w:r>
        <w:rPr>
          <w:rStyle w:val="LineNumber"/>
          <w:b/>
          <w:bCs/>
          <w:u w:val="single"/>
        </w:rPr>
        <w:t>:</w:t>
      </w:r>
    </w:p>
    <w:p w:rsidR="00061F80" w:rsidRPr="00BA18B1" w:rsidRDefault="00061F80" w:rsidP="00061F80">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begin with the </w:t>
      </w:r>
      <w:r>
        <w:rPr>
          <w:rStyle w:val="LineNumber"/>
          <w:b/>
          <w:bCs/>
          <w:u w:val="single"/>
        </w:rPr>
        <w:t>first revenue normalizing</w:t>
      </w:r>
      <w:r w:rsidR="004B6917">
        <w:rPr>
          <w:rStyle w:val="LineNumber"/>
          <w:b/>
          <w:bCs/>
        </w:rPr>
        <w:t xml:space="preserve"> adjustment in the EOP Rate Base </w:t>
      </w:r>
      <w:r w:rsidR="0027260A">
        <w:rPr>
          <w:rStyle w:val="LineNumber"/>
          <w:b/>
          <w:bCs/>
        </w:rPr>
        <w:t>Study</w:t>
      </w:r>
      <w:r>
        <w:rPr>
          <w:rStyle w:val="LineNumber"/>
          <w:b/>
          <w:bCs/>
        </w:rPr>
        <w:t>.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w:t>
      </w:r>
      <w:r w:rsidRPr="00BA18B1">
        <w:rPr>
          <w:rStyle w:val="LineNumber"/>
        </w:rPr>
        <w:lastRenderedPageBreak/>
        <w:t>day data.  The resulting seasonal weather sensitivity factors</w:t>
      </w:r>
      <w:r>
        <w:rPr>
          <w:rStyle w:val="LineNumber"/>
        </w:rPr>
        <w:t xml:space="preserve"> (use-per-customer-per-heating-degree day) </w:t>
      </w:r>
      <w:r w:rsidR="004B6917">
        <w:rPr>
          <w:rStyle w:val="LineNumber"/>
        </w:rPr>
        <w:t>are multiplied by the</w:t>
      </w:r>
      <w:r w:rsidRPr="00BA18B1">
        <w:rPr>
          <w:rStyle w:val="LineNumber"/>
        </w:rPr>
        <w:t xml:space="preserve"> monthly test period </w:t>
      </w:r>
      <w:r w:rsidR="004B6917">
        <w:rPr>
          <w:rStyle w:val="LineNumber"/>
        </w:rPr>
        <w:t xml:space="preserve">number of </w:t>
      </w:r>
      <w:r w:rsidRPr="00BA18B1">
        <w:rPr>
          <w:rStyle w:val="LineNumber"/>
        </w:rPr>
        <w:t>customers</w:t>
      </w:r>
      <w:r w:rsidR="004B6917">
        <w:rPr>
          <w:rStyle w:val="LineNumber"/>
        </w:rPr>
        <w:t xml:space="preserve">, which </w:t>
      </w:r>
      <w:r w:rsidR="00CC0801">
        <w:rPr>
          <w:rStyle w:val="LineNumber"/>
        </w:rPr>
        <w:t xml:space="preserve">is </w:t>
      </w:r>
      <w:r w:rsidR="004B6917">
        <w:rPr>
          <w:rStyle w:val="LineNumber"/>
        </w:rPr>
        <w:t>then multiplied by the difference between normal and actual heating degree-days</w:t>
      </w:r>
      <w:r w:rsidRPr="00BA18B1">
        <w:rPr>
          <w:rStyle w:val="LineNumber"/>
        </w:rPr>
        <w:t xml:space="preserve">.  This calculation produces the change in </w:t>
      </w:r>
      <w:proofErr w:type="spellStart"/>
      <w:r w:rsidRPr="00BA18B1">
        <w:rPr>
          <w:rStyle w:val="LineNumber"/>
        </w:rPr>
        <w:t>therm</w:t>
      </w:r>
      <w:proofErr w:type="spellEnd"/>
      <w:r w:rsidRPr="00BA18B1">
        <w:rPr>
          <w:rStyle w:val="LineNumber"/>
        </w:rPr>
        <w:t xml:space="preserve">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00D9087C" w:rsidRPr="00D9087C">
        <w:rPr>
          <w:rStyle w:val="LineNumber"/>
          <w:b/>
        </w:rPr>
        <w:t>January 2006 through December 2015</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w:t>
      </w:r>
      <w:r w:rsidR="00BB6FA2">
        <w:rPr>
          <w:rStyle w:val="LineNumber"/>
        </w:rPr>
        <w:t>des the 30-year period from 1</w:t>
      </w:r>
      <w:r w:rsidR="00D9087C">
        <w:rPr>
          <w:rStyle w:val="LineNumber"/>
        </w:rPr>
        <w:t>987</w:t>
      </w:r>
      <w:r w:rsidR="00C33A08">
        <w:rPr>
          <w:rStyle w:val="LineNumber"/>
        </w:rPr>
        <w:t xml:space="preserve"> through 201</w:t>
      </w:r>
      <w:r w:rsidR="00D9087C">
        <w:rPr>
          <w:rStyle w:val="LineNumber"/>
        </w:rPr>
        <w:t>6</w:t>
      </w:r>
      <w:r w:rsidR="00C33A08">
        <w:rPr>
          <w:rStyle w:val="LineNumber"/>
        </w:rPr>
        <w:t>.</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00D9087C">
        <w:rPr>
          <w:rStyle w:val="LineNumber"/>
        </w:rPr>
        <w:t>No. UG-160229</w:t>
      </w:r>
      <w:r>
        <w:rPr>
          <w:rStyle w:val="LineNumber"/>
        </w:rPr>
        <w:t>.</w:t>
      </w:r>
      <w:r w:rsidRPr="00840152">
        <w:rPr>
          <w:rStyle w:val="LineNumber"/>
        </w:rPr>
        <w:t xml:space="preserve"> </w:t>
      </w:r>
      <w:r>
        <w:rPr>
          <w:rStyle w:val="LineNumber"/>
        </w:rPr>
        <w:t xml:space="preserve"> This methodology has been used in every case since it was introduced in Docket No. UG-070805.  </w:t>
      </w:r>
    </w:p>
    <w:p w:rsidR="00D41C2B" w:rsidRPr="00BA18B1" w:rsidRDefault="00D41C2B" w:rsidP="00D41C2B">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 xml:space="preserve">What was the impact of natural gas weather normalization on the </w:t>
      </w:r>
      <w:r w:rsidR="003C545E">
        <w:rPr>
          <w:rStyle w:val="LineNumber"/>
          <w:b/>
          <w:bCs/>
        </w:rPr>
        <w:t>12-</w:t>
      </w:r>
      <w:r>
        <w:rPr>
          <w:rStyle w:val="LineNumber"/>
          <w:b/>
          <w:bCs/>
        </w:rPr>
        <w:t xml:space="preserve">months ended </w:t>
      </w:r>
      <w:r w:rsidR="00D9087C">
        <w:rPr>
          <w:rStyle w:val="LineNumber"/>
          <w:b/>
          <w:bCs/>
        </w:rPr>
        <w:t>December 2016</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t>A.</w:t>
      </w:r>
      <w:r w:rsidRPr="00BA18B1">
        <w:rPr>
          <w:rStyle w:val="LineNumber"/>
        </w:rPr>
        <w:tab/>
      </w:r>
      <w:r w:rsidRPr="003F1F28">
        <w:rPr>
          <w:rStyle w:val="LineNumber"/>
        </w:rPr>
        <w:t xml:space="preserve">Weather was </w:t>
      </w:r>
      <w:r w:rsidR="0009223D">
        <w:rPr>
          <w:rStyle w:val="LineNumber"/>
        </w:rPr>
        <w:t>warmer</w:t>
      </w:r>
      <w:r w:rsidRPr="003F1F28">
        <w:rPr>
          <w:rStyle w:val="LineNumber"/>
        </w:rPr>
        <w:t xml:space="preserve"> than normal </w:t>
      </w:r>
      <w:r w:rsidR="0009223D">
        <w:rPr>
          <w:rStyle w:val="LineNumber"/>
        </w:rPr>
        <w:t>during</w:t>
      </w:r>
      <w:r w:rsidRPr="003F1F28">
        <w:rPr>
          <w:rStyle w:val="LineNumber"/>
        </w:rPr>
        <w:t xml:space="preserve"> the</w:t>
      </w:r>
      <w:r w:rsidR="0009223D">
        <w:rPr>
          <w:rStyle w:val="LineNumber"/>
        </w:rPr>
        <w:t xml:space="preserve"> </w:t>
      </w:r>
      <w:r w:rsidR="00D9087C">
        <w:rPr>
          <w:rStyle w:val="LineNumber"/>
        </w:rPr>
        <w:t>January 2016</w:t>
      </w:r>
      <w:r w:rsidR="0009223D">
        <w:rPr>
          <w:rStyle w:val="LineNumber"/>
        </w:rPr>
        <w:t xml:space="preserve"> through </w:t>
      </w:r>
      <w:r w:rsidR="003C5C51">
        <w:rPr>
          <w:rStyle w:val="LineNumber"/>
        </w:rPr>
        <w:t>December 2016</w:t>
      </w:r>
      <w:r w:rsidR="0009223D">
        <w:rPr>
          <w:rStyle w:val="LineNumber"/>
        </w:rPr>
        <w:t xml:space="preserve"> period</w:t>
      </w:r>
      <w:r w:rsidRPr="003F1F28">
        <w:rPr>
          <w:rStyle w:val="LineNumber"/>
        </w:rPr>
        <w:t xml:space="preserve">.  The adjustment to normal required the </w:t>
      </w:r>
      <w:r w:rsidR="00ED447D">
        <w:rPr>
          <w:rStyle w:val="LineNumber"/>
        </w:rPr>
        <w:t>addition</w:t>
      </w:r>
      <w:r>
        <w:rPr>
          <w:rStyle w:val="LineNumber"/>
        </w:rPr>
        <w:t xml:space="preserve"> of </w:t>
      </w:r>
      <w:r w:rsidR="003C5C51">
        <w:rPr>
          <w:rStyle w:val="LineNumber"/>
        </w:rPr>
        <w:t>766</w:t>
      </w:r>
      <w:r w:rsidRPr="003F1F28">
        <w:rPr>
          <w:rStyle w:val="LineNumber"/>
        </w:rPr>
        <w:t xml:space="preserve"> heating degree-days from </w:t>
      </w:r>
      <w:r w:rsidR="003C5C51">
        <w:rPr>
          <w:rStyle w:val="LineNumber"/>
        </w:rPr>
        <w:t>January</w:t>
      </w:r>
      <w:r w:rsidRPr="003F1F28">
        <w:rPr>
          <w:rStyle w:val="LineNumber"/>
        </w:rPr>
        <w:t xml:space="preserve"> through </w:t>
      </w:r>
      <w:r w:rsidR="003C5C51">
        <w:rPr>
          <w:rStyle w:val="LineNumber"/>
        </w:rPr>
        <w:t>June</w:t>
      </w:r>
      <w:r w:rsidRPr="003F1F28">
        <w:rPr>
          <w:rStyle w:val="LineNumber"/>
        </w:rPr>
        <w:t xml:space="preserve"> and </w:t>
      </w:r>
      <w:r w:rsidR="003C5C51">
        <w:rPr>
          <w:rStyle w:val="LineNumber"/>
        </w:rPr>
        <w:t>October</w:t>
      </w:r>
      <w:r w:rsidRPr="003F1F28">
        <w:rPr>
          <w:rStyle w:val="LineNumber"/>
        </w:rPr>
        <w:t xml:space="preserve"> through </w:t>
      </w:r>
      <w:r w:rsidR="003C5C51">
        <w:rPr>
          <w:rStyle w:val="LineNumber"/>
        </w:rPr>
        <w:t>December</w:t>
      </w:r>
      <w:r w:rsidRPr="003F1F28">
        <w:rPr>
          <w:rStyle w:val="LineNumber"/>
        </w:rPr>
        <w:t>.</w:t>
      </w:r>
      <w:r w:rsidRPr="003F1F28">
        <w:rPr>
          <w:rStyle w:val="FootnoteReference"/>
        </w:rPr>
        <w:footnoteReference w:id="2"/>
      </w:r>
      <w:r w:rsidRPr="003F1F28">
        <w:rPr>
          <w:rStyle w:val="LineNumber"/>
        </w:rPr>
        <w:t xml:space="preserve">  The ad</w:t>
      </w:r>
      <w:r w:rsidR="00625028">
        <w:rPr>
          <w:rStyle w:val="LineNumber"/>
        </w:rPr>
        <w:t>justment to sales volumes was a</w:t>
      </w:r>
      <w:r w:rsidR="00ED447D">
        <w:rPr>
          <w:rStyle w:val="LineNumber"/>
        </w:rPr>
        <w:t>n</w:t>
      </w:r>
      <w:r w:rsidRPr="003F1F28">
        <w:rPr>
          <w:rStyle w:val="LineNumber"/>
        </w:rPr>
        <w:t xml:space="preserve"> </w:t>
      </w:r>
      <w:r w:rsidR="00ED447D">
        <w:rPr>
          <w:rStyle w:val="LineNumber"/>
        </w:rPr>
        <w:t>addition</w:t>
      </w:r>
      <w:r w:rsidR="003C5C51">
        <w:rPr>
          <w:rStyle w:val="LineNumber"/>
        </w:rPr>
        <w:t xml:space="preserve"> of 14,281,467</w:t>
      </w:r>
      <w:r w:rsidRPr="003F1F28">
        <w:rPr>
          <w:rStyle w:val="LineNumber"/>
        </w:rPr>
        <w:t xml:space="preserve"> </w:t>
      </w:r>
      <w:proofErr w:type="spellStart"/>
      <w:r w:rsidRPr="003F1F28">
        <w:rPr>
          <w:rStyle w:val="LineNumber"/>
        </w:rPr>
        <w:t>therms</w:t>
      </w:r>
      <w:proofErr w:type="spellEnd"/>
      <w:r w:rsidRPr="003F1F28">
        <w:rPr>
          <w:rStyle w:val="LineNumber"/>
        </w:rPr>
        <w:t xml:space="preserve"> which is approx</w:t>
      </w:r>
      <w:r w:rsidR="002E6595">
        <w:rPr>
          <w:rStyle w:val="LineNumber"/>
        </w:rPr>
        <w:t>imately 5.7</w:t>
      </w:r>
      <w:r w:rsidRPr="003F1F28">
        <w:rPr>
          <w:rStyle w:val="LineNumber"/>
        </w:rPr>
        <w:t xml:space="preserve">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w:t>
      </w:r>
      <w:r w:rsidR="00ED447D">
        <w:rPr>
          <w:rStyle w:val="LineNumber"/>
        </w:rPr>
        <w:t>increased</w:t>
      </w:r>
      <w:r>
        <w:rPr>
          <w:rStyle w:val="LineNumber"/>
        </w:rPr>
        <w:t xml:space="preserve"> </w:t>
      </w:r>
      <w:r w:rsidR="00B40C2E">
        <w:rPr>
          <w:rStyle w:val="LineNumber"/>
          <w:bCs/>
        </w:rPr>
        <w:t xml:space="preserve">total </w:t>
      </w:r>
      <w:r w:rsidR="00C53F86">
        <w:rPr>
          <w:rStyle w:val="LineNumber"/>
          <w:bCs/>
        </w:rPr>
        <w:t xml:space="preserve">natural </w:t>
      </w:r>
      <w:r w:rsidR="00B40C2E">
        <w:rPr>
          <w:rStyle w:val="LineNumber"/>
          <w:bCs/>
        </w:rPr>
        <w:t xml:space="preserve">gas </w:t>
      </w:r>
      <w:r w:rsidR="001A6119">
        <w:rPr>
          <w:rStyle w:val="LineNumber"/>
          <w:bCs/>
        </w:rPr>
        <w:t>revenue</w:t>
      </w:r>
      <w:r w:rsidR="00DC5685">
        <w:rPr>
          <w:rStyle w:val="LineNumber"/>
          <w:bCs/>
        </w:rPr>
        <w:t xml:space="preserve"> by </w:t>
      </w:r>
      <w:r w:rsidR="00905FAE">
        <w:rPr>
          <w:rStyle w:val="LineNumber"/>
          <w:bCs/>
        </w:rPr>
        <w:t>$11,209</w:t>
      </w:r>
      <w:r w:rsidR="00B533F4">
        <w:rPr>
          <w:rStyle w:val="LineNumber"/>
          <w:bCs/>
        </w:rPr>
        <w:t xml:space="preserve">,000, which after </w:t>
      </w:r>
      <w:r w:rsidR="006D0CFD">
        <w:rPr>
          <w:rStyle w:val="LineNumber"/>
          <w:bCs/>
        </w:rPr>
        <w:t>the</w:t>
      </w:r>
      <w:r w:rsidR="00B533F4">
        <w:rPr>
          <w:rStyle w:val="LineNumber"/>
          <w:bCs/>
        </w:rPr>
        <w:t xml:space="preserve"> offsetting reduction to </w:t>
      </w:r>
      <w:r w:rsidR="00905FAE">
        <w:rPr>
          <w:rStyle w:val="LineNumber"/>
          <w:bCs/>
        </w:rPr>
        <w:t>purchased gas expense of $5,280</w:t>
      </w:r>
      <w:r w:rsidR="00B533F4">
        <w:rPr>
          <w:rStyle w:val="LineNumber"/>
          <w:bCs/>
        </w:rPr>
        <w:t>,000</w:t>
      </w:r>
      <w:r w:rsidR="003C545E">
        <w:rPr>
          <w:rStyle w:val="LineNumber"/>
          <w:bCs/>
        </w:rPr>
        <w:t>,</w:t>
      </w:r>
      <w:r w:rsidR="00B533F4">
        <w:rPr>
          <w:rStyle w:val="LineNumber"/>
          <w:bCs/>
        </w:rPr>
        <w:t xml:space="preserve"> resulted in an increase to dist</w:t>
      </w:r>
      <w:r w:rsidR="00905FAE">
        <w:rPr>
          <w:rStyle w:val="LineNumber"/>
          <w:bCs/>
        </w:rPr>
        <w:t>ribution margin of $5,929</w:t>
      </w:r>
      <w:r w:rsidR="00E13A19">
        <w:rPr>
          <w:rStyle w:val="LineNumber"/>
          <w:bCs/>
        </w:rPr>
        <w:t xml:space="preserve">,000. </w:t>
      </w:r>
      <w:r w:rsidR="00B533F4">
        <w:rPr>
          <w:rStyle w:val="LineNumber"/>
          <w:bCs/>
        </w:rPr>
        <w:t xml:space="preserve"> The combined effect of netting the increase to distribution margin against the dec</w:t>
      </w:r>
      <w:r w:rsidR="00905FAE">
        <w:rPr>
          <w:rStyle w:val="LineNumber"/>
          <w:bCs/>
        </w:rPr>
        <w:t>oupling revenue offset of $5,427</w:t>
      </w:r>
      <w:r w:rsidR="00B533F4">
        <w:rPr>
          <w:rStyle w:val="LineNumber"/>
          <w:bCs/>
        </w:rPr>
        <w:t>,000, resulted</w:t>
      </w:r>
      <w:r w:rsidR="00F60FB6">
        <w:rPr>
          <w:rStyle w:val="LineNumber"/>
          <w:bCs/>
        </w:rPr>
        <w:t xml:space="preserve"> in a net </w:t>
      </w:r>
      <w:r w:rsidR="00B533F4">
        <w:rPr>
          <w:rStyle w:val="LineNumber"/>
          <w:bCs/>
        </w:rPr>
        <w:t>margin</w:t>
      </w:r>
      <w:r w:rsidR="00F60FB6">
        <w:rPr>
          <w:rStyle w:val="LineNumber"/>
          <w:bCs/>
        </w:rPr>
        <w:t xml:space="preserve"> weather adjustment of </w:t>
      </w:r>
      <w:r w:rsidR="00DC5685">
        <w:rPr>
          <w:rStyle w:val="LineNumber"/>
          <w:bCs/>
        </w:rPr>
        <w:t>$</w:t>
      </w:r>
      <w:r w:rsidR="00212F80">
        <w:rPr>
          <w:rStyle w:val="LineNumber"/>
          <w:bCs/>
        </w:rPr>
        <w:t>502</w:t>
      </w:r>
      <w:r>
        <w:rPr>
          <w:rStyle w:val="LineNumber"/>
          <w:bCs/>
        </w:rPr>
        <w:t>,000</w:t>
      </w:r>
      <w:r w:rsidR="00F60FB6">
        <w:rPr>
          <w:rStyle w:val="LineNumber"/>
          <w:bCs/>
        </w:rPr>
        <w:t>.</w:t>
      </w:r>
      <w:r w:rsidR="001622A7">
        <w:rPr>
          <w:rStyle w:val="FootnoteReference"/>
          <w:bCs/>
        </w:rPr>
        <w:footnoteReference w:id="3"/>
      </w:r>
      <w:r w:rsidR="00F60FB6">
        <w:rPr>
          <w:rStyle w:val="LineNumber"/>
          <w:bCs/>
        </w:rPr>
        <w:t xml:space="preserve"> A</w:t>
      </w:r>
      <w:r>
        <w:rPr>
          <w:rStyle w:val="LineNumber"/>
          <w:bCs/>
        </w:rPr>
        <w:t xml:space="preserve">fter </w:t>
      </w:r>
      <w:r w:rsidR="00E15BE1">
        <w:rPr>
          <w:rStyle w:val="LineNumber"/>
          <w:bCs/>
        </w:rPr>
        <w:t>a</w:t>
      </w:r>
      <w:r w:rsidR="00B40C2E">
        <w:rPr>
          <w:rStyle w:val="LineNumber"/>
          <w:bCs/>
        </w:rPr>
        <w:t>n offsetting reduction</w:t>
      </w:r>
      <w:r w:rsidR="00C2586F">
        <w:rPr>
          <w:rStyle w:val="LineNumber"/>
          <w:bCs/>
        </w:rPr>
        <w:t xml:space="preserve"> for</w:t>
      </w:r>
      <w:r w:rsidR="00B40C2E">
        <w:rPr>
          <w:rStyle w:val="LineNumber"/>
          <w:bCs/>
        </w:rPr>
        <w:t xml:space="preserve"> </w:t>
      </w:r>
      <w:r>
        <w:rPr>
          <w:rStyle w:val="LineNumber"/>
          <w:bCs/>
        </w:rPr>
        <w:t>revenue related expenses and taxes</w:t>
      </w:r>
      <w:r w:rsidR="0013029B">
        <w:rPr>
          <w:rStyle w:val="LineNumber"/>
          <w:bCs/>
        </w:rPr>
        <w:t>,</w:t>
      </w:r>
      <w:r w:rsidR="00337EDB">
        <w:rPr>
          <w:rStyle w:val="LineNumber"/>
          <w:bCs/>
        </w:rPr>
        <w:t xml:space="preserve"> </w:t>
      </w:r>
      <w:r w:rsidR="00D30104">
        <w:rPr>
          <w:rStyle w:val="LineNumber"/>
          <w:bCs/>
        </w:rPr>
        <w:t xml:space="preserve">the weather normalization adjustment </w:t>
      </w:r>
      <w:r w:rsidR="00337EDB">
        <w:rPr>
          <w:rStyle w:val="LineNumber"/>
          <w:bCs/>
        </w:rPr>
        <w:t>produced a</w:t>
      </w:r>
      <w:r>
        <w:rPr>
          <w:rStyle w:val="LineNumber"/>
          <w:bCs/>
        </w:rPr>
        <w:t xml:space="preserve"> </w:t>
      </w:r>
      <w:r w:rsidR="00212F80">
        <w:rPr>
          <w:rStyle w:val="LineNumber"/>
          <w:bCs/>
        </w:rPr>
        <w:t>decrease</w:t>
      </w:r>
      <w:r w:rsidR="00DC5685">
        <w:rPr>
          <w:rStyle w:val="LineNumber"/>
          <w:bCs/>
        </w:rPr>
        <w:t xml:space="preserve"> to net </w:t>
      </w:r>
      <w:r w:rsidR="00B40C2E">
        <w:rPr>
          <w:rStyle w:val="LineNumber"/>
          <w:bCs/>
        </w:rPr>
        <w:t xml:space="preserve">operating </w:t>
      </w:r>
      <w:r w:rsidR="00DE5F58">
        <w:rPr>
          <w:rStyle w:val="LineNumber"/>
          <w:bCs/>
        </w:rPr>
        <w:t>income of $</w:t>
      </w:r>
      <w:r w:rsidR="00212F80">
        <w:rPr>
          <w:rStyle w:val="LineNumber"/>
          <w:bCs/>
        </w:rPr>
        <w:t>3</w:t>
      </w:r>
      <w:r>
        <w:rPr>
          <w:rStyle w:val="LineNumber"/>
          <w:bCs/>
        </w:rPr>
        <w:t>,000</w:t>
      </w:r>
      <w:r w:rsidR="004B6917">
        <w:rPr>
          <w:rStyle w:val="LineNumber"/>
          <w:bCs/>
        </w:rPr>
        <w:t>, as shown below:</w:t>
      </w:r>
      <w:r w:rsidR="00F60FB6">
        <w:rPr>
          <w:rStyle w:val="LineNumber"/>
          <w:bCs/>
        </w:rPr>
        <w:t xml:space="preserve">  </w:t>
      </w:r>
    </w:p>
    <w:p w:rsidR="00F22A7D" w:rsidRPr="00F22A7D" w:rsidRDefault="0092018E" w:rsidP="00F22A7D">
      <w:pPr>
        <w:autoSpaceDE/>
        <w:autoSpaceDN/>
        <w:rPr>
          <w:rStyle w:val="LineNumber"/>
          <w:bCs/>
        </w:rPr>
      </w:pPr>
      <w:r>
        <w:rPr>
          <w:rStyle w:val="LineNumber"/>
          <w:bCs/>
        </w:rPr>
        <w:br w:type="page"/>
      </w:r>
    </w:p>
    <w:p w:rsidR="00F22A7D" w:rsidRDefault="00F22A7D" w:rsidP="00387CD5">
      <w:pPr>
        <w:pStyle w:val="BodyText2"/>
        <w:tabs>
          <w:tab w:val="left" w:pos="1440"/>
        </w:tabs>
        <w:rPr>
          <w:rStyle w:val="LineNumber"/>
          <w:b/>
          <w:bCs/>
          <w:u w:val="single"/>
        </w:rPr>
      </w:pPr>
      <w:r w:rsidRPr="00F22A7D">
        <w:rPr>
          <w:rStyle w:val="LineNumber"/>
          <w:noProof/>
        </w:rPr>
        <w:lastRenderedPageBreak/>
        <w:drawing>
          <wp:anchor distT="0" distB="0" distL="114300" distR="114300" simplePos="0" relativeHeight="251679744" behindDoc="1" locked="0" layoutInCell="1" allowOverlap="1">
            <wp:simplePos x="0" y="0"/>
            <wp:positionH relativeFrom="column">
              <wp:posOffset>457034</wp:posOffset>
            </wp:positionH>
            <wp:positionV relativeFrom="paragraph">
              <wp:posOffset>7952</wp:posOffset>
            </wp:positionV>
            <wp:extent cx="4102735" cy="1781175"/>
            <wp:effectExtent l="0" t="0" r="0" b="952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73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387CD5" w:rsidRPr="00387CD5" w:rsidRDefault="00387CD5" w:rsidP="00387CD5">
      <w:pPr>
        <w:pStyle w:val="BodyText2"/>
        <w:tabs>
          <w:tab w:val="left" w:pos="1440"/>
        </w:tabs>
        <w:rPr>
          <w:rStyle w:val="LineNumber"/>
          <w:b/>
          <w:bCs/>
          <w:u w:val="single"/>
        </w:rPr>
      </w:pPr>
      <w:r>
        <w:rPr>
          <w:rStyle w:val="LineNumber"/>
          <w:b/>
          <w:bCs/>
          <w:u w:val="single"/>
        </w:rPr>
        <w:t>Eliminate Adder Schedules:</w:t>
      </w:r>
    </w:p>
    <w:p w:rsidR="00DC5685" w:rsidRPr="00BA18B1" w:rsidRDefault="00DC5685" w:rsidP="00DC5685">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w:t>
      </w:r>
      <w:r w:rsidR="00F202B3">
        <w:rPr>
          <w:rStyle w:val="LineNumber"/>
          <w:b/>
          <w:bCs/>
        </w:rPr>
        <w:t xml:space="preserve">tment in the </w:t>
      </w:r>
      <w:r w:rsidR="00824852">
        <w:rPr>
          <w:rStyle w:val="LineNumber"/>
          <w:b/>
          <w:bCs/>
        </w:rPr>
        <w:t>EOP</w:t>
      </w:r>
      <w:r w:rsidR="00F202B3">
        <w:rPr>
          <w:rStyle w:val="LineNumber"/>
          <w:b/>
          <w:bCs/>
        </w:rPr>
        <w:t xml:space="preserve"> </w:t>
      </w:r>
      <w:r w:rsidR="004B6917">
        <w:rPr>
          <w:rStyle w:val="LineNumber"/>
          <w:b/>
          <w:bCs/>
        </w:rPr>
        <w:t xml:space="preserve">Rate Base </w:t>
      </w:r>
      <w:r w:rsidR="00F202B3">
        <w:rPr>
          <w:rStyle w:val="LineNumber"/>
          <w:b/>
          <w:bCs/>
        </w:rPr>
        <w:t>Study, w</w:t>
      </w:r>
      <w:r>
        <w:rPr>
          <w:rStyle w:val="LineNumber"/>
          <w:b/>
          <w:bCs/>
        </w:rPr>
        <w:t>hat is the purpose of the Eliminate Adder Schedule adjustment</w:t>
      </w:r>
      <w:r w:rsidRPr="00BA18B1">
        <w:rPr>
          <w:rStyle w:val="LineNumber"/>
          <w:b/>
          <w:bCs/>
        </w:rPr>
        <w:t>?</w:t>
      </w:r>
    </w:p>
    <w:p w:rsidR="002D15D1" w:rsidRPr="0025384F" w:rsidRDefault="00DC5685" w:rsidP="002D15D1">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w:t>
      </w:r>
      <w:r w:rsidR="002D15D1">
        <w:rPr>
          <w:rStyle w:val="LineNumber"/>
          <w:bCs/>
        </w:rPr>
        <w:t xml:space="preserve"> Eliminate Adder Schedule adjustment removes both the revenues and expenses associated with all adder schedule rates</w:t>
      </w:r>
      <w:r w:rsidR="00E15BE1">
        <w:rPr>
          <w:rStyle w:val="LineNumber"/>
          <w:bCs/>
        </w:rPr>
        <w:t>,</w:t>
      </w:r>
      <w:r w:rsidR="002D15D1">
        <w:rPr>
          <w:rStyle w:val="LineNumber"/>
          <w:bCs/>
        </w:rPr>
        <w:t xml:space="preserve"> except current </w:t>
      </w:r>
      <w:r w:rsidR="000048F6">
        <w:rPr>
          <w:rStyle w:val="LineNumber"/>
          <w:bCs/>
        </w:rPr>
        <w:t xml:space="preserve">natural </w:t>
      </w:r>
      <w:r w:rsidR="002D15D1">
        <w:rPr>
          <w:rStyle w:val="LineNumber"/>
          <w:bCs/>
        </w:rPr>
        <w:t>gas costs</w:t>
      </w:r>
      <w:r w:rsidR="00F202B3">
        <w:rPr>
          <w:rStyle w:val="LineNumber"/>
          <w:bCs/>
        </w:rPr>
        <w:t xml:space="preserve"> (Purchased Gas Cost Adjustment Schedule 150)</w:t>
      </w:r>
      <w:r w:rsidR="002D26DC">
        <w:rPr>
          <w:rStyle w:val="LineNumber"/>
          <w:bCs/>
        </w:rPr>
        <w:t xml:space="preserve">, since </w:t>
      </w:r>
      <w:r w:rsidR="002D26DC" w:rsidRPr="002D26DC">
        <w:t>these items are recovered/rebated by separate tariffs and</w:t>
      </w:r>
      <w:r w:rsidR="004B6917">
        <w:t>,</w:t>
      </w:r>
      <w:r w:rsidR="002D26DC" w:rsidRPr="002D26DC">
        <w:t xml:space="preserve"> therefore</w:t>
      </w:r>
      <w:r w:rsidR="004B6917">
        <w:t>,</w:t>
      </w:r>
      <w:r w:rsidR="002D26DC" w:rsidRPr="002D26DC">
        <w:t xml:space="preserve"> </w:t>
      </w:r>
      <w:r w:rsidR="000911F7">
        <w:t xml:space="preserve">are </w:t>
      </w:r>
      <w:r w:rsidR="002D26DC" w:rsidRPr="002D26DC">
        <w:t>not part of base rates.</w:t>
      </w:r>
      <w:r w:rsidR="002D15D1">
        <w:rPr>
          <w:rStyle w:val="LineNumber"/>
          <w:bCs/>
        </w:rPr>
        <w:t xml:space="preserve">  The items eliminated include:  </w:t>
      </w:r>
      <w:r w:rsidR="00B92CED">
        <w:rPr>
          <w:rStyle w:val="LineNumber"/>
          <w:bCs/>
        </w:rPr>
        <w:t xml:space="preserve">Schedule 175 Decoupling Mechanism Rate Adjustment, Schedule 189 </w:t>
      </w:r>
      <w:r w:rsidR="00B92CED">
        <w:t>Fixed-Income</w:t>
      </w:r>
      <w:r w:rsidR="00B92CED" w:rsidRPr="00AB43E3">
        <w:t xml:space="preserve"> </w:t>
      </w:r>
      <w:r w:rsidR="00B92CED">
        <w:t>Senior &amp; Disabled</w:t>
      </w:r>
      <w:r w:rsidR="00B92CED" w:rsidRPr="00AB43E3">
        <w:t xml:space="preserve"> </w:t>
      </w:r>
      <w:r w:rsidR="00B92CED">
        <w:t>Residential Service Discount Rate Adjustment,</w:t>
      </w:r>
      <w:r w:rsidR="00B92CED">
        <w:rPr>
          <w:rStyle w:val="LineNumber"/>
          <w:bCs/>
        </w:rPr>
        <w:t xml:space="preserve"> </w:t>
      </w:r>
      <w:r w:rsidR="002D15D1" w:rsidRPr="002D26DC">
        <w:t xml:space="preserve">Schedule 191 Demand Side Management Rate Adjustment, Schedule 192 Low Income Rate Assistance </w:t>
      </w:r>
      <w:r w:rsidR="000911F7">
        <w:t xml:space="preserve">Program </w:t>
      </w:r>
      <w:r w:rsidR="002D15D1" w:rsidRPr="002D26DC">
        <w:t>Rate A</w:t>
      </w:r>
      <w:r w:rsidR="00E75678">
        <w:t xml:space="preserve">djustment, </w:t>
      </w:r>
      <w:r w:rsidR="008971B4">
        <w:t xml:space="preserve">and </w:t>
      </w:r>
      <w:r w:rsidR="00E75678">
        <w:t>Schedule 155 Gas Rate Adjust</w:t>
      </w:r>
      <w:r w:rsidR="00E75678" w:rsidRPr="0025384F">
        <w:t>ment</w:t>
      </w:r>
      <w:r w:rsidR="002D15D1" w:rsidRPr="0025384F">
        <w:t xml:space="preserve"> </w:t>
      </w:r>
      <w:r w:rsidR="00E75678" w:rsidRPr="0025384F">
        <w:t xml:space="preserve">amortization </w:t>
      </w:r>
      <w:r w:rsidR="002D15D1" w:rsidRPr="0025384F">
        <w:t>surcharge o</w:t>
      </w:r>
      <w:r w:rsidR="002D26DC" w:rsidRPr="0025384F">
        <w:t>r rebate.</w:t>
      </w:r>
      <w:r w:rsidR="002D15D1" w:rsidRPr="0025384F">
        <w:t xml:space="preserve"> </w:t>
      </w:r>
      <w:r w:rsidR="002D26DC" w:rsidRPr="0025384F">
        <w:t xml:space="preserve"> This adjustment also identif</w:t>
      </w:r>
      <w:r w:rsidR="00232DD6" w:rsidRPr="0025384F">
        <w:t>ies and consolidates all of the</w:t>
      </w:r>
      <w:r w:rsidR="002D26DC" w:rsidRPr="0025384F">
        <w:t xml:space="preserve"> purchased gas cost related accounts into the “</w:t>
      </w:r>
      <w:r w:rsidR="00721059" w:rsidRPr="0025384F">
        <w:t>City Gate</w:t>
      </w:r>
      <w:r w:rsidR="002D26DC" w:rsidRPr="0025384F">
        <w:t xml:space="preserve"> Purchases” line item in order to simplify the </w:t>
      </w:r>
      <w:r w:rsidR="00721059" w:rsidRPr="0025384F">
        <w:t>Pro Forma</w:t>
      </w:r>
      <w:r w:rsidR="002D26DC" w:rsidRPr="0025384F">
        <w:t xml:space="preserve"> Revenue Normalization adjustment described below.  </w:t>
      </w:r>
    </w:p>
    <w:p w:rsidR="000D7064" w:rsidRPr="00BA18B1" w:rsidRDefault="000D7064" w:rsidP="000D7064">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sidR="00E75678">
        <w:rPr>
          <w:rStyle w:val="LineNumber"/>
          <w:b/>
          <w:bCs/>
        </w:rPr>
        <w:t xml:space="preserve">the Eliminate Adder Schedule adjustment </w:t>
      </w:r>
      <w:r>
        <w:rPr>
          <w:rStyle w:val="LineNumber"/>
          <w:b/>
          <w:bCs/>
        </w:rPr>
        <w:t>on Commission Basis results of operations</w:t>
      </w:r>
      <w:r w:rsidRPr="00BA18B1">
        <w:rPr>
          <w:rStyle w:val="LineNumber"/>
          <w:b/>
          <w:bCs/>
        </w:rPr>
        <w:t>?</w:t>
      </w:r>
    </w:p>
    <w:p w:rsidR="00DC5685" w:rsidRDefault="000D7064" w:rsidP="000D7064">
      <w:pPr>
        <w:pStyle w:val="BodyText2"/>
        <w:tabs>
          <w:tab w:val="left" w:pos="1440"/>
        </w:tabs>
        <w:ind w:firstLine="720"/>
      </w:pPr>
      <w:r w:rsidRPr="0025384F">
        <w:rPr>
          <w:rStyle w:val="LineNumber"/>
        </w:rPr>
        <w:lastRenderedPageBreak/>
        <w:t>A.</w:t>
      </w:r>
      <w:r w:rsidRPr="0025384F">
        <w:rPr>
          <w:rStyle w:val="LineNumber"/>
        </w:rPr>
        <w:tab/>
        <w:t>The Commission Basis Eliminate Adder Schedule adjustment</w:t>
      </w:r>
      <w:r w:rsidRPr="0025384F">
        <w:t xml:space="preserve"> results in an equal and offsetting reduction to both revenue and expense</w:t>
      </w:r>
      <w:r w:rsidR="00913B63" w:rsidRPr="0025384F">
        <w:t xml:space="preserve"> </w:t>
      </w:r>
      <w:r w:rsidRPr="0025384F">
        <w:t>and has no impact on net income.</w:t>
      </w:r>
    </w:p>
    <w:p w:rsidR="0092018E" w:rsidRDefault="0092018E" w:rsidP="00387CD5">
      <w:pPr>
        <w:pStyle w:val="BodyText2"/>
        <w:tabs>
          <w:tab w:val="left" w:pos="1440"/>
        </w:tabs>
        <w:rPr>
          <w:b/>
          <w:u w:val="single"/>
        </w:rPr>
      </w:pPr>
    </w:p>
    <w:p w:rsidR="00387CD5" w:rsidRPr="00387CD5" w:rsidRDefault="00387CD5" w:rsidP="00387CD5">
      <w:pPr>
        <w:pStyle w:val="BodyText2"/>
        <w:tabs>
          <w:tab w:val="left" w:pos="1440"/>
        </w:tabs>
        <w:rPr>
          <w:rStyle w:val="LineNumber"/>
          <w:b/>
          <w:bCs/>
          <w:u w:val="single"/>
        </w:rPr>
      </w:pPr>
      <w:r>
        <w:rPr>
          <w:b/>
          <w:u w:val="single"/>
        </w:rPr>
        <w:t>Pro Forma Revenue Normalization:</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sidR="00DC5685">
        <w:rPr>
          <w:rStyle w:val="LineNumber"/>
          <w:b/>
          <w:bCs/>
        </w:rPr>
        <w:t>Please describe the</w:t>
      </w:r>
      <w:r>
        <w:rPr>
          <w:rStyle w:val="LineNumber"/>
          <w:b/>
          <w:bCs/>
        </w:rPr>
        <w:t xml:space="preserve"> </w:t>
      </w:r>
      <w:r w:rsidR="00DC5685">
        <w:rPr>
          <w:rStyle w:val="LineNumber"/>
          <w:b/>
          <w:bCs/>
          <w:u w:val="single"/>
        </w:rPr>
        <w:t>third</w:t>
      </w:r>
      <w:r>
        <w:rPr>
          <w:rStyle w:val="LineNumber"/>
          <w:b/>
          <w:bCs/>
          <w:u w:val="single"/>
        </w:rPr>
        <w:t xml:space="preserve"> revenue normalizing</w:t>
      </w:r>
      <w:r>
        <w:rPr>
          <w:rStyle w:val="LineNumber"/>
          <w:b/>
          <w:bCs/>
        </w:rPr>
        <w:t xml:space="preserve"> adjus</w:t>
      </w:r>
      <w:r w:rsidR="0054201D">
        <w:rPr>
          <w:rStyle w:val="LineNumber"/>
          <w:b/>
          <w:bCs/>
        </w:rPr>
        <w:t xml:space="preserve">tment, </w:t>
      </w:r>
      <w:r>
        <w:rPr>
          <w:rStyle w:val="LineNumber"/>
          <w:b/>
          <w:bCs/>
        </w:rPr>
        <w:t xml:space="preserve">the </w:t>
      </w:r>
      <w:r w:rsidR="00721059">
        <w:rPr>
          <w:rStyle w:val="LineNumber"/>
          <w:b/>
          <w:bCs/>
        </w:rPr>
        <w:t>Pro Forma</w:t>
      </w:r>
      <w:r>
        <w:rPr>
          <w:rStyle w:val="LineNumber"/>
          <w:b/>
          <w:bCs/>
        </w:rPr>
        <w:t xml:space="preserve">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 purpose of the “</w:t>
      </w:r>
      <w:r w:rsidR="00721059">
        <w:rPr>
          <w:rStyle w:val="LineNumber"/>
          <w:bCs/>
        </w:rPr>
        <w:t>Pro Forma</w:t>
      </w:r>
      <w:r>
        <w:rPr>
          <w:rStyle w:val="LineNumber"/>
          <w:bCs/>
        </w:rPr>
        <w:t xml:space="preserve"> Revenue Normalization” adjustment is to restate </w:t>
      </w:r>
      <w:r w:rsidR="006F798A">
        <w:rPr>
          <w:rStyle w:val="LineNumber"/>
          <w:bCs/>
        </w:rPr>
        <w:t xml:space="preserve">distribution </w:t>
      </w:r>
      <w:r>
        <w:rPr>
          <w:rStyle w:val="LineNumber"/>
          <w:bCs/>
        </w:rPr>
        <w:t>revenue on a forward-looking basis</w:t>
      </w:r>
      <w:r w:rsidR="006F798A" w:rsidRPr="006F798A">
        <w:rPr>
          <w:rStyle w:val="LineNumber"/>
          <w:bCs/>
        </w:rPr>
        <w:t xml:space="preserve"> </w:t>
      </w:r>
      <w:r w:rsidR="006F798A">
        <w:rPr>
          <w:rStyle w:val="LineNumber"/>
          <w:bCs/>
        </w:rPr>
        <w:t>and to remove natural gas costs</w:t>
      </w:r>
      <w:r>
        <w:rPr>
          <w:rStyle w:val="LineNumber"/>
          <w:bCs/>
        </w:rPr>
        <w:t xml:space="preserve">.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as well as any known and measurable changes to the test year loads and customers</w:t>
      </w:r>
      <w:r w:rsidR="00DF1DAC">
        <w:rPr>
          <w:rStyle w:val="LineNumber"/>
          <w:bCs/>
        </w:rPr>
        <w:t xml:space="preserve">) to reflect revenues </w:t>
      </w:r>
      <w:r w:rsidR="006F798A">
        <w:rPr>
          <w:rStyle w:val="LineNumber"/>
          <w:bCs/>
        </w:rPr>
        <w:t xml:space="preserve">for the </w:t>
      </w:r>
      <w:r w:rsidR="00B92CED">
        <w:rPr>
          <w:rStyle w:val="LineNumber"/>
          <w:bCs/>
        </w:rPr>
        <w:t>January</w:t>
      </w:r>
      <w:r w:rsidR="006F798A">
        <w:rPr>
          <w:rStyle w:val="LineNumber"/>
          <w:bCs/>
        </w:rPr>
        <w:t xml:space="preserve"> 201</w:t>
      </w:r>
      <w:r w:rsidR="00B92CED">
        <w:rPr>
          <w:rStyle w:val="LineNumber"/>
          <w:bCs/>
        </w:rPr>
        <w:t>6</w:t>
      </w:r>
      <w:r w:rsidR="00DF1DAC">
        <w:rPr>
          <w:rStyle w:val="LineNumber"/>
          <w:bCs/>
        </w:rPr>
        <w:t xml:space="preserve"> through </w:t>
      </w:r>
      <w:r w:rsidR="00B92CED">
        <w:rPr>
          <w:rStyle w:val="LineNumber"/>
          <w:bCs/>
        </w:rPr>
        <w:t>December</w:t>
      </w:r>
      <w:r w:rsidR="00D7120E">
        <w:rPr>
          <w:rStyle w:val="LineNumber"/>
          <w:bCs/>
        </w:rPr>
        <w:t xml:space="preserve"> 2</w:t>
      </w:r>
      <w:r w:rsidR="00B92CED">
        <w:rPr>
          <w:rStyle w:val="LineNumber"/>
          <w:bCs/>
        </w:rPr>
        <w:t>016</w:t>
      </w:r>
      <w:r w:rsidR="008971B4">
        <w:rPr>
          <w:rStyle w:val="LineNumber"/>
          <w:bCs/>
        </w:rPr>
        <w:t xml:space="preserve"> test period, as if the bas</w:t>
      </w:r>
      <w:r w:rsidR="00494DDE">
        <w:rPr>
          <w:rStyle w:val="LineNumber"/>
          <w:bCs/>
        </w:rPr>
        <w:t>e</w:t>
      </w:r>
      <w:r w:rsidR="008971B4">
        <w:rPr>
          <w:rStyle w:val="LineNumber"/>
          <w:bCs/>
        </w:rPr>
        <w:t xml:space="preserve"> tariff rates</w:t>
      </w:r>
      <w:r w:rsidR="00DF1DAC">
        <w:rPr>
          <w:rStyle w:val="LineNumber"/>
          <w:bCs/>
        </w:rPr>
        <w:t xml:space="preserve"> </w:t>
      </w:r>
      <w:r w:rsidR="00D7120E">
        <w:rPr>
          <w:rStyle w:val="LineNumber"/>
          <w:bCs/>
        </w:rPr>
        <w:t>effective January 1</w:t>
      </w:r>
      <w:r w:rsidR="006F798A">
        <w:rPr>
          <w:rStyle w:val="LineNumber"/>
          <w:bCs/>
        </w:rPr>
        <w:t>1, 2016</w:t>
      </w:r>
      <w:r w:rsidR="00DF1DAC">
        <w:rPr>
          <w:rStyle w:val="LineNumber"/>
          <w:bCs/>
        </w:rPr>
        <w:t xml:space="preserve"> </w:t>
      </w:r>
      <w:r w:rsidR="000048F6">
        <w:rPr>
          <w:rStyle w:val="LineNumber"/>
          <w:bCs/>
        </w:rPr>
        <w:t xml:space="preserve">(Docket No. UG-150205) </w:t>
      </w:r>
      <w:r w:rsidR="00DF1DAC">
        <w:rPr>
          <w:rStyle w:val="LineNumber"/>
          <w:bCs/>
        </w:rPr>
        <w:t>had been in effect for the full twelve months of the test period.</w:t>
      </w:r>
      <w:r w:rsidR="00494DDE">
        <w:rPr>
          <w:rStyle w:val="LineNumber"/>
          <w:bCs/>
        </w:rPr>
        <w:t xml:space="preserve">  </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sidR="00721059">
        <w:rPr>
          <w:rStyle w:val="LineNumber"/>
          <w:b/>
          <w:bCs/>
        </w:rPr>
        <w:t>Pro Forma</w:t>
      </w:r>
      <w:r>
        <w:rPr>
          <w:rStyle w:val="LineNumber"/>
          <w:b/>
          <w:bCs/>
        </w:rPr>
        <w:t xml:space="preserve">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t>A.</w:t>
      </w:r>
      <w:r w:rsidRPr="00BA18B1">
        <w:rPr>
          <w:rStyle w:val="LineNumber"/>
          <w:bCs/>
        </w:rPr>
        <w:tab/>
      </w:r>
      <w:r w:rsidR="006F798A">
        <w:rPr>
          <w:rStyle w:val="LineNumber"/>
          <w:bCs/>
        </w:rPr>
        <w:t>No, natural gas commodity costs previously shown as an equal and offsetting amo</w:t>
      </w:r>
      <w:r w:rsidR="00116813">
        <w:rPr>
          <w:rStyle w:val="LineNumber"/>
          <w:bCs/>
        </w:rPr>
        <w:t>unt in both revenue and expense</w:t>
      </w:r>
      <w:r w:rsidR="006F798A">
        <w:rPr>
          <w:rStyle w:val="LineNumber"/>
          <w:bCs/>
        </w:rPr>
        <w:t>, have been removed from the Company’s filing.</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What is the impact of the </w:t>
      </w:r>
      <w:r w:rsidR="00721059">
        <w:rPr>
          <w:rStyle w:val="LineNumber"/>
          <w:b/>
          <w:bCs/>
        </w:rPr>
        <w:t>Pro Forma</w:t>
      </w:r>
      <w:r>
        <w:rPr>
          <w:rStyle w:val="LineNumber"/>
          <w:b/>
          <w:bCs/>
        </w:rPr>
        <w:t xml:space="preserve"> Revenue Normalization adjustment</w:t>
      </w:r>
      <w:r w:rsidRPr="00BA18B1">
        <w:rPr>
          <w:rStyle w:val="LineNumber"/>
          <w:b/>
          <w:bCs/>
        </w:rPr>
        <w:t>?</w:t>
      </w:r>
    </w:p>
    <w:p w:rsidR="00DF1DAC" w:rsidRDefault="00DF1DAC" w:rsidP="0054201D">
      <w:pPr>
        <w:pStyle w:val="BodyText2"/>
        <w:tabs>
          <w:tab w:val="left" w:pos="1440"/>
        </w:tabs>
        <w:ind w:firstLine="720"/>
        <w:rPr>
          <w:rStyle w:val="LineNumber"/>
          <w:bCs/>
        </w:rPr>
      </w:pPr>
      <w:r w:rsidRPr="008D58E8">
        <w:rPr>
          <w:rStyle w:val="LineNumber"/>
          <w:bCs/>
        </w:rPr>
        <w:t>A.</w:t>
      </w:r>
      <w:r w:rsidRPr="008D58E8">
        <w:rPr>
          <w:rStyle w:val="LineNumber"/>
          <w:bCs/>
        </w:rPr>
        <w:tab/>
        <w:t xml:space="preserve">The </w:t>
      </w:r>
      <w:r w:rsidR="00721059" w:rsidRPr="008D58E8">
        <w:rPr>
          <w:rStyle w:val="LineNumber"/>
          <w:bCs/>
        </w:rPr>
        <w:t>Pro Forma</w:t>
      </w:r>
      <w:r w:rsidRPr="008D58E8">
        <w:rPr>
          <w:rStyle w:val="LineNumber"/>
          <w:bCs/>
        </w:rPr>
        <w:t xml:space="preserve"> Revenue Normalization adjustment </w:t>
      </w:r>
      <w:r w:rsidR="00F159C1">
        <w:rPr>
          <w:rStyle w:val="LineNumber"/>
          <w:bCs/>
        </w:rPr>
        <w:t>decreases</w:t>
      </w:r>
      <w:r w:rsidRPr="008D58E8">
        <w:rPr>
          <w:rStyle w:val="LineNumber"/>
          <w:bCs/>
        </w:rPr>
        <w:t xml:space="preserve"> </w:t>
      </w:r>
      <w:r w:rsidR="00781A1D" w:rsidRPr="008D58E8">
        <w:rPr>
          <w:rStyle w:val="LineNumber"/>
          <w:bCs/>
        </w:rPr>
        <w:t>operating income before federal income taxes</w:t>
      </w:r>
      <w:r w:rsidRPr="008D58E8">
        <w:rPr>
          <w:rStyle w:val="LineNumber"/>
          <w:bCs/>
        </w:rPr>
        <w:t xml:space="preserve"> by </w:t>
      </w:r>
      <w:r w:rsidR="00F271DE" w:rsidRPr="008D58E8">
        <w:rPr>
          <w:rStyle w:val="LineNumber"/>
          <w:bCs/>
        </w:rPr>
        <w:t>$</w:t>
      </w:r>
      <w:r w:rsidR="00F159C1">
        <w:rPr>
          <w:rStyle w:val="LineNumber"/>
          <w:bCs/>
        </w:rPr>
        <w:t>922</w:t>
      </w:r>
      <w:r w:rsidR="0054201D">
        <w:rPr>
          <w:rStyle w:val="LineNumber"/>
          <w:bCs/>
        </w:rPr>
        <w:t>,000.  The combined effect of</w:t>
      </w:r>
      <w:r w:rsidR="0054201D" w:rsidRPr="003F704F">
        <w:rPr>
          <w:rStyle w:val="LineNumber"/>
          <w:bCs/>
        </w:rPr>
        <w:t xml:space="preserve"> </w:t>
      </w:r>
      <w:r w:rsidR="0054201D">
        <w:rPr>
          <w:rStyle w:val="LineNumber"/>
          <w:bCs/>
        </w:rPr>
        <w:t>the decrease to revenue from rates with</w:t>
      </w:r>
      <w:r w:rsidR="0054201D" w:rsidRPr="003F704F">
        <w:rPr>
          <w:rStyle w:val="LineNumber"/>
          <w:bCs/>
        </w:rPr>
        <w:t xml:space="preserve"> </w:t>
      </w:r>
      <w:r w:rsidR="0054201D">
        <w:rPr>
          <w:rStyle w:val="LineNumber"/>
          <w:bCs/>
        </w:rPr>
        <w:t>the</w:t>
      </w:r>
      <w:r w:rsidR="0054201D" w:rsidRPr="003F704F">
        <w:rPr>
          <w:rStyle w:val="LineNumber"/>
          <w:bCs/>
        </w:rPr>
        <w:t xml:space="preserve"> </w:t>
      </w:r>
      <w:r w:rsidR="0054201D">
        <w:rPr>
          <w:rStyle w:val="LineNumber"/>
          <w:bCs/>
        </w:rPr>
        <w:t xml:space="preserve">elimination of both the 2016 restated </w:t>
      </w:r>
      <w:r w:rsidR="0054201D" w:rsidRPr="003F704F">
        <w:rPr>
          <w:rStyle w:val="LineNumber"/>
          <w:bCs/>
        </w:rPr>
        <w:t xml:space="preserve">decoupling </w:t>
      </w:r>
      <w:r w:rsidR="0054201D">
        <w:rPr>
          <w:rStyle w:val="LineNumber"/>
          <w:bCs/>
        </w:rPr>
        <w:t>deferred revenue (-</w:t>
      </w:r>
      <w:r w:rsidR="0054201D" w:rsidRPr="003F704F">
        <w:rPr>
          <w:rStyle w:val="LineNumber"/>
          <w:bCs/>
        </w:rPr>
        <w:t>$</w:t>
      </w:r>
      <w:r w:rsidR="0054201D">
        <w:rPr>
          <w:rStyle w:val="LineNumber"/>
          <w:bCs/>
        </w:rPr>
        <w:t>3,544,000) and the 2016 provision for rate refund (+$2,768,000),</w:t>
      </w:r>
      <w:r w:rsidR="0054201D" w:rsidRPr="003F704F">
        <w:rPr>
          <w:rStyle w:val="LineNumber"/>
          <w:bCs/>
        </w:rPr>
        <w:t xml:space="preserve"> result</w:t>
      </w:r>
      <w:r w:rsidR="0054201D">
        <w:rPr>
          <w:rStyle w:val="LineNumber"/>
          <w:bCs/>
        </w:rPr>
        <w:t>ed</w:t>
      </w:r>
      <w:r w:rsidR="0054201D" w:rsidRPr="003F704F">
        <w:rPr>
          <w:rStyle w:val="LineNumber"/>
          <w:bCs/>
        </w:rPr>
        <w:t xml:space="preserve"> in a </w:t>
      </w:r>
      <w:r w:rsidR="0054201D">
        <w:rPr>
          <w:rStyle w:val="LineNumber"/>
          <w:bCs/>
        </w:rPr>
        <w:t>total</w:t>
      </w:r>
      <w:r w:rsidR="0054201D" w:rsidRPr="003F704F">
        <w:rPr>
          <w:rStyle w:val="LineNumber"/>
          <w:bCs/>
        </w:rPr>
        <w:t xml:space="preserve"> </w:t>
      </w:r>
      <w:r w:rsidR="0054201D">
        <w:rPr>
          <w:rStyle w:val="LineNumber"/>
          <w:bCs/>
        </w:rPr>
        <w:t xml:space="preserve">pro forma </w:t>
      </w:r>
      <w:r w:rsidR="0054201D" w:rsidRPr="003F704F">
        <w:rPr>
          <w:rStyle w:val="LineNumber"/>
          <w:bCs/>
        </w:rPr>
        <w:t xml:space="preserve">revenue adjustment </w:t>
      </w:r>
      <w:r w:rsidR="0054201D">
        <w:rPr>
          <w:rStyle w:val="LineNumber"/>
          <w:bCs/>
        </w:rPr>
        <w:t xml:space="preserve">decrease </w:t>
      </w:r>
      <w:r w:rsidR="0054201D" w:rsidRPr="003F704F">
        <w:rPr>
          <w:rStyle w:val="LineNumber"/>
          <w:bCs/>
        </w:rPr>
        <w:t>of $</w:t>
      </w:r>
      <w:r w:rsidR="0054201D">
        <w:rPr>
          <w:rStyle w:val="LineNumber"/>
          <w:bCs/>
        </w:rPr>
        <w:t>776</w:t>
      </w:r>
      <w:r w:rsidR="0054201D" w:rsidRPr="003F704F">
        <w:rPr>
          <w:rStyle w:val="LineNumber"/>
          <w:bCs/>
        </w:rPr>
        <w:t>,000</w:t>
      </w:r>
      <w:r w:rsidR="0054201D">
        <w:rPr>
          <w:rStyle w:val="LineNumber"/>
          <w:bCs/>
        </w:rPr>
        <w:t xml:space="preserve">. After an offset for revenue-related expenses </w:t>
      </w:r>
      <w:r w:rsidR="0054201D">
        <w:rPr>
          <w:rStyle w:val="LineNumber"/>
          <w:bCs/>
        </w:rPr>
        <w:lastRenderedPageBreak/>
        <w:t xml:space="preserve">and taxes, </w:t>
      </w:r>
      <w:r w:rsidR="0054201D" w:rsidRPr="00BA18B1">
        <w:rPr>
          <w:rStyle w:val="LineNumber"/>
          <w:bCs/>
        </w:rPr>
        <w:t>Washington net operating income</w:t>
      </w:r>
      <w:r w:rsidR="0054201D">
        <w:rPr>
          <w:rStyle w:val="LineNumber"/>
          <w:bCs/>
        </w:rPr>
        <w:t xml:space="preserve"> decreased </w:t>
      </w:r>
      <w:r w:rsidR="0054201D" w:rsidRPr="00CF7D9C">
        <w:rPr>
          <w:rStyle w:val="LineNumber"/>
          <w:bCs/>
        </w:rPr>
        <w:t>$</w:t>
      </w:r>
      <w:r w:rsidR="0054201D">
        <w:rPr>
          <w:rStyle w:val="LineNumber"/>
          <w:bCs/>
        </w:rPr>
        <w:t>599</w:t>
      </w:r>
      <w:r w:rsidR="0054201D" w:rsidRPr="00FA104D">
        <w:rPr>
          <w:rStyle w:val="LineNumber"/>
          <w:bCs/>
        </w:rPr>
        <w:t>,000</w:t>
      </w:r>
      <w:r w:rsidR="0054201D" w:rsidRPr="00CF7D9C">
        <w:rPr>
          <w:rStyle w:val="LineNumber"/>
          <w:bCs/>
        </w:rPr>
        <w:t>,</w:t>
      </w:r>
      <w:r w:rsidR="0054201D" w:rsidRPr="00BA18B1">
        <w:rPr>
          <w:rStyle w:val="LineNumber"/>
          <w:bCs/>
        </w:rPr>
        <w:t xml:space="preserve"> as shown </w:t>
      </w:r>
      <w:r w:rsidR="004B6917">
        <w:rPr>
          <w:rStyle w:val="LineNumber"/>
          <w:bCs/>
        </w:rPr>
        <w:t xml:space="preserve">below, and </w:t>
      </w:r>
      <w:r w:rsidR="0054201D" w:rsidRPr="00BA18B1">
        <w:rPr>
          <w:rStyle w:val="LineNumber"/>
          <w:bCs/>
        </w:rPr>
        <w:t xml:space="preserve">in </w:t>
      </w:r>
      <w:r w:rsidR="0054201D" w:rsidRPr="0004459F">
        <w:rPr>
          <w:rStyle w:val="LineNumber"/>
          <w:bCs/>
        </w:rPr>
        <w:t xml:space="preserve">column </w:t>
      </w:r>
      <w:r w:rsidR="0054201D">
        <w:rPr>
          <w:rStyle w:val="LineNumber"/>
          <w:bCs/>
        </w:rPr>
        <w:t>3.08</w:t>
      </w:r>
      <w:r w:rsidR="0054201D" w:rsidRPr="0004459F">
        <w:rPr>
          <w:rStyle w:val="LineNumber"/>
          <w:bCs/>
        </w:rPr>
        <w:t xml:space="preserve"> on page </w:t>
      </w:r>
      <w:r w:rsidR="000B6DDE">
        <w:rPr>
          <w:rStyle w:val="LineNumber"/>
          <w:bCs/>
        </w:rPr>
        <w:t xml:space="preserve">7 </w:t>
      </w:r>
      <w:r w:rsidR="0054201D" w:rsidRPr="0004459F">
        <w:rPr>
          <w:rStyle w:val="LineNumber"/>
          <w:bCs/>
        </w:rPr>
        <w:t xml:space="preserve">of </w:t>
      </w:r>
      <w:proofErr w:type="spellStart"/>
      <w:r w:rsidR="0054201D" w:rsidRPr="0004459F">
        <w:rPr>
          <w:rStyle w:val="LineNumber"/>
          <w:bCs/>
        </w:rPr>
        <w:t>Exh</w:t>
      </w:r>
      <w:proofErr w:type="spellEnd"/>
      <w:r w:rsidR="0054201D">
        <w:rPr>
          <w:rStyle w:val="LineNumber"/>
          <w:bCs/>
        </w:rPr>
        <w:t>.</w:t>
      </w:r>
      <w:r w:rsidR="0054201D" w:rsidRPr="0004459F">
        <w:rPr>
          <w:rStyle w:val="LineNumber"/>
          <w:bCs/>
        </w:rPr>
        <w:t xml:space="preserve"> </w:t>
      </w:r>
      <w:r w:rsidR="002409F3">
        <w:rPr>
          <w:rStyle w:val="LineNumber"/>
          <w:bCs/>
        </w:rPr>
        <w:t>EMA-7</w:t>
      </w:r>
      <w:r w:rsidR="0054201D" w:rsidRPr="0004459F">
        <w:rPr>
          <w:rStyle w:val="LineNumber"/>
          <w:bCs/>
        </w:rPr>
        <w:t>.</w:t>
      </w:r>
      <w:r w:rsidR="0054201D" w:rsidRPr="00BA18B1">
        <w:rPr>
          <w:rStyle w:val="LineNumber"/>
          <w:bCs/>
        </w:rPr>
        <w:t xml:space="preserve">  </w:t>
      </w:r>
    </w:p>
    <w:p w:rsidR="00F22A7D" w:rsidRDefault="00F22A7D" w:rsidP="0054201D">
      <w:pPr>
        <w:pStyle w:val="BodyText2"/>
        <w:tabs>
          <w:tab w:val="left" w:pos="1440"/>
        </w:tabs>
        <w:ind w:firstLine="720"/>
        <w:rPr>
          <w:rStyle w:val="LineNumber"/>
          <w:bCs/>
        </w:rPr>
      </w:pPr>
      <w:r>
        <w:rPr>
          <w:rStyle w:val="LineNumber"/>
          <w:bCs/>
        </w:rPr>
        <w:tab/>
      </w:r>
      <w:r w:rsidRPr="00F22A7D">
        <w:rPr>
          <w:rStyle w:val="LineNumber"/>
          <w:noProof/>
        </w:rPr>
        <w:drawing>
          <wp:anchor distT="0" distB="0" distL="114300" distR="114300" simplePos="0" relativeHeight="251680768" behindDoc="1" locked="0" layoutInCell="1" allowOverlap="1">
            <wp:simplePos x="0" y="0"/>
            <wp:positionH relativeFrom="column">
              <wp:posOffset>918210</wp:posOffset>
            </wp:positionH>
            <wp:positionV relativeFrom="paragraph">
              <wp:posOffset>-1905</wp:posOffset>
            </wp:positionV>
            <wp:extent cx="4070985" cy="1979930"/>
            <wp:effectExtent l="0" t="0" r="5715" b="127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98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
          <w:bCs/>
        </w:rPr>
      </w:pPr>
    </w:p>
    <w:p w:rsidR="00F22A7D" w:rsidRDefault="00F22A7D" w:rsidP="0054201D">
      <w:pPr>
        <w:pStyle w:val="BodyText2"/>
        <w:tabs>
          <w:tab w:val="left" w:pos="1440"/>
        </w:tabs>
        <w:ind w:firstLine="720"/>
        <w:rPr>
          <w:rStyle w:val="LineNumber"/>
          <w:b/>
          <w:bCs/>
        </w:rPr>
      </w:pPr>
    </w:p>
    <w:p w:rsidR="0041533C" w:rsidRDefault="0041533C" w:rsidP="0041533C">
      <w:pPr>
        <w:pStyle w:val="BodyText2"/>
        <w:tabs>
          <w:tab w:val="left" w:pos="1440"/>
        </w:tabs>
        <w:ind w:firstLine="720"/>
        <w:rPr>
          <w:rStyle w:val="LineNumber"/>
          <w:b/>
          <w:bCs/>
        </w:rPr>
      </w:pPr>
      <w:r w:rsidRPr="003B21F9">
        <w:rPr>
          <w:rStyle w:val="LineNumber"/>
          <w:b/>
          <w:bCs/>
        </w:rPr>
        <w:t>Q.</w:t>
      </w:r>
      <w:r w:rsidRPr="003B21F9">
        <w:rPr>
          <w:rStyle w:val="LineNumber"/>
          <w:b/>
          <w:bCs/>
        </w:rPr>
        <w:tab/>
      </w:r>
      <w:r>
        <w:rPr>
          <w:rStyle w:val="LineNumber"/>
          <w:b/>
          <w:bCs/>
        </w:rPr>
        <w:t>Are you sponsoring any other revenue adjustments included in Ms. Andrews’ studies?</w:t>
      </w:r>
    </w:p>
    <w:p w:rsidR="0041533C" w:rsidRDefault="0041533C" w:rsidP="0041533C">
      <w:pPr>
        <w:pStyle w:val="BodyText2"/>
        <w:tabs>
          <w:tab w:val="left" w:pos="1440"/>
        </w:tabs>
        <w:ind w:firstLine="720"/>
        <w:rPr>
          <w:rStyle w:val="LineNumber"/>
          <w:bCs/>
        </w:rPr>
      </w:pPr>
      <w:r w:rsidRPr="003B21F9">
        <w:rPr>
          <w:rStyle w:val="LineNumber"/>
          <w:bCs/>
        </w:rPr>
        <w:t>A.</w:t>
      </w:r>
      <w:r w:rsidRPr="003B21F9">
        <w:rPr>
          <w:rStyle w:val="LineNumber"/>
          <w:bCs/>
        </w:rPr>
        <w:tab/>
      </w:r>
      <w:r>
        <w:rPr>
          <w:rStyle w:val="LineNumber"/>
          <w:bCs/>
        </w:rPr>
        <w:t>Yes.  In addition to the revenue adjustments described above that are included in both the Pro Forma Study and the EOP Rate Base Study, Ms. Andrews’ Rate Year Study also includes three “Rate Period Revenue” adjustments, one for each year of the Three-Year Rate Plan</w:t>
      </w:r>
      <w:r>
        <w:rPr>
          <w:rStyle w:val="FootnoteReference"/>
          <w:bCs/>
        </w:rPr>
        <w:footnoteReference w:id="4"/>
      </w:r>
      <w:r>
        <w:rPr>
          <w:rStyle w:val="LineNumber"/>
          <w:bCs/>
        </w:rPr>
        <w:t>.  For each of these adjustments, the Company’s forecasted usage and customers in the specified rate periods have been priced at present rates</w:t>
      </w:r>
      <w:r>
        <w:rPr>
          <w:rStyle w:val="FootnoteReference"/>
          <w:bCs/>
        </w:rPr>
        <w:footnoteReference w:id="5"/>
      </w:r>
      <w:r>
        <w:rPr>
          <w:rStyle w:val="LineNumber"/>
          <w:bCs/>
        </w:rPr>
        <w:t xml:space="preserve"> to determine the expected revenues from customer growth and load growth.  Ms. Andrews also used the expected incremental revenue from present rates as a reduction in the development of the K-factor escalation rate in her K-Factor Study.         </w:t>
      </w:r>
    </w:p>
    <w:p w:rsidR="008D58E8" w:rsidRPr="00913B63" w:rsidRDefault="008D58E8" w:rsidP="00216C63">
      <w:pPr>
        <w:pStyle w:val="BodyText2"/>
        <w:tabs>
          <w:tab w:val="left" w:pos="1440"/>
        </w:tabs>
        <w:ind w:firstLine="720"/>
        <w:rPr>
          <w:bCs/>
        </w:rPr>
      </w:pPr>
    </w:p>
    <w:p w:rsidR="001C2555" w:rsidRPr="00683A09" w:rsidRDefault="0019561B" w:rsidP="001C2555">
      <w:pPr>
        <w:pStyle w:val="Heading5"/>
        <w:rPr>
          <w:rStyle w:val="PageNumber"/>
          <w:u w:val="single"/>
        </w:rPr>
      </w:pPr>
      <w:r w:rsidRPr="00683A09">
        <w:rPr>
          <w:rStyle w:val="PageNumber"/>
          <w:u w:val="single"/>
        </w:rPr>
        <w:lastRenderedPageBreak/>
        <w:t>III</w:t>
      </w:r>
      <w:proofErr w:type="gramStart"/>
      <w:r w:rsidR="001C2555" w:rsidRPr="00683A09">
        <w:rPr>
          <w:rStyle w:val="PageNumber"/>
          <w:u w:val="single"/>
        </w:rPr>
        <w:t>.  NATURAL</w:t>
      </w:r>
      <w:proofErr w:type="gramEnd"/>
      <w:r w:rsidR="001C2555" w:rsidRPr="00683A09">
        <w:rPr>
          <w:rStyle w:val="PageNumber"/>
          <w:u w:val="single"/>
        </w:rPr>
        <w:t xml:space="preserve">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C23EE9">
        <w:rPr>
          <w:rStyle w:val="LineNumber"/>
        </w:rPr>
        <w:t xml:space="preserve">Nos. UG-160229, </w:t>
      </w:r>
      <w:r w:rsidR="00116813">
        <w:rPr>
          <w:rStyle w:val="LineNumber"/>
        </w:rPr>
        <w:t xml:space="preserve">UG-150205, </w:t>
      </w:r>
      <w:r w:rsidR="00F47CC8">
        <w:rPr>
          <w:rStyle w:val="LineNumber"/>
        </w:rPr>
        <w:t xml:space="preserve">UG-140189, </w:t>
      </w:r>
      <w:r w:rsidR="007530F0">
        <w:rPr>
          <w:rStyle w:val="LineNumber"/>
        </w:rPr>
        <w:t xml:space="preserve">UG-120437, </w:t>
      </w:r>
      <w:r w:rsidR="00C23EE9">
        <w:rPr>
          <w:rStyle w:val="LineNumber"/>
        </w:rPr>
        <w:t>and UG-110877</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880B4A" w:rsidRDefault="001C2555" w:rsidP="00880B4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xml:space="preserve">,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w:t>
      </w:r>
      <w:proofErr w:type="spellStart"/>
      <w:r w:rsidRPr="00BA18B1">
        <w:rPr>
          <w:rStyle w:val="LineNumber"/>
        </w:rPr>
        <w:t>Exh</w:t>
      </w:r>
      <w:proofErr w:type="spellEnd"/>
      <w:r w:rsidRPr="00BA18B1">
        <w:rPr>
          <w:rStyle w:val="LineNumber"/>
        </w:rPr>
        <w:t>.</w:t>
      </w:r>
      <w:r w:rsidR="00E02279">
        <w:rPr>
          <w:rStyle w:val="LineNumber"/>
        </w:rPr>
        <w:t xml:space="preserve"> </w:t>
      </w:r>
      <w:r w:rsidR="005951D4">
        <w:rPr>
          <w:rStyle w:val="LineNumber"/>
        </w:rPr>
        <w:t>JDM</w:t>
      </w:r>
      <w:r w:rsidRPr="00BA18B1">
        <w:rPr>
          <w:rStyle w:val="LineNumber"/>
        </w:rPr>
        <w:t>-</w:t>
      </w:r>
      <w:r w:rsidR="008D3AED">
        <w:rPr>
          <w:rStyle w:val="LineNumber"/>
        </w:rPr>
        <w:t>2</w:t>
      </w:r>
      <w:r w:rsidRPr="00BA18B1">
        <w:rPr>
          <w:rStyle w:val="LineNumber"/>
        </w:rPr>
        <w:t xml:space="preserve"> explains the basic concepts involved in performing a natural gas cost of service study.  It also details the specific methodology and assumptions utilized in the Company’s Base Case cost of service study.</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1C2555" w:rsidRPr="00BA18B1" w:rsidRDefault="001C2555" w:rsidP="002409F3">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 xml:space="preserve">the Company as </w:t>
      </w:r>
      <w:proofErr w:type="spellStart"/>
      <w:r w:rsidR="00791039">
        <w:rPr>
          <w:rStyle w:val="LineNumber"/>
        </w:rPr>
        <w:t>Exh</w:t>
      </w:r>
      <w:proofErr w:type="spellEnd"/>
      <w:r w:rsidR="00791039">
        <w:rPr>
          <w:rStyle w:val="LineNumber"/>
        </w:rPr>
        <w:t>.</w:t>
      </w:r>
      <w:r w:rsidR="00E02279">
        <w:rPr>
          <w:rStyle w:val="LineNumber"/>
        </w:rPr>
        <w:t xml:space="preserve"> </w:t>
      </w:r>
      <w:r w:rsidR="00B16067">
        <w:rPr>
          <w:rStyle w:val="LineNumber"/>
        </w:rPr>
        <w:t>JDM</w:t>
      </w:r>
      <w:r w:rsidRPr="00BA18B1">
        <w:rPr>
          <w:rStyle w:val="LineNumber"/>
        </w:rPr>
        <w:t>-</w:t>
      </w:r>
      <w:r w:rsidR="008D3AED">
        <w:rPr>
          <w:rStyle w:val="LineNumber"/>
        </w:rPr>
        <w:t>3</w:t>
      </w:r>
      <w:r w:rsidRPr="00BA18B1">
        <w:rPr>
          <w:rStyle w:val="LineNumber"/>
        </w:rPr>
        <w:t xml:space="preserve"> is based on </w:t>
      </w:r>
      <w:r w:rsidR="008971B4">
        <w:rPr>
          <w:rStyle w:val="LineNumber"/>
        </w:rPr>
        <w:t>the</w:t>
      </w:r>
      <w:r w:rsidR="0057718A">
        <w:rPr>
          <w:rStyle w:val="LineNumber"/>
        </w:rPr>
        <w:t xml:space="preserve"> </w:t>
      </w:r>
      <w:r w:rsidR="002409F3">
        <w:rPr>
          <w:rStyle w:val="LineNumber"/>
        </w:rPr>
        <w:t xml:space="preserve">EOP </w:t>
      </w:r>
      <w:r w:rsidR="0057718A">
        <w:rPr>
          <w:rStyle w:val="LineNumber"/>
        </w:rPr>
        <w:t xml:space="preserve">Rate Base </w:t>
      </w:r>
      <w:r w:rsidR="002409F3">
        <w:rPr>
          <w:rStyle w:val="LineNumber"/>
        </w:rPr>
        <w:t>Study presented b</w:t>
      </w:r>
      <w:r w:rsidR="00A03347">
        <w:rPr>
          <w:rStyle w:val="LineNumber"/>
        </w:rPr>
        <w:t>y Company witness Ms. Andrews in</w:t>
      </w:r>
      <w:r w:rsidR="002409F3">
        <w:rPr>
          <w:rStyle w:val="LineNumber"/>
        </w:rPr>
        <w:t xml:space="preserve"> </w:t>
      </w:r>
      <w:proofErr w:type="spellStart"/>
      <w:r w:rsidR="002409F3">
        <w:rPr>
          <w:rStyle w:val="LineNumber"/>
        </w:rPr>
        <w:t>Exh</w:t>
      </w:r>
      <w:proofErr w:type="spellEnd"/>
      <w:r w:rsidR="002409F3">
        <w:rPr>
          <w:rStyle w:val="LineNumber"/>
        </w:rPr>
        <w:t xml:space="preserve">. EMA-7.  </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 xml:space="preserve">y presented in </w:t>
      </w:r>
      <w:proofErr w:type="spellStart"/>
      <w:r w:rsidR="005951D4">
        <w:rPr>
          <w:rStyle w:val="LineNumber"/>
          <w:b/>
          <w:bCs/>
        </w:rPr>
        <w:t>Exh</w:t>
      </w:r>
      <w:proofErr w:type="spellEnd"/>
      <w:r w:rsidR="005951D4">
        <w:rPr>
          <w:rStyle w:val="LineNumber"/>
          <w:b/>
          <w:bCs/>
        </w:rPr>
        <w:t>.</w:t>
      </w:r>
      <w:r w:rsidR="00E02279">
        <w:rPr>
          <w:rStyle w:val="LineNumber"/>
          <w:b/>
          <w:bCs/>
        </w:rPr>
        <w:t xml:space="preserve"> </w:t>
      </w:r>
      <w:r w:rsidR="005951D4">
        <w:rPr>
          <w:rStyle w:val="LineNumber"/>
          <w:b/>
          <w:bCs/>
        </w:rPr>
        <w:t>JDM</w:t>
      </w:r>
      <w:r w:rsidRPr="00BA18B1">
        <w:rPr>
          <w:rStyle w:val="LineNumber"/>
          <w:b/>
          <w:bCs/>
        </w:rPr>
        <w:t>-</w:t>
      </w:r>
      <w:r w:rsidR="00076D95">
        <w:rPr>
          <w:rStyle w:val="LineNumber"/>
          <w:b/>
          <w:bCs/>
        </w:rPr>
        <w:t>3</w:t>
      </w:r>
      <w:r w:rsidRPr="00BA18B1">
        <w:rPr>
          <w:rStyle w:val="LineNumber"/>
          <w:b/>
          <w:bCs/>
        </w:rPr>
        <w:t>?</w:t>
      </w:r>
    </w:p>
    <w:p w:rsidR="00CA5F49" w:rsidRPr="00BA18B1" w:rsidRDefault="00791039" w:rsidP="00CA5F49">
      <w:pPr>
        <w:pStyle w:val="BodyText2"/>
        <w:tabs>
          <w:tab w:val="left" w:pos="1440"/>
        </w:tabs>
        <w:ind w:firstLine="720"/>
        <w:rPr>
          <w:rStyle w:val="LineNumber"/>
        </w:rPr>
      </w:pPr>
      <w:r>
        <w:rPr>
          <w:rStyle w:val="LineNumber"/>
        </w:rPr>
        <w:lastRenderedPageBreak/>
        <w:t>A.</w:t>
      </w:r>
      <w:r>
        <w:rPr>
          <w:rStyle w:val="LineNumber"/>
        </w:rPr>
        <w:tab/>
        <w:t xml:space="preserve">Yes.  </w:t>
      </w:r>
      <w:proofErr w:type="spellStart"/>
      <w:r>
        <w:rPr>
          <w:rStyle w:val="LineNumber"/>
        </w:rPr>
        <w:t>Exh</w:t>
      </w:r>
      <w:proofErr w:type="spellEnd"/>
      <w:r>
        <w:rPr>
          <w:rStyle w:val="LineNumber"/>
        </w:rPr>
        <w:t xml:space="preserve">. </w:t>
      </w:r>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665D93">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126EAD">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126EAD">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t xml:space="preserve">The Excel model used to calculate the </w:t>
      </w:r>
      <w:r w:rsidR="00FE3318">
        <w:rPr>
          <w:rStyle w:val="LineNumber"/>
        </w:rPr>
        <w:t xml:space="preserve">base case </w:t>
      </w:r>
      <w:r w:rsidRPr="00BA18B1">
        <w:rPr>
          <w:rStyle w:val="LineNumber"/>
        </w:rPr>
        <w:t>cost of service and supporting schedules ha</w:t>
      </w:r>
      <w:r w:rsidR="00126EAD">
        <w:rPr>
          <w:rStyle w:val="LineNumber"/>
        </w:rPr>
        <w:t>ve</w:t>
      </w:r>
      <w:r w:rsidRPr="00BA18B1">
        <w:rPr>
          <w:rStyle w:val="LineNumber"/>
        </w:rPr>
        <w:t xml:space="preserve"> been included in </w:t>
      </w:r>
      <w:r>
        <w:rPr>
          <w:rStyle w:val="LineNumber"/>
        </w:rPr>
        <w:t>its</w:t>
      </w:r>
      <w:r w:rsidRPr="00BA18B1">
        <w:rPr>
          <w:rStyle w:val="LineNumber"/>
        </w:rPr>
        <w:t xml:space="preserve"> entirety both electronically and hard copy in the </w:t>
      </w:r>
      <w:proofErr w:type="spellStart"/>
      <w:r w:rsidRPr="00BA18B1">
        <w:rPr>
          <w:rStyle w:val="LineNumber"/>
        </w:rPr>
        <w:t>workpapers</w:t>
      </w:r>
      <w:proofErr w:type="spellEnd"/>
      <w:r w:rsidRPr="00BA18B1">
        <w:rPr>
          <w:rStyle w:val="LineNumber"/>
        </w:rPr>
        <w:t xml:space="preserve"> accompanying this case.</w:t>
      </w:r>
    </w:p>
    <w:p w:rsidR="00F72553" w:rsidRPr="009F438F" w:rsidRDefault="00F72553" w:rsidP="00F72553">
      <w:pPr>
        <w:pStyle w:val="BodyText2"/>
        <w:tabs>
          <w:tab w:val="left" w:pos="1440"/>
        </w:tabs>
        <w:ind w:firstLine="720"/>
        <w:rPr>
          <w:rStyle w:val="LineNumber"/>
          <w:b/>
          <w:bCs/>
        </w:rPr>
      </w:pPr>
      <w:r w:rsidRPr="009F438F">
        <w:rPr>
          <w:rStyle w:val="LineNumber"/>
          <w:b/>
          <w:bCs/>
        </w:rPr>
        <w:t>Q.</w:t>
      </w:r>
      <w:r w:rsidRPr="009F438F">
        <w:rPr>
          <w:rStyle w:val="LineNumber"/>
          <w:b/>
          <w:bCs/>
        </w:rPr>
        <w:tab/>
      </w:r>
      <w:r w:rsidR="00116813">
        <w:rPr>
          <w:rStyle w:val="LineNumber"/>
          <w:b/>
          <w:bCs/>
        </w:rPr>
        <w:t xml:space="preserve">Does </w:t>
      </w:r>
      <w:r w:rsidRPr="00BA18B1">
        <w:rPr>
          <w:rStyle w:val="LineNumber"/>
          <w:b/>
          <w:bCs/>
        </w:rPr>
        <w:t xml:space="preserve">the Natural Gas Base Case cost of service study utilize the </w:t>
      </w:r>
      <w:r w:rsidR="00116813">
        <w:rPr>
          <w:rStyle w:val="LineNumber"/>
          <w:b/>
          <w:bCs/>
        </w:rPr>
        <w:t xml:space="preserve">same </w:t>
      </w:r>
      <w:r w:rsidRPr="00BA18B1">
        <w:rPr>
          <w:rStyle w:val="LineNumber"/>
          <w:b/>
          <w:bCs/>
        </w:rPr>
        <w:t>methodology from the Company’s last natural gas case in Washington</w:t>
      </w:r>
      <w:r w:rsidRPr="009F438F">
        <w:rPr>
          <w:rStyle w:val="LineNumber"/>
          <w:b/>
          <w:bCs/>
        </w:rPr>
        <w:t>?</w:t>
      </w:r>
    </w:p>
    <w:p w:rsidR="003A0291" w:rsidRDefault="00F72553" w:rsidP="00A03347">
      <w:pPr>
        <w:autoSpaceDE/>
        <w:autoSpaceDN/>
        <w:spacing w:line="480" w:lineRule="auto"/>
        <w:ind w:firstLine="720"/>
        <w:jc w:val="both"/>
        <w:rPr>
          <w:rStyle w:val="LineNumber"/>
        </w:rPr>
      </w:pPr>
      <w:r w:rsidRPr="00AA1A97">
        <w:rPr>
          <w:rStyle w:val="LineNumber"/>
        </w:rPr>
        <w:t>A.</w:t>
      </w:r>
      <w:r w:rsidRPr="00AA1A97">
        <w:rPr>
          <w:rStyle w:val="LineNumber"/>
        </w:rPr>
        <w:tab/>
      </w:r>
      <w:r>
        <w:rPr>
          <w:rStyle w:val="LineNumber"/>
        </w:rPr>
        <w:t xml:space="preserve">Yes, </w:t>
      </w:r>
      <w:r w:rsidRPr="00AA1A97">
        <w:rPr>
          <w:rStyle w:val="LineNumber"/>
        </w:rPr>
        <w:t>the</w:t>
      </w:r>
      <w:r w:rsidRPr="00BA18B1">
        <w:rPr>
          <w:rStyle w:val="LineNumber"/>
        </w:rPr>
        <w:t xml:space="preserve"> Base Case cost of service study was prepared using the same methodology applied to the study presented in Docket No. UG-</w:t>
      </w:r>
      <w:r w:rsidR="00236B6A">
        <w:rPr>
          <w:rStyle w:val="LineNumber"/>
        </w:rPr>
        <w:t>160229</w:t>
      </w:r>
      <w:r w:rsidR="00665D93">
        <w:rPr>
          <w:rStyle w:val="LineNumber"/>
        </w:rPr>
        <w:t>.</w:t>
      </w:r>
      <w:r w:rsidRPr="00BA18B1">
        <w:rPr>
          <w:rStyle w:val="LineNumber"/>
        </w:rPr>
        <w:t xml:space="preserve"> </w:t>
      </w:r>
    </w:p>
    <w:p w:rsidR="001C2555" w:rsidRPr="00BA18B1" w:rsidRDefault="001C2555" w:rsidP="00A03347">
      <w:pPr>
        <w:autoSpaceDE/>
        <w:autoSpaceDN/>
        <w:spacing w:line="480" w:lineRule="auto"/>
        <w:ind w:firstLine="720"/>
        <w:jc w:val="both"/>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967794" w:rsidRDefault="001C2555" w:rsidP="002409F3">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Underground storage costs are segregated proportionately into commodity storage benefits for sales customers and load balancing benefits for all customers.</w:t>
      </w:r>
      <w:r w:rsidRPr="00BA18B1">
        <w:rPr>
          <w:rStyle w:val="LineNumber"/>
        </w:rPr>
        <w:t xml:space="preserve">  </w:t>
      </w:r>
      <w:r w:rsidRPr="00AA4D2A">
        <w:rPr>
          <w:rStyle w:val="LineNumber"/>
        </w:rPr>
        <w:t xml:space="preserve">Natural gas main investment </w:t>
      </w:r>
      <w:r w:rsidR="00FE3318" w:rsidRPr="00AA4D2A">
        <w:rPr>
          <w:rStyle w:val="LineNumber"/>
        </w:rPr>
        <w:t xml:space="preserve">is allocated by coincident peak demand and throughput, respectively.  The throughput portion of the main investment allocation </w:t>
      </w:r>
      <w:r w:rsidRPr="00AA4D2A">
        <w:rPr>
          <w:rStyle w:val="LineNumber"/>
        </w:rPr>
        <w:t xml:space="preserve">has been segregated into </w:t>
      </w:r>
      <w:r w:rsidR="00FE3318" w:rsidRPr="00AA4D2A">
        <w:rPr>
          <w:rStyle w:val="LineNumber"/>
        </w:rPr>
        <w:t>small, medium</w:t>
      </w:r>
      <w:r w:rsidRPr="00AA4D2A">
        <w:rPr>
          <w:rStyle w:val="LineNumber"/>
        </w:rPr>
        <w:t xml:space="preserve"> and </w:t>
      </w:r>
      <w:r w:rsidR="00FE3318" w:rsidRPr="00AA4D2A">
        <w:rPr>
          <w:rStyle w:val="LineNumber"/>
        </w:rPr>
        <w:t>large</w:t>
      </w:r>
      <w:r w:rsidRPr="00AA4D2A">
        <w:rPr>
          <w:rStyle w:val="LineNumber"/>
        </w:rPr>
        <w:t xml:space="preserve"> mains</w:t>
      </w:r>
      <w:r w:rsidR="00AA4D2A" w:rsidRPr="00AA4D2A">
        <w:rPr>
          <w:rStyle w:val="LineNumber"/>
        </w:rPr>
        <w:t>, with large usage customers (Schedules 131/132 &amp; 146) receiving zero allocation of small mains and a 33% of allocation of medium mains</w:t>
      </w:r>
      <w:r w:rsidRPr="00AA4D2A">
        <w:rPr>
          <w:rStyle w:val="LineNumber"/>
        </w:rPr>
        <w:t xml:space="preserve">.  </w:t>
      </w:r>
      <w:r w:rsidR="00913B63">
        <w:rPr>
          <w:rStyle w:val="LineNumber"/>
        </w:rPr>
        <w:t>Other s</w:t>
      </w:r>
      <w:r w:rsidRPr="00BA18B1">
        <w:rPr>
          <w:rStyle w:val="LineNumber"/>
        </w:rPr>
        <w:t xml:space="preserve">ystem facilities that serve all customers are classified by the peak and average ratio that reflects the system </w:t>
      </w:r>
      <w:r w:rsidRPr="00BA18B1">
        <w:rPr>
          <w:rStyle w:val="LineNumber"/>
        </w:rPr>
        <w:lastRenderedPageBreak/>
        <w:t>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00913B63" w:rsidRPr="00AA4D2A">
        <w:rPr>
          <w:rStyle w:val="LineNumber"/>
        </w:rPr>
        <w:t>Meter installation and services investment is allocated by number of customers</w:t>
      </w:r>
      <w:r w:rsidR="00913B63" w:rsidRPr="00BA18B1">
        <w:rPr>
          <w:rStyle w:val="LineNumber"/>
        </w:rPr>
        <w:t xml:space="preserve"> weighted by the relative current cost of those items.</w:t>
      </w:r>
      <w:r w:rsidR="00913B63">
        <w:rPr>
          <w:rStyle w:val="LineNumber"/>
        </w:rPr>
        <w:t xml:space="preserve">  </w:t>
      </w:r>
      <w:r w:rsidRPr="00BA18B1">
        <w:rPr>
          <w:rStyle w:val="LineNumber"/>
        </w:rPr>
        <w:t>General plant is</w:t>
      </w:r>
      <w:r w:rsidR="00FE3318">
        <w:rPr>
          <w:rStyle w:val="LineNumber"/>
        </w:rPr>
        <w:t xml:space="preserve"> allocated</w:t>
      </w:r>
      <w:r w:rsidRPr="00BA18B1">
        <w:rPr>
          <w:rStyle w:val="LineNumber"/>
        </w:rPr>
        <w:t xml:space="preserve"> </w:t>
      </w:r>
      <w:r w:rsidR="0057718A">
        <w:rPr>
          <w:rStyle w:val="LineNumber"/>
        </w:rPr>
        <w:t>based on the Company’s blended four</w:t>
      </w:r>
      <w:r w:rsidR="00CC0801">
        <w:rPr>
          <w:rStyle w:val="LineNumber"/>
        </w:rPr>
        <w:t>-part factor allocator (four</w:t>
      </w:r>
      <w:r w:rsidR="00FE3318">
        <w:rPr>
          <w:rStyle w:val="LineNumber"/>
        </w:rPr>
        <w:t>-factor)</w:t>
      </w:r>
      <w:r w:rsidRPr="00BA18B1">
        <w:rPr>
          <w:rStyle w:val="LineNumber"/>
        </w:rPr>
        <w: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“other”.  The costs are then allocated by factors associated with labor, plant in service, or revenue, respectively.  </w:t>
      </w:r>
      <w:r w:rsidRPr="00FE3318">
        <w:rPr>
          <w:rStyle w:val="LineNumber"/>
        </w:rPr>
        <w:t>The “other” A&amp;G amounts</w:t>
      </w:r>
      <w:r w:rsidR="00FE3318" w:rsidRPr="00FE3318">
        <w:rPr>
          <w:rStyle w:val="LineNumber"/>
        </w:rPr>
        <w:t xml:space="preserve"> are allocated based on the Comp</w:t>
      </w:r>
      <w:r w:rsidR="00CC0801">
        <w:rPr>
          <w:rStyle w:val="LineNumber"/>
        </w:rPr>
        <w:t>any’s four</w:t>
      </w:r>
      <w:r w:rsidR="00E15BE1">
        <w:rPr>
          <w:rStyle w:val="LineNumber"/>
        </w:rPr>
        <w:t>-factor</w:t>
      </w:r>
      <w:r w:rsidRPr="00FE3318">
        <w:rPr>
          <w:rStyle w:val="LineNumber"/>
        </w:rPr>
        <w:t>.  A</w:t>
      </w:r>
      <w:r w:rsidRPr="00BA18B1">
        <w:rPr>
          <w:rStyle w:val="LineNumber"/>
        </w:rPr>
        <w:t xml:space="preserve"> detailed description of the methodology is included in </w:t>
      </w:r>
      <w:proofErr w:type="spellStart"/>
      <w:r w:rsidRPr="00BA18B1">
        <w:rPr>
          <w:rStyle w:val="LineNumber"/>
        </w:rPr>
        <w:t>Exh</w:t>
      </w:r>
      <w:proofErr w:type="spellEnd"/>
      <w:r w:rsidRPr="00BA18B1">
        <w:rPr>
          <w:rStyle w:val="LineNumber"/>
        </w:rPr>
        <w:t>.</w:t>
      </w:r>
      <w:r w:rsidR="00E02279">
        <w:rPr>
          <w:rStyle w:val="LineNumber"/>
        </w:rPr>
        <w:t xml:space="preserve"> </w:t>
      </w:r>
      <w:r w:rsidR="00B16067">
        <w:rPr>
          <w:rStyle w:val="LineNumber"/>
        </w:rPr>
        <w:t>JDM</w:t>
      </w:r>
      <w:r w:rsidRPr="00BA18B1">
        <w:rPr>
          <w:rStyle w:val="LineNumber"/>
        </w:rPr>
        <w:t>-</w:t>
      </w:r>
      <w:r w:rsidR="00076D95">
        <w:rPr>
          <w:rStyle w:val="LineNumber"/>
        </w:rPr>
        <w:t>2</w:t>
      </w:r>
      <w:r w:rsidRPr="00BA18B1">
        <w:rPr>
          <w:rStyle w:val="LineNumber"/>
        </w:rPr>
        <w:t>.</w:t>
      </w:r>
    </w:p>
    <w:p w:rsidR="00357DFE" w:rsidRDefault="00357DFE" w:rsidP="002409F3">
      <w:pPr>
        <w:pStyle w:val="BodyText2"/>
        <w:tabs>
          <w:tab w:val="left" w:pos="1440"/>
        </w:tabs>
        <w:ind w:firstLine="720"/>
        <w:rPr>
          <w:rStyle w:val="LineNumber"/>
        </w:rPr>
      </w:pPr>
    </w:p>
    <w:p w:rsidR="007C2AE0" w:rsidRDefault="007C2AE0" w:rsidP="00D17BD4">
      <w:pPr>
        <w:pStyle w:val="BodyText2"/>
        <w:tabs>
          <w:tab w:val="left" w:pos="1440"/>
        </w:tabs>
        <w:ind w:firstLine="720"/>
        <w:jc w:val="center"/>
        <w:rPr>
          <w:rStyle w:val="LineNumber"/>
          <w:b/>
          <w:u w:val="single"/>
        </w:rPr>
      </w:pPr>
      <w:r>
        <w:rPr>
          <w:rStyle w:val="LineNumber"/>
          <w:b/>
          <w:u w:val="single"/>
        </w:rPr>
        <w:t>Distribution Main Cost Allocation</w:t>
      </w:r>
    </w:p>
    <w:p w:rsidR="007C2AE0" w:rsidRPr="00BA18B1" w:rsidRDefault="00FE70A6" w:rsidP="007C2AE0">
      <w:pPr>
        <w:pStyle w:val="BodyText2"/>
        <w:tabs>
          <w:tab w:val="left" w:pos="1440"/>
        </w:tabs>
        <w:ind w:firstLine="720"/>
        <w:rPr>
          <w:rStyle w:val="LineNumber"/>
          <w:b/>
          <w:bCs/>
        </w:rPr>
      </w:pPr>
      <w:r>
        <w:rPr>
          <w:rStyle w:val="LineNumber"/>
          <w:b/>
          <w:bCs/>
        </w:rPr>
        <w:t>Q.</w:t>
      </w:r>
      <w:r>
        <w:rPr>
          <w:rStyle w:val="LineNumber"/>
          <w:b/>
          <w:bCs/>
        </w:rPr>
        <w:tab/>
        <w:t xml:space="preserve">Is </w:t>
      </w:r>
      <w:r w:rsidR="008971B4">
        <w:rPr>
          <w:rStyle w:val="LineNumber"/>
          <w:b/>
          <w:bCs/>
        </w:rPr>
        <w:t xml:space="preserve">the </w:t>
      </w:r>
      <w:r w:rsidR="007C2AE0">
        <w:rPr>
          <w:rStyle w:val="LineNumber"/>
          <w:b/>
          <w:bCs/>
        </w:rPr>
        <w:t>Company</w:t>
      </w:r>
      <w:r>
        <w:rPr>
          <w:rStyle w:val="LineNumber"/>
          <w:b/>
          <w:bCs/>
        </w:rPr>
        <w:t>’s</w:t>
      </w:r>
      <w:r w:rsidR="007C2AE0">
        <w:rPr>
          <w:rStyle w:val="LineNumber"/>
          <w:b/>
          <w:bCs/>
        </w:rPr>
        <w:t xml:space="preserve"> </w:t>
      </w:r>
      <w:r>
        <w:rPr>
          <w:rStyle w:val="LineNumber"/>
          <w:b/>
          <w:bCs/>
        </w:rPr>
        <w:t>approach</w:t>
      </w:r>
      <w:r w:rsidR="007C2AE0">
        <w:rPr>
          <w:rStyle w:val="LineNumber"/>
          <w:b/>
          <w:bCs/>
        </w:rPr>
        <w:t xml:space="preserve"> to the allocation of distribution mains</w:t>
      </w:r>
      <w:r w:rsidR="008971B4">
        <w:rPr>
          <w:rStyle w:val="LineNumber"/>
          <w:b/>
          <w:bCs/>
        </w:rPr>
        <w:t xml:space="preserve"> consistent</w:t>
      </w:r>
      <w:r>
        <w:rPr>
          <w:rStyle w:val="LineNumber"/>
          <w:b/>
          <w:bCs/>
        </w:rPr>
        <w:t xml:space="preserve"> with what was proposed in the Company’s l</w:t>
      </w:r>
      <w:r w:rsidR="00BF499D">
        <w:rPr>
          <w:rStyle w:val="LineNumber"/>
          <w:b/>
          <w:bCs/>
        </w:rPr>
        <w:t xml:space="preserve">ast </w:t>
      </w:r>
      <w:r w:rsidR="0057718A">
        <w:rPr>
          <w:rStyle w:val="LineNumber"/>
          <w:b/>
          <w:bCs/>
        </w:rPr>
        <w:t>general rate case (UG-16022</w:t>
      </w:r>
      <w:r w:rsidR="00BF499D">
        <w:rPr>
          <w:rStyle w:val="LineNumber"/>
          <w:b/>
          <w:bCs/>
        </w:rPr>
        <w:t>9</w:t>
      </w:r>
      <w:r>
        <w:rPr>
          <w:rStyle w:val="LineNumber"/>
          <w:b/>
          <w:bCs/>
        </w:rPr>
        <w:t>)</w:t>
      </w:r>
      <w:r w:rsidR="007C2AE0" w:rsidRPr="00BA18B1">
        <w:rPr>
          <w:rStyle w:val="LineNumber"/>
          <w:b/>
          <w:bCs/>
        </w:rPr>
        <w:t>?</w:t>
      </w:r>
    </w:p>
    <w:p w:rsidR="00880B4A" w:rsidRDefault="007C2AE0" w:rsidP="00126EAD">
      <w:pPr>
        <w:pStyle w:val="BodyText2"/>
        <w:tabs>
          <w:tab w:val="left" w:pos="1440"/>
        </w:tabs>
        <w:ind w:firstLine="720"/>
        <w:rPr>
          <w:rStyle w:val="LineNumber"/>
        </w:rPr>
      </w:pPr>
      <w:r w:rsidRPr="00BA18B1">
        <w:rPr>
          <w:rStyle w:val="LineNumber"/>
        </w:rPr>
        <w:t>A.</w:t>
      </w:r>
      <w:r w:rsidRPr="00BA18B1">
        <w:rPr>
          <w:rStyle w:val="LineNumber"/>
        </w:rPr>
        <w:tab/>
      </w:r>
      <w:r w:rsidR="00FE70A6">
        <w:rPr>
          <w:rStyle w:val="LineNumber"/>
        </w:rPr>
        <w:t xml:space="preserve">Yes.  </w:t>
      </w:r>
      <w:r w:rsidR="001C1DE0">
        <w:rPr>
          <w:rStyle w:val="LineNumber"/>
        </w:rPr>
        <w:t>There have been</w:t>
      </w:r>
      <w:r w:rsidR="007D77B4">
        <w:rPr>
          <w:rStyle w:val="LineNumber"/>
        </w:rPr>
        <w:t xml:space="preserve"> varying points of view as to the </w:t>
      </w:r>
      <w:r>
        <w:rPr>
          <w:rStyle w:val="LineNumber"/>
        </w:rPr>
        <w:t xml:space="preserve">proper allocation of distribution mains </w:t>
      </w:r>
      <w:r w:rsidR="007D77B4">
        <w:rPr>
          <w:rStyle w:val="LineNumber"/>
        </w:rPr>
        <w:t>as illustrated in the testimony sponsored</w:t>
      </w:r>
      <w:r>
        <w:rPr>
          <w:rStyle w:val="LineNumber"/>
        </w:rPr>
        <w:t xml:space="preserve"> by severa</w:t>
      </w:r>
      <w:r w:rsidR="00925448">
        <w:rPr>
          <w:rStyle w:val="LineNumber"/>
        </w:rPr>
        <w:t>l parties in</w:t>
      </w:r>
      <w:r w:rsidR="00FE70A6">
        <w:rPr>
          <w:rStyle w:val="LineNumber"/>
        </w:rPr>
        <w:t xml:space="preserve"> the Company’s prior </w:t>
      </w:r>
      <w:r w:rsidR="00925448">
        <w:rPr>
          <w:rStyle w:val="LineNumber"/>
        </w:rPr>
        <w:t>general rate cases</w:t>
      </w:r>
      <w:r w:rsidR="00915D98">
        <w:rPr>
          <w:rStyle w:val="LineNumber"/>
        </w:rPr>
        <w:t xml:space="preserve"> (UG-140189 &amp; UG-120437)</w:t>
      </w:r>
      <w:r w:rsidR="00925448">
        <w:rPr>
          <w:rStyle w:val="LineNumber"/>
        </w:rPr>
        <w:t xml:space="preserve">.  </w:t>
      </w:r>
      <w:r w:rsidR="00126EAD">
        <w:rPr>
          <w:rStyle w:val="LineNumber"/>
        </w:rPr>
        <w:t>T</w:t>
      </w:r>
      <w:r w:rsidR="00925448">
        <w:rPr>
          <w:rStyle w:val="LineNumber"/>
        </w:rPr>
        <w:t>he Company</w:t>
      </w:r>
      <w:r w:rsidR="00FE70A6">
        <w:rPr>
          <w:rStyle w:val="LineNumber"/>
        </w:rPr>
        <w:t>’s</w:t>
      </w:r>
      <w:r w:rsidR="00925448">
        <w:rPr>
          <w:rStyle w:val="LineNumber"/>
        </w:rPr>
        <w:t xml:space="preserve"> </w:t>
      </w:r>
      <w:r w:rsidR="00FE70A6">
        <w:rPr>
          <w:rStyle w:val="LineNumber"/>
        </w:rPr>
        <w:t>approach</w:t>
      </w:r>
      <w:r w:rsidR="00925448">
        <w:rPr>
          <w:rStyle w:val="LineNumber"/>
        </w:rPr>
        <w:t xml:space="preserve"> produce</w:t>
      </w:r>
      <w:r w:rsidR="00FE70A6">
        <w:rPr>
          <w:rStyle w:val="LineNumber"/>
        </w:rPr>
        <w:t>s</w:t>
      </w:r>
      <w:r w:rsidR="00925448">
        <w:rPr>
          <w:rStyle w:val="LineNumber"/>
        </w:rPr>
        <w:t xml:space="preserve"> an allocation method that</w:t>
      </w:r>
      <w:r w:rsidR="00EC63F1">
        <w:rPr>
          <w:rStyle w:val="LineNumber"/>
        </w:rPr>
        <w:t xml:space="preserve"> we believe</w:t>
      </w:r>
      <w:r w:rsidR="00925448">
        <w:rPr>
          <w:rStyle w:val="LineNumber"/>
        </w:rPr>
        <w:t xml:space="preserve"> 1) is consistent with cost of service principles, 2) acknowledges past Commission decisions, 3) is consistent with Avista’s distribution system, and 4) is both fair and </w:t>
      </w:r>
      <w:r w:rsidR="00F4297C">
        <w:rPr>
          <w:rStyle w:val="LineNumber"/>
        </w:rPr>
        <w:t>balanced</w:t>
      </w:r>
      <w:r w:rsidR="00D17BD4">
        <w:rPr>
          <w:rStyle w:val="LineNumber"/>
        </w:rPr>
        <w:t xml:space="preserve"> to all </w:t>
      </w:r>
      <w:r w:rsidR="00F4297C">
        <w:rPr>
          <w:rStyle w:val="LineNumber"/>
        </w:rPr>
        <w:t>customer classes</w:t>
      </w:r>
      <w:r w:rsidR="00D17BD4">
        <w:rPr>
          <w:rStyle w:val="LineNumber"/>
        </w:rPr>
        <w:t>.</w:t>
      </w:r>
    </w:p>
    <w:p w:rsidR="00A418A5" w:rsidRPr="00BA18B1" w:rsidRDefault="00A418A5" w:rsidP="00A418A5">
      <w:pPr>
        <w:pStyle w:val="BodyText2"/>
        <w:tabs>
          <w:tab w:val="left" w:pos="1440"/>
        </w:tabs>
        <w:ind w:firstLine="720"/>
        <w:rPr>
          <w:rStyle w:val="LineNumber"/>
          <w:b/>
          <w:bCs/>
        </w:rPr>
      </w:pPr>
      <w:r>
        <w:rPr>
          <w:rStyle w:val="LineNumber"/>
          <w:b/>
          <w:bCs/>
        </w:rPr>
        <w:t>Q.</w:t>
      </w:r>
      <w:r>
        <w:rPr>
          <w:rStyle w:val="LineNumber"/>
          <w:b/>
          <w:bCs/>
        </w:rPr>
        <w:tab/>
        <w:t xml:space="preserve">Please </w:t>
      </w:r>
      <w:r w:rsidR="005C790C">
        <w:rPr>
          <w:rStyle w:val="LineNumber"/>
          <w:b/>
          <w:bCs/>
        </w:rPr>
        <w:t xml:space="preserve">briefly </w:t>
      </w:r>
      <w:r>
        <w:rPr>
          <w:rStyle w:val="LineNumber"/>
          <w:b/>
          <w:bCs/>
        </w:rPr>
        <w:t>summarize the distribution main allocation methodology the Company is proposing in this proceeding?</w:t>
      </w:r>
    </w:p>
    <w:p w:rsidR="00202BEA" w:rsidRDefault="00A418A5" w:rsidP="00A41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Company is continuing to apply the peak a</w:t>
      </w:r>
      <w:r w:rsidR="005F721B">
        <w:rPr>
          <w:rStyle w:val="LineNumber"/>
        </w:rPr>
        <w:t>nd average ratio to classify</w:t>
      </w:r>
      <w:r>
        <w:rPr>
          <w:rStyle w:val="LineNumber"/>
        </w:rPr>
        <w:t xml:space="preserve"> distribution main investment into </w:t>
      </w:r>
      <w:r w:rsidR="00C54DAC">
        <w:rPr>
          <w:rStyle w:val="LineNumber"/>
        </w:rPr>
        <w:t xml:space="preserve">both </w:t>
      </w:r>
      <w:r>
        <w:rPr>
          <w:rStyle w:val="LineNumber"/>
        </w:rPr>
        <w:t xml:space="preserve">demand and commodity related costs. </w:t>
      </w:r>
      <w:r w:rsidR="00CC54D0">
        <w:rPr>
          <w:rStyle w:val="LineNumber"/>
        </w:rPr>
        <w:t xml:space="preserve"> </w:t>
      </w:r>
      <w:r w:rsidR="00C54DAC">
        <w:rPr>
          <w:rStyle w:val="LineNumber"/>
        </w:rPr>
        <w:t xml:space="preserve">The portion of main investment classified as demand related is allocated to </w:t>
      </w:r>
      <w:r w:rsidR="00C54DAC" w:rsidRPr="00C54DAC">
        <w:rPr>
          <w:rStyle w:val="LineNumber"/>
          <w:u w:val="single"/>
        </w:rPr>
        <w:t>all</w:t>
      </w:r>
      <w:r w:rsidR="00C54DAC">
        <w:rPr>
          <w:rStyle w:val="LineNumber"/>
        </w:rPr>
        <w:t xml:space="preserve"> rate schedules on the basis of </w:t>
      </w:r>
      <w:r w:rsidR="00C54DAC">
        <w:rPr>
          <w:rStyle w:val="LineNumber"/>
        </w:rPr>
        <w:lastRenderedPageBreak/>
        <w:t xml:space="preserve">each schedule’s contribution to system peak demand.  The demand related allocation does not attempt to separate distribution main based on pipe size.  </w:t>
      </w:r>
    </w:p>
    <w:p w:rsidR="00A418A5" w:rsidRDefault="00C54DAC" w:rsidP="008C65E2">
      <w:pPr>
        <w:pStyle w:val="BodyText2"/>
        <w:tabs>
          <w:tab w:val="left" w:pos="1440"/>
        </w:tabs>
        <w:ind w:firstLine="720"/>
        <w:rPr>
          <w:rStyle w:val="LineNumber"/>
        </w:rPr>
      </w:pPr>
      <w:r>
        <w:rPr>
          <w:rStyle w:val="LineNumber"/>
        </w:rPr>
        <w:t xml:space="preserve">The portion of distribution main investment classified as commodity related </w:t>
      </w:r>
      <w:r w:rsidR="008C65E2">
        <w:rPr>
          <w:rStyle w:val="LineNumber"/>
        </w:rPr>
        <w:t xml:space="preserve">has </w:t>
      </w:r>
      <w:r w:rsidR="005F721B">
        <w:rPr>
          <w:rStyle w:val="LineNumber"/>
        </w:rPr>
        <w:t xml:space="preserve">been </w:t>
      </w:r>
      <w:r w:rsidR="008C65E2">
        <w:rPr>
          <w:rStyle w:val="LineNumber"/>
        </w:rPr>
        <w:t>separated</w:t>
      </w:r>
      <w:r>
        <w:rPr>
          <w:rStyle w:val="LineNumber"/>
        </w:rPr>
        <w:t xml:space="preserve"> into three </w:t>
      </w:r>
      <w:r w:rsidR="00202BEA">
        <w:rPr>
          <w:rStyle w:val="LineNumber"/>
        </w:rPr>
        <w:t>groups (small, medium &amp; large)</w:t>
      </w:r>
      <w:r w:rsidR="00EE3A83">
        <w:rPr>
          <w:rStyle w:val="LineNumber"/>
        </w:rPr>
        <w:t xml:space="preserve"> instead of two</w:t>
      </w:r>
      <w:r w:rsidR="00202BEA">
        <w:rPr>
          <w:rStyle w:val="LineNumber"/>
        </w:rPr>
        <w:t xml:space="preserve">.  </w:t>
      </w:r>
      <w:r w:rsidR="008C65E2">
        <w:rPr>
          <w:rStyle w:val="LineNumber"/>
        </w:rPr>
        <w:t xml:space="preserve">Large main </w:t>
      </w:r>
      <w:r w:rsidR="005A1C0E">
        <w:rPr>
          <w:rStyle w:val="LineNumber"/>
        </w:rPr>
        <w:t xml:space="preserve">(4 inches and greater) </w:t>
      </w:r>
      <w:r w:rsidR="008C65E2">
        <w:rPr>
          <w:rStyle w:val="LineNumber"/>
        </w:rPr>
        <w:t>is allocated to all rate schedules based on annual weather normalized throughput.  Small main</w:t>
      </w:r>
      <w:r w:rsidR="005A1C0E">
        <w:rPr>
          <w:rStyle w:val="LineNumber"/>
        </w:rPr>
        <w:t xml:space="preserve"> (less than 2 inches)</w:t>
      </w:r>
      <w:r w:rsidR="008C65E2">
        <w:rPr>
          <w:rStyle w:val="LineNumber"/>
        </w:rPr>
        <w:t xml:space="preserve"> is allocated to all rate schedules with the exception of Schedules 131/132 &amp; 146 based on weather normalized throughput.  Medium main</w:t>
      </w:r>
      <w:r w:rsidR="005A1C0E">
        <w:rPr>
          <w:rStyle w:val="LineNumber"/>
        </w:rPr>
        <w:t xml:space="preserve"> (2 and 3 inches)</w:t>
      </w:r>
      <w:r w:rsidR="008C65E2">
        <w:rPr>
          <w:rStyle w:val="LineNumber"/>
        </w:rPr>
        <w:t xml:space="preserve"> is allocated 33 percent to all rate schedules and 67 percent to all rate schedules except Schedules 131/132 &amp; 146 based on weather normalized throughput.</w:t>
      </w:r>
      <w:r w:rsidR="005C790C">
        <w:rPr>
          <w:rStyle w:val="LineNumber"/>
        </w:rPr>
        <w:t xml:space="preserve">  </w:t>
      </w:r>
    </w:p>
    <w:p w:rsidR="008C65E2" w:rsidRPr="00E7582F" w:rsidRDefault="008C65E2" w:rsidP="008C65E2">
      <w:pPr>
        <w:pStyle w:val="BodyText2"/>
        <w:tabs>
          <w:tab w:val="left" w:pos="1440"/>
        </w:tabs>
        <w:ind w:firstLine="720"/>
        <w:rPr>
          <w:rStyle w:val="LineNumber"/>
          <w:b/>
          <w:bCs/>
        </w:rPr>
      </w:pPr>
      <w:r w:rsidRPr="00E7582F">
        <w:rPr>
          <w:rStyle w:val="LineNumber"/>
          <w:b/>
          <w:bCs/>
        </w:rPr>
        <w:t>Q.</w:t>
      </w:r>
      <w:r w:rsidRPr="00E7582F">
        <w:rPr>
          <w:rStyle w:val="LineNumber"/>
          <w:b/>
          <w:bCs/>
        </w:rPr>
        <w:tab/>
        <w:t xml:space="preserve">Please </w:t>
      </w:r>
      <w:r w:rsidR="0057718A">
        <w:rPr>
          <w:rStyle w:val="LineNumber"/>
          <w:b/>
          <w:bCs/>
        </w:rPr>
        <w:t>explain</w:t>
      </w:r>
      <w:r w:rsidRPr="00E7582F">
        <w:rPr>
          <w:rStyle w:val="LineNumber"/>
          <w:b/>
          <w:bCs/>
        </w:rPr>
        <w:t xml:space="preserve"> the conc</w:t>
      </w:r>
      <w:r w:rsidR="00CC0801">
        <w:rPr>
          <w:rStyle w:val="LineNumber"/>
          <w:b/>
          <w:bCs/>
        </w:rPr>
        <w:t>ern the Company is addressing through</w:t>
      </w:r>
      <w:r w:rsidRPr="00E7582F">
        <w:rPr>
          <w:rStyle w:val="LineNumber"/>
          <w:b/>
          <w:bCs/>
        </w:rPr>
        <w:t xml:space="preserve"> its </w:t>
      </w:r>
      <w:r w:rsidR="00977860" w:rsidRPr="00E7582F">
        <w:rPr>
          <w:rStyle w:val="LineNumber"/>
          <w:b/>
          <w:bCs/>
        </w:rPr>
        <w:t xml:space="preserve">proposed </w:t>
      </w:r>
      <w:r w:rsidRPr="00E7582F">
        <w:rPr>
          <w:rStyle w:val="LineNumber"/>
          <w:b/>
          <w:bCs/>
        </w:rPr>
        <w:t>distribution main allocation?</w:t>
      </w:r>
    </w:p>
    <w:p w:rsidR="00977860" w:rsidRPr="00E7582F" w:rsidRDefault="00FE095A" w:rsidP="00977860">
      <w:pPr>
        <w:pStyle w:val="BodyText2"/>
        <w:tabs>
          <w:tab w:val="left" w:pos="1440"/>
        </w:tabs>
        <w:ind w:firstLine="720"/>
        <w:rPr>
          <w:rStyle w:val="LineNumber"/>
        </w:rPr>
      </w:pPr>
      <w:r w:rsidRPr="00E7582F">
        <w:rPr>
          <w:rStyle w:val="LineNumber"/>
        </w:rPr>
        <w:t>A.</w:t>
      </w:r>
      <w:r w:rsidRPr="00E7582F">
        <w:rPr>
          <w:rStyle w:val="LineNumber"/>
        </w:rPr>
        <w:tab/>
      </w:r>
      <w:r w:rsidR="0057718A">
        <w:rPr>
          <w:rStyle w:val="LineNumber"/>
        </w:rPr>
        <w:t>U</w:t>
      </w:r>
      <w:r w:rsidR="000C4076">
        <w:rPr>
          <w:rStyle w:val="LineNumber"/>
        </w:rPr>
        <w:t>nder the prior approach, not enough costs were being allocated to larger usage customers based on the benefits they receive from being connected to the entire natural gas distribution system</w:t>
      </w:r>
      <w:r w:rsidR="0057718A">
        <w:rPr>
          <w:rStyle w:val="FootnoteReference"/>
        </w:rPr>
        <w:footnoteReference w:id="6"/>
      </w:r>
      <w:r w:rsidR="000C4076">
        <w:rPr>
          <w:rStyle w:val="LineNumber"/>
        </w:rPr>
        <w:t xml:space="preserve">.  </w:t>
      </w:r>
      <w:r w:rsidR="00977860" w:rsidRPr="00E7582F">
        <w:rPr>
          <w:rStyle w:val="LineNumber"/>
        </w:rPr>
        <w:t>The allocation the Company used in its prior general rate case filings (prior to UG-150205) separated distribution main investment into small (less than 4 inches) and large (4 inches and greater) main.</w:t>
      </w:r>
      <w:r w:rsidR="00977860" w:rsidRPr="00E7582F">
        <w:t xml:space="preserve">  </w:t>
      </w:r>
      <w:r w:rsidR="00977860" w:rsidRPr="00E7582F">
        <w:rPr>
          <w:rStyle w:val="LineNumber"/>
        </w:rPr>
        <w:t>Large usage customers that took service from large mains did not receive an alloc</w:t>
      </w:r>
      <w:r w:rsidR="000C4076">
        <w:rPr>
          <w:rStyle w:val="LineNumber"/>
        </w:rPr>
        <w:t>ation of small mains.  L</w:t>
      </w:r>
      <w:r w:rsidR="00977860" w:rsidRPr="00E7582F">
        <w:rPr>
          <w:rStyle w:val="LineNumber"/>
        </w:rPr>
        <w:t>arge usage customers that took service from small mains had their associated throughput and coincident peak demand assigned to the small main allocation factors</w:t>
      </w:r>
      <w:r w:rsidR="000C4076">
        <w:rPr>
          <w:rStyle w:val="LineNumber"/>
        </w:rPr>
        <w:t>,</w:t>
      </w:r>
      <w:r w:rsidR="002C3A54">
        <w:rPr>
          <w:rStyle w:val="LineNumber"/>
        </w:rPr>
        <w:t xml:space="preserve"> and received a relatively small allocation of small main costs</w:t>
      </w:r>
      <w:r w:rsidR="000C4076">
        <w:rPr>
          <w:rStyle w:val="LineNumber"/>
        </w:rPr>
        <w:t>.  Finally</w:t>
      </w:r>
      <w:r w:rsidR="00977860" w:rsidRPr="00E7582F">
        <w:rPr>
          <w:rStyle w:val="LineNumber"/>
        </w:rPr>
        <w:t>, the Company individually analyzed all large interruptible and transportation customers (Schedules 131/132 and 146) to determine what size of pipe each customer directly took service from and any portion of pipe that was directly assignable to a particular customer.</w:t>
      </w:r>
    </w:p>
    <w:p w:rsidR="001D60F8" w:rsidRDefault="008C65E2" w:rsidP="001D60F8">
      <w:pPr>
        <w:pStyle w:val="BodyText2"/>
        <w:tabs>
          <w:tab w:val="left" w:pos="1440"/>
        </w:tabs>
        <w:ind w:firstLine="720"/>
        <w:rPr>
          <w:rStyle w:val="LineNumber"/>
        </w:rPr>
      </w:pPr>
      <w:r w:rsidRPr="00E7582F">
        <w:rPr>
          <w:rStyle w:val="LineNumber"/>
        </w:rPr>
        <w:lastRenderedPageBreak/>
        <w:t>Under the</w:t>
      </w:r>
      <w:r w:rsidR="00815C3A" w:rsidRPr="00E7582F">
        <w:rPr>
          <w:rStyle w:val="LineNumber"/>
        </w:rPr>
        <w:t xml:space="preserve"> prior approach, any large customer who was connected to large main did not receive </w:t>
      </w:r>
      <w:r w:rsidR="00815C3A" w:rsidRPr="00E7582F">
        <w:rPr>
          <w:rStyle w:val="LineNumber"/>
          <w:u w:val="single"/>
        </w:rPr>
        <w:t>any</w:t>
      </w:r>
      <w:r w:rsidR="00815C3A" w:rsidRPr="00E7582F">
        <w:rPr>
          <w:rStyle w:val="LineNumber"/>
        </w:rPr>
        <w:t xml:space="preserve"> allocation of small main.  By excluding these customers from the small main allocation altogether, the prior methodology ignored any benefits that </w:t>
      </w:r>
      <w:r w:rsidR="000B11EC" w:rsidRPr="00E7582F">
        <w:rPr>
          <w:rStyle w:val="LineNumber"/>
        </w:rPr>
        <w:t xml:space="preserve">large customers receive from being connected to a broader </w:t>
      </w:r>
      <w:r w:rsidR="008343EA" w:rsidRPr="00E7582F">
        <w:rPr>
          <w:rStyle w:val="LineNumber"/>
        </w:rPr>
        <w:t xml:space="preserve">distribution </w:t>
      </w:r>
      <w:r w:rsidR="000B11EC" w:rsidRPr="00E7582F">
        <w:rPr>
          <w:rStyle w:val="LineNumber"/>
        </w:rPr>
        <w:t>system which is heavily dependent on small main.</w:t>
      </w:r>
    </w:p>
    <w:p w:rsidR="000B11EC" w:rsidRPr="00BA18B1" w:rsidRDefault="000B11EC" w:rsidP="000B11EC">
      <w:pPr>
        <w:pStyle w:val="BodyText2"/>
        <w:tabs>
          <w:tab w:val="left" w:pos="1440"/>
        </w:tabs>
        <w:ind w:firstLine="720"/>
        <w:rPr>
          <w:rStyle w:val="LineNumber"/>
          <w:b/>
          <w:bCs/>
        </w:rPr>
      </w:pPr>
      <w:r>
        <w:rPr>
          <w:rStyle w:val="LineNumber"/>
          <w:b/>
          <w:bCs/>
        </w:rPr>
        <w:t>Q.</w:t>
      </w:r>
      <w:r>
        <w:rPr>
          <w:rStyle w:val="LineNumber"/>
          <w:b/>
          <w:bCs/>
        </w:rPr>
        <w:tab/>
        <w:t>Please describe the benefit all customers receive from being connected to Avista’s natural gas distribution main.</w:t>
      </w:r>
    </w:p>
    <w:p w:rsidR="000B11EC" w:rsidRDefault="000B11EC" w:rsidP="000B11EC">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Avista’s natural gas distribution system is a network of pipes that includes parall</w:t>
      </w:r>
      <w:r w:rsidR="002F3571">
        <w:rPr>
          <w:rStyle w:val="LineNumber"/>
        </w:rPr>
        <w:t>el and interconnected lines from which</w:t>
      </w:r>
      <w:r>
        <w:rPr>
          <w:rStyle w:val="LineNumber"/>
        </w:rPr>
        <w:t xml:space="preserve"> different pipes </w:t>
      </w:r>
      <w:r w:rsidR="007D77B4">
        <w:rPr>
          <w:rStyle w:val="LineNumber"/>
        </w:rPr>
        <w:t>are</w:t>
      </w:r>
      <w:r>
        <w:rPr>
          <w:rStyle w:val="LineNumber"/>
        </w:rPr>
        <w:t xml:space="preserve"> used to move gas from one point to another.  The Company generally chooses to use </w:t>
      </w:r>
      <w:r w:rsidR="003540B6">
        <w:rPr>
          <w:rStyle w:val="LineNumber"/>
        </w:rPr>
        <w:t xml:space="preserve">2 inch diameter pipes to serve smaller customers and 4 or 6 inch diameter pipes to serve larger customers.  However, all sizes of pipe create capacity on the system.  If there </w:t>
      </w:r>
      <w:r w:rsidR="00126EAD">
        <w:rPr>
          <w:rStyle w:val="LineNumber"/>
        </w:rPr>
        <w:t>were</w:t>
      </w:r>
      <w:r w:rsidR="00EC63F1">
        <w:rPr>
          <w:rStyle w:val="LineNumber"/>
        </w:rPr>
        <w:t xml:space="preserve"> </w:t>
      </w:r>
      <w:r w:rsidR="003540B6">
        <w:rPr>
          <w:rStyle w:val="LineNumber"/>
        </w:rPr>
        <w:t>less 2 inch diameter pipe, there would</w:t>
      </w:r>
      <w:r w:rsidR="00EC63F1">
        <w:rPr>
          <w:rStyle w:val="LineNumber"/>
        </w:rPr>
        <w:t xml:space="preserve"> need to</w:t>
      </w:r>
      <w:r w:rsidR="003540B6">
        <w:rPr>
          <w:rStyle w:val="LineNumber"/>
        </w:rPr>
        <w:t xml:space="preserve"> be </w:t>
      </w:r>
      <w:r w:rsidR="008343EA">
        <w:rPr>
          <w:rStyle w:val="LineNumber"/>
        </w:rPr>
        <w:t>larger</w:t>
      </w:r>
      <w:r w:rsidR="00126EAD">
        <w:rPr>
          <w:rStyle w:val="LineNumber"/>
        </w:rPr>
        <w:t>-</w:t>
      </w:r>
      <w:r w:rsidR="003540B6">
        <w:rPr>
          <w:rStyle w:val="LineNumber"/>
        </w:rPr>
        <w:t>sized pipe</w:t>
      </w:r>
      <w:r w:rsidR="00EC63F1">
        <w:rPr>
          <w:rStyle w:val="LineNumber"/>
        </w:rPr>
        <w:t xml:space="preserve"> on the system,</w:t>
      </w:r>
      <w:r w:rsidR="003540B6">
        <w:rPr>
          <w:rStyle w:val="LineNumber"/>
        </w:rPr>
        <w:t xml:space="preserve"> or less capacity </w:t>
      </w:r>
      <w:r w:rsidR="00EC63F1">
        <w:rPr>
          <w:rStyle w:val="LineNumber"/>
        </w:rPr>
        <w:t xml:space="preserve">would be </w:t>
      </w:r>
      <w:r w:rsidR="003540B6">
        <w:rPr>
          <w:rStyle w:val="LineNumber"/>
        </w:rPr>
        <w:t xml:space="preserve">available to serve all customers, </w:t>
      </w:r>
      <w:r w:rsidR="00EC63F1">
        <w:rPr>
          <w:rStyle w:val="LineNumber"/>
        </w:rPr>
        <w:t xml:space="preserve">both </w:t>
      </w:r>
      <w:r w:rsidR="003540B6">
        <w:rPr>
          <w:rStyle w:val="LineNumber"/>
        </w:rPr>
        <w:t xml:space="preserve">large </w:t>
      </w:r>
      <w:r w:rsidR="00EC63F1">
        <w:rPr>
          <w:rStyle w:val="LineNumber"/>
        </w:rPr>
        <w:t xml:space="preserve">and </w:t>
      </w:r>
      <w:r w:rsidR="003540B6">
        <w:rPr>
          <w:rStyle w:val="LineNumber"/>
        </w:rPr>
        <w:t>small</w:t>
      </w:r>
      <w:r w:rsidR="00005970">
        <w:rPr>
          <w:rStyle w:val="LineNumber"/>
        </w:rPr>
        <w:t xml:space="preserve"> on a peak day</w:t>
      </w:r>
      <w:r w:rsidR="003540B6">
        <w:rPr>
          <w:rStyle w:val="LineNumber"/>
        </w:rPr>
        <w:t>.  The existence of smaller pipe makes capacity availabl</w:t>
      </w:r>
      <w:r w:rsidR="00754ED9">
        <w:rPr>
          <w:rStyle w:val="LineNumber"/>
        </w:rPr>
        <w:t xml:space="preserve">e for everyone.  </w:t>
      </w:r>
    </w:p>
    <w:p w:rsidR="008343EA" w:rsidRPr="00BA18B1" w:rsidRDefault="008343EA" w:rsidP="008343EA">
      <w:pPr>
        <w:pStyle w:val="BodyText2"/>
        <w:tabs>
          <w:tab w:val="left" w:pos="1440"/>
        </w:tabs>
        <w:ind w:firstLine="720"/>
        <w:rPr>
          <w:rStyle w:val="LineNumber"/>
          <w:b/>
          <w:bCs/>
        </w:rPr>
      </w:pPr>
      <w:r>
        <w:rPr>
          <w:rStyle w:val="LineNumber"/>
          <w:b/>
          <w:bCs/>
        </w:rPr>
        <w:t>Q.</w:t>
      </w:r>
      <w:r>
        <w:rPr>
          <w:rStyle w:val="LineNumber"/>
          <w:b/>
          <w:bCs/>
        </w:rPr>
        <w:tab/>
        <w:t>Please describe how investment in distribution mains is classified and allocated under the Company’s proposed main allocation.</w:t>
      </w:r>
    </w:p>
    <w:p w:rsidR="00633A0E" w:rsidRDefault="008343EA" w:rsidP="008343E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investment in distribution main is classifi</w:t>
      </w:r>
      <w:r w:rsidR="002F3571">
        <w:rPr>
          <w:rStyle w:val="LineNumber"/>
        </w:rPr>
        <w:t>ed as a demand-related cost, however</w:t>
      </w:r>
      <w:r w:rsidR="0057718A">
        <w:rPr>
          <w:rStyle w:val="LineNumber"/>
        </w:rPr>
        <w:t>,</w:t>
      </w:r>
      <w:r>
        <w:rPr>
          <w:rStyle w:val="LineNumber"/>
        </w:rPr>
        <w:t xml:space="preserve"> it is not allocated solely on peak demand.  Following a long-standing practice, the Company continues to use the peak and average method for allocating this portion of its demand-related costs</w:t>
      </w:r>
      <w:r w:rsidR="0057718A">
        <w:rPr>
          <w:rStyle w:val="LineNumber"/>
        </w:rPr>
        <w:t xml:space="preserve">.  This method allocates demand-related </w:t>
      </w:r>
      <w:r>
        <w:rPr>
          <w:rStyle w:val="LineNumber"/>
        </w:rPr>
        <w:t>costs based on a combination of peak demand and average demand.  Average demand is essentially another term for average throughput.</w:t>
      </w:r>
      <w:r w:rsidR="00F4297C">
        <w:rPr>
          <w:rStyle w:val="LineNumber"/>
        </w:rPr>
        <w:t xml:space="preserve">  </w:t>
      </w:r>
    </w:p>
    <w:p w:rsidR="003540B6" w:rsidRDefault="00F4297C" w:rsidP="008343EA">
      <w:pPr>
        <w:pStyle w:val="BodyText2"/>
        <w:tabs>
          <w:tab w:val="left" w:pos="1440"/>
        </w:tabs>
        <w:ind w:firstLine="720"/>
        <w:rPr>
          <w:rStyle w:val="LineNumber"/>
        </w:rPr>
      </w:pPr>
      <w:r>
        <w:rPr>
          <w:rStyle w:val="LineNumber"/>
        </w:rPr>
        <w:lastRenderedPageBreak/>
        <w:t>The Company used the system load factor to determine how much of the demand-related costs would be allocated based on average demand and how much would be allocated based on peak demand</w:t>
      </w:r>
      <w:r w:rsidR="00005970">
        <w:rPr>
          <w:rStyle w:val="FootnoteReference"/>
        </w:rPr>
        <w:footnoteReference w:id="7"/>
      </w:r>
      <w:r>
        <w:rPr>
          <w:rStyle w:val="LineNumber"/>
        </w:rPr>
        <w:t xml:space="preserve">.  A system load factor was calculated based on weather-normalized throughput and peak demand.  The load factor is the ratio of average load to peak load, and when multiplied by the plant investment, provides an estimate of the costs that can be attributed to average use rather than peak use.  </w:t>
      </w:r>
    </w:p>
    <w:p w:rsidR="00633A0E" w:rsidRDefault="008E7FBF" w:rsidP="008343EA">
      <w:pPr>
        <w:pStyle w:val="BodyText2"/>
        <w:tabs>
          <w:tab w:val="left" w:pos="1440"/>
        </w:tabs>
        <w:ind w:firstLine="720"/>
        <w:rPr>
          <w:rStyle w:val="LineNumber"/>
        </w:rPr>
      </w:pPr>
      <w:r>
        <w:rPr>
          <w:rStyle w:val="LineNumber"/>
        </w:rPr>
        <w:t>The resulting</w:t>
      </w:r>
      <w:r w:rsidR="00633A0E">
        <w:rPr>
          <w:rStyle w:val="LineNumber"/>
        </w:rPr>
        <w:t xml:space="preserve"> load factor was used to divide the demand-related costs into peak demand and average demand for purposes of allocating the costs to the rate schedules, with the demand-related costs being allocated </w:t>
      </w:r>
      <w:r w:rsidR="002409F3" w:rsidRPr="002409F3">
        <w:rPr>
          <w:rStyle w:val="LineNumber"/>
        </w:rPr>
        <w:t>38.6</w:t>
      </w:r>
      <w:r w:rsidR="00633A0E" w:rsidRPr="002409F3">
        <w:rPr>
          <w:rStyle w:val="LineNumber"/>
        </w:rPr>
        <w:t xml:space="preserve"> percent on average demand and </w:t>
      </w:r>
      <w:r w:rsidR="002409F3" w:rsidRPr="002409F3">
        <w:rPr>
          <w:rStyle w:val="LineNumber"/>
        </w:rPr>
        <w:t>61.4</w:t>
      </w:r>
      <w:r w:rsidR="00633A0E" w:rsidRPr="002409F3">
        <w:rPr>
          <w:rStyle w:val="LineNumber"/>
        </w:rPr>
        <w:t xml:space="preserve"> percent</w:t>
      </w:r>
      <w:r w:rsidR="00633A0E">
        <w:rPr>
          <w:rStyle w:val="LineNumber"/>
        </w:rPr>
        <w:t xml:space="preserve"> on peak demand.  The load factor provides a reasonable basis for determining what portion of the costs should be allocated based on average demand.</w:t>
      </w:r>
    </w:p>
    <w:p w:rsidR="00633A0E" w:rsidRDefault="00633A0E" w:rsidP="008343EA">
      <w:pPr>
        <w:pStyle w:val="BodyText2"/>
        <w:tabs>
          <w:tab w:val="left" w:pos="1440"/>
        </w:tabs>
        <w:ind w:firstLine="720"/>
        <w:rPr>
          <w:rStyle w:val="LineNumber"/>
        </w:rPr>
      </w:pPr>
      <w:r>
        <w:rPr>
          <w:rStyle w:val="LineNumber"/>
        </w:rPr>
        <w:t xml:space="preserve">This peak and average approach to allocation of demand costs reflects a balance between the way the system is designed (to meet peak demand) and the way it is utilized on an annual basis (throughput based on gas usage that occurs during all conditions, not only peak conditions).  </w:t>
      </w:r>
    </w:p>
    <w:p w:rsidR="00633A0E" w:rsidRPr="00BA18B1" w:rsidRDefault="00633A0E" w:rsidP="00633A0E">
      <w:pPr>
        <w:pStyle w:val="BodyText2"/>
        <w:tabs>
          <w:tab w:val="left" w:pos="1440"/>
        </w:tabs>
        <w:ind w:firstLine="720"/>
        <w:rPr>
          <w:rStyle w:val="LineNumber"/>
          <w:b/>
          <w:bCs/>
        </w:rPr>
      </w:pPr>
      <w:r>
        <w:rPr>
          <w:rStyle w:val="LineNumber"/>
          <w:b/>
          <w:bCs/>
        </w:rPr>
        <w:t>Q.</w:t>
      </w:r>
      <w:r>
        <w:rPr>
          <w:rStyle w:val="LineNumber"/>
          <w:b/>
          <w:bCs/>
        </w:rPr>
        <w:tab/>
        <w:t>Please describe how the peak and average method of cost allocation was used to allocate the cost of distribution mains to the rate schedules.</w:t>
      </w:r>
    </w:p>
    <w:p w:rsidR="00357DFE" w:rsidRDefault="00633A0E" w:rsidP="00F22A7D">
      <w:pPr>
        <w:pStyle w:val="BodyText2"/>
        <w:tabs>
          <w:tab w:val="left" w:pos="1440"/>
        </w:tabs>
        <w:ind w:firstLine="720"/>
        <w:rPr>
          <w:rStyle w:val="LineNumber"/>
        </w:rPr>
      </w:pPr>
      <w:r w:rsidRPr="00BA18B1">
        <w:rPr>
          <w:rStyle w:val="LineNumber"/>
        </w:rPr>
        <w:t>A.</w:t>
      </w:r>
      <w:r w:rsidRPr="00BA18B1">
        <w:rPr>
          <w:rStyle w:val="LineNumber"/>
        </w:rPr>
        <w:tab/>
      </w:r>
      <w:r w:rsidR="00AE5E39">
        <w:rPr>
          <w:rStyle w:val="LineNumber"/>
        </w:rPr>
        <w:t xml:space="preserve">Illustration </w:t>
      </w:r>
      <w:r w:rsidR="00A217BE">
        <w:rPr>
          <w:rStyle w:val="LineNumber"/>
        </w:rPr>
        <w:t xml:space="preserve">No. </w:t>
      </w:r>
      <w:r w:rsidR="00AE5E39">
        <w:rPr>
          <w:rStyle w:val="LineNumber"/>
        </w:rPr>
        <w:t>1</w:t>
      </w:r>
      <w:r w:rsidR="00D9536F">
        <w:rPr>
          <w:rStyle w:val="LineNumber"/>
        </w:rPr>
        <w:t xml:space="preserve"> </w:t>
      </w:r>
      <w:r w:rsidR="0047156C">
        <w:rPr>
          <w:rStyle w:val="LineNumber"/>
        </w:rPr>
        <w:t>provides</w:t>
      </w:r>
      <w:r w:rsidR="00D9536F">
        <w:rPr>
          <w:rStyle w:val="LineNumber"/>
        </w:rPr>
        <w:t xml:space="preserve"> a flow diagram of the steps referenced below.</w:t>
      </w:r>
    </w:p>
    <w:p w:rsidR="00357DFE" w:rsidRDefault="00357DFE">
      <w:pPr>
        <w:autoSpaceDE/>
        <w:autoSpaceDN/>
        <w:rPr>
          <w:rStyle w:val="LineNumber"/>
        </w:rPr>
      </w:pPr>
      <w:r>
        <w:rPr>
          <w:rStyle w:val="LineNumber"/>
        </w:rPr>
        <w:br w:type="page"/>
      </w:r>
    </w:p>
    <w:p w:rsidR="00E7582F" w:rsidRPr="00D30104" w:rsidRDefault="00357DFE" w:rsidP="00F22A7D">
      <w:pPr>
        <w:pStyle w:val="BodyText2"/>
        <w:tabs>
          <w:tab w:val="left" w:pos="1440"/>
        </w:tabs>
        <w:rPr>
          <w:rStyle w:val="LineNumber"/>
        </w:rPr>
      </w:pPr>
      <w:r>
        <w:rPr>
          <w:noProof/>
        </w:rPr>
        <w:drawing>
          <wp:anchor distT="0" distB="0" distL="114300" distR="114300" simplePos="0" relativeHeight="251663360" behindDoc="1" locked="0" layoutInCell="1" allowOverlap="1">
            <wp:simplePos x="0" y="0"/>
            <wp:positionH relativeFrom="margin">
              <wp:align>center</wp:align>
            </wp:positionH>
            <wp:positionV relativeFrom="paragraph">
              <wp:posOffset>215652</wp:posOffset>
            </wp:positionV>
            <wp:extent cx="6677660" cy="5000625"/>
            <wp:effectExtent l="0" t="0" r="8890" b="9525"/>
            <wp:wrapNone/>
            <wp:docPr id="3" name="Picture 3" descr="C:\Users\dzkf1z\Desktop\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zkf1z\Desktop\pat.jpg"/>
                    <pic:cNvPicPr>
                      <a:picLocks noChangeAspect="1" noChangeArrowheads="1"/>
                    </pic:cNvPicPr>
                  </pic:nvPicPr>
                  <pic:blipFill>
                    <a:blip r:embed="rId15" cstate="print"/>
                    <a:srcRect/>
                    <a:stretch>
                      <a:fillRect/>
                    </a:stretch>
                  </pic:blipFill>
                  <pic:spPr bwMode="auto">
                    <a:xfrm>
                      <a:off x="0" y="0"/>
                      <a:ext cx="6677660" cy="5000625"/>
                    </a:xfrm>
                    <a:prstGeom prst="rect">
                      <a:avLst/>
                    </a:prstGeom>
                    <a:noFill/>
                    <a:ln w="9525">
                      <a:noFill/>
                      <a:miter lim="800000"/>
                      <a:headEnd/>
                      <a:tailEnd/>
                    </a:ln>
                  </pic:spPr>
                </pic:pic>
              </a:graphicData>
            </a:graphic>
          </wp:anchor>
        </w:drawing>
      </w:r>
      <w:r w:rsidR="00AE5E39" w:rsidRPr="00AE5E39">
        <w:rPr>
          <w:rStyle w:val="LineNumber"/>
          <w:b/>
          <w:u w:val="single"/>
        </w:rPr>
        <w:t>Illustration No. 1:</w:t>
      </w:r>
    </w:p>
    <w:p w:rsidR="00F20487" w:rsidRDefault="00F20487"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005970" w:rsidP="00005970">
      <w:pPr>
        <w:pStyle w:val="BodyText2"/>
        <w:tabs>
          <w:tab w:val="left" w:pos="4320"/>
        </w:tabs>
        <w:ind w:firstLine="720"/>
        <w:rPr>
          <w:rStyle w:val="LineNumber"/>
        </w:rPr>
      </w:pPr>
      <w:r>
        <w:rPr>
          <w:rStyle w:val="LineNumber"/>
        </w:rPr>
        <w:tab/>
      </w: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rPr>
          <w:rStyle w:val="LineNumber"/>
        </w:rPr>
      </w:pPr>
    </w:p>
    <w:p w:rsidR="00E7582F" w:rsidRDefault="00E7582F" w:rsidP="00D30104">
      <w:pPr>
        <w:pStyle w:val="BodyText2"/>
        <w:tabs>
          <w:tab w:val="left" w:pos="1440"/>
        </w:tabs>
        <w:rPr>
          <w:rStyle w:val="LineNumber"/>
        </w:rPr>
      </w:pPr>
    </w:p>
    <w:p w:rsidR="00D30104" w:rsidRDefault="00D30104" w:rsidP="00D30104">
      <w:pPr>
        <w:pStyle w:val="BodyText2"/>
        <w:tabs>
          <w:tab w:val="left" w:pos="1440"/>
        </w:tabs>
        <w:ind w:firstLine="720"/>
        <w:rPr>
          <w:rStyle w:val="LineNumber"/>
        </w:rPr>
      </w:pPr>
    </w:p>
    <w:p w:rsidR="00D30104" w:rsidRDefault="00D30104" w:rsidP="00D30104">
      <w:pPr>
        <w:pStyle w:val="BodyText2"/>
        <w:tabs>
          <w:tab w:val="left" w:pos="1440"/>
        </w:tabs>
        <w:ind w:firstLine="720"/>
        <w:rPr>
          <w:rStyle w:val="LineNumber"/>
        </w:rPr>
      </w:pPr>
    </w:p>
    <w:p w:rsidR="00D30104" w:rsidRDefault="00D30104" w:rsidP="00D30104">
      <w:pPr>
        <w:pStyle w:val="BodyText2"/>
        <w:tabs>
          <w:tab w:val="left" w:pos="1440"/>
        </w:tabs>
        <w:ind w:firstLine="720"/>
        <w:rPr>
          <w:rStyle w:val="LineNumber"/>
        </w:rPr>
      </w:pPr>
    </w:p>
    <w:p w:rsidR="00F22A7D" w:rsidRDefault="00F22A7D" w:rsidP="00D30104">
      <w:pPr>
        <w:pStyle w:val="BodyText2"/>
        <w:tabs>
          <w:tab w:val="left" w:pos="1440"/>
        </w:tabs>
        <w:ind w:firstLine="720"/>
        <w:rPr>
          <w:rStyle w:val="LineNumber"/>
        </w:rPr>
      </w:pPr>
    </w:p>
    <w:p w:rsidR="00D9536F" w:rsidRPr="008F17E1" w:rsidRDefault="00D9536F" w:rsidP="00D30104">
      <w:pPr>
        <w:pStyle w:val="BodyText2"/>
        <w:tabs>
          <w:tab w:val="left" w:pos="1440"/>
        </w:tabs>
        <w:ind w:firstLine="720"/>
        <w:rPr>
          <w:rStyle w:val="LineNumber"/>
        </w:rPr>
      </w:pPr>
      <w:r>
        <w:rPr>
          <w:rStyle w:val="LineNumber"/>
        </w:rPr>
        <w:t>First, the total distribution mains plant</w:t>
      </w:r>
      <w:r w:rsidR="000020D7">
        <w:rPr>
          <w:rStyle w:val="LineNumber"/>
        </w:rPr>
        <w:t xml:space="preserve"> of </w:t>
      </w:r>
      <w:r w:rsidR="002409F3" w:rsidRPr="002409F3">
        <w:rPr>
          <w:rStyle w:val="LineNumber"/>
        </w:rPr>
        <w:t>$214.7</w:t>
      </w:r>
      <w:r w:rsidR="00EC63F1">
        <w:rPr>
          <w:rStyle w:val="LineNumber"/>
        </w:rPr>
        <w:t xml:space="preserve"> million</w:t>
      </w:r>
      <w:r>
        <w:rPr>
          <w:rStyle w:val="LineNumber"/>
        </w:rPr>
        <w:t xml:space="preserve"> was divided into the portion to be allocated based on peak demand and the portion to be allocated based on average demand using the system load </w:t>
      </w:r>
      <w:r w:rsidR="00754ED9">
        <w:rPr>
          <w:rStyle w:val="LineNumber"/>
        </w:rPr>
        <w:t xml:space="preserve">factor </w:t>
      </w:r>
      <w:r>
        <w:rPr>
          <w:rStyle w:val="LineNumber"/>
        </w:rPr>
        <w:t>describ</w:t>
      </w:r>
      <w:r w:rsidR="000020D7">
        <w:rPr>
          <w:rStyle w:val="LineNumber"/>
        </w:rPr>
        <w:t>ed above</w:t>
      </w:r>
      <w:r w:rsidR="000020D7" w:rsidRPr="002409F3">
        <w:rPr>
          <w:rStyle w:val="LineNumber"/>
        </w:rPr>
        <w:t xml:space="preserve">.  This resulted in </w:t>
      </w:r>
      <w:r w:rsidR="002409F3" w:rsidRPr="002409F3">
        <w:rPr>
          <w:rStyle w:val="LineNumber"/>
        </w:rPr>
        <w:t>$83.0 million (38.6</w:t>
      </w:r>
      <w:r w:rsidRPr="002409F3">
        <w:rPr>
          <w:rStyle w:val="LineNumber"/>
        </w:rPr>
        <w:t xml:space="preserve"> percent) of plant allocated</w:t>
      </w:r>
      <w:r w:rsidR="000020D7" w:rsidRPr="002409F3">
        <w:rPr>
          <w:rStyle w:val="LineNumber"/>
        </w:rPr>
        <w:t xml:space="preserve"> based on average demand</w:t>
      </w:r>
      <w:r w:rsidR="009C1370">
        <w:rPr>
          <w:rStyle w:val="LineNumber"/>
        </w:rPr>
        <w:t>,</w:t>
      </w:r>
      <w:r w:rsidR="000020D7" w:rsidRPr="002409F3">
        <w:rPr>
          <w:rStyle w:val="LineNumber"/>
        </w:rPr>
        <w:t xml:space="preserve"> and </w:t>
      </w:r>
      <w:r w:rsidR="002409F3" w:rsidRPr="002409F3">
        <w:rPr>
          <w:rStyle w:val="LineNumber"/>
        </w:rPr>
        <w:t>$131.7 million (61.4</w:t>
      </w:r>
      <w:r w:rsidRPr="002409F3">
        <w:rPr>
          <w:rStyle w:val="LineNumber"/>
        </w:rPr>
        <w:t xml:space="preserve"> percent) allocated based on peak demand.</w:t>
      </w:r>
    </w:p>
    <w:p w:rsidR="00D9536F" w:rsidRDefault="00D9536F" w:rsidP="00633A0E">
      <w:pPr>
        <w:pStyle w:val="BodyText2"/>
        <w:tabs>
          <w:tab w:val="left" w:pos="1440"/>
        </w:tabs>
        <w:ind w:firstLine="720"/>
        <w:rPr>
          <w:rStyle w:val="LineNumber"/>
        </w:rPr>
      </w:pPr>
      <w:r w:rsidRPr="008F17E1">
        <w:rPr>
          <w:rStyle w:val="LineNumber"/>
        </w:rPr>
        <w:t xml:space="preserve">Second, </w:t>
      </w:r>
      <w:r w:rsidR="0047156C" w:rsidRPr="008F17E1">
        <w:rPr>
          <w:rStyle w:val="LineNumber"/>
        </w:rPr>
        <w:t xml:space="preserve">the </w:t>
      </w:r>
      <w:r w:rsidR="002409F3" w:rsidRPr="002409F3">
        <w:rPr>
          <w:rStyle w:val="LineNumber"/>
        </w:rPr>
        <w:t>$131.7</w:t>
      </w:r>
      <w:r w:rsidR="00EC63F1" w:rsidRPr="002409F3">
        <w:rPr>
          <w:rStyle w:val="LineNumber"/>
        </w:rPr>
        <w:t xml:space="preserve"> million, or </w:t>
      </w:r>
      <w:r w:rsidR="002409F3" w:rsidRPr="002409F3">
        <w:rPr>
          <w:rStyle w:val="LineNumber"/>
        </w:rPr>
        <w:t>61.4</w:t>
      </w:r>
      <w:r w:rsidRPr="002409F3">
        <w:rPr>
          <w:rStyle w:val="LineNumber"/>
        </w:rPr>
        <w:t xml:space="preserve"> percent</w:t>
      </w:r>
      <w:r w:rsidR="00EC63F1" w:rsidRPr="002409F3">
        <w:rPr>
          <w:rStyle w:val="LineNumber"/>
        </w:rPr>
        <w:t>,</w:t>
      </w:r>
      <w:r w:rsidRPr="002409F3">
        <w:rPr>
          <w:rStyle w:val="LineNumber"/>
        </w:rPr>
        <w:t xml:space="preserve"> to</w:t>
      </w:r>
      <w:r>
        <w:rPr>
          <w:rStyle w:val="LineNumber"/>
        </w:rPr>
        <w:t xml:space="preserve"> be allocated based on peak demand was allocated to all rate schedules based on their estimated contributions to the peak demand.</w:t>
      </w:r>
    </w:p>
    <w:p w:rsidR="00880B4A" w:rsidRDefault="00D9536F" w:rsidP="007975A9">
      <w:pPr>
        <w:pStyle w:val="BodyText2"/>
        <w:tabs>
          <w:tab w:val="left" w:pos="1440"/>
        </w:tabs>
        <w:ind w:firstLine="720"/>
        <w:rPr>
          <w:rStyle w:val="LineNumber"/>
        </w:rPr>
      </w:pPr>
      <w:r>
        <w:rPr>
          <w:rStyle w:val="LineNumber"/>
        </w:rPr>
        <w:t xml:space="preserve">Third, </w:t>
      </w:r>
      <w:r w:rsidR="0047156C">
        <w:rPr>
          <w:rStyle w:val="LineNumber"/>
        </w:rPr>
        <w:t xml:space="preserve">the </w:t>
      </w:r>
      <w:r w:rsidR="002409F3" w:rsidRPr="002409F3">
        <w:rPr>
          <w:rStyle w:val="LineNumber"/>
        </w:rPr>
        <w:t>$83.0</w:t>
      </w:r>
      <w:r w:rsidR="00EC63F1" w:rsidRPr="002409F3">
        <w:rPr>
          <w:rStyle w:val="LineNumber"/>
        </w:rPr>
        <w:t xml:space="preserve"> million, or </w:t>
      </w:r>
      <w:r w:rsidR="002409F3" w:rsidRPr="002409F3">
        <w:rPr>
          <w:rStyle w:val="LineNumber"/>
        </w:rPr>
        <w:t>38.6</w:t>
      </w:r>
      <w:r w:rsidRPr="002409F3">
        <w:rPr>
          <w:rStyle w:val="LineNumber"/>
        </w:rPr>
        <w:t xml:space="preserve"> percent</w:t>
      </w:r>
      <w:r w:rsidR="00EC63F1">
        <w:rPr>
          <w:rStyle w:val="LineNumber"/>
        </w:rPr>
        <w:t>, to be allocated</w:t>
      </w:r>
      <w:r>
        <w:rPr>
          <w:rStyle w:val="LineNumber"/>
        </w:rPr>
        <w:t xml:space="preserve"> based on average demand was split into three groups: 1)  large main (greater than or equal to four inches in diameter), 2)  </w:t>
      </w:r>
      <w:r w:rsidR="00E523BB">
        <w:rPr>
          <w:rStyle w:val="LineNumber"/>
        </w:rPr>
        <w:t>medium main (two and three inches in diameter), and 3)</w:t>
      </w:r>
      <w:r w:rsidR="00B47C0D">
        <w:rPr>
          <w:rStyle w:val="LineNumber"/>
        </w:rPr>
        <w:t xml:space="preserve"> </w:t>
      </w:r>
      <w:r w:rsidR="00E523BB">
        <w:rPr>
          <w:rStyle w:val="LineNumber"/>
        </w:rPr>
        <w:t xml:space="preserve"> small main (less than two inches in diameter).  Large main is allocated to all rate schedules based on annual weather normalized throughput.  Small main is allocated to all rate schedules with </w:t>
      </w:r>
      <w:r w:rsidR="00AC7979">
        <w:rPr>
          <w:rStyle w:val="LineNumber"/>
        </w:rPr>
        <w:t>the exception of Schedules 131/</w:t>
      </w:r>
      <w:r w:rsidR="00E523BB">
        <w:rPr>
          <w:rStyle w:val="LineNumber"/>
        </w:rPr>
        <w:t xml:space="preserve">132 &amp; 146 based on weather normalized throughput.  Medium main is allocated 33 </w:t>
      </w:r>
      <w:r w:rsidR="00E523BB">
        <w:rPr>
          <w:rStyle w:val="LineNumber"/>
        </w:rPr>
        <w:lastRenderedPageBreak/>
        <w:t>percent to all rate schedules and 67 percent to all rate schedules except</w:t>
      </w:r>
      <w:r w:rsidR="00AC7979">
        <w:rPr>
          <w:rStyle w:val="LineNumber"/>
        </w:rPr>
        <w:t xml:space="preserve"> Schedules 131/</w:t>
      </w:r>
      <w:r w:rsidR="00E523BB">
        <w:rPr>
          <w:rStyle w:val="LineNumber"/>
        </w:rPr>
        <w:t>132 &amp; 146 based on weather normalized throughput.</w:t>
      </w:r>
    </w:p>
    <w:p w:rsidR="000863CD" w:rsidRPr="00BA18B1" w:rsidRDefault="000863CD" w:rsidP="00A03347">
      <w:pPr>
        <w:autoSpaceDE/>
        <w:autoSpaceDN/>
        <w:spacing w:line="480" w:lineRule="auto"/>
        <w:ind w:firstLine="720"/>
        <w:jc w:val="both"/>
        <w:rPr>
          <w:rStyle w:val="LineNumber"/>
          <w:b/>
          <w:bCs/>
        </w:rPr>
      </w:pPr>
      <w:r>
        <w:rPr>
          <w:rStyle w:val="LineNumber"/>
          <w:b/>
          <w:bCs/>
        </w:rPr>
        <w:t>Q.</w:t>
      </w:r>
      <w:r>
        <w:rPr>
          <w:rStyle w:val="LineNumber"/>
          <w:b/>
          <w:bCs/>
        </w:rPr>
        <w:tab/>
        <w:t>Why were small mains (less than two inches) not allocated to all rate schedules?</w:t>
      </w:r>
    </w:p>
    <w:p w:rsidR="000863CD" w:rsidRDefault="000863CD" w:rsidP="007975A9">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smallest mains are generally located in isolated parts of the Company’s distribution system and are unlikely to provide benefits to the large customer loads served on Schedules 131/132 and 146.</w:t>
      </w:r>
    </w:p>
    <w:p w:rsidR="000863CD" w:rsidRPr="00BA18B1" w:rsidRDefault="000863CD" w:rsidP="000863CD">
      <w:pPr>
        <w:pStyle w:val="BodyText2"/>
        <w:tabs>
          <w:tab w:val="left" w:pos="1440"/>
        </w:tabs>
        <w:ind w:firstLine="720"/>
        <w:rPr>
          <w:rStyle w:val="LineNumber"/>
          <w:b/>
          <w:bCs/>
        </w:rPr>
      </w:pPr>
      <w:r>
        <w:rPr>
          <w:rStyle w:val="LineNumber"/>
          <w:b/>
          <w:bCs/>
        </w:rPr>
        <w:t>Q.</w:t>
      </w:r>
      <w:r>
        <w:rPr>
          <w:rStyle w:val="LineNumber"/>
          <w:b/>
          <w:bCs/>
        </w:rPr>
        <w:tab/>
      </w:r>
      <w:r w:rsidR="008A640A">
        <w:rPr>
          <w:rStyle w:val="LineNumber"/>
          <w:b/>
          <w:bCs/>
        </w:rPr>
        <w:t>For medium mains (two &amp; three inches), why</w:t>
      </w:r>
      <w:r>
        <w:rPr>
          <w:rStyle w:val="LineNumber"/>
          <w:b/>
          <w:bCs/>
        </w:rPr>
        <w:t xml:space="preserve"> were </w:t>
      </w:r>
      <w:r w:rsidR="008A640A">
        <w:rPr>
          <w:rStyle w:val="LineNumber"/>
          <w:b/>
          <w:bCs/>
        </w:rPr>
        <w:t>they</w:t>
      </w:r>
      <w:r>
        <w:rPr>
          <w:rStyle w:val="LineNumber"/>
          <w:b/>
          <w:bCs/>
        </w:rPr>
        <w:t xml:space="preserve"> split into two groups?</w:t>
      </w:r>
    </w:p>
    <w:p w:rsidR="00880B4A" w:rsidRDefault="000863CD" w:rsidP="00AD6A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Historically, there have been two opposing points of view regarding the allocation of mains.  One view is founded on a belief that customers only benefit from pipe through which gas molecules flow, or might flow, to reach their locations</w:t>
      </w:r>
      <w:r w:rsidR="0075586E">
        <w:rPr>
          <w:rStyle w:val="LineNumber"/>
        </w:rPr>
        <w:t xml:space="preserve">, and thus should only be allocated a share of the cost of those specific pipe sizes.  The other view would argue that the gas distribution network provides an integrated system which benefits all customers, regardless of the </w:t>
      </w:r>
      <w:r w:rsidR="004D4068">
        <w:rPr>
          <w:rStyle w:val="LineNumber"/>
        </w:rPr>
        <w:t>customer’s</w:t>
      </w:r>
      <w:r w:rsidR="0075586E">
        <w:rPr>
          <w:rStyle w:val="LineNumber"/>
        </w:rPr>
        <w:t xml:space="preserve"> location on the system and regardless of which specific diameter of pipe they are served from.  </w:t>
      </w:r>
      <w:r w:rsidR="008A640A">
        <w:rPr>
          <w:rStyle w:val="LineNumber"/>
        </w:rPr>
        <w:t xml:space="preserve">The Company </w:t>
      </w:r>
      <w:r w:rsidR="000020D7">
        <w:rPr>
          <w:rStyle w:val="LineNumber"/>
        </w:rPr>
        <w:t>believes that larger customers d</w:t>
      </w:r>
      <w:r w:rsidR="008A640A">
        <w:rPr>
          <w:rStyle w:val="LineNumber"/>
        </w:rPr>
        <w:t xml:space="preserve">o benefit, at some level, from the medium main on the gas distribution network.  </w:t>
      </w:r>
      <w:r w:rsidR="00F65FC9">
        <w:rPr>
          <w:rStyle w:val="LineNumber"/>
        </w:rPr>
        <w:t>Large customers benefit because the Company has small main throughout its distribution system which is interconnected with large main.  This interconnectedness helps to minimize pressure drop on a peak day and keep reliability up</w:t>
      </w:r>
      <w:r w:rsidR="009C1370">
        <w:rPr>
          <w:rStyle w:val="LineNumber"/>
        </w:rPr>
        <w:t xml:space="preserve">.  </w:t>
      </w:r>
      <w:r w:rsidR="008A640A">
        <w:rPr>
          <w:rStyle w:val="LineNumber"/>
        </w:rPr>
        <w:t xml:space="preserve">While </w:t>
      </w:r>
      <w:r w:rsidR="00F65FC9">
        <w:rPr>
          <w:rStyle w:val="LineNumber"/>
        </w:rPr>
        <w:t>large customers</w:t>
      </w:r>
      <w:r w:rsidR="008A640A">
        <w:rPr>
          <w:rStyle w:val="LineNumber"/>
        </w:rPr>
        <w:t xml:space="preserve"> may not benefit from all of the medium main, </w:t>
      </w:r>
      <w:r w:rsidR="0047156C">
        <w:rPr>
          <w:rStyle w:val="LineNumber"/>
        </w:rPr>
        <w:t>we believe</w:t>
      </w:r>
      <w:r w:rsidR="008A640A">
        <w:rPr>
          <w:rStyle w:val="LineNumber"/>
        </w:rPr>
        <w:t xml:space="preserve"> it is not reasonable to assert that medium main provides no benefit to large customers.  Therefore, m</w:t>
      </w:r>
      <w:r w:rsidR="008A640A" w:rsidRPr="008A640A">
        <w:rPr>
          <w:rStyle w:val="LineNumber"/>
        </w:rPr>
        <w:t xml:space="preserve">edium main </w:t>
      </w:r>
      <w:r w:rsidR="008A640A">
        <w:rPr>
          <w:rStyle w:val="LineNumber"/>
        </w:rPr>
        <w:t>ha</w:t>
      </w:r>
      <w:r w:rsidR="008A640A" w:rsidRPr="008A640A">
        <w:rPr>
          <w:rStyle w:val="LineNumber"/>
        </w:rPr>
        <w:t>s</w:t>
      </w:r>
      <w:r w:rsidR="008A640A">
        <w:rPr>
          <w:rStyle w:val="LineNumber"/>
        </w:rPr>
        <w:t xml:space="preserve"> been</w:t>
      </w:r>
      <w:r w:rsidR="008A640A" w:rsidRPr="008A640A">
        <w:rPr>
          <w:rStyle w:val="LineNumber"/>
        </w:rPr>
        <w:t xml:space="preserve"> allocated </w:t>
      </w:r>
      <w:r w:rsidR="008473AD" w:rsidRPr="008473AD">
        <w:rPr>
          <w:rStyle w:val="LineNumber"/>
          <w:u w:val="single"/>
        </w:rPr>
        <w:t>33</w:t>
      </w:r>
      <w:r w:rsidR="008A640A" w:rsidRPr="008A640A">
        <w:rPr>
          <w:rStyle w:val="LineNumber"/>
        </w:rPr>
        <w:t xml:space="preserve"> percent to </w:t>
      </w:r>
      <w:r w:rsidR="008473AD" w:rsidRPr="008473AD">
        <w:rPr>
          <w:rStyle w:val="LineNumber"/>
          <w:u w:val="single"/>
        </w:rPr>
        <w:t>all</w:t>
      </w:r>
      <w:r w:rsidR="008A640A" w:rsidRPr="008A640A">
        <w:rPr>
          <w:rStyle w:val="LineNumber"/>
        </w:rPr>
        <w:t xml:space="preserve"> rate </w:t>
      </w:r>
      <w:r w:rsidR="008A640A" w:rsidRPr="008A640A">
        <w:rPr>
          <w:rStyle w:val="LineNumber"/>
        </w:rPr>
        <w:lastRenderedPageBreak/>
        <w:t>schedules</w:t>
      </w:r>
      <w:r w:rsidR="00915D98">
        <w:rPr>
          <w:rStyle w:val="LineNumber"/>
        </w:rPr>
        <w:t>,</w:t>
      </w:r>
      <w:r w:rsidR="008A640A" w:rsidRPr="008A640A">
        <w:rPr>
          <w:rStyle w:val="LineNumber"/>
        </w:rPr>
        <w:t xml:space="preserve"> and </w:t>
      </w:r>
      <w:r w:rsidR="008473AD" w:rsidRPr="008473AD">
        <w:rPr>
          <w:rStyle w:val="LineNumber"/>
          <w:u w:val="single"/>
        </w:rPr>
        <w:t>67</w:t>
      </w:r>
      <w:r w:rsidR="008A640A" w:rsidRPr="008A640A">
        <w:rPr>
          <w:rStyle w:val="LineNumber"/>
        </w:rPr>
        <w:t xml:space="preserve"> percent to all rate schedules </w:t>
      </w:r>
      <w:r w:rsidR="008473AD" w:rsidRPr="008473AD">
        <w:rPr>
          <w:rStyle w:val="LineNumber"/>
          <w:u w:val="single"/>
        </w:rPr>
        <w:t>except</w:t>
      </w:r>
      <w:r w:rsidR="008A640A" w:rsidRPr="008A640A">
        <w:rPr>
          <w:rStyle w:val="LineNumber"/>
        </w:rPr>
        <w:t xml:space="preserve"> Schedules 131/132 &amp; 146</w:t>
      </w:r>
      <w:r w:rsidR="00915D98">
        <w:rPr>
          <w:rStyle w:val="LineNumber"/>
        </w:rPr>
        <w:t>,</w:t>
      </w:r>
      <w:r w:rsidR="008A640A" w:rsidRPr="008A640A">
        <w:rPr>
          <w:rStyle w:val="LineNumber"/>
        </w:rPr>
        <w:t xml:space="preserve"> based on weather normalized throughput.</w:t>
      </w:r>
      <w:r w:rsidR="008A640A">
        <w:rPr>
          <w:rStyle w:val="LineNumber"/>
        </w:rPr>
        <w:t xml:space="preserve"> </w:t>
      </w:r>
    </w:p>
    <w:p w:rsidR="00916A23" w:rsidRPr="00BA18B1" w:rsidRDefault="00916A23" w:rsidP="00A03347">
      <w:pPr>
        <w:autoSpaceDE/>
        <w:autoSpaceDN/>
        <w:spacing w:line="480" w:lineRule="auto"/>
        <w:ind w:firstLine="720"/>
        <w:jc w:val="both"/>
        <w:rPr>
          <w:rStyle w:val="LineNumber"/>
          <w:b/>
          <w:bCs/>
        </w:rPr>
      </w:pPr>
      <w:r>
        <w:rPr>
          <w:rStyle w:val="LineNumber"/>
          <w:b/>
          <w:bCs/>
        </w:rPr>
        <w:t>Q.</w:t>
      </w:r>
      <w:r>
        <w:rPr>
          <w:rStyle w:val="LineNumber"/>
          <w:b/>
          <w:bCs/>
        </w:rPr>
        <w:tab/>
        <w:t xml:space="preserve">Why did the Company choose the one-third, two-thirds split, with one-third of medium main being allocated to all </w:t>
      </w:r>
      <w:r w:rsidR="00F60EB9">
        <w:rPr>
          <w:rStyle w:val="LineNumber"/>
          <w:b/>
          <w:bCs/>
        </w:rPr>
        <w:t>rate schedules</w:t>
      </w:r>
      <w:r>
        <w:rPr>
          <w:rStyle w:val="LineNumber"/>
          <w:b/>
          <w:bCs/>
        </w:rPr>
        <w:t xml:space="preserve"> and two-thirds to all rate schedules except 131/132 &amp; 146?</w:t>
      </w:r>
    </w:p>
    <w:p w:rsidR="00C25A5A" w:rsidRDefault="00916A23" w:rsidP="00AD6AFE">
      <w:pPr>
        <w:pStyle w:val="BodyText2"/>
        <w:tabs>
          <w:tab w:val="left" w:pos="1440"/>
        </w:tabs>
        <w:ind w:firstLine="720"/>
        <w:rPr>
          <w:rStyle w:val="LineNumber"/>
        </w:rPr>
      </w:pPr>
      <w:r w:rsidRPr="00BA18B1">
        <w:rPr>
          <w:rStyle w:val="LineNumber"/>
        </w:rPr>
        <w:t>A.</w:t>
      </w:r>
      <w:r w:rsidRPr="00BA18B1">
        <w:rPr>
          <w:rStyle w:val="LineNumber"/>
        </w:rPr>
        <w:tab/>
      </w:r>
      <w:r w:rsidR="00F60EB9">
        <w:rPr>
          <w:rStyle w:val="LineNumber"/>
        </w:rPr>
        <w:t xml:space="preserve">The Company considered the historical treatment of </w:t>
      </w:r>
      <w:r w:rsidR="008A640A">
        <w:rPr>
          <w:rStyle w:val="LineNumber"/>
        </w:rPr>
        <w:t xml:space="preserve">Schedule 131/132 and 146 </w:t>
      </w:r>
      <w:r w:rsidR="00F60EB9">
        <w:rPr>
          <w:rStyle w:val="LineNumber"/>
        </w:rPr>
        <w:t xml:space="preserve">customers and the benefits </w:t>
      </w:r>
      <w:r w:rsidR="008A640A">
        <w:rPr>
          <w:rStyle w:val="LineNumber"/>
        </w:rPr>
        <w:t xml:space="preserve">they have received </w:t>
      </w:r>
      <w:r w:rsidR="00F60EB9">
        <w:rPr>
          <w:rStyle w:val="LineNumber"/>
        </w:rPr>
        <w:t xml:space="preserve">associated with being part of the </w:t>
      </w:r>
      <w:r w:rsidR="008A640A">
        <w:rPr>
          <w:rStyle w:val="LineNumber"/>
        </w:rPr>
        <w:t xml:space="preserve">entire </w:t>
      </w:r>
      <w:r w:rsidR="00F60EB9">
        <w:rPr>
          <w:rStyle w:val="LineNumber"/>
        </w:rPr>
        <w:t xml:space="preserve">gas distribution system.  </w:t>
      </w:r>
      <w:r w:rsidR="002302DF">
        <w:rPr>
          <w:rStyle w:val="LineNumber"/>
        </w:rPr>
        <w:t xml:space="preserve">Historically, Schedule’s 131/132 &amp; 146 customers had some assignment of costs related to </w:t>
      </w:r>
      <w:r w:rsidR="00F24FFB">
        <w:rPr>
          <w:rStyle w:val="LineNumber"/>
        </w:rPr>
        <w:t xml:space="preserve">small and </w:t>
      </w:r>
      <w:r w:rsidR="002302DF">
        <w:rPr>
          <w:rStyle w:val="LineNumber"/>
        </w:rPr>
        <w:t xml:space="preserve">medium main, but that assignment was minimal. </w:t>
      </w:r>
      <w:r w:rsidR="00915D98">
        <w:rPr>
          <w:rStyle w:val="LineNumber"/>
        </w:rPr>
        <w:t xml:space="preserve"> A one-third allocation for Schedule 131/132 &amp; 146 customers provides a meaningful allocation of medium main, and is consistent with the allocation both Puget Sound Energy</w:t>
      </w:r>
      <w:r w:rsidR="008C744A">
        <w:rPr>
          <w:rStyle w:val="FootnoteReference"/>
        </w:rPr>
        <w:footnoteReference w:id="8"/>
      </w:r>
      <w:r w:rsidR="00D3315C">
        <w:rPr>
          <w:rStyle w:val="LineNumber"/>
        </w:rPr>
        <w:t xml:space="preserve"> </w:t>
      </w:r>
      <w:r w:rsidR="00915D98">
        <w:rPr>
          <w:rStyle w:val="LineNumber"/>
        </w:rPr>
        <w:t>and Commission Staff</w:t>
      </w:r>
      <w:r w:rsidR="008C744A">
        <w:rPr>
          <w:rStyle w:val="FootnoteReference"/>
        </w:rPr>
        <w:footnoteReference w:id="9"/>
      </w:r>
      <w:r w:rsidR="008C744A">
        <w:rPr>
          <w:rStyle w:val="LineNumber"/>
        </w:rPr>
        <w:t xml:space="preserve"> </w:t>
      </w:r>
      <w:r w:rsidR="00915D98">
        <w:rPr>
          <w:rStyle w:val="LineNumber"/>
        </w:rPr>
        <w:t>have proposed in recent proceeding</w:t>
      </w:r>
      <w:r w:rsidR="008C744A">
        <w:rPr>
          <w:rStyle w:val="LineNumber"/>
        </w:rPr>
        <w:t>s</w:t>
      </w:r>
      <w:r w:rsidR="00915D98">
        <w:rPr>
          <w:rStyle w:val="LineNumber"/>
        </w:rPr>
        <w:t xml:space="preserve">. </w:t>
      </w:r>
    </w:p>
    <w:p w:rsidR="00C25A5A" w:rsidRPr="00BA18B1" w:rsidRDefault="00C25A5A" w:rsidP="00C25A5A">
      <w:pPr>
        <w:pStyle w:val="BodyText2"/>
        <w:tabs>
          <w:tab w:val="left" w:pos="1440"/>
        </w:tabs>
        <w:ind w:firstLine="720"/>
        <w:rPr>
          <w:rStyle w:val="LineNumber"/>
          <w:b/>
          <w:bCs/>
        </w:rPr>
      </w:pPr>
      <w:r>
        <w:rPr>
          <w:rStyle w:val="LineNumber"/>
          <w:b/>
          <w:bCs/>
        </w:rPr>
        <w:t>Q.</w:t>
      </w:r>
      <w:r>
        <w:rPr>
          <w:rStyle w:val="LineNumber"/>
          <w:b/>
          <w:bCs/>
        </w:rPr>
        <w:tab/>
        <w:t>Please summarize the benefits of the Company’s proposed approach to allocating distribution mains.</w:t>
      </w:r>
    </w:p>
    <w:p w:rsidR="000863CD" w:rsidRDefault="00C25A5A" w:rsidP="00C25A5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There are four benefits to the Company’s approach.  First, this method recognizes that all customers benefit from the gas distribution system of medium to large mains as a whole, </w:t>
      </w:r>
      <w:r w:rsidR="00C86515">
        <w:rPr>
          <w:rStyle w:val="LineNumber"/>
        </w:rPr>
        <w:t xml:space="preserve">and </w:t>
      </w:r>
      <w:r>
        <w:rPr>
          <w:rStyle w:val="LineNumber"/>
        </w:rPr>
        <w:t xml:space="preserve">not </w:t>
      </w:r>
      <w:r w:rsidR="00C86515">
        <w:rPr>
          <w:rStyle w:val="LineNumber"/>
        </w:rPr>
        <w:t>solely</w:t>
      </w:r>
      <w:r>
        <w:rPr>
          <w:rStyle w:val="LineNumber"/>
        </w:rPr>
        <w:t xml:space="preserve"> from the </w:t>
      </w:r>
      <w:r w:rsidR="008A640A">
        <w:rPr>
          <w:rStyle w:val="LineNumber"/>
        </w:rPr>
        <w:t xml:space="preserve">actual </w:t>
      </w:r>
      <w:r>
        <w:rPr>
          <w:rStyle w:val="LineNumber"/>
        </w:rPr>
        <w:t xml:space="preserve">main through which gas flows to reach the individual customer.  Second, by exempting certain large rate schedules from the cost of the smallest diameter mains (less than two inches), this approach acknowledges that the smallest main is unlikely to benefit large Schedule 131/132 &amp; 146 customers.  Third, the Company’s approach recognizes that the benefits of medium diameter mains to large interruptible and </w:t>
      </w:r>
      <w:r>
        <w:rPr>
          <w:rStyle w:val="LineNumber"/>
        </w:rPr>
        <w:lastRenderedPageBreak/>
        <w:t>transportation customers are less than the benefits</w:t>
      </w:r>
      <w:r w:rsidR="00EC63F1">
        <w:rPr>
          <w:rStyle w:val="LineNumber"/>
        </w:rPr>
        <w:t xml:space="preserve"> medium diameter mains provide</w:t>
      </w:r>
      <w:r>
        <w:rPr>
          <w:rStyle w:val="LineNumber"/>
        </w:rPr>
        <w:t xml:space="preserve"> to other customers, </w:t>
      </w:r>
      <w:r w:rsidR="008A640A">
        <w:rPr>
          <w:rStyle w:val="LineNumber"/>
        </w:rPr>
        <w:t>however the benefits, and therefore assigned cost, should be higher than traditionally assigned</w:t>
      </w:r>
      <w:r>
        <w:rPr>
          <w:rStyle w:val="LineNumber"/>
        </w:rPr>
        <w:t xml:space="preserve">.  </w:t>
      </w:r>
      <w:r w:rsidR="00EC63F1">
        <w:rPr>
          <w:rStyle w:val="LineNumber"/>
        </w:rPr>
        <w:t>Finally</w:t>
      </w:r>
      <w:r w:rsidR="0084366B">
        <w:rPr>
          <w:rStyle w:val="LineNumber"/>
        </w:rPr>
        <w:t>, the Company’s</w:t>
      </w:r>
      <w:r w:rsidR="00EC63F1">
        <w:rPr>
          <w:rStyle w:val="LineNumber"/>
        </w:rPr>
        <w:t xml:space="preserve"> methodology </w:t>
      </w:r>
      <w:r w:rsidR="009C1370">
        <w:rPr>
          <w:rStyle w:val="LineNumber"/>
        </w:rPr>
        <w:t>is simple</w:t>
      </w:r>
      <w:r>
        <w:rPr>
          <w:rStyle w:val="LineNumber"/>
        </w:rPr>
        <w:t xml:space="preserve"> and easy to understand.</w:t>
      </w:r>
    </w:p>
    <w:p w:rsidR="00E265EE" w:rsidRPr="00BA18B1" w:rsidRDefault="00E265EE" w:rsidP="00E265EE">
      <w:pPr>
        <w:pStyle w:val="BodyText2"/>
        <w:tabs>
          <w:tab w:val="left" w:pos="1440"/>
        </w:tabs>
        <w:ind w:firstLine="720"/>
        <w:rPr>
          <w:rStyle w:val="LineNumber"/>
          <w:b/>
          <w:bCs/>
        </w:rPr>
      </w:pPr>
      <w:r>
        <w:rPr>
          <w:rStyle w:val="LineNumber"/>
          <w:b/>
          <w:bCs/>
        </w:rPr>
        <w:t>Q.</w:t>
      </w:r>
      <w:r>
        <w:rPr>
          <w:rStyle w:val="LineNumber"/>
          <w:b/>
          <w:bCs/>
        </w:rPr>
        <w:tab/>
        <w:t>Has the Company’s approach to the allocation of distribution mains been proposed by other parties in previous general rate case filings?</w:t>
      </w:r>
    </w:p>
    <w:p w:rsidR="0039604B" w:rsidRDefault="00E265EE" w:rsidP="00335E47">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A similar approach for allocating distribution mains was proposed by Commission Staff in </w:t>
      </w:r>
      <w:r w:rsidR="0084366B">
        <w:rPr>
          <w:rStyle w:val="LineNumber"/>
        </w:rPr>
        <w:t>two prior</w:t>
      </w:r>
      <w:r>
        <w:rPr>
          <w:rStyle w:val="LineNumber"/>
        </w:rPr>
        <w:t xml:space="preserve"> general rate cases (</w:t>
      </w:r>
      <w:r w:rsidR="00D3315C">
        <w:rPr>
          <w:rStyle w:val="LineNumber"/>
        </w:rPr>
        <w:t xml:space="preserve">Docket Nos. </w:t>
      </w:r>
      <w:r>
        <w:rPr>
          <w:rStyle w:val="LineNumber"/>
        </w:rPr>
        <w:t>UG-1401</w:t>
      </w:r>
      <w:r w:rsidR="00171344">
        <w:rPr>
          <w:rStyle w:val="LineNumber"/>
        </w:rPr>
        <w:t>89 and</w:t>
      </w:r>
      <w:r>
        <w:rPr>
          <w:rStyle w:val="LineNumber"/>
        </w:rPr>
        <w:t xml:space="preserve"> UG-120437).  In addition, Puget Sound Energy </w:t>
      </w:r>
      <w:r w:rsidR="00171344">
        <w:rPr>
          <w:rStyle w:val="LineNumber"/>
        </w:rPr>
        <w:t>(</w:t>
      </w:r>
      <w:r w:rsidR="00D3315C">
        <w:rPr>
          <w:rStyle w:val="LineNumber"/>
        </w:rPr>
        <w:t xml:space="preserve">Docket Nos. </w:t>
      </w:r>
      <w:r w:rsidR="005533B4">
        <w:rPr>
          <w:rStyle w:val="LineNumber"/>
        </w:rPr>
        <w:t xml:space="preserve">UG-170034, </w:t>
      </w:r>
      <w:r w:rsidR="00171344">
        <w:rPr>
          <w:rStyle w:val="LineNumber"/>
        </w:rPr>
        <w:t xml:space="preserve">UG-111049, UG-101644, and UG-090705) </w:t>
      </w:r>
      <w:r>
        <w:rPr>
          <w:rStyle w:val="LineNumber"/>
        </w:rPr>
        <w:t>has also proposed a similar methodology in several of its most recent general rate case filings.</w:t>
      </w:r>
    </w:p>
    <w:p w:rsidR="00967794" w:rsidRDefault="00967794" w:rsidP="00335E47">
      <w:pPr>
        <w:pStyle w:val="BodyText2"/>
        <w:tabs>
          <w:tab w:val="left" w:pos="1440"/>
        </w:tabs>
        <w:ind w:firstLine="720"/>
        <w:rPr>
          <w:rStyle w:val="LineNumber"/>
        </w:rPr>
      </w:pPr>
    </w:p>
    <w:p w:rsidR="006E5B7E" w:rsidRPr="006E5B7E" w:rsidRDefault="006E5B7E" w:rsidP="006E5B7E">
      <w:pPr>
        <w:pStyle w:val="BodyText2"/>
        <w:tabs>
          <w:tab w:val="left" w:pos="1440"/>
        </w:tabs>
        <w:ind w:firstLine="720"/>
        <w:jc w:val="center"/>
        <w:rPr>
          <w:rStyle w:val="LineNumber"/>
          <w:b/>
          <w:u w:val="single"/>
        </w:rPr>
      </w:pPr>
      <w:r w:rsidRPr="00426D96">
        <w:rPr>
          <w:rStyle w:val="LineNumber"/>
          <w:b/>
          <w:u w:val="single"/>
        </w:rPr>
        <w:t xml:space="preserve">General Plant Costs and </w:t>
      </w:r>
      <w:r w:rsidR="00BB5155" w:rsidRPr="00426D96">
        <w:rPr>
          <w:rStyle w:val="LineNumber"/>
          <w:b/>
          <w:u w:val="single"/>
        </w:rPr>
        <w:t>Other A&amp;G Expenses</w:t>
      </w:r>
      <w:r w:rsidR="00F24FFB">
        <w:rPr>
          <w:rStyle w:val="LineNumber"/>
          <w:b/>
          <w:u w:val="single"/>
        </w:rPr>
        <w:t xml:space="preserve"> (Common Costs)</w:t>
      </w:r>
    </w:p>
    <w:p w:rsidR="00B14A1B" w:rsidRPr="00BA18B1" w:rsidRDefault="00B14A1B" w:rsidP="00B14A1B">
      <w:pPr>
        <w:pStyle w:val="BodyText2"/>
        <w:tabs>
          <w:tab w:val="left" w:pos="1440"/>
        </w:tabs>
        <w:ind w:firstLine="720"/>
        <w:rPr>
          <w:rStyle w:val="LineNumber"/>
          <w:b/>
          <w:bCs/>
        </w:rPr>
      </w:pPr>
      <w:r>
        <w:rPr>
          <w:rStyle w:val="LineNumber"/>
          <w:b/>
          <w:bCs/>
        </w:rPr>
        <w:t>Q.</w:t>
      </w:r>
      <w:r>
        <w:rPr>
          <w:rStyle w:val="LineNumber"/>
          <w:b/>
          <w:bCs/>
        </w:rPr>
        <w:tab/>
      </w:r>
      <w:r w:rsidR="00C22518">
        <w:rPr>
          <w:rStyle w:val="LineNumber"/>
          <w:b/>
          <w:bCs/>
        </w:rPr>
        <w:t>How has</w:t>
      </w:r>
      <w:r>
        <w:rPr>
          <w:rStyle w:val="LineNumber"/>
          <w:b/>
          <w:bCs/>
        </w:rPr>
        <w:t xml:space="preserve"> the Company</w:t>
      </w:r>
      <w:r w:rsidR="00C22518">
        <w:rPr>
          <w:rStyle w:val="LineNumber"/>
          <w:b/>
          <w:bCs/>
        </w:rPr>
        <w:t xml:space="preserve"> allocated the</w:t>
      </w:r>
      <w:r>
        <w:rPr>
          <w:rStyle w:val="LineNumber"/>
          <w:b/>
          <w:bCs/>
        </w:rPr>
        <w:t xml:space="preserve"> general plan</w:t>
      </w:r>
      <w:r w:rsidR="00164505">
        <w:rPr>
          <w:rStyle w:val="LineNumber"/>
          <w:b/>
          <w:bCs/>
        </w:rPr>
        <w:t>t costs and other A&amp;G expenses (common costs)</w:t>
      </w:r>
      <w:r w:rsidRPr="00BA18B1">
        <w:rPr>
          <w:rStyle w:val="LineNumber"/>
          <w:b/>
          <w:bCs/>
        </w:rPr>
        <w:t>?</w:t>
      </w:r>
    </w:p>
    <w:p w:rsidR="00D30104" w:rsidRDefault="00B14A1B" w:rsidP="00A03347">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 </w:t>
      </w:r>
      <w:r w:rsidR="00C22518">
        <w:rPr>
          <w:rStyle w:val="LineNumber"/>
        </w:rPr>
        <w:t>Company has</w:t>
      </w:r>
      <w:r w:rsidR="009C1722">
        <w:rPr>
          <w:rStyle w:val="LineNumber"/>
        </w:rPr>
        <w:t xml:space="preserve"> allocate</w:t>
      </w:r>
      <w:r w:rsidR="00C22518">
        <w:rPr>
          <w:rStyle w:val="LineNumber"/>
        </w:rPr>
        <w:t>d</w:t>
      </w:r>
      <w:r w:rsidR="009C1722">
        <w:rPr>
          <w:rStyle w:val="LineNumber"/>
        </w:rPr>
        <w:t xml:space="preserve"> bot</w:t>
      </w:r>
      <w:r w:rsidR="00AC7979">
        <w:rPr>
          <w:rStyle w:val="LineNumber"/>
        </w:rPr>
        <w:t xml:space="preserve">h general plant and </w:t>
      </w:r>
      <w:r w:rsidR="00F368A5">
        <w:rPr>
          <w:rStyle w:val="LineNumber"/>
        </w:rPr>
        <w:t xml:space="preserve">other </w:t>
      </w:r>
      <w:r w:rsidR="00AC7979">
        <w:rPr>
          <w:rStyle w:val="LineNumber"/>
        </w:rPr>
        <w:t>A&amp;G expenses, which are functionalized as common costs,</w:t>
      </w:r>
      <w:r w:rsidR="009C1722">
        <w:rPr>
          <w:rStyle w:val="LineNumber"/>
        </w:rPr>
        <w:t xml:space="preserve"> based</w:t>
      </w:r>
      <w:r w:rsidR="009C1370">
        <w:rPr>
          <w:rStyle w:val="LineNumber"/>
        </w:rPr>
        <w:t xml:space="preserve"> on the Company’s four-factor allocator</w:t>
      </w:r>
      <w:r w:rsidR="009C1722">
        <w:rPr>
          <w:rStyle w:val="LineNumber"/>
        </w:rPr>
        <w:t xml:space="preserve">.  </w:t>
      </w:r>
      <w:r w:rsidR="00545903">
        <w:rPr>
          <w:rStyle w:val="LineNumber"/>
        </w:rPr>
        <w:t xml:space="preserve">This allocation factor is used on all common plant and </w:t>
      </w:r>
      <w:r w:rsidR="00F368A5">
        <w:rPr>
          <w:rStyle w:val="LineNumber"/>
        </w:rPr>
        <w:t xml:space="preserve">other </w:t>
      </w:r>
      <w:r w:rsidR="00545903">
        <w:rPr>
          <w:rStyle w:val="LineNumber"/>
        </w:rPr>
        <w:t>A&amp;G expenses and is the cos</w:t>
      </w:r>
      <w:r w:rsidR="009C1370">
        <w:rPr>
          <w:rStyle w:val="LineNumber"/>
        </w:rPr>
        <w:t>t of service equivalent of the four</w:t>
      </w:r>
      <w:r w:rsidR="00545903">
        <w:rPr>
          <w:rStyle w:val="LineNumber"/>
        </w:rPr>
        <w:t xml:space="preserve">-factor allocator used in the Company’s results of operations reporting.  </w:t>
      </w:r>
      <w:r w:rsidR="009C1370">
        <w:rPr>
          <w:rStyle w:val="LineNumber"/>
        </w:rPr>
        <w:t>The four</w:t>
      </w:r>
      <w:r w:rsidR="009C1722">
        <w:rPr>
          <w:rStyle w:val="LineNumber"/>
        </w:rPr>
        <w:t xml:space="preserve">-factor has </w:t>
      </w:r>
      <w:r w:rsidR="002A6E9E">
        <w:rPr>
          <w:rStyle w:val="LineNumber"/>
        </w:rPr>
        <w:t xml:space="preserve">historically </w:t>
      </w:r>
      <w:r w:rsidR="009C1722">
        <w:rPr>
          <w:rStyle w:val="LineNumber"/>
        </w:rPr>
        <w:t>been utilized by the Company to allocate common operating costs and plant between states (Washington, Idaho, and Oregon) and among services (electric and natural gas)</w:t>
      </w:r>
      <w:r w:rsidR="002A6E9E">
        <w:rPr>
          <w:rStyle w:val="LineNumber"/>
        </w:rPr>
        <w:t xml:space="preserve"> for purposes of the Company’s Commission B</w:t>
      </w:r>
      <w:r w:rsidR="009C1722">
        <w:rPr>
          <w:rStyle w:val="LineNumber"/>
        </w:rPr>
        <w:t>asis results of operations.</w:t>
      </w:r>
    </w:p>
    <w:p w:rsidR="002B651F" w:rsidRPr="00BA18B1" w:rsidRDefault="002B651F" w:rsidP="002B651F">
      <w:pPr>
        <w:pStyle w:val="BodyText2"/>
        <w:tabs>
          <w:tab w:val="left" w:pos="1440"/>
        </w:tabs>
        <w:ind w:firstLine="720"/>
        <w:rPr>
          <w:rStyle w:val="LineNumber"/>
          <w:b/>
          <w:bCs/>
        </w:rPr>
      </w:pPr>
      <w:r>
        <w:rPr>
          <w:rStyle w:val="LineNumber"/>
          <w:b/>
          <w:bCs/>
        </w:rPr>
        <w:t>Q.</w:t>
      </w:r>
      <w:r w:rsidR="00EF5367">
        <w:rPr>
          <w:rStyle w:val="LineNumber"/>
          <w:b/>
          <w:bCs/>
        </w:rPr>
        <w:tab/>
        <w:t>Please describe the components</w:t>
      </w:r>
      <w:r w:rsidR="00354099">
        <w:rPr>
          <w:rStyle w:val="LineNumber"/>
          <w:b/>
          <w:bCs/>
        </w:rPr>
        <w:t xml:space="preserve"> </w:t>
      </w:r>
      <w:r w:rsidR="009C1370">
        <w:rPr>
          <w:rStyle w:val="LineNumber"/>
          <w:b/>
          <w:bCs/>
        </w:rPr>
        <w:t>of the four</w:t>
      </w:r>
      <w:r>
        <w:rPr>
          <w:rStyle w:val="LineNumber"/>
          <w:b/>
          <w:bCs/>
        </w:rPr>
        <w:t>-factor</w:t>
      </w:r>
      <w:r w:rsidRPr="00BA18B1">
        <w:rPr>
          <w:rStyle w:val="LineNumber"/>
          <w:b/>
          <w:bCs/>
        </w:rPr>
        <w:t>?</w:t>
      </w:r>
    </w:p>
    <w:p w:rsidR="002B651F" w:rsidRDefault="002B651F" w:rsidP="009431FB">
      <w:pPr>
        <w:pStyle w:val="BodyText2"/>
        <w:tabs>
          <w:tab w:val="left" w:pos="1440"/>
        </w:tabs>
        <w:ind w:firstLine="720"/>
        <w:rPr>
          <w:rStyle w:val="LineNumber"/>
        </w:rPr>
      </w:pPr>
      <w:r w:rsidRPr="00BA18B1">
        <w:rPr>
          <w:rStyle w:val="LineNumber"/>
        </w:rPr>
        <w:lastRenderedPageBreak/>
        <w:t>A.</w:t>
      </w:r>
      <w:r w:rsidRPr="00BA18B1">
        <w:rPr>
          <w:rStyle w:val="LineNumber"/>
        </w:rPr>
        <w:tab/>
      </w:r>
      <w:r w:rsidR="009C1370">
        <w:rPr>
          <w:rStyle w:val="LineNumber"/>
        </w:rPr>
        <w:t>The four</w:t>
      </w:r>
      <w:r w:rsidR="00A72CCD">
        <w:rPr>
          <w:rStyle w:val="LineNumber"/>
        </w:rPr>
        <w:t xml:space="preserve">-factor is comprised of </w:t>
      </w:r>
      <w:r w:rsidR="00AA1A97">
        <w:rPr>
          <w:rStyle w:val="LineNumber"/>
        </w:rPr>
        <w:t xml:space="preserve">the following </w:t>
      </w:r>
      <w:r w:rsidR="00A72CCD">
        <w:rPr>
          <w:rStyle w:val="LineNumber"/>
        </w:rPr>
        <w:t>four equally weighted components:</w:t>
      </w:r>
    </w:p>
    <w:p w:rsidR="00A72CCD" w:rsidRDefault="00A72CCD" w:rsidP="00A72CCD">
      <w:pPr>
        <w:pStyle w:val="BodyText2"/>
        <w:numPr>
          <w:ilvl w:val="0"/>
          <w:numId w:val="7"/>
        </w:numPr>
        <w:tabs>
          <w:tab w:val="left" w:pos="1440"/>
        </w:tabs>
        <w:rPr>
          <w:rStyle w:val="LineNumber"/>
        </w:rPr>
      </w:pPr>
      <w:r>
        <w:rPr>
          <w:rStyle w:val="LineNumber"/>
        </w:rPr>
        <w:t>Direct O&amp;M excluding resource costs and labor</w:t>
      </w:r>
    </w:p>
    <w:p w:rsidR="00A72CCD" w:rsidRDefault="00A72CCD" w:rsidP="00A72CCD">
      <w:pPr>
        <w:pStyle w:val="BodyText2"/>
        <w:numPr>
          <w:ilvl w:val="0"/>
          <w:numId w:val="7"/>
        </w:numPr>
        <w:tabs>
          <w:tab w:val="left" w:pos="1440"/>
        </w:tabs>
        <w:rPr>
          <w:rStyle w:val="LineNumber"/>
        </w:rPr>
      </w:pPr>
      <w:r>
        <w:rPr>
          <w:rStyle w:val="LineNumber"/>
        </w:rPr>
        <w:t>Direct O&amp;M labor</w:t>
      </w:r>
    </w:p>
    <w:p w:rsidR="00A72CCD" w:rsidRDefault="00A72CCD" w:rsidP="00A72CCD">
      <w:pPr>
        <w:pStyle w:val="BodyText2"/>
        <w:numPr>
          <w:ilvl w:val="0"/>
          <w:numId w:val="7"/>
        </w:numPr>
        <w:tabs>
          <w:tab w:val="left" w:pos="1440"/>
        </w:tabs>
        <w:rPr>
          <w:rStyle w:val="LineNumber"/>
        </w:rPr>
      </w:pPr>
      <w:r>
        <w:rPr>
          <w:rStyle w:val="LineNumber"/>
        </w:rPr>
        <w:t>Number of customers</w:t>
      </w:r>
    </w:p>
    <w:p w:rsidR="00A72CCD" w:rsidRDefault="00A72CCD" w:rsidP="00A72CCD">
      <w:pPr>
        <w:pStyle w:val="BodyText2"/>
        <w:numPr>
          <w:ilvl w:val="0"/>
          <w:numId w:val="7"/>
        </w:numPr>
        <w:tabs>
          <w:tab w:val="left" w:pos="1440"/>
        </w:tabs>
        <w:rPr>
          <w:rStyle w:val="LineNumber"/>
        </w:rPr>
      </w:pPr>
      <w:r>
        <w:rPr>
          <w:rStyle w:val="LineNumber"/>
        </w:rPr>
        <w:t>Net direct plant</w:t>
      </w:r>
    </w:p>
    <w:p w:rsidR="00DD7158" w:rsidRPr="00BA18B1" w:rsidRDefault="00DD7158" w:rsidP="00DD7158">
      <w:pPr>
        <w:pStyle w:val="BodyText2"/>
        <w:tabs>
          <w:tab w:val="left" w:pos="1440"/>
        </w:tabs>
        <w:ind w:firstLine="720"/>
        <w:rPr>
          <w:rStyle w:val="LineNumber"/>
          <w:b/>
          <w:bCs/>
        </w:rPr>
      </w:pPr>
      <w:r>
        <w:rPr>
          <w:rStyle w:val="LineNumber"/>
          <w:b/>
          <w:bCs/>
        </w:rPr>
        <w:t>Q.</w:t>
      </w:r>
      <w:r>
        <w:rPr>
          <w:rStyle w:val="LineNumber"/>
          <w:b/>
          <w:bCs/>
        </w:rPr>
        <w:tab/>
      </w:r>
      <w:r w:rsidR="002B651F">
        <w:rPr>
          <w:rStyle w:val="LineNumber"/>
          <w:b/>
          <w:bCs/>
        </w:rPr>
        <w:t>Pleas</w:t>
      </w:r>
      <w:r w:rsidR="009C1370">
        <w:rPr>
          <w:rStyle w:val="LineNumber"/>
          <w:b/>
          <w:bCs/>
        </w:rPr>
        <w:t>e describe the benefits of the four</w:t>
      </w:r>
      <w:r w:rsidR="002B651F">
        <w:rPr>
          <w:rStyle w:val="LineNumber"/>
          <w:b/>
          <w:bCs/>
        </w:rPr>
        <w:t>-factor allocator</w:t>
      </w:r>
      <w:r w:rsidRPr="00BA18B1">
        <w:rPr>
          <w:rStyle w:val="LineNumber"/>
          <w:b/>
          <w:bCs/>
        </w:rPr>
        <w:t>?</w:t>
      </w:r>
    </w:p>
    <w:p w:rsidR="00DD7158" w:rsidRDefault="00DD7158" w:rsidP="00DD7158">
      <w:pPr>
        <w:pStyle w:val="BodyText2"/>
        <w:tabs>
          <w:tab w:val="left" w:pos="1440"/>
        </w:tabs>
        <w:ind w:firstLine="720"/>
        <w:rPr>
          <w:rStyle w:val="LineNumber"/>
        </w:rPr>
      </w:pPr>
      <w:r w:rsidRPr="00BA18B1">
        <w:rPr>
          <w:rStyle w:val="LineNumber"/>
        </w:rPr>
        <w:t>A.</w:t>
      </w:r>
      <w:r w:rsidRPr="00BA18B1">
        <w:rPr>
          <w:rStyle w:val="LineNumber"/>
        </w:rPr>
        <w:tab/>
      </w:r>
      <w:r w:rsidR="002B651F">
        <w:rPr>
          <w:rStyle w:val="LineNumber"/>
        </w:rPr>
        <w:t>There a</w:t>
      </w:r>
      <w:r w:rsidR="009C1370">
        <w:rPr>
          <w:rStyle w:val="LineNumber"/>
        </w:rPr>
        <w:t>re two primary benefits of the four</w:t>
      </w:r>
      <w:r w:rsidR="002B651F">
        <w:rPr>
          <w:rStyle w:val="LineNumber"/>
        </w:rPr>
        <w:t xml:space="preserve">-factor.  First, it reflects a variety of relationships that are consistent with the specific costs and plant items which are recognized as serving multiple functions.  Second, it provides consistency and balance between the way </w:t>
      </w:r>
      <w:r w:rsidR="00414E7C">
        <w:rPr>
          <w:rStyle w:val="LineNumber"/>
        </w:rPr>
        <w:t>common costs</w:t>
      </w:r>
      <w:r w:rsidR="002B651F">
        <w:rPr>
          <w:rStyle w:val="LineNumber"/>
        </w:rPr>
        <w:t xml:space="preserve"> are allocated for purposes of </w:t>
      </w:r>
      <w:r w:rsidR="0047156C">
        <w:rPr>
          <w:rStyle w:val="LineNumber"/>
        </w:rPr>
        <w:t>Commission B</w:t>
      </w:r>
      <w:r w:rsidR="009431FB">
        <w:rPr>
          <w:rStyle w:val="LineNumber"/>
        </w:rPr>
        <w:t xml:space="preserve">asis </w:t>
      </w:r>
      <w:r w:rsidR="002B651F">
        <w:rPr>
          <w:rStyle w:val="LineNumber"/>
        </w:rPr>
        <w:t>results of operations and the cost of service study</w:t>
      </w:r>
      <w:r w:rsidR="00414E7C">
        <w:rPr>
          <w:rStyle w:val="LineNumber"/>
        </w:rPr>
        <w:t xml:space="preserve"> used in general rate cases</w:t>
      </w:r>
      <w:r w:rsidR="002B651F">
        <w:rPr>
          <w:rStyle w:val="LineNumber"/>
        </w:rPr>
        <w:t xml:space="preserve">.  </w:t>
      </w:r>
    </w:p>
    <w:p w:rsidR="009431FB" w:rsidRPr="00BA18B1" w:rsidRDefault="009C1370" w:rsidP="009431FB">
      <w:pPr>
        <w:pStyle w:val="BodyText2"/>
        <w:tabs>
          <w:tab w:val="left" w:pos="1440"/>
        </w:tabs>
        <w:ind w:firstLine="720"/>
        <w:rPr>
          <w:rStyle w:val="LineNumber"/>
          <w:b/>
          <w:bCs/>
        </w:rPr>
      </w:pPr>
      <w:r>
        <w:rPr>
          <w:rStyle w:val="LineNumber"/>
          <w:b/>
          <w:bCs/>
        </w:rPr>
        <w:t>Q.</w:t>
      </w:r>
      <w:r>
        <w:rPr>
          <w:rStyle w:val="LineNumber"/>
          <w:b/>
          <w:bCs/>
        </w:rPr>
        <w:tab/>
        <w:t>Has the four</w:t>
      </w:r>
      <w:r w:rsidR="009431FB">
        <w:rPr>
          <w:rStyle w:val="LineNumber"/>
          <w:b/>
          <w:bCs/>
        </w:rPr>
        <w:t>-factor allocation been proposed b</w:t>
      </w:r>
      <w:r w:rsidR="0047156C">
        <w:rPr>
          <w:rStyle w:val="LineNumber"/>
          <w:b/>
          <w:bCs/>
        </w:rPr>
        <w:t>y other parties in the Company’s</w:t>
      </w:r>
      <w:r w:rsidR="009431FB">
        <w:rPr>
          <w:rStyle w:val="LineNumber"/>
          <w:b/>
          <w:bCs/>
        </w:rPr>
        <w:t xml:space="preserve"> previous general rate case filings?</w:t>
      </w:r>
    </w:p>
    <w:p w:rsidR="00F24A68" w:rsidRDefault="009431FB" w:rsidP="00357D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Commission Staff proposed this same allocat</w:t>
      </w:r>
      <w:r w:rsidR="0047156C">
        <w:rPr>
          <w:rStyle w:val="LineNumber"/>
        </w:rPr>
        <w:t xml:space="preserve">ion methodology in </w:t>
      </w:r>
      <w:r w:rsidR="00DA5A13">
        <w:rPr>
          <w:rStyle w:val="LineNumber"/>
        </w:rPr>
        <w:t>a prior Avista</w:t>
      </w:r>
      <w:r>
        <w:rPr>
          <w:rStyle w:val="LineNumber"/>
        </w:rPr>
        <w:t xml:space="preserve"> general rate case (UG-140189).</w:t>
      </w:r>
      <w:r w:rsidR="00357DFE">
        <w:rPr>
          <w:rStyle w:val="LineNumber"/>
        </w:rPr>
        <w:br w:type="page"/>
      </w:r>
    </w:p>
    <w:p w:rsidR="004012EC" w:rsidRPr="00915D98" w:rsidRDefault="00FA3A6B" w:rsidP="00915D98">
      <w:pPr>
        <w:pStyle w:val="Heading5"/>
        <w:rPr>
          <w:rStyle w:val="LineNumber"/>
          <w:u w:val="single"/>
        </w:rPr>
      </w:pPr>
      <w:r>
        <w:rPr>
          <w:rStyle w:val="PageNumber"/>
          <w:u w:val="single"/>
        </w:rPr>
        <w:t>I</w:t>
      </w:r>
      <w:r w:rsidR="00915D98">
        <w:rPr>
          <w:rStyle w:val="PageNumber"/>
          <w:u w:val="single"/>
        </w:rPr>
        <w:t>V</w:t>
      </w:r>
      <w:proofErr w:type="gramStart"/>
      <w:r w:rsidR="00915D98" w:rsidRPr="00683A09">
        <w:rPr>
          <w:rStyle w:val="PageNumber"/>
          <w:u w:val="single"/>
        </w:rPr>
        <w:t xml:space="preserve">.  </w:t>
      </w:r>
      <w:r w:rsidR="00915D98">
        <w:rPr>
          <w:rStyle w:val="PageNumber"/>
          <w:u w:val="single"/>
        </w:rPr>
        <w:t>RESULTS</w:t>
      </w:r>
      <w:proofErr w:type="gramEnd"/>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A014FC" w:rsidRDefault="002A6E9E" w:rsidP="00281CA4">
      <w:pPr>
        <w:pStyle w:val="BodyText2"/>
        <w:tabs>
          <w:tab w:val="left" w:pos="1440"/>
        </w:tabs>
        <w:ind w:firstLine="720"/>
        <w:rPr>
          <w:rStyle w:val="LineNumber"/>
        </w:rPr>
      </w:pPr>
      <w:r>
        <w:rPr>
          <w:rStyle w:val="LineNumber"/>
        </w:rPr>
        <w:t>A.</w:t>
      </w:r>
      <w:r>
        <w:rPr>
          <w:rStyle w:val="LineNumber"/>
        </w:rPr>
        <w:tab/>
      </w:r>
      <w:r w:rsidR="00A03347" w:rsidRPr="00540E44">
        <w:rPr>
          <w:rStyle w:val="LineNumber"/>
        </w:rPr>
        <w:t xml:space="preserve">The </w:t>
      </w:r>
      <w:r w:rsidR="00A03347">
        <w:rPr>
          <w:rStyle w:val="LineNumber"/>
        </w:rPr>
        <w:t xml:space="preserve">cost of service </w:t>
      </w:r>
      <w:r w:rsidR="00A03347" w:rsidRPr="00540E44">
        <w:rPr>
          <w:rStyle w:val="LineNumber"/>
        </w:rPr>
        <w:t>study indicates that General Service Schedule</w:t>
      </w:r>
      <w:r w:rsidR="00A03347">
        <w:rPr>
          <w:rStyle w:val="LineNumber"/>
        </w:rPr>
        <w:t>s</w:t>
      </w:r>
      <w:r w:rsidR="00A03347" w:rsidRPr="00540E44">
        <w:rPr>
          <w:rStyle w:val="LineNumber"/>
        </w:rPr>
        <w:t xml:space="preserve"> 101</w:t>
      </w:r>
      <w:r w:rsidR="00A03347">
        <w:rPr>
          <w:rStyle w:val="LineNumber"/>
        </w:rPr>
        <w:t>/102 (serving</w:t>
      </w:r>
      <w:r w:rsidR="00A03347" w:rsidRPr="00540E44">
        <w:rPr>
          <w:rStyle w:val="LineNumber"/>
        </w:rPr>
        <w:t xml:space="preserve"> most</w:t>
      </w:r>
      <w:r w:rsidR="00A03347">
        <w:rPr>
          <w:rStyle w:val="LineNumber"/>
        </w:rPr>
        <w:t>ly</w:t>
      </w:r>
      <w:r w:rsidR="00A03347" w:rsidRPr="00540E44">
        <w:rPr>
          <w:rStyle w:val="LineNumber"/>
        </w:rPr>
        <w:t xml:space="preserve"> residential customers) and Transportation S</w:t>
      </w:r>
      <w:r w:rsidR="00A03347">
        <w:rPr>
          <w:rStyle w:val="LineNumber"/>
        </w:rPr>
        <w:t>chedule 146</w:t>
      </w:r>
      <w:r w:rsidR="00A03347" w:rsidRPr="00540E44">
        <w:rPr>
          <w:rStyle w:val="LineNumber"/>
        </w:rPr>
        <w:t xml:space="preserve"> are providing less than the overall rate of return (unity), and Large General, High Load Factor Large General, and Interruptible service schedules (111/112, 121/122 and 131/132) are providing more than </w:t>
      </w:r>
      <w:r w:rsidR="00A03347" w:rsidRPr="00540E44">
        <w:rPr>
          <w:rStyle w:val="LineNumber"/>
        </w:rPr>
        <w:lastRenderedPageBreak/>
        <w:t>unity.</w:t>
      </w:r>
      <w:r w:rsidR="00FA06D0">
        <w:rPr>
          <w:rStyle w:val="LineNumber"/>
        </w:rPr>
        <w:t xml:space="preserve">  </w:t>
      </w:r>
      <w:r w:rsidR="0027413E">
        <w:rPr>
          <w:rStyle w:val="LineNumber"/>
        </w:rPr>
        <w:t>T</w:t>
      </w:r>
      <w:r w:rsidR="003356D4">
        <w:rPr>
          <w:rStyle w:val="LineNumber"/>
        </w:rPr>
        <w:t>able</w:t>
      </w:r>
      <w:r w:rsidR="008D58E8">
        <w:rPr>
          <w:rStyle w:val="LineNumber"/>
        </w:rPr>
        <w:t xml:space="preserve"> </w:t>
      </w:r>
      <w:r w:rsidR="0027413E">
        <w:rPr>
          <w:rStyle w:val="LineNumber"/>
        </w:rPr>
        <w:t xml:space="preserve">No. 2 </w:t>
      </w:r>
      <w:r w:rsidR="001C2555" w:rsidRPr="00BA18B1">
        <w:rPr>
          <w:rStyle w:val="LineNumber"/>
        </w:rPr>
        <w:t xml:space="preserve">shows the rate of return and the relative return ratio at </w:t>
      </w:r>
      <w:r w:rsidR="001C2555" w:rsidRPr="00BA18B1">
        <w:rPr>
          <w:rStyle w:val="LineNumber"/>
          <w:u w:val="single"/>
        </w:rPr>
        <w:t>present</w:t>
      </w:r>
      <w:r w:rsidR="001C2555" w:rsidRPr="00BA18B1">
        <w:rPr>
          <w:rStyle w:val="LineNumber"/>
        </w:rPr>
        <w:t xml:space="preserve"> </w:t>
      </w:r>
      <w:r w:rsidR="001C2555" w:rsidRPr="00BA18B1">
        <w:rPr>
          <w:rStyle w:val="LineNumber"/>
          <w:u w:val="single"/>
        </w:rPr>
        <w:t>rates</w:t>
      </w:r>
      <w:r w:rsidR="001C2555" w:rsidRPr="00BA18B1">
        <w:rPr>
          <w:rStyle w:val="LineNumber"/>
        </w:rPr>
        <w:t xml:space="preserve"> for each rate schedule</w:t>
      </w:r>
      <w:r w:rsidR="00E81B92">
        <w:rPr>
          <w:rStyle w:val="LineNumber"/>
        </w:rPr>
        <w:t>.</w:t>
      </w:r>
    </w:p>
    <w:p w:rsidR="00915D98" w:rsidRPr="001771CB" w:rsidRDefault="006F3E45" w:rsidP="00A03347">
      <w:pPr>
        <w:autoSpaceDE/>
        <w:autoSpaceDN/>
        <w:spacing w:line="480" w:lineRule="auto"/>
        <w:rPr>
          <w:b/>
          <w:u w:val="single"/>
        </w:rPr>
      </w:pPr>
      <w:r w:rsidRPr="001771CB">
        <w:rPr>
          <w:b/>
          <w:u w:val="single"/>
        </w:rPr>
        <w:t xml:space="preserve">Table </w:t>
      </w:r>
      <w:r w:rsidR="00A404EA" w:rsidRPr="001771CB">
        <w:rPr>
          <w:b/>
          <w:u w:val="single"/>
        </w:rPr>
        <w:t>No.</w:t>
      </w:r>
      <w:r w:rsidR="004D4C81" w:rsidRPr="001771CB">
        <w:rPr>
          <w:b/>
          <w:u w:val="single"/>
        </w:rPr>
        <w:t>2</w:t>
      </w:r>
      <w:r w:rsidR="00A404EA" w:rsidRPr="001771CB">
        <w:rPr>
          <w:b/>
          <w:u w:val="single"/>
        </w:rPr>
        <w:t>:</w:t>
      </w:r>
      <w:r w:rsidR="00A03347" w:rsidRPr="001771CB">
        <w:rPr>
          <w:b/>
          <w:u w:val="single"/>
        </w:rPr>
        <w:t xml:space="preserve">  </w:t>
      </w:r>
      <w:r w:rsidR="00915D98" w:rsidRPr="001771CB">
        <w:rPr>
          <w:b/>
          <w:u w:val="single"/>
        </w:rPr>
        <w:t>Base Case Results</w:t>
      </w:r>
    </w:p>
    <w:p w:rsidR="00785EA6" w:rsidRDefault="00040248" w:rsidP="00335E47">
      <w:pPr>
        <w:pStyle w:val="BodyText2"/>
        <w:tabs>
          <w:tab w:val="left" w:pos="1440"/>
        </w:tabs>
        <w:rPr>
          <w:b/>
          <w:u w:val="single"/>
        </w:rPr>
      </w:pPr>
      <w:r w:rsidRPr="00040248">
        <w:rPr>
          <w:noProof/>
        </w:rPr>
        <w:drawing>
          <wp:anchor distT="0" distB="0" distL="114300" distR="114300" simplePos="0" relativeHeight="251678720" behindDoc="1" locked="0" layoutInCell="1" allowOverlap="1">
            <wp:simplePos x="0" y="0"/>
            <wp:positionH relativeFrom="column">
              <wp:posOffset>3976</wp:posOffset>
            </wp:positionH>
            <wp:positionV relativeFrom="paragraph">
              <wp:posOffset>-1988</wp:posOffset>
            </wp:positionV>
            <wp:extent cx="5311775" cy="1781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17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EA6" w:rsidRDefault="00785EA6" w:rsidP="00335E47">
      <w:pPr>
        <w:pStyle w:val="BodyText2"/>
        <w:tabs>
          <w:tab w:val="left" w:pos="1440"/>
        </w:tabs>
        <w:rPr>
          <w:b/>
          <w:u w:val="single"/>
        </w:rPr>
      </w:pPr>
    </w:p>
    <w:p w:rsidR="00785EA6" w:rsidRDefault="00785EA6" w:rsidP="00335E47">
      <w:pPr>
        <w:pStyle w:val="BodyText2"/>
        <w:tabs>
          <w:tab w:val="left" w:pos="1440"/>
        </w:tabs>
        <w:rPr>
          <w:b/>
          <w:u w:val="single"/>
        </w:rPr>
      </w:pPr>
    </w:p>
    <w:p w:rsidR="00F24A68" w:rsidRDefault="00F24A68" w:rsidP="00335E47">
      <w:pPr>
        <w:pStyle w:val="BodyText2"/>
        <w:tabs>
          <w:tab w:val="left" w:pos="1440"/>
        </w:tabs>
        <w:rPr>
          <w:b/>
          <w:u w:val="single"/>
        </w:rPr>
      </w:pPr>
    </w:p>
    <w:p w:rsidR="00785EA6" w:rsidRDefault="00785EA6" w:rsidP="00335E47">
      <w:pPr>
        <w:pStyle w:val="BodyText2"/>
        <w:tabs>
          <w:tab w:val="left" w:pos="1440"/>
        </w:tabs>
        <w:rPr>
          <w:b/>
          <w:u w:val="single"/>
        </w:rPr>
      </w:pPr>
    </w:p>
    <w:p w:rsidR="00F24A68" w:rsidRDefault="00F24A68" w:rsidP="00387CD5">
      <w:pPr>
        <w:pStyle w:val="BodyText2"/>
        <w:tabs>
          <w:tab w:val="left" w:pos="1440"/>
        </w:tabs>
        <w:contextualSpacing/>
        <w:rPr>
          <w:rStyle w:val="LineNumber"/>
        </w:rPr>
      </w:pPr>
    </w:p>
    <w:p w:rsidR="001C2555" w:rsidRDefault="001C2555" w:rsidP="00F24A68">
      <w:pPr>
        <w:pStyle w:val="BodyText2"/>
        <w:tabs>
          <w:tab w:val="left" w:pos="1440"/>
        </w:tabs>
        <w:ind w:firstLine="720"/>
        <w:contextualSpacing/>
        <w:rPr>
          <w:rStyle w:val="LineNumber"/>
        </w:rPr>
      </w:pPr>
      <w:r w:rsidRPr="00BA18B1">
        <w:rPr>
          <w:rStyle w:val="LineNumber"/>
        </w:rPr>
        <w:t xml:space="preserve">The summary results of </w:t>
      </w:r>
      <w:r w:rsidR="00C22518">
        <w:rPr>
          <w:rStyle w:val="LineNumber"/>
        </w:rPr>
        <w:t>the study were</w:t>
      </w:r>
      <w:r w:rsidRPr="00BA18B1">
        <w:rPr>
          <w:rStyle w:val="LineNumber"/>
        </w:rPr>
        <w:t xml:space="preserve"> provided to Mr. </w:t>
      </w:r>
      <w:r>
        <w:rPr>
          <w:rStyle w:val="LineNumber"/>
        </w:rPr>
        <w:t>Ehrbar</w:t>
      </w:r>
      <w:r w:rsidRPr="00BA18B1">
        <w:rPr>
          <w:rStyle w:val="LineNumber"/>
        </w:rPr>
        <w:t xml:space="preserve"> </w:t>
      </w:r>
      <w:r w:rsidR="00D55361">
        <w:rPr>
          <w:rStyle w:val="LineNumber"/>
        </w:rPr>
        <w:t>for consideration</w:t>
      </w:r>
      <w:r w:rsidR="0047156C">
        <w:rPr>
          <w:rStyle w:val="LineNumber"/>
        </w:rPr>
        <w:t xml:space="preserve"> in the</w:t>
      </w:r>
      <w:r w:rsidRPr="00BA18B1">
        <w:rPr>
          <w:rStyle w:val="LineNumber"/>
        </w:rPr>
        <w:t xml:space="preserve"> development of the proposed rates.</w:t>
      </w:r>
    </w:p>
    <w:p w:rsidR="001C2555" w:rsidRPr="00BA18B1" w:rsidRDefault="001C2555" w:rsidP="00F24A68">
      <w:pPr>
        <w:pStyle w:val="BodyText2"/>
        <w:tabs>
          <w:tab w:val="left" w:pos="1440"/>
        </w:tabs>
        <w:ind w:firstLine="720"/>
        <w:contextualSpacing/>
        <w:rPr>
          <w:rStyle w:val="LineNumber"/>
          <w:b/>
          <w:bCs/>
        </w:rPr>
      </w:pPr>
      <w:r w:rsidRPr="00BA18B1">
        <w:rPr>
          <w:rStyle w:val="LineNumber"/>
          <w:b/>
          <w:bCs/>
        </w:rPr>
        <w:t>Q.</w:t>
      </w:r>
      <w:r w:rsidRPr="00BA18B1">
        <w:rPr>
          <w:rStyle w:val="LineNumber"/>
          <w:b/>
          <w:bCs/>
        </w:rPr>
        <w:tab/>
        <w:t>Does this conclude your pre-filed direct testimony?</w:t>
      </w:r>
    </w:p>
    <w:p w:rsidR="00741F38" w:rsidRDefault="001C2555" w:rsidP="00F24A68">
      <w:pPr>
        <w:pStyle w:val="BodyText2"/>
        <w:tabs>
          <w:tab w:val="left" w:pos="1440"/>
        </w:tabs>
        <w:ind w:firstLine="720"/>
        <w:contextualSpacing/>
        <w:rPr>
          <w:rStyle w:val="LineNumber"/>
        </w:rPr>
      </w:pPr>
      <w:r w:rsidRPr="00BA18B1">
        <w:rPr>
          <w:rStyle w:val="LineNumber"/>
        </w:rPr>
        <w:t xml:space="preserve">A.  </w:t>
      </w:r>
      <w:r>
        <w:rPr>
          <w:rStyle w:val="LineNumber"/>
        </w:rPr>
        <w:tab/>
      </w:r>
      <w:r w:rsidRPr="00BA18B1">
        <w:rPr>
          <w:rStyle w:val="LineNumber"/>
        </w:rPr>
        <w:t>Yes.</w:t>
      </w:r>
    </w:p>
    <w:sectPr w:rsidR="00741F38" w:rsidSect="000103AF">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FD" w:rsidRDefault="006D0CFD">
      <w:r>
        <w:separator/>
      </w:r>
    </w:p>
  </w:endnote>
  <w:endnote w:type="continuationSeparator" w:id="0">
    <w:p w:rsidR="006D0CFD" w:rsidRDefault="006D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Pr="0024691F" w:rsidRDefault="006D0CFD" w:rsidP="00CF4DCE">
    <w:pPr>
      <w:pStyle w:val="Footer"/>
      <w:tabs>
        <w:tab w:val="clear" w:pos="4320"/>
        <w:tab w:val="clear" w:pos="8640"/>
        <w:tab w:val="left" w:pos="180"/>
        <w:tab w:val="right" w:pos="9360"/>
      </w:tabs>
    </w:pPr>
    <w:r>
      <w:t xml:space="preserve">Direct </w:t>
    </w:r>
    <w:r w:rsidRPr="0024691F">
      <w:t>Testimony of Joseph D. Miller</w:t>
    </w:r>
  </w:p>
  <w:p w:rsidR="006D0CFD" w:rsidRPr="0024691F" w:rsidRDefault="006D0CFD"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6D0CFD" w:rsidRPr="0024691F" w:rsidRDefault="006D0CFD" w:rsidP="00785EA6">
    <w:pPr>
      <w:pStyle w:val="Footer"/>
      <w:tabs>
        <w:tab w:val="clear" w:pos="4320"/>
        <w:tab w:val="clear" w:pos="8640"/>
        <w:tab w:val="left" w:pos="180"/>
        <w:tab w:val="right" w:pos="8880"/>
      </w:tabs>
    </w:pPr>
    <w:r w:rsidRPr="0024691F">
      <w:t>Docket No. UG-1</w:t>
    </w:r>
    <w:r w:rsidR="00E02279">
      <w:t>7</w:t>
    </w:r>
    <w:r w:rsidRPr="0024691F">
      <w:t>____</w:t>
    </w:r>
    <w:r>
      <w:tab/>
    </w:r>
    <w:r w:rsidRPr="0024691F">
      <w:rPr>
        <w:lang w:val="fr-FR"/>
      </w:rPr>
      <w:t xml:space="preserve">Page </w:t>
    </w:r>
    <w:r w:rsidR="00CA2F53" w:rsidRPr="0024691F">
      <w:rPr>
        <w:rStyle w:val="PageNumber"/>
      </w:rPr>
      <w:fldChar w:fldCharType="begin"/>
    </w:r>
    <w:r w:rsidRPr="0024691F">
      <w:rPr>
        <w:rStyle w:val="PageNumber"/>
        <w:lang w:val="fr-FR"/>
      </w:rPr>
      <w:instrText xml:space="preserve"> PAGE </w:instrText>
    </w:r>
    <w:r w:rsidR="00CA2F53" w:rsidRPr="0024691F">
      <w:rPr>
        <w:rStyle w:val="PageNumber"/>
      </w:rPr>
      <w:fldChar w:fldCharType="separate"/>
    </w:r>
    <w:r w:rsidR="00357DFE">
      <w:rPr>
        <w:rStyle w:val="PageNumber"/>
        <w:noProof/>
        <w:lang w:val="fr-FR"/>
      </w:rPr>
      <w:t>20</w:t>
    </w:r>
    <w:r w:rsidR="00CA2F53" w:rsidRPr="0024691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Default="006D0CFD">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FD" w:rsidRDefault="006D0CFD">
      <w:r>
        <w:separator/>
      </w:r>
    </w:p>
  </w:footnote>
  <w:footnote w:type="continuationSeparator" w:id="0">
    <w:p w:rsidR="006D0CFD" w:rsidRDefault="006D0CFD">
      <w:r>
        <w:continuationSeparator/>
      </w:r>
    </w:p>
  </w:footnote>
  <w:footnote w:id="1">
    <w:p w:rsidR="0027260A" w:rsidRDefault="0027260A" w:rsidP="0027260A">
      <w:pPr>
        <w:pStyle w:val="FootnoteText"/>
        <w:jc w:val="both"/>
      </w:pPr>
      <w:r>
        <w:rPr>
          <w:rStyle w:val="FootnoteReference"/>
        </w:rPr>
        <w:footnoteRef/>
      </w:r>
      <w:r>
        <w:t xml:space="preserve"> Ms. Andrews discusses four studies: 1) Pro Forma Study; </w:t>
      </w:r>
      <w:r w:rsidR="00A5739A">
        <w:t>2) Rate Year Study, 3</w:t>
      </w:r>
      <w:r>
        <w:t xml:space="preserve">) EOP </w:t>
      </w:r>
      <w:r w:rsidR="004B6917">
        <w:t xml:space="preserve">Rate Base </w:t>
      </w:r>
      <w:r w:rsidR="00A5739A">
        <w:t>Study, and 4</w:t>
      </w:r>
      <w:r>
        <w:t>) K-</w:t>
      </w:r>
      <w:r w:rsidR="004B6917">
        <w:t>Factor</w:t>
      </w:r>
      <w:r w:rsidR="00A5739A">
        <w:t xml:space="preserve"> Study</w:t>
      </w:r>
      <w:r>
        <w:t xml:space="preserve">.  Restating and Pro Forma adjustments are consistent across the studies for which they are contained, with the exception of debt interest expense due to use of a different capital structure used within the electric and natural gas EOP </w:t>
      </w:r>
      <w:r w:rsidR="004B6917">
        <w:t xml:space="preserve">Rate Base </w:t>
      </w:r>
      <w:r>
        <w:t>Studies.</w:t>
      </w:r>
    </w:p>
  </w:footnote>
  <w:footnote w:id="2">
    <w:p w:rsidR="006D0CFD" w:rsidRPr="00732AB4" w:rsidRDefault="006D0CFD"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3">
    <w:p w:rsidR="006D0CFD" w:rsidRDefault="006D0CFD">
      <w:pPr>
        <w:pStyle w:val="FootnoteText"/>
      </w:pPr>
      <w:r>
        <w:rPr>
          <w:rStyle w:val="FootnoteReference"/>
        </w:rPr>
        <w:footnoteRef/>
      </w:r>
      <w:r>
        <w:t xml:space="preserve"> The Decoupling Mechanism went into </w:t>
      </w:r>
      <w:r w:rsidR="00212F80">
        <w:t>effect January 1, 2015</w:t>
      </w:r>
      <w:r>
        <w:t>.</w:t>
      </w:r>
    </w:p>
  </w:footnote>
  <w:footnote w:id="4">
    <w:p w:rsidR="0041533C" w:rsidRDefault="0041533C" w:rsidP="0041533C">
      <w:pPr>
        <w:pStyle w:val="FootnoteText"/>
      </w:pPr>
      <w:r>
        <w:rPr>
          <w:rStyle w:val="FootnoteReference"/>
        </w:rPr>
        <w:footnoteRef/>
      </w:r>
      <w:r>
        <w:t xml:space="preserve">  Included as Rate Year </w:t>
      </w:r>
      <w:r w:rsidRPr="008C4721">
        <w:t xml:space="preserve">Adjustments </w:t>
      </w:r>
      <w:r w:rsidR="008C4721" w:rsidRPr="008C4721">
        <w:t>18.04</w:t>
      </w:r>
      <w:r w:rsidRPr="008C4721">
        <w:t>,</w:t>
      </w:r>
      <w:r w:rsidR="008C4721" w:rsidRPr="008C4721">
        <w:t xml:space="preserve"> 19.04, and 20.04, of </w:t>
      </w:r>
      <w:proofErr w:type="spellStart"/>
      <w:r w:rsidR="008C4721" w:rsidRPr="008C4721">
        <w:t>Exh</w:t>
      </w:r>
      <w:proofErr w:type="spellEnd"/>
      <w:r w:rsidR="008C4721" w:rsidRPr="008C4721">
        <w:t>. EMA-9</w:t>
      </w:r>
      <w:r w:rsidRPr="008C4721">
        <w:t>.</w:t>
      </w:r>
    </w:p>
  </w:footnote>
  <w:footnote w:id="5">
    <w:p w:rsidR="0041533C" w:rsidRDefault="0041533C" w:rsidP="0041533C">
      <w:pPr>
        <w:pStyle w:val="FootnoteText"/>
        <w:jc w:val="both"/>
      </w:pPr>
      <w:r>
        <w:rPr>
          <w:rStyle w:val="FootnoteReference"/>
        </w:rPr>
        <w:footnoteRef/>
      </w:r>
      <w:r>
        <w:t xml:space="preserve"> The rate period revenue estimation includes a determination of estimated deferred revenue under the Decoupling Mechanism given the decoupling base is revised with test year revenues at present rates from the Pro Forma Revenue model.  </w:t>
      </w:r>
    </w:p>
  </w:footnote>
  <w:footnote w:id="6">
    <w:p w:rsidR="0057718A" w:rsidRDefault="0057718A">
      <w:pPr>
        <w:pStyle w:val="FootnoteText"/>
      </w:pPr>
      <w:r>
        <w:rPr>
          <w:rStyle w:val="FootnoteReference"/>
        </w:rPr>
        <w:footnoteRef/>
      </w:r>
      <w:r>
        <w:t xml:space="preserve"> See the testimony of Commission Staff witness Mr. Mickelson in Docket Nos. UG-140189 and UG120437.</w:t>
      </w:r>
    </w:p>
  </w:footnote>
  <w:footnote w:id="7">
    <w:p w:rsidR="00005970" w:rsidRDefault="00005970">
      <w:pPr>
        <w:pStyle w:val="FootnoteText"/>
      </w:pPr>
      <w:r>
        <w:rPr>
          <w:rStyle w:val="FootnoteReference"/>
        </w:rPr>
        <w:footnoteRef/>
      </w:r>
      <w:r>
        <w:t xml:space="preserve"> Peak demand is defined as the average of the five-day sustained peaks from each of the most recent three years.</w:t>
      </w:r>
    </w:p>
  </w:footnote>
  <w:footnote w:id="8">
    <w:p w:rsidR="006D0CFD" w:rsidRDefault="006D0CFD">
      <w:pPr>
        <w:pStyle w:val="FootnoteText"/>
      </w:pPr>
      <w:r>
        <w:rPr>
          <w:rStyle w:val="FootnoteReference"/>
        </w:rPr>
        <w:footnoteRef/>
      </w:r>
      <w:r>
        <w:t xml:space="preserve"> Dockets UG-090705, UG-101644, and UG-111049, see Direct Testimony of Janet K. Phelps</w:t>
      </w:r>
    </w:p>
  </w:footnote>
  <w:footnote w:id="9">
    <w:p w:rsidR="006D0CFD" w:rsidRDefault="006D0CFD">
      <w:pPr>
        <w:pStyle w:val="FootnoteText"/>
      </w:pPr>
      <w:r>
        <w:rPr>
          <w:rStyle w:val="FootnoteReference"/>
        </w:rPr>
        <w:footnoteRef/>
      </w:r>
      <w:r>
        <w:t xml:space="preserve"> Dockets UG-120437 and UG-140189, see Direct Testimony of Christopher T. Mickelson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Pr="0024691F" w:rsidRDefault="006D0CFD" w:rsidP="00785EA6">
    <w:pPr>
      <w:pStyle w:val="Header"/>
      <w:tabs>
        <w:tab w:val="clear" w:pos="8640"/>
        <w:tab w:val="right" w:pos="8880"/>
      </w:tabs>
      <w:jc w:val="right"/>
    </w:pPr>
    <w:proofErr w:type="spellStart"/>
    <w:r w:rsidRPr="0024691F">
      <w:t>Exh</w:t>
    </w:r>
    <w:proofErr w:type="spellEnd"/>
    <w:r w:rsidRPr="0024691F">
      <w:t>. JDM-1T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Pr="0024691F" w:rsidRDefault="006D0CFD" w:rsidP="00785EA6">
    <w:pPr>
      <w:pStyle w:val="Header"/>
      <w:tabs>
        <w:tab w:val="clear" w:pos="8640"/>
        <w:tab w:val="right" w:pos="8760"/>
      </w:tabs>
      <w:jc w:val="right"/>
    </w:pPr>
    <w:proofErr w:type="spellStart"/>
    <w:r w:rsidRPr="0024691F">
      <w:t>Exh</w:t>
    </w:r>
    <w:proofErr w:type="spellEnd"/>
    <w:r w:rsidRPr="0024691F">
      <w:t>. JDM-1T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15:restartNumberingAfterBreak="0">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0944E3"/>
    <w:multiLevelType w:val="hybridMultilevel"/>
    <w:tmpl w:val="16CC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D1"/>
    <w:rsid w:val="000020D7"/>
    <w:rsid w:val="000048F6"/>
    <w:rsid w:val="00004B79"/>
    <w:rsid w:val="00005260"/>
    <w:rsid w:val="00005970"/>
    <w:rsid w:val="00007AC6"/>
    <w:rsid w:val="000103AF"/>
    <w:rsid w:val="000127EB"/>
    <w:rsid w:val="00016C3C"/>
    <w:rsid w:val="00021F26"/>
    <w:rsid w:val="00025367"/>
    <w:rsid w:val="00025C20"/>
    <w:rsid w:val="00025EE1"/>
    <w:rsid w:val="00025FBB"/>
    <w:rsid w:val="00026C7E"/>
    <w:rsid w:val="00030378"/>
    <w:rsid w:val="00031057"/>
    <w:rsid w:val="000323D4"/>
    <w:rsid w:val="00033528"/>
    <w:rsid w:val="000363D3"/>
    <w:rsid w:val="00040248"/>
    <w:rsid w:val="00041899"/>
    <w:rsid w:val="00041CAC"/>
    <w:rsid w:val="00044479"/>
    <w:rsid w:val="00046FFF"/>
    <w:rsid w:val="00054D31"/>
    <w:rsid w:val="00054EB7"/>
    <w:rsid w:val="000552DD"/>
    <w:rsid w:val="000568E0"/>
    <w:rsid w:val="000602B7"/>
    <w:rsid w:val="00061F80"/>
    <w:rsid w:val="000623D1"/>
    <w:rsid w:val="00064D24"/>
    <w:rsid w:val="00065A7E"/>
    <w:rsid w:val="00065BC2"/>
    <w:rsid w:val="000664A2"/>
    <w:rsid w:val="00074EFB"/>
    <w:rsid w:val="000751D5"/>
    <w:rsid w:val="0007582A"/>
    <w:rsid w:val="0007672D"/>
    <w:rsid w:val="00076D95"/>
    <w:rsid w:val="00081C0C"/>
    <w:rsid w:val="000863CD"/>
    <w:rsid w:val="000873D1"/>
    <w:rsid w:val="00087B18"/>
    <w:rsid w:val="00090574"/>
    <w:rsid w:val="000911F7"/>
    <w:rsid w:val="00092180"/>
    <w:rsid w:val="0009223D"/>
    <w:rsid w:val="00094482"/>
    <w:rsid w:val="000944D5"/>
    <w:rsid w:val="000A28CF"/>
    <w:rsid w:val="000A2E1F"/>
    <w:rsid w:val="000A3F07"/>
    <w:rsid w:val="000B11EC"/>
    <w:rsid w:val="000B12B7"/>
    <w:rsid w:val="000B2628"/>
    <w:rsid w:val="000B4D33"/>
    <w:rsid w:val="000B6695"/>
    <w:rsid w:val="000B6DDE"/>
    <w:rsid w:val="000C0E1B"/>
    <w:rsid w:val="000C158D"/>
    <w:rsid w:val="000C1B06"/>
    <w:rsid w:val="000C1BCD"/>
    <w:rsid w:val="000C4076"/>
    <w:rsid w:val="000C5D22"/>
    <w:rsid w:val="000D5190"/>
    <w:rsid w:val="000D7064"/>
    <w:rsid w:val="000D764D"/>
    <w:rsid w:val="000E5ECE"/>
    <w:rsid w:val="000E6848"/>
    <w:rsid w:val="000F27F5"/>
    <w:rsid w:val="000F2A4D"/>
    <w:rsid w:val="000F35C0"/>
    <w:rsid w:val="000F3FE6"/>
    <w:rsid w:val="000F54DB"/>
    <w:rsid w:val="00101864"/>
    <w:rsid w:val="00101957"/>
    <w:rsid w:val="0010233E"/>
    <w:rsid w:val="00104D16"/>
    <w:rsid w:val="001106C4"/>
    <w:rsid w:val="00112408"/>
    <w:rsid w:val="001125F9"/>
    <w:rsid w:val="00113526"/>
    <w:rsid w:val="0011588B"/>
    <w:rsid w:val="00116492"/>
    <w:rsid w:val="00116813"/>
    <w:rsid w:val="0011797E"/>
    <w:rsid w:val="0012020A"/>
    <w:rsid w:val="0012147D"/>
    <w:rsid w:val="00125167"/>
    <w:rsid w:val="00126EAD"/>
    <w:rsid w:val="00126F50"/>
    <w:rsid w:val="0013029B"/>
    <w:rsid w:val="0013314C"/>
    <w:rsid w:val="00136718"/>
    <w:rsid w:val="0013763E"/>
    <w:rsid w:val="00140BF5"/>
    <w:rsid w:val="001421D6"/>
    <w:rsid w:val="0014724A"/>
    <w:rsid w:val="0014796B"/>
    <w:rsid w:val="001518B0"/>
    <w:rsid w:val="0015259A"/>
    <w:rsid w:val="001528FE"/>
    <w:rsid w:val="00154573"/>
    <w:rsid w:val="00155F26"/>
    <w:rsid w:val="00160FEC"/>
    <w:rsid w:val="001622A7"/>
    <w:rsid w:val="001626DA"/>
    <w:rsid w:val="00164039"/>
    <w:rsid w:val="00164505"/>
    <w:rsid w:val="00164821"/>
    <w:rsid w:val="00164E61"/>
    <w:rsid w:val="001654B1"/>
    <w:rsid w:val="00166A2E"/>
    <w:rsid w:val="00166B7F"/>
    <w:rsid w:val="00166E22"/>
    <w:rsid w:val="00171344"/>
    <w:rsid w:val="00172216"/>
    <w:rsid w:val="00175059"/>
    <w:rsid w:val="001758DC"/>
    <w:rsid w:val="001771CB"/>
    <w:rsid w:val="001873DD"/>
    <w:rsid w:val="0018762A"/>
    <w:rsid w:val="00187EE5"/>
    <w:rsid w:val="001907B0"/>
    <w:rsid w:val="0019561B"/>
    <w:rsid w:val="00195823"/>
    <w:rsid w:val="00196246"/>
    <w:rsid w:val="0019767D"/>
    <w:rsid w:val="00197BBF"/>
    <w:rsid w:val="00197E06"/>
    <w:rsid w:val="001A3318"/>
    <w:rsid w:val="001A3F47"/>
    <w:rsid w:val="001A6119"/>
    <w:rsid w:val="001B099F"/>
    <w:rsid w:val="001B2A0B"/>
    <w:rsid w:val="001B4A4E"/>
    <w:rsid w:val="001B4F3B"/>
    <w:rsid w:val="001B7B94"/>
    <w:rsid w:val="001C1DE0"/>
    <w:rsid w:val="001C2555"/>
    <w:rsid w:val="001C3FE3"/>
    <w:rsid w:val="001C5C1F"/>
    <w:rsid w:val="001C635F"/>
    <w:rsid w:val="001C6CE6"/>
    <w:rsid w:val="001D05FD"/>
    <w:rsid w:val="001D23EB"/>
    <w:rsid w:val="001D60F8"/>
    <w:rsid w:val="001D6787"/>
    <w:rsid w:val="001E6C58"/>
    <w:rsid w:val="001F14CA"/>
    <w:rsid w:val="001F2032"/>
    <w:rsid w:val="001F4F1C"/>
    <w:rsid w:val="001F51F9"/>
    <w:rsid w:val="001F573F"/>
    <w:rsid w:val="00202BEA"/>
    <w:rsid w:val="0020341A"/>
    <w:rsid w:val="002034F3"/>
    <w:rsid w:val="002041DC"/>
    <w:rsid w:val="0020604D"/>
    <w:rsid w:val="0020725E"/>
    <w:rsid w:val="00210EDE"/>
    <w:rsid w:val="00212F80"/>
    <w:rsid w:val="00216C63"/>
    <w:rsid w:val="00220383"/>
    <w:rsid w:val="002265C5"/>
    <w:rsid w:val="002302DF"/>
    <w:rsid w:val="00230390"/>
    <w:rsid w:val="00230C94"/>
    <w:rsid w:val="0023153C"/>
    <w:rsid w:val="00231706"/>
    <w:rsid w:val="00232DD6"/>
    <w:rsid w:val="002348E1"/>
    <w:rsid w:val="00236B6A"/>
    <w:rsid w:val="002409F3"/>
    <w:rsid w:val="002431C2"/>
    <w:rsid w:val="00243D59"/>
    <w:rsid w:val="0024465B"/>
    <w:rsid w:val="00246718"/>
    <w:rsid w:val="0024691F"/>
    <w:rsid w:val="002510E3"/>
    <w:rsid w:val="0025384F"/>
    <w:rsid w:val="00253D0F"/>
    <w:rsid w:val="00256585"/>
    <w:rsid w:val="00256A5E"/>
    <w:rsid w:val="002601BF"/>
    <w:rsid w:val="00260997"/>
    <w:rsid w:val="00263663"/>
    <w:rsid w:val="00265F8D"/>
    <w:rsid w:val="00267E9E"/>
    <w:rsid w:val="002722A4"/>
    <w:rsid w:val="0027260A"/>
    <w:rsid w:val="00273DAA"/>
    <w:rsid w:val="0027413E"/>
    <w:rsid w:val="0027716B"/>
    <w:rsid w:val="00281CA4"/>
    <w:rsid w:val="00287EFE"/>
    <w:rsid w:val="00290265"/>
    <w:rsid w:val="002911FC"/>
    <w:rsid w:val="00291EBD"/>
    <w:rsid w:val="00292997"/>
    <w:rsid w:val="0029458E"/>
    <w:rsid w:val="002961F1"/>
    <w:rsid w:val="002A1FDC"/>
    <w:rsid w:val="002A2237"/>
    <w:rsid w:val="002A48BB"/>
    <w:rsid w:val="002A689E"/>
    <w:rsid w:val="002A6E9E"/>
    <w:rsid w:val="002B0EE9"/>
    <w:rsid w:val="002B10F5"/>
    <w:rsid w:val="002B129F"/>
    <w:rsid w:val="002B3F93"/>
    <w:rsid w:val="002B41DA"/>
    <w:rsid w:val="002B651F"/>
    <w:rsid w:val="002C2EBA"/>
    <w:rsid w:val="002C3A54"/>
    <w:rsid w:val="002C77BA"/>
    <w:rsid w:val="002D05D3"/>
    <w:rsid w:val="002D06B0"/>
    <w:rsid w:val="002D15D1"/>
    <w:rsid w:val="002D26DC"/>
    <w:rsid w:val="002D2DEB"/>
    <w:rsid w:val="002D310E"/>
    <w:rsid w:val="002E5714"/>
    <w:rsid w:val="002E6595"/>
    <w:rsid w:val="002E6A52"/>
    <w:rsid w:val="002E719E"/>
    <w:rsid w:val="002E76C8"/>
    <w:rsid w:val="002F12AB"/>
    <w:rsid w:val="002F18AE"/>
    <w:rsid w:val="002F31B8"/>
    <w:rsid w:val="002F3571"/>
    <w:rsid w:val="002F5594"/>
    <w:rsid w:val="002F783E"/>
    <w:rsid w:val="002F7FD2"/>
    <w:rsid w:val="00300407"/>
    <w:rsid w:val="0030103C"/>
    <w:rsid w:val="003016CC"/>
    <w:rsid w:val="00301C95"/>
    <w:rsid w:val="00302DBC"/>
    <w:rsid w:val="00303F20"/>
    <w:rsid w:val="00310E9B"/>
    <w:rsid w:val="003118E1"/>
    <w:rsid w:val="00313A56"/>
    <w:rsid w:val="0031529C"/>
    <w:rsid w:val="00323038"/>
    <w:rsid w:val="00323981"/>
    <w:rsid w:val="00323C07"/>
    <w:rsid w:val="00324FCE"/>
    <w:rsid w:val="003256AE"/>
    <w:rsid w:val="00330168"/>
    <w:rsid w:val="00334582"/>
    <w:rsid w:val="003356D4"/>
    <w:rsid w:val="00335E47"/>
    <w:rsid w:val="00337EDB"/>
    <w:rsid w:val="00341474"/>
    <w:rsid w:val="00344D77"/>
    <w:rsid w:val="00344EEC"/>
    <w:rsid w:val="00345A9F"/>
    <w:rsid w:val="00346833"/>
    <w:rsid w:val="0034739E"/>
    <w:rsid w:val="00352CF0"/>
    <w:rsid w:val="0035327B"/>
    <w:rsid w:val="00353ECC"/>
    <w:rsid w:val="00354099"/>
    <w:rsid w:val="003540B6"/>
    <w:rsid w:val="00354687"/>
    <w:rsid w:val="00356F57"/>
    <w:rsid w:val="00357900"/>
    <w:rsid w:val="00357DFE"/>
    <w:rsid w:val="00364DD0"/>
    <w:rsid w:val="00371C12"/>
    <w:rsid w:val="00371D17"/>
    <w:rsid w:val="00382ADD"/>
    <w:rsid w:val="0038461F"/>
    <w:rsid w:val="00386544"/>
    <w:rsid w:val="00387CD5"/>
    <w:rsid w:val="00391B20"/>
    <w:rsid w:val="0039490D"/>
    <w:rsid w:val="0039604B"/>
    <w:rsid w:val="00396DF9"/>
    <w:rsid w:val="003974D4"/>
    <w:rsid w:val="003A0291"/>
    <w:rsid w:val="003A1661"/>
    <w:rsid w:val="003A5066"/>
    <w:rsid w:val="003A52AC"/>
    <w:rsid w:val="003A745F"/>
    <w:rsid w:val="003A7584"/>
    <w:rsid w:val="003B2611"/>
    <w:rsid w:val="003B555A"/>
    <w:rsid w:val="003B7BFA"/>
    <w:rsid w:val="003C1B25"/>
    <w:rsid w:val="003C29E6"/>
    <w:rsid w:val="003C2E2B"/>
    <w:rsid w:val="003C4A8D"/>
    <w:rsid w:val="003C545E"/>
    <w:rsid w:val="003C5C51"/>
    <w:rsid w:val="003D2CE6"/>
    <w:rsid w:val="003D5F0F"/>
    <w:rsid w:val="003D6357"/>
    <w:rsid w:val="003D7EC3"/>
    <w:rsid w:val="003E030E"/>
    <w:rsid w:val="003E3DE3"/>
    <w:rsid w:val="003E4765"/>
    <w:rsid w:val="003F1F28"/>
    <w:rsid w:val="003F764A"/>
    <w:rsid w:val="004001A8"/>
    <w:rsid w:val="004001C1"/>
    <w:rsid w:val="004002BF"/>
    <w:rsid w:val="004010EB"/>
    <w:rsid w:val="004012EC"/>
    <w:rsid w:val="004016FD"/>
    <w:rsid w:val="00402951"/>
    <w:rsid w:val="00403FA7"/>
    <w:rsid w:val="00414626"/>
    <w:rsid w:val="00414E7C"/>
    <w:rsid w:val="0041533C"/>
    <w:rsid w:val="00416074"/>
    <w:rsid w:val="00420B04"/>
    <w:rsid w:val="00424118"/>
    <w:rsid w:val="0042537A"/>
    <w:rsid w:val="00426D96"/>
    <w:rsid w:val="00431041"/>
    <w:rsid w:val="004317EB"/>
    <w:rsid w:val="00431EF0"/>
    <w:rsid w:val="0043625E"/>
    <w:rsid w:val="00443BBA"/>
    <w:rsid w:val="004468EC"/>
    <w:rsid w:val="00446C20"/>
    <w:rsid w:val="0045077A"/>
    <w:rsid w:val="00450839"/>
    <w:rsid w:val="00450ECF"/>
    <w:rsid w:val="00451CF7"/>
    <w:rsid w:val="00454BF3"/>
    <w:rsid w:val="0045522A"/>
    <w:rsid w:val="00462E38"/>
    <w:rsid w:val="00465C83"/>
    <w:rsid w:val="0046612B"/>
    <w:rsid w:val="004665CA"/>
    <w:rsid w:val="00466AD0"/>
    <w:rsid w:val="0047156C"/>
    <w:rsid w:val="00471F3B"/>
    <w:rsid w:val="004761E7"/>
    <w:rsid w:val="00476F84"/>
    <w:rsid w:val="00477A65"/>
    <w:rsid w:val="0048379B"/>
    <w:rsid w:val="004856E8"/>
    <w:rsid w:val="004858EF"/>
    <w:rsid w:val="0048642A"/>
    <w:rsid w:val="004919FF"/>
    <w:rsid w:val="004922EC"/>
    <w:rsid w:val="00493337"/>
    <w:rsid w:val="00494DDE"/>
    <w:rsid w:val="004A4C81"/>
    <w:rsid w:val="004B0924"/>
    <w:rsid w:val="004B468B"/>
    <w:rsid w:val="004B4A93"/>
    <w:rsid w:val="004B50FC"/>
    <w:rsid w:val="004B6917"/>
    <w:rsid w:val="004B6A4F"/>
    <w:rsid w:val="004B6EE1"/>
    <w:rsid w:val="004B78E1"/>
    <w:rsid w:val="004C5B40"/>
    <w:rsid w:val="004C7542"/>
    <w:rsid w:val="004D0515"/>
    <w:rsid w:val="004D4068"/>
    <w:rsid w:val="004D4C81"/>
    <w:rsid w:val="004E2235"/>
    <w:rsid w:val="004E2E66"/>
    <w:rsid w:val="004E3150"/>
    <w:rsid w:val="004F291C"/>
    <w:rsid w:val="00500B60"/>
    <w:rsid w:val="00503047"/>
    <w:rsid w:val="0050321C"/>
    <w:rsid w:val="00505BDD"/>
    <w:rsid w:val="0050645E"/>
    <w:rsid w:val="00512BE7"/>
    <w:rsid w:val="005141C3"/>
    <w:rsid w:val="005144CC"/>
    <w:rsid w:val="00515CAC"/>
    <w:rsid w:val="00517648"/>
    <w:rsid w:val="00524A02"/>
    <w:rsid w:val="00525078"/>
    <w:rsid w:val="00526DC1"/>
    <w:rsid w:val="00540E44"/>
    <w:rsid w:val="00541A1B"/>
    <w:rsid w:val="0054201D"/>
    <w:rsid w:val="00545903"/>
    <w:rsid w:val="005509AE"/>
    <w:rsid w:val="00551FB7"/>
    <w:rsid w:val="005533B4"/>
    <w:rsid w:val="00554F12"/>
    <w:rsid w:val="005554E8"/>
    <w:rsid w:val="005561FA"/>
    <w:rsid w:val="00556F36"/>
    <w:rsid w:val="0056302E"/>
    <w:rsid w:val="005652DF"/>
    <w:rsid w:val="00576D0D"/>
    <w:rsid w:val="0057718A"/>
    <w:rsid w:val="0058253D"/>
    <w:rsid w:val="005876C0"/>
    <w:rsid w:val="00590DA3"/>
    <w:rsid w:val="005951D4"/>
    <w:rsid w:val="005A1C0E"/>
    <w:rsid w:val="005A43BB"/>
    <w:rsid w:val="005A61F0"/>
    <w:rsid w:val="005A6E1F"/>
    <w:rsid w:val="005B16F6"/>
    <w:rsid w:val="005B40AF"/>
    <w:rsid w:val="005C02CE"/>
    <w:rsid w:val="005C05E1"/>
    <w:rsid w:val="005C214C"/>
    <w:rsid w:val="005C2E22"/>
    <w:rsid w:val="005C511B"/>
    <w:rsid w:val="005C790C"/>
    <w:rsid w:val="005C7D69"/>
    <w:rsid w:val="005D082B"/>
    <w:rsid w:val="005D11F0"/>
    <w:rsid w:val="005D2670"/>
    <w:rsid w:val="005D2B47"/>
    <w:rsid w:val="005D3391"/>
    <w:rsid w:val="005D346C"/>
    <w:rsid w:val="005E0782"/>
    <w:rsid w:val="005E132D"/>
    <w:rsid w:val="005E366D"/>
    <w:rsid w:val="005E4635"/>
    <w:rsid w:val="005E546C"/>
    <w:rsid w:val="005E5E58"/>
    <w:rsid w:val="005E6D92"/>
    <w:rsid w:val="005E7C1B"/>
    <w:rsid w:val="005F0CE2"/>
    <w:rsid w:val="005F180C"/>
    <w:rsid w:val="005F721B"/>
    <w:rsid w:val="005F7777"/>
    <w:rsid w:val="00600057"/>
    <w:rsid w:val="00600F73"/>
    <w:rsid w:val="00601DD6"/>
    <w:rsid w:val="006055D9"/>
    <w:rsid w:val="006064EE"/>
    <w:rsid w:val="006065C0"/>
    <w:rsid w:val="00610A78"/>
    <w:rsid w:val="00614B6E"/>
    <w:rsid w:val="006157D1"/>
    <w:rsid w:val="00615DCD"/>
    <w:rsid w:val="006167E1"/>
    <w:rsid w:val="00617CFC"/>
    <w:rsid w:val="0062128E"/>
    <w:rsid w:val="0062424F"/>
    <w:rsid w:val="00625028"/>
    <w:rsid w:val="006271DC"/>
    <w:rsid w:val="00630D56"/>
    <w:rsid w:val="00630E9E"/>
    <w:rsid w:val="00633A0E"/>
    <w:rsid w:val="00633DD2"/>
    <w:rsid w:val="00637AE5"/>
    <w:rsid w:val="00641EB6"/>
    <w:rsid w:val="00647D5F"/>
    <w:rsid w:val="006511B4"/>
    <w:rsid w:val="00651F07"/>
    <w:rsid w:val="006532C8"/>
    <w:rsid w:val="006550E5"/>
    <w:rsid w:val="00655DFE"/>
    <w:rsid w:val="00663C9C"/>
    <w:rsid w:val="00665B5F"/>
    <w:rsid w:val="00665D93"/>
    <w:rsid w:val="006711D6"/>
    <w:rsid w:val="00672340"/>
    <w:rsid w:val="00672D76"/>
    <w:rsid w:val="006743D2"/>
    <w:rsid w:val="00675B7C"/>
    <w:rsid w:val="006804B0"/>
    <w:rsid w:val="006807BA"/>
    <w:rsid w:val="00682DF1"/>
    <w:rsid w:val="00683A09"/>
    <w:rsid w:val="00685756"/>
    <w:rsid w:val="00685F40"/>
    <w:rsid w:val="006910F2"/>
    <w:rsid w:val="0069231A"/>
    <w:rsid w:val="006941D8"/>
    <w:rsid w:val="00695E77"/>
    <w:rsid w:val="00697002"/>
    <w:rsid w:val="0069743C"/>
    <w:rsid w:val="006A32AC"/>
    <w:rsid w:val="006A43E2"/>
    <w:rsid w:val="006A6342"/>
    <w:rsid w:val="006C1900"/>
    <w:rsid w:val="006C1FC2"/>
    <w:rsid w:val="006C3764"/>
    <w:rsid w:val="006C43C5"/>
    <w:rsid w:val="006C4990"/>
    <w:rsid w:val="006C4B23"/>
    <w:rsid w:val="006C6F68"/>
    <w:rsid w:val="006D0CFD"/>
    <w:rsid w:val="006D34D9"/>
    <w:rsid w:val="006D7688"/>
    <w:rsid w:val="006E51A6"/>
    <w:rsid w:val="006E5B7E"/>
    <w:rsid w:val="006F3E45"/>
    <w:rsid w:val="006F5F69"/>
    <w:rsid w:val="006F6EEA"/>
    <w:rsid w:val="006F6F78"/>
    <w:rsid w:val="006F798A"/>
    <w:rsid w:val="007073A8"/>
    <w:rsid w:val="0070763C"/>
    <w:rsid w:val="007115F4"/>
    <w:rsid w:val="0071415F"/>
    <w:rsid w:val="00715F07"/>
    <w:rsid w:val="0071632E"/>
    <w:rsid w:val="00716BA7"/>
    <w:rsid w:val="00716D78"/>
    <w:rsid w:val="00721059"/>
    <w:rsid w:val="00721781"/>
    <w:rsid w:val="007221E0"/>
    <w:rsid w:val="00723442"/>
    <w:rsid w:val="00723576"/>
    <w:rsid w:val="00725E2F"/>
    <w:rsid w:val="007274B7"/>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5412C"/>
    <w:rsid w:val="00754ED9"/>
    <w:rsid w:val="0075586E"/>
    <w:rsid w:val="0076106C"/>
    <w:rsid w:val="00761476"/>
    <w:rsid w:val="007627D0"/>
    <w:rsid w:val="00775C8F"/>
    <w:rsid w:val="007761F1"/>
    <w:rsid w:val="00781A1D"/>
    <w:rsid w:val="00781A7D"/>
    <w:rsid w:val="007826F1"/>
    <w:rsid w:val="00785EA6"/>
    <w:rsid w:val="00786267"/>
    <w:rsid w:val="007904A5"/>
    <w:rsid w:val="00790625"/>
    <w:rsid w:val="00790E2C"/>
    <w:rsid w:val="00791039"/>
    <w:rsid w:val="00793273"/>
    <w:rsid w:val="007941A2"/>
    <w:rsid w:val="007975A9"/>
    <w:rsid w:val="007A1791"/>
    <w:rsid w:val="007A5120"/>
    <w:rsid w:val="007A75B3"/>
    <w:rsid w:val="007B02B3"/>
    <w:rsid w:val="007B1338"/>
    <w:rsid w:val="007B3F56"/>
    <w:rsid w:val="007B4178"/>
    <w:rsid w:val="007B7543"/>
    <w:rsid w:val="007C05B4"/>
    <w:rsid w:val="007C1590"/>
    <w:rsid w:val="007C2AE0"/>
    <w:rsid w:val="007C3C6F"/>
    <w:rsid w:val="007C5664"/>
    <w:rsid w:val="007C7F5B"/>
    <w:rsid w:val="007D3A3D"/>
    <w:rsid w:val="007D460B"/>
    <w:rsid w:val="007D6918"/>
    <w:rsid w:val="007D77B4"/>
    <w:rsid w:val="007D78D6"/>
    <w:rsid w:val="007E28E2"/>
    <w:rsid w:val="007E2EBB"/>
    <w:rsid w:val="007E36ED"/>
    <w:rsid w:val="007E4531"/>
    <w:rsid w:val="007E62B7"/>
    <w:rsid w:val="007E6DEC"/>
    <w:rsid w:val="007F2C66"/>
    <w:rsid w:val="007F57E8"/>
    <w:rsid w:val="007F584E"/>
    <w:rsid w:val="007F5F67"/>
    <w:rsid w:val="00800FD5"/>
    <w:rsid w:val="00804CE6"/>
    <w:rsid w:val="00805E96"/>
    <w:rsid w:val="00811147"/>
    <w:rsid w:val="00814E3D"/>
    <w:rsid w:val="00815443"/>
    <w:rsid w:val="00815C3A"/>
    <w:rsid w:val="00817553"/>
    <w:rsid w:val="00820CFC"/>
    <w:rsid w:val="00821238"/>
    <w:rsid w:val="008234CF"/>
    <w:rsid w:val="008247A8"/>
    <w:rsid w:val="00824852"/>
    <w:rsid w:val="00825FB0"/>
    <w:rsid w:val="0083037A"/>
    <w:rsid w:val="00830801"/>
    <w:rsid w:val="008343EA"/>
    <w:rsid w:val="008351A3"/>
    <w:rsid w:val="00840152"/>
    <w:rsid w:val="00841673"/>
    <w:rsid w:val="0084366B"/>
    <w:rsid w:val="008436B0"/>
    <w:rsid w:val="00844CC0"/>
    <w:rsid w:val="00844FE6"/>
    <w:rsid w:val="00845CD2"/>
    <w:rsid w:val="00847226"/>
    <w:rsid w:val="008473AD"/>
    <w:rsid w:val="00847CEF"/>
    <w:rsid w:val="00850B90"/>
    <w:rsid w:val="008512FC"/>
    <w:rsid w:val="00852928"/>
    <w:rsid w:val="00855C39"/>
    <w:rsid w:val="0085621F"/>
    <w:rsid w:val="00861FF2"/>
    <w:rsid w:val="008623D5"/>
    <w:rsid w:val="008642E3"/>
    <w:rsid w:val="00865935"/>
    <w:rsid w:val="00870841"/>
    <w:rsid w:val="00872AFC"/>
    <w:rsid w:val="00874743"/>
    <w:rsid w:val="00875614"/>
    <w:rsid w:val="0088097A"/>
    <w:rsid w:val="00880B4A"/>
    <w:rsid w:val="00882F4B"/>
    <w:rsid w:val="008839A3"/>
    <w:rsid w:val="00884955"/>
    <w:rsid w:val="00890ED4"/>
    <w:rsid w:val="008917BA"/>
    <w:rsid w:val="00892BEC"/>
    <w:rsid w:val="00893DAE"/>
    <w:rsid w:val="008971B4"/>
    <w:rsid w:val="008A0335"/>
    <w:rsid w:val="008A1163"/>
    <w:rsid w:val="008A2C58"/>
    <w:rsid w:val="008A36DF"/>
    <w:rsid w:val="008A3AC3"/>
    <w:rsid w:val="008A640A"/>
    <w:rsid w:val="008B25C0"/>
    <w:rsid w:val="008B3E6D"/>
    <w:rsid w:val="008B72B5"/>
    <w:rsid w:val="008C4721"/>
    <w:rsid w:val="008C65E2"/>
    <w:rsid w:val="008C744A"/>
    <w:rsid w:val="008D14CA"/>
    <w:rsid w:val="008D1775"/>
    <w:rsid w:val="008D3AED"/>
    <w:rsid w:val="008D58E8"/>
    <w:rsid w:val="008D5DDD"/>
    <w:rsid w:val="008D62C0"/>
    <w:rsid w:val="008D7217"/>
    <w:rsid w:val="008E7190"/>
    <w:rsid w:val="008E7FBF"/>
    <w:rsid w:val="008F13EC"/>
    <w:rsid w:val="008F17E1"/>
    <w:rsid w:val="008F374B"/>
    <w:rsid w:val="008F5C1E"/>
    <w:rsid w:val="008F5D3F"/>
    <w:rsid w:val="00901430"/>
    <w:rsid w:val="00903355"/>
    <w:rsid w:val="009040C1"/>
    <w:rsid w:val="00905FAE"/>
    <w:rsid w:val="00906168"/>
    <w:rsid w:val="009071A4"/>
    <w:rsid w:val="0090737C"/>
    <w:rsid w:val="00913166"/>
    <w:rsid w:val="00913B63"/>
    <w:rsid w:val="00913E17"/>
    <w:rsid w:val="00915D98"/>
    <w:rsid w:val="00916A23"/>
    <w:rsid w:val="00916BFB"/>
    <w:rsid w:val="0092018E"/>
    <w:rsid w:val="00921080"/>
    <w:rsid w:val="00923B86"/>
    <w:rsid w:val="00925448"/>
    <w:rsid w:val="009277E0"/>
    <w:rsid w:val="009315D3"/>
    <w:rsid w:val="009321DB"/>
    <w:rsid w:val="009361E6"/>
    <w:rsid w:val="009431FB"/>
    <w:rsid w:val="00946713"/>
    <w:rsid w:val="00947DF9"/>
    <w:rsid w:val="009545F3"/>
    <w:rsid w:val="00960F66"/>
    <w:rsid w:val="0096128C"/>
    <w:rsid w:val="0096174A"/>
    <w:rsid w:val="00961869"/>
    <w:rsid w:val="00964FF3"/>
    <w:rsid w:val="00965F70"/>
    <w:rsid w:val="00967794"/>
    <w:rsid w:val="009677C3"/>
    <w:rsid w:val="0097005A"/>
    <w:rsid w:val="009707CB"/>
    <w:rsid w:val="009722A9"/>
    <w:rsid w:val="0097488A"/>
    <w:rsid w:val="00974C0B"/>
    <w:rsid w:val="00975CA8"/>
    <w:rsid w:val="00977492"/>
    <w:rsid w:val="00977860"/>
    <w:rsid w:val="00977FA5"/>
    <w:rsid w:val="0098111F"/>
    <w:rsid w:val="00987DFE"/>
    <w:rsid w:val="00987F8B"/>
    <w:rsid w:val="009A2B61"/>
    <w:rsid w:val="009A3B54"/>
    <w:rsid w:val="009A4E51"/>
    <w:rsid w:val="009B42E7"/>
    <w:rsid w:val="009B4B20"/>
    <w:rsid w:val="009B4C8F"/>
    <w:rsid w:val="009C1370"/>
    <w:rsid w:val="009C1722"/>
    <w:rsid w:val="009C2C78"/>
    <w:rsid w:val="009C3B2B"/>
    <w:rsid w:val="009C40E1"/>
    <w:rsid w:val="009C7AB0"/>
    <w:rsid w:val="009D30EF"/>
    <w:rsid w:val="009D3182"/>
    <w:rsid w:val="009D51C8"/>
    <w:rsid w:val="009D5685"/>
    <w:rsid w:val="009E559A"/>
    <w:rsid w:val="009E6DBD"/>
    <w:rsid w:val="009F0B5B"/>
    <w:rsid w:val="009F438F"/>
    <w:rsid w:val="009F7682"/>
    <w:rsid w:val="00A014FC"/>
    <w:rsid w:val="00A01E27"/>
    <w:rsid w:val="00A03347"/>
    <w:rsid w:val="00A035FF"/>
    <w:rsid w:val="00A04452"/>
    <w:rsid w:val="00A075C7"/>
    <w:rsid w:val="00A16D37"/>
    <w:rsid w:val="00A1797B"/>
    <w:rsid w:val="00A217BE"/>
    <w:rsid w:val="00A2299C"/>
    <w:rsid w:val="00A24AD7"/>
    <w:rsid w:val="00A26366"/>
    <w:rsid w:val="00A26674"/>
    <w:rsid w:val="00A301B7"/>
    <w:rsid w:val="00A3051B"/>
    <w:rsid w:val="00A314D8"/>
    <w:rsid w:val="00A31675"/>
    <w:rsid w:val="00A31C2B"/>
    <w:rsid w:val="00A353B0"/>
    <w:rsid w:val="00A404EA"/>
    <w:rsid w:val="00A418A5"/>
    <w:rsid w:val="00A42F72"/>
    <w:rsid w:val="00A43B86"/>
    <w:rsid w:val="00A455AC"/>
    <w:rsid w:val="00A4672E"/>
    <w:rsid w:val="00A50051"/>
    <w:rsid w:val="00A54C5B"/>
    <w:rsid w:val="00A559F4"/>
    <w:rsid w:val="00A56572"/>
    <w:rsid w:val="00A5739A"/>
    <w:rsid w:val="00A63C17"/>
    <w:rsid w:val="00A64E5D"/>
    <w:rsid w:val="00A7194D"/>
    <w:rsid w:val="00A72CCD"/>
    <w:rsid w:val="00A73FCA"/>
    <w:rsid w:val="00A75296"/>
    <w:rsid w:val="00A7562E"/>
    <w:rsid w:val="00A8184C"/>
    <w:rsid w:val="00A869AA"/>
    <w:rsid w:val="00A87215"/>
    <w:rsid w:val="00A87DFC"/>
    <w:rsid w:val="00A929D2"/>
    <w:rsid w:val="00A939F7"/>
    <w:rsid w:val="00A9523B"/>
    <w:rsid w:val="00A963D1"/>
    <w:rsid w:val="00A9705F"/>
    <w:rsid w:val="00AA0285"/>
    <w:rsid w:val="00AA10C9"/>
    <w:rsid w:val="00AA1A97"/>
    <w:rsid w:val="00AA4D2A"/>
    <w:rsid w:val="00AA54EE"/>
    <w:rsid w:val="00AB4906"/>
    <w:rsid w:val="00AC022D"/>
    <w:rsid w:val="00AC2658"/>
    <w:rsid w:val="00AC270F"/>
    <w:rsid w:val="00AC2F1E"/>
    <w:rsid w:val="00AC3EA7"/>
    <w:rsid w:val="00AC4967"/>
    <w:rsid w:val="00AC6845"/>
    <w:rsid w:val="00AC698C"/>
    <w:rsid w:val="00AC7979"/>
    <w:rsid w:val="00AD0F97"/>
    <w:rsid w:val="00AD1EC1"/>
    <w:rsid w:val="00AD5A7C"/>
    <w:rsid w:val="00AD65CE"/>
    <w:rsid w:val="00AD674D"/>
    <w:rsid w:val="00AD6AFE"/>
    <w:rsid w:val="00AE0314"/>
    <w:rsid w:val="00AE405D"/>
    <w:rsid w:val="00AE5AD6"/>
    <w:rsid w:val="00AE5E39"/>
    <w:rsid w:val="00AE6B81"/>
    <w:rsid w:val="00AE7DF3"/>
    <w:rsid w:val="00AF164D"/>
    <w:rsid w:val="00AF6AA1"/>
    <w:rsid w:val="00B13B18"/>
    <w:rsid w:val="00B13EEB"/>
    <w:rsid w:val="00B14A1B"/>
    <w:rsid w:val="00B154FF"/>
    <w:rsid w:val="00B15FB0"/>
    <w:rsid w:val="00B16067"/>
    <w:rsid w:val="00B23D7F"/>
    <w:rsid w:val="00B23FD8"/>
    <w:rsid w:val="00B24627"/>
    <w:rsid w:val="00B2700D"/>
    <w:rsid w:val="00B30783"/>
    <w:rsid w:val="00B35023"/>
    <w:rsid w:val="00B403C4"/>
    <w:rsid w:val="00B40C2E"/>
    <w:rsid w:val="00B418EB"/>
    <w:rsid w:val="00B4425E"/>
    <w:rsid w:val="00B44B6B"/>
    <w:rsid w:val="00B47C0D"/>
    <w:rsid w:val="00B533F4"/>
    <w:rsid w:val="00B5613C"/>
    <w:rsid w:val="00B706EF"/>
    <w:rsid w:val="00B7268A"/>
    <w:rsid w:val="00B72FC9"/>
    <w:rsid w:val="00B77A4A"/>
    <w:rsid w:val="00B83B95"/>
    <w:rsid w:val="00B86BC9"/>
    <w:rsid w:val="00B86DC1"/>
    <w:rsid w:val="00B92CED"/>
    <w:rsid w:val="00B93E49"/>
    <w:rsid w:val="00B973B2"/>
    <w:rsid w:val="00BA18B1"/>
    <w:rsid w:val="00BA215B"/>
    <w:rsid w:val="00BA4ABD"/>
    <w:rsid w:val="00BA6BE1"/>
    <w:rsid w:val="00BB1D94"/>
    <w:rsid w:val="00BB23B3"/>
    <w:rsid w:val="00BB435C"/>
    <w:rsid w:val="00BB5155"/>
    <w:rsid w:val="00BB651D"/>
    <w:rsid w:val="00BB6D78"/>
    <w:rsid w:val="00BB6FA2"/>
    <w:rsid w:val="00BC157D"/>
    <w:rsid w:val="00BC3DDB"/>
    <w:rsid w:val="00BC6F27"/>
    <w:rsid w:val="00BC7F70"/>
    <w:rsid w:val="00BE62B7"/>
    <w:rsid w:val="00BE66DA"/>
    <w:rsid w:val="00BE7727"/>
    <w:rsid w:val="00BE7AF5"/>
    <w:rsid w:val="00BF07C7"/>
    <w:rsid w:val="00BF32AA"/>
    <w:rsid w:val="00BF499D"/>
    <w:rsid w:val="00BF6B62"/>
    <w:rsid w:val="00BF74D4"/>
    <w:rsid w:val="00C007EE"/>
    <w:rsid w:val="00C03653"/>
    <w:rsid w:val="00C07B62"/>
    <w:rsid w:val="00C15C4B"/>
    <w:rsid w:val="00C16B2E"/>
    <w:rsid w:val="00C17EA2"/>
    <w:rsid w:val="00C20E12"/>
    <w:rsid w:val="00C22518"/>
    <w:rsid w:val="00C23EE9"/>
    <w:rsid w:val="00C25209"/>
    <w:rsid w:val="00C2586F"/>
    <w:rsid w:val="00C25A5A"/>
    <w:rsid w:val="00C31184"/>
    <w:rsid w:val="00C32372"/>
    <w:rsid w:val="00C33A08"/>
    <w:rsid w:val="00C35272"/>
    <w:rsid w:val="00C403C9"/>
    <w:rsid w:val="00C43489"/>
    <w:rsid w:val="00C450C9"/>
    <w:rsid w:val="00C452A9"/>
    <w:rsid w:val="00C53160"/>
    <w:rsid w:val="00C53F86"/>
    <w:rsid w:val="00C54DAC"/>
    <w:rsid w:val="00C60D25"/>
    <w:rsid w:val="00C62A7C"/>
    <w:rsid w:val="00C64128"/>
    <w:rsid w:val="00C6470E"/>
    <w:rsid w:val="00C64FD2"/>
    <w:rsid w:val="00C664FA"/>
    <w:rsid w:val="00C666C0"/>
    <w:rsid w:val="00C66FD9"/>
    <w:rsid w:val="00C70C02"/>
    <w:rsid w:val="00C722EF"/>
    <w:rsid w:val="00C80380"/>
    <w:rsid w:val="00C836A6"/>
    <w:rsid w:val="00C83C13"/>
    <w:rsid w:val="00C8622D"/>
    <w:rsid w:val="00C86515"/>
    <w:rsid w:val="00C91149"/>
    <w:rsid w:val="00C93020"/>
    <w:rsid w:val="00C944B6"/>
    <w:rsid w:val="00C94544"/>
    <w:rsid w:val="00C94900"/>
    <w:rsid w:val="00CA2F53"/>
    <w:rsid w:val="00CA38C7"/>
    <w:rsid w:val="00CA5F49"/>
    <w:rsid w:val="00CA6D21"/>
    <w:rsid w:val="00CB130C"/>
    <w:rsid w:val="00CC0801"/>
    <w:rsid w:val="00CC17F6"/>
    <w:rsid w:val="00CC2E0A"/>
    <w:rsid w:val="00CC54D0"/>
    <w:rsid w:val="00CC5F19"/>
    <w:rsid w:val="00CC6847"/>
    <w:rsid w:val="00CC6891"/>
    <w:rsid w:val="00CD5934"/>
    <w:rsid w:val="00CD644D"/>
    <w:rsid w:val="00CF4DCE"/>
    <w:rsid w:val="00CF548C"/>
    <w:rsid w:val="00CF5CA4"/>
    <w:rsid w:val="00CF5ECA"/>
    <w:rsid w:val="00CF69F1"/>
    <w:rsid w:val="00CF6E7A"/>
    <w:rsid w:val="00D01338"/>
    <w:rsid w:val="00D01CD5"/>
    <w:rsid w:val="00D02E63"/>
    <w:rsid w:val="00D050B1"/>
    <w:rsid w:val="00D06102"/>
    <w:rsid w:val="00D06E2C"/>
    <w:rsid w:val="00D0767D"/>
    <w:rsid w:val="00D1169F"/>
    <w:rsid w:val="00D17BD4"/>
    <w:rsid w:val="00D22322"/>
    <w:rsid w:val="00D24662"/>
    <w:rsid w:val="00D260A4"/>
    <w:rsid w:val="00D30104"/>
    <w:rsid w:val="00D30430"/>
    <w:rsid w:val="00D33147"/>
    <w:rsid w:val="00D3315C"/>
    <w:rsid w:val="00D35B1D"/>
    <w:rsid w:val="00D40065"/>
    <w:rsid w:val="00D40434"/>
    <w:rsid w:val="00D41C2B"/>
    <w:rsid w:val="00D4206C"/>
    <w:rsid w:val="00D44C7E"/>
    <w:rsid w:val="00D476D3"/>
    <w:rsid w:val="00D50AA4"/>
    <w:rsid w:val="00D539EE"/>
    <w:rsid w:val="00D55361"/>
    <w:rsid w:val="00D55BC6"/>
    <w:rsid w:val="00D574CD"/>
    <w:rsid w:val="00D61285"/>
    <w:rsid w:val="00D6591B"/>
    <w:rsid w:val="00D70DB5"/>
    <w:rsid w:val="00D7120E"/>
    <w:rsid w:val="00D71325"/>
    <w:rsid w:val="00D71BE3"/>
    <w:rsid w:val="00D73743"/>
    <w:rsid w:val="00D74360"/>
    <w:rsid w:val="00D81029"/>
    <w:rsid w:val="00D83680"/>
    <w:rsid w:val="00D85527"/>
    <w:rsid w:val="00D85ACA"/>
    <w:rsid w:val="00D9087C"/>
    <w:rsid w:val="00D917C2"/>
    <w:rsid w:val="00D91CAF"/>
    <w:rsid w:val="00D94E9A"/>
    <w:rsid w:val="00D9536F"/>
    <w:rsid w:val="00D957C1"/>
    <w:rsid w:val="00D95B86"/>
    <w:rsid w:val="00DA051F"/>
    <w:rsid w:val="00DA3EDE"/>
    <w:rsid w:val="00DA5A13"/>
    <w:rsid w:val="00DA6EF4"/>
    <w:rsid w:val="00DB0503"/>
    <w:rsid w:val="00DB0C04"/>
    <w:rsid w:val="00DB1822"/>
    <w:rsid w:val="00DB205C"/>
    <w:rsid w:val="00DB610B"/>
    <w:rsid w:val="00DB681E"/>
    <w:rsid w:val="00DC0783"/>
    <w:rsid w:val="00DC5685"/>
    <w:rsid w:val="00DD1DB3"/>
    <w:rsid w:val="00DD2C1C"/>
    <w:rsid w:val="00DD3031"/>
    <w:rsid w:val="00DD46AA"/>
    <w:rsid w:val="00DD7158"/>
    <w:rsid w:val="00DD7CDB"/>
    <w:rsid w:val="00DE07EE"/>
    <w:rsid w:val="00DE27DB"/>
    <w:rsid w:val="00DE4DD1"/>
    <w:rsid w:val="00DE566D"/>
    <w:rsid w:val="00DE5F58"/>
    <w:rsid w:val="00DE6EE7"/>
    <w:rsid w:val="00DE705C"/>
    <w:rsid w:val="00DF01D9"/>
    <w:rsid w:val="00DF072B"/>
    <w:rsid w:val="00DF1DAC"/>
    <w:rsid w:val="00DF35F6"/>
    <w:rsid w:val="00DF3814"/>
    <w:rsid w:val="00DF3D18"/>
    <w:rsid w:val="00DF5561"/>
    <w:rsid w:val="00DF640C"/>
    <w:rsid w:val="00DF67CC"/>
    <w:rsid w:val="00DF7DFA"/>
    <w:rsid w:val="00E00031"/>
    <w:rsid w:val="00E00E19"/>
    <w:rsid w:val="00E02279"/>
    <w:rsid w:val="00E05388"/>
    <w:rsid w:val="00E13390"/>
    <w:rsid w:val="00E13A19"/>
    <w:rsid w:val="00E13F47"/>
    <w:rsid w:val="00E14CC0"/>
    <w:rsid w:val="00E15604"/>
    <w:rsid w:val="00E15BE1"/>
    <w:rsid w:val="00E15D1D"/>
    <w:rsid w:val="00E20C71"/>
    <w:rsid w:val="00E22ACB"/>
    <w:rsid w:val="00E23D9C"/>
    <w:rsid w:val="00E265EE"/>
    <w:rsid w:val="00E305B2"/>
    <w:rsid w:val="00E327BB"/>
    <w:rsid w:val="00E33030"/>
    <w:rsid w:val="00E369FC"/>
    <w:rsid w:val="00E37C4B"/>
    <w:rsid w:val="00E40626"/>
    <w:rsid w:val="00E41DC6"/>
    <w:rsid w:val="00E46203"/>
    <w:rsid w:val="00E51012"/>
    <w:rsid w:val="00E523BB"/>
    <w:rsid w:val="00E52FF8"/>
    <w:rsid w:val="00E53A60"/>
    <w:rsid w:val="00E54406"/>
    <w:rsid w:val="00E56A77"/>
    <w:rsid w:val="00E56C8B"/>
    <w:rsid w:val="00E572AE"/>
    <w:rsid w:val="00E575D0"/>
    <w:rsid w:val="00E6206B"/>
    <w:rsid w:val="00E71E23"/>
    <w:rsid w:val="00E751DD"/>
    <w:rsid w:val="00E75678"/>
    <w:rsid w:val="00E7582F"/>
    <w:rsid w:val="00E809DF"/>
    <w:rsid w:val="00E81B92"/>
    <w:rsid w:val="00E85538"/>
    <w:rsid w:val="00E8574F"/>
    <w:rsid w:val="00E866E4"/>
    <w:rsid w:val="00E8676D"/>
    <w:rsid w:val="00E90F20"/>
    <w:rsid w:val="00E920E2"/>
    <w:rsid w:val="00E95026"/>
    <w:rsid w:val="00E95F4B"/>
    <w:rsid w:val="00E97FDD"/>
    <w:rsid w:val="00EA2259"/>
    <w:rsid w:val="00EA3910"/>
    <w:rsid w:val="00EA57EB"/>
    <w:rsid w:val="00EB20A3"/>
    <w:rsid w:val="00EB4901"/>
    <w:rsid w:val="00EC1240"/>
    <w:rsid w:val="00EC1842"/>
    <w:rsid w:val="00EC63F1"/>
    <w:rsid w:val="00EC79AA"/>
    <w:rsid w:val="00ED15AA"/>
    <w:rsid w:val="00ED3CA4"/>
    <w:rsid w:val="00ED447D"/>
    <w:rsid w:val="00ED7374"/>
    <w:rsid w:val="00ED7C1B"/>
    <w:rsid w:val="00EE0A9C"/>
    <w:rsid w:val="00EE1A18"/>
    <w:rsid w:val="00EE3A83"/>
    <w:rsid w:val="00EE458B"/>
    <w:rsid w:val="00EE6E01"/>
    <w:rsid w:val="00EE739E"/>
    <w:rsid w:val="00EE773C"/>
    <w:rsid w:val="00EF10D7"/>
    <w:rsid w:val="00EF5367"/>
    <w:rsid w:val="00F0570C"/>
    <w:rsid w:val="00F0638B"/>
    <w:rsid w:val="00F101C9"/>
    <w:rsid w:val="00F1071D"/>
    <w:rsid w:val="00F11569"/>
    <w:rsid w:val="00F1259E"/>
    <w:rsid w:val="00F159C1"/>
    <w:rsid w:val="00F17266"/>
    <w:rsid w:val="00F17D26"/>
    <w:rsid w:val="00F202B3"/>
    <w:rsid w:val="00F20487"/>
    <w:rsid w:val="00F22A7D"/>
    <w:rsid w:val="00F24A68"/>
    <w:rsid w:val="00F24FFB"/>
    <w:rsid w:val="00F26736"/>
    <w:rsid w:val="00F26CBE"/>
    <w:rsid w:val="00F271DE"/>
    <w:rsid w:val="00F342ED"/>
    <w:rsid w:val="00F35203"/>
    <w:rsid w:val="00F368A5"/>
    <w:rsid w:val="00F4010E"/>
    <w:rsid w:val="00F40206"/>
    <w:rsid w:val="00F413CD"/>
    <w:rsid w:val="00F4197B"/>
    <w:rsid w:val="00F4261B"/>
    <w:rsid w:val="00F4297C"/>
    <w:rsid w:val="00F43717"/>
    <w:rsid w:val="00F44128"/>
    <w:rsid w:val="00F47CC8"/>
    <w:rsid w:val="00F47CF2"/>
    <w:rsid w:val="00F54AE3"/>
    <w:rsid w:val="00F55870"/>
    <w:rsid w:val="00F562A8"/>
    <w:rsid w:val="00F60EB9"/>
    <w:rsid w:val="00F60FB6"/>
    <w:rsid w:val="00F62F08"/>
    <w:rsid w:val="00F6521C"/>
    <w:rsid w:val="00F65FC9"/>
    <w:rsid w:val="00F66637"/>
    <w:rsid w:val="00F71B81"/>
    <w:rsid w:val="00F72553"/>
    <w:rsid w:val="00F7303A"/>
    <w:rsid w:val="00F7768A"/>
    <w:rsid w:val="00F85B01"/>
    <w:rsid w:val="00F8682D"/>
    <w:rsid w:val="00F91DC4"/>
    <w:rsid w:val="00F9700C"/>
    <w:rsid w:val="00FA06D0"/>
    <w:rsid w:val="00FA1961"/>
    <w:rsid w:val="00FA3A6B"/>
    <w:rsid w:val="00FA4068"/>
    <w:rsid w:val="00FA6BE7"/>
    <w:rsid w:val="00FB0159"/>
    <w:rsid w:val="00FB1355"/>
    <w:rsid w:val="00FB1467"/>
    <w:rsid w:val="00FB1926"/>
    <w:rsid w:val="00FB1FCE"/>
    <w:rsid w:val="00FB4077"/>
    <w:rsid w:val="00FB4446"/>
    <w:rsid w:val="00FB77A4"/>
    <w:rsid w:val="00FC6896"/>
    <w:rsid w:val="00FD09D4"/>
    <w:rsid w:val="00FD2B04"/>
    <w:rsid w:val="00FD2DA3"/>
    <w:rsid w:val="00FD3616"/>
    <w:rsid w:val="00FE0042"/>
    <w:rsid w:val="00FE095A"/>
    <w:rsid w:val="00FE3318"/>
    <w:rsid w:val="00FE3B55"/>
    <w:rsid w:val="00FE4443"/>
    <w:rsid w:val="00FE70A6"/>
    <w:rsid w:val="00FE78D3"/>
    <w:rsid w:val="00FF091E"/>
    <w:rsid w:val="00FF1DC3"/>
    <w:rsid w:val="00FF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21"/>
    <o:shapelayout v:ext="edit">
      <o:idmap v:ext="edit" data="1"/>
    </o:shapelayout>
  </w:shapeDefaults>
  <w:decimalSymbol w:val="."/>
  <w:listSeparator w:val=","/>
  <w15:docId w15:val="{48C41E1C-5678-48B9-B1EC-C1B1AB4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link w:val="FooterChar"/>
    <w:uiPriority w:val="99"/>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24118"/>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 w:type="character" w:styleId="CommentReference">
    <w:name w:val="annotation reference"/>
    <w:basedOn w:val="DefaultParagraphFont"/>
    <w:rsid w:val="00EC63F1"/>
    <w:rPr>
      <w:sz w:val="16"/>
      <w:szCs w:val="16"/>
    </w:rPr>
  </w:style>
  <w:style w:type="paragraph" w:styleId="CommentText">
    <w:name w:val="annotation text"/>
    <w:basedOn w:val="Normal"/>
    <w:link w:val="CommentTextChar"/>
    <w:rsid w:val="00EC63F1"/>
    <w:rPr>
      <w:sz w:val="20"/>
      <w:szCs w:val="20"/>
    </w:rPr>
  </w:style>
  <w:style w:type="character" w:customStyle="1" w:styleId="CommentTextChar">
    <w:name w:val="Comment Text Char"/>
    <w:basedOn w:val="DefaultParagraphFont"/>
    <w:link w:val="CommentText"/>
    <w:rsid w:val="00EC63F1"/>
  </w:style>
  <w:style w:type="paragraph" w:styleId="CommentSubject">
    <w:name w:val="annotation subject"/>
    <w:basedOn w:val="CommentText"/>
    <w:next w:val="CommentText"/>
    <w:link w:val="CommentSubjectChar"/>
    <w:rsid w:val="00EC63F1"/>
    <w:rPr>
      <w:b/>
      <w:bCs/>
    </w:rPr>
  </w:style>
  <w:style w:type="character" w:customStyle="1" w:styleId="CommentSubjectChar">
    <w:name w:val="Comment Subject Char"/>
    <w:basedOn w:val="CommentTextChar"/>
    <w:link w:val="CommentSubject"/>
    <w:rsid w:val="00EC63F1"/>
    <w:rPr>
      <w:b/>
      <w:bCs/>
    </w:rPr>
  </w:style>
  <w:style w:type="paragraph" w:styleId="Revision">
    <w:name w:val="Revision"/>
    <w:hidden/>
    <w:uiPriority w:val="99"/>
    <w:semiHidden/>
    <w:rsid w:val="00EC63F1"/>
    <w:rPr>
      <w:sz w:val="24"/>
      <w:szCs w:val="24"/>
    </w:rPr>
  </w:style>
  <w:style w:type="character" w:customStyle="1" w:styleId="FooterChar">
    <w:name w:val="Footer Char"/>
    <w:basedOn w:val="DefaultParagraphFont"/>
    <w:link w:val="Footer"/>
    <w:uiPriority w:val="99"/>
    <w:rsid w:val="00310E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4A664F-706D-47D9-A769-FE1475E8EDF8}">
  <ds:schemaRefs>
    <ds:schemaRef ds:uri="http://schemas.openxmlformats.org/officeDocument/2006/bibliography"/>
  </ds:schemaRefs>
</ds:datastoreItem>
</file>

<file path=customXml/itemProps2.xml><?xml version="1.0" encoding="utf-8"?>
<ds:datastoreItem xmlns:ds="http://schemas.openxmlformats.org/officeDocument/2006/customXml" ds:itemID="{E962DE36-9B5E-4EDF-87C7-5B5E1644AF4C}"/>
</file>

<file path=customXml/itemProps3.xml><?xml version="1.0" encoding="utf-8"?>
<ds:datastoreItem xmlns:ds="http://schemas.openxmlformats.org/officeDocument/2006/customXml" ds:itemID="{E8094A79-9038-461A-9802-D4AFAC565125}"/>
</file>

<file path=customXml/itemProps4.xml><?xml version="1.0" encoding="utf-8"?>
<ds:datastoreItem xmlns:ds="http://schemas.openxmlformats.org/officeDocument/2006/customXml" ds:itemID="{5C1E0C1D-CE12-4F0E-8E15-24D994170484}"/>
</file>

<file path=customXml/itemProps5.xml><?xml version="1.0" encoding="utf-8"?>
<ds:datastoreItem xmlns:ds="http://schemas.openxmlformats.org/officeDocument/2006/customXml" ds:itemID="{9F03C1D3-756A-4367-8D74-AD1B7F758E5D}"/>
</file>

<file path=docProps/app.xml><?xml version="1.0" encoding="utf-8"?>
<Properties xmlns="http://schemas.openxmlformats.org/officeDocument/2006/extended-properties" xmlns:vt="http://schemas.openxmlformats.org/officeDocument/2006/docPropsVTypes">
  <Template>Normal</Template>
  <TotalTime>37</TotalTime>
  <Pages>22</Pages>
  <Words>4687</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Miller, Joe</cp:lastModifiedBy>
  <cp:revision>8</cp:revision>
  <cp:lastPrinted>2017-05-16T22:16:00Z</cp:lastPrinted>
  <dcterms:created xsi:type="dcterms:W3CDTF">2017-05-16T14:34:00Z</dcterms:created>
  <dcterms:modified xsi:type="dcterms:W3CDTF">2017-05-16T22:23:00Z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