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9040" w14:textId="77777777" w:rsidR="0029484E" w:rsidRDefault="00970345">
      <w:pPr>
        <w:pStyle w:val="Court"/>
        <w:spacing w:after="480"/>
        <w:rPr>
          <w:b/>
        </w:rPr>
      </w:pPr>
      <w:r>
        <w:rPr>
          <w:b/>
        </w:rPr>
        <w:t>BEFORE THE WASHINGTON</w:t>
      </w:r>
      <w:r>
        <w:rPr>
          <w:b/>
        </w:rPr>
        <w:br/>
        <w:t>UTILITIES AND TRA</w:t>
      </w:r>
      <w:bookmarkStart w:id="0" w:name="_GoBack"/>
      <w:bookmarkEnd w:id="0"/>
      <w:r>
        <w:rPr>
          <w:b/>
        </w:rPr>
        <w:t>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29484E" w14:paraId="6F359762" w14:textId="77777777">
        <w:tc>
          <w:tcPr>
            <w:tcW w:w="4698" w:type="dxa"/>
            <w:tcBorders>
              <w:top w:val="nil"/>
              <w:bottom w:val="single" w:sz="4" w:space="0" w:color="auto"/>
            </w:tcBorders>
          </w:tcPr>
          <w:p w14:paraId="7E9DE26E" w14:textId="77777777" w:rsidR="0029484E" w:rsidRDefault="00970345">
            <w:pPr>
              <w:spacing w:after="240"/>
            </w:pPr>
            <w:bookmarkStart w:id="1" w:name="_zzmpFIXED_CaptionTable"/>
            <w:r>
              <w:t>WASHINGTON UTILITIES AND TRANSPORTATION COMMISSION,</w:t>
            </w:r>
          </w:p>
          <w:p w14:paraId="0A04877B" w14:textId="77777777" w:rsidR="0029484E" w:rsidRDefault="00970345">
            <w:pPr>
              <w:spacing w:after="240"/>
              <w:jc w:val="center"/>
            </w:pPr>
            <w:r>
              <w:t>Complainant,</w:t>
            </w:r>
          </w:p>
          <w:p w14:paraId="6ACE345A" w14:textId="77777777" w:rsidR="0029484E" w:rsidRDefault="00970345">
            <w:pPr>
              <w:spacing w:after="240"/>
              <w:jc w:val="center"/>
            </w:pPr>
            <w:r>
              <w:t>v.</w:t>
            </w:r>
          </w:p>
          <w:p w14:paraId="03BB4328" w14:textId="77777777" w:rsidR="0029484E" w:rsidRDefault="00970345">
            <w:pPr>
              <w:spacing w:after="240"/>
            </w:pPr>
            <w:r>
              <w:t xml:space="preserve">PUGET SOUND ENERGY, </w:t>
            </w:r>
          </w:p>
          <w:p w14:paraId="420BFCB8" w14:textId="77777777" w:rsidR="0029484E" w:rsidRDefault="00970345">
            <w:pPr>
              <w:spacing w:after="240"/>
              <w:jc w:val="center"/>
            </w:pPr>
            <w:r>
              <w:t>Respondent.</w:t>
            </w:r>
          </w:p>
        </w:tc>
        <w:tc>
          <w:tcPr>
            <w:tcW w:w="4770" w:type="dxa"/>
          </w:tcPr>
          <w:p w14:paraId="60EAF89B" w14:textId="77777777" w:rsidR="0029484E" w:rsidRDefault="00970345">
            <w:pPr>
              <w:pStyle w:val="Caption"/>
              <w:tabs>
                <w:tab w:val="left" w:pos="1238"/>
              </w:tabs>
              <w:spacing w:after="240"/>
              <w:ind w:left="259" w:right="115"/>
            </w:pPr>
            <w:r>
              <w:t>DOCKET UE-161123</w:t>
            </w:r>
          </w:p>
          <w:p w14:paraId="31504360" w14:textId="77777777" w:rsidR="0029484E" w:rsidRDefault="00E731F8" w:rsidP="00206CF0">
            <w:pPr>
              <w:pStyle w:val="DocumentTitle"/>
            </w:pPr>
            <w:r>
              <w:t xml:space="preserve">RESPONSE OF NWEC TO </w:t>
            </w:r>
            <w:r w:rsidR="00970345">
              <w:t>MICROSOFT’S OBJECTION TO, AND MOTION TO DENY, ACCESS TO CONFIDENTIAL INFORMATION BY N</w:t>
            </w:r>
            <w:r>
              <w:t>WEC</w:t>
            </w:r>
            <w:r w:rsidR="00970345">
              <w:t xml:space="preserve"> </w:t>
            </w:r>
            <w:r>
              <w:t>EXPERTS</w:t>
            </w:r>
            <w:r w:rsidR="00970345">
              <w:t xml:space="preserve"> </w:t>
            </w:r>
            <w:r w:rsidR="00206CF0">
              <w:t xml:space="preserve">KELLEY AND </w:t>
            </w:r>
            <w:r w:rsidR="00970345">
              <w:t>O’BRIEN</w:t>
            </w:r>
            <w:r w:rsidR="00A14E6F">
              <w:t>, AND REQUEST TO WITHDRAW THE MARCH 1 NOTICE SETTING A BRIEFING SCHEDULE ON MICROSOFT’S MOTION</w:t>
            </w:r>
          </w:p>
        </w:tc>
      </w:tr>
    </w:tbl>
    <w:bookmarkEnd w:id="1"/>
    <w:p w14:paraId="75FD7ED0" w14:textId="77777777" w:rsidR="0029484E" w:rsidRDefault="00970345">
      <w:pPr>
        <w:pStyle w:val="PleadingsL1"/>
        <w:spacing w:before="360" w:after="360"/>
      </w:pPr>
      <w:r>
        <w:t>INTRODUCTION</w:t>
      </w:r>
    </w:p>
    <w:p w14:paraId="18F6E747" w14:textId="77777777" w:rsidR="00206CF0" w:rsidRDefault="00970345" w:rsidP="00206CF0">
      <w:pPr>
        <w:widowControl/>
        <w:spacing w:line="480" w:lineRule="auto"/>
        <w:ind w:firstLine="720"/>
      </w:pPr>
      <w:r>
        <w:fldChar w:fldCharType="begin"/>
      </w:r>
      <w:r>
        <w:instrText xml:space="preserve"> AUTONUMLGL  </w:instrText>
      </w:r>
      <w:r>
        <w:fldChar w:fldCharType="end"/>
      </w:r>
      <w:r>
        <w:tab/>
      </w:r>
      <w:r w:rsidR="00367E5D">
        <w:t>Citing no basis in fact and an inapt Commission precedent involving a trade association intervenor, Mic</w:t>
      </w:r>
      <w:r w:rsidR="00206CF0">
        <w:t xml:space="preserve">rosoft </w:t>
      </w:r>
      <w:r w:rsidR="00A23EEE">
        <w:t xml:space="preserve">Corporation (Microsoft) filed </w:t>
      </w:r>
      <w:r w:rsidR="00206CF0">
        <w:t xml:space="preserve">an objection to the designations by the Northwest Energy Coalition (NWEC) experts Dina </w:t>
      </w:r>
      <w:proofErr w:type="spellStart"/>
      <w:r w:rsidR="00206CF0">
        <w:t>Dubson</w:t>
      </w:r>
      <w:proofErr w:type="spellEnd"/>
      <w:r w:rsidR="00206CF0">
        <w:t xml:space="preserve"> Kelley and Michael H. O’Brien and their agreements under </w:t>
      </w:r>
      <w:r w:rsidR="00367E5D">
        <w:t xml:space="preserve">the </w:t>
      </w:r>
      <w:r w:rsidR="00206CF0">
        <w:t>Protective Order</w:t>
      </w:r>
      <w:r w:rsidR="00206CF0">
        <w:rPr>
          <w:rStyle w:val="FootnoteReference"/>
        </w:rPr>
        <w:footnoteReference w:id="1"/>
      </w:r>
      <w:r w:rsidR="00367E5D">
        <w:t xml:space="preserve"> to safeguard confidential </w:t>
      </w:r>
      <w:r w:rsidR="00206CF0">
        <w:t>information produced in this pr</w:t>
      </w:r>
      <w:r w:rsidR="00367E5D">
        <w:t xml:space="preserve">oceeding. </w:t>
      </w:r>
      <w:r w:rsidR="00206CF0">
        <w:t>Microsoft argues that because the employer of Ms. Kelley and Mr. O’Brien, Renewable Northwest (RN</w:t>
      </w:r>
      <w:r w:rsidR="00F35F5B">
        <w:t>W</w:t>
      </w:r>
      <w:r w:rsidR="00206CF0">
        <w:t xml:space="preserve">), a non-profit organization that advocates for renewable energy, has some members who are market participants, it should be viewed as analogous to the Northwest and Intermountain Power Producers Coalition (NIPPC), which is trade association that has as its purpose protecting the economic interests of its members.  Microsoft argues that because the Commission </w:t>
      </w:r>
      <w:r w:rsidR="0062008D">
        <w:t xml:space="preserve">allowed NIPPC to intervene in the proceeding on the condition that it </w:t>
      </w:r>
      <w:r w:rsidR="0062008D">
        <w:lastRenderedPageBreak/>
        <w:t>not be allowed to see c</w:t>
      </w:r>
      <w:r w:rsidR="003710B1">
        <w:t xml:space="preserve">onfidential information, </w:t>
      </w:r>
      <w:r w:rsidR="0062008D">
        <w:t>Ms. Kelley and Mr. O’Brien, as employees of RN</w:t>
      </w:r>
      <w:r w:rsidR="00F35F5B">
        <w:t>W</w:t>
      </w:r>
      <w:r w:rsidR="0062008D">
        <w:t xml:space="preserve">, likewise should not be allowed to view any confidential information. </w:t>
      </w:r>
      <w:r w:rsidR="00206CF0">
        <w:t xml:space="preserve"> </w:t>
      </w:r>
    </w:p>
    <w:p w14:paraId="5313500E" w14:textId="77777777" w:rsidR="0029484E" w:rsidRDefault="00206CF0" w:rsidP="0053373F">
      <w:pPr>
        <w:widowControl/>
        <w:spacing w:line="480" w:lineRule="auto"/>
        <w:ind w:firstLine="720"/>
      </w:pPr>
      <w:r>
        <w:t>2.</w:t>
      </w:r>
      <w:r>
        <w:tab/>
        <w:t>NWEC urges the Commission to overrule Microsoft’s ob</w:t>
      </w:r>
      <w:r w:rsidR="00367E5D">
        <w:t xml:space="preserve">jections and deny its motion. </w:t>
      </w:r>
      <w:r w:rsidR="007A3219">
        <w:t>This is for two</w:t>
      </w:r>
      <w:r w:rsidR="0062008D">
        <w:t xml:space="preserve"> reasons.</w:t>
      </w:r>
      <w:r w:rsidR="003710B1">
        <w:t xml:space="preserve"> </w:t>
      </w:r>
      <w:r w:rsidR="0062008D">
        <w:t xml:space="preserve">First, </w:t>
      </w:r>
      <w:r w:rsidR="003710B1">
        <w:t>NIPPC</w:t>
      </w:r>
      <w:r w:rsidR="00367E5D">
        <w:t xml:space="preserve"> is a trade association and a party</w:t>
      </w:r>
      <w:r w:rsidR="007550F2">
        <w:t xml:space="preserve">. </w:t>
      </w:r>
      <w:r w:rsidR="00367E5D">
        <w:t>It</w:t>
      </w:r>
      <w:r w:rsidR="003710B1">
        <w:t xml:space="preserve"> is by no means analogous </w:t>
      </w:r>
      <w:r w:rsidR="0053373F">
        <w:t>t</w:t>
      </w:r>
      <w:r w:rsidR="0011566B">
        <w:t>o</w:t>
      </w:r>
      <w:r w:rsidR="0053373F">
        <w:t xml:space="preserve"> RN</w:t>
      </w:r>
      <w:r w:rsidR="00F35F5B">
        <w:t>W</w:t>
      </w:r>
      <w:r w:rsidR="0053373F">
        <w:t xml:space="preserve">, which is </w:t>
      </w:r>
      <w:r w:rsidR="00367E5D">
        <w:t xml:space="preserve">non-profit advocacy group and </w:t>
      </w:r>
      <w:r w:rsidR="0053373F">
        <w:t xml:space="preserve">merely the employer of </w:t>
      </w:r>
      <w:r w:rsidR="003710B1">
        <w:t>NWEC witnesses Kelley and O’Brien</w:t>
      </w:r>
      <w:r w:rsidR="007A3219">
        <w:t xml:space="preserve">.  Second, </w:t>
      </w:r>
      <w:r w:rsidR="0053373F">
        <w:t>the terms of the protective order, RN</w:t>
      </w:r>
      <w:r w:rsidR="00F35F5B">
        <w:t>W</w:t>
      </w:r>
      <w:r w:rsidR="0053373F">
        <w:t xml:space="preserve">’s internal code of ethics, and Ms. Kelley’s and Mr. O’Brien’s character all serve to protect Microsoft from any devious disclosure of information obtained in this proceeding.  </w:t>
      </w:r>
      <w:r w:rsidR="003710B1">
        <w:t xml:space="preserve"> </w:t>
      </w:r>
    </w:p>
    <w:p w14:paraId="26F30AF2" w14:textId="77777777" w:rsidR="0029484E" w:rsidRDefault="00970345">
      <w:pPr>
        <w:pStyle w:val="PleadingsL1"/>
        <w:tabs>
          <w:tab w:val="clear" w:pos="720"/>
        </w:tabs>
        <w:spacing w:before="120" w:after="360"/>
      </w:pPr>
      <w:r>
        <w:t>RELIEF REQUESTED</w:t>
      </w:r>
    </w:p>
    <w:p w14:paraId="54F7A1EE" w14:textId="77777777" w:rsidR="00A14E6F" w:rsidRDefault="0053373F" w:rsidP="00F33EF0">
      <w:pPr>
        <w:pStyle w:val="BodyText"/>
      </w:pPr>
      <w:r>
        <w:t>3.</w:t>
      </w:r>
      <w:r>
        <w:tab/>
      </w:r>
      <w:r w:rsidR="00377067">
        <w:t xml:space="preserve"> </w:t>
      </w:r>
      <w:r w:rsidR="0095235E">
        <w:t xml:space="preserve">On March 1, the Commission issued a Notice calling for responses to Microsoft’s objections and motion by March 7, with a response due by March 14.  With all due respect, that schedule would put NWEC and its experts in a bind.  As testimony is due March 13, that schedule, regardless of the merits of Microsoft’s position, would effectively deny NWEC’s experts access to some information.  </w:t>
      </w:r>
    </w:p>
    <w:p w14:paraId="3B0C1442" w14:textId="77777777" w:rsidR="00237EAC" w:rsidRDefault="00A14E6F" w:rsidP="00F33EF0">
      <w:pPr>
        <w:pStyle w:val="BodyText"/>
      </w:pPr>
      <w:r>
        <w:t>4.</w:t>
      </w:r>
      <w:r>
        <w:tab/>
      </w:r>
      <w:r w:rsidR="006E7DAD">
        <w:t xml:space="preserve">Therefore, </w:t>
      </w:r>
      <w:r w:rsidR="001E77F0">
        <w:t>f</w:t>
      </w:r>
      <w:r w:rsidR="00237EAC">
        <w:t>or the rea</w:t>
      </w:r>
      <w:r>
        <w:t>sons stated below</w:t>
      </w:r>
      <w:r w:rsidR="00237EAC">
        <w:t xml:space="preserve">, NWEC </w:t>
      </w:r>
      <w:r w:rsidR="006E7DAD">
        <w:t xml:space="preserve">respectfully </w:t>
      </w:r>
      <w:r w:rsidR="00237EAC">
        <w:t xml:space="preserve">requests </w:t>
      </w:r>
      <w:r w:rsidR="006E7DAD">
        <w:t xml:space="preserve">that (1) </w:t>
      </w:r>
      <w:r w:rsidR="00237EAC">
        <w:t xml:space="preserve">Microsoft’s objections to the expert agreements of Ms. Kelley and Mr. O’Brien be overruled and its motion to deny their access to confidential information in this proceeding </w:t>
      </w:r>
      <w:r w:rsidR="006E7DAD">
        <w:t>be denied; (2)</w:t>
      </w:r>
      <w:r w:rsidR="00237EAC">
        <w:t xml:space="preserve"> the deadline for filing NWEC testimony be extended an appropriate amount of time to allow </w:t>
      </w:r>
      <w:r w:rsidR="006E7DAD">
        <w:t xml:space="preserve">its experts to </w:t>
      </w:r>
      <w:r w:rsidR="00237EAC">
        <w:t>review all relevant information generated in this proceeding</w:t>
      </w:r>
      <w:r w:rsidR="006E7DAD">
        <w:t xml:space="preserve">; and </w:t>
      </w:r>
      <w:r w:rsidR="001E77F0">
        <w:t xml:space="preserve">(3) </w:t>
      </w:r>
      <w:r w:rsidR="00237EAC">
        <w:t>the Notice issued March 1 setting up a briefing schedule for consideration of Microsoft’s objections and motion be withdrawn so that relief requested by NWEC can be granted at the earliest possible date.</w:t>
      </w:r>
    </w:p>
    <w:p w14:paraId="5971F7EC" w14:textId="77777777" w:rsidR="00237EAC" w:rsidRDefault="00237EAC" w:rsidP="00206CF0">
      <w:pPr>
        <w:pStyle w:val="BodyText"/>
      </w:pPr>
    </w:p>
    <w:p w14:paraId="044111AC" w14:textId="77777777" w:rsidR="0029484E" w:rsidRDefault="00970345">
      <w:pPr>
        <w:pStyle w:val="PleadingsL1"/>
        <w:tabs>
          <w:tab w:val="clear" w:pos="720"/>
        </w:tabs>
        <w:spacing w:before="120" w:after="360"/>
      </w:pPr>
      <w:r>
        <w:lastRenderedPageBreak/>
        <w:t>BACKGROUND</w:t>
      </w:r>
    </w:p>
    <w:p w14:paraId="4F4FAD67" w14:textId="77777777" w:rsidR="00A91E44" w:rsidRDefault="0095235E" w:rsidP="00206CF0">
      <w:pPr>
        <w:widowControl/>
        <w:spacing w:line="480" w:lineRule="auto"/>
        <w:ind w:firstLine="720"/>
      </w:pPr>
      <w:r>
        <w:t>5</w:t>
      </w:r>
      <w:r w:rsidR="00970345">
        <w:t>.</w:t>
      </w:r>
      <w:r w:rsidR="00367E5D">
        <w:tab/>
        <w:t>Earlier in this proceeding, the Commission granted NWEC’s Petition to Interven</w:t>
      </w:r>
      <w:r w:rsidR="00011358">
        <w:t>e; no party objected.</w:t>
      </w:r>
      <w:r w:rsidR="00011358">
        <w:rPr>
          <w:rStyle w:val="FootnoteReference"/>
        </w:rPr>
        <w:footnoteReference w:id="2"/>
      </w:r>
      <w:r w:rsidR="00011358">
        <w:t xml:space="preserve">  However, </w:t>
      </w:r>
      <w:r w:rsidR="00E50851">
        <w:t>PSE objected to intervention by NIPPC, arguing that NIPPC “is only seeking intervention to further the independent business interests of its members.”</w:t>
      </w:r>
      <w:r w:rsidR="00E50851">
        <w:rPr>
          <w:rStyle w:val="FootnoteReference"/>
        </w:rPr>
        <w:footnoteReference w:id="3"/>
      </w:r>
      <w:r w:rsidR="00E50851">
        <w:t xml:space="preserve"> At the prehearing conference at which interventions were considered, the attorney for Microsoft “voiced concerns that NIPPC, an association with members who Microsoft Corporation might negotiate the purchase of power, could receive a contractual advantage by gaining access to confidential load information.”</w:t>
      </w:r>
      <w:r w:rsidR="00E50851">
        <w:rPr>
          <w:rStyle w:val="FootnoteReference"/>
        </w:rPr>
        <w:footnoteReference w:id="4"/>
      </w:r>
      <w:r w:rsidR="002615D9">
        <w:t xml:space="preserve">  The </w:t>
      </w:r>
      <w:r w:rsidR="00A91E44">
        <w:t>Commission, through the Administrative Law Judge</w:t>
      </w:r>
      <w:r>
        <w:t>,</w:t>
      </w:r>
      <w:r w:rsidR="00A91E44">
        <w:t xml:space="preserve"> </w:t>
      </w:r>
      <w:r w:rsidR="002615D9">
        <w:t>denied NIPPC’s petition to intervene statin</w:t>
      </w:r>
      <w:r w:rsidR="00A91E44">
        <w:t>g:</w:t>
      </w:r>
    </w:p>
    <w:p w14:paraId="3EBC31EB" w14:textId="77777777" w:rsidR="00367E5D" w:rsidRDefault="00A91E44" w:rsidP="00A91E44">
      <w:pPr>
        <w:widowControl/>
        <w:ind w:left="720"/>
      </w:pPr>
      <w:r w:rsidRPr="00A7164C">
        <w:t>The association has not demonstrated, with any specificity, that this proceeding will involve issues making NIPPC’s participation necessary or in furtherance of the public interest. Even if NIPPC had met the public interest standard, the Commission would still have had to balance the association’s participation against the Company and Microsoft Corporation’s confidentiality concerns, possibly resulting in a substantial limiting of NIPPC’s participation in the proceeding.</w:t>
      </w:r>
      <w:r>
        <w:rPr>
          <w:rStyle w:val="FootnoteReference"/>
        </w:rPr>
        <w:footnoteReference w:id="5"/>
      </w:r>
    </w:p>
    <w:p w14:paraId="54D3D49E" w14:textId="77777777" w:rsidR="00A91E44" w:rsidRDefault="00A91E44" w:rsidP="00A91E44">
      <w:pPr>
        <w:widowControl/>
        <w:ind w:left="720"/>
      </w:pPr>
    </w:p>
    <w:p w14:paraId="5D909FD7" w14:textId="77777777" w:rsidR="00F20E03" w:rsidRDefault="0095235E" w:rsidP="00A91E44">
      <w:pPr>
        <w:widowControl/>
        <w:spacing w:line="480" w:lineRule="auto"/>
        <w:ind w:firstLine="720"/>
      </w:pPr>
      <w:r>
        <w:t>6</w:t>
      </w:r>
      <w:r w:rsidR="00462314">
        <w:t>.</w:t>
      </w:r>
      <w:r w:rsidR="00462314">
        <w:tab/>
        <w:t xml:space="preserve">However, the Commission responded to the concerns of Staff and Public Counsel that </w:t>
      </w:r>
      <w:r w:rsidR="00F20E03">
        <w:t>NIPPC may have something important to offer the Commission.  The Commission</w:t>
      </w:r>
      <w:r w:rsidR="00A91E44">
        <w:t xml:space="preserve"> stated:</w:t>
      </w:r>
    </w:p>
    <w:p w14:paraId="1050F145" w14:textId="77777777" w:rsidR="00F20E03" w:rsidRDefault="00F20E03" w:rsidP="00F20E03">
      <w:pPr>
        <w:widowControl/>
        <w:ind w:left="720"/>
      </w:pPr>
      <w:r w:rsidRPr="00A7164C">
        <w:t xml:space="preserve">Staff and Public Counsel have suggested that NIPPC might offer a </w:t>
      </w:r>
      <w:r w:rsidR="00CB4C9B">
        <w:t>unique perspective</w:t>
      </w:r>
      <w:r w:rsidRPr="00A7164C">
        <w:t xml:space="preserve"> on public policy issues related to this tariff filing. </w:t>
      </w:r>
      <w:r w:rsidRPr="00A91E44">
        <w:rPr>
          <w:i/>
        </w:rPr>
        <w:t>If either party believes that the association has relevant information that will provide the Commission with a full and complete record, Staff or Public Counsel may offer a NIPPC-related witness. It would be the sponsoring party’s duty to maintain the confidentiality of any documents obtained during discovery and to protect commercially-sensitive information.</w:t>
      </w:r>
      <w:r w:rsidRPr="00A7164C">
        <w:t xml:space="preserve"> Otherwise, the Commission will present NIPPC and other non-parties with the opportunity to publically comment on the tariff filing outside the context of the evidentiary hearing.</w:t>
      </w:r>
      <w:r>
        <w:rPr>
          <w:rStyle w:val="FootnoteReference"/>
        </w:rPr>
        <w:footnoteReference w:id="6"/>
      </w:r>
    </w:p>
    <w:p w14:paraId="0C44A8B4" w14:textId="77777777" w:rsidR="0095235E" w:rsidRDefault="0095235E" w:rsidP="00F20E03">
      <w:pPr>
        <w:widowControl/>
        <w:ind w:left="720"/>
      </w:pPr>
    </w:p>
    <w:p w14:paraId="4108C38D" w14:textId="77777777" w:rsidR="00A91E44" w:rsidRDefault="00A91E44" w:rsidP="00A91E44">
      <w:pPr>
        <w:widowControl/>
        <w:spacing w:line="480" w:lineRule="auto"/>
      </w:pPr>
      <w:r>
        <w:t>In other words, the Commission offered a path for other parties to offer “NIPPC-related” witnesses, placing the burden on the sponsoring party to protect confidentiality of information.</w:t>
      </w:r>
    </w:p>
    <w:p w14:paraId="0842E0FA" w14:textId="77777777" w:rsidR="002F3D68" w:rsidRDefault="0095235E" w:rsidP="00A91E44">
      <w:pPr>
        <w:widowControl/>
        <w:spacing w:line="480" w:lineRule="auto"/>
        <w:ind w:firstLine="720"/>
      </w:pPr>
      <w:r>
        <w:t>7</w:t>
      </w:r>
      <w:r w:rsidR="00367E5D">
        <w:t>.</w:t>
      </w:r>
      <w:r w:rsidR="00367E5D">
        <w:tab/>
      </w:r>
      <w:r w:rsidR="00A91E44">
        <w:t xml:space="preserve">NIPPC petitioned for </w:t>
      </w:r>
      <w:r w:rsidR="00326A0A">
        <w:t xml:space="preserve">interlocutory review of Order 04, and, in Order 05, the full Commission granted NIPPC’s petition allowed its intervention.  However, exercising its discretion, the Commission </w:t>
      </w:r>
      <w:r w:rsidR="002F3D68">
        <w:t>conditioned that intervention on limiting NIPPC’s access to confidential information.</w:t>
      </w:r>
      <w:r w:rsidR="002F3D68">
        <w:rPr>
          <w:rStyle w:val="FootnoteReference"/>
        </w:rPr>
        <w:footnoteReference w:id="7"/>
      </w:r>
      <w:r w:rsidR="00CB4C9B">
        <w:t xml:space="preserve"> While the Commission reversed the Administrative Law Judge’s decision on whether NIPPC should be able to intervene, it did not reject the provision in Order 04 that would allow the calling of “NIPPC-related witnesses” who could have access to confidential information.</w:t>
      </w:r>
    </w:p>
    <w:p w14:paraId="08BD87C1" w14:textId="77777777" w:rsidR="0029484E" w:rsidRDefault="0095235E" w:rsidP="00A91E44">
      <w:pPr>
        <w:widowControl/>
        <w:spacing w:line="480" w:lineRule="auto"/>
        <w:ind w:firstLine="720"/>
      </w:pPr>
      <w:r>
        <w:t>8</w:t>
      </w:r>
      <w:r w:rsidR="002F3D68">
        <w:t>.</w:t>
      </w:r>
      <w:r w:rsidR="002F3D68">
        <w:tab/>
      </w:r>
      <w:r w:rsidR="00970345">
        <w:t xml:space="preserve">On February 15, 2017, NWEC filed and served Expert Agreements for </w:t>
      </w:r>
      <w:r w:rsidR="002F3D68">
        <w:t>Ms. Kelley and Mr. O’Brien.  Microsoft filed its objections and its motion to deny access to confidential information to those experts on February 27.</w:t>
      </w:r>
    </w:p>
    <w:p w14:paraId="6A0D9BAD" w14:textId="77777777" w:rsidR="0029484E" w:rsidRDefault="0095235E" w:rsidP="002F3D68">
      <w:pPr>
        <w:widowControl/>
        <w:spacing w:line="480" w:lineRule="auto"/>
        <w:ind w:firstLine="720"/>
      </w:pPr>
      <w:r>
        <w:t>9</w:t>
      </w:r>
      <w:r w:rsidR="002F3D68">
        <w:t>.</w:t>
      </w:r>
      <w:r w:rsidR="002F3D68">
        <w:tab/>
        <w:t xml:space="preserve">The current procedural schedule requires intervenors, like NWEC, to file its testimony by March 13.  As things currently stand, NWEC is unable to provide its experts Kelley and O’Brien with access to all information, either in testimony or in responses to discovery requests, that could inform their work for NWEC.  </w:t>
      </w:r>
      <w:r w:rsidR="00970345">
        <w:t xml:space="preserve"> </w:t>
      </w:r>
    </w:p>
    <w:p w14:paraId="271A2E44" w14:textId="77777777" w:rsidR="0029484E" w:rsidRDefault="00970345">
      <w:pPr>
        <w:pStyle w:val="PleadingsL1"/>
        <w:tabs>
          <w:tab w:val="clear" w:pos="720"/>
        </w:tabs>
        <w:spacing w:before="120" w:after="360"/>
      </w:pPr>
      <w:r>
        <w:t>ARGUMENT</w:t>
      </w:r>
    </w:p>
    <w:p w14:paraId="326DA831" w14:textId="77777777" w:rsidR="00C200CC" w:rsidRPr="00C200CC" w:rsidRDefault="00C200CC" w:rsidP="00C200CC">
      <w:pPr>
        <w:pStyle w:val="BodyText"/>
        <w:ind w:firstLine="0"/>
        <w:rPr>
          <w:b/>
        </w:rPr>
      </w:pPr>
      <w:r>
        <w:rPr>
          <w:b/>
        </w:rPr>
        <w:t>A.</w:t>
      </w:r>
      <w:r>
        <w:rPr>
          <w:b/>
        </w:rPr>
        <w:tab/>
        <w:t>Microsoft’s Comparison of RN</w:t>
      </w:r>
      <w:r w:rsidR="00F35F5B">
        <w:rPr>
          <w:b/>
        </w:rPr>
        <w:t>W</w:t>
      </w:r>
      <w:r>
        <w:rPr>
          <w:b/>
        </w:rPr>
        <w:t xml:space="preserve"> to NIPPC Is an Inapt Analogy</w:t>
      </w:r>
    </w:p>
    <w:p w14:paraId="33DA3033" w14:textId="77777777" w:rsidR="00F01FFE" w:rsidRDefault="0095235E" w:rsidP="00F747FD">
      <w:pPr>
        <w:spacing w:line="480" w:lineRule="auto"/>
        <w:ind w:firstLine="720"/>
        <w:rPr>
          <w:szCs w:val="24"/>
        </w:rPr>
      </w:pPr>
      <w:r>
        <w:t>10</w:t>
      </w:r>
      <w:r w:rsidR="00970345">
        <w:t>.</w:t>
      </w:r>
      <w:r w:rsidR="00970345">
        <w:tab/>
      </w:r>
      <w:r w:rsidR="002F3D68">
        <w:t xml:space="preserve">In support of its </w:t>
      </w:r>
      <w:r w:rsidR="006B11EF">
        <w:t xml:space="preserve">objections and motion, Microsoft relies entirely </w:t>
      </w:r>
      <w:r w:rsidR="007550F2">
        <w:t xml:space="preserve">on </w:t>
      </w:r>
      <w:r w:rsidR="007A3219">
        <w:t>what appears to be a legal argument,</w:t>
      </w:r>
      <w:r w:rsidR="006B11EF">
        <w:t xml:space="preserve"> analogizing RN</w:t>
      </w:r>
      <w:r w:rsidR="00F35F5B">
        <w:t>W</w:t>
      </w:r>
      <w:r w:rsidR="006B11EF">
        <w:t xml:space="preserve"> </w:t>
      </w:r>
      <w:r w:rsidR="006B11EF" w:rsidRPr="006B11EF">
        <w:rPr>
          <w:szCs w:val="24"/>
        </w:rPr>
        <w:t>to NIPP</w:t>
      </w:r>
      <w:r w:rsidR="00F01FFE">
        <w:rPr>
          <w:szCs w:val="24"/>
        </w:rPr>
        <w:t xml:space="preserve">C.  </w:t>
      </w:r>
      <w:r w:rsidR="00CB4C9B">
        <w:rPr>
          <w:szCs w:val="24"/>
        </w:rPr>
        <w:t>The argument goes</w:t>
      </w:r>
      <w:r w:rsidR="007A3219">
        <w:rPr>
          <w:szCs w:val="24"/>
        </w:rPr>
        <w:t xml:space="preserve"> something like this:  the Commission, while allowing NIPPC to intervene</w:t>
      </w:r>
      <w:r w:rsidR="0011566B">
        <w:rPr>
          <w:szCs w:val="24"/>
        </w:rPr>
        <w:t>,</w:t>
      </w:r>
      <w:r w:rsidR="007A3219">
        <w:rPr>
          <w:szCs w:val="24"/>
        </w:rPr>
        <w:t xml:space="preserve"> disallowed it access to confidential </w:t>
      </w:r>
      <w:r w:rsidR="007A3219">
        <w:rPr>
          <w:szCs w:val="24"/>
        </w:rPr>
        <w:lastRenderedPageBreak/>
        <w:t>information; RN</w:t>
      </w:r>
      <w:r w:rsidR="00F35F5B">
        <w:rPr>
          <w:szCs w:val="24"/>
        </w:rPr>
        <w:t>W</w:t>
      </w:r>
      <w:r w:rsidR="007A3219">
        <w:rPr>
          <w:szCs w:val="24"/>
        </w:rPr>
        <w:t xml:space="preserve"> is like NIPPC; therefore, RN</w:t>
      </w:r>
      <w:r w:rsidR="001E77F0">
        <w:rPr>
          <w:szCs w:val="24"/>
        </w:rPr>
        <w:t>W</w:t>
      </w:r>
      <w:r w:rsidR="007A3219">
        <w:rPr>
          <w:szCs w:val="24"/>
        </w:rPr>
        <w:t xml:space="preserve"> should</w:t>
      </w:r>
      <w:r w:rsidR="001E77F0">
        <w:rPr>
          <w:szCs w:val="24"/>
        </w:rPr>
        <w:t xml:space="preserve"> not</w:t>
      </w:r>
      <w:r w:rsidR="007A3219">
        <w:rPr>
          <w:szCs w:val="24"/>
        </w:rPr>
        <w:t xml:space="preserve"> be allowed access to information.  </w:t>
      </w:r>
      <w:r w:rsidR="00F01FFE">
        <w:rPr>
          <w:szCs w:val="24"/>
        </w:rPr>
        <w:t>But that analogy is inapt for two reasons.</w:t>
      </w:r>
    </w:p>
    <w:p w14:paraId="5477EA8B" w14:textId="77777777" w:rsidR="00F01FFE" w:rsidRDefault="0095235E" w:rsidP="00F747FD">
      <w:pPr>
        <w:spacing w:line="480" w:lineRule="auto"/>
        <w:ind w:firstLine="720"/>
        <w:rPr>
          <w:color w:val="000000" w:themeColor="text1"/>
        </w:rPr>
      </w:pPr>
      <w:r>
        <w:rPr>
          <w:szCs w:val="24"/>
        </w:rPr>
        <w:t>11</w:t>
      </w:r>
      <w:r w:rsidR="00F01FFE">
        <w:rPr>
          <w:szCs w:val="24"/>
        </w:rPr>
        <w:t>.</w:t>
      </w:r>
      <w:r w:rsidR="00F01FFE">
        <w:rPr>
          <w:szCs w:val="24"/>
        </w:rPr>
        <w:tab/>
        <w:t xml:space="preserve">First, </w:t>
      </w:r>
      <w:r w:rsidR="006B11EF" w:rsidRPr="006B11EF">
        <w:rPr>
          <w:szCs w:val="24"/>
        </w:rPr>
        <w:t xml:space="preserve">NIPPC is a trade association.  According to NIPPC’s website: </w:t>
      </w:r>
      <w:r w:rsidR="006B11EF">
        <w:rPr>
          <w:color w:val="142513"/>
          <w:szCs w:val="24"/>
        </w:rPr>
        <w:t>“T</w:t>
      </w:r>
      <w:r w:rsidR="006B11EF" w:rsidRPr="006B11EF">
        <w:rPr>
          <w:color w:val="142513"/>
          <w:szCs w:val="24"/>
        </w:rPr>
        <w:t>he Northwest &amp; Intermountain Power Producers Coalition (NIPPC) is a membership-based advocacy group representing ele</w:t>
      </w:r>
      <w:r w:rsidR="006B11EF">
        <w:rPr>
          <w:color w:val="142513"/>
          <w:szCs w:val="24"/>
        </w:rPr>
        <w:t xml:space="preserve">ctricity market participants in </w:t>
      </w:r>
      <w:r w:rsidR="006B11EF" w:rsidRPr="006B11EF">
        <w:rPr>
          <w:color w:val="142513"/>
          <w:szCs w:val="24"/>
        </w:rPr>
        <w:t>the Pacific Northwest.</w:t>
      </w:r>
      <w:r w:rsidR="006B11EF">
        <w:rPr>
          <w:color w:val="142513"/>
          <w:szCs w:val="24"/>
        </w:rPr>
        <w:t>”</w:t>
      </w:r>
      <w:r w:rsidR="006B11EF">
        <w:rPr>
          <w:rStyle w:val="FootnoteReference"/>
          <w:color w:val="142513"/>
          <w:szCs w:val="24"/>
        </w:rPr>
        <w:footnoteReference w:id="8"/>
      </w:r>
      <w:r w:rsidR="006B11EF">
        <w:rPr>
          <w:color w:val="142513"/>
          <w:szCs w:val="24"/>
        </w:rPr>
        <w:t xml:space="preserve">  In other words, it is a trade association representing the commercial interests of its members.  In contrast, RN</w:t>
      </w:r>
      <w:r w:rsidR="00F35F5B">
        <w:rPr>
          <w:color w:val="142513"/>
          <w:szCs w:val="24"/>
        </w:rPr>
        <w:t>W</w:t>
      </w:r>
      <w:r w:rsidR="006B11EF">
        <w:rPr>
          <w:color w:val="142513"/>
          <w:szCs w:val="24"/>
        </w:rPr>
        <w:t xml:space="preserve"> is a non-profit advocacy group</w:t>
      </w:r>
      <w:r w:rsidR="006B11EF" w:rsidRPr="006B11EF">
        <w:rPr>
          <w:color w:val="000000" w:themeColor="text1"/>
          <w:szCs w:val="24"/>
        </w:rPr>
        <w:t>.  It</w:t>
      </w:r>
      <w:r w:rsidR="00CB4C9B">
        <w:rPr>
          <w:color w:val="000000" w:themeColor="text1"/>
          <w:szCs w:val="24"/>
        </w:rPr>
        <w:t>s website</w:t>
      </w:r>
      <w:r w:rsidR="006B11EF" w:rsidRPr="006B11EF">
        <w:rPr>
          <w:color w:val="000000" w:themeColor="text1"/>
          <w:szCs w:val="24"/>
        </w:rPr>
        <w:t xml:space="preserve"> states: “</w:t>
      </w:r>
      <w:r w:rsidR="006B11EF" w:rsidRPr="006B11EF">
        <w:rPr>
          <w:color w:val="000000" w:themeColor="text1"/>
        </w:rPr>
        <w:t>Renewable Northwest is the region’s leading non-profit focused exclusively on advocating for new, clean, sustainable, renewable resources.”</w:t>
      </w:r>
      <w:r w:rsidR="006B11EF">
        <w:rPr>
          <w:rStyle w:val="FootnoteReference"/>
          <w:color w:val="000000" w:themeColor="text1"/>
        </w:rPr>
        <w:footnoteReference w:id="9"/>
      </w:r>
      <w:r w:rsidR="006B11EF">
        <w:rPr>
          <w:color w:val="000000" w:themeColor="text1"/>
        </w:rPr>
        <w:t xml:space="preserve">  While it is true that </w:t>
      </w:r>
      <w:r w:rsidR="00604533">
        <w:rPr>
          <w:color w:val="000000" w:themeColor="text1"/>
        </w:rPr>
        <w:t>there are some RN</w:t>
      </w:r>
      <w:r w:rsidR="001E77F0">
        <w:rPr>
          <w:color w:val="000000" w:themeColor="text1"/>
        </w:rPr>
        <w:t>W</w:t>
      </w:r>
      <w:r w:rsidR="00604533">
        <w:rPr>
          <w:color w:val="000000" w:themeColor="text1"/>
        </w:rPr>
        <w:t xml:space="preserve"> members who are also generators of electricity, </w:t>
      </w:r>
      <w:proofErr w:type="gramStart"/>
      <w:r w:rsidR="00604533">
        <w:rPr>
          <w:color w:val="000000" w:themeColor="text1"/>
        </w:rPr>
        <w:t>the majority of</w:t>
      </w:r>
      <w:proofErr w:type="gramEnd"/>
      <w:r w:rsidR="00604533">
        <w:rPr>
          <w:color w:val="000000" w:themeColor="text1"/>
        </w:rPr>
        <w:t xml:space="preserve"> its members are not.  Members </w:t>
      </w:r>
      <w:r w:rsidR="00163C38">
        <w:rPr>
          <w:color w:val="000000" w:themeColor="text1"/>
        </w:rPr>
        <w:t xml:space="preserve">primarily </w:t>
      </w:r>
      <w:r w:rsidR="00604533">
        <w:rPr>
          <w:color w:val="000000" w:themeColor="text1"/>
        </w:rPr>
        <w:t>include other a</w:t>
      </w:r>
      <w:r w:rsidR="00163C38">
        <w:rPr>
          <w:color w:val="000000" w:themeColor="text1"/>
        </w:rPr>
        <w:t xml:space="preserve">dvocacy organizations, but also include some energy companies and </w:t>
      </w:r>
      <w:proofErr w:type="gramStart"/>
      <w:r w:rsidR="00163C38">
        <w:rPr>
          <w:color w:val="000000" w:themeColor="text1"/>
        </w:rPr>
        <w:t>a number of</w:t>
      </w:r>
      <w:proofErr w:type="gramEnd"/>
      <w:r w:rsidR="00163C38">
        <w:rPr>
          <w:color w:val="000000" w:themeColor="text1"/>
        </w:rPr>
        <w:t xml:space="preserve"> consultants.  Indeed, K&amp;L Gates is a member of RN</w:t>
      </w:r>
      <w:r w:rsidR="00F35F5B">
        <w:rPr>
          <w:color w:val="000000" w:themeColor="text1"/>
        </w:rPr>
        <w:t>W</w:t>
      </w:r>
      <w:r w:rsidR="00163C38">
        <w:rPr>
          <w:color w:val="000000" w:themeColor="text1"/>
        </w:rPr>
        <w:t>, as are a few other law firms.</w:t>
      </w:r>
      <w:r w:rsidR="00163C38">
        <w:rPr>
          <w:rStyle w:val="FootnoteReference"/>
          <w:color w:val="000000" w:themeColor="text1"/>
        </w:rPr>
        <w:footnoteReference w:id="10"/>
      </w:r>
      <w:r w:rsidR="00F01FFE">
        <w:rPr>
          <w:color w:val="000000" w:themeColor="text1"/>
        </w:rPr>
        <w:t xml:space="preserve">  And </w:t>
      </w:r>
      <w:r w:rsidR="00163C38">
        <w:rPr>
          <w:color w:val="000000" w:themeColor="text1"/>
        </w:rPr>
        <w:t>RN</w:t>
      </w:r>
      <w:r w:rsidR="00F35F5B">
        <w:rPr>
          <w:color w:val="000000" w:themeColor="text1"/>
        </w:rPr>
        <w:t>W</w:t>
      </w:r>
      <w:r w:rsidR="00163C38">
        <w:rPr>
          <w:color w:val="000000" w:themeColor="text1"/>
        </w:rPr>
        <w:t xml:space="preserve">’s bylaws </w:t>
      </w:r>
      <w:r w:rsidR="00F01FFE">
        <w:rPr>
          <w:color w:val="000000" w:themeColor="text1"/>
        </w:rPr>
        <w:t xml:space="preserve">require that </w:t>
      </w:r>
      <w:proofErr w:type="gramStart"/>
      <w:r w:rsidR="00F01FFE">
        <w:rPr>
          <w:color w:val="000000" w:themeColor="text1"/>
        </w:rPr>
        <w:t>a majority of</w:t>
      </w:r>
      <w:proofErr w:type="gramEnd"/>
      <w:r w:rsidR="00F01FFE">
        <w:rPr>
          <w:color w:val="000000" w:themeColor="text1"/>
        </w:rPr>
        <w:t xml:space="preserve"> the organization’s Board of Directors be “affiliated with nonprofit conservation, environmental, or other public interest organizations.”</w:t>
      </w:r>
      <w:r w:rsidR="00F01FFE">
        <w:rPr>
          <w:rStyle w:val="FootnoteReference"/>
          <w:color w:val="000000" w:themeColor="text1"/>
        </w:rPr>
        <w:footnoteReference w:id="11"/>
      </w:r>
      <w:r w:rsidR="00CB4C9B">
        <w:rPr>
          <w:color w:val="000000" w:themeColor="text1"/>
        </w:rPr>
        <w:t xml:space="preserve">  So, the purposes and operations of NIPPC and RN</w:t>
      </w:r>
      <w:r w:rsidR="00F35F5B">
        <w:rPr>
          <w:color w:val="000000" w:themeColor="text1"/>
        </w:rPr>
        <w:t>W</w:t>
      </w:r>
      <w:r w:rsidR="00CB4C9B">
        <w:rPr>
          <w:color w:val="000000" w:themeColor="text1"/>
        </w:rPr>
        <w:t xml:space="preserve"> are dramatically different.</w:t>
      </w:r>
    </w:p>
    <w:p w14:paraId="176DC46B" w14:textId="77777777" w:rsidR="00EB5B8F" w:rsidRDefault="00CB4C9B" w:rsidP="00F747FD">
      <w:pPr>
        <w:spacing w:line="480" w:lineRule="auto"/>
        <w:ind w:firstLine="720"/>
        <w:rPr>
          <w:color w:val="000000" w:themeColor="text1"/>
        </w:rPr>
      </w:pPr>
      <w:r>
        <w:rPr>
          <w:color w:val="000000" w:themeColor="text1"/>
        </w:rPr>
        <w:t>12</w:t>
      </w:r>
      <w:r w:rsidR="00F01FFE">
        <w:rPr>
          <w:color w:val="000000" w:themeColor="text1"/>
        </w:rPr>
        <w:t>.</w:t>
      </w:r>
      <w:r w:rsidR="00F01FFE">
        <w:rPr>
          <w:color w:val="000000" w:themeColor="text1"/>
        </w:rPr>
        <w:tab/>
        <w:t>The second reason why Microsoft’s comparison of RN</w:t>
      </w:r>
      <w:r w:rsidR="00F35F5B">
        <w:rPr>
          <w:color w:val="000000" w:themeColor="text1"/>
        </w:rPr>
        <w:t>W</w:t>
      </w:r>
      <w:r w:rsidR="00F01FFE">
        <w:rPr>
          <w:color w:val="000000" w:themeColor="text1"/>
        </w:rPr>
        <w:t xml:space="preserve"> to NIPPC is inapt is that RN</w:t>
      </w:r>
      <w:r w:rsidR="00F35F5B">
        <w:rPr>
          <w:color w:val="000000" w:themeColor="text1"/>
        </w:rPr>
        <w:t>W</w:t>
      </w:r>
      <w:r w:rsidR="00F01FFE">
        <w:rPr>
          <w:color w:val="000000" w:themeColor="text1"/>
        </w:rPr>
        <w:t xml:space="preserve"> is not a party and is not seeking to be a party.  NWEC is the party in question, and it seeks to use some experts in renewable energy to assist it (and therefore assist the Commission) in this proceeding.  </w:t>
      </w:r>
      <w:r w:rsidR="00EB5B8F">
        <w:rPr>
          <w:color w:val="000000" w:themeColor="text1"/>
        </w:rPr>
        <w:t xml:space="preserve">So, what legal principle is Microsoft attempting to impose upon the Commission?  If a party to the proceeding seeks to use a witness employed, say by the Sierra Club, need the </w:t>
      </w:r>
      <w:r w:rsidR="00EB5B8F">
        <w:rPr>
          <w:color w:val="000000" w:themeColor="text1"/>
        </w:rPr>
        <w:lastRenderedPageBreak/>
        <w:t>Commission review the Sierra Club’s membership list to make sure that no member may have an economic interest in the proceeding?  Or if a party seeks to employ a consulting firm, need the Commission review the client list of that firm to make sure that no other client has an interest in the outcome of the proceeding?</w:t>
      </w:r>
    </w:p>
    <w:p w14:paraId="69150241" w14:textId="77777777" w:rsidR="0029484E" w:rsidRDefault="00CB4C9B" w:rsidP="007A3219">
      <w:pPr>
        <w:spacing w:line="480" w:lineRule="auto"/>
        <w:ind w:firstLine="720"/>
      </w:pPr>
      <w:r>
        <w:rPr>
          <w:color w:val="000000" w:themeColor="text1"/>
        </w:rPr>
        <w:t>13</w:t>
      </w:r>
      <w:r w:rsidR="00EB5B8F">
        <w:rPr>
          <w:color w:val="000000" w:themeColor="text1"/>
        </w:rPr>
        <w:t>.</w:t>
      </w:r>
      <w:r w:rsidR="00EB5B8F">
        <w:rPr>
          <w:color w:val="000000" w:themeColor="text1"/>
        </w:rPr>
        <w:tab/>
        <w:t xml:space="preserve">The Commission answered this question in Order 03, quoted in paragraph </w:t>
      </w:r>
      <w:r w:rsidR="001E77F0">
        <w:rPr>
          <w:color w:val="000000" w:themeColor="text1"/>
        </w:rPr>
        <w:t>6</w:t>
      </w:r>
      <w:r w:rsidR="00EB5B8F">
        <w:rPr>
          <w:color w:val="000000" w:themeColor="text1"/>
        </w:rPr>
        <w:t xml:space="preserve"> above, when it stated that even if NIPPC is not a party, “if [a] party believes that [NIPPC] has relevant information that will provide the Commission with a full an</w:t>
      </w:r>
      <w:r w:rsidR="00F747FD">
        <w:rPr>
          <w:color w:val="000000" w:themeColor="text1"/>
        </w:rPr>
        <w:t>d</w:t>
      </w:r>
      <w:r w:rsidR="00EB5B8F">
        <w:rPr>
          <w:color w:val="000000" w:themeColor="text1"/>
        </w:rPr>
        <w:t xml:space="preserve"> complete record, [that party] may offer a NIPPC-related witness.”  The Commission continued that “[</w:t>
      </w:r>
      <w:proofErr w:type="spellStart"/>
      <w:r w:rsidR="00EB5B8F">
        <w:rPr>
          <w:color w:val="000000" w:themeColor="text1"/>
        </w:rPr>
        <w:t>i</w:t>
      </w:r>
      <w:proofErr w:type="spellEnd"/>
      <w:r w:rsidR="00EB5B8F">
        <w:rPr>
          <w:color w:val="000000" w:themeColor="text1"/>
        </w:rPr>
        <w:t>]t would be the sponsoring party’s duty to maintain the confidentiality of any documents obtained during discovery and to protect commercially-sensitive information.”</w:t>
      </w:r>
      <w:r w:rsidR="00EB5B8F">
        <w:rPr>
          <w:rStyle w:val="FootnoteReference"/>
          <w:color w:val="000000" w:themeColor="text1"/>
        </w:rPr>
        <w:footnoteReference w:id="12"/>
      </w:r>
      <w:r w:rsidR="00EB5B8F">
        <w:rPr>
          <w:color w:val="000000" w:themeColor="text1"/>
        </w:rPr>
        <w:t xml:space="preserve"> </w:t>
      </w:r>
    </w:p>
    <w:p w14:paraId="66045918" w14:textId="77777777" w:rsidR="00C200CC" w:rsidRDefault="007A3219" w:rsidP="00C200CC">
      <w:pPr>
        <w:widowControl/>
        <w:ind w:left="720" w:hanging="720"/>
      </w:pPr>
      <w:r>
        <w:rPr>
          <w:b/>
        </w:rPr>
        <w:t>B</w:t>
      </w:r>
      <w:r w:rsidR="00C200CC">
        <w:rPr>
          <w:b/>
        </w:rPr>
        <w:t>.</w:t>
      </w:r>
      <w:r w:rsidR="00C200CC">
        <w:rPr>
          <w:b/>
        </w:rPr>
        <w:tab/>
        <w:t>There Is No Basis in Fact for Denying NWEC’s Experts Access to Confidential Information Given the Strictures of the Protective Order and Ethical Standards Applicable to Those Witnesses.</w:t>
      </w:r>
    </w:p>
    <w:p w14:paraId="4FDAD39F" w14:textId="77777777" w:rsidR="00C200CC" w:rsidRDefault="00C200CC" w:rsidP="00C200CC">
      <w:pPr>
        <w:widowControl/>
        <w:ind w:left="720" w:hanging="720"/>
      </w:pPr>
    </w:p>
    <w:p w14:paraId="18F555CD" w14:textId="77777777" w:rsidR="00C200CC" w:rsidRDefault="00CB4C9B" w:rsidP="000447E4">
      <w:pPr>
        <w:widowControl/>
        <w:spacing w:line="480" w:lineRule="auto"/>
        <w:ind w:firstLine="720"/>
      </w:pPr>
      <w:r>
        <w:t>14</w:t>
      </w:r>
      <w:r w:rsidR="007A3219">
        <w:t>.</w:t>
      </w:r>
      <w:r w:rsidR="007A3219">
        <w:tab/>
        <w:t>Mi</w:t>
      </w:r>
      <w:r w:rsidR="000447E4">
        <w:t>crosoft relies entirely</w:t>
      </w:r>
      <w:r>
        <w:t xml:space="preserve"> </w:t>
      </w:r>
      <w:r w:rsidR="0011566B">
        <w:t xml:space="preserve">on </w:t>
      </w:r>
      <w:r>
        <w:t xml:space="preserve">what may be a legal argument, </w:t>
      </w:r>
      <w:r w:rsidR="000447E4">
        <w:t>comparing RN</w:t>
      </w:r>
      <w:r w:rsidR="006A6A03">
        <w:t>W</w:t>
      </w:r>
      <w:r w:rsidR="000447E4">
        <w:t xml:space="preserve"> to NIPPC.  It makes no argument, based on facts</w:t>
      </w:r>
      <w:r>
        <w:t>,</w:t>
      </w:r>
      <w:r w:rsidR="000447E4">
        <w:t xml:space="preserve"> that NWEC’s experts, Ms. Kelley and Mr. O’Brien, would surreptitiously comb the record for confidential information and pass it on to certain RN</w:t>
      </w:r>
      <w:r w:rsidR="001E77F0">
        <w:t>W</w:t>
      </w:r>
      <w:r w:rsidR="000447E4">
        <w:t xml:space="preserve"> members. Either Microsoft is suggesting this </w:t>
      </w:r>
      <w:r w:rsidR="001E77F0">
        <w:t>motive</w:t>
      </w:r>
      <w:r w:rsidR="000447E4">
        <w:t>, or it is not.  If it not suggesting it, then there is no basis for its position.  If it is su</w:t>
      </w:r>
      <w:r>
        <w:t>ggesting it</w:t>
      </w:r>
      <w:r w:rsidR="00EB1DA3">
        <w:t>,</w:t>
      </w:r>
      <w:r>
        <w:t xml:space="preserve"> then that is misguided, if not offensive to the professional integrity of Mr. Kelley and Mr. O’Brien.</w:t>
      </w:r>
    </w:p>
    <w:p w14:paraId="16E9678D" w14:textId="77777777" w:rsidR="000447E4" w:rsidRDefault="00170F4C" w:rsidP="000447E4">
      <w:pPr>
        <w:widowControl/>
        <w:spacing w:line="480" w:lineRule="auto"/>
        <w:ind w:firstLine="720"/>
      </w:pPr>
      <w:r>
        <w:lastRenderedPageBreak/>
        <w:t>15</w:t>
      </w:r>
      <w:r w:rsidR="000447E4">
        <w:t xml:space="preserve">. </w:t>
      </w:r>
      <w:r w:rsidR="000447E4">
        <w:tab/>
        <w:t>As experts signing the Expert Agreements of the Protective Order, Ms. Kelley and Mr. O’Brien agreed “to comply with and be bound by the Protective Order” in this case.  That Protective Order states:</w:t>
      </w:r>
    </w:p>
    <w:p w14:paraId="13364A0B" w14:textId="77777777" w:rsidR="000447E4" w:rsidRPr="005E2FDC" w:rsidRDefault="000447E4" w:rsidP="00EB12AE">
      <w:pPr>
        <w:spacing w:after="240"/>
        <w:ind w:left="720"/>
        <w:rPr>
          <w:sz w:val="25"/>
          <w:szCs w:val="25"/>
        </w:rPr>
      </w:pPr>
      <w:r w:rsidRPr="00C363FC">
        <w:rPr>
          <w:b/>
          <w:bCs/>
          <w:sz w:val="25"/>
          <w:szCs w:val="25"/>
        </w:rPr>
        <w:t>Purpose of Access and Use; Confidentiality</w:t>
      </w:r>
      <w:r>
        <w:rPr>
          <w:sz w:val="25"/>
          <w:szCs w:val="25"/>
        </w:rPr>
        <w:t xml:space="preserve">. </w:t>
      </w:r>
      <w:r w:rsidRPr="00C363FC">
        <w:rPr>
          <w:sz w:val="25"/>
          <w:szCs w:val="25"/>
        </w:rPr>
        <w:t>No Confidential Information distributed or obtained pursuant to this Protective Order may be requested, reviewed, used or disclosed, directly or indirectly, by any party, expert or counsel or any other person having access pursuant to this Order, except for purposes of this proceeding</w:t>
      </w:r>
      <w:r>
        <w:rPr>
          <w:sz w:val="25"/>
          <w:szCs w:val="25"/>
        </w:rPr>
        <w:t xml:space="preserve"> and Docket UE-161123. </w:t>
      </w:r>
      <w:r w:rsidRPr="00C363FC">
        <w:rPr>
          <w:sz w:val="25"/>
          <w:szCs w:val="25"/>
        </w:rPr>
        <w:t>Persons having access to the Confidential Information pursuant to this Order must request, review, use or disclose Confidential Information only by or to persons authorized under this Order, and only in accordance with the terms specified in this Order</w:t>
      </w:r>
      <w:r>
        <w:rPr>
          <w:sz w:val="25"/>
          <w:szCs w:val="25"/>
        </w:rPr>
        <w:t xml:space="preserve">. </w:t>
      </w:r>
      <w:r w:rsidRPr="00C363FC">
        <w:rPr>
          <w:sz w:val="25"/>
          <w:szCs w:val="25"/>
        </w:rPr>
        <w:t xml:space="preserve">Without limiting the foregoing, persons having access to Confidential Information shall not use any Confidential Information to design, develop, provide, or market any product, service, or business strategy that would compete with any product of the </w:t>
      </w:r>
      <w:r>
        <w:rPr>
          <w:sz w:val="25"/>
          <w:szCs w:val="25"/>
        </w:rPr>
        <w:t>party asserting confidentiality</w:t>
      </w:r>
      <w:r>
        <w:t>.</w:t>
      </w:r>
      <w:r w:rsidR="00EB12AE">
        <w:rPr>
          <w:rStyle w:val="FootnoteReference"/>
        </w:rPr>
        <w:footnoteReference w:id="13"/>
      </w:r>
    </w:p>
    <w:p w14:paraId="24C335DB" w14:textId="77777777" w:rsidR="000447E4" w:rsidRPr="00C200CC" w:rsidRDefault="00EB12AE" w:rsidP="00EB12AE">
      <w:pPr>
        <w:widowControl/>
        <w:spacing w:line="480" w:lineRule="auto"/>
      </w:pPr>
      <w:r>
        <w:t>In other words, Ms. Kelley and Mr. O’Brien are bound by order of this Commission not to disclose information.  If they violated the terms of that order, they would be subject to penalty. As an attorney, Ms. Kelley may even be subject to disciplinary action by the Oregon State Bar.  Even RN</w:t>
      </w:r>
      <w:r w:rsidR="00F35F5B">
        <w:t>W</w:t>
      </w:r>
      <w:r>
        <w:t xml:space="preserve">’s internal code of ethics prohibits </w:t>
      </w:r>
      <w:r w:rsidR="007B4666">
        <w:t>disclosure of such information.</w:t>
      </w:r>
      <w:r w:rsidR="007B4666">
        <w:rPr>
          <w:rStyle w:val="FootnoteReference"/>
        </w:rPr>
        <w:footnoteReference w:id="14"/>
      </w:r>
      <w:r w:rsidR="007B4666">
        <w:t xml:space="preserve">  Just as attorneys for K&amp;L Gates can </w:t>
      </w:r>
      <w:r w:rsidR="0011566B">
        <w:t xml:space="preserve">be </w:t>
      </w:r>
      <w:r w:rsidR="007B4666">
        <w:t>counted on not to disclose confidential information to other RN</w:t>
      </w:r>
      <w:r w:rsidR="00F35F5B">
        <w:t>W</w:t>
      </w:r>
      <w:r w:rsidR="007B4666">
        <w:t xml:space="preserve"> members, experts Kelley and O’Brien can be counted on to comply with the terms of the Protective Order.</w:t>
      </w:r>
      <w:r w:rsidR="001C5C73">
        <w:t xml:space="preserve">  </w:t>
      </w:r>
    </w:p>
    <w:p w14:paraId="6FF5CC53" w14:textId="77777777" w:rsidR="00F35F5B" w:rsidRDefault="00F35F5B" w:rsidP="00F33EF0">
      <w:pPr>
        <w:pStyle w:val="PleadingsL1"/>
        <w:numPr>
          <w:ilvl w:val="0"/>
          <w:numId w:val="0"/>
        </w:numPr>
        <w:spacing w:before="120" w:after="360"/>
        <w:jc w:val="left"/>
      </w:pPr>
    </w:p>
    <w:p w14:paraId="43AC8E14" w14:textId="77777777" w:rsidR="0029484E" w:rsidRDefault="00970345">
      <w:pPr>
        <w:pStyle w:val="PleadingsL1"/>
        <w:tabs>
          <w:tab w:val="clear" w:pos="720"/>
        </w:tabs>
        <w:spacing w:before="120" w:after="360"/>
      </w:pPr>
      <w:r>
        <w:t>CONCLUSION</w:t>
      </w:r>
    </w:p>
    <w:p w14:paraId="4DD36DE8" w14:textId="77777777" w:rsidR="0029484E" w:rsidRDefault="00970345" w:rsidP="00CB4C9B">
      <w:pPr>
        <w:widowControl/>
        <w:spacing w:line="480" w:lineRule="auto"/>
        <w:ind w:firstLine="720"/>
      </w:pPr>
      <w:r>
        <w:t>1</w:t>
      </w:r>
      <w:r w:rsidR="00170F4C">
        <w:t>6</w:t>
      </w:r>
      <w:r>
        <w:t>.</w:t>
      </w:r>
      <w:r>
        <w:tab/>
        <w:t>For the rea</w:t>
      </w:r>
      <w:r w:rsidR="00CB4C9B">
        <w:t>sons stated above, NWEC</w:t>
      </w:r>
      <w:r>
        <w:t xml:space="preserve"> requests that </w:t>
      </w:r>
      <w:r w:rsidR="00CB4C9B">
        <w:t xml:space="preserve">Microsoft’s objections to the expert agreements of </w:t>
      </w:r>
      <w:r>
        <w:t xml:space="preserve">Ms. Kelley </w:t>
      </w:r>
      <w:r w:rsidR="00CB4C9B">
        <w:t>and Mr. O’Brien be overruled and its motion to deny their</w:t>
      </w:r>
      <w:r>
        <w:t xml:space="preserve"> access to confidential</w:t>
      </w:r>
      <w:r w:rsidR="007B4666">
        <w:t xml:space="preserve"> information in this proceeding </w:t>
      </w:r>
      <w:r w:rsidR="00CB4C9B">
        <w:t xml:space="preserve">be denied.  NWEC also requests </w:t>
      </w:r>
      <w:r w:rsidR="007B4666">
        <w:t>that the deadline for filing NWEC testimony be extended an appropriate amount of time to allow them to review all relevant informati</w:t>
      </w:r>
      <w:r w:rsidR="00CB4C9B">
        <w:t xml:space="preserve">on generated in this proceeding and that the Notice issued March 1 setting up a briefing schedule for consideration of Microsoft’s objections and motion be withdrawn so that relief requested by NWEC can be granted </w:t>
      </w:r>
      <w:proofErr w:type="gramStart"/>
      <w:r w:rsidR="00CB4C9B">
        <w:t>at the earliest possible date</w:t>
      </w:r>
      <w:proofErr w:type="gramEnd"/>
      <w:r w:rsidR="00CB4C9B">
        <w:t>.</w:t>
      </w:r>
    </w:p>
    <w:p w14:paraId="432C328D" w14:textId="77777777" w:rsidR="00E731F8" w:rsidRDefault="007B4666" w:rsidP="00E731F8">
      <w:pPr>
        <w:pStyle w:val="BodyText"/>
        <w:keepNext/>
        <w:keepLines/>
        <w:widowControl/>
      </w:pPr>
      <w:r>
        <w:t>Dated, March 3,</w:t>
      </w:r>
      <w:r w:rsidR="00970345">
        <w:t xml:space="preserve"> 2017.</w:t>
      </w:r>
    </w:p>
    <w:p w14:paraId="119C19D3" w14:textId="77777777" w:rsidR="00E731F8" w:rsidRDefault="00E731F8" w:rsidP="00E731F8">
      <w:pPr>
        <w:pStyle w:val="BodyText"/>
        <w:keepNext/>
        <w:keepLines/>
        <w:widowControl/>
      </w:pPr>
    </w:p>
    <w:p w14:paraId="2C977BE2" w14:textId="77777777" w:rsidR="00E731F8" w:rsidRDefault="00E731F8" w:rsidP="00E731F8">
      <w:pPr>
        <w:spacing w:line="480" w:lineRule="auto"/>
      </w:pPr>
    </w:p>
    <w:p w14:paraId="4A786AD6" w14:textId="77777777" w:rsidR="00E731F8" w:rsidRDefault="00E731F8" w:rsidP="00E731F8">
      <w:pPr>
        <w:spacing w:line="480" w:lineRule="auto"/>
        <w:ind w:left="3600"/>
      </w:pPr>
      <w:r>
        <w:t>Respectfully submitted,</w:t>
      </w:r>
    </w:p>
    <w:p w14:paraId="08A77680" w14:textId="77777777" w:rsidR="00E731F8" w:rsidRDefault="00E731F8" w:rsidP="00E731F8">
      <w:pPr>
        <w:tabs>
          <w:tab w:val="left" w:pos="8460"/>
        </w:tabs>
        <w:ind w:left="3600"/>
      </w:pPr>
    </w:p>
    <w:p w14:paraId="1B79CF6A" w14:textId="77777777" w:rsidR="00E731F8" w:rsidRPr="00851880" w:rsidRDefault="001E77F0" w:rsidP="00E731F8">
      <w:pPr>
        <w:tabs>
          <w:tab w:val="left" w:pos="8280"/>
        </w:tabs>
        <w:ind w:left="3600"/>
        <w:rPr>
          <w:i/>
          <w:u w:val="single"/>
        </w:rPr>
      </w:pPr>
      <w:r>
        <w:rPr>
          <w:i/>
          <w:u w:val="single"/>
        </w:rPr>
        <w:t xml:space="preserve">s/Jeffrey D. </w:t>
      </w:r>
      <w:proofErr w:type="spellStart"/>
      <w:r>
        <w:rPr>
          <w:i/>
          <w:u w:val="single"/>
        </w:rPr>
        <w:t>Goltz</w:t>
      </w:r>
      <w:proofErr w:type="spellEnd"/>
      <w:r w:rsidR="00E731F8" w:rsidRPr="00851880">
        <w:rPr>
          <w:i/>
          <w:u w:val="single"/>
        </w:rPr>
        <w:tab/>
      </w:r>
    </w:p>
    <w:p w14:paraId="2B16D0DA" w14:textId="77777777" w:rsidR="00E731F8" w:rsidRDefault="00E731F8" w:rsidP="00E731F8">
      <w:pPr>
        <w:tabs>
          <w:tab w:val="left" w:pos="8280"/>
        </w:tabs>
        <w:ind w:left="3600"/>
      </w:pPr>
      <w:r>
        <w:t>Jeffrey D. Goltz</w:t>
      </w:r>
    </w:p>
    <w:p w14:paraId="25570FA4" w14:textId="77777777" w:rsidR="00E731F8" w:rsidRDefault="00E731F8" w:rsidP="00E731F8">
      <w:pPr>
        <w:ind w:left="3600"/>
      </w:pPr>
      <w:r>
        <w:t>Cascadia Law Group</w:t>
      </w:r>
    </w:p>
    <w:p w14:paraId="17FFD541" w14:textId="77777777" w:rsidR="00E731F8" w:rsidRDefault="00E731F8" w:rsidP="00E731F8">
      <w:pPr>
        <w:ind w:left="3600"/>
      </w:pPr>
      <w:r>
        <w:t>606 Columbia Street, N.W., Suite 212</w:t>
      </w:r>
    </w:p>
    <w:p w14:paraId="4CA4EDD0" w14:textId="77777777" w:rsidR="00E731F8" w:rsidRDefault="00E731F8" w:rsidP="00E731F8">
      <w:pPr>
        <w:ind w:left="3600"/>
      </w:pPr>
      <w:r>
        <w:t>Olympia, WA  98501</w:t>
      </w:r>
    </w:p>
    <w:p w14:paraId="6E441E2D" w14:textId="77777777" w:rsidR="00E731F8" w:rsidRDefault="00E731F8" w:rsidP="00E731F8">
      <w:pPr>
        <w:ind w:left="3600"/>
      </w:pPr>
      <w:r>
        <w:t>(360) 528-3026</w:t>
      </w:r>
    </w:p>
    <w:p w14:paraId="4646877A" w14:textId="77777777" w:rsidR="00E731F8" w:rsidRDefault="003B68E7" w:rsidP="00E731F8">
      <w:pPr>
        <w:ind w:left="3600"/>
      </w:pPr>
      <w:hyperlink r:id="rId8" w:history="1">
        <w:r w:rsidR="00E731F8" w:rsidRPr="00003D47">
          <w:rPr>
            <w:rStyle w:val="Hyperlink"/>
          </w:rPr>
          <w:t>jgoltz@cascadialaw.com</w:t>
        </w:r>
      </w:hyperlink>
    </w:p>
    <w:p w14:paraId="1AC83927" w14:textId="77777777" w:rsidR="00E731F8" w:rsidRDefault="00E731F8" w:rsidP="00E731F8">
      <w:pPr>
        <w:ind w:left="3600"/>
      </w:pPr>
    </w:p>
    <w:p w14:paraId="0E453AE1" w14:textId="77777777" w:rsidR="00E731F8" w:rsidRDefault="00E731F8" w:rsidP="00E731F8">
      <w:pPr>
        <w:ind w:left="3600"/>
      </w:pPr>
      <w:r>
        <w:t>Attorneys Northwest Energy Coalition (NWEC)</w:t>
      </w:r>
    </w:p>
    <w:p w14:paraId="10F07593" w14:textId="77777777" w:rsidR="00E731F8" w:rsidRPr="00D5789B" w:rsidRDefault="00E731F8" w:rsidP="00E731F8">
      <w:pPr>
        <w:spacing w:line="276" w:lineRule="auto"/>
        <w:rPr>
          <w:b/>
        </w:rPr>
      </w:pPr>
    </w:p>
    <w:p w14:paraId="73DB45D7" w14:textId="77777777" w:rsidR="00E731F8" w:rsidRDefault="00E731F8" w:rsidP="00E731F8">
      <w:pPr>
        <w:spacing w:line="480" w:lineRule="auto"/>
      </w:pPr>
    </w:p>
    <w:p w14:paraId="3E134736" w14:textId="77777777" w:rsidR="00E731F8" w:rsidRDefault="00E731F8" w:rsidP="00E731F8">
      <w:pPr>
        <w:pStyle w:val="BodyText"/>
        <w:keepNext/>
        <w:keepLines/>
        <w:widowControl/>
      </w:pPr>
    </w:p>
    <w:p w14:paraId="049FB112" w14:textId="77777777" w:rsidR="0029484E" w:rsidRDefault="00E731F8" w:rsidP="00E731F8">
      <w:pPr>
        <w:pStyle w:val="BodyText"/>
        <w:keepNext/>
        <w:keepLines/>
        <w:widowControl/>
      </w:pPr>
      <w:r>
        <w:t xml:space="preserve"> </w:t>
      </w:r>
    </w:p>
    <w:sectPr w:rsidR="0029484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584" w:gutter="0"/>
      <w:pgNumType w:start="1"/>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FF987" w14:textId="77777777" w:rsidR="003B68E7" w:rsidRDefault="003B68E7">
      <w:r>
        <w:separator/>
      </w:r>
    </w:p>
  </w:endnote>
  <w:endnote w:type="continuationSeparator" w:id="0">
    <w:p w14:paraId="6A7FBC76" w14:textId="77777777" w:rsidR="003B68E7" w:rsidRDefault="003B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CAE6" w14:textId="77777777" w:rsidR="00DD0E08" w:rsidRDefault="00DD0E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CEC4" w14:textId="77777777" w:rsidR="00DD0E08" w:rsidRDefault="00DD0E08" w:rsidP="00F747FD">
    <w:pPr>
      <w:tabs>
        <w:tab w:val="right" w:pos="9360"/>
      </w:tabs>
      <w:spacing w:before="240"/>
      <w:ind w:right="-115"/>
      <w:rPr>
        <w:szCs w:val="24"/>
      </w:rPr>
    </w:pPr>
    <w:r>
      <w:rPr>
        <w:szCs w:val="24"/>
      </w:rPr>
      <w:t>NWEC Response to Microsoft’s Objection to, and Motion to Deny,</w:t>
    </w:r>
    <w:r>
      <w:rPr>
        <w:szCs w:val="24"/>
      </w:rPr>
      <w:tab/>
      <w:t xml:space="preserve">Page </w:t>
    </w:r>
    <w:r>
      <w:rPr>
        <w:szCs w:val="24"/>
      </w:rPr>
      <w:fldChar w:fldCharType="begin"/>
    </w:r>
    <w:r>
      <w:rPr>
        <w:szCs w:val="24"/>
      </w:rPr>
      <w:instrText xml:space="preserve"> PAGE   \* MERGEFORMAT </w:instrText>
    </w:r>
    <w:r>
      <w:rPr>
        <w:szCs w:val="24"/>
      </w:rPr>
      <w:fldChar w:fldCharType="separate"/>
    </w:r>
    <w:r w:rsidR="001E77F0">
      <w:rPr>
        <w:noProof/>
        <w:szCs w:val="24"/>
      </w:rPr>
      <w:t>2</w:t>
    </w:r>
    <w:r>
      <w:rPr>
        <w:noProof/>
        <w:szCs w:val="24"/>
      </w:rPr>
      <w:fldChar w:fldCharType="end"/>
    </w:r>
    <w:r>
      <w:rPr>
        <w:noProof/>
        <w:szCs w:val="24"/>
      </w:rPr>
      <w:br/>
    </w:r>
    <w:r>
      <w:rPr>
        <w:szCs w:val="24"/>
      </w:rPr>
      <w:t xml:space="preserve">Access to Confidential Information by NWEC Witnesses Kelley and O’Brien </w:t>
    </w:r>
  </w:p>
  <w:p w14:paraId="280AEC94" w14:textId="77777777" w:rsidR="00DD0E08" w:rsidRDefault="00DD0E08">
    <w:pPr>
      <w:tabs>
        <w:tab w:val="right" w:pos="9360"/>
      </w:tabs>
      <w:ind w:right="-115"/>
      <w:rPr>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70261" w14:textId="77777777" w:rsidR="00DD0E08" w:rsidRDefault="00DD0E08" w:rsidP="0062008D">
    <w:pPr>
      <w:tabs>
        <w:tab w:val="right" w:pos="9360"/>
      </w:tabs>
      <w:spacing w:before="240"/>
      <w:ind w:right="-115"/>
      <w:rPr>
        <w:szCs w:val="24"/>
      </w:rPr>
    </w:pPr>
    <w:r>
      <w:rPr>
        <w:szCs w:val="24"/>
      </w:rPr>
      <w:t>NWEC Response to Microsoft’s Objection to, and Motion to Deny,</w:t>
    </w:r>
    <w:r>
      <w:rPr>
        <w:szCs w:val="24"/>
      </w:rPr>
      <w:tab/>
      <w:t xml:space="preserve">Page </w:t>
    </w:r>
    <w:r>
      <w:rPr>
        <w:szCs w:val="24"/>
      </w:rPr>
      <w:fldChar w:fldCharType="begin"/>
    </w:r>
    <w:r>
      <w:rPr>
        <w:szCs w:val="24"/>
      </w:rPr>
      <w:instrText xml:space="preserve"> PAGE   \* MERGEFORMAT </w:instrText>
    </w:r>
    <w:r>
      <w:rPr>
        <w:szCs w:val="24"/>
      </w:rPr>
      <w:fldChar w:fldCharType="separate"/>
    </w:r>
    <w:r w:rsidR="001E77F0">
      <w:rPr>
        <w:noProof/>
        <w:szCs w:val="24"/>
      </w:rPr>
      <w:t>1</w:t>
    </w:r>
    <w:r>
      <w:rPr>
        <w:noProof/>
        <w:szCs w:val="24"/>
      </w:rPr>
      <w:fldChar w:fldCharType="end"/>
    </w:r>
    <w:r>
      <w:rPr>
        <w:noProof/>
        <w:szCs w:val="24"/>
      </w:rPr>
      <w:br/>
    </w:r>
    <w:r>
      <w:rPr>
        <w:szCs w:val="24"/>
      </w:rPr>
      <w:t xml:space="preserve">Access to Confidential Information by NWEC Witnesses Kelley and O’Brien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BBC7" w14:textId="77777777" w:rsidR="003B68E7" w:rsidRDefault="003B68E7">
      <w:r>
        <w:separator/>
      </w:r>
    </w:p>
  </w:footnote>
  <w:footnote w:type="continuationSeparator" w:id="0">
    <w:p w14:paraId="3052C7F8" w14:textId="77777777" w:rsidR="003B68E7" w:rsidRDefault="003B68E7">
      <w:r>
        <w:continuationSeparator/>
      </w:r>
    </w:p>
  </w:footnote>
  <w:footnote w:id="1">
    <w:p w14:paraId="477451F5" w14:textId="77777777" w:rsidR="00DD0E08" w:rsidRDefault="00DD0E08" w:rsidP="00206CF0">
      <w:pPr>
        <w:pStyle w:val="FootnoteText"/>
        <w:jc w:val="both"/>
        <w:rPr>
          <w:sz w:val="24"/>
          <w:szCs w:val="24"/>
        </w:rPr>
      </w:pPr>
      <w:r>
        <w:rPr>
          <w:rStyle w:val="FootnoteReference"/>
          <w:sz w:val="24"/>
          <w:szCs w:val="24"/>
        </w:rPr>
        <w:footnoteRef/>
      </w:r>
      <w:r>
        <w:rPr>
          <w:sz w:val="24"/>
          <w:szCs w:val="24"/>
        </w:rPr>
        <w:t xml:space="preserve"> Order 03, Protective Order With “Highly Confidential” Provisions (Nov. 22, 2016).</w:t>
      </w:r>
    </w:p>
  </w:footnote>
  <w:footnote w:id="2">
    <w:p w14:paraId="547906D5" w14:textId="77777777" w:rsidR="00DD0E08" w:rsidRPr="00E50851" w:rsidRDefault="00DD0E08">
      <w:pPr>
        <w:pStyle w:val="FootnoteText"/>
        <w:rPr>
          <w:sz w:val="24"/>
          <w:szCs w:val="24"/>
        </w:rPr>
      </w:pPr>
      <w:r w:rsidRPr="00E50851">
        <w:rPr>
          <w:rStyle w:val="FootnoteReference"/>
          <w:sz w:val="24"/>
          <w:szCs w:val="24"/>
        </w:rPr>
        <w:footnoteRef/>
      </w:r>
      <w:r w:rsidRPr="00E50851">
        <w:rPr>
          <w:sz w:val="24"/>
          <w:szCs w:val="24"/>
        </w:rPr>
        <w:t xml:space="preserve"> Order 02, ¶5.</w:t>
      </w:r>
    </w:p>
  </w:footnote>
  <w:footnote w:id="3">
    <w:p w14:paraId="4208099F" w14:textId="77777777" w:rsidR="00DD0E08" w:rsidRPr="00AB5804" w:rsidRDefault="00DD0E08">
      <w:pPr>
        <w:pStyle w:val="FootnoteText"/>
        <w:rPr>
          <w:sz w:val="24"/>
          <w:szCs w:val="24"/>
        </w:rPr>
      </w:pPr>
      <w:r w:rsidRPr="00AB5804">
        <w:rPr>
          <w:rStyle w:val="FootnoteReference"/>
          <w:sz w:val="24"/>
          <w:szCs w:val="24"/>
        </w:rPr>
        <w:footnoteRef/>
      </w:r>
      <w:r w:rsidRPr="00AB5804">
        <w:rPr>
          <w:sz w:val="24"/>
          <w:szCs w:val="24"/>
        </w:rPr>
        <w:t xml:space="preserve"> </w:t>
      </w:r>
      <w:r w:rsidRPr="00AB5804">
        <w:rPr>
          <w:i/>
          <w:sz w:val="24"/>
          <w:szCs w:val="24"/>
        </w:rPr>
        <w:t xml:space="preserve">See </w:t>
      </w:r>
      <w:r w:rsidRPr="00AB5804">
        <w:rPr>
          <w:sz w:val="24"/>
          <w:szCs w:val="24"/>
        </w:rPr>
        <w:t>Order 03, ¶4.</w:t>
      </w:r>
    </w:p>
  </w:footnote>
  <w:footnote w:id="4">
    <w:p w14:paraId="4965F659" w14:textId="77777777" w:rsidR="00DD0E08" w:rsidRPr="00AB5804" w:rsidRDefault="00DD0E08">
      <w:pPr>
        <w:pStyle w:val="FootnoteText"/>
        <w:rPr>
          <w:sz w:val="24"/>
          <w:szCs w:val="24"/>
        </w:rPr>
      </w:pPr>
      <w:r w:rsidRPr="00AB5804">
        <w:rPr>
          <w:rStyle w:val="FootnoteReference"/>
          <w:sz w:val="24"/>
          <w:szCs w:val="24"/>
        </w:rPr>
        <w:footnoteRef/>
      </w:r>
      <w:r w:rsidRPr="00AB5804">
        <w:rPr>
          <w:sz w:val="24"/>
          <w:szCs w:val="24"/>
        </w:rPr>
        <w:t xml:space="preserve"> Order 03, ¶16.</w:t>
      </w:r>
    </w:p>
  </w:footnote>
  <w:footnote w:id="5">
    <w:p w14:paraId="67A88926" w14:textId="77777777" w:rsidR="00DD0E08" w:rsidRPr="006156A3" w:rsidRDefault="00DD0E08">
      <w:pPr>
        <w:pStyle w:val="FootnoteText"/>
        <w:rPr>
          <w:sz w:val="24"/>
          <w:szCs w:val="24"/>
        </w:rPr>
      </w:pPr>
      <w:r w:rsidRPr="006156A3">
        <w:rPr>
          <w:rStyle w:val="FootnoteReference"/>
          <w:sz w:val="24"/>
          <w:szCs w:val="24"/>
        </w:rPr>
        <w:footnoteRef/>
      </w:r>
      <w:r w:rsidRPr="006156A3">
        <w:rPr>
          <w:sz w:val="24"/>
          <w:szCs w:val="24"/>
        </w:rPr>
        <w:t xml:space="preserve"> Order 03, </w:t>
      </w:r>
    </w:p>
  </w:footnote>
  <w:footnote w:id="6">
    <w:p w14:paraId="47A26852" w14:textId="77777777" w:rsidR="00DD0E08" w:rsidRPr="00F20E03" w:rsidRDefault="00DD0E08">
      <w:pPr>
        <w:pStyle w:val="FootnoteText"/>
        <w:rPr>
          <w:sz w:val="24"/>
          <w:szCs w:val="24"/>
        </w:rPr>
      </w:pPr>
      <w:r w:rsidRPr="00F20E03">
        <w:rPr>
          <w:rStyle w:val="FootnoteReference"/>
          <w:sz w:val="24"/>
          <w:szCs w:val="24"/>
        </w:rPr>
        <w:footnoteRef/>
      </w:r>
      <w:r w:rsidRPr="00F20E03">
        <w:rPr>
          <w:sz w:val="24"/>
          <w:szCs w:val="24"/>
        </w:rPr>
        <w:t xml:space="preserve"> Order 03, ¶25 (emphasis added).</w:t>
      </w:r>
    </w:p>
  </w:footnote>
  <w:footnote w:id="7">
    <w:p w14:paraId="3C88F2BF" w14:textId="77777777" w:rsidR="00DD0E08" w:rsidRPr="002F3D68" w:rsidRDefault="00DD0E08" w:rsidP="002F3D68">
      <w:pPr>
        <w:pStyle w:val="FootnoteText"/>
        <w:tabs>
          <w:tab w:val="left" w:pos="7418"/>
        </w:tabs>
        <w:rPr>
          <w:sz w:val="24"/>
          <w:szCs w:val="24"/>
        </w:rPr>
      </w:pPr>
      <w:r w:rsidRPr="002F3D68">
        <w:rPr>
          <w:rStyle w:val="FootnoteReference"/>
          <w:sz w:val="24"/>
          <w:szCs w:val="24"/>
        </w:rPr>
        <w:footnoteRef/>
      </w:r>
      <w:r w:rsidRPr="002F3D68">
        <w:rPr>
          <w:sz w:val="24"/>
          <w:szCs w:val="24"/>
        </w:rPr>
        <w:t xml:space="preserve"> Order 05, ¶20.</w:t>
      </w:r>
      <w:r>
        <w:rPr>
          <w:sz w:val="24"/>
          <w:szCs w:val="24"/>
        </w:rPr>
        <w:tab/>
      </w:r>
    </w:p>
  </w:footnote>
  <w:footnote w:id="8">
    <w:p w14:paraId="6CD564DF" w14:textId="77777777" w:rsidR="00DD0E08" w:rsidRPr="007A3219" w:rsidRDefault="00DD0E08" w:rsidP="007A3219">
      <w:pPr>
        <w:tabs>
          <w:tab w:val="left" w:pos="7418"/>
        </w:tabs>
        <w:rPr>
          <w:szCs w:val="24"/>
        </w:rPr>
      </w:pPr>
      <w:r w:rsidRPr="006B11EF">
        <w:rPr>
          <w:rStyle w:val="FootnoteReference"/>
          <w:sz w:val="24"/>
          <w:szCs w:val="24"/>
        </w:rPr>
        <w:footnoteRef/>
      </w:r>
      <w:r w:rsidRPr="006B11EF">
        <w:rPr>
          <w:szCs w:val="24"/>
        </w:rPr>
        <w:t xml:space="preserve"> </w:t>
      </w:r>
      <w:hyperlink r:id="rId1" w:history="1">
        <w:r w:rsidRPr="006B11EF">
          <w:rPr>
            <w:rStyle w:val="Hyperlink"/>
            <w:szCs w:val="24"/>
          </w:rPr>
          <w:t>http://nippc.org</w:t>
        </w:r>
      </w:hyperlink>
      <w:r>
        <w:rPr>
          <w:rStyle w:val="Hyperlink"/>
          <w:szCs w:val="24"/>
        </w:rPr>
        <w:t>.</w:t>
      </w:r>
    </w:p>
  </w:footnote>
  <w:footnote w:id="9">
    <w:p w14:paraId="518BB6E5" w14:textId="77777777" w:rsidR="00DD0E08" w:rsidRPr="006B11EF" w:rsidRDefault="00DD0E08" w:rsidP="00F747FD">
      <w:pPr>
        <w:pStyle w:val="FootnoteText"/>
        <w:tabs>
          <w:tab w:val="left" w:pos="6781"/>
        </w:tabs>
        <w:rPr>
          <w:sz w:val="24"/>
          <w:szCs w:val="24"/>
        </w:rPr>
      </w:pPr>
      <w:r w:rsidRPr="006B11EF">
        <w:rPr>
          <w:rStyle w:val="FootnoteReference"/>
          <w:sz w:val="24"/>
          <w:szCs w:val="24"/>
        </w:rPr>
        <w:footnoteRef/>
      </w:r>
      <w:r w:rsidRPr="006B11EF">
        <w:rPr>
          <w:sz w:val="24"/>
          <w:szCs w:val="24"/>
        </w:rPr>
        <w:t xml:space="preserve"> </w:t>
      </w:r>
      <w:hyperlink r:id="rId2" w:history="1">
        <w:r w:rsidRPr="006B11EF">
          <w:rPr>
            <w:rStyle w:val="Hyperlink"/>
            <w:sz w:val="24"/>
            <w:szCs w:val="24"/>
          </w:rPr>
          <w:t>http://www.rnp.org/node/our-story</w:t>
        </w:r>
      </w:hyperlink>
      <w:r>
        <w:rPr>
          <w:rStyle w:val="Hyperlink"/>
          <w:sz w:val="24"/>
          <w:szCs w:val="24"/>
        </w:rPr>
        <w:t>.</w:t>
      </w:r>
    </w:p>
  </w:footnote>
  <w:footnote w:id="10">
    <w:p w14:paraId="77F46101" w14:textId="77777777" w:rsidR="00DD0E08" w:rsidRPr="00163C38" w:rsidRDefault="00DD0E08">
      <w:pPr>
        <w:pStyle w:val="FootnoteText"/>
        <w:rPr>
          <w:sz w:val="24"/>
          <w:szCs w:val="24"/>
        </w:rPr>
      </w:pPr>
      <w:r w:rsidRPr="00163C38">
        <w:rPr>
          <w:rStyle w:val="FootnoteReference"/>
          <w:sz w:val="24"/>
          <w:szCs w:val="24"/>
        </w:rPr>
        <w:footnoteRef/>
      </w:r>
      <w:r w:rsidRPr="00163C38">
        <w:rPr>
          <w:sz w:val="24"/>
          <w:szCs w:val="24"/>
        </w:rPr>
        <w:t xml:space="preserve"> </w:t>
      </w:r>
      <w:hyperlink r:id="rId3" w:history="1">
        <w:r w:rsidRPr="0070305A">
          <w:rPr>
            <w:rStyle w:val="Hyperlink"/>
            <w:sz w:val="24"/>
            <w:szCs w:val="24"/>
          </w:rPr>
          <w:t>http://www.rnp.org/our_members</w:t>
        </w:r>
      </w:hyperlink>
      <w:r>
        <w:rPr>
          <w:sz w:val="24"/>
          <w:szCs w:val="24"/>
        </w:rPr>
        <w:t xml:space="preserve">. </w:t>
      </w:r>
    </w:p>
  </w:footnote>
  <w:footnote w:id="11">
    <w:p w14:paraId="753A6031" w14:textId="77777777" w:rsidR="00DD0E08" w:rsidRPr="00F01FFE" w:rsidRDefault="00DD0E08">
      <w:pPr>
        <w:pStyle w:val="FootnoteText"/>
        <w:rPr>
          <w:sz w:val="24"/>
          <w:szCs w:val="24"/>
        </w:rPr>
      </w:pPr>
      <w:r w:rsidRPr="00F01FFE">
        <w:rPr>
          <w:rStyle w:val="FootnoteReference"/>
          <w:sz w:val="24"/>
          <w:szCs w:val="24"/>
        </w:rPr>
        <w:footnoteRef/>
      </w:r>
      <w:r w:rsidRPr="00F01FFE">
        <w:rPr>
          <w:sz w:val="24"/>
          <w:szCs w:val="24"/>
        </w:rPr>
        <w:t xml:space="preserve"> </w:t>
      </w:r>
      <w:hyperlink r:id="rId4" w:history="1">
        <w:r w:rsidRPr="00F01FFE">
          <w:rPr>
            <w:rStyle w:val="Hyperlink"/>
            <w:sz w:val="24"/>
            <w:szCs w:val="24"/>
          </w:rPr>
          <w:t>http://www.rnp.org/sites/default/files/pdfs/RNP%20Bylaws.pdf</w:t>
        </w:r>
      </w:hyperlink>
      <w:r w:rsidRPr="00F01FFE">
        <w:rPr>
          <w:sz w:val="24"/>
          <w:szCs w:val="24"/>
        </w:rPr>
        <w:t xml:space="preserve"> (Art. III, section 2).</w:t>
      </w:r>
    </w:p>
  </w:footnote>
  <w:footnote w:id="12">
    <w:p w14:paraId="5B892951" w14:textId="77777777" w:rsidR="00DD0E08" w:rsidRPr="00F747FD" w:rsidRDefault="00DD0E08" w:rsidP="00CB4C9B">
      <w:pPr>
        <w:rPr>
          <w:color w:val="000000" w:themeColor="text1"/>
          <w:szCs w:val="24"/>
        </w:rPr>
      </w:pPr>
      <w:r w:rsidRPr="00EB5B8F">
        <w:rPr>
          <w:rStyle w:val="FootnoteReference"/>
          <w:sz w:val="24"/>
          <w:szCs w:val="24"/>
        </w:rPr>
        <w:footnoteRef/>
      </w:r>
      <w:r w:rsidRPr="00EB5B8F">
        <w:rPr>
          <w:szCs w:val="24"/>
        </w:rPr>
        <w:t xml:space="preserve"> Order 03, ¶25.</w:t>
      </w:r>
      <w:r>
        <w:rPr>
          <w:szCs w:val="24"/>
        </w:rPr>
        <w:t xml:space="preserve">  By further example, </w:t>
      </w:r>
      <w:r>
        <w:rPr>
          <w:color w:val="000000" w:themeColor="text1"/>
          <w:szCs w:val="24"/>
        </w:rPr>
        <w:t xml:space="preserve">if </w:t>
      </w:r>
      <w:r w:rsidRPr="00F747FD">
        <w:rPr>
          <w:color w:val="000000" w:themeColor="text1"/>
          <w:szCs w:val="24"/>
        </w:rPr>
        <w:t>the</w:t>
      </w:r>
      <w:r>
        <w:rPr>
          <w:color w:val="000000" w:themeColor="text1"/>
          <w:szCs w:val="24"/>
        </w:rPr>
        <w:t xml:space="preserve"> concern is not just that employees of an organization could share confidential information with interested members, but also </w:t>
      </w:r>
      <w:r w:rsidRPr="00F747FD">
        <w:rPr>
          <w:color w:val="000000" w:themeColor="text1"/>
          <w:szCs w:val="24"/>
        </w:rPr>
        <w:t xml:space="preserve">that some members </w:t>
      </w:r>
      <w:r>
        <w:rPr>
          <w:color w:val="000000" w:themeColor="text1"/>
          <w:szCs w:val="24"/>
        </w:rPr>
        <w:t>with access to such information could share with other members, then what about the fact that K&amp;L Gates is a member of RN</w:t>
      </w:r>
      <w:r w:rsidR="00F35F5B">
        <w:rPr>
          <w:color w:val="000000" w:themeColor="text1"/>
          <w:szCs w:val="24"/>
        </w:rPr>
        <w:t>W</w:t>
      </w:r>
      <w:r>
        <w:rPr>
          <w:color w:val="000000" w:themeColor="text1"/>
          <w:szCs w:val="24"/>
        </w:rPr>
        <w:t xml:space="preserve"> alongside of the energy companies Microsoft fears will get confidential information.  The answer to that concern, of course, is that K&amp;L Gates attorneys would be bound by the terms of the protective order, so we do not have to worry about them sharing information inappropriately.  The same is no less true for Ms. Kelley and Mr. O’Brien.</w:t>
      </w:r>
    </w:p>
    <w:p w14:paraId="3802E975" w14:textId="77777777" w:rsidR="00DD0E08" w:rsidRPr="00EB5B8F" w:rsidRDefault="00DD0E08">
      <w:pPr>
        <w:pStyle w:val="FootnoteText"/>
        <w:rPr>
          <w:sz w:val="24"/>
          <w:szCs w:val="24"/>
        </w:rPr>
      </w:pPr>
    </w:p>
  </w:footnote>
  <w:footnote w:id="13">
    <w:p w14:paraId="62C30FF5" w14:textId="77777777" w:rsidR="00DD0E08" w:rsidRPr="007B4666" w:rsidRDefault="00DD0E08">
      <w:pPr>
        <w:pStyle w:val="FootnoteText"/>
        <w:rPr>
          <w:sz w:val="24"/>
          <w:szCs w:val="24"/>
        </w:rPr>
      </w:pPr>
      <w:r w:rsidRPr="007B4666">
        <w:rPr>
          <w:rStyle w:val="FootnoteReference"/>
          <w:sz w:val="24"/>
          <w:szCs w:val="24"/>
        </w:rPr>
        <w:footnoteRef/>
      </w:r>
      <w:r w:rsidRPr="007B4666">
        <w:rPr>
          <w:sz w:val="24"/>
          <w:szCs w:val="24"/>
        </w:rPr>
        <w:t xml:space="preserve"> Order 03, ¶6.</w:t>
      </w:r>
    </w:p>
  </w:footnote>
  <w:footnote w:id="14">
    <w:p w14:paraId="70481DC4" w14:textId="77777777" w:rsidR="00DD0E08" w:rsidRPr="007B4666" w:rsidRDefault="00DD0E08">
      <w:pPr>
        <w:pStyle w:val="FootnoteText"/>
        <w:rPr>
          <w:sz w:val="24"/>
          <w:szCs w:val="24"/>
        </w:rPr>
      </w:pPr>
      <w:r w:rsidRPr="007B4666">
        <w:rPr>
          <w:rStyle w:val="FootnoteReference"/>
          <w:sz w:val="24"/>
          <w:szCs w:val="24"/>
        </w:rPr>
        <w:footnoteRef/>
      </w:r>
      <w:hyperlink r:id="rId5" w:history="1">
        <w:r w:rsidRPr="007B4666">
          <w:rPr>
            <w:rStyle w:val="Hyperlink"/>
            <w:sz w:val="24"/>
            <w:szCs w:val="24"/>
          </w:rPr>
          <w:t>http://www.rnp.org/sites/default/files/pdfs/RNP%20Code%20of%20Ethics%20adopted%2009Mar19.pdf</w:t>
        </w:r>
      </w:hyperlink>
      <w:r w:rsidRPr="007B4666">
        <w:rPr>
          <w:sz w:val="24"/>
          <w:szCs w:val="24"/>
        </w:rPr>
        <w:t>.</w:t>
      </w:r>
    </w:p>
    <w:p w14:paraId="19AADA66" w14:textId="77777777" w:rsidR="00DD0E08" w:rsidRDefault="00DD0E0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1559" w14:textId="77777777" w:rsidR="00DD0E08" w:rsidRDefault="00DD0E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9C25" w14:textId="77777777" w:rsidR="00DD0E08" w:rsidRDefault="00DD0E0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4CCF" w14:textId="77777777" w:rsidR="00DD0E08" w:rsidRDefault="00DD0E08">
    <w:pPr>
      <w:pStyle w:val="Header"/>
      <w:jc w:val="center"/>
      <w:rPr>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54B368"/>
    <w:lvl w:ilvl="0">
      <w:start w:val="1"/>
      <w:numFmt w:val="decimal"/>
      <w:lvlText w:val="%1."/>
      <w:lvlJc w:val="left"/>
      <w:pPr>
        <w:tabs>
          <w:tab w:val="num" w:pos="1800"/>
        </w:tabs>
        <w:ind w:left="1800" w:hanging="360"/>
      </w:pPr>
    </w:lvl>
  </w:abstractNum>
  <w:abstractNum w:abstractNumId="1">
    <w:nsid w:val="FFFFFF7D"/>
    <w:multiLevelType w:val="singleLevel"/>
    <w:tmpl w:val="AE3E20C6"/>
    <w:lvl w:ilvl="0">
      <w:start w:val="1"/>
      <w:numFmt w:val="decimal"/>
      <w:lvlText w:val="%1."/>
      <w:lvlJc w:val="left"/>
      <w:pPr>
        <w:tabs>
          <w:tab w:val="num" w:pos="1440"/>
        </w:tabs>
        <w:ind w:left="1440" w:hanging="360"/>
      </w:pPr>
    </w:lvl>
  </w:abstractNum>
  <w:abstractNum w:abstractNumId="2">
    <w:nsid w:val="FFFFFF7E"/>
    <w:multiLevelType w:val="singleLevel"/>
    <w:tmpl w:val="E3C48B7C"/>
    <w:lvl w:ilvl="0">
      <w:start w:val="1"/>
      <w:numFmt w:val="decimal"/>
      <w:lvlText w:val="%1."/>
      <w:lvlJc w:val="left"/>
      <w:pPr>
        <w:tabs>
          <w:tab w:val="num" w:pos="1080"/>
        </w:tabs>
        <w:ind w:left="1080" w:hanging="360"/>
      </w:pPr>
    </w:lvl>
  </w:abstractNum>
  <w:abstractNum w:abstractNumId="3">
    <w:nsid w:val="FFFFFF7F"/>
    <w:multiLevelType w:val="singleLevel"/>
    <w:tmpl w:val="1FFAFCE8"/>
    <w:lvl w:ilvl="0">
      <w:start w:val="1"/>
      <w:numFmt w:val="decimal"/>
      <w:lvlText w:val="%1."/>
      <w:lvlJc w:val="left"/>
      <w:pPr>
        <w:tabs>
          <w:tab w:val="num" w:pos="720"/>
        </w:tabs>
        <w:ind w:left="720" w:hanging="360"/>
      </w:pPr>
    </w:lvl>
  </w:abstractNum>
  <w:abstractNum w:abstractNumId="4">
    <w:nsid w:val="FFFFFF80"/>
    <w:multiLevelType w:val="singleLevel"/>
    <w:tmpl w:val="8B667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8A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3CE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DAA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E639B4"/>
    <w:lvl w:ilvl="0">
      <w:start w:val="1"/>
      <w:numFmt w:val="decimal"/>
      <w:lvlText w:val="%1."/>
      <w:lvlJc w:val="left"/>
      <w:pPr>
        <w:tabs>
          <w:tab w:val="num" w:pos="360"/>
        </w:tabs>
        <w:ind w:left="360" w:hanging="360"/>
      </w:pPr>
    </w:lvl>
  </w:abstractNum>
  <w:abstractNum w:abstractNumId="9">
    <w:nsid w:val="FFFFFF89"/>
    <w:multiLevelType w:val="singleLevel"/>
    <w:tmpl w:val="0EBEEB80"/>
    <w:lvl w:ilvl="0">
      <w:start w:val="1"/>
      <w:numFmt w:val="bullet"/>
      <w:lvlText w:val=""/>
      <w:lvlJc w:val="left"/>
      <w:pPr>
        <w:tabs>
          <w:tab w:val="num" w:pos="360"/>
        </w:tabs>
        <w:ind w:left="360" w:hanging="360"/>
      </w:pPr>
      <w:rPr>
        <w:rFonts w:ascii="Symbol" w:hAnsi="Symbol" w:hint="default"/>
      </w:rPr>
    </w:lvl>
  </w:abstractNum>
  <w:abstractNum w:abstractNumId="10">
    <w:nsid w:val="17444567"/>
    <w:multiLevelType w:val="hybridMultilevel"/>
    <w:tmpl w:val="F96A10CE"/>
    <w:lvl w:ilvl="0" w:tplc="7DE8A618">
      <w:start w:val="1"/>
      <w:numFmt w:val="decimal"/>
      <w:lvlText w:val="%1"/>
      <w:lvlJc w:val="left"/>
      <w:pPr>
        <w:tabs>
          <w:tab w:val="num" w:pos="720"/>
        </w:tabs>
        <w:ind w:left="0" w:hanging="720"/>
      </w:pPr>
      <w:rPr>
        <w:rFonts w:ascii="Times New Roman" w:hAnsi="Times New Roman" w:hint="default"/>
        <w:b w:val="0"/>
        <w:i/>
      </w:rPr>
    </w:lvl>
    <w:lvl w:ilvl="1" w:tplc="66FADB30" w:tentative="1">
      <w:start w:val="1"/>
      <w:numFmt w:val="lowerLetter"/>
      <w:lvlText w:val="%2."/>
      <w:lvlJc w:val="left"/>
      <w:pPr>
        <w:tabs>
          <w:tab w:val="num" w:pos="1440"/>
        </w:tabs>
        <w:ind w:left="1440" w:hanging="360"/>
      </w:pPr>
    </w:lvl>
    <w:lvl w:ilvl="2" w:tplc="4C08449A" w:tentative="1">
      <w:start w:val="1"/>
      <w:numFmt w:val="lowerRoman"/>
      <w:lvlText w:val="%3."/>
      <w:lvlJc w:val="right"/>
      <w:pPr>
        <w:tabs>
          <w:tab w:val="num" w:pos="2160"/>
        </w:tabs>
        <w:ind w:left="2160" w:hanging="180"/>
      </w:pPr>
    </w:lvl>
    <w:lvl w:ilvl="3" w:tplc="36E683D0" w:tentative="1">
      <w:start w:val="1"/>
      <w:numFmt w:val="decimal"/>
      <w:lvlText w:val="%4."/>
      <w:lvlJc w:val="left"/>
      <w:pPr>
        <w:tabs>
          <w:tab w:val="num" w:pos="2880"/>
        </w:tabs>
        <w:ind w:left="2880" w:hanging="360"/>
      </w:pPr>
    </w:lvl>
    <w:lvl w:ilvl="4" w:tplc="3E383AD2" w:tentative="1">
      <w:start w:val="1"/>
      <w:numFmt w:val="lowerLetter"/>
      <w:lvlText w:val="%5."/>
      <w:lvlJc w:val="left"/>
      <w:pPr>
        <w:tabs>
          <w:tab w:val="num" w:pos="3600"/>
        </w:tabs>
        <w:ind w:left="3600" w:hanging="360"/>
      </w:pPr>
    </w:lvl>
    <w:lvl w:ilvl="5" w:tplc="023AD4B0" w:tentative="1">
      <w:start w:val="1"/>
      <w:numFmt w:val="lowerRoman"/>
      <w:lvlText w:val="%6."/>
      <w:lvlJc w:val="right"/>
      <w:pPr>
        <w:tabs>
          <w:tab w:val="num" w:pos="4320"/>
        </w:tabs>
        <w:ind w:left="4320" w:hanging="180"/>
      </w:pPr>
    </w:lvl>
    <w:lvl w:ilvl="6" w:tplc="160AF5BA" w:tentative="1">
      <w:start w:val="1"/>
      <w:numFmt w:val="decimal"/>
      <w:lvlText w:val="%7."/>
      <w:lvlJc w:val="left"/>
      <w:pPr>
        <w:tabs>
          <w:tab w:val="num" w:pos="5040"/>
        </w:tabs>
        <w:ind w:left="5040" w:hanging="360"/>
      </w:pPr>
    </w:lvl>
    <w:lvl w:ilvl="7" w:tplc="674093DA" w:tentative="1">
      <w:start w:val="1"/>
      <w:numFmt w:val="lowerLetter"/>
      <w:lvlText w:val="%8."/>
      <w:lvlJc w:val="left"/>
      <w:pPr>
        <w:tabs>
          <w:tab w:val="num" w:pos="5760"/>
        </w:tabs>
        <w:ind w:left="5760" w:hanging="360"/>
      </w:pPr>
    </w:lvl>
    <w:lvl w:ilvl="8" w:tplc="7952CD54" w:tentative="1">
      <w:start w:val="1"/>
      <w:numFmt w:val="lowerRoman"/>
      <w:lvlText w:val="%9."/>
      <w:lvlJc w:val="right"/>
      <w:pPr>
        <w:tabs>
          <w:tab w:val="num" w:pos="6480"/>
        </w:tabs>
        <w:ind w:left="6480" w:hanging="180"/>
      </w:pPr>
    </w:lvl>
  </w:abstractNum>
  <w:abstractNum w:abstractNumId="1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E111EC"/>
    <w:multiLevelType w:val="hybridMultilevel"/>
    <w:tmpl w:val="1936AFBE"/>
    <w:lvl w:ilvl="0" w:tplc="0C88034A">
      <w:start w:val="1"/>
      <w:numFmt w:val="decimal"/>
      <w:pStyle w:val="NX"/>
      <w:lvlText w:val="%1."/>
      <w:lvlJc w:val="left"/>
      <w:pPr>
        <w:ind w:left="1440" w:hanging="360"/>
      </w:pPr>
      <w:rPr>
        <w:rFonts w:hint="default"/>
      </w:rPr>
    </w:lvl>
    <w:lvl w:ilvl="1" w:tplc="706A2E14" w:tentative="1">
      <w:start w:val="1"/>
      <w:numFmt w:val="lowerLetter"/>
      <w:lvlText w:val="%2."/>
      <w:lvlJc w:val="left"/>
      <w:pPr>
        <w:ind w:left="2160" w:hanging="360"/>
      </w:pPr>
    </w:lvl>
    <w:lvl w:ilvl="2" w:tplc="09CC599C" w:tentative="1">
      <w:start w:val="1"/>
      <w:numFmt w:val="lowerRoman"/>
      <w:lvlText w:val="%3."/>
      <w:lvlJc w:val="right"/>
      <w:pPr>
        <w:ind w:left="2880" w:hanging="180"/>
      </w:pPr>
    </w:lvl>
    <w:lvl w:ilvl="3" w:tplc="303CEBF8" w:tentative="1">
      <w:start w:val="1"/>
      <w:numFmt w:val="decimal"/>
      <w:lvlText w:val="%4."/>
      <w:lvlJc w:val="left"/>
      <w:pPr>
        <w:ind w:left="3600" w:hanging="360"/>
      </w:pPr>
    </w:lvl>
    <w:lvl w:ilvl="4" w:tplc="398633E2" w:tentative="1">
      <w:start w:val="1"/>
      <w:numFmt w:val="lowerLetter"/>
      <w:lvlText w:val="%5."/>
      <w:lvlJc w:val="left"/>
      <w:pPr>
        <w:ind w:left="4320" w:hanging="360"/>
      </w:pPr>
    </w:lvl>
    <w:lvl w:ilvl="5" w:tplc="EC3C7FE8" w:tentative="1">
      <w:start w:val="1"/>
      <w:numFmt w:val="lowerRoman"/>
      <w:lvlText w:val="%6."/>
      <w:lvlJc w:val="right"/>
      <w:pPr>
        <w:ind w:left="5040" w:hanging="180"/>
      </w:pPr>
    </w:lvl>
    <w:lvl w:ilvl="6" w:tplc="54FEF7AA" w:tentative="1">
      <w:start w:val="1"/>
      <w:numFmt w:val="decimal"/>
      <w:lvlText w:val="%7."/>
      <w:lvlJc w:val="left"/>
      <w:pPr>
        <w:ind w:left="5760" w:hanging="360"/>
      </w:pPr>
    </w:lvl>
    <w:lvl w:ilvl="7" w:tplc="012C3F28" w:tentative="1">
      <w:start w:val="1"/>
      <w:numFmt w:val="lowerLetter"/>
      <w:lvlText w:val="%8."/>
      <w:lvlJc w:val="left"/>
      <w:pPr>
        <w:ind w:left="6480" w:hanging="360"/>
      </w:pPr>
    </w:lvl>
    <w:lvl w:ilvl="8" w:tplc="5212D668" w:tentative="1">
      <w:start w:val="1"/>
      <w:numFmt w:val="lowerRoman"/>
      <w:lvlText w:val="%9."/>
      <w:lvlJc w:val="right"/>
      <w:pPr>
        <w:ind w:left="7200" w:hanging="180"/>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2"/>
  </w:num>
  <w:num w:numId="13">
    <w:abstractNumId w:val="13"/>
  </w:num>
  <w:num w:numId="14">
    <w:abstractNumId w:val="13"/>
    <w:lvlOverride w:ilvl="0">
      <w:startOverride w:val="1"/>
    </w:lvlOverride>
  </w:num>
  <w:num w:numId="15">
    <w:abstractNumId w:val="13"/>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4E"/>
    <w:rsid w:val="00011358"/>
    <w:rsid w:val="000447E4"/>
    <w:rsid w:val="000556F0"/>
    <w:rsid w:val="0011566B"/>
    <w:rsid w:val="00163C38"/>
    <w:rsid w:val="00170F4C"/>
    <w:rsid w:val="001C5C73"/>
    <w:rsid w:val="001E77F0"/>
    <w:rsid w:val="00206CF0"/>
    <w:rsid w:val="00237EAC"/>
    <w:rsid w:val="002615D9"/>
    <w:rsid w:val="0029484E"/>
    <w:rsid w:val="002F3D68"/>
    <w:rsid w:val="00326A0A"/>
    <w:rsid w:val="00332F42"/>
    <w:rsid w:val="00367E5D"/>
    <w:rsid w:val="003710B1"/>
    <w:rsid w:val="00377067"/>
    <w:rsid w:val="003B68E7"/>
    <w:rsid w:val="00462314"/>
    <w:rsid w:val="0049707C"/>
    <w:rsid w:val="004C4C6B"/>
    <w:rsid w:val="00520868"/>
    <w:rsid w:val="0053373F"/>
    <w:rsid w:val="00604533"/>
    <w:rsid w:val="006156A3"/>
    <w:rsid w:val="0062008D"/>
    <w:rsid w:val="00697D2B"/>
    <w:rsid w:val="006A6A03"/>
    <w:rsid w:val="006B11EF"/>
    <w:rsid w:val="006E7DAD"/>
    <w:rsid w:val="007550F2"/>
    <w:rsid w:val="007A3219"/>
    <w:rsid w:val="007B4666"/>
    <w:rsid w:val="007C4470"/>
    <w:rsid w:val="007F5B56"/>
    <w:rsid w:val="00894E99"/>
    <w:rsid w:val="0095235E"/>
    <w:rsid w:val="00970345"/>
    <w:rsid w:val="009C64F6"/>
    <w:rsid w:val="00A14E6F"/>
    <w:rsid w:val="00A21F3B"/>
    <w:rsid w:val="00A23EEE"/>
    <w:rsid w:val="00A91E44"/>
    <w:rsid w:val="00AB5804"/>
    <w:rsid w:val="00B2444E"/>
    <w:rsid w:val="00B7065A"/>
    <w:rsid w:val="00C200CC"/>
    <w:rsid w:val="00CB4C9B"/>
    <w:rsid w:val="00DD0E08"/>
    <w:rsid w:val="00E50851"/>
    <w:rsid w:val="00E56A51"/>
    <w:rsid w:val="00E731F8"/>
    <w:rsid w:val="00EB12AE"/>
    <w:rsid w:val="00EB1DA3"/>
    <w:rsid w:val="00EB5B8F"/>
    <w:rsid w:val="00F01FFE"/>
    <w:rsid w:val="00F20E03"/>
    <w:rsid w:val="00F2794D"/>
    <w:rsid w:val="00F33EF0"/>
    <w:rsid w:val="00F35F5B"/>
    <w:rsid w:val="00F747FD"/>
    <w:rsid w:val="00F97BD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7FF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24"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24"/>
    <w:qFormat/>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pPr>
      <w:spacing w:before="240" w:after="60"/>
      <w:outlineLvl w:val="6"/>
    </w:pPr>
    <w:rPr>
      <w:rFonts w:ascii="Calibri" w:hAnsi="Calibri"/>
      <w:szCs w:val="24"/>
    </w:rPr>
  </w:style>
  <w:style w:type="paragraph" w:styleId="Heading8">
    <w:name w:val="heading 8"/>
    <w:basedOn w:val="Normal"/>
    <w:next w:val="Normal"/>
    <w:link w:val="Heading8Char"/>
    <w:unhideWhenUsed/>
    <w:pPr>
      <w:spacing w:before="240" w:after="60"/>
      <w:outlineLvl w:val="7"/>
    </w:pPr>
    <w:rPr>
      <w:rFonts w:ascii="Calibri" w:hAnsi="Calibri"/>
      <w:i/>
      <w:iCs/>
      <w:szCs w:val="24"/>
    </w:rPr>
  </w:style>
  <w:style w:type="paragraph" w:styleId="Heading9">
    <w:name w:val="heading 9"/>
    <w:basedOn w:val="Normal"/>
    <w:next w:val="Normal"/>
    <w:link w:val="Heading9Char"/>
    <w:unhideWhenUse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Pr>
      <w:rFonts w:ascii="Times New Roman Bold" w:eastAsia="Times New Roman" w:hAnsi="Times New Roman Bold" w:cs="Arial"/>
      <w:b/>
      <w:bCs/>
      <w:sz w:val="24"/>
      <w:szCs w:val="26"/>
      <w:lang w:eastAsia="en-US"/>
    </w:rPr>
  </w:style>
  <w:style w:type="character" w:customStyle="1" w:styleId="Heading4Char">
    <w:name w:val="Heading 4 Char"/>
    <w:link w:val="Heading4"/>
    <w:rPr>
      <w:rFonts w:ascii="Calibri" w:eastAsia="Times New Roman" w:hAnsi="Calibri" w:cs="Times New Roman"/>
      <w:b/>
      <w:bCs/>
      <w:sz w:val="28"/>
      <w:szCs w:val="28"/>
      <w:lang w:eastAsia="en-US"/>
    </w:rPr>
  </w:style>
  <w:style w:type="character" w:customStyle="1" w:styleId="Heading5Char">
    <w:name w:val="Heading 5 Char"/>
    <w:link w:val="Heading5"/>
    <w:rPr>
      <w:rFonts w:ascii="Calibri" w:eastAsia="Times New Roman" w:hAnsi="Calibri" w:cs="Times New Roman"/>
      <w:b/>
      <w:bCs/>
      <w:i/>
      <w:iCs/>
      <w:sz w:val="26"/>
      <w:szCs w:val="26"/>
      <w:lang w:eastAsia="en-US"/>
    </w:rPr>
  </w:style>
  <w:style w:type="character" w:customStyle="1" w:styleId="Heading6Char">
    <w:name w:val="Heading 6 Char"/>
    <w:link w:val="Heading6"/>
    <w:rPr>
      <w:rFonts w:ascii="Calibri" w:eastAsia="Times New Roman" w:hAnsi="Calibri" w:cs="Times New Roman"/>
      <w:b/>
      <w:bCs/>
      <w:lang w:eastAsia="en-US"/>
    </w:rPr>
  </w:style>
  <w:style w:type="character" w:customStyle="1" w:styleId="Heading7Char">
    <w:name w:val="Heading 7 Char"/>
    <w:link w:val="Heading7"/>
    <w:rPr>
      <w:rFonts w:ascii="Calibri" w:eastAsia="Times New Roman" w:hAnsi="Calibri" w:cs="Times New Roman"/>
      <w:sz w:val="24"/>
      <w:szCs w:val="24"/>
      <w:lang w:eastAsia="en-US"/>
    </w:rPr>
  </w:style>
  <w:style w:type="character" w:customStyle="1" w:styleId="Heading8Char">
    <w:name w:val="Heading 8 Char"/>
    <w:link w:val="Heading8"/>
    <w:rPr>
      <w:rFonts w:ascii="Calibri" w:eastAsia="Times New Roman" w:hAnsi="Calibri" w:cs="Times New Roman"/>
      <w:i/>
      <w:iCs/>
      <w:sz w:val="24"/>
      <w:szCs w:val="24"/>
      <w:lang w:eastAsia="en-US"/>
    </w:rPr>
  </w:style>
  <w:style w:type="character" w:customStyle="1" w:styleId="Heading9Char">
    <w:name w:val="Heading 9 Char"/>
    <w:link w:val="Heading9"/>
    <w:rPr>
      <w:rFonts w:ascii="Cambria" w:eastAsia="Times New Roman" w:hAnsi="Cambria" w:cs="Times New Roman"/>
      <w:lang w:eastAsia="en-US"/>
    </w:rPr>
  </w:style>
  <w:style w:type="character" w:styleId="Emphasis">
    <w:name w:val="Emphasis"/>
    <w:rPr>
      <w:i/>
      <w:iCs/>
    </w:rPr>
  </w:style>
  <w:style w:type="character" w:styleId="IntenseEmphasis">
    <w:name w:val="Intense Emphasis"/>
    <w:uiPriority w:val="21"/>
    <w:rPr>
      <w:b/>
      <w:bCs/>
      <w:i/>
      <w:iCs/>
      <w:color w:val="4F81BD"/>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Pr>
      <w:b/>
      <w:bCs/>
      <w:smallCaps/>
      <w:color w:val="C0504D"/>
      <w:spacing w:val="5"/>
      <w:u w:val="single"/>
    </w:rPr>
  </w:style>
  <w:style w:type="character" w:styleId="Strong">
    <w:name w:val="Strong"/>
    <w:rPr>
      <w:b/>
      <w:bCs/>
    </w:rPr>
  </w:style>
  <w:style w:type="paragraph" w:styleId="Subtitle">
    <w:name w:val="Subtitle"/>
    <w:basedOn w:val="Normal"/>
    <w:next w:val="Normal"/>
    <w:link w:val="SubtitleChar"/>
    <w:pPr>
      <w:spacing w:after="60"/>
      <w:jc w:val="center"/>
      <w:outlineLvl w:val="1"/>
    </w:pPr>
    <w:rPr>
      <w:rFonts w:ascii="Cambria" w:hAnsi="Cambria"/>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rPr>
      <w:i/>
      <w:iCs/>
      <w:color w:val="808080"/>
    </w:rPr>
  </w:style>
  <w:style w:type="character" w:styleId="SubtleReference">
    <w:name w:val="Subtle Reference"/>
    <w:uiPriority w:val="31"/>
    <w:rPr>
      <w:smallCaps/>
      <w:color w:val="C0504D"/>
      <w:u w:val="single"/>
    </w:rPr>
  </w:style>
  <w:style w:type="paragraph" w:styleId="ListParagraph">
    <w:name w:val="List Paragraph"/>
    <w:basedOn w:val="Normal"/>
    <w:qFormat/>
    <w:pPr>
      <w:ind w:left="720"/>
    </w:pPr>
  </w:style>
  <w:style w:type="character" w:styleId="BookTitle">
    <w:name w:val="Book Title"/>
    <w:uiPriority w:val="33"/>
    <w:rPr>
      <w:b/>
      <w:bCs/>
      <w:smallCaps/>
      <w:spacing w:val="5"/>
    </w:rPr>
  </w:style>
  <w:style w:type="paragraph" w:styleId="NoSpacing">
    <w:name w:val="No Spacing"/>
    <w:uiPriority w:val="1"/>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pPr>
      <w:spacing w:line="480" w:lineRule="auto"/>
      <w:ind w:firstLine="720"/>
    </w:p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pPr>
      <w:ind w:firstLine="0"/>
    </w:pPr>
  </w:style>
  <w:style w:type="paragraph" w:styleId="Quote">
    <w:name w:val="Quote"/>
    <w:basedOn w:val="Normal"/>
    <w:next w:val="BodyTextContinued"/>
    <w:link w:val="QuoteChar"/>
    <w:uiPriority w:val="9"/>
    <w:qFormat/>
    <w:pPr>
      <w:widowControl/>
      <w:spacing w:before="240"/>
      <w:ind w:left="1440" w:right="1440"/>
    </w:pPr>
  </w:style>
  <w:style w:type="character" w:customStyle="1" w:styleId="QuoteChar">
    <w:name w:val="Quote Char"/>
    <w:basedOn w:val="DefaultParagraphFont"/>
    <w:link w:val="Quote"/>
    <w:uiPriority w:val="9"/>
    <w:rPr>
      <w:rFonts w:ascii="Times New Roman" w:eastAsia="Times New Roman" w:hAnsi="Times New Roman" w:cs="Times New Roman"/>
      <w:sz w:val="24"/>
      <w:szCs w:val="20"/>
      <w:lang w:eastAsia="en-US"/>
    </w:rPr>
  </w:style>
  <w:style w:type="paragraph" w:styleId="Caption">
    <w:name w:val="caption"/>
    <w:basedOn w:val="Normal"/>
    <w:next w:val="Normal"/>
    <w:rPr>
      <w:bCs/>
    </w:rPr>
  </w:style>
  <w:style w:type="paragraph" w:customStyle="1" w:styleId="Court">
    <w:name w:val="Court"/>
    <w:basedOn w:val="Normal"/>
    <w:pPr>
      <w:spacing w:before="720" w:after="200"/>
      <w:jc w:val="center"/>
    </w:pPr>
    <w:rPr>
      <w:caps/>
    </w:rPr>
  </w:style>
  <w:style w:type="paragraph" w:customStyle="1" w:styleId="DocumentTitle">
    <w:name w:val="Document Title"/>
    <w:basedOn w:val="Normal"/>
    <w:pPr>
      <w:tabs>
        <w:tab w:val="left" w:pos="1238"/>
      </w:tabs>
      <w:spacing w:after="240"/>
      <w:ind w:left="259" w:right="115"/>
    </w:pPr>
    <w:rPr>
      <w:szCs w:val="24"/>
    </w:rPr>
  </w:style>
  <w:style w:type="paragraph" w:customStyle="1" w:styleId="FirmInformation">
    <w:name w:val="Firm Information"/>
    <w:basedOn w:val="Normal"/>
    <w:pPr>
      <w:tabs>
        <w:tab w:val="left" w:pos="1296"/>
      </w:tabs>
    </w:pPr>
  </w:style>
  <w:style w:type="paragraph" w:styleId="Footer">
    <w:name w:val="footer"/>
    <w:basedOn w:val="Normal"/>
    <w:link w:val="FooterChar"/>
    <w:pPr>
      <w:widowControl/>
      <w:tabs>
        <w:tab w:val="center" w:pos="3240"/>
        <w:tab w:val="right" w:pos="4680"/>
      </w:tabs>
      <w:spacing w:line="240" w:lineRule="atLeas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US"/>
    </w:rPr>
  </w:style>
  <w:style w:type="paragraph" w:styleId="Header">
    <w:name w:val="header"/>
    <w:basedOn w:val="Normal"/>
    <w:link w:val="HeaderChar"/>
    <w:pPr>
      <w:tabs>
        <w:tab w:val="center" w:pos="432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US"/>
    </w:rPr>
  </w:style>
  <w:style w:type="paragraph" w:customStyle="1" w:styleId="HeaderNumbers">
    <w:name w:val="HeaderNumbers"/>
    <w:basedOn w:val="Normal"/>
    <w:pPr>
      <w:widowControl/>
      <w:spacing w:before="1840" w:line="240" w:lineRule="atLeast"/>
      <w:ind w:right="288"/>
      <w:jc w:val="right"/>
    </w:pPr>
    <w:rPr>
      <w:sz w:val="20"/>
    </w:r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TOAHeading">
    <w:name w:val="toa heading"/>
    <w:basedOn w:val="Normal"/>
    <w:next w:val="Normal"/>
    <w:pPr>
      <w:widowControl/>
      <w:spacing w:before="120" w:after="240"/>
    </w:pPr>
    <w:rPr>
      <w:rFonts w:ascii="Arial" w:hAnsi="Arial" w:cs="Arial"/>
      <w:b/>
      <w:bCs/>
      <w:szCs w:val="24"/>
    </w:rPr>
  </w:style>
  <w:style w:type="paragraph" w:styleId="TableofAuthorities">
    <w:name w:val="table of authorities"/>
    <w:basedOn w:val="Normal"/>
    <w:next w:val="Normal"/>
    <w:pPr>
      <w:widowControl/>
      <w:spacing w:after="240"/>
      <w:ind w:left="245" w:right="720" w:hanging="245"/>
    </w:pPr>
  </w:style>
  <w:style w:type="paragraph" w:customStyle="1" w:styleId="jurycite">
    <w:name w:val="jury cite"/>
    <w:basedOn w:val="Normal"/>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pPr>
      <w:widowControl/>
      <w:spacing w:before="60" w:after="60"/>
    </w:pPr>
    <w:rPr>
      <w:szCs w:val="24"/>
    </w:rPr>
  </w:style>
  <w:style w:type="paragraph" w:customStyle="1" w:styleId="FirmName">
    <w:name w:val="Firm Name"/>
    <w:basedOn w:val="FirmAddress"/>
    <w:next w:val="FirmAddress"/>
    <w:rPr>
      <w:b/>
    </w:rPr>
  </w:style>
  <w:style w:type="paragraph" w:customStyle="1" w:styleId="FirmAddress">
    <w:name w:val="Firm Address"/>
    <w:basedOn w:val="Normal"/>
    <w:pPr>
      <w:widowControl/>
      <w:jc w:val="center"/>
    </w:pPr>
    <w:rPr>
      <w:sz w:val="20"/>
    </w:rPr>
  </w:style>
  <w:style w:type="paragraph" w:customStyle="1" w:styleId="FooterDocumentTitle">
    <w:name w:val="Footer Document Title"/>
    <w:basedOn w:val="Normal"/>
    <w:pPr>
      <w:widowControl/>
    </w:pPr>
  </w:style>
  <w:style w:type="paragraph" w:styleId="FootnoteText">
    <w:name w:val="footnote text"/>
    <w:basedOn w:val="Normal"/>
    <w:link w:val="FootnoteTextChar"/>
    <w:semiHidden/>
    <w:pPr>
      <w:widowControl/>
      <w:spacing w:before="120" w:line="240" w:lineRule="exact"/>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US"/>
    </w:rPr>
  </w:style>
  <w:style w:type="character" w:styleId="FootnoteReference">
    <w:name w:val="footnote reference"/>
    <w:semiHidden/>
    <w:rPr>
      <w:rFonts w:ascii="Times New Roman" w:hAnsi="Times New Roman"/>
      <w:position w:val="6"/>
      <w:sz w:val="20"/>
      <w:vertAlign w:val="superscript"/>
    </w:rPr>
  </w:style>
  <w:style w:type="paragraph" w:customStyle="1" w:styleId="PleadingsCont1">
    <w:name w:val="Pleadings Cont 1"/>
    <w:basedOn w:val="Normal"/>
    <w:link w:val="PleadingsCont1Char"/>
    <w:pPr>
      <w:spacing w:after="240"/>
    </w:pPr>
  </w:style>
  <w:style w:type="character" w:customStyle="1" w:styleId="PleadingsCont1Char">
    <w:name w:val="Pleadings Cont 1 Char"/>
    <w:basedOn w:val="BodyTextChar"/>
    <w:link w:val="PleadingsCont1"/>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pPr>
      <w:widowControl/>
      <w:ind w:left="720"/>
    </w:pPr>
  </w:style>
  <w:style w:type="character" w:customStyle="1" w:styleId="PleadingsCont2Char">
    <w:name w:val="Pleadings Cont 2 Char"/>
    <w:basedOn w:val="BodyTextChar"/>
    <w:link w:val="PleadingsCont2"/>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pPr>
      <w:ind w:left="1440"/>
    </w:pPr>
  </w:style>
  <w:style w:type="character" w:customStyle="1" w:styleId="PleadingsCont3Char">
    <w:name w:val="Pleadings Cont 3 Char"/>
    <w:basedOn w:val="BodyTextChar"/>
    <w:link w:val="PleadingsCont3"/>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pPr>
      <w:ind w:left="2160"/>
    </w:pPr>
  </w:style>
  <w:style w:type="character" w:customStyle="1" w:styleId="PleadingsCont4Char">
    <w:name w:val="Pleadings Cont 4 Char"/>
    <w:basedOn w:val="BodyTextChar"/>
    <w:link w:val="PleadingsCont4"/>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pPr>
      <w:ind w:left="2880"/>
    </w:pPr>
  </w:style>
  <w:style w:type="character" w:customStyle="1" w:styleId="PleadingsCont5Char">
    <w:name w:val="Pleadings Cont 5 Char"/>
    <w:basedOn w:val="BodyTextChar"/>
    <w:link w:val="PleadingsCont5"/>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pPr>
      <w:ind w:left="3600"/>
    </w:pPr>
  </w:style>
  <w:style w:type="character" w:customStyle="1" w:styleId="PleadingsCont6Char">
    <w:name w:val="Pleadings Cont 6 Char"/>
    <w:basedOn w:val="BodyTextChar"/>
    <w:link w:val="PleadingsCont6"/>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pPr>
      <w:ind w:left="4320"/>
    </w:pPr>
  </w:style>
  <w:style w:type="character" w:customStyle="1" w:styleId="PleadingsCont7Char">
    <w:name w:val="Pleadings Cont 7 Char"/>
    <w:basedOn w:val="BodyTextChar"/>
    <w:link w:val="PleadingsCont7"/>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pPr>
      <w:ind w:left="5040"/>
    </w:pPr>
  </w:style>
  <w:style w:type="character" w:customStyle="1" w:styleId="PleadingsCont8Char">
    <w:name w:val="Pleadings Cont 8 Char"/>
    <w:basedOn w:val="BodyTextChar"/>
    <w:link w:val="PleadingsCont8"/>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pPr>
      <w:ind w:left="5760"/>
    </w:pPr>
  </w:style>
  <w:style w:type="character" w:customStyle="1" w:styleId="PleadingsCont9Char">
    <w:name w:val="Pleadings Cont 9 Char"/>
    <w:basedOn w:val="BodyTextChar"/>
    <w:link w:val="PleadingsCont9"/>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pPr>
      <w:numPr>
        <w:ilvl w:val="1"/>
      </w:numPr>
      <w:jc w:val="left"/>
      <w:outlineLvl w:val="1"/>
    </w:pPr>
  </w:style>
  <w:style w:type="character" w:customStyle="1" w:styleId="PleadingsL2Char">
    <w:name w:val="Pleadings_L2 Char"/>
    <w:basedOn w:val="BodyTextChar"/>
    <w:link w:val="PleadingsL2"/>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pPr>
      <w:numPr>
        <w:ilvl w:val="2"/>
      </w:numPr>
      <w:outlineLvl w:val="2"/>
    </w:pPr>
  </w:style>
  <w:style w:type="character" w:customStyle="1" w:styleId="PleadingsL3Char">
    <w:name w:val="Pleadings_L3 Char"/>
    <w:basedOn w:val="BodyTextChar"/>
    <w:link w:val="PleadingsL3"/>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pPr>
      <w:numPr>
        <w:ilvl w:val="3"/>
      </w:numPr>
      <w:outlineLvl w:val="3"/>
    </w:pPr>
  </w:style>
  <w:style w:type="character" w:customStyle="1" w:styleId="PleadingsL4Char">
    <w:name w:val="Pleadings_L4 Char"/>
    <w:basedOn w:val="BodyTextChar"/>
    <w:link w:val="PleadingsL4"/>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pPr>
      <w:numPr>
        <w:ilvl w:val="4"/>
      </w:numPr>
      <w:outlineLvl w:val="4"/>
    </w:pPr>
  </w:style>
  <w:style w:type="character" w:customStyle="1" w:styleId="PleadingsL5Char">
    <w:name w:val="Pleadings_L5 Char"/>
    <w:basedOn w:val="BodyTextChar"/>
    <w:link w:val="PleadingsL5"/>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pPr>
      <w:numPr>
        <w:ilvl w:val="5"/>
      </w:numPr>
      <w:outlineLvl w:val="5"/>
    </w:pPr>
  </w:style>
  <w:style w:type="character" w:customStyle="1" w:styleId="PleadingsL6Char">
    <w:name w:val="Pleadings_L6 Char"/>
    <w:basedOn w:val="BodyTextChar"/>
    <w:link w:val="PleadingsL6"/>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pPr>
      <w:numPr>
        <w:ilvl w:val="6"/>
      </w:numPr>
      <w:outlineLvl w:val="6"/>
    </w:pPr>
  </w:style>
  <w:style w:type="character" w:customStyle="1" w:styleId="PleadingsL7Char">
    <w:name w:val="Pleadings_L7 Char"/>
    <w:basedOn w:val="BodyTextChar"/>
    <w:link w:val="PleadingsL7"/>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pPr>
      <w:numPr>
        <w:ilvl w:val="7"/>
      </w:numPr>
      <w:outlineLvl w:val="7"/>
    </w:pPr>
  </w:style>
  <w:style w:type="character" w:customStyle="1" w:styleId="PleadingsL8Char">
    <w:name w:val="Pleadings_L8 Char"/>
    <w:basedOn w:val="BodyTextChar"/>
    <w:link w:val="PleadingsL8"/>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pPr>
      <w:numPr>
        <w:ilvl w:val="8"/>
      </w:numPr>
      <w:outlineLvl w:val="8"/>
    </w:pPr>
  </w:style>
  <w:style w:type="character" w:customStyle="1" w:styleId="PleadingsL9Char">
    <w:name w:val="Pleadings_L9 Char"/>
    <w:basedOn w:val="BodyTextChar"/>
    <w:link w:val="PleadingsL9"/>
    <w:rPr>
      <w:rFonts w:ascii="Times New Roman" w:eastAsia="Times New Roman" w:hAnsi="Times New Roman" w:cs="Times New Roman"/>
      <w:b/>
      <w:sz w:val="24"/>
      <w:szCs w:val="20"/>
      <w:lang w:eastAsia="en-US"/>
    </w:rPr>
  </w:style>
  <w:style w:type="paragraph" w:customStyle="1" w:styleId="NX">
    <w:name w:val="NX"/>
    <w:basedOn w:val="BodyText"/>
    <w:uiPriority w:val="24"/>
    <w:qFormat/>
    <w:pPr>
      <w:widowControl/>
      <w:numPr>
        <w:numId w:val="13"/>
      </w:numPr>
      <w:ind w:left="0" w:firstLine="7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ocID">
    <w:name w:val="DocID"/>
    <w:basedOn w:val="DefaultParagraphFont"/>
    <w:rPr>
      <w:rFonts w:ascii="Arial" w:hAnsi="Arial" w:cs="Arial"/>
      <w:b w:val="0"/>
      <w:i w:val="0"/>
      <w:caps w:val="0"/>
      <w:vanish w:val="0"/>
      <w:color w:val="000000"/>
      <w:sz w:val="16"/>
      <w:u w:val="non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sid w:val="006B11EF"/>
    <w:pPr>
      <w:widowControl/>
      <w:spacing w:before="100" w:beforeAutospacing="1" w:after="100" w:afterAutospacing="1"/>
    </w:pPr>
    <w:rPr>
      <w:rFonts w:eastAsiaTheme="minorHAnsi"/>
      <w:szCs w:val="24"/>
    </w:rPr>
  </w:style>
  <w:style w:type="character" w:styleId="CommentReference">
    <w:name w:val="annotation reference"/>
    <w:basedOn w:val="DefaultParagraphFont"/>
    <w:uiPriority w:val="99"/>
    <w:semiHidden/>
    <w:unhideWhenUsed/>
    <w:rsid w:val="0011566B"/>
    <w:rPr>
      <w:sz w:val="18"/>
      <w:szCs w:val="18"/>
    </w:rPr>
  </w:style>
  <w:style w:type="paragraph" w:styleId="CommentText">
    <w:name w:val="annotation text"/>
    <w:basedOn w:val="Normal"/>
    <w:link w:val="CommentTextChar"/>
    <w:uiPriority w:val="99"/>
    <w:semiHidden/>
    <w:unhideWhenUsed/>
    <w:rsid w:val="0011566B"/>
    <w:rPr>
      <w:szCs w:val="24"/>
    </w:rPr>
  </w:style>
  <w:style w:type="character" w:customStyle="1" w:styleId="CommentTextChar">
    <w:name w:val="Comment Text Char"/>
    <w:basedOn w:val="DefaultParagraphFont"/>
    <w:link w:val="CommentText"/>
    <w:uiPriority w:val="99"/>
    <w:semiHidden/>
    <w:rsid w:val="0011566B"/>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11566B"/>
    <w:rPr>
      <w:b/>
      <w:bCs/>
      <w:sz w:val="20"/>
      <w:szCs w:val="20"/>
    </w:rPr>
  </w:style>
  <w:style w:type="character" w:customStyle="1" w:styleId="CommentSubjectChar">
    <w:name w:val="Comment Subject Char"/>
    <w:basedOn w:val="CommentTextChar"/>
    <w:link w:val="CommentSubject"/>
    <w:uiPriority w:val="99"/>
    <w:semiHidden/>
    <w:rsid w:val="0011566B"/>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yperlink" Target="mailto:jgoltz@cascadialaw.com" TargetMode="Externa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rnp.org/our_members" TargetMode="External"/><Relationship Id="rId4" Type="http://schemas.openxmlformats.org/officeDocument/2006/relationships/hyperlink" Target="http://www.rnp.org/sites/default/files/pdfs/RNP%20Bylaws.pdf" TargetMode="External"/><Relationship Id="rId5" Type="http://schemas.openxmlformats.org/officeDocument/2006/relationships/hyperlink" Target="http://www.rnp.org/sites/default/files/pdfs/RNP%20Code%20of%20Ethics%20adopted%2009Mar19.pdf" TargetMode="External"/><Relationship Id="rId1" Type="http://schemas.openxmlformats.org/officeDocument/2006/relationships/hyperlink" Target="http://nippc.org" TargetMode="External"/><Relationship Id="rId2" Type="http://schemas.openxmlformats.org/officeDocument/2006/relationships/hyperlink" Target="http://www.rnp.org/node/our-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2017-03-03T08:00:00+00:00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161123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5D7DEA7-5A86-C540-B901-2F9B704EA20E}">
  <ds:schemaRefs>
    <ds:schemaRef ds:uri="http://schemas.openxmlformats.org/officeDocument/2006/bibliography"/>
  </ds:schemaRefs>
</ds:datastoreItem>
</file>

<file path=customXml/itemProps2.xml><?xml version="1.0" encoding="utf-8"?>
<ds:datastoreItem xmlns:ds="http://schemas.openxmlformats.org/officeDocument/2006/customXml" ds:itemID="{4B5FB8F7-8EB9-4354-8E21-0731AC24DDD6}"/>
</file>

<file path=customXml/itemProps3.xml><?xml version="1.0" encoding="utf-8"?>
<ds:datastoreItem xmlns:ds="http://schemas.openxmlformats.org/officeDocument/2006/customXml" ds:itemID="{384BA459-B626-47E7-BAE3-4E287C52F125}"/>
</file>

<file path=customXml/itemProps4.xml><?xml version="1.0" encoding="utf-8"?>
<ds:datastoreItem xmlns:ds="http://schemas.openxmlformats.org/officeDocument/2006/customXml" ds:itemID="{CF45DCAF-10AE-4091-BE5B-1E6823BEE9FB}"/>
</file>

<file path=customXml/itemProps5.xml><?xml version="1.0" encoding="utf-8"?>
<ds:datastoreItem xmlns:ds="http://schemas.openxmlformats.org/officeDocument/2006/customXml" ds:itemID="{2B55C31A-6612-43D1-918B-7D80580DD308}"/>
</file>

<file path=docProps/app.xml><?xml version="1.0" encoding="utf-8"?>
<Properties xmlns="http://schemas.openxmlformats.org/officeDocument/2006/extended-properties" xmlns:vt="http://schemas.openxmlformats.org/officeDocument/2006/docPropsVTypes">
  <Template>Normal.dotm</Template>
  <TotalTime>0</TotalTime>
  <Pages>8</Pages>
  <Words>1886</Words>
  <Characters>10755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2017-02-28T19:33:00Z</cp:lastPrinted>
  <dcterms:created xsi:type="dcterms:W3CDTF">2017-03-03T18:43:00Z</dcterms:created>
  <dcterms:modified xsi:type="dcterms:W3CDTF">2017-03-03T18:43:00Z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y fmtid="{D5CDD505-2E9C-101B-9397-08002B2CF9AE}" pid="4" name="IsEFSEC">
    <vt:bool>false</vt:bool>
  </property>
</Properties>
</file>