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C83" w:rsidRPr="009075DC" w:rsidRDefault="00036C83" w:rsidP="00427797">
      <w:pPr>
        <w:pStyle w:val="single"/>
        <w:widowControl w:val="0"/>
        <w:spacing w:before="0"/>
        <w:ind w:left="4406" w:firstLine="0"/>
        <w:rPr>
          <w:rStyle w:val="Strong"/>
        </w:rPr>
      </w:pPr>
      <w:bookmarkStart w:id="0" w:name="_GoBack"/>
      <w:bookmarkEnd w:id="0"/>
      <w:r>
        <w:rPr>
          <w:rStyle w:val="Strong"/>
        </w:rPr>
        <w:t>EXHIBIT NO. </w:t>
      </w:r>
      <w:r w:rsidRPr="009075DC">
        <w:rPr>
          <w:rStyle w:val="Strong"/>
        </w:rPr>
        <w:t>___(</w:t>
      </w:r>
      <w:r>
        <w:rPr>
          <w:rStyle w:val="Strong"/>
        </w:rPr>
        <w:t>JAP</w:t>
      </w:r>
      <w:r w:rsidRPr="009075DC">
        <w:rPr>
          <w:rStyle w:val="Strong"/>
        </w:rPr>
        <w:t>-</w:t>
      </w:r>
      <w:r>
        <w:rPr>
          <w:rStyle w:val="Strong"/>
        </w:rPr>
        <w:t>24</w:t>
      </w:r>
      <w:r w:rsidRPr="009075DC">
        <w:rPr>
          <w:rStyle w:val="Strong"/>
        </w:rPr>
        <w:t>T)</w:t>
      </w:r>
      <w:r w:rsidRPr="009075DC">
        <w:rPr>
          <w:rStyle w:val="Strong"/>
        </w:rPr>
        <w:br/>
        <w:t>DOCKET NO. UE-1</w:t>
      </w:r>
      <w:r>
        <w:rPr>
          <w:rStyle w:val="Strong"/>
        </w:rPr>
        <w:t>21373</w:t>
      </w:r>
      <w:r>
        <w:rPr>
          <w:rStyle w:val="Strong"/>
        </w:rPr>
        <w:br/>
      </w:r>
      <w:r w:rsidRPr="009075DC">
        <w:rPr>
          <w:rStyle w:val="Strong"/>
        </w:rPr>
        <w:t>DOCKET NO. UE-1</w:t>
      </w:r>
      <w:r>
        <w:rPr>
          <w:rStyle w:val="Strong"/>
        </w:rPr>
        <w:t>21697</w:t>
      </w:r>
      <w:r w:rsidRPr="009075DC">
        <w:rPr>
          <w:rStyle w:val="Strong"/>
        </w:rPr>
        <w:t>/UG-1</w:t>
      </w:r>
      <w:r>
        <w:rPr>
          <w:rStyle w:val="Strong"/>
        </w:rPr>
        <w:t>21705</w:t>
      </w:r>
      <w:r w:rsidRPr="009075DC">
        <w:rPr>
          <w:rStyle w:val="Strong"/>
        </w:rPr>
        <w:br/>
        <w:t>DOCKET NO. UE-</w:t>
      </w:r>
      <w:r>
        <w:rPr>
          <w:rStyle w:val="Strong"/>
        </w:rPr>
        <w:t>130137/130138</w:t>
      </w:r>
      <w:r>
        <w:rPr>
          <w:rStyle w:val="Strong"/>
        </w:rPr>
        <w:br/>
        <w:t>W</w:t>
      </w:r>
      <w:r w:rsidRPr="009075DC">
        <w:rPr>
          <w:rStyle w:val="Strong"/>
        </w:rPr>
        <w:t>ITNESS:  </w:t>
      </w:r>
      <w:r w:rsidRPr="009075DC">
        <w:rPr>
          <w:b/>
        </w:rPr>
        <w:t>JON A. PILIARIS</w:t>
      </w:r>
    </w:p>
    <w:p w:rsidR="00036C83" w:rsidRPr="009075DC" w:rsidRDefault="00036C83" w:rsidP="00432A2F">
      <w:pPr>
        <w:pStyle w:val="center"/>
        <w:keepLines w:val="0"/>
        <w:widowControl w:val="0"/>
        <w:spacing w:before="120" w:line="240" w:lineRule="auto"/>
        <w:rPr>
          <w:b/>
        </w:rPr>
      </w:pPr>
      <w:r w:rsidRPr="009075DC">
        <w:rPr>
          <w:b/>
        </w:rPr>
        <w:t>BEFORE THE</w:t>
      </w:r>
    </w:p>
    <w:p w:rsidR="00036C83" w:rsidRPr="009075DC" w:rsidRDefault="00036C83" w:rsidP="00427797">
      <w:pPr>
        <w:pStyle w:val="center"/>
        <w:keepLines w:val="0"/>
        <w:widowControl w:val="0"/>
        <w:spacing w:before="0" w:line="240" w:lineRule="auto"/>
        <w:rPr>
          <w:b/>
        </w:rPr>
      </w:pPr>
      <w:r w:rsidRPr="009075DC">
        <w:rPr>
          <w:b/>
        </w:rPr>
        <w:t>WASHINGTON UTILITIES AND TRANSPORTATION COMMISSION</w:t>
      </w:r>
    </w:p>
    <w:p w:rsidR="00036C83" w:rsidRPr="009075DC" w:rsidRDefault="00036C83" w:rsidP="00427797">
      <w:pPr>
        <w:pStyle w:val="center"/>
        <w:keepLines w:val="0"/>
        <w:widowControl w:val="0"/>
        <w:spacing w:before="0" w:line="240" w:lineRule="auto"/>
        <w:rPr>
          <w:b/>
        </w:rPr>
      </w:pPr>
    </w:p>
    <w:tbl>
      <w:tblPr>
        <w:tblW w:w="90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536"/>
        <w:gridCol w:w="4545"/>
      </w:tblGrid>
      <w:tr w:rsidR="00036C83" w:rsidRPr="00465779" w:rsidTr="00470AC5">
        <w:tc>
          <w:tcPr>
            <w:tcW w:w="4536" w:type="dxa"/>
          </w:tcPr>
          <w:p w:rsidR="00036C83" w:rsidRDefault="00036C83" w:rsidP="00470AC5">
            <w:pPr>
              <w:pStyle w:val="Header"/>
              <w:ind w:right="115"/>
              <w:rPr>
                <w:szCs w:val="24"/>
              </w:rPr>
            </w:pPr>
            <w:r w:rsidRPr="00952690">
              <w:rPr>
                <w:szCs w:val="24"/>
              </w:rPr>
              <w:t>In the Matter of</w:t>
            </w:r>
            <w:r>
              <w:rPr>
                <w:szCs w:val="24"/>
              </w:rPr>
              <w:t xml:space="preserve"> the Petition of </w:t>
            </w:r>
          </w:p>
          <w:p w:rsidR="00036C83" w:rsidRDefault="00036C83" w:rsidP="00470AC5">
            <w:pPr>
              <w:pStyle w:val="Header"/>
              <w:ind w:right="115"/>
              <w:rPr>
                <w:szCs w:val="24"/>
              </w:rPr>
            </w:pPr>
          </w:p>
          <w:p w:rsidR="00036C83" w:rsidRPr="00952690" w:rsidRDefault="00036C83" w:rsidP="00470AC5">
            <w:pPr>
              <w:pStyle w:val="Header"/>
              <w:ind w:right="115"/>
              <w:rPr>
                <w:szCs w:val="24"/>
              </w:rPr>
            </w:pPr>
            <w:r w:rsidRPr="00952690">
              <w:rPr>
                <w:szCs w:val="24"/>
              </w:rPr>
              <w:t>PUGET SOUND ENERGY, INC.</w:t>
            </w:r>
          </w:p>
          <w:p w:rsidR="00036C83" w:rsidRPr="00465779" w:rsidRDefault="00036C83" w:rsidP="00470AC5">
            <w:pPr>
              <w:widowControl w:val="0"/>
              <w:spacing w:before="240" w:after="120" w:line="240" w:lineRule="atLeast"/>
              <w:ind w:firstLine="0"/>
            </w:pPr>
            <w:r w:rsidRPr="009869AA">
              <w:t>For Approval of a Power Purchase Agreement for Acquisition of Coal Transition Power, as Defined in RCW 80.80.010, and the Recovery of Related Acquisition Costs</w:t>
            </w:r>
          </w:p>
        </w:tc>
        <w:tc>
          <w:tcPr>
            <w:tcW w:w="4545" w:type="dxa"/>
            <w:vAlign w:val="center"/>
          </w:tcPr>
          <w:p w:rsidR="00036C83" w:rsidRDefault="00036C83" w:rsidP="00470AC5">
            <w:pPr>
              <w:keepNext/>
              <w:keepLines/>
              <w:spacing w:before="240" w:line="240" w:lineRule="atLeast"/>
              <w:ind w:left="324" w:firstLine="0"/>
            </w:pPr>
            <w:r>
              <w:t>DOCKET NO. 121373</w:t>
            </w:r>
          </w:p>
          <w:p w:rsidR="00036C83" w:rsidRPr="00465779" w:rsidRDefault="00036C83" w:rsidP="00470AC5">
            <w:pPr>
              <w:keepNext/>
              <w:keepLines/>
              <w:spacing w:before="240" w:line="240" w:lineRule="atLeast"/>
              <w:ind w:left="324" w:firstLine="0"/>
            </w:pPr>
          </w:p>
        </w:tc>
      </w:tr>
      <w:tr w:rsidR="00036C83" w:rsidRPr="00465779" w:rsidTr="00470AC5">
        <w:tc>
          <w:tcPr>
            <w:tcW w:w="4536" w:type="dxa"/>
          </w:tcPr>
          <w:p w:rsidR="00036C83" w:rsidRPr="009869AA" w:rsidRDefault="00036C83" w:rsidP="00470AC5">
            <w:pPr>
              <w:pStyle w:val="Header"/>
              <w:spacing w:before="120"/>
              <w:ind w:right="115"/>
            </w:pPr>
            <w:r w:rsidRPr="009869AA">
              <w:t xml:space="preserve">In the Matter of the Petition of </w:t>
            </w:r>
          </w:p>
          <w:p w:rsidR="00036C83" w:rsidRPr="009869AA" w:rsidRDefault="00036C83" w:rsidP="00470AC5">
            <w:pPr>
              <w:pStyle w:val="Header"/>
              <w:ind w:right="115"/>
            </w:pPr>
          </w:p>
          <w:p w:rsidR="00036C83" w:rsidRPr="009869AA" w:rsidRDefault="00036C83" w:rsidP="00470AC5">
            <w:pPr>
              <w:pStyle w:val="Header"/>
              <w:ind w:right="115"/>
            </w:pPr>
            <w:r w:rsidRPr="009869AA">
              <w:t xml:space="preserve">PUGET SOUND ENERGY, INC. and NW ENERGY COALITION </w:t>
            </w:r>
          </w:p>
          <w:p w:rsidR="00036C83" w:rsidRPr="00465779" w:rsidRDefault="00036C83" w:rsidP="00470AC5">
            <w:pPr>
              <w:spacing w:before="240" w:after="120" w:line="240" w:lineRule="atLeast"/>
              <w:ind w:firstLine="0"/>
            </w:pPr>
            <w:r w:rsidRPr="009869AA">
              <w:t>For an Order Authorizing PSE to Implement Electric and Natural Gas Decoupling Mechanisms and to Record Accounting Entries Associated with the Mechanisms</w:t>
            </w:r>
          </w:p>
        </w:tc>
        <w:tc>
          <w:tcPr>
            <w:tcW w:w="4545" w:type="dxa"/>
            <w:vAlign w:val="center"/>
          </w:tcPr>
          <w:p w:rsidR="00036C83" w:rsidRPr="00465779" w:rsidRDefault="00036C83" w:rsidP="00470AC5">
            <w:pPr>
              <w:keepNext/>
              <w:keepLines/>
              <w:spacing w:before="240" w:line="240" w:lineRule="atLeast"/>
              <w:ind w:left="324" w:firstLine="0"/>
            </w:pPr>
            <w:r w:rsidRPr="00465779">
              <w:t>DOCKET NO</w:t>
            </w:r>
            <w:r>
              <w:t>S</w:t>
            </w:r>
            <w:r w:rsidRPr="00465779">
              <w:t>. UE-121697</w:t>
            </w:r>
            <w:r>
              <w:t xml:space="preserve"> </w:t>
            </w:r>
            <w:r w:rsidRPr="00465779">
              <w:t>and UG-121705 (Consolidated)</w:t>
            </w:r>
          </w:p>
          <w:p w:rsidR="00036C83" w:rsidRDefault="00036C83" w:rsidP="00470AC5">
            <w:pPr>
              <w:keepNext/>
              <w:keepLines/>
              <w:spacing w:before="240" w:line="240" w:lineRule="atLeast"/>
              <w:ind w:left="324" w:firstLine="0"/>
            </w:pPr>
          </w:p>
        </w:tc>
      </w:tr>
      <w:tr w:rsidR="00036C83" w:rsidRPr="00465779" w:rsidTr="00470AC5">
        <w:tc>
          <w:tcPr>
            <w:tcW w:w="4536" w:type="dxa"/>
          </w:tcPr>
          <w:p w:rsidR="00036C83" w:rsidRPr="00465779" w:rsidRDefault="00036C83" w:rsidP="00470AC5">
            <w:pPr>
              <w:spacing w:before="240" w:line="240" w:lineRule="atLeast"/>
              <w:ind w:firstLine="0"/>
            </w:pPr>
            <w:r w:rsidRPr="00465779">
              <w:t>WASHINGTON UTILITIES AND TRANSPORTATION COMMISSION,</w:t>
            </w:r>
          </w:p>
          <w:p w:rsidR="00036C83" w:rsidRPr="00465779" w:rsidRDefault="00036C83" w:rsidP="00470AC5">
            <w:pPr>
              <w:spacing w:before="120" w:line="240" w:lineRule="atLeast"/>
              <w:ind w:firstLine="0"/>
            </w:pPr>
            <w:r w:rsidRPr="00465779">
              <w:tab/>
              <w:t>Complainant,</w:t>
            </w:r>
          </w:p>
          <w:p w:rsidR="00036C83" w:rsidRPr="00465779" w:rsidRDefault="00036C83" w:rsidP="00470AC5">
            <w:pPr>
              <w:spacing w:before="240" w:line="240" w:lineRule="atLeast"/>
              <w:ind w:left="1440" w:firstLine="0"/>
            </w:pPr>
            <w:r w:rsidRPr="00465779">
              <w:t>v.</w:t>
            </w:r>
          </w:p>
          <w:p w:rsidR="00036C83" w:rsidRPr="00465779" w:rsidRDefault="00036C83" w:rsidP="00470AC5">
            <w:pPr>
              <w:spacing w:before="240" w:line="240" w:lineRule="atLeast"/>
              <w:ind w:firstLine="0"/>
            </w:pPr>
            <w:r w:rsidRPr="00465779">
              <w:t xml:space="preserve">PUGET SOUND ENERGY, INC., </w:t>
            </w:r>
          </w:p>
          <w:p w:rsidR="00036C83" w:rsidRPr="00465779" w:rsidRDefault="00036C83" w:rsidP="00470AC5">
            <w:pPr>
              <w:spacing w:before="240" w:line="240" w:lineRule="atLeast"/>
              <w:ind w:firstLine="0"/>
            </w:pPr>
            <w:r w:rsidRPr="00465779">
              <w:tab/>
              <w:t>Respondent.</w:t>
            </w:r>
          </w:p>
        </w:tc>
        <w:tc>
          <w:tcPr>
            <w:tcW w:w="4545" w:type="dxa"/>
            <w:vAlign w:val="center"/>
          </w:tcPr>
          <w:p w:rsidR="00036C83" w:rsidRPr="00465779" w:rsidRDefault="00036C83" w:rsidP="00470AC5">
            <w:pPr>
              <w:keepNext/>
              <w:keepLines/>
              <w:spacing w:line="240" w:lineRule="atLeast"/>
              <w:ind w:left="331" w:firstLine="0"/>
            </w:pPr>
            <w:r w:rsidRPr="00465779">
              <w:t>DOCKET NOS. UE-130137 and UG-130138 (Consolidated)</w:t>
            </w:r>
          </w:p>
          <w:p w:rsidR="00036C83" w:rsidRDefault="00036C83" w:rsidP="00470AC5">
            <w:pPr>
              <w:keepNext/>
              <w:keepLines/>
              <w:spacing w:before="240" w:line="240" w:lineRule="atLeast"/>
              <w:ind w:left="324" w:firstLine="0"/>
            </w:pPr>
          </w:p>
        </w:tc>
      </w:tr>
    </w:tbl>
    <w:p w:rsidR="00036C83" w:rsidRPr="009075DC" w:rsidRDefault="00036C83" w:rsidP="00427797">
      <w:pPr>
        <w:pStyle w:val="center"/>
        <w:keepLines w:val="0"/>
        <w:widowControl w:val="0"/>
        <w:spacing w:before="0" w:line="240" w:lineRule="auto"/>
        <w:rPr>
          <w:b/>
        </w:rPr>
      </w:pPr>
    </w:p>
    <w:p w:rsidR="00036C83" w:rsidRDefault="00036C83" w:rsidP="00427797">
      <w:pPr>
        <w:pStyle w:val="center"/>
        <w:keepLines w:val="0"/>
        <w:widowControl w:val="0"/>
        <w:spacing w:before="0" w:line="240" w:lineRule="auto"/>
        <w:rPr>
          <w:b/>
        </w:rPr>
      </w:pPr>
    </w:p>
    <w:p w:rsidR="00036C83" w:rsidRPr="00176EB6" w:rsidRDefault="00036C83" w:rsidP="00427797">
      <w:pPr>
        <w:pStyle w:val="center"/>
        <w:keepLines w:val="0"/>
        <w:widowControl w:val="0"/>
        <w:spacing w:before="0" w:line="240" w:lineRule="auto"/>
        <w:rPr>
          <w:b/>
        </w:rPr>
      </w:pPr>
      <w:r w:rsidRPr="00176EB6">
        <w:rPr>
          <w:b/>
        </w:rPr>
        <w:t>PREFILED REBUTTAL TESTIMONY (NONCONFIDENTIAL) OF</w:t>
      </w:r>
    </w:p>
    <w:p w:rsidR="00036C83" w:rsidRDefault="00036C83" w:rsidP="00427797">
      <w:pPr>
        <w:pStyle w:val="center"/>
        <w:keepLines w:val="0"/>
        <w:widowControl w:val="0"/>
        <w:spacing w:before="0" w:line="240" w:lineRule="auto"/>
        <w:rPr>
          <w:b/>
        </w:rPr>
      </w:pPr>
      <w:r>
        <w:rPr>
          <w:b/>
          <w:bCs/>
          <w:szCs w:val="24"/>
        </w:rPr>
        <w:t>JON A. PILIARIS</w:t>
      </w:r>
      <w:r w:rsidRPr="00176EB6">
        <w:rPr>
          <w:b/>
          <w:bCs/>
          <w:szCs w:val="24"/>
        </w:rPr>
        <w:t xml:space="preserve"> </w:t>
      </w:r>
      <w:r>
        <w:rPr>
          <w:b/>
          <w:bCs/>
          <w:szCs w:val="24"/>
        </w:rPr>
        <w:br/>
      </w:r>
      <w:r w:rsidRPr="00176EB6">
        <w:rPr>
          <w:b/>
        </w:rPr>
        <w:t>ON BEHALF OF PUGET SOUND ENERGY, INC.</w:t>
      </w:r>
    </w:p>
    <w:p w:rsidR="00036C83" w:rsidRDefault="00036C83" w:rsidP="00432A2F">
      <w:pPr>
        <w:pStyle w:val="center"/>
        <w:keepLines w:val="0"/>
        <w:widowControl w:val="0"/>
        <w:spacing w:before="120" w:line="240" w:lineRule="auto"/>
        <w:rPr>
          <w:i/>
        </w:rPr>
      </w:pPr>
      <w:r w:rsidRPr="00A66A45">
        <w:rPr>
          <w:bCs/>
          <w:i/>
          <w:szCs w:val="24"/>
        </w:rPr>
        <w:t xml:space="preserve">In Support </w:t>
      </w:r>
      <w:r>
        <w:rPr>
          <w:bCs/>
          <w:i/>
          <w:szCs w:val="24"/>
        </w:rPr>
        <w:t>o</w:t>
      </w:r>
      <w:r w:rsidRPr="00A66A45">
        <w:rPr>
          <w:bCs/>
          <w:i/>
          <w:szCs w:val="24"/>
        </w:rPr>
        <w:t>f the Multiparty Settlement</w:t>
      </w:r>
      <w:r>
        <w:rPr>
          <w:i/>
        </w:rPr>
        <w:t xml:space="preserve"> </w:t>
      </w:r>
    </w:p>
    <w:p w:rsidR="00036C83" w:rsidRDefault="00036C83" w:rsidP="00432A2F">
      <w:pPr>
        <w:pStyle w:val="center"/>
        <w:keepLines w:val="0"/>
        <w:widowControl w:val="0"/>
        <w:spacing w:before="0" w:after="240" w:line="240" w:lineRule="auto"/>
        <w:rPr>
          <w:i/>
        </w:rPr>
      </w:pPr>
      <w:r>
        <w:rPr>
          <w:i/>
        </w:rPr>
        <w:t>Re: Coal Transition PPA and other Pending Dockets</w:t>
      </w:r>
    </w:p>
    <w:p w:rsidR="00036C83" w:rsidRPr="00176EB6" w:rsidRDefault="00036C83" w:rsidP="00432A2F">
      <w:pPr>
        <w:pStyle w:val="center"/>
        <w:keepLines w:val="0"/>
        <w:widowControl w:val="0"/>
        <w:spacing w:before="120" w:line="240" w:lineRule="auto"/>
        <w:rPr>
          <w:b/>
          <w:bCs/>
          <w:szCs w:val="24"/>
        </w:rPr>
      </w:pPr>
      <w:r w:rsidRPr="00176EB6">
        <w:rPr>
          <w:b/>
        </w:rPr>
        <w:t xml:space="preserve">MAY </w:t>
      </w:r>
      <w:r>
        <w:rPr>
          <w:b/>
        </w:rPr>
        <w:t>8</w:t>
      </w:r>
      <w:r w:rsidRPr="00176EB6">
        <w:rPr>
          <w:b/>
        </w:rPr>
        <w:t>, 2013</w:t>
      </w:r>
    </w:p>
    <w:p w:rsidR="00036C83" w:rsidRPr="009075DC" w:rsidRDefault="00036C83" w:rsidP="000F4005">
      <w:pPr>
        <w:widowControl w:val="0"/>
        <w:spacing w:line="240" w:lineRule="auto"/>
        <w:ind w:firstLine="0"/>
        <w:jc w:val="center"/>
        <w:rPr>
          <w:b/>
          <w:bCs/>
          <w:szCs w:val="24"/>
        </w:rPr>
        <w:sectPr w:rsidR="00036C83" w:rsidRPr="009075D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2160" w:header="720" w:footer="864" w:gutter="0"/>
          <w:pgNumType w:start="1"/>
          <w:cols w:space="720"/>
          <w:rtlGutter/>
        </w:sectPr>
      </w:pPr>
    </w:p>
    <w:p w:rsidR="00036C83" w:rsidRPr="006E0E79" w:rsidRDefault="00036C83" w:rsidP="00742234">
      <w:pPr>
        <w:keepNext/>
        <w:keepLines/>
        <w:spacing w:before="240" w:after="240" w:line="240" w:lineRule="auto"/>
        <w:ind w:left="547" w:right="547" w:firstLine="0"/>
        <w:jc w:val="center"/>
        <w:rPr>
          <w:b/>
          <w:bCs/>
          <w:szCs w:val="24"/>
        </w:rPr>
      </w:pPr>
      <w:r w:rsidRPr="006E0E79">
        <w:rPr>
          <w:b/>
          <w:bCs/>
          <w:szCs w:val="24"/>
        </w:rPr>
        <w:t>PUGET SOUND ENERGY, INC.</w:t>
      </w:r>
    </w:p>
    <w:p w:rsidR="00036C83" w:rsidRDefault="00036C83" w:rsidP="00742234">
      <w:pPr>
        <w:keepNext/>
        <w:keepLines/>
        <w:spacing w:before="240" w:after="240" w:line="240" w:lineRule="auto"/>
        <w:ind w:left="547" w:right="547" w:firstLine="0"/>
        <w:jc w:val="center"/>
        <w:rPr>
          <w:b/>
          <w:bCs/>
          <w:szCs w:val="24"/>
        </w:rPr>
      </w:pPr>
      <w:r>
        <w:rPr>
          <w:b/>
          <w:bCs/>
          <w:szCs w:val="24"/>
        </w:rPr>
        <w:t xml:space="preserve">PREFILED REBUTTAL </w:t>
      </w:r>
      <w:r w:rsidRPr="009075DC">
        <w:rPr>
          <w:b/>
          <w:bCs/>
          <w:szCs w:val="24"/>
        </w:rPr>
        <w:t xml:space="preserve">TESTIMONY </w:t>
      </w:r>
      <w:r>
        <w:rPr>
          <w:b/>
          <w:bCs/>
          <w:szCs w:val="24"/>
        </w:rPr>
        <w:br/>
      </w:r>
      <w:r w:rsidRPr="009075DC">
        <w:rPr>
          <w:b/>
          <w:bCs/>
          <w:szCs w:val="24"/>
        </w:rPr>
        <w:t>(NONCONFIDENTIAL) OF</w:t>
      </w:r>
      <w:r>
        <w:rPr>
          <w:b/>
          <w:bCs/>
          <w:szCs w:val="24"/>
        </w:rPr>
        <w:t xml:space="preserve"> </w:t>
      </w:r>
      <w:r w:rsidRPr="009075DC">
        <w:rPr>
          <w:b/>
          <w:bCs/>
          <w:szCs w:val="24"/>
        </w:rPr>
        <w:t>JON A. PILIARIS</w:t>
      </w:r>
      <w:bookmarkStart w:id="1" w:name="TOCTitle"/>
    </w:p>
    <w:p w:rsidR="00036C83" w:rsidRPr="00B548D5" w:rsidRDefault="00036C83" w:rsidP="006E0E79">
      <w:pPr>
        <w:keepNext/>
        <w:keepLines/>
        <w:spacing w:before="240" w:after="360" w:line="240" w:lineRule="auto"/>
        <w:ind w:left="547" w:right="547" w:firstLine="0"/>
        <w:jc w:val="center"/>
        <w:rPr>
          <w:b/>
          <w:bCs/>
          <w:szCs w:val="24"/>
        </w:rPr>
      </w:pPr>
      <w:r w:rsidRPr="00B548D5">
        <w:rPr>
          <w:b/>
          <w:bCs/>
        </w:rPr>
        <w:t>CONTENTS</w:t>
      </w:r>
      <w:bookmarkEnd w:id="1"/>
    </w:p>
    <w:p w:rsidR="00036C83" w:rsidRPr="00B548D5" w:rsidRDefault="00036C83">
      <w:pPr>
        <w:pStyle w:val="TOC1"/>
        <w:rPr>
          <w:rFonts w:eastAsia="Times New Roman"/>
          <w:color w:val="auto"/>
          <w:lang w:eastAsia="en-US"/>
        </w:rPr>
      </w:pPr>
      <w:r w:rsidRPr="00B548D5">
        <w:rPr>
          <w:bCs/>
          <w:color w:val="auto"/>
        </w:rPr>
        <w:fldChar w:fldCharType="begin"/>
      </w:r>
      <w:r w:rsidRPr="00B548D5">
        <w:rPr>
          <w:bCs/>
          <w:color w:val="auto"/>
        </w:rPr>
        <w:instrText xml:space="preserve"> TOC \o "1-5" \h \z \u </w:instrText>
      </w:r>
      <w:r w:rsidRPr="00B548D5">
        <w:rPr>
          <w:bCs/>
          <w:color w:val="auto"/>
        </w:rPr>
        <w:fldChar w:fldCharType="separate"/>
      </w:r>
      <w:hyperlink w:anchor="_Toc355780183" w:history="1">
        <w:r w:rsidRPr="00B548D5">
          <w:rPr>
            <w:rStyle w:val="Hyperlink"/>
            <w:color w:val="auto"/>
          </w:rPr>
          <w:t>I.</w:t>
        </w:r>
        <w:r w:rsidRPr="00B548D5">
          <w:rPr>
            <w:rFonts w:eastAsia="Times New Roman"/>
            <w:color w:val="auto"/>
            <w:lang w:eastAsia="en-US"/>
          </w:rPr>
          <w:tab/>
        </w:r>
        <w:r w:rsidRPr="00B548D5">
          <w:rPr>
            <w:rStyle w:val="Hyperlink"/>
            <w:color w:val="auto"/>
          </w:rPr>
          <w:t>INTRODUCTION</w:t>
        </w:r>
        <w:r w:rsidRPr="00B548D5">
          <w:rPr>
            <w:webHidden/>
            <w:color w:val="auto"/>
          </w:rPr>
          <w:tab/>
        </w:r>
        <w:r w:rsidRPr="00B548D5">
          <w:rPr>
            <w:webHidden/>
            <w:color w:val="auto"/>
          </w:rPr>
          <w:fldChar w:fldCharType="begin"/>
        </w:r>
        <w:r w:rsidRPr="00B548D5">
          <w:rPr>
            <w:webHidden/>
            <w:color w:val="auto"/>
          </w:rPr>
          <w:instrText xml:space="preserve"> PAGEREF _Toc355780183 \h </w:instrText>
        </w:r>
        <w:r w:rsidRPr="00B548D5">
          <w:rPr>
            <w:color w:val="auto"/>
          </w:rPr>
        </w:r>
        <w:r w:rsidRPr="00B548D5">
          <w:rPr>
            <w:webHidden/>
            <w:color w:val="auto"/>
          </w:rPr>
          <w:fldChar w:fldCharType="separate"/>
        </w:r>
        <w:r w:rsidRPr="00B548D5">
          <w:rPr>
            <w:webHidden/>
            <w:color w:val="auto"/>
          </w:rPr>
          <w:t>1</w:t>
        </w:r>
        <w:r w:rsidRPr="00B548D5">
          <w:rPr>
            <w:webHidden/>
            <w:color w:val="auto"/>
          </w:rPr>
          <w:fldChar w:fldCharType="end"/>
        </w:r>
      </w:hyperlink>
    </w:p>
    <w:p w:rsidR="00036C83" w:rsidRPr="00B548D5" w:rsidRDefault="00036C83">
      <w:pPr>
        <w:pStyle w:val="TOC1"/>
        <w:rPr>
          <w:rFonts w:eastAsia="Times New Roman"/>
          <w:color w:val="auto"/>
          <w:lang w:eastAsia="en-US"/>
        </w:rPr>
      </w:pPr>
      <w:hyperlink w:anchor="_Toc355780184" w:history="1">
        <w:r w:rsidRPr="00B548D5">
          <w:rPr>
            <w:rStyle w:val="Hyperlink"/>
            <w:color w:val="auto"/>
          </w:rPr>
          <w:t>II.</w:t>
        </w:r>
        <w:r w:rsidRPr="00B548D5">
          <w:rPr>
            <w:rFonts w:eastAsia="Times New Roman"/>
            <w:color w:val="auto"/>
            <w:lang w:eastAsia="en-US"/>
          </w:rPr>
          <w:tab/>
        </w:r>
        <w:r w:rsidRPr="00B548D5">
          <w:rPr>
            <w:rStyle w:val="Hyperlink"/>
            <w:color w:val="auto"/>
          </w:rPr>
          <w:t>JOINT DECOUPLING PROPOSAL IS CONSISTENT WITH DECOUPLING POLICY STATEMENT</w:t>
        </w:r>
        <w:r w:rsidRPr="00B548D5">
          <w:rPr>
            <w:webHidden/>
            <w:color w:val="auto"/>
          </w:rPr>
          <w:tab/>
        </w:r>
        <w:r w:rsidRPr="00B548D5">
          <w:rPr>
            <w:webHidden/>
            <w:color w:val="auto"/>
          </w:rPr>
          <w:fldChar w:fldCharType="begin"/>
        </w:r>
        <w:r w:rsidRPr="00B548D5">
          <w:rPr>
            <w:webHidden/>
            <w:color w:val="auto"/>
          </w:rPr>
          <w:instrText xml:space="preserve"> PAGEREF _Toc355780184 \h </w:instrText>
        </w:r>
        <w:r w:rsidRPr="00B548D5">
          <w:rPr>
            <w:color w:val="auto"/>
          </w:rPr>
        </w:r>
        <w:r w:rsidRPr="00B548D5">
          <w:rPr>
            <w:webHidden/>
            <w:color w:val="auto"/>
          </w:rPr>
          <w:fldChar w:fldCharType="separate"/>
        </w:r>
        <w:r w:rsidRPr="00B548D5">
          <w:rPr>
            <w:webHidden/>
            <w:color w:val="auto"/>
          </w:rPr>
          <w:t>4</w:t>
        </w:r>
        <w:r w:rsidRPr="00B548D5">
          <w:rPr>
            <w:webHidden/>
            <w:color w:val="auto"/>
          </w:rPr>
          <w:fldChar w:fldCharType="end"/>
        </w:r>
      </w:hyperlink>
    </w:p>
    <w:p w:rsidR="00036C83" w:rsidRPr="00B548D5" w:rsidRDefault="00036C83">
      <w:pPr>
        <w:pStyle w:val="TOC1"/>
        <w:rPr>
          <w:rFonts w:eastAsia="Times New Roman"/>
          <w:color w:val="auto"/>
          <w:lang w:eastAsia="en-US"/>
        </w:rPr>
      </w:pPr>
      <w:hyperlink w:anchor="_Toc355780185" w:history="1">
        <w:r w:rsidRPr="00B548D5">
          <w:rPr>
            <w:rStyle w:val="Hyperlink"/>
            <w:color w:val="auto"/>
          </w:rPr>
          <w:t>III.</w:t>
        </w:r>
        <w:r w:rsidRPr="00B548D5">
          <w:rPr>
            <w:rFonts w:eastAsia="Times New Roman"/>
            <w:color w:val="auto"/>
            <w:lang w:eastAsia="en-US"/>
          </w:rPr>
          <w:tab/>
        </w:r>
        <w:r w:rsidRPr="00B548D5">
          <w:rPr>
            <w:rStyle w:val="Hyperlink"/>
            <w:color w:val="auto"/>
          </w:rPr>
          <w:t>CUSTOMER PROTECTIONS IN JOINT DECOUPLING PROPOSAL ARE SUFFICIENT</w:t>
        </w:r>
        <w:r w:rsidRPr="00B548D5">
          <w:rPr>
            <w:webHidden/>
            <w:color w:val="auto"/>
          </w:rPr>
          <w:tab/>
        </w:r>
        <w:r w:rsidRPr="00B548D5">
          <w:rPr>
            <w:webHidden/>
            <w:color w:val="auto"/>
          </w:rPr>
          <w:fldChar w:fldCharType="begin"/>
        </w:r>
        <w:r w:rsidRPr="00B548D5">
          <w:rPr>
            <w:webHidden/>
            <w:color w:val="auto"/>
          </w:rPr>
          <w:instrText xml:space="preserve"> PAGEREF _Toc355780185 \h </w:instrText>
        </w:r>
        <w:r w:rsidRPr="00B548D5">
          <w:rPr>
            <w:color w:val="auto"/>
          </w:rPr>
        </w:r>
        <w:r w:rsidRPr="00B548D5">
          <w:rPr>
            <w:webHidden/>
            <w:color w:val="auto"/>
          </w:rPr>
          <w:fldChar w:fldCharType="separate"/>
        </w:r>
        <w:r w:rsidRPr="00B548D5">
          <w:rPr>
            <w:webHidden/>
            <w:color w:val="auto"/>
          </w:rPr>
          <w:t>6</w:t>
        </w:r>
        <w:r w:rsidRPr="00B548D5">
          <w:rPr>
            <w:webHidden/>
            <w:color w:val="auto"/>
          </w:rPr>
          <w:fldChar w:fldCharType="end"/>
        </w:r>
      </w:hyperlink>
    </w:p>
    <w:p w:rsidR="00036C83" w:rsidRPr="00B548D5" w:rsidRDefault="00036C83">
      <w:pPr>
        <w:pStyle w:val="TOC1"/>
        <w:rPr>
          <w:rFonts w:eastAsia="Times New Roman"/>
          <w:color w:val="auto"/>
          <w:lang w:eastAsia="en-US"/>
        </w:rPr>
      </w:pPr>
      <w:hyperlink w:anchor="_Toc355780186" w:history="1">
        <w:r w:rsidRPr="00B548D5">
          <w:rPr>
            <w:rStyle w:val="Hyperlink"/>
            <w:color w:val="auto"/>
          </w:rPr>
          <w:t>IV.</w:t>
        </w:r>
        <w:r w:rsidRPr="00B548D5">
          <w:rPr>
            <w:rFonts w:eastAsia="Times New Roman"/>
            <w:color w:val="auto"/>
            <w:lang w:eastAsia="en-US"/>
          </w:rPr>
          <w:tab/>
        </w:r>
        <w:r w:rsidRPr="00B548D5">
          <w:rPr>
            <w:rStyle w:val="Hyperlink"/>
            <w:color w:val="auto"/>
          </w:rPr>
          <w:t>CLAIMED CUSTOMER IMPACTS OF PSE’S DECOUPLING MECHANISM ARE OVERSTATED</w:t>
        </w:r>
        <w:r w:rsidRPr="00B548D5">
          <w:rPr>
            <w:webHidden/>
            <w:color w:val="auto"/>
          </w:rPr>
          <w:tab/>
        </w:r>
        <w:r w:rsidRPr="00B548D5">
          <w:rPr>
            <w:webHidden/>
            <w:color w:val="auto"/>
          </w:rPr>
          <w:fldChar w:fldCharType="begin"/>
        </w:r>
        <w:r w:rsidRPr="00B548D5">
          <w:rPr>
            <w:webHidden/>
            <w:color w:val="auto"/>
          </w:rPr>
          <w:instrText xml:space="preserve"> PAGEREF _Toc355780186 \h </w:instrText>
        </w:r>
        <w:r w:rsidRPr="00B548D5">
          <w:rPr>
            <w:color w:val="auto"/>
          </w:rPr>
        </w:r>
        <w:r w:rsidRPr="00B548D5">
          <w:rPr>
            <w:webHidden/>
            <w:color w:val="auto"/>
          </w:rPr>
          <w:fldChar w:fldCharType="separate"/>
        </w:r>
        <w:r w:rsidRPr="00B548D5">
          <w:rPr>
            <w:webHidden/>
            <w:color w:val="auto"/>
          </w:rPr>
          <w:t>9</w:t>
        </w:r>
        <w:r w:rsidRPr="00B548D5">
          <w:rPr>
            <w:webHidden/>
            <w:color w:val="auto"/>
          </w:rPr>
          <w:fldChar w:fldCharType="end"/>
        </w:r>
      </w:hyperlink>
    </w:p>
    <w:p w:rsidR="00036C83" w:rsidRPr="00B548D5" w:rsidRDefault="00036C83">
      <w:pPr>
        <w:pStyle w:val="TOC1"/>
        <w:rPr>
          <w:rFonts w:eastAsia="Times New Roman"/>
          <w:color w:val="auto"/>
          <w:lang w:eastAsia="en-US"/>
        </w:rPr>
      </w:pPr>
      <w:hyperlink w:anchor="_Toc355780187" w:history="1">
        <w:r w:rsidRPr="00B548D5">
          <w:rPr>
            <w:rStyle w:val="Hyperlink"/>
            <w:color w:val="auto"/>
          </w:rPr>
          <w:t>V.</w:t>
        </w:r>
        <w:r w:rsidRPr="00B548D5">
          <w:rPr>
            <w:rFonts w:eastAsia="Times New Roman"/>
            <w:color w:val="auto"/>
            <w:lang w:eastAsia="en-US"/>
          </w:rPr>
          <w:tab/>
        </w:r>
        <w:r w:rsidRPr="00B548D5">
          <w:rPr>
            <w:rStyle w:val="Hyperlink"/>
            <w:color w:val="auto"/>
          </w:rPr>
          <w:t>LARGE CUSTOMERS ARE BEING TREATED FAIRLY IN THE DECOUPLING AND RATE PLAN PROPOSALS</w:t>
        </w:r>
        <w:r w:rsidRPr="00B548D5">
          <w:rPr>
            <w:webHidden/>
            <w:color w:val="auto"/>
          </w:rPr>
          <w:tab/>
        </w:r>
        <w:r w:rsidRPr="00B548D5">
          <w:rPr>
            <w:webHidden/>
            <w:color w:val="auto"/>
          </w:rPr>
          <w:fldChar w:fldCharType="begin"/>
        </w:r>
        <w:r w:rsidRPr="00B548D5">
          <w:rPr>
            <w:webHidden/>
            <w:color w:val="auto"/>
          </w:rPr>
          <w:instrText xml:space="preserve"> PAGEREF _Toc355780187 \h </w:instrText>
        </w:r>
        <w:r w:rsidRPr="00B548D5">
          <w:rPr>
            <w:color w:val="auto"/>
          </w:rPr>
        </w:r>
        <w:r w:rsidRPr="00B548D5">
          <w:rPr>
            <w:webHidden/>
            <w:color w:val="auto"/>
          </w:rPr>
          <w:fldChar w:fldCharType="separate"/>
        </w:r>
        <w:r w:rsidRPr="00B548D5">
          <w:rPr>
            <w:webHidden/>
            <w:color w:val="auto"/>
          </w:rPr>
          <w:t>11</w:t>
        </w:r>
        <w:r w:rsidRPr="00B548D5">
          <w:rPr>
            <w:webHidden/>
            <w:color w:val="auto"/>
          </w:rPr>
          <w:fldChar w:fldCharType="end"/>
        </w:r>
      </w:hyperlink>
    </w:p>
    <w:p w:rsidR="00036C83" w:rsidRPr="00B548D5" w:rsidRDefault="00036C83">
      <w:pPr>
        <w:pStyle w:val="TOC1"/>
        <w:rPr>
          <w:rFonts w:eastAsia="Times New Roman"/>
          <w:color w:val="auto"/>
          <w:lang w:eastAsia="en-US"/>
        </w:rPr>
      </w:pPr>
      <w:hyperlink w:anchor="_Toc355780188" w:history="1">
        <w:r w:rsidRPr="00B548D5">
          <w:rPr>
            <w:rStyle w:val="Hyperlink"/>
            <w:color w:val="auto"/>
          </w:rPr>
          <w:t>VI.</w:t>
        </w:r>
        <w:r w:rsidRPr="00B548D5">
          <w:rPr>
            <w:rFonts w:eastAsia="Times New Roman"/>
            <w:color w:val="auto"/>
            <w:lang w:eastAsia="en-US"/>
          </w:rPr>
          <w:tab/>
        </w:r>
        <w:r w:rsidRPr="00B548D5">
          <w:rPr>
            <w:rStyle w:val="Hyperlink"/>
            <w:color w:val="auto"/>
          </w:rPr>
          <w:t>RATE DESIGN ALTERNATIVES TO JOINT DECOUPLING PROPOSAL ARE INADEQUATE</w:t>
        </w:r>
        <w:r w:rsidRPr="00B548D5">
          <w:rPr>
            <w:webHidden/>
            <w:color w:val="auto"/>
          </w:rPr>
          <w:tab/>
        </w:r>
        <w:r w:rsidRPr="00B548D5">
          <w:rPr>
            <w:webHidden/>
            <w:color w:val="auto"/>
          </w:rPr>
          <w:fldChar w:fldCharType="begin"/>
        </w:r>
        <w:r w:rsidRPr="00B548D5">
          <w:rPr>
            <w:webHidden/>
            <w:color w:val="auto"/>
          </w:rPr>
          <w:instrText xml:space="preserve"> PAGEREF _Toc355780188 \h </w:instrText>
        </w:r>
        <w:r w:rsidRPr="00B548D5">
          <w:rPr>
            <w:color w:val="auto"/>
          </w:rPr>
        </w:r>
        <w:r w:rsidRPr="00B548D5">
          <w:rPr>
            <w:webHidden/>
            <w:color w:val="auto"/>
          </w:rPr>
          <w:fldChar w:fldCharType="separate"/>
        </w:r>
        <w:r w:rsidRPr="00B548D5">
          <w:rPr>
            <w:webHidden/>
            <w:color w:val="auto"/>
          </w:rPr>
          <w:t>17</w:t>
        </w:r>
        <w:r w:rsidRPr="00B548D5">
          <w:rPr>
            <w:webHidden/>
            <w:color w:val="auto"/>
          </w:rPr>
          <w:fldChar w:fldCharType="end"/>
        </w:r>
      </w:hyperlink>
    </w:p>
    <w:p w:rsidR="00036C83" w:rsidRPr="00B548D5" w:rsidRDefault="00036C83">
      <w:pPr>
        <w:pStyle w:val="TOC1"/>
        <w:rPr>
          <w:rFonts w:eastAsia="Times New Roman"/>
          <w:color w:val="auto"/>
          <w:lang w:eastAsia="en-US"/>
        </w:rPr>
      </w:pPr>
      <w:hyperlink w:anchor="_Toc355780189" w:history="1">
        <w:r w:rsidRPr="00B548D5">
          <w:rPr>
            <w:rStyle w:val="Hyperlink"/>
            <w:color w:val="auto"/>
          </w:rPr>
          <w:t>VII.</w:t>
        </w:r>
        <w:r w:rsidRPr="00B548D5">
          <w:rPr>
            <w:rFonts w:eastAsia="Times New Roman"/>
            <w:color w:val="auto"/>
            <w:lang w:eastAsia="en-US"/>
          </w:rPr>
          <w:tab/>
        </w:r>
        <w:r w:rsidRPr="00B548D5">
          <w:rPr>
            <w:rStyle w:val="Hyperlink"/>
            <w:color w:val="auto"/>
          </w:rPr>
          <w:t>CONCLUSION</w:t>
        </w:r>
        <w:r w:rsidRPr="00B548D5">
          <w:rPr>
            <w:webHidden/>
            <w:color w:val="auto"/>
          </w:rPr>
          <w:tab/>
        </w:r>
        <w:r w:rsidRPr="00B548D5">
          <w:rPr>
            <w:webHidden/>
            <w:color w:val="auto"/>
          </w:rPr>
          <w:fldChar w:fldCharType="begin"/>
        </w:r>
        <w:r w:rsidRPr="00B548D5">
          <w:rPr>
            <w:webHidden/>
            <w:color w:val="auto"/>
          </w:rPr>
          <w:instrText xml:space="preserve"> PAGEREF _Toc355780189 \h </w:instrText>
        </w:r>
        <w:r w:rsidRPr="00B548D5">
          <w:rPr>
            <w:color w:val="auto"/>
          </w:rPr>
        </w:r>
        <w:r w:rsidRPr="00B548D5">
          <w:rPr>
            <w:webHidden/>
            <w:color w:val="auto"/>
          </w:rPr>
          <w:fldChar w:fldCharType="separate"/>
        </w:r>
        <w:r w:rsidRPr="00B548D5">
          <w:rPr>
            <w:webHidden/>
            <w:color w:val="auto"/>
          </w:rPr>
          <w:t>20</w:t>
        </w:r>
        <w:r w:rsidRPr="00B548D5">
          <w:rPr>
            <w:webHidden/>
            <w:color w:val="auto"/>
          </w:rPr>
          <w:fldChar w:fldCharType="end"/>
        </w:r>
      </w:hyperlink>
    </w:p>
    <w:p w:rsidR="00036C83" w:rsidRPr="009075DC" w:rsidRDefault="00036C83" w:rsidP="000F4005">
      <w:pPr>
        <w:widowControl w:val="0"/>
        <w:spacing w:before="240" w:after="240" w:line="480" w:lineRule="auto"/>
        <w:ind w:left="720" w:right="720" w:firstLine="0"/>
        <w:jc w:val="center"/>
        <w:rPr>
          <w:b/>
          <w:bCs/>
          <w:szCs w:val="24"/>
        </w:rPr>
        <w:sectPr w:rsidR="00036C83" w:rsidRPr="009075DC" w:rsidSect="00742234">
          <w:headerReference w:type="default" r:id="rId13"/>
          <w:footerReference w:type="default" r:id="rId14"/>
          <w:pgSz w:w="12240" w:h="15840" w:code="1"/>
          <w:pgMar w:top="1152" w:right="1440" w:bottom="1152" w:left="2160" w:header="864" w:footer="576" w:gutter="0"/>
          <w:pgNumType w:fmt="lowerRoman" w:start="1"/>
          <w:cols w:space="720"/>
        </w:sectPr>
      </w:pPr>
      <w:r w:rsidRPr="00B548D5">
        <w:rPr>
          <w:bCs/>
        </w:rPr>
        <w:fldChar w:fldCharType="end"/>
      </w:r>
    </w:p>
    <w:p w:rsidR="00036C83" w:rsidRPr="006E0E79" w:rsidRDefault="00036C83" w:rsidP="006E0E79">
      <w:pPr>
        <w:keepNext/>
        <w:keepLines/>
        <w:spacing w:before="240" w:after="360" w:line="240" w:lineRule="auto"/>
        <w:ind w:left="547" w:right="547" w:firstLine="0"/>
        <w:jc w:val="center"/>
        <w:rPr>
          <w:b/>
          <w:bCs/>
          <w:szCs w:val="24"/>
        </w:rPr>
      </w:pPr>
      <w:r w:rsidRPr="006E0E79">
        <w:rPr>
          <w:b/>
          <w:bCs/>
          <w:szCs w:val="24"/>
        </w:rPr>
        <w:t>PUGET SOUND ENERGY, INC.</w:t>
      </w:r>
    </w:p>
    <w:p w:rsidR="00036C83" w:rsidRPr="009075DC" w:rsidRDefault="00036C83" w:rsidP="006E0E79">
      <w:pPr>
        <w:keepNext/>
        <w:keepLines/>
        <w:spacing w:before="240" w:after="360" w:line="240" w:lineRule="auto"/>
        <w:ind w:left="547" w:right="547" w:firstLine="0"/>
        <w:jc w:val="center"/>
        <w:rPr>
          <w:b/>
          <w:bCs/>
          <w:szCs w:val="24"/>
        </w:rPr>
      </w:pPr>
      <w:r w:rsidRPr="009075DC">
        <w:rPr>
          <w:b/>
          <w:bCs/>
          <w:szCs w:val="24"/>
        </w:rPr>
        <w:t xml:space="preserve">PREFILED </w:t>
      </w:r>
      <w:r>
        <w:rPr>
          <w:b/>
          <w:bCs/>
          <w:szCs w:val="24"/>
        </w:rPr>
        <w:t>REBUTTAL</w:t>
      </w:r>
      <w:r w:rsidRPr="009075DC">
        <w:rPr>
          <w:b/>
          <w:bCs/>
          <w:szCs w:val="24"/>
        </w:rPr>
        <w:t xml:space="preserve"> TESTIMONY (NONCONFIDENTIAL) OF</w:t>
      </w:r>
      <w:r>
        <w:rPr>
          <w:b/>
          <w:bCs/>
          <w:szCs w:val="24"/>
        </w:rPr>
        <w:t xml:space="preserve"> </w:t>
      </w:r>
      <w:r w:rsidRPr="009075DC">
        <w:rPr>
          <w:b/>
          <w:bCs/>
          <w:szCs w:val="24"/>
        </w:rPr>
        <w:t>JON A. PILIARIS</w:t>
      </w:r>
    </w:p>
    <w:p w:rsidR="00036C83" w:rsidRPr="009075DC" w:rsidRDefault="00036C83" w:rsidP="006E0E79">
      <w:pPr>
        <w:pStyle w:val="Heading1"/>
        <w:spacing w:after="360" w:line="240" w:lineRule="auto"/>
        <w:rPr>
          <w:rFonts w:eastAsia="SimSun"/>
        </w:rPr>
      </w:pPr>
      <w:bookmarkStart w:id="2" w:name="_Toc125167531"/>
      <w:bookmarkStart w:id="3" w:name="_Toc127023381"/>
      <w:bookmarkStart w:id="4" w:name="_Toc355780183"/>
      <w:r w:rsidRPr="009075DC">
        <w:rPr>
          <w:rFonts w:eastAsia="SimSun"/>
        </w:rPr>
        <w:t>I.</w:t>
      </w:r>
      <w:r w:rsidRPr="009075DC">
        <w:rPr>
          <w:rFonts w:eastAsia="SimSun"/>
        </w:rPr>
        <w:tab/>
        <w:t>INTRODUCTION</w:t>
      </w:r>
      <w:bookmarkEnd w:id="2"/>
      <w:bookmarkEnd w:id="3"/>
      <w:bookmarkEnd w:id="4"/>
    </w:p>
    <w:p w:rsidR="00036C83" w:rsidRDefault="00036C83" w:rsidP="00A503F9">
      <w:pPr>
        <w:pStyle w:val="question"/>
        <w:keepNext/>
        <w:keepLines/>
        <w:spacing w:before="120"/>
      </w:pPr>
      <w:bookmarkStart w:id="5" w:name="_Toc314431234"/>
      <w:r>
        <w:t>Q.</w:t>
      </w:r>
      <w:r>
        <w:tab/>
        <w:t>Are you the same Jon A. Piliaris who provided prefiled testimony and supporting exhibits on behalf of Puget Sound Energy, Inc. ("PSE") in these proceedings?</w:t>
      </w:r>
    </w:p>
    <w:p w:rsidR="00036C83" w:rsidRDefault="00036C83" w:rsidP="007F7827">
      <w:pPr>
        <w:pStyle w:val="Answer0"/>
      </w:pPr>
      <w:r>
        <w:t>A.</w:t>
      </w:r>
      <w:r>
        <w:tab/>
        <w:t xml:space="preserve">Yes; in Docket Nos. UE-130137 and UG-130138 (consolidated) I filed prefiled direct testimony, Exhibit No. ___(JAP-1T), and supporting exhibits, Exhibit No. ___(JAP-2) through Exhibit No. ___(JAP-6), on February 1, 2013.  </w:t>
      </w:r>
    </w:p>
    <w:p w:rsidR="00036C83" w:rsidRDefault="00036C83" w:rsidP="007F7827">
      <w:pPr>
        <w:pStyle w:val="Answer0"/>
        <w:ind w:firstLine="0"/>
      </w:pPr>
      <w:r>
        <w:t xml:space="preserve">In Docket Nos. UE-121697 and UG-121705 (consolidated) I filed prefiled direct testimony, Exhibit No. ___(JAP-1T), and supporting exhibits, Exhibit No. ___(JAP-2) through Exhibit No. ___(JAP-7) on October 25, 2012.  On March 1, 2013, I filed prefiled supplemental direct testimony, Exhibit No. ___(JAP-8T), and supporting exhibits, Exhibit No. ___(JAP-9) through Exhibit No. ___(JAP-23). </w:t>
      </w:r>
    </w:p>
    <w:bookmarkEnd w:id="5"/>
    <w:p w:rsidR="00036C83" w:rsidRPr="00A503F9" w:rsidRDefault="00036C83" w:rsidP="00AE3B70">
      <w:pPr>
        <w:pStyle w:val="question"/>
        <w:keepNext/>
        <w:keepLines/>
      </w:pPr>
      <w:r w:rsidRPr="009075DC">
        <w:rPr>
          <w:rFonts w:eastAsia="SimSun"/>
        </w:rPr>
        <w:t>Q.</w:t>
      </w:r>
      <w:r w:rsidRPr="009075DC">
        <w:rPr>
          <w:rFonts w:eastAsia="SimSun"/>
        </w:rPr>
        <w:tab/>
        <w:t xml:space="preserve">What is the purpose of </w:t>
      </w:r>
      <w:r>
        <w:rPr>
          <w:rFonts w:eastAsia="SimSun"/>
        </w:rPr>
        <w:t xml:space="preserve">your rebuttal </w:t>
      </w:r>
      <w:r w:rsidRPr="009075DC">
        <w:rPr>
          <w:rFonts w:eastAsia="SimSun"/>
        </w:rPr>
        <w:t>testimony?</w:t>
      </w:r>
    </w:p>
    <w:p w:rsidR="00036C83" w:rsidRDefault="00036C83" w:rsidP="00AE3B70">
      <w:pPr>
        <w:pStyle w:val="Answer0"/>
        <w:rPr>
          <w:rFonts w:eastAsia="SimSun"/>
        </w:rPr>
      </w:pPr>
      <w:r w:rsidRPr="009E5562">
        <w:rPr>
          <w:rFonts w:eastAsia="SimSun"/>
        </w:rPr>
        <w:t>A.</w:t>
      </w:r>
      <w:r w:rsidRPr="009E5562">
        <w:rPr>
          <w:rFonts w:eastAsia="SimSun"/>
        </w:rPr>
        <w:tab/>
      </w:r>
      <w:r>
        <w:rPr>
          <w:rFonts w:eastAsia="SimSun"/>
        </w:rPr>
        <w:t xml:space="preserve">This prefiled rebuttal </w:t>
      </w:r>
      <w:r w:rsidRPr="009E5562">
        <w:rPr>
          <w:rFonts w:eastAsia="SimSun"/>
        </w:rPr>
        <w:t xml:space="preserve">testimony </w:t>
      </w:r>
      <w:r>
        <w:rPr>
          <w:rFonts w:eastAsia="SimSun"/>
        </w:rPr>
        <w:t>responds to the following:</w:t>
      </w:r>
    </w:p>
    <w:p w:rsidR="00036C83" w:rsidRDefault="00036C83" w:rsidP="00AE3B70">
      <w:pPr>
        <w:pStyle w:val="Answer0"/>
        <w:spacing w:before="0" w:after="280" w:line="240" w:lineRule="auto"/>
        <w:ind w:left="2160" w:right="720"/>
        <w:rPr>
          <w:rFonts w:eastAsia="SimSun"/>
        </w:rPr>
      </w:pPr>
      <w:r>
        <w:rPr>
          <w:rFonts w:eastAsia="SimSun"/>
        </w:rPr>
        <w:t>(i)</w:t>
      </w:r>
      <w:r>
        <w:rPr>
          <w:rFonts w:eastAsia="SimSun"/>
        </w:rPr>
        <w:tab/>
        <w:t xml:space="preserve">the </w:t>
      </w:r>
      <w:r w:rsidRPr="009E5562">
        <w:rPr>
          <w:rFonts w:eastAsia="SimSun"/>
        </w:rPr>
        <w:t>Prefiled Response Testimon</w:t>
      </w:r>
      <w:r>
        <w:rPr>
          <w:rFonts w:eastAsia="SimSun"/>
        </w:rPr>
        <w:t>y of Mr. James R. Dittmer</w:t>
      </w:r>
      <w:r w:rsidRPr="009E5562">
        <w:rPr>
          <w:rFonts w:eastAsia="SimSun"/>
        </w:rPr>
        <w:t>, Exhibit No.</w:t>
      </w:r>
      <w:r>
        <w:rPr>
          <w:rFonts w:eastAsia="SimSun"/>
        </w:rPr>
        <w:t> </w:t>
      </w:r>
      <w:r w:rsidRPr="009E5562">
        <w:rPr>
          <w:rFonts w:eastAsia="SimSun"/>
        </w:rPr>
        <w:t>___(</w:t>
      </w:r>
      <w:r>
        <w:rPr>
          <w:rFonts w:eastAsia="SimSun"/>
        </w:rPr>
        <w:t>JRD</w:t>
      </w:r>
      <w:r w:rsidRPr="009E5562">
        <w:rPr>
          <w:rFonts w:eastAsia="SimSun"/>
        </w:rPr>
        <w:t xml:space="preserve">-1T), </w:t>
      </w:r>
      <w:r>
        <w:rPr>
          <w:rFonts w:eastAsia="SimSun"/>
        </w:rPr>
        <w:t xml:space="preserve">on behalf of the </w:t>
      </w:r>
      <w:r w:rsidRPr="006E6860">
        <w:rPr>
          <w:rFonts w:eastAsia="SimSun"/>
        </w:rPr>
        <w:t>Public Counsel Section of the Washington Attorney General’s Office (</w:t>
      </w:r>
      <w:r>
        <w:rPr>
          <w:rFonts w:eastAsia="SimSun"/>
        </w:rPr>
        <w:t>"</w:t>
      </w:r>
      <w:r w:rsidRPr="006E6860">
        <w:rPr>
          <w:rFonts w:eastAsia="SimSun"/>
        </w:rPr>
        <w:t>Public Counsel</w:t>
      </w:r>
      <w:r>
        <w:rPr>
          <w:rFonts w:eastAsia="SimSun"/>
        </w:rPr>
        <w:t>"</w:t>
      </w:r>
      <w:r w:rsidRPr="006E6860">
        <w:rPr>
          <w:rFonts w:eastAsia="SimSun"/>
        </w:rPr>
        <w:t>)</w:t>
      </w:r>
      <w:r>
        <w:rPr>
          <w:rFonts w:eastAsia="SimSun"/>
        </w:rPr>
        <w:t>;</w:t>
      </w:r>
    </w:p>
    <w:p w:rsidR="00036C83" w:rsidRDefault="00036C83" w:rsidP="00AE3B70">
      <w:pPr>
        <w:pStyle w:val="Answer0"/>
        <w:spacing w:before="0" w:after="280" w:line="240" w:lineRule="auto"/>
        <w:ind w:left="2160" w:right="720"/>
        <w:rPr>
          <w:rFonts w:eastAsia="SimSun"/>
        </w:rPr>
      </w:pPr>
      <w:r>
        <w:rPr>
          <w:rFonts w:eastAsia="SimSun"/>
        </w:rPr>
        <w:t>(ii)</w:t>
      </w:r>
      <w:r>
        <w:rPr>
          <w:rFonts w:eastAsia="SimSun"/>
        </w:rPr>
        <w:tab/>
        <w:t xml:space="preserve">the </w:t>
      </w:r>
      <w:r w:rsidRPr="009E5562">
        <w:rPr>
          <w:rFonts w:eastAsia="SimSun"/>
        </w:rPr>
        <w:t>Prefiled Response Testimon</w:t>
      </w:r>
      <w:r>
        <w:rPr>
          <w:rFonts w:eastAsia="SimSun"/>
        </w:rPr>
        <w:t>y of Mr. </w:t>
      </w:r>
      <w:r w:rsidRPr="006E6860">
        <w:rPr>
          <w:rFonts w:eastAsia="SimSun"/>
        </w:rPr>
        <w:t>Michael</w:t>
      </w:r>
      <w:r>
        <w:rPr>
          <w:rFonts w:eastAsia="SimSun"/>
        </w:rPr>
        <w:t> </w:t>
      </w:r>
      <w:r w:rsidRPr="006E6860">
        <w:rPr>
          <w:rFonts w:eastAsia="SimSun"/>
        </w:rPr>
        <w:t>P. Gorman</w:t>
      </w:r>
      <w:r w:rsidRPr="009E5562">
        <w:rPr>
          <w:rFonts w:eastAsia="SimSun"/>
        </w:rPr>
        <w:t>, Exhibit No.</w:t>
      </w:r>
      <w:r>
        <w:rPr>
          <w:rFonts w:eastAsia="SimSun"/>
        </w:rPr>
        <w:t> </w:t>
      </w:r>
      <w:r w:rsidRPr="009E5562">
        <w:rPr>
          <w:rFonts w:eastAsia="SimSun"/>
        </w:rPr>
        <w:t>___(</w:t>
      </w:r>
      <w:r>
        <w:rPr>
          <w:rFonts w:eastAsia="SimSun"/>
        </w:rPr>
        <w:t>MPG</w:t>
      </w:r>
      <w:r w:rsidRPr="009E5562">
        <w:rPr>
          <w:rFonts w:eastAsia="SimSun"/>
        </w:rPr>
        <w:t xml:space="preserve">-1T), </w:t>
      </w:r>
      <w:r>
        <w:rPr>
          <w:rFonts w:eastAsia="SimSun"/>
        </w:rPr>
        <w:t xml:space="preserve">on behalf of the Industrial Customers of Northwest Utilities </w:t>
      </w:r>
      <w:r w:rsidRPr="006E6860">
        <w:rPr>
          <w:rFonts w:eastAsia="SimSun"/>
        </w:rPr>
        <w:t>(</w:t>
      </w:r>
      <w:r>
        <w:rPr>
          <w:rFonts w:eastAsia="SimSun"/>
        </w:rPr>
        <w:t>"ICNU"</w:t>
      </w:r>
      <w:r w:rsidRPr="006E6860">
        <w:rPr>
          <w:rFonts w:eastAsia="SimSun"/>
        </w:rPr>
        <w:t>)</w:t>
      </w:r>
      <w:r>
        <w:rPr>
          <w:rFonts w:eastAsia="SimSun"/>
        </w:rPr>
        <w:t xml:space="preserve">; </w:t>
      </w:r>
    </w:p>
    <w:p w:rsidR="00036C83" w:rsidRDefault="00036C83" w:rsidP="00AE3B70">
      <w:pPr>
        <w:pStyle w:val="Answer0"/>
        <w:spacing w:before="0" w:after="280" w:line="240" w:lineRule="auto"/>
        <w:ind w:left="2160" w:right="720"/>
        <w:rPr>
          <w:rFonts w:eastAsia="SimSun"/>
        </w:rPr>
      </w:pPr>
      <w:r>
        <w:rPr>
          <w:rFonts w:eastAsia="SimSun"/>
        </w:rPr>
        <w:t>(iii)</w:t>
      </w:r>
      <w:r>
        <w:rPr>
          <w:rFonts w:eastAsia="SimSun"/>
        </w:rPr>
        <w:tab/>
        <w:t xml:space="preserve">the </w:t>
      </w:r>
      <w:r w:rsidRPr="009E5562">
        <w:rPr>
          <w:rFonts w:eastAsia="SimSun"/>
        </w:rPr>
        <w:t>Prefiled Response Testimon</w:t>
      </w:r>
      <w:r>
        <w:rPr>
          <w:rFonts w:eastAsia="SimSun"/>
        </w:rPr>
        <w:t>y of Mr. </w:t>
      </w:r>
      <w:r w:rsidRPr="006E6860">
        <w:rPr>
          <w:rFonts w:eastAsia="SimSun"/>
        </w:rPr>
        <w:t>Michael</w:t>
      </w:r>
      <w:r>
        <w:rPr>
          <w:rFonts w:eastAsia="SimSun"/>
        </w:rPr>
        <w:t> C</w:t>
      </w:r>
      <w:r w:rsidRPr="006E6860">
        <w:rPr>
          <w:rFonts w:eastAsia="SimSun"/>
        </w:rPr>
        <w:t xml:space="preserve">. </w:t>
      </w:r>
      <w:r>
        <w:rPr>
          <w:rFonts w:eastAsia="SimSun"/>
        </w:rPr>
        <w:t>Deen</w:t>
      </w:r>
      <w:r w:rsidRPr="009E5562">
        <w:rPr>
          <w:rFonts w:eastAsia="SimSun"/>
        </w:rPr>
        <w:t>, Exhibit No.</w:t>
      </w:r>
      <w:r>
        <w:rPr>
          <w:rFonts w:eastAsia="SimSun"/>
        </w:rPr>
        <w:t> </w:t>
      </w:r>
      <w:r w:rsidRPr="009E5562">
        <w:rPr>
          <w:rFonts w:eastAsia="SimSun"/>
        </w:rPr>
        <w:t>___(</w:t>
      </w:r>
      <w:r>
        <w:rPr>
          <w:rFonts w:eastAsia="SimSun"/>
        </w:rPr>
        <w:t>MCD</w:t>
      </w:r>
      <w:r w:rsidRPr="009E5562">
        <w:rPr>
          <w:rFonts w:eastAsia="SimSun"/>
        </w:rPr>
        <w:t xml:space="preserve">-1T), </w:t>
      </w:r>
      <w:r>
        <w:rPr>
          <w:rFonts w:eastAsia="SimSun"/>
        </w:rPr>
        <w:t xml:space="preserve">on behalf of ICNU; </w:t>
      </w:r>
    </w:p>
    <w:p w:rsidR="00036C83" w:rsidRDefault="00036C83" w:rsidP="00AE3B70">
      <w:pPr>
        <w:pStyle w:val="Answer0"/>
        <w:spacing w:before="0" w:after="280" w:line="240" w:lineRule="auto"/>
        <w:ind w:left="2160" w:right="720"/>
        <w:rPr>
          <w:rFonts w:eastAsia="SimSun"/>
        </w:rPr>
      </w:pPr>
      <w:r>
        <w:rPr>
          <w:rFonts w:eastAsia="SimSun"/>
        </w:rPr>
        <w:t>(iv)</w:t>
      </w:r>
      <w:r>
        <w:rPr>
          <w:rFonts w:eastAsia="SimSun"/>
        </w:rPr>
        <w:tab/>
        <w:t xml:space="preserve">the </w:t>
      </w:r>
      <w:r w:rsidRPr="009E5562">
        <w:rPr>
          <w:rFonts w:eastAsia="SimSun"/>
        </w:rPr>
        <w:t>Prefiled Response Testimon</w:t>
      </w:r>
      <w:r>
        <w:rPr>
          <w:rFonts w:eastAsia="SimSun"/>
        </w:rPr>
        <w:t>y of Mr. </w:t>
      </w:r>
      <w:r w:rsidRPr="006E6860">
        <w:rPr>
          <w:rFonts w:eastAsia="SimSun"/>
        </w:rPr>
        <w:t>Michael</w:t>
      </w:r>
      <w:r>
        <w:rPr>
          <w:rFonts w:eastAsia="SimSun"/>
        </w:rPr>
        <w:t> C</w:t>
      </w:r>
      <w:r w:rsidRPr="006E6860">
        <w:rPr>
          <w:rFonts w:eastAsia="SimSun"/>
        </w:rPr>
        <w:t xml:space="preserve">. </w:t>
      </w:r>
      <w:r>
        <w:rPr>
          <w:rFonts w:eastAsia="SimSun"/>
        </w:rPr>
        <w:t>Deen</w:t>
      </w:r>
      <w:r w:rsidRPr="009E5562">
        <w:rPr>
          <w:rFonts w:eastAsia="SimSun"/>
        </w:rPr>
        <w:t>, Exhibit No.</w:t>
      </w:r>
      <w:r>
        <w:rPr>
          <w:rFonts w:eastAsia="SimSun"/>
        </w:rPr>
        <w:t> </w:t>
      </w:r>
      <w:r w:rsidRPr="009E5562">
        <w:rPr>
          <w:rFonts w:eastAsia="SimSun"/>
        </w:rPr>
        <w:t>___(</w:t>
      </w:r>
      <w:r>
        <w:rPr>
          <w:rFonts w:eastAsia="SimSun"/>
        </w:rPr>
        <w:t>MCD</w:t>
      </w:r>
      <w:r w:rsidRPr="009E5562">
        <w:rPr>
          <w:rFonts w:eastAsia="SimSun"/>
        </w:rPr>
        <w:t>-</w:t>
      </w:r>
      <w:r>
        <w:rPr>
          <w:rFonts w:eastAsia="SimSun"/>
        </w:rPr>
        <w:t>8</w:t>
      </w:r>
      <w:r w:rsidRPr="009E5562">
        <w:rPr>
          <w:rFonts w:eastAsia="SimSun"/>
        </w:rPr>
        <w:t xml:space="preserve">T), </w:t>
      </w:r>
      <w:r>
        <w:rPr>
          <w:rFonts w:eastAsia="SimSun"/>
        </w:rPr>
        <w:t xml:space="preserve">on behalf of the Northwest Industrial Gas Users </w:t>
      </w:r>
      <w:r w:rsidRPr="006E6860">
        <w:rPr>
          <w:rFonts w:eastAsia="SimSun"/>
        </w:rPr>
        <w:t>(</w:t>
      </w:r>
      <w:r>
        <w:rPr>
          <w:rFonts w:eastAsia="SimSun"/>
        </w:rPr>
        <w:t>"NWIGU"</w:t>
      </w:r>
      <w:r w:rsidRPr="006E6860">
        <w:rPr>
          <w:rFonts w:eastAsia="SimSun"/>
        </w:rPr>
        <w:t>)</w:t>
      </w:r>
      <w:r>
        <w:rPr>
          <w:rFonts w:eastAsia="SimSun"/>
        </w:rPr>
        <w:t>;</w:t>
      </w:r>
    </w:p>
    <w:p w:rsidR="00036C83" w:rsidRDefault="00036C83" w:rsidP="00AE3B70">
      <w:pPr>
        <w:pStyle w:val="Answer0"/>
        <w:spacing w:before="0" w:after="280" w:line="240" w:lineRule="auto"/>
        <w:ind w:left="2160" w:right="720"/>
        <w:rPr>
          <w:rFonts w:eastAsia="SimSun"/>
        </w:rPr>
      </w:pPr>
      <w:r>
        <w:rPr>
          <w:rFonts w:eastAsia="SimSun"/>
        </w:rPr>
        <w:t xml:space="preserve"> (v)</w:t>
      </w:r>
      <w:r>
        <w:rPr>
          <w:rFonts w:eastAsia="SimSun"/>
        </w:rPr>
        <w:tab/>
        <w:t xml:space="preserve">the </w:t>
      </w:r>
      <w:r w:rsidRPr="009E5562">
        <w:rPr>
          <w:rFonts w:eastAsia="SimSun"/>
        </w:rPr>
        <w:t>Prefiled Response Testimon</w:t>
      </w:r>
      <w:r>
        <w:rPr>
          <w:rFonts w:eastAsia="SimSun"/>
        </w:rPr>
        <w:t>y of Mr. Edward A. Finklea</w:t>
      </w:r>
      <w:r w:rsidRPr="009E5562">
        <w:rPr>
          <w:rFonts w:eastAsia="SimSun"/>
        </w:rPr>
        <w:t>, Exhibit No.</w:t>
      </w:r>
      <w:r>
        <w:rPr>
          <w:rFonts w:eastAsia="SimSun"/>
        </w:rPr>
        <w:t> </w:t>
      </w:r>
      <w:r w:rsidRPr="009E5562">
        <w:rPr>
          <w:rFonts w:eastAsia="SimSun"/>
        </w:rPr>
        <w:t>___(</w:t>
      </w:r>
      <w:r>
        <w:rPr>
          <w:rFonts w:eastAsia="SimSun"/>
        </w:rPr>
        <w:t>EAF</w:t>
      </w:r>
      <w:r w:rsidRPr="009E5562">
        <w:rPr>
          <w:rFonts w:eastAsia="SimSun"/>
        </w:rPr>
        <w:t xml:space="preserve">-1T), </w:t>
      </w:r>
      <w:r>
        <w:rPr>
          <w:rFonts w:eastAsia="SimSun"/>
        </w:rPr>
        <w:t xml:space="preserve">on behalf of NWIGU; </w:t>
      </w:r>
    </w:p>
    <w:p w:rsidR="00036C83" w:rsidRDefault="00036C83" w:rsidP="00AE3B70">
      <w:pPr>
        <w:pStyle w:val="Answer0"/>
        <w:spacing w:before="0" w:after="280" w:line="240" w:lineRule="auto"/>
        <w:ind w:left="2160" w:right="720"/>
        <w:rPr>
          <w:rFonts w:eastAsia="SimSun"/>
        </w:rPr>
      </w:pPr>
      <w:r>
        <w:rPr>
          <w:rFonts w:eastAsia="SimSun"/>
        </w:rPr>
        <w:t>(vi)</w:t>
      </w:r>
      <w:r>
        <w:rPr>
          <w:rFonts w:eastAsia="SimSun"/>
        </w:rPr>
        <w:tab/>
        <w:t>the Prefiled Response Testimony of Mr. Kevin G. Higgins</w:t>
      </w:r>
      <w:r w:rsidRPr="009E5562">
        <w:rPr>
          <w:rFonts w:eastAsia="SimSun"/>
        </w:rPr>
        <w:t>, Exhibit No.</w:t>
      </w:r>
      <w:r>
        <w:rPr>
          <w:rFonts w:eastAsia="SimSun"/>
        </w:rPr>
        <w:t> </w:t>
      </w:r>
      <w:r w:rsidRPr="009E5562">
        <w:rPr>
          <w:rFonts w:eastAsia="SimSun"/>
        </w:rPr>
        <w:t>___(</w:t>
      </w:r>
      <w:r>
        <w:rPr>
          <w:rFonts w:eastAsia="SimSun"/>
        </w:rPr>
        <w:t>KGH</w:t>
      </w:r>
      <w:r w:rsidRPr="009E5562">
        <w:rPr>
          <w:rFonts w:eastAsia="SimSun"/>
        </w:rPr>
        <w:t xml:space="preserve">-1T), </w:t>
      </w:r>
      <w:r>
        <w:rPr>
          <w:rFonts w:eastAsia="SimSun"/>
        </w:rPr>
        <w:t xml:space="preserve">on behalf of </w:t>
      </w:r>
      <w:r w:rsidRPr="006E6860">
        <w:rPr>
          <w:rFonts w:eastAsia="SimSun"/>
        </w:rPr>
        <w:t>The Kroger Co. (</w:t>
      </w:r>
      <w:r>
        <w:rPr>
          <w:rFonts w:eastAsia="SimSun"/>
        </w:rPr>
        <w:t>"</w:t>
      </w:r>
      <w:r w:rsidRPr="006E6860">
        <w:rPr>
          <w:rFonts w:eastAsia="SimSun"/>
        </w:rPr>
        <w:t>Kroger</w:t>
      </w:r>
      <w:r>
        <w:rPr>
          <w:rFonts w:eastAsia="SimSun"/>
        </w:rPr>
        <w:t>"</w:t>
      </w:r>
      <w:r w:rsidRPr="006E6860">
        <w:rPr>
          <w:rFonts w:eastAsia="SimSun"/>
        </w:rPr>
        <w:t>) on behalf</w:t>
      </w:r>
      <w:r>
        <w:rPr>
          <w:rFonts w:eastAsia="SimSun"/>
        </w:rPr>
        <w:t xml:space="preserve"> </w:t>
      </w:r>
      <w:r w:rsidRPr="006E6860">
        <w:rPr>
          <w:rFonts w:eastAsia="SimSun"/>
        </w:rPr>
        <w:t>of its Fred Meyer Stores and Quality Food Centers divisions</w:t>
      </w:r>
      <w:r>
        <w:rPr>
          <w:rFonts w:eastAsia="SimSun"/>
        </w:rPr>
        <w:t>; and</w:t>
      </w:r>
    </w:p>
    <w:p w:rsidR="00036C83" w:rsidRDefault="00036C83" w:rsidP="00AE3B70">
      <w:pPr>
        <w:pStyle w:val="Answer0"/>
        <w:spacing w:before="0" w:after="280" w:line="240" w:lineRule="auto"/>
        <w:ind w:left="2160" w:right="720"/>
        <w:rPr>
          <w:rFonts w:eastAsia="SimSun"/>
        </w:rPr>
      </w:pPr>
      <w:r>
        <w:rPr>
          <w:rFonts w:eastAsia="SimSun"/>
        </w:rPr>
        <w:t xml:space="preserve"> (vii)</w:t>
      </w:r>
      <w:r>
        <w:rPr>
          <w:rFonts w:eastAsia="SimSun"/>
        </w:rPr>
        <w:tab/>
        <w:t>the Prefiled Response Testimony of Mr. Kevin G. Higgins</w:t>
      </w:r>
      <w:r w:rsidRPr="009E5562">
        <w:rPr>
          <w:rFonts w:eastAsia="SimSun"/>
        </w:rPr>
        <w:t>, Exhibit No.</w:t>
      </w:r>
      <w:r>
        <w:rPr>
          <w:rFonts w:eastAsia="SimSun"/>
        </w:rPr>
        <w:t> </w:t>
      </w:r>
      <w:r w:rsidRPr="009E5562">
        <w:rPr>
          <w:rFonts w:eastAsia="SimSun"/>
        </w:rPr>
        <w:t>___(</w:t>
      </w:r>
      <w:r>
        <w:rPr>
          <w:rFonts w:eastAsia="SimSun"/>
        </w:rPr>
        <w:t>KGH-5</w:t>
      </w:r>
      <w:r w:rsidRPr="009E5562">
        <w:rPr>
          <w:rFonts w:eastAsia="SimSun"/>
        </w:rPr>
        <w:t xml:space="preserve">T), </w:t>
      </w:r>
      <w:r>
        <w:rPr>
          <w:rFonts w:eastAsia="SimSun"/>
        </w:rPr>
        <w:t xml:space="preserve">on behalf of Nucor Steel Seattle, Inc. </w:t>
      </w:r>
      <w:r w:rsidRPr="006E6860">
        <w:rPr>
          <w:rFonts w:eastAsia="SimSun"/>
        </w:rPr>
        <w:t>(</w:t>
      </w:r>
      <w:r>
        <w:rPr>
          <w:rFonts w:eastAsia="SimSun"/>
        </w:rPr>
        <w:t>"Nucor"</w:t>
      </w:r>
      <w:r w:rsidRPr="006E6860">
        <w:rPr>
          <w:rFonts w:eastAsia="SimSun"/>
        </w:rPr>
        <w:t>)</w:t>
      </w:r>
      <w:r>
        <w:rPr>
          <w:rFonts w:eastAsia="SimSun"/>
        </w:rPr>
        <w:t>.</w:t>
      </w:r>
    </w:p>
    <w:p w:rsidR="00036C83" w:rsidRPr="00A503F9" w:rsidRDefault="00036C83" w:rsidP="00A503F9">
      <w:pPr>
        <w:pStyle w:val="question"/>
        <w:keepNext/>
        <w:keepLines/>
        <w:spacing w:before="120"/>
      </w:pPr>
      <w:r w:rsidRPr="009075DC">
        <w:rPr>
          <w:rFonts w:eastAsia="SimSun"/>
        </w:rPr>
        <w:t>Q.</w:t>
      </w:r>
      <w:r w:rsidRPr="009075DC">
        <w:rPr>
          <w:rFonts w:eastAsia="SimSun"/>
        </w:rPr>
        <w:tab/>
        <w:t>What is</w:t>
      </w:r>
      <w:r>
        <w:rPr>
          <w:rFonts w:eastAsia="SimSun"/>
        </w:rPr>
        <w:t>sues have been raised in the response</w:t>
      </w:r>
      <w:r w:rsidRPr="009075DC">
        <w:rPr>
          <w:rFonts w:eastAsia="SimSun"/>
        </w:rPr>
        <w:t xml:space="preserve"> testimony</w:t>
      </w:r>
      <w:r>
        <w:rPr>
          <w:rFonts w:eastAsia="SimSun"/>
        </w:rPr>
        <w:t xml:space="preserve"> of these witnesses that you will address</w:t>
      </w:r>
      <w:r w:rsidRPr="009075DC">
        <w:rPr>
          <w:rFonts w:eastAsia="SimSun"/>
        </w:rPr>
        <w:t>?</w:t>
      </w:r>
    </w:p>
    <w:p w:rsidR="00036C83" w:rsidRDefault="00036C83" w:rsidP="002128AA">
      <w:pPr>
        <w:pStyle w:val="Answer0"/>
        <w:rPr>
          <w:rFonts w:eastAsia="SimSun"/>
        </w:rPr>
      </w:pPr>
      <w:r w:rsidRPr="009075DC">
        <w:rPr>
          <w:rFonts w:eastAsia="SimSun"/>
        </w:rPr>
        <w:t>A.</w:t>
      </w:r>
      <w:r w:rsidRPr="009075DC">
        <w:rPr>
          <w:rFonts w:eastAsia="SimSun"/>
        </w:rPr>
        <w:tab/>
      </w:r>
      <w:r>
        <w:rPr>
          <w:rFonts w:eastAsia="SimSun"/>
        </w:rPr>
        <w:t>I will address the following issues presented in the response testimony of these witnesses:</w:t>
      </w:r>
    </w:p>
    <w:p w:rsidR="00036C83" w:rsidRDefault="00036C83" w:rsidP="0030045E">
      <w:pPr>
        <w:pStyle w:val="Answer0"/>
        <w:numPr>
          <w:ilvl w:val="0"/>
          <w:numId w:val="25"/>
        </w:numPr>
      </w:pPr>
      <w:r>
        <w:t xml:space="preserve">Whether the decoupling proposal is consistent with the </w:t>
      </w:r>
      <w:r w:rsidRPr="00193732">
        <w:rPr>
          <w:i/>
        </w:rPr>
        <w:t>Report and Policy Statement on Regulatory Mechanisms, Including Decoupling, To Encourage Utilities To Meet Or Exceed Their Conservation Targets</w:t>
      </w:r>
      <w:r>
        <w:rPr>
          <w:rStyle w:val="FootnoteReference"/>
          <w:i/>
        </w:rPr>
        <w:footnoteReference w:id="1"/>
      </w:r>
      <w:r w:rsidRPr="00193732">
        <w:rPr>
          <w:i/>
        </w:rPr>
        <w:t xml:space="preserve"> </w:t>
      </w:r>
      <w:r w:rsidRPr="00990FFC">
        <w:t>(</w:t>
      </w:r>
      <w:r>
        <w:t xml:space="preserve">"Decoupling </w:t>
      </w:r>
      <w:r w:rsidRPr="00D2154D">
        <w:t>Policy Statement</w:t>
      </w:r>
      <w:r>
        <w:t xml:space="preserve">") issued by </w:t>
      </w:r>
      <w:r w:rsidRPr="00417067">
        <w:t>the Washington Utilities and Transportation Commission (</w:t>
      </w:r>
      <w:r>
        <w:t>"Commission"</w:t>
      </w:r>
      <w:r w:rsidRPr="00417067">
        <w:t>)</w:t>
      </w:r>
      <w:r>
        <w:t>,</w:t>
      </w:r>
    </w:p>
    <w:p w:rsidR="00036C83" w:rsidRDefault="00036C83" w:rsidP="0030045E">
      <w:pPr>
        <w:pStyle w:val="Answer0"/>
        <w:numPr>
          <w:ilvl w:val="0"/>
          <w:numId w:val="25"/>
        </w:numPr>
      </w:pPr>
      <w:r>
        <w:t xml:space="preserve">Whether the customer protections in the Joint Decoupling Proposal are sufficient, </w:t>
      </w:r>
    </w:p>
    <w:p w:rsidR="00036C83" w:rsidRDefault="00036C83" w:rsidP="0030045E">
      <w:pPr>
        <w:pStyle w:val="Answer0"/>
        <w:numPr>
          <w:ilvl w:val="0"/>
          <w:numId w:val="25"/>
        </w:numPr>
      </w:pPr>
      <w:r>
        <w:t>The extent of the customer impacts from PSE’s last experience with decoupling and those anticipated with the current decoupling proposal,</w:t>
      </w:r>
    </w:p>
    <w:p w:rsidR="00036C83" w:rsidRDefault="00036C83" w:rsidP="0030045E">
      <w:pPr>
        <w:pStyle w:val="Answer0"/>
        <w:numPr>
          <w:ilvl w:val="0"/>
          <w:numId w:val="25"/>
        </w:numPr>
      </w:pPr>
      <w:r>
        <w:t xml:space="preserve">Whether large end users and/or transportation customers should be treated differently in </w:t>
      </w:r>
      <w:r w:rsidRPr="005B78BA">
        <w:rPr>
          <w:rFonts w:eastAsia="SimSun"/>
        </w:rPr>
        <w:t xml:space="preserve">the joint proposal by the </w:t>
      </w:r>
      <w:r>
        <w:t>NW Energy Coalition ("the Coalition") and</w:t>
      </w:r>
      <w:r w:rsidRPr="005B78BA">
        <w:rPr>
          <w:rFonts w:eastAsia="SimSun"/>
        </w:rPr>
        <w:t xml:space="preserve"> PSE for electric and natural gas revenue decoupling (</w:t>
      </w:r>
      <w:r>
        <w:rPr>
          <w:rFonts w:eastAsia="SimSun"/>
        </w:rPr>
        <w:t>"</w:t>
      </w:r>
      <w:r w:rsidRPr="005B78BA">
        <w:rPr>
          <w:rFonts w:eastAsia="SimSun"/>
        </w:rPr>
        <w:t>Joint Decoupling Proposal</w:t>
      </w:r>
      <w:r>
        <w:rPr>
          <w:rFonts w:eastAsia="SimSun"/>
        </w:rPr>
        <w:t>"</w:t>
      </w:r>
      <w:r w:rsidRPr="005B78BA">
        <w:rPr>
          <w:rFonts w:eastAsia="SimSun"/>
        </w:rPr>
        <w:t>)</w:t>
      </w:r>
      <w:r>
        <w:t>, and</w:t>
      </w:r>
    </w:p>
    <w:p w:rsidR="00036C83" w:rsidRDefault="00036C83" w:rsidP="00105359">
      <w:pPr>
        <w:pStyle w:val="Answer0"/>
        <w:numPr>
          <w:ilvl w:val="0"/>
          <w:numId w:val="25"/>
        </w:numPr>
      </w:pPr>
      <w:r>
        <w:t>Whether the rate design alternatives to the Joint Decoupling Proposal are adequate substitutes.</w:t>
      </w:r>
    </w:p>
    <w:p w:rsidR="00036C83" w:rsidRPr="00F5241D" w:rsidRDefault="00036C83" w:rsidP="00F5241D">
      <w:pPr>
        <w:pStyle w:val="question"/>
        <w:keepNext/>
        <w:keepLines/>
        <w:spacing w:before="120"/>
        <w:rPr>
          <w:rFonts w:eastAsia="SimSun"/>
        </w:rPr>
      </w:pPr>
      <w:r w:rsidRPr="009075DC">
        <w:rPr>
          <w:rFonts w:eastAsia="SimSun"/>
        </w:rPr>
        <w:t>Q.</w:t>
      </w:r>
      <w:r w:rsidRPr="009075DC">
        <w:rPr>
          <w:rFonts w:eastAsia="SimSun"/>
        </w:rPr>
        <w:tab/>
        <w:t>Do</w:t>
      </w:r>
      <w:r>
        <w:rPr>
          <w:rFonts w:eastAsia="SimSun"/>
        </w:rPr>
        <w:t xml:space="preserve"> you have any general observations regarding the response testimony filed on April 26</w:t>
      </w:r>
      <w:r w:rsidRPr="00F5241D">
        <w:rPr>
          <w:rFonts w:eastAsia="SimSun"/>
        </w:rPr>
        <w:t>th</w:t>
      </w:r>
      <w:r>
        <w:rPr>
          <w:rFonts w:eastAsia="SimSun"/>
        </w:rPr>
        <w:t xml:space="preserve"> in these proceedings</w:t>
      </w:r>
      <w:r w:rsidRPr="009075DC">
        <w:rPr>
          <w:rFonts w:eastAsia="SimSun"/>
        </w:rPr>
        <w:t>?</w:t>
      </w:r>
    </w:p>
    <w:p w:rsidR="00036C83" w:rsidRPr="00F5241D" w:rsidRDefault="00036C83" w:rsidP="00F5241D">
      <w:pPr>
        <w:pStyle w:val="Answer0"/>
        <w:rPr>
          <w:rFonts w:eastAsia="SimSun"/>
        </w:rPr>
      </w:pPr>
      <w:r w:rsidRPr="009075DC">
        <w:rPr>
          <w:rFonts w:eastAsia="SimSun"/>
        </w:rPr>
        <w:t>A.</w:t>
      </w:r>
      <w:r w:rsidRPr="009075DC">
        <w:rPr>
          <w:rFonts w:eastAsia="SimSun"/>
        </w:rPr>
        <w:tab/>
        <w:t>Yes.</w:t>
      </w:r>
      <w:r>
        <w:rPr>
          <w:rFonts w:eastAsia="SimSun"/>
        </w:rPr>
        <w:t xml:space="preserve">  The issues raised in response testimony are familiar to this Commission, as they have been raised previously in various proceedings and venues where decoupling has been considered.  To varying degrees, many of these issues have already been addressed by the Commission.  Moreover, as will be shown later in testimony, intervenors in these proceedings have not provided evidence that should prevent the Commission from finding that the Joint Decoupling Proposal is in the public interest and should be approved.</w:t>
      </w:r>
    </w:p>
    <w:p w:rsidR="00036C83" w:rsidRPr="009075DC" w:rsidRDefault="00036C83" w:rsidP="0030045E">
      <w:pPr>
        <w:pStyle w:val="Heading1"/>
        <w:spacing w:after="360" w:line="240" w:lineRule="auto"/>
        <w:rPr>
          <w:rFonts w:eastAsia="SimSun"/>
        </w:rPr>
      </w:pPr>
      <w:bookmarkStart w:id="6" w:name="_Toc355780184"/>
      <w:r>
        <w:rPr>
          <w:rFonts w:eastAsia="SimSun"/>
        </w:rPr>
        <w:t>II</w:t>
      </w:r>
      <w:r w:rsidRPr="009075DC">
        <w:rPr>
          <w:rFonts w:eastAsia="SimSun"/>
        </w:rPr>
        <w:t>.</w:t>
      </w:r>
      <w:r w:rsidRPr="009075DC">
        <w:rPr>
          <w:rFonts w:eastAsia="SimSun"/>
        </w:rPr>
        <w:tab/>
      </w:r>
      <w:r>
        <w:rPr>
          <w:rFonts w:eastAsia="SimSun"/>
        </w:rPr>
        <w:t>JOINT DECOUPLING PROPOSAL IS CONSISTENT WITH DECOUPLING POLICY STATEMENT</w:t>
      </w:r>
      <w:bookmarkEnd w:id="6"/>
    </w:p>
    <w:p w:rsidR="00036C83" w:rsidRPr="00A503F9" w:rsidRDefault="00036C83" w:rsidP="0030045E">
      <w:pPr>
        <w:pStyle w:val="question"/>
        <w:keepNext/>
        <w:keepLines/>
        <w:spacing w:before="120"/>
      </w:pPr>
      <w:r w:rsidRPr="009075DC">
        <w:rPr>
          <w:rFonts w:eastAsia="SimSun"/>
        </w:rPr>
        <w:t>Q.</w:t>
      </w:r>
      <w:r w:rsidRPr="009075DC">
        <w:rPr>
          <w:rFonts w:eastAsia="SimSun"/>
        </w:rPr>
        <w:tab/>
      </w:r>
      <w:r>
        <w:rPr>
          <w:rFonts w:eastAsia="SimSun"/>
        </w:rPr>
        <w:t>Have parties criticized the Joint Decoupling Proposal as being inconsistent with the Commission’s Decoupling Policy Statement</w:t>
      </w:r>
      <w:r w:rsidRPr="009075DC">
        <w:rPr>
          <w:rFonts w:eastAsia="SimSun"/>
        </w:rPr>
        <w:t>?</w:t>
      </w:r>
    </w:p>
    <w:p w:rsidR="00036C83" w:rsidRPr="00C27038" w:rsidRDefault="00036C83" w:rsidP="0030045E">
      <w:pPr>
        <w:pStyle w:val="Answer0"/>
      </w:pPr>
      <w:r w:rsidRPr="009075DC">
        <w:rPr>
          <w:rFonts w:eastAsia="SimSun"/>
        </w:rPr>
        <w:t>A.</w:t>
      </w:r>
      <w:r w:rsidRPr="009075DC">
        <w:rPr>
          <w:rFonts w:eastAsia="SimSun"/>
        </w:rPr>
        <w:tab/>
        <w:t>Yes.</w:t>
      </w:r>
      <w:r>
        <w:rPr>
          <w:rFonts w:eastAsia="SimSun"/>
        </w:rPr>
        <w:t xml:space="preserve">  For example, testimony filed on behalf of ICNU lists a series of perceived inconsistencies between the Joint Decoupling Proposal and the Commission’s Decoupling Policy Statement.  These include that the proposal (1) was filed outside of a general rate case, (2) decouples on a per-customer rather than per-class basis, (3) provides an inadequate incentive to promote conservation, (4) does not incorporate a decrease in rate of return and (5) does not consider the impacts of conservation on PSE’s off-system sales.</w:t>
      </w:r>
      <w:r>
        <w:rPr>
          <w:rStyle w:val="FootnoteReference"/>
          <w:rFonts w:eastAsia="SimSun"/>
        </w:rPr>
        <w:footnoteReference w:id="2"/>
      </w:r>
      <w:r>
        <w:rPr>
          <w:rFonts w:eastAsia="SimSun"/>
        </w:rPr>
        <w:t xml:space="preserve">  Similar arguments were raised in the testimony of other intervenors.</w:t>
      </w:r>
      <w:r>
        <w:rPr>
          <w:rStyle w:val="FootnoteReference"/>
          <w:rFonts w:eastAsia="SimSun"/>
        </w:rPr>
        <w:footnoteReference w:id="3"/>
      </w:r>
    </w:p>
    <w:p w:rsidR="00036C83" w:rsidRPr="00A503F9" w:rsidRDefault="00036C83" w:rsidP="00183605">
      <w:pPr>
        <w:pStyle w:val="question"/>
        <w:keepNext/>
        <w:keepLines/>
        <w:spacing w:before="120"/>
      </w:pPr>
      <w:r w:rsidRPr="009075DC">
        <w:rPr>
          <w:rFonts w:eastAsia="SimSun"/>
        </w:rPr>
        <w:t>Q.</w:t>
      </w:r>
      <w:r w:rsidRPr="009075DC">
        <w:rPr>
          <w:rFonts w:eastAsia="SimSun"/>
        </w:rPr>
        <w:tab/>
      </w:r>
      <w:r>
        <w:rPr>
          <w:rFonts w:eastAsia="SimSun"/>
        </w:rPr>
        <w:t>Do you have a general response to these concerns</w:t>
      </w:r>
      <w:r w:rsidRPr="009075DC">
        <w:rPr>
          <w:rFonts w:eastAsia="SimSun"/>
        </w:rPr>
        <w:t>?</w:t>
      </w:r>
    </w:p>
    <w:p w:rsidR="00036C83" w:rsidRPr="00C27038" w:rsidRDefault="00036C83" w:rsidP="00183605">
      <w:pPr>
        <w:pStyle w:val="Answer0"/>
      </w:pPr>
      <w:r w:rsidRPr="009075DC">
        <w:rPr>
          <w:rFonts w:eastAsia="SimSun"/>
        </w:rPr>
        <w:t>A.</w:t>
      </w:r>
      <w:r w:rsidRPr="009075DC">
        <w:rPr>
          <w:rFonts w:eastAsia="SimSun"/>
        </w:rPr>
        <w:tab/>
      </w:r>
      <w:r>
        <w:rPr>
          <w:rFonts w:eastAsia="SimSun"/>
        </w:rPr>
        <w:t>Yes.  By their very nature, Commission policy statements provide guidance to interested stakeholders regarding its thinking at the time the statement is offered.  They serve an advisory purpose and, therefore, impose no explicit requirements</w:t>
      </w:r>
      <w:r w:rsidRPr="009075DC">
        <w:rPr>
          <w:rFonts w:eastAsia="SimSun"/>
        </w:rPr>
        <w:t>.</w:t>
      </w:r>
      <w:r>
        <w:rPr>
          <w:rFonts w:eastAsia="SimSun"/>
        </w:rPr>
        <w:t xml:space="preserve">  The Commission itself noted that the Decoupling Policy Statement "was not intended to set forth immutable doctrine on this issue or to negatively imply that we would be receptive to nothing else."</w:t>
      </w:r>
      <w:r>
        <w:rPr>
          <w:rStyle w:val="FootnoteReference"/>
          <w:rFonts w:eastAsia="SimSun"/>
        </w:rPr>
        <w:footnoteReference w:id="4"/>
      </w:r>
      <w:r>
        <w:rPr>
          <w:rFonts w:eastAsia="SimSun"/>
        </w:rPr>
        <w:t xml:space="preserve">  So, while it may be true that certain features of the Joint Decoupling Proposal are not perfectly aligned with the Decoupling Policy Statement, the Commission has indicated its receptiveness to proposals that were consistent with the general intent of this policy. </w:t>
      </w:r>
    </w:p>
    <w:p w:rsidR="00036C83" w:rsidRPr="00A503F9" w:rsidRDefault="00036C83" w:rsidP="00986BA0">
      <w:pPr>
        <w:pStyle w:val="question"/>
        <w:keepNext/>
        <w:keepLines/>
        <w:spacing w:before="120"/>
      </w:pPr>
      <w:r w:rsidRPr="009075DC">
        <w:rPr>
          <w:rFonts w:eastAsia="SimSun"/>
        </w:rPr>
        <w:t>Q.</w:t>
      </w:r>
      <w:r w:rsidRPr="009075DC">
        <w:rPr>
          <w:rFonts w:eastAsia="SimSun"/>
        </w:rPr>
        <w:tab/>
      </w:r>
      <w:r>
        <w:rPr>
          <w:rFonts w:eastAsia="SimSun"/>
        </w:rPr>
        <w:t>Would you like to address any particular issues raised in the context of the Commission’s Decoupling Policy Statement</w:t>
      </w:r>
      <w:r w:rsidRPr="009075DC">
        <w:rPr>
          <w:rFonts w:eastAsia="SimSun"/>
        </w:rPr>
        <w:t>?</w:t>
      </w:r>
    </w:p>
    <w:p w:rsidR="00036C83" w:rsidRDefault="00036C83" w:rsidP="00986BA0">
      <w:pPr>
        <w:pStyle w:val="Answer0"/>
        <w:rPr>
          <w:rFonts w:eastAsia="SimSun"/>
        </w:rPr>
      </w:pPr>
      <w:r w:rsidRPr="009075DC">
        <w:rPr>
          <w:rFonts w:eastAsia="SimSun"/>
        </w:rPr>
        <w:t>A.</w:t>
      </w:r>
      <w:r w:rsidRPr="009075DC">
        <w:rPr>
          <w:rFonts w:eastAsia="SimSun"/>
        </w:rPr>
        <w:tab/>
      </w:r>
      <w:r>
        <w:rPr>
          <w:rFonts w:eastAsia="SimSun"/>
        </w:rPr>
        <w:t xml:space="preserve">Yes, I’d like to address the issue of "found margin" and the impact of PSE’s conservation programs on its off-system electricity sales.  </w:t>
      </w:r>
    </w:p>
    <w:p w:rsidR="00036C83" w:rsidRDefault="00036C83" w:rsidP="00AF1F1F">
      <w:pPr>
        <w:pStyle w:val="Answer0"/>
        <w:ind w:firstLine="0"/>
        <w:rPr>
          <w:rFonts w:eastAsia="SimSun"/>
        </w:rPr>
      </w:pPr>
      <w:r>
        <w:rPr>
          <w:rFonts w:eastAsia="SimSun"/>
        </w:rPr>
        <w:t>First, regarding "found margin," much has been made of this issue in the context of decoupling.  The current proceeding is no exception, where a number of parties have proposed to return "found margin" from the growth in customers.</w:t>
      </w:r>
      <w:r>
        <w:rPr>
          <w:rStyle w:val="FootnoteReference"/>
          <w:rFonts w:eastAsia="SimSun"/>
        </w:rPr>
        <w:footnoteReference w:id="5"/>
      </w:r>
      <w:r>
        <w:rPr>
          <w:rFonts w:eastAsia="SimSun"/>
        </w:rPr>
        <w:t xml:space="preserve">  However, the parties fail to acknowledge that substantial costs are incurred by PSE to serve new customers and that the additional revenue from new customers has repeatedly fallen short of overcoming the Commission-determined revenue deficiencies for PSE over the past decade.  Evidence notwithstanding, the Joint Decoupling Proposal offers ample protections to ensure that PSE does not unjustly benefit due to revenues from new customers.  </w:t>
      </w:r>
    </w:p>
    <w:p w:rsidR="00036C83" w:rsidRDefault="00036C83" w:rsidP="00AF1F1F">
      <w:pPr>
        <w:pStyle w:val="Answer0"/>
        <w:ind w:firstLine="0"/>
      </w:pPr>
      <w:r>
        <w:rPr>
          <w:rFonts w:eastAsia="SimSun"/>
        </w:rPr>
        <w:t>Second, regarding the impact of conservation on off-system electricity sales, the Commission’s order in PSE’s 2011 GRC provided useful guidance.  In that order, the Commission rejected PSE’s proposed Conservation Savings Adjustment mechanism, in part, because it relied on "engineering estimates of conservation savings that are ill-suited to development of revenue requirement."</w:t>
      </w:r>
      <w:r>
        <w:rPr>
          <w:rStyle w:val="FootnoteReference"/>
          <w:rFonts w:eastAsia="SimSun"/>
        </w:rPr>
        <w:footnoteReference w:id="6"/>
      </w:r>
      <w:r>
        <w:rPr>
          <w:rFonts w:eastAsia="SimSun"/>
        </w:rPr>
        <w:t xml:space="preserve">  In other words, the Commission concluded that PSE’s reported conservation savings should not be used for ratemaking purposes.  In rejecting the approach in the Joint Decoupling Proposal to simply let the impacts of conservation flow through PSE’s Power Cost Adjustment mechanism, ICNU apparently is arguing that PSE should use these "engineering estimates" for purposes of identifying, and then subsequently monetizing, the impact of PSE’s conservation program on its off-system sales.</w:t>
      </w:r>
      <w:r>
        <w:rPr>
          <w:rStyle w:val="FootnoteReference"/>
          <w:rFonts w:eastAsia="SimSun"/>
        </w:rPr>
        <w:footnoteReference w:id="7"/>
      </w:r>
      <w:r>
        <w:rPr>
          <w:rFonts w:eastAsia="SimSun"/>
        </w:rPr>
        <w:t xml:space="preserve">  This clearly conflicts with the Commission’s very recent decision on the impermissible use of reported conservation savings figures for ratemaking. </w:t>
      </w:r>
    </w:p>
    <w:p w:rsidR="00036C83" w:rsidRPr="009075DC" w:rsidRDefault="00036C83" w:rsidP="00550E57">
      <w:pPr>
        <w:pStyle w:val="Heading1"/>
        <w:spacing w:after="360" w:line="240" w:lineRule="auto"/>
        <w:rPr>
          <w:rFonts w:eastAsia="SimSun"/>
        </w:rPr>
      </w:pPr>
      <w:bookmarkStart w:id="7" w:name="_Toc355780185"/>
      <w:r>
        <w:rPr>
          <w:rFonts w:eastAsia="SimSun"/>
        </w:rPr>
        <w:t>III</w:t>
      </w:r>
      <w:r w:rsidRPr="009075DC">
        <w:rPr>
          <w:rFonts w:eastAsia="SimSun"/>
        </w:rPr>
        <w:t>.</w:t>
      </w:r>
      <w:r w:rsidRPr="009075DC">
        <w:rPr>
          <w:rFonts w:eastAsia="SimSun"/>
        </w:rPr>
        <w:tab/>
      </w:r>
      <w:r>
        <w:rPr>
          <w:rFonts w:eastAsia="SimSun"/>
        </w:rPr>
        <w:t>CUSTOMER PROTECTIONS IN JOINT DECOUPLING PROPOSAL ARE SUFFICIENT</w:t>
      </w:r>
      <w:bookmarkEnd w:id="7"/>
    </w:p>
    <w:p w:rsidR="00036C83" w:rsidRPr="00A503F9" w:rsidRDefault="00036C83" w:rsidP="00550E57">
      <w:pPr>
        <w:pStyle w:val="question"/>
        <w:keepNext/>
        <w:keepLines/>
        <w:spacing w:before="120"/>
      </w:pPr>
      <w:r w:rsidRPr="009075DC">
        <w:rPr>
          <w:rFonts w:eastAsia="SimSun"/>
        </w:rPr>
        <w:t>Q.</w:t>
      </w:r>
      <w:r w:rsidRPr="009075DC">
        <w:rPr>
          <w:rFonts w:eastAsia="SimSun"/>
        </w:rPr>
        <w:tab/>
      </w:r>
      <w:r>
        <w:rPr>
          <w:rFonts w:eastAsia="SimSun"/>
        </w:rPr>
        <w:t>Have any intervenors made proposals to bolster the existing customer protections in the Joint Decoupling Proposal</w:t>
      </w:r>
      <w:r w:rsidRPr="009075DC">
        <w:rPr>
          <w:rFonts w:eastAsia="SimSun"/>
        </w:rPr>
        <w:t>?</w:t>
      </w:r>
    </w:p>
    <w:p w:rsidR="00036C83" w:rsidRPr="00C27038" w:rsidRDefault="00036C83" w:rsidP="00550E57">
      <w:pPr>
        <w:pStyle w:val="Answer0"/>
      </w:pPr>
      <w:r w:rsidRPr="009075DC">
        <w:rPr>
          <w:rFonts w:eastAsia="SimSun"/>
        </w:rPr>
        <w:t>A.</w:t>
      </w:r>
      <w:r w:rsidRPr="009075DC">
        <w:rPr>
          <w:rFonts w:eastAsia="SimSun"/>
        </w:rPr>
        <w:tab/>
      </w:r>
      <w:r>
        <w:rPr>
          <w:rFonts w:eastAsia="SimSun"/>
        </w:rPr>
        <w:t>Yes.  ICNU recommends that the earnings test operate at the approved rate of return, not 25 basis points above this level, as proposed.</w:t>
      </w:r>
      <w:r>
        <w:rPr>
          <w:rStyle w:val="FootnoteReference"/>
          <w:rFonts w:eastAsia="SimSun"/>
        </w:rPr>
        <w:footnoteReference w:id="8"/>
      </w:r>
      <w:r>
        <w:rPr>
          <w:rFonts w:eastAsia="SimSun"/>
        </w:rPr>
        <w:t xml:space="preserve">  ICNU also recommends that there be no sharing between the utility and its customers when PSE’s earnings are above this threshold</w:t>
      </w:r>
      <w:r w:rsidRPr="009075DC">
        <w:rPr>
          <w:rFonts w:eastAsia="SimSun"/>
        </w:rPr>
        <w:t>.</w:t>
      </w:r>
      <w:r>
        <w:rPr>
          <w:rStyle w:val="FootnoteReference"/>
          <w:rFonts w:eastAsia="SimSun"/>
        </w:rPr>
        <w:footnoteReference w:id="9"/>
      </w:r>
      <w:r>
        <w:rPr>
          <w:rFonts w:eastAsia="SimSun"/>
        </w:rPr>
        <w:t xml:space="preserve">  NWIGU make similar recommendations.</w:t>
      </w:r>
      <w:r>
        <w:rPr>
          <w:rStyle w:val="FootnoteReference"/>
          <w:rFonts w:eastAsia="SimSun"/>
        </w:rPr>
        <w:footnoteReference w:id="10"/>
      </w:r>
    </w:p>
    <w:p w:rsidR="00036C83" w:rsidRPr="00A503F9" w:rsidRDefault="00036C83" w:rsidP="00550E57">
      <w:pPr>
        <w:pStyle w:val="question"/>
        <w:keepNext/>
        <w:keepLines/>
        <w:spacing w:before="120"/>
      </w:pPr>
      <w:r w:rsidRPr="009075DC">
        <w:rPr>
          <w:rFonts w:eastAsia="SimSun"/>
        </w:rPr>
        <w:t>Q.</w:t>
      </w:r>
      <w:r w:rsidRPr="009075DC">
        <w:rPr>
          <w:rFonts w:eastAsia="SimSun"/>
        </w:rPr>
        <w:tab/>
      </w:r>
      <w:r>
        <w:rPr>
          <w:rFonts w:eastAsia="SimSun"/>
        </w:rPr>
        <w:t>How do you respond</w:t>
      </w:r>
      <w:r w:rsidRPr="009075DC">
        <w:rPr>
          <w:rFonts w:eastAsia="SimSun"/>
        </w:rPr>
        <w:t>?</w:t>
      </w:r>
    </w:p>
    <w:p w:rsidR="00036C83" w:rsidRDefault="00036C83" w:rsidP="00970E90">
      <w:pPr>
        <w:pStyle w:val="Answer0"/>
      </w:pPr>
      <w:r w:rsidRPr="009075DC">
        <w:rPr>
          <w:rFonts w:eastAsia="SimSun"/>
        </w:rPr>
        <w:t>A.</w:t>
      </w:r>
      <w:r w:rsidRPr="009075DC">
        <w:rPr>
          <w:rFonts w:eastAsia="SimSun"/>
        </w:rPr>
        <w:tab/>
      </w:r>
      <w:r>
        <w:t xml:space="preserve">For the following reasons, the Commission should reject ICNU’s recommended changes to the earnings test in the Joint Decoupling Proposal. </w:t>
      </w:r>
    </w:p>
    <w:p w:rsidR="00036C83" w:rsidRDefault="00036C83" w:rsidP="00AF1F1F">
      <w:pPr>
        <w:pStyle w:val="Answer0"/>
        <w:ind w:firstLine="0"/>
        <w:rPr>
          <w:rFonts w:eastAsia="SimSun"/>
        </w:rPr>
      </w:pPr>
      <w:r>
        <w:rPr>
          <w:rFonts w:eastAsia="SimSun"/>
        </w:rPr>
        <w:t>First, regarding the setting of the appropriate earnings threshold, there appears to be a reasonable amount of support for the threshold set in the Joint Decoupling Proposal. This level was endorsed in Commission Staff’s Response to Bench Request No. 3 in PSE’s 2011 GRC and is likewise supported by Commission Staff in this proceeding.</w:t>
      </w:r>
      <w:r>
        <w:rPr>
          <w:rStyle w:val="FootnoteReference"/>
          <w:rFonts w:eastAsia="SimSun"/>
        </w:rPr>
        <w:footnoteReference w:id="11"/>
      </w:r>
      <w:r>
        <w:rPr>
          <w:rFonts w:eastAsia="SimSun"/>
        </w:rPr>
        <w:t xml:space="preserve">  Public Counsel also has endorsed the Joint Decoupling Proposal’s recommendation to set the earnings test threshold at 25 basis points above the overall rate of return</w:t>
      </w:r>
      <w:r w:rsidRPr="009075DC">
        <w:rPr>
          <w:rFonts w:eastAsia="SimSun"/>
        </w:rPr>
        <w:t>.</w:t>
      </w:r>
      <w:r w:rsidRPr="00970E90">
        <w:rPr>
          <w:rStyle w:val="FootnoteReference"/>
          <w:i/>
        </w:rPr>
        <w:footnoteReference w:id="12"/>
      </w:r>
      <w:r>
        <w:rPr>
          <w:rFonts w:eastAsia="SimSun"/>
        </w:rPr>
        <w:t xml:space="preserve">  </w:t>
      </w:r>
    </w:p>
    <w:p w:rsidR="00036C83" w:rsidRDefault="00036C83" w:rsidP="00AF1F1F">
      <w:pPr>
        <w:pStyle w:val="Answer0"/>
        <w:ind w:firstLine="0"/>
        <w:rPr>
          <w:rFonts w:eastAsia="SimSun"/>
        </w:rPr>
      </w:pPr>
      <w:r>
        <w:rPr>
          <w:rFonts w:eastAsia="SimSun"/>
        </w:rPr>
        <w:t xml:space="preserve">Second, with respect to the recommendation for no sharing above the earnings threshold, PSE </w:t>
      </w:r>
      <w:r w:rsidRPr="00970E90">
        <w:rPr>
          <w:rFonts w:eastAsia="SimSun"/>
        </w:rPr>
        <w:t>concurs with the view shared by the Commission in Avista’s most recent general rate case.  In respon</w:t>
      </w:r>
      <w:r>
        <w:rPr>
          <w:rFonts w:eastAsia="SimSun"/>
        </w:rPr>
        <w:t>se</w:t>
      </w:r>
      <w:r w:rsidRPr="00970E90">
        <w:rPr>
          <w:rFonts w:eastAsia="SimSun"/>
        </w:rPr>
        <w:t xml:space="preserve"> to </w:t>
      </w:r>
      <w:r>
        <w:rPr>
          <w:rFonts w:eastAsia="SimSun"/>
        </w:rPr>
        <w:t>the</w:t>
      </w:r>
      <w:r w:rsidRPr="00970E90">
        <w:rPr>
          <w:rFonts w:eastAsia="SimSun"/>
        </w:rPr>
        <w:t xml:space="preserve"> </w:t>
      </w:r>
      <w:r>
        <w:rPr>
          <w:rFonts w:eastAsia="SimSun"/>
        </w:rPr>
        <w:t xml:space="preserve">proposed "hard cap" on Avista’s earnings in </w:t>
      </w:r>
      <w:r w:rsidRPr="00970E90">
        <w:rPr>
          <w:rFonts w:eastAsia="SimSun"/>
        </w:rPr>
        <w:t>the agreement</w:t>
      </w:r>
      <w:r>
        <w:rPr>
          <w:rFonts w:eastAsia="SimSun"/>
        </w:rPr>
        <w:t xml:space="preserve"> to settle issues in that case</w:t>
      </w:r>
      <w:r w:rsidRPr="00970E90">
        <w:rPr>
          <w:rFonts w:eastAsia="SimSun"/>
        </w:rPr>
        <w:t>, the Commission noted the following:</w:t>
      </w:r>
    </w:p>
    <w:p w:rsidR="00036C83" w:rsidRDefault="00036C83" w:rsidP="00046B02">
      <w:pPr>
        <w:pStyle w:val="Answer0"/>
        <w:spacing w:after="240" w:line="240" w:lineRule="auto"/>
        <w:ind w:left="1440" w:right="720"/>
      </w:pPr>
      <w:r>
        <w:rPr>
          <w:rFonts w:eastAsia="SimSun"/>
        </w:rPr>
        <w:tab/>
      </w:r>
      <w:r w:rsidRPr="00AF1F1F">
        <w:t xml:space="preserve">In the course of consideration of the Settlement, Avista proposed a cap on its earnings at the 9.8 percent ROE level. We decline to accept that offer. It would send the wrong signal to the Company. Under ratemaking theory applied by this and other state commissions for decades, companies should have every incentive to manage the company efficiently in order to earn more for the company shareholders. We should not set an artificial cap on earnings that could diminish that incentive for efficient management. Further, if Avista were to </w:t>
      </w:r>
      <w:r>
        <w:t>"</w:t>
      </w:r>
      <w:r w:rsidRPr="00AF1F1F">
        <w:t>overearn</w:t>
      </w:r>
      <w:r>
        <w:t>"</w:t>
      </w:r>
      <w:r w:rsidRPr="00AF1F1F">
        <w:t xml:space="preserve"> through savings efforts, those savings would become the new norm in the next rate case which would serve to benefit ratepayers in the future. Indeed, the Company</w:t>
      </w:r>
      <w:r>
        <w:t>’</w:t>
      </w:r>
      <w:r w:rsidRPr="00AF1F1F">
        <w:t>s efforts to save money through efficiency are a key element to earning its allowed rate of return.</w:t>
      </w:r>
      <w:r>
        <w:rPr>
          <w:rStyle w:val="FootnoteReference"/>
        </w:rPr>
        <w:footnoteReference w:id="13"/>
      </w:r>
    </w:p>
    <w:p w:rsidR="00036C83" w:rsidRPr="00386F84" w:rsidRDefault="00036C83" w:rsidP="00386F84">
      <w:pPr>
        <w:pStyle w:val="question"/>
        <w:keepNext/>
        <w:keepLines/>
        <w:spacing w:before="120"/>
        <w:rPr>
          <w:rFonts w:eastAsia="SimSun"/>
        </w:rPr>
      </w:pPr>
      <w:r w:rsidRPr="009075DC">
        <w:rPr>
          <w:rFonts w:eastAsia="SimSun"/>
        </w:rPr>
        <w:t>Q.</w:t>
      </w:r>
      <w:r w:rsidRPr="009075DC">
        <w:rPr>
          <w:rFonts w:eastAsia="SimSun"/>
        </w:rPr>
        <w:tab/>
      </w:r>
      <w:r>
        <w:rPr>
          <w:rFonts w:eastAsia="SimSun"/>
        </w:rPr>
        <w:t>Do the intervenors recommend any other enhancements to customer protections under the Joint Decoupling Proposal</w:t>
      </w:r>
      <w:r w:rsidRPr="009075DC">
        <w:rPr>
          <w:rFonts w:eastAsia="SimSun"/>
        </w:rPr>
        <w:t>?</w:t>
      </w:r>
    </w:p>
    <w:p w:rsidR="00036C83" w:rsidRPr="00C27038" w:rsidRDefault="00036C83" w:rsidP="00550E57">
      <w:pPr>
        <w:pStyle w:val="Answer0"/>
      </w:pPr>
      <w:r w:rsidRPr="009075DC">
        <w:rPr>
          <w:rFonts w:eastAsia="SimSun"/>
        </w:rPr>
        <w:t>A.</w:t>
      </w:r>
      <w:r w:rsidRPr="009075DC">
        <w:rPr>
          <w:rFonts w:eastAsia="SimSun"/>
        </w:rPr>
        <w:tab/>
      </w:r>
      <w:r>
        <w:rPr>
          <w:rFonts w:eastAsia="SimSun"/>
        </w:rPr>
        <w:t>Yes.  ICNU also recommends that the soft rate cap in the Joint Decoupling Proposal be made a hard cap so that any amount in excess of the rate cap would not be deferred for future recovery</w:t>
      </w:r>
      <w:r w:rsidRPr="009075DC">
        <w:rPr>
          <w:rFonts w:eastAsia="SimSun"/>
        </w:rPr>
        <w:t>.</w:t>
      </w:r>
      <w:r>
        <w:rPr>
          <w:rStyle w:val="FootnoteReference"/>
          <w:rFonts w:eastAsia="SimSun"/>
        </w:rPr>
        <w:footnoteReference w:id="14"/>
      </w:r>
    </w:p>
    <w:p w:rsidR="00036C83" w:rsidRPr="00A503F9" w:rsidRDefault="00036C83" w:rsidP="00BD053F">
      <w:pPr>
        <w:pStyle w:val="question"/>
        <w:keepNext/>
        <w:keepLines/>
        <w:spacing w:before="120"/>
      </w:pPr>
      <w:r w:rsidRPr="009075DC">
        <w:rPr>
          <w:rFonts w:eastAsia="SimSun"/>
        </w:rPr>
        <w:t>Q.</w:t>
      </w:r>
      <w:r w:rsidRPr="009075DC">
        <w:rPr>
          <w:rFonts w:eastAsia="SimSun"/>
        </w:rPr>
        <w:tab/>
      </w:r>
      <w:r>
        <w:rPr>
          <w:rFonts w:eastAsia="SimSun"/>
        </w:rPr>
        <w:t>Why does ICNU make this recommendation</w:t>
      </w:r>
      <w:r w:rsidRPr="009075DC">
        <w:rPr>
          <w:rFonts w:eastAsia="SimSun"/>
        </w:rPr>
        <w:t>?</w:t>
      </w:r>
    </w:p>
    <w:p w:rsidR="00036C83" w:rsidRPr="00C27038" w:rsidRDefault="00036C83" w:rsidP="00BD053F">
      <w:pPr>
        <w:pStyle w:val="Answer0"/>
      </w:pPr>
      <w:r w:rsidRPr="009075DC">
        <w:rPr>
          <w:rFonts w:eastAsia="SimSun"/>
        </w:rPr>
        <w:t>A.</w:t>
      </w:r>
      <w:r w:rsidRPr="009075DC">
        <w:rPr>
          <w:rFonts w:eastAsia="SimSun"/>
        </w:rPr>
        <w:tab/>
      </w:r>
      <w:r>
        <w:rPr>
          <w:rFonts w:eastAsia="SimSun"/>
        </w:rPr>
        <w:t>In part, ICNU’s witness concludes that, since the soft rate cap allows future recovery of revenue that exceeds the cap, "there is no limit on the amount of increased revenue that PSE could collect from customers in a given year."</w:t>
      </w:r>
      <w:r>
        <w:rPr>
          <w:rStyle w:val="FootnoteReference"/>
          <w:rFonts w:eastAsia="SimSun"/>
        </w:rPr>
        <w:footnoteReference w:id="15"/>
      </w:r>
      <w:r>
        <w:rPr>
          <w:rFonts w:eastAsia="SimSun"/>
        </w:rPr>
        <w:t xml:space="preserve">  </w:t>
      </w:r>
    </w:p>
    <w:p w:rsidR="00036C83" w:rsidRPr="00A503F9" w:rsidRDefault="00036C83" w:rsidP="00550E57">
      <w:pPr>
        <w:pStyle w:val="question"/>
        <w:keepNext/>
        <w:keepLines/>
        <w:spacing w:before="120"/>
      </w:pPr>
      <w:r w:rsidRPr="009075DC">
        <w:rPr>
          <w:rFonts w:eastAsia="SimSun"/>
        </w:rPr>
        <w:t>Q.</w:t>
      </w:r>
      <w:r w:rsidRPr="009075DC">
        <w:rPr>
          <w:rFonts w:eastAsia="SimSun"/>
        </w:rPr>
        <w:tab/>
      </w:r>
      <w:r>
        <w:rPr>
          <w:rFonts w:eastAsia="SimSun"/>
        </w:rPr>
        <w:t>How do you respond</w:t>
      </w:r>
      <w:r w:rsidRPr="009075DC">
        <w:rPr>
          <w:rFonts w:eastAsia="SimSun"/>
        </w:rPr>
        <w:t>?</w:t>
      </w:r>
    </w:p>
    <w:p w:rsidR="00036C83" w:rsidRDefault="00036C83" w:rsidP="00550E57">
      <w:pPr>
        <w:pStyle w:val="Answer0"/>
        <w:rPr>
          <w:rFonts w:eastAsia="SimSun"/>
        </w:rPr>
      </w:pPr>
      <w:r w:rsidRPr="009075DC">
        <w:rPr>
          <w:rFonts w:eastAsia="SimSun"/>
        </w:rPr>
        <w:t>A.</w:t>
      </w:r>
      <w:r w:rsidRPr="009075DC">
        <w:rPr>
          <w:rFonts w:eastAsia="SimSun"/>
        </w:rPr>
        <w:tab/>
      </w:r>
      <w:r>
        <w:rPr>
          <w:rFonts w:eastAsia="SimSun"/>
        </w:rPr>
        <w:t>I respond by first noting that, under the Joint Decoupling Proposal, PSE is allowed a fixed amount of revenue per customer that is approved by the Commission.</w:t>
      </w:r>
      <w:r>
        <w:rPr>
          <w:rStyle w:val="FootnoteReference"/>
          <w:rFonts w:eastAsia="SimSun"/>
        </w:rPr>
        <w:footnoteReference w:id="16"/>
      </w:r>
      <w:r>
        <w:rPr>
          <w:rFonts w:eastAsia="SimSun"/>
        </w:rPr>
        <w:t xml:space="preserve">  Therefore, the conclusion that there is "no limit" on PSE’s revenue collections is inaccurate.  It is limited by the number of customers PSE serves and the revenue per customer authorized by the Commission.  Second, the intent of the proposed soft rate cap was to reasonably smooth out the potential year-to-year variability in rates charged under Schedule 139 in PSE’s electric and natural gas tariffs.  This proposal balances the interests of the utility for cost recovery and its customers for a measure of rate stability.</w:t>
      </w:r>
    </w:p>
    <w:p w:rsidR="00036C83" w:rsidRPr="00A503F9" w:rsidRDefault="00036C83" w:rsidP="00BD053F">
      <w:pPr>
        <w:pStyle w:val="question"/>
        <w:keepNext/>
        <w:keepLines/>
        <w:spacing w:before="120"/>
      </w:pPr>
      <w:r w:rsidRPr="009075DC">
        <w:rPr>
          <w:rFonts w:eastAsia="SimSun"/>
        </w:rPr>
        <w:t>Q.</w:t>
      </w:r>
      <w:r w:rsidRPr="009075DC">
        <w:rPr>
          <w:rFonts w:eastAsia="SimSun"/>
        </w:rPr>
        <w:tab/>
      </w:r>
      <w:r>
        <w:rPr>
          <w:rFonts w:eastAsia="SimSun"/>
        </w:rPr>
        <w:t>What would be the consequence of adopting ICNU’s rate cap recommendation</w:t>
      </w:r>
      <w:r w:rsidRPr="009075DC">
        <w:rPr>
          <w:rFonts w:eastAsia="SimSun"/>
        </w:rPr>
        <w:t>?</w:t>
      </w:r>
    </w:p>
    <w:p w:rsidR="00036C83" w:rsidRPr="00C27038" w:rsidRDefault="00036C83" w:rsidP="00550E57">
      <w:pPr>
        <w:pStyle w:val="Answer0"/>
      </w:pPr>
      <w:r w:rsidRPr="009075DC">
        <w:rPr>
          <w:rFonts w:eastAsia="SimSun"/>
        </w:rPr>
        <w:t>A.</w:t>
      </w:r>
      <w:r w:rsidRPr="009075DC">
        <w:rPr>
          <w:rFonts w:eastAsia="SimSun"/>
        </w:rPr>
        <w:tab/>
      </w:r>
      <w:r>
        <w:rPr>
          <w:rFonts w:eastAsia="SimSun"/>
        </w:rPr>
        <w:t>There are at least two consequences.  First, PSE would run the risk of not recovering the revenues already approved by the Commission, setting a precedent that may discourage other utilities from considering a decoupling mechanism.  Second, it may also discourage PSE’s promotion of conservation, since increased levels of conservation would (</w:t>
      </w:r>
      <w:r w:rsidRPr="00AF1F1F">
        <w:rPr>
          <w:rFonts w:eastAsia="SimSun"/>
          <w:i/>
        </w:rPr>
        <w:t>ceteris paribus</w:t>
      </w:r>
      <w:r>
        <w:rPr>
          <w:rFonts w:eastAsia="SimSun"/>
        </w:rPr>
        <w:t>) increase surcharges, which would subsequently increase the likelihood that the rate cap would trigger.  This would clearly run counter to the Commission’s intent to promote conservation.</w:t>
      </w:r>
    </w:p>
    <w:p w:rsidR="00036C83" w:rsidRPr="009075DC" w:rsidRDefault="00036C83" w:rsidP="0030045E">
      <w:pPr>
        <w:pStyle w:val="Heading1"/>
        <w:spacing w:after="360" w:line="240" w:lineRule="auto"/>
        <w:rPr>
          <w:rFonts w:eastAsia="SimSun"/>
        </w:rPr>
      </w:pPr>
      <w:bookmarkStart w:id="8" w:name="_Toc355780186"/>
      <w:r>
        <w:rPr>
          <w:rFonts w:eastAsia="SimSun"/>
        </w:rPr>
        <w:t>IV</w:t>
      </w:r>
      <w:r w:rsidRPr="009075DC">
        <w:rPr>
          <w:rFonts w:eastAsia="SimSun"/>
        </w:rPr>
        <w:t>.</w:t>
      </w:r>
      <w:r w:rsidRPr="009075DC">
        <w:rPr>
          <w:rFonts w:eastAsia="SimSun"/>
        </w:rPr>
        <w:tab/>
      </w:r>
      <w:r>
        <w:rPr>
          <w:rFonts w:eastAsia="SimSun"/>
        </w:rPr>
        <w:t>CLAIMED CUSTOMER IMPACTS OF PSE’S DECOUPLING MECHANISM ARE OVERSTATED</w:t>
      </w:r>
      <w:bookmarkEnd w:id="8"/>
    </w:p>
    <w:p w:rsidR="00036C83" w:rsidRPr="00A503F9" w:rsidRDefault="00036C83" w:rsidP="00183605">
      <w:pPr>
        <w:pStyle w:val="question"/>
        <w:keepNext/>
        <w:keepLines/>
        <w:spacing w:before="120"/>
      </w:pPr>
      <w:r w:rsidRPr="009075DC">
        <w:rPr>
          <w:rFonts w:eastAsia="SimSun"/>
        </w:rPr>
        <w:t>Q.</w:t>
      </w:r>
      <w:r w:rsidRPr="009075DC">
        <w:rPr>
          <w:rFonts w:eastAsia="SimSun"/>
        </w:rPr>
        <w:tab/>
      </w:r>
      <w:r>
        <w:rPr>
          <w:rFonts w:eastAsia="SimSun"/>
        </w:rPr>
        <w:t>ICNU testimony suggests that PSE’s previous decoupling mechanism "led to annual rate surcharges in the tens of millions of dollars for each of the five years of program implementation…."</w:t>
      </w:r>
      <w:r>
        <w:rPr>
          <w:rStyle w:val="FootnoteReference"/>
          <w:rFonts w:eastAsia="SimSun"/>
        </w:rPr>
        <w:footnoteReference w:id="17"/>
      </w:r>
      <w:r>
        <w:rPr>
          <w:rFonts w:eastAsia="SimSun"/>
        </w:rPr>
        <w:t xml:space="preserve">  Do you agree</w:t>
      </w:r>
      <w:r w:rsidRPr="009075DC">
        <w:rPr>
          <w:rFonts w:eastAsia="SimSun"/>
        </w:rPr>
        <w:t>?</w:t>
      </w:r>
    </w:p>
    <w:p w:rsidR="00036C83" w:rsidRPr="00C27038" w:rsidRDefault="00036C83" w:rsidP="00183605">
      <w:pPr>
        <w:pStyle w:val="Answer0"/>
      </w:pPr>
      <w:r w:rsidRPr="009075DC">
        <w:rPr>
          <w:rFonts w:eastAsia="SimSun"/>
        </w:rPr>
        <w:t>A.</w:t>
      </w:r>
      <w:r w:rsidRPr="009075DC">
        <w:rPr>
          <w:rFonts w:eastAsia="SimSun"/>
        </w:rPr>
        <w:tab/>
      </w:r>
      <w:r>
        <w:rPr>
          <w:rFonts w:eastAsia="SimSun"/>
        </w:rPr>
        <w:t>No</w:t>
      </w:r>
      <w:r w:rsidRPr="009075DC">
        <w:rPr>
          <w:rFonts w:eastAsia="SimSun"/>
        </w:rPr>
        <w:t>.</w:t>
      </w:r>
      <w:r>
        <w:rPr>
          <w:rFonts w:eastAsia="SimSun"/>
        </w:rPr>
        <w:t xml:space="preserve">  Missing from ICNU’s testimony is an explanation that the noted surcharges were associated with PSE’s Periodic Rate Adjustment Mechanism ("PRAM"), which combined the decoupling mechanism with a power cost adjustment mechanism.  In evaluating the operation of PRAM, the trade association for the industrial customers at the time observed that "the primary driver of the large rate increases and deferred balances experienced under PRAM has been the short-term ECAC-related resource component of the adjustment mechanism…."</w:t>
      </w:r>
      <w:r>
        <w:rPr>
          <w:rStyle w:val="FootnoteReference"/>
          <w:rFonts w:eastAsia="SimSun"/>
        </w:rPr>
        <w:footnoteReference w:id="18"/>
      </w:r>
      <w:r>
        <w:rPr>
          <w:rFonts w:eastAsia="SimSun"/>
        </w:rPr>
        <w:t xml:space="preserve">  In other words, the surcharges were primarily driven by the power cost adjustment mechanism, not the decoupling component to PRAM.  This view was also shared by other participants in the evaluation of PRAM.</w:t>
      </w:r>
    </w:p>
    <w:p w:rsidR="00036C83" w:rsidRPr="00A503F9" w:rsidRDefault="00036C83" w:rsidP="00CA25E9">
      <w:pPr>
        <w:pStyle w:val="question"/>
        <w:keepNext/>
        <w:keepLines/>
        <w:spacing w:before="120"/>
      </w:pPr>
      <w:r w:rsidRPr="009075DC">
        <w:rPr>
          <w:rFonts w:eastAsia="SimSun"/>
        </w:rPr>
        <w:t>Q.</w:t>
      </w:r>
      <w:r w:rsidRPr="009075DC">
        <w:rPr>
          <w:rFonts w:eastAsia="SimSun"/>
        </w:rPr>
        <w:tab/>
      </w:r>
      <w:r>
        <w:rPr>
          <w:rFonts w:eastAsia="SimSun"/>
        </w:rPr>
        <w:t>Does ICNU express a similar fear of the decoupling proposal in this proceeding</w:t>
      </w:r>
      <w:r w:rsidRPr="009075DC">
        <w:rPr>
          <w:rFonts w:eastAsia="SimSun"/>
        </w:rPr>
        <w:t>?</w:t>
      </w:r>
    </w:p>
    <w:p w:rsidR="00036C83" w:rsidRPr="00C27038" w:rsidRDefault="00036C83" w:rsidP="00CA25E9">
      <w:pPr>
        <w:pStyle w:val="Answer0"/>
      </w:pPr>
      <w:r w:rsidRPr="009075DC">
        <w:rPr>
          <w:rFonts w:eastAsia="SimSun"/>
        </w:rPr>
        <w:t>A.</w:t>
      </w:r>
      <w:r w:rsidRPr="009075DC">
        <w:rPr>
          <w:rFonts w:eastAsia="SimSun"/>
        </w:rPr>
        <w:tab/>
      </w:r>
      <w:r>
        <w:rPr>
          <w:rFonts w:eastAsia="SimSun"/>
        </w:rPr>
        <w:t>Yes</w:t>
      </w:r>
      <w:r w:rsidRPr="009075DC">
        <w:rPr>
          <w:rFonts w:eastAsia="SimSun"/>
        </w:rPr>
        <w:t>.</w:t>
      </w:r>
      <w:r>
        <w:rPr>
          <w:rFonts w:eastAsia="SimSun"/>
        </w:rPr>
        <w:t xml:space="preserve">  ICNU witness Michael Gorman notes that "the proposal would compensate PSE if sales levels decline for any reason, including an economic recession or abnormal weather" and that "this could result in the accumulation of significant deferrals that would be surcharged to customers in future years."</w:t>
      </w:r>
      <w:r>
        <w:rPr>
          <w:rStyle w:val="FootnoteReference"/>
          <w:rFonts w:eastAsia="SimSun"/>
        </w:rPr>
        <w:footnoteReference w:id="19"/>
      </w:r>
    </w:p>
    <w:p w:rsidR="00036C83" w:rsidRPr="00A503F9" w:rsidRDefault="00036C83" w:rsidP="00CA25E9">
      <w:pPr>
        <w:pStyle w:val="question"/>
        <w:keepNext/>
        <w:keepLines/>
        <w:spacing w:before="120"/>
      </w:pPr>
      <w:r w:rsidRPr="009075DC">
        <w:rPr>
          <w:rFonts w:eastAsia="SimSun"/>
        </w:rPr>
        <w:t>Q.</w:t>
      </w:r>
      <w:r w:rsidRPr="009075DC">
        <w:rPr>
          <w:rFonts w:eastAsia="SimSun"/>
        </w:rPr>
        <w:tab/>
      </w:r>
      <w:r>
        <w:rPr>
          <w:rFonts w:eastAsia="SimSun"/>
        </w:rPr>
        <w:t>How do you respond</w:t>
      </w:r>
      <w:r w:rsidRPr="009075DC">
        <w:rPr>
          <w:rFonts w:eastAsia="SimSun"/>
        </w:rPr>
        <w:t>?</w:t>
      </w:r>
    </w:p>
    <w:p w:rsidR="00036C83" w:rsidRDefault="00036C83" w:rsidP="00CA25E9">
      <w:pPr>
        <w:pStyle w:val="Answer0"/>
        <w:rPr>
          <w:rFonts w:eastAsia="SimSun"/>
        </w:rPr>
      </w:pPr>
      <w:r w:rsidRPr="009075DC">
        <w:rPr>
          <w:rFonts w:eastAsia="SimSun"/>
        </w:rPr>
        <w:t>A.</w:t>
      </w:r>
      <w:r w:rsidRPr="009075DC">
        <w:rPr>
          <w:rFonts w:eastAsia="SimSun"/>
        </w:rPr>
        <w:tab/>
      </w:r>
      <w:r>
        <w:rPr>
          <w:rFonts w:eastAsia="SimSun"/>
        </w:rPr>
        <w:t xml:space="preserve">I would respond by first noting the apparent clash of concerns raised by ICNU in this proceeding.  On the one hand, Mr. Gorman is concerned that decoupling will lead to rate increases due to the potential for an economic downturn.  At the same time, another ICNU witness, Michael Deen, is downplaying the need for PSE’s proposed rate plan by noting that "PSE has avoided acknowledging that its results of operations for the past year are already drastically improved – </w:t>
      </w:r>
      <w:r w:rsidRPr="00F90364">
        <w:rPr>
          <w:rFonts w:eastAsia="SimSun"/>
          <w:i/>
        </w:rPr>
        <w:t>likely as a function of Washington’s steady economic recovery.</w:t>
      </w:r>
      <w:r>
        <w:rPr>
          <w:rFonts w:eastAsia="SimSun"/>
        </w:rPr>
        <w:t>"</w:t>
      </w:r>
      <w:r>
        <w:rPr>
          <w:rStyle w:val="FootnoteReference"/>
          <w:rFonts w:eastAsia="SimSun"/>
        </w:rPr>
        <w:footnoteReference w:id="20"/>
      </w:r>
      <w:r>
        <w:rPr>
          <w:rFonts w:eastAsia="SimSun"/>
        </w:rPr>
        <w:t xml:space="preserve">  </w:t>
      </w:r>
    </w:p>
    <w:p w:rsidR="00036C83" w:rsidRDefault="00036C83" w:rsidP="00AF1F1F">
      <w:pPr>
        <w:pStyle w:val="Answer0"/>
        <w:ind w:firstLine="0"/>
      </w:pPr>
      <w:r>
        <w:rPr>
          <w:rFonts w:eastAsia="SimSun"/>
        </w:rPr>
        <w:t>That said, regardless of which way the economy has gone, the feared rate volatility has yet to manifest in the numerous decoupling mechanisms already in place throughout the country.  As noted in the rebuttal testimony of Mr. Ralph Cavanagh, of the more than 1,200 decoupling-related rate adjustments since 2005 that were cataloged in a recent decoupling survey, rate changes "did not exceed 2 percent for 85 percent of the electric and 75 percent of gas rate adjustments, with 37 percent involving refunds to utility customers."</w:t>
      </w:r>
      <w:r>
        <w:rPr>
          <w:rStyle w:val="FootnoteReference"/>
          <w:rFonts w:eastAsia="SimSun"/>
        </w:rPr>
        <w:footnoteReference w:id="21"/>
      </w:r>
      <w:r>
        <w:rPr>
          <w:rFonts w:eastAsia="SimSun"/>
        </w:rPr>
        <w:t xml:space="preserve">  Worthy of note is that these results occurred over a period that included the "Great Recession."  Were the dire rate consequences feared by ICNU to materialize, they surely would have been witnessed in a survey covering a period including one of the worst economic recessions in the past century.</w:t>
      </w:r>
    </w:p>
    <w:p w:rsidR="00036C83" w:rsidRPr="009075DC" w:rsidRDefault="00036C83" w:rsidP="0030045E">
      <w:pPr>
        <w:pStyle w:val="Heading1"/>
        <w:spacing w:after="360" w:line="240" w:lineRule="auto"/>
        <w:rPr>
          <w:rFonts w:eastAsia="SimSun"/>
        </w:rPr>
      </w:pPr>
      <w:bookmarkStart w:id="9" w:name="_Toc355780187"/>
      <w:r>
        <w:rPr>
          <w:rFonts w:eastAsia="SimSun"/>
        </w:rPr>
        <w:t>V</w:t>
      </w:r>
      <w:r w:rsidRPr="009075DC">
        <w:rPr>
          <w:rFonts w:eastAsia="SimSun"/>
        </w:rPr>
        <w:t>.</w:t>
      </w:r>
      <w:r w:rsidRPr="009075DC">
        <w:rPr>
          <w:rFonts w:eastAsia="SimSun"/>
        </w:rPr>
        <w:tab/>
      </w:r>
      <w:r>
        <w:rPr>
          <w:rFonts w:eastAsia="SimSun"/>
        </w:rPr>
        <w:t>LARGE CUSTOMERS ARE BEING TREATED FAIRLY IN THE DECOUPLING AND RATE PLAN PROPOSALS</w:t>
      </w:r>
      <w:bookmarkEnd w:id="9"/>
    </w:p>
    <w:p w:rsidR="00036C83" w:rsidRPr="00A503F9" w:rsidRDefault="00036C83" w:rsidP="00CD2DA8">
      <w:pPr>
        <w:pStyle w:val="question"/>
        <w:keepNext/>
        <w:keepLines/>
        <w:spacing w:before="120"/>
      </w:pPr>
      <w:r w:rsidRPr="009075DC">
        <w:rPr>
          <w:rFonts w:eastAsia="SimSun"/>
        </w:rPr>
        <w:t>Q.</w:t>
      </w:r>
      <w:r w:rsidRPr="009075DC">
        <w:rPr>
          <w:rFonts w:eastAsia="SimSun"/>
        </w:rPr>
        <w:tab/>
      </w:r>
      <w:r>
        <w:rPr>
          <w:rFonts w:eastAsia="SimSun"/>
        </w:rPr>
        <w:t>Did intervenors raise any issues regarding the treatment of large customers in the Joint Decoupling and Rate Plan Proposals</w:t>
      </w:r>
      <w:r w:rsidRPr="009075DC">
        <w:rPr>
          <w:rFonts w:eastAsia="SimSun"/>
        </w:rPr>
        <w:t>?</w:t>
      </w:r>
    </w:p>
    <w:p w:rsidR="00036C83" w:rsidRPr="00C27038" w:rsidRDefault="00036C83" w:rsidP="00CD2DA8">
      <w:pPr>
        <w:pStyle w:val="Answer0"/>
      </w:pPr>
      <w:r w:rsidRPr="009075DC">
        <w:rPr>
          <w:rFonts w:eastAsia="SimSun"/>
        </w:rPr>
        <w:t>A.</w:t>
      </w:r>
      <w:r w:rsidRPr="009075DC">
        <w:rPr>
          <w:rFonts w:eastAsia="SimSun"/>
        </w:rPr>
        <w:tab/>
      </w:r>
      <w:r>
        <w:rPr>
          <w:rFonts w:eastAsia="SimSun"/>
        </w:rPr>
        <w:t>Yes</w:t>
      </w:r>
      <w:r w:rsidRPr="009075DC">
        <w:rPr>
          <w:rFonts w:eastAsia="SimSun"/>
        </w:rPr>
        <w:t>.</w:t>
      </w:r>
      <w:r>
        <w:rPr>
          <w:rFonts w:eastAsia="SimSun"/>
        </w:rPr>
        <w:t xml:space="preserve">  ICNU raised several issues, as did NWIGU, Kroger and Nucor.</w:t>
      </w:r>
    </w:p>
    <w:p w:rsidR="00036C83" w:rsidRPr="00A503F9" w:rsidRDefault="00036C83" w:rsidP="00CD2DA8">
      <w:pPr>
        <w:pStyle w:val="question"/>
        <w:keepNext/>
        <w:keepLines/>
        <w:spacing w:before="120"/>
      </w:pPr>
      <w:r w:rsidRPr="009075DC">
        <w:rPr>
          <w:rFonts w:eastAsia="SimSun"/>
        </w:rPr>
        <w:t>Q.</w:t>
      </w:r>
      <w:r w:rsidRPr="009075DC">
        <w:rPr>
          <w:rFonts w:eastAsia="SimSun"/>
        </w:rPr>
        <w:tab/>
      </w:r>
      <w:r>
        <w:rPr>
          <w:rFonts w:eastAsia="SimSun"/>
        </w:rPr>
        <w:t>What issues did ICNU raise</w:t>
      </w:r>
      <w:r w:rsidRPr="009075DC">
        <w:rPr>
          <w:rFonts w:eastAsia="SimSun"/>
        </w:rPr>
        <w:t>?</w:t>
      </w:r>
    </w:p>
    <w:p w:rsidR="00036C83" w:rsidRPr="00C27038" w:rsidRDefault="00036C83" w:rsidP="00CD2DA8">
      <w:pPr>
        <w:pStyle w:val="Answer0"/>
      </w:pPr>
      <w:r w:rsidRPr="009075DC">
        <w:rPr>
          <w:rFonts w:eastAsia="SimSun"/>
        </w:rPr>
        <w:t>A.</w:t>
      </w:r>
      <w:r w:rsidRPr="009075DC">
        <w:rPr>
          <w:rFonts w:eastAsia="SimSun"/>
        </w:rPr>
        <w:tab/>
      </w:r>
      <w:r>
        <w:rPr>
          <w:rFonts w:eastAsia="SimSun"/>
        </w:rPr>
        <w:t>ICNU argued that the non-residential rate group within the electric decoupling mechanism should be broken up by rate class.</w:t>
      </w:r>
      <w:r>
        <w:rPr>
          <w:rStyle w:val="FootnoteReference"/>
          <w:rFonts w:eastAsia="SimSun"/>
        </w:rPr>
        <w:footnoteReference w:id="22"/>
      </w:r>
      <w:r>
        <w:rPr>
          <w:rFonts w:eastAsia="SimSun"/>
        </w:rPr>
        <w:t xml:space="preserve">  ICNU also claimed that Schedule 449 customers "are charged a higher rate increase than all other customers</w:t>
      </w:r>
      <w:r w:rsidRPr="009075DC">
        <w:rPr>
          <w:rFonts w:eastAsia="SimSun"/>
        </w:rPr>
        <w:t>.</w:t>
      </w:r>
      <w:r>
        <w:rPr>
          <w:rFonts w:eastAsia="SimSun"/>
        </w:rPr>
        <w:t>"</w:t>
      </w:r>
      <w:r>
        <w:rPr>
          <w:rStyle w:val="FootnoteReference"/>
          <w:rFonts w:eastAsia="SimSun"/>
        </w:rPr>
        <w:footnoteReference w:id="23"/>
      </w:r>
    </w:p>
    <w:p w:rsidR="00036C83" w:rsidRPr="00A503F9" w:rsidRDefault="00036C83" w:rsidP="00183605">
      <w:pPr>
        <w:pStyle w:val="question"/>
        <w:keepNext/>
        <w:keepLines/>
        <w:spacing w:before="120"/>
      </w:pPr>
      <w:r w:rsidRPr="009075DC">
        <w:rPr>
          <w:rFonts w:eastAsia="SimSun"/>
        </w:rPr>
        <w:t>Q.</w:t>
      </w:r>
      <w:r w:rsidRPr="009075DC">
        <w:rPr>
          <w:rFonts w:eastAsia="SimSun"/>
        </w:rPr>
        <w:tab/>
      </w:r>
      <w:r>
        <w:rPr>
          <w:rFonts w:eastAsia="SimSun"/>
        </w:rPr>
        <w:t>How do you respond to the proposal to break up the non-residential rate group within the electric decoupling mechanism by rate class</w:t>
      </w:r>
      <w:r w:rsidRPr="009075DC">
        <w:rPr>
          <w:rFonts w:eastAsia="SimSun"/>
        </w:rPr>
        <w:t>?</w:t>
      </w:r>
    </w:p>
    <w:p w:rsidR="00036C83" w:rsidRPr="00C27038" w:rsidRDefault="00036C83" w:rsidP="00183605">
      <w:pPr>
        <w:pStyle w:val="Answer0"/>
      </w:pPr>
      <w:r w:rsidRPr="009075DC">
        <w:rPr>
          <w:rFonts w:eastAsia="SimSun"/>
        </w:rPr>
        <w:t>A.</w:t>
      </w:r>
      <w:r w:rsidRPr="009075DC">
        <w:rPr>
          <w:rFonts w:eastAsia="SimSun"/>
        </w:rPr>
        <w:tab/>
      </w:r>
      <w:r>
        <w:rPr>
          <w:rFonts w:eastAsia="SimSun"/>
        </w:rPr>
        <w:t>There are clearly trade-offs between including greater or fewer rate classes in a single decoupling rate group</w:t>
      </w:r>
      <w:r w:rsidRPr="009075DC">
        <w:rPr>
          <w:rFonts w:eastAsia="SimSun"/>
        </w:rPr>
        <w:t>.</w:t>
      </w:r>
      <w:r>
        <w:rPr>
          <w:rFonts w:eastAsia="SimSun"/>
        </w:rPr>
        <w:t xml:space="preserve">  PSE believes that these trade-offs generally weigh in favor of aggregating rate classes within decoupling rate groups.  While ICNU correctly notes that cross-subsidization can occur between rate classes in a single rate group, this is undoubtedly also true within each rate class.  More importantly, there is an important offsetting factor.  The more finely customers are parsed between decoupling rate groups, the greater the potential volatility in the rate used to recover or rebate their decoupling deferrals.  Greater rate volatility could lead to greater public resistance to rate decoupling.  PSE finds this to be a greater concern to the public interest than a small amount of cross-subsidization that may occur between rate classes within a decoupling rate group.</w:t>
      </w:r>
    </w:p>
    <w:p w:rsidR="00036C83" w:rsidRPr="00A503F9" w:rsidRDefault="00036C83" w:rsidP="00FC54E3">
      <w:pPr>
        <w:pStyle w:val="question"/>
        <w:keepNext/>
        <w:keepLines/>
        <w:spacing w:before="120"/>
      </w:pPr>
      <w:r w:rsidRPr="009075DC">
        <w:rPr>
          <w:rFonts w:eastAsia="SimSun"/>
        </w:rPr>
        <w:t>Q.</w:t>
      </w:r>
      <w:r w:rsidRPr="009075DC">
        <w:rPr>
          <w:rFonts w:eastAsia="SimSun"/>
        </w:rPr>
        <w:tab/>
      </w:r>
      <w:r>
        <w:rPr>
          <w:rFonts w:eastAsia="SimSun"/>
        </w:rPr>
        <w:t>Does this issue also affect the gas decoupling proposal</w:t>
      </w:r>
      <w:r w:rsidRPr="009075DC">
        <w:rPr>
          <w:rFonts w:eastAsia="SimSun"/>
        </w:rPr>
        <w:t>?</w:t>
      </w:r>
    </w:p>
    <w:p w:rsidR="00036C83" w:rsidRPr="00C27038" w:rsidRDefault="00036C83" w:rsidP="00FC54E3">
      <w:pPr>
        <w:pStyle w:val="Answer0"/>
      </w:pPr>
      <w:r w:rsidRPr="009075DC">
        <w:rPr>
          <w:rFonts w:eastAsia="SimSun"/>
        </w:rPr>
        <w:t>A.</w:t>
      </w:r>
      <w:r w:rsidRPr="009075DC">
        <w:rPr>
          <w:rFonts w:eastAsia="SimSun"/>
        </w:rPr>
        <w:tab/>
      </w:r>
      <w:r>
        <w:rPr>
          <w:rFonts w:eastAsia="SimSun"/>
        </w:rPr>
        <w:t>Yes, breaking up the gas decoupling rate groups by rate class presents another significant issue.  Since PSE’s non-residential gas customers are provided a significant amount of flexibility to move between schedules, breaking up the gas decoupling rate groups by rate class would introduce the potential for customers choosing to migrate between schedules simply to avoid decoupling surcharges or to benefit from decoupling rate rebates.  Other customers in the affected schedules could pay more (or receive less) as a result.  This would serve to amplify the rate volatility discussed earlier and further reinforce resistance to the continuation of rate decoupling.</w:t>
      </w:r>
    </w:p>
    <w:p w:rsidR="00036C83" w:rsidRPr="00A503F9" w:rsidRDefault="00036C83" w:rsidP="00183605">
      <w:pPr>
        <w:pStyle w:val="question"/>
        <w:keepNext/>
        <w:keepLines/>
        <w:spacing w:before="120"/>
      </w:pPr>
      <w:r w:rsidRPr="009075DC">
        <w:rPr>
          <w:rFonts w:eastAsia="SimSun"/>
        </w:rPr>
        <w:t>Q.</w:t>
      </w:r>
      <w:r w:rsidRPr="009075DC">
        <w:rPr>
          <w:rFonts w:eastAsia="SimSun"/>
        </w:rPr>
        <w:tab/>
      </w:r>
      <w:r>
        <w:rPr>
          <w:rFonts w:eastAsia="SimSun"/>
        </w:rPr>
        <w:t>How do you respond to the assertion that Schedule 449 customers are being charged higher rate increases than all other customers</w:t>
      </w:r>
      <w:r w:rsidRPr="009075DC">
        <w:rPr>
          <w:rFonts w:eastAsia="SimSun"/>
        </w:rPr>
        <w:t>?</w:t>
      </w:r>
    </w:p>
    <w:p w:rsidR="00036C83" w:rsidRDefault="00036C83" w:rsidP="00183605">
      <w:pPr>
        <w:pStyle w:val="Answer0"/>
        <w:rPr>
          <w:rFonts w:eastAsia="SimSun"/>
        </w:rPr>
      </w:pPr>
      <w:r w:rsidRPr="009075DC">
        <w:rPr>
          <w:rFonts w:eastAsia="SimSun"/>
        </w:rPr>
        <w:t>A.</w:t>
      </w:r>
      <w:r w:rsidRPr="009075DC">
        <w:rPr>
          <w:rFonts w:eastAsia="SimSun"/>
        </w:rPr>
        <w:tab/>
      </w:r>
      <w:r>
        <w:rPr>
          <w:rFonts w:eastAsia="SimSun"/>
        </w:rPr>
        <w:t>This claim needs to be put into proper context</w:t>
      </w:r>
      <w:r w:rsidRPr="009075DC">
        <w:rPr>
          <w:rFonts w:eastAsia="SimSun"/>
        </w:rPr>
        <w:t>.</w:t>
      </w:r>
      <w:r>
        <w:rPr>
          <w:rFonts w:eastAsia="SimSun"/>
        </w:rPr>
        <w:t xml:space="preserve">  The costs of electric energy for customers served under Schedule 449 can be broken up into three primary categories; costs recovered directly through Schedule 449, costs recovered through PSE’s Open Access Transmission Tariff ("OATT") and costs recovered by the customers’ power suppliers.  While PSE does not have access to information regarding these customers’ power supply costs, they typically make up a substantial fraction of the overall cost of electricity for large customers like these.  Of the remaining two components, the vast majority of the costs are currently recovered through PSE’s OATT.</w:t>
      </w:r>
      <w:r>
        <w:rPr>
          <w:rStyle w:val="FootnoteReference"/>
          <w:rFonts w:eastAsia="SimSun"/>
        </w:rPr>
        <w:footnoteReference w:id="24"/>
      </w:r>
      <w:r>
        <w:rPr>
          <w:rFonts w:eastAsia="SimSun"/>
        </w:rPr>
        <w:t xml:space="preserve">  The rate increases referenced in ICNU’s testimony do not apply to the OATT component of their bills.  The table below illustrates how the cost of these two components change between levels approved in PSE’s 2011 GRC and levels proposed with PSE’s expedited rate filing ("ERF") and K-factor increases.</w:t>
      </w:r>
      <w:r>
        <w:rPr>
          <w:rStyle w:val="FootnoteReference"/>
          <w:rFonts w:eastAsia="SimSun"/>
        </w:rPr>
        <w:footnoteReference w:id="25"/>
      </w:r>
      <w:r>
        <w:rPr>
          <w:rFonts w:eastAsia="SimSun"/>
        </w:rPr>
        <w:t xml:space="preserve">  </w:t>
      </w:r>
    </w:p>
    <w:p w:rsidR="00036C83" w:rsidRDefault="00036C83" w:rsidP="001A29DA">
      <w:pPr>
        <w:pStyle w:val="Caption"/>
        <w:keepNext/>
        <w:jc w:val="center"/>
      </w:pPr>
      <w:r>
        <w:t xml:space="preserve">Table </w:t>
      </w:r>
      <w:fldSimple w:instr=" SEQ Table \* ARABIC ">
        <w:r>
          <w:rPr>
            <w:noProof/>
          </w:rPr>
          <w:t>1</w:t>
        </w:r>
      </w:fldSimple>
      <w:r>
        <w:t xml:space="preserve"> - Change in Annual Charges to Schedule 449 Customers</w:t>
      </w:r>
    </w:p>
    <w:p w:rsidR="00036C83" w:rsidRDefault="00036C83" w:rsidP="00997B2A">
      <w:pPr>
        <w:pStyle w:val="question"/>
        <w:keepNext/>
        <w:keepLines/>
        <w:spacing w:before="120"/>
        <w:jc w:val="center"/>
        <w:rPr>
          <w:rFonts w:eastAsia="SimSun"/>
          <w:noProof/>
          <w:lang w:eastAsia="en-US"/>
        </w:rPr>
      </w:pPr>
      <w:r w:rsidRPr="00B026C1">
        <w:rPr>
          <w:rFonts w:eastAsia="SimSun"/>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17.75pt;height:90pt;visibility:visible">
            <v:imagedata r:id="rId15" o:title=""/>
          </v:shape>
        </w:pict>
      </w:r>
    </w:p>
    <w:p w:rsidR="00036C83" w:rsidRPr="00A503F9" w:rsidRDefault="00036C83" w:rsidP="00F867C6">
      <w:pPr>
        <w:pStyle w:val="question"/>
        <w:keepNext/>
        <w:keepLines/>
        <w:spacing w:before="120"/>
      </w:pPr>
      <w:r w:rsidRPr="009075DC">
        <w:rPr>
          <w:rFonts w:eastAsia="SimSun"/>
        </w:rPr>
        <w:t>Q.</w:t>
      </w:r>
      <w:r w:rsidRPr="009075DC">
        <w:rPr>
          <w:rFonts w:eastAsia="SimSun"/>
        </w:rPr>
        <w:tab/>
      </w:r>
      <w:r>
        <w:rPr>
          <w:rFonts w:eastAsia="SimSun"/>
        </w:rPr>
        <w:t>What does the above table show?</w:t>
      </w:r>
    </w:p>
    <w:p w:rsidR="00036C83" w:rsidRPr="00C27038" w:rsidRDefault="00036C83" w:rsidP="00183605">
      <w:pPr>
        <w:pStyle w:val="Answer0"/>
      </w:pPr>
      <w:r>
        <w:rPr>
          <w:rFonts w:eastAsia="SimSun"/>
        </w:rPr>
        <w:t>A.</w:t>
      </w:r>
      <w:r>
        <w:rPr>
          <w:rFonts w:eastAsia="SimSun"/>
        </w:rPr>
        <w:tab/>
        <w:t xml:space="preserve">This table shows that, if PSE’s ERF and rate plan are adopted as proposed, the combined charges for Schedule 449 customers for delivery services will have decreased by about $2.0 million, or almost 25 percent, from 2011 GRC levels.  Each subsequent application of the K-factor would increase their charges by approximately $10,000 on overall delivery costs of approximately $6.25 million, or less than 0.2 percent per year.  If power supply costs are also taken into consideration, this percentage would be far lower. </w:t>
      </w:r>
    </w:p>
    <w:p w:rsidR="00036C83" w:rsidRPr="00A503F9" w:rsidRDefault="00036C83" w:rsidP="00183605">
      <w:pPr>
        <w:pStyle w:val="question"/>
        <w:keepNext/>
        <w:keepLines/>
        <w:spacing w:before="120"/>
      </w:pPr>
      <w:r w:rsidRPr="009075DC">
        <w:rPr>
          <w:rFonts w:eastAsia="SimSun"/>
        </w:rPr>
        <w:t>Q.</w:t>
      </w:r>
      <w:r w:rsidRPr="009075DC">
        <w:rPr>
          <w:rFonts w:eastAsia="SimSun"/>
        </w:rPr>
        <w:tab/>
      </w:r>
      <w:r>
        <w:rPr>
          <w:rFonts w:eastAsia="SimSun"/>
        </w:rPr>
        <w:t>What issues did NWIGU raise with respect to including large gas users in the Joint Decoupling Proposal</w:t>
      </w:r>
      <w:r w:rsidRPr="009075DC">
        <w:rPr>
          <w:rFonts w:eastAsia="SimSun"/>
        </w:rPr>
        <w:t>?</w:t>
      </w:r>
    </w:p>
    <w:p w:rsidR="00036C83" w:rsidRPr="00C27038" w:rsidRDefault="00036C83" w:rsidP="00183605">
      <w:pPr>
        <w:pStyle w:val="Answer0"/>
      </w:pPr>
      <w:r w:rsidRPr="009075DC">
        <w:rPr>
          <w:rFonts w:eastAsia="SimSun"/>
        </w:rPr>
        <w:t>A.</w:t>
      </w:r>
      <w:r w:rsidRPr="009075DC">
        <w:rPr>
          <w:rFonts w:eastAsia="SimSun"/>
        </w:rPr>
        <w:tab/>
      </w:r>
      <w:r>
        <w:rPr>
          <w:rFonts w:eastAsia="SimSun"/>
        </w:rPr>
        <w:t>NWIGU makes the point that PSE has provided no rationale, consistent with the goals of the decoupling proposal, to apply the mechanism to gas transportation customers.  It goes further, by recommending that customers served under Schedules 85, 85T, 87 and 87T be excluded from the gas decoupling mechanism</w:t>
      </w:r>
      <w:r w:rsidRPr="009075DC">
        <w:rPr>
          <w:rFonts w:eastAsia="SimSun"/>
        </w:rPr>
        <w:t>.</w:t>
      </w:r>
    </w:p>
    <w:p w:rsidR="00036C83" w:rsidRPr="00A503F9" w:rsidRDefault="00036C83" w:rsidP="003614AF">
      <w:pPr>
        <w:pStyle w:val="question"/>
        <w:keepNext/>
        <w:keepLines/>
        <w:spacing w:before="120"/>
      </w:pPr>
      <w:r w:rsidRPr="009075DC">
        <w:rPr>
          <w:rFonts w:eastAsia="SimSun"/>
        </w:rPr>
        <w:t>Q.</w:t>
      </w:r>
      <w:r w:rsidRPr="009075DC">
        <w:rPr>
          <w:rFonts w:eastAsia="SimSun"/>
        </w:rPr>
        <w:tab/>
      </w:r>
      <w:r>
        <w:rPr>
          <w:rFonts w:eastAsia="SimSun"/>
        </w:rPr>
        <w:t>What is the rationale for including gas transportation customers in the gas decoupling mechanism</w:t>
      </w:r>
      <w:r w:rsidRPr="009075DC">
        <w:rPr>
          <w:rFonts w:eastAsia="SimSun"/>
        </w:rPr>
        <w:t>?</w:t>
      </w:r>
    </w:p>
    <w:p w:rsidR="00036C83" w:rsidRPr="00C27038" w:rsidRDefault="00036C83" w:rsidP="003614AF">
      <w:pPr>
        <w:pStyle w:val="Answer0"/>
      </w:pPr>
      <w:r w:rsidRPr="009075DC">
        <w:rPr>
          <w:rFonts w:eastAsia="SimSun"/>
        </w:rPr>
        <w:t>A.</w:t>
      </w:r>
      <w:r w:rsidRPr="009075DC">
        <w:rPr>
          <w:rFonts w:eastAsia="SimSun"/>
        </w:rPr>
        <w:tab/>
      </w:r>
      <w:r>
        <w:rPr>
          <w:rFonts w:eastAsia="SimSun"/>
        </w:rPr>
        <w:t>The rationale is that PSE has the same "throughput incentive" with gas transportation customers as it does with its gas sales customers.  Note that PSE has parallel gas sales and transportation rate schedules, where the rates charged to transportation customers for gas delivery mirrors the rates charged to similar sales customers</w:t>
      </w:r>
      <w:r w:rsidRPr="009075DC">
        <w:rPr>
          <w:rFonts w:eastAsia="SimSun"/>
        </w:rPr>
        <w:t>.</w:t>
      </w:r>
      <w:r>
        <w:rPr>
          <w:rFonts w:eastAsia="SimSun"/>
        </w:rPr>
        <w:t xml:space="preserve">  These parallel rates recover fixed delivery costs through variable charges.  Therefore, PSE has no less motivation for increased energy consumption by transportation customers than it does for sales customers.</w:t>
      </w:r>
    </w:p>
    <w:p w:rsidR="00036C83" w:rsidRPr="00A503F9" w:rsidRDefault="00036C83" w:rsidP="003614AF">
      <w:pPr>
        <w:pStyle w:val="question"/>
        <w:keepNext/>
        <w:keepLines/>
        <w:spacing w:before="120"/>
      </w:pPr>
      <w:r w:rsidRPr="009075DC">
        <w:rPr>
          <w:rFonts w:eastAsia="SimSun"/>
        </w:rPr>
        <w:t>Q.</w:t>
      </w:r>
      <w:r w:rsidRPr="009075DC">
        <w:rPr>
          <w:rFonts w:eastAsia="SimSun"/>
        </w:rPr>
        <w:tab/>
      </w:r>
      <w:r>
        <w:rPr>
          <w:rFonts w:eastAsia="SimSun"/>
        </w:rPr>
        <w:t>How does PSE respond to NWIGU’s recommendation to exempt Schedules 85, 85T, 87 and 87T from the gas decoupling mechanism</w:t>
      </w:r>
      <w:r w:rsidRPr="009075DC">
        <w:rPr>
          <w:rFonts w:eastAsia="SimSun"/>
        </w:rPr>
        <w:t>?</w:t>
      </w:r>
    </w:p>
    <w:p w:rsidR="00036C83" w:rsidRPr="00C27038" w:rsidRDefault="00036C83" w:rsidP="003614AF">
      <w:pPr>
        <w:pStyle w:val="Answer0"/>
      </w:pPr>
      <w:r w:rsidRPr="009075DC">
        <w:rPr>
          <w:rFonts w:eastAsia="SimSun"/>
        </w:rPr>
        <w:t>A.</w:t>
      </w:r>
      <w:r w:rsidRPr="009075DC">
        <w:rPr>
          <w:rFonts w:eastAsia="SimSun"/>
        </w:rPr>
        <w:tab/>
      </w:r>
      <w:r>
        <w:rPr>
          <w:rFonts w:eastAsia="SimSun"/>
        </w:rPr>
        <w:t>As memorialized in NWIGU’s Joinder in the Multiparty Settlement,</w:t>
      </w:r>
      <w:r>
        <w:rPr>
          <w:rStyle w:val="FootnoteReference"/>
          <w:rFonts w:eastAsia="SimSun"/>
        </w:rPr>
        <w:footnoteReference w:id="26"/>
      </w:r>
      <w:r>
        <w:rPr>
          <w:rFonts w:eastAsia="SimSun"/>
        </w:rPr>
        <w:t xml:space="preserve"> PSE finds this a reasonable proposal</w:t>
      </w:r>
      <w:r w:rsidRPr="009075DC">
        <w:rPr>
          <w:rFonts w:eastAsia="SimSun"/>
        </w:rPr>
        <w:t>.</w:t>
      </w:r>
      <w:r>
        <w:rPr>
          <w:rFonts w:eastAsia="SimSun"/>
        </w:rPr>
        <w:t xml:space="preserve">  These schedules all have a steeply declining block rate structure.  As such, the "marginal" throughput incentive is quite modest for large customers facing the tail block rates on these schedules (i.e., additional sales lead to very little incremental revenue for the Company).  Given this weakened throughput incentive, removing these customers from the decoupling mechanism appears appropriate.</w:t>
      </w:r>
    </w:p>
    <w:p w:rsidR="00036C83" w:rsidRPr="00A503F9" w:rsidRDefault="00036C83" w:rsidP="003614AF">
      <w:pPr>
        <w:pStyle w:val="question"/>
        <w:keepNext/>
        <w:keepLines/>
        <w:spacing w:before="120"/>
      </w:pPr>
      <w:r w:rsidRPr="009075DC">
        <w:rPr>
          <w:rFonts w:eastAsia="SimSun"/>
        </w:rPr>
        <w:t>Q.</w:t>
      </w:r>
      <w:r w:rsidRPr="009075DC">
        <w:rPr>
          <w:rFonts w:eastAsia="SimSun"/>
        </w:rPr>
        <w:tab/>
      </w:r>
      <w:r>
        <w:rPr>
          <w:rFonts w:eastAsia="SimSun"/>
        </w:rPr>
        <w:t>Does Nucor raise arguments similar to NWIGU</w:t>
      </w:r>
      <w:r w:rsidRPr="009075DC">
        <w:rPr>
          <w:rFonts w:eastAsia="SimSun"/>
        </w:rPr>
        <w:t>?</w:t>
      </w:r>
    </w:p>
    <w:p w:rsidR="00036C83" w:rsidRPr="00C27038" w:rsidRDefault="00036C83" w:rsidP="003614AF">
      <w:pPr>
        <w:pStyle w:val="Answer0"/>
      </w:pPr>
      <w:r w:rsidRPr="009075DC">
        <w:rPr>
          <w:rFonts w:eastAsia="SimSun"/>
        </w:rPr>
        <w:t>A.</w:t>
      </w:r>
      <w:r w:rsidRPr="009075DC">
        <w:rPr>
          <w:rFonts w:eastAsia="SimSun"/>
        </w:rPr>
        <w:tab/>
      </w:r>
      <w:r>
        <w:rPr>
          <w:rFonts w:eastAsia="SimSun"/>
        </w:rPr>
        <w:t>Yes.  However, primarily relying on the fact that gas transportation customers do not participate in PSE’s conservation programs, Nucor’s witness recommends that all gas transportation customers should be excluded from the proposed gas decoupling mechanisms</w:t>
      </w:r>
      <w:r w:rsidRPr="009075DC">
        <w:rPr>
          <w:rFonts w:eastAsia="SimSun"/>
        </w:rPr>
        <w:t>.</w:t>
      </w:r>
    </w:p>
    <w:p w:rsidR="00036C83" w:rsidRPr="00A503F9" w:rsidRDefault="00036C83" w:rsidP="0030045E">
      <w:pPr>
        <w:pStyle w:val="question"/>
        <w:keepNext/>
        <w:keepLines/>
        <w:spacing w:before="120"/>
      </w:pPr>
      <w:r w:rsidRPr="009075DC">
        <w:rPr>
          <w:rFonts w:eastAsia="SimSun"/>
        </w:rPr>
        <w:t>Q.</w:t>
      </w:r>
      <w:r w:rsidRPr="009075DC">
        <w:rPr>
          <w:rFonts w:eastAsia="SimSun"/>
        </w:rPr>
        <w:tab/>
      </w:r>
      <w:r>
        <w:rPr>
          <w:rFonts w:eastAsia="SimSun"/>
        </w:rPr>
        <w:t>How do you respond</w:t>
      </w:r>
      <w:r w:rsidRPr="009075DC">
        <w:rPr>
          <w:rFonts w:eastAsia="SimSun"/>
        </w:rPr>
        <w:t>?</w:t>
      </w:r>
    </w:p>
    <w:p w:rsidR="00036C83" w:rsidRPr="00C27038" w:rsidRDefault="00036C83" w:rsidP="0030045E">
      <w:pPr>
        <w:pStyle w:val="Answer0"/>
      </w:pPr>
      <w:r w:rsidRPr="009075DC">
        <w:rPr>
          <w:rFonts w:eastAsia="SimSun"/>
        </w:rPr>
        <w:t>A.</w:t>
      </w:r>
      <w:r w:rsidRPr="009075DC">
        <w:rPr>
          <w:rFonts w:eastAsia="SimSun"/>
        </w:rPr>
        <w:tab/>
      </w:r>
      <w:r>
        <w:rPr>
          <w:rFonts w:eastAsia="SimSun"/>
        </w:rPr>
        <w:t>As noted earlier, given the design and structure of PSE’s gas rate schedules, the throughput incentive is virtually the same across parallel gas sales and transportation schedules</w:t>
      </w:r>
      <w:r w:rsidRPr="009075DC">
        <w:rPr>
          <w:rFonts w:eastAsia="SimSun"/>
        </w:rPr>
        <w:t>.</w:t>
      </w:r>
      <w:r>
        <w:rPr>
          <w:rFonts w:eastAsia="SimSun"/>
        </w:rPr>
        <w:t xml:space="preserve">  Whether or not a customer participates in PSE’s conservation programs and, moreover, whether or not it purchases gas supply directly from PSE does not impact the throughput incentive.  PSE’s earnings are not materially tied to its sale of gas supply, only to its delivery.  As such, PSE still has an incentive for increased deliveries, whether by sales or transportation customers.  </w:t>
      </w:r>
    </w:p>
    <w:p w:rsidR="00036C83" w:rsidRPr="00A503F9" w:rsidRDefault="00036C83" w:rsidP="00D22168">
      <w:pPr>
        <w:pStyle w:val="question"/>
        <w:keepNext/>
        <w:keepLines/>
        <w:spacing w:before="120"/>
      </w:pPr>
      <w:r w:rsidRPr="009075DC">
        <w:rPr>
          <w:rFonts w:eastAsia="SimSun"/>
        </w:rPr>
        <w:t>Q.</w:t>
      </w:r>
      <w:r w:rsidRPr="009075DC">
        <w:rPr>
          <w:rFonts w:eastAsia="SimSun"/>
        </w:rPr>
        <w:tab/>
      </w:r>
      <w:r>
        <w:rPr>
          <w:rFonts w:eastAsia="SimSun"/>
        </w:rPr>
        <w:t>Are there other reasons to include transportation customers in the decoupling mechanism</w:t>
      </w:r>
      <w:r w:rsidRPr="009075DC">
        <w:rPr>
          <w:rFonts w:eastAsia="SimSun"/>
        </w:rPr>
        <w:t>?</w:t>
      </w:r>
    </w:p>
    <w:p w:rsidR="00036C83" w:rsidRPr="00C27038" w:rsidRDefault="00036C83" w:rsidP="00D22168">
      <w:pPr>
        <w:pStyle w:val="Answer0"/>
      </w:pPr>
      <w:r w:rsidRPr="009075DC">
        <w:rPr>
          <w:rFonts w:eastAsia="SimSun"/>
        </w:rPr>
        <w:t>A.</w:t>
      </w:r>
      <w:r w:rsidRPr="009075DC">
        <w:rPr>
          <w:rFonts w:eastAsia="SimSun"/>
        </w:rPr>
        <w:tab/>
      </w:r>
      <w:r>
        <w:rPr>
          <w:rFonts w:eastAsia="SimSun"/>
        </w:rPr>
        <w:t>Yes</w:t>
      </w:r>
      <w:r w:rsidRPr="009075DC">
        <w:rPr>
          <w:rFonts w:eastAsia="SimSun"/>
        </w:rPr>
        <w:t>.</w:t>
      </w:r>
      <w:r>
        <w:rPr>
          <w:rFonts w:eastAsia="SimSun"/>
        </w:rPr>
        <w:t xml:space="preserve">  As noted earlier, PSE’s non-residential gas customers have a significant amount of flexibility to move between schedules, including between sales and transportation.  As with the scenario discussed earlier where the non-residential rate group is delineated by rate class, excluding transportation schedules from the gas decoupling mechanism would likewise introduce the potential for customers choosing to migrate between sale and transportation schedules simply to avoid decoupling surcharges or to benefit from decoupling rate rebates.  As discussed earlier, other customers in the affected schedules would be negatively impacted, which would reinforce resistance to the continuation of rate decoupling.</w:t>
      </w:r>
    </w:p>
    <w:p w:rsidR="00036C83" w:rsidRPr="00A503F9" w:rsidRDefault="00036C83" w:rsidP="004C77BC">
      <w:pPr>
        <w:pStyle w:val="question"/>
        <w:keepNext/>
        <w:keepLines/>
        <w:spacing w:before="120"/>
      </w:pPr>
      <w:r w:rsidRPr="009075DC">
        <w:rPr>
          <w:rFonts w:eastAsia="SimSun"/>
        </w:rPr>
        <w:t>Q.</w:t>
      </w:r>
      <w:r w:rsidRPr="009075DC">
        <w:rPr>
          <w:rFonts w:eastAsia="SimSun"/>
        </w:rPr>
        <w:tab/>
      </w:r>
      <w:r>
        <w:rPr>
          <w:rFonts w:eastAsia="SimSun"/>
        </w:rPr>
        <w:t>Did Kroger raise similar concerns</w:t>
      </w:r>
      <w:r w:rsidRPr="009075DC">
        <w:rPr>
          <w:rFonts w:eastAsia="SimSun"/>
        </w:rPr>
        <w:t>?</w:t>
      </w:r>
    </w:p>
    <w:p w:rsidR="00036C83" w:rsidRPr="00C27038" w:rsidRDefault="00036C83" w:rsidP="004C77BC">
      <w:pPr>
        <w:pStyle w:val="Answer0"/>
      </w:pPr>
      <w:r w:rsidRPr="009075DC">
        <w:rPr>
          <w:rFonts w:eastAsia="SimSun"/>
        </w:rPr>
        <w:t>A.</w:t>
      </w:r>
      <w:r w:rsidRPr="009075DC">
        <w:rPr>
          <w:rFonts w:eastAsia="SimSun"/>
        </w:rPr>
        <w:tab/>
      </w:r>
      <w:r>
        <w:rPr>
          <w:rFonts w:eastAsia="SimSun"/>
        </w:rPr>
        <w:t>Yes.  Kroger recommends excluding all customers with billing demands greater than 350 kW from the electric decoupling mechanism</w:t>
      </w:r>
      <w:r w:rsidRPr="009075DC">
        <w:rPr>
          <w:rFonts w:eastAsia="SimSun"/>
        </w:rPr>
        <w:t>.</w:t>
      </w:r>
      <w:r>
        <w:rPr>
          <w:rStyle w:val="FootnoteReference"/>
          <w:rFonts w:eastAsia="SimSun"/>
        </w:rPr>
        <w:footnoteReference w:id="27"/>
      </w:r>
    </w:p>
    <w:p w:rsidR="00036C83" w:rsidRPr="00A503F9" w:rsidRDefault="00036C83" w:rsidP="004C77BC">
      <w:pPr>
        <w:pStyle w:val="question"/>
        <w:keepNext/>
        <w:keepLines/>
        <w:spacing w:before="120"/>
      </w:pPr>
      <w:r w:rsidRPr="009075DC">
        <w:rPr>
          <w:rFonts w:eastAsia="SimSun"/>
        </w:rPr>
        <w:t>Q.</w:t>
      </w:r>
      <w:r w:rsidRPr="009075DC">
        <w:rPr>
          <w:rFonts w:eastAsia="SimSun"/>
        </w:rPr>
        <w:tab/>
      </w:r>
      <w:r>
        <w:rPr>
          <w:rFonts w:eastAsia="SimSun"/>
        </w:rPr>
        <w:t>How do you respond</w:t>
      </w:r>
      <w:r w:rsidRPr="009075DC">
        <w:rPr>
          <w:rFonts w:eastAsia="SimSun"/>
        </w:rPr>
        <w:t>?</w:t>
      </w:r>
    </w:p>
    <w:p w:rsidR="00036C83" w:rsidRPr="00C27038" w:rsidRDefault="00036C83" w:rsidP="004C77BC">
      <w:pPr>
        <w:pStyle w:val="Answer0"/>
      </w:pPr>
      <w:r w:rsidRPr="009075DC">
        <w:rPr>
          <w:rFonts w:eastAsia="SimSun"/>
        </w:rPr>
        <w:t>A.</w:t>
      </w:r>
      <w:r w:rsidRPr="009075DC">
        <w:rPr>
          <w:rFonts w:eastAsia="SimSun"/>
        </w:rPr>
        <w:tab/>
      </w:r>
      <w:r>
        <w:rPr>
          <w:rFonts w:eastAsia="SimSun"/>
        </w:rPr>
        <w:t>Relative to the customers that NWIGU has proposed excluding from the gas decoupling mechanisms, the marginal revenues associated with the customers Kroger proposes to exclude are far more significant</w:t>
      </w:r>
      <w:r w:rsidRPr="009075DC">
        <w:rPr>
          <w:rFonts w:eastAsia="SimSun"/>
        </w:rPr>
        <w:t>.</w:t>
      </w:r>
      <w:r>
        <w:rPr>
          <w:rFonts w:eastAsia="SimSun"/>
        </w:rPr>
        <w:t xml:space="preserve">  In other words, PSE has a much stronger throughput incentive for these electric customers, since their rate structures do not include the steeply declining block rates that are present for large gas customers.  As such, removing these customers from the electric decoupling mechanism would be contrary to the Commission’s intended policy.</w:t>
      </w:r>
    </w:p>
    <w:p w:rsidR="00036C83" w:rsidRPr="009075DC" w:rsidRDefault="00036C83" w:rsidP="00BD5232">
      <w:pPr>
        <w:pStyle w:val="Heading1"/>
        <w:spacing w:after="360" w:line="240" w:lineRule="auto"/>
        <w:rPr>
          <w:rFonts w:eastAsia="SimSun"/>
        </w:rPr>
      </w:pPr>
      <w:bookmarkStart w:id="10" w:name="_Toc355780188"/>
      <w:r>
        <w:rPr>
          <w:rFonts w:eastAsia="SimSun"/>
        </w:rPr>
        <w:t>VI</w:t>
      </w:r>
      <w:r w:rsidRPr="009075DC">
        <w:rPr>
          <w:rFonts w:eastAsia="SimSun"/>
        </w:rPr>
        <w:t>.</w:t>
      </w:r>
      <w:r w:rsidRPr="009075DC">
        <w:rPr>
          <w:rFonts w:eastAsia="SimSun"/>
        </w:rPr>
        <w:tab/>
      </w:r>
      <w:r>
        <w:rPr>
          <w:rFonts w:eastAsia="SimSun"/>
        </w:rPr>
        <w:t>RATE DESIGN ALTERNATIVES TO JOINT DECOUPLING PROPOSAL ARE INADEQUATE</w:t>
      </w:r>
      <w:bookmarkEnd w:id="10"/>
    </w:p>
    <w:p w:rsidR="00036C83" w:rsidRPr="00A503F9" w:rsidRDefault="00036C83" w:rsidP="00183605">
      <w:pPr>
        <w:pStyle w:val="question"/>
        <w:keepNext/>
        <w:keepLines/>
        <w:spacing w:before="120"/>
      </w:pPr>
      <w:r w:rsidRPr="009075DC">
        <w:rPr>
          <w:rFonts w:eastAsia="SimSun"/>
        </w:rPr>
        <w:t>Q.</w:t>
      </w:r>
      <w:r w:rsidRPr="009075DC">
        <w:rPr>
          <w:rFonts w:eastAsia="SimSun"/>
        </w:rPr>
        <w:tab/>
      </w:r>
      <w:r>
        <w:rPr>
          <w:rFonts w:eastAsia="SimSun"/>
        </w:rPr>
        <w:t>Did any party propose rate design alternatives to the Joint Decoupling Proposal</w:t>
      </w:r>
      <w:r w:rsidRPr="009075DC">
        <w:rPr>
          <w:rFonts w:eastAsia="SimSun"/>
        </w:rPr>
        <w:t>?</w:t>
      </w:r>
    </w:p>
    <w:p w:rsidR="00036C83" w:rsidRPr="00C27038" w:rsidRDefault="00036C83" w:rsidP="00183605">
      <w:pPr>
        <w:pStyle w:val="Answer0"/>
      </w:pPr>
      <w:r w:rsidRPr="009075DC">
        <w:rPr>
          <w:rFonts w:eastAsia="SimSun"/>
        </w:rPr>
        <w:t>A.</w:t>
      </w:r>
      <w:r w:rsidRPr="009075DC">
        <w:rPr>
          <w:rFonts w:eastAsia="SimSun"/>
        </w:rPr>
        <w:tab/>
      </w:r>
      <w:r>
        <w:rPr>
          <w:rFonts w:eastAsia="SimSun"/>
        </w:rPr>
        <w:t>Yes</w:t>
      </w:r>
      <w:r w:rsidRPr="009075DC">
        <w:rPr>
          <w:rFonts w:eastAsia="SimSun"/>
        </w:rPr>
        <w:t>.</w:t>
      </w:r>
      <w:r>
        <w:rPr>
          <w:rFonts w:eastAsia="SimSun"/>
        </w:rPr>
        <w:t xml:space="preserve">  Kroger proposed that demand charges for delivery service be better aligned with the recovery of fixed costs.</w:t>
      </w:r>
      <w:r>
        <w:rPr>
          <w:rStyle w:val="FootnoteReference"/>
          <w:rFonts w:eastAsia="SimSun"/>
        </w:rPr>
        <w:footnoteReference w:id="28"/>
      </w:r>
      <w:r>
        <w:rPr>
          <w:rFonts w:eastAsia="SimSun"/>
        </w:rPr>
        <w:t xml:space="preserve">  </w:t>
      </w:r>
    </w:p>
    <w:p w:rsidR="00036C83" w:rsidRPr="00A503F9" w:rsidRDefault="00036C83" w:rsidP="00183605">
      <w:pPr>
        <w:pStyle w:val="question"/>
        <w:keepNext/>
        <w:keepLines/>
        <w:spacing w:before="120"/>
      </w:pPr>
      <w:r w:rsidRPr="009075DC">
        <w:rPr>
          <w:rFonts w:eastAsia="SimSun"/>
        </w:rPr>
        <w:t>Q.</w:t>
      </w:r>
      <w:r w:rsidRPr="009075DC">
        <w:rPr>
          <w:rFonts w:eastAsia="SimSun"/>
        </w:rPr>
        <w:tab/>
      </w:r>
      <w:r>
        <w:rPr>
          <w:rFonts w:eastAsia="SimSun"/>
        </w:rPr>
        <w:t>Is this an effective substitute for decoupling</w:t>
      </w:r>
      <w:r w:rsidRPr="009075DC">
        <w:rPr>
          <w:rFonts w:eastAsia="SimSun"/>
        </w:rPr>
        <w:t>?</w:t>
      </w:r>
    </w:p>
    <w:p w:rsidR="00036C83" w:rsidRPr="00C27038" w:rsidRDefault="00036C83" w:rsidP="00183605">
      <w:pPr>
        <w:pStyle w:val="Answer0"/>
      </w:pPr>
      <w:r w:rsidRPr="009075DC">
        <w:rPr>
          <w:rFonts w:eastAsia="SimSun"/>
        </w:rPr>
        <w:t>A.</w:t>
      </w:r>
      <w:r w:rsidRPr="009075DC">
        <w:rPr>
          <w:rFonts w:eastAsia="SimSun"/>
        </w:rPr>
        <w:tab/>
      </w:r>
      <w:r>
        <w:rPr>
          <w:rFonts w:eastAsia="SimSun"/>
        </w:rPr>
        <w:t>No.  As PSE showed in its 2011 GRC with Kroger’s own data, the demand charge revenues received from Kroger’s locations served under Schedule 40 were materially impacted by the energy efficiency measures it implemented.</w:t>
      </w:r>
      <w:r>
        <w:rPr>
          <w:rStyle w:val="FootnoteReference"/>
          <w:rFonts w:eastAsia="SimSun"/>
        </w:rPr>
        <w:footnoteReference w:id="29"/>
      </w:r>
      <w:r>
        <w:rPr>
          <w:rFonts w:eastAsia="SimSun"/>
        </w:rPr>
        <w:t xml:space="preserve">  This shows that, while not as strong, the throughput incentive also extends to demand charge revenue (i.e., demand charge revenue is not "fixed")</w:t>
      </w:r>
      <w:r w:rsidRPr="009075DC">
        <w:rPr>
          <w:rFonts w:eastAsia="SimSun"/>
        </w:rPr>
        <w:t>.</w:t>
      </w:r>
    </w:p>
    <w:p w:rsidR="00036C83" w:rsidRPr="00A503F9" w:rsidRDefault="00036C83" w:rsidP="00183605">
      <w:pPr>
        <w:pStyle w:val="question"/>
        <w:keepNext/>
        <w:keepLines/>
        <w:spacing w:before="120"/>
      </w:pPr>
      <w:r w:rsidRPr="009075DC">
        <w:rPr>
          <w:rFonts w:eastAsia="SimSun"/>
        </w:rPr>
        <w:t>Q.</w:t>
      </w:r>
      <w:r w:rsidRPr="009075DC">
        <w:rPr>
          <w:rFonts w:eastAsia="SimSun"/>
        </w:rPr>
        <w:tab/>
      </w:r>
      <w:r>
        <w:rPr>
          <w:rFonts w:eastAsia="SimSun"/>
        </w:rPr>
        <w:t>Did any party recommend rate design changes to the decoupling mechanisms</w:t>
      </w:r>
      <w:r w:rsidRPr="009075DC">
        <w:rPr>
          <w:rFonts w:eastAsia="SimSun"/>
        </w:rPr>
        <w:t>?</w:t>
      </w:r>
    </w:p>
    <w:p w:rsidR="00036C83" w:rsidRPr="00C27038" w:rsidRDefault="00036C83" w:rsidP="00183605">
      <w:pPr>
        <w:pStyle w:val="Answer0"/>
      </w:pPr>
      <w:r w:rsidRPr="009075DC">
        <w:rPr>
          <w:rFonts w:eastAsia="SimSun"/>
        </w:rPr>
        <w:t>A.</w:t>
      </w:r>
      <w:r w:rsidRPr="009075DC">
        <w:rPr>
          <w:rFonts w:eastAsia="SimSun"/>
        </w:rPr>
        <w:tab/>
      </w:r>
      <w:r>
        <w:rPr>
          <w:rFonts w:eastAsia="SimSun"/>
        </w:rPr>
        <w:t>Yes.  Kroger proposed that, if the Commission rejected its proposal to remove large customers, then the electric decoupling mechanism should be modified to only include a "reasonable portion" of the demand charge revenue from these customers (i.e., to treat the remaining portion as "fixed")</w:t>
      </w:r>
      <w:r w:rsidRPr="009075DC">
        <w:rPr>
          <w:rFonts w:eastAsia="SimSun"/>
        </w:rPr>
        <w:t>.</w:t>
      </w:r>
      <w:r>
        <w:rPr>
          <w:rStyle w:val="FootnoteReference"/>
          <w:rFonts w:eastAsia="SimSun"/>
        </w:rPr>
        <w:footnoteReference w:id="30"/>
      </w:r>
      <w:r>
        <w:rPr>
          <w:rFonts w:eastAsia="SimSun"/>
        </w:rPr>
        <w:t xml:space="preserve">  Kroger also proposes to apply Schedule 139 through demand charges for those customers that are billed on measured demands.</w:t>
      </w:r>
      <w:r>
        <w:rPr>
          <w:rStyle w:val="FootnoteReference"/>
          <w:rFonts w:eastAsia="SimSun"/>
        </w:rPr>
        <w:footnoteReference w:id="31"/>
      </w:r>
      <w:r>
        <w:rPr>
          <w:rFonts w:eastAsia="SimSun"/>
        </w:rPr>
        <w:t xml:space="preserve">  Nucor, through the same witness, proposes that 100 percent of the contract firm revenues be excluded from the gas decoupling mechanism.</w:t>
      </w:r>
      <w:r>
        <w:rPr>
          <w:rStyle w:val="FootnoteReference"/>
          <w:rFonts w:eastAsia="SimSun"/>
        </w:rPr>
        <w:footnoteReference w:id="32"/>
      </w:r>
    </w:p>
    <w:p w:rsidR="00036C83" w:rsidRPr="00A503F9" w:rsidRDefault="00036C83" w:rsidP="00A62522">
      <w:pPr>
        <w:pStyle w:val="question"/>
        <w:keepNext/>
        <w:keepLines/>
        <w:spacing w:before="120"/>
      </w:pPr>
      <w:r w:rsidRPr="009075DC">
        <w:rPr>
          <w:rFonts w:eastAsia="SimSun"/>
        </w:rPr>
        <w:t>Q.</w:t>
      </w:r>
      <w:r w:rsidRPr="009075DC">
        <w:rPr>
          <w:rFonts w:eastAsia="SimSun"/>
        </w:rPr>
        <w:tab/>
      </w:r>
      <w:r>
        <w:rPr>
          <w:rFonts w:eastAsia="SimSun"/>
        </w:rPr>
        <w:t>How do you respond to Kroger’s proposal to only include a portion of demand charge revenue in the decoupling mechanism</w:t>
      </w:r>
      <w:r w:rsidRPr="009075DC">
        <w:rPr>
          <w:rFonts w:eastAsia="SimSun"/>
        </w:rPr>
        <w:t>?</w:t>
      </w:r>
    </w:p>
    <w:p w:rsidR="00036C83" w:rsidRPr="00C27038" w:rsidRDefault="00036C83" w:rsidP="00A62522">
      <w:pPr>
        <w:pStyle w:val="Answer0"/>
      </w:pPr>
      <w:r w:rsidRPr="009075DC">
        <w:rPr>
          <w:rFonts w:eastAsia="SimSun"/>
        </w:rPr>
        <w:t>A.</w:t>
      </w:r>
      <w:r w:rsidRPr="009075DC">
        <w:rPr>
          <w:rFonts w:eastAsia="SimSun"/>
        </w:rPr>
        <w:tab/>
      </w:r>
      <w:r>
        <w:rPr>
          <w:rFonts w:eastAsia="SimSun"/>
        </w:rPr>
        <w:t>I have several points.  First, as noted above, PSE does not agree that demand charge revenue is fixed.  As such, the throughput incentive extends to demand charge revenue.  Second, even if PSE were to agree in concept that a portion of demand charge revenue were "fixed," no analysis has been presented to determine what portion of demand should be considered fixed.  Third, even if that portion could be determined, there is no analysis showing how Kroger’s proposal would be implemented within the decoupling mechanism, nor what its effect would be</w:t>
      </w:r>
      <w:r w:rsidRPr="009075DC">
        <w:rPr>
          <w:rFonts w:eastAsia="SimSun"/>
        </w:rPr>
        <w:t>.</w:t>
      </w:r>
      <w:r>
        <w:rPr>
          <w:rFonts w:eastAsia="SimSun"/>
        </w:rPr>
        <w:t xml:space="preserve">  In summary, given the speculative and preliminary nature of this proposal, it should be rejected by the Commission at this time.</w:t>
      </w:r>
    </w:p>
    <w:p w:rsidR="00036C83" w:rsidRPr="00A503F9" w:rsidRDefault="00036C83" w:rsidP="00A67FE1">
      <w:pPr>
        <w:pStyle w:val="question"/>
        <w:keepNext/>
        <w:keepLines/>
        <w:spacing w:before="120"/>
      </w:pPr>
      <w:r w:rsidRPr="009075DC">
        <w:rPr>
          <w:rFonts w:eastAsia="SimSun"/>
        </w:rPr>
        <w:t>Q.</w:t>
      </w:r>
      <w:r w:rsidRPr="009075DC">
        <w:rPr>
          <w:rFonts w:eastAsia="SimSun"/>
        </w:rPr>
        <w:tab/>
      </w:r>
      <w:r>
        <w:rPr>
          <w:rFonts w:eastAsia="SimSun"/>
        </w:rPr>
        <w:t>Can PSE accept Kroger’s proposal to charge or rebate demand-billed customers on Schedule 139 on the basis of demand</w:t>
      </w:r>
      <w:r w:rsidRPr="009075DC">
        <w:rPr>
          <w:rFonts w:eastAsia="SimSun"/>
        </w:rPr>
        <w:t>?</w:t>
      </w:r>
    </w:p>
    <w:p w:rsidR="00036C83" w:rsidRPr="00C27038" w:rsidRDefault="00036C83" w:rsidP="00A67FE1">
      <w:pPr>
        <w:pStyle w:val="Answer0"/>
      </w:pPr>
      <w:r w:rsidRPr="009075DC">
        <w:rPr>
          <w:rFonts w:eastAsia="SimSun"/>
        </w:rPr>
        <w:t>A.</w:t>
      </w:r>
      <w:r w:rsidRPr="009075DC">
        <w:rPr>
          <w:rFonts w:eastAsia="SimSun"/>
        </w:rPr>
        <w:tab/>
      </w:r>
      <w:r>
        <w:rPr>
          <w:rFonts w:eastAsia="SimSun"/>
        </w:rPr>
        <w:t>Not in its incomplete state.  As with Kroger’s other proposal, there is no analysis showing how Kroger’s proposal would be implemented within the decoupling mechanism, nor what its effect would be</w:t>
      </w:r>
      <w:r w:rsidRPr="009075DC">
        <w:rPr>
          <w:rFonts w:eastAsia="SimSun"/>
        </w:rPr>
        <w:t>.</w:t>
      </w:r>
      <w:r>
        <w:rPr>
          <w:rFonts w:eastAsia="SimSun"/>
        </w:rPr>
        <w:t xml:space="preserve">  As such, given its preliminary nature, this proposal should be rejected by the Commission at this time.</w:t>
      </w:r>
    </w:p>
    <w:p w:rsidR="00036C83" w:rsidRPr="00A503F9" w:rsidRDefault="00036C83" w:rsidP="00A62522">
      <w:pPr>
        <w:pStyle w:val="question"/>
        <w:keepNext/>
        <w:keepLines/>
        <w:spacing w:before="120"/>
      </w:pPr>
      <w:r w:rsidRPr="009075DC">
        <w:rPr>
          <w:rFonts w:eastAsia="SimSun"/>
        </w:rPr>
        <w:t>Q.</w:t>
      </w:r>
      <w:r w:rsidRPr="009075DC">
        <w:rPr>
          <w:rFonts w:eastAsia="SimSun"/>
        </w:rPr>
        <w:tab/>
      </w:r>
      <w:r>
        <w:rPr>
          <w:rFonts w:eastAsia="SimSun"/>
        </w:rPr>
        <w:t>How do you respond to the Nucor proposal</w:t>
      </w:r>
      <w:r w:rsidRPr="009075DC">
        <w:rPr>
          <w:rFonts w:eastAsia="SimSun"/>
        </w:rPr>
        <w:t>?</w:t>
      </w:r>
    </w:p>
    <w:p w:rsidR="00036C83" w:rsidRPr="00C27038" w:rsidRDefault="00036C83" w:rsidP="00A62522">
      <w:pPr>
        <w:pStyle w:val="Answer0"/>
      </w:pPr>
      <w:r w:rsidRPr="009075DC">
        <w:rPr>
          <w:rFonts w:eastAsia="SimSun"/>
        </w:rPr>
        <w:t>A.</w:t>
      </w:r>
      <w:r w:rsidRPr="009075DC">
        <w:rPr>
          <w:rFonts w:eastAsia="SimSun"/>
        </w:rPr>
        <w:tab/>
      </w:r>
      <w:r>
        <w:rPr>
          <w:rFonts w:eastAsia="SimSun"/>
        </w:rPr>
        <w:t>This proposal suffers from similar flaws that are evident in the corresponding Kroger proposal</w:t>
      </w:r>
      <w:r w:rsidRPr="009075DC">
        <w:rPr>
          <w:rFonts w:eastAsia="SimSun"/>
        </w:rPr>
        <w:t>.</w:t>
      </w:r>
      <w:r>
        <w:rPr>
          <w:rFonts w:eastAsia="SimSun"/>
        </w:rPr>
        <w:t xml:space="preserve">  While it is true that gas contract firm demand revenues are fixed, this is only true for a short period of time.  On their contract anniversary date, gas customers can change their contracted amounts.  So, if a customer’s energy needs are falling, their contract amounts can also be reduced thereby exposing the inherent throughput incentive associated with this component of their gas rates.  Further, as with the Kroger proposal, no evidence was produced to illustrate how this proposal would be implemented within the existing decoupling mechanism.  For the foregoing reasons, the Commission should reject this proposal at this time.  </w:t>
      </w:r>
    </w:p>
    <w:p w:rsidR="00036C83" w:rsidRPr="009075DC" w:rsidRDefault="00036C83" w:rsidP="00C27038">
      <w:pPr>
        <w:pStyle w:val="Heading1"/>
        <w:spacing w:after="360" w:line="240" w:lineRule="auto"/>
        <w:rPr>
          <w:rFonts w:eastAsia="SimSun"/>
        </w:rPr>
      </w:pPr>
      <w:bookmarkStart w:id="11" w:name="_Toc355780189"/>
      <w:r>
        <w:rPr>
          <w:rFonts w:eastAsia="SimSun"/>
        </w:rPr>
        <w:t>VII</w:t>
      </w:r>
      <w:r w:rsidRPr="009075DC">
        <w:rPr>
          <w:rFonts w:eastAsia="SimSun"/>
        </w:rPr>
        <w:t>.</w:t>
      </w:r>
      <w:r w:rsidRPr="009075DC">
        <w:rPr>
          <w:rFonts w:eastAsia="SimSun"/>
        </w:rPr>
        <w:tab/>
      </w:r>
      <w:r>
        <w:rPr>
          <w:rFonts w:eastAsia="SimSun"/>
        </w:rPr>
        <w:t>CONCLUSION</w:t>
      </w:r>
      <w:bookmarkEnd w:id="11"/>
    </w:p>
    <w:p w:rsidR="00036C83" w:rsidRPr="00A503F9" w:rsidRDefault="00036C83" w:rsidP="00A503F9">
      <w:pPr>
        <w:pStyle w:val="question"/>
        <w:keepNext/>
        <w:keepLines/>
        <w:spacing w:before="120"/>
      </w:pPr>
      <w:r w:rsidRPr="009075DC">
        <w:rPr>
          <w:rFonts w:eastAsia="SimSun"/>
        </w:rPr>
        <w:t>Q.</w:t>
      </w:r>
      <w:r w:rsidRPr="009075DC">
        <w:rPr>
          <w:rFonts w:eastAsia="SimSun"/>
        </w:rPr>
        <w:tab/>
        <w:t xml:space="preserve">Does this conclude your </w:t>
      </w:r>
      <w:r>
        <w:rPr>
          <w:rFonts w:eastAsia="SimSun"/>
        </w:rPr>
        <w:t xml:space="preserve">prefiled rebuttal </w:t>
      </w:r>
      <w:r w:rsidRPr="009075DC">
        <w:rPr>
          <w:rFonts w:eastAsia="SimSun"/>
        </w:rPr>
        <w:t>testimony?</w:t>
      </w:r>
    </w:p>
    <w:p w:rsidR="00036C83" w:rsidRPr="00C27038" w:rsidRDefault="00036C83" w:rsidP="00C27038">
      <w:pPr>
        <w:pStyle w:val="Answer0"/>
      </w:pPr>
      <w:r w:rsidRPr="009075DC">
        <w:rPr>
          <w:rFonts w:eastAsia="SimSun"/>
        </w:rPr>
        <w:t>A.</w:t>
      </w:r>
      <w:r w:rsidRPr="009075DC">
        <w:rPr>
          <w:rFonts w:eastAsia="SimSun"/>
        </w:rPr>
        <w:tab/>
        <w:t>Yes.</w:t>
      </w:r>
    </w:p>
    <w:sectPr w:rsidR="00036C83" w:rsidRPr="00C27038" w:rsidSect="00EC61B9">
      <w:footerReference w:type="default" r:id="rId16"/>
      <w:footerReference w:type="first" r:id="rId17"/>
      <w:pgSz w:w="12240" w:h="15840" w:code="1"/>
      <w:pgMar w:top="1440" w:right="1440" w:bottom="1440" w:left="2160" w:header="864" w:footer="576" w:gutter="0"/>
      <w:lnNumType w:countBy="1"/>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C83" w:rsidRDefault="00036C83">
      <w:r>
        <w:separator/>
      </w:r>
    </w:p>
  </w:endnote>
  <w:endnote w:type="continuationSeparator" w:id="0">
    <w:p w:rsidR="00036C83" w:rsidRDefault="00036C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Univers (WN)">
    <w:altName w:val="Times New Roman"/>
    <w:panose1 w:val="00000000000000000000"/>
    <w:charset w:val="00"/>
    <w:family w:val="swiss"/>
    <w:notTrueType/>
    <w:pitch w:val="variable"/>
    <w:sig w:usb0="00000003" w:usb1="00000000" w:usb2="00000000" w:usb3="00000000" w:csb0="00000001" w:csb1="00000000"/>
  </w:font>
  <w:font w:name="SimSun">
    <w:altName w:val="??¨¬?"/>
    <w:panose1 w:val="02010600030101010101"/>
    <w:charset w:val="86"/>
    <w:family w:val="auto"/>
    <w:pitch w:val="variable"/>
    <w:sig w:usb0="00000003" w:usb1="080E0000" w:usb2="00000010" w:usb3="00000000" w:csb0="00040001"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altName w:val="Times"/>
    <w:panose1 w:val="020B0604030504040204"/>
    <w:charset w:val="00"/>
    <w:family w:val="swiss"/>
    <w:pitch w:val="variable"/>
    <w:sig w:usb0="61002A87" w:usb1="80000000" w:usb2="00000008" w:usb3="00000000" w:csb0="000101FF" w:csb1="00000000"/>
  </w:font>
  <w:font w:name="TheSerif 3-Light">
    <w:altName w:val="Arial Narrow"/>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C83" w:rsidRDefault="00036C8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C83" w:rsidRDefault="00036C83" w:rsidP="00DE6A65">
    <w:pPr>
      <w:pStyle w:val="Footer"/>
      <w:spacing w:line="200" w:lineRule="exac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C83" w:rsidRDefault="00036C83">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C83" w:rsidRDefault="00036C83">
    <w:pPr>
      <w:pStyle w:val="Footer"/>
      <w:tabs>
        <w:tab w:val="clear" w:pos="4507"/>
        <w:tab w:val="clear" w:pos="9000"/>
        <w:tab w:val="right" w:pos="8730"/>
      </w:tabs>
      <w:spacing w:line="240" w:lineRule="auto"/>
      <w:ind w:right="-90"/>
      <w:rPr>
        <w:b/>
        <w:bCs/>
        <w:sz w:val="20"/>
        <w:u w:val="single"/>
      </w:rPr>
    </w:pPr>
    <w:r>
      <w:rPr>
        <w:b/>
        <w:bCs/>
        <w:sz w:val="20"/>
        <w:u w:val="single"/>
      </w:rPr>
      <w:t>______________________________________________________________________________________</w:t>
    </w:r>
  </w:p>
  <w:p w:rsidR="00036C83" w:rsidRDefault="00036C83">
    <w:pPr>
      <w:pStyle w:val="Footer"/>
      <w:tabs>
        <w:tab w:val="clear" w:pos="4507"/>
        <w:tab w:val="clear" w:pos="9000"/>
        <w:tab w:val="right" w:pos="8640"/>
      </w:tabs>
      <w:spacing w:line="240" w:lineRule="auto"/>
      <w:ind w:right="0" w:hanging="4"/>
      <w:rPr>
        <w:sz w:val="10"/>
        <w:szCs w:val="10"/>
      </w:rPr>
    </w:pPr>
  </w:p>
  <w:p w:rsidR="00036C83" w:rsidRDefault="00036C83">
    <w:pPr>
      <w:pStyle w:val="Footer"/>
      <w:tabs>
        <w:tab w:val="clear" w:pos="4507"/>
        <w:tab w:val="clear" w:pos="9000"/>
        <w:tab w:val="right" w:pos="8640"/>
      </w:tabs>
      <w:ind w:hanging="4"/>
    </w:pPr>
    <w:r>
      <w:t>Prefiled Rebuttal Testimony</w:t>
    </w:r>
    <w:r>
      <w:tab/>
      <w:t>Exhibit No. ___(JAP-24T)</w:t>
    </w:r>
  </w:p>
  <w:p w:rsidR="00036C83" w:rsidRDefault="00036C83">
    <w:pPr>
      <w:pStyle w:val="Footer"/>
      <w:tabs>
        <w:tab w:val="clear" w:pos="4507"/>
        <w:tab w:val="clear" w:pos="9000"/>
        <w:tab w:val="right" w:pos="8640"/>
      </w:tabs>
      <w:ind w:hanging="4"/>
      <w:rPr>
        <w:rStyle w:val="PageNumber"/>
      </w:rPr>
    </w:pPr>
    <w:r>
      <w:t>(Nonconfidential) of Jon A. Piliaris</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r>
      <w:rPr>
        <w:rStyle w:val="PageNumber"/>
      </w:rPr>
      <w:t xml:space="preserve"> of </w:t>
    </w:r>
    <w:r>
      <w:t>i</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C83" w:rsidRDefault="00036C83">
    <w:pPr>
      <w:pStyle w:val="Footer"/>
      <w:tabs>
        <w:tab w:val="clear" w:pos="4507"/>
        <w:tab w:val="clear" w:pos="9000"/>
        <w:tab w:val="right" w:pos="8730"/>
      </w:tabs>
      <w:spacing w:line="240" w:lineRule="auto"/>
      <w:ind w:right="-90"/>
      <w:rPr>
        <w:b/>
        <w:sz w:val="20"/>
        <w:u w:val="single"/>
      </w:rPr>
    </w:pPr>
    <w:r>
      <w:rPr>
        <w:b/>
        <w:sz w:val="20"/>
        <w:u w:val="single"/>
      </w:rPr>
      <w:t>______________________________________________________________________________________</w:t>
    </w:r>
  </w:p>
  <w:p w:rsidR="00036C83" w:rsidRDefault="00036C83">
    <w:pPr>
      <w:pStyle w:val="Footer"/>
      <w:tabs>
        <w:tab w:val="clear" w:pos="4507"/>
        <w:tab w:val="clear" w:pos="9000"/>
        <w:tab w:val="right" w:pos="8640"/>
      </w:tabs>
      <w:spacing w:line="240" w:lineRule="auto"/>
      <w:ind w:right="0"/>
      <w:rPr>
        <w:sz w:val="10"/>
      </w:rPr>
    </w:pPr>
  </w:p>
  <w:p w:rsidR="00036C83" w:rsidRDefault="00036C83">
    <w:pPr>
      <w:pStyle w:val="Footer"/>
      <w:tabs>
        <w:tab w:val="clear" w:pos="4507"/>
        <w:tab w:val="clear" w:pos="9000"/>
        <w:tab w:val="right" w:pos="8640"/>
      </w:tabs>
    </w:pPr>
    <w:r>
      <w:t>Prefiled Rebuttal Testimony</w:t>
    </w:r>
    <w:r>
      <w:tab/>
      <w:t>Exhibit No. ___(JAP-24T)</w:t>
    </w:r>
  </w:p>
  <w:p w:rsidR="00036C83" w:rsidRDefault="00036C83" w:rsidP="000F4005">
    <w:pPr>
      <w:pStyle w:val="Footer"/>
      <w:tabs>
        <w:tab w:val="clear" w:pos="4507"/>
        <w:tab w:val="clear" w:pos="9000"/>
        <w:tab w:val="right" w:pos="8640"/>
      </w:tabs>
    </w:pPr>
    <w:r>
      <w:t>(Nonconfidential) of Jon A. Piliaris</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SECTIONPAGES  </w:instrText>
    </w:r>
    <w:r>
      <w:rPr>
        <w:rStyle w:val="PageNumber"/>
      </w:rPr>
      <w:fldChar w:fldCharType="separate"/>
    </w:r>
    <w:r>
      <w:rPr>
        <w:rStyle w:val="PageNumber"/>
        <w:noProof/>
      </w:rPr>
      <w:t>20</w:t>
    </w:r>
    <w:r>
      <w:rPr>
        <w:rStyle w:val="PageNumber"/>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C83" w:rsidRDefault="00036C83">
    <w:pPr>
      <w:pStyle w:val="Footer"/>
      <w:tabs>
        <w:tab w:val="clear" w:pos="4507"/>
        <w:tab w:val="clear" w:pos="9000"/>
        <w:tab w:val="right" w:pos="8730"/>
      </w:tabs>
      <w:spacing w:line="240" w:lineRule="auto"/>
      <w:ind w:left="-634" w:right="-90"/>
      <w:rPr>
        <w:b/>
        <w:sz w:val="20"/>
        <w:u w:val="single"/>
      </w:rPr>
    </w:pPr>
    <w:r>
      <w:rPr>
        <w:b/>
        <w:sz w:val="20"/>
        <w:u w:val="single"/>
      </w:rPr>
      <w:t>____________________________________________________________________________________________</w:t>
    </w:r>
  </w:p>
  <w:p w:rsidR="00036C83" w:rsidRDefault="00036C83">
    <w:pPr>
      <w:pStyle w:val="Footer"/>
      <w:tabs>
        <w:tab w:val="clear" w:pos="4507"/>
        <w:tab w:val="clear" w:pos="9000"/>
        <w:tab w:val="right" w:pos="8640"/>
      </w:tabs>
      <w:spacing w:line="240" w:lineRule="auto"/>
      <w:ind w:left="-630" w:right="0" w:hanging="4"/>
      <w:rPr>
        <w:sz w:val="10"/>
      </w:rPr>
    </w:pPr>
  </w:p>
  <w:p w:rsidR="00036C83" w:rsidRDefault="00036C83">
    <w:pPr>
      <w:pStyle w:val="Footer"/>
      <w:tabs>
        <w:tab w:val="clear" w:pos="4507"/>
        <w:tab w:val="clear" w:pos="9000"/>
        <w:tab w:val="right" w:pos="8640"/>
      </w:tabs>
      <w:ind w:left="-630" w:hanging="4"/>
    </w:pPr>
    <w:r>
      <w:t>Prefiled Direct Testimony of</w:t>
    </w:r>
    <w:r>
      <w:tab/>
      <w:t>Exhibit No. ___(</w:t>
    </w:r>
    <w:smartTag w:uri="urn:schemas-microsoft-com:office:smarttags" w:element="Street">
      <w:smartTag w:uri="urn:schemas-microsoft-com:office:smarttags" w:element="address">
        <w:r>
          <w:t>JD-1CT</w:t>
        </w:r>
      </w:smartTag>
    </w:smartTag>
    <w:r>
      <w:t>)</w:t>
    </w:r>
  </w:p>
  <w:p w:rsidR="00036C83" w:rsidRDefault="00036C83">
    <w:pPr>
      <w:pStyle w:val="Footer"/>
      <w:tabs>
        <w:tab w:val="clear" w:pos="4507"/>
        <w:tab w:val="clear" w:pos="9000"/>
        <w:tab w:val="right" w:pos="8640"/>
      </w:tabs>
      <w:ind w:left="-630" w:hanging="4"/>
    </w:pPr>
    <w:r>
      <w:t>Jane Doe</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r>
      <w:rPr>
        <w:rStyle w:val="PageNumber"/>
      </w:rPr>
      <w:t xml:space="preserve"> of X</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C83" w:rsidRDefault="00036C83">
      <w:r>
        <w:separator/>
      </w:r>
    </w:p>
  </w:footnote>
  <w:footnote w:type="continuationSeparator" w:id="0">
    <w:p w:rsidR="00036C83" w:rsidRDefault="00036C83">
      <w:r>
        <w:continuationSeparator/>
      </w:r>
    </w:p>
  </w:footnote>
  <w:footnote w:id="1">
    <w:p w:rsidR="00036C83" w:rsidRDefault="00036C83" w:rsidP="00046B02">
      <w:pPr>
        <w:pStyle w:val="FootnoteText"/>
        <w:spacing w:before="0" w:line="240" w:lineRule="auto"/>
      </w:pPr>
      <w:r>
        <w:rPr>
          <w:rStyle w:val="FootnoteReference"/>
        </w:rPr>
        <w:footnoteRef/>
      </w:r>
      <w:r>
        <w:t xml:space="preserve"> Docket No. U-100522 (November 4, 2010).</w:t>
      </w:r>
    </w:p>
  </w:footnote>
  <w:footnote w:id="2">
    <w:p w:rsidR="00036C83" w:rsidRDefault="00036C83" w:rsidP="00046B02">
      <w:pPr>
        <w:pStyle w:val="FootnoteText"/>
        <w:spacing w:before="0" w:line="240" w:lineRule="auto"/>
      </w:pPr>
      <w:r>
        <w:rPr>
          <w:rStyle w:val="FootnoteReference"/>
        </w:rPr>
        <w:footnoteRef/>
      </w:r>
      <w:r>
        <w:t xml:space="preserve"> </w:t>
      </w:r>
      <w:r>
        <w:rPr>
          <w:i/>
        </w:rPr>
        <w:t xml:space="preserve">See </w:t>
      </w:r>
      <w:r>
        <w:t>Exhibit No. ___(MCD-1T), page 22, line 10 through page 23, line 5.</w:t>
      </w:r>
    </w:p>
  </w:footnote>
  <w:footnote w:id="3">
    <w:p w:rsidR="00036C83" w:rsidRDefault="00036C83" w:rsidP="00046B02">
      <w:pPr>
        <w:pStyle w:val="FootnoteText"/>
        <w:spacing w:before="0" w:line="240" w:lineRule="auto"/>
      </w:pPr>
      <w:r>
        <w:rPr>
          <w:rStyle w:val="FootnoteReference"/>
        </w:rPr>
        <w:footnoteRef/>
      </w:r>
      <w:r>
        <w:t xml:space="preserve"> </w:t>
      </w:r>
      <w:r w:rsidRPr="00AF1F1F">
        <w:rPr>
          <w:i/>
        </w:rPr>
        <w:t>See, e.g.,</w:t>
      </w:r>
      <w:r>
        <w:t xml:space="preserve"> Exhibit No. ___(JRD-1T), page 22, line 9 through page 23, line 3; Exhibit No. ___(KCH-1T), page 13, line 9 through page 15, line 4; Exhibit No. ___(KCH-5T), page 10, line 7, through page 11, line 16; and Exhibit No. ___(EAF-1T), page 5, line 16, through page 7, line 7.</w:t>
      </w:r>
    </w:p>
  </w:footnote>
  <w:footnote w:id="4">
    <w:p w:rsidR="00036C83" w:rsidRDefault="00036C83" w:rsidP="00046B02">
      <w:pPr>
        <w:pStyle w:val="FootnoteText"/>
        <w:spacing w:before="0" w:line="240" w:lineRule="auto"/>
      </w:pPr>
      <w:r>
        <w:rPr>
          <w:rStyle w:val="FootnoteReference"/>
        </w:rPr>
        <w:footnoteRef/>
      </w:r>
      <w:r>
        <w:t xml:space="preserve"> 2011 PSE general rate case ("2011 GRC"), </w:t>
      </w:r>
      <w:r>
        <w:rPr>
          <w:rFonts w:eastAsia="SimSun"/>
        </w:rPr>
        <w:t>Docket Nos. UE-111048 and UG-111049 (Consolidated), Order 08, footnote 617.</w:t>
      </w:r>
    </w:p>
  </w:footnote>
  <w:footnote w:id="5">
    <w:p w:rsidR="00036C83" w:rsidRDefault="00036C83" w:rsidP="00046B02">
      <w:pPr>
        <w:pStyle w:val="FootnoteText"/>
        <w:spacing w:before="0" w:line="240" w:lineRule="auto"/>
      </w:pPr>
      <w:r>
        <w:rPr>
          <w:rStyle w:val="FootnoteReference"/>
        </w:rPr>
        <w:footnoteRef/>
      </w:r>
      <w:r>
        <w:t xml:space="preserve"> </w:t>
      </w:r>
      <w:r w:rsidRPr="00AF1F1F">
        <w:rPr>
          <w:i/>
        </w:rPr>
        <w:t>See, e.g.,</w:t>
      </w:r>
      <w:r>
        <w:t xml:space="preserve"> Exhibit No. ___(KCH-1T), page 4, lines 17-20; Exhibit No. ___(KCH-5T), page 4, lines 15-18; and Exhibit No. ___(MCD-1T), page 27, lines 5-6.</w:t>
      </w:r>
    </w:p>
  </w:footnote>
  <w:footnote w:id="6">
    <w:p w:rsidR="00036C83" w:rsidRDefault="00036C83" w:rsidP="00046B02">
      <w:pPr>
        <w:pStyle w:val="FootnoteText"/>
        <w:spacing w:before="0" w:line="240" w:lineRule="auto"/>
      </w:pPr>
      <w:r>
        <w:rPr>
          <w:rStyle w:val="FootnoteReference"/>
        </w:rPr>
        <w:footnoteRef/>
      </w:r>
      <w:r>
        <w:t xml:space="preserve"> 2011 GRC, Order 08, synopsis.</w:t>
      </w:r>
    </w:p>
  </w:footnote>
  <w:footnote w:id="7">
    <w:p w:rsidR="00036C83" w:rsidRDefault="00036C83" w:rsidP="00046B02">
      <w:pPr>
        <w:pStyle w:val="FootnoteText"/>
        <w:spacing w:before="0" w:line="240" w:lineRule="auto"/>
      </w:pPr>
      <w:r>
        <w:rPr>
          <w:rStyle w:val="FootnoteReference"/>
        </w:rPr>
        <w:footnoteRef/>
      </w:r>
      <w:r>
        <w:t xml:space="preserve"> Exhibit No.___(MCD-1T), page 34, line 10 through page 35, line 13. </w:t>
      </w:r>
    </w:p>
  </w:footnote>
  <w:footnote w:id="8">
    <w:p w:rsidR="00036C83" w:rsidRDefault="00036C83" w:rsidP="00046B02">
      <w:pPr>
        <w:pStyle w:val="FootnoteText"/>
        <w:spacing w:before="0" w:line="240" w:lineRule="auto"/>
      </w:pPr>
      <w:r>
        <w:rPr>
          <w:rStyle w:val="FootnoteReference"/>
        </w:rPr>
        <w:footnoteRef/>
      </w:r>
      <w:r>
        <w:t xml:space="preserve"> Exhibit No.___(MCD-1T), page 33, lines 6-8.</w:t>
      </w:r>
    </w:p>
  </w:footnote>
  <w:footnote w:id="9">
    <w:p w:rsidR="00036C83" w:rsidRDefault="00036C83" w:rsidP="00046B02">
      <w:pPr>
        <w:pStyle w:val="FootnoteText"/>
        <w:spacing w:before="0" w:line="240" w:lineRule="auto"/>
      </w:pPr>
      <w:r>
        <w:rPr>
          <w:rStyle w:val="FootnoteReference"/>
        </w:rPr>
        <w:footnoteRef/>
      </w:r>
      <w:r>
        <w:t xml:space="preserve"> </w:t>
      </w:r>
      <w:r w:rsidRPr="00AF1F1F">
        <w:rPr>
          <w:i/>
        </w:rPr>
        <w:t>Id.</w:t>
      </w:r>
    </w:p>
  </w:footnote>
  <w:footnote w:id="10">
    <w:p w:rsidR="00036C83" w:rsidRDefault="00036C83" w:rsidP="00046B02">
      <w:pPr>
        <w:pStyle w:val="FootnoteText"/>
        <w:spacing w:before="0" w:line="240" w:lineRule="auto"/>
      </w:pPr>
      <w:r>
        <w:rPr>
          <w:rStyle w:val="FootnoteReference"/>
        </w:rPr>
        <w:footnoteRef/>
      </w:r>
      <w:r>
        <w:t xml:space="preserve"> Exhibit No.___(MCD-8T), page 3, lines 13-15.</w:t>
      </w:r>
    </w:p>
  </w:footnote>
  <w:footnote w:id="11">
    <w:p w:rsidR="00036C83" w:rsidRDefault="00036C83" w:rsidP="00046B02">
      <w:pPr>
        <w:pStyle w:val="FootnoteText"/>
        <w:spacing w:before="0" w:line="240" w:lineRule="auto"/>
      </w:pPr>
      <w:r>
        <w:rPr>
          <w:rStyle w:val="FootnoteReference"/>
        </w:rPr>
        <w:footnoteRef/>
      </w:r>
      <w:r>
        <w:t xml:space="preserve"> Exhibit No.___(DJR-1T), page 5, lines 3-4.</w:t>
      </w:r>
    </w:p>
  </w:footnote>
  <w:footnote w:id="12">
    <w:p w:rsidR="00036C83" w:rsidRDefault="00036C83" w:rsidP="00046B02">
      <w:pPr>
        <w:pStyle w:val="FootnoteText"/>
        <w:spacing w:before="0" w:line="240" w:lineRule="auto"/>
      </w:pPr>
      <w:r>
        <w:rPr>
          <w:rStyle w:val="FootnoteReference"/>
        </w:rPr>
        <w:footnoteRef/>
      </w:r>
      <w:r>
        <w:t xml:space="preserve"> Exhibit No.___(JRD-1T), page 22, lines 16-18.</w:t>
      </w:r>
    </w:p>
  </w:footnote>
  <w:footnote w:id="13">
    <w:p w:rsidR="00036C83" w:rsidRDefault="00036C83" w:rsidP="00046B02">
      <w:pPr>
        <w:pStyle w:val="FootnoteText"/>
        <w:spacing w:before="0" w:line="240" w:lineRule="auto"/>
      </w:pPr>
      <w:r>
        <w:rPr>
          <w:rStyle w:val="FootnoteReference"/>
        </w:rPr>
        <w:footnoteRef/>
      </w:r>
      <w:r>
        <w:t xml:space="preserve"> Docket Nos. UE-120436 and UG-120437 (consolidated), Order 09, ¶75.</w:t>
      </w:r>
    </w:p>
  </w:footnote>
  <w:footnote w:id="14">
    <w:p w:rsidR="00036C83" w:rsidRDefault="00036C83" w:rsidP="00046B02">
      <w:pPr>
        <w:pStyle w:val="FootnoteText"/>
        <w:spacing w:before="0" w:line="240" w:lineRule="auto"/>
      </w:pPr>
      <w:r>
        <w:rPr>
          <w:rStyle w:val="FootnoteReference"/>
        </w:rPr>
        <w:footnoteRef/>
      </w:r>
      <w:r>
        <w:t xml:space="preserve"> Exhibit No.___(MCD-1T), page 10, lines 9-10.</w:t>
      </w:r>
    </w:p>
  </w:footnote>
  <w:footnote w:id="15">
    <w:p w:rsidR="00036C83" w:rsidRDefault="00036C83" w:rsidP="00046B02">
      <w:pPr>
        <w:pStyle w:val="FootnoteText"/>
        <w:spacing w:before="0" w:line="240" w:lineRule="auto"/>
      </w:pPr>
      <w:r>
        <w:rPr>
          <w:rStyle w:val="FootnoteReference"/>
        </w:rPr>
        <w:footnoteRef/>
      </w:r>
      <w:r>
        <w:t xml:space="preserve"> </w:t>
      </w:r>
      <w:r w:rsidRPr="00AF1F1F">
        <w:rPr>
          <w:i/>
        </w:rPr>
        <w:t>Id.</w:t>
      </w:r>
      <w:r>
        <w:t>, lines 2-3.</w:t>
      </w:r>
    </w:p>
  </w:footnote>
  <w:footnote w:id="16">
    <w:p w:rsidR="00036C83" w:rsidRDefault="00036C83" w:rsidP="00046B02">
      <w:pPr>
        <w:pStyle w:val="FootnoteText"/>
        <w:spacing w:before="0" w:line="240" w:lineRule="auto"/>
      </w:pPr>
      <w:r>
        <w:rPr>
          <w:rStyle w:val="FootnoteReference"/>
        </w:rPr>
        <w:footnoteRef/>
      </w:r>
      <w:r>
        <w:t xml:space="preserve"> Deferrals on the recovery of this cost accrue interest at a rate consistent with 18 CFR 35.19a, currently 3.25 percent.</w:t>
      </w:r>
    </w:p>
  </w:footnote>
  <w:footnote w:id="17">
    <w:p w:rsidR="00036C83" w:rsidRDefault="00036C83" w:rsidP="00046B02">
      <w:pPr>
        <w:pStyle w:val="FootnoteText"/>
        <w:spacing w:before="0" w:line="240" w:lineRule="auto"/>
      </w:pPr>
      <w:r>
        <w:rPr>
          <w:rStyle w:val="FootnoteReference"/>
        </w:rPr>
        <w:footnoteRef/>
      </w:r>
      <w:r>
        <w:t xml:space="preserve"> Exhibit No.___(MPG-1T), page 25, lines 15-18.</w:t>
      </w:r>
    </w:p>
  </w:footnote>
  <w:footnote w:id="18">
    <w:p w:rsidR="00036C83" w:rsidRDefault="00036C83" w:rsidP="00046B02">
      <w:pPr>
        <w:pStyle w:val="FootnoteText"/>
        <w:spacing w:before="0" w:line="240" w:lineRule="auto"/>
      </w:pPr>
      <w:r>
        <w:rPr>
          <w:rStyle w:val="FootnoteReference"/>
        </w:rPr>
        <w:footnoteRef/>
      </w:r>
      <w:r>
        <w:t xml:space="preserve"> </w:t>
      </w:r>
      <w:r w:rsidRPr="002C28DD">
        <w:rPr>
          <w:i/>
        </w:rPr>
        <w:t>Evaluation of PRAM: Phase 1 Report</w:t>
      </w:r>
      <w:r>
        <w:t>, PRAM Evaluation Collaborative, page 38 (October 31, 1994).</w:t>
      </w:r>
    </w:p>
  </w:footnote>
  <w:footnote w:id="19">
    <w:p w:rsidR="00036C83" w:rsidRDefault="00036C83" w:rsidP="00046B02">
      <w:pPr>
        <w:pStyle w:val="FootnoteText"/>
        <w:spacing w:before="0" w:line="240" w:lineRule="auto"/>
      </w:pPr>
      <w:r>
        <w:rPr>
          <w:rStyle w:val="FootnoteReference"/>
        </w:rPr>
        <w:footnoteRef/>
      </w:r>
      <w:r>
        <w:t xml:space="preserve"> Exhibit No.___(MPG-1T), page 24, line 26 through page 25, line 4.</w:t>
      </w:r>
    </w:p>
  </w:footnote>
  <w:footnote w:id="20">
    <w:p w:rsidR="00036C83" w:rsidRDefault="00036C83" w:rsidP="00046B02">
      <w:pPr>
        <w:pStyle w:val="FootnoteText"/>
        <w:spacing w:before="0" w:line="240" w:lineRule="auto"/>
      </w:pPr>
      <w:r>
        <w:rPr>
          <w:rStyle w:val="FootnoteReference"/>
        </w:rPr>
        <w:footnoteRef/>
      </w:r>
      <w:r>
        <w:t xml:space="preserve"> Exhibit No.___(MCD-1T), page 4, lines 15-17 (emphasis added).</w:t>
      </w:r>
    </w:p>
  </w:footnote>
  <w:footnote w:id="21">
    <w:p w:rsidR="00036C83" w:rsidRDefault="00036C83" w:rsidP="00046B02">
      <w:pPr>
        <w:pStyle w:val="FootnoteText"/>
        <w:spacing w:before="0" w:line="240" w:lineRule="auto"/>
      </w:pPr>
      <w:r>
        <w:rPr>
          <w:rStyle w:val="FootnoteReference"/>
        </w:rPr>
        <w:footnoteRef/>
      </w:r>
      <w:r>
        <w:t xml:space="preserve"> Page 3 of the Prefiled Rebuttal Testimony of Mr. Ralph C. Cavanagh, Exhibit No. ___(RCC-4T), on Behalf of the NW Energy Coalition.</w:t>
      </w:r>
    </w:p>
  </w:footnote>
  <w:footnote w:id="22">
    <w:p w:rsidR="00036C83" w:rsidRDefault="00036C83" w:rsidP="00046B02">
      <w:pPr>
        <w:pStyle w:val="FootnoteText"/>
        <w:spacing w:before="0" w:line="240" w:lineRule="auto"/>
      </w:pPr>
      <w:r>
        <w:rPr>
          <w:rStyle w:val="FootnoteReference"/>
        </w:rPr>
        <w:footnoteRef/>
      </w:r>
      <w:r>
        <w:t xml:space="preserve"> Exhibit No. ___(MCD-1T), page 36, line 10 through page 37, line 2.</w:t>
      </w:r>
    </w:p>
  </w:footnote>
  <w:footnote w:id="23">
    <w:p w:rsidR="00036C83" w:rsidRDefault="00036C83" w:rsidP="00046B02">
      <w:pPr>
        <w:pStyle w:val="FootnoteText"/>
        <w:spacing w:before="0" w:line="240" w:lineRule="auto"/>
      </w:pPr>
      <w:r>
        <w:rPr>
          <w:rStyle w:val="FootnoteReference"/>
        </w:rPr>
        <w:footnoteRef/>
      </w:r>
      <w:r>
        <w:t xml:space="preserve"> </w:t>
      </w:r>
      <w:r w:rsidRPr="00AF1F1F">
        <w:rPr>
          <w:i/>
        </w:rPr>
        <w:t>Id.</w:t>
      </w:r>
      <w:r>
        <w:t>, page 43, line 8.</w:t>
      </w:r>
    </w:p>
  </w:footnote>
  <w:footnote w:id="24">
    <w:p w:rsidR="00036C83" w:rsidRDefault="00036C83" w:rsidP="00046B02">
      <w:pPr>
        <w:pStyle w:val="FootnoteText"/>
        <w:spacing w:before="0" w:line="240" w:lineRule="auto"/>
      </w:pPr>
      <w:r>
        <w:rPr>
          <w:rStyle w:val="FootnoteReference"/>
        </w:rPr>
        <w:footnoteRef/>
      </w:r>
      <w:r>
        <w:t xml:space="preserve"> PSE’s new OATT rates were formally approved by the Federal Energy Regulatory Commission on May 6, 2013.</w:t>
      </w:r>
    </w:p>
  </w:footnote>
  <w:footnote w:id="25">
    <w:p w:rsidR="00036C83" w:rsidRDefault="00036C83" w:rsidP="00046B02">
      <w:pPr>
        <w:pStyle w:val="FootnoteText"/>
        <w:spacing w:before="0" w:line="240" w:lineRule="auto"/>
      </w:pPr>
      <w:r>
        <w:rPr>
          <w:rStyle w:val="FootnoteReference"/>
        </w:rPr>
        <w:footnoteRef/>
      </w:r>
      <w:r>
        <w:t xml:space="preserve"> To create a consistent comparison, the billing determinants used for PSE’s expedited rate filing were applied to the 2011 GRC rates to derive the costs at that rate level.</w:t>
      </w:r>
    </w:p>
  </w:footnote>
  <w:footnote w:id="26">
    <w:p w:rsidR="00036C83" w:rsidRDefault="00036C83" w:rsidP="00046B02">
      <w:pPr>
        <w:pStyle w:val="FootnoteText"/>
        <w:spacing w:before="0" w:line="240" w:lineRule="auto"/>
      </w:pPr>
      <w:r>
        <w:rPr>
          <w:rStyle w:val="FootnoteReference"/>
        </w:rPr>
        <w:footnoteRef/>
      </w:r>
      <w:r>
        <w:t xml:space="preserve"> </w:t>
      </w:r>
      <w:r>
        <w:rPr>
          <w:i/>
        </w:rPr>
        <w:t xml:space="preserve">See </w:t>
      </w:r>
      <w:r>
        <w:t xml:space="preserve">The Northwest Industrial Gas Users Joinder in the Multiparty Settlement Re:  Coal Transition PPA and Other Pending Dockets.  </w:t>
      </w:r>
    </w:p>
  </w:footnote>
  <w:footnote w:id="27">
    <w:p w:rsidR="00036C83" w:rsidRDefault="00036C83" w:rsidP="00046B02">
      <w:pPr>
        <w:pStyle w:val="FootnoteText"/>
        <w:spacing w:before="0" w:line="240" w:lineRule="auto"/>
      </w:pPr>
      <w:r>
        <w:rPr>
          <w:rStyle w:val="FootnoteReference"/>
        </w:rPr>
        <w:footnoteRef/>
      </w:r>
      <w:r>
        <w:t xml:space="preserve"> Exhibit No. ___(KCH-1T), page 29, lines 18-20.</w:t>
      </w:r>
    </w:p>
  </w:footnote>
  <w:footnote w:id="28">
    <w:p w:rsidR="00036C83" w:rsidRDefault="00036C83" w:rsidP="00046B02">
      <w:pPr>
        <w:pStyle w:val="FootnoteText"/>
        <w:spacing w:before="0" w:line="240" w:lineRule="auto"/>
      </w:pPr>
      <w:r>
        <w:rPr>
          <w:rStyle w:val="FootnoteReference"/>
        </w:rPr>
        <w:footnoteRef/>
      </w:r>
      <w:r>
        <w:t xml:space="preserve"> </w:t>
      </w:r>
      <w:r w:rsidRPr="00AF1F1F">
        <w:rPr>
          <w:i/>
        </w:rPr>
        <w:t>Id.</w:t>
      </w:r>
      <w:r>
        <w:t>, page 29, line 20 through page 30, line 2.</w:t>
      </w:r>
    </w:p>
  </w:footnote>
  <w:footnote w:id="29">
    <w:p w:rsidR="00036C83" w:rsidRDefault="00036C83" w:rsidP="00046B02">
      <w:pPr>
        <w:pStyle w:val="FootnoteText"/>
        <w:spacing w:before="0" w:line="240" w:lineRule="auto"/>
      </w:pPr>
      <w:r>
        <w:rPr>
          <w:rStyle w:val="FootnoteReference"/>
        </w:rPr>
        <w:footnoteRef/>
      </w:r>
      <w:r>
        <w:t xml:space="preserve"> 2011 GRC, Exhibit No.___(JAP-24CT), page 30, line 12 through page 31, line 16.</w:t>
      </w:r>
    </w:p>
  </w:footnote>
  <w:footnote w:id="30">
    <w:p w:rsidR="00036C83" w:rsidRDefault="00036C83" w:rsidP="00046B02">
      <w:pPr>
        <w:pStyle w:val="FootnoteText"/>
        <w:spacing w:before="0" w:line="240" w:lineRule="auto"/>
      </w:pPr>
      <w:r>
        <w:rPr>
          <w:rStyle w:val="FootnoteReference"/>
        </w:rPr>
        <w:footnoteRef/>
      </w:r>
      <w:r>
        <w:t xml:space="preserve"> Exhibit No.___(KCH-1T), page 30, lines 3-7.</w:t>
      </w:r>
    </w:p>
  </w:footnote>
  <w:footnote w:id="31">
    <w:p w:rsidR="00036C83" w:rsidRDefault="00036C83" w:rsidP="00046B02">
      <w:pPr>
        <w:pStyle w:val="FootnoteText"/>
        <w:spacing w:before="0" w:line="240" w:lineRule="auto"/>
      </w:pPr>
      <w:r>
        <w:rPr>
          <w:rStyle w:val="FootnoteReference"/>
        </w:rPr>
        <w:footnoteRef/>
      </w:r>
      <w:r>
        <w:t xml:space="preserve"> </w:t>
      </w:r>
      <w:r w:rsidRPr="00AF1F1F">
        <w:rPr>
          <w:i/>
        </w:rPr>
        <w:t>Id</w:t>
      </w:r>
      <w:r>
        <w:t>., page 31, lines 1-3.</w:t>
      </w:r>
    </w:p>
  </w:footnote>
  <w:footnote w:id="32">
    <w:p w:rsidR="00036C83" w:rsidRDefault="00036C83" w:rsidP="00046B02">
      <w:pPr>
        <w:pStyle w:val="FootnoteText"/>
        <w:spacing w:before="0" w:line="240" w:lineRule="auto"/>
      </w:pPr>
      <w:r>
        <w:rPr>
          <w:rStyle w:val="FootnoteReference"/>
        </w:rPr>
        <w:footnoteRef/>
      </w:r>
      <w:r>
        <w:t xml:space="preserve"> Exhibit No.___(KCH-5T), page 4, line 21 through page 5, line 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C83" w:rsidRDefault="00036C8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C83" w:rsidRDefault="00036C83">
    <w:pPr>
      <w:pStyle w:val="Header"/>
    </w:pPr>
    <w:r>
      <w:rPr>
        <w:noProof/>
        <w:lang w:eastAsia="en-US"/>
      </w:rPr>
      <w:pict>
        <v:line id="Line 1" o:spid="_x0000_s2049" style="position:absolute;z-index:251660288;visibility:visible;mso-wrap-distance-left:3.17497mm;mso-wrap-distance-right:3.17497mm" from="-13.95pt,.2pt" to="-13.95pt,7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" o:allowincell="f" strokeweight="3pt">
          <v:stroke linestyle="thinThin"/>
        </v:lin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C83" w:rsidRDefault="00036C83">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C83" w:rsidRDefault="00036C83">
    <w:pPr>
      <w:pStyle w:val="Header"/>
    </w:pPr>
    <w:r>
      <w:rPr>
        <w:noProof/>
        <w:lang w:eastAsia="en-US"/>
      </w:rPr>
      <w:pict>
        <v:line id="Line 2" o:spid="_x0000_s2050" style="position:absolute;z-index:251662336;visibility:visible;mso-wrap-distance-left:3.17497mm;mso-wrap-distance-right:3.17497mm" from="-13.95pt,-7pt" to="-13.9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" strokeweight="3pt">
          <v:stroke linestyle="thinThin"/>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296764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758811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3BA48AA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AC2D258"/>
    <w:lvl w:ilvl="0">
      <w:start w:val="1"/>
      <w:numFmt w:val="decimal"/>
      <w:pStyle w:val="ListNumber2"/>
      <w:lvlText w:val="%1."/>
      <w:lvlJc w:val="left"/>
      <w:pPr>
        <w:tabs>
          <w:tab w:val="num" w:pos="720"/>
        </w:tabs>
        <w:ind w:left="720" w:hanging="360"/>
      </w:pPr>
    </w:lvl>
  </w:abstractNum>
  <w:abstractNum w:abstractNumId="4">
    <w:nsid w:val="FFFFFF80"/>
    <w:multiLevelType w:val="singleLevel"/>
    <w:tmpl w:val="EC96E0E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294CC2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AD60B3E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C7605C7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83CB8C2"/>
    <w:lvl w:ilvl="0">
      <w:start w:val="1"/>
      <w:numFmt w:val="decimal"/>
      <w:pStyle w:val="ListNumber"/>
      <w:lvlText w:val="%1."/>
      <w:lvlJc w:val="left"/>
      <w:pPr>
        <w:tabs>
          <w:tab w:val="num" w:pos="360"/>
        </w:tabs>
        <w:ind w:left="360" w:hanging="360"/>
      </w:pPr>
    </w:lvl>
  </w:abstractNum>
  <w:abstractNum w:abstractNumId="9">
    <w:nsid w:val="FFFFFF89"/>
    <w:multiLevelType w:val="singleLevel"/>
    <w:tmpl w:val="A452729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D25BB8"/>
    <w:multiLevelType w:val="multilevel"/>
    <w:tmpl w:val="7578E004"/>
    <w:lvl w:ilvl="0">
      <w:start w:val="1"/>
      <w:numFmt w:val="decimal"/>
      <w:pStyle w:val="Numbr10S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1">
    <w:nsid w:val="141354E8"/>
    <w:multiLevelType w:val="singleLevel"/>
    <w:tmpl w:val="4F84E2FC"/>
    <w:lvl w:ilvl="0">
      <w:start w:val="1"/>
      <w:numFmt w:val="bullet"/>
      <w:pStyle w:val="Table3Data-EnDash"/>
      <w:lvlText w:val="–"/>
      <w:lvlJc w:val="left"/>
      <w:pPr>
        <w:tabs>
          <w:tab w:val="num" w:pos="864"/>
        </w:tabs>
        <w:ind w:left="706" w:hanging="202"/>
      </w:pPr>
      <w:rPr>
        <w:rFonts w:ascii="Times" w:hAnsi="Times" w:hint="default"/>
        <w:b w:val="0"/>
        <w:i w:val="0"/>
        <w:sz w:val="20"/>
      </w:rPr>
    </w:lvl>
  </w:abstractNum>
  <w:abstractNum w:abstractNumId="12">
    <w:nsid w:val="198A7C03"/>
    <w:multiLevelType w:val="singleLevel"/>
    <w:tmpl w:val="84FE6D5E"/>
    <w:lvl w:ilvl="0">
      <w:start w:val="1"/>
      <w:numFmt w:val="bullet"/>
      <w:pStyle w:val="Tab5Data-EnDash"/>
      <w:lvlText w:val="–"/>
      <w:lvlJc w:val="left"/>
      <w:pPr>
        <w:tabs>
          <w:tab w:val="num" w:pos="864"/>
        </w:tabs>
        <w:ind w:left="706" w:hanging="202"/>
      </w:pPr>
      <w:rPr>
        <w:rFonts w:ascii="Times" w:hAnsi="Times" w:hint="default"/>
        <w:b w:val="0"/>
        <w:i w:val="0"/>
        <w:sz w:val="20"/>
      </w:rPr>
    </w:lvl>
  </w:abstractNum>
  <w:abstractNum w:abstractNumId="13">
    <w:nsid w:val="27762316"/>
    <w:multiLevelType w:val="hybridMultilevel"/>
    <w:tmpl w:val="8D5A4B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6B151DC"/>
    <w:multiLevelType w:val="multilevel"/>
    <w:tmpl w:val="45DC591C"/>
    <w:lvl w:ilvl="0">
      <w:start w:val="1"/>
      <w:numFmt w:val="upperRoman"/>
      <w:pStyle w:val="BlockText"/>
      <w:suff w:val="space"/>
      <w:lvlText w:val="%1)"/>
      <w:lvlJc w:val="left"/>
      <w:pPr>
        <w:ind w:left="288" w:hanging="288"/>
      </w:pPr>
      <w:rPr>
        <w:rFonts w:cs="Times New Roman"/>
      </w:r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41BA49BD"/>
    <w:multiLevelType w:val="multilevel"/>
    <w:tmpl w:val="4516A8CE"/>
    <w:lvl w:ilvl="0">
      <w:start w:val="1"/>
      <w:numFmt w:val="decimal"/>
      <w:pStyle w:val="Numbr10D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1%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6">
    <w:nsid w:val="48C31D02"/>
    <w:multiLevelType w:val="singleLevel"/>
    <w:tmpl w:val="0F1631A8"/>
    <w:lvl w:ilvl="0">
      <w:start w:val="1"/>
      <w:numFmt w:val="bullet"/>
      <w:pStyle w:val="Tab5Data-EmDash"/>
      <w:lvlText w:val=""/>
      <w:lvlJc w:val="left"/>
      <w:pPr>
        <w:tabs>
          <w:tab w:val="num" w:pos="547"/>
        </w:tabs>
        <w:ind w:left="504" w:hanging="317"/>
      </w:pPr>
      <w:rPr>
        <w:rFonts w:ascii="Symbol" w:hAnsi="Symbol" w:hint="default"/>
        <w:b w:val="0"/>
        <w:i w:val="0"/>
        <w:sz w:val="20"/>
      </w:rPr>
    </w:lvl>
  </w:abstractNum>
  <w:abstractNum w:abstractNumId="17">
    <w:nsid w:val="4FCD3A63"/>
    <w:multiLevelType w:val="multilevel"/>
    <w:tmpl w:val="78782EDC"/>
    <w:lvl w:ilvl="0">
      <w:start w:val="1"/>
      <w:numFmt w:val="bullet"/>
      <w:pStyle w:val="BulletS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8">
    <w:nsid w:val="57B910EF"/>
    <w:multiLevelType w:val="singleLevel"/>
    <w:tmpl w:val="F0103590"/>
    <w:lvl w:ilvl="0">
      <w:start w:val="1"/>
      <w:numFmt w:val="bullet"/>
      <w:pStyle w:val="Int3ATMBullet"/>
      <w:lvlText w:val=""/>
      <w:lvlJc w:val="left"/>
      <w:pPr>
        <w:tabs>
          <w:tab w:val="num" w:pos="360"/>
        </w:tabs>
        <w:ind w:left="230" w:hanging="230"/>
      </w:pPr>
      <w:rPr>
        <w:rFonts w:ascii="Symbol" w:hAnsi="Symbol" w:hint="default"/>
        <w:b w:val="0"/>
        <w:i w:val="0"/>
        <w:sz w:val="30"/>
      </w:rPr>
    </w:lvl>
  </w:abstractNum>
  <w:abstractNum w:abstractNumId="19">
    <w:nsid w:val="5988722B"/>
    <w:multiLevelType w:val="singleLevel"/>
    <w:tmpl w:val="7458D9AC"/>
    <w:lvl w:ilvl="0">
      <w:start w:val="1"/>
      <w:numFmt w:val="bullet"/>
      <w:pStyle w:val="Table3Data-Bullet"/>
      <w:lvlText w:val=""/>
      <w:lvlJc w:val="left"/>
      <w:pPr>
        <w:tabs>
          <w:tab w:val="num" w:pos="360"/>
        </w:tabs>
        <w:ind w:left="187" w:hanging="187"/>
      </w:pPr>
      <w:rPr>
        <w:rFonts w:ascii="Symbol" w:hAnsi="Symbol" w:hint="default"/>
        <w:b w:val="0"/>
        <w:i w:val="0"/>
        <w:sz w:val="20"/>
      </w:rPr>
    </w:lvl>
  </w:abstractNum>
  <w:abstractNum w:abstractNumId="20">
    <w:nsid w:val="67672C92"/>
    <w:multiLevelType w:val="singleLevel"/>
    <w:tmpl w:val="2A58FA86"/>
    <w:lvl w:ilvl="0">
      <w:start w:val="1"/>
      <w:numFmt w:val="bullet"/>
      <w:pStyle w:val="Table3Data-EmDash"/>
      <w:lvlText w:val=""/>
      <w:lvlJc w:val="left"/>
      <w:pPr>
        <w:tabs>
          <w:tab w:val="num" w:pos="547"/>
        </w:tabs>
        <w:ind w:left="504" w:hanging="317"/>
      </w:pPr>
      <w:rPr>
        <w:rFonts w:ascii="Symbol" w:hAnsi="Symbol" w:hint="default"/>
        <w:b w:val="0"/>
        <w:i w:val="0"/>
        <w:sz w:val="20"/>
      </w:rPr>
    </w:lvl>
  </w:abstractNum>
  <w:abstractNum w:abstractNumId="21">
    <w:nsid w:val="67C42705"/>
    <w:multiLevelType w:val="multilevel"/>
    <w:tmpl w:val="AF422406"/>
    <w:lvl w:ilvl="0">
      <w:start w:val="1"/>
      <w:numFmt w:val="decimal"/>
      <w:pStyle w:val="Numbr1-9SS"/>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22">
    <w:nsid w:val="67FD0F6D"/>
    <w:multiLevelType w:val="multilevel"/>
    <w:tmpl w:val="30FEEC8E"/>
    <w:lvl w:ilvl="0">
      <w:start w:val="1"/>
      <w:numFmt w:val="decimal"/>
      <w:pStyle w:val="Numbr1-9DS"/>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9"/>
      <w:lvlJc w:val="left"/>
      <w:pPr>
        <w:tabs>
          <w:tab w:val="num" w:pos="3240"/>
        </w:tabs>
        <w:ind w:left="3240" w:hanging="360"/>
      </w:pPr>
      <w:rPr>
        <w:rFonts w:cs="Times New Roman" w:hint="default"/>
      </w:rPr>
    </w:lvl>
  </w:abstractNum>
  <w:abstractNum w:abstractNumId="23">
    <w:nsid w:val="6E853614"/>
    <w:multiLevelType w:val="singleLevel"/>
    <w:tmpl w:val="2C58779C"/>
    <w:lvl w:ilvl="0">
      <w:start w:val="1"/>
      <w:numFmt w:val="bullet"/>
      <w:pStyle w:val="Tab5Data-Bullet"/>
      <w:lvlText w:val=""/>
      <w:lvlJc w:val="left"/>
      <w:pPr>
        <w:tabs>
          <w:tab w:val="num" w:pos="360"/>
        </w:tabs>
        <w:ind w:left="187" w:hanging="187"/>
      </w:pPr>
      <w:rPr>
        <w:rFonts w:ascii="Symbol" w:hAnsi="Symbol" w:hint="default"/>
        <w:b w:val="0"/>
        <w:i w:val="0"/>
        <w:sz w:val="20"/>
      </w:rPr>
    </w:lvl>
  </w:abstractNum>
  <w:abstractNum w:abstractNumId="24">
    <w:nsid w:val="7D75465B"/>
    <w:multiLevelType w:val="multilevel"/>
    <w:tmpl w:val="73ECAE16"/>
    <w:lvl w:ilvl="0">
      <w:start w:val="1"/>
      <w:numFmt w:val="bullet"/>
      <w:pStyle w:val="BulletD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0"/>
  </w:num>
  <w:num w:numId="13">
    <w:abstractNumId w:val="22"/>
  </w:num>
  <w:num w:numId="14">
    <w:abstractNumId w:val="15"/>
  </w:num>
  <w:num w:numId="15">
    <w:abstractNumId w:val="19"/>
  </w:num>
  <w:num w:numId="16">
    <w:abstractNumId w:val="20"/>
  </w:num>
  <w:num w:numId="17">
    <w:abstractNumId w:val="23"/>
  </w:num>
  <w:num w:numId="18">
    <w:abstractNumId w:val="16"/>
  </w:num>
  <w:num w:numId="19">
    <w:abstractNumId w:val="24"/>
  </w:num>
  <w:num w:numId="20">
    <w:abstractNumId w:val="17"/>
  </w:num>
  <w:num w:numId="21">
    <w:abstractNumId w:val="18"/>
  </w:num>
  <w:num w:numId="22">
    <w:abstractNumId w:val="12"/>
  </w:num>
  <w:num w:numId="23">
    <w:abstractNumId w:val="11"/>
  </w:num>
  <w:num w:numId="24">
    <w:abstractNumId w:val="14"/>
  </w:num>
  <w:num w:numId="25">
    <w:abstractNumId w:val="1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stylePaneFormatFilter w:val="3F01"/>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1A65"/>
    <w:rsid w:val="00000A6F"/>
    <w:rsid w:val="00003202"/>
    <w:rsid w:val="00004D39"/>
    <w:rsid w:val="0000723E"/>
    <w:rsid w:val="000101C9"/>
    <w:rsid w:val="000108CD"/>
    <w:rsid w:val="00011FD7"/>
    <w:rsid w:val="000139D8"/>
    <w:rsid w:val="00013D39"/>
    <w:rsid w:val="000166B1"/>
    <w:rsid w:val="0001693B"/>
    <w:rsid w:val="00016D72"/>
    <w:rsid w:val="00017290"/>
    <w:rsid w:val="00017DB9"/>
    <w:rsid w:val="000230FD"/>
    <w:rsid w:val="00023506"/>
    <w:rsid w:val="00023C5A"/>
    <w:rsid w:val="00024ADC"/>
    <w:rsid w:val="00027AE4"/>
    <w:rsid w:val="0003005E"/>
    <w:rsid w:val="00031B05"/>
    <w:rsid w:val="00032119"/>
    <w:rsid w:val="00032928"/>
    <w:rsid w:val="000343C2"/>
    <w:rsid w:val="00034EBC"/>
    <w:rsid w:val="00035AB9"/>
    <w:rsid w:val="00036C83"/>
    <w:rsid w:val="00037BAF"/>
    <w:rsid w:val="0004042B"/>
    <w:rsid w:val="000425A2"/>
    <w:rsid w:val="00043BF2"/>
    <w:rsid w:val="0004438A"/>
    <w:rsid w:val="000456B9"/>
    <w:rsid w:val="000466D0"/>
    <w:rsid w:val="00046B02"/>
    <w:rsid w:val="000478C6"/>
    <w:rsid w:val="0005078B"/>
    <w:rsid w:val="000528F5"/>
    <w:rsid w:val="00052A37"/>
    <w:rsid w:val="00053B7F"/>
    <w:rsid w:val="00054C6A"/>
    <w:rsid w:val="00055FFA"/>
    <w:rsid w:val="00057091"/>
    <w:rsid w:val="00057C3E"/>
    <w:rsid w:val="000601AC"/>
    <w:rsid w:val="00060F57"/>
    <w:rsid w:val="000623F4"/>
    <w:rsid w:val="00063496"/>
    <w:rsid w:val="00064171"/>
    <w:rsid w:val="00064903"/>
    <w:rsid w:val="000671C3"/>
    <w:rsid w:val="00067771"/>
    <w:rsid w:val="0006778A"/>
    <w:rsid w:val="00071ADE"/>
    <w:rsid w:val="000720D0"/>
    <w:rsid w:val="000755AA"/>
    <w:rsid w:val="0007591C"/>
    <w:rsid w:val="00076A47"/>
    <w:rsid w:val="000805C2"/>
    <w:rsid w:val="0008213E"/>
    <w:rsid w:val="00082B2B"/>
    <w:rsid w:val="00082C18"/>
    <w:rsid w:val="000831B1"/>
    <w:rsid w:val="00085AFB"/>
    <w:rsid w:val="00085CC0"/>
    <w:rsid w:val="00085F69"/>
    <w:rsid w:val="000867DE"/>
    <w:rsid w:val="00086988"/>
    <w:rsid w:val="00087467"/>
    <w:rsid w:val="00091AD2"/>
    <w:rsid w:val="00091AE5"/>
    <w:rsid w:val="00092201"/>
    <w:rsid w:val="000928D8"/>
    <w:rsid w:val="00093447"/>
    <w:rsid w:val="000947C0"/>
    <w:rsid w:val="0009506C"/>
    <w:rsid w:val="00096A95"/>
    <w:rsid w:val="00097E1D"/>
    <w:rsid w:val="000A0290"/>
    <w:rsid w:val="000A1803"/>
    <w:rsid w:val="000A18A9"/>
    <w:rsid w:val="000A38C2"/>
    <w:rsid w:val="000A466A"/>
    <w:rsid w:val="000A4ADD"/>
    <w:rsid w:val="000A7131"/>
    <w:rsid w:val="000B072E"/>
    <w:rsid w:val="000B18E9"/>
    <w:rsid w:val="000B1EA2"/>
    <w:rsid w:val="000B4EC5"/>
    <w:rsid w:val="000B5329"/>
    <w:rsid w:val="000B547D"/>
    <w:rsid w:val="000B61D1"/>
    <w:rsid w:val="000B6E7F"/>
    <w:rsid w:val="000B7268"/>
    <w:rsid w:val="000C438E"/>
    <w:rsid w:val="000C5A2C"/>
    <w:rsid w:val="000C6EA8"/>
    <w:rsid w:val="000C7BD8"/>
    <w:rsid w:val="000C7C74"/>
    <w:rsid w:val="000D18C8"/>
    <w:rsid w:val="000D1FB5"/>
    <w:rsid w:val="000D2B67"/>
    <w:rsid w:val="000D30B9"/>
    <w:rsid w:val="000D34D0"/>
    <w:rsid w:val="000D3BF9"/>
    <w:rsid w:val="000D66B3"/>
    <w:rsid w:val="000D7125"/>
    <w:rsid w:val="000E024D"/>
    <w:rsid w:val="000E060D"/>
    <w:rsid w:val="000E08A9"/>
    <w:rsid w:val="000E2BB4"/>
    <w:rsid w:val="000E2D02"/>
    <w:rsid w:val="000E348A"/>
    <w:rsid w:val="000E4043"/>
    <w:rsid w:val="000E4C97"/>
    <w:rsid w:val="000E50F0"/>
    <w:rsid w:val="000E5955"/>
    <w:rsid w:val="000F041C"/>
    <w:rsid w:val="000F04B4"/>
    <w:rsid w:val="000F0D40"/>
    <w:rsid w:val="000F0E39"/>
    <w:rsid w:val="000F23B3"/>
    <w:rsid w:val="000F37F6"/>
    <w:rsid w:val="000F4005"/>
    <w:rsid w:val="000F490A"/>
    <w:rsid w:val="000F52A7"/>
    <w:rsid w:val="000F59B2"/>
    <w:rsid w:val="000F762C"/>
    <w:rsid w:val="000F7DE8"/>
    <w:rsid w:val="00100417"/>
    <w:rsid w:val="001010E0"/>
    <w:rsid w:val="00102D02"/>
    <w:rsid w:val="00104558"/>
    <w:rsid w:val="001045A8"/>
    <w:rsid w:val="00105359"/>
    <w:rsid w:val="001066A2"/>
    <w:rsid w:val="0010692E"/>
    <w:rsid w:val="0010724B"/>
    <w:rsid w:val="00107F70"/>
    <w:rsid w:val="00111CF4"/>
    <w:rsid w:val="00112AA6"/>
    <w:rsid w:val="00113C14"/>
    <w:rsid w:val="00113E20"/>
    <w:rsid w:val="001148FE"/>
    <w:rsid w:val="00114B5C"/>
    <w:rsid w:val="00115F53"/>
    <w:rsid w:val="0012055A"/>
    <w:rsid w:val="00123904"/>
    <w:rsid w:val="001243B6"/>
    <w:rsid w:val="001248E8"/>
    <w:rsid w:val="0012501C"/>
    <w:rsid w:val="001254C0"/>
    <w:rsid w:val="001261B3"/>
    <w:rsid w:val="00126228"/>
    <w:rsid w:val="00126630"/>
    <w:rsid w:val="00126B00"/>
    <w:rsid w:val="001310AA"/>
    <w:rsid w:val="001314A8"/>
    <w:rsid w:val="0013195B"/>
    <w:rsid w:val="00131B60"/>
    <w:rsid w:val="001327F5"/>
    <w:rsid w:val="00132A7D"/>
    <w:rsid w:val="0013586D"/>
    <w:rsid w:val="00136681"/>
    <w:rsid w:val="00136C7D"/>
    <w:rsid w:val="0013704D"/>
    <w:rsid w:val="00140A15"/>
    <w:rsid w:val="00140EC8"/>
    <w:rsid w:val="00141044"/>
    <w:rsid w:val="00141F4D"/>
    <w:rsid w:val="001429A8"/>
    <w:rsid w:val="001433AA"/>
    <w:rsid w:val="00143690"/>
    <w:rsid w:val="001437FE"/>
    <w:rsid w:val="00143E87"/>
    <w:rsid w:val="00144612"/>
    <w:rsid w:val="00146EDB"/>
    <w:rsid w:val="001479BB"/>
    <w:rsid w:val="00150762"/>
    <w:rsid w:val="001507AA"/>
    <w:rsid w:val="001509BF"/>
    <w:rsid w:val="00150B43"/>
    <w:rsid w:val="00151E68"/>
    <w:rsid w:val="00155A5E"/>
    <w:rsid w:val="00155ABF"/>
    <w:rsid w:val="001569A7"/>
    <w:rsid w:val="001603DB"/>
    <w:rsid w:val="00160D82"/>
    <w:rsid w:val="0016182B"/>
    <w:rsid w:val="00162108"/>
    <w:rsid w:val="001638AB"/>
    <w:rsid w:val="00164085"/>
    <w:rsid w:val="0016477D"/>
    <w:rsid w:val="0016594C"/>
    <w:rsid w:val="001664B2"/>
    <w:rsid w:val="001668C4"/>
    <w:rsid w:val="00166CB0"/>
    <w:rsid w:val="0016795C"/>
    <w:rsid w:val="00170A15"/>
    <w:rsid w:val="00171539"/>
    <w:rsid w:val="0017273B"/>
    <w:rsid w:val="00172914"/>
    <w:rsid w:val="001744D8"/>
    <w:rsid w:val="0017489F"/>
    <w:rsid w:val="00175610"/>
    <w:rsid w:val="00175E3E"/>
    <w:rsid w:val="00176EB6"/>
    <w:rsid w:val="0017762F"/>
    <w:rsid w:val="00177B8E"/>
    <w:rsid w:val="00180853"/>
    <w:rsid w:val="00180C05"/>
    <w:rsid w:val="001812AB"/>
    <w:rsid w:val="001817F0"/>
    <w:rsid w:val="001818AF"/>
    <w:rsid w:val="00181BFF"/>
    <w:rsid w:val="00183605"/>
    <w:rsid w:val="00184BED"/>
    <w:rsid w:val="00184D5A"/>
    <w:rsid w:val="00185D01"/>
    <w:rsid w:val="00187537"/>
    <w:rsid w:val="00190A38"/>
    <w:rsid w:val="001910AF"/>
    <w:rsid w:val="0019228F"/>
    <w:rsid w:val="00192868"/>
    <w:rsid w:val="00193441"/>
    <w:rsid w:val="00193732"/>
    <w:rsid w:val="00194849"/>
    <w:rsid w:val="0019623D"/>
    <w:rsid w:val="0019637E"/>
    <w:rsid w:val="00196735"/>
    <w:rsid w:val="00196CB7"/>
    <w:rsid w:val="00197652"/>
    <w:rsid w:val="00197EA3"/>
    <w:rsid w:val="001A20CB"/>
    <w:rsid w:val="001A250C"/>
    <w:rsid w:val="001A28EB"/>
    <w:rsid w:val="001A29DA"/>
    <w:rsid w:val="001A2DBE"/>
    <w:rsid w:val="001A4458"/>
    <w:rsid w:val="001A4A08"/>
    <w:rsid w:val="001A65F0"/>
    <w:rsid w:val="001B05DD"/>
    <w:rsid w:val="001B0754"/>
    <w:rsid w:val="001B0F21"/>
    <w:rsid w:val="001B1042"/>
    <w:rsid w:val="001B3B0C"/>
    <w:rsid w:val="001B3DF5"/>
    <w:rsid w:val="001B3E49"/>
    <w:rsid w:val="001B4051"/>
    <w:rsid w:val="001B4343"/>
    <w:rsid w:val="001B5DB9"/>
    <w:rsid w:val="001C05AF"/>
    <w:rsid w:val="001C1320"/>
    <w:rsid w:val="001C1757"/>
    <w:rsid w:val="001C2894"/>
    <w:rsid w:val="001C2995"/>
    <w:rsid w:val="001C5D30"/>
    <w:rsid w:val="001C5E73"/>
    <w:rsid w:val="001D0F46"/>
    <w:rsid w:val="001D21E8"/>
    <w:rsid w:val="001D2261"/>
    <w:rsid w:val="001D2653"/>
    <w:rsid w:val="001D3097"/>
    <w:rsid w:val="001D4534"/>
    <w:rsid w:val="001D5575"/>
    <w:rsid w:val="001D684E"/>
    <w:rsid w:val="001D68A6"/>
    <w:rsid w:val="001D7C48"/>
    <w:rsid w:val="001E02E4"/>
    <w:rsid w:val="001E0901"/>
    <w:rsid w:val="001E1485"/>
    <w:rsid w:val="001E2231"/>
    <w:rsid w:val="001E2391"/>
    <w:rsid w:val="001E3020"/>
    <w:rsid w:val="001E513B"/>
    <w:rsid w:val="001E694B"/>
    <w:rsid w:val="001F00F8"/>
    <w:rsid w:val="001F0A40"/>
    <w:rsid w:val="001F0E2A"/>
    <w:rsid w:val="001F10F4"/>
    <w:rsid w:val="001F12EA"/>
    <w:rsid w:val="001F2AFF"/>
    <w:rsid w:val="001F56EF"/>
    <w:rsid w:val="00200785"/>
    <w:rsid w:val="00200A17"/>
    <w:rsid w:val="00200EAD"/>
    <w:rsid w:val="00202C2B"/>
    <w:rsid w:val="00203289"/>
    <w:rsid w:val="002032D3"/>
    <w:rsid w:val="00206603"/>
    <w:rsid w:val="00206F0F"/>
    <w:rsid w:val="00207F30"/>
    <w:rsid w:val="00210AF9"/>
    <w:rsid w:val="002111FC"/>
    <w:rsid w:val="002115FF"/>
    <w:rsid w:val="00211FAA"/>
    <w:rsid w:val="002128AA"/>
    <w:rsid w:val="002142E7"/>
    <w:rsid w:val="00214659"/>
    <w:rsid w:val="002174BA"/>
    <w:rsid w:val="002176C8"/>
    <w:rsid w:val="00217738"/>
    <w:rsid w:val="002178BD"/>
    <w:rsid w:val="0022127D"/>
    <w:rsid w:val="0022136F"/>
    <w:rsid w:val="00221CB5"/>
    <w:rsid w:val="002225DC"/>
    <w:rsid w:val="002226ED"/>
    <w:rsid w:val="00222B92"/>
    <w:rsid w:val="0022449F"/>
    <w:rsid w:val="002251FC"/>
    <w:rsid w:val="0022698A"/>
    <w:rsid w:val="00227A66"/>
    <w:rsid w:val="00227EB5"/>
    <w:rsid w:val="00233845"/>
    <w:rsid w:val="002366CD"/>
    <w:rsid w:val="002370A7"/>
    <w:rsid w:val="00237797"/>
    <w:rsid w:val="00237BC7"/>
    <w:rsid w:val="00237D6D"/>
    <w:rsid w:val="0024173A"/>
    <w:rsid w:val="00242F00"/>
    <w:rsid w:val="00243A60"/>
    <w:rsid w:val="00243B08"/>
    <w:rsid w:val="00243D81"/>
    <w:rsid w:val="00246044"/>
    <w:rsid w:val="00246701"/>
    <w:rsid w:val="002509F6"/>
    <w:rsid w:val="00250A52"/>
    <w:rsid w:val="00250AD0"/>
    <w:rsid w:val="002513A2"/>
    <w:rsid w:val="002514AA"/>
    <w:rsid w:val="002531B7"/>
    <w:rsid w:val="0025348F"/>
    <w:rsid w:val="00253A60"/>
    <w:rsid w:val="00253D38"/>
    <w:rsid w:val="0025416C"/>
    <w:rsid w:val="00254DF0"/>
    <w:rsid w:val="00255EA6"/>
    <w:rsid w:val="00256613"/>
    <w:rsid w:val="002568DE"/>
    <w:rsid w:val="0026033F"/>
    <w:rsid w:val="00261527"/>
    <w:rsid w:val="00261C58"/>
    <w:rsid w:val="002625BD"/>
    <w:rsid w:val="00263954"/>
    <w:rsid w:val="00264A99"/>
    <w:rsid w:val="00264AEE"/>
    <w:rsid w:val="00265D15"/>
    <w:rsid w:val="00265D55"/>
    <w:rsid w:val="00265F00"/>
    <w:rsid w:val="002660AC"/>
    <w:rsid w:val="002667E4"/>
    <w:rsid w:val="00266CE4"/>
    <w:rsid w:val="002678EF"/>
    <w:rsid w:val="00267E65"/>
    <w:rsid w:val="0027022C"/>
    <w:rsid w:val="00271076"/>
    <w:rsid w:val="002711B0"/>
    <w:rsid w:val="002727F1"/>
    <w:rsid w:val="002747B0"/>
    <w:rsid w:val="002757C3"/>
    <w:rsid w:val="002758F7"/>
    <w:rsid w:val="00276B53"/>
    <w:rsid w:val="002776EB"/>
    <w:rsid w:val="002807BC"/>
    <w:rsid w:val="0028186A"/>
    <w:rsid w:val="00281E39"/>
    <w:rsid w:val="00281FB1"/>
    <w:rsid w:val="00282721"/>
    <w:rsid w:val="00282C40"/>
    <w:rsid w:val="00284894"/>
    <w:rsid w:val="00285588"/>
    <w:rsid w:val="002855EA"/>
    <w:rsid w:val="002909F6"/>
    <w:rsid w:val="00290A9F"/>
    <w:rsid w:val="00292135"/>
    <w:rsid w:val="00292DA1"/>
    <w:rsid w:val="00292FA1"/>
    <w:rsid w:val="00293401"/>
    <w:rsid w:val="00296755"/>
    <w:rsid w:val="00296A6A"/>
    <w:rsid w:val="00296C41"/>
    <w:rsid w:val="00297CE7"/>
    <w:rsid w:val="002A0971"/>
    <w:rsid w:val="002A11DF"/>
    <w:rsid w:val="002A134B"/>
    <w:rsid w:val="002A16BC"/>
    <w:rsid w:val="002A1FA6"/>
    <w:rsid w:val="002A2592"/>
    <w:rsid w:val="002A3893"/>
    <w:rsid w:val="002A3D0F"/>
    <w:rsid w:val="002A52A3"/>
    <w:rsid w:val="002A5C68"/>
    <w:rsid w:val="002A6307"/>
    <w:rsid w:val="002A633A"/>
    <w:rsid w:val="002A6899"/>
    <w:rsid w:val="002A690C"/>
    <w:rsid w:val="002A6C1E"/>
    <w:rsid w:val="002B0467"/>
    <w:rsid w:val="002B19A0"/>
    <w:rsid w:val="002B1D5B"/>
    <w:rsid w:val="002B1F0C"/>
    <w:rsid w:val="002B2EF2"/>
    <w:rsid w:val="002B45B6"/>
    <w:rsid w:val="002B7714"/>
    <w:rsid w:val="002C091A"/>
    <w:rsid w:val="002C0D85"/>
    <w:rsid w:val="002C1E94"/>
    <w:rsid w:val="002C28DD"/>
    <w:rsid w:val="002C2A01"/>
    <w:rsid w:val="002C4A47"/>
    <w:rsid w:val="002C4BFB"/>
    <w:rsid w:val="002C50FA"/>
    <w:rsid w:val="002C68E6"/>
    <w:rsid w:val="002C7C00"/>
    <w:rsid w:val="002D09AB"/>
    <w:rsid w:val="002D0C18"/>
    <w:rsid w:val="002D0FA8"/>
    <w:rsid w:val="002D28A6"/>
    <w:rsid w:val="002D33EB"/>
    <w:rsid w:val="002D3501"/>
    <w:rsid w:val="002D5599"/>
    <w:rsid w:val="002D5DA2"/>
    <w:rsid w:val="002D5FE6"/>
    <w:rsid w:val="002D673E"/>
    <w:rsid w:val="002D6908"/>
    <w:rsid w:val="002D6F6F"/>
    <w:rsid w:val="002D7216"/>
    <w:rsid w:val="002E0FE0"/>
    <w:rsid w:val="002E1234"/>
    <w:rsid w:val="002E282A"/>
    <w:rsid w:val="002E35BE"/>
    <w:rsid w:val="002E41ED"/>
    <w:rsid w:val="002E4423"/>
    <w:rsid w:val="002E48B2"/>
    <w:rsid w:val="002E5080"/>
    <w:rsid w:val="002E5103"/>
    <w:rsid w:val="002E5F0A"/>
    <w:rsid w:val="002E6F7D"/>
    <w:rsid w:val="002E73DF"/>
    <w:rsid w:val="002E7A64"/>
    <w:rsid w:val="002F0196"/>
    <w:rsid w:val="002F0845"/>
    <w:rsid w:val="002F0E94"/>
    <w:rsid w:val="002F3B4F"/>
    <w:rsid w:val="002F3D74"/>
    <w:rsid w:val="002F4CD2"/>
    <w:rsid w:val="002F5779"/>
    <w:rsid w:val="002F6E18"/>
    <w:rsid w:val="002F7C7C"/>
    <w:rsid w:val="0030045E"/>
    <w:rsid w:val="0030150A"/>
    <w:rsid w:val="00301A61"/>
    <w:rsid w:val="00301A6C"/>
    <w:rsid w:val="0030446F"/>
    <w:rsid w:val="003059B7"/>
    <w:rsid w:val="00306F7C"/>
    <w:rsid w:val="0030775B"/>
    <w:rsid w:val="00307900"/>
    <w:rsid w:val="00311DA1"/>
    <w:rsid w:val="003123A3"/>
    <w:rsid w:val="00312E8D"/>
    <w:rsid w:val="00313C03"/>
    <w:rsid w:val="003150B6"/>
    <w:rsid w:val="00315C4A"/>
    <w:rsid w:val="0031649B"/>
    <w:rsid w:val="00317C67"/>
    <w:rsid w:val="00317D20"/>
    <w:rsid w:val="00320F41"/>
    <w:rsid w:val="00321BDE"/>
    <w:rsid w:val="00322395"/>
    <w:rsid w:val="00322CA7"/>
    <w:rsid w:val="003237D5"/>
    <w:rsid w:val="003239D7"/>
    <w:rsid w:val="00324237"/>
    <w:rsid w:val="003244A3"/>
    <w:rsid w:val="00325315"/>
    <w:rsid w:val="00325AD4"/>
    <w:rsid w:val="00325B31"/>
    <w:rsid w:val="00325CC4"/>
    <w:rsid w:val="0032688C"/>
    <w:rsid w:val="00326E7E"/>
    <w:rsid w:val="003303D4"/>
    <w:rsid w:val="00330858"/>
    <w:rsid w:val="00330A52"/>
    <w:rsid w:val="0033262E"/>
    <w:rsid w:val="00332EF1"/>
    <w:rsid w:val="00334559"/>
    <w:rsid w:val="003353E2"/>
    <w:rsid w:val="00335F02"/>
    <w:rsid w:val="0033664C"/>
    <w:rsid w:val="003373C6"/>
    <w:rsid w:val="003415CD"/>
    <w:rsid w:val="00341838"/>
    <w:rsid w:val="00345B6F"/>
    <w:rsid w:val="003466A5"/>
    <w:rsid w:val="00346B8D"/>
    <w:rsid w:val="00347606"/>
    <w:rsid w:val="003524AD"/>
    <w:rsid w:val="00352856"/>
    <w:rsid w:val="00353EC9"/>
    <w:rsid w:val="00354158"/>
    <w:rsid w:val="00355D0F"/>
    <w:rsid w:val="003567AA"/>
    <w:rsid w:val="003572FD"/>
    <w:rsid w:val="0035768B"/>
    <w:rsid w:val="003614AF"/>
    <w:rsid w:val="00361737"/>
    <w:rsid w:val="00361C0C"/>
    <w:rsid w:val="00365D6C"/>
    <w:rsid w:val="0036790A"/>
    <w:rsid w:val="003709DA"/>
    <w:rsid w:val="003721F6"/>
    <w:rsid w:val="00372F79"/>
    <w:rsid w:val="00373D78"/>
    <w:rsid w:val="0037404C"/>
    <w:rsid w:val="003741A5"/>
    <w:rsid w:val="00376794"/>
    <w:rsid w:val="00377763"/>
    <w:rsid w:val="00381148"/>
    <w:rsid w:val="0038156A"/>
    <w:rsid w:val="00382131"/>
    <w:rsid w:val="00382153"/>
    <w:rsid w:val="00382C51"/>
    <w:rsid w:val="00384AAF"/>
    <w:rsid w:val="003854E8"/>
    <w:rsid w:val="00386F84"/>
    <w:rsid w:val="003877F0"/>
    <w:rsid w:val="00387E62"/>
    <w:rsid w:val="0039010F"/>
    <w:rsid w:val="00390BB7"/>
    <w:rsid w:val="003918EE"/>
    <w:rsid w:val="0039351A"/>
    <w:rsid w:val="00393553"/>
    <w:rsid w:val="00393930"/>
    <w:rsid w:val="00393BFD"/>
    <w:rsid w:val="00394906"/>
    <w:rsid w:val="00395C17"/>
    <w:rsid w:val="00396770"/>
    <w:rsid w:val="0039752F"/>
    <w:rsid w:val="00397E04"/>
    <w:rsid w:val="003A25AC"/>
    <w:rsid w:val="003A358A"/>
    <w:rsid w:val="003A37CF"/>
    <w:rsid w:val="003A3C17"/>
    <w:rsid w:val="003A4E91"/>
    <w:rsid w:val="003B0242"/>
    <w:rsid w:val="003B1953"/>
    <w:rsid w:val="003B3024"/>
    <w:rsid w:val="003B4398"/>
    <w:rsid w:val="003B48E0"/>
    <w:rsid w:val="003B54A9"/>
    <w:rsid w:val="003B6B49"/>
    <w:rsid w:val="003B77BD"/>
    <w:rsid w:val="003B7BD3"/>
    <w:rsid w:val="003C0904"/>
    <w:rsid w:val="003C09A2"/>
    <w:rsid w:val="003C0EB4"/>
    <w:rsid w:val="003C116F"/>
    <w:rsid w:val="003C229E"/>
    <w:rsid w:val="003C2573"/>
    <w:rsid w:val="003C37BC"/>
    <w:rsid w:val="003C3EB4"/>
    <w:rsid w:val="003C40E8"/>
    <w:rsid w:val="003C4449"/>
    <w:rsid w:val="003C6A8F"/>
    <w:rsid w:val="003C6CFA"/>
    <w:rsid w:val="003D25AE"/>
    <w:rsid w:val="003D2CAA"/>
    <w:rsid w:val="003D3A7A"/>
    <w:rsid w:val="003D5491"/>
    <w:rsid w:val="003D5720"/>
    <w:rsid w:val="003D6487"/>
    <w:rsid w:val="003D6D6C"/>
    <w:rsid w:val="003D721D"/>
    <w:rsid w:val="003D7288"/>
    <w:rsid w:val="003E1248"/>
    <w:rsid w:val="003E1CD9"/>
    <w:rsid w:val="003E27C0"/>
    <w:rsid w:val="003E35C9"/>
    <w:rsid w:val="003E418E"/>
    <w:rsid w:val="003E605A"/>
    <w:rsid w:val="003E79BA"/>
    <w:rsid w:val="003F0946"/>
    <w:rsid w:val="003F136D"/>
    <w:rsid w:val="003F17F4"/>
    <w:rsid w:val="003F18D0"/>
    <w:rsid w:val="003F1EE5"/>
    <w:rsid w:val="003F2814"/>
    <w:rsid w:val="003F2A32"/>
    <w:rsid w:val="003F2A81"/>
    <w:rsid w:val="003F2D98"/>
    <w:rsid w:val="003F2EC8"/>
    <w:rsid w:val="003F32CF"/>
    <w:rsid w:val="003F3A2C"/>
    <w:rsid w:val="003F601C"/>
    <w:rsid w:val="003F6D15"/>
    <w:rsid w:val="003F7B63"/>
    <w:rsid w:val="003F7BA0"/>
    <w:rsid w:val="004005CD"/>
    <w:rsid w:val="00401BB7"/>
    <w:rsid w:val="00403AB3"/>
    <w:rsid w:val="00404152"/>
    <w:rsid w:val="00404453"/>
    <w:rsid w:val="0040538F"/>
    <w:rsid w:val="00405F79"/>
    <w:rsid w:val="004067DB"/>
    <w:rsid w:val="004070DB"/>
    <w:rsid w:val="00407DD1"/>
    <w:rsid w:val="004100FF"/>
    <w:rsid w:val="00410FB9"/>
    <w:rsid w:val="0041150E"/>
    <w:rsid w:val="00411F09"/>
    <w:rsid w:val="004142F6"/>
    <w:rsid w:val="00416515"/>
    <w:rsid w:val="00416A2E"/>
    <w:rsid w:val="00416AB5"/>
    <w:rsid w:val="00416AE5"/>
    <w:rsid w:val="00417067"/>
    <w:rsid w:val="00417556"/>
    <w:rsid w:val="004204D3"/>
    <w:rsid w:val="00420933"/>
    <w:rsid w:val="00420954"/>
    <w:rsid w:val="004209F9"/>
    <w:rsid w:val="00421D6D"/>
    <w:rsid w:val="00422E56"/>
    <w:rsid w:val="004233FB"/>
    <w:rsid w:val="00423A55"/>
    <w:rsid w:val="0042489F"/>
    <w:rsid w:val="004266CA"/>
    <w:rsid w:val="00427797"/>
    <w:rsid w:val="00430699"/>
    <w:rsid w:val="004306BC"/>
    <w:rsid w:val="00430D80"/>
    <w:rsid w:val="0043133F"/>
    <w:rsid w:val="0043186A"/>
    <w:rsid w:val="00432904"/>
    <w:rsid w:val="00432A2F"/>
    <w:rsid w:val="00432B60"/>
    <w:rsid w:val="0043326F"/>
    <w:rsid w:val="0043396E"/>
    <w:rsid w:val="00433CD9"/>
    <w:rsid w:val="0043516D"/>
    <w:rsid w:val="00440229"/>
    <w:rsid w:val="00440AEF"/>
    <w:rsid w:val="00442BDB"/>
    <w:rsid w:val="00445139"/>
    <w:rsid w:val="00445291"/>
    <w:rsid w:val="004479B6"/>
    <w:rsid w:val="00452684"/>
    <w:rsid w:val="00453B78"/>
    <w:rsid w:val="00454484"/>
    <w:rsid w:val="0045503A"/>
    <w:rsid w:val="00456165"/>
    <w:rsid w:val="00461566"/>
    <w:rsid w:val="00461678"/>
    <w:rsid w:val="004634CD"/>
    <w:rsid w:val="00465629"/>
    <w:rsid w:val="00465779"/>
    <w:rsid w:val="00465891"/>
    <w:rsid w:val="00465C2D"/>
    <w:rsid w:val="00467439"/>
    <w:rsid w:val="00467FE0"/>
    <w:rsid w:val="004708DE"/>
    <w:rsid w:val="00470AC5"/>
    <w:rsid w:val="00472593"/>
    <w:rsid w:val="00472ABC"/>
    <w:rsid w:val="00472ED7"/>
    <w:rsid w:val="00473CB4"/>
    <w:rsid w:val="004758A2"/>
    <w:rsid w:val="00475961"/>
    <w:rsid w:val="004764A5"/>
    <w:rsid w:val="00480BEE"/>
    <w:rsid w:val="00480DFA"/>
    <w:rsid w:val="004810BA"/>
    <w:rsid w:val="00482CE9"/>
    <w:rsid w:val="004837B4"/>
    <w:rsid w:val="004847D0"/>
    <w:rsid w:val="00485753"/>
    <w:rsid w:val="00486844"/>
    <w:rsid w:val="00486B8D"/>
    <w:rsid w:val="00486F8C"/>
    <w:rsid w:val="004876DF"/>
    <w:rsid w:val="00487ADE"/>
    <w:rsid w:val="00490E67"/>
    <w:rsid w:val="00491BBE"/>
    <w:rsid w:val="004949C9"/>
    <w:rsid w:val="00494CF7"/>
    <w:rsid w:val="00495F6C"/>
    <w:rsid w:val="0049768D"/>
    <w:rsid w:val="00497A06"/>
    <w:rsid w:val="00497C3C"/>
    <w:rsid w:val="00497F4C"/>
    <w:rsid w:val="004A1256"/>
    <w:rsid w:val="004A1F3B"/>
    <w:rsid w:val="004A34D1"/>
    <w:rsid w:val="004A4442"/>
    <w:rsid w:val="004A4716"/>
    <w:rsid w:val="004A4C45"/>
    <w:rsid w:val="004A636A"/>
    <w:rsid w:val="004A6596"/>
    <w:rsid w:val="004A694E"/>
    <w:rsid w:val="004A7817"/>
    <w:rsid w:val="004A78E3"/>
    <w:rsid w:val="004B3487"/>
    <w:rsid w:val="004B3E9E"/>
    <w:rsid w:val="004B4939"/>
    <w:rsid w:val="004B6069"/>
    <w:rsid w:val="004B62CF"/>
    <w:rsid w:val="004B711E"/>
    <w:rsid w:val="004C05B4"/>
    <w:rsid w:val="004C086F"/>
    <w:rsid w:val="004C09BE"/>
    <w:rsid w:val="004C168F"/>
    <w:rsid w:val="004C271B"/>
    <w:rsid w:val="004C4A2E"/>
    <w:rsid w:val="004C4A7E"/>
    <w:rsid w:val="004C638F"/>
    <w:rsid w:val="004C6641"/>
    <w:rsid w:val="004C6CED"/>
    <w:rsid w:val="004C71E1"/>
    <w:rsid w:val="004C77BC"/>
    <w:rsid w:val="004D03B3"/>
    <w:rsid w:val="004D03CA"/>
    <w:rsid w:val="004D083F"/>
    <w:rsid w:val="004D14CD"/>
    <w:rsid w:val="004D2851"/>
    <w:rsid w:val="004D3D21"/>
    <w:rsid w:val="004D4861"/>
    <w:rsid w:val="004D4984"/>
    <w:rsid w:val="004D4B77"/>
    <w:rsid w:val="004D4D4C"/>
    <w:rsid w:val="004D5B37"/>
    <w:rsid w:val="004D5F60"/>
    <w:rsid w:val="004D7505"/>
    <w:rsid w:val="004D7A7F"/>
    <w:rsid w:val="004D7CBF"/>
    <w:rsid w:val="004E01A2"/>
    <w:rsid w:val="004E1648"/>
    <w:rsid w:val="004E17E1"/>
    <w:rsid w:val="004E1E18"/>
    <w:rsid w:val="004E2C82"/>
    <w:rsid w:val="004E36E2"/>
    <w:rsid w:val="004E4C32"/>
    <w:rsid w:val="004E5469"/>
    <w:rsid w:val="004E5E66"/>
    <w:rsid w:val="004E6F33"/>
    <w:rsid w:val="004F11E5"/>
    <w:rsid w:val="004F25CC"/>
    <w:rsid w:val="004F272B"/>
    <w:rsid w:val="004F3149"/>
    <w:rsid w:val="004F35C5"/>
    <w:rsid w:val="004F42CA"/>
    <w:rsid w:val="004F55BA"/>
    <w:rsid w:val="004F5EC4"/>
    <w:rsid w:val="004F7BB1"/>
    <w:rsid w:val="0050095A"/>
    <w:rsid w:val="00502550"/>
    <w:rsid w:val="00502CAA"/>
    <w:rsid w:val="00503B4D"/>
    <w:rsid w:val="00503BB4"/>
    <w:rsid w:val="00504484"/>
    <w:rsid w:val="005044D0"/>
    <w:rsid w:val="0050450F"/>
    <w:rsid w:val="00504687"/>
    <w:rsid w:val="0050617C"/>
    <w:rsid w:val="00507284"/>
    <w:rsid w:val="00507DCE"/>
    <w:rsid w:val="005101FD"/>
    <w:rsid w:val="00511B9A"/>
    <w:rsid w:val="005120B4"/>
    <w:rsid w:val="00512554"/>
    <w:rsid w:val="00513B70"/>
    <w:rsid w:val="00513C79"/>
    <w:rsid w:val="00515FC9"/>
    <w:rsid w:val="00516FC7"/>
    <w:rsid w:val="00517837"/>
    <w:rsid w:val="005179C9"/>
    <w:rsid w:val="00520E14"/>
    <w:rsid w:val="005245FB"/>
    <w:rsid w:val="00524B1B"/>
    <w:rsid w:val="00524E22"/>
    <w:rsid w:val="00525A4A"/>
    <w:rsid w:val="00527866"/>
    <w:rsid w:val="00530959"/>
    <w:rsid w:val="00533F86"/>
    <w:rsid w:val="00534A2F"/>
    <w:rsid w:val="00534FCA"/>
    <w:rsid w:val="005353E8"/>
    <w:rsid w:val="005374A8"/>
    <w:rsid w:val="00537591"/>
    <w:rsid w:val="00537B92"/>
    <w:rsid w:val="00537FD0"/>
    <w:rsid w:val="005413FD"/>
    <w:rsid w:val="00542BDF"/>
    <w:rsid w:val="005447C6"/>
    <w:rsid w:val="00550151"/>
    <w:rsid w:val="005501CF"/>
    <w:rsid w:val="00550E57"/>
    <w:rsid w:val="00551C94"/>
    <w:rsid w:val="005524A5"/>
    <w:rsid w:val="00553157"/>
    <w:rsid w:val="00554CEB"/>
    <w:rsid w:val="005557AF"/>
    <w:rsid w:val="00555E8B"/>
    <w:rsid w:val="00556755"/>
    <w:rsid w:val="00556802"/>
    <w:rsid w:val="00556AE7"/>
    <w:rsid w:val="00557F17"/>
    <w:rsid w:val="00557FF3"/>
    <w:rsid w:val="00563A48"/>
    <w:rsid w:val="00564239"/>
    <w:rsid w:val="00564772"/>
    <w:rsid w:val="00564892"/>
    <w:rsid w:val="005651E0"/>
    <w:rsid w:val="00566D9B"/>
    <w:rsid w:val="00567AA6"/>
    <w:rsid w:val="0057057E"/>
    <w:rsid w:val="0057087F"/>
    <w:rsid w:val="00571F90"/>
    <w:rsid w:val="0057278B"/>
    <w:rsid w:val="005730AB"/>
    <w:rsid w:val="00573432"/>
    <w:rsid w:val="00573C14"/>
    <w:rsid w:val="005748D1"/>
    <w:rsid w:val="0057744B"/>
    <w:rsid w:val="005809F6"/>
    <w:rsid w:val="0058104E"/>
    <w:rsid w:val="00582F46"/>
    <w:rsid w:val="00585564"/>
    <w:rsid w:val="00585597"/>
    <w:rsid w:val="00585BB2"/>
    <w:rsid w:val="005879F2"/>
    <w:rsid w:val="00587ADE"/>
    <w:rsid w:val="00587D8C"/>
    <w:rsid w:val="00587ECE"/>
    <w:rsid w:val="0059182F"/>
    <w:rsid w:val="00591A61"/>
    <w:rsid w:val="00592134"/>
    <w:rsid w:val="00592351"/>
    <w:rsid w:val="00592472"/>
    <w:rsid w:val="00592A44"/>
    <w:rsid w:val="00592BA4"/>
    <w:rsid w:val="00592D78"/>
    <w:rsid w:val="00592DAD"/>
    <w:rsid w:val="00593147"/>
    <w:rsid w:val="0059465D"/>
    <w:rsid w:val="00594C7F"/>
    <w:rsid w:val="00596396"/>
    <w:rsid w:val="00597808"/>
    <w:rsid w:val="005A0C1C"/>
    <w:rsid w:val="005A1F39"/>
    <w:rsid w:val="005A34F1"/>
    <w:rsid w:val="005A3A5E"/>
    <w:rsid w:val="005A5C7F"/>
    <w:rsid w:val="005A6BC6"/>
    <w:rsid w:val="005A7B39"/>
    <w:rsid w:val="005B1BDA"/>
    <w:rsid w:val="005B1CB8"/>
    <w:rsid w:val="005B2241"/>
    <w:rsid w:val="005B314D"/>
    <w:rsid w:val="005B485C"/>
    <w:rsid w:val="005B4F0C"/>
    <w:rsid w:val="005B78BA"/>
    <w:rsid w:val="005C2638"/>
    <w:rsid w:val="005C26D2"/>
    <w:rsid w:val="005C2EC0"/>
    <w:rsid w:val="005C3BDA"/>
    <w:rsid w:val="005C4134"/>
    <w:rsid w:val="005C4350"/>
    <w:rsid w:val="005C4382"/>
    <w:rsid w:val="005C58C8"/>
    <w:rsid w:val="005C633A"/>
    <w:rsid w:val="005C6F49"/>
    <w:rsid w:val="005C7F64"/>
    <w:rsid w:val="005D058D"/>
    <w:rsid w:val="005D180F"/>
    <w:rsid w:val="005D27B0"/>
    <w:rsid w:val="005D27C9"/>
    <w:rsid w:val="005D2DF2"/>
    <w:rsid w:val="005D3306"/>
    <w:rsid w:val="005D5B3A"/>
    <w:rsid w:val="005D6946"/>
    <w:rsid w:val="005D7148"/>
    <w:rsid w:val="005D7606"/>
    <w:rsid w:val="005D78A6"/>
    <w:rsid w:val="005D7C82"/>
    <w:rsid w:val="005E0C3F"/>
    <w:rsid w:val="005E10B6"/>
    <w:rsid w:val="005E1640"/>
    <w:rsid w:val="005E1BF9"/>
    <w:rsid w:val="005E2C3F"/>
    <w:rsid w:val="005E2C8E"/>
    <w:rsid w:val="005E30B2"/>
    <w:rsid w:val="005E391B"/>
    <w:rsid w:val="005E4CEA"/>
    <w:rsid w:val="005E4F1E"/>
    <w:rsid w:val="005E63F8"/>
    <w:rsid w:val="005E6AA5"/>
    <w:rsid w:val="005E7DF8"/>
    <w:rsid w:val="005F0DAB"/>
    <w:rsid w:val="005F2A8D"/>
    <w:rsid w:val="005F2E6F"/>
    <w:rsid w:val="005F3825"/>
    <w:rsid w:val="005F76C3"/>
    <w:rsid w:val="00600207"/>
    <w:rsid w:val="00600A48"/>
    <w:rsid w:val="006016E2"/>
    <w:rsid w:val="00601F0F"/>
    <w:rsid w:val="00603E13"/>
    <w:rsid w:val="006052DC"/>
    <w:rsid w:val="00605756"/>
    <w:rsid w:val="00605D54"/>
    <w:rsid w:val="006060D0"/>
    <w:rsid w:val="00606116"/>
    <w:rsid w:val="00607FCD"/>
    <w:rsid w:val="00610341"/>
    <w:rsid w:val="00610390"/>
    <w:rsid w:val="00610A97"/>
    <w:rsid w:val="00610DA4"/>
    <w:rsid w:val="006116C9"/>
    <w:rsid w:val="00612582"/>
    <w:rsid w:val="00613400"/>
    <w:rsid w:val="0061358D"/>
    <w:rsid w:val="006145D3"/>
    <w:rsid w:val="00614998"/>
    <w:rsid w:val="00614AB0"/>
    <w:rsid w:val="006158B0"/>
    <w:rsid w:val="00615BA8"/>
    <w:rsid w:val="00617A6B"/>
    <w:rsid w:val="006203EB"/>
    <w:rsid w:val="006219C1"/>
    <w:rsid w:val="00622D1F"/>
    <w:rsid w:val="00624398"/>
    <w:rsid w:val="006254D3"/>
    <w:rsid w:val="00626651"/>
    <w:rsid w:val="00630315"/>
    <w:rsid w:val="006312D1"/>
    <w:rsid w:val="006319EB"/>
    <w:rsid w:val="00632141"/>
    <w:rsid w:val="00633834"/>
    <w:rsid w:val="00634A84"/>
    <w:rsid w:val="00635B8A"/>
    <w:rsid w:val="006361E7"/>
    <w:rsid w:val="00636B02"/>
    <w:rsid w:val="00640E94"/>
    <w:rsid w:val="00641CBB"/>
    <w:rsid w:val="00643051"/>
    <w:rsid w:val="00643350"/>
    <w:rsid w:val="00650CC9"/>
    <w:rsid w:val="006511CF"/>
    <w:rsid w:val="00652A50"/>
    <w:rsid w:val="00652CDE"/>
    <w:rsid w:val="0065378F"/>
    <w:rsid w:val="00653E0A"/>
    <w:rsid w:val="0065510D"/>
    <w:rsid w:val="00655A9E"/>
    <w:rsid w:val="00655E27"/>
    <w:rsid w:val="00655E60"/>
    <w:rsid w:val="00657599"/>
    <w:rsid w:val="0065798C"/>
    <w:rsid w:val="00657CCB"/>
    <w:rsid w:val="0066089E"/>
    <w:rsid w:val="00660D21"/>
    <w:rsid w:val="00661590"/>
    <w:rsid w:val="00661CF5"/>
    <w:rsid w:val="006626D0"/>
    <w:rsid w:val="00662CCF"/>
    <w:rsid w:val="00662F32"/>
    <w:rsid w:val="00663620"/>
    <w:rsid w:val="006642AA"/>
    <w:rsid w:val="00664B69"/>
    <w:rsid w:val="00665366"/>
    <w:rsid w:val="00665D71"/>
    <w:rsid w:val="00666543"/>
    <w:rsid w:val="006665EA"/>
    <w:rsid w:val="0066669F"/>
    <w:rsid w:val="00667981"/>
    <w:rsid w:val="00667CA3"/>
    <w:rsid w:val="0067213D"/>
    <w:rsid w:val="00672286"/>
    <w:rsid w:val="0067270F"/>
    <w:rsid w:val="00673A9F"/>
    <w:rsid w:val="0067782C"/>
    <w:rsid w:val="0068044E"/>
    <w:rsid w:val="006806DF"/>
    <w:rsid w:val="00680A76"/>
    <w:rsid w:val="006811D1"/>
    <w:rsid w:val="006819F1"/>
    <w:rsid w:val="00681AF1"/>
    <w:rsid w:val="00681E92"/>
    <w:rsid w:val="00683DCA"/>
    <w:rsid w:val="0068401B"/>
    <w:rsid w:val="0068454F"/>
    <w:rsid w:val="00684DB1"/>
    <w:rsid w:val="0068509D"/>
    <w:rsid w:val="00685B15"/>
    <w:rsid w:val="006862F6"/>
    <w:rsid w:val="00686335"/>
    <w:rsid w:val="006871DF"/>
    <w:rsid w:val="0068740D"/>
    <w:rsid w:val="00687BB4"/>
    <w:rsid w:val="00690181"/>
    <w:rsid w:val="006912A9"/>
    <w:rsid w:val="006936D1"/>
    <w:rsid w:val="00693C60"/>
    <w:rsid w:val="00694AAA"/>
    <w:rsid w:val="0069502F"/>
    <w:rsid w:val="00695D44"/>
    <w:rsid w:val="00696255"/>
    <w:rsid w:val="006A1A12"/>
    <w:rsid w:val="006A262E"/>
    <w:rsid w:val="006A36EB"/>
    <w:rsid w:val="006A37E5"/>
    <w:rsid w:val="006A5744"/>
    <w:rsid w:val="006A7035"/>
    <w:rsid w:val="006A716E"/>
    <w:rsid w:val="006A74F5"/>
    <w:rsid w:val="006B0261"/>
    <w:rsid w:val="006B053C"/>
    <w:rsid w:val="006B3EB1"/>
    <w:rsid w:val="006B40A8"/>
    <w:rsid w:val="006B4712"/>
    <w:rsid w:val="006B4928"/>
    <w:rsid w:val="006B50D3"/>
    <w:rsid w:val="006B5757"/>
    <w:rsid w:val="006B79D5"/>
    <w:rsid w:val="006C0B06"/>
    <w:rsid w:val="006C15B5"/>
    <w:rsid w:val="006C25C2"/>
    <w:rsid w:val="006C27F1"/>
    <w:rsid w:val="006C2CC9"/>
    <w:rsid w:val="006C2ED2"/>
    <w:rsid w:val="006C4C28"/>
    <w:rsid w:val="006C78DE"/>
    <w:rsid w:val="006C793A"/>
    <w:rsid w:val="006D0311"/>
    <w:rsid w:val="006D07F2"/>
    <w:rsid w:val="006D0E17"/>
    <w:rsid w:val="006D14F9"/>
    <w:rsid w:val="006D37B6"/>
    <w:rsid w:val="006D40EB"/>
    <w:rsid w:val="006D48DF"/>
    <w:rsid w:val="006D5D2B"/>
    <w:rsid w:val="006D6D2C"/>
    <w:rsid w:val="006D6F94"/>
    <w:rsid w:val="006E034B"/>
    <w:rsid w:val="006E041D"/>
    <w:rsid w:val="006E0E79"/>
    <w:rsid w:val="006E159E"/>
    <w:rsid w:val="006E16B1"/>
    <w:rsid w:val="006E1B73"/>
    <w:rsid w:val="006E38DF"/>
    <w:rsid w:val="006E39DE"/>
    <w:rsid w:val="006E42AB"/>
    <w:rsid w:val="006E52F9"/>
    <w:rsid w:val="006E670F"/>
    <w:rsid w:val="006E6860"/>
    <w:rsid w:val="006E7B76"/>
    <w:rsid w:val="006E7D9A"/>
    <w:rsid w:val="006F0464"/>
    <w:rsid w:val="006F0CA7"/>
    <w:rsid w:val="006F5D9E"/>
    <w:rsid w:val="006F760B"/>
    <w:rsid w:val="00700519"/>
    <w:rsid w:val="00702F60"/>
    <w:rsid w:val="00704B71"/>
    <w:rsid w:val="0070506E"/>
    <w:rsid w:val="007068E6"/>
    <w:rsid w:val="00706B06"/>
    <w:rsid w:val="00707345"/>
    <w:rsid w:val="00707EDC"/>
    <w:rsid w:val="007112A2"/>
    <w:rsid w:val="00711CA4"/>
    <w:rsid w:val="00711F8C"/>
    <w:rsid w:val="00712EBF"/>
    <w:rsid w:val="00713452"/>
    <w:rsid w:val="007138BD"/>
    <w:rsid w:val="00714192"/>
    <w:rsid w:val="0071436F"/>
    <w:rsid w:val="00714AFD"/>
    <w:rsid w:val="007150CE"/>
    <w:rsid w:val="00715182"/>
    <w:rsid w:val="0071558F"/>
    <w:rsid w:val="0071610C"/>
    <w:rsid w:val="00716292"/>
    <w:rsid w:val="00716A7C"/>
    <w:rsid w:val="007175A8"/>
    <w:rsid w:val="007204E7"/>
    <w:rsid w:val="0072162E"/>
    <w:rsid w:val="007219CE"/>
    <w:rsid w:val="0072293E"/>
    <w:rsid w:val="00722B2F"/>
    <w:rsid w:val="00722DA5"/>
    <w:rsid w:val="00722EC7"/>
    <w:rsid w:val="0072310A"/>
    <w:rsid w:val="00723735"/>
    <w:rsid w:val="00723F9D"/>
    <w:rsid w:val="007259B3"/>
    <w:rsid w:val="00726952"/>
    <w:rsid w:val="007272EF"/>
    <w:rsid w:val="00733028"/>
    <w:rsid w:val="00734133"/>
    <w:rsid w:val="0073473E"/>
    <w:rsid w:val="00734B1C"/>
    <w:rsid w:val="00735D5A"/>
    <w:rsid w:val="007371B6"/>
    <w:rsid w:val="00740171"/>
    <w:rsid w:val="0074108B"/>
    <w:rsid w:val="00741A4C"/>
    <w:rsid w:val="00741D0C"/>
    <w:rsid w:val="00742234"/>
    <w:rsid w:val="0074434B"/>
    <w:rsid w:val="0074503B"/>
    <w:rsid w:val="0074780F"/>
    <w:rsid w:val="007479D7"/>
    <w:rsid w:val="00747E79"/>
    <w:rsid w:val="007500C0"/>
    <w:rsid w:val="0075051F"/>
    <w:rsid w:val="0075114A"/>
    <w:rsid w:val="00752EBB"/>
    <w:rsid w:val="007566DF"/>
    <w:rsid w:val="00756DFF"/>
    <w:rsid w:val="00760094"/>
    <w:rsid w:val="007601AB"/>
    <w:rsid w:val="00761C3C"/>
    <w:rsid w:val="007634AB"/>
    <w:rsid w:val="00763C78"/>
    <w:rsid w:val="00763E2D"/>
    <w:rsid w:val="00764A88"/>
    <w:rsid w:val="00765BC2"/>
    <w:rsid w:val="00765CD3"/>
    <w:rsid w:val="00770765"/>
    <w:rsid w:val="007732A5"/>
    <w:rsid w:val="0077386A"/>
    <w:rsid w:val="00774148"/>
    <w:rsid w:val="00777698"/>
    <w:rsid w:val="007777BC"/>
    <w:rsid w:val="007801BE"/>
    <w:rsid w:val="00780212"/>
    <w:rsid w:val="00780447"/>
    <w:rsid w:val="0078122C"/>
    <w:rsid w:val="0078192B"/>
    <w:rsid w:val="00784F4E"/>
    <w:rsid w:val="00786F84"/>
    <w:rsid w:val="00787143"/>
    <w:rsid w:val="0078774B"/>
    <w:rsid w:val="00787792"/>
    <w:rsid w:val="007879A0"/>
    <w:rsid w:val="00787F86"/>
    <w:rsid w:val="007900B1"/>
    <w:rsid w:val="00790A7B"/>
    <w:rsid w:val="007912BD"/>
    <w:rsid w:val="007916C8"/>
    <w:rsid w:val="007916DE"/>
    <w:rsid w:val="00793ED4"/>
    <w:rsid w:val="00794888"/>
    <w:rsid w:val="00794BAC"/>
    <w:rsid w:val="00795240"/>
    <w:rsid w:val="007952D8"/>
    <w:rsid w:val="007955DE"/>
    <w:rsid w:val="007964B6"/>
    <w:rsid w:val="00796AB9"/>
    <w:rsid w:val="00796F84"/>
    <w:rsid w:val="007A0359"/>
    <w:rsid w:val="007A038A"/>
    <w:rsid w:val="007A09DE"/>
    <w:rsid w:val="007A1C4B"/>
    <w:rsid w:val="007A217C"/>
    <w:rsid w:val="007A264B"/>
    <w:rsid w:val="007A50D7"/>
    <w:rsid w:val="007A524A"/>
    <w:rsid w:val="007A52B5"/>
    <w:rsid w:val="007B071B"/>
    <w:rsid w:val="007B0D7A"/>
    <w:rsid w:val="007B0F6E"/>
    <w:rsid w:val="007B2007"/>
    <w:rsid w:val="007B413A"/>
    <w:rsid w:val="007B43E3"/>
    <w:rsid w:val="007B46B9"/>
    <w:rsid w:val="007B6603"/>
    <w:rsid w:val="007B6F24"/>
    <w:rsid w:val="007B725E"/>
    <w:rsid w:val="007B7275"/>
    <w:rsid w:val="007B76A0"/>
    <w:rsid w:val="007C0025"/>
    <w:rsid w:val="007C010B"/>
    <w:rsid w:val="007C13E4"/>
    <w:rsid w:val="007C1797"/>
    <w:rsid w:val="007C19D3"/>
    <w:rsid w:val="007C1CE4"/>
    <w:rsid w:val="007C341F"/>
    <w:rsid w:val="007C3DA2"/>
    <w:rsid w:val="007C4003"/>
    <w:rsid w:val="007C56FC"/>
    <w:rsid w:val="007C6142"/>
    <w:rsid w:val="007C7110"/>
    <w:rsid w:val="007C7EDA"/>
    <w:rsid w:val="007D0116"/>
    <w:rsid w:val="007D2984"/>
    <w:rsid w:val="007D422A"/>
    <w:rsid w:val="007D470E"/>
    <w:rsid w:val="007D4C5C"/>
    <w:rsid w:val="007D4D04"/>
    <w:rsid w:val="007D4E77"/>
    <w:rsid w:val="007D50A4"/>
    <w:rsid w:val="007D6872"/>
    <w:rsid w:val="007D728F"/>
    <w:rsid w:val="007D7C2F"/>
    <w:rsid w:val="007E09D2"/>
    <w:rsid w:val="007E28A2"/>
    <w:rsid w:val="007E29A4"/>
    <w:rsid w:val="007E37E0"/>
    <w:rsid w:val="007E42D5"/>
    <w:rsid w:val="007E45D1"/>
    <w:rsid w:val="007E572D"/>
    <w:rsid w:val="007E58DF"/>
    <w:rsid w:val="007E5D84"/>
    <w:rsid w:val="007E5F4F"/>
    <w:rsid w:val="007E64EB"/>
    <w:rsid w:val="007E689E"/>
    <w:rsid w:val="007E692E"/>
    <w:rsid w:val="007E76AC"/>
    <w:rsid w:val="007E7DB7"/>
    <w:rsid w:val="007E7E6F"/>
    <w:rsid w:val="007F0294"/>
    <w:rsid w:val="007F0435"/>
    <w:rsid w:val="007F06D7"/>
    <w:rsid w:val="007F09B0"/>
    <w:rsid w:val="007F1060"/>
    <w:rsid w:val="007F1B32"/>
    <w:rsid w:val="007F1DA1"/>
    <w:rsid w:val="007F2256"/>
    <w:rsid w:val="007F265A"/>
    <w:rsid w:val="007F3746"/>
    <w:rsid w:val="007F3EA4"/>
    <w:rsid w:val="007F4174"/>
    <w:rsid w:val="007F4E35"/>
    <w:rsid w:val="007F5450"/>
    <w:rsid w:val="007F5A13"/>
    <w:rsid w:val="007F6A9D"/>
    <w:rsid w:val="007F6C03"/>
    <w:rsid w:val="007F72D9"/>
    <w:rsid w:val="007F7827"/>
    <w:rsid w:val="007F7E67"/>
    <w:rsid w:val="00801246"/>
    <w:rsid w:val="00801D04"/>
    <w:rsid w:val="00802ACC"/>
    <w:rsid w:val="00803700"/>
    <w:rsid w:val="00803A83"/>
    <w:rsid w:val="00804023"/>
    <w:rsid w:val="008069EB"/>
    <w:rsid w:val="00807920"/>
    <w:rsid w:val="00807BFB"/>
    <w:rsid w:val="008108AB"/>
    <w:rsid w:val="00812215"/>
    <w:rsid w:val="00812D69"/>
    <w:rsid w:val="00813661"/>
    <w:rsid w:val="00814872"/>
    <w:rsid w:val="00814B2E"/>
    <w:rsid w:val="00817414"/>
    <w:rsid w:val="00821648"/>
    <w:rsid w:val="00821B30"/>
    <w:rsid w:val="008228E3"/>
    <w:rsid w:val="0082398C"/>
    <w:rsid w:val="008255F7"/>
    <w:rsid w:val="00825E6E"/>
    <w:rsid w:val="008272EF"/>
    <w:rsid w:val="00827622"/>
    <w:rsid w:val="0083228E"/>
    <w:rsid w:val="008329CF"/>
    <w:rsid w:val="00832B64"/>
    <w:rsid w:val="00833992"/>
    <w:rsid w:val="00834A08"/>
    <w:rsid w:val="0083536B"/>
    <w:rsid w:val="0083638D"/>
    <w:rsid w:val="00837E3B"/>
    <w:rsid w:val="00840CAF"/>
    <w:rsid w:val="008418FE"/>
    <w:rsid w:val="00841B7E"/>
    <w:rsid w:val="008426C6"/>
    <w:rsid w:val="00845A09"/>
    <w:rsid w:val="0084663C"/>
    <w:rsid w:val="0085014D"/>
    <w:rsid w:val="00851308"/>
    <w:rsid w:val="00853D37"/>
    <w:rsid w:val="0085432B"/>
    <w:rsid w:val="00854371"/>
    <w:rsid w:val="00854A7C"/>
    <w:rsid w:val="008554E1"/>
    <w:rsid w:val="00855BBF"/>
    <w:rsid w:val="00857C4F"/>
    <w:rsid w:val="00857E2A"/>
    <w:rsid w:val="00860860"/>
    <w:rsid w:val="00861015"/>
    <w:rsid w:val="008622E6"/>
    <w:rsid w:val="00862C8F"/>
    <w:rsid w:val="008648CD"/>
    <w:rsid w:val="00864908"/>
    <w:rsid w:val="008654ED"/>
    <w:rsid w:val="008659FF"/>
    <w:rsid w:val="00867661"/>
    <w:rsid w:val="00870468"/>
    <w:rsid w:val="008707B7"/>
    <w:rsid w:val="00871BFC"/>
    <w:rsid w:val="008728B1"/>
    <w:rsid w:val="00873862"/>
    <w:rsid w:val="00874BF0"/>
    <w:rsid w:val="00874FAE"/>
    <w:rsid w:val="00875BED"/>
    <w:rsid w:val="00881A27"/>
    <w:rsid w:val="008827A7"/>
    <w:rsid w:val="008834F8"/>
    <w:rsid w:val="00884379"/>
    <w:rsid w:val="0088470E"/>
    <w:rsid w:val="00884E7C"/>
    <w:rsid w:val="00886451"/>
    <w:rsid w:val="008906F3"/>
    <w:rsid w:val="00890AB0"/>
    <w:rsid w:val="00890D83"/>
    <w:rsid w:val="0089212C"/>
    <w:rsid w:val="00892520"/>
    <w:rsid w:val="008948DC"/>
    <w:rsid w:val="00896299"/>
    <w:rsid w:val="008975B2"/>
    <w:rsid w:val="008978DD"/>
    <w:rsid w:val="008A059F"/>
    <w:rsid w:val="008A0B3E"/>
    <w:rsid w:val="008A1F10"/>
    <w:rsid w:val="008A288C"/>
    <w:rsid w:val="008A3638"/>
    <w:rsid w:val="008A5E4E"/>
    <w:rsid w:val="008A5FCA"/>
    <w:rsid w:val="008A606D"/>
    <w:rsid w:val="008A66A7"/>
    <w:rsid w:val="008A6B5F"/>
    <w:rsid w:val="008A7B95"/>
    <w:rsid w:val="008A7CA1"/>
    <w:rsid w:val="008A7F35"/>
    <w:rsid w:val="008B00F5"/>
    <w:rsid w:val="008B0167"/>
    <w:rsid w:val="008B0D24"/>
    <w:rsid w:val="008B2293"/>
    <w:rsid w:val="008B25E3"/>
    <w:rsid w:val="008B3270"/>
    <w:rsid w:val="008B4340"/>
    <w:rsid w:val="008B62DD"/>
    <w:rsid w:val="008B6FC0"/>
    <w:rsid w:val="008C0615"/>
    <w:rsid w:val="008C100B"/>
    <w:rsid w:val="008C1BAC"/>
    <w:rsid w:val="008C1F65"/>
    <w:rsid w:val="008C20FF"/>
    <w:rsid w:val="008C31E3"/>
    <w:rsid w:val="008C47C2"/>
    <w:rsid w:val="008C589D"/>
    <w:rsid w:val="008C5DCB"/>
    <w:rsid w:val="008C69DB"/>
    <w:rsid w:val="008C6F1D"/>
    <w:rsid w:val="008C79FE"/>
    <w:rsid w:val="008D03EA"/>
    <w:rsid w:val="008D2CE4"/>
    <w:rsid w:val="008D3FE1"/>
    <w:rsid w:val="008D4518"/>
    <w:rsid w:val="008D4C23"/>
    <w:rsid w:val="008D7378"/>
    <w:rsid w:val="008E00EF"/>
    <w:rsid w:val="008E1898"/>
    <w:rsid w:val="008E3C4E"/>
    <w:rsid w:val="008E4520"/>
    <w:rsid w:val="008E5C68"/>
    <w:rsid w:val="008E5D69"/>
    <w:rsid w:val="008E61BB"/>
    <w:rsid w:val="008E6753"/>
    <w:rsid w:val="008E7A0D"/>
    <w:rsid w:val="008F0360"/>
    <w:rsid w:val="008F1F8B"/>
    <w:rsid w:val="008F21F0"/>
    <w:rsid w:val="008F228E"/>
    <w:rsid w:val="008F455B"/>
    <w:rsid w:val="008F4C14"/>
    <w:rsid w:val="008F6008"/>
    <w:rsid w:val="008F6105"/>
    <w:rsid w:val="008F70BE"/>
    <w:rsid w:val="008F7306"/>
    <w:rsid w:val="008F7F31"/>
    <w:rsid w:val="008F7F79"/>
    <w:rsid w:val="009013D9"/>
    <w:rsid w:val="00902AA1"/>
    <w:rsid w:val="009067E4"/>
    <w:rsid w:val="00906937"/>
    <w:rsid w:val="009075DC"/>
    <w:rsid w:val="00907CA5"/>
    <w:rsid w:val="00910504"/>
    <w:rsid w:val="00911969"/>
    <w:rsid w:val="00912345"/>
    <w:rsid w:val="00912ACA"/>
    <w:rsid w:val="00912EEC"/>
    <w:rsid w:val="009139C3"/>
    <w:rsid w:val="00913CE6"/>
    <w:rsid w:val="00913F9B"/>
    <w:rsid w:val="009142C4"/>
    <w:rsid w:val="00914617"/>
    <w:rsid w:val="00914888"/>
    <w:rsid w:val="00915F3E"/>
    <w:rsid w:val="009167EB"/>
    <w:rsid w:val="00917969"/>
    <w:rsid w:val="00921C0B"/>
    <w:rsid w:val="009225E7"/>
    <w:rsid w:val="00923506"/>
    <w:rsid w:val="0092367C"/>
    <w:rsid w:val="009243DE"/>
    <w:rsid w:val="00924F80"/>
    <w:rsid w:val="00926395"/>
    <w:rsid w:val="00926BB5"/>
    <w:rsid w:val="00927BE5"/>
    <w:rsid w:val="00930DE9"/>
    <w:rsid w:val="00930FAD"/>
    <w:rsid w:val="00931AF0"/>
    <w:rsid w:val="00932723"/>
    <w:rsid w:val="00932928"/>
    <w:rsid w:val="00933C29"/>
    <w:rsid w:val="00934526"/>
    <w:rsid w:val="0093478A"/>
    <w:rsid w:val="009349A4"/>
    <w:rsid w:val="00934BE7"/>
    <w:rsid w:val="009367D5"/>
    <w:rsid w:val="00936F05"/>
    <w:rsid w:val="00937640"/>
    <w:rsid w:val="00937A5E"/>
    <w:rsid w:val="00937D59"/>
    <w:rsid w:val="00937D5A"/>
    <w:rsid w:val="00940C57"/>
    <w:rsid w:val="00940C67"/>
    <w:rsid w:val="00941237"/>
    <w:rsid w:val="009426F1"/>
    <w:rsid w:val="0094330C"/>
    <w:rsid w:val="00947B74"/>
    <w:rsid w:val="00947F23"/>
    <w:rsid w:val="00951F47"/>
    <w:rsid w:val="00952372"/>
    <w:rsid w:val="00952690"/>
    <w:rsid w:val="009569CC"/>
    <w:rsid w:val="00956EA5"/>
    <w:rsid w:val="00960171"/>
    <w:rsid w:val="00961E5B"/>
    <w:rsid w:val="0096292D"/>
    <w:rsid w:val="00963942"/>
    <w:rsid w:val="00963BD9"/>
    <w:rsid w:val="00963C5F"/>
    <w:rsid w:val="00963E83"/>
    <w:rsid w:val="00963F3E"/>
    <w:rsid w:val="009647FA"/>
    <w:rsid w:val="00966588"/>
    <w:rsid w:val="0096673F"/>
    <w:rsid w:val="00966F57"/>
    <w:rsid w:val="009674C8"/>
    <w:rsid w:val="00970E90"/>
    <w:rsid w:val="00972197"/>
    <w:rsid w:val="0097229E"/>
    <w:rsid w:val="00972BD7"/>
    <w:rsid w:val="00972D2E"/>
    <w:rsid w:val="0097381F"/>
    <w:rsid w:val="0097489A"/>
    <w:rsid w:val="00975FAE"/>
    <w:rsid w:val="009760D8"/>
    <w:rsid w:val="009773FF"/>
    <w:rsid w:val="009775C7"/>
    <w:rsid w:val="009779B9"/>
    <w:rsid w:val="00977B93"/>
    <w:rsid w:val="00980289"/>
    <w:rsid w:val="009810B0"/>
    <w:rsid w:val="0098299A"/>
    <w:rsid w:val="00983DD9"/>
    <w:rsid w:val="0098504F"/>
    <w:rsid w:val="009852B7"/>
    <w:rsid w:val="00985D15"/>
    <w:rsid w:val="009869AA"/>
    <w:rsid w:val="00986BA0"/>
    <w:rsid w:val="00987DB7"/>
    <w:rsid w:val="00990591"/>
    <w:rsid w:val="00990FFC"/>
    <w:rsid w:val="00991A60"/>
    <w:rsid w:val="0099224E"/>
    <w:rsid w:val="0099372A"/>
    <w:rsid w:val="00993BD7"/>
    <w:rsid w:val="00993D71"/>
    <w:rsid w:val="00994C51"/>
    <w:rsid w:val="009956F8"/>
    <w:rsid w:val="00997B2A"/>
    <w:rsid w:val="009A0AD1"/>
    <w:rsid w:val="009A3260"/>
    <w:rsid w:val="009A38BE"/>
    <w:rsid w:val="009A7BEE"/>
    <w:rsid w:val="009B007B"/>
    <w:rsid w:val="009B0C25"/>
    <w:rsid w:val="009B0DB9"/>
    <w:rsid w:val="009B0E8E"/>
    <w:rsid w:val="009B0EB3"/>
    <w:rsid w:val="009B2DD1"/>
    <w:rsid w:val="009B308F"/>
    <w:rsid w:val="009B4814"/>
    <w:rsid w:val="009B66A3"/>
    <w:rsid w:val="009B67C5"/>
    <w:rsid w:val="009B785C"/>
    <w:rsid w:val="009C04DD"/>
    <w:rsid w:val="009C109B"/>
    <w:rsid w:val="009C17B4"/>
    <w:rsid w:val="009C1C81"/>
    <w:rsid w:val="009C1DF9"/>
    <w:rsid w:val="009C28B1"/>
    <w:rsid w:val="009C2BD9"/>
    <w:rsid w:val="009C3E90"/>
    <w:rsid w:val="009C47E9"/>
    <w:rsid w:val="009C4C31"/>
    <w:rsid w:val="009C55D9"/>
    <w:rsid w:val="009C5825"/>
    <w:rsid w:val="009C6207"/>
    <w:rsid w:val="009C65AD"/>
    <w:rsid w:val="009D0FDD"/>
    <w:rsid w:val="009D2CBD"/>
    <w:rsid w:val="009D5E8B"/>
    <w:rsid w:val="009D65C1"/>
    <w:rsid w:val="009D7AD4"/>
    <w:rsid w:val="009D7FA2"/>
    <w:rsid w:val="009E01FD"/>
    <w:rsid w:val="009E115E"/>
    <w:rsid w:val="009E125C"/>
    <w:rsid w:val="009E12A0"/>
    <w:rsid w:val="009E1E5D"/>
    <w:rsid w:val="009E27EB"/>
    <w:rsid w:val="009E3B0A"/>
    <w:rsid w:val="009E5562"/>
    <w:rsid w:val="009E757D"/>
    <w:rsid w:val="009E758A"/>
    <w:rsid w:val="009E7E84"/>
    <w:rsid w:val="009F0584"/>
    <w:rsid w:val="009F16F6"/>
    <w:rsid w:val="009F2286"/>
    <w:rsid w:val="009F2A00"/>
    <w:rsid w:val="009F2E62"/>
    <w:rsid w:val="009F303B"/>
    <w:rsid w:val="009F3137"/>
    <w:rsid w:val="009F3D88"/>
    <w:rsid w:val="009F6332"/>
    <w:rsid w:val="009F6F92"/>
    <w:rsid w:val="00A0051F"/>
    <w:rsid w:val="00A00AFC"/>
    <w:rsid w:val="00A0341E"/>
    <w:rsid w:val="00A03C2C"/>
    <w:rsid w:val="00A0437D"/>
    <w:rsid w:val="00A05B24"/>
    <w:rsid w:val="00A068A1"/>
    <w:rsid w:val="00A1013D"/>
    <w:rsid w:val="00A1276E"/>
    <w:rsid w:val="00A12C18"/>
    <w:rsid w:val="00A1339F"/>
    <w:rsid w:val="00A13807"/>
    <w:rsid w:val="00A1390B"/>
    <w:rsid w:val="00A148EB"/>
    <w:rsid w:val="00A16FBB"/>
    <w:rsid w:val="00A1796F"/>
    <w:rsid w:val="00A17DCD"/>
    <w:rsid w:val="00A2069D"/>
    <w:rsid w:val="00A21717"/>
    <w:rsid w:val="00A22356"/>
    <w:rsid w:val="00A227BA"/>
    <w:rsid w:val="00A24DEB"/>
    <w:rsid w:val="00A24F0A"/>
    <w:rsid w:val="00A25124"/>
    <w:rsid w:val="00A27290"/>
    <w:rsid w:val="00A27F45"/>
    <w:rsid w:val="00A27F4D"/>
    <w:rsid w:val="00A31691"/>
    <w:rsid w:val="00A31748"/>
    <w:rsid w:val="00A32037"/>
    <w:rsid w:val="00A32354"/>
    <w:rsid w:val="00A3415A"/>
    <w:rsid w:val="00A3485C"/>
    <w:rsid w:val="00A354F2"/>
    <w:rsid w:val="00A3583D"/>
    <w:rsid w:val="00A41383"/>
    <w:rsid w:val="00A42881"/>
    <w:rsid w:val="00A42FE7"/>
    <w:rsid w:val="00A43978"/>
    <w:rsid w:val="00A45B22"/>
    <w:rsid w:val="00A45E7D"/>
    <w:rsid w:val="00A46FB7"/>
    <w:rsid w:val="00A4790C"/>
    <w:rsid w:val="00A47A93"/>
    <w:rsid w:val="00A5025E"/>
    <w:rsid w:val="00A503F9"/>
    <w:rsid w:val="00A511AC"/>
    <w:rsid w:val="00A52612"/>
    <w:rsid w:val="00A52A23"/>
    <w:rsid w:val="00A52FBE"/>
    <w:rsid w:val="00A56D01"/>
    <w:rsid w:val="00A572B0"/>
    <w:rsid w:val="00A57902"/>
    <w:rsid w:val="00A612E2"/>
    <w:rsid w:val="00A62522"/>
    <w:rsid w:val="00A643B3"/>
    <w:rsid w:val="00A64ADC"/>
    <w:rsid w:val="00A65C7F"/>
    <w:rsid w:val="00A6635F"/>
    <w:rsid w:val="00A668BB"/>
    <w:rsid w:val="00A66A45"/>
    <w:rsid w:val="00A679F1"/>
    <w:rsid w:val="00A67FE1"/>
    <w:rsid w:val="00A7195F"/>
    <w:rsid w:val="00A75BCB"/>
    <w:rsid w:val="00A766C4"/>
    <w:rsid w:val="00A76BF9"/>
    <w:rsid w:val="00A76E2F"/>
    <w:rsid w:val="00A77667"/>
    <w:rsid w:val="00A8078F"/>
    <w:rsid w:val="00A81093"/>
    <w:rsid w:val="00A8135A"/>
    <w:rsid w:val="00A83E17"/>
    <w:rsid w:val="00A84915"/>
    <w:rsid w:val="00A857D7"/>
    <w:rsid w:val="00A860B7"/>
    <w:rsid w:val="00A87832"/>
    <w:rsid w:val="00A91720"/>
    <w:rsid w:val="00A943DE"/>
    <w:rsid w:val="00A950BE"/>
    <w:rsid w:val="00A9627B"/>
    <w:rsid w:val="00A96BA8"/>
    <w:rsid w:val="00A96FF2"/>
    <w:rsid w:val="00AA01A6"/>
    <w:rsid w:val="00AA0A33"/>
    <w:rsid w:val="00AA0DD3"/>
    <w:rsid w:val="00AA0F3E"/>
    <w:rsid w:val="00AA2435"/>
    <w:rsid w:val="00AA2591"/>
    <w:rsid w:val="00AA3302"/>
    <w:rsid w:val="00AA63DC"/>
    <w:rsid w:val="00AB0C43"/>
    <w:rsid w:val="00AB1B73"/>
    <w:rsid w:val="00AB3379"/>
    <w:rsid w:val="00AB3945"/>
    <w:rsid w:val="00AB4C4C"/>
    <w:rsid w:val="00AB4C54"/>
    <w:rsid w:val="00AB5D04"/>
    <w:rsid w:val="00AB5F08"/>
    <w:rsid w:val="00AB75F7"/>
    <w:rsid w:val="00AB7BF1"/>
    <w:rsid w:val="00AC0EFD"/>
    <w:rsid w:val="00AC1699"/>
    <w:rsid w:val="00AC1C8D"/>
    <w:rsid w:val="00AC286C"/>
    <w:rsid w:val="00AC3040"/>
    <w:rsid w:val="00AC3234"/>
    <w:rsid w:val="00AC4FBF"/>
    <w:rsid w:val="00AC5FC7"/>
    <w:rsid w:val="00AC6E75"/>
    <w:rsid w:val="00AC7AED"/>
    <w:rsid w:val="00AC7C43"/>
    <w:rsid w:val="00AC7CF6"/>
    <w:rsid w:val="00AD03A4"/>
    <w:rsid w:val="00AD202A"/>
    <w:rsid w:val="00AD2E33"/>
    <w:rsid w:val="00AD32C1"/>
    <w:rsid w:val="00AD4044"/>
    <w:rsid w:val="00AD4673"/>
    <w:rsid w:val="00AD6E2D"/>
    <w:rsid w:val="00AE001C"/>
    <w:rsid w:val="00AE125B"/>
    <w:rsid w:val="00AE2220"/>
    <w:rsid w:val="00AE3B70"/>
    <w:rsid w:val="00AE3CFA"/>
    <w:rsid w:val="00AE466B"/>
    <w:rsid w:val="00AE47D1"/>
    <w:rsid w:val="00AE4C18"/>
    <w:rsid w:val="00AE517C"/>
    <w:rsid w:val="00AE51AF"/>
    <w:rsid w:val="00AE5D6A"/>
    <w:rsid w:val="00AE6554"/>
    <w:rsid w:val="00AE6853"/>
    <w:rsid w:val="00AE78FE"/>
    <w:rsid w:val="00AE7E87"/>
    <w:rsid w:val="00AF15AC"/>
    <w:rsid w:val="00AF1C3B"/>
    <w:rsid w:val="00AF1F1F"/>
    <w:rsid w:val="00AF2386"/>
    <w:rsid w:val="00AF2B4F"/>
    <w:rsid w:val="00AF34B0"/>
    <w:rsid w:val="00AF426F"/>
    <w:rsid w:val="00AF4765"/>
    <w:rsid w:val="00AF5CAD"/>
    <w:rsid w:val="00AF6283"/>
    <w:rsid w:val="00B00295"/>
    <w:rsid w:val="00B00C32"/>
    <w:rsid w:val="00B01958"/>
    <w:rsid w:val="00B026C1"/>
    <w:rsid w:val="00B027A9"/>
    <w:rsid w:val="00B04D94"/>
    <w:rsid w:val="00B0701E"/>
    <w:rsid w:val="00B07E93"/>
    <w:rsid w:val="00B10D55"/>
    <w:rsid w:val="00B11A09"/>
    <w:rsid w:val="00B11AD6"/>
    <w:rsid w:val="00B15EDE"/>
    <w:rsid w:val="00B16DBD"/>
    <w:rsid w:val="00B205FF"/>
    <w:rsid w:val="00B20E00"/>
    <w:rsid w:val="00B2223B"/>
    <w:rsid w:val="00B22DF8"/>
    <w:rsid w:val="00B23A48"/>
    <w:rsid w:val="00B266D7"/>
    <w:rsid w:val="00B27039"/>
    <w:rsid w:val="00B278E8"/>
    <w:rsid w:val="00B27941"/>
    <w:rsid w:val="00B30725"/>
    <w:rsid w:val="00B30E04"/>
    <w:rsid w:val="00B3103F"/>
    <w:rsid w:val="00B31BE4"/>
    <w:rsid w:val="00B31E27"/>
    <w:rsid w:val="00B31ECC"/>
    <w:rsid w:val="00B34A82"/>
    <w:rsid w:val="00B34D5D"/>
    <w:rsid w:val="00B35921"/>
    <w:rsid w:val="00B35BF5"/>
    <w:rsid w:val="00B3643A"/>
    <w:rsid w:val="00B3683E"/>
    <w:rsid w:val="00B36A6E"/>
    <w:rsid w:val="00B37133"/>
    <w:rsid w:val="00B373CC"/>
    <w:rsid w:val="00B44620"/>
    <w:rsid w:val="00B4502B"/>
    <w:rsid w:val="00B470CD"/>
    <w:rsid w:val="00B47142"/>
    <w:rsid w:val="00B50B31"/>
    <w:rsid w:val="00B5217C"/>
    <w:rsid w:val="00B5381B"/>
    <w:rsid w:val="00B548D5"/>
    <w:rsid w:val="00B56541"/>
    <w:rsid w:val="00B566E6"/>
    <w:rsid w:val="00B57332"/>
    <w:rsid w:val="00B603D4"/>
    <w:rsid w:val="00B60EE5"/>
    <w:rsid w:val="00B61FBE"/>
    <w:rsid w:val="00B628A3"/>
    <w:rsid w:val="00B62D23"/>
    <w:rsid w:val="00B63675"/>
    <w:rsid w:val="00B63BC3"/>
    <w:rsid w:val="00B64BF6"/>
    <w:rsid w:val="00B64F79"/>
    <w:rsid w:val="00B65595"/>
    <w:rsid w:val="00B658A6"/>
    <w:rsid w:val="00B67725"/>
    <w:rsid w:val="00B7150D"/>
    <w:rsid w:val="00B7217C"/>
    <w:rsid w:val="00B72B8E"/>
    <w:rsid w:val="00B72BF7"/>
    <w:rsid w:val="00B72D3D"/>
    <w:rsid w:val="00B73F34"/>
    <w:rsid w:val="00B73FBB"/>
    <w:rsid w:val="00B8099C"/>
    <w:rsid w:val="00B81686"/>
    <w:rsid w:val="00B81CEF"/>
    <w:rsid w:val="00B82C14"/>
    <w:rsid w:val="00B861DB"/>
    <w:rsid w:val="00B8622A"/>
    <w:rsid w:val="00B87F43"/>
    <w:rsid w:val="00B97BA8"/>
    <w:rsid w:val="00BA0677"/>
    <w:rsid w:val="00BA099E"/>
    <w:rsid w:val="00BA117C"/>
    <w:rsid w:val="00BA120F"/>
    <w:rsid w:val="00BA13F1"/>
    <w:rsid w:val="00BA17EA"/>
    <w:rsid w:val="00BA18DA"/>
    <w:rsid w:val="00BA35F3"/>
    <w:rsid w:val="00BA3890"/>
    <w:rsid w:val="00BA49FE"/>
    <w:rsid w:val="00BA5292"/>
    <w:rsid w:val="00BA6230"/>
    <w:rsid w:val="00BA6566"/>
    <w:rsid w:val="00BA6F03"/>
    <w:rsid w:val="00BA7B3C"/>
    <w:rsid w:val="00BB02B7"/>
    <w:rsid w:val="00BB068C"/>
    <w:rsid w:val="00BB0E8D"/>
    <w:rsid w:val="00BB0E95"/>
    <w:rsid w:val="00BB29A2"/>
    <w:rsid w:val="00BB3B79"/>
    <w:rsid w:val="00BB56E2"/>
    <w:rsid w:val="00BB58AE"/>
    <w:rsid w:val="00BB59C4"/>
    <w:rsid w:val="00BB71E9"/>
    <w:rsid w:val="00BB7E13"/>
    <w:rsid w:val="00BC0C2B"/>
    <w:rsid w:val="00BC1CCB"/>
    <w:rsid w:val="00BC29F7"/>
    <w:rsid w:val="00BC2C0B"/>
    <w:rsid w:val="00BC2D15"/>
    <w:rsid w:val="00BC4460"/>
    <w:rsid w:val="00BC6885"/>
    <w:rsid w:val="00BC6B8F"/>
    <w:rsid w:val="00BC7443"/>
    <w:rsid w:val="00BD0105"/>
    <w:rsid w:val="00BD053F"/>
    <w:rsid w:val="00BD094A"/>
    <w:rsid w:val="00BD0FA2"/>
    <w:rsid w:val="00BD1824"/>
    <w:rsid w:val="00BD25A5"/>
    <w:rsid w:val="00BD2E50"/>
    <w:rsid w:val="00BD3A77"/>
    <w:rsid w:val="00BD3C91"/>
    <w:rsid w:val="00BD5053"/>
    <w:rsid w:val="00BD50E5"/>
    <w:rsid w:val="00BD5232"/>
    <w:rsid w:val="00BD5285"/>
    <w:rsid w:val="00BD5D14"/>
    <w:rsid w:val="00BD6611"/>
    <w:rsid w:val="00BD6B3D"/>
    <w:rsid w:val="00BD6B7E"/>
    <w:rsid w:val="00BE0B31"/>
    <w:rsid w:val="00BE0D4C"/>
    <w:rsid w:val="00BE0D5C"/>
    <w:rsid w:val="00BE165C"/>
    <w:rsid w:val="00BE20A5"/>
    <w:rsid w:val="00BE2A55"/>
    <w:rsid w:val="00BE3AC1"/>
    <w:rsid w:val="00BE540B"/>
    <w:rsid w:val="00BE59A0"/>
    <w:rsid w:val="00BE7C9B"/>
    <w:rsid w:val="00BF16FF"/>
    <w:rsid w:val="00BF26C9"/>
    <w:rsid w:val="00BF274B"/>
    <w:rsid w:val="00BF2C19"/>
    <w:rsid w:val="00BF2D9E"/>
    <w:rsid w:val="00BF328C"/>
    <w:rsid w:val="00BF454F"/>
    <w:rsid w:val="00BF5B1A"/>
    <w:rsid w:val="00BF5BDF"/>
    <w:rsid w:val="00BF774D"/>
    <w:rsid w:val="00C017CB"/>
    <w:rsid w:val="00C01DCE"/>
    <w:rsid w:val="00C01F62"/>
    <w:rsid w:val="00C03302"/>
    <w:rsid w:val="00C0338C"/>
    <w:rsid w:val="00C069C4"/>
    <w:rsid w:val="00C0752B"/>
    <w:rsid w:val="00C10B0E"/>
    <w:rsid w:val="00C10DC6"/>
    <w:rsid w:val="00C10FFE"/>
    <w:rsid w:val="00C1240D"/>
    <w:rsid w:val="00C12ADD"/>
    <w:rsid w:val="00C12C7D"/>
    <w:rsid w:val="00C135F3"/>
    <w:rsid w:val="00C14D1F"/>
    <w:rsid w:val="00C17D04"/>
    <w:rsid w:val="00C20DD3"/>
    <w:rsid w:val="00C22377"/>
    <w:rsid w:val="00C22D7C"/>
    <w:rsid w:val="00C23367"/>
    <w:rsid w:val="00C23F7A"/>
    <w:rsid w:val="00C2608E"/>
    <w:rsid w:val="00C27038"/>
    <w:rsid w:val="00C27875"/>
    <w:rsid w:val="00C30EF0"/>
    <w:rsid w:val="00C31DDE"/>
    <w:rsid w:val="00C32E36"/>
    <w:rsid w:val="00C344D3"/>
    <w:rsid w:val="00C34E49"/>
    <w:rsid w:val="00C35B75"/>
    <w:rsid w:val="00C362B1"/>
    <w:rsid w:val="00C365C0"/>
    <w:rsid w:val="00C36E56"/>
    <w:rsid w:val="00C409D7"/>
    <w:rsid w:val="00C40B5E"/>
    <w:rsid w:val="00C40D2D"/>
    <w:rsid w:val="00C411A5"/>
    <w:rsid w:val="00C428C1"/>
    <w:rsid w:val="00C42D03"/>
    <w:rsid w:val="00C4374C"/>
    <w:rsid w:val="00C4516E"/>
    <w:rsid w:val="00C45A66"/>
    <w:rsid w:val="00C46ACD"/>
    <w:rsid w:val="00C4711F"/>
    <w:rsid w:val="00C4777A"/>
    <w:rsid w:val="00C51203"/>
    <w:rsid w:val="00C51A48"/>
    <w:rsid w:val="00C51C0F"/>
    <w:rsid w:val="00C51E10"/>
    <w:rsid w:val="00C5236E"/>
    <w:rsid w:val="00C52DDE"/>
    <w:rsid w:val="00C5316F"/>
    <w:rsid w:val="00C5318E"/>
    <w:rsid w:val="00C53624"/>
    <w:rsid w:val="00C5399F"/>
    <w:rsid w:val="00C53D17"/>
    <w:rsid w:val="00C53E82"/>
    <w:rsid w:val="00C549B3"/>
    <w:rsid w:val="00C55508"/>
    <w:rsid w:val="00C5553B"/>
    <w:rsid w:val="00C55B2C"/>
    <w:rsid w:val="00C56552"/>
    <w:rsid w:val="00C6018D"/>
    <w:rsid w:val="00C626CE"/>
    <w:rsid w:val="00C63444"/>
    <w:rsid w:val="00C63D7A"/>
    <w:rsid w:val="00C63FEC"/>
    <w:rsid w:val="00C64764"/>
    <w:rsid w:val="00C64770"/>
    <w:rsid w:val="00C64F37"/>
    <w:rsid w:val="00C65866"/>
    <w:rsid w:val="00C6713F"/>
    <w:rsid w:val="00C67E9C"/>
    <w:rsid w:val="00C707EF"/>
    <w:rsid w:val="00C70AD4"/>
    <w:rsid w:val="00C71101"/>
    <w:rsid w:val="00C72096"/>
    <w:rsid w:val="00C72FF0"/>
    <w:rsid w:val="00C73C6C"/>
    <w:rsid w:val="00C7426D"/>
    <w:rsid w:val="00C74BFB"/>
    <w:rsid w:val="00C77D9A"/>
    <w:rsid w:val="00C800B2"/>
    <w:rsid w:val="00C807B6"/>
    <w:rsid w:val="00C8119A"/>
    <w:rsid w:val="00C81E5F"/>
    <w:rsid w:val="00C83323"/>
    <w:rsid w:val="00C84B04"/>
    <w:rsid w:val="00C85021"/>
    <w:rsid w:val="00C85E89"/>
    <w:rsid w:val="00C86ED6"/>
    <w:rsid w:val="00C914FC"/>
    <w:rsid w:val="00C917ED"/>
    <w:rsid w:val="00C91AAE"/>
    <w:rsid w:val="00C91F9D"/>
    <w:rsid w:val="00C92CD7"/>
    <w:rsid w:val="00C9311B"/>
    <w:rsid w:val="00C93A44"/>
    <w:rsid w:val="00C9492D"/>
    <w:rsid w:val="00C9692A"/>
    <w:rsid w:val="00CA0FE3"/>
    <w:rsid w:val="00CA1F02"/>
    <w:rsid w:val="00CA25E9"/>
    <w:rsid w:val="00CA3B3D"/>
    <w:rsid w:val="00CA5B05"/>
    <w:rsid w:val="00CA6B1B"/>
    <w:rsid w:val="00CA6F2E"/>
    <w:rsid w:val="00CA7053"/>
    <w:rsid w:val="00CA7F28"/>
    <w:rsid w:val="00CB089E"/>
    <w:rsid w:val="00CB0A6C"/>
    <w:rsid w:val="00CB0BD7"/>
    <w:rsid w:val="00CB2CDA"/>
    <w:rsid w:val="00CB3A67"/>
    <w:rsid w:val="00CB410C"/>
    <w:rsid w:val="00CB4A11"/>
    <w:rsid w:val="00CB6B51"/>
    <w:rsid w:val="00CB723F"/>
    <w:rsid w:val="00CB7A7C"/>
    <w:rsid w:val="00CC06B8"/>
    <w:rsid w:val="00CC1BCD"/>
    <w:rsid w:val="00CC1D35"/>
    <w:rsid w:val="00CC29C6"/>
    <w:rsid w:val="00CC347C"/>
    <w:rsid w:val="00CC43A2"/>
    <w:rsid w:val="00CC7052"/>
    <w:rsid w:val="00CC771C"/>
    <w:rsid w:val="00CC7784"/>
    <w:rsid w:val="00CC79CD"/>
    <w:rsid w:val="00CC7E24"/>
    <w:rsid w:val="00CD029F"/>
    <w:rsid w:val="00CD1A65"/>
    <w:rsid w:val="00CD1F25"/>
    <w:rsid w:val="00CD2306"/>
    <w:rsid w:val="00CD2DA8"/>
    <w:rsid w:val="00CD35E1"/>
    <w:rsid w:val="00CD525E"/>
    <w:rsid w:val="00CD5328"/>
    <w:rsid w:val="00CD6F47"/>
    <w:rsid w:val="00CD7437"/>
    <w:rsid w:val="00CD7BEA"/>
    <w:rsid w:val="00CD7D19"/>
    <w:rsid w:val="00CE04E1"/>
    <w:rsid w:val="00CE05BB"/>
    <w:rsid w:val="00CE0A76"/>
    <w:rsid w:val="00CE1BB0"/>
    <w:rsid w:val="00CE2EC4"/>
    <w:rsid w:val="00CE2FCC"/>
    <w:rsid w:val="00CE338E"/>
    <w:rsid w:val="00CE348A"/>
    <w:rsid w:val="00CE54C2"/>
    <w:rsid w:val="00CE577C"/>
    <w:rsid w:val="00CE63D6"/>
    <w:rsid w:val="00CF1119"/>
    <w:rsid w:val="00CF1E44"/>
    <w:rsid w:val="00CF358D"/>
    <w:rsid w:val="00CF53C7"/>
    <w:rsid w:val="00CF5E04"/>
    <w:rsid w:val="00CF6F07"/>
    <w:rsid w:val="00CF7048"/>
    <w:rsid w:val="00D0022F"/>
    <w:rsid w:val="00D01042"/>
    <w:rsid w:val="00D01773"/>
    <w:rsid w:val="00D0179D"/>
    <w:rsid w:val="00D0230E"/>
    <w:rsid w:val="00D02E58"/>
    <w:rsid w:val="00D04205"/>
    <w:rsid w:val="00D04F24"/>
    <w:rsid w:val="00D051AB"/>
    <w:rsid w:val="00D063A2"/>
    <w:rsid w:val="00D0672D"/>
    <w:rsid w:val="00D071D9"/>
    <w:rsid w:val="00D077DA"/>
    <w:rsid w:val="00D10784"/>
    <w:rsid w:val="00D10C82"/>
    <w:rsid w:val="00D111AF"/>
    <w:rsid w:val="00D125BF"/>
    <w:rsid w:val="00D130E2"/>
    <w:rsid w:val="00D1313E"/>
    <w:rsid w:val="00D1395F"/>
    <w:rsid w:val="00D13EBA"/>
    <w:rsid w:val="00D1407E"/>
    <w:rsid w:val="00D15163"/>
    <w:rsid w:val="00D1546C"/>
    <w:rsid w:val="00D15781"/>
    <w:rsid w:val="00D173FD"/>
    <w:rsid w:val="00D203D3"/>
    <w:rsid w:val="00D21498"/>
    <w:rsid w:val="00D2154D"/>
    <w:rsid w:val="00D21686"/>
    <w:rsid w:val="00D22168"/>
    <w:rsid w:val="00D22E5B"/>
    <w:rsid w:val="00D231AA"/>
    <w:rsid w:val="00D235DB"/>
    <w:rsid w:val="00D23BFA"/>
    <w:rsid w:val="00D24501"/>
    <w:rsid w:val="00D24CFD"/>
    <w:rsid w:val="00D25D58"/>
    <w:rsid w:val="00D26843"/>
    <w:rsid w:val="00D27F9C"/>
    <w:rsid w:val="00D3121E"/>
    <w:rsid w:val="00D3158F"/>
    <w:rsid w:val="00D32A41"/>
    <w:rsid w:val="00D33228"/>
    <w:rsid w:val="00D34F29"/>
    <w:rsid w:val="00D35801"/>
    <w:rsid w:val="00D372B9"/>
    <w:rsid w:val="00D37A11"/>
    <w:rsid w:val="00D41FFC"/>
    <w:rsid w:val="00D430CB"/>
    <w:rsid w:val="00D4396E"/>
    <w:rsid w:val="00D43B6E"/>
    <w:rsid w:val="00D44143"/>
    <w:rsid w:val="00D45FEB"/>
    <w:rsid w:val="00D4626A"/>
    <w:rsid w:val="00D473C6"/>
    <w:rsid w:val="00D477DE"/>
    <w:rsid w:val="00D51985"/>
    <w:rsid w:val="00D5240F"/>
    <w:rsid w:val="00D5242A"/>
    <w:rsid w:val="00D53DEE"/>
    <w:rsid w:val="00D54EA8"/>
    <w:rsid w:val="00D56963"/>
    <w:rsid w:val="00D57C79"/>
    <w:rsid w:val="00D601A4"/>
    <w:rsid w:val="00D604E3"/>
    <w:rsid w:val="00D60BE0"/>
    <w:rsid w:val="00D60F8F"/>
    <w:rsid w:val="00D61152"/>
    <w:rsid w:val="00D6139A"/>
    <w:rsid w:val="00D62AE4"/>
    <w:rsid w:val="00D63BF5"/>
    <w:rsid w:val="00D65101"/>
    <w:rsid w:val="00D65113"/>
    <w:rsid w:val="00D6547D"/>
    <w:rsid w:val="00D6550D"/>
    <w:rsid w:val="00D65CC4"/>
    <w:rsid w:val="00D66CA0"/>
    <w:rsid w:val="00D70E42"/>
    <w:rsid w:val="00D719E2"/>
    <w:rsid w:val="00D733E9"/>
    <w:rsid w:val="00D74BE2"/>
    <w:rsid w:val="00D7577A"/>
    <w:rsid w:val="00D76783"/>
    <w:rsid w:val="00D76C18"/>
    <w:rsid w:val="00D778B5"/>
    <w:rsid w:val="00D80347"/>
    <w:rsid w:val="00D80DFA"/>
    <w:rsid w:val="00D83BD3"/>
    <w:rsid w:val="00D83F66"/>
    <w:rsid w:val="00D847C4"/>
    <w:rsid w:val="00D84CCB"/>
    <w:rsid w:val="00D8544C"/>
    <w:rsid w:val="00D863C2"/>
    <w:rsid w:val="00D87089"/>
    <w:rsid w:val="00D90EA9"/>
    <w:rsid w:val="00D90FF4"/>
    <w:rsid w:val="00D92830"/>
    <w:rsid w:val="00D9293B"/>
    <w:rsid w:val="00D93979"/>
    <w:rsid w:val="00D94101"/>
    <w:rsid w:val="00D94BBE"/>
    <w:rsid w:val="00D95151"/>
    <w:rsid w:val="00D971A4"/>
    <w:rsid w:val="00D978F7"/>
    <w:rsid w:val="00DA0153"/>
    <w:rsid w:val="00DA64DE"/>
    <w:rsid w:val="00DB0A6C"/>
    <w:rsid w:val="00DB0E0E"/>
    <w:rsid w:val="00DB2869"/>
    <w:rsid w:val="00DB2986"/>
    <w:rsid w:val="00DB4BE0"/>
    <w:rsid w:val="00DB5488"/>
    <w:rsid w:val="00DB64DC"/>
    <w:rsid w:val="00DB6949"/>
    <w:rsid w:val="00DB707C"/>
    <w:rsid w:val="00DC02E9"/>
    <w:rsid w:val="00DC0707"/>
    <w:rsid w:val="00DC23EB"/>
    <w:rsid w:val="00DC30E3"/>
    <w:rsid w:val="00DC3F6F"/>
    <w:rsid w:val="00DC6CA9"/>
    <w:rsid w:val="00DC72C2"/>
    <w:rsid w:val="00DD02E9"/>
    <w:rsid w:val="00DD0489"/>
    <w:rsid w:val="00DD07FD"/>
    <w:rsid w:val="00DD233F"/>
    <w:rsid w:val="00DD3BEB"/>
    <w:rsid w:val="00DD4589"/>
    <w:rsid w:val="00DD4985"/>
    <w:rsid w:val="00DD593D"/>
    <w:rsid w:val="00DD5AC3"/>
    <w:rsid w:val="00DD773E"/>
    <w:rsid w:val="00DE25E3"/>
    <w:rsid w:val="00DE3005"/>
    <w:rsid w:val="00DE37B3"/>
    <w:rsid w:val="00DE4702"/>
    <w:rsid w:val="00DE671B"/>
    <w:rsid w:val="00DE6A65"/>
    <w:rsid w:val="00DE7B5E"/>
    <w:rsid w:val="00DF0490"/>
    <w:rsid w:val="00DF1108"/>
    <w:rsid w:val="00DF1978"/>
    <w:rsid w:val="00DF1FD2"/>
    <w:rsid w:val="00DF32B7"/>
    <w:rsid w:val="00DF3335"/>
    <w:rsid w:val="00DF55B2"/>
    <w:rsid w:val="00DF5AC8"/>
    <w:rsid w:val="00DF5E16"/>
    <w:rsid w:val="00DF6BA9"/>
    <w:rsid w:val="00DF7CB8"/>
    <w:rsid w:val="00DF7DCA"/>
    <w:rsid w:val="00E0034C"/>
    <w:rsid w:val="00E005DE"/>
    <w:rsid w:val="00E02DCE"/>
    <w:rsid w:val="00E03641"/>
    <w:rsid w:val="00E03B14"/>
    <w:rsid w:val="00E0439A"/>
    <w:rsid w:val="00E04E19"/>
    <w:rsid w:val="00E05014"/>
    <w:rsid w:val="00E0503C"/>
    <w:rsid w:val="00E054D8"/>
    <w:rsid w:val="00E055F9"/>
    <w:rsid w:val="00E061AA"/>
    <w:rsid w:val="00E06210"/>
    <w:rsid w:val="00E07B33"/>
    <w:rsid w:val="00E07D3B"/>
    <w:rsid w:val="00E101AE"/>
    <w:rsid w:val="00E104DB"/>
    <w:rsid w:val="00E147DB"/>
    <w:rsid w:val="00E200CC"/>
    <w:rsid w:val="00E226D5"/>
    <w:rsid w:val="00E243CF"/>
    <w:rsid w:val="00E24D64"/>
    <w:rsid w:val="00E26CC9"/>
    <w:rsid w:val="00E26D82"/>
    <w:rsid w:val="00E26E5A"/>
    <w:rsid w:val="00E2712A"/>
    <w:rsid w:val="00E3143B"/>
    <w:rsid w:val="00E32F0D"/>
    <w:rsid w:val="00E33738"/>
    <w:rsid w:val="00E33AC2"/>
    <w:rsid w:val="00E34842"/>
    <w:rsid w:val="00E35091"/>
    <w:rsid w:val="00E3529D"/>
    <w:rsid w:val="00E36103"/>
    <w:rsid w:val="00E361D9"/>
    <w:rsid w:val="00E369CA"/>
    <w:rsid w:val="00E3736A"/>
    <w:rsid w:val="00E41290"/>
    <w:rsid w:val="00E416EE"/>
    <w:rsid w:val="00E4190F"/>
    <w:rsid w:val="00E4193E"/>
    <w:rsid w:val="00E42118"/>
    <w:rsid w:val="00E4294C"/>
    <w:rsid w:val="00E43439"/>
    <w:rsid w:val="00E437BD"/>
    <w:rsid w:val="00E44025"/>
    <w:rsid w:val="00E46107"/>
    <w:rsid w:val="00E467FB"/>
    <w:rsid w:val="00E51B87"/>
    <w:rsid w:val="00E5233D"/>
    <w:rsid w:val="00E52F45"/>
    <w:rsid w:val="00E53A95"/>
    <w:rsid w:val="00E53AC8"/>
    <w:rsid w:val="00E53D89"/>
    <w:rsid w:val="00E54077"/>
    <w:rsid w:val="00E54542"/>
    <w:rsid w:val="00E54A6E"/>
    <w:rsid w:val="00E607EC"/>
    <w:rsid w:val="00E61628"/>
    <w:rsid w:val="00E62B0B"/>
    <w:rsid w:val="00E637C9"/>
    <w:rsid w:val="00E6390C"/>
    <w:rsid w:val="00E63BD2"/>
    <w:rsid w:val="00E6503B"/>
    <w:rsid w:val="00E650B6"/>
    <w:rsid w:val="00E65581"/>
    <w:rsid w:val="00E659AC"/>
    <w:rsid w:val="00E70958"/>
    <w:rsid w:val="00E70A9F"/>
    <w:rsid w:val="00E73AC1"/>
    <w:rsid w:val="00E7499D"/>
    <w:rsid w:val="00E74F74"/>
    <w:rsid w:val="00E75AE2"/>
    <w:rsid w:val="00E76535"/>
    <w:rsid w:val="00E767B4"/>
    <w:rsid w:val="00E76B40"/>
    <w:rsid w:val="00E77D12"/>
    <w:rsid w:val="00E77E8A"/>
    <w:rsid w:val="00E81B09"/>
    <w:rsid w:val="00E82709"/>
    <w:rsid w:val="00E828EB"/>
    <w:rsid w:val="00E82F84"/>
    <w:rsid w:val="00E84EF9"/>
    <w:rsid w:val="00E850E4"/>
    <w:rsid w:val="00E85A4A"/>
    <w:rsid w:val="00E90D0B"/>
    <w:rsid w:val="00E9290E"/>
    <w:rsid w:val="00E92C09"/>
    <w:rsid w:val="00E93405"/>
    <w:rsid w:val="00E956C2"/>
    <w:rsid w:val="00E9590B"/>
    <w:rsid w:val="00E95995"/>
    <w:rsid w:val="00E967B4"/>
    <w:rsid w:val="00E96B5B"/>
    <w:rsid w:val="00EA10BF"/>
    <w:rsid w:val="00EA22D8"/>
    <w:rsid w:val="00EA4915"/>
    <w:rsid w:val="00EA5149"/>
    <w:rsid w:val="00EA5484"/>
    <w:rsid w:val="00EA710F"/>
    <w:rsid w:val="00EB07F5"/>
    <w:rsid w:val="00EB0B86"/>
    <w:rsid w:val="00EB15AD"/>
    <w:rsid w:val="00EB176D"/>
    <w:rsid w:val="00EB189A"/>
    <w:rsid w:val="00EB24E5"/>
    <w:rsid w:val="00EB2AFB"/>
    <w:rsid w:val="00EB2E1C"/>
    <w:rsid w:val="00EB3214"/>
    <w:rsid w:val="00EB39E3"/>
    <w:rsid w:val="00EB41E1"/>
    <w:rsid w:val="00EB43E3"/>
    <w:rsid w:val="00EB4A70"/>
    <w:rsid w:val="00EB4F3B"/>
    <w:rsid w:val="00EB62F4"/>
    <w:rsid w:val="00EB7C5E"/>
    <w:rsid w:val="00EC03CD"/>
    <w:rsid w:val="00EC0779"/>
    <w:rsid w:val="00EC0797"/>
    <w:rsid w:val="00EC0D89"/>
    <w:rsid w:val="00EC0F4B"/>
    <w:rsid w:val="00EC1761"/>
    <w:rsid w:val="00EC42A0"/>
    <w:rsid w:val="00EC4855"/>
    <w:rsid w:val="00EC48AB"/>
    <w:rsid w:val="00EC4FD6"/>
    <w:rsid w:val="00EC5350"/>
    <w:rsid w:val="00EC541D"/>
    <w:rsid w:val="00EC5596"/>
    <w:rsid w:val="00EC5B85"/>
    <w:rsid w:val="00EC61B9"/>
    <w:rsid w:val="00ED18CE"/>
    <w:rsid w:val="00ED274B"/>
    <w:rsid w:val="00ED3116"/>
    <w:rsid w:val="00ED3D8A"/>
    <w:rsid w:val="00ED423F"/>
    <w:rsid w:val="00ED5C89"/>
    <w:rsid w:val="00ED6024"/>
    <w:rsid w:val="00ED63B1"/>
    <w:rsid w:val="00ED687B"/>
    <w:rsid w:val="00ED6A6E"/>
    <w:rsid w:val="00ED6EB9"/>
    <w:rsid w:val="00ED7B6D"/>
    <w:rsid w:val="00EE0122"/>
    <w:rsid w:val="00EE0234"/>
    <w:rsid w:val="00EE0B22"/>
    <w:rsid w:val="00EE12F6"/>
    <w:rsid w:val="00EE1640"/>
    <w:rsid w:val="00EE1AC4"/>
    <w:rsid w:val="00EE20D1"/>
    <w:rsid w:val="00EE2199"/>
    <w:rsid w:val="00EE21E9"/>
    <w:rsid w:val="00EE2746"/>
    <w:rsid w:val="00EE4764"/>
    <w:rsid w:val="00EE4FC6"/>
    <w:rsid w:val="00EE5E3B"/>
    <w:rsid w:val="00EE6F79"/>
    <w:rsid w:val="00EE6F99"/>
    <w:rsid w:val="00EE733F"/>
    <w:rsid w:val="00EF00EC"/>
    <w:rsid w:val="00EF0976"/>
    <w:rsid w:val="00EF2085"/>
    <w:rsid w:val="00EF33AC"/>
    <w:rsid w:val="00EF5CC2"/>
    <w:rsid w:val="00EF6CE5"/>
    <w:rsid w:val="00EF6F01"/>
    <w:rsid w:val="00F003F6"/>
    <w:rsid w:val="00F01467"/>
    <w:rsid w:val="00F01C6A"/>
    <w:rsid w:val="00F0213D"/>
    <w:rsid w:val="00F02261"/>
    <w:rsid w:val="00F03679"/>
    <w:rsid w:val="00F03B47"/>
    <w:rsid w:val="00F0470F"/>
    <w:rsid w:val="00F04E1C"/>
    <w:rsid w:val="00F06BFF"/>
    <w:rsid w:val="00F06D30"/>
    <w:rsid w:val="00F06FFD"/>
    <w:rsid w:val="00F139A3"/>
    <w:rsid w:val="00F16E6A"/>
    <w:rsid w:val="00F1744A"/>
    <w:rsid w:val="00F177A6"/>
    <w:rsid w:val="00F177D6"/>
    <w:rsid w:val="00F21D3A"/>
    <w:rsid w:val="00F21D5C"/>
    <w:rsid w:val="00F22DBA"/>
    <w:rsid w:val="00F240F4"/>
    <w:rsid w:val="00F24E19"/>
    <w:rsid w:val="00F250E1"/>
    <w:rsid w:val="00F262C1"/>
    <w:rsid w:val="00F275A7"/>
    <w:rsid w:val="00F27CB4"/>
    <w:rsid w:val="00F3028C"/>
    <w:rsid w:val="00F31ADF"/>
    <w:rsid w:val="00F31DB1"/>
    <w:rsid w:val="00F32561"/>
    <w:rsid w:val="00F337AD"/>
    <w:rsid w:val="00F35C58"/>
    <w:rsid w:val="00F36537"/>
    <w:rsid w:val="00F36C57"/>
    <w:rsid w:val="00F36E31"/>
    <w:rsid w:val="00F3778C"/>
    <w:rsid w:val="00F37B02"/>
    <w:rsid w:val="00F400E2"/>
    <w:rsid w:val="00F40918"/>
    <w:rsid w:val="00F409F5"/>
    <w:rsid w:val="00F42112"/>
    <w:rsid w:val="00F4270A"/>
    <w:rsid w:val="00F43940"/>
    <w:rsid w:val="00F43FB9"/>
    <w:rsid w:val="00F44163"/>
    <w:rsid w:val="00F4496E"/>
    <w:rsid w:val="00F4532A"/>
    <w:rsid w:val="00F45402"/>
    <w:rsid w:val="00F456FE"/>
    <w:rsid w:val="00F45E6C"/>
    <w:rsid w:val="00F46067"/>
    <w:rsid w:val="00F4626C"/>
    <w:rsid w:val="00F4694D"/>
    <w:rsid w:val="00F473AC"/>
    <w:rsid w:val="00F47BB1"/>
    <w:rsid w:val="00F52174"/>
    <w:rsid w:val="00F5241D"/>
    <w:rsid w:val="00F52CEC"/>
    <w:rsid w:val="00F52EB7"/>
    <w:rsid w:val="00F53712"/>
    <w:rsid w:val="00F541AA"/>
    <w:rsid w:val="00F54EB2"/>
    <w:rsid w:val="00F56256"/>
    <w:rsid w:val="00F57A6C"/>
    <w:rsid w:val="00F60895"/>
    <w:rsid w:val="00F60BF1"/>
    <w:rsid w:val="00F6120A"/>
    <w:rsid w:val="00F61E32"/>
    <w:rsid w:val="00F637CB"/>
    <w:rsid w:val="00F63A44"/>
    <w:rsid w:val="00F65F19"/>
    <w:rsid w:val="00F668C7"/>
    <w:rsid w:val="00F70E56"/>
    <w:rsid w:val="00F7294B"/>
    <w:rsid w:val="00F73A0D"/>
    <w:rsid w:val="00F74A70"/>
    <w:rsid w:val="00F7519D"/>
    <w:rsid w:val="00F761B9"/>
    <w:rsid w:val="00F762AE"/>
    <w:rsid w:val="00F7641D"/>
    <w:rsid w:val="00F76A25"/>
    <w:rsid w:val="00F8418D"/>
    <w:rsid w:val="00F85D5F"/>
    <w:rsid w:val="00F867C6"/>
    <w:rsid w:val="00F86AA2"/>
    <w:rsid w:val="00F87945"/>
    <w:rsid w:val="00F87BE9"/>
    <w:rsid w:val="00F90364"/>
    <w:rsid w:val="00F90CF4"/>
    <w:rsid w:val="00F92A58"/>
    <w:rsid w:val="00F92EA1"/>
    <w:rsid w:val="00F940BA"/>
    <w:rsid w:val="00F94661"/>
    <w:rsid w:val="00F948B6"/>
    <w:rsid w:val="00F953F3"/>
    <w:rsid w:val="00F962FF"/>
    <w:rsid w:val="00F96481"/>
    <w:rsid w:val="00F96CB9"/>
    <w:rsid w:val="00FA093D"/>
    <w:rsid w:val="00FA1FA0"/>
    <w:rsid w:val="00FA29D5"/>
    <w:rsid w:val="00FA3672"/>
    <w:rsid w:val="00FA414F"/>
    <w:rsid w:val="00FA5971"/>
    <w:rsid w:val="00FA6A03"/>
    <w:rsid w:val="00FA70BD"/>
    <w:rsid w:val="00FA7AAE"/>
    <w:rsid w:val="00FB0BAC"/>
    <w:rsid w:val="00FB1380"/>
    <w:rsid w:val="00FB1952"/>
    <w:rsid w:val="00FB1F00"/>
    <w:rsid w:val="00FB203C"/>
    <w:rsid w:val="00FB25A6"/>
    <w:rsid w:val="00FB39EB"/>
    <w:rsid w:val="00FB7594"/>
    <w:rsid w:val="00FB7EA9"/>
    <w:rsid w:val="00FC0CB3"/>
    <w:rsid w:val="00FC0FC9"/>
    <w:rsid w:val="00FC2710"/>
    <w:rsid w:val="00FC293F"/>
    <w:rsid w:val="00FC295F"/>
    <w:rsid w:val="00FC2970"/>
    <w:rsid w:val="00FC3195"/>
    <w:rsid w:val="00FC3B5A"/>
    <w:rsid w:val="00FC48B2"/>
    <w:rsid w:val="00FC54E3"/>
    <w:rsid w:val="00FC62ED"/>
    <w:rsid w:val="00FC6C30"/>
    <w:rsid w:val="00FC6D07"/>
    <w:rsid w:val="00FD1570"/>
    <w:rsid w:val="00FD2477"/>
    <w:rsid w:val="00FD269F"/>
    <w:rsid w:val="00FD309A"/>
    <w:rsid w:val="00FD4F62"/>
    <w:rsid w:val="00FD5488"/>
    <w:rsid w:val="00FD5B44"/>
    <w:rsid w:val="00FD7ACD"/>
    <w:rsid w:val="00FE3F4E"/>
    <w:rsid w:val="00FE4E26"/>
    <w:rsid w:val="00FE4FBA"/>
    <w:rsid w:val="00FE5558"/>
    <w:rsid w:val="00FE661C"/>
    <w:rsid w:val="00FE7709"/>
    <w:rsid w:val="00FF0FC2"/>
    <w:rsid w:val="00FF13E8"/>
    <w:rsid w:val="00FF1A39"/>
    <w:rsid w:val="00FF2050"/>
    <w:rsid w:val="00FF29DE"/>
    <w:rsid w:val="00FF3435"/>
    <w:rsid w:val="00FF3A45"/>
    <w:rsid w:val="00FF3D0A"/>
    <w:rsid w:val="00FF3FE5"/>
    <w:rsid w:val="00FF4C76"/>
    <w:rsid w:val="00FF76E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addres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imes New Roman" w:hAnsi="CG Times (W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C61B9"/>
    <w:pPr>
      <w:spacing w:line="480" w:lineRule="atLeast"/>
      <w:ind w:firstLine="720"/>
    </w:pPr>
    <w:rPr>
      <w:rFonts w:ascii="Times New Roman" w:hAnsi="Times New Roman"/>
      <w:sz w:val="24"/>
      <w:szCs w:val="20"/>
      <w:lang w:eastAsia="zh-CN"/>
    </w:rPr>
  </w:style>
  <w:style w:type="paragraph" w:styleId="Heading1">
    <w:name w:val="heading 1"/>
    <w:aliases w:val="h1"/>
    <w:basedOn w:val="single"/>
    <w:next w:val="Normal"/>
    <w:link w:val="Heading1Char"/>
    <w:uiPriority w:val="99"/>
    <w:qFormat/>
    <w:rsid w:val="00EC61B9"/>
    <w:pPr>
      <w:keepNext/>
      <w:keepLines/>
      <w:spacing w:after="320"/>
      <w:ind w:left="720" w:right="720" w:firstLine="0"/>
      <w:jc w:val="center"/>
      <w:outlineLvl w:val="0"/>
    </w:pPr>
    <w:rPr>
      <w:b/>
    </w:rPr>
  </w:style>
  <w:style w:type="paragraph" w:styleId="Heading2">
    <w:name w:val="heading 2"/>
    <w:aliases w:val="h2"/>
    <w:basedOn w:val="Heading1"/>
    <w:next w:val="Normal"/>
    <w:link w:val="Heading2Char"/>
    <w:uiPriority w:val="99"/>
    <w:qFormat/>
    <w:rsid w:val="00EC61B9"/>
    <w:pPr>
      <w:spacing w:before="360" w:after="360" w:line="240" w:lineRule="auto"/>
      <w:ind w:hanging="720"/>
      <w:jc w:val="left"/>
      <w:outlineLvl w:val="1"/>
    </w:pPr>
    <w:rPr>
      <w:u w:val="single"/>
    </w:rPr>
  </w:style>
  <w:style w:type="paragraph" w:styleId="Heading3">
    <w:name w:val="heading 3"/>
    <w:aliases w:val="h3"/>
    <w:basedOn w:val="Heading2"/>
    <w:next w:val="Normal"/>
    <w:link w:val="Heading3Char"/>
    <w:uiPriority w:val="99"/>
    <w:qFormat/>
    <w:rsid w:val="00EC61B9"/>
    <w:pPr>
      <w:spacing w:before="120"/>
      <w:ind w:left="1440"/>
      <w:outlineLvl w:val="2"/>
    </w:pPr>
  </w:style>
  <w:style w:type="paragraph" w:styleId="Heading4">
    <w:name w:val="heading 4"/>
    <w:aliases w:val="h4"/>
    <w:basedOn w:val="Heading3"/>
    <w:next w:val="Normal"/>
    <w:link w:val="Heading4Char"/>
    <w:uiPriority w:val="99"/>
    <w:qFormat/>
    <w:rsid w:val="00EC61B9"/>
    <w:pPr>
      <w:ind w:left="2160"/>
      <w:outlineLvl w:val="3"/>
    </w:pPr>
  </w:style>
  <w:style w:type="paragraph" w:styleId="Heading5">
    <w:name w:val="heading 5"/>
    <w:aliases w:val="h5"/>
    <w:basedOn w:val="Heading4"/>
    <w:next w:val="Normal"/>
    <w:link w:val="Heading5Char"/>
    <w:uiPriority w:val="99"/>
    <w:qFormat/>
    <w:rsid w:val="00EC61B9"/>
    <w:pPr>
      <w:ind w:left="2880"/>
      <w:outlineLvl w:val="4"/>
    </w:pPr>
  </w:style>
  <w:style w:type="paragraph" w:styleId="Heading6">
    <w:name w:val="heading 6"/>
    <w:aliases w:val="h6"/>
    <w:basedOn w:val="Heading5"/>
    <w:next w:val="Normal"/>
    <w:link w:val="Heading6Char"/>
    <w:uiPriority w:val="99"/>
    <w:qFormat/>
    <w:rsid w:val="00EC61B9"/>
    <w:pPr>
      <w:ind w:left="3600"/>
      <w:outlineLvl w:val="5"/>
    </w:pPr>
  </w:style>
  <w:style w:type="paragraph" w:styleId="Heading7">
    <w:name w:val="heading 7"/>
    <w:aliases w:val="h7"/>
    <w:basedOn w:val="Heading6"/>
    <w:next w:val="Normal"/>
    <w:link w:val="Heading7Char"/>
    <w:uiPriority w:val="99"/>
    <w:qFormat/>
    <w:rsid w:val="00EC61B9"/>
    <w:pPr>
      <w:ind w:left="4320"/>
      <w:outlineLvl w:val="6"/>
    </w:pPr>
  </w:style>
  <w:style w:type="paragraph" w:styleId="Heading8">
    <w:name w:val="heading 8"/>
    <w:aliases w:val="h8"/>
    <w:basedOn w:val="Heading6"/>
    <w:next w:val="Normal"/>
    <w:link w:val="Heading8Char"/>
    <w:uiPriority w:val="99"/>
    <w:qFormat/>
    <w:rsid w:val="00EC61B9"/>
    <w:pPr>
      <w:ind w:left="5040"/>
      <w:outlineLvl w:val="7"/>
    </w:pPr>
  </w:style>
  <w:style w:type="paragraph" w:styleId="Heading9">
    <w:name w:val="heading 9"/>
    <w:aliases w:val="h9"/>
    <w:basedOn w:val="Heading6"/>
    <w:next w:val="Normal"/>
    <w:link w:val="Heading9Char"/>
    <w:uiPriority w:val="99"/>
    <w:qFormat/>
    <w:rsid w:val="00EC61B9"/>
    <w:pPr>
      <w:ind w:left="5760"/>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singleChar"/>
    <w:link w:val="Heading1"/>
    <w:uiPriority w:val="99"/>
    <w:locked/>
    <w:rsid w:val="00EC61B9"/>
    <w:rPr>
      <w:b/>
    </w:rPr>
  </w:style>
  <w:style w:type="character" w:customStyle="1" w:styleId="Heading2Char">
    <w:name w:val="Heading 2 Char"/>
    <w:aliases w:val="h2 Char"/>
    <w:basedOn w:val="Heading1Char"/>
    <w:link w:val="Heading2"/>
    <w:uiPriority w:val="99"/>
    <w:locked/>
    <w:rsid w:val="00EC61B9"/>
    <w:rPr>
      <w:u w:val="single"/>
    </w:rPr>
  </w:style>
  <w:style w:type="character" w:customStyle="1" w:styleId="Heading3Char">
    <w:name w:val="Heading 3 Char"/>
    <w:aliases w:val="h3 Char"/>
    <w:basedOn w:val="DefaultParagraphFont"/>
    <w:link w:val="Heading3"/>
    <w:uiPriority w:val="99"/>
    <w:semiHidden/>
    <w:locked/>
    <w:rsid w:val="007D422A"/>
    <w:rPr>
      <w:rFonts w:ascii="Cambria" w:hAnsi="Cambria" w:cs="Times New Roman"/>
      <w:b/>
      <w:bCs/>
      <w:sz w:val="26"/>
      <w:szCs w:val="26"/>
      <w:lang w:eastAsia="zh-CN"/>
    </w:rPr>
  </w:style>
  <w:style w:type="character" w:customStyle="1" w:styleId="Heading4Char">
    <w:name w:val="Heading 4 Char"/>
    <w:aliases w:val="h4 Char"/>
    <w:basedOn w:val="DefaultParagraphFont"/>
    <w:link w:val="Heading4"/>
    <w:uiPriority w:val="99"/>
    <w:semiHidden/>
    <w:locked/>
    <w:rsid w:val="007D422A"/>
    <w:rPr>
      <w:rFonts w:ascii="Calibri" w:hAnsi="Calibri" w:cs="Times New Roman"/>
      <w:b/>
      <w:bCs/>
      <w:sz w:val="28"/>
      <w:szCs w:val="28"/>
      <w:lang w:eastAsia="zh-CN"/>
    </w:rPr>
  </w:style>
  <w:style w:type="character" w:customStyle="1" w:styleId="Heading5Char">
    <w:name w:val="Heading 5 Char"/>
    <w:aliases w:val="h5 Char"/>
    <w:basedOn w:val="DefaultParagraphFont"/>
    <w:link w:val="Heading5"/>
    <w:uiPriority w:val="99"/>
    <w:semiHidden/>
    <w:locked/>
    <w:rsid w:val="007D422A"/>
    <w:rPr>
      <w:rFonts w:ascii="Calibri" w:hAnsi="Calibri" w:cs="Times New Roman"/>
      <w:b/>
      <w:bCs/>
      <w:i/>
      <w:iCs/>
      <w:sz w:val="26"/>
      <w:szCs w:val="26"/>
      <w:lang w:eastAsia="zh-CN"/>
    </w:rPr>
  </w:style>
  <w:style w:type="character" w:customStyle="1" w:styleId="Heading6Char">
    <w:name w:val="Heading 6 Char"/>
    <w:aliases w:val="h6 Char"/>
    <w:basedOn w:val="DefaultParagraphFont"/>
    <w:link w:val="Heading6"/>
    <w:uiPriority w:val="99"/>
    <w:semiHidden/>
    <w:locked/>
    <w:rsid w:val="007D422A"/>
    <w:rPr>
      <w:rFonts w:ascii="Calibri" w:hAnsi="Calibri" w:cs="Times New Roman"/>
      <w:b/>
      <w:bCs/>
      <w:lang w:eastAsia="zh-CN"/>
    </w:rPr>
  </w:style>
  <w:style w:type="character" w:customStyle="1" w:styleId="Heading7Char">
    <w:name w:val="Heading 7 Char"/>
    <w:aliases w:val="h7 Char"/>
    <w:basedOn w:val="DefaultParagraphFont"/>
    <w:link w:val="Heading7"/>
    <w:uiPriority w:val="99"/>
    <w:semiHidden/>
    <w:locked/>
    <w:rsid w:val="007D422A"/>
    <w:rPr>
      <w:rFonts w:ascii="Calibri" w:hAnsi="Calibri" w:cs="Times New Roman"/>
      <w:sz w:val="24"/>
      <w:szCs w:val="24"/>
      <w:lang w:eastAsia="zh-CN"/>
    </w:rPr>
  </w:style>
  <w:style w:type="character" w:customStyle="1" w:styleId="Heading8Char">
    <w:name w:val="Heading 8 Char"/>
    <w:aliases w:val="h8 Char"/>
    <w:basedOn w:val="DefaultParagraphFont"/>
    <w:link w:val="Heading8"/>
    <w:uiPriority w:val="99"/>
    <w:semiHidden/>
    <w:locked/>
    <w:rsid w:val="007D422A"/>
    <w:rPr>
      <w:rFonts w:ascii="Calibri" w:hAnsi="Calibri" w:cs="Times New Roman"/>
      <w:i/>
      <w:iCs/>
      <w:sz w:val="24"/>
      <w:szCs w:val="24"/>
      <w:lang w:eastAsia="zh-CN"/>
    </w:rPr>
  </w:style>
  <w:style w:type="character" w:customStyle="1" w:styleId="Heading9Char">
    <w:name w:val="Heading 9 Char"/>
    <w:aliases w:val="h9 Char"/>
    <w:basedOn w:val="DefaultParagraphFont"/>
    <w:link w:val="Heading9"/>
    <w:uiPriority w:val="99"/>
    <w:semiHidden/>
    <w:locked/>
    <w:rsid w:val="007D422A"/>
    <w:rPr>
      <w:rFonts w:ascii="Cambria" w:hAnsi="Cambria" w:cs="Times New Roman"/>
      <w:lang w:eastAsia="zh-CN"/>
    </w:rPr>
  </w:style>
  <w:style w:type="paragraph" w:customStyle="1" w:styleId="single">
    <w:name w:val="single"/>
    <w:basedOn w:val="Normal"/>
    <w:link w:val="singleChar1"/>
    <w:uiPriority w:val="99"/>
    <w:rsid w:val="00EC61B9"/>
    <w:pPr>
      <w:spacing w:before="240" w:line="240" w:lineRule="atLeast"/>
    </w:pPr>
  </w:style>
  <w:style w:type="character" w:styleId="CommentReference">
    <w:name w:val="annotation reference"/>
    <w:basedOn w:val="DefaultParagraphFont"/>
    <w:uiPriority w:val="99"/>
    <w:semiHidden/>
    <w:rsid w:val="00EC61B9"/>
    <w:rPr>
      <w:rFonts w:ascii="Univers (WN)" w:hAnsi="Univers (WN)" w:cs="Times New Roman"/>
      <w:position w:val="4"/>
      <w:sz w:val="16"/>
      <w:u w:val="double"/>
    </w:rPr>
  </w:style>
  <w:style w:type="paragraph" w:styleId="CommentText">
    <w:name w:val="annotation text"/>
    <w:basedOn w:val="FootnoteText"/>
    <w:link w:val="CommentTextChar"/>
    <w:uiPriority w:val="99"/>
    <w:semiHidden/>
    <w:rsid w:val="00EC61B9"/>
  </w:style>
  <w:style w:type="character" w:customStyle="1" w:styleId="CommentTextChar">
    <w:name w:val="Comment Text Char"/>
    <w:basedOn w:val="DefaultParagraphFont"/>
    <w:link w:val="CommentText"/>
    <w:uiPriority w:val="99"/>
    <w:semiHidden/>
    <w:locked/>
    <w:rsid w:val="007D422A"/>
    <w:rPr>
      <w:rFonts w:ascii="Times New Roman" w:hAnsi="Times New Roman" w:cs="Times New Roman"/>
      <w:sz w:val="20"/>
      <w:szCs w:val="20"/>
      <w:lang w:eastAsia="zh-CN"/>
    </w:rPr>
  </w:style>
  <w:style w:type="paragraph" w:styleId="FootnoteText">
    <w:name w:val="footnote text"/>
    <w:basedOn w:val="single"/>
    <w:link w:val="FootnoteTextChar"/>
    <w:uiPriority w:val="99"/>
    <w:semiHidden/>
    <w:rsid w:val="00EC61B9"/>
    <w:rPr>
      <w:sz w:val="22"/>
    </w:rPr>
  </w:style>
  <w:style w:type="character" w:customStyle="1" w:styleId="FootnoteTextChar">
    <w:name w:val="Footnote Text Char"/>
    <w:basedOn w:val="DefaultParagraphFont"/>
    <w:link w:val="FootnoteText"/>
    <w:uiPriority w:val="99"/>
    <w:semiHidden/>
    <w:locked/>
    <w:rsid w:val="007D422A"/>
    <w:rPr>
      <w:rFonts w:ascii="Times New Roman" w:hAnsi="Times New Roman" w:cs="Times New Roman"/>
      <w:sz w:val="20"/>
      <w:szCs w:val="20"/>
      <w:lang w:eastAsia="zh-CN"/>
    </w:rPr>
  </w:style>
  <w:style w:type="paragraph" w:styleId="TOC7">
    <w:name w:val="toc 7"/>
    <w:basedOn w:val="TOC4"/>
    <w:uiPriority w:val="99"/>
    <w:semiHidden/>
    <w:rsid w:val="00EC61B9"/>
    <w:pPr>
      <w:ind w:left="5040"/>
    </w:pPr>
  </w:style>
  <w:style w:type="paragraph" w:styleId="TOC4">
    <w:name w:val="toc 4"/>
    <w:basedOn w:val="TOC3"/>
    <w:uiPriority w:val="99"/>
    <w:semiHidden/>
    <w:rsid w:val="00EC61B9"/>
    <w:pPr>
      <w:ind w:left="2880"/>
    </w:pPr>
  </w:style>
  <w:style w:type="paragraph" w:styleId="TOC3">
    <w:name w:val="toc 3"/>
    <w:basedOn w:val="TOC2"/>
    <w:uiPriority w:val="99"/>
    <w:rsid w:val="00EC61B9"/>
    <w:pPr>
      <w:ind w:left="2160"/>
    </w:pPr>
  </w:style>
  <w:style w:type="paragraph" w:styleId="TOC2">
    <w:name w:val="toc 2"/>
    <w:basedOn w:val="TOC1"/>
    <w:uiPriority w:val="99"/>
    <w:rsid w:val="00EC61B9"/>
    <w:pPr>
      <w:ind w:left="1440"/>
    </w:pPr>
  </w:style>
  <w:style w:type="paragraph" w:styleId="TOC1">
    <w:name w:val="toc 1"/>
    <w:basedOn w:val="unjustifiedblock"/>
    <w:uiPriority w:val="99"/>
    <w:rsid w:val="00EC61B9"/>
    <w:pPr>
      <w:keepLines/>
      <w:tabs>
        <w:tab w:val="left" w:leader="dot" w:pos="8640"/>
        <w:tab w:val="right" w:pos="9000"/>
      </w:tabs>
      <w:ind w:left="720" w:right="720" w:hanging="720"/>
    </w:pPr>
    <w:rPr>
      <w:rFonts w:eastAsia="SimSun"/>
      <w:noProof/>
      <w:color w:val="0000FF"/>
      <w:szCs w:val="24"/>
    </w:rPr>
  </w:style>
  <w:style w:type="paragraph" w:customStyle="1" w:styleId="unjustifiedblock">
    <w:name w:val="unjustified block"/>
    <w:basedOn w:val="singleblock"/>
    <w:uiPriority w:val="99"/>
    <w:rsid w:val="00EC61B9"/>
  </w:style>
  <w:style w:type="paragraph" w:customStyle="1" w:styleId="singleblock">
    <w:name w:val="single block"/>
    <w:basedOn w:val="single"/>
    <w:link w:val="singleblockChar"/>
    <w:uiPriority w:val="99"/>
    <w:rsid w:val="00EC61B9"/>
    <w:pPr>
      <w:ind w:firstLine="0"/>
    </w:pPr>
  </w:style>
  <w:style w:type="paragraph" w:styleId="TOC6">
    <w:name w:val="toc 6"/>
    <w:basedOn w:val="TOC4"/>
    <w:uiPriority w:val="99"/>
    <w:semiHidden/>
    <w:rsid w:val="00EC61B9"/>
    <w:pPr>
      <w:ind w:left="4320"/>
    </w:pPr>
  </w:style>
  <w:style w:type="paragraph" w:styleId="TOC5">
    <w:name w:val="toc 5"/>
    <w:basedOn w:val="TOC4"/>
    <w:uiPriority w:val="99"/>
    <w:semiHidden/>
    <w:rsid w:val="00EC61B9"/>
    <w:pPr>
      <w:ind w:left="3600"/>
    </w:pPr>
  </w:style>
  <w:style w:type="paragraph" w:styleId="Index2">
    <w:name w:val="index 2"/>
    <w:basedOn w:val="unjustifiedblock"/>
    <w:next w:val="Normal"/>
    <w:uiPriority w:val="99"/>
    <w:semiHidden/>
    <w:rsid w:val="00EC61B9"/>
    <w:pPr>
      <w:tabs>
        <w:tab w:val="right" w:leader="dot" w:pos="9000"/>
      </w:tabs>
      <w:ind w:left="360" w:right="2520" w:hanging="360"/>
    </w:pPr>
    <w:rPr>
      <w:color w:val="0000FF"/>
    </w:rPr>
  </w:style>
  <w:style w:type="paragraph" w:styleId="Index1">
    <w:name w:val="index 1"/>
    <w:basedOn w:val="unjustifiedblock"/>
    <w:next w:val="Normal"/>
    <w:uiPriority w:val="99"/>
    <w:semiHidden/>
    <w:rsid w:val="00EC61B9"/>
    <w:rPr>
      <w:b/>
      <w:color w:val="0000FF"/>
    </w:rPr>
  </w:style>
  <w:style w:type="paragraph" w:styleId="IndexHeading">
    <w:name w:val="index heading"/>
    <w:basedOn w:val="unjustifiedblock"/>
    <w:next w:val="Normal"/>
    <w:uiPriority w:val="99"/>
    <w:semiHidden/>
    <w:rsid w:val="00EC61B9"/>
    <w:rPr>
      <w:b/>
    </w:rPr>
  </w:style>
  <w:style w:type="paragraph" w:styleId="Footer">
    <w:name w:val="footer"/>
    <w:basedOn w:val="plain"/>
    <w:link w:val="FooterChar"/>
    <w:uiPriority w:val="99"/>
    <w:rsid w:val="00EC61B9"/>
    <w:pPr>
      <w:tabs>
        <w:tab w:val="center" w:pos="4507"/>
        <w:tab w:val="right" w:pos="9000"/>
      </w:tabs>
      <w:ind w:right="4320"/>
    </w:pPr>
    <w:rPr>
      <w:color w:val="000000"/>
    </w:rPr>
  </w:style>
  <w:style w:type="character" w:customStyle="1" w:styleId="FooterChar">
    <w:name w:val="Footer Char"/>
    <w:basedOn w:val="DefaultParagraphFont"/>
    <w:link w:val="Footer"/>
    <w:uiPriority w:val="99"/>
    <w:semiHidden/>
    <w:locked/>
    <w:rsid w:val="007D422A"/>
    <w:rPr>
      <w:rFonts w:ascii="Times New Roman" w:hAnsi="Times New Roman" w:cs="Times New Roman"/>
      <w:sz w:val="20"/>
      <w:szCs w:val="20"/>
      <w:lang w:eastAsia="zh-CN"/>
    </w:rPr>
  </w:style>
  <w:style w:type="paragraph" w:customStyle="1" w:styleId="plain">
    <w:name w:val="plain"/>
    <w:basedOn w:val="unjustifiedblock"/>
    <w:uiPriority w:val="99"/>
    <w:rsid w:val="00EC61B9"/>
    <w:pPr>
      <w:spacing w:before="0"/>
    </w:pPr>
  </w:style>
  <w:style w:type="paragraph" w:styleId="Header">
    <w:name w:val="header"/>
    <w:basedOn w:val="plain"/>
    <w:link w:val="HeaderChar"/>
    <w:uiPriority w:val="99"/>
    <w:rsid w:val="00EC61B9"/>
    <w:pPr>
      <w:tabs>
        <w:tab w:val="center" w:pos="4507"/>
        <w:tab w:val="right" w:pos="9000"/>
      </w:tabs>
    </w:pPr>
  </w:style>
  <w:style w:type="character" w:customStyle="1" w:styleId="HeaderChar">
    <w:name w:val="Header Char"/>
    <w:basedOn w:val="DefaultParagraphFont"/>
    <w:link w:val="Header"/>
    <w:uiPriority w:val="99"/>
    <w:semiHidden/>
    <w:locked/>
    <w:rsid w:val="007D422A"/>
    <w:rPr>
      <w:rFonts w:ascii="Times New Roman" w:hAnsi="Times New Roman" w:cs="Times New Roman"/>
      <w:sz w:val="20"/>
      <w:szCs w:val="20"/>
      <w:lang w:eastAsia="zh-CN"/>
    </w:rPr>
  </w:style>
  <w:style w:type="character" w:styleId="FootnoteReference">
    <w:name w:val="footnote reference"/>
    <w:basedOn w:val="DefaultParagraphFont"/>
    <w:uiPriority w:val="99"/>
    <w:semiHidden/>
    <w:rsid w:val="00EC61B9"/>
    <w:rPr>
      <w:rFonts w:cs="Times New Roman"/>
      <w:position w:val="6"/>
      <w:sz w:val="16"/>
    </w:rPr>
  </w:style>
  <w:style w:type="paragraph" w:styleId="NormalIndent">
    <w:name w:val="Normal Indent"/>
    <w:basedOn w:val="singleblock"/>
    <w:uiPriority w:val="99"/>
    <w:rsid w:val="00EC61B9"/>
    <w:pPr>
      <w:spacing w:before="0" w:after="240" w:line="240" w:lineRule="auto"/>
      <w:ind w:left="1440" w:right="720"/>
    </w:pPr>
    <w:rPr>
      <w:lang w:eastAsia="en-US"/>
    </w:rPr>
  </w:style>
  <w:style w:type="paragraph" w:customStyle="1" w:styleId="macrobutton">
    <w:name w:val="macrobutton"/>
    <w:basedOn w:val="plain"/>
    <w:uiPriority w:val="99"/>
    <w:rsid w:val="00EC61B9"/>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uiPriority w:val="99"/>
    <w:rsid w:val="00EC61B9"/>
    <w:pPr>
      <w:ind w:firstLine="0"/>
    </w:pPr>
  </w:style>
  <w:style w:type="paragraph" w:customStyle="1" w:styleId="coverpage">
    <w:name w:val="cover page"/>
    <w:basedOn w:val="unjustifiedblock"/>
    <w:uiPriority w:val="99"/>
    <w:rsid w:val="00EC61B9"/>
    <w:pPr>
      <w:jc w:val="right"/>
    </w:pPr>
  </w:style>
  <w:style w:type="paragraph" w:customStyle="1" w:styleId="center">
    <w:name w:val="center"/>
    <w:basedOn w:val="unjustifiedblock"/>
    <w:uiPriority w:val="99"/>
    <w:rsid w:val="00EC61B9"/>
    <w:pPr>
      <w:keepLines/>
      <w:jc w:val="center"/>
    </w:pPr>
  </w:style>
  <w:style w:type="paragraph" w:customStyle="1" w:styleId="normal2">
    <w:name w:val="normal2"/>
    <w:basedOn w:val="Normal"/>
    <w:uiPriority w:val="99"/>
    <w:rsid w:val="00EC61B9"/>
    <w:pPr>
      <w:ind w:firstLine="1440"/>
    </w:pPr>
  </w:style>
  <w:style w:type="paragraph" w:customStyle="1" w:styleId="table">
    <w:name w:val="table"/>
    <w:basedOn w:val="plain"/>
    <w:uiPriority w:val="99"/>
    <w:rsid w:val="00EC61B9"/>
    <w:pPr>
      <w:spacing w:before="60" w:after="60" w:line="240" w:lineRule="auto"/>
    </w:pPr>
  </w:style>
  <w:style w:type="paragraph" w:customStyle="1" w:styleId="footnoteblock">
    <w:name w:val="footnote block"/>
    <w:basedOn w:val="FootnoteText"/>
    <w:uiPriority w:val="99"/>
    <w:rsid w:val="00EC61B9"/>
    <w:pPr>
      <w:ind w:firstLine="0"/>
    </w:pPr>
  </w:style>
  <w:style w:type="paragraph" w:customStyle="1" w:styleId="footnoteindent">
    <w:name w:val="footnote indent"/>
    <w:basedOn w:val="footnoteblock"/>
    <w:uiPriority w:val="99"/>
    <w:rsid w:val="00EC61B9"/>
    <w:pPr>
      <w:ind w:left="1440" w:right="720"/>
    </w:pPr>
  </w:style>
  <w:style w:type="paragraph" w:customStyle="1" w:styleId="Title1">
    <w:name w:val="Title1"/>
    <w:basedOn w:val="center"/>
    <w:uiPriority w:val="99"/>
    <w:rsid w:val="00EC61B9"/>
    <w:pPr>
      <w:keepNext/>
      <w:ind w:left="720" w:right="720"/>
    </w:pPr>
    <w:rPr>
      <w:b/>
    </w:rPr>
  </w:style>
  <w:style w:type="paragraph" w:customStyle="1" w:styleId="normal3">
    <w:name w:val="normal3"/>
    <w:basedOn w:val="normal2"/>
    <w:uiPriority w:val="99"/>
    <w:rsid w:val="00EC61B9"/>
    <w:pPr>
      <w:ind w:firstLine="2160"/>
    </w:pPr>
  </w:style>
  <w:style w:type="paragraph" w:customStyle="1" w:styleId="normalhanging">
    <w:name w:val="normal hanging"/>
    <w:basedOn w:val="Normal"/>
    <w:uiPriority w:val="99"/>
    <w:rsid w:val="00EC61B9"/>
    <w:pPr>
      <w:ind w:left="720" w:hanging="720"/>
    </w:pPr>
  </w:style>
  <w:style w:type="paragraph" w:customStyle="1" w:styleId="righthalf">
    <w:name w:val="right half"/>
    <w:basedOn w:val="unjustifiedblock"/>
    <w:uiPriority w:val="99"/>
    <w:rsid w:val="00EC61B9"/>
    <w:pPr>
      <w:keepLines/>
      <w:tabs>
        <w:tab w:val="left" w:pos="4190"/>
        <w:tab w:val="right" w:pos="8640"/>
      </w:tabs>
      <w:ind w:left="3787" w:right="187"/>
    </w:pPr>
  </w:style>
  <w:style w:type="paragraph" w:customStyle="1" w:styleId="normalhanging2">
    <w:name w:val="normal hanging2"/>
    <w:basedOn w:val="normalhanging"/>
    <w:uiPriority w:val="99"/>
    <w:rsid w:val="00EC61B9"/>
    <w:pPr>
      <w:ind w:left="1440"/>
    </w:pPr>
  </w:style>
  <w:style w:type="paragraph" w:customStyle="1" w:styleId="normalhanging3">
    <w:name w:val="normal hanging3"/>
    <w:basedOn w:val="normalhanging2"/>
    <w:uiPriority w:val="99"/>
    <w:rsid w:val="00EC61B9"/>
    <w:pPr>
      <w:ind w:left="2160"/>
    </w:pPr>
  </w:style>
  <w:style w:type="paragraph" w:customStyle="1" w:styleId="singlehanging">
    <w:name w:val="single hanging"/>
    <w:basedOn w:val="singleblock"/>
    <w:link w:val="singlehangingChar"/>
    <w:uiPriority w:val="99"/>
    <w:rsid w:val="00EC61B9"/>
    <w:pPr>
      <w:ind w:left="720" w:hanging="720"/>
    </w:pPr>
    <w:rPr>
      <w:rFonts w:ascii="CG Times (WN)" w:hAnsi="CG Times (WN)"/>
    </w:rPr>
  </w:style>
  <w:style w:type="paragraph" w:customStyle="1" w:styleId="pleading-linenums">
    <w:name w:val="pleading-line nums"/>
    <w:uiPriority w:val="99"/>
    <w:rsid w:val="00EC61B9"/>
    <w:pPr>
      <w:framePr w:w="360" w:hSpace="144" w:vSpace="144" w:wrap="auto" w:vAnchor="page" w:hAnchor="page" w:x="1081" w:y="2161"/>
      <w:spacing w:line="240" w:lineRule="exact"/>
      <w:jc w:val="right"/>
    </w:pPr>
    <w:rPr>
      <w:rFonts w:ascii="Univers (WN)" w:hAnsi="Univers (WN)"/>
      <w:sz w:val="20"/>
      <w:szCs w:val="20"/>
      <w:lang w:eastAsia="zh-CN"/>
    </w:rPr>
  </w:style>
  <w:style w:type="paragraph" w:customStyle="1" w:styleId="singlehanging2">
    <w:name w:val="single hanging2"/>
    <w:basedOn w:val="singlehanging"/>
    <w:uiPriority w:val="99"/>
    <w:rsid w:val="00EC61B9"/>
    <w:pPr>
      <w:spacing w:before="0" w:after="240"/>
      <w:ind w:left="1440"/>
    </w:pPr>
  </w:style>
  <w:style w:type="paragraph" w:customStyle="1" w:styleId="response">
    <w:name w:val="response"/>
    <w:basedOn w:val="Normal"/>
    <w:uiPriority w:val="99"/>
    <w:rsid w:val="00EC61B9"/>
    <w:pPr>
      <w:spacing w:after="2880"/>
    </w:pPr>
  </w:style>
  <w:style w:type="paragraph" w:customStyle="1" w:styleId="pleading-leftbar">
    <w:name w:val="pleading-left bar"/>
    <w:uiPriority w:val="99"/>
    <w:rsid w:val="00EC61B9"/>
    <w:pPr>
      <w:framePr w:w="144" w:wrap="auto" w:vAnchor="page" w:hAnchor="page" w:x="1441" w:yAlign="top"/>
      <w:pBdr>
        <w:left w:val="double" w:sz="6" w:space="1" w:color="auto"/>
      </w:pBdr>
      <w:spacing w:after="15600" w:line="240" w:lineRule="exact"/>
    </w:pPr>
    <w:rPr>
      <w:rFonts w:ascii="Courier" w:hAnsi="Courier"/>
      <w:sz w:val="24"/>
      <w:szCs w:val="20"/>
      <w:lang w:eastAsia="zh-CN"/>
    </w:rPr>
  </w:style>
  <w:style w:type="paragraph" w:customStyle="1" w:styleId="pleading-rightbar">
    <w:name w:val="pleading-right bar"/>
    <w:uiPriority w:val="99"/>
    <w:rsid w:val="00EC61B9"/>
    <w:pPr>
      <w:framePr w:w="144" w:wrap="auto" w:vAnchor="page" w:hAnchor="page" w:x="11377" w:yAlign="top"/>
      <w:pBdr>
        <w:left w:val="single" w:sz="6" w:space="1" w:color="auto"/>
      </w:pBdr>
      <w:spacing w:after="15600" w:line="240" w:lineRule="exact"/>
    </w:pPr>
    <w:rPr>
      <w:rFonts w:ascii="Courier" w:hAnsi="Courier"/>
      <w:sz w:val="24"/>
      <w:szCs w:val="20"/>
      <w:lang w:eastAsia="zh-CN"/>
    </w:rPr>
  </w:style>
  <w:style w:type="paragraph" w:customStyle="1" w:styleId="pleading-firmname">
    <w:name w:val="pleading-firm name"/>
    <w:uiPriority w:val="99"/>
    <w:rsid w:val="00EC61B9"/>
    <w:pPr>
      <w:framePr w:w="2880" w:hSpace="360" w:vSpace="360" w:wrap="auto" w:vAnchor="page" w:hAnchor="text" w:xAlign="right" w:yAlign="bottom"/>
      <w:spacing w:after="360"/>
      <w:jc w:val="center"/>
    </w:pPr>
    <w:rPr>
      <w:color w:val="000000"/>
      <w:sz w:val="16"/>
      <w:szCs w:val="20"/>
      <w:lang w:eastAsia="zh-CN"/>
    </w:rPr>
  </w:style>
  <w:style w:type="paragraph" w:customStyle="1" w:styleId="singlehanging3">
    <w:name w:val="single hanging3"/>
    <w:basedOn w:val="singlehanging2"/>
    <w:uiPriority w:val="99"/>
    <w:rsid w:val="00EC61B9"/>
    <w:pPr>
      <w:ind w:left="2160"/>
    </w:pPr>
  </w:style>
  <w:style w:type="paragraph" w:customStyle="1" w:styleId="singleindent">
    <w:name w:val="single indent"/>
    <w:basedOn w:val="singleblock"/>
    <w:uiPriority w:val="99"/>
    <w:rsid w:val="00EC61B9"/>
    <w:pPr>
      <w:spacing w:before="0" w:after="240"/>
      <w:ind w:left="1440" w:right="720"/>
    </w:pPr>
  </w:style>
  <w:style w:type="paragraph" w:customStyle="1" w:styleId="unjustifiedhanging">
    <w:name w:val="unjustified hanging"/>
    <w:basedOn w:val="unjustifiedblock"/>
    <w:uiPriority w:val="99"/>
    <w:rsid w:val="00EC61B9"/>
    <w:pPr>
      <w:ind w:left="720" w:hanging="720"/>
    </w:pPr>
  </w:style>
  <w:style w:type="paragraph" w:customStyle="1" w:styleId="unjustifiedhanging2">
    <w:name w:val="unjustified hanging2"/>
    <w:basedOn w:val="unjustifiedhanging"/>
    <w:uiPriority w:val="99"/>
    <w:rsid w:val="00EC61B9"/>
    <w:pPr>
      <w:ind w:left="1440"/>
    </w:pPr>
  </w:style>
  <w:style w:type="paragraph" w:customStyle="1" w:styleId="unjustifiedhanging3">
    <w:name w:val="unjustified hanging3"/>
    <w:basedOn w:val="unjustifiedhanging2"/>
    <w:uiPriority w:val="99"/>
    <w:rsid w:val="00EC61B9"/>
    <w:pPr>
      <w:ind w:left="2160"/>
    </w:pPr>
  </w:style>
  <w:style w:type="paragraph" w:customStyle="1" w:styleId="GilbertAssoc1990">
    <w:name w:val="©Gilbert&amp;Assoc. 1990"/>
    <w:basedOn w:val="Normal"/>
    <w:uiPriority w:val="99"/>
    <w:rsid w:val="00EC61B9"/>
  </w:style>
  <w:style w:type="paragraph" w:customStyle="1" w:styleId="pleading-rightrule">
    <w:name w:val="pleading-right rule"/>
    <w:basedOn w:val="pleading-leftrule"/>
    <w:uiPriority w:val="99"/>
    <w:rsid w:val="00EC61B9"/>
    <w:pPr>
      <w:framePr w:wrap="auto" w:x="11708"/>
    </w:pPr>
  </w:style>
  <w:style w:type="paragraph" w:customStyle="1" w:styleId="pleading-leftrule">
    <w:name w:val="pleading-left rule"/>
    <w:basedOn w:val="pleading-linenums"/>
    <w:uiPriority w:val="99"/>
    <w:rsid w:val="00EC61B9"/>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EC61B9"/>
    <w:pPr>
      <w:framePr w:w="576" w:vSpace="0" w:wrap="notBeside" w:vAnchor="margin" w:hAnchor="text" w:x="720" w:yAlign="top"/>
      <w:spacing w:line="480" w:lineRule="exact"/>
    </w:pPr>
  </w:style>
  <w:style w:type="paragraph" w:styleId="EnvelopeAddress">
    <w:name w:val="envelope address"/>
    <w:basedOn w:val="Normal"/>
    <w:uiPriority w:val="99"/>
    <w:rsid w:val="00EC61B9"/>
    <w:pPr>
      <w:framePr w:w="7920" w:h="1987" w:hRule="exact" w:hSpace="187" w:wrap="around" w:hAnchor="page" w:xAlign="center" w:yAlign="bottom"/>
      <w:spacing w:line="240" w:lineRule="auto"/>
      <w:ind w:left="2880" w:firstLine="1440"/>
    </w:pPr>
  </w:style>
  <w:style w:type="paragraph" w:styleId="EnvelopeReturn">
    <w:name w:val="envelope return"/>
    <w:basedOn w:val="Normal"/>
    <w:uiPriority w:val="99"/>
    <w:rsid w:val="00EC61B9"/>
    <w:pPr>
      <w:spacing w:line="240" w:lineRule="auto"/>
      <w:ind w:firstLine="0"/>
    </w:pPr>
    <w:rPr>
      <w:sz w:val="20"/>
    </w:rPr>
  </w:style>
  <w:style w:type="paragraph" w:styleId="TOAHeading">
    <w:name w:val="toa heading"/>
    <w:basedOn w:val="Normal"/>
    <w:next w:val="Normal"/>
    <w:uiPriority w:val="99"/>
    <w:semiHidden/>
    <w:rsid w:val="00EC61B9"/>
    <w:pPr>
      <w:spacing w:before="120"/>
      <w:ind w:firstLine="0"/>
    </w:pPr>
    <w:rPr>
      <w:b/>
    </w:rPr>
  </w:style>
  <w:style w:type="paragraph" w:styleId="TableofAuthorities">
    <w:name w:val="table of authorities"/>
    <w:basedOn w:val="Normal"/>
    <w:next w:val="Normal"/>
    <w:uiPriority w:val="99"/>
    <w:semiHidden/>
    <w:rsid w:val="00EC61B9"/>
    <w:pPr>
      <w:tabs>
        <w:tab w:val="right" w:leader="dot" w:pos="9000"/>
      </w:tabs>
      <w:spacing w:before="240" w:line="240" w:lineRule="auto"/>
      <w:ind w:left="245" w:right="1440" w:hanging="245"/>
    </w:pPr>
  </w:style>
  <w:style w:type="paragraph" w:customStyle="1" w:styleId="ti">
    <w:name w:val="ti"/>
    <w:basedOn w:val="normalblock"/>
    <w:uiPriority w:val="99"/>
    <w:rsid w:val="00EC61B9"/>
    <w:rPr>
      <w:b/>
    </w:rPr>
  </w:style>
  <w:style w:type="paragraph" w:styleId="BodyTextIndent">
    <w:name w:val="Body Text Indent"/>
    <w:basedOn w:val="Normal"/>
    <w:link w:val="BodyTextIndentChar"/>
    <w:uiPriority w:val="99"/>
    <w:rsid w:val="00EC61B9"/>
    <w:pPr>
      <w:spacing w:line="240" w:lineRule="auto"/>
    </w:pPr>
    <w:rPr>
      <w:rFonts w:ascii="Arial" w:hAnsi="Arial"/>
      <w:sz w:val="22"/>
    </w:rPr>
  </w:style>
  <w:style w:type="character" w:customStyle="1" w:styleId="BodyTextIndentChar">
    <w:name w:val="Body Text Indent Char"/>
    <w:basedOn w:val="DefaultParagraphFont"/>
    <w:link w:val="BodyTextIndent"/>
    <w:uiPriority w:val="99"/>
    <w:semiHidden/>
    <w:locked/>
    <w:rsid w:val="007D422A"/>
    <w:rPr>
      <w:rFonts w:ascii="Times New Roman" w:hAnsi="Times New Roman" w:cs="Times New Roman"/>
      <w:sz w:val="20"/>
      <w:szCs w:val="20"/>
      <w:lang w:eastAsia="zh-CN"/>
    </w:rPr>
  </w:style>
  <w:style w:type="paragraph" w:styleId="BodyText">
    <w:name w:val="Body Text"/>
    <w:aliases w:val="bt"/>
    <w:basedOn w:val="Normal"/>
    <w:link w:val="BodyTextChar"/>
    <w:uiPriority w:val="99"/>
    <w:rsid w:val="00EC61B9"/>
    <w:pPr>
      <w:spacing w:line="240" w:lineRule="auto"/>
      <w:ind w:firstLine="0"/>
      <w:jc w:val="both"/>
    </w:pPr>
    <w:rPr>
      <w:lang w:val="en-GB"/>
    </w:rPr>
  </w:style>
  <w:style w:type="character" w:customStyle="1" w:styleId="BodyTextChar">
    <w:name w:val="Body Text Char"/>
    <w:aliases w:val="bt Char"/>
    <w:basedOn w:val="DefaultParagraphFont"/>
    <w:link w:val="BodyText"/>
    <w:uiPriority w:val="99"/>
    <w:semiHidden/>
    <w:locked/>
    <w:rsid w:val="007D422A"/>
    <w:rPr>
      <w:rFonts w:ascii="Times New Roman" w:hAnsi="Times New Roman" w:cs="Times New Roman"/>
      <w:sz w:val="20"/>
      <w:szCs w:val="20"/>
      <w:lang w:eastAsia="zh-CN"/>
    </w:rPr>
  </w:style>
  <w:style w:type="paragraph" w:customStyle="1" w:styleId="bul">
    <w:name w:val="bul"/>
    <w:basedOn w:val="Normal"/>
    <w:uiPriority w:val="99"/>
    <w:rsid w:val="00EC61B9"/>
    <w:pPr>
      <w:spacing w:before="240" w:line="240" w:lineRule="atLeast"/>
      <w:ind w:left="1440" w:hanging="720"/>
    </w:pPr>
    <w:rPr>
      <w:sz w:val="26"/>
    </w:rPr>
  </w:style>
  <w:style w:type="paragraph" w:customStyle="1" w:styleId="ind">
    <w:name w:val="ind"/>
    <w:basedOn w:val="bul"/>
    <w:uiPriority w:val="99"/>
    <w:rsid w:val="00EC61B9"/>
    <w:pPr>
      <w:ind w:firstLine="0"/>
    </w:pPr>
  </w:style>
  <w:style w:type="paragraph" w:customStyle="1" w:styleId="Commitmenttotheenvironment">
    <w:name w:val="Commitment to the environment"/>
    <w:basedOn w:val="normalhanging"/>
    <w:uiPriority w:val="99"/>
    <w:rsid w:val="00EC61B9"/>
    <w:pPr>
      <w:widowControl w:val="0"/>
    </w:pPr>
  </w:style>
  <w:style w:type="character" w:styleId="PageNumber">
    <w:name w:val="page number"/>
    <w:basedOn w:val="DefaultParagraphFont"/>
    <w:uiPriority w:val="99"/>
    <w:rsid w:val="00EC61B9"/>
    <w:rPr>
      <w:rFonts w:cs="Times New Roman"/>
    </w:rPr>
  </w:style>
  <w:style w:type="paragraph" w:customStyle="1" w:styleId="memo">
    <w:name w:val="memo"/>
    <w:basedOn w:val="normalblock"/>
    <w:uiPriority w:val="99"/>
    <w:rsid w:val="00EC61B9"/>
    <w:pPr>
      <w:spacing w:before="240" w:line="240" w:lineRule="atLeast"/>
      <w:ind w:left="1440" w:hanging="1440"/>
    </w:pPr>
    <w:rPr>
      <w:sz w:val="26"/>
    </w:rPr>
  </w:style>
  <w:style w:type="paragraph" w:customStyle="1" w:styleId="cclist">
    <w:name w:val="cc list"/>
    <w:basedOn w:val="plain"/>
    <w:uiPriority w:val="99"/>
    <w:rsid w:val="00EC61B9"/>
    <w:pPr>
      <w:keepLines/>
      <w:spacing w:before="240"/>
      <w:ind w:left="720" w:hanging="720"/>
    </w:pPr>
    <w:rPr>
      <w:sz w:val="26"/>
    </w:rPr>
  </w:style>
  <w:style w:type="paragraph" w:customStyle="1" w:styleId="roman">
    <w:name w:val="roman"/>
    <w:basedOn w:val="Normal"/>
    <w:uiPriority w:val="99"/>
    <w:rsid w:val="00EC61B9"/>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EC61B9"/>
    <w:pPr>
      <w:spacing w:before="240" w:line="240" w:lineRule="atLeast"/>
      <w:ind w:left="720"/>
    </w:pPr>
    <w:rPr>
      <w:sz w:val="26"/>
    </w:rPr>
  </w:style>
  <w:style w:type="paragraph" w:customStyle="1" w:styleId="footnotehanging">
    <w:name w:val="footnote hanging"/>
    <w:basedOn w:val="footnoteindent"/>
    <w:uiPriority w:val="99"/>
    <w:rsid w:val="00EC61B9"/>
    <w:pPr>
      <w:ind w:left="720" w:hanging="720"/>
    </w:pPr>
  </w:style>
  <w:style w:type="paragraph" w:customStyle="1" w:styleId="roman2">
    <w:name w:val="roman2"/>
    <w:basedOn w:val="roman"/>
    <w:uiPriority w:val="99"/>
    <w:rsid w:val="00EC61B9"/>
    <w:pPr>
      <w:tabs>
        <w:tab w:val="clear" w:pos="1800"/>
        <w:tab w:val="clear" w:pos="2160"/>
      </w:tabs>
      <w:ind w:left="2880" w:hanging="720"/>
    </w:pPr>
  </w:style>
  <w:style w:type="paragraph" w:customStyle="1" w:styleId="question">
    <w:name w:val="question"/>
    <w:basedOn w:val="singlehanging"/>
    <w:next w:val="answer"/>
    <w:link w:val="questionChar"/>
    <w:uiPriority w:val="99"/>
    <w:rsid w:val="007D728F"/>
    <w:pPr>
      <w:spacing w:after="120" w:line="480" w:lineRule="auto"/>
    </w:pPr>
    <w:rPr>
      <w:b/>
    </w:rPr>
  </w:style>
  <w:style w:type="paragraph" w:customStyle="1" w:styleId="answer">
    <w:name w:val="answer"/>
    <w:basedOn w:val="Normal"/>
    <w:link w:val="answerChar1"/>
    <w:uiPriority w:val="99"/>
    <w:rsid w:val="00EC61B9"/>
    <w:pPr>
      <w:spacing w:before="120" w:after="120" w:line="480" w:lineRule="auto"/>
      <w:ind w:left="720" w:hanging="720"/>
    </w:pPr>
  </w:style>
  <w:style w:type="paragraph" w:customStyle="1" w:styleId="q">
    <w:name w:val="q"/>
    <w:basedOn w:val="singlehanging"/>
    <w:uiPriority w:val="99"/>
    <w:rsid w:val="00EC61B9"/>
    <w:pPr>
      <w:spacing w:line="480" w:lineRule="auto"/>
    </w:pPr>
    <w:rPr>
      <w:b/>
      <w:sz w:val="26"/>
    </w:rPr>
  </w:style>
  <w:style w:type="paragraph" w:customStyle="1" w:styleId="normalhangingQ">
    <w:name w:val="normal hangingQ"/>
    <w:basedOn w:val="normalhanging"/>
    <w:uiPriority w:val="99"/>
    <w:rsid w:val="00EC61B9"/>
    <w:pPr>
      <w:keepNext/>
      <w:spacing w:before="240" w:line="240" w:lineRule="auto"/>
    </w:pPr>
    <w:rPr>
      <w:b/>
    </w:rPr>
  </w:style>
  <w:style w:type="paragraph" w:styleId="BodyTextIndent2">
    <w:name w:val="Body Text Indent 2"/>
    <w:basedOn w:val="Normal"/>
    <w:link w:val="BodyTextIndent2Char"/>
    <w:uiPriority w:val="99"/>
    <w:rsid w:val="00EC61B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both"/>
    </w:pPr>
    <w:rPr>
      <w:rFonts w:ascii="CG Times" w:hAnsi="CG Times"/>
      <w:color w:val="0000FF"/>
    </w:rPr>
  </w:style>
  <w:style w:type="character" w:customStyle="1" w:styleId="BodyTextIndent2Char">
    <w:name w:val="Body Text Indent 2 Char"/>
    <w:basedOn w:val="DefaultParagraphFont"/>
    <w:link w:val="BodyTextIndent2"/>
    <w:uiPriority w:val="99"/>
    <w:semiHidden/>
    <w:locked/>
    <w:rsid w:val="007D422A"/>
    <w:rPr>
      <w:rFonts w:ascii="Times New Roman" w:hAnsi="Times New Roman" w:cs="Times New Roman"/>
      <w:sz w:val="20"/>
      <w:szCs w:val="20"/>
      <w:lang w:eastAsia="zh-CN"/>
    </w:rPr>
  </w:style>
  <w:style w:type="character" w:styleId="LineNumber">
    <w:name w:val="line number"/>
    <w:basedOn w:val="DefaultParagraphFont"/>
    <w:uiPriority w:val="99"/>
    <w:rsid w:val="00EC61B9"/>
    <w:rPr>
      <w:rFonts w:ascii="Times New Roman" w:hAnsi="Times New Roman" w:cs="Times New Roman"/>
      <w:sz w:val="24"/>
    </w:rPr>
  </w:style>
  <w:style w:type="paragraph" w:customStyle="1" w:styleId="BulletSS">
    <w:name w:val="Bullet SS"/>
    <w:basedOn w:val="Normal"/>
    <w:uiPriority w:val="99"/>
    <w:rsid w:val="00EC61B9"/>
    <w:pPr>
      <w:numPr>
        <w:numId w:val="20"/>
      </w:numPr>
      <w:tabs>
        <w:tab w:val="clear" w:pos="360"/>
        <w:tab w:val="left" w:pos="216"/>
        <w:tab w:val="left" w:pos="533"/>
        <w:tab w:val="left" w:pos="734"/>
      </w:tabs>
      <w:spacing w:line="240" w:lineRule="auto"/>
    </w:pPr>
    <w:rPr>
      <w:rFonts w:ascii="Times" w:hAnsi="Times"/>
      <w:sz w:val="23"/>
    </w:rPr>
  </w:style>
  <w:style w:type="paragraph" w:customStyle="1" w:styleId="BulletDS">
    <w:name w:val="Bullet DS"/>
    <w:basedOn w:val="Normal"/>
    <w:uiPriority w:val="99"/>
    <w:rsid w:val="00EC61B9"/>
    <w:pPr>
      <w:numPr>
        <w:numId w:val="19"/>
      </w:numPr>
      <w:tabs>
        <w:tab w:val="clear" w:pos="360"/>
        <w:tab w:val="left" w:pos="216"/>
        <w:tab w:val="left" w:pos="533"/>
        <w:tab w:val="left" w:pos="734"/>
      </w:tabs>
      <w:spacing w:after="260" w:line="240" w:lineRule="auto"/>
    </w:pPr>
    <w:rPr>
      <w:rFonts w:ascii="Times" w:hAnsi="Times"/>
      <w:sz w:val="23"/>
    </w:rPr>
  </w:style>
  <w:style w:type="paragraph" w:customStyle="1" w:styleId="EmDashSS">
    <w:name w:val="EmDash SS"/>
    <w:basedOn w:val="Normal"/>
    <w:uiPriority w:val="99"/>
    <w:rsid w:val="00EC61B9"/>
    <w:pPr>
      <w:tabs>
        <w:tab w:val="left" w:pos="533"/>
        <w:tab w:val="left" w:pos="734"/>
      </w:tabs>
      <w:spacing w:line="240" w:lineRule="auto"/>
      <w:ind w:left="533" w:hanging="317"/>
    </w:pPr>
    <w:rPr>
      <w:rFonts w:ascii="Times" w:hAnsi="Times"/>
      <w:sz w:val="23"/>
    </w:rPr>
  </w:style>
  <w:style w:type="paragraph" w:customStyle="1" w:styleId="EmDashDS">
    <w:name w:val="EmDash DS"/>
    <w:basedOn w:val="Normal"/>
    <w:uiPriority w:val="99"/>
    <w:rsid w:val="00EC61B9"/>
    <w:pPr>
      <w:tabs>
        <w:tab w:val="left" w:pos="533"/>
        <w:tab w:val="left" w:pos="734"/>
      </w:tabs>
      <w:spacing w:after="260" w:line="240" w:lineRule="auto"/>
      <w:ind w:left="533" w:hanging="317"/>
    </w:pPr>
    <w:rPr>
      <w:rFonts w:ascii="Times" w:hAnsi="Times"/>
      <w:sz w:val="23"/>
    </w:rPr>
  </w:style>
  <w:style w:type="paragraph" w:customStyle="1" w:styleId="EnDashSS">
    <w:name w:val="EnDash SS"/>
    <w:basedOn w:val="Normal"/>
    <w:uiPriority w:val="99"/>
    <w:rsid w:val="00EC61B9"/>
    <w:pPr>
      <w:tabs>
        <w:tab w:val="left" w:pos="734"/>
      </w:tabs>
      <w:spacing w:line="240" w:lineRule="auto"/>
      <w:ind w:left="734" w:hanging="201"/>
    </w:pPr>
    <w:rPr>
      <w:rFonts w:ascii="Times" w:hAnsi="Times"/>
      <w:sz w:val="23"/>
    </w:rPr>
  </w:style>
  <w:style w:type="paragraph" w:customStyle="1" w:styleId="EnDashDS">
    <w:name w:val="EnDash DS"/>
    <w:basedOn w:val="Normal"/>
    <w:uiPriority w:val="99"/>
    <w:rsid w:val="00EC61B9"/>
    <w:pPr>
      <w:tabs>
        <w:tab w:val="left" w:pos="734"/>
      </w:tabs>
      <w:spacing w:after="260" w:line="240" w:lineRule="auto"/>
      <w:ind w:left="734" w:hanging="201"/>
    </w:pPr>
    <w:rPr>
      <w:rFonts w:ascii="Times" w:hAnsi="Times"/>
      <w:sz w:val="23"/>
    </w:rPr>
  </w:style>
  <w:style w:type="paragraph" w:customStyle="1" w:styleId="Numbr10DS">
    <w:name w:val="Numbr 10+ DS"/>
    <w:basedOn w:val="Normal"/>
    <w:uiPriority w:val="99"/>
    <w:rsid w:val="00EC61B9"/>
    <w:pPr>
      <w:numPr>
        <w:numId w:val="14"/>
      </w:numPr>
      <w:tabs>
        <w:tab w:val="left" w:pos="547"/>
        <w:tab w:val="left" w:pos="878"/>
      </w:tabs>
      <w:spacing w:after="260" w:line="240" w:lineRule="auto"/>
    </w:pPr>
    <w:rPr>
      <w:rFonts w:ascii="Times" w:hAnsi="Times"/>
      <w:sz w:val="23"/>
    </w:rPr>
  </w:style>
  <w:style w:type="paragraph" w:customStyle="1" w:styleId="Numbr1-9SS">
    <w:name w:val="Numbr 1-9 SS"/>
    <w:basedOn w:val="Normal"/>
    <w:uiPriority w:val="99"/>
    <w:rsid w:val="00EC61B9"/>
    <w:pPr>
      <w:numPr>
        <w:numId w:val="11"/>
      </w:numPr>
      <w:tabs>
        <w:tab w:val="left" w:pos="547"/>
        <w:tab w:val="left" w:pos="878"/>
      </w:tabs>
      <w:spacing w:line="240" w:lineRule="auto"/>
    </w:pPr>
    <w:rPr>
      <w:rFonts w:ascii="Times" w:hAnsi="Times"/>
      <w:sz w:val="23"/>
    </w:rPr>
  </w:style>
  <w:style w:type="paragraph" w:customStyle="1" w:styleId="Numbr10SS">
    <w:name w:val="Numbr 10+ SS"/>
    <w:basedOn w:val="Normal"/>
    <w:uiPriority w:val="99"/>
    <w:rsid w:val="00EC61B9"/>
    <w:pPr>
      <w:numPr>
        <w:numId w:val="12"/>
      </w:numPr>
      <w:tabs>
        <w:tab w:val="left" w:pos="547"/>
        <w:tab w:val="left" w:pos="878"/>
      </w:tabs>
      <w:spacing w:line="240" w:lineRule="auto"/>
    </w:pPr>
    <w:rPr>
      <w:rFonts w:ascii="Times" w:hAnsi="Times"/>
      <w:sz w:val="23"/>
    </w:rPr>
  </w:style>
  <w:style w:type="paragraph" w:customStyle="1" w:styleId="Numbr1-9DS">
    <w:name w:val="Numbr 1-9 DS"/>
    <w:basedOn w:val="Normal"/>
    <w:uiPriority w:val="99"/>
    <w:rsid w:val="00EC61B9"/>
    <w:pPr>
      <w:numPr>
        <w:numId w:val="13"/>
      </w:numPr>
      <w:tabs>
        <w:tab w:val="left" w:pos="547"/>
        <w:tab w:val="left" w:pos="878"/>
      </w:tabs>
      <w:spacing w:after="260" w:line="240" w:lineRule="auto"/>
    </w:pPr>
    <w:rPr>
      <w:rFonts w:ascii="Times" w:hAnsi="Times"/>
      <w:sz w:val="23"/>
    </w:rPr>
  </w:style>
  <w:style w:type="paragraph" w:customStyle="1" w:styleId="Table3Data-Bullet">
    <w:name w:val="Table3/Data-Bullet"/>
    <w:basedOn w:val="Normal"/>
    <w:uiPriority w:val="99"/>
    <w:rsid w:val="00EC61B9"/>
    <w:pPr>
      <w:numPr>
        <w:numId w:val="15"/>
      </w:numPr>
      <w:tabs>
        <w:tab w:val="clear" w:pos="360"/>
        <w:tab w:val="left" w:pos="187"/>
      </w:tabs>
      <w:spacing w:line="240" w:lineRule="auto"/>
    </w:pPr>
    <w:rPr>
      <w:rFonts w:ascii="Times" w:hAnsi="Times"/>
      <w:sz w:val="20"/>
    </w:rPr>
  </w:style>
  <w:style w:type="paragraph" w:customStyle="1" w:styleId="Table3Data-EmDash">
    <w:name w:val="Table3/Data-EmDash"/>
    <w:basedOn w:val="Normal"/>
    <w:uiPriority w:val="99"/>
    <w:rsid w:val="00EC61B9"/>
    <w:pPr>
      <w:numPr>
        <w:numId w:val="16"/>
      </w:numPr>
      <w:tabs>
        <w:tab w:val="clear" w:pos="547"/>
        <w:tab w:val="left" w:pos="504"/>
      </w:tabs>
      <w:spacing w:line="240" w:lineRule="auto"/>
    </w:pPr>
    <w:rPr>
      <w:rFonts w:ascii="Times" w:hAnsi="Times"/>
      <w:sz w:val="20"/>
    </w:rPr>
  </w:style>
  <w:style w:type="paragraph" w:customStyle="1" w:styleId="Tab5Data-EmDash">
    <w:name w:val="Tab5/Data-EmDash"/>
    <w:basedOn w:val="Normal"/>
    <w:uiPriority w:val="99"/>
    <w:rsid w:val="00EC61B9"/>
    <w:pPr>
      <w:numPr>
        <w:numId w:val="18"/>
      </w:numPr>
      <w:tabs>
        <w:tab w:val="clear" w:pos="547"/>
        <w:tab w:val="left" w:pos="504"/>
      </w:tabs>
      <w:spacing w:line="240" w:lineRule="auto"/>
    </w:pPr>
    <w:rPr>
      <w:rFonts w:ascii="Times" w:hAnsi="Times"/>
      <w:sz w:val="20"/>
    </w:rPr>
  </w:style>
  <w:style w:type="paragraph" w:customStyle="1" w:styleId="Tab5Data-Bullet">
    <w:name w:val="Tab5/Data-Bullet"/>
    <w:basedOn w:val="Normal"/>
    <w:uiPriority w:val="99"/>
    <w:rsid w:val="00EC61B9"/>
    <w:pPr>
      <w:numPr>
        <w:numId w:val="17"/>
      </w:numPr>
      <w:tabs>
        <w:tab w:val="clear" w:pos="360"/>
        <w:tab w:val="left" w:pos="187"/>
      </w:tabs>
      <w:spacing w:line="240" w:lineRule="auto"/>
    </w:pPr>
    <w:rPr>
      <w:rFonts w:ascii="Times" w:hAnsi="Times"/>
      <w:sz w:val="20"/>
    </w:rPr>
  </w:style>
  <w:style w:type="paragraph" w:customStyle="1" w:styleId="Int3ATMBullet">
    <w:name w:val="Int3/ATM Bullet"/>
    <w:basedOn w:val="Int3ATMText"/>
    <w:uiPriority w:val="99"/>
    <w:rsid w:val="00EC61B9"/>
    <w:pPr>
      <w:numPr>
        <w:numId w:val="21"/>
      </w:numPr>
      <w:tabs>
        <w:tab w:val="clear" w:pos="360"/>
        <w:tab w:val="left" w:pos="230"/>
      </w:tabs>
    </w:pPr>
  </w:style>
  <w:style w:type="paragraph" w:customStyle="1" w:styleId="Int3ATMText">
    <w:name w:val="Int3/ATM Text"/>
    <w:basedOn w:val="NormalDS"/>
    <w:uiPriority w:val="99"/>
    <w:rsid w:val="00EC61B9"/>
    <w:rPr>
      <w:sz w:val="30"/>
    </w:rPr>
  </w:style>
  <w:style w:type="paragraph" w:customStyle="1" w:styleId="NormalDS">
    <w:name w:val="Normal DS"/>
    <w:basedOn w:val="Normal"/>
    <w:uiPriority w:val="99"/>
    <w:rsid w:val="00EC61B9"/>
    <w:pPr>
      <w:spacing w:after="260" w:line="240" w:lineRule="auto"/>
      <w:ind w:firstLine="0"/>
    </w:pPr>
    <w:rPr>
      <w:rFonts w:ascii="Times" w:hAnsi="Times"/>
      <w:sz w:val="23"/>
    </w:rPr>
  </w:style>
  <w:style w:type="paragraph" w:customStyle="1" w:styleId="Tab5Data-EnDash">
    <w:name w:val="Tab5/Data-EnDash"/>
    <w:basedOn w:val="Normal"/>
    <w:uiPriority w:val="99"/>
    <w:rsid w:val="00EC61B9"/>
    <w:pPr>
      <w:numPr>
        <w:numId w:val="22"/>
      </w:numPr>
      <w:tabs>
        <w:tab w:val="clear" w:pos="864"/>
        <w:tab w:val="left" w:pos="706"/>
      </w:tabs>
      <w:spacing w:line="240" w:lineRule="auto"/>
    </w:pPr>
    <w:rPr>
      <w:rFonts w:ascii="Times" w:hAnsi="Times"/>
      <w:sz w:val="20"/>
    </w:rPr>
  </w:style>
  <w:style w:type="paragraph" w:customStyle="1" w:styleId="Table3Data-EnDash">
    <w:name w:val="Table3/Data-EnDash"/>
    <w:basedOn w:val="Normal"/>
    <w:uiPriority w:val="99"/>
    <w:rsid w:val="00EC61B9"/>
    <w:pPr>
      <w:numPr>
        <w:numId w:val="23"/>
      </w:numPr>
      <w:tabs>
        <w:tab w:val="clear" w:pos="864"/>
        <w:tab w:val="left" w:pos="706"/>
      </w:tabs>
      <w:spacing w:line="240" w:lineRule="auto"/>
    </w:pPr>
    <w:rPr>
      <w:rFonts w:ascii="Times" w:hAnsi="Times"/>
      <w:sz w:val="20"/>
    </w:rPr>
  </w:style>
  <w:style w:type="paragraph" w:styleId="BodyTextIndent3">
    <w:name w:val="Body Text Indent 3"/>
    <w:basedOn w:val="Normal"/>
    <w:link w:val="BodyTextIndent3Char"/>
    <w:uiPriority w:val="99"/>
    <w:rsid w:val="00EC61B9"/>
    <w:pPr>
      <w:spacing w:line="240" w:lineRule="auto"/>
      <w:ind w:left="1440" w:firstLine="0"/>
    </w:pPr>
    <w:rPr>
      <w:rFonts w:ascii="Times" w:hAnsi="Times"/>
    </w:rPr>
  </w:style>
  <w:style w:type="character" w:customStyle="1" w:styleId="BodyTextIndent3Char">
    <w:name w:val="Body Text Indent 3 Char"/>
    <w:basedOn w:val="DefaultParagraphFont"/>
    <w:link w:val="BodyTextIndent3"/>
    <w:uiPriority w:val="99"/>
    <w:semiHidden/>
    <w:locked/>
    <w:rsid w:val="007D422A"/>
    <w:rPr>
      <w:rFonts w:ascii="Times New Roman" w:hAnsi="Times New Roman" w:cs="Times New Roman"/>
      <w:sz w:val="16"/>
      <w:szCs w:val="16"/>
      <w:lang w:eastAsia="zh-CN"/>
    </w:rPr>
  </w:style>
  <w:style w:type="paragraph" w:customStyle="1" w:styleId="draft">
    <w:name w:val="draft"/>
    <w:basedOn w:val="Header"/>
    <w:uiPriority w:val="99"/>
    <w:rsid w:val="00EC61B9"/>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EC61B9"/>
    <w:pPr>
      <w:widowControl w:val="0"/>
      <w:tabs>
        <w:tab w:val="left" w:pos="1260"/>
      </w:tabs>
      <w:spacing w:before="252" w:line="240" w:lineRule="auto"/>
      <w:ind w:firstLine="0"/>
    </w:pPr>
    <w:rPr>
      <w:noProof/>
      <w:color w:val="000000"/>
      <w:sz w:val="20"/>
    </w:rPr>
  </w:style>
  <w:style w:type="paragraph" w:customStyle="1" w:styleId="H1">
    <w:name w:val="H1"/>
    <w:basedOn w:val="Normal"/>
    <w:next w:val="Normal"/>
    <w:uiPriority w:val="99"/>
    <w:rsid w:val="00EC61B9"/>
    <w:pPr>
      <w:keepNext/>
      <w:spacing w:before="100" w:after="100" w:line="240" w:lineRule="auto"/>
      <w:ind w:firstLine="0"/>
      <w:outlineLvl w:val="1"/>
    </w:pPr>
    <w:rPr>
      <w:b/>
      <w:kern w:val="36"/>
      <w:sz w:val="48"/>
      <w:lang w:eastAsia="en-US"/>
    </w:rPr>
  </w:style>
  <w:style w:type="paragraph" w:customStyle="1" w:styleId="Preformatted">
    <w:name w:val="Preformatted"/>
    <w:basedOn w:val="Normal"/>
    <w:uiPriority w:val="99"/>
    <w:rsid w:val="00EC61B9"/>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pPr>
    <w:rPr>
      <w:rFonts w:ascii="Courier New" w:hAnsi="Courier New"/>
      <w:sz w:val="20"/>
      <w:lang w:eastAsia="en-US"/>
    </w:rPr>
  </w:style>
  <w:style w:type="paragraph" w:styleId="BodyText2">
    <w:name w:val="Body Text 2"/>
    <w:basedOn w:val="Normal"/>
    <w:link w:val="BodyText2Char"/>
    <w:uiPriority w:val="99"/>
    <w:rsid w:val="00EC61B9"/>
    <w:pPr>
      <w:spacing w:line="240" w:lineRule="auto"/>
      <w:ind w:firstLine="0"/>
    </w:pPr>
  </w:style>
  <w:style w:type="character" w:customStyle="1" w:styleId="BodyText2Char">
    <w:name w:val="Body Text 2 Char"/>
    <w:basedOn w:val="DefaultParagraphFont"/>
    <w:link w:val="BodyText2"/>
    <w:uiPriority w:val="99"/>
    <w:semiHidden/>
    <w:locked/>
    <w:rsid w:val="007D422A"/>
    <w:rPr>
      <w:rFonts w:ascii="Times New Roman" w:hAnsi="Times New Roman" w:cs="Times New Roman"/>
      <w:sz w:val="20"/>
      <w:szCs w:val="20"/>
      <w:lang w:eastAsia="zh-CN"/>
    </w:rPr>
  </w:style>
  <w:style w:type="paragraph" w:styleId="BodyText3">
    <w:name w:val="Body Text 3"/>
    <w:basedOn w:val="Normal"/>
    <w:link w:val="BodyText3Char"/>
    <w:uiPriority w:val="99"/>
    <w:rsid w:val="00EC61B9"/>
    <w:pPr>
      <w:spacing w:line="360" w:lineRule="auto"/>
      <w:ind w:right="-720" w:firstLine="0"/>
    </w:pPr>
    <w:rPr>
      <w:lang w:eastAsia="en-US"/>
    </w:rPr>
  </w:style>
  <w:style w:type="character" w:customStyle="1" w:styleId="BodyText3Char">
    <w:name w:val="Body Text 3 Char"/>
    <w:basedOn w:val="DefaultParagraphFont"/>
    <w:link w:val="BodyText3"/>
    <w:uiPriority w:val="99"/>
    <w:semiHidden/>
    <w:locked/>
    <w:rsid w:val="007D422A"/>
    <w:rPr>
      <w:rFonts w:ascii="Times New Roman" w:hAnsi="Times New Roman" w:cs="Times New Roman"/>
      <w:sz w:val="16"/>
      <w:szCs w:val="16"/>
      <w:lang w:eastAsia="zh-CN"/>
    </w:rPr>
  </w:style>
  <w:style w:type="paragraph" w:customStyle="1" w:styleId="SingleSpacing">
    <w:name w:val="Single Spacing"/>
    <w:basedOn w:val="Normal"/>
    <w:uiPriority w:val="99"/>
    <w:rsid w:val="00EC61B9"/>
    <w:pPr>
      <w:spacing w:line="240" w:lineRule="exact"/>
      <w:ind w:firstLine="0"/>
    </w:pPr>
    <w:rPr>
      <w:sz w:val="26"/>
    </w:rPr>
  </w:style>
  <w:style w:type="paragraph" w:styleId="TOC8">
    <w:name w:val="toc 8"/>
    <w:basedOn w:val="Normal"/>
    <w:next w:val="Normal"/>
    <w:autoRedefine/>
    <w:uiPriority w:val="99"/>
    <w:semiHidden/>
    <w:rsid w:val="00EC61B9"/>
    <w:pPr>
      <w:ind w:left="1680"/>
    </w:pPr>
  </w:style>
  <w:style w:type="paragraph" w:styleId="TOC9">
    <w:name w:val="toc 9"/>
    <w:basedOn w:val="Normal"/>
    <w:next w:val="Normal"/>
    <w:autoRedefine/>
    <w:uiPriority w:val="99"/>
    <w:semiHidden/>
    <w:rsid w:val="00EC61B9"/>
    <w:pPr>
      <w:ind w:left="1920"/>
    </w:pPr>
  </w:style>
  <w:style w:type="character" w:styleId="Hyperlink">
    <w:name w:val="Hyperlink"/>
    <w:basedOn w:val="DefaultParagraphFont"/>
    <w:uiPriority w:val="99"/>
    <w:rsid w:val="00EC61B9"/>
    <w:rPr>
      <w:rFonts w:cs="Times New Roman"/>
      <w:color w:val="0000FF"/>
      <w:u w:val="single"/>
    </w:rPr>
  </w:style>
  <w:style w:type="paragraph" w:customStyle="1" w:styleId="Default">
    <w:name w:val="Default"/>
    <w:uiPriority w:val="99"/>
    <w:rsid w:val="00EC61B9"/>
    <w:rPr>
      <w:rFonts w:ascii="Garamond" w:hAnsi="Garamond"/>
      <w:color w:val="000000"/>
      <w:sz w:val="24"/>
      <w:szCs w:val="20"/>
    </w:rPr>
  </w:style>
  <w:style w:type="paragraph" w:customStyle="1" w:styleId="LZBulletText">
    <w:name w:val="LZ Bullet Text"/>
    <w:basedOn w:val="Default"/>
    <w:next w:val="Default"/>
    <w:uiPriority w:val="99"/>
    <w:rsid w:val="00EC61B9"/>
    <w:rPr>
      <w:color w:val="auto"/>
    </w:rPr>
  </w:style>
  <w:style w:type="paragraph" w:styleId="BalloonText">
    <w:name w:val="Balloon Text"/>
    <w:basedOn w:val="Normal"/>
    <w:link w:val="BalloonTextChar"/>
    <w:uiPriority w:val="99"/>
    <w:semiHidden/>
    <w:rsid w:val="00EC61B9"/>
    <w:rPr>
      <w:rFonts w:ascii="Tahoma" w:hAnsi="Tahoma" w:cs="TheSerif 3-Light"/>
      <w:sz w:val="16"/>
      <w:szCs w:val="16"/>
    </w:rPr>
  </w:style>
  <w:style w:type="character" w:customStyle="1" w:styleId="BalloonTextChar">
    <w:name w:val="Balloon Text Char"/>
    <w:basedOn w:val="DefaultParagraphFont"/>
    <w:link w:val="BalloonText"/>
    <w:uiPriority w:val="99"/>
    <w:semiHidden/>
    <w:locked/>
    <w:rsid w:val="007D422A"/>
    <w:rPr>
      <w:rFonts w:ascii="Times New Roman" w:hAnsi="Times New Roman" w:cs="Times New Roman"/>
      <w:sz w:val="2"/>
      <w:lang w:eastAsia="zh-CN"/>
    </w:rPr>
  </w:style>
  <w:style w:type="paragraph" w:customStyle="1" w:styleId="body">
    <w:name w:val="*body"/>
    <w:basedOn w:val="Normal"/>
    <w:uiPriority w:val="99"/>
    <w:rsid w:val="00EC61B9"/>
    <w:pPr>
      <w:widowControl w:val="0"/>
      <w:spacing w:line="280" w:lineRule="exact"/>
      <w:ind w:firstLine="540"/>
    </w:pPr>
    <w:rPr>
      <w:rFonts w:ascii="TheSerif 3-Light" w:hAnsi="TheSerif 3-Light"/>
      <w:sz w:val="18"/>
    </w:rPr>
  </w:style>
  <w:style w:type="paragraph" w:styleId="BlockText">
    <w:name w:val="Block Text"/>
    <w:basedOn w:val="Normal"/>
    <w:uiPriority w:val="99"/>
    <w:rsid w:val="00EC61B9"/>
    <w:pPr>
      <w:numPr>
        <w:numId w:val="24"/>
      </w:numPr>
      <w:spacing w:after="120" w:line="240" w:lineRule="auto"/>
      <w:ind w:right="1440"/>
    </w:pPr>
    <w:rPr>
      <w:szCs w:val="24"/>
      <w:lang w:eastAsia="en-US"/>
    </w:rPr>
  </w:style>
  <w:style w:type="character" w:styleId="Strong">
    <w:name w:val="Strong"/>
    <w:basedOn w:val="DefaultParagraphFont"/>
    <w:uiPriority w:val="99"/>
    <w:qFormat/>
    <w:rsid w:val="00EC61B9"/>
    <w:rPr>
      <w:rFonts w:cs="Times New Roman"/>
      <w:b/>
    </w:rPr>
  </w:style>
  <w:style w:type="paragraph" w:styleId="Title">
    <w:name w:val="Title"/>
    <w:basedOn w:val="Normal"/>
    <w:link w:val="TitleChar"/>
    <w:uiPriority w:val="99"/>
    <w:qFormat/>
    <w:rsid w:val="00EC61B9"/>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7D422A"/>
    <w:rPr>
      <w:rFonts w:ascii="Cambria" w:hAnsi="Cambria" w:cs="Times New Roman"/>
      <w:b/>
      <w:bCs/>
      <w:kern w:val="28"/>
      <w:sz w:val="32"/>
      <w:szCs w:val="32"/>
      <w:lang w:eastAsia="zh-CN"/>
    </w:rPr>
  </w:style>
  <w:style w:type="paragraph" w:styleId="Caption">
    <w:name w:val="caption"/>
    <w:basedOn w:val="Normal"/>
    <w:next w:val="Normal"/>
    <w:uiPriority w:val="99"/>
    <w:qFormat/>
    <w:rsid w:val="00EC61B9"/>
    <w:pPr>
      <w:spacing w:before="120" w:after="120" w:line="240" w:lineRule="exact"/>
      <w:ind w:firstLine="0"/>
    </w:pPr>
    <w:rPr>
      <w:b/>
      <w:bCs/>
      <w:sz w:val="20"/>
      <w:lang w:eastAsia="en-US"/>
    </w:rPr>
  </w:style>
  <w:style w:type="paragraph" w:customStyle="1" w:styleId="Arial11">
    <w:name w:val="Arial 11"/>
    <w:aliases w:val="Line Space 1.5,Justified"/>
    <w:basedOn w:val="Normal"/>
    <w:uiPriority w:val="99"/>
    <w:rsid w:val="00EC61B9"/>
    <w:pPr>
      <w:spacing w:line="360" w:lineRule="auto"/>
      <w:ind w:firstLine="0"/>
      <w:jc w:val="both"/>
    </w:pPr>
    <w:rPr>
      <w:rFonts w:ascii="Arial" w:hAnsi="Arial" w:cs="Arial"/>
      <w:sz w:val="22"/>
      <w:szCs w:val="24"/>
      <w:lang w:eastAsia="en-US"/>
    </w:rPr>
  </w:style>
  <w:style w:type="character" w:customStyle="1" w:styleId="singleChar">
    <w:name w:val="single Char"/>
    <w:basedOn w:val="DefaultParagraphFont"/>
    <w:uiPriority w:val="99"/>
    <w:rsid w:val="00EC61B9"/>
    <w:rPr>
      <w:rFonts w:cs="Times New Roman"/>
      <w:sz w:val="24"/>
      <w:lang w:val="en-US" w:eastAsia="zh-CN" w:bidi="ar-SA"/>
    </w:rPr>
  </w:style>
  <w:style w:type="character" w:customStyle="1" w:styleId="h1CharChar">
    <w:name w:val="h1 Char Char"/>
    <w:basedOn w:val="singleChar"/>
    <w:uiPriority w:val="99"/>
    <w:rsid w:val="00EC61B9"/>
    <w:rPr>
      <w:b/>
    </w:rPr>
  </w:style>
  <w:style w:type="character" w:customStyle="1" w:styleId="h2CharChar">
    <w:name w:val="h2 Char Char"/>
    <w:basedOn w:val="h1CharChar"/>
    <w:uiPriority w:val="99"/>
    <w:rsid w:val="00EC61B9"/>
    <w:rPr>
      <w:u w:val="single"/>
    </w:rPr>
  </w:style>
  <w:style w:type="character" w:customStyle="1" w:styleId="h3CharChar">
    <w:name w:val="h3 Char Char"/>
    <w:basedOn w:val="h2CharChar"/>
    <w:uiPriority w:val="99"/>
    <w:rsid w:val="00EC61B9"/>
  </w:style>
  <w:style w:type="character" w:styleId="FollowedHyperlink">
    <w:name w:val="FollowedHyperlink"/>
    <w:basedOn w:val="DefaultParagraphFont"/>
    <w:uiPriority w:val="99"/>
    <w:rsid w:val="00EC61B9"/>
    <w:rPr>
      <w:rFonts w:cs="Times New Roman"/>
      <w:color w:val="800080"/>
      <w:u w:val="single"/>
    </w:rPr>
  </w:style>
  <w:style w:type="paragraph" w:styleId="BodyTextFirstIndent">
    <w:name w:val="Body Text First Indent"/>
    <w:basedOn w:val="BodyText"/>
    <w:link w:val="BodyTextFirstIndentChar"/>
    <w:uiPriority w:val="99"/>
    <w:rsid w:val="00EC61B9"/>
    <w:pPr>
      <w:spacing w:after="120" w:line="480" w:lineRule="atLeast"/>
      <w:ind w:firstLine="210"/>
      <w:jc w:val="left"/>
    </w:pPr>
    <w:rPr>
      <w:lang w:val="en-US"/>
    </w:rPr>
  </w:style>
  <w:style w:type="character" w:customStyle="1" w:styleId="BodyTextFirstIndentChar">
    <w:name w:val="Body Text First Indent Char"/>
    <w:basedOn w:val="BodyTextChar"/>
    <w:link w:val="BodyTextFirstIndent"/>
    <w:uiPriority w:val="99"/>
    <w:semiHidden/>
    <w:locked/>
    <w:rsid w:val="007D422A"/>
  </w:style>
  <w:style w:type="paragraph" w:styleId="BodyTextFirstIndent2">
    <w:name w:val="Body Text First Indent 2"/>
    <w:basedOn w:val="BodyTextIndent"/>
    <w:link w:val="BodyTextFirstIndent2Char"/>
    <w:uiPriority w:val="99"/>
    <w:rsid w:val="00EC61B9"/>
    <w:pPr>
      <w:spacing w:after="120" w:line="480" w:lineRule="atLeast"/>
      <w:ind w:left="360" w:firstLine="210"/>
    </w:pPr>
    <w:rPr>
      <w:rFonts w:ascii="Times New Roman" w:hAnsi="Times New Roman"/>
      <w:sz w:val="24"/>
    </w:rPr>
  </w:style>
  <w:style w:type="character" w:customStyle="1" w:styleId="BodyTextFirstIndent2Char">
    <w:name w:val="Body Text First Indent 2 Char"/>
    <w:basedOn w:val="BodyTextIndentChar"/>
    <w:link w:val="BodyTextFirstIndent2"/>
    <w:uiPriority w:val="99"/>
    <w:semiHidden/>
    <w:locked/>
    <w:rsid w:val="007D422A"/>
  </w:style>
  <w:style w:type="paragraph" w:styleId="Closing">
    <w:name w:val="Closing"/>
    <w:basedOn w:val="Normal"/>
    <w:link w:val="ClosingChar"/>
    <w:uiPriority w:val="99"/>
    <w:rsid w:val="00EC61B9"/>
    <w:pPr>
      <w:ind w:left="4320"/>
    </w:pPr>
  </w:style>
  <w:style w:type="character" w:customStyle="1" w:styleId="ClosingChar">
    <w:name w:val="Closing Char"/>
    <w:basedOn w:val="DefaultParagraphFont"/>
    <w:link w:val="Closing"/>
    <w:uiPriority w:val="99"/>
    <w:semiHidden/>
    <w:locked/>
    <w:rsid w:val="007D422A"/>
    <w:rPr>
      <w:rFonts w:ascii="Times New Roma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rsid w:val="00EC61B9"/>
    <w:pPr>
      <w:spacing w:before="0" w:line="480" w:lineRule="atLeast"/>
    </w:pPr>
    <w:rPr>
      <w:b/>
      <w:bCs/>
      <w:sz w:val="20"/>
    </w:rPr>
  </w:style>
  <w:style w:type="character" w:customStyle="1" w:styleId="CommentSubjectChar">
    <w:name w:val="Comment Subject Char"/>
    <w:basedOn w:val="CommentTextChar"/>
    <w:link w:val="CommentSubject"/>
    <w:uiPriority w:val="99"/>
    <w:semiHidden/>
    <w:locked/>
    <w:rsid w:val="007D422A"/>
    <w:rPr>
      <w:b/>
      <w:bCs/>
    </w:rPr>
  </w:style>
  <w:style w:type="paragraph" w:styleId="Date">
    <w:name w:val="Date"/>
    <w:basedOn w:val="Normal"/>
    <w:next w:val="Normal"/>
    <w:link w:val="DateChar"/>
    <w:uiPriority w:val="99"/>
    <w:rsid w:val="00EC61B9"/>
  </w:style>
  <w:style w:type="character" w:customStyle="1" w:styleId="DateChar">
    <w:name w:val="Date Char"/>
    <w:basedOn w:val="DefaultParagraphFont"/>
    <w:link w:val="Date"/>
    <w:uiPriority w:val="99"/>
    <w:semiHidden/>
    <w:locked/>
    <w:rsid w:val="007D422A"/>
    <w:rPr>
      <w:rFonts w:ascii="Times New Roman" w:hAnsi="Times New Roman" w:cs="Times New Roman"/>
      <w:sz w:val="20"/>
      <w:szCs w:val="20"/>
      <w:lang w:eastAsia="zh-CN"/>
    </w:rPr>
  </w:style>
  <w:style w:type="paragraph" w:styleId="DocumentMap">
    <w:name w:val="Document Map"/>
    <w:basedOn w:val="Normal"/>
    <w:link w:val="DocumentMapChar"/>
    <w:uiPriority w:val="99"/>
    <w:semiHidden/>
    <w:rsid w:val="00EC61B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7D422A"/>
    <w:rPr>
      <w:rFonts w:ascii="Times New Roman" w:hAnsi="Times New Roman" w:cs="Times New Roman"/>
      <w:sz w:val="2"/>
      <w:lang w:eastAsia="zh-CN"/>
    </w:rPr>
  </w:style>
  <w:style w:type="paragraph" w:styleId="E-mailSignature">
    <w:name w:val="E-mail Signature"/>
    <w:basedOn w:val="Normal"/>
    <w:link w:val="E-mailSignatureChar"/>
    <w:uiPriority w:val="99"/>
    <w:rsid w:val="00EC61B9"/>
  </w:style>
  <w:style w:type="character" w:customStyle="1" w:styleId="E-mailSignatureChar">
    <w:name w:val="E-mail Signature Char"/>
    <w:basedOn w:val="DefaultParagraphFont"/>
    <w:link w:val="E-mailSignature"/>
    <w:uiPriority w:val="99"/>
    <w:semiHidden/>
    <w:locked/>
    <w:rsid w:val="007D422A"/>
    <w:rPr>
      <w:rFonts w:ascii="Times New Roman" w:hAnsi="Times New Roman" w:cs="Times New Roman"/>
      <w:sz w:val="20"/>
      <w:szCs w:val="20"/>
      <w:lang w:eastAsia="zh-CN"/>
    </w:rPr>
  </w:style>
  <w:style w:type="paragraph" w:styleId="EndnoteText">
    <w:name w:val="endnote text"/>
    <w:basedOn w:val="Normal"/>
    <w:link w:val="EndnoteTextChar"/>
    <w:uiPriority w:val="99"/>
    <w:semiHidden/>
    <w:rsid w:val="00EC61B9"/>
    <w:rPr>
      <w:sz w:val="20"/>
    </w:rPr>
  </w:style>
  <w:style w:type="character" w:customStyle="1" w:styleId="EndnoteTextChar">
    <w:name w:val="Endnote Text Char"/>
    <w:basedOn w:val="DefaultParagraphFont"/>
    <w:link w:val="EndnoteText"/>
    <w:uiPriority w:val="99"/>
    <w:semiHidden/>
    <w:locked/>
    <w:rsid w:val="007D422A"/>
    <w:rPr>
      <w:rFonts w:ascii="Times New Roman" w:hAnsi="Times New Roman" w:cs="Times New Roman"/>
      <w:sz w:val="20"/>
      <w:szCs w:val="20"/>
      <w:lang w:eastAsia="zh-CN"/>
    </w:rPr>
  </w:style>
  <w:style w:type="paragraph" w:styleId="HTMLAddress">
    <w:name w:val="HTML Address"/>
    <w:basedOn w:val="Normal"/>
    <w:link w:val="HTMLAddressChar"/>
    <w:uiPriority w:val="99"/>
    <w:rsid w:val="00EC61B9"/>
    <w:rPr>
      <w:i/>
      <w:iCs/>
    </w:rPr>
  </w:style>
  <w:style w:type="character" w:customStyle="1" w:styleId="HTMLAddressChar">
    <w:name w:val="HTML Address Char"/>
    <w:basedOn w:val="DefaultParagraphFont"/>
    <w:link w:val="HTMLAddress"/>
    <w:uiPriority w:val="99"/>
    <w:semiHidden/>
    <w:locked/>
    <w:rsid w:val="007D422A"/>
    <w:rPr>
      <w:rFonts w:ascii="Times New Roman" w:hAnsi="Times New Roman" w:cs="Times New Roman"/>
      <w:i/>
      <w:iCs/>
      <w:sz w:val="20"/>
      <w:szCs w:val="20"/>
      <w:lang w:eastAsia="zh-CN"/>
    </w:rPr>
  </w:style>
  <w:style w:type="paragraph" w:styleId="HTMLPreformatted">
    <w:name w:val="HTML Preformatted"/>
    <w:basedOn w:val="Normal"/>
    <w:link w:val="HTMLPreformattedChar"/>
    <w:uiPriority w:val="99"/>
    <w:rsid w:val="00EC61B9"/>
    <w:rPr>
      <w:rFonts w:ascii="Courier New" w:hAnsi="Courier New" w:cs="Courier New"/>
      <w:sz w:val="20"/>
    </w:rPr>
  </w:style>
  <w:style w:type="character" w:customStyle="1" w:styleId="HTMLPreformattedChar">
    <w:name w:val="HTML Preformatted Char"/>
    <w:basedOn w:val="DefaultParagraphFont"/>
    <w:link w:val="HTMLPreformatted"/>
    <w:uiPriority w:val="99"/>
    <w:semiHidden/>
    <w:locked/>
    <w:rsid w:val="007D422A"/>
    <w:rPr>
      <w:rFonts w:ascii="Courier New" w:hAnsi="Courier New" w:cs="Courier New"/>
      <w:sz w:val="20"/>
      <w:szCs w:val="20"/>
      <w:lang w:eastAsia="zh-CN"/>
    </w:rPr>
  </w:style>
  <w:style w:type="paragraph" w:styleId="Index3">
    <w:name w:val="index 3"/>
    <w:basedOn w:val="Normal"/>
    <w:next w:val="Normal"/>
    <w:autoRedefine/>
    <w:uiPriority w:val="99"/>
    <w:semiHidden/>
    <w:rsid w:val="00EC61B9"/>
    <w:pPr>
      <w:ind w:left="720" w:hanging="240"/>
    </w:pPr>
  </w:style>
  <w:style w:type="paragraph" w:styleId="Index4">
    <w:name w:val="index 4"/>
    <w:basedOn w:val="Normal"/>
    <w:next w:val="Normal"/>
    <w:autoRedefine/>
    <w:uiPriority w:val="99"/>
    <w:semiHidden/>
    <w:rsid w:val="00EC61B9"/>
    <w:pPr>
      <w:ind w:left="960" w:hanging="240"/>
    </w:pPr>
  </w:style>
  <w:style w:type="paragraph" w:styleId="Index5">
    <w:name w:val="index 5"/>
    <w:basedOn w:val="Normal"/>
    <w:next w:val="Normal"/>
    <w:autoRedefine/>
    <w:uiPriority w:val="99"/>
    <w:semiHidden/>
    <w:rsid w:val="00EC61B9"/>
    <w:pPr>
      <w:ind w:left="1200" w:hanging="240"/>
    </w:pPr>
  </w:style>
  <w:style w:type="paragraph" w:styleId="Index6">
    <w:name w:val="index 6"/>
    <w:basedOn w:val="Normal"/>
    <w:next w:val="Normal"/>
    <w:autoRedefine/>
    <w:uiPriority w:val="99"/>
    <w:semiHidden/>
    <w:rsid w:val="00EC61B9"/>
    <w:pPr>
      <w:ind w:left="1440" w:hanging="240"/>
    </w:pPr>
  </w:style>
  <w:style w:type="paragraph" w:styleId="Index7">
    <w:name w:val="index 7"/>
    <w:basedOn w:val="Normal"/>
    <w:next w:val="Normal"/>
    <w:autoRedefine/>
    <w:uiPriority w:val="99"/>
    <w:semiHidden/>
    <w:rsid w:val="00EC61B9"/>
    <w:pPr>
      <w:ind w:left="1680" w:hanging="240"/>
    </w:pPr>
  </w:style>
  <w:style w:type="paragraph" w:styleId="Index8">
    <w:name w:val="index 8"/>
    <w:basedOn w:val="Normal"/>
    <w:next w:val="Normal"/>
    <w:autoRedefine/>
    <w:uiPriority w:val="99"/>
    <w:semiHidden/>
    <w:rsid w:val="00EC61B9"/>
    <w:pPr>
      <w:ind w:left="1920" w:hanging="240"/>
    </w:pPr>
  </w:style>
  <w:style w:type="paragraph" w:styleId="Index9">
    <w:name w:val="index 9"/>
    <w:basedOn w:val="Normal"/>
    <w:next w:val="Normal"/>
    <w:autoRedefine/>
    <w:uiPriority w:val="99"/>
    <w:semiHidden/>
    <w:rsid w:val="00EC61B9"/>
    <w:pPr>
      <w:ind w:left="2160" w:hanging="240"/>
    </w:pPr>
  </w:style>
  <w:style w:type="paragraph" w:styleId="List">
    <w:name w:val="List"/>
    <w:basedOn w:val="Normal"/>
    <w:uiPriority w:val="99"/>
    <w:rsid w:val="00EC61B9"/>
    <w:pPr>
      <w:ind w:left="360" w:hanging="360"/>
    </w:pPr>
  </w:style>
  <w:style w:type="paragraph" w:styleId="List2">
    <w:name w:val="List 2"/>
    <w:basedOn w:val="Normal"/>
    <w:uiPriority w:val="99"/>
    <w:rsid w:val="00EC61B9"/>
    <w:pPr>
      <w:ind w:left="720" w:hanging="360"/>
    </w:pPr>
  </w:style>
  <w:style w:type="paragraph" w:styleId="List3">
    <w:name w:val="List 3"/>
    <w:basedOn w:val="Normal"/>
    <w:uiPriority w:val="99"/>
    <w:rsid w:val="00EC61B9"/>
    <w:pPr>
      <w:ind w:left="1080" w:hanging="360"/>
    </w:pPr>
  </w:style>
  <w:style w:type="paragraph" w:styleId="List4">
    <w:name w:val="List 4"/>
    <w:basedOn w:val="Normal"/>
    <w:uiPriority w:val="99"/>
    <w:rsid w:val="00EC61B9"/>
    <w:pPr>
      <w:ind w:left="1440" w:hanging="360"/>
    </w:pPr>
  </w:style>
  <w:style w:type="paragraph" w:styleId="List5">
    <w:name w:val="List 5"/>
    <w:basedOn w:val="Normal"/>
    <w:uiPriority w:val="99"/>
    <w:rsid w:val="00EC61B9"/>
    <w:pPr>
      <w:ind w:left="1800" w:hanging="360"/>
    </w:pPr>
  </w:style>
  <w:style w:type="paragraph" w:styleId="ListBullet">
    <w:name w:val="List Bullet"/>
    <w:basedOn w:val="Normal"/>
    <w:autoRedefine/>
    <w:uiPriority w:val="99"/>
    <w:rsid w:val="00EC61B9"/>
    <w:pPr>
      <w:tabs>
        <w:tab w:val="num" w:pos="360"/>
      </w:tabs>
      <w:ind w:left="360" w:hanging="360"/>
    </w:pPr>
  </w:style>
  <w:style w:type="paragraph" w:styleId="ListBullet2">
    <w:name w:val="List Bullet 2"/>
    <w:basedOn w:val="Normal"/>
    <w:autoRedefine/>
    <w:uiPriority w:val="99"/>
    <w:rsid w:val="00EC61B9"/>
    <w:pPr>
      <w:tabs>
        <w:tab w:val="num" w:pos="720"/>
      </w:tabs>
      <w:ind w:left="720" w:hanging="360"/>
    </w:pPr>
  </w:style>
  <w:style w:type="paragraph" w:styleId="ListBullet3">
    <w:name w:val="List Bullet 3"/>
    <w:basedOn w:val="Normal"/>
    <w:autoRedefine/>
    <w:uiPriority w:val="99"/>
    <w:rsid w:val="00EC61B9"/>
    <w:pPr>
      <w:tabs>
        <w:tab w:val="num" w:pos="1080"/>
      </w:tabs>
      <w:ind w:left="1080" w:hanging="360"/>
    </w:pPr>
  </w:style>
  <w:style w:type="paragraph" w:styleId="ListBullet4">
    <w:name w:val="List Bullet 4"/>
    <w:basedOn w:val="Normal"/>
    <w:autoRedefine/>
    <w:uiPriority w:val="99"/>
    <w:rsid w:val="00EC61B9"/>
    <w:pPr>
      <w:tabs>
        <w:tab w:val="num" w:pos="1440"/>
      </w:tabs>
      <w:ind w:left="1440" w:hanging="360"/>
    </w:pPr>
  </w:style>
  <w:style w:type="paragraph" w:styleId="ListBullet5">
    <w:name w:val="List Bullet 5"/>
    <w:basedOn w:val="Normal"/>
    <w:autoRedefine/>
    <w:uiPriority w:val="99"/>
    <w:rsid w:val="00EC61B9"/>
    <w:pPr>
      <w:tabs>
        <w:tab w:val="num" w:pos="1800"/>
      </w:tabs>
      <w:ind w:left="1800" w:hanging="360"/>
    </w:pPr>
  </w:style>
  <w:style w:type="paragraph" w:styleId="ListContinue">
    <w:name w:val="List Continue"/>
    <w:basedOn w:val="Normal"/>
    <w:uiPriority w:val="99"/>
    <w:rsid w:val="00EC61B9"/>
    <w:pPr>
      <w:spacing w:after="120"/>
      <w:ind w:left="360"/>
    </w:pPr>
  </w:style>
  <w:style w:type="paragraph" w:styleId="ListContinue2">
    <w:name w:val="List Continue 2"/>
    <w:basedOn w:val="Normal"/>
    <w:uiPriority w:val="99"/>
    <w:rsid w:val="00EC61B9"/>
    <w:pPr>
      <w:spacing w:after="120"/>
      <w:ind w:left="720"/>
    </w:pPr>
  </w:style>
  <w:style w:type="paragraph" w:styleId="ListContinue3">
    <w:name w:val="List Continue 3"/>
    <w:basedOn w:val="Normal"/>
    <w:uiPriority w:val="99"/>
    <w:rsid w:val="00EC61B9"/>
    <w:pPr>
      <w:spacing w:after="120"/>
      <w:ind w:left="1080"/>
    </w:pPr>
  </w:style>
  <w:style w:type="paragraph" w:styleId="ListContinue4">
    <w:name w:val="List Continue 4"/>
    <w:basedOn w:val="Normal"/>
    <w:uiPriority w:val="99"/>
    <w:rsid w:val="00EC61B9"/>
    <w:pPr>
      <w:spacing w:after="120"/>
      <w:ind w:left="1440"/>
    </w:pPr>
  </w:style>
  <w:style w:type="paragraph" w:styleId="ListContinue5">
    <w:name w:val="List Continue 5"/>
    <w:basedOn w:val="Normal"/>
    <w:uiPriority w:val="99"/>
    <w:rsid w:val="00EC61B9"/>
    <w:pPr>
      <w:spacing w:after="120"/>
      <w:ind w:left="1800"/>
    </w:pPr>
  </w:style>
  <w:style w:type="paragraph" w:styleId="ListNumber">
    <w:name w:val="List Number"/>
    <w:basedOn w:val="Normal"/>
    <w:uiPriority w:val="99"/>
    <w:rsid w:val="00EC61B9"/>
    <w:pPr>
      <w:tabs>
        <w:tab w:val="num" w:pos="360"/>
      </w:tabs>
      <w:ind w:left="360" w:hanging="360"/>
    </w:pPr>
  </w:style>
  <w:style w:type="paragraph" w:styleId="ListNumber2">
    <w:name w:val="List Number 2"/>
    <w:basedOn w:val="Normal"/>
    <w:uiPriority w:val="99"/>
    <w:rsid w:val="00EC61B9"/>
    <w:pPr>
      <w:tabs>
        <w:tab w:val="num" w:pos="720"/>
      </w:tabs>
      <w:ind w:left="720" w:hanging="360"/>
    </w:pPr>
  </w:style>
  <w:style w:type="paragraph" w:styleId="ListNumber3">
    <w:name w:val="List Number 3"/>
    <w:basedOn w:val="Normal"/>
    <w:uiPriority w:val="99"/>
    <w:rsid w:val="00EC61B9"/>
    <w:pPr>
      <w:tabs>
        <w:tab w:val="num" w:pos="1080"/>
      </w:tabs>
      <w:ind w:left="1080" w:hanging="360"/>
    </w:pPr>
  </w:style>
  <w:style w:type="paragraph" w:styleId="ListNumber4">
    <w:name w:val="List Number 4"/>
    <w:basedOn w:val="Normal"/>
    <w:uiPriority w:val="99"/>
    <w:rsid w:val="00EC61B9"/>
    <w:pPr>
      <w:tabs>
        <w:tab w:val="num" w:pos="1440"/>
      </w:tabs>
      <w:ind w:left="1440" w:hanging="360"/>
    </w:pPr>
  </w:style>
  <w:style w:type="paragraph" w:styleId="ListNumber5">
    <w:name w:val="List Number 5"/>
    <w:basedOn w:val="Normal"/>
    <w:uiPriority w:val="99"/>
    <w:rsid w:val="00EC61B9"/>
    <w:pPr>
      <w:tabs>
        <w:tab w:val="num" w:pos="1800"/>
      </w:tabs>
      <w:ind w:left="1800" w:hanging="360"/>
    </w:pPr>
  </w:style>
  <w:style w:type="paragraph" w:styleId="MacroText">
    <w:name w:val="macro"/>
    <w:link w:val="MacroTextChar"/>
    <w:uiPriority w:val="99"/>
    <w:semiHidden/>
    <w:rsid w:val="00EC61B9"/>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sz w:val="20"/>
      <w:szCs w:val="20"/>
      <w:lang w:eastAsia="zh-CN"/>
    </w:rPr>
  </w:style>
  <w:style w:type="character" w:customStyle="1" w:styleId="MacroTextChar">
    <w:name w:val="Macro Text Char"/>
    <w:basedOn w:val="DefaultParagraphFont"/>
    <w:link w:val="MacroText"/>
    <w:uiPriority w:val="99"/>
    <w:semiHidden/>
    <w:locked/>
    <w:rsid w:val="007D422A"/>
    <w:rPr>
      <w:rFonts w:ascii="Courier New" w:hAnsi="Courier New" w:cs="Courier New"/>
      <w:lang w:val="en-US" w:eastAsia="zh-CN" w:bidi="ar-SA"/>
    </w:rPr>
  </w:style>
  <w:style w:type="paragraph" w:styleId="MessageHeader">
    <w:name w:val="Message Header"/>
    <w:basedOn w:val="Normal"/>
    <w:link w:val="MessageHeaderChar"/>
    <w:uiPriority w:val="99"/>
    <w:rsid w:val="00EC61B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character" w:customStyle="1" w:styleId="MessageHeaderChar">
    <w:name w:val="Message Header Char"/>
    <w:basedOn w:val="DefaultParagraphFont"/>
    <w:link w:val="MessageHeader"/>
    <w:uiPriority w:val="99"/>
    <w:semiHidden/>
    <w:locked/>
    <w:rsid w:val="007D422A"/>
    <w:rPr>
      <w:rFonts w:ascii="Cambria" w:hAnsi="Cambria" w:cs="Times New Roman"/>
      <w:sz w:val="24"/>
      <w:szCs w:val="24"/>
      <w:shd w:val="pct20" w:color="auto" w:fill="auto"/>
      <w:lang w:eastAsia="zh-CN"/>
    </w:rPr>
  </w:style>
  <w:style w:type="paragraph" w:styleId="NormalWeb">
    <w:name w:val="Normal (Web)"/>
    <w:basedOn w:val="Normal"/>
    <w:uiPriority w:val="99"/>
    <w:rsid w:val="00EC61B9"/>
    <w:rPr>
      <w:szCs w:val="24"/>
    </w:rPr>
  </w:style>
  <w:style w:type="paragraph" w:styleId="NoteHeading">
    <w:name w:val="Note Heading"/>
    <w:basedOn w:val="Normal"/>
    <w:next w:val="Normal"/>
    <w:link w:val="NoteHeadingChar"/>
    <w:uiPriority w:val="99"/>
    <w:rsid w:val="00EC61B9"/>
  </w:style>
  <w:style w:type="character" w:customStyle="1" w:styleId="NoteHeadingChar">
    <w:name w:val="Note Heading Char"/>
    <w:basedOn w:val="DefaultParagraphFont"/>
    <w:link w:val="NoteHeading"/>
    <w:uiPriority w:val="99"/>
    <w:semiHidden/>
    <w:locked/>
    <w:rsid w:val="007D422A"/>
    <w:rPr>
      <w:rFonts w:ascii="Times New Roman" w:hAnsi="Times New Roman" w:cs="Times New Roman"/>
      <w:sz w:val="20"/>
      <w:szCs w:val="20"/>
      <w:lang w:eastAsia="zh-CN"/>
    </w:rPr>
  </w:style>
  <w:style w:type="paragraph" w:styleId="PlainText">
    <w:name w:val="Plain Text"/>
    <w:basedOn w:val="Normal"/>
    <w:link w:val="PlainTextChar"/>
    <w:uiPriority w:val="99"/>
    <w:rsid w:val="00EC61B9"/>
    <w:rPr>
      <w:rFonts w:ascii="Courier New" w:hAnsi="Courier New" w:cs="Courier New"/>
      <w:sz w:val="20"/>
    </w:rPr>
  </w:style>
  <w:style w:type="character" w:customStyle="1" w:styleId="PlainTextChar">
    <w:name w:val="Plain Text Char"/>
    <w:basedOn w:val="DefaultParagraphFont"/>
    <w:link w:val="PlainText"/>
    <w:uiPriority w:val="99"/>
    <w:semiHidden/>
    <w:locked/>
    <w:rsid w:val="007D422A"/>
    <w:rPr>
      <w:rFonts w:ascii="Courier New" w:hAnsi="Courier New" w:cs="Courier New"/>
      <w:sz w:val="20"/>
      <w:szCs w:val="20"/>
      <w:lang w:eastAsia="zh-CN"/>
    </w:rPr>
  </w:style>
  <w:style w:type="paragraph" w:styleId="Salutation">
    <w:name w:val="Salutation"/>
    <w:basedOn w:val="Normal"/>
    <w:next w:val="Normal"/>
    <w:link w:val="SalutationChar"/>
    <w:uiPriority w:val="99"/>
    <w:rsid w:val="00EC61B9"/>
  </w:style>
  <w:style w:type="character" w:customStyle="1" w:styleId="SalutationChar">
    <w:name w:val="Salutation Char"/>
    <w:basedOn w:val="DefaultParagraphFont"/>
    <w:link w:val="Salutation"/>
    <w:uiPriority w:val="99"/>
    <w:semiHidden/>
    <w:locked/>
    <w:rsid w:val="007D422A"/>
    <w:rPr>
      <w:rFonts w:ascii="Times New Roman" w:hAnsi="Times New Roman" w:cs="Times New Roman"/>
      <w:sz w:val="20"/>
      <w:szCs w:val="20"/>
      <w:lang w:eastAsia="zh-CN"/>
    </w:rPr>
  </w:style>
  <w:style w:type="paragraph" w:styleId="Signature">
    <w:name w:val="Signature"/>
    <w:basedOn w:val="Normal"/>
    <w:link w:val="SignatureChar"/>
    <w:uiPriority w:val="99"/>
    <w:rsid w:val="00EC61B9"/>
    <w:pPr>
      <w:ind w:left="4320"/>
    </w:pPr>
  </w:style>
  <w:style w:type="character" w:customStyle="1" w:styleId="SignatureChar">
    <w:name w:val="Signature Char"/>
    <w:basedOn w:val="DefaultParagraphFont"/>
    <w:link w:val="Signature"/>
    <w:uiPriority w:val="99"/>
    <w:semiHidden/>
    <w:locked/>
    <w:rsid w:val="007D422A"/>
    <w:rPr>
      <w:rFonts w:ascii="Times New Roman" w:hAnsi="Times New Roman" w:cs="Times New Roman"/>
      <w:sz w:val="20"/>
      <w:szCs w:val="20"/>
      <w:lang w:eastAsia="zh-CN"/>
    </w:rPr>
  </w:style>
  <w:style w:type="paragraph" w:styleId="Subtitle">
    <w:name w:val="Subtitle"/>
    <w:basedOn w:val="Normal"/>
    <w:link w:val="SubtitleChar"/>
    <w:uiPriority w:val="99"/>
    <w:qFormat/>
    <w:rsid w:val="00EC61B9"/>
    <w:pPr>
      <w:spacing w:after="60"/>
      <w:jc w:val="center"/>
      <w:outlineLvl w:val="1"/>
    </w:pPr>
    <w:rPr>
      <w:rFonts w:ascii="Arial" w:hAnsi="Arial" w:cs="Arial"/>
      <w:szCs w:val="24"/>
    </w:rPr>
  </w:style>
  <w:style w:type="character" w:customStyle="1" w:styleId="SubtitleChar">
    <w:name w:val="Subtitle Char"/>
    <w:basedOn w:val="DefaultParagraphFont"/>
    <w:link w:val="Subtitle"/>
    <w:uiPriority w:val="99"/>
    <w:locked/>
    <w:rsid w:val="007D422A"/>
    <w:rPr>
      <w:rFonts w:ascii="Cambria" w:hAnsi="Cambria" w:cs="Times New Roman"/>
      <w:sz w:val="24"/>
      <w:szCs w:val="24"/>
      <w:lang w:eastAsia="zh-CN"/>
    </w:rPr>
  </w:style>
  <w:style w:type="paragraph" w:styleId="TableofFigures">
    <w:name w:val="table of figures"/>
    <w:basedOn w:val="Normal"/>
    <w:next w:val="Normal"/>
    <w:uiPriority w:val="99"/>
    <w:semiHidden/>
    <w:rsid w:val="00EC61B9"/>
    <w:pPr>
      <w:ind w:left="480" w:hanging="480"/>
    </w:pPr>
  </w:style>
  <w:style w:type="character" w:styleId="HTMLCode">
    <w:name w:val="HTML Code"/>
    <w:basedOn w:val="DefaultParagraphFont"/>
    <w:uiPriority w:val="99"/>
    <w:rsid w:val="00EC61B9"/>
    <w:rPr>
      <w:rFonts w:ascii="Courier New" w:hAnsi="Courier New" w:cs="Tahoma"/>
      <w:sz w:val="20"/>
      <w:szCs w:val="20"/>
    </w:rPr>
  </w:style>
  <w:style w:type="paragraph" w:customStyle="1" w:styleId="Notes">
    <w:name w:val="Notes"/>
    <w:basedOn w:val="Normal"/>
    <w:uiPriority w:val="99"/>
    <w:rsid w:val="00EC61B9"/>
    <w:pPr>
      <w:spacing w:line="240" w:lineRule="auto"/>
      <w:ind w:left="2160" w:hanging="2160"/>
    </w:pPr>
    <w:rPr>
      <w:szCs w:val="24"/>
      <w:lang w:eastAsia="en-US"/>
    </w:rPr>
  </w:style>
  <w:style w:type="character" w:customStyle="1" w:styleId="zzmpTrailerItem">
    <w:name w:val="zzmpTrailerItem"/>
    <w:basedOn w:val="DefaultParagraphFont"/>
    <w:uiPriority w:val="99"/>
    <w:rsid w:val="00DE6A65"/>
    <w:rPr>
      <w:rFonts w:ascii="Times New Roman" w:hAnsi="Times New Roman" w:cs="Times New Roman"/>
      <w:noProof/>
      <w:color w:val="auto"/>
      <w:spacing w:val="0"/>
      <w:position w:val="0"/>
      <w:sz w:val="16"/>
      <w:szCs w:val="16"/>
      <w:u w:val="none"/>
      <w:effect w:val="none"/>
      <w:vertAlign w:val="baseline"/>
    </w:rPr>
  </w:style>
  <w:style w:type="character" w:customStyle="1" w:styleId="answerChar">
    <w:name w:val="answer Char"/>
    <w:basedOn w:val="DefaultParagraphFont"/>
    <w:uiPriority w:val="99"/>
    <w:rsid w:val="00EC61B9"/>
    <w:rPr>
      <w:rFonts w:cs="Times New Roman"/>
      <w:sz w:val="24"/>
      <w:lang w:val="en-US" w:eastAsia="zh-CN" w:bidi="ar-SA"/>
    </w:rPr>
  </w:style>
  <w:style w:type="character" w:customStyle="1" w:styleId="singleChar1">
    <w:name w:val="single Char1"/>
    <w:basedOn w:val="DefaultParagraphFont"/>
    <w:link w:val="single"/>
    <w:uiPriority w:val="99"/>
    <w:locked/>
    <w:rsid w:val="00082C18"/>
    <w:rPr>
      <w:rFonts w:cs="Times New Roman"/>
      <w:sz w:val="24"/>
      <w:lang w:val="en-US" w:eastAsia="zh-CN" w:bidi="ar-SA"/>
    </w:rPr>
  </w:style>
  <w:style w:type="character" w:customStyle="1" w:styleId="singleblockChar">
    <w:name w:val="single block Char"/>
    <w:basedOn w:val="singleChar1"/>
    <w:link w:val="singleblock"/>
    <w:uiPriority w:val="99"/>
    <w:locked/>
    <w:rsid w:val="00082C18"/>
  </w:style>
  <w:style w:type="character" w:customStyle="1" w:styleId="singlehangingChar">
    <w:name w:val="single hanging Char"/>
    <w:link w:val="singlehanging"/>
    <w:uiPriority w:val="99"/>
    <w:locked/>
    <w:rsid w:val="00082C18"/>
    <w:rPr>
      <w:sz w:val="24"/>
      <w:lang w:val="en-US" w:eastAsia="zh-CN"/>
    </w:rPr>
  </w:style>
  <w:style w:type="character" w:customStyle="1" w:styleId="questionChar">
    <w:name w:val="question Char"/>
    <w:basedOn w:val="singlehangingChar"/>
    <w:link w:val="question"/>
    <w:uiPriority w:val="99"/>
    <w:locked/>
    <w:rsid w:val="007D728F"/>
    <w:rPr>
      <w:rFonts w:ascii="CG Times (WN)" w:hAnsi="CG Times (WN)" w:cs="Times New Roman"/>
      <w:b/>
      <w:lang w:bidi="ar-SA"/>
    </w:rPr>
  </w:style>
  <w:style w:type="table" w:styleId="TableGrid">
    <w:name w:val="Table Grid"/>
    <w:basedOn w:val="TableNormal"/>
    <w:uiPriority w:val="99"/>
    <w:rsid w:val="00BE165C"/>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ndnoteReference">
    <w:name w:val="endnote reference"/>
    <w:basedOn w:val="DefaultParagraphFont"/>
    <w:uiPriority w:val="99"/>
    <w:rsid w:val="00CC1BCD"/>
    <w:rPr>
      <w:rFonts w:cs="Times New Roman"/>
      <w:vertAlign w:val="superscript"/>
    </w:rPr>
  </w:style>
  <w:style w:type="character" w:customStyle="1" w:styleId="answerChar1">
    <w:name w:val="answer Char1"/>
    <w:basedOn w:val="DefaultParagraphFont"/>
    <w:link w:val="answer"/>
    <w:uiPriority w:val="99"/>
    <w:locked/>
    <w:rsid w:val="00D26843"/>
    <w:rPr>
      <w:rFonts w:cs="Times New Roman"/>
      <w:sz w:val="24"/>
      <w:lang w:val="en-US" w:eastAsia="zh-CN" w:bidi="ar-SA"/>
    </w:rPr>
  </w:style>
  <w:style w:type="paragraph" w:customStyle="1" w:styleId="Answer0">
    <w:name w:val="Answer"/>
    <w:basedOn w:val="Normal"/>
    <w:uiPriority w:val="99"/>
    <w:rsid w:val="008728B1"/>
    <w:pPr>
      <w:spacing w:before="120" w:after="120" w:line="480" w:lineRule="auto"/>
      <w:ind w:left="720" w:hanging="720"/>
    </w:pPr>
  </w:style>
</w:styles>
</file>

<file path=word/webSettings.xml><?xml version="1.0" encoding="utf-8"?>
<w:webSettings xmlns:r="http://schemas.openxmlformats.org/officeDocument/2006/relationships" xmlns:w="http://schemas.openxmlformats.org/wordprocessingml/2006/main">
  <w:divs>
    <w:div w:id="1529874301">
      <w:marLeft w:val="0"/>
      <w:marRight w:val="0"/>
      <w:marTop w:val="0"/>
      <w:marBottom w:val="0"/>
      <w:divBdr>
        <w:top w:val="none" w:sz="0" w:space="0" w:color="auto"/>
        <w:left w:val="none" w:sz="0" w:space="0" w:color="auto"/>
        <w:bottom w:val="none" w:sz="0" w:space="0" w:color="auto"/>
        <w:right w:val="none" w:sz="0" w:space="0" w:color="auto"/>
      </w:divBdr>
      <w:divsChild>
        <w:div w:id="1529874303">
          <w:marLeft w:val="0"/>
          <w:marRight w:val="0"/>
          <w:marTop w:val="0"/>
          <w:marBottom w:val="0"/>
          <w:divBdr>
            <w:top w:val="none" w:sz="0" w:space="0" w:color="auto"/>
            <w:left w:val="none" w:sz="0" w:space="0" w:color="auto"/>
            <w:bottom w:val="none" w:sz="0" w:space="0" w:color="auto"/>
            <w:right w:val="none" w:sz="0" w:space="0" w:color="auto"/>
          </w:divBdr>
        </w:div>
      </w:divsChild>
    </w:div>
    <w:div w:id="1529874302">
      <w:marLeft w:val="0"/>
      <w:marRight w:val="0"/>
      <w:marTop w:val="0"/>
      <w:marBottom w:val="0"/>
      <w:divBdr>
        <w:top w:val="none" w:sz="0" w:space="0" w:color="auto"/>
        <w:left w:val="none" w:sz="0" w:space="0" w:color="auto"/>
        <w:bottom w:val="none" w:sz="0" w:space="0" w:color="auto"/>
        <w:right w:val="none" w:sz="0" w:space="0" w:color="auto"/>
      </w:divBdr>
      <w:divsChild>
        <w:div w:id="1529874304">
          <w:marLeft w:val="0"/>
          <w:marRight w:val="0"/>
          <w:marTop w:val="0"/>
          <w:marBottom w:val="0"/>
          <w:divBdr>
            <w:top w:val="none" w:sz="0" w:space="0" w:color="auto"/>
            <w:left w:val="none" w:sz="0" w:space="0" w:color="auto"/>
            <w:bottom w:val="none" w:sz="0" w:space="0" w:color="auto"/>
            <w:right w:val="none" w:sz="0" w:space="0" w:color="auto"/>
          </w:divBdr>
        </w:div>
      </w:divsChild>
    </w:div>
    <w:div w:id="1529874305">
      <w:marLeft w:val="0"/>
      <w:marRight w:val="0"/>
      <w:marTop w:val="0"/>
      <w:marBottom w:val="0"/>
      <w:divBdr>
        <w:top w:val="none" w:sz="0" w:space="0" w:color="auto"/>
        <w:left w:val="none" w:sz="0" w:space="0" w:color="auto"/>
        <w:bottom w:val="none" w:sz="0" w:space="0" w:color="auto"/>
        <w:right w:val="none" w:sz="0" w:space="0" w:color="auto"/>
      </w:divBdr>
    </w:div>
    <w:div w:id="1529874306">
      <w:marLeft w:val="0"/>
      <w:marRight w:val="0"/>
      <w:marTop w:val="0"/>
      <w:marBottom w:val="0"/>
      <w:divBdr>
        <w:top w:val="none" w:sz="0" w:space="0" w:color="auto"/>
        <w:left w:val="none" w:sz="0" w:space="0" w:color="auto"/>
        <w:bottom w:val="none" w:sz="0" w:space="0" w:color="auto"/>
        <w:right w:val="none" w:sz="0" w:space="0" w:color="auto"/>
      </w:divBdr>
    </w:div>
    <w:div w:id="1529874307">
      <w:marLeft w:val="0"/>
      <w:marRight w:val="0"/>
      <w:marTop w:val="0"/>
      <w:marBottom w:val="0"/>
      <w:divBdr>
        <w:top w:val="none" w:sz="0" w:space="0" w:color="auto"/>
        <w:left w:val="none" w:sz="0" w:space="0" w:color="auto"/>
        <w:bottom w:val="none" w:sz="0" w:space="0" w:color="auto"/>
        <w:right w:val="none" w:sz="0" w:space="0" w:color="auto"/>
      </w:divBdr>
    </w:div>
    <w:div w:id="1529874308">
      <w:marLeft w:val="0"/>
      <w:marRight w:val="0"/>
      <w:marTop w:val="0"/>
      <w:marBottom w:val="0"/>
      <w:divBdr>
        <w:top w:val="none" w:sz="0" w:space="0" w:color="auto"/>
        <w:left w:val="none" w:sz="0" w:space="0" w:color="auto"/>
        <w:bottom w:val="none" w:sz="0" w:space="0" w:color="auto"/>
        <w:right w:val="none" w:sz="0" w:space="0" w:color="auto"/>
      </w:divBdr>
    </w:div>
    <w:div w:id="1529874309">
      <w:marLeft w:val="0"/>
      <w:marRight w:val="0"/>
      <w:marTop w:val="0"/>
      <w:marBottom w:val="0"/>
      <w:divBdr>
        <w:top w:val="none" w:sz="0" w:space="0" w:color="auto"/>
        <w:left w:val="none" w:sz="0" w:space="0" w:color="auto"/>
        <w:bottom w:val="none" w:sz="0" w:space="0" w:color="auto"/>
        <w:right w:val="none" w:sz="0" w:space="0" w:color="auto"/>
      </w:divBdr>
    </w:div>
    <w:div w:id="15298743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1.emf"/><Relationship Id="rId23" Type="http://schemas.openxmlformats.org/officeDocument/2006/relationships/customXml" Target="../customXml/item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2013-02-01T08:00:00+00:00</OpenedDate>
    <Date1 xmlns="dc463f71-b30c-4ab2-9473-d307f9d35888">2013-05-08T07:00:00+00:00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130137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6176777121FF042B76DFEF1CB58B307" ma:contentTypeVersion="135" ma:contentTypeDescription="" ma:contentTypeScope="" ma:versionID="8a583376c573dbe96f19533f6aaec8f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F0E2D2-F990-4FA7-831C-239D8B56082B}"/>
</file>

<file path=customXml/itemProps2.xml><?xml version="1.0" encoding="utf-8"?>
<ds:datastoreItem xmlns:ds="http://schemas.openxmlformats.org/officeDocument/2006/customXml" ds:itemID="{1A4DF2E0-D494-49B9-A47C-40FF00CB363B}"/>
</file>

<file path=customXml/itemProps3.xml><?xml version="1.0" encoding="utf-8"?>
<ds:datastoreItem xmlns:ds="http://schemas.openxmlformats.org/officeDocument/2006/customXml" ds:itemID="{BCB1F9F6-496A-46D7-9C59-74D97E6D9A63}"/>
</file>

<file path=customXml/itemProps4.xml><?xml version="1.0" encoding="utf-8"?>
<ds:datastoreItem xmlns:ds="http://schemas.openxmlformats.org/officeDocument/2006/customXml" ds:itemID="{FD2FB0D1-0B5F-4B59-A004-8FD7A6D80E0D}"/>
</file>

<file path=docProps/app.xml><?xml version="1.0" encoding="utf-8"?>
<Properties xmlns="http://schemas.openxmlformats.org/officeDocument/2006/extended-properties" xmlns:vt="http://schemas.openxmlformats.org/officeDocument/2006/docPropsVTypes">
  <Template>Normal_Wordconv.dotm</Template>
  <TotalTime>13</TotalTime>
  <Pages>22</Pages>
  <Words>4185</Words>
  <Characters>23859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p:lastModifiedBy>
  <cp:revision>6</cp:revision>
  <dcterms:created xsi:type="dcterms:W3CDTF">2013-05-08T00:30:00Z</dcterms:created>
  <dcterms:modified xsi:type="dcterms:W3CDTF">2013-05-08T19:41:00Z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gFAAsdpvfP9KDXLAzseAWVypaYmCw8VJqOZSXWIhK5JCVtehBs9YWoG49hEgWySGlZRZGnZmT22ZWg2mvJRkoIqGvOrnt/noNNZKConfPU8GR3fB7XSNg60KJHO5Q/iOy27Pr6qKFOwa5nUXrDgg8OAS/nyRo24nQjc9PHF21sSrXpPH4ITJticMMxyhKv8OzE51WTkzB7TBisixWsh6LmbTBkWD6USib3We+lc/7X1yGJbF5wfG7Pr80</vt:lpwstr>
  </property>
  <property fmtid="{D5CDD505-2E9C-101B-9397-08002B2CF9AE}" pid="3" name="MAIL_MSG_ID2">
    <vt:lpwstr>rVPBTq4l1sn36jby9cwrj09YeenvmAAnsQ76j/OrOWCSWwp1pU89g0NZmnKeedqBlAB7MmQQkgEKo7fgBcRbFn4MG8UssatcQ==</vt:lpwstr>
  </property>
  <property fmtid="{D5CDD505-2E9C-101B-9397-08002B2CF9AE}" pid="4" name="RESPONSE_SENDER_NAME">
    <vt:lpwstr>sAAA4E8dREqJqIre+Csh2KcHtNjV/ujN4iopw9MigEfSPQc=</vt:lpwstr>
  </property>
  <property fmtid="{D5CDD505-2E9C-101B-9397-08002B2CF9AE}" pid="5" name="EMAIL_OWNER_ADDRESS">
    <vt:lpwstr>4AAAUmLmXdMZevQldane1ti47+oVNA5aM5x2jZcjl+iZcxSAC+1k9ztNSg==</vt:lpwstr>
  </property>
  <property fmtid="{D5CDD505-2E9C-101B-9397-08002B2CF9AE}" pid="6" name="ContentTypeId">
    <vt:lpwstr>0x0101006E56B4D1795A2E4DB2F0B01679ED314A00B6176777121FF042B76DFEF1CB58B307</vt:lpwstr>
  </property>
  <property fmtid="{D5CDD505-2E9C-101B-9397-08002B2CF9AE}" pid="7" name="_docset_NoMedatataSyncRequired">
    <vt:lpwstr>False</vt:lpwstr>
  </property>
</Properties>
</file>