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36" w:rsidRPr="00467FC2" w:rsidRDefault="00FF4636" w:rsidP="00FF4636"/>
    <w:p w:rsidR="0018089D" w:rsidRPr="006434A6" w:rsidRDefault="0018089D" w:rsidP="0018089D">
      <w:pPr>
        <w:jc w:val="center"/>
        <w:rPr>
          <w:b/>
        </w:rPr>
      </w:pPr>
      <w:r w:rsidRPr="006434A6">
        <w:rPr>
          <w:b/>
        </w:rPr>
        <w:t>BEFORE THE WASHINGTON UTILITIES AND TRANSPORTATION COMMISSION</w:t>
      </w:r>
    </w:p>
    <w:p w:rsidR="0018089D" w:rsidRDefault="0018089D" w:rsidP="0018089D"/>
    <w:p w:rsidR="0018089D" w:rsidRDefault="0018089D" w:rsidP="0018089D"/>
    <w:tbl>
      <w:tblPr>
        <w:tblStyle w:val="TableGrid"/>
        <w:tblW w:w="9918" w:type="dxa"/>
        <w:tblLook w:val="04A0"/>
      </w:tblPr>
      <w:tblGrid>
        <w:gridCol w:w="5058"/>
        <w:gridCol w:w="4860"/>
      </w:tblGrid>
      <w:tr w:rsidR="0018089D" w:rsidTr="0018089D">
        <w:tc>
          <w:tcPr>
            <w:tcW w:w="5058" w:type="dxa"/>
            <w:tcBorders>
              <w:top w:val="nil"/>
              <w:left w:val="nil"/>
              <w:right w:val="single" w:sz="4" w:space="0" w:color="auto"/>
            </w:tcBorders>
          </w:tcPr>
          <w:p w:rsidR="0018089D" w:rsidRDefault="0018089D" w:rsidP="0018089D">
            <w:r>
              <w:rPr>
                <w:smallCaps/>
              </w:rPr>
              <w:t>N</w:t>
            </w:r>
            <w:r w:rsidRPr="0089151C">
              <w:rPr>
                <w:smallCaps/>
              </w:rPr>
              <w:t>otice</w:t>
            </w:r>
            <w:r>
              <w:rPr>
                <w:smallCaps/>
              </w:rPr>
              <w:t xml:space="preserve"> of Transaction and Application for an Order Declining to Assert Jurisdiction Over, or, in the Alternative, Expedited Approval of the Indirect Transfer of Control</w:t>
            </w:r>
            <w:r w:rsidRPr="0089151C">
              <w:rPr>
                <w:smallCaps/>
              </w:rPr>
              <w:t xml:space="preserve"> of Level 3 Communications, LLC, Broadwing Communications, LLC, WilTel Communications, LLC, Global Crossing Telecommunications, Inc., Global Crossing Local Services, Inc., and Level 3 Telecom of </w:t>
            </w:r>
            <w:r>
              <w:rPr>
                <w:smallCaps/>
              </w:rPr>
              <w:t>Washington, LLC</w:t>
            </w:r>
            <w:r w:rsidRPr="0089151C">
              <w:rPr>
                <w:smallCaps/>
              </w:rPr>
              <w:t xml:space="preserve"> to CenturyLink, Inc. (“Notice”)</w:t>
            </w:r>
          </w:p>
        </w:tc>
        <w:tc>
          <w:tcPr>
            <w:tcW w:w="4860" w:type="dxa"/>
            <w:tcBorders>
              <w:top w:val="nil"/>
              <w:left w:val="single" w:sz="4" w:space="0" w:color="auto"/>
              <w:bottom w:val="nil"/>
              <w:right w:val="nil"/>
            </w:tcBorders>
          </w:tcPr>
          <w:p w:rsidR="0018089D" w:rsidRDefault="0018089D" w:rsidP="0018089D">
            <w:pPr>
              <w:ind w:left="432"/>
            </w:pPr>
          </w:p>
          <w:p w:rsidR="0018089D" w:rsidRPr="00161713" w:rsidRDefault="0018089D" w:rsidP="0018089D">
            <w:pPr>
              <w:ind w:left="432"/>
            </w:pPr>
            <w:r w:rsidRPr="00161713">
              <w:t xml:space="preserve">DOCKET NO. </w:t>
            </w:r>
            <w:r>
              <w:t>UT- 170042</w:t>
            </w:r>
          </w:p>
          <w:p w:rsidR="0018089D" w:rsidRDefault="0018089D" w:rsidP="0018089D"/>
        </w:tc>
      </w:tr>
    </w:tbl>
    <w:p w:rsidR="0018089D" w:rsidRDefault="0018089D" w:rsidP="00FF4636">
      <w:pPr>
        <w:jc w:val="center"/>
        <w:rPr>
          <w:b/>
        </w:rPr>
      </w:pPr>
    </w:p>
    <w:p w:rsidR="0018089D" w:rsidRDefault="0018089D" w:rsidP="00FF4636">
      <w:pPr>
        <w:jc w:val="center"/>
        <w:rPr>
          <w:b/>
        </w:rPr>
      </w:pPr>
    </w:p>
    <w:p w:rsidR="0018089D" w:rsidRDefault="0018089D" w:rsidP="00FF4636">
      <w:pPr>
        <w:jc w:val="center"/>
        <w:rPr>
          <w:b/>
        </w:rPr>
      </w:pPr>
    </w:p>
    <w:p w:rsidR="0018089D" w:rsidRDefault="0018089D" w:rsidP="00FF4636">
      <w:pPr>
        <w:jc w:val="center"/>
        <w:rPr>
          <w:b/>
        </w:rPr>
      </w:pPr>
    </w:p>
    <w:p w:rsidR="00FF4636" w:rsidRPr="00467FC2" w:rsidRDefault="008664BE" w:rsidP="00FF4636">
      <w:pPr>
        <w:jc w:val="center"/>
        <w:rPr>
          <w:b/>
        </w:rPr>
      </w:pPr>
      <w:r>
        <w:rPr>
          <w:b/>
        </w:rPr>
        <w:t xml:space="preserve">DIRECT </w:t>
      </w:r>
      <w:r w:rsidR="00FF4636" w:rsidRPr="00467FC2">
        <w:rPr>
          <w:b/>
        </w:rPr>
        <w:t xml:space="preserve">TESTIMONY OF </w:t>
      </w:r>
      <w:r w:rsidR="009F1E4A">
        <w:rPr>
          <w:b/>
        </w:rPr>
        <w:t>MARK S. REYNOLDS</w:t>
      </w:r>
    </w:p>
    <w:p w:rsidR="00FF4636" w:rsidRPr="00467FC2" w:rsidRDefault="00FF4636" w:rsidP="00FF4636">
      <w:pPr>
        <w:jc w:val="center"/>
        <w:rPr>
          <w:b/>
        </w:rPr>
      </w:pPr>
    </w:p>
    <w:p w:rsidR="00FF4636" w:rsidRPr="00467FC2" w:rsidRDefault="00FF4636" w:rsidP="00FF4636">
      <w:pPr>
        <w:jc w:val="center"/>
        <w:rPr>
          <w:b/>
        </w:rPr>
      </w:pPr>
    </w:p>
    <w:p w:rsidR="00FF4636" w:rsidRPr="00467FC2" w:rsidRDefault="00FF4636" w:rsidP="00FF4636">
      <w:pPr>
        <w:jc w:val="center"/>
        <w:rPr>
          <w:b/>
        </w:rPr>
      </w:pPr>
      <w:r w:rsidRPr="00467FC2">
        <w:rPr>
          <w:b/>
        </w:rPr>
        <w:t>ON BEHALF OF</w:t>
      </w:r>
    </w:p>
    <w:p w:rsidR="00FF4636" w:rsidRPr="00467FC2" w:rsidRDefault="00FF4636" w:rsidP="00FF4636">
      <w:pPr>
        <w:jc w:val="center"/>
        <w:rPr>
          <w:b/>
        </w:rPr>
      </w:pPr>
    </w:p>
    <w:p w:rsidR="00FF4636" w:rsidRPr="00467FC2" w:rsidRDefault="00FF4636" w:rsidP="00FF4636">
      <w:pPr>
        <w:jc w:val="center"/>
        <w:rPr>
          <w:b/>
        </w:rPr>
      </w:pPr>
      <w:r w:rsidRPr="00467FC2">
        <w:rPr>
          <w:b/>
        </w:rPr>
        <w:t>CENTURYLINK</w:t>
      </w:r>
    </w:p>
    <w:p w:rsidR="00FF4636" w:rsidRPr="00467FC2" w:rsidRDefault="00FF4636" w:rsidP="00FF4636">
      <w:pPr>
        <w:jc w:val="center"/>
        <w:rPr>
          <w:b/>
        </w:rPr>
      </w:pPr>
    </w:p>
    <w:p w:rsidR="00FF4636" w:rsidRPr="00467FC2" w:rsidRDefault="00FF4636" w:rsidP="00FF4636">
      <w:pPr>
        <w:jc w:val="center"/>
        <w:rPr>
          <w:b/>
        </w:rPr>
      </w:pPr>
    </w:p>
    <w:p w:rsidR="00FF4636" w:rsidRPr="00467FC2" w:rsidRDefault="00FF4636" w:rsidP="00FF4636">
      <w:pPr>
        <w:jc w:val="center"/>
        <w:rPr>
          <w:b/>
        </w:rPr>
      </w:pPr>
    </w:p>
    <w:p w:rsidR="00FF4636" w:rsidRPr="00467FC2" w:rsidRDefault="00FF4636" w:rsidP="00FF4636">
      <w:pPr>
        <w:jc w:val="center"/>
        <w:rPr>
          <w:b/>
        </w:rPr>
      </w:pPr>
    </w:p>
    <w:p w:rsidR="00FF4636" w:rsidRPr="00467FC2" w:rsidRDefault="009F1E4A" w:rsidP="00FF4636">
      <w:pPr>
        <w:jc w:val="center"/>
        <w:rPr>
          <w:b/>
        </w:rPr>
      </w:pPr>
      <w:r>
        <w:rPr>
          <w:b/>
        </w:rPr>
        <w:t>February</w:t>
      </w:r>
      <w:r w:rsidR="00394DBF">
        <w:rPr>
          <w:b/>
        </w:rPr>
        <w:t xml:space="preserve"> </w:t>
      </w:r>
      <w:r>
        <w:rPr>
          <w:b/>
        </w:rPr>
        <w:t>1</w:t>
      </w:r>
      <w:r w:rsidR="0018089D">
        <w:rPr>
          <w:b/>
        </w:rPr>
        <w:t>0</w:t>
      </w:r>
      <w:r w:rsidR="00FF4636" w:rsidRPr="00467FC2">
        <w:rPr>
          <w:b/>
        </w:rPr>
        <w:t>, 2017</w:t>
      </w:r>
    </w:p>
    <w:p w:rsidR="005F1B68" w:rsidRDefault="005F1B68" w:rsidP="005F1B68">
      <w:pPr>
        <w:jc w:val="center"/>
        <w:rPr>
          <w:b/>
          <w:color w:val="000000"/>
        </w:rPr>
      </w:pPr>
    </w:p>
    <w:p w:rsidR="005F1B68" w:rsidRDefault="005F1B68" w:rsidP="005F1B68">
      <w:pPr>
        <w:jc w:val="center"/>
        <w:rPr>
          <w:b/>
          <w:i/>
          <w:color w:val="000000"/>
        </w:rPr>
      </w:pPr>
    </w:p>
    <w:p w:rsidR="005F1B68" w:rsidRDefault="005F1B68" w:rsidP="005F1B68">
      <w:pPr>
        <w:rPr>
          <w:b/>
          <w:i/>
          <w:color w:val="000000"/>
        </w:rPr>
      </w:pPr>
    </w:p>
    <w:p w:rsidR="005F1B68" w:rsidRDefault="005F1B68">
      <w:pPr>
        <w:sectPr w:rsidR="005F1B68">
          <w:headerReference w:type="default" r:id="rId8"/>
          <w:pgSz w:w="12240" w:h="15840"/>
          <w:pgMar w:top="1440" w:right="1800" w:bottom="1440" w:left="1800" w:header="720" w:footer="720" w:gutter="0"/>
          <w:cols w:space="720"/>
          <w:docGrid w:linePitch="360"/>
        </w:sectPr>
      </w:pPr>
    </w:p>
    <w:p w:rsidR="00771017" w:rsidRDefault="00605BC6" w:rsidP="00605BC6">
      <w:pPr>
        <w:pStyle w:val="TOCHeading"/>
        <w:jc w:val="center"/>
        <w:rPr>
          <w:rFonts w:ascii="Times New Roman" w:hAnsi="Times New Roman"/>
          <w:color w:val="000000"/>
          <w:sz w:val="24"/>
          <w:szCs w:val="24"/>
        </w:rPr>
      </w:pPr>
      <w:r w:rsidRPr="00605BC6">
        <w:rPr>
          <w:rFonts w:ascii="Times New Roman" w:hAnsi="Times New Roman"/>
          <w:color w:val="000000"/>
          <w:sz w:val="24"/>
          <w:szCs w:val="24"/>
        </w:rPr>
        <w:lastRenderedPageBreak/>
        <w:t>TABLE OF CONTENTS</w:t>
      </w:r>
    </w:p>
    <w:p w:rsidR="00227A4A" w:rsidRPr="00227A4A" w:rsidRDefault="00227A4A" w:rsidP="00227A4A"/>
    <w:p w:rsidR="005F1B68" w:rsidRDefault="005F1B68"/>
    <w:p w:rsidR="00060248" w:rsidRDefault="00C418D8">
      <w:pPr>
        <w:pStyle w:val="TOC1"/>
        <w:tabs>
          <w:tab w:val="right" w:leader="dot" w:pos="8630"/>
        </w:tabs>
        <w:rPr>
          <w:rFonts w:asciiTheme="minorHAnsi" w:eastAsiaTheme="minorEastAsia" w:hAnsiTheme="minorHAnsi" w:cstheme="minorBidi"/>
          <w:b w:val="0"/>
          <w:caps w:val="0"/>
          <w:noProof/>
          <w:sz w:val="22"/>
          <w:szCs w:val="22"/>
        </w:rPr>
      </w:pPr>
      <w:r w:rsidRPr="00C418D8">
        <w:fldChar w:fldCharType="begin"/>
      </w:r>
      <w:r w:rsidR="00227A4A">
        <w:instrText xml:space="preserve"> TOC \o "1-3" \h \z \u </w:instrText>
      </w:r>
      <w:r w:rsidRPr="00C418D8">
        <w:fldChar w:fldCharType="separate"/>
      </w:r>
      <w:hyperlink w:anchor="_Toc473810961" w:history="1">
        <w:r w:rsidR="00060248" w:rsidRPr="00D37A17">
          <w:rPr>
            <w:rStyle w:val="Hyperlink"/>
            <w:noProof/>
          </w:rPr>
          <w:t>I. IDENTIFICATION OF WITNESS</w:t>
        </w:r>
        <w:r w:rsidR="00060248">
          <w:rPr>
            <w:noProof/>
            <w:webHidden/>
          </w:rPr>
          <w:tab/>
        </w:r>
        <w:r>
          <w:rPr>
            <w:noProof/>
            <w:webHidden/>
          </w:rPr>
          <w:fldChar w:fldCharType="begin"/>
        </w:r>
        <w:r w:rsidR="00060248">
          <w:rPr>
            <w:noProof/>
            <w:webHidden/>
          </w:rPr>
          <w:instrText xml:space="preserve"> PAGEREF _Toc473810961 \h </w:instrText>
        </w:r>
        <w:r>
          <w:rPr>
            <w:noProof/>
            <w:webHidden/>
          </w:rPr>
        </w:r>
        <w:r>
          <w:rPr>
            <w:noProof/>
            <w:webHidden/>
          </w:rPr>
          <w:fldChar w:fldCharType="separate"/>
        </w:r>
        <w:r w:rsidR="00D06F4F">
          <w:rPr>
            <w:noProof/>
            <w:webHidden/>
          </w:rPr>
          <w:t>1</w:t>
        </w:r>
        <w:r>
          <w:rPr>
            <w:noProof/>
            <w:webHidden/>
          </w:rPr>
          <w:fldChar w:fldCharType="end"/>
        </w:r>
      </w:hyperlink>
    </w:p>
    <w:p w:rsidR="00060248" w:rsidRDefault="00C418D8">
      <w:pPr>
        <w:pStyle w:val="TOC1"/>
        <w:tabs>
          <w:tab w:val="right" w:leader="dot" w:pos="8630"/>
        </w:tabs>
        <w:rPr>
          <w:rFonts w:asciiTheme="minorHAnsi" w:eastAsiaTheme="minorEastAsia" w:hAnsiTheme="minorHAnsi" w:cstheme="minorBidi"/>
          <w:b w:val="0"/>
          <w:caps w:val="0"/>
          <w:noProof/>
          <w:sz w:val="22"/>
          <w:szCs w:val="22"/>
        </w:rPr>
      </w:pPr>
      <w:hyperlink w:anchor="_Toc473810962" w:history="1">
        <w:r w:rsidR="00060248" w:rsidRPr="00D37A17">
          <w:rPr>
            <w:rStyle w:val="Hyperlink"/>
            <w:noProof/>
          </w:rPr>
          <w:t>II. PURPOSE OF TESTIMONY</w:t>
        </w:r>
        <w:r w:rsidR="00060248">
          <w:rPr>
            <w:noProof/>
            <w:webHidden/>
          </w:rPr>
          <w:tab/>
        </w:r>
        <w:r>
          <w:rPr>
            <w:noProof/>
            <w:webHidden/>
          </w:rPr>
          <w:fldChar w:fldCharType="begin"/>
        </w:r>
        <w:r w:rsidR="00060248">
          <w:rPr>
            <w:noProof/>
            <w:webHidden/>
          </w:rPr>
          <w:instrText xml:space="preserve"> PAGEREF _Toc473810962 \h </w:instrText>
        </w:r>
        <w:r>
          <w:rPr>
            <w:noProof/>
            <w:webHidden/>
          </w:rPr>
        </w:r>
        <w:r>
          <w:rPr>
            <w:noProof/>
            <w:webHidden/>
          </w:rPr>
          <w:fldChar w:fldCharType="separate"/>
        </w:r>
        <w:r w:rsidR="00D06F4F">
          <w:rPr>
            <w:noProof/>
            <w:webHidden/>
          </w:rPr>
          <w:t>3</w:t>
        </w:r>
        <w:r>
          <w:rPr>
            <w:noProof/>
            <w:webHidden/>
          </w:rPr>
          <w:fldChar w:fldCharType="end"/>
        </w:r>
      </w:hyperlink>
    </w:p>
    <w:p w:rsidR="00060248" w:rsidRDefault="00C418D8">
      <w:pPr>
        <w:pStyle w:val="TOC1"/>
        <w:tabs>
          <w:tab w:val="left" w:pos="660"/>
          <w:tab w:val="right" w:leader="dot" w:pos="8630"/>
        </w:tabs>
        <w:rPr>
          <w:rFonts w:asciiTheme="minorHAnsi" w:eastAsiaTheme="minorEastAsia" w:hAnsiTheme="minorHAnsi" w:cstheme="minorBidi"/>
          <w:b w:val="0"/>
          <w:caps w:val="0"/>
          <w:noProof/>
          <w:sz w:val="22"/>
          <w:szCs w:val="22"/>
        </w:rPr>
      </w:pPr>
      <w:hyperlink w:anchor="_Toc473810967" w:history="1">
        <w:r w:rsidR="00060248" w:rsidRPr="00D37A17">
          <w:rPr>
            <w:rStyle w:val="Hyperlink"/>
            <w:noProof/>
          </w:rPr>
          <w:t>I</w:t>
        </w:r>
        <w:r w:rsidR="00863D59">
          <w:rPr>
            <w:rStyle w:val="Hyperlink"/>
            <w:noProof/>
          </w:rPr>
          <w:t>ii</w:t>
        </w:r>
        <w:r w:rsidR="00060248" w:rsidRPr="00D37A17">
          <w:rPr>
            <w:rStyle w:val="Hyperlink"/>
            <w:noProof/>
          </w:rPr>
          <w:t>.</w:t>
        </w:r>
        <w:r w:rsidR="00060248">
          <w:rPr>
            <w:rFonts w:asciiTheme="minorHAnsi" w:eastAsiaTheme="minorEastAsia" w:hAnsiTheme="minorHAnsi" w:cstheme="minorBidi"/>
            <w:b w:val="0"/>
            <w:caps w:val="0"/>
            <w:noProof/>
            <w:sz w:val="22"/>
            <w:szCs w:val="22"/>
          </w:rPr>
          <w:tab/>
        </w:r>
        <w:r w:rsidR="00060248" w:rsidRPr="00D37A17">
          <w:rPr>
            <w:rStyle w:val="Hyperlink"/>
            <w:noProof/>
          </w:rPr>
          <w:t>THE PROPOSED TRANSACTION WILL BENEFIT WASHINGTON CUSTOMERS OF ENTERPRISE SERVICES</w:t>
        </w:r>
        <w:r w:rsidR="00060248">
          <w:rPr>
            <w:noProof/>
            <w:webHidden/>
          </w:rPr>
          <w:tab/>
        </w:r>
        <w:r>
          <w:rPr>
            <w:noProof/>
            <w:webHidden/>
          </w:rPr>
          <w:fldChar w:fldCharType="begin"/>
        </w:r>
        <w:r w:rsidR="00060248">
          <w:rPr>
            <w:noProof/>
            <w:webHidden/>
          </w:rPr>
          <w:instrText xml:space="preserve"> PAGEREF _Toc473810967 \h </w:instrText>
        </w:r>
        <w:r>
          <w:rPr>
            <w:noProof/>
            <w:webHidden/>
          </w:rPr>
        </w:r>
        <w:r>
          <w:rPr>
            <w:noProof/>
            <w:webHidden/>
          </w:rPr>
          <w:fldChar w:fldCharType="separate"/>
        </w:r>
        <w:r w:rsidR="00D06F4F">
          <w:rPr>
            <w:noProof/>
            <w:webHidden/>
          </w:rPr>
          <w:t>5</w:t>
        </w:r>
        <w:r>
          <w:rPr>
            <w:noProof/>
            <w:webHidden/>
          </w:rPr>
          <w:fldChar w:fldCharType="end"/>
        </w:r>
      </w:hyperlink>
    </w:p>
    <w:p w:rsidR="00060248" w:rsidRDefault="00C418D8">
      <w:pPr>
        <w:pStyle w:val="TOC1"/>
        <w:tabs>
          <w:tab w:val="right" w:leader="dot" w:pos="8630"/>
        </w:tabs>
        <w:rPr>
          <w:rFonts w:asciiTheme="minorHAnsi" w:eastAsiaTheme="minorEastAsia" w:hAnsiTheme="minorHAnsi" w:cstheme="minorBidi"/>
          <w:b w:val="0"/>
          <w:caps w:val="0"/>
          <w:noProof/>
          <w:sz w:val="22"/>
          <w:szCs w:val="22"/>
        </w:rPr>
      </w:pPr>
      <w:hyperlink w:anchor="_Toc473810968" w:history="1">
        <w:r w:rsidR="00060248" w:rsidRPr="00D37A17">
          <w:rPr>
            <w:rStyle w:val="Hyperlink"/>
            <w:noProof/>
          </w:rPr>
          <w:t xml:space="preserve">iv. the PROPOSED </w:t>
        </w:r>
        <w:r w:rsidR="00060248" w:rsidRPr="00D37A17">
          <w:rPr>
            <w:rStyle w:val="Hyperlink"/>
            <w:iCs/>
            <w:noProof/>
          </w:rPr>
          <w:t>TRANSACTION WILL IMPROVE THE COMBINED COMPANY’S FINANCIAL PROFILE AND WILL RESULT IN OPERATIONAL AND ECONOMIC EFFICIENCIES</w:t>
        </w:r>
        <w:r w:rsidR="00060248">
          <w:rPr>
            <w:noProof/>
            <w:webHidden/>
          </w:rPr>
          <w:tab/>
        </w:r>
        <w:r>
          <w:rPr>
            <w:noProof/>
            <w:webHidden/>
          </w:rPr>
          <w:fldChar w:fldCharType="begin"/>
        </w:r>
        <w:r w:rsidR="00060248">
          <w:rPr>
            <w:noProof/>
            <w:webHidden/>
          </w:rPr>
          <w:instrText xml:space="preserve"> PAGEREF _Toc473810968 \h </w:instrText>
        </w:r>
        <w:r>
          <w:rPr>
            <w:noProof/>
            <w:webHidden/>
          </w:rPr>
        </w:r>
        <w:r>
          <w:rPr>
            <w:noProof/>
            <w:webHidden/>
          </w:rPr>
          <w:fldChar w:fldCharType="separate"/>
        </w:r>
        <w:r w:rsidR="00D06F4F">
          <w:rPr>
            <w:noProof/>
            <w:webHidden/>
          </w:rPr>
          <w:t>7</w:t>
        </w:r>
        <w:r>
          <w:rPr>
            <w:noProof/>
            <w:webHidden/>
          </w:rPr>
          <w:fldChar w:fldCharType="end"/>
        </w:r>
      </w:hyperlink>
    </w:p>
    <w:p w:rsidR="00060248" w:rsidRDefault="00C418D8">
      <w:pPr>
        <w:pStyle w:val="TOC1"/>
        <w:tabs>
          <w:tab w:val="right" w:leader="dot" w:pos="8630"/>
        </w:tabs>
        <w:rPr>
          <w:rFonts w:asciiTheme="minorHAnsi" w:eastAsiaTheme="minorEastAsia" w:hAnsiTheme="minorHAnsi" w:cstheme="minorBidi"/>
          <w:b w:val="0"/>
          <w:caps w:val="0"/>
          <w:noProof/>
          <w:sz w:val="22"/>
          <w:szCs w:val="22"/>
        </w:rPr>
      </w:pPr>
      <w:hyperlink w:anchor="_Toc473810969" w:history="1">
        <w:r w:rsidR="00060248" w:rsidRPr="00D37A17">
          <w:rPr>
            <w:rStyle w:val="Hyperlink"/>
            <w:noProof/>
          </w:rPr>
          <w:t xml:space="preserve">v. the </w:t>
        </w:r>
        <w:r w:rsidR="00060248" w:rsidRPr="00D37A17">
          <w:rPr>
            <w:rStyle w:val="Hyperlink"/>
            <w:iCs/>
            <w:noProof/>
          </w:rPr>
          <w:t>PROPOSED TRANSACTION WILL NOT ADVERSELY HARM EXISTING RESIDENTIAL CUSTOMERS, WILL NOT ALTER EXISTING CONTRACTS AND WILL NOT CHANGE REGULATORY COMMITMENTS.</w:t>
        </w:r>
        <w:r w:rsidR="00060248">
          <w:rPr>
            <w:noProof/>
            <w:webHidden/>
          </w:rPr>
          <w:tab/>
        </w:r>
        <w:r>
          <w:rPr>
            <w:noProof/>
            <w:webHidden/>
          </w:rPr>
          <w:fldChar w:fldCharType="begin"/>
        </w:r>
        <w:r w:rsidR="00060248">
          <w:rPr>
            <w:noProof/>
            <w:webHidden/>
          </w:rPr>
          <w:instrText xml:space="preserve"> PAGEREF _Toc473810969 \h </w:instrText>
        </w:r>
        <w:r>
          <w:rPr>
            <w:noProof/>
            <w:webHidden/>
          </w:rPr>
        </w:r>
        <w:r>
          <w:rPr>
            <w:noProof/>
            <w:webHidden/>
          </w:rPr>
          <w:fldChar w:fldCharType="separate"/>
        </w:r>
        <w:r w:rsidR="00D06F4F">
          <w:rPr>
            <w:noProof/>
            <w:webHidden/>
          </w:rPr>
          <w:t>8</w:t>
        </w:r>
        <w:r>
          <w:rPr>
            <w:noProof/>
            <w:webHidden/>
          </w:rPr>
          <w:fldChar w:fldCharType="end"/>
        </w:r>
      </w:hyperlink>
    </w:p>
    <w:p w:rsidR="00060248" w:rsidRDefault="00C418D8">
      <w:pPr>
        <w:pStyle w:val="TOC1"/>
        <w:tabs>
          <w:tab w:val="right" w:leader="dot" w:pos="8630"/>
        </w:tabs>
        <w:rPr>
          <w:rFonts w:asciiTheme="minorHAnsi" w:eastAsiaTheme="minorEastAsia" w:hAnsiTheme="minorHAnsi" w:cstheme="minorBidi"/>
          <w:b w:val="0"/>
          <w:caps w:val="0"/>
          <w:noProof/>
          <w:sz w:val="22"/>
          <w:szCs w:val="22"/>
        </w:rPr>
      </w:pPr>
      <w:hyperlink w:anchor="_Toc473810970" w:history="1">
        <w:r w:rsidR="00060248" w:rsidRPr="00D37A17">
          <w:rPr>
            <w:rStyle w:val="Hyperlink"/>
            <w:noProof/>
          </w:rPr>
          <w:t>VI. CONCLUSION</w:t>
        </w:r>
        <w:r w:rsidR="00060248">
          <w:rPr>
            <w:noProof/>
            <w:webHidden/>
          </w:rPr>
          <w:tab/>
        </w:r>
        <w:r>
          <w:rPr>
            <w:noProof/>
            <w:webHidden/>
          </w:rPr>
          <w:fldChar w:fldCharType="begin"/>
        </w:r>
        <w:r w:rsidR="00060248">
          <w:rPr>
            <w:noProof/>
            <w:webHidden/>
          </w:rPr>
          <w:instrText xml:space="preserve"> PAGEREF _Toc473810970 \h </w:instrText>
        </w:r>
        <w:r>
          <w:rPr>
            <w:noProof/>
            <w:webHidden/>
          </w:rPr>
        </w:r>
        <w:r>
          <w:rPr>
            <w:noProof/>
            <w:webHidden/>
          </w:rPr>
          <w:fldChar w:fldCharType="separate"/>
        </w:r>
        <w:r w:rsidR="00D06F4F">
          <w:rPr>
            <w:noProof/>
            <w:webHidden/>
          </w:rPr>
          <w:t>10</w:t>
        </w:r>
        <w:r>
          <w:rPr>
            <w:noProof/>
            <w:webHidden/>
          </w:rPr>
          <w:fldChar w:fldCharType="end"/>
        </w:r>
      </w:hyperlink>
    </w:p>
    <w:p w:rsidR="00227A4A" w:rsidRDefault="00C418D8">
      <w:r>
        <w:fldChar w:fldCharType="end"/>
      </w:r>
    </w:p>
    <w:p w:rsidR="00623BFA" w:rsidRDefault="00623BFA"/>
    <w:p w:rsidR="00605BC6" w:rsidRDefault="00605BC6"/>
    <w:p w:rsidR="00605BC6" w:rsidRDefault="00605BC6">
      <w:pPr>
        <w:sectPr w:rsidR="00605BC6">
          <w:pgSz w:w="12240" w:h="15840"/>
          <w:pgMar w:top="1440" w:right="1800" w:bottom="1440" w:left="1800" w:header="720" w:footer="720" w:gutter="0"/>
          <w:cols w:space="720"/>
          <w:docGrid w:linePitch="360"/>
        </w:sectPr>
      </w:pPr>
    </w:p>
    <w:p w:rsidR="005F1B68" w:rsidRDefault="005F1B68">
      <w:pPr>
        <w:pStyle w:val="Heading1"/>
        <w:spacing w:after="360" w:line="480" w:lineRule="auto"/>
        <w:jc w:val="center"/>
        <w:rPr>
          <w:rFonts w:ascii="Times New Roman" w:hAnsi="Times New Roman"/>
          <w:caps/>
          <w:sz w:val="24"/>
          <w:szCs w:val="24"/>
        </w:rPr>
      </w:pPr>
      <w:bookmarkStart w:id="0" w:name="_Toc200519667"/>
      <w:bookmarkStart w:id="1" w:name="_Toc471197961"/>
      <w:bookmarkStart w:id="2" w:name="_Toc471198502"/>
      <w:bookmarkStart w:id="3" w:name="_Toc471198716"/>
      <w:bookmarkStart w:id="4" w:name="_Toc471199248"/>
      <w:bookmarkStart w:id="5" w:name="_Toc473810961"/>
      <w:r>
        <w:rPr>
          <w:rFonts w:ascii="Times New Roman" w:hAnsi="Times New Roman"/>
          <w:caps/>
          <w:sz w:val="24"/>
          <w:szCs w:val="24"/>
        </w:rPr>
        <w:lastRenderedPageBreak/>
        <w:t xml:space="preserve">I. </w:t>
      </w:r>
      <w:r w:rsidR="00D06F4F">
        <w:rPr>
          <w:rFonts w:ascii="Times New Roman" w:hAnsi="Times New Roman"/>
          <w:caps/>
          <w:sz w:val="24"/>
          <w:szCs w:val="24"/>
        </w:rPr>
        <w:t xml:space="preserve"> </w:t>
      </w:r>
      <w:r>
        <w:rPr>
          <w:rFonts w:ascii="Times New Roman" w:hAnsi="Times New Roman"/>
          <w:caps/>
          <w:sz w:val="24"/>
          <w:szCs w:val="24"/>
        </w:rPr>
        <w:t>IDENTIFICATION OF WITNESS</w:t>
      </w:r>
      <w:bookmarkEnd w:id="0"/>
      <w:bookmarkEnd w:id="1"/>
      <w:bookmarkEnd w:id="2"/>
      <w:bookmarkEnd w:id="3"/>
      <w:bookmarkEnd w:id="4"/>
      <w:bookmarkEnd w:id="5"/>
    </w:p>
    <w:p w:rsidR="005F1B68" w:rsidRDefault="005F1B68" w:rsidP="00C46F0A">
      <w:pPr>
        <w:pStyle w:val="QQUESTION"/>
        <w:spacing w:after="0"/>
      </w:pPr>
      <w:r>
        <w:t>Q.</w:t>
      </w:r>
      <w:r>
        <w:tab/>
        <w:t>PLEASE STATE YOUR NAME AND BUSINESS ADDRESS AND POSITION WITH CENTURYLI</w:t>
      </w:r>
      <w:r w:rsidR="00467FC2">
        <w:t>NK</w:t>
      </w:r>
      <w:r>
        <w:t>.</w:t>
      </w:r>
    </w:p>
    <w:p w:rsidR="00335860" w:rsidRPr="0018089D" w:rsidRDefault="005F1B68" w:rsidP="0018089D">
      <w:pPr>
        <w:pStyle w:val="NormalDS"/>
      </w:pPr>
      <w:r w:rsidRPr="0018089D">
        <w:t>A.</w:t>
      </w:r>
      <w:r w:rsidRPr="0018089D">
        <w:rPr>
          <w:b/>
        </w:rPr>
        <w:tab/>
      </w:r>
      <w:r w:rsidR="00467FC2" w:rsidRPr="0018089D">
        <w:t xml:space="preserve"> </w:t>
      </w:r>
      <w:r w:rsidR="00335860" w:rsidRPr="0018089D">
        <w:t xml:space="preserve">My name is Mark S. Reynolds and my business address is </w:t>
      </w:r>
      <w:smartTag w:uri="urn:schemas-microsoft-com:office:smarttags" w:element="Street">
        <w:smartTag w:uri="urn:schemas-microsoft-com:office:smarttags" w:element="address">
          <w:r w:rsidR="00335860" w:rsidRPr="0018089D">
            <w:t>1600 7</w:t>
          </w:r>
          <w:r w:rsidR="00335860" w:rsidRPr="0018089D">
            <w:rPr>
              <w:vertAlign w:val="superscript"/>
            </w:rPr>
            <w:t>th</w:t>
          </w:r>
          <w:r w:rsidR="00335860" w:rsidRPr="0018089D">
            <w:t xml:space="preserve"> Ave.</w:t>
          </w:r>
        </w:smartTag>
      </w:smartTag>
      <w:r w:rsidR="00335860" w:rsidRPr="0018089D">
        <w:t xml:space="preserve">, Room 1506, </w:t>
      </w:r>
      <w:smartTag w:uri="urn:schemas-microsoft-com:office:smarttags" w:element="place">
        <w:smartTag w:uri="urn:schemas-microsoft-com:office:smarttags" w:element="City">
          <w:r w:rsidR="00335860" w:rsidRPr="0018089D">
            <w:t>Seattle</w:t>
          </w:r>
        </w:smartTag>
        <w:r w:rsidR="00335860" w:rsidRPr="0018089D">
          <w:t xml:space="preserve">, </w:t>
        </w:r>
        <w:smartTag w:uri="urn:schemas-microsoft-com:office:smarttags" w:element="State">
          <w:r w:rsidR="00335860" w:rsidRPr="0018089D">
            <w:t>Washington</w:t>
          </w:r>
        </w:smartTag>
        <w:r w:rsidR="00335860" w:rsidRPr="0018089D">
          <w:t xml:space="preserve">, </w:t>
        </w:r>
        <w:smartTag w:uri="urn:schemas-microsoft-com:office:smarttags" w:element="PostalCode">
          <w:r w:rsidR="00335860" w:rsidRPr="0018089D">
            <w:t>98191</w:t>
          </w:r>
        </w:smartTag>
      </w:smartTag>
      <w:r w:rsidR="00335860" w:rsidRPr="0018089D">
        <w:t>.  I am employed by CenturyLink as the NW Region Vice President Public Policy.  I am testifying on behalf of all of the CenturyLink companies named in the Application filed on January 17, 2017 in this docket.</w:t>
      </w:r>
    </w:p>
    <w:p w:rsidR="00335860" w:rsidRDefault="00335860" w:rsidP="00335860">
      <w:pPr>
        <w:pStyle w:val="BodyTextIndent3"/>
      </w:pPr>
    </w:p>
    <w:p w:rsidR="005F1B68" w:rsidRDefault="005F1B68" w:rsidP="00C46F0A">
      <w:pPr>
        <w:pStyle w:val="QQUESTION"/>
        <w:spacing w:after="0"/>
      </w:pPr>
      <w:r>
        <w:t>q.</w:t>
      </w:r>
      <w:r>
        <w:tab/>
        <w:t>WHAT IS YOUR EDUCATIONAL BACKGROUND AND PROFESSIONAL EXPERIENCE?</w:t>
      </w:r>
    </w:p>
    <w:p w:rsidR="00335860" w:rsidRDefault="005F1B68" w:rsidP="00335860">
      <w:pPr>
        <w:pStyle w:val="Answer"/>
        <w:tabs>
          <w:tab w:val="num" w:pos="720"/>
        </w:tabs>
        <w:spacing w:line="480" w:lineRule="exact"/>
        <w:ind w:left="720" w:hanging="720"/>
        <w:jc w:val="left"/>
      </w:pPr>
      <w:r w:rsidRPr="00AA4BEB">
        <w:t>A.</w:t>
      </w:r>
      <w:r w:rsidRPr="00AA4BEB">
        <w:tab/>
      </w:r>
      <w:r w:rsidR="00335860">
        <w:t xml:space="preserve">I received a B.A. from </w:t>
      </w:r>
      <w:smartTag w:uri="urn:schemas-microsoft-com:office:smarttags" w:element="PlaceName">
        <w:r w:rsidR="00335860">
          <w:t>Oregon</w:t>
        </w:r>
      </w:smartTag>
      <w:r w:rsidR="00335860">
        <w:t xml:space="preserve"> </w:t>
      </w:r>
      <w:smartTag w:uri="urn:schemas-microsoft-com:office:smarttags" w:element="PlaceType">
        <w:r w:rsidR="00335860">
          <w:t>State</w:t>
        </w:r>
      </w:smartTag>
      <w:r w:rsidR="00335860">
        <w:t xml:space="preserve"> </w:t>
      </w:r>
      <w:smartTag w:uri="urn:schemas-microsoft-com:office:smarttags" w:element="PlaceType">
        <w:r w:rsidR="00335860">
          <w:t>University</w:t>
        </w:r>
      </w:smartTag>
      <w:r w:rsidR="00335860">
        <w:t xml:space="preserve"> in 1977 and an M.B.A. in 1979 from the </w:t>
      </w:r>
      <w:smartTag w:uri="urn:schemas-microsoft-com:office:smarttags" w:element="place">
        <w:smartTag w:uri="urn:schemas-microsoft-com:office:smarttags" w:element="PlaceType">
          <w:r w:rsidR="00335860">
            <w:t>University</w:t>
          </w:r>
        </w:smartTag>
        <w:r w:rsidR="00335860">
          <w:t xml:space="preserve"> of </w:t>
        </w:r>
        <w:smartTag w:uri="urn:schemas-microsoft-com:office:smarttags" w:element="PlaceName">
          <w:r w:rsidR="00335860">
            <w:t>Montana</w:t>
          </w:r>
        </w:smartTag>
      </w:smartTag>
      <w:r w:rsidR="00335860">
        <w:t xml:space="preserve">.  My professional experience in the telecommunications industry spans </w:t>
      </w:r>
      <w:r w:rsidR="0018089D">
        <w:t xml:space="preserve">over 35 </w:t>
      </w:r>
      <w:r w:rsidR="00335860">
        <w:t xml:space="preserve">years working for CenturyLink and its predecessors, Qwest, U S WEST Communications, Inc. (“U S WEST”) and Pacific Northwest Bell.  I have held various director positions in costs, economic analyses, pricing, planning and interconnection for U S WEST in the marketing and regulatory areas.  I was responsible for ensuring economic pricing relationships between and among U S WEST’s product lines, including telephone exchange service, long distance, and switched/special access services.  I represented U S WEST, both as a pricing policy witness, and as the lead company representative, in a number of state regulatory and industry pricing and service unbundling workshops.  Subsequently, I managed an organization responsible for the economic analyses and cost studies that supported U S WEST’s tariffed product and service prices and costs before state and federal regulators. </w:t>
      </w:r>
    </w:p>
    <w:p w:rsidR="00335860" w:rsidRDefault="00335860" w:rsidP="00335860">
      <w:pPr>
        <w:pStyle w:val="StyleBodyTextIndentFirstline0"/>
      </w:pPr>
      <w:r>
        <w:t xml:space="preserve">I also managed U S WEST’s interconnection pricing and product strategy and the interconnection negotiation teams that were responsible for negotiating interconnection and resale contracts with new local service providers.  Also, I managed U S WEST’s cost advocacy and witness group, which was responsible for providing economic cost representation in telecommunications forums, workshops and regulatory proceedings.  I was also responsible for state regulatory finance issues and, specifically, the development and implementation of Qwest’s performance assurance plans in conjunction with its Section 271 applications.  Finally, prior to my current position, I was responsible for CenturyLink’s regulatory affairs in its former seven state Western Region, which included </w:t>
      </w:r>
      <w:smartTag w:uri="urn:schemas-microsoft-com:office:smarttags" w:element="place">
        <w:smartTag w:uri="urn:schemas-microsoft-com:office:smarttags" w:element="State">
          <w:r>
            <w:t>Washington</w:t>
          </w:r>
        </w:smartTag>
      </w:smartTag>
      <w:r>
        <w:t>.</w:t>
      </w:r>
    </w:p>
    <w:p w:rsidR="005F1B68" w:rsidRPr="00AA4BEB" w:rsidRDefault="005F1B68" w:rsidP="00C46F0A">
      <w:pPr>
        <w:pStyle w:val="affidavittext"/>
        <w:spacing w:after="0"/>
      </w:pPr>
    </w:p>
    <w:p w:rsidR="005F1B68" w:rsidRDefault="005F1B68" w:rsidP="00C46F0A">
      <w:pPr>
        <w:pStyle w:val="QQUESTION"/>
        <w:spacing w:after="0"/>
      </w:pPr>
      <w:r>
        <w:t>Q.</w:t>
      </w:r>
      <w:r>
        <w:tab/>
        <w:t xml:space="preserve">HAVE YOU PREVIOUSLY appeared before the </w:t>
      </w:r>
      <w:r w:rsidR="00165722">
        <w:t>Washington</w:t>
      </w:r>
      <w:r>
        <w:t xml:space="preserve"> Public utilities commission?</w:t>
      </w:r>
    </w:p>
    <w:p w:rsidR="00335860" w:rsidRDefault="005F1B68" w:rsidP="00335860">
      <w:pPr>
        <w:pStyle w:val="Answer"/>
        <w:tabs>
          <w:tab w:val="num" w:pos="720"/>
        </w:tabs>
        <w:spacing w:line="480" w:lineRule="exact"/>
        <w:ind w:left="720" w:hanging="720"/>
        <w:jc w:val="left"/>
      </w:pPr>
      <w:r>
        <w:t>A.</w:t>
      </w:r>
      <w:r w:rsidR="00B00590">
        <w:tab/>
      </w:r>
      <w:r w:rsidR="00335860">
        <w:t>Yes.  I have testified in a number of proceedings before the Commission dating back to 1989, including rate and cost dockets, wholesale arbitration dockets, wholesale complaint dockets, the Qwest/U S WEST merger docket, the 271 docket, the Dex sale docket, business services competitive classification dockets, the Service Quality Performance Plan docket, the Qwest AFOR docket, the CenturyLink/Qwest merger docket, the CenturyLink AFOR docket, and the Commission investigations into the San Juan Islands cable cut</w:t>
      </w:r>
      <w:r w:rsidR="0018089D">
        <w:t>,</w:t>
      </w:r>
      <w:r w:rsidR="00335860">
        <w:t xml:space="preserve"> and the 911 outage that occurred in 2014.</w:t>
      </w:r>
    </w:p>
    <w:p w:rsidR="005F1B68" w:rsidRDefault="003B7CFC">
      <w:pPr>
        <w:pStyle w:val="Heading1"/>
        <w:spacing w:after="360" w:line="480" w:lineRule="auto"/>
        <w:jc w:val="center"/>
        <w:rPr>
          <w:rFonts w:ascii="Times New Roman" w:hAnsi="Times New Roman"/>
          <w:caps/>
          <w:sz w:val="24"/>
        </w:rPr>
      </w:pPr>
      <w:bookmarkStart w:id="6" w:name="_Toc384184381"/>
      <w:bookmarkStart w:id="7" w:name="_Toc397150312"/>
      <w:bookmarkStart w:id="8" w:name="_Toc397398300"/>
      <w:bookmarkStart w:id="9" w:name="_Toc405362783"/>
      <w:bookmarkStart w:id="10" w:name="_Toc405370968"/>
      <w:bookmarkStart w:id="11" w:name="_Toc407172383"/>
      <w:bookmarkStart w:id="12" w:name="_Toc407172574"/>
      <w:bookmarkStart w:id="13" w:name="_Toc407172789"/>
      <w:bookmarkStart w:id="14" w:name="_Toc407178689"/>
      <w:bookmarkStart w:id="15" w:name="_Toc426877754"/>
      <w:bookmarkStart w:id="16" w:name="_Toc426878443"/>
      <w:bookmarkStart w:id="17" w:name="_Toc426879291"/>
      <w:bookmarkStart w:id="18" w:name="_Toc426943690"/>
      <w:bookmarkStart w:id="19" w:name="_Toc426943901"/>
      <w:bookmarkStart w:id="20" w:name="_Toc427037419"/>
      <w:bookmarkStart w:id="21" w:name="_Toc488125035"/>
      <w:bookmarkStart w:id="22" w:name="_Toc200519668"/>
      <w:bookmarkStart w:id="23" w:name="_Toc471197962"/>
      <w:bookmarkStart w:id="24" w:name="_Toc471198503"/>
      <w:bookmarkStart w:id="25" w:name="_Toc471198717"/>
      <w:bookmarkStart w:id="26" w:name="_Toc471199249"/>
      <w:bookmarkStart w:id="27" w:name="_Toc473810962"/>
      <w:r>
        <w:rPr>
          <w:rFonts w:ascii="Times New Roman" w:hAnsi="Times New Roman"/>
          <w:caps/>
          <w:sz w:val="24"/>
        </w:rPr>
        <w:t>II.</w:t>
      </w:r>
      <w:r w:rsidR="005F1B68">
        <w:rPr>
          <w:rFonts w:ascii="Times New Roman" w:hAnsi="Times New Roman"/>
          <w:caps/>
          <w:sz w:val="24"/>
        </w:rPr>
        <w:t xml:space="preserve"> </w:t>
      </w:r>
      <w:r w:rsidR="00D06F4F">
        <w:rPr>
          <w:rFonts w:ascii="Times New Roman" w:hAnsi="Times New Roman"/>
          <w:caps/>
          <w:sz w:val="24"/>
        </w:rPr>
        <w:t xml:space="preserve"> </w:t>
      </w:r>
      <w:r w:rsidR="005F1B68">
        <w:rPr>
          <w:rFonts w:ascii="Times New Roman" w:hAnsi="Times New Roman"/>
          <w:caps/>
          <w:sz w:val="24"/>
        </w:rPr>
        <w:t>PURPOSE</w:t>
      </w:r>
      <w:bookmarkEnd w:id="6"/>
      <w:r w:rsidR="005F1B68">
        <w:rPr>
          <w:rFonts w:ascii="Times New Roman" w:hAnsi="Times New Roman"/>
          <w:caps/>
          <w:sz w:val="24"/>
        </w:rPr>
        <w:t xml:space="preserve"> OF TESTIMONY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5F1B68" w:rsidRDefault="005F1B68" w:rsidP="00260E0B">
      <w:pPr>
        <w:pStyle w:val="QQUESTION"/>
        <w:spacing w:after="0"/>
      </w:pPr>
      <w:r>
        <w:t>Q.</w:t>
      </w:r>
      <w:r>
        <w:tab/>
        <w:t>WHAT IS THE PURPOSE OF YOUR TESTIMONY?</w:t>
      </w:r>
    </w:p>
    <w:p w:rsidR="002F6519" w:rsidRDefault="005F1B68" w:rsidP="006F227B">
      <w:pPr>
        <w:autoSpaceDE w:val="0"/>
        <w:autoSpaceDN w:val="0"/>
        <w:adjustRightInd w:val="0"/>
        <w:spacing w:line="480" w:lineRule="auto"/>
        <w:ind w:left="720" w:hanging="720"/>
      </w:pPr>
      <w:r>
        <w:t>A.</w:t>
      </w:r>
      <w:r w:rsidR="008C72FA" w:rsidRPr="008C72FA">
        <w:rPr>
          <w:rFonts w:ascii="Calibri" w:hAnsi="Calibri"/>
        </w:rPr>
        <w:t xml:space="preserve"> </w:t>
      </w:r>
      <w:r w:rsidR="00260E0B">
        <w:rPr>
          <w:rFonts w:ascii="Calibri" w:hAnsi="Calibri"/>
        </w:rPr>
        <w:tab/>
      </w:r>
      <w:r w:rsidR="008C72FA" w:rsidRPr="008C72FA">
        <w:t xml:space="preserve">The purpose of my direct testimony is to </w:t>
      </w:r>
      <w:r w:rsidR="00C46F0A" w:rsidRPr="00C46F0A">
        <w:t>explain</w:t>
      </w:r>
      <w:r w:rsidR="00C46F0A">
        <w:t xml:space="preserve"> why CenturyLink’s</w:t>
      </w:r>
      <w:r w:rsidR="008C72FA" w:rsidRPr="008C72FA">
        <w:t xml:space="preserve"> proposed acquisition of Level 3 Communic</w:t>
      </w:r>
      <w:r w:rsidR="00260E0B">
        <w:t>ations, Inc.</w:t>
      </w:r>
      <w:r w:rsidR="00BF49BD">
        <w:t xml:space="preserve"> (the “Transaction”)</w:t>
      </w:r>
      <w:r w:rsidR="008C72FA" w:rsidRPr="008C72FA">
        <w:t xml:space="preserve"> is in the public interest and should be approved.</w:t>
      </w:r>
      <w:r w:rsidR="002F6519">
        <w:t xml:space="preserve">  I have reviewed the Application seeking approval of the Transaction, and the matters discussed in that Application that relate to CenturyLink are true and correct, </w:t>
      </w:r>
      <w:r w:rsidR="0018089D">
        <w:t>to the best of my knowledge</w:t>
      </w:r>
      <w:r w:rsidR="00030AC9">
        <w:t>, information, and belief,</w:t>
      </w:r>
      <w:r w:rsidR="0018089D">
        <w:t xml:space="preserve"> </w:t>
      </w:r>
      <w:r w:rsidR="002F6519">
        <w:t>and should be considered as part of my testimony.</w:t>
      </w:r>
    </w:p>
    <w:p w:rsidR="0018089D" w:rsidRDefault="00BF49BD">
      <w:pPr>
        <w:autoSpaceDE w:val="0"/>
        <w:autoSpaceDN w:val="0"/>
        <w:adjustRightInd w:val="0"/>
        <w:spacing w:line="480" w:lineRule="auto"/>
        <w:ind w:left="720"/>
      </w:pPr>
      <w:r w:rsidRPr="002B3663">
        <w:rPr>
          <w:color w:val="000000"/>
        </w:rPr>
        <w:t xml:space="preserve">The Transaction will benefit </w:t>
      </w:r>
      <w:r w:rsidR="00FF328C" w:rsidRPr="002B3663">
        <w:rPr>
          <w:color w:val="000000"/>
        </w:rPr>
        <w:t xml:space="preserve">both </w:t>
      </w:r>
      <w:r w:rsidRPr="002B3663">
        <w:rPr>
          <w:color w:val="000000"/>
        </w:rPr>
        <w:t>customers and competition</w:t>
      </w:r>
      <w:r w:rsidR="00FF328C" w:rsidRPr="002B3663">
        <w:rPr>
          <w:color w:val="000000"/>
        </w:rPr>
        <w:t xml:space="preserve">.  </w:t>
      </w:r>
      <w:r w:rsidR="00FF328C" w:rsidRPr="002B3663">
        <w:t>Approval of the proposed Transa</w:t>
      </w:r>
      <w:r w:rsidR="0030307C">
        <w:t xml:space="preserve">ction will enable </w:t>
      </w:r>
      <w:r w:rsidR="00052CB5" w:rsidRPr="002B3663">
        <w:t>CenturyLink and Level 3</w:t>
      </w:r>
      <w:r w:rsidR="00FF328C" w:rsidRPr="002B3663">
        <w:t xml:space="preserve"> to combine their complementary networks to offer customers of enterprise services</w:t>
      </w:r>
      <w:r w:rsidR="005938D7" w:rsidRPr="002B3663">
        <w:t xml:space="preserve"> </w:t>
      </w:r>
      <w:r w:rsidR="00FF328C" w:rsidRPr="002B3663">
        <w:t>a broader range of on-net services and solutions than they currentl</w:t>
      </w:r>
      <w:r w:rsidR="00885154" w:rsidRPr="002B3663">
        <w:t>y can obtain from the companies individually.  It will reduce both companie</w:t>
      </w:r>
      <w:r w:rsidR="00FF328C" w:rsidRPr="002B3663">
        <w:t>s’ dependence on leased fiber facilities, and, by enhancing the combined company’s reach and financial profile, strengthen its ability to invest and compete for the long term</w:t>
      </w:r>
      <w:r w:rsidR="002B3663" w:rsidRPr="002B3663">
        <w:t>.</w:t>
      </w:r>
      <w:r w:rsidR="006F227B">
        <w:t xml:space="preserve">  As will be explained fully in the testimony, the Transaction will promote competition, </w:t>
      </w:r>
      <w:r w:rsidR="00885154">
        <w:t>will improve the combined company’s financial profile, will not adversely harm existing residential customers, and wi</w:t>
      </w:r>
      <w:r w:rsidR="00FE661E">
        <w:t xml:space="preserve">ll not alter existing </w:t>
      </w:r>
      <w:r w:rsidR="00885154">
        <w:t>contracts or regulatory commitments</w:t>
      </w:r>
      <w:r w:rsidR="006F227B">
        <w:t>.</w:t>
      </w:r>
    </w:p>
    <w:p w:rsidR="0018089D" w:rsidRDefault="0018089D" w:rsidP="00D06F4F">
      <w:pPr>
        <w:pStyle w:val="Answer"/>
        <w:keepNext/>
        <w:keepLines/>
        <w:spacing w:line="480" w:lineRule="auto"/>
        <w:ind w:left="720" w:hanging="720"/>
        <w:rPr>
          <w:b/>
        </w:rPr>
      </w:pPr>
      <w:r>
        <w:rPr>
          <w:b/>
        </w:rPr>
        <w:t>Q.</w:t>
      </w:r>
      <w:r>
        <w:rPr>
          <w:b/>
        </w:rPr>
        <w:tab/>
        <w:t>ARE THERE OTHER WITNESSES TESTIFYING IN SUPPORT OF THE TRANSACTION?</w:t>
      </w:r>
    </w:p>
    <w:p w:rsidR="0018089D" w:rsidRPr="0018089D" w:rsidRDefault="0018089D" w:rsidP="00D06F4F">
      <w:pPr>
        <w:pStyle w:val="Answer"/>
        <w:keepNext/>
        <w:keepLines/>
        <w:spacing w:line="480" w:lineRule="auto"/>
        <w:ind w:left="720" w:hanging="720"/>
        <w:jc w:val="left"/>
      </w:pPr>
      <w:r>
        <w:t>A.</w:t>
      </w:r>
      <w:r>
        <w:tab/>
        <w:t>Yes, Michael Balhoff is providing detailed testimony about the financing for the transaction.  Kristie Ince is testifying about the transaction from Level 3’s perspective.</w:t>
      </w:r>
    </w:p>
    <w:p w:rsidR="009C53CA" w:rsidRDefault="009C53CA" w:rsidP="006F227B">
      <w:pPr>
        <w:pStyle w:val="Answer"/>
        <w:spacing w:line="480" w:lineRule="auto"/>
        <w:ind w:left="720" w:hanging="720"/>
        <w:rPr>
          <w:b/>
        </w:rPr>
      </w:pPr>
      <w:r>
        <w:rPr>
          <w:b/>
        </w:rPr>
        <w:t>Q.</w:t>
      </w:r>
      <w:r>
        <w:rPr>
          <w:b/>
        </w:rPr>
        <w:tab/>
        <w:t>WHAT STANDARD HAS THE COMMISSION USED IN THE PAST WHEN DETERMINING WHETHER MERGER TRANSACTIONS ARE IN THE PUBLIC INTEREST?</w:t>
      </w:r>
    </w:p>
    <w:p w:rsidR="009C7B1A" w:rsidRDefault="009C53CA" w:rsidP="009C7B1A">
      <w:pPr>
        <w:spacing w:line="480" w:lineRule="auto"/>
        <w:ind w:left="720" w:hanging="720"/>
        <w:rPr>
          <w:color w:val="1F497D"/>
        </w:rPr>
      </w:pPr>
      <w:r>
        <w:t>A.</w:t>
      </w:r>
      <w:r>
        <w:tab/>
        <w:t xml:space="preserve">When the Commission was examining the Qwest/CenturyLink merger it </w:t>
      </w:r>
      <w:r w:rsidR="00335860">
        <w:t>set forth the standard for approval of a merger or acquisition</w:t>
      </w:r>
      <w:r w:rsidR="00F97EDD">
        <w:t xml:space="preserve"> under Chapter 80.12 RCW as whether the transaction is consistent with the public interest.</w:t>
      </w:r>
      <w:r w:rsidR="00F97EDD">
        <w:rPr>
          <w:rStyle w:val="FootnoteReference"/>
        </w:rPr>
        <w:footnoteReference w:id="1"/>
      </w:r>
      <w:r w:rsidR="00F97EDD">
        <w:t xml:space="preserve">  </w:t>
      </w:r>
      <w:r w:rsidR="00335860">
        <w:t xml:space="preserve">  </w:t>
      </w:r>
      <w:r w:rsidR="00DA2CCF">
        <w:rPr>
          <w:rFonts w:eastAsia="Calibri"/>
        </w:rPr>
        <w:t xml:space="preserve"> </w:t>
      </w:r>
      <w:r>
        <w:t xml:space="preserve"> </w:t>
      </w:r>
    </w:p>
    <w:p w:rsidR="002B3663" w:rsidRDefault="00165722" w:rsidP="003C5000">
      <w:pPr>
        <w:pStyle w:val="DWTNorm"/>
        <w:spacing w:after="0" w:line="480" w:lineRule="auto"/>
        <w:ind w:left="720" w:firstLine="0"/>
        <w:jc w:val="both"/>
        <w:rPr>
          <w:b/>
          <w:bCs/>
        </w:rPr>
      </w:pPr>
      <w:r>
        <w:t xml:space="preserve">The Applicants have previously explained why </w:t>
      </w:r>
      <w:r w:rsidR="0018089D">
        <w:t xml:space="preserve">they believe </w:t>
      </w:r>
      <w:r>
        <w:t xml:space="preserve">those statutes and rules do not apply to this transaction (see, Application at ¶¶ 18-21), but nevertheless are confident that </w:t>
      </w:r>
      <w:r w:rsidR="00B66E09">
        <w:t>CenturyLink’s</w:t>
      </w:r>
      <w:r w:rsidR="00B66E09" w:rsidRPr="008C72FA">
        <w:t xml:space="preserve"> proposed acquisition of Level 3 Communic</w:t>
      </w:r>
      <w:r w:rsidR="00B66E09">
        <w:t>ations, Inc.</w:t>
      </w:r>
      <w:r w:rsidR="00456E44">
        <w:t xml:space="preserve"> meets this standard, providing affirmative benefits without any adverse impacts or harm. </w:t>
      </w:r>
      <w:r w:rsidR="005938D7">
        <w:rPr>
          <w:b/>
          <w:bCs/>
        </w:rPr>
        <w:t xml:space="preserve">  </w:t>
      </w:r>
    </w:p>
    <w:p w:rsidR="00052CB5" w:rsidRDefault="00052CB5" w:rsidP="003C5000">
      <w:pPr>
        <w:pStyle w:val="DWTNorm"/>
        <w:spacing w:after="0" w:line="480" w:lineRule="auto"/>
        <w:ind w:left="720" w:firstLine="0"/>
        <w:jc w:val="both"/>
        <w:rPr>
          <w:b/>
          <w:bCs/>
        </w:rPr>
      </w:pPr>
    </w:p>
    <w:p w:rsidR="00D650DF" w:rsidRDefault="00D650DF" w:rsidP="003C5000">
      <w:pPr>
        <w:pStyle w:val="DWTNorm"/>
        <w:spacing w:after="0" w:line="480" w:lineRule="auto"/>
        <w:ind w:left="720" w:firstLine="0"/>
        <w:jc w:val="both"/>
      </w:pPr>
    </w:p>
    <w:p w:rsidR="005F1B68" w:rsidRDefault="00863D59" w:rsidP="001C4D5A">
      <w:pPr>
        <w:pStyle w:val="Heading1"/>
        <w:spacing w:before="0" w:after="0" w:line="480" w:lineRule="auto"/>
        <w:jc w:val="center"/>
        <w:rPr>
          <w:rFonts w:ascii="Times New Roman" w:hAnsi="Times New Roman" w:cs="Times New Roman"/>
          <w:color w:val="000000"/>
          <w:sz w:val="24"/>
          <w:szCs w:val="24"/>
        </w:rPr>
      </w:pPr>
      <w:bookmarkStart w:id="28" w:name="_Toc471197963"/>
      <w:bookmarkStart w:id="29" w:name="_Toc471198504"/>
      <w:bookmarkStart w:id="30" w:name="_Toc471198718"/>
      <w:bookmarkStart w:id="31" w:name="_Toc471199250"/>
      <w:bookmarkStart w:id="32" w:name="_Toc473810967"/>
      <w:r>
        <w:rPr>
          <w:rFonts w:ascii="Times New Roman" w:hAnsi="Times New Roman"/>
          <w:caps/>
          <w:sz w:val="24"/>
        </w:rPr>
        <w:t>Iii</w:t>
      </w:r>
      <w:proofErr w:type="gramStart"/>
      <w:r w:rsidR="00165722">
        <w:rPr>
          <w:rFonts w:ascii="Times New Roman" w:hAnsi="Times New Roman"/>
          <w:caps/>
          <w:sz w:val="24"/>
        </w:rPr>
        <w:t>.</w:t>
      </w:r>
      <w:r w:rsidR="00D06F4F">
        <w:rPr>
          <w:rFonts w:ascii="Times New Roman" w:hAnsi="Times New Roman"/>
          <w:caps/>
          <w:sz w:val="24"/>
        </w:rPr>
        <w:t xml:space="preserve">  </w:t>
      </w:r>
      <w:r w:rsidR="005F1B68" w:rsidRPr="005F1B68">
        <w:rPr>
          <w:rFonts w:ascii="Times New Roman" w:hAnsi="Times New Roman" w:cs="Times New Roman"/>
          <w:color w:val="000000"/>
          <w:sz w:val="24"/>
          <w:szCs w:val="24"/>
        </w:rPr>
        <w:t>THE</w:t>
      </w:r>
      <w:proofErr w:type="gramEnd"/>
      <w:r w:rsidR="005F1B68" w:rsidRPr="005F1B68">
        <w:rPr>
          <w:rFonts w:ascii="Times New Roman" w:hAnsi="Times New Roman" w:cs="Times New Roman"/>
          <w:color w:val="000000"/>
          <w:sz w:val="24"/>
          <w:szCs w:val="24"/>
        </w:rPr>
        <w:t xml:space="preserve"> </w:t>
      </w:r>
      <w:r w:rsidR="00C07782">
        <w:rPr>
          <w:rFonts w:ascii="Times New Roman" w:hAnsi="Times New Roman" w:cs="Times New Roman"/>
          <w:color w:val="000000"/>
          <w:sz w:val="24"/>
          <w:szCs w:val="24"/>
        </w:rPr>
        <w:t xml:space="preserve">PROPOSED </w:t>
      </w:r>
      <w:r w:rsidR="005F1B68" w:rsidRPr="005F1B68">
        <w:rPr>
          <w:rFonts w:ascii="Times New Roman" w:hAnsi="Times New Roman" w:cs="Times New Roman"/>
          <w:color w:val="000000"/>
          <w:sz w:val="24"/>
          <w:szCs w:val="24"/>
        </w:rPr>
        <w:t>TRANSACTION WILL B</w:t>
      </w:r>
      <w:bookmarkEnd w:id="28"/>
      <w:bookmarkEnd w:id="29"/>
      <w:bookmarkEnd w:id="30"/>
      <w:bookmarkEnd w:id="31"/>
      <w:r w:rsidR="003C5000">
        <w:rPr>
          <w:rFonts w:ascii="Times New Roman" w:hAnsi="Times New Roman" w:cs="Times New Roman"/>
          <w:color w:val="000000"/>
          <w:sz w:val="24"/>
          <w:szCs w:val="24"/>
        </w:rPr>
        <w:t xml:space="preserve">ENEFIT </w:t>
      </w:r>
      <w:r w:rsidR="00165722">
        <w:rPr>
          <w:rFonts w:ascii="Times New Roman" w:hAnsi="Times New Roman" w:cs="Times New Roman"/>
          <w:color w:val="000000"/>
          <w:sz w:val="24"/>
          <w:szCs w:val="24"/>
        </w:rPr>
        <w:t>WASHINGTON</w:t>
      </w:r>
      <w:r w:rsidR="001C4D5A">
        <w:rPr>
          <w:rFonts w:ascii="Times New Roman" w:hAnsi="Times New Roman" w:cs="Times New Roman"/>
          <w:color w:val="000000"/>
          <w:sz w:val="24"/>
          <w:szCs w:val="24"/>
        </w:rPr>
        <w:t xml:space="preserve"> </w:t>
      </w:r>
      <w:r w:rsidR="003C5000">
        <w:rPr>
          <w:rFonts w:ascii="Times New Roman" w:hAnsi="Times New Roman" w:cs="Times New Roman"/>
          <w:color w:val="000000"/>
          <w:sz w:val="24"/>
          <w:szCs w:val="24"/>
        </w:rPr>
        <w:t>CUSTO</w:t>
      </w:r>
      <w:r w:rsidR="005938D7">
        <w:rPr>
          <w:rFonts w:ascii="Times New Roman" w:hAnsi="Times New Roman" w:cs="Times New Roman"/>
          <w:color w:val="000000"/>
          <w:sz w:val="24"/>
          <w:szCs w:val="24"/>
        </w:rPr>
        <w:t>MERS OF ENTERPRISE SERVICES</w:t>
      </w:r>
      <w:bookmarkEnd w:id="32"/>
    </w:p>
    <w:p w:rsidR="00052CB5" w:rsidRPr="00052CB5" w:rsidRDefault="00052CB5" w:rsidP="00052CB5"/>
    <w:p w:rsidR="00E77024" w:rsidRPr="00E77024" w:rsidRDefault="00E77024" w:rsidP="00DD39B1">
      <w:pPr>
        <w:pStyle w:val="DWTNorm"/>
        <w:spacing w:after="0" w:line="480" w:lineRule="auto"/>
        <w:ind w:left="720" w:hanging="720"/>
        <w:rPr>
          <w:b/>
          <w:bCs/>
        </w:rPr>
      </w:pPr>
      <w:r>
        <w:rPr>
          <w:b/>
          <w:bCs/>
        </w:rPr>
        <w:t>Q.</w:t>
      </w:r>
      <w:r>
        <w:rPr>
          <w:b/>
          <w:bCs/>
        </w:rPr>
        <w:tab/>
        <w:t>HOW WILL THE COMPANIES</w:t>
      </w:r>
      <w:r w:rsidR="002B3663">
        <w:rPr>
          <w:b/>
          <w:bCs/>
        </w:rPr>
        <w:t>’</w:t>
      </w:r>
      <w:r>
        <w:rPr>
          <w:b/>
          <w:bCs/>
        </w:rPr>
        <w:t xml:space="preserve"> NETWORKS AND SERVICE OFFERING</w:t>
      </w:r>
      <w:r w:rsidR="00376CD9">
        <w:rPr>
          <w:b/>
          <w:bCs/>
        </w:rPr>
        <w:t>S</w:t>
      </w:r>
      <w:r>
        <w:rPr>
          <w:b/>
          <w:bCs/>
        </w:rPr>
        <w:t xml:space="preserve"> BE IMPACTED BY THE TRANSACTION?</w:t>
      </w:r>
    </w:p>
    <w:p w:rsidR="005938D7" w:rsidRPr="005938D7" w:rsidRDefault="00E77024" w:rsidP="005938D7">
      <w:pPr>
        <w:pStyle w:val="DWTNorm"/>
        <w:spacing w:after="0" w:line="480" w:lineRule="auto"/>
        <w:ind w:left="720" w:hanging="720"/>
        <w:jc w:val="both"/>
      </w:pPr>
      <w:r>
        <w:rPr>
          <w:bCs/>
        </w:rPr>
        <w:t>A.</w:t>
      </w:r>
      <w:r>
        <w:rPr>
          <w:bCs/>
        </w:rPr>
        <w:tab/>
      </w:r>
      <w:r w:rsidR="005938D7">
        <w:rPr>
          <w:bCs/>
        </w:rPr>
        <w:t xml:space="preserve">The Transaction, if approved, will enable the companies to combine their complementary </w:t>
      </w:r>
      <w:r w:rsidR="005938D7" w:rsidRPr="00731385">
        <w:rPr>
          <w:bCs/>
        </w:rPr>
        <w:t xml:space="preserve">fiber </w:t>
      </w:r>
      <w:r w:rsidR="005938D7" w:rsidRPr="00731385">
        <w:t>networks</w:t>
      </w:r>
      <w:r w:rsidR="005938D7" w:rsidRPr="0014429E">
        <w:t xml:space="preserve"> </w:t>
      </w:r>
      <w:r w:rsidR="005938D7">
        <w:t>and offer customers of enterprise services a broader range of on-net services and solutions than they currently can obtain from the companies individually, reduce the combined company’s dependence on leased fiber facilities, and, by enhancing the combined company’s reach and financial profile, strengthen its ability to invest and compete for the long term.  T</w:t>
      </w:r>
      <w:r w:rsidR="005938D7" w:rsidRPr="00ED613E">
        <w:rPr>
          <w:bCs/>
        </w:rPr>
        <w:t xml:space="preserve">he proposed Transaction will </w:t>
      </w:r>
      <w:r w:rsidR="005938D7">
        <w:rPr>
          <w:bCs/>
        </w:rPr>
        <w:t xml:space="preserve">enable the combined company to </w:t>
      </w:r>
      <w:r w:rsidR="005938D7">
        <w:t>provide better services and a fuller suite of solutions to its base of enterprise customers</w:t>
      </w:r>
      <w:r w:rsidR="00C31525">
        <w:t>.</w:t>
      </w:r>
    </w:p>
    <w:p w:rsidR="00AA4BEB" w:rsidRPr="005B2D23" w:rsidRDefault="00AA4BEB" w:rsidP="005938D7">
      <w:pPr>
        <w:pStyle w:val="DWTNorm"/>
        <w:spacing w:after="0" w:line="480" w:lineRule="auto"/>
        <w:ind w:firstLine="0"/>
        <w:jc w:val="both"/>
        <w:rPr>
          <w:bCs/>
        </w:rPr>
      </w:pPr>
    </w:p>
    <w:p w:rsidR="00D50BF5" w:rsidRPr="00D50BF5" w:rsidRDefault="00D50BF5" w:rsidP="00D50BF5">
      <w:pPr>
        <w:pStyle w:val="DWTNorm"/>
        <w:spacing w:after="0" w:line="480" w:lineRule="auto"/>
        <w:ind w:left="720" w:hanging="720"/>
        <w:jc w:val="both"/>
        <w:rPr>
          <w:b/>
          <w:bCs/>
        </w:rPr>
      </w:pPr>
      <w:r>
        <w:rPr>
          <w:b/>
          <w:bCs/>
        </w:rPr>
        <w:t>Q.</w:t>
      </w:r>
      <w:r>
        <w:rPr>
          <w:b/>
          <w:bCs/>
        </w:rPr>
        <w:tab/>
        <w:t>WILL THE TRANSACTION ALLOW THE COMBINED COMPANY TO MORE EFFECTIVELY COMPETE?</w:t>
      </w:r>
    </w:p>
    <w:p w:rsidR="00F75A16" w:rsidRDefault="00D50BF5" w:rsidP="00D50BF5">
      <w:pPr>
        <w:pStyle w:val="DWTNorm"/>
        <w:spacing w:after="0" w:line="480" w:lineRule="auto"/>
        <w:ind w:left="720" w:hanging="720"/>
        <w:jc w:val="both"/>
      </w:pPr>
      <w:r>
        <w:rPr>
          <w:bCs/>
        </w:rPr>
        <w:t>A.</w:t>
      </w:r>
      <w:r>
        <w:rPr>
          <w:bCs/>
        </w:rPr>
        <w:tab/>
        <w:t xml:space="preserve">Yes.  </w:t>
      </w:r>
      <w:r w:rsidR="005938D7" w:rsidRPr="00124ED0">
        <w:rPr>
          <w:bCs/>
        </w:rPr>
        <w:t xml:space="preserve">The needs of an interconnected world create increasing demand for fiber broadband capacity.  </w:t>
      </w:r>
      <w:r w:rsidR="005938D7">
        <w:t>The proposed Transaction will expand CenturyLink’s fiber network to better serve its existing enterprise customers and will reduce the combined company’s dependence on leased fiber facilities.  The Transaction will bolster the combined company’s ability to compete for multi-location enterprise customers and will enhance its expanded reach to serve a higher proportion of locations using its own end user connections.  By combining resources, therefore, the companies will be better able to p</w:t>
      </w:r>
      <w:r w:rsidR="005938D7" w:rsidRPr="00124ED0">
        <w:rPr>
          <w:bCs/>
        </w:rPr>
        <w:t xml:space="preserve">rovide existing and future enterprise </w:t>
      </w:r>
      <w:r w:rsidR="005938D7">
        <w:t>customers with robust end-to-end solutions for greater bandwidth, enhanced security, greater convenienc</w:t>
      </w:r>
      <w:r w:rsidR="00C31525">
        <w:t>e and better customer service.</w:t>
      </w:r>
    </w:p>
    <w:p w:rsidR="005938D7" w:rsidRPr="005938D7" w:rsidRDefault="00F75A16" w:rsidP="005938D7">
      <w:pPr>
        <w:spacing w:line="480" w:lineRule="auto"/>
        <w:ind w:left="720"/>
        <w:rPr>
          <w:b/>
        </w:rPr>
      </w:pPr>
      <w:r>
        <w:t xml:space="preserve">Both CenturyLink and Level 3 </w:t>
      </w:r>
      <w:r w:rsidR="005938D7">
        <w:t xml:space="preserve">have proven track records when it comes to scaling their businesses through organic growth and acquisitions.  </w:t>
      </w:r>
      <w:r w:rsidR="00C16E2A">
        <w:t>However, the companies</w:t>
      </w:r>
      <w:r w:rsidR="005938D7">
        <w:t xml:space="preserve">’ ability to continue to compete effectively in the provision of enterprise services is challenged by the presence of other, larger-scale providers.  Indeed, as the needs of enterprise customers have grown, both CenturyLink and Level 3 have found themselves at a competitive disadvantage vis-à-vis larger, better-capitalized competitors with greater national and in some cases global reach.  </w:t>
      </w:r>
      <w:r w:rsidR="005938D7" w:rsidRPr="004D20CC">
        <w:t xml:space="preserve">By combining their network resources, services and solutions, the Transaction will enable the combined CenturyLink and Level 3 to become a more viable, better-resourced competitor with enhanced service delivery capabilities. </w:t>
      </w:r>
    </w:p>
    <w:p w:rsidR="005938D7" w:rsidRDefault="005938D7" w:rsidP="0018312F">
      <w:pPr>
        <w:pStyle w:val="DWTNorm"/>
        <w:spacing w:after="0" w:line="480" w:lineRule="auto"/>
        <w:ind w:firstLine="0"/>
        <w:jc w:val="both"/>
      </w:pPr>
    </w:p>
    <w:p w:rsidR="00C16E2A" w:rsidRDefault="00C16E2A" w:rsidP="00C16E2A">
      <w:pPr>
        <w:pStyle w:val="DWTNorm"/>
        <w:spacing w:after="0" w:line="480" w:lineRule="auto"/>
        <w:ind w:firstLine="0"/>
        <w:jc w:val="both"/>
        <w:rPr>
          <w:b/>
        </w:rPr>
      </w:pPr>
      <w:r>
        <w:rPr>
          <w:b/>
        </w:rPr>
        <w:t>Q.</w:t>
      </w:r>
      <w:r>
        <w:rPr>
          <w:b/>
        </w:rPr>
        <w:tab/>
        <w:t>WILL THERE BE ANY COUNTERVAILING COMPETITIVE HARMS?</w:t>
      </w:r>
    </w:p>
    <w:p w:rsidR="00C16E2A" w:rsidRPr="00C16E2A" w:rsidRDefault="00C16E2A" w:rsidP="00923FAC">
      <w:pPr>
        <w:pStyle w:val="DWTNorm"/>
        <w:spacing w:after="0" w:line="480" w:lineRule="auto"/>
        <w:ind w:left="720" w:hanging="720"/>
        <w:jc w:val="both"/>
        <w:rPr>
          <w:b/>
        </w:rPr>
      </w:pPr>
      <w:r w:rsidRPr="00923FAC">
        <w:t xml:space="preserve">A. </w:t>
      </w:r>
      <w:r w:rsidR="00923FAC">
        <w:tab/>
      </w:r>
      <w:r w:rsidRPr="00923FAC">
        <w:t>No.</w:t>
      </w:r>
      <w:r>
        <w:rPr>
          <w:b/>
        </w:rPr>
        <w:t xml:space="preserve"> </w:t>
      </w:r>
      <w:r w:rsidR="00923FAC">
        <w:t>T</w:t>
      </w:r>
      <w:r w:rsidRPr="0049479B">
        <w:t>h</w:t>
      </w:r>
      <w:r w:rsidRPr="004D20CC">
        <w:rPr>
          <w:bCs/>
        </w:rPr>
        <w:t>e</w:t>
      </w:r>
      <w:r w:rsidRPr="0049479B">
        <w:t xml:space="preserve"> Transaction will not result in any</w:t>
      </w:r>
      <w:r>
        <w:t xml:space="preserve"> countervailing</w:t>
      </w:r>
      <w:r w:rsidRPr="0049479B">
        <w:t xml:space="preserve"> competitive harms.</w:t>
      </w:r>
      <w:r>
        <w:t xml:space="preserve">  By bolstering the combined company’s ability to compete in markets that will remain competitive, the Transaction will only enhance the quality of competition in these markets.  Existing and future e</w:t>
      </w:r>
      <w:r w:rsidRPr="00C027BA">
        <w:t xml:space="preserve">nterprise customers </w:t>
      </w:r>
      <w:r>
        <w:t xml:space="preserve">in </w:t>
      </w:r>
      <w:r w:rsidR="00165722">
        <w:t>Washington</w:t>
      </w:r>
      <w:r>
        <w:t xml:space="preserve"> thereby </w:t>
      </w:r>
      <w:r w:rsidRPr="00C027BA">
        <w:t>benefit</w:t>
      </w:r>
      <w:r>
        <w:t xml:space="preserve">.   </w:t>
      </w:r>
    </w:p>
    <w:p w:rsidR="00C16E2A" w:rsidRPr="006277CA" w:rsidRDefault="00C16E2A" w:rsidP="00923FAC">
      <w:pPr>
        <w:pStyle w:val="DWTNorm"/>
        <w:spacing w:line="480" w:lineRule="auto"/>
        <w:ind w:left="720" w:firstLine="0"/>
        <w:jc w:val="both"/>
        <w:rPr>
          <w:bCs/>
        </w:rPr>
      </w:pPr>
      <w:r>
        <w:t>Meanwhile, t</w:t>
      </w:r>
      <w:r w:rsidRPr="002B045C">
        <w:rPr>
          <w:bCs/>
        </w:rPr>
        <w:t xml:space="preserve">he </w:t>
      </w:r>
      <w:r>
        <w:rPr>
          <w:bCs/>
        </w:rPr>
        <w:t xml:space="preserve">proposed </w:t>
      </w:r>
      <w:r w:rsidRPr="002B045C">
        <w:rPr>
          <w:bCs/>
        </w:rPr>
        <w:t>Transaction will have no adverse impact on</w:t>
      </w:r>
      <w:r>
        <w:rPr>
          <w:bCs/>
        </w:rPr>
        <w:t xml:space="preserve"> competition in the residential </w:t>
      </w:r>
      <w:r w:rsidR="00923FAC">
        <w:rPr>
          <w:bCs/>
        </w:rPr>
        <w:t>market.</w:t>
      </w:r>
      <w:r w:rsidRPr="002B045C">
        <w:rPr>
          <w:bCs/>
        </w:rPr>
        <w:t xml:space="preserve"> </w:t>
      </w:r>
      <w:r>
        <w:rPr>
          <w:bCs/>
        </w:rPr>
        <w:t xml:space="preserve"> </w:t>
      </w:r>
      <w:r w:rsidRPr="007D6DAA">
        <w:rPr>
          <w:bCs/>
        </w:rPr>
        <w:t>Level 3 does not serve residential subscribers or consumers</w:t>
      </w:r>
      <w:r>
        <w:rPr>
          <w:bCs/>
        </w:rPr>
        <w:t xml:space="preserve">. </w:t>
      </w:r>
      <w:r w:rsidRPr="002B045C">
        <w:rPr>
          <w:bCs/>
        </w:rPr>
        <w:t xml:space="preserve"> </w:t>
      </w:r>
      <w:r>
        <w:rPr>
          <w:bCs/>
        </w:rPr>
        <w:t xml:space="preserve">While </w:t>
      </w:r>
      <w:r w:rsidRPr="002B045C">
        <w:t xml:space="preserve">CenturyLink remains committed to </w:t>
      </w:r>
      <w:r>
        <w:t xml:space="preserve">its </w:t>
      </w:r>
      <w:r w:rsidRPr="002B045C">
        <w:t>residential</w:t>
      </w:r>
      <w:r w:rsidRPr="003064B8">
        <w:rPr>
          <w:bCs/>
        </w:rPr>
        <w:t xml:space="preserve"> </w:t>
      </w:r>
      <w:r w:rsidR="00447F21">
        <w:rPr>
          <w:bCs/>
        </w:rPr>
        <w:t xml:space="preserve">customers in </w:t>
      </w:r>
      <w:r w:rsidR="00165722">
        <w:rPr>
          <w:bCs/>
        </w:rPr>
        <w:t>Washington</w:t>
      </w:r>
      <w:r w:rsidRPr="003064B8">
        <w:rPr>
          <w:bCs/>
        </w:rPr>
        <w:t xml:space="preserve">, this Transaction is </w:t>
      </w:r>
      <w:r>
        <w:rPr>
          <w:bCs/>
        </w:rPr>
        <w:t>about the</w:t>
      </w:r>
      <w:r w:rsidRPr="003064B8">
        <w:rPr>
          <w:bCs/>
        </w:rPr>
        <w:t xml:space="preserve"> enterprise </w:t>
      </w:r>
      <w:r w:rsidRPr="002B045C">
        <w:t>market</w:t>
      </w:r>
      <w:r>
        <w:t xml:space="preserve">.  </w:t>
      </w:r>
    </w:p>
    <w:p w:rsidR="00C16E2A" w:rsidRPr="002B045C" w:rsidRDefault="00C16E2A" w:rsidP="00923FAC">
      <w:pPr>
        <w:pStyle w:val="DWTNorm"/>
        <w:spacing w:line="480" w:lineRule="auto"/>
        <w:ind w:left="720" w:firstLine="0"/>
        <w:jc w:val="both"/>
        <w:rPr>
          <w:bCs/>
        </w:rPr>
      </w:pPr>
      <w:r w:rsidRPr="00FF3596">
        <w:t xml:space="preserve">Accordingly, </w:t>
      </w:r>
      <w:r w:rsidRPr="002B045C">
        <w:t xml:space="preserve">the Transaction </w:t>
      </w:r>
      <w:r w:rsidR="00571501">
        <w:t>will not</w:t>
      </w:r>
      <w:r w:rsidRPr="002B045C">
        <w:t xml:space="preserve"> have a negative effect on </w:t>
      </w:r>
      <w:r>
        <w:t xml:space="preserve">residential and small business </w:t>
      </w:r>
      <w:r w:rsidR="00571501">
        <w:t>consumers</w:t>
      </w:r>
      <w:r w:rsidR="00923FAC">
        <w:t xml:space="preserve"> in </w:t>
      </w:r>
      <w:r w:rsidR="00165722">
        <w:t>Washington</w:t>
      </w:r>
      <w:r>
        <w:t xml:space="preserve">.  </w:t>
      </w:r>
      <w:r w:rsidRPr="002B045C">
        <w:t xml:space="preserve">The Transaction </w:t>
      </w:r>
      <w:r w:rsidR="00571501">
        <w:t>will</w:t>
      </w:r>
      <w:r w:rsidRPr="002B045C">
        <w:t xml:space="preserve"> not affect CenturyLink’s regulatory obligations toward </w:t>
      </w:r>
      <w:r>
        <w:t xml:space="preserve">such </w:t>
      </w:r>
      <w:r w:rsidRPr="002B045C">
        <w:t xml:space="preserve">subscribers, or any pending commitments or obligations </w:t>
      </w:r>
      <w:r>
        <w:t xml:space="preserve">of </w:t>
      </w:r>
      <w:r w:rsidRPr="002B045C">
        <w:t xml:space="preserve">CenturyLink </w:t>
      </w:r>
      <w:r w:rsidR="00923FAC">
        <w:t xml:space="preserve">in </w:t>
      </w:r>
      <w:r w:rsidR="00165722">
        <w:t>Washington</w:t>
      </w:r>
      <w:r>
        <w:t xml:space="preserve"> relative to t</w:t>
      </w:r>
      <w:r w:rsidRPr="002B045C">
        <w:t>hose</w:t>
      </w:r>
      <w:r>
        <w:t xml:space="preserve"> customer</w:t>
      </w:r>
      <w:r w:rsidRPr="002B045C">
        <w:t xml:space="preserve">s.  The Transaction’s focus is on enhancing the ability of the combined company to compete vigorously </w:t>
      </w:r>
      <w:r>
        <w:t>in the provision of enterprise services</w:t>
      </w:r>
      <w:r w:rsidRPr="002B045C">
        <w:t>.</w:t>
      </w:r>
    </w:p>
    <w:p w:rsidR="00C16E2A" w:rsidRDefault="00C16E2A" w:rsidP="0018312F">
      <w:pPr>
        <w:pStyle w:val="DWTNorm"/>
        <w:spacing w:after="0" w:line="480" w:lineRule="auto"/>
        <w:ind w:firstLine="0"/>
        <w:jc w:val="both"/>
      </w:pPr>
      <w:r>
        <w:t xml:space="preserve"> </w:t>
      </w:r>
    </w:p>
    <w:p w:rsidR="005F1B68" w:rsidRDefault="005F1B68" w:rsidP="00CA7E96">
      <w:pPr>
        <w:pStyle w:val="Heading1"/>
        <w:spacing w:after="360" w:line="480" w:lineRule="auto"/>
        <w:jc w:val="center"/>
        <w:rPr>
          <w:rFonts w:ascii="Times New Roman" w:hAnsi="Times New Roman" w:cs="Times New Roman"/>
          <w:bCs w:val="0"/>
          <w:iCs/>
          <w:sz w:val="24"/>
          <w:szCs w:val="20"/>
        </w:rPr>
      </w:pPr>
      <w:bookmarkStart w:id="33" w:name="_Toc200519672"/>
      <w:bookmarkStart w:id="34" w:name="_Toc471197968"/>
      <w:bookmarkStart w:id="35" w:name="_Toc471198509"/>
      <w:bookmarkStart w:id="36" w:name="_Toc471198723"/>
      <w:bookmarkStart w:id="37" w:name="_Toc471199255"/>
      <w:bookmarkStart w:id="38" w:name="_Toc473810968"/>
      <w:r>
        <w:rPr>
          <w:rFonts w:ascii="Times New Roman" w:hAnsi="Times New Roman"/>
          <w:caps/>
          <w:sz w:val="24"/>
        </w:rPr>
        <w:t>iv</w:t>
      </w:r>
      <w:proofErr w:type="gramStart"/>
      <w:r>
        <w:rPr>
          <w:rFonts w:ascii="Times New Roman" w:hAnsi="Times New Roman"/>
          <w:caps/>
          <w:sz w:val="24"/>
        </w:rPr>
        <w:t xml:space="preserve">. </w:t>
      </w:r>
      <w:r w:rsidR="00D06F4F">
        <w:rPr>
          <w:rFonts w:ascii="Times New Roman" w:hAnsi="Times New Roman"/>
          <w:caps/>
          <w:sz w:val="24"/>
        </w:rPr>
        <w:t xml:space="preserve"> </w:t>
      </w:r>
      <w:r>
        <w:rPr>
          <w:rFonts w:ascii="Times New Roman" w:hAnsi="Times New Roman"/>
          <w:caps/>
          <w:sz w:val="24"/>
        </w:rPr>
        <w:t>the</w:t>
      </w:r>
      <w:proofErr w:type="gramEnd"/>
      <w:r>
        <w:rPr>
          <w:rFonts w:ascii="Times New Roman" w:hAnsi="Times New Roman"/>
          <w:caps/>
          <w:sz w:val="24"/>
        </w:rPr>
        <w:t xml:space="preserve"> </w:t>
      </w:r>
      <w:bookmarkStart w:id="39" w:name="_Toc471197970"/>
      <w:bookmarkStart w:id="40" w:name="_Toc471198511"/>
      <w:bookmarkStart w:id="41" w:name="_Toc471198725"/>
      <w:bookmarkStart w:id="42" w:name="_Toc471199257"/>
      <w:bookmarkEnd w:id="33"/>
      <w:bookmarkEnd w:id="34"/>
      <w:bookmarkEnd w:id="35"/>
      <w:bookmarkEnd w:id="36"/>
      <w:bookmarkEnd w:id="37"/>
      <w:r w:rsidR="00C07782">
        <w:rPr>
          <w:rFonts w:ascii="Times New Roman" w:hAnsi="Times New Roman"/>
          <w:caps/>
          <w:sz w:val="24"/>
        </w:rPr>
        <w:t xml:space="preserve">PROPOSED </w:t>
      </w:r>
      <w:r w:rsidR="00CA7E96" w:rsidRPr="00CA7E96">
        <w:rPr>
          <w:rFonts w:ascii="Times New Roman" w:hAnsi="Times New Roman" w:cs="Times New Roman"/>
          <w:bCs w:val="0"/>
          <w:iCs/>
          <w:sz w:val="24"/>
          <w:szCs w:val="20"/>
        </w:rPr>
        <w:t xml:space="preserve">TRANSACTION WILL </w:t>
      </w:r>
      <w:bookmarkEnd w:id="39"/>
      <w:bookmarkEnd w:id="40"/>
      <w:bookmarkEnd w:id="41"/>
      <w:bookmarkEnd w:id="42"/>
      <w:r w:rsidR="00C07782">
        <w:rPr>
          <w:rFonts w:ascii="Times New Roman" w:hAnsi="Times New Roman" w:cs="Times New Roman"/>
          <w:bCs w:val="0"/>
          <w:iCs/>
          <w:sz w:val="24"/>
          <w:szCs w:val="20"/>
        </w:rPr>
        <w:t>IMPROVE THE COMBINED COMPANY’S FINANCIAL PROFILE AND WILL RESULT IN OPERATIONAL AND ECONOMIC EFFICIENCIES</w:t>
      </w:r>
      <w:bookmarkEnd w:id="38"/>
    </w:p>
    <w:p w:rsidR="003B1609" w:rsidRDefault="003B1609" w:rsidP="00DD39B1">
      <w:pPr>
        <w:pStyle w:val="ListParagraph"/>
        <w:spacing w:line="480" w:lineRule="auto"/>
        <w:ind w:hanging="720"/>
        <w:rPr>
          <w:b/>
        </w:rPr>
      </w:pPr>
      <w:r>
        <w:rPr>
          <w:b/>
        </w:rPr>
        <w:t>Q.</w:t>
      </w:r>
      <w:r>
        <w:rPr>
          <w:b/>
        </w:rPr>
        <w:tab/>
        <w:t>WHAT AFFECT WILL THE TRANSACTION HAVE ON THE FINANCES OF THE COMBINED COMPANY?</w:t>
      </w:r>
    </w:p>
    <w:p w:rsidR="00923FAC" w:rsidRDefault="003B1609" w:rsidP="00923FAC">
      <w:pPr>
        <w:pStyle w:val="ListParagraph"/>
        <w:spacing w:line="480" w:lineRule="auto"/>
        <w:ind w:hanging="720"/>
        <w:jc w:val="both"/>
      </w:pPr>
      <w:r>
        <w:rPr>
          <w:b/>
        </w:rPr>
        <w:t>A.</w:t>
      </w:r>
      <w:r>
        <w:rPr>
          <w:b/>
        </w:rPr>
        <w:tab/>
      </w:r>
      <w:r w:rsidR="00923FAC" w:rsidRPr="005214B1">
        <w:t xml:space="preserve">Once completed, the Transaction is expected to </w:t>
      </w:r>
      <w:r w:rsidR="00923FAC">
        <w:t xml:space="preserve">bolster </w:t>
      </w:r>
      <w:r w:rsidR="00923FAC" w:rsidRPr="005214B1">
        <w:t>the financial profile of the combined company</w:t>
      </w:r>
      <w:r w:rsidR="00923FAC">
        <w:t xml:space="preserve">, thereby enhancing the </w:t>
      </w:r>
      <w:r w:rsidR="00923FAC" w:rsidRPr="005214B1">
        <w:t xml:space="preserve">combined company’s ability to compete in the </w:t>
      </w:r>
      <w:r w:rsidR="00923FAC">
        <w:t xml:space="preserve">provision of enterprise services.  </w:t>
      </w:r>
      <w:r w:rsidR="00923FAC" w:rsidRPr="005214B1">
        <w:t xml:space="preserve">The increased scale afforded by the combined company is expected to generate about </w:t>
      </w:r>
      <w:r w:rsidR="00923FAC" w:rsidRPr="007E2954">
        <w:t xml:space="preserve">$975 million </w:t>
      </w:r>
      <w:r w:rsidR="00923FAC" w:rsidRPr="00862A21">
        <w:t>of annual</w:t>
      </w:r>
      <w:r w:rsidR="00923FAC">
        <w:t xml:space="preserve"> run-rate </w:t>
      </w:r>
      <w:r w:rsidR="00923FAC" w:rsidRPr="00862A21">
        <w:t xml:space="preserve">synergies, primarily from the </w:t>
      </w:r>
      <w:r w:rsidR="00923FAC">
        <w:t xml:space="preserve">consolidation </w:t>
      </w:r>
      <w:r w:rsidR="00923FAC" w:rsidRPr="00862A21">
        <w:t>of duplicative functions,</w:t>
      </w:r>
      <w:r w:rsidR="00923FAC">
        <w:t xml:space="preserve"> systems integration, and increased operational and capital efficiencies.  Th</w:t>
      </w:r>
      <w:r w:rsidR="00923FAC" w:rsidRPr="00FF3596">
        <w:t xml:space="preserve">e Transaction </w:t>
      </w:r>
      <w:r w:rsidR="00923FAC">
        <w:t>is expected to c</w:t>
      </w:r>
      <w:r w:rsidR="00923FAC" w:rsidRPr="00FF3596">
        <w:t>reate a more stable, growth-oriented service provider with lower costs and the financial wherewithal to compete with larger, better-capitali</w:t>
      </w:r>
      <w:r w:rsidR="00376CD9">
        <w:t>zed competitors in the market.  Michael Balhoff discusses the financial benefits of the Transaction in greater detail in his Testimony.</w:t>
      </w:r>
      <w:r w:rsidR="00923FAC" w:rsidRPr="00FF3596">
        <w:t xml:space="preserve"> </w:t>
      </w:r>
      <w:r w:rsidR="00923FAC">
        <w:t xml:space="preserve"> </w:t>
      </w:r>
    </w:p>
    <w:p w:rsidR="007D46A0" w:rsidRPr="007D46A0" w:rsidRDefault="007D46A0" w:rsidP="00DD39B1">
      <w:pPr>
        <w:pStyle w:val="ListParagraph"/>
        <w:spacing w:line="480" w:lineRule="auto"/>
        <w:ind w:hanging="720"/>
        <w:rPr>
          <w:bCs/>
        </w:rPr>
      </w:pPr>
      <w:r>
        <w:rPr>
          <w:bCs/>
        </w:rPr>
        <w:t>Q.</w:t>
      </w:r>
      <w:r w:rsidRPr="007D46A0">
        <w:rPr>
          <w:b/>
        </w:rPr>
        <w:t xml:space="preserve"> </w:t>
      </w:r>
      <w:r>
        <w:rPr>
          <w:b/>
        </w:rPr>
        <w:tab/>
        <w:t>DO CENTURYLINK AND LEVEL 3 HAVE EXPERIENCE IN ACQUIRING AND INTEGRATING BUSINESSES?</w:t>
      </w:r>
    </w:p>
    <w:p w:rsidR="00923FAC" w:rsidRDefault="007D46A0" w:rsidP="00923FAC">
      <w:pPr>
        <w:pStyle w:val="ListParagraph"/>
        <w:spacing w:line="480" w:lineRule="auto"/>
        <w:ind w:hanging="720"/>
        <w:jc w:val="both"/>
        <w:rPr>
          <w:bCs/>
        </w:rPr>
      </w:pPr>
      <w:r>
        <w:rPr>
          <w:bCs/>
        </w:rPr>
        <w:t>A.</w:t>
      </w:r>
      <w:r>
        <w:rPr>
          <w:bCs/>
        </w:rPr>
        <w:tab/>
        <w:t>Yes</w:t>
      </w:r>
      <w:r>
        <w:t>.  Both CenturyLink and Level 3</w:t>
      </w:r>
      <w:r w:rsidR="00923FAC">
        <w:t xml:space="preserve"> </w:t>
      </w:r>
      <w:r w:rsidR="00923FAC" w:rsidRPr="005214B1">
        <w:t xml:space="preserve">have a demonstrated record of successfully integrating the businesses they acquire and meeting or exceeding their synergy targets while continuing to provide high-quality service.  </w:t>
      </w:r>
      <w:r w:rsidR="00923FAC" w:rsidRPr="002129EF">
        <w:t xml:space="preserve">The planned integration for this Transaction will combine the best managerial and technical talent from both companies.  Adopting the best operational practices from the merging companies will further enhance the already strong customer-centric commitment of the combined company. </w:t>
      </w:r>
      <w:r w:rsidR="00923FAC" w:rsidRPr="002129EF">
        <w:rPr>
          <w:bCs/>
        </w:rPr>
        <w:t xml:space="preserve">  </w:t>
      </w:r>
      <w:r w:rsidR="00923FAC">
        <w:rPr>
          <w:bCs/>
        </w:rPr>
        <w:t xml:space="preserve">As a result, </w:t>
      </w:r>
      <w:r w:rsidR="00923FAC" w:rsidRPr="00E31446">
        <w:rPr>
          <w:bCs/>
        </w:rPr>
        <w:t xml:space="preserve">the Transaction </w:t>
      </w:r>
      <w:r w:rsidR="00923FAC">
        <w:rPr>
          <w:bCs/>
        </w:rPr>
        <w:t xml:space="preserve">will not only </w:t>
      </w:r>
      <w:r w:rsidR="00923FAC" w:rsidRPr="00A10851">
        <w:rPr>
          <w:bCs/>
        </w:rPr>
        <w:t>improve the combined company’s financial profile</w:t>
      </w:r>
      <w:r w:rsidR="00923FAC">
        <w:rPr>
          <w:bCs/>
        </w:rPr>
        <w:t xml:space="preserve">, but </w:t>
      </w:r>
      <w:r w:rsidR="00923FAC" w:rsidRPr="00A10851">
        <w:rPr>
          <w:bCs/>
        </w:rPr>
        <w:t>will result in operational and economic efficiencies</w:t>
      </w:r>
      <w:r w:rsidR="00923FAC">
        <w:rPr>
          <w:bCs/>
        </w:rPr>
        <w:t xml:space="preserve">.   </w:t>
      </w:r>
    </w:p>
    <w:p w:rsidR="00923FAC" w:rsidRDefault="00923FAC" w:rsidP="00C07782">
      <w:pPr>
        <w:spacing w:line="480" w:lineRule="auto"/>
      </w:pPr>
    </w:p>
    <w:p w:rsidR="00C07782" w:rsidRPr="00CA7E96" w:rsidRDefault="00C07782" w:rsidP="001C4D5A">
      <w:pPr>
        <w:pStyle w:val="Heading1"/>
        <w:spacing w:after="360" w:line="480" w:lineRule="auto"/>
        <w:jc w:val="center"/>
        <w:rPr>
          <w:rFonts w:ascii="Times New Roman" w:hAnsi="Times New Roman"/>
          <w:caps/>
          <w:sz w:val="24"/>
        </w:rPr>
      </w:pPr>
      <w:bookmarkStart w:id="43" w:name="_Toc473810969"/>
      <w:r>
        <w:rPr>
          <w:rFonts w:ascii="Times New Roman" w:hAnsi="Times New Roman"/>
          <w:caps/>
          <w:sz w:val="24"/>
        </w:rPr>
        <w:t>v.</w:t>
      </w:r>
      <w:r w:rsidR="00D06F4F">
        <w:rPr>
          <w:rFonts w:ascii="Times New Roman" w:hAnsi="Times New Roman"/>
          <w:caps/>
          <w:sz w:val="24"/>
        </w:rPr>
        <w:t xml:space="preserve"> </w:t>
      </w:r>
      <w:r>
        <w:rPr>
          <w:rFonts w:ascii="Times New Roman" w:hAnsi="Times New Roman"/>
          <w:caps/>
          <w:sz w:val="24"/>
        </w:rPr>
        <w:t xml:space="preserve"> the </w:t>
      </w:r>
      <w:r>
        <w:rPr>
          <w:rFonts w:ascii="Times New Roman" w:hAnsi="Times New Roman" w:cs="Times New Roman"/>
          <w:bCs w:val="0"/>
          <w:iCs/>
          <w:sz w:val="24"/>
          <w:szCs w:val="20"/>
        </w:rPr>
        <w:t>PROPOSED TRANSACTION WILL NOT ADVERSELY HARM EXISTING RESIDENTIAL CUSTOMERS, WI</w:t>
      </w:r>
      <w:r w:rsidR="00154753">
        <w:rPr>
          <w:rFonts w:ascii="Times New Roman" w:hAnsi="Times New Roman" w:cs="Times New Roman"/>
          <w:bCs w:val="0"/>
          <w:iCs/>
          <w:sz w:val="24"/>
          <w:szCs w:val="20"/>
        </w:rPr>
        <w:t xml:space="preserve">LL NOT ALTER EXISTING </w:t>
      </w:r>
      <w:r>
        <w:rPr>
          <w:rFonts w:ascii="Times New Roman" w:hAnsi="Times New Roman" w:cs="Times New Roman"/>
          <w:bCs w:val="0"/>
          <w:iCs/>
          <w:sz w:val="24"/>
          <w:szCs w:val="20"/>
        </w:rPr>
        <w:t>CONTRACTS AND WILL NOT CHANGE REGULATORY COMMITMENTS</w:t>
      </w:r>
      <w:bookmarkEnd w:id="43"/>
    </w:p>
    <w:p w:rsidR="00DF516F" w:rsidRPr="00DF516F" w:rsidRDefault="00DF516F" w:rsidP="00DD39B1">
      <w:pPr>
        <w:pStyle w:val="ListParagraph"/>
        <w:spacing w:line="480" w:lineRule="auto"/>
        <w:ind w:hanging="720"/>
        <w:rPr>
          <w:b/>
        </w:rPr>
      </w:pPr>
      <w:r w:rsidRPr="00DF516F">
        <w:rPr>
          <w:b/>
        </w:rPr>
        <w:t>Q.</w:t>
      </w:r>
      <w:r w:rsidRPr="00DF516F">
        <w:rPr>
          <w:b/>
        </w:rPr>
        <w:tab/>
        <w:t xml:space="preserve">HOW WILL THE PROPOSED TRANSACTION AFFECT CENTURYLINK’S RETAIL CUSTOMERS IN </w:t>
      </w:r>
      <w:r w:rsidR="00165722">
        <w:rPr>
          <w:b/>
        </w:rPr>
        <w:t>WASHINGTON</w:t>
      </w:r>
      <w:r w:rsidRPr="00DF516F">
        <w:rPr>
          <w:b/>
        </w:rPr>
        <w:t>?</w:t>
      </w:r>
    </w:p>
    <w:p w:rsidR="00C31525" w:rsidRDefault="00DF516F" w:rsidP="009872F3">
      <w:pPr>
        <w:spacing w:line="480" w:lineRule="auto"/>
        <w:ind w:left="720" w:hanging="720"/>
      </w:pPr>
      <w:r>
        <w:t>A.</w:t>
      </w:r>
      <w:r>
        <w:tab/>
      </w:r>
      <w:r w:rsidR="009872F3" w:rsidRPr="00547350">
        <w:t>The Transaction</w:t>
      </w:r>
      <w:r w:rsidR="009872F3">
        <w:t xml:space="preserve"> will in no way affect CenturyLink’s existing obligations or commitments to its retail customers in </w:t>
      </w:r>
      <w:r w:rsidR="00165722">
        <w:t>Washington</w:t>
      </w:r>
      <w:r w:rsidR="009872F3">
        <w:t xml:space="preserve">.  The proposed Transaction is about </w:t>
      </w:r>
      <w:r w:rsidR="009872F3" w:rsidRPr="00547350">
        <w:t>making the combined company a stronger, better-resourced competitor in the enterprise market</w:t>
      </w:r>
      <w:r w:rsidR="009872F3">
        <w:t>.</w:t>
      </w:r>
    </w:p>
    <w:p w:rsidR="009872F3" w:rsidRPr="00547350" w:rsidRDefault="009872F3" w:rsidP="00DD39B1">
      <w:pPr>
        <w:spacing w:line="480" w:lineRule="auto"/>
        <w:ind w:left="720" w:hanging="720"/>
      </w:pPr>
      <w:r>
        <w:t xml:space="preserve"> </w:t>
      </w:r>
    </w:p>
    <w:p w:rsidR="009872F3" w:rsidRDefault="00DF516F" w:rsidP="00DD39B1">
      <w:pPr>
        <w:pStyle w:val="ListParagraph"/>
        <w:spacing w:line="480" w:lineRule="auto"/>
        <w:ind w:hanging="720"/>
        <w:rPr>
          <w:b/>
        </w:rPr>
      </w:pPr>
      <w:r>
        <w:rPr>
          <w:b/>
        </w:rPr>
        <w:t>Q.</w:t>
      </w:r>
      <w:r>
        <w:rPr>
          <w:b/>
        </w:rPr>
        <w:tab/>
        <w:t>WILL CONTRACTUAL AND REGULATORY OBLIGATI</w:t>
      </w:r>
      <w:r w:rsidR="009872F3">
        <w:rPr>
          <w:b/>
        </w:rPr>
        <w:t xml:space="preserve">ONS TO THE COMPANIES’ </w:t>
      </w:r>
      <w:r>
        <w:rPr>
          <w:b/>
        </w:rPr>
        <w:t>CUSTOMERS BE AFFECTED?</w:t>
      </w:r>
    </w:p>
    <w:p w:rsidR="009872F3" w:rsidRPr="009872F3" w:rsidRDefault="009872F3" w:rsidP="009872F3">
      <w:pPr>
        <w:pStyle w:val="ListParagraph"/>
        <w:spacing w:line="480" w:lineRule="auto"/>
        <w:ind w:hanging="720"/>
        <w:jc w:val="both"/>
        <w:rPr>
          <w:b/>
        </w:rPr>
      </w:pPr>
      <w:r w:rsidRPr="009872F3">
        <w:t>A.</w:t>
      </w:r>
      <w:r>
        <w:rPr>
          <w:b/>
        </w:rPr>
        <w:tab/>
      </w:r>
      <w:r w:rsidR="00DF516F">
        <w:rPr>
          <w:bCs/>
        </w:rPr>
        <w:t xml:space="preserve">No. </w:t>
      </w:r>
      <w:r>
        <w:rPr>
          <w:bCs/>
        </w:rPr>
        <w:t xml:space="preserve">  </w:t>
      </w:r>
      <w:r>
        <w:t xml:space="preserve">The Transaction will have no effect on either CenturyLink’s or Level 3’s contractual and regulatory obligations to its </w:t>
      </w:r>
      <w:r w:rsidR="00EA449D">
        <w:t xml:space="preserve">retail or wholesale </w:t>
      </w:r>
      <w:r>
        <w:t>customers.  The Transaction will not alter the rates, terms, and conditions of service under customers’ curr</w:t>
      </w:r>
      <w:r w:rsidR="00C31525">
        <w:t>ent contracts</w:t>
      </w:r>
      <w:r w:rsidR="00EA449D">
        <w:t>, and will not change the regulatory status of any CenturyLink entity or Level 3 entity or any of the services that those entities provide</w:t>
      </w:r>
      <w:r w:rsidR="002F6519">
        <w:t xml:space="preserve">.  </w:t>
      </w:r>
      <w:r w:rsidR="009D1BE4">
        <w:t>From a wholesale perspective, t</w:t>
      </w:r>
      <w:r w:rsidR="00C31525">
        <w:t>he companies</w:t>
      </w:r>
      <w:r>
        <w:t xml:space="preserve"> also will continue to abide by their ongoing obligations under existing interconnection agreements, as well as under applicable law, including, for example, those set forth </w:t>
      </w:r>
      <w:r w:rsidRPr="00BF65BB">
        <w:rPr>
          <w:bCs/>
        </w:rPr>
        <w:t>in Sections 251 and 252 of the Communications Act</w:t>
      </w:r>
      <w:r>
        <w:rPr>
          <w:bCs/>
        </w:rPr>
        <w:t xml:space="preserve"> of 1934, as amended.  47 U.S.C. §§ 251 </w:t>
      </w:r>
      <w:r w:rsidRPr="00991D10">
        <w:rPr>
          <w:bCs/>
          <w:i/>
        </w:rPr>
        <w:t>et seq</w:t>
      </w:r>
      <w:r>
        <w:rPr>
          <w:bCs/>
        </w:rPr>
        <w:t>.</w:t>
      </w:r>
      <w:r w:rsidRPr="00BF65BB">
        <w:rPr>
          <w:bCs/>
        </w:rPr>
        <w:t xml:space="preserve">  </w:t>
      </w:r>
      <w:r w:rsidR="009D1BE4">
        <w:rPr>
          <w:bCs/>
        </w:rPr>
        <w:t>Those obligations will not be changed by the Transaction.</w:t>
      </w:r>
    </w:p>
    <w:p w:rsidR="009872F3" w:rsidRPr="005A28A3" w:rsidRDefault="009872F3" w:rsidP="009872F3">
      <w:pPr>
        <w:pStyle w:val="ListParagraph"/>
        <w:spacing w:line="480" w:lineRule="auto"/>
        <w:jc w:val="both"/>
      </w:pPr>
      <w:r>
        <w:t>T</w:t>
      </w:r>
      <w:r w:rsidRPr="005A28A3">
        <w:t xml:space="preserve">he Transaction </w:t>
      </w:r>
      <w:r>
        <w:t xml:space="preserve">will also not </w:t>
      </w:r>
      <w:r w:rsidRPr="005A28A3">
        <w:t>result in any change to the regula</w:t>
      </w:r>
      <w:r>
        <w:t xml:space="preserve">tory status of the Level 3 operating companies in </w:t>
      </w:r>
      <w:r w:rsidR="00165722">
        <w:t>Washington</w:t>
      </w:r>
      <w:r>
        <w:t>.  The Level 3 operating companies</w:t>
      </w:r>
      <w:r w:rsidRPr="005A28A3">
        <w:t xml:space="preserve"> will remain subject to the same</w:t>
      </w:r>
      <w:r w:rsidR="002F6519">
        <w:t xml:space="preserve"> limited</w:t>
      </w:r>
      <w:r w:rsidRPr="005A28A3">
        <w:t xml:space="preserve"> regulatory obligations as</w:t>
      </w:r>
      <w:r>
        <w:t xml:space="preserve"> they do</w:t>
      </w:r>
      <w:r w:rsidRPr="005A28A3">
        <w:t xml:space="preserve"> now.  Moreover, because the Transaction results in n</w:t>
      </w:r>
      <w:r>
        <w:t>o direct change to Level 3 operating companies</w:t>
      </w:r>
      <w:r w:rsidRPr="005A28A3">
        <w:t>’ operations, it is transparent to customers.  There is no change in services or rates as</w:t>
      </w:r>
      <w:r>
        <w:t xml:space="preserve"> a</w:t>
      </w:r>
      <w:r w:rsidRPr="005A28A3">
        <w:t xml:space="preserve"> result of the</w:t>
      </w:r>
      <w:r>
        <w:t xml:space="preserve"> Transaction.  Th</w:t>
      </w:r>
      <w:r w:rsidR="002F6519">
        <w:t xml:space="preserve">ough most services that the Level 3 companies offer are deregulated in </w:t>
      </w:r>
      <w:r w:rsidR="00165722">
        <w:t>Washington</w:t>
      </w:r>
      <w:r w:rsidR="002F6519">
        <w:t>, after the merger is completed, th</w:t>
      </w:r>
      <w:r>
        <w:t>e Level 3 operating companies</w:t>
      </w:r>
      <w:r w:rsidRPr="005A28A3">
        <w:t xml:space="preserve"> will continue to offer service</w:t>
      </w:r>
      <w:r>
        <w:t>s</w:t>
      </w:r>
      <w:r w:rsidRPr="005A28A3">
        <w:t xml:space="preserve"> subject to the same rules, regulations and applicable tariffs or </w:t>
      </w:r>
      <w:r w:rsidR="00752944">
        <w:t>catelogs</w:t>
      </w:r>
      <w:r w:rsidRPr="005A28A3">
        <w:t xml:space="preserve"> as </w:t>
      </w:r>
      <w:r>
        <w:t xml:space="preserve">they do </w:t>
      </w:r>
      <w:r w:rsidRPr="005A28A3">
        <w:t>now.</w:t>
      </w:r>
      <w:r>
        <w:t xml:space="preserve"> </w:t>
      </w:r>
      <w:r w:rsidRPr="005A28A3">
        <w:t xml:space="preserve"> </w:t>
      </w:r>
      <w:r w:rsidR="009D1BE4">
        <w:t>Considering all of the strategic and economic benefits of the merger</w:t>
      </w:r>
      <w:r>
        <w:t xml:space="preserve">, </w:t>
      </w:r>
      <w:r w:rsidRPr="005A28A3">
        <w:t>customers are benefitted due to increased confidence and satisfaction from a provider that will be better positioned to meet their demands in the future</w:t>
      </w:r>
      <w:r w:rsidR="009D1BE4">
        <w:t xml:space="preserve"> without any impact to the legal and regulatory obligations that protect those consumers today</w:t>
      </w:r>
      <w:r w:rsidRPr="005A28A3">
        <w:t xml:space="preserve">. </w:t>
      </w:r>
    </w:p>
    <w:p w:rsidR="005F1B68" w:rsidRDefault="00C07782">
      <w:pPr>
        <w:pStyle w:val="Heading1"/>
        <w:spacing w:after="360" w:line="480" w:lineRule="auto"/>
        <w:jc w:val="center"/>
        <w:rPr>
          <w:rFonts w:ascii="Times New Roman" w:hAnsi="Times New Roman" w:cs="Times New Roman"/>
          <w:bCs w:val="0"/>
          <w:kern w:val="0"/>
          <w:sz w:val="24"/>
          <w:szCs w:val="20"/>
        </w:rPr>
      </w:pPr>
      <w:bookmarkStart w:id="44" w:name="_Toc200519678"/>
      <w:bookmarkStart w:id="45" w:name="_Toc471197971"/>
      <w:bookmarkStart w:id="46" w:name="_Toc471198512"/>
      <w:bookmarkStart w:id="47" w:name="_Toc471198726"/>
      <w:bookmarkStart w:id="48" w:name="_Toc471199258"/>
      <w:bookmarkStart w:id="49" w:name="_Toc473810970"/>
      <w:r>
        <w:rPr>
          <w:rFonts w:ascii="Times New Roman" w:hAnsi="Times New Roman" w:cs="Times New Roman"/>
          <w:bCs w:val="0"/>
          <w:kern w:val="0"/>
          <w:sz w:val="24"/>
          <w:szCs w:val="20"/>
        </w:rPr>
        <w:t>VI</w:t>
      </w:r>
      <w:proofErr w:type="gramStart"/>
      <w:r w:rsidR="009872F3">
        <w:rPr>
          <w:rFonts w:ascii="Times New Roman" w:hAnsi="Times New Roman" w:cs="Times New Roman"/>
          <w:bCs w:val="0"/>
          <w:kern w:val="0"/>
          <w:sz w:val="24"/>
          <w:szCs w:val="20"/>
        </w:rPr>
        <w:t>.</w:t>
      </w:r>
      <w:r w:rsidR="005F1B68">
        <w:rPr>
          <w:rFonts w:ascii="Times New Roman" w:hAnsi="Times New Roman" w:cs="Times New Roman"/>
          <w:bCs w:val="0"/>
          <w:kern w:val="0"/>
          <w:sz w:val="24"/>
          <w:szCs w:val="20"/>
        </w:rPr>
        <w:t xml:space="preserve"> </w:t>
      </w:r>
      <w:r w:rsidR="00D06F4F">
        <w:rPr>
          <w:rFonts w:ascii="Times New Roman" w:hAnsi="Times New Roman" w:cs="Times New Roman"/>
          <w:bCs w:val="0"/>
          <w:kern w:val="0"/>
          <w:sz w:val="24"/>
          <w:szCs w:val="20"/>
        </w:rPr>
        <w:t xml:space="preserve"> </w:t>
      </w:r>
      <w:r w:rsidR="005F1B68">
        <w:rPr>
          <w:rFonts w:ascii="Times New Roman" w:hAnsi="Times New Roman" w:cs="Times New Roman"/>
          <w:bCs w:val="0"/>
          <w:kern w:val="0"/>
          <w:sz w:val="24"/>
          <w:szCs w:val="20"/>
        </w:rPr>
        <w:t>CONCLUSION</w:t>
      </w:r>
      <w:bookmarkEnd w:id="44"/>
      <w:bookmarkEnd w:id="45"/>
      <w:bookmarkEnd w:id="46"/>
      <w:bookmarkEnd w:id="47"/>
      <w:bookmarkEnd w:id="48"/>
      <w:bookmarkEnd w:id="49"/>
      <w:proofErr w:type="gramEnd"/>
    </w:p>
    <w:p w:rsidR="005F1B68" w:rsidRDefault="005F1B68" w:rsidP="00052CB5">
      <w:pPr>
        <w:pStyle w:val="QQUESTION"/>
        <w:spacing w:after="0"/>
      </w:pPr>
      <w:r>
        <w:t>Q.</w:t>
      </w:r>
      <w:r>
        <w:tab/>
        <w:t>PLEASE SUMMARIZE YOUR TESTIMONY.</w:t>
      </w:r>
    </w:p>
    <w:p w:rsidR="00052CB5" w:rsidRDefault="005F1B68" w:rsidP="00052CB5">
      <w:pPr>
        <w:autoSpaceDE w:val="0"/>
        <w:autoSpaceDN w:val="0"/>
        <w:adjustRightInd w:val="0"/>
        <w:spacing w:line="480" w:lineRule="auto"/>
        <w:ind w:left="720" w:hanging="720"/>
      </w:pPr>
      <w:r>
        <w:t>A.</w:t>
      </w:r>
      <w:r>
        <w:tab/>
      </w:r>
      <w:r w:rsidR="00D727CC">
        <w:t xml:space="preserve">Approval of the proposed </w:t>
      </w:r>
      <w:r w:rsidR="0018312F">
        <w:t>T</w:t>
      </w:r>
      <w:r w:rsidR="00052CB5">
        <w:t>ransaction is in the public interest</w:t>
      </w:r>
      <w:r w:rsidR="00F2497F">
        <w:t xml:space="preserve"> and will benefit both customers and competition.  It</w:t>
      </w:r>
      <w:r w:rsidR="00D727CC">
        <w:t xml:space="preserve"> will enable </w:t>
      </w:r>
      <w:r w:rsidR="00B00590">
        <w:t>CenturyLink and Level 3</w:t>
      </w:r>
      <w:r w:rsidR="00052CB5">
        <w:t xml:space="preserve"> to offer customers of enterprise </w:t>
      </w:r>
      <w:r w:rsidR="009872F3">
        <w:t xml:space="preserve">services </w:t>
      </w:r>
      <w:r w:rsidR="00052CB5">
        <w:t xml:space="preserve">a broader range of on-net services and solutions than they currently can obtain from the companies individually. </w:t>
      </w:r>
      <w:r w:rsidR="00654AD5">
        <w:t xml:space="preserve"> T</w:t>
      </w:r>
      <w:r w:rsidR="00052CB5">
        <w:t>he combined company’s reach and financial profile</w:t>
      </w:r>
      <w:r w:rsidR="00B00590">
        <w:t xml:space="preserve"> will be enhanced which will</w:t>
      </w:r>
      <w:r w:rsidR="00052CB5">
        <w:t xml:space="preserve"> strengthen its ability to invest and</w:t>
      </w:r>
      <w:r w:rsidR="00D50BF5">
        <w:t xml:space="preserve"> compete for the long term.</w:t>
      </w:r>
      <w:r w:rsidR="00654AD5">
        <w:t xml:space="preserve">  Importantly, t</w:t>
      </w:r>
      <w:r w:rsidR="00052CB5">
        <w:t xml:space="preserve">he </w:t>
      </w:r>
      <w:r w:rsidR="0018312F">
        <w:t>T</w:t>
      </w:r>
      <w:r w:rsidR="00052CB5">
        <w:t>ransaction will not adversely harm existing reside</w:t>
      </w:r>
      <w:r w:rsidR="00654AD5">
        <w:t>ntial customers</w:t>
      </w:r>
      <w:r w:rsidR="00052CB5">
        <w:t xml:space="preserve"> and will not alter existing contracts </w:t>
      </w:r>
      <w:r w:rsidR="00F1312B">
        <w:t xml:space="preserve">(retail or wholesale) </w:t>
      </w:r>
      <w:r w:rsidR="00052CB5">
        <w:t xml:space="preserve">or </w:t>
      </w:r>
      <w:r w:rsidR="00F1312B">
        <w:t xml:space="preserve">impact any other </w:t>
      </w:r>
      <w:r w:rsidR="00052CB5">
        <w:t>regulatory commitments</w:t>
      </w:r>
      <w:r w:rsidR="00EA449D">
        <w:t xml:space="preserve"> or obligations</w:t>
      </w:r>
      <w:r w:rsidR="00052CB5">
        <w:t>.</w:t>
      </w:r>
    </w:p>
    <w:p w:rsidR="00052CB5" w:rsidRDefault="00052CB5" w:rsidP="00052CB5">
      <w:pPr>
        <w:pStyle w:val="affidavittext"/>
        <w:spacing w:after="0"/>
      </w:pPr>
    </w:p>
    <w:p w:rsidR="005F1B68" w:rsidRDefault="005F1B68" w:rsidP="00052CB5">
      <w:pPr>
        <w:pStyle w:val="QQUESTION"/>
        <w:spacing w:after="0"/>
      </w:pPr>
      <w:r>
        <w:t>Q.</w:t>
      </w:r>
      <w:r>
        <w:tab/>
        <w:t>DOES THIS CONCLUDE YOUR TESTIMONY?</w:t>
      </w:r>
    </w:p>
    <w:p w:rsidR="005F1B68" w:rsidRDefault="005F1B68" w:rsidP="00052CB5">
      <w:pPr>
        <w:pStyle w:val="affidavittext"/>
        <w:spacing w:after="0"/>
      </w:pPr>
      <w:r>
        <w:t>A.</w:t>
      </w:r>
      <w:r>
        <w:tab/>
        <w:t>Yes, it does.</w:t>
      </w:r>
    </w:p>
    <w:sectPr w:rsidR="005F1B68" w:rsidSect="00527F2E">
      <w:headerReference w:type="default" r:id="rId9"/>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75" w:rsidRDefault="00886E75">
      <w:pPr>
        <w:rPr>
          <w:sz w:val="20"/>
        </w:rPr>
      </w:pPr>
      <w:r>
        <w:separator/>
      </w:r>
    </w:p>
  </w:endnote>
  <w:endnote w:type="continuationSeparator" w:id="0">
    <w:p w:rsidR="00886E75" w:rsidRDefault="00886E75">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75" w:rsidRDefault="00886E75">
      <w:pPr>
        <w:rPr>
          <w:sz w:val="20"/>
        </w:rPr>
      </w:pPr>
      <w:r>
        <w:separator/>
      </w:r>
    </w:p>
  </w:footnote>
  <w:footnote w:type="continuationSeparator" w:id="0">
    <w:p w:rsidR="00886E75" w:rsidRDefault="00886E75">
      <w:pPr>
        <w:rPr>
          <w:sz w:val="20"/>
        </w:rPr>
      </w:pPr>
      <w:r>
        <w:continuationSeparator/>
      </w:r>
    </w:p>
  </w:footnote>
  <w:footnote w:id="1">
    <w:p w:rsidR="00EC143D" w:rsidRPr="00FD2958" w:rsidRDefault="00EC143D" w:rsidP="00D06F4F">
      <w:pPr>
        <w:tabs>
          <w:tab w:val="left" w:pos="0"/>
          <w:tab w:val="left" w:pos="360"/>
        </w:tabs>
        <w:spacing w:after="120" w:line="288" w:lineRule="auto"/>
        <w:ind w:left="360" w:hanging="360"/>
        <w:rPr>
          <w:sz w:val="20"/>
          <w:szCs w:val="20"/>
        </w:rPr>
      </w:pPr>
      <w:r>
        <w:rPr>
          <w:rStyle w:val="FootnoteReference"/>
        </w:rPr>
        <w:footnoteRef/>
      </w:r>
      <w:r w:rsidR="00D06F4F">
        <w:tab/>
      </w:r>
      <w:r w:rsidRPr="00FD2958">
        <w:rPr>
          <w:sz w:val="20"/>
          <w:szCs w:val="20"/>
        </w:rPr>
        <w:t>The Commission’s authority and responsibility regarding transfers of ownership and control of public services companies are found in RCW 80.12 and WAC 480-143.  These statutes and rules require Commission approval whenever a public service company proposes consolidation with another company.  The standard governing our review is:</w:t>
      </w:r>
    </w:p>
    <w:p w:rsidR="00376CD9" w:rsidRDefault="00D06F4F" w:rsidP="00D06F4F">
      <w:pPr>
        <w:tabs>
          <w:tab w:val="left" w:pos="360"/>
        </w:tabs>
        <w:spacing w:after="120" w:line="288" w:lineRule="auto"/>
        <w:ind w:left="720" w:right="720" w:hanging="720"/>
        <w:rPr>
          <w:sz w:val="18"/>
          <w:szCs w:val="18"/>
        </w:rPr>
      </w:pPr>
      <w:r>
        <w:rPr>
          <w:sz w:val="20"/>
          <w:szCs w:val="20"/>
        </w:rPr>
        <w:tab/>
      </w:r>
      <w:r w:rsidR="00EC143D" w:rsidRPr="009C7B1A">
        <w:rPr>
          <w:sz w:val="20"/>
          <w:szCs w:val="20"/>
        </w:rPr>
        <w:tab/>
        <w:t>If, upon the examination of any application and accompanying exhibits, or upon a hearing concerning the same, the commission finds the proposed transaction is not consistent with the public interest, it shall deny the application.</w:t>
      </w:r>
      <w:r w:rsidR="00376CD9" w:rsidRPr="00376CD9">
        <w:rPr>
          <w:sz w:val="18"/>
          <w:szCs w:val="18"/>
        </w:rPr>
        <w:t xml:space="preserve"> </w:t>
      </w:r>
    </w:p>
    <w:p w:rsidR="00EC143D" w:rsidRPr="00F97EDD" w:rsidRDefault="00D06F4F" w:rsidP="00D06F4F">
      <w:pPr>
        <w:tabs>
          <w:tab w:val="num" w:pos="0"/>
          <w:tab w:val="left" w:pos="360"/>
        </w:tabs>
        <w:spacing w:line="288" w:lineRule="auto"/>
        <w:ind w:left="360" w:right="720" w:hanging="360"/>
        <w:rPr>
          <w:sz w:val="20"/>
          <w:szCs w:val="20"/>
        </w:rPr>
      </w:pPr>
      <w:r>
        <w:rPr>
          <w:sz w:val="18"/>
          <w:szCs w:val="18"/>
        </w:rPr>
        <w:tab/>
      </w:r>
      <w:r w:rsidR="00376CD9">
        <w:rPr>
          <w:sz w:val="18"/>
          <w:szCs w:val="18"/>
        </w:rPr>
        <w:t>O</w:t>
      </w:r>
      <w:r w:rsidR="00376CD9" w:rsidRPr="00FD2958">
        <w:rPr>
          <w:sz w:val="18"/>
          <w:szCs w:val="18"/>
        </w:rPr>
        <w:t>rder No. 14, Docket No. UT-100820</w:t>
      </w:r>
      <w:r w:rsidR="00376CD9" w:rsidRPr="00376CD9">
        <w:rPr>
          <w:i/>
          <w:sz w:val="18"/>
          <w:szCs w:val="18"/>
        </w:rPr>
        <w:t>, In the Matter of the Joint Application of Qwest Communications International Inc. and CenturyTel, Inc. For Approval of Indirect Transfer of Control of Qwest Corporation, Qwest Communications Company LLC, and Qwest LD Corp.</w:t>
      </w:r>
      <w:r w:rsidR="00376CD9" w:rsidRPr="00FD2958">
        <w:rPr>
          <w:sz w:val="18"/>
          <w:szCs w:val="18"/>
        </w:rPr>
        <w:t>,</w:t>
      </w:r>
      <w:r w:rsidR="00376CD9">
        <w:t xml:space="preserve"> </w:t>
      </w:r>
      <w:r w:rsidR="00376CD9" w:rsidRPr="00FD2958">
        <w:rPr>
          <w:sz w:val="18"/>
          <w:szCs w:val="18"/>
        </w:rPr>
        <w:t>¶88 (March 14, 2011)</w:t>
      </w:r>
      <w:r w:rsidR="00376CD9">
        <w:rPr>
          <w:sz w:val="18"/>
          <w:szCs w:val="18"/>
        </w:rPr>
        <w:t>.</w:t>
      </w:r>
    </w:p>
    <w:p w:rsidR="00EC143D" w:rsidRDefault="00EC143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3D" w:rsidRDefault="00EC143D" w:rsidP="0018089D">
    <w:pPr>
      <w:pStyle w:val="Header"/>
      <w:tabs>
        <w:tab w:val="clear" w:pos="4320"/>
        <w:tab w:val="clear" w:pos="8640"/>
      </w:tabs>
      <w:jc w:val="right"/>
      <w:rPr>
        <w:sz w:val="20"/>
        <w:szCs w:val="20"/>
      </w:rPr>
    </w:pPr>
    <w:r>
      <w:rPr>
        <w:sz w:val="20"/>
        <w:szCs w:val="20"/>
      </w:rPr>
      <w:tab/>
    </w:r>
    <w:r>
      <w:rPr>
        <w:sz w:val="20"/>
        <w:szCs w:val="20"/>
      </w:rPr>
      <w:tab/>
      <w:t>EXHIBIT MSR-1T</w:t>
    </w:r>
  </w:p>
  <w:p w:rsidR="00EC143D" w:rsidRPr="0018089D" w:rsidRDefault="00EC143D" w:rsidP="00180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3D" w:rsidRDefault="00EC143D">
    <w:pPr>
      <w:pStyle w:val="Header"/>
      <w:tabs>
        <w:tab w:val="clear" w:pos="4320"/>
        <w:tab w:val="clear" w:pos="8640"/>
      </w:tabs>
      <w:jc w:val="right"/>
      <w:rPr>
        <w:sz w:val="20"/>
        <w:szCs w:val="20"/>
      </w:rPr>
    </w:pPr>
    <w:r>
      <w:rPr>
        <w:sz w:val="20"/>
        <w:szCs w:val="20"/>
      </w:rPr>
      <w:t>Docket No. UT-170042</w:t>
    </w:r>
  </w:p>
  <w:p w:rsidR="00EC143D" w:rsidRDefault="00EC143D">
    <w:pPr>
      <w:pStyle w:val="Header"/>
      <w:tabs>
        <w:tab w:val="clear" w:pos="4320"/>
        <w:tab w:val="clear" w:pos="8640"/>
      </w:tabs>
      <w:jc w:val="right"/>
      <w:rPr>
        <w:sz w:val="20"/>
        <w:szCs w:val="20"/>
      </w:rPr>
    </w:pPr>
    <w:r>
      <w:rPr>
        <w:sz w:val="20"/>
        <w:szCs w:val="20"/>
      </w:rPr>
      <w:tab/>
    </w:r>
    <w:r>
      <w:rPr>
        <w:sz w:val="20"/>
        <w:szCs w:val="20"/>
      </w:rPr>
      <w:tab/>
      <w:t>CenturyLink</w:t>
    </w:r>
  </w:p>
  <w:p w:rsidR="00EC143D" w:rsidRDefault="00EC143D">
    <w:pPr>
      <w:pStyle w:val="Header"/>
      <w:tabs>
        <w:tab w:val="clear" w:pos="4320"/>
        <w:tab w:val="clear" w:pos="8640"/>
      </w:tabs>
      <w:jc w:val="right"/>
      <w:rPr>
        <w:sz w:val="20"/>
        <w:szCs w:val="20"/>
      </w:rPr>
    </w:pPr>
    <w:r>
      <w:rPr>
        <w:sz w:val="20"/>
        <w:szCs w:val="20"/>
      </w:rPr>
      <w:tab/>
    </w:r>
    <w:r>
      <w:rPr>
        <w:sz w:val="20"/>
        <w:szCs w:val="20"/>
      </w:rPr>
      <w:tab/>
      <w:t xml:space="preserve"> Direct Testimony of Mark S. Reynolds (Exhibit MSR-1T)</w:t>
    </w:r>
  </w:p>
  <w:p w:rsidR="00EC143D" w:rsidRDefault="00EC143D">
    <w:pPr>
      <w:pStyle w:val="Header"/>
      <w:tabs>
        <w:tab w:val="clear" w:pos="4320"/>
        <w:tab w:val="clear" w:pos="8640"/>
      </w:tabs>
      <w:jc w:val="right"/>
    </w:pPr>
    <w:r>
      <w:rPr>
        <w:sz w:val="20"/>
        <w:szCs w:val="20"/>
      </w:rPr>
      <w:tab/>
    </w:r>
    <w:r>
      <w:rPr>
        <w:sz w:val="20"/>
        <w:szCs w:val="20"/>
      </w:rPr>
      <w:tab/>
      <w:t xml:space="preserve">February 10, 2017  Page </w:t>
    </w:r>
    <w:r w:rsidR="00C418D8">
      <w:rPr>
        <w:rStyle w:val="PageNumber"/>
        <w:sz w:val="20"/>
        <w:szCs w:val="20"/>
      </w:rPr>
      <w:fldChar w:fldCharType="begin"/>
    </w:r>
    <w:r>
      <w:rPr>
        <w:rStyle w:val="PageNumber"/>
        <w:sz w:val="20"/>
        <w:szCs w:val="20"/>
      </w:rPr>
      <w:instrText xml:space="preserve">page </w:instrText>
    </w:r>
    <w:r w:rsidR="00C418D8">
      <w:rPr>
        <w:rStyle w:val="PageNumber"/>
        <w:sz w:val="20"/>
        <w:szCs w:val="20"/>
      </w:rPr>
      <w:fldChar w:fldCharType="separate"/>
    </w:r>
    <w:r w:rsidR="008664BE">
      <w:rPr>
        <w:rStyle w:val="PageNumber"/>
        <w:noProof/>
        <w:sz w:val="20"/>
        <w:szCs w:val="20"/>
      </w:rPr>
      <w:t>10</w:t>
    </w:r>
    <w:r w:rsidR="00C418D8">
      <w:rPr>
        <w:rStyle w:val="PageNumber"/>
        <w:sz w:val="20"/>
        <w:szCs w:val="20"/>
      </w:rPr>
      <w:fldChar w:fldCharType="end"/>
    </w:r>
  </w:p>
  <w:p w:rsidR="00EC143D" w:rsidRDefault="00EC143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EC9"/>
    <w:multiLevelType w:val="singleLevel"/>
    <w:tmpl w:val="ADC6048E"/>
    <w:lvl w:ilvl="0">
      <w:start w:val="1"/>
      <w:numFmt w:val="decimal"/>
      <w:lvlText w:val="%1."/>
      <w:lvlJc w:val="left"/>
      <w:pPr>
        <w:tabs>
          <w:tab w:val="num" w:pos="360"/>
        </w:tabs>
        <w:ind w:left="360" w:hanging="360"/>
      </w:pPr>
    </w:lvl>
  </w:abstractNum>
  <w:abstractNum w:abstractNumId="1">
    <w:nsid w:val="04304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CF25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4A7400"/>
    <w:multiLevelType w:val="hybridMultilevel"/>
    <w:tmpl w:val="8CA29F50"/>
    <w:lvl w:ilvl="0" w:tplc="6130D5BE">
      <w:start w:val="1"/>
      <w:numFmt w:val="upperLetter"/>
      <w:lvlText w:val="%1."/>
      <w:lvlJc w:val="left"/>
      <w:pPr>
        <w:ind w:left="1080" w:hanging="360"/>
      </w:pPr>
      <w:rPr>
        <w:rFonts w:ascii="Times New Roman" w:eastAsia="MS Mincho" w:hAnsi="Times New Roman" w:cs="Times New Roman"/>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B181253"/>
    <w:multiLevelType w:val="hybridMultilevel"/>
    <w:tmpl w:val="280A80C8"/>
    <w:lvl w:ilvl="0" w:tplc="171A8B8C">
      <w:start w:val="1"/>
      <w:numFmt w:val="upperLetter"/>
      <w:lvlText w:val="%1."/>
      <w:lvlJc w:val="left"/>
      <w:pPr>
        <w:ind w:left="1080" w:hanging="360"/>
      </w:pPr>
      <w:rPr>
        <w:rFonts w:ascii="Times New Roman" w:eastAsia="MS Mincho" w:hAnsi="Times New Roman" w:cs="Times New Roman"/>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1171526"/>
    <w:multiLevelType w:val="hybridMultilevel"/>
    <w:tmpl w:val="1CC640E2"/>
    <w:lvl w:ilvl="0" w:tplc="DEE8E576">
      <w:start w:val="1"/>
      <w:numFmt w:val="decimal"/>
      <w:lvlText w:val="%1"/>
      <w:lvlJc w:val="left"/>
      <w:pPr>
        <w:tabs>
          <w:tab w:val="num" w:pos="360"/>
        </w:tabs>
        <w:ind w:left="36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DB280708">
      <w:start w:val="2"/>
      <w:numFmt w:val="upperLetter"/>
      <w:lvlText w:val="%3."/>
      <w:lvlJc w:val="left"/>
      <w:pPr>
        <w:ind w:left="2340" w:hanging="360"/>
      </w:pPr>
      <w:rPr>
        <w:rFonts w:hint="default"/>
      </w:rPr>
    </w:lvl>
    <w:lvl w:ilvl="3" w:tplc="E0140EC4">
      <w:start w:val="3"/>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104088"/>
    <w:multiLevelType w:val="singleLevel"/>
    <w:tmpl w:val="0409000F"/>
    <w:lvl w:ilvl="0">
      <w:start w:val="1"/>
      <w:numFmt w:val="decimal"/>
      <w:lvlText w:val="%1."/>
      <w:lvlJc w:val="left"/>
      <w:pPr>
        <w:tabs>
          <w:tab w:val="num" w:pos="360"/>
        </w:tabs>
        <w:ind w:left="360" w:hanging="360"/>
      </w:pPr>
    </w:lvl>
  </w:abstractNum>
  <w:abstractNum w:abstractNumId="7">
    <w:nsid w:val="28C66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724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A57661A"/>
    <w:multiLevelType w:val="hybridMultilevel"/>
    <w:tmpl w:val="3B1E3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A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A11E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6391CA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4763CDE"/>
    <w:multiLevelType w:val="hybridMultilevel"/>
    <w:tmpl w:val="95C06EEC"/>
    <w:lvl w:ilvl="0" w:tplc="C4DE0188">
      <w:start w:val="1"/>
      <w:numFmt w:val="upperLetter"/>
      <w:lvlText w:val="%1."/>
      <w:lvlJc w:val="left"/>
      <w:pPr>
        <w:ind w:left="1080" w:hanging="360"/>
      </w:pPr>
      <w:rPr>
        <w:rFonts w:ascii="Times New Roman" w:eastAsia="MS Mincho" w:hAnsi="Times New Roman" w:cs="Times New Roman"/>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89C76B0"/>
    <w:multiLevelType w:val="hybridMultilevel"/>
    <w:tmpl w:val="F9D06C7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B6370C0"/>
    <w:multiLevelType w:val="singleLevel"/>
    <w:tmpl w:val="0409000F"/>
    <w:lvl w:ilvl="0">
      <w:start w:val="1"/>
      <w:numFmt w:val="decimal"/>
      <w:lvlText w:val="%1."/>
      <w:lvlJc w:val="left"/>
      <w:pPr>
        <w:tabs>
          <w:tab w:val="num" w:pos="360"/>
        </w:tabs>
        <w:ind w:left="360" w:hanging="360"/>
      </w:pPr>
    </w:lvl>
  </w:abstractNum>
  <w:abstractNum w:abstractNumId="16">
    <w:nsid w:val="6CFA03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E2D06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5F212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99350C4"/>
    <w:multiLevelType w:val="singleLevel"/>
    <w:tmpl w:val="33546634"/>
    <w:lvl w:ilvl="0">
      <w:start w:val="17"/>
      <w:numFmt w:val="upperLetter"/>
      <w:lvlText w:val="%1."/>
      <w:lvlJc w:val="left"/>
      <w:pPr>
        <w:tabs>
          <w:tab w:val="num" w:pos="720"/>
        </w:tabs>
        <w:ind w:left="720" w:hanging="720"/>
      </w:pPr>
      <w:rPr>
        <w:rFonts w:hint="default"/>
        <w:b/>
      </w:rPr>
    </w:lvl>
  </w:abstractNum>
  <w:abstractNum w:abstractNumId="20">
    <w:nsid w:val="7C9F24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
  </w:num>
  <w:num w:numId="3">
    <w:abstractNumId w:val="11"/>
  </w:num>
  <w:num w:numId="4">
    <w:abstractNumId w:val="6"/>
  </w:num>
  <w:num w:numId="5">
    <w:abstractNumId w:val="2"/>
  </w:num>
  <w:num w:numId="6">
    <w:abstractNumId w:val="18"/>
  </w:num>
  <w:num w:numId="7">
    <w:abstractNumId w:val="16"/>
  </w:num>
  <w:num w:numId="8">
    <w:abstractNumId w:val="12"/>
  </w:num>
  <w:num w:numId="9">
    <w:abstractNumId w:val="15"/>
  </w:num>
  <w:num w:numId="10">
    <w:abstractNumId w:val="19"/>
  </w:num>
  <w:num w:numId="11">
    <w:abstractNumId w:val="17"/>
  </w:num>
  <w:num w:numId="12">
    <w:abstractNumId w:val="8"/>
  </w:num>
  <w:num w:numId="13">
    <w:abstractNumId w:val="20"/>
  </w:num>
  <w:num w:numId="14">
    <w:abstractNumId w:val="7"/>
  </w:num>
  <w:num w:numId="15">
    <w:abstractNumId w:val="0"/>
  </w:num>
  <w:num w:numId="16">
    <w:abstractNumId w:val="4"/>
  </w:num>
  <w:num w:numId="17">
    <w:abstractNumId w:val="14"/>
  </w:num>
  <w:num w:numId="18">
    <w:abstractNumId w:val="9"/>
  </w:num>
  <w:num w:numId="19">
    <w:abstractNumId w:val="3"/>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5F1B68"/>
    <w:rsid w:val="00026B91"/>
    <w:rsid w:val="00030AC9"/>
    <w:rsid w:val="00034E63"/>
    <w:rsid w:val="00052CB5"/>
    <w:rsid w:val="00060248"/>
    <w:rsid w:val="00081845"/>
    <w:rsid w:val="000C168C"/>
    <w:rsid w:val="000D21AE"/>
    <w:rsid w:val="00125EAF"/>
    <w:rsid w:val="00130EB7"/>
    <w:rsid w:val="00135D72"/>
    <w:rsid w:val="00154753"/>
    <w:rsid w:val="00154872"/>
    <w:rsid w:val="00157950"/>
    <w:rsid w:val="00165722"/>
    <w:rsid w:val="0018089D"/>
    <w:rsid w:val="0018312F"/>
    <w:rsid w:val="001C4D5A"/>
    <w:rsid w:val="00227A4A"/>
    <w:rsid w:val="00260E0B"/>
    <w:rsid w:val="002B3663"/>
    <w:rsid w:val="002B422D"/>
    <w:rsid w:val="002C6178"/>
    <w:rsid w:val="002F6519"/>
    <w:rsid w:val="0030307C"/>
    <w:rsid w:val="00310FDC"/>
    <w:rsid w:val="00335860"/>
    <w:rsid w:val="00376CD9"/>
    <w:rsid w:val="00394DBF"/>
    <w:rsid w:val="003B1609"/>
    <w:rsid w:val="003B7CFC"/>
    <w:rsid w:val="003C5000"/>
    <w:rsid w:val="003D7661"/>
    <w:rsid w:val="00405EC1"/>
    <w:rsid w:val="0041037C"/>
    <w:rsid w:val="00432431"/>
    <w:rsid w:val="00447F21"/>
    <w:rsid w:val="00456E44"/>
    <w:rsid w:val="0046232F"/>
    <w:rsid w:val="004673BE"/>
    <w:rsid w:val="00467FC2"/>
    <w:rsid w:val="0048613B"/>
    <w:rsid w:val="00487851"/>
    <w:rsid w:val="00497965"/>
    <w:rsid w:val="004F2086"/>
    <w:rsid w:val="005133A0"/>
    <w:rsid w:val="00527F2E"/>
    <w:rsid w:val="005412CE"/>
    <w:rsid w:val="00560EB6"/>
    <w:rsid w:val="00571501"/>
    <w:rsid w:val="00573493"/>
    <w:rsid w:val="00585EB3"/>
    <w:rsid w:val="005938D7"/>
    <w:rsid w:val="005B138C"/>
    <w:rsid w:val="005F1B68"/>
    <w:rsid w:val="00600C1D"/>
    <w:rsid w:val="00605BC6"/>
    <w:rsid w:val="00623BFA"/>
    <w:rsid w:val="00654AD5"/>
    <w:rsid w:val="006B5471"/>
    <w:rsid w:val="006C2259"/>
    <w:rsid w:val="006F2008"/>
    <w:rsid w:val="006F227B"/>
    <w:rsid w:val="006F41E4"/>
    <w:rsid w:val="00737056"/>
    <w:rsid w:val="00752944"/>
    <w:rsid w:val="00771017"/>
    <w:rsid w:val="00795EFA"/>
    <w:rsid w:val="00797C88"/>
    <w:rsid w:val="007C12EB"/>
    <w:rsid w:val="007D46A0"/>
    <w:rsid w:val="007E03B1"/>
    <w:rsid w:val="0085364C"/>
    <w:rsid w:val="00863D59"/>
    <w:rsid w:val="008664BE"/>
    <w:rsid w:val="00885154"/>
    <w:rsid w:val="00886E75"/>
    <w:rsid w:val="008942E5"/>
    <w:rsid w:val="008C54BE"/>
    <w:rsid w:val="008C72FA"/>
    <w:rsid w:val="008C7E32"/>
    <w:rsid w:val="00923FAC"/>
    <w:rsid w:val="009542A2"/>
    <w:rsid w:val="009573D7"/>
    <w:rsid w:val="00966AA5"/>
    <w:rsid w:val="00966BAC"/>
    <w:rsid w:val="0097701F"/>
    <w:rsid w:val="009872F3"/>
    <w:rsid w:val="009C53CA"/>
    <w:rsid w:val="009C7B1A"/>
    <w:rsid w:val="009D1BE4"/>
    <w:rsid w:val="009F1E4A"/>
    <w:rsid w:val="00A003B1"/>
    <w:rsid w:val="00A557BD"/>
    <w:rsid w:val="00A77BBD"/>
    <w:rsid w:val="00A90CD4"/>
    <w:rsid w:val="00AA4BEB"/>
    <w:rsid w:val="00AD0990"/>
    <w:rsid w:val="00B00590"/>
    <w:rsid w:val="00B4413F"/>
    <w:rsid w:val="00B66E09"/>
    <w:rsid w:val="00BA16FF"/>
    <w:rsid w:val="00BE0E53"/>
    <w:rsid w:val="00BE5EDC"/>
    <w:rsid w:val="00BF49BD"/>
    <w:rsid w:val="00C048BC"/>
    <w:rsid w:val="00C07782"/>
    <w:rsid w:val="00C16E2A"/>
    <w:rsid w:val="00C31525"/>
    <w:rsid w:val="00C418D8"/>
    <w:rsid w:val="00C45197"/>
    <w:rsid w:val="00C453DE"/>
    <w:rsid w:val="00C46F0A"/>
    <w:rsid w:val="00C541F8"/>
    <w:rsid w:val="00C64878"/>
    <w:rsid w:val="00C865C0"/>
    <w:rsid w:val="00C962DB"/>
    <w:rsid w:val="00CA7E96"/>
    <w:rsid w:val="00CE054F"/>
    <w:rsid w:val="00CF2A67"/>
    <w:rsid w:val="00D0363C"/>
    <w:rsid w:val="00D06F4F"/>
    <w:rsid w:val="00D3653E"/>
    <w:rsid w:val="00D410A6"/>
    <w:rsid w:val="00D50BF5"/>
    <w:rsid w:val="00D650DF"/>
    <w:rsid w:val="00D653A6"/>
    <w:rsid w:val="00D727CC"/>
    <w:rsid w:val="00D7606E"/>
    <w:rsid w:val="00D76D42"/>
    <w:rsid w:val="00D8079E"/>
    <w:rsid w:val="00DA2CCF"/>
    <w:rsid w:val="00DA7994"/>
    <w:rsid w:val="00DC2564"/>
    <w:rsid w:val="00DD39B1"/>
    <w:rsid w:val="00DE126B"/>
    <w:rsid w:val="00DF516F"/>
    <w:rsid w:val="00E14B4B"/>
    <w:rsid w:val="00E77024"/>
    <w:rsid w:val="00E86C89"/>
    <w:rsid w:val="00EA449D"/>
    <w:rsid w:val="00EC143D"/>
    <w:rsid w:val="00F0197F"/>
    <w:rsid w:val="00F01C53"/>
    <w:rsid w:val="00F1312B"/>
    <w:rsid w:val="00F1463B"/>
    <w:rsid w:val="00F2497F"/>
    <w:rsid w:val="00F31CE4"/>
    <w:rsid w:val="00F60080"/>
    <w:rsid w:val="00F75A16"/>
    <w:rsid w:val="00F97EDD"/>
    <w:rsid w:val="00FA3A48"/>
    <w:rsid w:val="00FD2958"/>
    <w:rsid w:val="00FE661E"/>
    <w:rsid w:val="00FF328C"/>
    <w:rsid w:val="00FF4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caption" w:semiHidden="1" w:unhideWhenUsed="1" w:qFormat="1"/>
    <w:lsdException w:name="footnote reference" w:uiPriority="99" w:qFormat="1"/>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F2E"/>
    <w:rPr>
      <w:sz w:val="24"/>
      <w:szCs w:val="24"/>
    </w:rPr>
  </w:style>
  <w:style w:type="paragraph" w:styleId="Heading1">
    <w:name w:val="heading 1"/>
    <w:basedOn w:val="Normal"/>
    <w:next w:val="Normal"/>
    <w:qFormat/>
    <w:rsid w:val="00527F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7F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27F2E"/>
    <w:pPr>
      <w:keepNext/>
      <w:suppressLineNumbers/>
      <w:spacing w:after="360" w:line="480" w:lineRule="auto"/>
      <w:outlineLvl w:val="2"/>
    </w:pPr>
    <w:rPr>
      <w:rFonts w:ascii="Courier New" w:hAnsi="Courier New"/>
      <w:b/>
      <w:szCs w:val="20"/>
      <w:u w:val="single"/>
    </w:rPr>
  </w:style>
  <w:style w:type="paragraph" w:styleId="Heading4">
    <w:name w:val="heading 4"/>
    <w:basedOn w:val="Normal"/>
    <w:next w:val="Normal"/>
    <w:qFormat/>
    <w:rsid w:val="00527F2E"/>
    <w:pPr>
      <w:keepNext/>
      <w:jc w:val="center"/>
      <w:outlineLvl w:val="3"/>
    </w:pPr>
    <w:rPr>
      <w:rFonts w:ascii="Arial" w:hAnsi="Arial"/>
      <w:b/>
      <w:szCs w:val="20"/>
    </w:rPr>
  </w:style>
  <w:style w:type="paragraph" w:styleId="Heading7">
    <w:name w:val="heading 7"/>
    <w:basedOn w:val="Normal"/>
    <w:next w:val="Normal"/>
    <w:link w:val="Heading7Char"/>
    <w:semiHidden/>
    <w:unhideWhenUsed/>
    <w:qFormat/>
    <w:rsid w:val="005F1B6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Footnote Text Char Char1,Footnote Text Char1 Char Char,Footnote Text Char2 Char1 Char Char,Footnote Text Char Char Char Char Char,Footnote Text Char2 Char Char Char Char Char,Footnote Text Char1 Char Char Char Char Char Char,f Char"/>
    <w:basedOn w:val="DefaultParagraphFont"/>
    <w:link w:val="FootnoteText"/>
    <w:uiPriority w:val="99"/>
    <w:rsid w:val="00527F2E"/>
    <w:rPr>
      <w:lang w:val="en-US" w:eastAsia="en-US" w:bidi="ar-SA"/>
    </w:rPr>
  </w:style>
  <w:style w:type="paragraph" w:styleId="Footer">
    <w:name w:val="footer"/>
    <w:basedOn w:val="Normal"/>
    <w:rsid w:val="00527F2E"/>
    <w:pPr>
      <w:tabs>
        <w:tab w:val="center" w:pos="4320"/>
        <w:tab w:val="right" w:pos="8640"/>
      </w:tabs>
      <w:autoSpaceDE w:val="0"/>
      <w:autoSpaceDN w:val="0"/>
      <w:adjustRightInd w:val="0"/>
    </w:pPr>
  </w:style>
  <w:style w:type="paragraph" w:styleId="TOC1">
    <w:name w:val="toc 1"/>
    <w:basedOn w:val="Normal"/>
    <w:uiPriority w:val="39"/>
    <w:rsid w:val="00527F2E"/>
    <w:pPr>
      <w:spacing w:after="240"/>
      <w:outlineLvl w:val="2"/>
    </w:pPr>
    <w:rPr>
      <w:b/>
      <w:caps/>
      <w:szCs w:val="20"/>
    </w:rPr>
  </w:style>
  <w:style w:type="paragraph" w:styleId="TOC2">
    <w:name w:val="toc 2"/>
    <w:basedOn w:val="Normal"/>
    <w:next w:val="Normal"/>
    <w:uiPriority w:val="39"/>
    <w:rsid w:val="00527F2E"/>
    <w:pPr>
      <w:spacing w:after="240"/>
      <w:ind w:left="245"/>
    </w:pPr>
    <w:rPr>
      <w:rFonts w:ascii="Arial" w:hAnsi="Arial"/>
      <w:smallCaps/>
      <w:sz w:val="20"/>
      <w:szCs w:val="20"/>
    </w:rPr>
  </w:style>
  <w:style w:type="paragraph" w:styleId="TOC3">
    <w:name w:val="toc 3"/>
    <w:basedOn w:val="Normal"/>
    <w:next w:val="Normal"/>
    <w:uiPriority w:val="39"/>
    <w:rsid w:val="00527F2E"/>
    <w:pPr>
      <w:spacing w:after="120"/>
      <w:ind w:left="475"/>
    </w:pPr>
    <w:rPr>
      <w:rFonts w:ascii="Arial" w:hAnsi="Arial"/>
      <w:i/>
      <w:sz w:val="20"/>
      <w:szCs w:val="20"/>
    </w:rPr>
  </w:style>
  <w:style w:type="paragraph" w:customStyle="1" w:styleId="affidavittext">
    <w:name w:val="affidavit text"/>
    <w:basedOn w:val="Normal"/>
    <w:link w:val="affidavittextChar"/>
    <w:rsid w:val="00527F2E"/>
    <w:pPr>
      <w:spacing w:after="360" w:line="480" w:lineRule="auto"/>
      <w:ind w:left="720" w:hanging="720"/>
    </w:pPr>
    <w:rPr>
      <w:szCs w:val="20"/>
    </w:rPr>
  </w:style>
  <w:style w:type="paragraph" w:customStyle="1" w:styleId="QQUESTION">
    <w:name w:val="Q.  QUESTION"/>
    <w:basedOn w:val="affidavittext"/>
    <w:rsid w:val="00527F2E"/>
    <w:rPr>
      <w:b/>
      <w:caps/>
    </w:rPr>
  </w:style>
  <w:style w:type="character" w:styleId="LineNumber">
    <w:name w:val="line number"/>
    <w:basedOn w:val="DefaultParagraphFont"/>
    <w:rsid w:val="00527F2E"/>
  </w:style>
  <w:style w:type="paragraph" w:styleId="Header">
    <w:name w:val="header"/>
    <w:basedOn w:val="Normal"/>
    <w:rsid w:val="00527F2E"/>
    <w:pPr>
      <w:tabs>
        <w:tab w:val="center" w:pos="4320"/>
        <w:tab w:val="right" w:pos="8640"/>
      </w:tabs>
    </w:pPr>
  </w:style>
  <w:style w:type="character" w:styleId="PageNumber">
    <w:name w:val="page number"/>
    <w:basedOn w:val="DefaultParagraphFont"/>
    <w:rsid w:val="00527F2E"/>
  </w:style>
  <w:style w:type="paragraph" w:styleId="FootnoteText">
    <w:name w:val="footnote text"/>
    <w:aliases w:val="Footnote Text Char,Footnote Text Char1 Char,Footnote Text Char2 Char1 Char,Footnote Text Char Char Char Char,Footnote Text Char2 Char Char Char Char,Footnote Text Char1 Char Char Char Char Char,Footnote Text Char2,Footnote Text Char Char,f"/>
    <w:basedOn w:val="affidavittext"/>
    <w:link w:val="FootnoteTextChar1"/>
    <w:uiPriority w:val="99"/>
    <w:qFormat/>
    <w:rsid w:val="00527F2E"/>
    <w:pPr>
      <w:keepNext/>
      <w:keepLines/>
      <w:spacing w:after="120" w:line="240" w:lineRule="auto"/>
      <w:ind w:left="0" w:firstLine="0"/>
    </w:pPr>
    <w:rPr>
      <w:sz w:val="20"/>
    </w:rPr>
  </w:style>
  <w:style w:type="character" w:styleId="FootnoteReference">
    <w:name w:val="footnote reference"/>
    <w:aliases w:val="Style 3,Footnote 1r,Style 13,Style 12,fr,Style 28,(NECG) Footnote Reference,Style 11,Style 9,o,Style 16,Style 15,Style 17,Style 20,o1,fr1,o2,fr2,o3,fr3,Style 8,Style 7,Style 19,Appel note de bas de p,FR,Style 124,callout,FC,Style 6,o4"/>
    <w:basedOn w:val="DefaultParagraphFont"/>
    <w:uiPriority w:val="99"/>
    <w:qFormat/>
    <w:rsid w:val="00527F2E"/>
    <w:rPr>
      <w:vertAlign w:val="superscript"/>
    </w:rPr>
  </w:style>
  <w:style w:type="paragraph" w:styleId="BodyTextIndent2">
    <w:name w:val="Body Text Indent 2"/>
    <w:basedOn w:val="Normal"/>
    <w:rsid w:val="00527F2E"/>
    <w:pPr>
      <w:spacing w:after="360" w:line="480" w:lineRule="auto"/>
      <w:ind w:left="720" w:hanging="720"/>
    </w:pPr>
    <w:rPr>
      <w:b/>
      <w:szCs w:val="20"/>
    </w:rPr>
  </w:style>
  <w:style w:type="character" w:customStyle="1" w:styleId="affidavittextChar">
    <w:name w:val="affidavit text Char"/>
    <w:basedOn w:val="DefaultParagraphFont"/>
    <w:link w:val="affidavittext"/>
    <w:rsid w:val="00527F2E"/>
    <w:rPr>
      <w:sz w:val="24"/>
      <w:lang w:val="en-US" w:eastAsia="en-US" w:bidi="ar-SA"/>
    </w:rPr>
  </w:style>
  <w:style w:type="character" w:customStyle="1" w:styleId="Heading7Char">
    <w:name w:val="Heading 7 Char"/>
    <w:basedOn w:val="DefaultParagraphFont"/>
    <w:link w:val="Heading7"/>
    <w:semiHidden/>
    <w:rsid w:val="005F1B68"/>
    <w:rPr>
      <w:rFonts w:ascii="Calibri" w:eastAsia="Times New Roman" w:hAnsi="Calibri" w:cs="Times New Roman"/>
      <w:sz w:val="24"/>
      <w:szCs w:val="24"/>
    </w:rPr>
  </w:style>
  <w:style w:type="paragraph" w:styleId="TOCHeading">
    <w:name w:val="TOC Heading"/>
    <w:basedOn w:val="Heading1"/>
    <w:next w:val="Normal"/>
    <w:uiPriority w:val="39"/>
    <w:unhideWhenUsed/>
    <w:qFormat/>
    <w:rsid w:val="00771017"/>
    <w:pPr>
      <w:keepLines/>
      <w:spacing w:before="480" w:after="0" w:line="276" w:lineRule="auto"/>
      <w:outlineLvl w:val="9"/>
    </w:pPr>
    <w:rPr>
      <w:rFonts w:ascii="Cambria" w:hAnsi="Cambria" w:cs="Times New Roman"/>
      <w:color w:val="365F91"/>
      <w:kern w:val="0"/>
      <w:sz w:val="28"/>
      <w:szCs w:val="28"/>
    </w:rPr>
  </w:style>
  <w:style w:type="character" w:styleId="Hyperlink">
    <w:name w:val="Hyperlink"/>
    <w:basedOn w:val="DefaultParagraphFont"/>
    <w:uiPriority w:val="99"/>
    <w:unhideWhenUsed/>
    <w:rsid w:val="00771017"/>
    <w:rPr>
      <w:color w:val="0000FF"/>
      <w:u w:val="single"/>
    </w:rPr>
  </w:style>
  <w:style w:type="paragraph" w:customStyle="1" w:styleId="NormalDS">
    <w:name w:val="Normal DS"/>
    <w:basedOn w:val="Normal"/>
    <w:link w:val="NormalDSChar"/>
    <w:autoRedefine/>
    <w:qFormat/>
    <w:rsid w:val="0018089D"/>
    <w:pPr>
      <w:keepNext/>
      <w:tabs>
        <w:tab w:val="left" w:pos="720"/>
      </w:tabs>
      <w:spacing w:line="480" w:lineRule="auto"/>
      <w:ind w:left="720" w:hanging="720"/>
    </w:pPr>
    <w:rPr>
      <w:rFonts w:eastAsia="MS Mincho"/>
    </w:rPr>
  </w:style>
  <w:style w:type="character" w:customStyle="1" w:styleId="NormalDSChar">
    <w:name w:val="Normal DS Char"/>
    <w:basedOn w:val="DefaultParagraphFont"/>
    <w:link w:val="NormalDS"/>
    <w:rsid w:val="0018089D"/>
    <w:rPr>
      <w:rFonts w:eastAsia="MS Mincho"/>
      <w:sz w:val="24"/>
      <w:szCs w:val="24"/>
    </w:rPr>
  </w:style>
  <w:style w:type="paragraph" w:customStyle="1" w:styleId="DWTNorm">
    <w:name w:val="DWTNorm"/>
    <w:basedOn w:val="Normal"/>
    <w:uiPriority w:val="99"/>
    <w:rsid w:val="008C72FA"/>
    <w:pPr>
      <w:spacing w:after="240"/>
      <w:ind w:firstLine="720"/>
    </w:pPr>
    <w:rPr>
      <w:rFonts w:eastAsia="MS Mincho"/>
    </w:rPr>
  </w:style>
  <w:style w:type="paragraph" w:customStyle="1" w:styleId="Answer">
    <w:name w:val="Answer"/>
    <w:basedOn w:val="Normal"/>
    <w:link w:val="AnswerChar"/>
    <w:rsid w:val="008C72FA"/>
    <w:pPr>
      <w:spacing w:line="480" w:lineRule="atLeast"/>
      <w:ind w:left="547" w:hanging="547"/>
      <w:jc w:val="both"/>
    </w:pPr>
    <w:rPr>
      <w:szCs w:val="20"/>
    </w:rPr>
  </w:style>
  <w:style w:type="character" w:customStyle="1" w:styleId="AnswerChar">
    <w:name w:val="Answer Char"/>
    <w:link w:val="Answer"/>
    <w:rsid w:val="008C72FA"/>
    <w:rPr>
      <w:sz w:val="24"/>
    </w:rPr>
  </w:style>
  <w:style w:type="paragraph" w:customStyle="1" w:styleId="AQUESTION">
    <w:name w:val="AQUESTION"/>
    <w:basedOn w:val="Normal"/>
    <w:next w:val="Answer"/>
    <w:link w:val="AQUESTIONChar"/>
    <w:rsid w:val="00260E0B"/>
    <w:pPr>
      <w:spacing w:line="480" w:lineRule="atLeast"/>
      <w:ind w:left="547" w:hanging="547"/>
      <w:jc w:val="both"/>
    </w:pPr>
    <w:rPr>
      <w:b/>
      <w:caps/>
      <w:szCs w:val="20"/>
    </w:rPr>
  </w:style>
  <w:style w:type="character" w:customStyle="1" w:styleId="AQUESTIONChar">
    <w:name w:val="AQUESTION Char"/>
    <w:link w:val="AQUESTION"/>
    <w:rsid w:val="00260E0B"/>
    <w:rPr>
      <w:b/>
      <w:caps/>
      <w:sz w:val="24"/>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n Char,Footnote Text Char Char Char1,Footnote Text Char Char1 Char,ft Char"/>
    <w:rsid w:val="005412CE"/>
    <w:rPr>
      <w:rFonts w:ascii="CG Times" w:hAnsi="CG Times"/>
      <w:snapToGrid/>
    </w:rPr>
  </w:style>
  <w:style w:type="character" w:styleId="CommentReference">
    <w:name w:val="annotation reference"/>
    <w:rsid w:val="005412CE"/>
    <w:rPr>
      <w:sz w:val="16"/>
      <w:szCs w:val="16"/>
    </w:rPr>
  </w:style>
  <w:style w:type="paragraph" w:styleId="BalloonText">
    <w:name w:val="Balloon Text"/>
    <w:basedOn w:val="Normal"/>
    <w:link w:val="BalloonTextChar"/>
    <w:rsid w:val="00227A4A"/>
    <w:rPr>
      <w:rFonts w:ascii="Tahoma" w:hAnsi="Tahoma" w:cs="Tahoma"/>
      <w:sz w:val="16"/>
      <w:szCs w:val="16"/>
    </w:rPr>
  </w:style>
  <w:style w:type="character" w:customStyle="1" w:styleId="BalloonTextChar">
    <w:name w:val="Balloon Text Char"/>
    <w:basedOn w:val="DefaultParagraphFont"/>
    <w:link w:val="BalloonText"/>
    <w:rsid w:val="00227A4A"/>
    <w:rPr>
      <w:rFonts w:ascii="Tahoma" w:hAnsi="Tahoma" w:cs="Tahoma"/>
      <w:sz w:val="16"/>
      <w:szCs w:val="16"/>
    </w:rPr>
  </w:style>
  <w:style w:type="paragraph" w:styleId="ListParagraph">
    <w:name w:val="List Paragraph"/>
    <w:basedOn w:val="Normal"/>
    <w:uiPriority w:val="34"/>
    <w:qFormat/>
    <w:rsid w:val="00AA4BEB"/>
    <w:pPr>
      <w:ind w:left="720"/>
      <w:contextualSpacing/>
    </w:pPr>
    <w:rPr>
      <w:rFonts w:eastAsia="MS Mincho"/>
    </w:rPr>
  </w:style>
  <w:style w:type="paragraph" w:styleId="BodyTextIndent3">
    <w:name w:val="Body Text Indent 3"/>
    <w:basedOn w:val="Normal"/>
    <w:link w:val="BodyTextIndent3Char"/>
    <w:rsid w:val="00335860"/>
    <w:pPr>
      <w:spacing w:after="120"/>
      <w:ind w:left="360"/>
    </w:pPr>
    <w:rPr>
      <w:sz w:val="16"/>
      <w:szCs w:val="16"/>
    </w:rPr>
  </w:style>
  <w:style w:type="character" w:customStyle="1" w:styleId="BodyTextIndent3Char">
    <w:name w:val="Body Text Indent 3 Char"/>
    <w:basedOn w:val="DefaultParagraphFont"/>
    <w:link w:val="BodyTextIndent3"/>
    <w:rsid w:val="00335860"/>
    <w:rPr>
      <w:sz w:val="16"/>
      <w:szCs w:val="16"/>
    </w:rPr>
  </w:style>
  <w:style w:type="paragraph" w:customStyle="1" w:styleId="StyleBodyTextIndentFirstline0">
    <w:name w:val="Style Body Text Indent + First line:  0&quot;"/>
    <w:basedOn w:val="BodyTextIndent"/>
    <w:rsid w:val="00335860"/>
    <w:pPr>
      <w:spacing w:before="240" w:after="240" w:line="480" w:lineRule="exact"/>
      <w:ind w:left="720"/>
    </w:pPr>
    <w:rPr>
      <w:szCs w:val="20"/>
    </w:rPr>
  </w:style>
  <w:style w:type="paragraph" w:styleId="BodyTextIndent">
    <w:name w:val="Body Text Indent"/>
    <w:basedOn w:val="Normal"/>
    <w:link w:val="BodyTextIndentChar"/>
    <w:rsid w:val="00335860"/>
    <w:pPr>
      <w:spacing w:after="120"/>
      <w:ind w:left="360"/>
    </w:pPr>
  </w:style>
  <w:style w:type="character" w:customStyle="1" w:styleId="BodyTextIndentChar">
    <w:name w:val="Body Text Indent Char"/>
    <w:basedOn w:val="DefaultParagraphFont"/>
    <w:link w:val="BodyTextIndent"/>
    <w:rsid w:val="00335860"/>
    <w:rPr>
      <w:sz w:val="24"/>
      <w:szCs w:val="24"/>
    </w:rPr>
  </w:style>
  <w:style w:type="paragraph" w:styleId="BodyText">
    <w:name w:val="Body Text"/>
    <w:basedOn w:val="Normal"/>
    <w:link w:val="BodyTextChar"/>
    <w:uiPriority w:val="99"/>
    <w:rsid w:val="00165722"/>
    <w:pPr>
      <w:spacing w:after="120"/>
    </w:pPr>
    <w:rPr>
      <w:rFonts w:eastAsia="MS Mincho"/>
    </w:rPr>
  </w:style>
  <w:style w:type="character" w:customStyle="1" w:styleId="BodyTextChar">
    <w:name w:val="Body Text Char"/>
    <w:basedOn w:val="DefaultParagraphFont"/>
    <w:link w:val="BodyText"/>
    <w:uiPriority w:val="99"/>
    <w:rsid w:val="00165722"/>
    <w:rPr>
      <w:rFonts w:eastAsia="MS Mincho"/>
      <w:sz w:val="24"/>
      <w:szCs w:val="24"/>
    </w:rPr>
  </w:style>
  <w:style w:type="paragraph" w:styleId="CommentText">
    <w:name w:val="annotation text"/>
    <w:basedOn w:val="Normal"/>
    <w:link w:val="CommentTextChar"/>
    <w:rsid w:val="00F31CE4"/>
    <w:rPr>
      <w:sz w:val="20"/>
      <w:szCs w:val="20"/>
    </w:rPr>
  </w:style>
  <w:style w:type="character" w:customStyle="1" w:styleId="CommentTextChar">
    <w:name w:val="Comment Text Char"/>
    <w:basedOn w:val="DefaultParagraphFont"/>
    <w:link w:val="CommentText"/>
    <w:rsid w:val="00F31CE4"/>
  </w:style>
  <w:style w:type="paragraph" w:styleId="CommentSubject">
    <w:name w:val="annotation subject"/>
    <w:basedOn w:val="CommentText"/>
    <w:next w:val="CommentText"/>
    <w:link w:val="CommentSubjectChar"/>
    <w:rsid w:val="00F31CE4"/>
    <w:rPr>
      <w:b/>
      <w:bCs/>
    </w:rPr>
  </w:style>
  <w:style w:type="character" w:customStyle="1" w:styleId="CommentSubjectChar">
    <w:name w:val="Comment Subject Char"/>
    <w:basedOn w:val="CommentTextChar"/>
    <w:link w:val="CommentSubject"/>
    <w:rsid w:val="00F31CE4"/>
    <w:rPr>
      <w:b/>
      <w:bCs/>
    </w:rPr>
  </w:style>
  <w:style w:type="paragraph" w:styleId="Revision">
    <w:name w:val="Revision"/>
    <w:hidden/>
    <w:uiPriority w:val="99"/>
    <w:semiHidden/>
    <w:rsid w:val="00F31CE4"/>
    <w:rPr>
      <w:sz w:val="24"/>
      <w:szCs w:val="24"/>
    </w:rPr>
  </w:style>
  <w:style w:type="table" w:styleId="TableGrid">
    <w:name w:val="Table Grid"/>
    <w:basedOn w:val="TableNormal"/>
    <w:uiPriority w:val="59"/>
    <w:rsid w:val="0018089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446212">
      <w:bodyDiv w:val="1"/>
      <w:marLeft w:val="0"/>
      <w:marRight w:val="0"/>
      <w:marTop w:val="0"/>
      <w:marBottom w:val="0"/>
      <w:divBdr>
        <w:top w:val="none" w:sz="0" w:space="0" w:color="auto"/>
        <w:left w:val="none" w:sz="0" w:space="0" w:color="auto"/>
        <w:bottom w:val="none" w:sz="0" w:space="0" w:color="auto"/>
        <w:right w:val="none" w:sz="0" w:space="0" w:color="auto"/>
      </w:divBdr>
    </w:div>
    <w:div w:id="316307643">
      <w:bodyDiv w:val="1"/>
      <w:marLeft w:val="0"/>
      <w:marRight w:val="0"/>
      <w:marTop w:val="0"/>
      <w:marBottom w:val="0"/>
      <w:divBdr>
        <w:top w:val="none" w:sz="0" w:space="0" w:color="auto"/>
        <w:left w:val="none" w:sz="0" w:space="0" w:color="auto"/>
        <w:bottom w:val="none" w:sz="0" w:space="0" w:color="auto"/>
        <w:right w:val="none" w:sz="0" w:space="0" w:color="auto"/>
      </w:divBdr>
    </w:div>
    <w:div w:id="1303539361">
      <w:bodyDiv w:val="1"/>
      <w:marLeft w:val="0"/>
      <w:marRight w:val="0"/>
      <w:marTop w:val="0"/>
      <w:marBottom w:val="0"/>
      <w:divBdr>
        <w:top w:val="none" w:sz="0" w:space="0" w:color="auto"/>
        <w:left w:val="none" w:sz="0" w:space="0" w:color="auto"/>
        <w:bottom w:val="none" w:sz="0" w:space="0" w:color="auto"/>
        <w:right w:val="none" w:sz="0" w:space="0" w:color="auto"/>
      </w:divBdr>
    </w:div>
    <w:div w:id="19802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FF17F3D31B184CABF974A4538DC2FE" ma:contentTypeVersion="92" ma:contentTypeDescription="" ma:contentTypeScope="" ma:versionID="5400bd5770142ed961d0b6515d9e71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Formal</CaseStatus>
    <OpenedDate xmlns="dc463f71-b30c-4ab2-9473-d307f9d35888">2017-01-17T08:00:00+00:00</OpenedDate>
    <Date1 xmlns="dc463f71-b30c-4ab2-9473-d307f9d35888">2017-02-10T08:00:00+00:00</Date1>
    <IsDocumentOrder xmlns="dc463f71-b30c-4ab2-9473-d307f9d35888" xsi:nil="true"/>
    <IsHighlyConfidential xmlns="dc463f71-b30c-4ab2-9473-d307f9d35888">false</IsHighlyConfidential>
    <CaseCompanyNames xmlns="dc463f71-b30c-4ab2-9473-d307f9d35888">Level 3 Communications, LLC;Level 3 Telecom of Washington, LLC;Broadwing Communications, LLC;WilTel Communications, LLC;Global Crossing Local Services, Inc.;Global Crossing Telecommunications, Inc.</CaseCompanyNames>
    <Nickname xmlns="http://schemas.microsoft.com/sharepoint/v3" xsi:nil="true"/>
    <DocketNumber xmlns="dc463f71-b30c-4ab2-9473-d307f9d35888">170042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738778C-BB2C-4802-AF00-80D2D9CD1D71}">
  <ds:schemaRefs>
    <ds:schemaRef ds:uri="http://schemas.openxmlformats.org/officeDocument/2006/bibliography"/>
  </ds:schemaRefs>
</ds:datastoreItem>
</file>

<file path=customXml/itemProps2.xml><?xml version="1.0" encoding="utf-8"?>
<ds:datastoreItem xmlns:ds="http://schemas.openxmlformats.org/officeDocument/2006/customXml" ds:itemID="{2F6B1F1D-0A5E-4D90-9CF0-35875E3EB96E}"/>
</file>

<file path=customXml/itemProps3.xml><?xml version="1.0" encoding="utf-8"?>
<ds:datastoreItem xmlns:ds="http://schemas.openxmlformats.org/officeDocument/2006/customXml" ds:itemID="{1765FACE-FB2D-4A1C-AB5E-F79D62CE80F1}"/>
</file>

<file path=customXml/itemProps4.xml><?xml version="1.0" encoding="utf-8"?>
<ds:datastoreItem xmlns:ds="http://schemas.openxmlformats.org/officeDocument/2006/customXml" ds:itemID="{9E8D4FEB-616F-4F8F-91A5-D32640E49287}"/>
</file>

<file path=customXml/itemProps5.xml><?xml version="1.0" encoding="utf-8"?>
<ds:datastoreItem xmlns:ds="http://schemas.openxmlformats.org/officeDocument/2006/customXml" ds:itemID="{41321BEA-0D62-470B-B2F6-A3073F51F009}"/>
</file>

<file path=docProps/app.xml><?xml version="1.0" encoding="utf-8"?>
<Properties xmlns="http://schemas.openxmlformats.org/officeDocument/2006/extended-properties" xmlns:vt="http://schemas.openxmlformats.org/officeDocument/2006/docPropsVTypes">
  <Template>Normal.dotm</Template>
  <TotalTime>20</TotalTime>
  <Pages>12</Pages>
  <Words>2163</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STATE OF MINNESOTA</vt:lpstr>
    </vt:vector>
  </TitlesOfParts>
  <Company>Qwest Communications</Company>
  <LinksUpToDate>false</LinksUpToDate>
  <CharactersWithSpaces>15230</CharactersWithSpaces>
  <SharedDoc>false</SharedDoc>
  <HLinks>
    <vt:vector size="36" baseType="variant">
      <vt:variant>
        <vt:i4>1245242</vt:i4>
      </vt:variant>
      <vt:variant>
        <vt:i4>32</vt:i4>
      </vt:variant>
      <vt:variant>
        <vt:i4>0</vt:i4>
      </vt:variant>
      <vt:variant>
        <vt:i4>5</vt:i4>
      </vt:variant>
      <vt:variant>
        <vt:lpwstr/>
      </vt:variant>
      <vt:variant>
        <vt:lpwstr>_Toc471289781</vt:lpwstr>
      </vt:variant>
      <vt:variant>
        <vt:i4>1245242</vt:i4>
      </vt:variant>
      <vt:variant>
        <vt:i4>26</vt:i4>
      </vt:variant>
      <vt:variant>
        <vt:i4>0</vt:i4>
      </vt:variant>
      <vt:variant>
        <vt:i4>5</vt:i4>
      </vt:variant>
      <vt:variant>
        <vt:lpwstr/>
      </vt:variant>
      <vt:variant>
        <vt:lpwstr>_Toc471289780</vt:lpwstr>
      </vt:variant>
      <vt:variant>
        <vt:i4>1835066</vt:i4>
      </vt:variant>
      <vt:variant>
        <vt:i4>20</vt:i4>
      </vt:variant>
      <vt:variant>
        <vt:i4>0</vt:i4>
      </vt:variant>
      <vt:variant>
        <vt:i4>5</vt:i4>
      </vt:variant>
      <vt:variant>
        <vt:lpwstr/>
      </vt:variant>
      <vt:variant>
        <vt:lpwstr>_Toc471289779</vt:lpwstr>
      </vt:variant>
      <vt:variant>
        <vt:i4>1835066</vt:i4>
      </vt:variant>
      <vt:variant>
        <vt:i4>14</vt:i4>
      </vt:variant>
      <vt:variant>
        <vt:i4>0</vt:i4>
      </vt:variant>
      <vt:variant>
        <vt:i4>5</vt:i4>
      </vt:variant>
      <vt:variant>
        <vt:lpwstr/>
      </vt:variant>
      <vt:variant>
        <vt:lpwstr>_Toc471289778</vt:lpwstr>
      </vt:variant>
      <vt:variant>
        <vt:i4>1835066</vt:i4>
      </vt:variant>
      <vt:variant>
        <vt:i4>8</vt:i4>
      </vt:variant>
      <vt:variant>
        <vt:i4>0</vt:i4>
      </vt:variant>
      <vt:variant>
        <vt:i4>5</vt:i4>
      </vt:variant>
      <vt:variant>
        <vt:lpwstr/>
      </vt:variant>
      <vt:variant>
        <vt:lpwstr>_Toc471289777</vt:lpwstr>
      </vt:variant>
      <vt:variant>
        <vt:i4>1835066</vt:i4>
      </vt:variant>
      <vt:variant>
        <vt:i4>2</vt:i4>
      </vt:variant>
      <vt:variant>
        <vt:i4>0</vt:i4>
      </vt:variant>
      <vt:variant>
        <vt:i4>5</vt:i4>
      </vt:variant>
      <vt:variant>
        <vt:lpwstr/>
      </vt:variant>
      <vt:variant>
        <vt:lpwstr>_Toc471289776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Qwest</dc:creator>
  <cp:lastModifiedBy>CenturyLink Employee</cp:lastModifiedBy>
  <cp:revision>4</cp:revision>
  <cp:lastPrinted>2017-02-10T20:29:00Z</cp:lastPrinted>
  <dcterms:created xsi:type="dcterms:W3CDTF">2017-02-10T00:05:00Z</dcterms:created>
  <dcterms:modified xsi:type="dcterms:W3CDTF">2017-02-10T21:09:00Z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0x0101006E56B4D1795A2E4DB2F0B01679ED314A007CFF17F3D31B184CABF974A4538DC2FE</vt:lpwstr>
  </property>
  <property fmtid="{D5CDD505-2E9C-101B-9397-08002B2CF9AE}" pid="4" name="_docset_NoMedatataSyncRequired">
    <vt:lpwstr>False</vt:lpwstr>
  </property>
  <property fmtid="{D5CDD505-2E9C-101B-9397-08002B2CF9AE}" pid="5" name="IsEFSEC">
    <vt:bool>false</vt:bool>
  </property>
</Properties>
</file>