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74CD5" w14:textId="77777777" w:rsidR="00244353" w:rsidRPr="00CB7F45" w:rsidRDefault="00244353" w:rsidP="00BF6877">
      <w:pPr>
        <w:pStyle w:val="Title"/>
        <w:tabs>
          <w:tab w:val="left" w:pos="2520"/>
          <w:tab w:val="left" w:pos="2610"/>
        </w:tabs>
        <w:spacing w:line="264" w:lineRule="auto"/>
        <w:rPr>
          <w:rFonts w:ascii="Times New Roman" w:hAnsi="Times New Roman"/>
          <w:sz w:val="25"/>
          <w:szCs w:val="25"/>
        </w:rPr>
      </w:pPr>
      <w:r w:rsidRPr="00CB7F45">
        <w:rPr>
          <w:rFonts w:ascii="Times New Roman" w:hAnsi="Times New Roman"/>
          <w:sz w:val="25"/>
          <w:szCs w:val="25"/>
        </w:rPr>
        <w:t>BEFORE THE WASHINGTON</w:t>
      </w:r>
    </w:p>
    <w:p w14:paraId="70AB53BA" w14:textId="77777777" w:rsidR="00244353" w:rsidRPr="00CB7F45" w:rsidRDefault="00244353" w:rsidP="00BF6877">
      <w:pPr>
        <w:pStyle w:val="Heading2"/>
        <w:spacing w:line="264" w:lineRule="auto"/>
        <w:rPr>
          <w:rFonts w:ascii="Times New Roman" w:hAnsi="Times New Roman"/>
          <w:sz w:val="25"/>
          <w:szCs w:val="25"/>
        </w:rPr>
      </w:pPr>
      <w:r w:rsidRPr="00CB7F45">
        <w:rPr>
          <w:rFonts w:ascii="Times New Roman" w:hAnsi="Times New Roman"/>
          <w:sz w:val="25"/>
          <w:szCs w:val="25"/>
        </w:rPr>
        <w:t>UTILITIES AND TRANSPORTATION COMMISSION</w:t>
      </w:r>
    </w:p>
    <w:p w14:paraId="04412050" w14:textId="77777777" w:rsidR="00756B88" w:rsidRDefault="00756B88" w:rsidP="00BF6877">
      <w:pPr>
        <w:spacing w:line="264" w:lineRule="auto"/>
        <w:rPr>
          <w:rFonts w:ascii="Times New Roman" w:hAnsi="Times New Roman"/>
          <w:sz w:val="25"/>
          <w:szCs w:val="25"/>
        </w:rPr>
      </w:pPr>
    </w:p>
    <w:tbl>
      <w:tblPr>
        <w:tblW w:w="0" w:type="auto"/>
        <w:tblLook w:val="0000" w:firstRow="0" w:lastRow="0" w:firstColumn="0" w:lastColumn="0" w:noHBand="0" w:noVBand="0"/>
      </w:tblPr>
      <w:tblGrid>
        <w:gridCol w:w="4131"/>
        <w:gridCol w:w="357"/>
        <w:gridCol w:w="4152"/>
      </w:tblGrid>
      <w:tr w:rsidR="004418F4" w:rsidRPr="00F96C21" w14:paraId="2C20407E" w14:textId="77777777" w:rsidTr="00F96C21">
        <w:tc>
          <w:tcPr>
            <w:tcW w:w="4131" w:type="dxa"/>
          </w:tcPr>
          <w:p w14:paraId="479DDA16" w14:textId="6FEFB065" w:rsidR="001828F3" w:rsidRDefault="00F96C21" w:rsidP="00BF6877">
            <w:pPr>
              <w:spacing w:line="264" w:lineRule="auto"/>
              <w:rPr>
                <w:rFonts w:ascii="Times New Roman" w:hAnsi="Times New Roman"/>
                <w:bCs/>
              </w:rPr>
            </w:pPr>
            <w:r w:rsidRPr="00F96C21">
              <w:rPr>
                <w:rFonts w:ascii="Times New Roman" w:hAnsi="Times New Roman"/>
              </w:rPr>
              <w:t>In the Matter of the Petition of James and Clifford Courtney for a Declaratory Order on the Applicability of Wash. Rev. Code § 81.84.010(1) and Wash. Admin. Code § 480-51-025(2)</w:t>
            </w:r>
            <w:r w:rsidR="001828F3" w:rsidRPr="00F96C21">
              <w:rPr>
                <w:rFonts w:ascii="Times New Roman" w:hAnsi="Times New Roman"/>
                <w:bCs/>
              </w:rPr>
              <w:t>.</w:t>
            </w:r>
          </w:p>
          <w:p w14:paraId="3F3235A7" w14:textId="77777777" w:rsidR="00756B88" w:rsidRPr="00F96C21" w:rsidRDefault="00756B88" w:rsidP="00BF6877">
            <w:pPr>
              <w:spacing w:line="264" w:lineRule="auto"/>
              <w:rPr>
                <w:rFonts w:ascii="Times New Roman" w:hAnsi="Times New Roman"/>
                <w:bCs/>
              </w:rPr>
            </w:pPr>
          </w:p>
          <w:p w14:paraId="0DC44C72" w14:textId="3F011410" w:rsidR="00244353" w:rsidRPr="00F96C21" w:rsidRDefault="00244353" w:rsidP="00BF6877">
            <w:pPr>
              <w:tabs>
                <w:tab w:val="left" w:pos="2160"/>
              </w:tabs>
              <w:spacing w:line="264" w:lineRule="auto"/>
              <w:rPr>
                <w:rFonts w:ascii="Times New Roman" w:hAnsi="Times New Roman"/>
              </w:rPr>
            </w:pPr>
            <w:r w:rsidRPr="00F96C21">
              <w:rPr>
                <w:rFonts w:ascii="Times New Roman" w:hAnsi="Times New Roman"/>
              </w:rPr>
              <w:t xml:space="preserve">. . . . . . . . . . . . . . . . . . . . . . . . . . . . . . . . </w:t>
            </w:r>
            <w:r w:rsidR="00F96C21">
              <w:rPr>
                <w:rFonts w:ascii="Times New Roman" w:hAnsi="Times New Roman"/>
              </w:rPr>
              <w:t xml:space="preserve">. </w:t>
            </w:r>
          </w:p>
        </w:tc>
        <w:tc>
          <w:tcPr>
            <w:tcW w:w="357" w:type="dxa"/>
          </w:tcPr>
          <w:p w14:paraId="3EB56BB5" w14:textId="77777777" w:rsidR="00244353" w:rsidRPr="00F96C21" w:rsidRDefault="00244353" w:rsidP="00BF6877">
            <w:pPr>
              <w:spacing w:line="264" w:lineRule="auto"/>
              <w:rPr>
                <w:rFonts w:ascii="Times New Roman" w:hAnsi="Times New Roman"/>
              </w:rPr>
            </w:pPr>
            <w:r w:rsidRPr="00F96C21">
              <w:rPr>
                <w:rFonts w:ascii="Times New Roman" w:hAnsi="Times New Roman"/>
              </w:rPr>
              <w:t>)</w:t>
            </w:r>
          </w:p>
          <w:p w14:paraId="50F1E4BB" w14:textId="77777777" w:rsidR="00244353" w:rsidRPr="00F96C21" w:rsidRDefault="00244353" w:rsidP="00BF6877">
            <w:pPr>
              <w:spacing w:line="264" w:lineRule="auto"/>
              <w:rPr>
                <w:rFonts w:ascii="Times New Roman" w:hAnsi="Times New Roman"/>
              </w:rPr>
            </w:pPr>
            <w:r w:rsidRPr="00F96C21">
              <w:rPr>
                <w:rFonts w:ascii="Times New Roman" w:hAnsi="Times New Roman"/>
              </w:rPr>
              <w:t>)</w:t>
            </w:r>
          </w:p>
          <w:p w14:paraId="6AE0BBF0" w14:textId="77777777" w:rsidR="00244353" w:rsidRPr="00F96C21" w:rsidRDefault="00244353" w:rsidP="00BF6877">
            <w:pPr>
              <w:spacing w:line="264" w:lineRule="auto"/>
              <w:rPr>
                <w:rFonts w:ascii="Times New Roman" w:hAnsi="Times New Roman"/>
              </w:rPr>
            </w:pPr>
            <w:r w:rsidRPr="00F96C21">
              <w:rPr>
                <w:rFonts w:ascii="Times New Roman" w:hAnsi="Times New Roman"/>
              </w:rPr>
              <w:t>)</w:t>
            </w:r>
          </w:p>
          <w:p w14:paraId="4A96D681" w14:textId="77777777" w:rsidR="00244353" w:rsidRPr="00F96C21" w:rsidRDefault="00244353" w:rsidP="00BF6877">
            <w:pPr>
              <w:spacing w:line="264" w:lineRule="auto"/>
              <w:rPr>
                <w:rFonts w:ascii="Times New Roman" w:hAnsi="Times New Roman"/>
              </w:rPr>
            </w:pPr>
            <w:r w:rsidRPr="00F96C21">
              <w:rPr>
                <w:rFonts w:ascii="Times New Roman" w:hAnsi="Times New Roman"/>
              </w:rPr>
              <w:t>)</w:t>
            </w:r>
          </w:p>
          <w:p w14:paraId="17AFF77F" w14:textId="77777777" w:rsidR="00244353" w:rsidRPr="00F96C21" w:rsidRDefault="003D6E0E" w:rsidP="00BF6877">
            <w:pPr>
              <w:spacing w:line="264" w:lineRule="auto"/>
              <w:rPr>
                <w:rFonts w:ascii="Times New Roman" w:hAnsi="Times New Roman"/>
              </w:rPr>
            </w:pPr>
            <w:r w:rsidRPr="00F96C21">
              <w:rPr>
                <w:rFonts w:ascii="Times New Roman" w:hAnsi="Times New Roman"/>
              </w:rPr>
              <w:t>)</w:t>
            </w:r>
          </w:p>
          <w:p w14:paraId="769DDA74" w14:textId="77777777" w:rsidR="00244353" w:rsidRDefault="00244353" w:rsidP="00BF6877">
            <w:pPr>
              <w:spacing w:line="264" w:lineRule="auto"/>
              <w:rPr>
                <w:rFonts w:ascii="Times New Roman" w:hAnsi="Times New Roman"/>
              </w:rPr>
            </w:pPr>
            <w:r w:rsidRPr="00F96C21">
              <w:rPr>
                <w:rFonts w:ascii="Times New Roman" w:hAnsi="Times New Roman"/>
              </w:rPr>
              <w:t>)</w:t>
            </w:r>
          </w:p>
          <w:p w14:paraId="0E3BC485" w14:textId="2EA43C4D" w:rsidR="001828F3" w:rsidRPr="00F96C21" w:rsidRDefault="00756B88" w:rsidP="00BF6877">
            <w:pPr>
              <w:spacing w:line="264" w:lineRule="auto"/>
              <w:rPr>
                <w:rFonts w:ascii="Times New Roman" w:hAnsi="Times New Roman"/>
              </w:rPr>
            </w:pPr>
            <w:r>
              <w:rPr>
                <w:rFonts w:ascii="Times New Roman" w:hAnsi="Times New Roman"/>
              </w:rPr>
              <w:t>)</w:t>
            </w:r>
          </w:p>
        </w:tc>
        <w:tc>
          <w:tcPr>
            <w:tcW w:w="4152" w:type="dxa"/>
          </w:tcPr>
          <w:p w14:paraId="25EECD1A" w14:textId="199D6663" w:rsidR="00244353" w:rsidRPr="00F96C21" w:rsidRDefault="00244353" w:rsidP="00BF6877">
            <w:pPr>
              <w:spacing w:line="264" w:lineRule="auto"/>
              <w:rPr>
                <w:rFonts w:ascii="Times New Roman" w:hAnsi="Times New Roman"/>
              </w:rPr>
            </w:pPr>
            <w:r w:rsidRPr="00F96C21">
              <w:rPr>
                <w:rFonts w:ascii="Times New Roman" w:hAnsi="Times New Roman"/>
              </w:rPr>
              <w:t>DOCKET</w:t>
            </w:r>
            <w:r w:rsidR="00367033" w:rsidRPr="00F96C21">
              <w:rPr>
                <w:rFonts w:ascii="Times New Roman" w:hAnsi="Times New Roman"/>
              </w:rPr>
              <w:t xml:space="preserve"> </w:t>
            </w:r>
            <w:r w:rsidR="001828F3" w:rsidRPr="00F96C21">
              <w:rPr>
                <w:rFonts w:ascii="Times New Roman" w:hAnsi="Times New Roman"/>
              </w:rPr>
              <w:t>T</w:t>
            </w:r>
            <w:r w:rsidR="00F96C21" w:rsidRPr="00F96C21">
              <w:rPr>
                <w:rFonts w:ascii="Times New Roman" w:hAnsi="Times New Roman"/>
              </w:rPr>
              <w:t>S</w:t>
            </w:r>
            <w:r w:rsidR="001828F3" w:rsidRPr="00F96C21">
              <w:rPr>
                <w:rFonts w:ascii="Times New Roman" w:hAnsi="Times New Roman"/>
              </w:rPr>
              <w:t>-1</w:t>
            </w:r>
            <w:r w:rsidR="00F96C21" w:rsidRPr="00F96C21">
              <w:rPr>
                <w:rFonts w:ascii="Times New Roman" w:hAnsi="Times New Roman"/>
              </w:rPr>
              <w:t>51359</w:t>
            </w:r>
          </w:p>
          <w:p w14:paraId="553F2D6B" w14:textId="77777777" w:rsidR="00244353" w:rsidRPr="00F96C21" w:rsidRDefault="00244353" w:rsidP="00BF6877">
            <w:pPr>
              <w:spacing w:line="264" w:lineRule="auto"/>
              <w:rPr>
                <w:rFonts w:ascii="Times New Roman" w:hAnsi="Times New Roman"/>
              </w:rPr>
            </w:pPr>
          </w:p>
          <w:p w14:paraId="73BE4CF1" w14:textId="53D657AD" w:rsidR="00244353" w:rsidRPr="00F96C21" w:rsidRDefault="00FD0989" w:rsidP="00BF6877">
            <w:pPr>
              <w:spacing w:line="264" w:lineRule="auto"/>
              <w:rPr>
                <w:rFonts w:ascii="Times New Roman" w:hAnsi="Times New Roman"/>
              </w:rPr>
            </w:pPr>
            <w:r w:rsidRPr="00F96C21">
              <w:rPr>
                <w:rFonts w:ascii="Times New Roman" w:hAnsi="Times New Roman"/>
              </w:rPr>
              <w:t>ORDER 0</w:t>
            </w:r>
            <w:r w:rsidR="00F96C21" w:rsidRPr="00F96C21">
              <w:rPr>
                <w:rFonts w:ascii="Times New Roman" w:hAnsi="Times New Roman"/>
              </w:rPr>
              <w:t>1</w:t>
            </w:r>
          </w:p>
          <w:p w14:paraId="669AA90B" w14:textId="77777777" w:rsidR="000B2D05" w:rsidRPr="00F96C21" w:rsidRDefault="000B2D05" w:rsidP="00BF6877">
            <w:pPr>
              <w:spacing w:line="264" w:lineRule="auto"/>
              <w:rPr>
                <w:rFonts w:ascii="Times New Roman" w:hAnsi="Times New Roman"/>
              </w:rPr>
            </w:pPr>
          </w:p>
          <w:p w14:paraId="0FE7010E" w14:textId="03EBD4C2" w:rsidR="00244353" w:rsidRPr="00F96C21" w:rsidRDefault="00F96C21" w:rsidP="00BF6877">
            <w:pPr>
              <w:spacing w:line="264" w:lineRule="auto"/>
              <w:rPr>
                <w:rFonts w:ascii="Times New Roman" w:hAnsi="Times New Roman"/>
              </w:rPr>
            </w:pPr>
            <w:r w:rsidRPr="00F96C21">
              <w:rPr>
                <w:rFonts w:ascii="Times New Roman" w:hAnsi="Times New Roman"/>
              </w:rPr>
              <w:t xml:space="preserve">DECLARATORY </w:t>
            </w:r>
            <w:r w:rsidR="00E437A4" w:rsidRPr="00F96C21">
              <w:rPr>
                <w:rFonts w:ascii="Times New Roman" w:hAnsi="Times New Roman"/>
              </w:rPr>
              <w:t>ORDER</w:t>
            </w:r>
          </w:p>
        </w:tc>
      </w:tr>
    </w:tbl>
    <w:p w14:paraId="1826EE54" w14:textId="77777777" w:rsidR="005318FE" w:rsidRPr="00F96C21" w:rsidRDefault="005318FE" w:rsidP="00BF6877">
      <w:pPr>
        <w:spacing w:line="264" w:lineRule="auto"/>
        <w:rPr>
          <w:rFonts w:ascii="Times New Roman" w:hAnsi="Times New Roman"/>
        </w:rPr>
      </w:pPr>
    </w:p>
    <w:p w14:paraId="149FA863" w14:textId="5F1568DF" w:rsidR="00601D76" w:rsidRDefault="00DA3C37" w:rsidP="00BF6877">
      <w:pPr>
        <w:spacing w:line="288" w:lineRule="auto"/>
        <w:jc w:val="center"/>
        <w:rPr>
          <w:rFonts w:ascii="Times New Roman" w:hAnsi="Times New Roman"/>
          <w:b/>
          <w:bCs/>
        </w:rPr>
      </w:pPr>
      <w:r w:rsidRPr="00F96C21">
        <w:rPr>
          <w:rFonts w:ascii="Times New Roman" w:hAnsi="Times New Roman"/>
          <w:b/>
          <w:bCs/>
        </w:rPr>
        <w:t>BACKGROUND</w:t>
      </w:r>
    </w:p>
    <w:p w14:paraId="7C2E3BC9" w14:textId="77777777" w:rsidR="00756B88" w:rsidRPr="00A22306" w:rsidRDefault="00756B88" w:rsidP="00BF6877">
      <w:pPr>
        <w:spacing w:line="288" w:lineRule="auto"/>
        <w:jc w:val="center"/>
        <w:rPr>
          <w:rFonts w:ascii="Times New Roman" w:hAnsi="Times New Roman"/>
          <w:b/>
          <w:bCs/>
        </w:rPr>
      </w:pPr>
    </w:p>
    <w:p w14:paraId="5AA5399B" w14:textId="7A614DAB" w:rsidR="001A2A27" w:rsidRDefault="001A2A27" w:rsidP="00BF6877">
      <w:pPr>
        <w:numPr>
          <w:ilvl w:val="0"/>
          <w:numId w:val="1"/>
        </w:numPr>
        <w:spacing w:line="288" w:lineRule="auto"/>
        <w:ind w:hanging="720"/>
        <w:rPr>
          <w:rFonts w:ascii="Times New Roman" w:hAnsi="Times New Roman"/>
        </w:rPr>
      </w:pPr>
      <w:r w:rsidRPr="001A2A27">
        <w:rPr>
          <w:rFonts w:ascii="Times New Roman" w:hAnsi="Times New Roman"/>
        </w:rPr>
        <w:t xml:space="preserve">On July 1, 2015, James and Clifford Courtney (collectively, </w:t>
      </w:r>
      <w:r w:rsidR="0005469E">
        <w:rPr>
          <w:rFonts w:ascii="Times New Roman" w:hAnsi="Times New Roman"/>
        </w:rPr>
        <w:t>Courtneys</w:t>
      </w:r>
      <w:r w:rsidRPr="001A2A27">
        <w:rPr>
          <w:rFonts w:ascii="Times New Roman" w:hAnsi="Times New Roman"/>
        </w:rPr>
        <w:t>) jointly filed with the Washington Utilities and Transportation Commission (Commission) a Petition for a Declaratory Order (Petition)</w:t>
      </w:r>
      <w:r w:rsidR="008A6F16">
        <w:rPr>
          <w:rFonts w:ascii="Times New Roman" w:hAnsi="Times New Roman"/>
        </w:rPr>
        <w:t>. The Petition seeks an order</w:t>
      </w:r>
      <w:r w:rsidRPr="001A2A27">
        <w:rPr>
          <w:rFonts w:ascii="Times New Roman" w:hAnsi="Times New Roman"/>
        </w:rPr>
        <w:t xml:space="preserve"> </w:t>
      </w:r>
      <w:r w:rsidR="00A22306">
        <w:rPr>
          <w:rFonts w:ascii="Times New Roman" w:hAnsi="Times New Roman"/>
        </w:rPr>
        <w:t>on</w:t>
      </w:r>
      <w:r w:rsidRPr="001A2A27">
        <w:rPr>
          <w:rFonts w:ascii="Times New Roman" w:hAnsi="Times New Roman"/>
        </w:rPr>
        <w:t xml:space="preserve"> the applicability of the certificate of public convenience and necessity </w:t>
      </w:r>
      <w:r w:rsidR="00D46483">
        <w:rPr>
          <w:rFonts w:ascii="Times New Roman" w:hAnsi="Times New Roman"/>
        </w:rPr>
        <w:t xml:space="preserve">(CPCN) </w:t>
      </w:r>
      <w:r w:rsidRPr="001A2A27">
        <w:rPr>
          <w:rFonts w:ascii="Times New Roman" w:hAnsi="Times New Roman"/>
        </w:rPr>
        <w:t>requirement set forth in RCW 81.84.010(1) and WAC 480-51-025(2) to boat transportation service on Lake Chelan for customers or patrons of specific businesses or groups of businesses</w:t>
      </w:r>
      <w:r w:rsidR="002437EE" w:rsidRPr="001A2A27">
        <w:rPr>
          <w:rFonts w:ascii="Times New Roman" w:hAnsi="Times New Roman"/>
        </w:rPr>
        <w:t xml:space="preserve">. </w:t>
      </w:r>
      <w:r w:rsidR="006512D4" w:rsidRPr="001A2A27">
        <w:rPr>
          <w:rFonts w:ascii="Times New Roman" w:hAnsi="Times New Roman"/>
        </w:rPr>
        <w:t xml:space="preserve"> </w:t>
      </w:r>
    </w:p>
    <w:p w14:paraId="1029B3EB" w14:textId="77777777" w:rsidR="00756B88" w:rsidRDefault="00756B88" w:rsidP="00BF6877">
      <w:pPr>
        <w:spacing w:line="288" w:lineRule="auto"/>
        <w:rPr>
          <w:rFonts w:ascii="Times New Roman" w:hAnsi="Times New Roman"/>
        </w:rPr>
      </w:pPr>
    </w:p>
    <w:p w14:paraId="6B54A022" w14:textId="01EDA311" w:rsidR="0005469E" w:rsidRDefault="0005469E" w:rsidP="00BF6877">
      <w:pPr>
        <w:numPr>
          <w:ilvl w:val="0"/>
          <w:numId w:val="1"/>
        </w:numPr>
        <w:spacing w:line="288" w:lineRule="auto"/>
        <w:ind w:hanging="720"/>
        <w:rPr>
          <w:rFonts w:ascii="Times New Roman" w:hAnsi="Times New Roman"/>
        </w:rPr>
      </w:pPr>
      <w:r>
        <w:rPr>
          <w:rFonts w:ascii="Times New Roman" w:hAnsi="Times New Roman"/>
        </w:rPr>
        <w:t>The Courtneys propose five alternative services they would offer from Memorial Day weekend through early October</w:t>
      </w:r>
      <w:r w:rsidR="008A6F16">
        <w:rPr>
          <w:rFonts w:ascii="Times New Roman" w:hAnsi="Times New Roman"/>
        </w:rPr>
        <w:t xml:space="preserve"> each year</w:t>
      </w:r>
      <w:r>
        <w:rPr>
          <w:rFonts w:ascii="Times New Roman" w:hAnsi="Times New Roman"/>
        </w:rPr>
        <w:t>. At th</w:t>
      </w:r>
      <w:bookmarkStart w:id="0" w:name="_GoBack"/>
      <w:bookmarkEnd w:id="0"/>
      <w:r>
        <w:rPr>
          <w:rFonts w:ascii="Times New Roman" w:hAnsi="Times New Roman"/>
        </w:rPr>
        <w:t xml:space="preserve">e core of each service is a scheduled run between the federally-owned dock in Stehekin and the federally-owned dock in either Fields Point Landing or Manson Bay Marina. </w:t>
      </w:r>
      <w:r w:rsidR="00A940EC">
        <w:rPr>
          <w:rFonts w:ascii="Times New Roman" w:hAnsi="Times New Roman"/>
        </w:rPr>
        <w:t xml:space="preserve">The boat would leave Stehekin at 10:00 a.m. and arrive at noon, then leave Fields Point or Manson Bay at 12:30 p.m. and arrive in Stehekin at 2:30 p.m. The Courtneys propose a one-way fare of $37 for each adult passenger or $74 round </w:t>
      </w:r>
      <w:r>
        <w:rPr>
          <w:rFonts w:ascii="Times New Roman" w:hAnsi="Times New Roman"/>
        </w:rPr>
        <w:t>trip. The primary difference among the five routes are the types of passengers the boat would carry:</w:t>
      </w:r>
    </w:p>
    <w:p w14:paraId="2AE7FF43" w14:textId="77777777" w:rsidR="00756B88" w:rsidRDefault="00756B88" w:rsidP="00BF6877">
      <w:pPr>
        <w:spacing w:line="288" w:lineRule="auto"/>
        <w:rPr>
          <w:rFonts w:ascii="Times New Roman" w:hAnsi="Times New Roman"/>
        </w:rPr>
      </w:pPr>
    </w:p>
    <w:p w14:paraId="61B42AB3" w14:textId="4745DBB3" w:rsidR="0005469E" w:rsidRDefault="0005469E" w:rsidP="00BF6877">
      <w:pPr>
        <w:pStyle w:val="ListParagraph"/>
        <w:spacing w:line="288" w:lineRule="auto"/>
        <w:ind w:right="720"/>
        <w:rPr>
          <w:rFonts w:ascii="Times New Roman" w:hAnsi="Times New Roman"/>
        </w:rPr>
      </w:pPr>
      <w:r w:rsidRPr="0005469E">
        <w:rPr>
          <w:rFonts w:ascii="Times New Roman" w:hAnsi="Times New Roman"/>
        </w:rPr>
        <w:t xml:space="preserve">Proposal 1 </w:t>
      </w:r>
      <w:r w:rsidR="00A940EC">
        <w:rPr>
          <w:rFonts w:ascii="Times New Roman" w:hAnsi="Times New Roman"/>
        </w:rPr>
        <w:t>(Lodging Customers of Stehekin Valley Ranch)</w:t>
      </w:r>
      <w:r w:rsidR="00A940EC" w:rsidRPr="0005469E">
        <w:rPr>
          <w:rFonts w:ascii="Times New Roman" w:hAnsi="Times New Roman"/>
        </w:rPr>
        <w:t xml:space="preserve"> – Passengers would be limited to persons with confirmed reservations to stay overnight at Stehekin Valley Ranch</w:t>
      </w:r>
      <w:r w:rsidR="00A940EC">
        <w:rPr>
          <w:rFonts w:ascii="Times New Roman" w:hAnsi="Times New Roman"/>
        </w:rPr>
        <w:t>, owned by Clifford Courtney and his wife</w:t>
      </w:r>
      <w:r w:rsidR="00A940EC" w:rsidRPr="0005469E">
        <w:rPr>
          <w:rFonts w:ascii="Times New Roman" w:hAnsi="Times New Roman"/>
        </w:rPr>
        <w:t xml:space="preserve">. </w:t>
      </w:r>
      <w:r w:rsidR="00A940EC">
        <w:rPr>
          <w:rFonts w:ascii="Times New Roman" w:hAnsi="Times New Roman"/>
        </w:rPr>
        <w:t xml:space="preserve"> The boat transportation service would be owned by Clifford Courtney, and make no intermediate </w:t>
      </w:r>
      <w:r w:rsidRPr="0005469E">
        <w:rPr>
          <w:rFonts w:ascii="Times New Roman" w:hAnsi="Times New Roman"/>
        </w:rPr>
        <w:t>stops.</w:t>
      </w:r>
    </w:p>
    <w:p w14:paraId="0CA1AFAF" w14:textId="77777777" w:rsidR="00756B88" w:rsidRPr="0005469E" w:rsidRDefault="00756B88" w:rsidP="00BF6877">
      <w:pPr>
        <w:pStyle w:val="ListParagraph"/>
        <w:spacing w:line="288" w:lineRule="auto"/>
        <w:ind w:right="720"/>
        <w:rPr>
          <w:rFonts w:ascii="Times New Roman" w:hAnsi="Times New Roman"/>
        </w:rPr>
      </w:pPr>
    </w:p>
    <w:p w14:paraId="57D6F7EE" w14:textId="7592B47C" w:rsidR="0005469E" w:rsidRDefault="0005469E" w:rsidP="00BF6877">
      <w:pPr>
        <w:pStyle w:val="ListParagraph"/>
        <w:spacing w:line="288" w:lineRule="auto"/>
        <w:ind w:right="720"/>
        <w:rPr>
          <w:rFonts w:ascii="Times New Roman" w:hAnsi="Times New Roman"/>
        </w:rPr>
      </w:pPr>
      <w:r w:rsidRPr="0005469E">
        <w:rPr>
          <w:rFonts w:ascii="Times New Roman" w:hAnsi="Times New Roman"/>
        </w:rPr>
        <w:t xml:space="preserve">Proposal 2 </w:t>
      </w:r>
      <w:r w:rsidR="00A940EC">
        <w:rPr>
          <w:rFonts w:ascii="Times New Roman" w:hAnsi="Times New Roman"/>
        </w:rPr>
        <w:t>(Lodging Customers and Customers of Other Activities Offered at Stehekin Valley Ranch)</w:t>
      </w:r>
      <w:r w:rsidR="00A940EC" w:rsidRPr="0005469E">
        <w:rPr>
          <w:rFonts w:ascii="Times New Roman" w:hAnsi="Times New Roman"/>
        </w:rPr>
        <w:t xml:space="preserve"> – In addition to persons with reservations to stay at the ranch, passengers would include anyone with reservations to participate in any of the activities the ranch offers</w:t>
      </w:r>
      <w:r w:rsidR="00A940EC">
        <w:rPr>
          <w:rFonts w:ascii="Times New Roman" w:hAnsi="Times New Roman"/>
        </w:rPr>
        <w:t xml:space="preserve">, </w:t>
      </w:r>
      <w:r w:rsidR="00A940EC">
        <w:rPr>
          <w:rFonts w:ascii="Times New Roman" w:hAnsi="Times New Roman"/>
        </w:rPr>
        <w:lastRenderedPageBreak/>
        <w:t>including activities provided by Stehekin Outfitters, run in part by Clifford Courtney’s son</w:t>
      </w:r>
      <w:r w:rsidR="00A22306">
        <w:rPr>
          <w:rFonts w:ascii="Times New Roman" w:hAnsi="Times New Roman"/>
        </w:rPr>
        <w:t>.</w:t>
      </w:r>
      <w:r w:rsidR="00A940EC">
        <w:rPr>
          <w:rFonts w:ascii="Times New Roman" w:hAnsi="Times New Roman"/>
        </w:rPr>
        <w:t xml:space="preserve"> Again, the boat transportation service would be owned by Clifford Courtney and </w:t>
      </w:r>
      <w:r w:rsidR="00A22306">
        <w:rPr>
          <w:rFonts w:ascii="Times New Roman" w:hAnsi="Times New Roman"/>
        </w:rPr>
        <w:t xml:space="preserve">would </w:t>
      </w:r>
      <w:r w:rsidR="00A940EC">
        <w:rPr>
          <w:rFonts w:ascii="Times New Roman" w:hAnsi="Times New Roman"/>
        </w:rPr>
        <w:t>make no intermediat</w:t>
      </w:r>
      <w:r w:rsidRPr="0005469E">
        <w:rPr>
          <w:rFonts w:ascii="Times New Roman" w:hAnsi="Times New Roman"/>
        </w:rPr>
        <w:t>e stops.</w:t>
      </w:r>
    </w:p>
    <w:p w14:paraId="31DD9123" w14:textId="77777777" w:rsidR="00756B88" w:rsidRPr="0005469E" w:rsidRDefault="00756B88" w:rsidP="00BF6877">
      <w:pPr>
        <w:pStyle w:val="ListParagraph"/>
        <w:spacing w:line="288" w:lineRule="auto"/>
        <w:ind w:right="720"/>
        <w:rPr>
          <w:rFonts w:ascii="Times New Roman" w:hAnsi="Times New Roman"/>
        </w:rPr>
      </w:pPr>
    </w:p>
    <w:p w14:paraId="6CF25CAB" w14:textId="0F370FCB" w:rsidR="0005469E" w:rsidRDefault="00A22306" w:rsidP="00BF6877">
      <w:pPr>
        <w:pStyle w:val="ListParagraph"/>
        <w:spacing w:line="288" w:lineRule="auto"/>
        <w:ind w:right="720"/>
        <w:rPr>
          <w:rFonts w:ascii="Times New Roman" w:hAnsi="Times New Roman"/>
        </w:rPr>
      </w:pPr>
      <w:r>
        <w:rPr>
          <w:rFonts w:ascii="Times New Roman" w:hAnsi="Times New Roman"/>
        </w:rPr>
        <w:t xml:space="preserve">Proposal 3 </w:t>
      </w:r>
      <w:r w:rsidR="00A940EC">
        <w:rPr>
          <w:rFonts w:ascii="Times New Roman" w:hAnsi="Times New Roman"/>
        </w:rPr>
        <w:t>(Customers of Courtney Family-owned Businesses)</w:t>
      </w:r>
      <w:r w:rsidR="00A940EC" w:rsidRPr="0005469E">
        <w:rPr>
          <w:rFonts w:ascii="Times New Roman" w:hAnsi="Times New Roman"/>
        </w:rPr>
        <w:t xml:space="preserve"> – Passengers would be limited to anyone with reservations at any </w:t>
      </w:r>
      <w:r w:rsidR="00A940EC">
        <w:rPr>
          <w:rFonts w:ascii="Times New Roman" w:hAnsi="Times New Roman"/>
        </w:rPr>
        <w:t xml:space="preserve">business owned by Clifford or James </w:t>
      </w:r>
      <w:r w:rsidR="00A940EC" w:rsidRPr="0005469E">
        <w:rPr>
          <w:rFonts w:ascii="Times New Roman" w:hAnsi="Times New Roman"/>
        </w:rPr>
        <w:t xml:space="preserve">Courtney </w:t>
      </w:r>
      <w:r w:rsidR="00A940EC">
        <w:rPr>
          <w:rFonts w:ascii="Times New Roman" w:hAnsi="Times New Roman"/>
        </w:rPr>
        <w:t xml:space="preserve">or their extended </w:t>
      </w:r>
      <w:r w:rsidR="00A940EC" w:rsidRPr="0005469E">
        <w:rPr>
          <w:rFonts w:ascii="Times New Roman" w:hAnsi="Times New Roman"/>
        </w:rPr>
        <w:t>family, including but not limited to the Stehekin Valley Ranch. The boat would make intermediate stops at, or stand-alone trips to, other points on Lake Chelan as necessary to access the businesses.</w:t>
      </w:r>
      <w:r w:rsidR="00A940EC">
        <w:rPr>
          <w:rFonts w:ascii="Times New Roman" w:hAnsi="Times New Roman"/>
        </w:rPr>
        <w:t xml:space="preserve"> The boat transportation service would be owned by James and Clifford Courtney</w:t>
      </w:r>
      <w:r w:rsidR="0005469E" w:rsidRPr="0005469E">
        <w:rPr>
          <w:rFonts w:ascii="Times New Roman" w:hAnsi="Times New Roman"/>
        </w:rPr>
        <w:t>.</w:t>
      </w:r>
    </w:p>
    <w:p w14:paraId="1C15A6E9" w14:textId="77777777" w:rsidR="00756B88" w:rsidRPr="0005469E" w:rsidRDefault="00756B88" w:rsidP="00BF6877">
      <w:pPr>
        <w:pStyle w:val="ListParagraph"/>
        <w:spacing w:line="288" w:lineRule="auto"/>
        <w:ind w:right="720"/>
        <w:rPr>
          <w:rFonts w:ascii="Times New Roman" w:hAnsi="Times New Roman"/>
        </w:rPr>
      </w:pPr>
    </w:p>
    <w:p w14:paraId="28DA0BF3" w14:textId="29AFEACD" w:rsidR="0005469E" w:rsidRDefault="00A22306" w:rsidP="00BF6877">
      <w:pPr>
        <w:pStyle w:val="ListParagraph"/>
        <w:spacing w:line="288" w:lineRule="auto"/>
        <w:ind w:right="720"/>
        <w:rPr>
          <w:rFonts w:ascii="Times New Roman" w:hAnsi="Times New Roman"/>
        </w:rPr>
      </w:pPr>
      <w:r>
        <w:rPr>
          <w:rFonts w:ascii="Times New Roman" w:hAnsi="Times New Roman"/>
        </w:rPr>
        <w:t xml:space="preserve">Proposal 4 </w:t>
      </w:r>
      <w:r w:rsidR="00A940EC">
        <w:rPr>
          <w:rFonts w:ascii="Times New Roman" w:hAnsi="Times New Roman"/>
        </w:rPr>
        <w:t>(Customers of Stehekin-Based Businesses)</w:t>
      </w:r>
      <w:r>
        <w:rPr>
          <w:rFonts w:ascii="Times New Roman" w:hAnsi="Times New Roman"/>
        </w:rPr>
        <w:t xml:space="preserve"> </w:t>
      </w:r>
      <w:r w:rsidR="00A940EC" w:rsidRPr="0005469E">
        <w:rPr>
          <w:rFonts w:ascii="Times New Roman" w:hAnsi="Times New Roman"/>
        </w:rPr>
        <w:t>– Passengers could be anyone with reservations at any Stehekin-based businesses that want to use the service, including but not limited to Courtney family-owned businesses. The boat would make intermediate stops at, or stand-alone trips to, other points on Lake Chelan as necessary to access the businesses.</w:t>
      </w:r>
      <w:r w:rsidR="00A940EC">
        <w:rPr>
          <w:rFonts w:ascii="Times New Roman" w:hAnsi="Times New Roman"/>
        </w:rPr>
        <w:t xml:space="preserve">  The boat transportation service would be owned by James and Clifford Courtney</w:t>
      </w:r>
      <w:r w:rsidR="0005469E" w:rsidRPr="0005469E">
        <w:rPr>
          <w:rFonts w:ascii="Times New Roman" w:hAnsi="Times New Roman"/>
        </w:rPr>
        <w:t>.</w:t>
      </w:r>
    </w:p>
    <w:p w14:paraId="05B0FF28" w14:textId="77777777" w:rsidR="00756B88" w:rsidRPr="0005469E" w:rsidRDefault="00756B88" w:rsidP="00BF6877">
      <w:pPr>
        <w:pStyle w:val="ListParagraph"/>
        <w:spacing w:line="288" w:lineRule="auto"/>
        <w:ind w:right="720"/>
        <w:rPr>
          <w:rFonts w:ascii="Times New Roman" w:hAnsi="Times New Roman"/>
        </w:rPr>
      </w:pPr>
    </w:p>
    <w:p w14:paraId="0BF8C542" w14:textId="11FFE539" w:rsidR="0005469E" w:rsidRDefault="00A22306" w:rsidP="00BF6877">
      <w:pPr>
        <w:pStyle w:val="ListParagraph"/>
        <w:spacing w:line="288" w:lineRule="auto"/>
        <w:ind w:right="720"/>
        <w:rPr>
          <w:rFonts w:ascii="Times New Roman" w:hAnsi="Times New Roman"/>
        </w:rPr>
      </w:pPr>
      <w:r>
        <w:rPr>
          <w:rFonts w:ascii="Times New Roman" w:hAnsi="Times New Roman"/>
        </w:rPr>
        <w:t>Proposal 5</w:t>
      </w:r>
      <w:r w:rsidR="0005469E" w:rsidRPr="0005469E">
        <w:rPr>
          <w:rFonts w:ascii="Times New Roman" w:hAnsi="Times New Roman"/>
        </w:rPr>
        <w:t xml:space="preserve"> </w:t>
      </w:r>
      <w:r w:rsidR="00A940EC">
        <w:rPr>
          <w:rFonts w:ascii="Times New Roman" w:hAnsi="Times New Roman"/>
        </w:rPr>
        <w:t>(Charter by Stehekin-based Travel Company)</w:t>
      </w:r>
      <w:r w:rsidR="00A940EC" w:rsidRPr="0005469E">
        <w:rPr>
          <w:rFonts w:ascii="Times New Roman" w:hAnsi="Times New Roman"/>
        </w:rPr>
        <w:t xml:space="preserve"> – Passengers would be restricted to persons who have purchased a travel package from a Stehekin-based travel agency that is not affiliated with the Courtneys</w:t>
      </w:r>
      <w:r w:rsidR="00A940EC">
        <w:rPr>
          <w:rFonts w:ascii="Times New Roman" w:hAnsi="Times New Roman"/>
        </w:rPr>
        <w:t xml:space="preserve"> but would charter the boat from the Courtneys</w:t>
      </w:r>
      <w:r w:rsidR="00A940EC" w:rsidRPr="0005469E">
        <w:rPr>
          <w:rFonts w:ascii="Times New Roman" w:hAnsi="Times New Roman"/>
        </w:rPr>
        <w:t>. The boat would make intermediate stops at, or stand-alone trips to, other points on Lake Chelan as necessary to access the travel locations.</w:t>
      </w:r>
      <w:r w:rsidR="00A940EC">
        <w:rPr>
          <w:rFonts w:ascii="Times New Roman" w:hAnsi="Times New Roman"/>
        </w:rPr>
        <w:t xml:space="preserve"> The boat transportation service would be owned by James and Clifford Courtney</w:t>
      </w:r>
      <w:r w:rsidR="0005469E" w:rsidRPr="0005469E">
        <w:rPr>
          <w:rFonts w:ascii="Times New Roman" w:hAnsi="Times New Roman"/>
        </w:rPr>
        <w:t>.</w:t>
      </w:r>
    </w:p>
    <w:p w14:paraId="72395215" w14:textId="77777777" w:rsidR="00756B88" w:rsidRDefault="00756B88" w:rsidP="00BF6877">
      <w:pPr>
        <w:pStyle w:val="ListParagraph"/>
        <w:spacing w:line="288" w:lineRule="auto"/>
        <w:ind w:right="720"/>
        <w:rPr>
          <w:rFonts w:ascii="Times New Roman" w:hAnsi="Times New Roman"/>
        </w:rPr>
      </w:pPr>
    </w:p>
    <w:p w14:paraId="467D1E88" w14:textId="543731E2" w:rsidR="0005469E" w:rsidRDefault="00D46483" w:rsidP="00BF6877">
      <w:pPr>
        <w:numPr>
          <w:ilvl w:val="0"/>
          <w:numId w:val="1"/>
        </w:numPr>
        <w:spacing w:line="288" w:lineRule="auto"/>
        <w:ind w:hanging="720"/>
        <w:rPr>
          <w:rFonts w:ascii="Times New Roman" w:hAnsi="Times New Roman"/>
        </w:rPr>
      </w:pPr>
      <w:r w:rsidRPr="00D46483">
        <w:rPr>
          <w:rFonts w:ascii="Times New Roman" w:eastAsia="Calibri" w:hAnsi="Times New Roman"/>
        </w:rPr>
        <w:t xml:space="preserve">The Courtneys contend that </w:t>
      </w:r>
      <w:r>
        <w:rPr>
          <w:rFonts w:ascii="Times New Roman" w:eastAsia="Calibri" w:hAnsi="Times New Roman"/>
        </w:rPr>
        <w:t xml:space="preserve">none of </w:t>
      </w:r>
      <w:r w:rsidRPr="00D46483">
        <w:rPr>
          <w:rFonts w:ascii="Times New Roman" w:eastAsia="Calibri" w:hAnsi="Times New Roman"/>
        </w:rPr>
        <w:t xml:space="preserve">the services they propose require a CPCN because </w:t>
      </w:r>
      <w:r>
        <w:rPr>
          <w:rFonts w:ascii="Times New Roman" w:eastAsia="Calibri" w:hAnsi="Times New Roman"/>
        </w:rPr>
        <w:t xml:space="preserve">they </w:t>
      </w:r>
      <w:r w:rsidRPr="00D46483">
        <w:rPr>
          <w:rFonts w:ascii="Times New Roman" w:eastAsia="Calibri" w:hAnsi="Times New Roman"/>
        </w:rPr>
        <w:t xml:space="preserve">would </w:t>
      </w:r>
      <w:r>
        <w:rPr>
          <w:rFonts w:ascii="Times New Roman" w:eastAsia="Calibri" w:hAnsi="Times New Roman"/>
        </w:rPr>
        <w:t xml:space="preserve">not </w:t>
      </w:r>
      <w:r w:rsidRPr="00D46483">
        <w:rPr>
          <w:rFonts w:ascii="Times New Roman" w:eastAsia="Calibri" w:hAnsi="Times New Roman"/>
        </w:rPr>
        <w:t xml:space="preserve">be “for the public use for hire” as that term is used in </w:t>
      </w:r>
      <w:r w:rsidR="00614220">
        <w:rPr>
          <w:rFonts w:ascii="Times New Roman" w:eastAsia="Calibri" w:hAnsi="Times New Roman"/>
        </w:rPr>
        <w:t>RCW 81.84.010(1)</w:t>
      </w:r>
      <w:r w:rsidRPr="00D46483">
        <w:rPr>
          <w:rFonts w:ascii="Times New Roman" w:eastAsia="Calibri" w:hAnsi="Times New Roman"/>
        </w:rPr>
        <w:t xml:space="preserve">. Passage would not be available to the public at large but would be limited to persons who are demonstrated customers of specific businesses. The Courtneys maintain that case law from other states establishes that such services are “private,” not </w:t>
      </w:r>
      <w:r w:rsidR="00600176">
        <w:rPr>
          <w:rFonts w:ascii="Times New Roman" w:eastAsia="Calibri" w:hAnsi="Times New Roman"/>
        </w:rPr>
        <w:t xml:space="preserve">provided by </w:t>
      </w:r>
      <w:r w:rsidRPr="00D46483">
        <w:rPr>
          <w:rFonts w:ascii="Times New Roman" w:eastAsia="Calibri" w:hAnsi="Times New Roman"/>
        </w:rPr>
        <w:t>common carriers</w:t>
      </w:r>
      <w:r w:rsidR="00600176">
        <w:rPr>
          <w:rFonts w:ascii="Times New Roman" w:eastAsia="Calibri" w:hAnsi="Times New Roman"/>
        </w:rPr>
        <w:t>,</w:t>
      </w:r>
      <w:r w:rsidRPr="00D46483">
        <w:rPr>
          <w:rFonts w:ascii="Times New Roman" w:eastAsia="Calibri" w:hAnsi="Times New Roman"/>
        </w:rPr>
        <w:t xml:space="preserve"> and </w:t>
      </w:r>
      <w:r w:rsidR="00600176">
        <w:rPr>
          <w:rFonts w:ascii="Times New Roman" w:eastAsia="Calibri" w:hAnsi="Times New Roman"/>
        </w:rPr>
        <w:t xml:space="preserve">are </w:t>
      </w:r>
      <w:r w:rsidRPr="00D46483">
        <w:rPr>
          <w:rFonts w:ascii="Times New Roman" w:eastAsia="Calibri" w:hAnsi="Times New Roman"/>
        </w:rPr>
        <w:t>not subject to regulation or restriction. Indeed, the Courtneys argue, the Commission expressly does not regulate comparable services in other transportation contexts, including hotel buses and private vehicles used as an adjunct to a company’s business</w:t>
      </w:r>
      <w:r w:rsidR="0005469E">
        <w:rPr>
          <w:rFonts w:ascii="Times New Roman" w:hAnsi="Times New Roman"/>
        </w:rPr>
        <w:t>.</w:t>
      </w:r>
    </w:p>
    <w:p w14:paraId="1C0EE472" w14:textId="77777777" w:rsidR="00756B88" w:rsidRDefault="00756B88" w:rsidP="00BF6877">
      <w:pPr>
        <w:spacing w:line="288" w:lineRule="auto"/>
        <w:rPr>
          <w:rFonts w:ascii="Times New Roman" w:hAnsi="Times New Roman"/>
        </w:rPr>
      </w:pPr>
    </w:p>
    <w:p w14:paraId="4903379B" w14:textId="45E5BC8A" w:rsidR="00D46483" w:rsidRDefault="001A2A27" w:rsidP="00BF6877">
      <w:pPr>
        <w:numPr>
          <w:ilvl w:val="0"/>
          <w:numId w:val="1"/>
        </w:numPr>
        <w:spacing w:line="288" w:lineRule="auto"/>
        <w:ind w:hanging="720"/>
        <w:rPr>
          <w:rFonts w:ascii="Times New Roman" w:hAnsi="Times New Roman"/>
        </w:rPr>
      </w:pPr>
      <w:r w:rsidRPr="001A2A27">
        <w:rPr>
          <w:rFonts w:ascii="Times New Roman" w:hAnsi="Times New Roman"/>
        </w:rPr>
        <w:t>On July 2, 2015, the Commission issued a notice to all interested person setting a deadline of July 17, 2015, to submit a statement of fact and law on the issues raised in the Petition. The Commission received responsive comments or a statement of law and fact from Commission Staff</w:t>
      </w:r>
      <w:r>
        <w:rPr>
          <w:rFonts w:ascii="Times New Roman" w:hAnsi="Times New Roman"/>
        </w:rPr>
        <w:t xml:space="preserve"> (Staff)</w:t>
      </w:r>
      <w:r w:rsidRPr="001A2A27">
        <w:rPr>
          <w:rFonts w:ascii="Times New Roman" w:hAnsi="Times New Roman"/>
        </w:rPr>
        <w:t>, Arrow Launch Service, Inc.</w:t>
      </w:r>
      <w:r>
        <w:rPr>
          <w:rFonts w:ascii="Times New Roman" w:hAnsi="Times New Roman"/>
        </w:rPr>
        <w:t xml:space="preserve"> (Arrow)</w:t>
      </w:r>
      <w:r w:rsidRPr="001A2A27">
        <w:rPr>
          <w:rFonts w:ascii="Times New Roman" w:hAnsi="Times New Roman"/>
        </w:rPr>
        <w:t xml:space="preserve">, and Lake Chelan </w:t>
      </w:r>
      <w:r w:rsidR="00D46483">
        <w:rPr>
          <w:rFonts w:ascii="Times New Roman" w:hAnsi="Times New Roman"/>
        </w:rPr>
        <w:t>Recreation, Inc.</w:t>
      </w:r>
      <w:r>
        <w:rPr>
          <w:rFonts w:ascii="Times New Roman" w:hAnsi="Times New Roman"/>
        </w:rPr>
        <w:t xml:space="preserve"> d/b/a Lake Chelan </w:t>
      </w:r>
      <w:r w:rsidR="00D46483">
        <w:rPr>
          <w:rFonts w:ascii="Times New Roman" w:hAnsi="Times New Roman"/>
        </w:rPr>
        <w:t>Boat Company</w:t>
      </w:r>
      <w:r w:rsidR="00A93573" w:rsidRPr="001A2A27">
        <w:rPr>
          <w:rFonts w:ascii="Times New Roman" w:hAnsi="Times New Roman"/>
        </w:rPr>
        <w:t xml:space="preserve"> </w:t>
      </w:r>
      <w:r w:rsidR="00D338D3">
        <w:rPr>
          <w:rFonts w:ascii="Times New Roman" w:hAnsi="Times New Roman"/>
        </w:rPr>
        <w:t xml:space="preserve">(LCBC) and heard oral argument </w:t>
      </w:r>
      <w:r w:rsidR="00A22306">
        <w:rPr>
          <w:rFonts w:ascii="Times New Roman" w:hAnsi="Times New Roman"/>
        </w:rPr>
        <w:t>from the Courtneys and all commenters</w:t>
      </w:r>
      <w:r w:rsidR="00D338D3">
        <w:rPr>
          <w:rFonts w:ascii="Times New Roman" w:hAnsi="Times New Roman"/>
        </w:rPr>
        <w:t xml:space="preserve"> on October 21, 2015</w:t>
      </w:r>
      <w:r w:rsidR="00B131C5">
        <w:rPr>
          <w:rFonts w:ascii="Times New Roman" w:hAnsi="Times New Roman"/>
        </w:rPr>
        <w:t xml:space="preserve">. Michael E. Bindas, Institute for Justice, Bellevue, Washington, represents the Courtneys. Julian Beattie, Assistant Attorney General, Olympia, Washington, represents Staff. David W. Wiley, Williams Kastner &amp; Gibbs PLLC, Seattle, Washington, represents Arrow. Jack Raines, President, LCBC, </w:t>
      </w:r>
      <w:r w:rsidR="00B131C5">
        <w:rPr>
          <w:rFonts w:ascii="Times New Roman" w:hAnsi="Times New Roman"/>
          <w:i/>
        </w:rPr>
        <w:t>pro se</w:t>
      </w:r>
      <w:r w:rsidR="00DF7923">
        <w:rPr>
          <w:rFonts w:ascii="Times New Roman" w:hAnsi="Times New Roman"/>
        </w:rPr>
        <w:t xml:space="preserve">, Chelan, Washington, </w:t>
      </w:r>
      <w:r w:rsidR="00B131C5">
        <w:rPr>
          <w:rFonts w:ascii="Times New Roman" w:hAnsi="Times New Roman"/>
        </w:rPr>
        <w:t>represents LCBC</w:t>
      </w:r>
      <w:r w:rsidR="00D338D3">
        <w:rPr>
          <w:rFonts w:ascii="Times New Roman" w:hAnsi="Times New Roman"/>
        </w:rPr>
        <w:t xml:space="preserve">. </w:t>
      </w:r>
    </w:p>
    <w:p w14:paraId="025EA3CA" w14:textId="77777777" w:rsidR="00756B88" w:rsidRDefault="00756B88" w:rsidP="00BF6877">
      <w:pPr>
        <w:spacing w:line="288" w:lineRule="auto"/>
        <w:rPr>
          <w:rFonts w:ascii="Times New Roman" w:hAnsi="Times New Roman"/>
        </w:rPr>
      </w:pPr>
    </w:p>
    <w:p w14:paraId="413AEECB" w14:textId="2D45E12A" w:rsidR="00D46483" w:rsidRDefault="00614220" w:rsidP="00BF6877">
      <w:pPr>
        <w:numPr>
          <w:ilvl w:val="0"/>
          <w:numId w:val="1"/>
        </w:numPr>
        <w:spacing w:line="288" w:lineRule="auto"/>
        <w:ind w:hanging="720"/>
        <w:rPr>
          <w:rFonts w:ascii="Times New Roman" w:hAnsi="Times New Roman"/>
        </w:rPr>
      </w:pPr>
      <w:r>
        <w:rPr>
          <w:rFonts w:ascii="Times New Roman" w:hAnsi="Times New Roman"/>
        </w:rPr>
        <w:t>Staff interprets RCW 81.84.010(1) differently than the Courtneys. While recognizing that customers of one or more businesses represent a subset of the public at large, Staff believes that such a subset is sufficiently large that the distinction is meaningless. For all intents and purposes, according to Staff, all of the services the Courtneys propose would be “for the public use for hire” within the meaning of the statute.</w:t>
      </w:r>
    </w:p>
    <w:p w14:paraId="2F5C1DD6" w14:textId="77777777" w:rsidR="00756B88" w:rsidRDefault="00756B88" w:rsidP="00BF6877">
      <w:pPr>
        <w:spacing w:line="288" w:lineRule="auto"/>
        <w:rPr>
          <w:rFonts w:ascii="Times New Roman" w:hAnsi="Times New Roman"/>
        </w:rPr>
      </w:pPr>
    </w:p>
    <w:p w14:paraId="5836531A" w14:textId="0F141097" w:rsidR="00614220" w:rsidRDefault="00614220" w:rsidP="00BF6877">
      <w:pPr>
        <w:numPr>
          <w:ilvl w:val="0"/>
          <w:numId w:val="1"/>
        </w:numPr>
        <w:spacing w:line="288" w:lineRule="auto"/>
        <w:ind w:hanging="720"/>
        <w:rPr>
          <w:rFonts w:ascii="Times New Roman" w:hAnsi="Times New Roman"/>
        </w:rPr>
      </w:pPr>
      <w:r>
        <w:rPr>
          <w:rFonts w:ascii="Times New Roman" w:hAnsi="Times New Roman"/>
        </w:rPr>
        <w:t xml:space="preserve">Arrow concedes that it does not operate on Lake Chelan but </w:t>
      </w:r>
      <w:r w:rsidR="00600176">
        <w:rPr>
          <w:rFonts w:ascii="Times New Roman" w:hAnsi="Times New Roman"/>
        </w:rPr>
        <w:t>states that as a commercial ferry</w:t>
      </w:r>
      <w:r w:rsidR="00DF7923">
        <w:rPr>
          <w:rFonts w:ascii="Times New Roman" w:hAnsi="Times New Roman"/>
        </w:rPr>
        <w:t xml:space="preserve"> service operator in Washington</w:t>
      </w:r>
      <w:r w:rsidR="00600176">
        <w:rPr>
          <w:rFonts w:ascii="Times New Roman" w:hAnsi="Times New Roman"/>
        </w:rPr>
        <w:t xml:space="preserve">, it </w:t>
      </w:r>
      <w:r>
        <w:rPr>
          <w:rFonts w:ascii="Times New Roman" w:hAnsi="Times New Roman"/>
        </w:rPr>
        <w:t xml:space="preserve">has a substantial interest in the Commission’s interpretation of statutes that govern </w:t>
      </w:r>
      <w:r w:rsidR="00600176">
        <w:rPr>
          <w:rFonts w:ascii="Times New Roman" w:hAnsi="Times New Roman"/>
        </w:rPr>
        <w:t>the industry</w:t>
      </w:r>
      <w:r>
        <w:rPr>
          <w:rFonts w:ascii="Times New Roman" w:hAnsi="Times New Roman"/>
        </w:rPr>
        <w:t xml:space="preserve">. Arrow believes that the </w:t>
      </w:r>
      <w:r w:rsidR="0085203B">
        <w:rPr>
          <w:rFonts w:ascii="Times New Roman" w:hAnsi="Times New Roman"/>
        </w:rPr>
        <w:t xml:space="preserve">Commission should address the </w:t>
      </w:r>
      <w:r>
        <w:rPr>
          <w:rFonts w:ascii="Times New Roman" w:hAnsi="Times New Roman"/>
        </w:rPr>
        <w:t xml:space="preserve">issues the Courtneys raise in the context of an </w:t>
      </w:r>
      <w:r w:rsidR="0085203B">
        <w:rPr>
          <w:rFonts w:ascii="Times New Roman" w:hAnsi="Times New Roman"/>
        </w:rPr>
        <w:t xml:space="preserve">adjudicated </w:t>
      </w:r>
      <w:r>
        <w:rPr>
          <w:rFonts w:ascii="Times New Roman" w:hAnsi="Times New Roman"/>
        </w:rPr>
        <w:t xml:space="preserve">application for </w:t>
      </w:r>
      <w:r w:rsidR="0085203B">
        <w:rPr>
          <w:rFonts w:ascii="Times New Roman" w:hAnsi="Times New Roman"/>
        </w:rPr>
        <w:t>CPCN, rather than through a petition for declaratory order</w:t>
      </w:r>
      <w:r>
        <w:rPr>
          <w:rFonts w:ascii="Times New Roman" w:hAnsi="Times New Roman"/>
        </w:rPr>
        <w:t>.</w:t>
      </w:r>
    </w:p>
    <w:p w14:paraId="7471A31B" w14:textId="77777777" w:rsidR="00756B88" w:rsidRDefault="00756B88" w:rsidP="00BF6877">
      <w:pPr>
        <w:spacing w:line="288" w:lineRule="auto"/>
        <w:rPr>
          <w:rFonts w:ascii="Times New Roman" w:hAnsi="Times New Roman"/>
        </w:rPr>
      </w:pPr>
    </w:p>
    <w:p w14:paraId="75598AA8" w14:textId="2724DC91" w:rsidR="0085203B" w:rsidRDefault="0085203B" w:rsidP="00BF6877">
      <w:pPr>
        <w:numPr>
          <w:ilvl w:val="0"/>
          <w:numId w:val="1"/>
        </w:numPr>
        <w:spacing w:line="288" w:lineRule="auto"/>
        <w:ind w:hanging="720"/>
        <w:rPr>
          <w:rFonts w:ascii="Times New Roman" w:hAnsi="Times New Roman"/>
        </w:rPr>
      </w:pPr>
      <w:r>
        <w:rPr>
          <w:rFonts w:ascii="Times New Roman" w:hAnsi="Times New Roman"/>
        </w:rPr>
        <w:t>LCBC holds the existing CPCN for ferry service on Lake Chelan. LCBC states that permitting the Courtneys to operate a competing vessel only during the profitable months of the year would threaten LCBC’s financial viability and its ability to provide safe, reliable, and dependable service at reasonable prices year-round.</w:t>
      </w:r>
    </w:p>
    <w:p w14:paraId="665A6A0F" w14:textId="77777777" w:rsidR="00756B88" w:rsidRDefault="00756B88" w:rsidP="00BF6877">
      <w:pPr>
        <w:spacing w:line="288" w:lineRule="auto"/>
        <w:rPr>
          <w:rFonts w:ascii="Times New Roman" w:hAnsi="Times New Roman"/>
        </w:rPr>
      </w:pPr>
    </w:p>
    <w:p w14:paraId="16A616DA" w14:textId="142D64F8" w:rsidR="009D6F5C" w:rsidRDefault="00D46483" w:rsidP="00BF6877">
      <w:pPr>
        <w:numPr>
          <w:ilvl w:val="0"/>
          <w:numId w:val="1"/>
        </w:numPr>
        <w:spacing w:line="288" w:lineRule="auto"/>
        <w:ind w:hanging="720"/>
        <w:rPr>
          <w:rFonts w:ascii="Times New Roman" w:hAnsi="Times New Roman"/>
        </w:rPr>
      </w:pPr>
      <w:r w:rsidRPr="001A2A27">
        <w:rPr>
          <w:rFonts w:ascii="Times New Roman" w:hAnsi="Times New Roman"/>
        </w:rPr>
        <w:t xml:space="preserve">RCW 34.05.240(5) and WAC 480-07-930(5) require the Commission to take one of the following actions within 30 days after receiving the Petition: (1) enter a declaratory order; (2) set the matter for specified proceedings to be held no more than 90 days after receiving the Petition; (3) set a specified time no more than 90 days after receiving the Petition to enter a declaratory order; or (4) decline to enter a declaratory order. The Commission may extend either of the 90 day time limits for good cause. </w:t>
      </w:r>
      <w:r w:rsidR="001A2A27" w:rsidRPr="00D46483">
        <w:rPr>
          <w:rFonts w:ascii="Times New Roman" w:hAnsi="Times New Roman"/>
        </w:rPr>
        <w:t xml:space="preserve">To accommodate </w:t>
      </w:r>
      <w:r w:rsidR="00A22306">
        <w:rPr>
          <w:rFonts w:ascii="Times New Roman" w:hAnsi="Times New Roman"/>
        </w:rPr>
        <w:t xml:space="preserve">oral argument and </w:t>
      </w:r>
      <w:r w:rsidR="001A2A27" w:rsidRPr="00D46483">
        <w:rPr>
          <w:rFonts w:ascii="Times New Roman" w:hAnsi="Times New Roman"/>
        </w:rPr>
        <w:t xml:space="preserve">the schedules of all concerned, the Commission extended the </w:t>
      </w:r>
      <w:r w:rsidR="0055769E" w:rsidRPr="00D46483">
        <w:rPr>
          <w:rFonts w:ascii="Times New Roman" w:hAnsi="Times New Roman"/>
        </w:rPr>
        <w:t xml:space="preserve">deadline for Commission action </w:t>
      </w:r>
      <w:r w:rsidR="00600176">
        <w:rPr>
          <w:rFonts w:ascii="Times New Roman" w:hAnsi="Times New Roman"/>
        </w:rPr>
        <w:t xml:space="preserve">on the Petition </w:t>
      </w:r>
      <w:r w:rsidR="0055769E" w:rsidRPr="00D46483">
        <w:rPr>
          <w:rFonts w:ascii="Times New Roman" w:hAnsi="Times New Roman"/>
        </w:rPr>
        <w:t>to December 2, 2015</w:t>
      </w:r>
      <w:r w:rsidRPr="00D46483">
        <w:rPr>
          <w:rFonts w:ascii="Times New Roman" w:hAnsi="Times New Roman"/>
        </w:rPr>
        <w:t>.</w:t>
      </w:r>
    </w:p>
    <w:p w14:paraId="6634D63E" w14:textId="77777777" w:rsidR="00756B88" w:rsidRPr="00D46483" w:rsidRDefault="00756B88" w:rsidP="00BF6877">
      <w:pPr>
        <w:spacing w:line="288" w:lineRule="auto"/>
        <w:rPr>
          <w:rFonts w:ascii="Times New Roman" w:hAnsi="Times New Roman"/>
        </w:rPr>
      </w:pPr>
    </w:p>
    <w:p w14:paraId="37272477" w14:textId="3A46CC4C" w:rsidR="00601D76" w:rsidRDefault="003A331B" w:rsidP="00BF6877">
      <w:pPr>
        <w:spacing w:line="288" w:lineRule="auto"/>
        <w:jc w:val="center"/>
        <w:rPr>
          <w:rFonts w:ascii="Times New Roman" w:hAnsi="Times New Roman"/>
          <w:b/>
        </w:rPr>
      </w:pPr>
      <w:r w:rsidRPr="00F96C21">
        <w:rPr>
          <w:rFonts w:ascii="Times New Roman" w:hAnsi="Times New Roman"/>
          <w:b/>
        </w:rPr>
        <w:t>DISCUSSION</w:t>
      </w:r>
    </w:p>
    <w:p w14:paraId="2B394A72" w14:textId="77777777" w:rsidR="00756B88" w:rsidRPr="00F96C21" w:rsidRDefault="00756B88" w:rsidP="00BF6877">
      <w:pPr>
        <w:spacing w:line="288" w:lineRule="auto"/>
        <w:jc w:val="center"/>
        <w:rPr>
          <w:rFonts w:ascii="Times New Roman" w:hAnsi="Times New Roman"/>
          <w:b/>
        </w:rPr>
      </w:pPr>
    </w:p>
    <w:p w14:paraId="5140B41F" w14:textId="2170CB4D" w:rsidR="00713D35" w:rsidRDefault="00F55ED1" w:rsidP="00BF6877">
      <w:pPr>
        <w:numPr>
          <w:ilvl w:val="0"/>
          <w:numId w:val="1"/>
        </w:numPr>
        <w:spacing w:line="288" w:lineRule="auto"/>
        <w:ind w:hanging="720"/>
        <w:rPr>
          <w:rFonts w:ascii="Times New Roman" w:hAnsi="Times New Roman"/>
        </w:rPr>
      </w:pPr>
      <w:r>
        <w:rPr>
          <w:rFonts w:ascii="Times New Roman" w:hAnsi="Times New Roman"/>
        </w:rPr>
        <w:t>No commenter disputes the Courtneys</w:t>
      </w:r>
      <w:r w:rsidR="00DF7923">
        <w:rPr>
          <w:rFonts w:ascii="Times New Roman" w:hAnsi="Times New Roman"/>
        </w:rPr>
        <w:t>’</w:t>
      </w:r>
      <w:r>
        <w:rPr>
          <w:rFonts w:ascii="Times New Roman" w:hAnsi="Times New Roman"/>
        </w:rPr>
        <w:t xml:space="preserve"> claim that they have satisfied the prerequisites for a declaratory order under RCW 34.05.240(1). We agree that </w:t>
      </w:r>
      <w:r w:rsidR="00AA7B39">
        <w:rPr>
          <w:rFonts w:ascii="Times New Roman" w:hAnsi="Times New Roman"/>
        </w:rPr>
        <w:t xml:space="preserve">the Courtneys have demonstrated compliance with three of the four requirements – </w:t>
      </w:r>
      <w:r>
        <w:rPr>
          <w:rFonts w:ascii="Times New Roman" w:hAnsi="Times New Roman"/>
        </w:rPr>
        <w:t xml:space="preserve">uncertainty </w:t>
      </w:r>
      <w:r w:rsidR="00413CE8">
        <w:rPr>
          <w:rFonts w:ascii="Times New Roman" w:hAnsi="Times New Roman"/>
        </w:rPr>
        <w:t xml:space="preserve">exists, as well as </w:t>
      </w:r>
      <w:r>
        <w:rPr>
          <w:rFonts w:ascii="Times New Roman" w:hAnsi="Times New Roman"/>
        </w:rPr>
        <w:t xml:space="preserve">an actual controversy, and the uncertainty adversely affects the Courtneys. </w:t>
      </w:r>
      <w:r w:rsidR="00AA7B39">
        <w:rPr>
          <w:rFonts w:ascii="Times New Roman" w:hAnsi="Times New Roman"/>
        </w:rPr>
        <w:t xml:space="preserve">We </w:t>
      </w:r>
      <w:r w:rsidR="00413CE8">
        <w:rPr>
          <w:rFonts w:ascii="Times New Roman" w:hAnsi="Times New Roman"/>
        </w:rPr>
        <w:t xml:space="preserve">are less certain that </w:t>
      </w:r>
      <w:r w:rsidR="00AA7B39">
        <w:rPr>
          <w:rFonts w:ascii="Times New Roman" w:hAnsi="Times New Roman"/>
        </w:rPr>
        <w:t>the adverse effect of the uncertainty on the Courtneys outweighs any adverse effects on others or on the general public that may likely arise from the order requested</w:t>
      </w:r>
      <w:r w:rsidR="00413CE8">
        <w:rPr>
          <w:rFonts w:ascii="Times New Roman" w:hAnsi="Times New Roman"/>
        </w:rPr>
        <w:t>, but we accept that premise for purposes of this order</w:t>
      </w:r>
      <w:r w:rsidR="00AA7B39">
        <w:rPr>
          <w:rFonts w:ascii="Times New Roman" w:hAnsi="Times New Roman"/>
        </w:rPr>
        <w:t>.</w:t>
      </w:r>
      <w:r w:rsidR="0057443B">
        <w:rPr>
          <w:rStyle w:val="FootnoteReference"/>
          <w:rFonts w:ascii="Times New Roman" w:hAnsi="Times New Roman"/>
        </w:rPr>
        <w:footnoteReference w:id="1"/>
      </w:r>
      <w:r w:rsidR="00AA7B39">
        <w:rPr>
          <w:rFonts w:ascii="Times New Roman" w:hAnsi="Times New Roman"/>
        </w:rPr>
        <w:t xml:space="preserve"> </w:t>
      </w:r>
    </w:p>
    <w:p w14:paraId="4FE9B574" w14:textId="77777777" w:rsidR="00756B88" w:rsidRDefault="00756B88" w:rsidP="00BF6877">
      <w:pPr>
        <w:spacing w:line="288" w:lineRule="auto"/>
        <w:rPr>
          <w:rFonts w:ascii="Times New Roman" w:hAnsi="Times New Roman"/>
        </w:rPr>
      </w:pPr>
    </w:p>
    <w:p w14:paraId="40E0DB0B" w14:textId="409B5A15" w:rsidR="00AF2D9A" w:rsidRDefault="00833F22" w:rsidP="00BF6877">
      <w:pPr>
        <w:numPr>
          <w:ilvl w:val="0"/>
          <w:numId w:val="1"/>
        </w:numPr>
        <w:spacing w:line="288" w:lineRule="auto"/>
        <w:ind w:hanging="720"/>
        <w:rPr>
          <w:rFonts w:ascii="Times New Roman" w:hAnsi="Times New Roman"/>
        </w:rPr>
      </w:pPr>
      <w:r>
        <w:rPr>
          <w:rFonts w:ascii="Times New Roman" w:hAnsi="Times New Roman"/>
        </w:rPr>
        <w:t>The substantive issue before us is whether RCW 81.84.010(1) requires the Courtneys to obtain a CPCN from the Commission to offer any of the five service</w:t>
      </w:r>
      <w:r w:rsidR="00600176">
        <w:rPr>
          <w:rFonts w:ascii="Times New Roman" w:hAnsi="Times New Roman"/>
        </w:rPr>
        <w:t xml:space="preserve"> offerings</w:t>
      </w:r>
      <w:r>
        <w:rPr>
          <w:rFonts w:ascii="Times New Roman" w:hAnsi="Times New Roman"/>
        </w:rPr>
        <w:t xml:space="preserve"> the Courtneys propose to provide</w:t>
      </w:r>
      <w:r w:rsidR="00413CE8">
        <w:rPr>
          <w:rFonts w:ascii="Times New Roman" w:hAnsi="Times New Roman"/>
        </w:rPr>
        <w:t>.</w:t>
      </w:r>
      <w:r w:rsidR="00AF2D9A">
        <w:rPr>
          <w:rFonts w:ascii="Times New Roman" w:hAnsi="Times New Roman"/>
        </w:rPr>
        <w:t xml:space="preserve"> The statute states in relevant part, </w:t>
      </w:r>
    </w:p>
    <w:p w14:paraId="53E30C44" w14:textId="77777777" w:rsidR="00756B88" w:rsidRDefault="00756B88" w:rsidP="00BF6877">
      <w:pPr>
        <w:spacing w:line="288" w:lineRule="auto"/>
        <w:rPr>
          <w:rFonts w:ascii="Times New Roman" w:hAnsi="Times New Roman"/>
        </w:rPr>
      </w:pPr>
    </w:p>
    <w:p w14:paraId="4502AC80" w14:textId="60AC54ED" w:rsidR="00413CE8" w:rsidRDefault="00AF2D9A" w:rsidP="00BF6877">
      <w:pPr>
        <w:spacing w:line="288" w:lineRule="auto"/>
        <w:ind w:left="720" w:right="720"/>
        <w:rPr>
          <w:rFonts w:ascii="Times New Roman" w:hAnsi="Times New Roman"/>
        </w:rPr>
      </w:pPr>
      <w:r w:rsidRPr="00AF2D9A">
        <w:rPr>
          <w:rFonts w:ascii="Times New Roman" w:hAnsi="Times New Roman"/>
        </w:rPr>
        <w:t xml:space="preserve">A commercial ferry may not operate any vessel or ferry </w:t>
      </w:r>
      <w:r w:rsidRPr="00AF2D9A">
        <w:rPr>
          <w:rFonts w:ascii="Times New Roman" w:hAnsi="Times New Roman"/>
          <w:i/>
        </w:rPr>
        <w:t xml:space="preserve">for the public use </w:t>
      </w:r>
      <w:r w:rsidRPr="00533BB2">
        <w:rPr>
          <w:rFonts w:ascii="Times New Roman" w:hAnsi="Times New Roman"/>
          <w:i/>
        </w:rPr>
        <w:t>for hire</w:t>
      </w:r>
      <w:r w:rsidRPr="00AF2D9A">
        <w:rPr>
          <w:rFonts w:ascii="Times New Roman" w:hAnsi="Times New Roman"/>
        </w:rPr>
        <w:t xml:space="preserve"> between fixed termini or over a regular route upon the waters within this state, including the rivers and lakes and Puget Sound, without first applying for and obtaining from the commission a certificate declaring that public convenience and necessity require such operation</w:t>
      </w:r>
      <w:r>
        <w:rPr>
          <w:rFonts w:ascii="Times New Roman" w:hAnsi="Times New Roman"/>
        </w:rPr>
        <w:t>. (Emphasis added.)</w:t>
      </w:r>
    </w:p>
    <w:p w14:paraId="4E33DEA5" w14:textId="77777777" w:rsidR="00756B88" w:rsidRDefault="00756B88" w:rsidP="00BF6877">
      <w:pPr>
        <w:spacing w:line="288" w:lineRule="auto"/>
        <w:ind w:left="720" w:right="720"/>
        <w:rPr>
          <w:rFonts w:ascii="Times New Roman" w:hAnsi="Times New Roman"/>
        </w:rPr>
      </w:pPr>
    </w:p>
    <w:p w14:paraId="7FDBF70E" w14:textId="4383C2DD" w:rsidR="00AF2D9A" w:rsidRDefault="009B07F3" w:rsidP="00BF6877">
      <w:pPr>
        <w:spacing w:line="288" w:lineRule="auto"/>
        <w:rPr>
          <w:rFonts w:ascii="Times New Roman" w:hAnsi="Times New Roman"/>
        </w:rPr>
      </w:pPr>
      <w:r>
        <w:rPr>
          <w:rFonts w:ascii="Times New Roman" w:hAnsi="Times New Roman"/>
        </w:rPr>
        <w:t xml:space="preserve">There is no dispute that the Courtneys propose to operate a vessel or ferry between fixed termini or over a regular route upon the waters within this state. The sole issue is whether those </w:t>
      </w:r>
      <w:r w:rsidR="00DF7923">
        <w:rPr>
          <w:rFonts w:ascii="Times New Roman" w:hAnsi="Times New Roman"/>
        </w:rPr>
        <w:t xml:space="preserve">proposed </w:t>
      </w:r>
      <w:r>
        <w:rPr>
          <w:rFonts w:ascii="Times New Roman" w:hAnsi="Times New Roman"/>
        </w:rPr>
        <w:t xml:space="preserve">operations </w:t>
      </w:r>
      <w:r w:rsidR="00DF7923">
        <w:rPr>
          <w:rFonts w:ascii="Times New Roman" w:hAnsi="Times New Roman"/>
        </w:rPr>
        <w:t>would be</w:t>
      </w:r>
      <w:r w:rsidR="004F41C2">
        <w:rPr>
          <w:rFonts w:ascii="Times New Roman" w:hAnsi="Times New Roman"/>
        </w:rPr>
        <w:t xml:space="preserve"> “for the public use</w:t>
      </w:r>
      <w:r w:rsidR="00533BB2">
        <w:rPr>
          <w:rFonts w:ascii="Times New Roman" w:hAnsi="Times New Roman"/>
        </w:rPr>
        <w:t xml:space="preserve"> for hire</w:t>
      </w:r>
      <w:r w:rsidR="004F41C2">
        <w:rPr>
          <w:rFonts w:ascii="Times New Roman" w:hAnsi="Times New Roman"/>
        </w:rPr>
        <w:t>”</w:t>
      </w:r>
      <w:r w:rsidR="00B5050F">
        <w:rPr>
          <w:rFonts w:ascii="Times New Roman" w:hAnsi="Times New Roman"/>
        </w:rPr>
        <w:t xml:space="preserve"> as that phrase is used in the statute.</w:t>
      </w:r>
      <w:r w:rsidR="00DF7923">
        <w:rPr>
          <w:rFonts w:ascii="Times New Roman" w:hAnsi="Times New Roman"/>
        </w:rPr>
        <w:t xml:space="preserve"> We conclude that they would</w:t>
      </w:r>
      <w:r w:rsidR="004F41C2">
        <w:rPr>
          <w:rFonts w:ascii="Times New Roman" w:hAnsi="Times New Roman"/>
        </w:rPr>
        <w:t>.</w:t>
      </w:r>
    </w:p>
    <w:p w14:paraId="36F12DDE" w14:textId="77777777" w:rsidR="00756B88" w:rsidRDefault="00756B88" w:rsidP="00BF6877">
      <w:pPr>
        <w:spacing w:line="288" w:lineRule="auto"/>
        <w:rPr>
          <w:rFonts w:ascii="Times New Roman" w:hAnsi="Times New Roman"/>
        </w:rPr>
      </w:pPr>
    </w:p>
    <w:p w14:paraId="76CAB278" w14:textId="0868F1F8" w:rsidR="00562A8B" w:rsidRDefault="00666C6D" w:rsidP="00BF6877">
      <w:pPr>
        <w:numPr>
          <w:ilvl w:val="0"/>
          <w:numId w:val="1"/>
        </w:numPr>
        <w:spacing w:line="288" w:lineRule="auto"/>
        <w:ind w:hanging="720"/>
        <w:rPr>
          <w:rFonts w:ascii="Times New Roman" w:hAnsi="Times New Roman"/>
        </w:rPr>
      </w:pPr>
      <w:r>
        <w:rPr>
          <w:rFonts w:ascii="Times New Roman" w:hAnsi="Times New Roman"/>
        </w:rPr>
        <w:t>The legislature did not define “</w:t>
      </w:r>
      <w:r w:rsidR="00533BB2">
        <w:rPr>
          <w:rFonts w:ascii="Times New Roman" w:hAnsi="Times New Roman"/>
        </w:rPr>
        <w:t xml:space="preserve">for the </w:t>
      </w:r>
      <w:r>
        <w:rPr>
          <w:rFonts w:ascii="Times New Roman" w:hAnsi="Times New Roman"/>
        </w:rPr>
        <w:t>public use</w:t>
      </w:r>
      <w:r w:rsidR="00533BB2">
        <w:rPr>
          <w:rFonts w:ascii="Times New Roman" w:hAnsi="Times New Roman"/>
        </w:rPr>
        <w:t xml:space="preserve"> for hire</w:t>
      </w:r>
      <w:r>
        <w:rPr>
          <w:rFonts w:ascii="Times New Roman" w:hAnsi="Times New Roman"/>
        </w:rPr>
        <w:t>,” and n</w:t>
      </w:r>
      <w:r w:rsidR="004F41C2">
        <w:rPr>
          <w:rFonts w:ascii="Times New Roman" w:hAnsi="Times New Roman"/>
        </w:rPr>
        <w:t xml:space="preserve">o Washington court has interpreted the meaning of </w:t>
      </w:r>
      <w:r>
        <w:rPr>
          <w:rFonts w:ascii="Times New Roman" w:hAnsi="Times New Roman"/>
        </w:rPr>
        <w:t>that phrase</w:t>
      </w:r>
      <w:r w:rsidR="004F41C2">
        <w:rPr>
          <w:rFonts w:ascii="Times New Roman" w:hAnsi="Times New Roman"/>
        </w:rPr>
        <w:t xml:space="preserve"> in RCW 81.84.010(1)</w:t>
      </w:r>
      <w:r w:rsidR="00600176">
        <w:rPr>
          <w:rFonts w:ascii="Times New Roman" w:hAnsi="Times New Roman"/>
        </w:rPr>
        <w:t>.</w:t>
      </w:r>
      <w:r w:rsidR="00431BAA">
        <w:rPr>
          <w:rFonts w:ascii="Times New Roman" w:hAnsi="Times New Roman"/>
        </w:rPr>
        <w:t xml:space="preserve"> Nor has the Commission. </w:t>
      </w:r>
      <w:r>
        <w:rPr>
          <w:rFonts w:ascii="Times New Roman" w:hAnsi="Times New Roman"/>
        </w:rPr>
        <w:t xml:space="preserve">We therefore look to the language of the statute to determine the legislature’s intent. </w:t>
      </w:r>
      <w:r w:rsidR="00431BAA">
        <w:rPr>
          <w:rFonts w:ascii="Times New Roman" w:hAnsi="Times New Roman"/>
        </w:rPr>
        <w:t xml:space="preserve">The </w:t>
      </w:r>
      <w:r>
        <w:rPr>
          <w:rFonts w:ascii="Times New Roman" w:hAnsi="Times New Roman"/>
        </w:rPr>
        <w:t xml:space="preserve">dictionary </w:t>
      </w:r>
      <w:r w:rsidR="00431BAA">
        <w:rPr>
          <w:rFonts w:ascii="Times New Roman" w:hAnsi="Times New Roman"/>
        </w:rPr>
        <w:t xml:space="preserve">definition of “public” in this context is “accessible to or shared by all members </w:t>
      </w:r>
      <w:r w:rsidR="00431BAA">
        <w:rPr>
          <w:rFonts w:ascii="Times New Roman" w:hAnsi="Times New Roman"/>
        </w:rPr>
        <w:lastRenderedPageBreak/>
        <w:t>of the community.”</w:t>
      </w:r>
      <w:r w:rsidR="00431BAA">
        <w:rPr>
          <w:rStyle w:val="FootnoteReference"/>
          <w:rFonts w:ascii="Times New Roman" w:hAnsi="Times New Roman"/>
        </w:rPr>
        <w:footnoteReference w:id="2"/>
      </w:r>
      <w:r>
        <w:rPr>
          <w:rFonts w:ascii="Times New Roman" w:hAnsi="Times New Roman"/>
        </w:rPr>
        <w:t xml:space="preserve"> </w:t>
      </w:r>
      <w:r w:rsidR="00562A8B">
        <w:rPr>
          <w:rFonts w:ascii="Times New Roman" w:hAnsi="Times New Roman"/>
        </w:rPr>
        <w:t xml:space="preserve">A “community,” in turn, is </w:t>
      </w:r>
      <w:r w:rsidR="00440B32">
        <w:rPr>
          <w:rFonts w:ascii="Times New Roman" w:hAnsi="Times New Roman"/>
        </w:rPr>
        <w:t>“</w:t>
      </w:r>
      <w:r w:rsidR="0012563A">
        <w:rPr>
          <w:rFonts w:ascii="Times New Roman" w:hAnsi="Times New Roman"/>
        </w:rPr>
        <w:t>a body of individuals organized into a unit</w:t>
      </w:r>
      <w:r w:rsidR="00440B32">
        <w:rPr>
          <w:rFonts w:ascii="Times New Roman" w:hAnsi="Times New Roman"/>
        </w:rPr>
        <w:t>”</w:t>
      </w:r>
      <w:r w:rsidR="00720486">
        <w:rPr>
          <w:rFonts w:ascii="Times New Roman" w:hAnsi="Times New Roman"/>
        </w:rPr>
        <w:t xml:space="preserve"> or “linked by common interests.”</w:t>
      </w:r>
      <w:r w:rsidR="00440B32">
        <w:rPr>
          <w:rStyle w:val="FootnoteReference"/>
          <w:rFonts w:ascii="Times New Roman" w:hAnsi="Times New Roman"/>
        </w:rPr>
        <w:footnoteReference w:id="3"/>
      </w:r>
      <w:r w:rsidR="00440B32">
        <w:rPr>
          <w:rFonts w:ascii="Times New Roman" w:hAnsi="Times New Roman"/>
        </w:rPr>
        <w:t xml:space="preserve"> </w:t>
      </w:r>
      <w:r w:rsidR="00533BB2">
        <w:rPr>
          <w:rFonts w:ascii="Times New Roman" w:hAnsi="Times New Roman"/>
        </w:rPr>
        <w:t>The word “hire” means “</w:t>
      </w:r>
      <w:r w:rsidR="0012563A">
        <w:rPr>
          <w:rFonts w:ascii="Times New Roman" w:hAnsi="Times New Roman"/>
        </w:rPr>
        <w:t>payment for the temporary use of something</w:t>
      </w:r>
      <w:r w:rsidR="00533BB2">
        <w:rPr>
          <w:rFonts w:ascii="Times New Roman" w:hAnsi="Times New Roman"/>
        </w:rPr>
        <w:t>.”</w:t>
      </w:r>
      <w:r w:rsidR="00533BB2">
        <w:rPr>
          <w:rStyle w:val="FootnoteReference"/>
          <w:rFonts w:ascii="Times New Roman" w:hAnsi="Times New Roman"/>
        </w:rPr>
        <w:footnoteReference w:id="4"/>
      </w:r>
      <w:r w:rsidR="00533BB2">
        <w:rPr>
          <w:rFonts w:ascii="Times New Roman" w:hAnsi="Times New Roman"/>
        </w:rPr>
        <w:t xml:space="preserve"> </w:t>
      </w:r>
      <w:r w:rsidR="009B07F3">
        <w:rPr>
          <w:rFonts w:ascii="Times New Roman" w:hAnsi="Times New Roman"/>
        </w:rPr>
        <w:t>Th</w:t>
      </w:r>
      <w:r w:rsidR="00720486">
        <w:rPr>
          <w:rFonts w:ascii="Times New Roman" w:hAnsi="Times New Roman"/>
        </w:rPr>
        <w:t>us th</w:t>
      </w:r>
      <w:r w:rsidR="009B07F3">
        <w:rPr>
          <w:rFonts w:ascii="Times New Roman" w:hAnsi="Times New Roman"/>
        </w:rPr>
        <w:t>e plain meaning of</w:t>
      </w:r>
      <w:r w:rsidR="00036725">
        <w:rPr>
          <w:rFonts w:ascii="Times New Roman" w:hAnsi="Times New Roman"/>
        </w:rPr>
        <w:t xml:space="preserve"> the statutory language</w:t>
      </w:r>
      <w:r w:rsidR="009B07F3">
        <w:rPr>
          <w:rFonts w:ascii="Times New Roman" w:hAnsi="Times New Roman"/>
        </w:rPr>
        <w:t xml:space="preserve"> is that a CPCN is required to operate any ferry</w:t>
      </w:r>
      <w:r w:rsidR="00533BB2">
        <w:rPr>
          <w:rFonts w:ascii="Times New Roman" w:hAnsi="Times New Roman"/>
        </w:rPr>
        <w:t xml:space="preserve"> for </w:t>
      </w:r>
      <w:r w:rsidR="0012563A">
        <w:rPr>
          <w:rFonts w:ascii="Times New Roman" w:hAnsi="Times New Roman"/>
        </w:rPr>
        <w:t>payment</w:t>
      </w:r>
      <w:r w:rsidR="009B07F3">
        <w:rPr>
          <w:rFonts w:ascii="Times New Roman" w:hAnsi="Times New Roman"/>
        </w:rPr>
        <w:t xml:space="preserve"> that is accessible</w:t>
      </w:r>
      <w:r w:rsidR="00440B32">
        <w:rPr>
          <w:rFonts w:ascii="Times New Roman" w:hAnsi="Times New Roman"/>
        </w:rPr>
        <w:t xml:space="preserve"> to all </w:t>
      </w:r>
      <w:r w:rsidR="00A22306">
        <w:rPr>
          <w:rFonts w:ascii="Times New Roman" w:hAnsi="Times New Roman"/>
        </w:rPr>
        <w:t xml:space="preserve">persons that are part of a group </w:t>
      </w:r>
      <w:r w:rsidR="00720486">
        <w:rPr>
          <w:rFonts w:ascii="Times New Roman" w:hAnsi="Times New Roman"/>
        </w:rPr>
        <w:t>with common interest</w:t>
      </w:r>
      <w:r w:rsidR="00A22306">
        <w:rPr>
          <w:rFonts w:ascii="Times New Roman" w:hAnsi="Times New Roman"/>
        </w:rPr>
        <w:t>s</w:t>
      </w:r>
      <w:r w:rsidR="009B07F3">
        <w:rPr>
          <w:rFonts w:ascii="Times New Roman" w:hAnsi="Times New Roman"/>
        </w:rPr>
        <w:t>.</w:t>
      </w:r>
    </w:p>
    <w:p w14:paraId="5D7973E4" w14:textId="77777777" w:rsidR="00756B88" w:rsidRDefault="00756B88" w:rsidP="00BF6877">
      <w:pPr>
        <w:spacing w:line="288" w:lineRule="auto"/>
        <w:rPr>
          <w:rFonts w:ascii="Times New Roman" w:hAnsi="Times New Roman"/>
        </w:rPr>
      </w:pPr>
    </w:p>
    <w:p w14:paraId="22DBA8EE" w14:textId="2F862C93" w:rsidR="00600176" w:rsidRDefault="00562A8B" w:rsidP="00BF6877">
      <w:pPr>
        <w:numPr>
          <w:ilvl w:val="0"/>
          <w:numId w:val="1"/>
        </w:numPr>
        <w:spacing w:line="288" w:lineRule="auto"/>
        <w:ind w:hanging="720"/>
        <w:rPr>
          <w:rFonts w:ascii="Times New Roman" w:hAnsi="Times New Roman"/>
        </w:rPr>
      </w:pPr>
      <w:r>
        <w:rPr>
          <w:rFonts w:ascii="Times New Roman" w:hAnsi="Times New Roman"/>
        </w:rPr>
        <w:t>We conclude that the Courtneys prop</w:t>
      </w:r>
      <w:r w:rsidR="005050FA">
        <w:rPr>
          <w:rFonts w:ascii="Times New Roman" w:hAnsi="Times New Roman"/>
        </w:rPr>
        <w:t>ose to operate just such a service</w:t>
      </w:r>
      <w:r>
        <w:rPr>
          <w:rFonts w:ascii="Times New Roman" w:hAnsi="Times New Roman"/>
        </w:rPr>
        <w:t xml:space="preserve">. </w:t>
      </w:r>
      <w:r w:rsidR="00440B32">
        <w:rPr>
          <w:rFonts w:ascii="Times New Roman" w:hAnsi="Times New Roman"/>
        </w:rPr>
        <w:t xml:space="preserve">Each of their five proposals involves </w:t>
      </w:r>
      <w:r w:rsidR="00533BB2">
        <w:rPr>
          <w:rFonts w:ascii="Times New Roman" w:hAnsi="Times New Roman"/>
        </w:rPr>
        <w:t>a charg</w:t>
      </w:r>
      <w:r w:rsidR="0057443B">
        <w:rPr>
          <w:rFonts w:ascii="Times New Roman" w:hAnsi="Times New Roman"/>
        </w:rPr>
        <w:t>ing a fe</w:t>
      </w:r>
      <w:r w:rsidR="00533BB2">
        <w:rPr>
          <w:rFonts w:ascii="Times New Roman" w:hAnsi="Times New Roman"/>
        </w:rPr>
        <w:t xml:space="preserve">e to </w:t>
      </w:r>
      <w:r w:rsidR="00440B32">
        <w:rPr>
          <w:rFonts w:ascii="Times New Roman" w:hAnsi="Times New Roman"/>
        </w:rPr>
        <w:t>serv</w:t>
      </w:r>
      <w:r w:rsidR="00533BB2">
        <w:rPr>
          <w:rFonts w:ascii="Times New Roman" w:hAnsi="Times New Roman"/>
        </w:rPr>
        <w:t>e</w:t>
      </w:r>
      <w:r w:rsidR="00440B32">
        <w:rPr>
          <w:rFonts w:ascii="Times New Roman" w:hAnsi="Times New Roman"/>
        </w:rPr>
        <w:t xml:space="preserve"> any and all persons w</w:t>
      </w:r>
      <w:r w:rsidR="0057443B">
        <w:rPr>
          <w:rFonts w:ascii="Times New Roman" w:hAnsi="Times New Roman"/>
        </w:rPr>
        <w:t>ho are members</w:t>
      </w:r>
      <w:r w:rsidR="00DB4C27">
        <w:rPr>
          <w:rFonts w:ascii="Times New Roman" w:hAnsi="Times New Roman"/>
        </w:rPr>
        <w:t xml:space="preserve"> of </w:t>
      </w:r>
      <w:r w:rsidR="00440B32">
        <w:rPr>
          <w:rFonts w:ascii="Times New Roman" w:hAnsi="Times New Roman"/>
        </w:rPr>
        <w:t xml:space="preserve">a group with </w:t>
      </w:r>
      <w:r w:rsidR="00720486">
        <w:rPr>
          <w:rFonts w:ascii="Times New Roman" w:hAnsi="Times New Roman"/>
        </w:rPr>
        <w:t>common interests</w:t>
      </w:r>
      <w:r w:rsidR="00DB4C27">
        <w:rPr>
          <w:rFonts w:ascii="Times New Roman" w:hAnsi="Times New Roman"/>
        </w:rPr>
        <w:t xml:space="preserve">, </w:t>
      </w:r>
      <w:r w:rsidR="00DB4C27" w:rsidRPr="00DB4C27">
        <w:rPr>
          <w:rFonts w:ascii="Times New Roman" w:hAnsi="Times New Roman"/>
          <w:i/>
        </w:rPr>
        <w:t>i.e</w:t>
      </w:r>
      <w:r w:rsidR="00DB4C27">
        <w:rPr>
          <w:rFonts w:ascii="Times New Roman" w:hAnsi="Times New Roman"/>
        </w:rPr>
        <w:t xml:space="preserve">., </w:t>
      </w:r>
      <w:r w:rsidR="00440B32">
        <w:rPr>
          <w:rFonts w:ascii="Times New Roman" w:hAnsi="Times New Roman"/>
        </w:rPr>
        <w:t>customers of various businesses located in and around Stehekin</w:t>
      </w:r>
      <w:r w:rsidR="00666C6D">
        <w:rPr>
          <w:rFonts w:ascii="Times New Roman" w:hAnsi="Times New Roman"/>
        </w:rPr>
        <w:t>.</w:t>
      </w:r>
      <w:r w:rsidR="003D70A3">
        <w:rPr>
          <w:rFonts w:ascii="Times New Roman" w:hAnsi="Times New Roman"/>
        </w:rPr>
        <w:t xml:space="preserve"> As such, the Courtneys’ proposed operations would constitute service “for the public use</w:t>
      </w:r>
      <w:r w:rsidR="00A22306">
        <w:rPr>
          <w:rFonts w:ascii="Times New Roman" w:hAnsi="Times New Roman"/>
        </w:rPr>
        <w:t xml:space="preserve"> for hire</w:t>
      </w:r>
      <w:r w:rsidR="003D70A3">
        <w:rPr>
          <w:rFonts w:ascii="Times New Roman" w:hAnsi="Times New Roman"/>
        </w:rPr>
        <w:t>” requiring a CPCN.</w:t>
      </w:r>
    </w:p>
    <w:p w14:paraId="175FCE4B" w14:textId="77777777" w:rsidR="00756B88" w:rsidRDefault="00756B88" w:rsidP="00BF6877">
      <w:pPr>
        <w:spacing w:line="288" w:lineRule="auto"/>
        <w:rPr>
          <w:rFonts w:ascii="Times New Roman" w:hAnsi="Times New Roman"/>
        </w:rPr>
      </w:pPr>
    </w:p>
    <w:p w14:paraId="2EF76D1D" w14:textId="5E8B470A" w:rsidR="00533BB2" w:rsidRDefault="00533BB2" w:rsidP="00BF6877">
      <w:pPr>
        <w:numPr>
          <w:ilvl w:val="0"/>
          <w:numId w:val="1"/>
        </w:numPr>
        <w:spacing w:line="288" w:lineRule="auto"/>
        <w:ind w:hanging="720"/>
        <w:rPr>
          <w:rFonts w:ascii="Times New Roman" w:hAnsi="Times New Roman"/>
        </w:rPr>
      </w:pPr>
      <w:r>
        <w:rPr>
          <w:rFonts w:ascii="Times New Roman" w:hAnsi="Times New Roman"/>
        </w:rPr>
        <w:t>The Courtneys contend that their proposed services are not “for the public use for hire” because they would not be available to everyone</w:t>
      </w:r>
      <w:r w:rsidR="0057443B">
        <w:rPr>
          <w:rFonts w:ascii="Times New Roman" w:hAnsi="Times New Roman"/>
        </w:rPr>
        <w:t>. Rather, the services</w:t>
      </w:r>
      <w:r>
        <w:rPr>
          <w:rFonts w:ascii="Times New Roman" w:hAnsi="Times New Roman"/>
        </w:rPr>
        <w:t xml:space="preserve"> would be “solely for customers with a preexisting reservation for services or activities at a specific lodging facility or other Courtney-family or Stehekin-based business.”</w:t>
      </w:r>
      <w:r>
        <w:rPr>
          <w:rStyle w:val="FootnoteReference"/>
          <w:rFonts w:ascii="Times New Roman" w:hAnsi="Times New Roman"/>
        </w:rPr>
        <w:footnoteReference w:id="5"/>
      </w:r>
      <w:r w:rsidR="00C266D5">
        <w:rPr>
          <w:rFonts w:ascii="Times New Roman" w:hAnsi="Times New Roman"/>
        </w:rPr>
        <w:t xml:space="preserve"> </w:t>
      </w:r>
      <w:r w:rsidR="00036725">
        <w:rPr>
          <w:rFonts w:ascii="Times New Roman" w:hAnsi="Times New Roman"/>
        </w:rPr>
        <w:t xml:space="preserve">We agree with Staff that this is a distinction without a difference. </w:t>
      </w:r>
      <w:r w:rsidR="005050FA">
        <w:rPr>
          <w:rFonts w:ascii="Times New Roman" w:hAnsi="Times New Roman"/>
        </w:rPr>
        <w:t>Any member of the public may reserve lodging or other unspecified services or products at these businesses. Indeed, th</w:t>
      </w:r>
      <w:r w:rsidR="00C266D5">
        <w:rPr>
          <w:rFonts w:ascii="Times New Roman" w:hAnsi="Times New Roman"/>
        </w:rPr>
        <w:t xml:space="preserve">e United States Supreme Court </w:t>
      </w:r>
      <w:r w:rsidR="00036725">
        <w:rPr>
          <w:rFonts w:ascii="Times New Roman" w:hAnsi="Times New Roman"/>
        </w:rPr>
        <w:t xml:space="preserve">found in similar circumstances that limiting service </w:t>
      </w:r>
      <w:r w:rsidR="00C266D5">
        <w:rPr>
          <w:rFonts w:ascii="Times New Roman" w:hAnsi="Times New Roman"/>
        </w:rPr>
        <w:t xml:space="preserve">to customers of hotels with which </w:t>
      </w:r>
      <w:r w:rsidR="00036725">
        <w:rPr>
          <w:rFonts w:ascii="Times New Roman" w:hAnsi="Times New Roman"/>
        </w:rPr>
        <w:t>a taxicab</w:t>
      </w:r>
      <w:r w:rsidR="00C266D5">
        <w:rPr>
          <w:rFonts w:ascii="Times New Roman" w:hAnsi="Times New Roman"/>
        </w:rPr>
        <w:t xml:space="preserve"> company had contracted</w:t>
      </w:r>
      <w:r w:rsidR="00036725">
        <w:rPr>
          <w:rFonts w:ascii="Times New Roman" w:hAnsi="Times New Roman"/>
        </w:rPr>
        <w:t xml:space="preserve"> did not change the public nature of the service</w:t>
      </w:r>
      <w:r w:rsidR="00C266D5">
        <w:rPr>
          <w:rFonts w:ascii="Times New Roman" w:hAnsi="Times New Roman"/>
        </w:rPr>
        <w:t>:</w:t>
      </w:r>
    </w:p>
    <w:p w14:paraId="489E2F4F" w14:textId="77777777" w:rsidR="00756B88" w:rsidRDefault="00756B88" w:rsidP="00BF6877">
      <w:pPr>
        <w:spacing w:line="288" w:lineRule="auto"/>
        <w:rPr>
          <w:rFonts w:ascii="Times New Roman" w:hAnsi="Times New Roman"/>
        </w:rPr>
      </w:pPr>
    </w:p>
    <w:p w14:paraId="4AE9898F" w14:textId="2A55D504" w:rsidR="003E3D81" w:rsidRDefault="003E3D81" w:rsidP="00BF6877">
      <w:pPr>
        <w:spacing w:line="288" w:lineRule="auto"/>
        <w:ind w:left="720" w:right="720"/>
        <w:rPr>
          <w:rFonts w:ascii="Times New Roman" w:hAnsi="Times New Roman"/>
        </w:rPr>
      </w:pPr>
      <w:r>
        <w:rPr>
          <w:rFonts w:ascii="Times New Roman" w:hAnsi="Times New Roman"/>
        </w:rPr>
        <w:t xml:space="preserve">We do not perceive that this limitation removes the public character of the service, or takes it out of the definition in the act. No carrier serves all the public. His customers are limited by place, requirements, ability to pay and other facts. But the public generally is free to go to hotels if it can afford to, as it is free to travel by rail, and through the hotel door to call on the plaintiff for a taxicab. We should hesitate to believe that either its contract or its public duty allowed it arbitrarily to refuse to carry a guest </w:t>
      </w:r>
      <w:r>
        <w:rPr>
          <w:rFonts w:ascii="Times New Roman" w:hAnsi="Times New Roman"/>
        </w:rPr>
        <w:lastRenderedPageBreak/>
        <w:t xml:space="preserve">upon demand. We certainly may assume that in its own interest it does not attempt to do so. </w:t>
      </w:r>
      <w:r w:rsidRPr="00C266D5">
        <w:rPr>
          <w:rFonts w:ascii="Times New Roman" w:hAnsi="Times New Roman"/>
          <w:i/>
        </w:rPr>
        <w:t>The service affects so considerable a fraction of the public that it is public in the same sense in which any other may be called so. The public does not mean everybody all the time</w:t>
      </w:r>
      <w:r>
        <w:rPr>
          <w:rFonts w:ascii="Times New Roman" w:hAnsi="Times New Roman"/>
        </w:rPr>
        <w:t>.</w:t>
      </w:r>
      <w:r w:rsidR="00C266D5">
        <w:rPr>
          <w:rStyle w:val="FootnoteReference"/>
          <w:rFonts w:ascii="Times New Roman" w:hAnsi="Times New Roman"/>
        </w:rPr>
        <w:footnoteReference w:id="6"/>
      </w:r>
    </w:p>
    <w:p w14:paraId="7B58D437" w14:textId="77777777" w:rsidR="00756B88" w:rsidRDefault="00756B88" w:rsidP="00BF6877">
      <w:pPr>
        <w:spacing w:line="288" w:lineRule="auto"/>
        <w:ind w:left="720" w:right="720"/>
        <w:rPr>
          <w:rFonts w:ascii="Times New Roman" w:hAnsi="Times New Roman"/>
        </w:rPr>
      </w:pPr>
    </w:p>
    <w:p w14:paraId="4039E0DD" w14:textId="057C3969" w:rsidR="00C266D5" w:rsidRDefault="007C4D0B" w:rsidP="00BF6877">
      <w:pPr>
        <w:numPr>
          <w:ilvl w:val="0"/>
          <w:numId w:val="1"/>
        </w:numPr>
        <w:spacing w:line="288" w:lineRule="auto"/>
        <w:ind w:hanging="720"/>
        <w:rPr>
          <w:rFonts w:ascii="Times New Roman" w:hAnsi="Times New Roman"/>
        </w:rPr>
      </w:pPr>
      <w:r>
        <w:rPr>
          <w:rFonts w:ascii="Times New Roman" w:hAnsi="Times New Roman"/>
        </w:rPr>
        <w:t xml:space="preserve">The Courtneys correctly observe that the Commission </w:t>
      </w:r>
      <w:r w:rsidR="00E75409">
        <w:rPr>
          <w:rFonts w:ascii="Times New Roman" w:hAnsi="Times New Roman"/>
        </w:rPr>
        <w:t xml:space="preserve">is </w:t>
      </w:r>
      <w:r>
        <w:rPr>
          <w:rFonts w:ascii="Times New Roman" w:hAnsi="Times New Roman"/>
        </w:rPr>
        <w:t xml:space="preserve">not bound by this decision, but we find the Court’s reasoning persuasive. We agree that “[t]he public does not mean everybody all the time.” The Courtneys have not estimated the number of potential customers for any of </w:t>
      </w:r>
      <w:r w:rsidR="00360D8C">
        <w:rPr>
          <w:rFonts w:ascii="Times New Roman" w:hAnsi="Times New Roman"/>
        </w:rPr>
        <w:t>the</w:t>
      </w:r>
      <w:r>
        <w:rPr>
          <w:rFonts w:ascii="Times New Roman" w:hAnsi="Times New Roman"/>
        </w:rPr>
        <w:t xml:space="preserve"> five proposed service options, but we can reasonably infer that</w:t>
      </w:r>
      <w:r w:rsidR="005050FA">
        <w:rPr>
          <w:rFonts w:ascii="Times New Roman" w:hAnsi="Times New Roman"/>
        </w:rPr>
        <w:t>,</w:t>
      </w:r>
      <w:r>
        <w:rPr>
          <w:rFonts w:ascii="Times New Roman" w:hAnsi="Times New Roman"/>
        </w:rPr>
        <w:t xml:space="preserve"> </w:t>
      </w:r>
      <w:r w:rsidR="00036725">
        <w:rPr>
          <w:rFonts w:ascii="Times New Roman" w:hAnsi="Times New Roman"/>
        </w:rPr>
        <w:t>like the taxicab company’s customers, the</w:t>
      </w:r>
      <w:r w:rsidR="005050FA">
        <w:rPr>
          <w:rFonts w:ascii="Times New Roman" w:hAnsi="Times New Roman"/>
        </w:rPr>
        <w:t>ir potential</w:t>
      </w:r>
      <w:r>
        <w:rPr>
          <w:rFonts w:ascii="Times New Roman" w:hAnsi="Times New Roman"/>
        </w:rPr>
        <w:t xml:space="preserve"> customers represent “so considerable </w:t>
      </w:r>
      <w:r w:rsidRPr="00E61CF0">
        <w:rPr>
          <w:rFonts w:ascii="Times New Roman" w:hAnsi="Times New Roman"/>
        </w:rPr>
        <w:t>a fraction of the public that it is public in the same sense in which any other may be called so</w:t>
      </w:r>
      <w:r>
        <w:rPr>
          <w:rFonts w:ascii="Times New Roman" w:hAnsi="Times New Roman"/>
        </w:rPr>
        <w:t xml:space="preserve">.” </w:t>
      </w:r>
      <w:r w:rsidR="005050FA">
        <w:rPr>
          <w:rFonts w:ascii="Times New Roman" w:hAnsi="Times New Roman"/>
        </w:rPr>
        <w:t>We conclude that the proposed limitations on the potential customers described in these five scenarios does not remove the public character of such transportation services</w:t>
      </w:r>
      <w:r w:rsidR="006C6254">
        <w:rPr>
          <w:rFonts w:ascii="Times New Roman" w:hAnsi="Times New Roman"/>
        </w:rPr>
        <w:t>.</w:t>
      </w:r>
    </w:p>
    <w:p w14:paraId="19D23C31" w14:textId="77777777" w:rsidR="00756B88" w:rsidRDefault="00756B88" w:rsidP="00BF6877">
      <w:pPr>
        <w:spacing w:line="288" w:lineRule="auto"/>
        <w:rPr>
          <w:rFonts w:ascii="Times New Roman" w:hAnsi="Times New Roman"/>
        </w:rPr>
      </w:pPr>
    </w:p>
    <w:p w14:paraId="50364D81" w14:textId="12989A66" w:rsidR="006C6254" w:rsidRDefault="006C6254" w:rsidP="00BF6877">
      <w:pPr>
        <w:numPr>
          <w:ilvl w:val="0"/>
          <w:numId w:val="1"/>
        </w:numPr>
        <w:spacing w:line="288" w:lineRule="auto"/>
        <w:ind w:hanging="720"/>
        <w:rPr>
          <w:rFonts w:ascii="Times New Roman" w:hAnsi="Times New Roman"/>
        </w:rPr>
      </w:pPr>
      <w:r>
        <w:rPr>
          <w:rFonts w:ascii="Times New Roman" w:hAnsi="Times New Roman"/>
        </w:rPr>
        <w:t xml:space="preserve">The Courtneys maintain that </w:t>
      </w:r>
      <w:r w:rsidR="006206B4">
        <w:rPr>
          <w:rFonts w:ascii="Times New Roman" w:hAnsi="Times New Roman"/>
        </w:rPr>
        <w:t xml:space="preserve">the Commission reached the opposite conclusion in the context of auto transportation services. </w:t>
      </w:r>
      <w:r w:rsidR="00781DFB">
        <w:rPr>
          <w:rFonts w:ascii="Times New Roman" w:hAnsi="Times New Roman"/>
        </w:rPr>
        <w:t>T</w:t>
      </w:r>
      <w:r w:rsidR="006206B4">
        <w:rPr>
          <w:rFonts w:ascii="Times New Roman" w:hAnsi="Times New Roman"/>
        </w:rPr>
        <w:t>he</w:t>
      </w:r>
      <w:r w:rsidR="00720486">
        <w:rPr>
          <w:rFonts w:ascii="Times New Roman" w:hAnsi="Times New Roman"/>
        </w:rPr>
        <w:t>y observe that the</w:t>
      </w:r>
      <w:r w:rsidR="006206B4">
        <w:rPr>
          <w:rFonts w:ascii="Times New Roman" w:hAnsi="Times New Roman"/>
        </w:rPr>
        <w:t xml:space="preserve"> Commission </w:t>
      </w:r>
      <w:r w:rsidR="00781DFB">
        <w:rPr>
          <w:rFonts w:ascii="Times New Roman" w:hAnsi="Times New Roman"/>
        </w:rPr>
        <w:t xml:space="preserve">has promulgated a rule that </w:t>
      </w:r>
      <w:r w:rsidR="006206B4">
        <w:rPr>
          <w:rFonts w:ascii="Times New Roman" w:hAnsi="Times New Roman"/>
        </w:rPr>
        <w:t xml:space="preserve">excludes from regulation persons operating hotel buses, private carriers who transport passengers as an incidental adjunct to another private business, and transportation of airline flight crews and in-transit </w:t>
      </w:r>
      <w:r w:rsidR="00781DFB">
        <w:rPr>
          <w:rFonts w:ascii="Times New Roman" w:hAnsi="Times New Roman"/>
        </w:rPr>
        <w:t>p</w:t>
      </w:r>
      <w:r w:rsidR="006206B4">
        <w:rPr>
          <w:rFonts w:ascii="Times New Roman" w:hAnsi="Times New Roman"/>
        </w:rPr>
        <w:t>assengers between an airport and temporary hotel accommodations.</w:t>
      </w:r>
      <w:r w:rsidR="006206B4">
        <w:rPr>
          <w:rStyle w:val="FootnoteReference"/>
          <w:rFonts w:ascii="Times New Roman" w:hAnsi="Times New Roman"/>
        </w:rPr>
        <w:footnoteReference w:id="7"/>
      </w:r>
      <w:r w:rsidR="006206B4">
        <w:rPr>
          <w:rFonts w:ascii="Times New Roman" w:hAnsi="Times New Roman"/>
        </w:rPr>
        <w:t xml:space="preserve"> </w:t>
      </w:r>
      <w:r w:rsidR="008F39A2">
        <w:rPr>
          <w:rFonts w:ascii="Times New Roman" w:hAnsi="Times New Roman"/>
        </w:rPr>
        <w:t>The Courtneys claim that the ferry services they propose to provide are comparable to these auto transportation services that the Commission does not regulate.</w:t>
      </w:r>
    </w:p>
    <w:p w14:paraId="315BE12B" w14:textId="77777777" w:rsidR="00756B88" w:rsidRDefault="00756B88" w:rsidP="00BF6877">
      <w:pPr>
        <w:spacing w:line="288" w:lineRule="auto"/>
        <w:rPr>
          <w:rFonts w:ascii="Times New Roman" w:hAnsi="Times New Roman"/>
        </w:rPr>
      </w:pPr>
    </w:p>
    <w:p w14:paraId="09B32034" w14:textId="54EB7CFE" w:rsidR="005050FA" w:rsidRDefault="005050FA" w:rsidP="00BF6877">
      <w:pPr>
        <w:numPr>
          <w:ilvl w:val="0"/>
          <w:numId w:val="1"/>
        </w:numPr>
        <w:spacing w:line="288" w:lineRule="auto"/>
        <w:ind w:hanging="720"/>
        <w:rPr>
          <w:rFonts w:ascii="Times New Roman" w:hAnsi="Times New Roman"/>
        </w:rPr>
      </w:pPr>
      <w:r>
        <w:rPr>
          <w:rFonts w:ascii="Times New Roman" w:hAnsi="Times New Roman"/>
        </w:rPr>
        <w:t>T</w:t>
      </w:r>
      <w:r w:rsidRPr="004A56A7">
        <w:rPr>
          <w:rFonts w:ascii="Times New Roman" w:hAnsi="Times New Roman"/>
        </w:rPr>
        <w:t xml:space="preserve">his claim ignores that </w:t>
      </w:r>
      <w:r>
        <w:rPr>
          <w:rFonts w:ascii="Times New Roman" w:hAnsi="Times New Roman"/>
        </w:rPr>
        <w:t xml:space="preserve">the </w:t>
      </w:r>
      <w:r w:rsidRPr="004A56A7">
        <w:rPr>
          <w:rFonts w:ascii="Times New Roman" w:hAnsi="Times New Roman"/>
        </w:rPr>
        <w:t xml:space="preserve">Commission promulgates rules that implement statutes; it does not enact statutes. </w:t>
      </w:r>
      <w:r>
        <w:rPr>
          <w:rFonts w:ascii="Times New Roman" w:hAnsi="Times New Roman"/>
        </w:rPr>
        <w:t>T</w:t>
      </w:r>
      <w:r w:rsidRPr="00583F9F">
        <w:rPr>
          <w:rFonts w:ascii="Times New Roman" w:hAnsi="Times New Roman"/>
          <w:noProof/>
        </w:rPr>
        <w:t>he legislature provided t</w:t>
      </w:r>
      <w:r w:rsidR="00AD4559">
        <w:rPr>
          <w:rFonts w:ascii="Times New Roman" w:hAnsi="Times New Roman"/>
          <w:noProof/>
        </w:rPr>
        <w:t xml:space="preserve">hree </w:t>
      </w:r>
      <w:r w:rsidRPr="00583F9F">
        <w:rPr>
          <w:rFonts w:ascii="Times New Roman" w:hAnsi="Times New Roman"/>
          <w:noProof/>
        </w:rPr>
        <w:t xml:space="preserve">specific exemptions </w:t>
      </w:r>
      <w:r>
        <w:rPr>
          <w:rFonts w:ascii="Times New Roman" w:hAnsi="Times New Roman"/>
          <w:noProof/>
        </w:rPr>
        <w:t>from regulation for commercial ferries</w:t>
      </w:r>
      <w:r w:rsidRPr="00583F9F">
        <w:rPr>
          <w:rFonts w:ascii="Times New Roman" w:hAnsi="Times New Roman"/>
          <w:noProof/>
        </w:rPr>
        <w:t xml:space="preserve">: </w:t>
      </w:r>
      <w:r w:rsidR="00AD4559">
        <w:rPr>
          <w:rFonts w:ascii="Times New Roman" w:hAnsi="Times New Roman"/>
          <w:noProof/>
        </w:rPr>
        <w:t xml:space="preserve">(1) vessels that primarily transport freight other than vehicles if </w:t>
      </w:r>
      <w:r w:rsidR="00A22306">
        <w:rPr>
          <w:rFonts w:ascii="Times New Roman" w:hAnsi="Times New Roman"/>
          <w:noProof/>
        </w:rPr>
        <w:t>no more than ten</w:t>
      </w:r>
      <w:r w:rsidR="00AD4559">
        <w:rPr>
          <w:rFonts w:ascii="Times New Roman" w:hAnsi="Times New Roman"/>
          <w:noProof/>
        </w:rPr>
        <w:t xml:space="preserve"> percent of its gross revenues come from transporting passengers or vehicles;</w:t>
      </w:r>
      <w:r w:rsidR="00AD4559">
        <w:rPr>
          <w:rStyle w:val="FootnoteReference"/>
          <w:rFonts w:ascii="Times New Roman" w:hAnsi="Times New Roman"/>
          <w:noProof/>
        </w:rPr>
        <w:footnoteReference w:id="8"/>
      </w:r>
      <w:r w:rsidRPr="00583F9F">
        <w:rPr>
          <w:rFonts w:ascii="Times New Roman" w:hAnsi="Times New Roman"/>
          <w:noProof/>
        </w:rPr>
        <w:t xml:space="preserve"> </w:t>
      </w:r>
      <w:r w:rsidR="00AD4559">
        <w:rPr>
          <w:rFonts w:ascii="Times New Roman" w:hAnsi="Times New Roman"/>
          <w:noProof/>
        </w:rPr>
        <w:t xml:space="preserve">(2) vessels used solely to provide nonessential recreation service </w:t>
      </w:r>
      <w:r w:rsidR="00AD4559">
        <w:rPr>
          <w:rFonts w:ascii="Times New Roman" w:hAnsi="Times New Roman"/>
          <w:noProof/>
        </w:rPr>
        <w:lastRenderedPageBreak/>
        <w:t>that does not adversely affect the rates or services of an existing certificated provider;</w:t>
      </w:r>
      <w:r w:rsidR="00AD4559">
        <w:rPr>
          <w:rStyle w:val="FootnoteReference"/>
          <w:rFonts w:ascii="Times New Roman" w:hAnsi="Times New Roman"/>
          <w:noProof/>
        </w:rPr>
        <w:footnoteReference w:id="9"/>
      </w:r>
      <w:r w:rsidR="00AD4559">
        <w:rPr>
          <w:rFonts w:ascii="Times New Roman" w:hAnsi="Times New Roman"/>
          <w:noProof/>
        </w:rPr>
        <w:t xml:space="preserve"> and (3) vessels operated by a governmental entity if no certificated company provides that service</w:t>
      </w:r>
      <w:r>
        <w:rPr>
          <w:rFonts w:ascii="Times New Roman" w:hAnsi="Times New Roman"/>
          <w:noProof/>
        </w:rPr>
        <w:t>.</w:t>
      </w:r>
      <w:r w:rsidR="00AD4559">
        <w:rPr>
          <w:rStyle w:val="FootnoteReference"/>
          <w:rFonts w:ascii="Times New Roman" w:hAnsi="Times New Roman"/>
          <w:noProof/>
        </w:rPr>
        <w:footnoteReference w:id="10"/>
      </w:r>
      <w:r>
        <w:rPr>
          <w:rFonts w:ascii="Times New Roman" w:hAnsi="Times New Roman"/>
          <w:noProof/>
        </w:rPr>
        <w:t xml:space="preserve"> </w:t>
      </w:r>
      <w:r w:rsidR="00515C18">
        <w:rPr>
          <w:rFonts w:ascii="Times New Roman" w:hAnsi="Times New Roman"/>
          <w:noProof/>
        </w:rPr>
        <w:t>None of these exemptions applies to the five types of service the Courtneys propose to provide</w:t>
      </w:r>
      <w:r w:rsidRPr="00583F9F">
        <w:rPr>
          <w:rFonts w:ascii="Times New Roman" w:hAnsi="Times New Roman"/>
          <w:noProof/>
        </w:rPr>
        <w:t>.</w:t>
      </w:r>
    </w:p>
    <w:p w14:paraId="42279830" w14:textId="77777777" w:rsidR="00756B88" w:rsidRDefault="00756B88" w:rsidP="00BF6877">
      <w:pPr>
        <w:spacing w:line="288" w:lineRule="auto"/>
        <w:rPr>
          <w:rFonts w:ascii="Times New Roman" w:hAnsi="Times New Roman"/>
        </w:rPr>
      </w:pPr>
    </w:p>
    <w:p w14:paraId="18907C56" w14:textId="4CA197C8" w:rsidR="008F39A2" w:rsidRDefault="00515C18" w:rsidP="00BF6877">
      <w:pPr>
        <w:numPr>
          <w:ilvl w:val="0"/>
          <w:numId w:val="1"/>
        </w:numPr>
        <w:spacing w:line="288" w:lineRule="auto"/>
        <w:ind w:hanging="720"/>
        <w:rPr>
          <w:rFonts w:ascii="Times New Roman" w:hAnsi="Times New Roman"/>
        </w:rPr>
      </w:pPr>
      <w:r>
        <w:rPr>
          <w:rFonts w:ascii="Times New Roman" w:hAnsi="Times New Roman"/>
        </w:rPr>
        <w:t>By the same token, t</w:t>
      </w:r>
      <w:r w:rsidR="008F39A2">
        <w:rPr>
          <w:rFonts w:ascii="Times New Roman" w:hAnsi="Times New Roman"/>
        </w:rPr>
        <w:t xml:space="preserve">he legislature, not the Commission, excludes </w:t>
      </w:r>
      <w:r>
        <w:rPr>
          <w:rFonts w:ascii="Times New Roman" w:hAnsi="Times New Roman"/>
        </w:rPr>
        <w:t>certain</w:t>
      </w:r>
      <w:r w:rsidR="008F39A2">
        <w:rPr>
          <w:rFonts w:ascii="Times New Roman" w:hAnsi="Times New Roman"/>
        </w:rPr>
        <w:t xml:space="preserve"> auto transportation services from regulation. By statute, auto transportation regulation does not apply to persons operating </w:t>
      </w:r>
      <w:r w:rsidR="001B5B79">
        <w:rPr>
          <w:rFonts w:ascii="Times New Roman" w:hAnsi="Times New Roman"/>
        </w:rPr>
        <w:t>“</w:t>
      </w:r>
      <w:r w:rsidR="004F1600">
        <w:rPr>
          <w:rFonts w:ascii="Times New Roman" w:hAnsi="Times New Roman"/>
        </w:rPr>
        <w:t xml:space="preserve">taxicabs, </w:t>
      </w:r>
      <w:r w:rsidR="008F39A2">
        <w:rPr>
          <w:rFonts w:ascii="Times New Roman" w:hAnsi="Times New Roman"/>
        </w:rPr>
        <w:t>hotel buses</w:t>
      </w:r>
      <w:r w:rsidR="004F1600">
        <w:rPr>
          <w:rFonts w:ascii="Times New Roman" w:hAnsi="Times New Roman"/>
        </w:rPr>
        <w:t>,</w:t>
      </w:r>
      <w:r w:rsidR="008F39A2">
        <w:rPr>
          <w:rFonts w:ascii="Times New Roman" w:hAnsi="Times New Roman"/>
        </w:rPr>
        <w:t xml:space="preserve"> </w:t>
      </w:r>
      <w:r w:rsidR="001B5B79">
        <w:rPr>
          <w:rFonts w:ascii="Times New Roman" w:hAnsi="Times New Roman"/>
        </w:rPr>
        <w:t xml:space="preserve">. . . </w:t>
      </w:r>
      <w:r w:rsidR="00DE5EBB">
        <w:rPr>
          <w:rFonts w:ascii="Times New Roman" w:hAnsi="Times New Roman"/>
        </w:rPr>
        <w:t xml:space="preserve">or any other carrier </w:t>
      </w:r>
      <w:r w:rsidR="001B5B79">
        <w:rPr>
          <w:rFonts w:ascii="Times New Roman" w:hAnsi="Times New Roman"/>
        </w:rPr>
        <w:t>that does not come within the term ‘auto transportation company’ as defined in RCW 81.68.010.”</w:t>
      </w:r>
      <w:r w:rsidR="001B5B79">
        <w:rPr>
          <w:rStyle w:val="FootnoteReference"/>
          <w:rFonts w:ascii="Times New Roman" w:hAnsi="Times New Roman"/>
        </w:rPr>
        <w:footnoteReference w:id="11"/>
      </w:r>
      <w:r w:rsidR="004F1600">
        <w:rPr>
          <w:rFonts w:ascii="Times New Roman" w:hAnsi="Times New Roman"/>
        </w:rPr>
        <w:t xml:space="preserve"> All of the exclusions the Courtneys cite from the Commission’s rule derive from this legislative directive.</w:t>
      </w:r>
      <w:r w:rsidR="004F1600">
        <w:rPr>
          <w:rStyle w:val="FootnoteReference"/>
          <w:rFonts w:ascii="Times New Roman" w:hAnsi="Times New Roman"/>
        </w:rPr>
        <w:footnoteReference w:id="12"/>
      </w:r>
      <w:r w:rsidR="00781DFB">
        <w:rPr>
          <w:rFonts w:ascii="Times New Roman" w:hAnsi="Times New Roman"/>
        </w:rPr>
        <w:t xml:space="preserve"> </w:t>
      </w:r>
      <w:r w:rsidR="00F94B0C">
        <w:rPr>
          <w:rFonts w:ascii="Times New Roman" w:hAnsi="Times New Roman"/>
        </w:rPr>
        <w:t xml:space="preserve">Those statutory exemptions are specific to auto transportation companies, and the legislature did not extend them to commercial ferries. </w:t>
      </w:r>
      <w:r w:rsidR="00C125AF" w:rsidRPr="00781DFB">
        <w:rPr>
          <w:rFonts w:ascii="Times New Roman" w:hAnsi="Times New Roman"/>
        </w:rPr>
        <w:t>Unlike RCW 81.84.010(1), moreover, t</w:t>
      </w:r>
      <w:r w:rsidR="004177D8" w:rsidRPr="00781DFB">
        <w:rPr>
          <w:rFonts w:ascii="Times New Roman" w:hAnsi="Times New Roman"/>
        </w:rPr>
        <w:t>he statute governing auto transportation companies does not include the requirement that such companies operate vehicles “for the public use for hire</w:t>
      </w:r>
      <w:r w:rsidR="00B74DE7" w:rsidRPr="00781DFB">
        <w:rPr>
          <w:rFonts w:ascii="Times New Roman" w:hAnsi="Times New Roman"/>
        </w:rPr>
        <w:t>,</w:t>
      </w:r>
      <w:r w:rsidR="00BA09C0" w:rsidRPr="00781DFB">
        <w:rPr>
          <w:rFonts w:ascii="Times New Roman" w:hAnsi="Times New Roman"/>
        </w:rPr>
        <w:t>”</w:t>
      </w:r>
      <w:r w:rsidR="00B74DE7" w:rsidRPr="00781DFB">
        <w:rPr>
          <w:rFonts w:ascii="Times New Roman" w:hAnsi="Times New Roman"/>
        </w:rPr>
        <w:t xml:space="preserve"> even though the remainder of the operative language is virtually identical.</w:t>
      </w:r>
      <w:r w:rsidR="00B74DE7">
        <w:rPr>
          <w:rStyle w:val="FootnoteReference"/>
          <w:rFonts w:ascii="Times New Roman" w:hAnsi="Times New Roman"/>
        </w:rPr>
        <w:footnoteReference w:id="13"/>
      </w:r>
      <w:r w:rsidR="00BA09C0" w:rsidRPr="00781DFB">
        <w:rPr>
          <w:rFonts w:ascii="Times New Roman" w:hAnsi="Times New Roman"/>
        </w:rPr>
        <w:t xml:space="preserve"> We construe this omission, as we must, to be intentional. </w:t>
      </w:r>
      <w:r w:rsidR="00492B55" w:rsidRPr="00781DFB">
        <w:rPr>
          <w:rFonts w:ascii="Times New Roman" w:hAnsi="Times New Roman"/>
        </w:rPr>
        <w:t xml:space="preserve">Had the legislature intended the Commission to regulate commercial ferries the same as auto transportation companies, the legislature would have used comparable language in the governing statutes. </w:t>
      </w:r>
      <w:r w:rsidR="009E2377">
        <w:rPr>
          <w:rFonts w:ascii="Times New Roman" w:hAnsi="Times New Roman"/>
        </w:rPr>
        <w:t>T</w:t>
      </w:r>
      <w:r w:rsidR="00492B55" w:rsidRPr="00781DFB">
        <w:rPr>
          <w:rFonts w:ascii="Times New Roman" w:hAnsi="Times New Roman"/>
        </w:rPr>
        <w:t xml:space="preserve">he legislature has not exempted from commercial ferry regulation the type of operations the Courtneys propose, </w:t>
      </w:r>
      <w:r w:rsidR="009E2377">
        <w:rPr>
          <w:rFonts w:ascii="Times New Roman" w:hAnsi="Times New Roman"/>
        </w:rPr>
        <w:t>and the Commission may not do so absent statutory authority</w:t>
      </w:r>
      <w:r w:rsidR="00492B55" w:rsidRPr="00781DFB">
        <w:rPr>
          <w:rFonts w:ascii="Times New Roman" w:hAnsi="Times New Roman"/>
        </w:rPr>
        <w:t>.</w:t>
      </w:r>
      <w:r w:rsidR="00707FEF">
        <w:rPr>
          <w:rStyle w:val="FootnoteReference"/>
          <w:rFonts w:ascii="Times New Roman" w:hAnsi="Times New Roman"/>
        </w:rPr>
        <w:footnoteReference w:id="14"/>
      </w:r>
      <w:r w:rsidR="00492B55" w:rsidRPr="00781DFB">
        <w:rPr>
          <w:rFonts w:ascii="Times New Roman" w:hAnsi="Times New Roman"/>
        </w:rPr>
        <w:t xml:space="preserve"> </w:t>
      </w:r>
    </w:p>
    <w:p w14:paraId="7F3BAD5E" w14:textId="77777777" w:rsidR="00756B88" w:rsidRPr="00781DFB" w:rsidRDefault="00756B88" w:rsidP="00BF6877">
      <w:pPr>
        <w:spacing w:line="288" w:lineRule="auto"/>
        <w:rPr>
          <w:rFonts w:ascii="Times New Roman" w:hAnsi="Times New Roman"/>
        </w:rPr>
      </w:pPr>
    </w:p>
    <w:p w14:paraId="25856FAA" w14:textId="027B6670" w:rsidR="00781DFB" w:rsidRDefault="00781DFB" w:rsidP="00BF6877">
      <w:pPr>
        <w:numPr>
          <w:ilvl w:val="0"/>
          <w:numId w:val="1"/>
        </w:numPr>
        <w:spacing w:line="288" w:lineRule="auto"/>
        <w:ind w:hanging="720"/>
        <w:rPr>
          <w:rFonts w:ascii="Times New Roman" w:hAnsi="Times New Roman"/>
        </w:rPr>
      </w:pPr>
      <w:r>
        <w:rPr>
          <w:rFonts w:ascii="Times New Roman" w:hAnsi="Times New Roman"/>
        </w:rPr>
        <w:lastRenderedPageBreak/>
        <w:t>The Courtneys, however, argue that the Commission has exempted “charter services” from the commercial ferry CPCN requirement,</w:t>
      </w:r>
      <w:r>
        <w:rPr>
          <w:rStyle w:val="FootnoteReference"/>
          <w:rFonts w:ascii="Times New Roman" w:hAnsi="Times New Roman"/>
        </w:rPr>
        <w:footnoteReference w:id="15"/>
      </w:r>
      <w:r>
        <w:rPr>
          <w:rFonts w:ascii="Times New Roman" w:hAnsi="Times New Roman"/>
        </w:rPr>
        <w:t xml:space="preserve"> which the Commission defines as “the hiring of a vessel, with captain and crew, by a person or group for carriage or conveyance of persons or property.”</w:t>
      </w:r>
      <w:r>
        <w:rPr>
          <w:rStyle w:val="FootnoteReference"/>
          <w:rFonts w:ascii="Times New Roman" w:hAnsi="Times New Roman"/>
        </w:rPr>
        <w:footnoteReference w:id="16"/>
      </w:r>
      <w:r>
        <w:rPr>
          <w:rFonts w:ascii="Times New Roman" w:hAnsi="Times New Roman"/>
        </w:rPr>
        <w:t xml:space="preserve"> The Courtneys </w:t>
      </w:r>
      <w:r w:rsidR="0015133F">
        <w:rPr>
          <w:rFonts w:ascii="Times New Roman" w:hAnsi="Times New Roman"/>
        </w:rPr>
        <w:t>argue that their fifth proposal, to charter boat services to an unaffiliated travel company that organizes travel packages for Stehekin visitors, is just such a “charter service.”</w:t>
      </w:r>
      <w:r>
        <w:rPr>
          <w:rFonts w:ascii="Times New Roman" w:hAnsi="Times New Roman"/>
        </w:rPr>
        <w:t xml:space="preserve"> </w:t>
      </w:r>
    </w:p>
    <w:p w14:paraId="2F76E563" w14:textId="77777777" w:rsidR="00756B88" w:rsidRDefault="00756B88" w:rsidP="00BF6877">
      <w:pPr>
        <w:spacing w:line="288" w:lineRule="auto"/>
        <w:rPr>
          <w:rFonts w:ascii="Times New Roman" w:hAnsi="Times New Roman"/>
        </w:rPr>
      </w:pPr>
    </w:p>
    <w:p w14:paraId="090D09C7" w14:textId="600535E2" w:rsidR="00387C14" w:rsidRDefault="00282EE9" w:rsidP="00BF6877">
      <w:pPr>
        <w:numPr>
          <w:ilvl w:val="0"/>
          <w:numId w:val="1"/>
        </w:numPr>
        <w:spacing w:line="288" w:lineRule="auto"/>
        <w:ind w:hanging="720"/>
        <w:rPr>
          <w:rFonts w:ascii="Times New Roman" w:hAnsi="Times New Roman"/>
        </w:rPr>
      </w:pPr>
      <w:r>
        <w:rPr>
          <w:rFonts w:ascii="Times New Roman" w:hAnsi="Times New Roman"/>
        </w:rPr>
        <w:t>The legislature did not create an exemption from the “for the public use for hire” requirement in RCW 81.84.010(1) for “charter service</w:t>
      </w:r>
      <w:r w:rsidR="006416E3">
        <w:rPr>
          <w:rFonts w:ascii="Times New Roman" w:hAnsi="Times New Roman"/>
        </w:rPr>
        <w:t>.</w:t>
      </w:r>
      <w:r>
        <w:rPr>
          <w:rFonts w:ascii="Times New Roman" w:hAnsi="Times New Roman"/>
        </w:rPr>
        <w:t xml:space="preserve">” </w:t>
      </w:r>
      <w:r w:rsidR="006416E3">
        <w:rPr>
          <w:rFonts w:ascii="Times New Roman" w:hAnsi="Times New Roman"/>
        </w:rPr>
        <w:t xml:space="preserve">Accordingly, </w:t>
      </w:r>
      <w:r w:rsidR="003E6969">
        <w:rPr>
          <w:rFonts w:ascii="Times New Roman" w:hAnsi="Times New Roman"/>
        </w:rPr>
        <w:t xml:space="preserve">we </w:t>
      </w:r>
      <w:r w:rsidR="006416E3">
        <w:rPr>
          <w:rFonts w:ascii="Times New Roman" w:hAnsi="Times New Roman"/>
        </w:rPr>
        <w:t xml:space="preserve">must </w:t>
      </w:r>
      <w:r w:rsidR="003E6969">
        <w:rPr>
          <w:rFonts w:ascii="Times New Roman" w:hAnsi="Times New Roman"/>
        </w:rPr>
        <w:t xml:space="preserve">construe this </w:t>
      </w:r>
      <w:r>
        <w:rPr>
          <w:rFonts w:ascii="Times New Roman" w:hAnsi="Times New Roman"/>
        </w:rPr>
        <w:t>qualification in our rules to be consistent with the statute.</w:t>
      </w:r>
      <w:r w:rsidR="003E6969">
        <w:rPr>
          <w:rFonts w:ascii="Times New Roman" w:hAnsi="Times New Roman"/>
        </w:rPr>
        <w:t xml:space="preserve"> In the context of </w:t>
      </w:r>
      <w:r>
        <w:rPr>
          <w:rFonts w:ascii="Times New Roman" w:hAnsi="Times New Roman"/>
        </w:rPr>
        <w:t xml:space="preserve">passenger transportation services, the Commission has defined a “charter carrier” more expansively as “every person engaged </w:t>
      </w:r>
      <w:r w:rsidRPr="00282EE9">
        <w:rPr>
          <w:rFonts w:ascii="Times New Roman" w:hAnsi="Times New Roman"/>
        </w:rPr>
        <w:t xml:space="preserve">in the transportation of </w:t>
      </w:r>
      <w:r w:rsidRPr="006416E3">
        <w:rPr>
          <w:rFonts w:ascii="Times New Roman" w:hAnsi="Times New Roman"/>
          <w:i/>
        </w:rPr>
        <w:t>a group of pers</w:t>
      </w:r>
      <w:r w:rsidR="006416E3">
        <w:rPr>
          <w:rFonts w:ascii="Times New Roman" w:hAnsi="Times New Roman"/>
          <w:i/>
        </w:rPr>
        <w:t>ons</w:t>
      </w:r>
      <w:r w:rsidRPr="00282EE9">
        <w:rPr>
          <w:rFonts w:ascii="Times New Roman" w:hAnsi="Times New Roman"/>
        </w:rPr>
        <w:t xml:space="preserve"> who, pursuant to a common purpose and </w:t>
      </w:r>
      <w:r w:rsidRPr="00282EE9">
        <w:rPr>
          <w:rFonts w:ascii="Times New Roman" w:hAnsi="Times New Roman"/>
          <w:i/>
        </w:rPr>
        <w:t>under a single contract</w:t>
      </w:r>
      <w:r w:rsidRPr="00282EE9">
        <w:rPr>
          <w:rFonts w:ascii="Times New Roman" w:hAnsi="Times New Roman"/>
        </w:rPr>
        <w:t xml:space="preserve">, have acquired the use of a motor bus </w:t>
      </w:r>
      <w:r w:rsidRPr="00282EE9">
        <w:rPr>
          <w:rFonts w:ascii="Times New Roman" w:hAnsi="Times New Roman"/>
          <w:i/>
        </w:rPr>
        <w:t>to travel together as a group</w:t>
      </w:r>
      <w:r w:rsidRPr="00282EE9">
        <w:rPr>
          <w:rFonts w:ascii="Times New Roman" w:hAnsi="Times New Roman"/>
        </w:rPr>
        <w:t xml:space="preserve"> to a specified destination or for a particular itinerary, either agreed upon in advance or modified by </w:t>
      </w:r>
      <w:r w:rsidRPr="006416E3">
        <w:rPr>
          <w:rFonts w:ascii="Times New Roman" w:hAnsi="Times New Roman"/>
          <w:i/>
        </w:rPr>
        <w:t>the chartering gro</w:t>
      </w:r>
      <w:r w:rsidR="006416E3">
        <w:rPr>
          <w:rFonts w:ascii="Times New Roman" w:hAnsi="Times New Roman"/>
          <w:i/>
        </w:rPr>
        <w:t>up</w:t>
      </w:r>
      <w:r w:rsidRPr="00282EE9">
        <w:rPr>
          <w:rFonts w:ascii="Times New Roman" w:hAnsi="Times New Roman"/>
        </w:rPr>
        <w:t xml:space="preserve"> after having left the place of ori</w:t>
      </w:r>
      <w:r>
        <w:rPr>
          <w:rFonts w:ascii="Times New Roman" w:hAnsi="Times New Roman"/>
        </w:rPr>
        <w:t>gin.”</w:t>
      </w:r>
      <w:r w:rsidR="006416E3">
        <w:rPr>
          <w:rStyle w:val="FootnoteReference"/>
          <w:rFonts w:ascii="Times New Roman" w:hAnsi="Times New Roman"/>
        </w:rPr>
        <w:footnoteReference w:id="17"/>
      </w:r>
      <w:r w:rsidR="006416E3">
        <w:rPr>
          <w:rFonts w:ascii="Times New Roman" w:hAnsi="Times New Roman"/>
        </w:rPr>
        <w:t xml:space="preserve"> This definition comports with our interpretation of “charter services” in the Commission rules governing commercial ferries. Charter services provide transportation to a group of persons </w:t>
      </w:r>
      <w:r w:rsidR="00740E77">
        <w:rPr>
          <w:rFonts w:ascii="Times New Roman" w:hAnsi="Times New Roman"/>
        </w:rPr>
        <w:t>that</w:t>
      </w:r>
      <w:r w:rsidR="006416E3">
        <w:rPr>
          <w:rFonts w:ascii="Times New Roman" w:hAnsi="Times New Roman"/>
        </w:rPr>
        <w:t xml:space="preserve"> hire</w:t>
      </w:r>
      <w:r w:rsidR="00740E77">
        <w:rPr>
          <w:rFonts w:ascii="Times New Roman" w:hAnsi="Times New Roman"/>
        </w:rPr>
        <w:t>s</w:t>
      </w:r>
      <w:r w:rsidR="006416E3">
        <w:rPr>
          <w:rFonts w:ascii="Times New Roman" w:hAnsi="Times New Roman"/>
        </w:rPr>
        <w:t xml:space="preserve"> the entire ferry </w:t>
      </w:r>
      <w:r w:rsidR="00740E77">
        <w:rPr>
          <w:rFonts w:ascii="Times New Roman" w:hAnsi="Times New Roman"/>
        </w:rPr>
        <w:t xml:space="preserve">to travel together to </w:t>
      </w:r>
      <w:r w:rsidR="00C74EA2">
        <w:rPr>
          <w:rFonts w:ascii="Times New Roman" w:hAnsi="Times New Roman"/>
        </w:rPr>
        <w:t xml:space="preserve">and from </w:t>
      </w:r>
      <w:r w:rsidR="00740E77">
        <w:rPr>
          <w:rFonts w:ascii="Times New Roman" w:hAnsi="Times New Roman"/>
        </w:rPr>
        <w:t>a mutually agreed destination.</w:t>
      </w:r>
      <w:r w:rsidR="006416E3">
        <w:rPr>
          <w:rFonts w:ascii="Times New Roman" w:hAnsi="Times New Roman"/>
        </w:rPr>
        <w:t xml:space="preserve"> </w:t>
      </w:r>
    </w:p>
    <w:p w14:paraId="7482A8D1" w14:textId="77777777" w:rsidR="00756B88" w:rsidRDefault="00756B88" w:rsidP="00BF6877">
      <w:pPr>
        <w:spacing w:line="288" w:lineRule="auto"/>
        <w:rPr>
          <w:rFonts w:ascii="Times New Roman" w:hAnsi="Times New Roman"/>
        </w:rPr>
      </w:pPr>
    </w:p>
    <w:p w14:paraId="0DAED928" w14:textId="263B811A" w:rsidR="006416E3" w:rsidRDefault="006416E3" w:rsidP="00BF6877">
      <w:pPr>
        <w:numPr>
          <w:ilvl w:val="0"/>
          <w:numId w:val="1"/>
        </w:numPr>
        <w:spacing w:line="288" w:lineRule="auto"/>
        <w:ind w:hanging="720"/>
        <w:rPr>
          <w:rFonts w:ascii="Times New Roman" w:hAnsi="Times New Roman"/>
        </w:rPr>
      </w:pPr>
      <w:r>
        <w:rPr>
          <w:rFonts w:ascii="Times New Roman" w:hAnsi="Times New Roman"/>
        </w:rPr>
        <w:t xml:space="preserve">The Courtneys’ fifth proposal is not </w:t>
      </w:r>
      <w:r w:rsidR="00740E77">
        <w:rPr>
          <w:rFonts w:ascii="Times New Roman" w:hAnsi="Times New Roman"/>
        </w:rPr>
        <w:t xml:space="preserve">such </w:t>
      </w:r>
      <w:r>
        <w:rPr>
          <w:rFonts w:ascii="Times New Roman" w:hAnsi="Times New Roman"/>
        </w:rPr>
        <w:t>a “charter service.”</w:t>
      </w:r>
      <w:r w:rsidR="00ED5CA0">
        <w:rPr>
          <w:rFonts w:ascii="Times New Roman" w:hAnsi="Times New Roman"/>
        </w:rPr>
        <w:t xml:space="preserve"> </w:t>
      </w:r>
      <w:r w:rsidR="00740E77">
        <w:rPr>
          <w:rFonts w:ascii="Times New Roman" w:hAnsi="Times New Roman"/>
        </w:rPr>
        <w:t xml:space="preserve">They do not propose to make their vessel available for hire by </w:t>
      </w:r>
      <w:r w:rsidR="00AB0CF5">
        <w:rPr>
          <w:rFonts w:ascii="Times New Roman" w:hAnsi="Times New Roman"/>
        </w:rPr>
        <w:t xml:space="preserve">cohesive </w:t>
      </w:r>
      <w:r w:rsidR="00740E77">
        <w:rPr>
          <w:rFonts w:ascii="Times New Roman" w:hAnsi="Times New Roman"/>
        </w:rPr>
        <w:t xml:space="preserve">groups travelling together. </w:t>
      </w:r>
      <w:r w:rsidR="003E3521">
        <w:rPr>
          <w:rFonts w:ascii="Times New Roman" w:hAnsi="Times New Roman"/>
        </w:rPr>
        <w:t>Rather, the Courtneys would have an exclusive arrangement with a travel company that would hire the vessel and aggregate individuals who have booked trips separately to travel to businesses in and around Stehekin. Such individuals would not be limited by geography or technology; for example, any customer, whether he or she be in the United States or abroad, could make a booking over the Internet with the travel company. Rationally, we would categorize such a service as a commercial ferry service pursuant to RCW 81.84.010.</w:t>
      </w:r>
      <w:r w:rsidR="009D7F74">
        <w:rPr>
          <w:rFonts w:ascii="Times New Roman" w:hAnsi="Times New Roman"/>
        </w:rPr>
        <w:t xml:space="preserve"> The only practical distinction between this proposal and the Courtneys’ fourth proposal is that passengers would book passage on the vessel with a travel company, rather than the Courtneys. Such a distinction does not change the </w:t>
      </w:r>
      <w:r w:rsidR="00ED5CA0">
        <w:rPr>
          <w:rFonts w:ascii="Times New Roman" w:hAnsi="Times New Roman"/>
        </w:rPr>
        <w:t xml:space="preserve">public </w:t>
      </w:r>
      <w:r w:rsidR="009D7F74">
        <w:rPr>
          <w:rFonts w:ascii="Times New Roman" w:hAnsi="Times New Roman"/>
        </w:rPr>
        <w:t>character of the service provided or remove it from the statutory prerequisite to obtain a CPCN.</w:t>
      </w:r>
    </w:p>
    <w:p w14:paraId="58096952" w14:textId="77777777" w:rsidR="00756B88" w:rsidRDefault="00756B88" w:rsidP="00BF6877">
      <w:pPr>
        <w:spacing w:line="288" w:lineRule="auto"/>
        <w:rPr>
          <w:rFonts w:ascii="Times New Roman" w:hAnsi="Times New Roman"/>
        </w:rPr>
      </w:pPr>
    </w:p>
    <w:p w14:paraId="338DD56F" w14:textId="2BF6D8CD" w:rsidR="0057443B" w:rsidRDefault="00F566F6" w:rsidP="00BF6877">
      <w:pPr>
        <w:numPr>
          <w:ilvl w:val="0"/>
          <w:numId w:val="1"/>
        </w:numPr>
        <w:spacing w:line="288" w:lineRule="auto"/>
        <w:ind w:hanging="720"/>
        <w:rPr>
          <w:rFonts w:ascii="Times New Roman" w:hAnsi="Times New Roman"/>
        </w:rPr>
      </w:pPr>
      <w:r>
        <w:rPr>
          <w:rFonts w:ascii="Times New Roman" w:hAnsi="Times New Roman"/>
        </w:rPr>
        <w:t xml:space="preserve">The </w:t>
      </w:r>
      <w:r w:rsidRPr="00F566F6">
        <w:rPr>
          <w:rFonts w:ascii="Times New Roman" w:hAnsi="Times New Roman"/>
        </w:rPr>
        <w:t xml:space="preserve">Oregon Court of Appeals decision in </w:t>
      </w:r>
      <w:r w:rsidRPr="00F566F6">
        <w:rPr>
          <w:rFonts w:ascii="Times New Roman" w:hAnsi="Times New Roman"/>
          <w:i/>
        </w:rPr>
        <w:t>Iron Horse Stage Lines, Inc. v. Public Util. Comm’n</w:t>
      </w:r>
      <w:r>
        <w:rPr>
          <w:rStyle w:val="FootnoteReference"/>
          <w:rFonts w:ascii="Times New Roman" w:hAnsi="Times New Roman"/>
        </w:rPr>
        <w:footnoteReference w:id="18"/>
      </w:r>
      <w:r w:rsidRPr="00F566F6">
        <w:rPr>
          <w:rFonts w:ascii="Times New Roman" w:hAnsi="Times New Roman"/>
        </w:rPr>
        <w:t xml:space="preserve"> </w:t>
      </w:r>
      <w:r w:rsidR="00A22306">
        <w:rPr>
          <w:rFonts w:ascii="Times New Roman" w:hAnsi="Times New Roman"/>
        </w:rPr>
        <w:t xml:space="preserve">is not to the contrary. </w:t>
      </w:r>
      <w:r w:rsidRPr="00F566F6">
        <w:rPr>
          <w:rFonts w:ascii="Times New Roman" w:hAnsi="Times New Roman"/>
        </w:rPr>
        <w:t xml:space="preserve">In that case a corporation engaged a broker licensed under Oregon law to arrange regular shuttle service between Eugene and the Willamette ski area using at least three different </w:t>
      </w:r>
      <w:r w:rsidR="0057443B">
        <w:rPr>
          <w:rFonts w:ascii="Times New Roman" w:hAnsi="Times New Roman"/>
        </w:rPr>
        <w:t xml:space="preserve">motor </w:t>
      </w:r>
      <w:r w:rsidRPr="00F566F6">
        <w:rPr>
          <w:rFonts w:ascii="Times New Roman" w:hAnsi="Times New Roman"/>
        </w:rPr>
        <w:t>carriers, each of which was authorized to provide irregular service. The company with the CPCN to serve this route sought a cease and desist order against the corporation and the broker</w:t>
      </w:r>
      <w:r w:rsidR="0057443B">
        <w:rPr>
          <w:rFonts w:ascii="Times New Roman" w:hAnsi="Times New Roman"/>
        </w:rPr>
        <w:t>, claiming they had conspired to provide regular route service in violation of Oregon statutes</w:t>
      </w:r>
      <w:r w:rsidRPr="00F566F6">
        <w:rPr>
          <w:rFonts w:ascii="Times New Roman" w:hAnsi="Times New Roman"/>
        </w:rPr>
        <w:t xml:space="preserve">. The court upheld the Public Utility Commission of Oregon’s determination not to issue that order because the corporation and the broker were not “carriers” under Oregon law. </w:t>
      </w:r>
    </w:p>
    <w:p w14:paraId="168F439B" w14:textId="77777777" w:rsidR="00756B88" w:rsidRDefault="00756B88" w:rsidP="00BF6877">
      <w:pPr>
        <w:spacing w:line="288" w:lineRule="auto"/>
        <w:rPr>
          <w:rFonts w:ascii="Times New Roman" w:hAnsi="Times New Roman"/>
        </w:rPr>
      </w:pPr>
    </w:p>
    <w:p w14:paraId="3887A71C" w14:textId="3110C540" w:rsidR="00F566F6" w:rsidRDefault="00F566F6" w:rsidP="00BF6877">
      <w:pPr>
        <w:numPr>
          <w:ilvl w:val="0"/>
          <w:numId w:val="1"/>
        </w:numPr>
        <w:spacing w:line="288" w:lineRule="auto"/>
        <w:ind w:hanging="720"/>
        <w:rPr>
          <w:rFonts w:ascii="Times New Roman" w:hAnsi="Times New Roman"/>
        </w:rPr>
      </w:pPr>
      <w:r w:rsidRPr="00F566F6">
        <w:rPr>
          <w:rFonts w:ascii="Times New Roman" w:hAnsi="Times New Roman"/>
        </w:rPr>
        <w:t xml:space="preserve">We question whether the described arrangement </w:t>
      </w:r>
      <w:r w:rsidR="0057443B">
        <w:rPr>
          <w:rFonts w:ascii="Times New Roman" w:hAnsi="Times New Roman"/>
        </w:rPr>
        <w:t xml:space="preserve">in </w:t>
      </w:r>
      <w:r w:rsidR="0057443B">
        <w:rPr>
          <w:rFonts w:ascii="Times New Roman" w:hAnsi="Times New Roman"/>
          <w:i/>
        </w:rPr>
        <w:t xml:space="preserve">Iron Horse </w:t>
      </w:r>
      <w:r w:rsidRPr="00F566F6">
        <w:rPr>
          <w:rFonts w:ascii="Times New Roman" w:hAnsi="Times New Roman"/>
        </w:rPr>
        <w:t>would be permissible in Washington, but neither the court nor the Oregon commission addressed the issue</w:t>
      </w:r>
      <w:r>
        <w:rPr>
          <w:rFonts w:ascii="Times New Roman" w:hAnsi="Times New Roman"/>
        </w:rPr>
        <w:t xml:space="preserve"> presently</w:t>
      </w:r>
      <w:r w:rsidRPr="00F566F6">
        <w:rPr>
          <w:rFonts w:ascii="Times New Roman" w:hAnsi="Times New Roman"/>
        </w:rPr>
        <w:t xml:space="preserve"> before us, </w:t>
      </w:r>
      <w:r w:rsidRPr="00F566F6">
        <w:rPr>
          <w:rFonts w:ascii="Times New Roman" w:hAnsi="Times New Roman"/>
          <w:i/>
        </w:rPr>
        <w:t>i.e</w:t>
      </w:r>
      <w:r w:rsidRPr="00F566F6">
        <w:rPr>
          <w:rFonts w:ascii="Times New Roman" w:hAnsi="Times New Roman"/>
        </w:rPr>
        <w:t xml:space="preserve">., the legal rights of the carrier that actually provides the transportation service. </w:t>
      </w:r>
      <w:r w:rsidR="003E3521">
        <w:rPr>
          <w:rFonts w:ascii="Times New Roman" w:hAnsi="Times New Roman"/>
        </w:rPr>
        <w:t xml:space="preserve">Indeed, we agree with </w:t>
      </w:r>
      <w:r w:rsidR="003E3521" w:rsidRPr="00F566F6">
        <w:rPr>
          <w:rFonts w:ascii="Times New Roman" w:hAnsi="Times New Roman"/>
        </w:rPr>
        <w:t>the dissenting judge</w:t>
      </w:r>
      <w:r w:rsidR="003E3521">
        <w:rPr>
          <w:rFonts w:ascii="Times New Roman" w:hAnsi="Times New Roman"/>
        </w:rPr>
        <w:t xml:space="preserve"> De Muniz, who</w:t>
      </w:r>
      <w:r w:rsidR="003E3521" w:rsidRPr="00F566F6">
        <w:rPr>
          <w:rFonts w:ascii="Times New Roman" w:hAnsi="Times New Roman"/>
        </w:rPr>
        <w:t xml:space="preserve"> </w:t>
      </w:r>
      <w:r w:rsidR="003E3521">
        <w:rPr>
          <w:rFonts w:ascii="Times New Roman" w:hAnsi="Times New Roman"/>
        </w:rPr>
        <w:t xml:space="preserve">wrote that the majority incorrectly did not address the key issue in the case, namely whether </w:t>
      </w:r>
      <w:r w:rsidR="00A22306">
        <w:rPr>
          <w:rFonts w:ascii="Times New Roman" w:hAnsi="Times New Roman"/>
        </w:rPr>
        <w:t xml:space="preserve">the service being provided </w:t>
      </w:r>
      <w:r w:rsidR="003E3521">
        <w:rPr>
          <w:rFonts w:ascii="Times New Roman" w:hAnsi="Times New Roman"/>
        </w:rPr>
        <w:t>was a “charter service”</w:t>
      </w:r>
      <w:r>
        <w:rPr>
          <w:rFonts w:ascii="Times New Roman" w:hAnsi="Times New Roman"/>
        </w:rPr>
        <w:t>:</w:t>
      </w:r>
    </w:p>
    <w:p w14:paraId="43616FD0" w14:textId="77777777" w:rsidR="00756B88" w:rsidRDefault="00756B88" w:rsidP="00BF6877">
      <w:pPr>
        <w:spacing w:line="288" w:lineRule="auto"/>
        <w:rPr>
          <w:rFonts w:ascii="Times New Roman" w:hAnsi="Times New Roman"/>
        </w:rPr>
      </w:pPr>
    </w:p>
    <w:p w14:paraId="13F471FE" w14:textId="6C3650A9" w:rsidR="00F566F6" w:rsidRDefault="003E3521" w:rsidP="00BF6877">
      <w:pPr>
        <w:spacing w:line="288" w:lineRule="auto"/>
        <w:ind w:left="720" w:right="720"/>
        <w:rPr>
          <w:rFonts w:ascii="Times New Roman" w:hAnsi="Times New Roman"/>
        </w:rPr>
      </w:pPr>
      <w:r>
        <w:rPr>
          <w:rFonts w:ascii="Times New Roman" w:hAnsi="Times New Roman"/>
        </w:rPr>
        <w:t xml:space="preserve">The legislative history of ORS 767.005(5) demonstrates that a </w:t>
      </w:r>
      <w:r w:rsidRPr="00F566F6">
        <w:rPr>
          <w:rFonts w:ascii="Times New Roman" w:hAnsi="Times New Roman"/>
        </w:rPr>
        <w:t>c</w:t>
      </w:r>
      <w:r w:rsidR="00F566F6" w:rsidRPr="00F566F6">
        <w:rPr>
          <w:rFonts w:ascii="Times New Roman" w:hAnsi="Times New Roman"/>
        </w:rPr>
        <w:t>harter service [is] not intended to be used as a subterfuge to provide competition for regular route service without meeting the requirements to be licensed for a regular ro</w:t>
      </w:r>
      <w:r w:rsidR="00F566F6">
        <w:rPr>
          <w:rFonts w:ascii="Times New Roman" w:hAnsi="Times New Roman"/>
        </w:rPr>
        <w:t>ute. The requirement that a charter service be a group that not only has a common trip purpose but is also a complete cohesive group, avoids improper use of a charter service.</w:t>
      </w:r>
      <w:r w:rsidR="00F566F6">
        <w:rPr>
          <w:rStyle w:val="FootnoteReference"/>
          <w:rFonts w:ascii="Times New Roman" w:hAnsi="Times New Roman"/>
        </w:rPr>
        <w:footnoteReference w:id="19"/>
      </w:r>
      <w:r w:rsidR="00F566F6">
        <w:rPr>
          <w:rFonts w:ascii="Times New Roman" w:hAnsi="Times New Roman"/>
        </w:rPr>
        <w:t xml:space="preserve"> </w:t>
      </w:r>
    </w:p>
    <w:p w14:paraId="2B98AA17" w14:textId="77777777" w:rsidR="00756B88" w:rsidRPr="00F566F6" w:rsidRDefault="00756B88" w:rsidP="00BF6877">
      <w:pPr>
        <w:spacing w:line="288" w:lineRule="auto"/>
        <w:ind w:left="720" w:right="720"/>
        <w:rPr>
          <w:rFonts w:ascii="Times New Roman" w:hAnsi="Times New Roman"/>
        </w:rPr>
      </w:pPr>
    </w:p>
    <w:p w14:paraId="2878913F" w14:textId="14643E8D" w:rsidR="00846692" w:rsidRDefault="003D5AFF" w:rsidP="00BF6877">
      <w:pPr>
        <w:numPr>
          <w:ilvl w:val="0"/>
          <w:numId w:val="1"/>
        </w:numPr>
        <w:spacing w:line="288" w:lineRule="auto"/>
        <w:ind w:hanging="720"/>
        <w:rPr>
          <w:rFonts w:ascii="Times New Roman" w:hAnsi="Times New Roman"/>
        </w:rPr>
      </w:pPr>
      <w:r>
        <w:rPr>
          <w:rFonts w:ascii="Times New Roman" w:hAnsi="Times New Roman"/>
        </w:rPr>
        <w:t xml:space="preserve">The Washington Supreme Court </w:t>
      </w:r>
      <w:r w:rsidR="00C74EA2">
        <w:rPr>
          <w:rFonts w:ascii="Times New Roman" w:hAnsi="Times New Roman"/>
        </w:rPr>
        <w:t xml:space="preserve">also agreed that charter service cannot be used as a subterfuge for commercial ferry service. In a case </w:t>
      </w:r>
      <w:r>
        <w:rPr>
          <w:rFonts w:ascii="Times New Roman" w:hAnsi="Times New Roman"/>
        </w:rPr>
        <w:t>involving ferry service between Seattle and Bainbridge Island, a group of Bainbridge Island residents created a “</w:t>
      </w:r>
      <w:r w:rsidR="00FC42AE">
        <w:rPr>
          <w:rFonts w:ascii="Times New Roman" w:hAnsi="Times New Roman"/>
        </w:rPr>
        <w:t>ferry association</w:t>
      </w:r>
      <w:r>
        <w:rPr>
          <w:rFonts w:ascii="Times New Roman" w:hAnsi="Times New Roman"/>
        </w:rPr>
        <w:t xml:space="preserve">” </w:t>
      </w:r>
      <w:r w:rsidR="00FC42AE">
        <w:rPr>
          <w:rFonts w:ascii="Times New Roman" w:hAnsi="Times New Roman"/>
        </w:rPr>
        <w:t>whose membership was open to anyone wishing to travel to Seattle and willing to pay the nominal fee. The association</w:t>
      </w:r>
      <w:r>
        <w:rPr>
          <w:rFonts w:ascii="Times New Roman" w:hAnsi="Times New Roman"/>
        </w:rPr>
        <w:t xml:space="preserve"> chartered a vessel </w:t>
      </w:r>
      <w:r w:rsidR="00FC42AE">
        <w:rPr>
          <w:rFonts w:ascii="Times New Roman" w:hAnsi="Times New Roman"/>
        </w:rPr>
        <w:t>from a ferry company</w:t>
      </w:r>
      <w:r w:rsidR="00D011AB">
        <w:rPr>
          <w:rFonts w:ascii="Times New Roman" w:hAnsi="Times New Roman"/>
        </w:rPr>
        <w:t xml:space="preserve"> that had previously been denied a CPCN to compete with the existing certificate holder</w:t>
      </w:r>
      <w:r w:rsidR="001237B6">
        <w:rPr>
          <w:rFonts w:ascii="Times New Roman" w:hAnsi="Times New Roman"/>
        </w:rPr>
        <w:t>. The company agreed</w:t>
      </w:r>
      <w:r w:rsidR="00FC42AE">
        <w:rPr>
          <w:rFonts w:ascii="Times New Roman" w:hAnsi="Times New Roman"/>
        </w:rPr>
        <w:t xml:space="preserve"> </w:t>
      </w:r>
      <w:r>
        <w:rPr>
          <w:rFonts w:ascii="Times New Roman" w:hAnsi="Times New Roman"/>
        </w:rPr>
        <w:t xml:space="preserve">to </w:t>
      </w:r>
      <w:r w:rsidR="001237B6">
        <w:rPr>
          <w:rFonts w:ascii="Times New Roman" w:hAnsi="Times New Roman"/>
        </w:rPr>
        <w:t>operate the vessel on</w:t>
      </w:r>
      <w:r>
        <w:rPr>
          <w:rFonts w:ascii="Times New Roman" w:hAnsi="Times New Roman"/>
        </w:rPr>
        <w:t xml:space="preserve"> regular</w:t>
      </w:r>
      <w:r w:rsidR="001237B6">
        <w:rPr>
          <w:rFonts w:ascii="Times New Roman" w:hAnsi="Times New Roman"/>
        </w:rPr>
        <w:t xml:space="preserve"> scheduled</w:t>
      </w:r>
      <w:r>
        <w:rPr>
          <w:rFonts w:ascii="Times New Roman" w:hAnsi="Times New Roman"/>
        </w:rPr>
        <w:t xml:space="preserve"> trips to transport </w:t>
      </w:r>
      <w:r w:rsidR="001C7912">
        <w:rPr>
          <w:rFonts w:ascii="Times New Roman" w:hAnsi="Times New Roman"/>
        </w:rPr>
        <w:t>association</w:t>
      </w:r>
      <w:r w:rsidR="00EA0FC7">
        <w:rPr>
          <w:rFonts w:ascii="Times New Roman" w:hAnsi="Times New Roman"/>
        </w:rPr>
        <w:t xml:space="preserve"> members</w:t>
      </w:r>
      <w:r w:rsidR="00FC42AE">
        <w:rPr>
          <w:rFonts w:ascii="Times New Roman" w:hAnsi="Times New Roman"/>
        </w:rPr>
        <w:t xml:space="preserve"> and</w:t>
      </w:r>
      <w:r w:rsidR="00EA0FC7">
        <w:rPr>
          <w:rFonts w:ascii="Times New Roman" w:hAnsi="Times New Roman"/>
        </w:rPr>
        <w:t xml:space="preserve"> their families</w:t>
      </w:r>
      <w:r w:rsidR="00FC42AE">
        <w:rPr>
          <w:rFonts w:ascii="Times New Roman" w:hAnsi="Times New Roman"/>
        </w:rPr>
        <w:t>, guests, and vehicles</w:t>
      </w:r>
      <w:r w:rsidR="00846692">
        <w:rPr>
          <w:rFonts w:ascii="Times New Roman" w:hAnsi="Times New Roman"/>
        </w:rPr>
        <w:t xml:space="preserve"> between</w:t>
      </w:r>
      <w:r w:rsidR="001237B6">
        <w:rPr>
          <w:rFonts w:ascii="Times New Roman" w:hAnsi="Times New Roman"/>
        </w:rPr>
        <w:t xml:space="preserve"> the island and </w:t>
      </w:r>
      <w:r w:rsidR="001237B6">
        <w:rPr>
          <w:rFonts w:ascii="Times New Roman" w:hAnsi="Times New Roman"/>
        </w:rPr>
        <w:lastRenderedPageBreak/>
        <w:t>Seattle</w:t>
      </w:r>
      <w:r w:rsidR="00EA0FC7">
        <w:rPr>
          <w:rFonts w:ascii="Times New Roman" w:hAnsi="Times New Roman"/>
        </w:rPr>
        <w:t>.</w:t>
      </w:r>
      <w:r w:rsidR="00FC42AE">
        <w:rPr>
          <w:rFonts w:ascii="Times New Roman" w:hAnsi="Times New Roman"/>
        </w:rPr>
        <w:t xml:space="preserve"> The Court found that</w:t>
      </w:r>
      <w:r w:rsidR="001237B6">
        <w:rPr>
          <w:rFonts w:ascii="Times New Roman" w:hAnsi="Times New Roman"/>
        </w:rPr>
        <w:t xml:space="preserve"> this arrangement did not change the public character of the service.</w:t>
      </w:r>
      <w:r w:rsidR="00FC42AE">
        <w:rPr>
          <w:rFonts w:ascii="Times New Roman" w:hAnsi="Times New Roman"/>
        </w:rPr>
        <w:t xml:space="preserve"> “</w:t>
      </w:r>
      <w:r w:rsidR="001237B6">
        <w:rPr>
          <w:rFonts w:ascii="Times New Roman" w:hAnsi="Times New Roman"/>
        </w:rPr>
        <w:t>W</w:t>
      </w:r>
      <w:r w:rsidR="00FC42AE">
        <w:rPr>
          <w:rFonts w:ascii="Times New Roman" w:hAnsi="Times New Roman"/>
        </w:rPr>
        <w:t>hile the charter [agreement] provided that the ferry association would employ pursers to sell tickets and collect fares, it is quite apparent that, stripped of this pretense, the transaction was one whereby the [ferry company] was to furnish the boat and the ferry association was to furnish the passengers.”</w:t>
      </w:r>
      <w:r w:rsidR="001C7912">
        <w:rPr>
          <w:rStyle w:val="FootnoteReference"/>
          <w:rFonts w:ascii="Times New Roman" w:hAnsi="Times New Roman"/>
        </w:rPr>
        <w:footnoteReference w:id="20"/>
      </w:r>
      <w:r w:rsidR="00FC42AE">
        <w:rPr>
          <w:rFonts w:ascii="Times New Roman" w:hAnsi="Times New Roman"/>
        </w:rPr>
        <w:t xml:space="preserve"> The Court affirmed the lower court’s order enjoining this service as unlaw</w:t>
      </w:r>
      <w:r w:rsidR="001C7912">
        <w:rPr>
          <w:rFonts w:ascii="Times New Roman" w:hAnsi="Times New Roman"/>
        </w:rPr>
        <w:t>ful competition with the</w:t>
      </w:r>
      <w:r w:rsidR="00FC42AE">
        <w:rPr>
          <w:rFonts w:ascii="Times New Roman" w:hAnsi="Times New Roman"/>
        </w:rPr>
        <w:t xml:space="preserve"> </w:t>
      </w:r>
      <w:r w:rsidR="00AB0CF5">
        <w:rPr>
          <w:rFonts w:ascii="Times New Roman" w:hAnsi="Times New Roman"/>
        </w:rPr>
        <w:t>certificated carrier</w:t>
      </w:r>
      <w:r w:rsidR="00FC42AE">
        <w:rPr>
          <w:rFonts w:ascii="Times New Roman" w:hAnsi="Times New Roman"/>
        </w:rPr>
        <w:t>.</w:t>
      </w:r>
      <w:r w:rsidR="00846692">
        <w:rPr>
          <w:rFonts w:ascii="Times New Roman" w:hAnsi="Times New Roman"/>
        </w:rPr>
        <w:t xml:space="preserve"> </w:t>
      </w:r>
      <w:r w:rsidR="00DA1788" w:rsidRPr="00846692">
        <w:rPr>
          <w:rFonts w:ascii="Times New Roman" w:hAnsi="Times New Roman"/>
        </w:rPr>
        <w:t>The Courtneys</w:t>
      </w:r>
      <w:r w:rsidR="00846692">
        <w:rPr>
          <w:rFonts w:ascii="Times New Roman" w:hAnsi="Times New Roman"/>
        </w:rPr>
        <w:t>’</w:t>
      </w:r>
      <w:r w:rsidR="00DA1788" w:rsidRPr="00846692">
        <w:rPr>
          <w:rFonts w:ascii="Times New Roman" w:hAnsi="Times New Roman"/>
        </w:rPr>
        <w:t xml:space="preserve"> </w:t>
      </w:r>
      <w:r w:rsidR="00846692" w:rsidRPr="00846692">
        <w:rPr>
          <w:rFonts w:ascii="Times New Roman" w:hAnsi="Times New Roman"/>
        </w:rPr>
        <w:t xml:space="preserve">fifth proposal </w:t>
      </w:r>
      <w:r w:rsidR="00846692">
        <w:rPr>
          <w:rFonts w:ascii="Times New Roman" w:hAnsi="Times New Roman"/>
        </w:rPr>
        <w:t>i</w:t>
      </w:r>
      <w:r w:rsidR="00846692" w:rsidRPr="00846692">
        <w:rPr>
          <w:rFonts w:ascii="Times New Roman" w:hAnsi="Times New Roman"/>
        </w:rPr>
        <w:t>s the same type of pretense</w:t>
      </w:r>
      <w:r w:rsidR="00846692">
        <w:rPr>
          <w:rFonts w:ascii="Times New Roman" w:hAnsi="Times New Roman"/>
        </w:rPr>
        <w:t>, which similarly</w:t>
      </w:r>
      <w:r w:rsidR="00846692" w:rsidRPr="00846692">
        <w:rPr>
          <w:rFonts w:ascii="Times New Roman" w:hAnsi="Times New Roman"/>
        </w:rPr>
        <w:t xml:space="preserve"> fails to distinguish that service from regulated commercial ferry service. </w:t>
      </w:r>
    </w:p>
    <w:p w14:paraId="1AC1FC10" w14:textId="77777777" w:rsidR="00756B88" w:rsidRDefault="00756B88" w:rsidP="00BF6877">
      <w:pPr>
        <w:spacing w:line="288" w:lineRule="auto"/>
        <w:rPr>
          <w:rFonts w:ascii="Times New Roman" w:hAnsi="Times New Roman"/>
        </w:rPr>
      </w:pPr>
    </w:p>
    <w:p w14:paraId="4DBE4E52" w14:textId="14125515" w:rsidR="0057443B" w:rsidRDefault="00846692" w:rsidP="00BF6877">
      <w:pPr>
        <w:numPr>
          <w:ilvl w:val="0"/>
          <w:numId w:val="1"/>
        </w:numPr>
        <w:spacing w:line="288" w:lineRule="auto"/>
        <w:ind w:hanging="720"/>
        <w:rPr>
          <w:rFonts w:ascii="Times New Roman" w:hAnsi="Times New Roman"/>
        </w:rPr>
      </w:pPr>
      <w:r w:rsidRPr="00846692">
        <w:rPr>
          <w:rFonts w:ascii="Times New Roman" w:hAnsi="Times New Roman"/>
        </w:rPr>
        <w:t xml:space="preserve">The Courtneys </w:t>
      </w:r>
      <w:r w:rsidR="00DA1788" w:rsidRPr="00846692">
        <w:rPr>
          <w:rFonts w:ascii="Times New Roman" w:hAnsi="Times New Roman"/>
        </w:rPr>
        <w:t xml:space="preserve">nevertheless cite judicial decisions in </w:t>
      </w:r>
      <w:r w:rsidR="00FE1D4E">
        <w:rPr>
          <w:rFonts w:ascii="Times New Roman" w:hAnsi="Times New Roman"/>
        </w:rPr>
        <w:t>Georgia and Michigan</w:t>
      </w:r>
      <w:r w:rsidR="00DA1788" w:rsidRPr="00846692">
        <w:rPr>
          <w:rFonts w:ascii="Times New Roman" w:hAnsi="Times New Roman"/>
        </w:rPr>
        <w:t xml:space="preserve"> </w:t>
      </w:r>
      <w:r w:rsidR="0039201F" w:rsidRPr="00846692">
        <w:rPr>
          <w:rFonts w:ascii="Times New Roman" w:hAnsi="Times New Roman"/>
        </w:rPr>
        <w:t xml:space="preserve">purportedly </w:t>
      </w:r>
      <w:r w:rsidR="00DA1788" w:rsidRPr="00846692">
        <w:rPr>
          <w:rFonts w:ascii="Times New Roman" w:hAnsi="Times New Roman"/>
        </w:rPr>
        <w:t>h</w:t>
      </w:r>
      <w:r w:rsidR="00FE1D4E">
        <w:rPr>
          <w:rFonts w:ascii="Times New Roman" w:hAnsi="Times New Roman"/>
        </w:rPr>
        <w:t>o</w:t>
      </w:r>
      <w:r w:rsidR="00DA1788" w:rsidRPr="00846692">
        <w:rPr>
          <w:rFonts w:ascii="Times New Roman" w:hAnsi="Times New Roman"/>
        </w:rPr>
        <w:t>ld</w:t>
      </w:r>
      <w:r w:rsidR="00FE1D4E">
        <w:rPr>
          <w:rFonts w:ascii="Times New Roman" w:hAnsi="Times New Roman"/>
        </w:rPr>
        <w:t>ing</w:t>
      </w:r>
      <w:r w:rsidR="00DA1788" w:rsidRPr="00846692">
        <w:rPr>
          <w:rFonts w:ascii="Times New Roman" w:hAnsi="Times New Roman"/>
        </w:rPr>
        <w:t xml:space="preserve"> that “[t]ransportation for one’s self, goods, employees, and customers,</w:t>
      </w:r>
      <w:r w:rsidR="00FE1D4E">
        <w:rPr>
          <w:rFonts w:ascii="Times New Roman" w:hAnsi="Times New Roman"/>
        </w:rPr>
        <w:t xml:space="preserve"> </w:t>
      </w:r>
      <w:r w:rsidR="00DA1788" w:rsidRPr="00846692">
        <w:rPr>
          <w:rFonts w:ascii="Times New Roman" w:hAnsi="Times New Roman"/>
        </w:rPr>
        <w:t xml:space="preserve">. . . if a ferry at all, was a </w:t>
      </w:r>
      <w:r w:rsidR="00DA1788" w:rsidRPr="00846692">
        <w:rPr>
          <w:rFonts w:ascii="Times New Roman" w:hAnsi="Times New Roman"/>
          <w:i/>
        </w:rPr>
        <w:t>private</w:t>
      </w:r>
      <w:r w:rsidR="00DA1788" w:rsidRPr="00846692">
        <w:rPr>
          <w:rFonts w:ascii="Times New Roman" w:hAnsi="Times New Roman"/>
        </w:rPr>
        <w:t xml:space="preserve"> ferry and did not require a franchise from the state.”</w:t>
      </w:r>
      <w:r w:rsidR="00DA1788">
        <w:rPr>
          <w:rStyle w:val="FootnoteReference"/>
          <w:rFonts w:ascii="Times New Roman" w:hAnsi="Times New Roman"/>
        </w:rPr>
        <w:footnoteReference w:id="21"/>
      </w:r>
      <w:r w:rsidR="00DA1788" w:rsidRPr="00846692">
        <w:rPr>
          <w:rFonts w:ascii="Times New Roman" w:hAnsi="Times New Roman"/>
        </w:rPr>
        <w:t xml:space="preserve"> </w:t>
      </w:r>
      <w:r w:rsidR="00502B94" w:rsidRPr="00846692">
        <w:rPr>
          <w:rFonts w:ascii="Times New Roman" w:hAnsi="Times New Roman"/>
        </w:rPr>
        <w:t>Not only are those decisions not binding on the Commission, th</w:t>
      </w:r>
      <w:r w:rsidR="00213428" w:rsidRPr="00846692">
        <w:rPr>
          <w:rFonts w:ascii="Times New Roman" w:hAnsi="Times New Roman"/>
        </w:rPr>
        <w:t>os</w:t>
      </w:r>
      <w:r w:rsidR="00502B94" w:rsidRPr="00846692">
        <w:rPr>
          <w:rFonts w:ascii="Times New Roman" w:hAnsi="Times New Roman"/>
        </w:rPr>
        <w:t xml:space="preserve">e </w:t>
      </w:r>
      <w:r w:rsidR="00213428" w:rsidRPr="00846692">
        <w:rPr>
          <w:rFonts w:ascii="Times New Roman" w:hAnsi="Times New Roman"/>
        </w:rPr>
        <w:t xml:space="preserve">other state </w:t>
      </w:r>
      <w:r w:rsidR="00502B94" w:rsidRPr="00846692">
        <w:rPr>
          <w:rFonts w:ascii="Times New Roman" w:hAnsi="Times New Roman"/>
        </w:rPr>
        <w:t>courts were interpreting different statutory language in different factual circumstances than those presented here</w:t>
      </w:r>
      <w:r w:rsidR="0039201F" w:rsidRPr="00846692">
        <w:rPr>
          <w:rFonts w:ascii="Times New Roman" w:hAnsi="Times New Roman"/>
        </w:rPr>
        <w:t>, and the</w:t>
      </w:r>
      <w:r w:rsidR="00502B94" w:rsidRPr="00846692">
        <w:rPr>
          <w:rFonts w:ascii="Times New Roman" w:hAnsi="Times New Roman"/>
        </w:rPr>
        <w:t xml:space="preserve"> holdings are more limited than the Courtneys claim.</w:t>
      </w:r>
      <w:r w:rsidR="00502B94">
        <w:rPr>
          <w:rStyle w:val="FootnoteReference"/>
          <w:rFonts w:ascii="Times New Roman" w:hAnsi="Times New Roman"/>
        </w:rPr>
        <w:footnoteReference w:id="22"/>
      </w:r>
      <w:r w:rsidR="009450A2" w:rsidRPr="00846692">
        <w:rPr>
          <w:rFonts w:ascii="Times New Roman" w:hAnsi="Times New Roman"/>
        </w:rPr>
        <w:t xml:space="preserve"> </w:t>
      </w:r>
      <w:r w:rsidR="00213428" w:rsidRPr="00846692">
        <w:rPr>
          <w:rFonts w:ascii="Times New Roman" w:hAnsi="Times New Roman"/>
        </w:rPr>
        <w:t>None of these cases</w:t>
      </w:r>
      <w:r w:rsidR="00FE1D4E">
        <w:rPr>
          <w:rFonts w:ascii="Times New Roman" w:hAnsi="Times New Roman"/>
        </w:rPr>
        <w:t>, in either their core arguments or ultimate decisions,</w:t>
      </w:r>
      <w:r w:rsidR="00213428" w:rsidRPr="00846692">
        <w:rPr>
          <w:rFonts w:ascii="Times New Roman" w:hAnsi="Times New Roman"/>
        </w:rPr>
        <w:t xml:space="preserve"> alters our interpretation of Washington law.</w:t>
      </w:r>
    </w:p>
    <w:p w14:paraId="1EEFC523" w14:textId="77777777" w:rsidR="00756B88" w:rsidRPr="00846692" w:rsidRDefault="00756B88" w:rsidP="00BF6877">
      <w:pPr>
        <w:spacing w:line="288" w:lineRule="auto"/>
        <w:rPr>
          <w:rFonts w:ascii="Times New Roman" w:hAnsi="Times New Roman"/>
        </w:rPr>
      </w:pPr>
    </w:p>
    <w:p w14:paraId="06053D29" w14:textId="78EF8669" w:rsidR="00AB0CF5" w:rsidRDefault="00AB0CF5" w:rsidP="00BF6877">
      <w:pPr>
        <w:numPr>
          <w:ilvl w:val="0"/>
          <w:numId w:val="1"/>
        </w:numPr>
        <w:spacing w:line="288" w:lineRule="auto"/>
        <w:ind w:hanging="720"/>
        <w:rPr>
          <w:rFonts w:ascii="Times New Roman" w:hAnsi="Times New Roman"/>
        </w:rPr>
      </w:pPr>
      <w:r>
        <w:rPr>
          <w:rFonts w:ascii="Times New Roman" w:hAnsi="Times New Roman"/>
        </w:rPr>
        <w:lastRenderedPageBreak/>
        <w:t xml:space="preserve">Each of the five proposed services described in the Petition requires the operation of a vessel “for the public use for hire” under </w:t>
      </w:r>
      <w:r w:rsidR="00213428">
        <w:rPr>
          <w:rFonts w:ascii="Times New Roman" w:hAnsi="Times New Roman"/>
        </w:rPr>
        <w:t>RCW 81.84.010(1).</w:t>
      </w:r>
      <w:r>
        <w:rPr>
          <w:rFonts w:ascii="Times New Roman" w:hAnsi="Times New Roman"/>
        </w:rPr>
        <w:t xml:space="preserve"> Accordingly, the Courtneys must obtain a CPCN from the Commission before offering any of those services.</w:t>
      </w:r>
    </w:p>
    <w:p w14:paraId="6420C181" w14:textId="77777777" w:rsidR="00756B88" w:rsidRPr="00282EE9" w:rsidRDefault="00756B88" w:rsidP="00BF6877">
      <w:pPr>
        <w:spacing w:line="288" w:lineRule="auto"/>
        <w:rPr>
          <w:rFonts w:ascii="Times New Roman" w:hAnsi="Times New Roman"/>
        </w:rPr>
      </w:pPr>
    </w:p>
    <w:p w14:paraId="063AF5BF" w14:textId="70707972" w:rsidR="00161023" w:rsidRDefault="00161023" w:rsidP="00BF6877">
      <w:pPr>
        <w:spacing w:line="288" w:lineRule="auto"/>
        <w:jc w:val="center"/>
        <w:rPr>
          <w:rFonts w:ascii="Times New Roman" w:hAnsi="Times New Roman"/>
          <w:b/>
        </w:rPr>
      </w:pPr>
      <w:r w:rsidRPr="00F96C21">
        <w:rPr>
          <w:rFonts w:ascii="Times New Roman" w:hAnsi="Times New Roman"/>
          <w:b/>
        </w:rPr>
        <w:t>ORDER</w:t>
      </w:r>
      <w:r w:rsidR="00EA0FC7">
        <w:rPr>
          <w:rFonts w:ascii="Times New Roman" w:hAnsi="Times New Roman"/>
          <w:b/>
        </w:rPr>
        <w:t xml:space="preserve"> </w:t>
      </w:r>
    </w:p>
    <w:p w14:paraId="0CC651AE" w14:textId="77777777" w:rsidR="00756B88" w:rsidRPr="00F96C21" w:rsidRDefault="00756B88" w:rsidP="00BF6877">
      <w:pPr>
        <w:spacing w:line="288" w:lineRule="auto"/>
        <w:jc w:val="center"/>
        <w:rPr>
          <w:rFonts w:ascii="Times New Roman" w:hAnsi="Times New Roman"/>
          <w:b/>
        </w:rPr>
      </w:pPr>
    </w:p>
    <w:p w14:paraId="51379A94" w14:textId="7BB92AA2" w:rsidR="00161023" w:rsidRDefault="00161023" w:rsidP="00BF6877">
      <w:pPr>
        <w:spacing w:line="288" w:lineRule="auto"/>
        <w:rPr>
          <w:rFonts w:ascii="Times New Roman" w:hAnsi="Times New Roman"/>
        </w:rPr>
      </w:pPr>
      <w:r w:rsidRPr="00F96C21">
        <w:rPr>
          <w:rFonts w:ascii="Times New Roman" w:hAnsi="Times New Roman"/>
        </w:rPr>
        <w:t xml:space="preserve">THE COMMISSION ORDERS </w:t>
      </w:r>
      <w:r w:rsidR="00CC6999" w:rsidRPr="00F96C21">
        <w:rPr>
          <w:rFonts w:ascii="Times New Roman" w:hAnsi="Times New Roman"/>
        </w:rPr>
        <w:t>T</w:t>
      </w:r>
      <w:r w:rsidRPr="00F96C21">
        <w:rPr>
          <w:rFonts w:ascii="Times New Roman" w:hAnsi="Times New Roman"/>
        </w:rPr>
        <w:t>hat</w:t>
      </w:r>
    </w:p>
    <w:p w14:paraId="2F383988" w14:textId="77777777" w:rsidR="00756B88" w:rsidRPr="001B1921" w:rsidRDefault="00756B88" w:rsidP="00BF6877">
      <w:pPr>
        <w:spacing w:line="288" w:lineRule="auto"/>
        <w:rPr>
          <w:rFonts w:ascii="Times New Roman" w:hAnsi="Times New Roman"/>
        </w:rPr>
      </w:pPr>
    </w:p>
    <w:p w14:paraId="285BFD5E" w14:textId="36CB359C" w:rsidR="005318FE" w:rsidRDefault="00161023" w:rsidP="00BF6877">
      <w:pPr>
        <w:numPr>
          <w:ilvl w:val="0"/>
          <w:numId w:val="1"/>
        </w:numPr>
        <w:spacing w:line="288" w:lineRule="auto"/>
        <w:ind w:left="720" w:hanging="1440"/>
        <w:rPr>
          <w:rFonts w:ascii="Times New Roman" w:hAnsi="Times New Roman"/>
        </w:rPr>
      </w:pPr>
      <w:r w:rsidRPr="00F96C21">
        <w:rPr>
          <w:rFonts w:ascii="Times New Roman" w:hAnsi="Times New Roman"/>
        </w:rPr>
        <w:t>(1)</w:t>
      </w:r>
      <w:r w:rsidRPr="00F96C21">
        <w:rPr>
          <w:rFonts w:ascii="Times New Roman" w:hAnsi="Times New Roman"/>
        </w:rPr>
        <w:tab/>
      </w:r>
      <w:r w:rsidR="00140D7A">
        <w:rPr>
          <w:rFonts w:ascii="Times New Roman" w:hAnsi="Times New Roman"/>
        </w:rPr>
        <w:t xml:space="preserve">The </w:t>
      </w:r>
      <w:r w:rsidR="006206B4">
        <w:rPr>
          <w:rFonts w:ascii="Times New Roman" w:hAnsi="Times New Roman"/>
        </w:rPr>
        <w:t xml:space="preserve">Commission grants the request for a declaratory order in the </w:t>
      </w:r>
      <w:r w:rsidR="00140D7A" w:rsidRPr="00F96C21">
        <w:rPr>
          <w:rFonts w:ascii="Times New Roman" w:hAnsi="Times New Roman"/>
        </w:rPr>
        <w:t>Petition of James and Clifford Courtney for a Declaratory Order on the Applicability of Wash. Rev. Code § 81.84.010(1) and Wash. Admin. Code § 480-51-025(2)</w:t>
      </w:r>
      <w:r w:rsidR="006206B4">
        <w:rPr>
          <w:rFonts w:ascii="Times New Roman" w:hAnsi="Times New Roman"/>
        </w:rPr>
        <w:t xml:space="preserve"> but denies the request for the </w:t>
      </w:r>
      <w:r w:rsidR="008F39A2">
        <w:rPr>
          <w:rFonts w:ascii="Times New Roman" w:hAnsi="Times New Roman"/>
        </w:rPr>
        <w:t>declaratory order the Petition proposes</w:t>
      </w:r>
      <w:r w:rsidR="001A2A27">
        <w:rPr>
          <w:rFonts w:ascii="Times New Roman" w:hAnsi="Times New Roman"/>
        </w:rPr>
        <w:t>.</w:t>
      </w:r>
    </w:p>
    <w:p w14:paraId="1B03EE86" w14:textId="77777777" w:rsidR="00756B88" w:rsidRPr="001B1921" w:rsidRDefault="00756B88" w:rsidP="00BF6877">
      <w:pPr>
        <w:spacing w:line="288" w:lineRule="auto"/>
        <w:ind w:left="720"/>
        <w:rPr>
          <w:rFonts w:ascii="Times New Roman" w:hAnsi="Times New Roman"/>
        </w:rPr>
      </w:pPr>
    </w:p>
    <w:p w14:paraId="6C13B8D7" w14:textId="4676CA4E" w:rsidR="005318FE" w:rsidRDefault="00161023" w:rsidP="00BF6877">
      <w:pPr>
        <w:numPr>
          <w:ilvl w:val="0"/>
          <w:numId w:val="1"/>
        </w:numPr>
        <w:spacing w:line="288" w:lineRule="auto"/>
        <w:ind w:left="720" w:hanging="1440"/>
        <w:rPr>
          <w:rFonts w:ascii="Times New Roman" w:hAnsi="Times New Roman"/>
        </w:rPr>
      </w:pPr>
      <w:r w:rsidRPr="00F96C21">
        <w:rPr>
          <w:rFonts w:ascii="Times New Roman" w:hAnsi="Times New Roman"/>
        </w:rPr>
        <w:t>(2)</w:t>
      </w:r>
      <w:r w:rsidRPr="00F96C21">
        <w:rPr>
          <w:rFonts w:ascii="Times New Roman" w:hAnsi="Times New Roman"/>
        </w:rPr>
        <w:tab/>
      </w:r>
      <w:r w:rsidR="00140D7A">
        <w:rPr>
          <w:rFonts w:ascii="Times New Roman" w:hAnsi="Times New Roman"/>
        </w:rPr>
        <w:t>James and Clifford Courtney may not o</w:t>
      </w:r>
      <w:r w:rsidR="001B1921">
        <w:rPr>
          <w:rFonts w:ascii="Times New Roman" w:hAnsi="Times New Roman"/>
        </w:rPr>
        <w:t>perate any vessel or ferry on Lake Chelan to provide</w:t>
      </w:r>
      <w:r w:rsidR="00140D7A">
        <w:rPr>
          <w:rFonts w:ascii="Times New Roman" w:hAnsi="Times New Roman"/>
        </w:rPr>
        <w:t xml:space="preserve"> any of the five services they describe in their Petition without first applying for and obtaining from the Commission a certificate declaring that public convenience and necessity require such </w:t>
      </w:r>
      <w:r w:rsidR="001B1921">
        <w:rPr>
          <w:rFonts w:ascii="Times New Roman" w:hAnsi="Times New Roman"/>
        </w:rPr>
        <w:t>operation</w:t>
      </w:r>
      <w:r w:rsidR="00140D7A">
        <w:rPr>
          <w:rFonts w:ascii="Times New Roman" w:hAnsi="Times New Roman"/>
        </w:rPr>
        <w:t xml:space="preserve"> </w:t>
      </w:r>
      <w:r w:rsidR="00101A57">
        <w:rPr>
          <w:rFonts w:ascii="Times New Roman" w:hAnsi="Times New Roman"/>
        </w:rPr>
        <w:t xml:space="preserve">consistent with </w:t>
      </w:r>
      <w:r w:rsidR="00140D7A">
        <w:rPr>
          <w:rFonts w:ascii="Times New Roman" w:hAnsi="Times New Roman"/>
        </w:rPr>
        <w:t>RCW 81.84.010(1) and WAC 480-51-025(2)</w:t>
      </w:r>
      <w:r w:rsidR="00663AB7" w:rsidRPr="00F96C21">
        <w:rPr>
          <w:rFonts w:ascii="Times New Roman" w:hAnsi="Times New Roman"/>
        </w:rPr>
        <w:t>.</w:t>
      </w:r>
    </w:p>
    <w:p w14:paraId="00E2558A" w14:textId="77777777" w:rsidR="00756B88" w:rsidRPr="001B1921" w:rsidRDefault="00756B88" w:rsidP="00BF6877">
      <w:pPr>
        <w:spacing w:line="288" w:lineRule="auto"/>
        <w:rPr>
          <w:rFonts w:ascii="Times New Roman" w:hAnsi="Times New Roman"/>
        </w:rPr>
      </w:pPr>
    </w:p>
    <w:p w14:paraId="2B509339" w14:textId="2C4F6528" w:rsidR="00244353" w:rsidRPr="00F96C21" w:rsidRDefault="00244353" w:rsidP="00BF6877">
      <w:pPr>
        <w:spacing w:line="288" w:lineRule="auto"/>
        <w:rPr>
          <w:rFonts w:ascii="Times New Roman" w:hAnsi="Times New Roman"/>
        </w:rPr>
      </w:pPr>
      <w:r w:rsidRPr="00F96C21">
        <w:rPr>
          <w:rFonts w:ascii="Times New Roman" w:hAnsi="Times New Roman"/>
        </w:rPr>
        <w:t xml:space="preserve">DATED at Olympia, Washington, and effective </w:t>
      </w:r>
      <w:r w:rsidR="001A2A27">
        <w:rPr>
          <w:rFonts w:ascii="Times New Roman" w:hAnsi="Times New Roman"/>
        </w:rPr>
        <w:t>November</w:t>
      </w:r>
      <w:r w:rsidR="0057228C">
        <w:rPr>
          <w:rFonts w:ascii="Times New Roman" w:hAnsi="Times New Roman"/>
        </w:rPr>
        <w:t xml:space="preserve"> 16</w:t>
      </w:r>
      <w:r w:rsidR="005C1EAB" w:rsidRPr="00F96C21">
        <w:rPr>
          <w:rFonts w:ascii="Times New Roman" w:hAnsi="Times New Roman"/>
        </w:rPr>
        <w:t>, 2015</w:t>
      </w:r>
      <w:r w:rsidRPr="00F96C21">
        <w:rPr>
          <w:rFonts w:ascii="Times New Roman" w:hAnsi="Times New Roman"/>
        </w:rPr>
        <w:t>.</w:t>
      </w:r>
    </w:p>
    <w:p w14:paraId="4D2CC481" w14:textId="77777777" w:rsidR="00244353" w:rsidRPr="00F96C21" w:rsidRDefault="00244353" w:rsidP="00BF6877">
      <w:pPr>
        <w:spacing w:line="288" w:lineRule="auto"/>
        <w:rPr>
          <w:rFonts w:ascii="Times New Roman" w:hAnsi="Times New Roman"/>
        </w:rPr>
      </w:pPr>
    </w:p>
    <w:p w14:paraId="11893B24" w14:textId="77777777" w:rsidR="005B7C32" w:rsidRPr="00F96C21" w:rsidRDefault="005B7C32" w:rsidP="00BF6877">
      <w:pPr>
        <w:spacing w:line="288" w:lineRule="auto"/>
        <w:jc w:val="center"/>
        <w:rPr>
          <w:rFonts w:ascii="Times New Roman" w:hAnsi="Times New Roman"/>
        </w:rPr>
      </w:pPr>
      <w:r w:rsidRPr="00F96C21">
        <w:rPr>
          <w:rFonts w:ascii="Times New Roman" w:hAnsi="Times New Roman"/>
        </w:rPr>
        <w:t>WASHINGTON UTILITIES AND TRANSPORTATION COMMISSION</w:t>
      </w:r>
    </w:p>
    <w:p w14:paraId="58AE7D5D" w14:textId="77777777" w:rsidR="005B7C32" w:rsidRPr="00F96C21" w:rsidRDefault="005B7C32" w:rsidP="00BF6877">
      <w:pPr>
        <w:spacing w:line="288" w:lineRule="auto"/>
        <w:jc w:val="center"/>
        <w:rPr>
          <w:rFonts w:ascii="Times New Roman" w:hAnsi="Times New Roman"/>
        </w:rPr>
      </w:pPr>
    </w:p>
    <w:p w14:paraId="247A903D" w14:textId="77777777" w:rsidR="005B7C32" w:rsidRDefault="005B7C32" w:rsidP="00BF6877">
      <w:pPr>
        <w:pStyle w:val="Header"/>
        <w:tabs>
          <w:tab w:val="clear" w:pos="4320"/>
          <w:tab w:val="clear" w:pos="8640"/>
        </w:tabs>
        <w:spacing w:line="288" w:lineRule="auto"/>
        <w:rPr>
          <w:rFonts w:ascii="Times New Roman" w:hAnsi="Times New Roman"/>
        </w:rPr>
      </w:pPr>
    </w:p>
    <w:p w14:paraId="67118872" w14:textId="77777777" w:rsidR="00FE1D4E" w:rsidRPr="00F96C21" w:rsidRDefault="00FE1D4E" w:rsidP="00BF6877">
      <w:pPr>
        <w:pStyle w:val="Header"/>
        <w:tabs>
          <w:tab w:val="clear" w:pos="4320"/>
          <w:tab w:val="clear" w:pos="8640"/>
        </w:tabs>
        <w:spacing w:line="288" w:lineRule="auto"/>
        <w:rPr>
          <w:rFonts w:ascii="Times New Roman" w:hAnsi="Times New Roman"/>
        </w:rPr>
      </w:pPr>
    </w:p>
    <w:p w14:paraId="0CFC35CD" w14:textId="77777777" w:rsidR="005B7C32" w:rsidRPr="00F96C21" w:rsidRDefault="005B7C32" w:rsidP="00BF6877">
      <w:pPr>
        <w:spacing w:line="288" w:lineRule="auto"/>
        <w:ind w:firstLine="4320"/>
        <w:rPr>
          <w:rFonts w:ascii="Times New Roman" w:hAnsi="Times New Roman"/>
        </w:rPr>
      </w:pPr>
      <w:r w:rsidRPr="00F96C21">
        <w:rPr>
          <w:rFonts w:ascii="Times New Roman" w:hAnsi="Times New Roman"/>
        </w:rPr>
        <w:t>DAVID W. DANNER, Chairman</w:t>
      </w:r>
    </w:p>
    <w:p w14:paraId="42A8B172" w14:textId="77777777" w:rsidR="005B7C32" w:rsidRPr="00F96C21" w:rsidRDefault="005B7C32" w:rsidP="00BF6877">
      <w:pPr>
        <w:spacing w:line="288" w:lineRule="auto"/>
        <w:ind w:firstLine="4320"/>
        <w:rPr>
          <w:rFonts w:ascii="Times New Roman" w:hAnsi="Times New Roman"/>
        </w:rPr>
      </w:pPr>
    </w:p>
    <w:p w14:paraId="5CAC3030" w14:textId="77777777" w:rsidR="005B7C32" w:rsidRPr="00F96C21" w:rsidRDefault="005B7C32" w:rsidP="00BF6877">
      <w:pPr>
        <w:spacing w:line="288" w:lineRule="auto"/>
        <w:ind w:firstLine="4320"/>
        <w:rPr>
          <w:rFonts w:ascii="Times New Roman" w:hAnsi="Times New Roman"/>
        </w:rPr>
      </w:pPr>
    </w:p>
    <w:p w14:paraId="54C1901B" w14:textId="77777777" w:rsidR="005B7C32" w:rsidRPr="00F96C21" w:rsidRDefault="005B7C32" w:rsidP="00BF6877">
      <w:pPr>
        <w:spacing w:line="288" w:lineRule="auto"/>
        <w:ind w:firstLine="4320"/>
        <w:rPr>
          <w:rFonts w:ascii="Times New Roman" w:hAnsi="Times New Roman"/>
        </w:rPr>
      </w:pPr>
    </w:p>
    <w:p w14:paraId="20C24084" w14:textId="77777777" w:rsidR="005B7C32" w:rsidRPr="00F96C21" w:rsidRDefault="005B7C32" w:rsidP="00BF6877">
      <w:pPr>
        <w:spacing w:line="288" w:lineRule="auto"/>
        <w:ind w:firstLine="4320"/>
        <w:rPr>
          <w:rFonts w:ascii="Times New Roman" w:hAnsi="Times New Roman"/>
        </w:rPr>
      </w:pPr>
      <w:r w:rsidRPr="00F96C21">
        <w:rPr>
          <w:rFonts w:ascii="Times New Roman" w:hAnsi="Times New Roman"/>
        </w:rPr>
        <w:t>PHILIP B. JONES, Commissioner</w:t>
      </w:r>
    </w:p>
    <w:p w14:paraId="5731C039" w14:textId="77777777" w:rsidR="005B7C32" w:rsidRDefault="005B7C32" w:rsidP="00BF6877">
      <w:pPr>
        <w:spacing w:line="288" w:lineRule="auto"/>
        <w:rPr>
          <w:rFonts w:ascii="Times New Roman" w:hAnsi="Times New Roman"/>
        </w:rPr>
      </w:pPr>
    </w:p>
    <w:p w14:paraId="48FA25F8" w14:textId="77777777" w:rsidR="00FE1D4E" w:rsidRPr="00F96C21" w:rsidRDefault="00FE1D4E" w:rsidP="00BF6877">
      <w:pPr>
        <w:spacing w:line="288" w:lineRule="auto"/>
        <w:rPr>
          <w:rFonts w:ascii="Times New Roman" w:hAnsi="Times New Roman"/>
        </w:rPr>
      </w:pPr>
    </w:p>
    <w:p w14:paraId="11ED653F" w14:textId="77777777" w:rsidR="005B7C32" w:rsidRPr="00F96C21" w:rsidRDefault="005B7C32" w:rsidP="00BF6877">
      <w:pPr>
        <w:spacing w:line="288" w:lineRule="auto"/>
        <w:rPr>
          <w:rFonts w:ascii="Times New Roman" w:hAnsi="Times New Roman"/>
        </w:rPr>
      </w:pPr>
    </w:p>
    <w:p w14:paraId="3D2EB0FD" w14:textId="41F75810" w:rsidR="00FD0989" w:rsidRPr="00FE1D4E" w:rsidRDefault="005B7C32" w:rsidP="00BF6877">
      <w:pPr>
        <w:spacing w:line="288" w:lineRule="auto"/>
        <w:ind w:firstLine="4320"/>
        <w:rPr>
          <w:rFonts w:ascii="Times New Roman" w:hAnsi="Times New Roman"/>
        </w:rPr>
      </w:pPr>
      <w:r w:rsidRPr="00F96C21">
        <w:rPr>
          <w:rFonts w:ascii="Times New Roman" w:hAnsi="Times New Roman"/>
        </w:rPr>
        <w:t>ANN E. RENDAHL, Commissioner</w:t>
      </w:r>
      <w:r w:rsidR="00FE1D4E">
        <w:tab/>
      </w:r>
    </w:p>
    <w:sectPr w:rsidR="00FD0989" w:rsidRPr="00FE1D4E" w:rsidSect="00756B88">
      <w:headerReference w:type="default" r:id="rId11"/>
      <w:headerReference w:type="firs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88947" w14:textId="77777777" w:rsidR="004352B4" w:rsidRDefault="004352B4">
      <w:r>
        <w:separator/>
      </w:r>
    </w:p>
  </w:endnote>
  <w:endnote w:type="continuationSeparator" w:id="0">
    <w:p w14:paraId="52A1AF08" w14:textId="77777777" w:rsidR="004352B4" w:rsidRDefault="0043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F69F3" w14:textId="77777777" w:rsidR="004352B4" w:rsidRDefault="004352B4">
      <w:r>
        <w:separator/>
      </w:r>
    </w:p>
  </w:footnote>
  <w:footnote w:type="continuationSeparator" w:id="0">
    <w:p w14:paraId="0DBDD2BF" w14:textId="77777777" w:rsidR="004352B4" w:rsidRDefault="004352B4">
      <w:r>
        <w:continuationSeparator/>
      </w:r>
    </w:p>
  </w:footnote>
  <w:footnote w:id="1">
    <w:p w14:paraId="0E6D3128" w14:textId="1B07CF02" w:rsidR="0057443B" w:rsidRDefault="0057443B" w:rsidP="00BF6877">
      <w:pPr>
        <w:pStyle w:val="FootnoteText"/>
        <w:spacing w:before="0"/>
      </w:pPr>
      <w:r>
        <w:rPr>
          <w:rStyle w:val="FootnoteReference"/>
        </w:rPr>
        <w:footnoteRef/>
      </w:r>
      <w:r>
        <w:t xml:space="preserve"> Arrow raises the issue that the Commission “may not enter a declaratory order that would substantially prejudice the rights of a person who would be a necessary party and who does not consent in writing to the determination of the matter by a declaratory order proceeding.” RCW 34.05.240(7). LCBC </w:t>
      </w:r>
      <w:r w:rsidR="00DF7923">
        <w:t xml:space="preserve">stated during oral argument </w:t>
      </w:r>
      <w:r>
        <w:t xml:space="preserve">that it would not provide such consent. This order, however, does not substantially prejudice LCBC’s rights and thus its written consent is not required. </w:t>
      </w:r>
    </w:p>
  </w:footnote>
  <w:footnote w:id="2">
    <w:p w14:paraId="311210B5" w14:textId="6764D560" w:rsidR="00431BAA" w:rsidRDefault="00431BAA" w:rsidP="00BF6877">
      <w:pPr>
        <w:pStyle w:val="FootnoteText"/>
        <w:spacing w:before="0"/>
      </w:pPr>
      <w:r>
        <w:rPr>
          <w:rStyle w:val="FootnoteReference"/>
        </w:rPr>
        <w:footnoteRef/>
      </w:r>
      <w:r>
        <w:t xml:space="preserve"> Webster’s </w:t>
      </w:r>
      <w:r w:rsidR="0012563A">
        <w:t>Third New International</w:t>
      </w:r>
      <w:r>
        <w:t xml:space="preserve"> Dictionary </w:t>
      </w:r>
      <w:r w:rsidR="0012563A">
        <w:t>1836 (G&amp;C Merriam Co. 1976</w:t>
      </w:r>
      <w:r>
        <w:t>).</w:t>
      </w:r>
      <w:r w:rsidR="005050FA" w:rsidRPr="005050FA">
        <w:t xml:space="preserve"> </w:t>
      </w:r>
      <w:r w:rsidR="005050FA">
        <w:t xml:space="preserve">Similarly, the </w:t>
      </w:r>
      <w:r w:rsidR="005050FA">
        <w:rPr>
          <w:noProof/>
        </w:rPr>
        <w:t xml:space="preserve">Oxford English Dictionary defines “public” as "open to or shared by all people.” </w:t>
      </w:r>
      <w:hyperlink r:id="rId1" w:history="1">
        <w:r w:rsidR="005050FA" w:rsidRPr="00F94E60">
          <w:rPr>
            <w:rStyle w:val="Hyperlink"/>
            <w:noProof/>
          </w:rPr>
          <w:t>http://www.oxforddictionaries.com/us/definition/american_english/public</w:t>
        </w:r>
      </w:hyperlink>
      <w:r w:rsidR="005050FA">
        <w:rPr>
          <w:noProof/>
        </w:rPr>
        <w:t xml:space="preserve">. </w:t>
      </w:r>
    </w:p>
  </w:footnote>
  <w:footnote w:id="3">
    <w:p w14:paraId="3D0B8D57" w14:textId="72571DBA" w:rsidR="00440B32" w:rsidRDefault="00440B32" w:rsidP="00BF6877">
      <w:pPr>
        <w:pStyle w:val="FootnoteText"/>
        <w:spacing w:before="0"/>
      </w:pPr>
      <w:r>
        <w:rPr>
          <w:rStyle w:val="FootnoteReference"/>
        </w:rPr>
        <w:footnoteRef/>
      </w:r>
      <w:r>
        <w:t xml:space="preserve"> </w:t>
      </w:r>
      <w:r w:rsidRPr="00440B32">
        <w:rPr>
          <w:i/>
        </w:rPr>
        <w:t>Id</w:t>
      </w:r>
      <w:r w:rsidR="0012563A">
        <w:t>. 460</w:t>
      </w:r>
      <w:r>
        <w:t>.</w:t>
      </w:r>
    </w:p>
  </w:footnote>
  <w:footnote w:id="4">
    <w:p w14:paraId="00780A56" w14:textId="39F42A54" w:rsidR="00533BB2" w:rsidRPr="00781DFB" w:rsidRDefault="00533BB2" w:rsidP="00BF6877">
      <w:pPr>
        <w:pStyle w:val="FootnoteText"/>
        <w:spacing w:before="0"/>
      </w:pPr>
      <w:r>
        <w:rPr>
          <w:rStyle w:val="FootnoteReference"/>
        </w:rPr>
        <w:footnoteRef/>
      </w:r>
      <w:r>
        <w:t xml:space="preserve"> </w:t>
      </w:r>
      <w:r w:rsidRPr="00440B32">
        <w:rPr>
          <w:i/>
        </w:rPr>
        <w:t>Id</w:t>
      </w:r>
      <w:r>
        <w:t xml:space="preserve">. </w:t>
      </w:r>
      <w:r w:rsidR="0012563A">
        <w:t>1072</w:t>
      </w:r>
      <w:r>
        <w:t>.</w:t>
      </w:r>
      <w:r w:rsidR="00781DFB">
        <w:t xml:space="preserve"> </w:t>
      </w:r>
      <w:r w:rsidR="00781DFB">
        <w:rPr>
          <w:i/>
        </w:rPr>
        <w:t>See</w:t>
      </w:r>
      <w:r w:rsidR="00781DFB">
        <w:t xml:space="preserve"> WAC 480-51-020(7) (“The term ‘for hire’ means transportation offered to the general public for compensation.”).</w:t>
      </w:r>
    </w:p>
  </w:footnote>
  <w:footnote w:id="5">
    <w:p w14:paraId="65C4BEAD" w14:textId="086094DD" w:rsidR="00533BB2" w:rsidRDefault="00533BB2" w:rsidP="00BF6877">
      <w:pPr>
        <w:pStyle w:val="FootnoteText"/>
        <w:spacing w:before="0"/>
      </w:pPr>
      <w:r>
        <w:rPr>
          <w:rStyle w:val="FootnoteReference"/>
        </w:rPr>
        <w:footnoteRef/>
      </w:r>
      <w:r>
        <w:t xml:space="preserve"> Petition ¶ 131.</w:t>
      </w:r>
    </w:p>
  </w:footnote>
  <w:footnote w:id="6">
    <w:p w14:paraId="39D9C755" w14:textId="415DD634" w:rsidR="00C266D5" w:rsidRPr="00C266D5" w:rsidRDefault="00C266D5" w:rsidP="00BF6877">
      <w:pPr>
        <w:pStyle w:val="FootnoteText"/>
        <w:spacing w:before="0"/>
      </w:pPr>
      <w:r>
        <w:rPr>
          <w:rStyle w:val="FootnoteReference"/>
        </w:rPr>
        <w:footnoteRef/>
      </w:r>
      <w:r>
        <w:t xml:space="preserve"> </w:t>
      </w:r>
      <w:r>
        <w:rPr>
          <w:i/>
        </w:rPr>
        <w:t>Terminal Taxicab Co. v. Kutz</w:t>
      </w:r>
      <w:r>
        <w:t>, 241 U.S. 252, 255, 36 S. Ct. 583, 60 L. Ed. 984 (1916) (emphasis added)</w:t>
      </w:r>
      <w:r w:rsidR="00720486">
        <w:t xml:space="preserve">; </w:t>
      </w:r>
      <w:r w:rsidR="00720486">
        <w:rPr>
          <w:i/>
        </w:rPr>
        <w:t>accord Surface Transp. Corp. v. Reservoir Bus Lines, Inc.</w:t>
      </w:r>
      <w:r w:rsidR="00720486">
        <w:t xml:space="preserve">, 271 A.D. 556, </w:t>
      </w:r>
      <w:r w:rsidR="003D5AFF">
        <w:t xml:space="preserve">560, </w:t>
      </w:r>
      <w:r w:rsidR="00720486">
        <w:t>67 N.Y.S. 2d 135 (1946) (the fact that a bus line “carries only tenants of the landlords with whom it has contracted or with whom it may hereafter contract is not a sufficient limitation to remove the public character of its service”)</w:t>
      </w:r>
      <w:r>
        <w:t>.</w:t>
      </w:r>
    </w:p>
  </w:footnote>
  <w:footnote w:id="7">
    <w:p w14:paraId="0FC87D77" w14:textId="574A4098" w:rsidR="006206B4" w:rsidRDefault="006206B4" w:rsidP="00BF6877">
      <w:pPr>
        <w:pStyle w:val="FootnoteText"/>
        <w:spacing w:before="0"/>
      </w:pPr>
      <w:r>
        <w:rPr>
          <w:rStyle w:val="FootnoteReference"/>
        </w:rPr>
        <w:footnoteRef/>
      </w:r>
      <w:r>
        <w:t xml:space="preserve"> WAC 480-30-011(g), (i) &amp; (j).</w:t>
      </w:r>
    </w:p>
  </w:footnote>
  <w:footnote w:id="8">
    <w:p w14:paraId="4BDBAD12" w14:textId="18E916F1" w:rsidR="00AD4559" w:rsidRDefault="00AD4559" w:rsidP="00BF6877">
      <w:pPr>
        <w:pStyle w:val="FootnoteText"/>
        <w:spacing w:before="0"/>
      </w:pPr>
      <w:r>
        <w:rPr>
          <w:rStyle w:val="FootnoteReference"/>
        </w:rPr>
        <w:footnoteRef/>
      </w:r>
      <w:r>
        <w:t xml:space="preserve"> RCW 81.84.010(1).</w:t>
      </w:r>
    </w:p>
  </w:footnote>
  <w:footnote w:id="9">
    <w:p w14:paraId="045365DA" w14:textId="114869BE" w:rsidR="00AD4559" w:rsidRDefault="00AD4559" w:rsidP="00BF6877">
      <w:pPr>
        <w:pStyle w:val="FootnoteText"/>
        <w:spacing w:before="0"/>
      </w:pPr>
      <w:r>
        <w:rPr>
          <w:rStyle w:val="FootnoteReference"/>
        </w:rPr>
        <w:footnoteRef/>
      </w:r>
      <w:r>
        <w:t xml:space="preserve"> RCW 81.84.010(2).</w:t>
      </w:r>
    </w:p>
  </w:footnote>
  <w:footnote w:id="10">
    <w:p w14:paraId="52B12C63" w14:textId="3EADF187" w:rsidR="00AD4559" w:rsidRDefault="00AD4559" w:rsidP="00BF6877">
      <w:pPr>
        <w:pStyle w:val="FootnoteText"/>
        <w:spacing w:before="0"/>
      </w:pPr>
      <w:r>
        <w:rPr>
          <w:rStyle w:val="FootnoteReference"/>
        </w:rPr>
        <w:footnoteRef/>
      </w:r>
      <w:r>
        <w:t xml:space="preserve"> RCW 81.84.010(3).</w:t>
      </w:r>
    </w:p>
  </w:footnote>
  <w:footnote w:id="11">
    <w:p w14:paraId="0BA648B0" w14:textId="23B1ABF5" w:rsidR="001B5B79" w:rsidRDefault="001B5B79" w:rsidP="00BF6877">
      <w:pPr>
        <w:pStyle w:val="FootnoteText"/>
        <w:spacing w:before="0"/>
      </w:pPr>
      <w:r>
        <w:rPr>
          <w:rStyle w:val="FootnoteReference"/>
        </w:rPr>
        <w:footnoteRef/>
      </w:r>
      <w:r>
        <w:t xml:space="preserve"> R</w:t>
      </w:r>
      <w:r w:rsidR="004F1600">
        <w:t>CW 81.68.015.</w:t>
      </w:r>
      <w:r>
        <w:t xml:space="preserve"> </w:t>
      </w:r>
    </w:p>
  </w:footnote>
  <w:footnote w:id="12">
    <w:p w14:paraId="3B7ADE96" w14:textId="74B5F633" w:rsidR="004F1600" w:rsidRDefault="004F1600" w:rsidP="00BF6877">
      <w:pPr>
        <w:pStyle w:val="FootnoteText"/>
        <w:spacing w:before="0"/>
      </w:pPr>
      <w:r>
        <w:rPr>
          <w:rStyle w:val="FootnoteReference"/>
        </w:rPr>
        <w:footnoteRef/>
      </w:r>
      <w:r>
        <w:t xml:space="preserve"> Arranged transportation of airline flight crews and in-transit passengers between an airport and their hotel is a variation of a “hotel bus.” The statute defines “auto transportation company,” in relevant part, as any person operating any “vehicle used in the business of transporting persons and their baggage,” RCW 81.68.010(3), which does not include private carriers using their own vehicles to transport passengers as an incidental adjunct to another established private business the private carriers own or operate. </w:t>
      </w:r>
    </w:p>
  </w:footnote>
  <w:footnote w:id="13">
    <w:p w14:paraId="4CC60549" w14:textId="7EF9A828" w:rsidR="00B74DE7" w:rsidRPr="00B74DE7" w:rsidRDefault="00B74DE7" w:rsidP="00BF6877">
      <w:pPr>
        <w:pStyle w:val="FootnoteText"/>
        <w:spacing w:before="0"/>
      </w:pPr>
      <w:r>
        <w:rPr>
          <w:rStyle w:val="FootnoteReference"/>
        </w:rPr>
        <w:footnoteRef/>
      </w:r>
      <w:r>
        <w:t xml:space="preserve"> </w:t>
      </w:r>
      <w:r>
        <w:rPr>
          <w:i/>
        </w:rPr>
        <w:t>See</w:t>
      </w:r>
      <w:r>
        <w:t xml:space="preserve"> RCW 81.68.040 (“An auto transportation company shall not operate for the transportation of persons and their baggage for compensation between fixed termini or over a regular route in this state, without first having obtained from the commission under this chapter a certificate declaring that public convenience and necessity require such operation.”).</w:t>
      </w:r>
    </w:p>
  </w:footnote>
  <w:footnote w:id="14">
    <w:p w14:paraId="6E48B86F" w14:textId="1EDCC6A2" w:rsidR="00707FEF" w:rsidRPr="00707FEF" w:rsidRDefault="00707FEF" w:rsidP="00BF6877">
      <w:pPr>
        <w:pStyle w:val="FootnoteText"/>
        <w:spacing w:before="0"/>
      </w:pPr>
      <w:r>
        <w:rPr>
          <w:rStyle w:val="FootnoteReference"/>
        </w:rPr>
        <w:footnoteRef/>
      </w:r>
      <w:r>
        <w:t xml:space="preserve"> </w:t>
      </w:r>
      <w:r>
        <w:rPr>
          <w:i/>
        </w:rPr>
        <w:t>E.g., In re Consolidated Cases Concerning the Registration of Electric Lightwave, Inc.</w:t>
      </w:r>
      <w:r>
        <w:t>, 123 Wn.2d 530, 869 P.2d 1045 (1994).</w:t>
      </w:r>
    </w:p>
  </w:footnote>
  <w:footnote w:id="15">
    <w:p w14:paraId="48EA491E" w14:textId="076CCB3C" w:rsidR="00781DFB" w:rsidRDefault="00781DFB" w:rsidP="00BF6877">
      <w:pPr>
        <w:pStyle w:val="FootnoteText"/>
        <w:spacing w:before="0"/>
      </w:pPr>
      <w:r>
        <w:rPr>
          <w:rStyle w:val="FootnoteReference"/>
        </w:rPr>
        <w:footnoteRef/>
      </w:r>
      <w:r>
        <w:t xml:space="preserve"> WAC 480-51-022(1).</w:t>
      </w:r>
    </w:p>
  </w:footnote>
  <w:footnote w:id="16">
    <w:p w14:paraId="53CC1FE6" w14:textId="73BD7AAF" w:rsidR="00781DFB" w:rsidRDefault="00781DFB" w:rsidP="00BF6877">
      <w:pPr>
        <w:pStyle w:val="FootnoteText"/>
        <w:spacing w:before="0"/>
      </w:pPr>
      <w:r>
        <w:rPr>
          <w:rStyle w:val="FootnoteReference"/>
        </w:rPr>
        <w:footnoteRef/>
      </w:r>
      <w:r>
        <w:t xml:space="preserve"> WAC 480-51-020(14).</w:t>
      </w:r>
    </w:p>
  </w:footnote>
  <w:footnote w:id="17">
    <w:p w14:paraId="35AE5C50" w14:textId="5AF1CA0C" w:rsidR="006416E3" w:rsidRDefault="006416E3" w:rsidP="00BF6877">
      <w:pPr>
        <w:pStyle w:val="FootnoteText"/>
        <w:spacing w:before="0"/>
      </w:pPr>
      <w:r>
        <w:rPr>
          <w:rStyle w:val="FootnoteReference"/>
        </w:rPr>
        <w:footnoteRef/>
      </w:r>
      <w:r>
        <w:t xml:space="preserve"> WAC 480-30-036 (emphasis added).</w:t>
      </w:r>
    </w:p>
  </w:footnote>
  <w:footnote w:id="18">
    <w:p w14:paraId="6FD13ED2" w14:textId="6B217DB1" w:rsidR="00F566F6" w:rsidRDefault="00F566F6" w:rsidP="00BF6877">
      <w:pPr>
        <w:pStyle w:val="FootnoteText"/>
        <w:spacing w:before="0"/>
      </w:pPr>
      <w:r>
        <w:rPr>
          <w:rStyle w:val="FootnoteReference"/>
        </w:rPr>
        <w:footnoteRef/>
      </w:r>
      <w:r>
        <w:t xml:space="preserve"> </w:t>
      </w:r>
      <w:r w:rsidRPr="00F566F6">
        <w:t>125 Ore. App. 671, 866 P.2d 516 (1994)</w:t>
      </w:r>
      <w:r>
        <w:t>.</w:t>
      </w:r>
    </w:p>
  </w:footnote>
  <w:footnote w:id="19">
    <w:p w14:paraId="72B90987" w14:textId="259AF2FF" w:rsidR="00F566F6" w:rsidRPr="00F566F6" w:rsidRDefault="00F566F6" w:rsidP="00BF6877">
      <w:pPr>
        <w:pStyle w:val="FootnoteText"/>
        <w:spacing w:before="0"/>
      </w:pPr>
      <w:r>
        <w:rPr>
          <w:rStyle w:val="FootnoteReference"/>
        </w:rPr>
        <w:footnoteRef/>
      </w:r>
      <w:r>
        <w:t xml:space="preserve"> </w:t>
      </w:r>
      <w:r>
        <w:rPr>
          <w:i/>
        </w:rPr>
        <w:t>Id</w:t>
      </w:r>
      <w:r>
        <w:t>. at 678-79.</w:t>
      </w:r>
    </w:p>
  </w:footnote>
  <w:footnote w:id="20">
    <w:p w14:paraId="3EFB2FBD" w14:textId="5C46E924" w:rsidR="001C7912" w:rsidRPr="001C7912" w:rsidRDefault="001C7912" w:rsidP="00BF6877">
      <w:pPr>
        <w:pStyle w:val="FootnoteText"/>
        <w:spacing w:before="0"/>
      </w:pPr>
      <w:r>
        <w:rPr>
          <w:rStyle w:val="FootnoteReference"/>
        </w:rPr>
        <w:footnoteRef/>
      </w:r>
      <w:r>
        <w:t xml:space="preserve"> </w:t>
      </w:r>
      <w:r>
        <w:rPr>
          <w:i/>
        </w:rPr>
        <w:t>Kitsap County Transp. Co. v. Manitou Beach-Agate Pass Ferry Ass’n</w:t>
      </w:r>
      <w:r>
        <w:t>, 176 Wn. 486, 495, 30 P.2d 233 (1934).</w:t>
      </w:r>
    </w:p>
  </w:footnote>
  <w:footnote w:id="21">
    <w:p w14:paraId="7300A3CB" w14:textId="178178EB" w:rsidR="00DA1788" w:rsidRDefault="00DA1788" w:rsidP="00BF6877">
      <w:pPr>
        <w:pStyle w:val="FootnoteText"/>
        <w:spacing w:before="0"/>
      </w:pPr>
      <w:r>
        <w:rPr>
          <w:rStyle w:val="FootnoteReference"/>
        </w:rPr>
        <w:footnoteRef/>
      </w:r>
      <w:r>
        <w:t xml:space="preserve"> Petition ¶ 132 (emphasis in original).</w:t>
      </w:r>
    </w:p>
  </w:footnote>
  <w:footnote w:id="22">
    <w:p w14:paraId="42A918D7" w14:textId="713DD931" w:rsidR="00502B94" w:rsidRPr="00B2332E" w:rsidRDefault="00502B94" w:rsidP="00BF6877">
      <w:pPr>
        <w:pStyle w:val="FootnoteText"/>
        <w:spacing w:before="0"/>
      </w:pPr>
      <w:r>
        <w:rPr>
          <w:rStyle w:val="FootnoteReference"/>
        </w:rPr>
        <w:footnoteRef/>
      </w:r>
      <w:r>
        <w:t xml:space="preserve"> </w:t>
      </w:r>
      <w:r w:rsidR="00213428">
        <w:t xml:space="preserve">In </w:t>
      </w:r>
      <w:r w:rsidR="00213428">
        <w:rPr>
          <w:i/>
        </w:rPr>
        <w:t>Futch v. Bohannon</w:t>
      </w:r>
      <w:r w:rsidR="00213428">
        <w:t>, 134 Ga. 313, 67 S.E. 814 (1910), the Georgia Supreme Court modified a lower court injunction prohibiting a sawmill operator from operating a competing ferry service “to allow the defendant to employ a flat-boat or other suitable means of conveying his employees and his wagons and teams across the stream.”</w:t>
      </w:r>
      <w:r w:rsidR="00213428" w:rsidRPr="00213428">
        <w:t xml:space="preserve"> </w:t>
      </w:r>
      <w:r w:rsidR="00213428">
        <w:t>The transportation did not involve payment for passage or the availability of service to company customers</w:t>
      </w:r>
      <w:r>
        <w:t>.</w:t>
      </w:r>
      <w:r w:rsidR="00213428" w:rsidRPr="00213428">
        <w:t xml:space="preserve"> </w:t>
      </w:r>
      <w:r w:rsidR="00213428">
        <w:t xml:space="preserve">In </w:t>
      </w:r>
      <w:r w:rsidR="00213428" w:rsidRPr="00CA01AD">
        <w:rPr>
          <w:i/>
        </w:rPr>
        <w:t>Meisner v. Detroit B</w:t>
      </w:r>
      <w:r w:rsidR="00213428">
        <w:rPr>
          <w:i/>
        </w:rPr>
        <w:t>elle</w:t>
      </w:r>
      <w:r w:rsidR="00213428" w:rsidRPr="00CA01AD">
        <w:rPr>
          <w:i/>
        </w:rPr>
        <w:t xml:space="preserve"> I</w:t>
      </w:r>
      <w:r w:rsidR="00213428">
        <w:rPr>
          <w:i/>
        </w:rPr>
        <w:t>sland</w:t>
      </w:r>
      <w:r w:rsidR="00213428" w:rsidRPr="00CA01AD">
        <w:rPr>
          <w:i/>
        </w:rPr>
        <w:t xml:space="preserve"> &amp; W</w:t>
      </w:r>
      <w:r w:rsidR="00213428">
        <w:rPr>
          <w:i/>
        </w:rPr>
        <w:t>indsor</w:t>
      </w:r>
      <w:r w:rsidR="00213428" w:rsidRPr="00CA01AD">
        <w:rPr>
          <w:i/>
        </w:rPr>
        <w:t xml:space="preserve"> Ferry Co</w:t>
      </w:r>
      <w:r w:rsidR="00213428">
        <w:t>., 154 Mich. 545, 549, 118 N.W. 14 (1908), the Michigan Supreme Court upheld the right of a company to deny passage to a disruptive customer on the boat it operated between Detroit and an island amusement park the company owned: “The defendant can exact an entrance fee at the park, or it can compensate itself by charging for transportation to it and admit its patrons otherwise free to the park. The ride upon the boat and the use of the grounds are part of the same scheme for pleasure furnished by the defendant to those whom it may choose to carry.”</w:t>
      </w:r>
      <w:r w:rsidR="00213428" w:rsidRPr="00213428">
        <w:t xml:space="preserve"> </w:t>
      </w:r>
      <w:r w:rsidR="00213428">
        <w:t>The company’s right to operate the boat was not before the court, and the ferry was effectively an entrance to the company’s amusement park, not a separate service.</w:t>
      </w:r>
      <w:r w:rsidR="00B2332E">
        <w:t xml:space="preserve"> In </w:t>
      </w:r>
      <w:r w:rsidR="00B2332E">
        <w:rPr>
          <w:i/>
        </w:rPr>
        <w:t>Self v. Dunn &amp; Brown</w:t>
      </w:r>
      <w:r w:rsidR="00B2332E">
        <w:t xml:space="preserve">, 42 Ga. 528 (1871), the Georgia Supreme Court held that a mill operating a ferry as an accommodation for its customers was liable only for its gross negligence under Georgia statutes because the mill did not charge a fare for passage on the ferry and thus was not a bailee for hire. Again, the court did not consider whether the mill </w:t>
      </w:r>
      <w:r w:rsidR="007B34A4">
        <w:t xml:space="preserve">had a right </w:t>
      </w:r>
      <w:r w:rsidR="00B2332E">
        <w:t xml:space="preserve">to operate the ferry, and </w:t>
      </w:r>
      <w:r w:rsidR="007B34A4">
        <w:t>the mill did not receive compensation for the ferry 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DD793" w14:textId="3B387EFF" w:rsidR="008A7817" w:rsidRPr="00DE41B1" w:rsidRDefault="008A7817">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r w:rsidR="009A30A4">
      <w:rPr>
        <w:rFonts w:ascii="Times New Roman" w:hAnsi="Times New Roman"/>
        <w:b/>
        <w:bCs/>
        <w:sz w:val="20"/>
      </w:rPr>
      <w:t>T</w:t>
    </w:r>
    <w:r w:rsidR="001A2A27">
      <w:rPr>
        <w:rFonts w:ascii="Times New Roman" w:hAnsi="Times New Roman"/>
        <w:b/>
        <w:bCs/>
        <w:sz w:val="20"/>
      </w:rPr>
      <w:t>S</w:t>
    </w:r>
    <w:r w:rsidR="009A30A4">
      <w:rPr>
        <w:rFonts w:ascii="Times New Roman" w:hAnsi="Times New Roman"/>
        <w:b/>
        <w:bCs/>
        <w:sz w:val="20"/>
      </w:rPr>
      <w:t>-1</w:t>
    </w:r>
    <w:r w:rsidR="001A2A27">
      <w:rPr>
        <w:rFonts w:ascii="Times New Roman" w:hAnsi="Times New Roman"/>
        <w:b/>
        <w:bCs/>
        <w:sz w:val="20"/>
      </w:rPr>
      <w:t>51359</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CA4901">
      <w:rPr>
        <w:rStyle w:val="PageNumber"/>
        <w:rFonts w:ascii="Times New Roman" w:hAnsi="Times New Roman"/>
        <w:b/>
        <w:bCs/>
        <w:noProof/>
        <w:sz w:val="20"/>
      </w:rPr>
      <w:t>2</w:t>
    </w:r>
    <w:r w:rsidRPr="00DE41B1">
      <w:rPr>
        <w:rStyle w:val="PageNumber"/>
        <w:rFonts w:ascii="Times New Roman" w:hAnsi="Times New Roman"/>
        <w:b/>
        <w:bCs/>
        <w:sz w:val="20"/>
      </w:rPr>
      <w:fldChar w:fldCharType="end"/>
    </w:r>
  </w:p>
  <w:p w14:paraId="44642048" w14:textId="44423C76" w:rsidR="008A7817" w:rsidRDefault="00601D76">
    <w:pPr>
      <w:pStyle w:val="Header"/>
      <w:tabs>
        <w:tab w:val="clear" w:pos="8640"/>
        <w:tab w:val="right" w:pos="8460"/>
      </w:tabs>
      <w:rPr>
        <w:rFonts w:ascii="Times New Roman" w:hAnsi="Times New Roman"/>
        <w:b/>
        <w:bCs/>
        <w:sz w:val="20"/>
      </w:rPr>
    </w:pPr>
    <w:r>
      <w:rPr>
        <w:rFonts w:ascii="Times New Roman" w:hAnsi="Times New Roman"/>
        <w:b/>
        <w:bCs/>
        <w:sz w:val="20"/>
      </w:rPr>
      <w:t>ORDER 0</w:t>
    </w:r>
    <w:r w:rsidR="001A2A27">
      <w:rPr>
        <w:rFonts w:ascii="Times New Roman" w:hAnsi="Times New Roman"/>
        <w:b/>
        <w:bCs/>
        <w:sz w:val="20"/>
      </w:rPr>
      <w:t>1</w:t>
    </w:r>
  </w:p>
  <w:p w14:paraId="59DA20BA" w14:textId="77777777" w:rsidR="00601D76" w:rsidRPr="00DE41B1" w:rsidRDefault="00601D76" w:rsidP="00601D76">
    <w:pPr>
      <w:pStyle w:val="Header"/>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E54F6" w14:textId="7C22DFB9" w:rsidR="008A7817" w:rsidRPr="002E21F8" w:rsidRDefault="00733B6A" w:rsidP="004F073A">
    <w:pPr>
      <w:pStyle w:val="Header"/>
      <w:jc w:val="right"/>
      <w:rPr>
        <w:rFonts w:ascii="Times New Roman" w:hAnsi="Times New Roman"/>
        <w:b/>
        <w:bCs/>
        <w:sz w:val="20"/>
      </w:rPr>
    </w:pPr>
    <w:r>
      <w:rPr>
        <w:rFonts w:ascii="Times New Roman" w:hAnsi="Times New Roman"/>
        <w:b/>
        <w:bCs/>
        <w:sz w:val="20"/>
      </w:rPr>
      <w:t>[Service date November 16,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71526"/>
    <w:multiLevelType w:val="hybridMultilevel"/>
    <w:tmpl w:val="3E3600C4"/>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163616"/>
    <w:multiLevelType w:val="hybridMultilevel"/>
    <w:tmpl w:val="3A8691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3AC42950"/>
    <w:multiLevelType w:val="hybridMultilevel"/>
    <w:tmpl w:val="4D60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7E0338"/>
    <w:multiLevelType w:val="hybridMultilevel"/>
    <w:tmpl w:val="EE6C28F6"/>
    <w:lvl w:ilvl="0" w:tplc="E12604AE">
      <w:start w:val="1"/>
      <w:numFmt w:val="decimal"/>
      <w:lvlText w:val="%1"/>
      <w:lvlJc w:val="left"/>
      <w:pPr>
        <w:tabs>
          <w:tab w:val="num" w:pos="0"/>
        </w:tabs>
        <w:ind w:left="0" w:hanging="720"/>
      </w:pPr>
      <w:rPr>
        <w:rFonts w:ascii="Times New Roman" w:hAnsi="Times New Roman" w:cs="Times New Roman" w:hint="default"/>
        <w:b w:val="0"/>
        <w:i/>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F529BA"/>
    <w:multiLevelType w:val="hybridMultilevel"/>
    <w:tmpl w:val="2206A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F03213"/>
    <w:multiLevelType w:val="hybridMultilevel"/>
    <w:tmpl w:val="6354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04805"/>
    <w:rsid w:val="00014893"/>
    <w:rsid w:val="0001495D"/>
    <w:rsid w:val="000216E6"/>
    <w:rsid w:val="000247ED"/>
    <w:rsid w:val="00025F5C"/>
    <w:rsid w:val="00026C43"/>
    <w:rsid w:val="000302F9"/>
    <w:rsid w:val="00036725"/>
    <w:rsid w:val="0003687A"/>
    <w:rsid w:val="00037C5F"/>
    <w:rsid w:val="00040E37"/>
    <w:rsid w:val="00042379"/>
    <w:rsid w:val="0004510B"/>
    <w:rsid w:val="0005469E"/>
    <w:rsid w:val="00054D19"/>
    <w:rsid w:val="00055848"/>
    <w:rsid w:val="00070E67"/>
    <w:rsid w:val="00082A7A"/>
    <w:rsid w:val="00082E92"/>
    <w:rsid w:val="00086105"/>
    <w:rsid w:val="00087067"/>
    <w:rsid w:val="00090276"/>
    <w:rsid w:val="00090EED"/>
    <w:rsid w:val="00092539"/>
    <w:rsid w:val="000940D6"/>
    <w:rsid w:val="00094803"/>
    <w:rsid w:val="00096D70"/>
    <w:rsid w:val="000A3443"/>
    <w:rsid w:val="000A44F1"/>
    <w:rsid w:val="000A6748"/>
    <w:rsid w:val="000B15C2"/>
    <w:rsid w:val="000B1D4D"/>
    <w:rsid w:val="000B2D05"/>
    <w:rsid w:val="000B37F7"/>
    <w:rsid w:val="000B729B"/>
    <w:rsid w:val="000C296A"/>
    <w:rsid w:val="000C3247"/>
    <w:rsid w:val="000D2896"/>
    <w:rsid w:val="000D5550"/>
    <w:rsid w:val="000D760E"/>
    <w:rsid w:val="000E1314"/>
    <w:rsid w:val="000E1C61"/>
    <w:rsid w:val="000E2D04"/>
    <w:rsid w:val="000E32D5"/>
    <w:rsid w:val="000E5587"/>
    <w:rsid w:val="000F261A"/>
    <w:rsid w:val="000F3F3F"/>
    <w:rsid w:val="000F6918"/>
    <w:rsid w:val="00101A57"/>
    <w:rsid w:val="00102FF7"/>
    <w:rsid w:val="001044B8"/>
    <w:rsid w:val="00104A14"/>
    <w:rsid w:val="00113B62"/>
    <w:rsid w:val="00113DA8"/>
    <w:rsid w:val="001212B6"/>
    <w:rsid w:val="001237B6"/>
    <w:rsid w:val="00124915"/>
    <w:rsid w:val="0012563A"/>
    <w:rsid w:val="001303B7"/>
    <w:rsid w:val="001315ED"/>
    <w:rsid w:val="00136004"/>
    <w:rsid w:val="00140D7A"/>
    <w:rsid w:val="00145584"/>
    <w:rsid w:val="001470B9"/>
    <w:rsid w:val="00150CA1"/>
    <w:rsid w:val="0015133F"/>
    <w:rsid w:val="00151F8B"/>
    <w:rsid w:val="0015224D"/>
    <w:rsid w:val="00152694"/>
    <w:rsid w:val="00153044"/>
    <w:rsid w:val="00154107"/>
    <w:rsid w:val="00157E12"/>
    <w:rsid w:val="00161023"/>
    <w:rsid w:val="001654F1"/>
    <w:rsid w:val="00170C40"/>
    <w:rsid w:val="00171D5C"/>
    <w:rsid w:val="00172D1B"/>
    <w:rsid w:val="00181BC5"/>
    <w:rsid w:val="001828F3"/>
    <w:rsid w:val="00190EA2"/>
    <w:rsid w:val="00191021"/>
    <w:rsid w:val="001922D2"/>
    <w:rsid w:val="0019347B"/>
    <w:rsid w:val="001A054A"/>
    <w:rsid w:val="001A2A27"/>
    <w:rsid w:val="001B1921"/>
    <w:rsid w:val="001B3159"/>
    <w:rsid w:val="001B5B79"/>
    <w:rsid w:val="001B701C"/>
    <w:rsid w:val="001C00E4"/>
    <w:rsid w:val="001C0BE6"/>
    <w:rsid w:val="001C4093"/>
    <w:rsid w:val="001C4491"/>
    <w:rsid w:val="001C7912"/>
    <w:rsid w:val="001C7C16"/>
    <w:rsid w:val="001C7D58"/>
    <w:rsid w:val="001D0AB7"/>
    <w:rsid w:val="001D0C17"/>
    <w:rsid w:val="001D0F7B"/>
    <w:rsid w:val="001D42BE"/>
    <w:rsid w:val="001D499F"/>
    <w:rsid w:val="001D6741"/>
    <w:rsid w:val="001F200F"/>
    <w:rsid w:val="001F4A8F"/>
    <w:rsid w:val="001F4F38"/>
    <w:rsid w:val="001F5618"/>
    <w:rsid w:val="001F69DE"/>
    <w:rsid w:val="00201803"/>
    <w:rsid w:val="0020479F"/>
    <w:rsid w:val="002052B5"/>
    <w:rsid w:val="002064AA"/>
    <w:rsid w:val="00206639"/>
    <w:rsid w:val="0021016E"/>
    <w:rsid w:val="002103CA"/>
    <w:rsid w:val="00213428"/>
    <w:rsid w:val="00213612"/>
    <w:rsid w:val="00213AA3"/>
    <w:rsid w:val="002140DE"/>
    <w:rsid w:val="002164E5"/>
    <w:rsid w:val="00216BAB"/>
    <w:rsid w:val="00217A53"/>
    <w:rsid w:val="00220956"/>
    <w:rsid w:val="0022124C"/>
    <w:rsid w:val="00221AAB"/>
    <w:rsid w:val="00223CD9"/>
    <w:rsid w:val="00224CA7"/>
    <w:rsid w:val="00232986"/>
    <w:rsid w:val="002437EE"/>
    <w:rsid w:val="00244353"/>
    <w:rsid w:val="00247ECF"/>
    <w:rsid w:val="002512B6"/>
    <w:rsid w:val="00254715"/>
    <w:rsid w:val="00254D60"/>
    <w:rsid w:val="00256D72"/>
    <w:rsid w:val="00257B38"/>
    <w:rsid w:val="00260C2E"/>
    <w:rsid w:val="00262B08"/>
    <w:rsid w:val="00262CB6"/>
    <w:rsid w:val="00263144"/>
    <w:rsid w:val="00264102"/>
    <w:rsid w:val="002668EE"/>
    <w:rsid w:val="0027228D"/>
    <w:rsid w:val="00272754"/>
    <w:rsid w:val="00273186"/>
    <w:rsid w:val="00280F08"/>
    <w:rsid w:val="00282EE9"/>
    <w:rsid w:val="00283969"/>
    <w:rsid w:val="00284672"/>
    <w:rsid w:val="00286608"/>
    <w:rsid w:val="00295C89"/>
    <w:rsid w:val="00296E4C"/>
    <w:rsid w:val="002A2105"/>
    <w:rsid w:val="002A3535"/>
    <w:rsid w:val="002A7E36"/>
    <w:rsid w:val="002B46D9"/>
    <w:rsid w:val="002C671A"/>
    <w:rsid w:val="002D0467"/>
    <w:rsid w:val="002D18D2"/>
    <w:rsid w:val="002D613D"/>
    <w:rsid w:val="002E1EF7"/>
    <w:rsid w:val="002E21F8"/>
    <w:rsid w:val="002E2AFB"/>
    <w:rsid w:val="002E35C9"/>
    <w:rsid w:val="002E3620"/>
    <w:rsid w:val="002E3AC7"/>
    <w:rsid w:val="002E5EC8"/>
    <w:rsid w:val="002F1522"/>
    <w:rsid w:val="002F2FB3"/>
    <w:rsid w:val="002F5BFF"/>
    <w:rsid w:val="002F5EDA"/>
    <w:rsid w:val="00303449"/>
    <w:rsid w:val="00305C84"/>
    <w:rsid w:val="00305F96"/>
    <w:rsid w:val="00307DFB"/>
    <w:rsid w:val="0031172F"/>
    <w:rsid w:val="003167CF"/>
    <w:rsid w:val="00321D34"/>
    <w:rsid w:val="0032466E"/>
    <w:rsid w:val="00325F87"/>
    <w:rsid w:val="00327952"/>
    <w:rsid w:val="0033021E"/>
    <w:rsid w:val="003306C3"/>
    <w:rsid w:val="00330D73"/>
    <w:rsid w:val="00332575"/>
    <w:rsid w:val="00332DF7"/>
    <w:rsid w:val="00337A69"/>
    <w:rsid w:val="003435BA"/>
    <w:rsid w:val="00356255"/>
    <w:rsid w:val="00360D8C"/>
    <w:rsid w:val="0036332A"/>
    <w:rsid w:val="00367033"/>
    <w:rsid w:val="003773A0"/>
    <w:rsid w:val="00383176"/>
    <w:rsid w:val="00384C0C"/>
    <w:rsid w:val="00384EAF"/>
    <w:rsid w:val="00386193"/>
    <w:rsid w:val="00387C14"/>
    <w:rsid w:val="003915AD"/>
    <w:rsid w:val="00391CF3"/>
    <w:rsid w:val="0039201F"/>
    <w:rsid w:val="00392C11"/>
    <w:rsid w:val="00394AC8"/>
    <w:rsid w:val="003A331B"/>
    <w:rsid w:val="003B33A4"/>
    <w:rsid w:val="003B6764"/>
    <w:rsid w:val="003B7D89"/>
    <w:rsid w:val="003C6F81"/>
    <w:rsid w:val="003C7986"/>
    <w:rsid w:val="003C7BBB"/>
    <w:rsid w:val="003D264A"/>
    <w:rsid w:val="003D3625"/>
    <w:rsid w:val="003D4BF3"/>
    <w:rsid w:val="003D5AFF"/>
    <w:rsid w:val="003D67EE"/>
    <w:rsid w:val="003D6E0E"/>
    <w:rsid w:val="003D70A3"/>
    <w:rsid w:val="003E037B"/>
    <w:rsid w:val="003E12A3"/>
    <w:rsid w:val="003E3521"/>
    <w:rsid w:val="003E3593"/>
    <w:rsid w:val="003E3864"/>
    <w:rsid w:val="003E3D81"/>
    <w:rsid w:val="003E6969"/>
    <w:rsid w:val="003E74A9"/>
    <w:rsid w:val="003F025E"/>
    <w:rsid w:val="003F028B"/>
    <w:rsid w:val="003F0BD9"/>
    <w:rsid w:val="003F49F3"/>
    <w:rsid w:val="003F6A5A"/>
    <w:rsid w:val="003F79F7"/>
    <w:rsid w:val="00403AB7"/>
    <w:rsid w:val="00404793"/>
    <w:rsid w:val="00405FBF"/>
    <w:rsid w:val="00413CE8"/>
    <w:rsid w:val="00416F9A"/>
    <w:rsid w:val="004177D8"/>
    <w:rsid w:val="00417E4B"/>
    <w:rsid w:val="00422275"/>
    <w:rsid w:val="00422651"/>
    <w:rsid w:val="004239F3"/>
    <w:rsid w:val="00425BAD"/>
    <w:rsid w:val="00426401"/>
    <w:rsid w:val="00430714"/>
    <w:rsid w:val="00431BAA"/>
    <w:rsid w:val="004352B4"/>
    <w:rsid w:val="00440B32"/>
    <w:rsid w:val="004418F4"/>
    <w:rsid w:val="00442B5B"/>
    <w:rsid w:val="00442E9C"/>
    <w:rsid w:val="0044446B"/>
    <w:rsid w:val="00451427"/>
    <w:rsid w:val="004532B7"/>
    <w:rsid w:val="00453B84"/>
    <w:rsid w:val="00453DC9"/>
    <w:rsid w:val="0045528B"/>
    <w:rsid w:val="004560FC"/>
    <w:rsid w:val="00461EDE"/>
    <w:rsid w:val="004622AA"/>
    <w:rsid w:val="004624D7"/>
    <w:rsid w:val="00463184"/>
    <w:rsid w:val="004648F8"/>
    <w:rsid w:val="00465071"/>
    <w:rsid w:val="0046617A"/>
    <w:rsid w:val="00470B3A"/>
    <w:rsid w:val="004732AD"/>
    <w:rsid w:val="0047470E"/>
    <w:rsid w:val="00476E4E"/>
    <w:rsid w:val="00484CAD"/>
    <w:rsid w:val="00486A23"/>
    <w:rsid w:val="00487BDA"/>
    <w:rsid w:val="0049168B"/>
    <w:rsid w:val="00492B55"/>
    <w:rsid w:val="004A05BA"/>
    <w:rsid w:val="004A11E2"/>
    <w:rsid w:val="004A1B68"/>
    <w:rsid w:val="004A2099"/>
    <w:rsid w:val="004B1546"/>
    <w:rsid w:val="004B66E3"/>
    <w:rsid w:val="004D2258"/>
    <w:rsid w:val="004D6C6C"/>
    <w:rsid w:val="004D75C9"/>
    <w:rsid w:val="004E1293"/>
    <w:rsid w:val="004E2153"/>
    <w:rsid w:val="004E300A"/>
    <w:rsid w:val="004E67EC"/>
    <w:rsid w:val="004F073A"/>
    <w:rsid w:val="004F1600"/>
    <w:rsid w:val="004F3606"/>
    <w:rsid w:val="004F41C2"/>
    <w:rsid w:val="004F4265"/>
    <w:rsid w:val="004F7867"/>
    <w:rsid w:val="00502B94"/>
    <w:rsid w:val="005043D8"/>
    <w:rsid w:val="005050FA"/>
    <w:rsid w:val="0050698F"/>
    <w:rsid w:val="005069FF"/>
    <w:rsid w:val="00506D1B"/>
    <w:rsid w:val="00512AAF"/>
    <w:rsid w:val="00515690"/>
    <w:rsid w:val="00515C18"/>
    <w:rsid w:val="00524026"/>
    <w:rsid w:val="00524195"/>
    <w:rsid w:val="00524FAD"/>
    <w:rsid w:val="00525963"/>
    <w:rsid w:val="00526FEE"/>
    <w:rsid w:val="005277C7"/>
    <w:rsid w:val="005318FE"/>
    <w:rsid w:val="00533BB2"/>
    <w:rsid w:val="00535388"/>
    <w:rsid w:val="005361DE"/>
    <w:rsid w:val="00544A9C"/>
    <w:rsid w:val="00551427"/>
    <w:rsid w:val="00551DE3"/>
    <w:rsid w:val="00551EEE"/>
    <w:rsid w:val="005544D5"/>
    <w:rsid w:val="00554F1A"/>
    <w:rsid w:val="00556E62"/>
    <w:rsid w:val="0055769E"/>
    <w:rsid w:val="00562A8B"/>
    <w:rsid w:val="00564BC0"/>
    <w:rsid w:val="00567BDE"/>
    <w:rsid w:val="0057228C"/>
    <w:rsid w:val="00572AEB"/>
    <w:rsid w:val="0057415E"/>
    <w:rsid w:val="0057443B"/>
    <w:rsid w:val="005816D1"/>
    <w:rsid w:val="00584F60"/>
    <w:rsid w:val="0058764F"/>
    <w:rsid w:val="0059239D"/>
    <w:rsid w:val="00594E57"/>
    <w:rsid w:val="00596F5E"/>
    <w:rsid w:val="00597106"/>
    <w:rsid w:val="005977CD"/>
    <w:rsid w:val="005A1C25"/>
    <w:rsid w:val="005A4A72"/>
    <w:rsid w:val="005A4C78"/>
    <w:rsid w:val="005A693F"/>
    <w:rsid w:val="005A6EF9"/>
    <w:rsid w:val="005B3F9C"/>
    <w:rsid w:val="005B7C32"/>
    <w:rsid w:val="005C1EAB"/>
    <w:rsid w:val="005C3BC5"/>
    <w:rsid w:val="005C4DC9"/>
    <w:rsid w:val="005C5C91"/>
    <w:rsid w:val="005D0964"/>
    <w:rsid w:val="005D2581"/>
    <w:rsid w:val="005D28E0"/>
    <w:rsid w:val="005D522E"/>
    <w:rsid w:val="005D606A"/>
    <w:rsid w:val="005E7E5F"/>
    <w:rsid w:val="005F00FD"/>
    <w:rsid w:val="00600176"/>
    <w:rsid w:val="00601D76"/>
    <w:rsid w:val="00602954"/>
    <w:rsid w:val="00604282"/>
    <w:rsid w:val="006129A7"/>
    <w:rsid w:val="00614220"/>
    <w:rsid w:val="006206B4"/>
    <w:rsid w:val="006225B7"/>
    <w:rsid w:val="00623777"/>
    <w:rsid w:val="00631B9D"/>
    <w:rsid w:val="00632F17"/>
    <w:rsid w:val="0063387A"/>
    <w:rsid w:val="006369A1"/>
    <w:rsid w:val="006416E3"/>
    <w:rsid w:val="00641C13"/>
    <w:rsid w:val="00643308"/>
    <w:rsid w:val="0064715A"/>
    <w:rsid w:val="00650D92"/>
    <w:rsid w:val="006512D4"/>
    <w:rsid w:val="00652263"/>
    <w:rsid w:val="00652390"/>
    <w:rsid w:val="00657251"/>
    <w:rsid w:val="00660446"/>
    <w:rsid w:val="00660F3C"/>
    <w:rsid w:val="006632C0"/>
    <w:rsid w:val="00663AB7"/>
    <w:rsid w:val="00666C6D"/>
    <w:rsid w:val="0066708B"/>
    <w:rsid w:val="0067026D"/>
    <w:rsid w:val="00670B75"/>
    <w:rsid w:val="00673050"/>
    <w:rsid w:val="00673553"/>
    <w:rsid w:val="00674DA7"/>
    <w:rsid w:val="00676E5B"/>
    <w:rsid w:val="006775AC"/>
    <w:rsid w:val="00686121"/>
    <w:rsid w:val="00696214"/>
    <w:rsid w:val="006A05F3"/>
    <w:rsid w:val="006A382D"/>
    <w:rsid w:val="006A3B1F"/>
    <w:rsid w:val="006A48E8"/>
    <w:rsid w:val="006A690B"/>
    <w:rsid w:val="006B09B4"/>
    <w:rsid w:val="006B0BF0"/>
    <w:rsid w:val="006B4199"/>
    <w:rsid w:val="006C0762"/>
    <w:rsid w:val="006C37B6"/>
    <w:rsid w:val="006C48ED"/>
    <w:rsid w:val="006C58B4"/>
    <w:rsid w:val="006C6254"/>
    <w:rsid w:val="006C7B34"/>
    <w:rsid w:val="006D2879"/>
    <w:rsid w:val="006D6528"/>
    <w:rsid w:val="006E1040"/>
    <w:rsid w:val="006E230B"/>
    <w:rsid w:val="006E68BC"/>
    <w:rsid w:val="006E76AC"/>
    <w:rsid w:val="006E7862"/>
    <w:rsid w:val="006F12C9"/>
    <w:rsid w:val="006F197A"/>
    <w:rsid w:val="007043A6"/>
    <w:rsid w:val="00704E03"/>
    <w:rsid w:val="0070731E"/>
    <w:rsid w:val="00707AA6"/>
    <w:rsid w:val="00707C61"/>
    <w:rsid w:val="00707FEF"/>
    <w:rsid w:val="00711CCE"/>
    <w:rsid w:val="00711D67"/>
    <w:rsid w:val="00713D35"/>
    <w:rsid w:val="0071419F"/>
    <w:rsid w:val="0071435C"/>
    <w:rsid w:val="00714EA5"/>
    <w:rsid w:val="00717B99"/>
    <w:rsid w:val="007201BC"/>
    <w:rsid w:val="00720486"/>
    <w:rsid w:val="00720C80"/>
    <w:rsid w:val="00721A70"/>
    <w:rsid w:val="007266AC"/>
    <w:rsid w:val="00726A82"/>
    <w:rsid w:val="00730387"/>
    <w:rsid w:val="00730D3B"/>
    <w:rsid w:val="00732F96"/>
    <w:rsid w:val="00733B6A"/>
    <w:rsid w:val="00740E77"/>
    <w:rsid w:val="00746E79"/>
    <w:rsid w:val="00755C90"/>
    <w:rsid w:val="00756B88"/>
    <w:rsid w:val="00763565"/>
    <w:rsid w:val="0076392D"/>
    <w:rsid w:val="0077548E"/>
    <w:rsid w:val="0077618D"/>
    <w:rsid w:val="00777E14"/>
    <w:rsid w:val="00781164"/>
    <w:rsid w:val="00781DFB"/>
    <w:rsid w:val="00786BD9"/>
    <w:rsid w:val="00791CA0"/>
    <w:rsid w:val="00792851"/>
    <w:rsid w:val="00794EA9"/>
    <w:rsid w:val="007A1E25"/>
    <w:rsid w:val="007A2110"/>
    <w:rsid w:val="007A5A47"/>
    <w:rsid w:val="007B0BE7"/>
    <w:rsid w:val="007B34A4"/>
    <w:rsid w:val="007B41F1"/>
    <w:rsid w:val="007B576D"/>
    <w:rsid w:val="007B60CD"/>
    <w:rsid w:val="007B7608"/>
    <w:rsid w:val="007C264E"/>
    <w:rsid w:val="007C4D0B"/>
    <w:rsid w:val="007C6309"/>
    <w:rsid w:val="007C7DD1"/>
    <w:rsid w:val="007D36F2"/>
    <w:rsid w:val="007D42EA"/>
    <w:rsid w:val="007D4DB1"/>
    <w:rsid w:val="007D59C2"/>
    <w:rsid w:val="007D5C8D"/>
    <w:rsid w:val="007D5E00"/>
    <w:rsid w:val="007D736E"/>
    <w:rsid w:val="007E7C6F"/>
    <w:rsid w:val="007E7F2D"/>
    <w:rsid w:val="007F29D4"/>
    <w:rsid w:val="007F3F7F"/>
    <w:rsid w:val="0081037F"/>
    <w:rsid w:val="00815655"/>
    <w:rsid w:val="008156DC"/>
    <w:rsid w:val="00816B17"/>
    <w:rsid w:val="0082486D"/>
    <w:rsid w:val="00827233"/>
    <w:rsid w:val="008305B2"/>
    <w:rsid w:val="00832894"/>
    <w:rsid w:val="00833F22"/>
    <w:rsid w:val="00842F68"/>
    <w:rsid w:val="00844004"/>
    <w:rsid w:val="00846692"/>
    <w:rsid w:val="0085203B"/>
    <w:rsid w:val="00852649"/>
    <w:rsid w:val="008545FC"/>
    <w:rsid w:val="00862108"/>
    <w:rsid w:val="008664CC"/>
    <w:rsid w:val="00867D2C"/>
    <w:rsid w:val="00871299"/>
    <w:rsid w:val="008720C7"/>
    <w:rsid w:val="00874182"/>
    <w:rsid w:val="0088040C"/>
    <w:rsid w:val="008806CA"/>
    <w:rsid w:val="0088209F"/>
    <w:rsid w:val="008820C6"/>
    <w:rsid w:val="0088341C"/>
    <w:rsid w:val="00883A7B"/>
    <w:rsid w:val="008A0C58"/>
    <w:rsid w:val="008A138B"/>
    <w:rsid w:val="008A1755"/>
    <w:rsid w:val="008A1D8B"/>
    <w:rsid w:val="008A1F86"/>
    <w:rsid w:val="008A4C6C"/>
    <w:rsid w:val="008A55E0"/>
    <w:rsid w:val="008A687E"/>
    <w:rsid w:val="008A6F16"/>
    <w:rsid w:val="008A6F8C"/>
    <w:rsid w:val="008A7817"/>
    <w:rsid w:val="008B0D38"/>
    <w:rsid w:val="008B7A05"/>
    <w:rsid w:val="008B7C83"/>
    <w:rsid w:val="008C1A22"/>
    <w:rsid w:val="008C25A2"/>
    <w:rsid w:val="008C412C"/>
    <w:rsid w:val="008C4CFB"/>
    <w:rsid w:val="008D2E7A"/>
    <w:rsid w:val="008D3581"/>
    <w:rsid w:val="008D38A5"/>
    <w:rsid w:val="008D5EEE"/>
    <w:rsid w:val="008E74AB"/>
    <w:rsid w:val="008F1E39"/>
    <w:rsid w:val="008F3671"/>
    <w:rsid w:val="008F36D9"/>
    <w:rsid w:val="008F39A2"/>
    <w:rsid w:val="0090249B"/>
    <w:rsid w:val="00916710"/>
    <w:rsid w:val="0093176C"/>
    <w:rsid w:val="00933297"/>
    <w:rsid w:val="0093451E"/>
    <w:rsid w:val="00944271"/>
    <w:rsid w:val="00944355"/>
    <w:rsid w:val="009450A2"/>
    <w:rsid w:val="00946651"/>
    <w:rsid w:val="009507D2"/>
    <w:rsid w:val="00953593"/>
    <w:rsid w:val="009539D9"/>
    <w:rsid w:val="00954AC6"/>
    <w:rsid w:val="009562BE"/>
    <w:rsid w:val="0096187A"/>
    <w:rsid w:val="00962C35"/>
    <w:rsid w:val="00962DDA"/>
    <w:rsid w:val="00970CBD"/>
    <w:rsid w:val="00972D7E"/>
    <w:rsid w:val="00986822"/>
    <w:rsid w:val="00992191"/>
    <w:rsid w:val="00992486"/>
    <w:rsid w:val="00992DDF"/>
    <w:rsid w:val="00994AD9"/>
    <w:rsid w:val="0099688B"/>
    <w:rsid w:val="0099732C"/>
    <w:rsid w:val="00997894"/>
    <w:rsid w:val="009A0ACD"/>
    <w:rsid w:val="009A10F0"/>
    <w:rsid w:val="009A30A4"/>
    <w:rsid w:val="009A3CCC"/>
    <w:rsid w:val="009B014D"/>
    <w:rsid w:val="009B07F3"/>
    <w:rsid w:val="009B0CD8"/>
    <w:rsid w:val="009B0FAF"/>
    <w:rsid w:val="009B5F28"/>
    <w:rsid w:val="009B674A"/>
    <w:rsid w:val="009B733F"/>
    <w:rsid w:val="009B7E4B"/>
    <w:rsid w:val="009C034D"/>
    <w:rsid w:val="009C2B8D"/>
    <w:rsid w:val="009C3F88"/>
    <w:rsid w:val="009C7490"/>
    <w:rsid w:val="009D05D6"/>
    <w:rsid w:val="009D1691"/>
    <w:rsid w:val="009D4EF2"/>
    <w:rsid w:val="009D6F5C"/>
    <w:rsid w:val="009D7F74"/>
    <w:rsid w:val="009D7FB3"/>
    <w:rsid w:val="009E01A5"/>
    <w:rsid w:val="009E04D5"/>
    <w:rsid w:val="009E2377"/>
    <w:rsid w:val="009E3647"/>
    <w:rsid w:val="009E6ADE"/>
    <w:rsid w:val="009E7EEF"/>
    <w:rsid w:val="009E7F90"/>
    <w:rsid w:val="009F0A4E"/>
    <w:rsid w:val="009F0CEB"/>
    <w:rsid w:val="009F66C9"/>
    <w:rsid w:val="00A00F53"/>
    <w:rsid w:val="00A062A5"/>
    <w:rsid w:val="00A10227"/>
    <w:rsid w:val="00A17290"/>
    <w:rsid w:val="00A22306"/>
    <w:rsid w:val="00A2274E"/>
    <w:rsid w:val="00A37E38"/>
    <w:rsid w:val="00A460F4"/>
    <w:rsid w:val="00A51030"/>
    <w:rsid w:val="00A51535"/>
    <w:rsid w:val="00A5684E"/>
    <w:rsid w:val="00A57CEE"/>
    <w:rsid w:val="00A6599D"/>
    <w:rsid w:val="00A666C7"/>
    <w:rsid w:val="00A6690E"/>
    <w:rsid w:val="00A71B99"/>
    <w:rsid w:val="00A73D1F"/>
    <w:rsid w:val="00A75804"/>
    <w:rsid w:val="00A75A2B"/>
    <w:rsid w:val="00A81198"/>
    <w:rsid w:val="00A86525"/>
    <w:rsid w:val="00A93573"/>
    <w:rsid w:val="00A940EC"/>
    <w:rsid w:val="00A94F1F"/>
    <w:rsid w:val="00A94FB5"/>
    <w:rsid w:val="00A95875"/>
    <w:rsid w:val="00A95F4B"/>
    <w:rsid w:val="00AA2342"/>
    <w:rsid w:val="00AA6469"/>
    <w:rsid w:val="00AA7157"/>
    <w:rsid w:val="00AA76F6"/>
    <w:rsid w:val="00AA7B39"/>
    <w:rsid w:val="00AB0CF5"/>
    <w:rsid w:val="00AB2862"/>
    <w:rsid w:val="00AB2DE7"/>
    <w:rsid w:val="00AB6EC3"/>
    <w:rsid w:val="00AB76CF"/>
    <w:rsid w:val="00AC0902"/>
    <w:rsid w:val="00AC6396"/>
    <w:rsid w:val="00AD3A65"/>
    <w:rsid w:val="00AD4477"/>
    <w:rsid w:val="00AD4559"/>
    <w:rsid w:val="00AD4EC8"/>
    <w:rsid w:val="00AE0644"/>
    <w:rsid w:val="00AE5F9A"/>
    <w:rsid w:val="00AF0348"/>
    <w:rsid w:val="00AF2559"/>
    <w:rsid w:val="00AF2D9A"/>
    <w:rsid w:val="00AF5B3C"/>
    <w:rsid w:val="00B01D79"/>
    <w:rsid w:val="00B03D95"/>
    <w:rsid w:val="00B1243F"/>
    <w:rsid w:val="00B131C5"/>
    <w:rsid w:val="00B178E8"/>
    <w:rsid w:val="00B21577"/>
    <w:rsid w:val="00B2332E"/>
    <w:rsid w:val="00B238C3"/>
    <w:rsid w:val="00B26506"/>
    <w:rsid w:val="00B3174B"/>
    <w:rsid w:val="00B31A46"/>
    <w:rsid w:val="00B328DC"/>
    <w:rsid w:val="00B35DA8"/>
    <w:rsid w:val="00B369F3"/>
    <w:rsid w:val="00B375E4"/>
    <w:rsid w:val="00B42B5C"/>
    <w:rsid w:val="00B431A4"/>
    <w:rsid w:val="00B46228"/>
    <w:rsid w:val="00B5050F"/>
    <w:rsid w:val="00B52A89"/>
    <w:rsid w:val="00B52D93"/>
    <w:rsid w:val="00B60CBE"/>
    <w:rsid w:val="00B647DC"/>
    <w:rsid w:val="00B64D29"/>
    <w:rsid w:val="00B666E6"/>
    <w:rsid w:val="00B66818"/>
    <w:rsid w:val="00B725B3"/>
    <w:rsid w:val="00B73B02"/>
    <w:rsid w:val="00B74DE7"/>
    <w:rsid w:val="00B762C7"/>
    <w:rsid w:val="00B80150"/>
    <w:rsid w:val="00B821F6"/>
    <w:rsid w:val="00B8257A"/>
    <w:rsid w:val="00B947A0"/>
    <w:rsid w:val="00B95BCE"/>
    <w:rsid w:val="00BA09C0"/>
    <w:rsid w:val="00BA0DA4"/>
    <w:rsid w:val="00BA6C87"/>
    <w:rsid w:val="00BA7FB8"/>
    <w:rsid w:val="00BB6743"/>
    <w:rsid w:val="00BB7ACB"/>
    <w:rsid w:val="00BC03F0"/>
    <w:rsid w:val="00BC7A61"/>
    <w:rsid w:val="00BC7B73"/>
    <w:rsid w:val="00BD0F02"/>
    <w:rsid w:val="00BD311E"/>
    <w:rsid w:val="00BD33A1"/>
    <w:rsid w:val="00BD3995"/>
    <w:rsid w:val="00BD56D5"/>
    <w:rsid w:val="00BD775B"/>
    <w:rsid w:val="00BF1686"/>
    <w:rsid w:val="00BF445C"/>
    <w:rsid w:val="00BF586E"/>
    <w:rsid w:val="00BF6877"/>
    <w:rsid w:val="00C01235"/>
    <w:rsid w:val="00C01CC8"/>
    <w:rsid w:val="00C02A20"/>
    <w:rsid w:val="00C07866"/>
    <w:rsid w:val="00C10997"/>
    <w:rsid w:val="00C125AF"/>
    <w:rsid w:val="00C15979"/>
    <w:rsid w:val="00C20740"/>
    <w:rsid w:val="00C21A93"/>
    <w:rsid w:val="00C22D4F"/>
    <w:rsid w:val="00C26191"/>
    <w:rsid w:val="00C266D5"/>
    <w:rsid w:val="00C27741"/>
    <w:rsid w:val="00C3134E"/>
    <w:rsid w:val="00C3240E"/>
    <w:rsid w:val="00C32BF4"/>
    <w:rsid w:val="00C35033"/>
    <w:rsid w:val="00C40FB3"/>
    <w:rsid w:val="00C42688"/>
    <w:rsid w:val="00C43F0D"/>
    <w:rsid w:val="00C44555"/>
    <w:rsid w:val="00C4712D"/>
    <w:rsid w:val="00C56AA1"/>
    <w:rsid w:val="00C56B5D"/>
    <w:rsid w:val="00C655EA"/>
    <w:rsid w:val="00C66769"/>
    <w:rsid w:val="00C7061C"/>
    <w:rsid w:val="00C74EA2"/>
    <w:rsid w:val="00C7500B"/>
    <w:rsid w:val="00C7502B"/>
    <w:rsid w:val="00C84FA4"/>
    <w:rsid w:val="00C951EF"/>
    <w:rsid w:val="00C9630C"/>
    <w:rsid w:val="00C96C63"/>
    <w:rsid w:val="00CA01AD"/>
    <w:rsid w:val="00CA4901"/>
    <w:rsid w:val="00CA5058"/>
    <w:rsid w:val="00CB3A7A"/>
    <w:rsid w:val="00CB7F45"/>
    <w:rsid w:val="00CC1C3A"/>
    <w:rsid w:val="00CC6999"/>
    <w:rsid w:val="00CD37B3"/>
    <w:rsid w:val="00CE1AB1"/>
    <w:rsid w:val="00CE2DAB"/>
    <w:rsid w:val="00CE57C0"/>
    <w:rsid w:val="00CF4531"/>
    <w:rsid w:val="00CF68D0"/>
    <w:rsid w:val="00D011AB"/>
    <w:rsid w:val="00D1211B"/>
    <w:rsid w:val="00D16389"/>
    <w:rsid w:val="00D200E8"/>
    <w:rsid w:val="00D25261"/>
    <w:rsid w:val="00D30B8B"/>
    <w:rsid w:val="00D31EDB"/>
    <w:rsid w:val="00D32609"/>
    <w:rsid w:val="00D338D3"/>
    <w:rsid w:val="00D346F0"/>
    <w:rsid w:val="00D35A83"/>
    <w:rsid w:val="00D36082"/>
    <w:rsid w:val="00D37051"/>
    <w:rsid w:val="00D37751"/>
    <w:rsid w:val="00D46483"/>
    <w:rsid w:val="00D46609"/>
    <w:rsid w:val="00D46DF0"/>
    <w:rsid w:val="00D53626"/>
    <w:rsid w:val="00D55B32"/>
    <w:rsid w:val="00D6131B"/>
    <w:rsid w:val="00D617B2"/>
    <w:rsid w:val="00D64C64"/>
    <w:rsid w:val="00D65038"/>
    <w:rsid w:val="00D66C5B"/>
    <w:rsid w:val="00D7154E"/>
    <w:rsid w:val="00D82035"/>
    <w:rsid w:val="00D91981"/>
    <w:rsid w:val="00D91C61"/>
    <w:rsid w:val="00D97484"/>
    <w:rsid w:val="00DA07D4"/>
    <w:rsid w:val="00DA1788"/>
    <w:rsid w:val="00DA3C37"/>
    <w:rsid w:val="00DA7AEC"/>
    <w:rsid w:val="00DB1A79"/>
    <w:rsid w:val="00DB2499"/>
    <w:rsid w:val="00DB45BC"/>
    <w:rsid w:val="00DB46A8"/>
    <w:rsid w:val="00DB4C27"/>
    <w:rsid w:val="00DC30B8"/>
    <w:rsid w:val="00DC4763"/>
    <w:rsid w:val="00DD1478"/>
    <w:rsid w:val="00DD4FAB"/>
    <w:rsid w:val="00DD55E4"/>
    <w:rsid w:val="00DD79AF"/>
    <w:rsid w:val="00DE025F"/>
    <w:rsid w:val="00DE41B1"/>
    <w:rsid w:val="00DE593C"/>
    <w:rsid w:val="00DE5EBB"/>
    <w:rsid w:val="00DE69E6"/>
    <w:rsid w:val="00DF07A3"/>
    <w:rsid w:val="00DF0F25"/>
    <w:rsid w:val="00DF4F46"/>
    <w:rsid w:val="00DF75E1"/>
    <w:rsid w:val="00DF76AB"/>
    <w:rsid w:val="00DF7923"/>
    <w:rsid w:val="00E012FC"/>
    <w:rsid w:val="00E06E49"/>
    <w:rsid w:val="00E12ADB"/>
    <w:rsid w:val="00E13A07"/>
    <w:rsid w:val="00E15E79"/>
    <w:rsid w:val="00E1623B"/>
    <w:rsid w:val="00E1675E"/>
    <w:rsid w:val="00E16ED7"/>
    <w:rsid w:val="00E17031"/>
    <w:rsid w:val="00E173DC"/>
    <w:rsid w:val="00E17587"/>
    <w:rsid w:val="00E179B9"/>
    <w:rsid w:val="00E2159F"/>
    <w:rsid w:val="00E32F96"/>
    <w:rsid w:val="00E4339E"/>
    <w:rsid w:val="00E437A4"/>
    <w:rsid w:val="00E43B36"/>
    <w:rsid w:val="00E44114"/>
    <w:rsid w:val="00E46F39"/>
    <w:rsid w:val="00E55181"/>
    <w:rsid w:val="00E55EDE"/>
    <w:rsid w:val="00E56887"/>
    <w:rsid w:val="00E618F0"/>
    <w:rsid w:val="00E61CF0"/>
    <w:rsid w:val="00E64AEC"/>
    <w:rsid w:val="00E74EB4"/>
    <w:rsid w:val="00E75409"/>
    <w:rsid w:val="00E83C2C"/>
    <w:rsid w:val="00E87C19"/>
    <w:rsid w:val="00EA0FC7"/>
    <w:rsid w:val="00EA5F9E"/>
    <w:rsid w:val="00EB0632"/>
    <w:rsid w:val="00EB2208"/>
    <w:rsid w:val="00EB3293"/>
    <w:rsid w:val="00EB6658"/>
    <w:rsid w:val="00EC175B"/>
    <w:rsid w:val="00EC2279"/>
    <w:rsid w:val="00ED054B"/>
    <w:rsid w:val="00ED2F67"/>
    <w:rsid w:val="00ED5998"/>
    <w:rsid w:val="00ED5CA0"/>
    <w:rsid w:val="00EE02B1"/>
    <w:rsid w:val="00EE23BE"/>
    <w:rsid w:val="00EE23C3"/>
    <w:rsid w:val="00EE6812"/>
    <w:rsid w:val="00EF1919"/>
    <w:rsid w:val="00EF2340"/>
    <w:rsid w:val="00EF42FC"/>
    <w:rsid w:val="00F00BFA"/>
    <w:rsid w:val="00F01D90"/>
    <w:rsid w:val="00F024C9"/>
    <w:rsid w:val="00F0719E"/>
    <w:rsid w:val="00F125E9"/>
    <w:rsid w:val="00F1400F"/>
    <w:rsid w:val="00F17924"/>
    <w:rsid w:val="00F2755E"/>
    <w:rsid w:val="00F311D4"/>
    <w:rsid w:val="00F316BE"/>
    <w:rsid w:val="00F3353A"/>
    <w:rsid w:val="00F35DB9"/>
    <w:rsid w:val="00F3651D"/>
    <w:rsid w:val="00F40F98"/>
    <w:rsid w:val="00F42B08"/>
    <w:rsid w:val="00F43C0E"/>
    <w:rsid w:val="00F450D3"/>
    <w:rsid w:val="00F45DD3"/>
    <w:rsid w:val="00F51AEF"/>
    <w:rsid w:val="00F5324A"/>
    <w:rsid w:val="00F55771"/>
    <w:rsid w:val="00F55ED1"/>
    <w:rsid w:val="00F566F6"/>
    <w:rsid w:val="00F61908"/>
    <w:rsid w:val="00F654DB"/>
    <w:rsid w:val="00F70E34"/>
    <w:rsid w:val="00F71AED"/>
    <w:rsid w:val="00F774EF"/>
    <w:rsid w:val="00F8372B"/>
    <w:rsid w:val="00F85DAA"/>
    <w:rsid w:val="00F8638F"/>
    <w:rsid w:val="00F905D9"/>
    <w:rsid w:val="00F91A5E"/>
    <w:rsid w:val="00F94B0C"/>
    <w:rsid w:val="00F96C21"/>
    <w:rsid w:val="00FA31BE"/>
    <w:rsid w:val="00FA3547"/>
    <w:rsid w:val="00FA38CC"/>
    <w:rsid w:val="00FB3401"/>
    <w:rsid w:val="00FC1339"/>
    <w:rsid w:val="00FC42AE"/>
    <w:rsid w:val="00FC4DF5"/>
    <w:rsid w:val="00FC5CB2"/>
    <w:rsid w:val="00FD0989"/>
    <w:rsid w:val="00FD1021"/>
    <w:rsid w:val="00FD49C1"/>
    <w:rsid w:val="00FD5AAB"/>
    <w:rsid w:val="00FE1D4E"/>
    <w:rsid w:val="00FE3114"/>
    <w:rsid w:val="00FE4B11"/>
    <w:rsid w:val="00FE5A83"/>
    <w:rsid w:val="00FF30FD"/>
    <w:rsid w:val="00FF6A13"/>
    <w:rsid w:val="00FF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6B54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sid w:val="00B947A0"/>
    <w:pPr>
      <w:spacing w:before="120" w:after="120"/>
    </w:pPr>
    <w:rPr>
      <w:rFonts w:ascii="Times New Roman" w:hAnsi="Times New Roman"/>
      <w:sz w:val="22"/>
      <w:szCs w:val="20"/>
    </w:rPr>
  </w:style>
  <w:style w:type="character" w:styleId="Hyperlink">
    <w:name w:val="Hyperlink"/>
    <w:rsid w:val="000B2D05"/>
    <w:rPr>
      <w:color w:val="0000FF"/>
      <w:u w:val="single"/>
    </w:rPr>
  </w:style>
  <w:style w:type="paragraph" w:styleId="ListParagraph">
    <w:name w:val="List Paragraph"/>
    <w:basedOn w:val="Normal"/>
    <w:uiPriority w:val="34"/>
    <w:qFormat/>
    <w:rsid w:val="001C7D58"/>
    <w:pPr>
      <w:ind w:left="720"/>
    </w:pPr>
  </w:style>
  <w:style w:type="paragraph" w:styleId="BalloonText">
    <w:name w:val="Balloon Text"/>
    <w:basedOn w:val="Normal"/>
    <w:link w:val="BalloonTextChar"/>
    <w:rsid w:val="00094803"/>
    <w:rPr>
      <w:rFonts w:ascii="Tahoma" w:hAnsi="Tahoma" w:cs="Tahoma"/>
      <w:sz w:val="16"/>
      <w:szCs w:val="16"/>
    </w:rPr>
  </w:style>
  <w:style w:type="character" w:customStyle="1" w:styleId="BalloonTextChar">
    <w:name w:val="Balloon Text Char"/>
    <w:link w:val="BalloonText"/>
    <w:rsid w:val="00094803"/>
    <w:rPr>
      <w:rFonts w:ascii="Tahoma" w:hAnsi="Tahoma" w:cs="Tahoma"/>
      <w:sz w:val="16"/>
      <w:szCs w:val="16"/>
    </w:rPr>
  </w:style>
  <w:style w:type="character" w:styleId="CommentReference">
    <w:name w:val="annotation reference"/>
    <w:rsid w:val="00404793"/>
    <w:rPr>
      <w:sz w:val="16"/>
      <w:szCs w:val="16"/>
    </w:rPr>
  </w:style>
  <w:style w:type="paragraph" w:styleId="CommentText">
    <w:name w:val="annotation text"/>
    <w:basedOn w:val="Normal"/>
    <w:link w:val="CommentTextChar"/>
    <w:rsid w:val="00404793"/>
    <w:rPr>
      <w:sz w:val="20"/>
      <w:szCs w:val="20"/>
    </w:rPr>
  </w:style>
  <w:style w:type="character" w:customStyle="1" w:styleId="CommentTextChar">
    <w:name w:val="Comment Text Char"/>
    <w:link w:val="CommentText"/>
    <w:rsid w:val="00404793"/>
    <w:rPr>
      <w:rFonts w:ascii="Palatino Linotype" w:hAnsi="Palatino Linotype"/>
    </w:rPr>
  </w:style>
  <w:style w:type="paragraph" w:styleId="CommentSubject">
    <w:name w:val="annotation subject"/>
    <w:basedOn w:val="CommentText"/>
    <w:next w:val="CommentText"/>
    <w:link w:val="CommentSubjectChar"/>
    <w:rsid w:val="00404793"/>
    <w:rPr>
      <w:b/>
      <w:bCs/>
    </w:rPr>
  </w:style>
  <w:style w:type="character" w:customStyle="1" w:styleId="CommentSubjectChar">
    <w:name w:val="Comment Subject Char"/>
    <w:link w:val="CommentSubject"/>
    <w:rsid w:val="00404793"/>
    <w:rPr>
      <w:rFonts w:ascii="Palatino Linotype" w:hAnsi="Palatino Linotype"/>
      <w:b/>
      <w:bCs/>
    </w:rPr>
  </w:style>
  <w:style w:type="character" w:customStyle="1" w:styleId="HeaderChar">
    <w:name w:val="Header Char"/>
    <w:link w:val="Header"/>
    <w:uiPriority w:val="99"/>
    <w:rsid w:val="005B7C32"/>
    <w:rPr>
      <w:rFonts w:ascii="Palatino Linotype" w:hAnsi="Palatino Linotype"/>
      <w:sz w:val="24"/>
      <w:szCs w:val="24"/>
    </w:rPr>
  </w:style>
  <w:style w:type="paragraph" w:styleId="BodyText2">
    <w:name w:val="Body Text 2"/>
    <w:basedOn w:val="Normal"/>
    <w:link w:val="BodyText2Char"/>
    <w:rsid w:val="005B7C32"/>
    <w:pPr>
      <w:spacing w:after="120" w:line="480" w:lineRule="auto"/>
    </w:pPr>
    <w:rPr>
      <w:rFonts w:ascii="Times New Roman" w:hAnsi="Times New Roman"/>
    </w:rPr>
  </w:style>
  <w:style w:type="character" w:customStyle="1" w:styleId="BodyText2Char">
    <w:name w:val="Body Text 2 Char"/>
    <w:basedOn w:val="DefaultParagraphFont"/>
    <w:link w:val="BodyText2"/>
    <w:rsid w:val="005B7C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xforddictionaries.com/us/definition/american_english/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216</IndustryCode>
    <CaseStatus xmlns="dc463f71-b30c-4ab2-9473-d307f9d35888">Appealed</CaseStatus>
    <OpenedDate xmlns="dc463f71-b30c-4ab2-9473-d307f9d35888">2015-03-30T07:00:00+00:00</OpenedDate>
    <Date1 xmlns="dc463f71-b30c-4ab2-9473-d307f9d35888">2015-11-16T08:00:00+00:00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151359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37CC1EF7CEEE45B174A3AA7EC01367" ma:contentTypeVersion="119" ma:contentTypeDescription="" ma:contentTypeScope="" ma:versionID="dfccd6ec5fcc57882aeb17e618332df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49B365-AA60-40CD-B665-1D6C1930D367}"/>
</file>

<file path=customXml/itemProps2.xml><?xml version="1.0" encoding="utf-8"?>
<ds:datastoreItem xmlns:ds="http://schemas.openxmlformats.org/officeDocument/2006/customXml" ds:itemID="{64658E31-6EC5-49F3-BAB7-261BF3D3BA1A}"/>
</file>

<file path=customXml/itemProps3.xml><?xml version="1.0" encoding="utf-8"?>
<ds:datastoreItem xmlns:ds="http://schemas.openxmlformats.org/officeDocument/2006/customXml" ds:itemID="{B4D84110-7675-42F8-8BE3-2EAEAFED0C59}"/>
</file>

<file path=customXml/itemProps4.xml><?xml version="1.0" encoding="utf-8"?>
<ds:datastoreItem xmlns:ds="http://schemas.openxmlformats.org/officeDocument/2006/customXml" ds:itemID="{E520521A-209D-4519-9661-E122114E3AD6}"/>
</file>

<file path=customXml/itemProps5.xml><?xml version="1.0" encoding="utf-8"?>
<ds:datastoreItem xmlns:ds="http://schemas.openxmlformats.org/officeDocument/2006/customXml" ds:itemID="{4C07EE5D-1B63-49C5-8A78-B5850FFFE38C}"/>
</file>

<file path=docProps/app.xml><?xml version="1.0" encoding="utf-8"?>
<Properties xmlns="http://schemas.openxmlformats.org/officeDocument/2006/extended-properties" xmlns:vt="http://schemas.openxmlformats.org/officeDocument/2006/docPropsVTypes">
  <Template>Normal</Template>
  <TotalTime>0</TotalTime>
  <Pages>11</Pages>
  <Words>3485</Words>
  <Characters>18432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2015-11-13T17:24:00Z</dcterms:created>
  <dcterms:modified xsi:type="dcterms:W3CDTF">2015-11-13T17:25:00Z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0x0101006E56B4D1795A2E4DB2F0B01679ED314A002A37CC1EF7CEEE45B174A3AA7EC01367</vt:lpwstr>
  </property>
  <property fmtid="{D5CDD505-2E9C-101B-9397-08002B2CF9AE}" pid="3" name="_docset_NoMedatataSyncRequired">
    <vt:lpwstr>False</vt:lpwstr>
  </property>
</Properties>
</file>