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1800E" w14:textId="77777777" w:rsidR="00C0267B" w:rsidRDefault="00C0267B" w:rsidP="00C0267B">
      <w:pPr>
        <w:rPr>
          <w:rFonts w:asciiTheme="majorHAnsi" w:hAnsiTheme="majorHAnsi"/>
          <w:b/>
          <w:szCs w:val="24"/>
        </w:rPr>
      </w:pPr>
    </w:p>
    <w:p w14:paraId="5AAD79F2" w14:textId="77777777" w:rsidR="00C8386C" w:rsidRDefault="00C8386C" w:rsidP="00C0267B">
      <w:pPr>
        <w:spacing w:after="0" w:line="240" w:lineRule="auto"/>
        <w:rPr>
          <w:rFonts w:asciiTheme="majorHAnsi" w:eastAsia="Times New Roman" w:hAnsiTheme="majorHAnsi" w:cs="Arial"/>
        </w:rPr>
      </w:pPr>
    </w:p>
    <w:p w14:paraId="1E6CA56C" w14:textId="6A92CBDE" w:rsidR="00C8386C" w:rsidRDefault="00C8386C" w:rsidP="00C0267B">
      <w:pPr>
        <w:spacing w:after="0" w:line="240" w:lineRule="auto"/>
        <w:rPr>
          <w:rFonts w:asciiTheme="majorHAnsi" w:eastAsia="Times New Roman" w:hAnsiTheme="majorHAnsi" w:cs="Arial"/>
        </w:rPr>
      </w:pPr>
      <w:r>
        <w:rPr>
          <w:rFonts w:asciiTheme="majorHAnsi" w:eastAsia="Times New Roman" w:hAnsiTheme="majorHAnsi" w:cs="Arial"/>
        </w:rPr>
        <w:t>September 25, 2015</w:t>
      </w:r>
    </w:p>
    <w:p w14:paraId="4912EA7D" w14:textId="77777777" w:rsidR="00C8386C" w:rsidRDefault="00C8386C" w:rsidP="00C0267B">
      <w:pPr>
        <w:spacing w:after="0" w:line="240" w:lineRule="auto"/>
        <w:rPr>
          <w:rFonts w:asciiTheme="majorHAnsi" w:eastAsia="Times New Roman" w:hAnsiTheme="majorHAnsi" w:cs="Arial"/>
        </w:rPr>
      </w:pPr>
    </w:p>
    <w:p w14:paraId="1CA40055" w14:textId="77777777" w:rsidR="00C8386C" w:rsidRDefault="00C8386C" w:rsidP="00C0267B">
      <w:pPr>
        <w:spacing w:after="0" w:line="240" w:lineRule="auto"/>
        <w:rPr>
          <w:rFonts w:asciiTheme="majorHAnsi" w:eastAsia="Times New Roman" w:hAnsiTheme="majorHAnsi" w:cs="Arial"/>
        </w:rPr>
      </w:pPr>
    </w:p>
    <w:p w14:paraId="51FAD1CF" w14:textId="77777777" w:rsidR="00C0267B" w:rsidRPr="00C0267B" w:rsidRDefault="00C0267B" w:rsidP="00C0267B">
      <w:pPr>
        <w:spacing w:after="0" w:line="240" w:lineRule="auto"/>
        <w:rPr>
          <w:rFonts w:asciiTheme="majorHAnsi" w:eastAsia="Times New Roman" w:hAnsiTheme="majorHAnsi" w:cs="Arial"/>
        </w:rPr>
      </w:pPr>
      <w:r w:rsidRPr="00C0267B">
        <w:rPr>
          <w:rFonts w:asciiTheme="majorHAnsi" w:eastAsia="Times New Roman" w:hAnsiTheme="majorHAnsi" w:cs="Arial"/>
        </w:rPr>
        <w:t>Steven King, Executive Director and Secretary</w:t>
      </w:r>
    </w:p>
    <w:p w14:paraId="1E4FD362" w14:textId="77777777" w:rsidR="00C0267B" w:rsidRPr="00C0267B" w:rsidRDefault="00C0267B" w:rsidP="00C0267B">
      <w:pPr>
        <w:spacing w:after="0" w:line="240" w:lineRule="auto"/>
        <w:rPr>
          <w:rFonts w:asciiTheme="majorHAnsi" w:eastAsia="Times New Roman" w:hAnsiTheme="majorHAnsi" w:cs="Arial"/>
        </w:rPr>
      </w:pPr>
      <w:r w:rsidRPr="00C0267B">
        <w:rPr>
          <w:rFonts w:asciiTheme="majorHAnsi" w:eastAsia="Times New Roman" w:hAnsiTheme="majorHAnsi" w:cs="Arial"/>
        </w:rPr>
        <w:t>Washington Utilities and Transportation Commission</w:t>
      </w:r>
    </w:p>
    <w:p w14:paraId="776D20A1" w14:textId="77777777" w:rsidR="00C0267B" w:rsidRPr="00C0267B" w:rsidRDefault="00C0267B" w:rsidP="00C0267B">
      <w:pPr>
        <w:spacing w:after="0" w:line="240" w:lineRule="auto"/>
        <w:rPr>
          <w:rFonts w:asciiTheme="majorHAnsi" w:eastAsia="Times New Roman" w:hAnsiTheme="majorHAnsi" w:cs="Arial"/>
        </w:rPr>
      </w:pPr>
      <w:r w:rsidRPr="00C0267B">
        <w:rPr>
          <w:rFonts w:asciiTheme="majorHAnsi" w:eastAsia="Times New Roman" w:hAnsiTheme="majorHAnsi" w:cs="Arial"/>
        </w:rPr>
        <w:t>Attn:  Records Center</w:t>
      </w:r>
    </w:p>
    <w:p w14:paraId="3089AC03" w14:textId="77777777" w:rsidR="00C0267B" w:rsidRPr="00C0267B" w:rsidRDefault="00C0267B" w:rsidP="00C0267B">
      <w:pPr>
        <w:spacing w:after="0" w:line="240" w:lineRule="auto"/>
        <w:rPr>
          <w:rFonts w:asciiTheme="majorHAnsi" w:eastAsia="Times New Roman" w:hAnsiTheme="majorHAnsi" w:cs="Arial"/>
        </w:rPr>
      </w:pPr>
      <w:r w:rsidRPr="00C0267B">
        <w:rPr>
          <w:rFonts w:asciiTheme="majorHAnsi" w:eastAsia="Times New Roman" w:hAnsiTheme="majorHAnsi" w:cs="Arial"/>
        </w:rPr>
        <w:t>PO Box 47250</w:t>
      </w:r>
    </w:p>
    <w:p w14:paraId="2C98BBBE" w14:textId="77777777" w:rsidR="00C0267B" w:rsidRPr="00C0267B" w:rsidRDefault="00C0267B" w:rsidP="00C0267B">
      <w:pPr>
        <w:spacing w:after="0" w:line="240" w:lineRule="auto"/>
        <w:rPr>
          <w:rFonts w:asciiTheme="majorHAnsi" w:eastAsia="Times New Roman" w:hAnsiTheme="majorHAnsi" w:cs="Arial"/>
        </w:rPr>
      </w:pPr>
      <w:r w:rsidRPr="00C0267B">
        <w:rPr>
          <w:rFonts w:asciiTheme="majorHAnsi" w:eastAsia="Times New Roman" w:hAnsiTheme="majorHAnsi" w:cs="Arial"/>
        </w:rPr>
        <w:t>Olympia WA  98504-7250</w:t>
      </w:r>
    </w:p>
    <w:p w14:paraId="33BCD33B" w14:textId="77777777" w:rsidR="00C8386C" w:rsidRDefault="00C8386C" w:rsidP="00C0267B">
      <w:pPr>
        <w:spacing w:after="0" w:line="240" w:lineRule="auto"/>
        <w:rPr>
          <w:rFonts w:asciiTheme="majorHAnsi" w:eastAsia="Times New Roman" w:hAnsiTheme="majorHAnsi" w:cs="Arial"/>
        </w:rPr>
      </w:pPr>
    </w:p>
    <w:p w14:paraId="6E00593F" w14:textId="77777777" w:rsidR="00C8386C" w:rsidRDefault="00C8386C" w:rsidP="00C0267B">
      <w:pPr>
        <w:spacing w:after="0" w:line="240" w:lineRule="auto"/>
        <w:rPr>
          <w:rFonts w:asciiTheme="majorHAnsi" w:eastAsia="Times New Roman" w:hAnsiTheme="majorHAnsi" w:cs="Arial"/>
        </w:rPr>
      </w:pPr>
    </w:p>
    <w:p w14:paraId="654B38FB" w14:textId="77777777" w:rsidR="00C0267B" w:rsidRPr="00C0267B" w:rsidRDefault="00C0267B" w:rsidP="00C0267B">
      <w:pPr>
        <w:spacing w:after="0" w:line="240" w:lineRule="auto"/>
        <w:rPr>
          <w:rFonts w:asciiTheme="majorHAnsi" w:eastAsia="Times New Roman" w:hAnsiTheme="majorHAnsi" w:cs="Arial"/>
          <w:b/>
        </w:rPr>
      </w:pPr>
      <w:r w:rsidRPr="00C0267B">
        <w:rPr>
          <w:rFonts w:asciiTheme="majorHAnsi" w:eastAsia="Times New Roman" w:hAnsiTheme="majorHAnsi" w:cs="Arial"/>
          <w:b/>
        </w:rPr>
        <w:t xml:space="preserve">RE:  Docket UE-151069 - Modeling Energy Storage in Integrated Resource Planning </w:t>
      </w:r>
    </w:p>
    <w:p w14:paraId="339FF0A5" w14:textId="77777777" w:rsidR="00C0267B" w:rsidRPr="00C0267B" w:rsidRDefault="00C0267B" w:rsidP="00C0267B">
      <w:pPr>
        <w:rPr>
          <w:rFonts w:asciiTheme="majorHAnsi" w:hAnsiTheme="majorHAnsi"/>
          <w:b/>
          <w:szCs w:val="24"/>
        </w:rPr>
      </w:pPr>
    </w:p>
    <w:p w14:paraId="514A6CEE" w14:textId="7603B4DE" w:rsidR="00C0267B" w:rsidRPr="009E6B4B" w:rsidRDefault="009E6B4B" w:rsidP="009E6B4B">
      <w:pPr>
        <w:rPr>
          <w:rFonts w:asciiTheme="majorHAnsi" w:hAnsiTheme="majorHAnsi"/>
          <w:szCs w:val="24"/>
        </w:rPr>
      </w:pPr>
      <w:r w:rsidRPr="009E6B4B">
        <w:rPr>
          <w:rFonts w:asciiTheme="majorHAnsi" w:hAnsiTheme="majorHAnsi"/>
          <w:szCs w:val="24"/>
        </w:rPr>
        <w:t>Dear Mr. King:</w:t>
      </w:r>
    </w:p>
    <w:p w14:paraId="2F41CA1E" w14:textId="30DABB74" w:rsidR="00C0267B" w:rsidRDefault="009E6B4B" w:rsidP="009E6B4B">
      <w:pPr>
        <w:rPr>
          <w:rFonts w:asciiTheme="majorHAnsi" w:hAnsiTheme="majorHAnsi"/>
          <w:szCs w:val="24"/>
        </w:rPr>
      </w:pPr>
      <w:r w:rsidRPr="009E6B4B">
        <w:rPr>
          <w:rFonts w:asciiTheme="majorHAnsi" w:hAnsiTheme="majorHAnsi"/>
          <w:szCs w:val="24"/>
        </w:rPr>
        <w:tab/>
        <w:t>Western Grid Group</w:t>
      </w:r>
      <w:r>
        <w:rPr>
          <w:rFonts w:asciiTheme="majorHAnsi" w:hAnsiTheme="majorHAnsi"/>
          <w:szCs w:val="24"/>
        </w:rPr>
        <w:t xml:space="preserve"> </w:t>
      </w:r>
      <w:r w:rsidR="006C1EFA">
        <w:rPr>
          <w:rFonts w:asciiTheme="majorHAnsi" w:hAnsiTheme="majorHAnsi"/>
          <w:szCs w:val="24"/>
        </w:rPr>
        <w:t xml:space="preserve">(WGG) </w:t>
      </w:r>
      <w:r>
        <w:rPr>
          <w:rFonts w:asciiTheme="majorHAnsi" w:hAnsiTheme="majorHAnsi"/>
          <w:szCs w:val="24"/>
        </w:rPr>
        <w:t xml:space="preserve">appreciates the opportunity to provide comments regarding the incorporation of </w:t>
      </w:r>
      <w:r w:rsidR="00087804">
        <w:rPr>
          <w:rFonts w:asciiTheme="majorHAnsi" w:hAnsiTheme="majorHAnsi"/>
          <w:szCs w:val="24"/>
        </w:rPr>
        <w:t xml:space="preserve">energy storage </w:t>
      </w:r>
      <w:r>
        <w:rPr>
          <w:rFonts w:asciiTheme="majorHAnsi" w:hAnsiTheme="majorHAnsi"/>
          <w:szCs w:val="24"/>
        </w:rPr>
        <w:t xml:space="preserve">cost-benefit </w:t>
      </w:r>
      <w:r w:rsidR="00087804">
        <w:rPr>
          <w:rFonts w:asciiTheme="majorHAnsi" w:hAnsiTheme="majorHAnsi"/>
          <w:szCs w:val="24"/>
        </w:rPr>
        <w:t xml:space="preserve">analysis </w:t>
      </w:r>
      <w:r w:rsidR="001361DF">
        <w:rPr>
          <w:rFonts w:asciiTheme="majorHAnsi" w:hAnsiTheme="majorHAnsi"/>
          <w:szCs w:val="24"/>
        </w:rPr>
        <w:t xml:space="preserve">into the Integrated Resource Planning (IRP) processes conducted by Washington State’s three investor-owned electric utilities. We share the Commission’s view that the tangible benefits of energy storage </w:t>
      </w:r>
      <w:r w:rsidR="00547661">
        <w:rPr>
          <w:rFonts w:asciiTheme="majorHAnsi" w:hAnsiTheme="majorHAnsi"/>
          <w:szCs w:val="24"/>
        </w:rPr>
        <w:t xml:space="preserve">systems (ESS) </w:t>
      </w:r>
      <w:r w:rsidR="009E4998">
        <w:rPr>
          <w:rFonts w:asciiTheme="majorHAnsi" w:hAnsiTheme="majorHAnsi"/>
          <w:szCs w:val="24"/>
        </w:rPr>
        <w:t>provide</w:t>
      </w:r>
      <w:r w:rsidR="00AC70ED">
        <w:rPr>
          <w:rFonts w:asciiTheme="majorHAnsi" w:hAnsiTheme="majorHAnsi"/>
          <w:szCs w:val="24"/>
        </w:rPr>
        <w:t xml:space="preserve"> avoided integration costs that </w:t>
      </w:r>
      <w:r w:rsidR="001361DF">
        <w:rPr>
          <w:rFonts w:asciiTheme="majorHAnsi" w:hAnsiTheme="majorHAnsi"/>
          <w:szCs w:val="24"/>
        </w:rPr>
        <w:t>should be reflected in</w:t>
      </w:r>
      <w:r w:rsidR="006C1EFA">
        <w:rPr>
          <w:rFonts w:asciiTheme="majorHAnsi" w:hAnsiTheme="majorHAnsi"/>
          <w:szCs w:val="24"/>
        </w:rPr>
        <w:t xml:space="preserve"> utility resource plans.</w:t>
      </w:r>
    </w:p>
    <w:p w14:paraId="367E21E2" w14:textId="5D5FBE11" w:rsidR="006C1EFA" w:rsidRPr="006C1EFA" w:rsidRDefault="006C1EFA" w:rsidP="006C1EFA">
      <w:pPr>
        <w:ind w:firstLine="720"/>
        <w:rPr>
          <w:rFonts w:asciiTheme="majorHAnsi" w:hAnsiTheme="majorHAnsi"/>
          <w:szCs w:val="24"/>
        </w:rPr>
      </w:pPr>
      <w:r>
        <w:rPr>
          <w:rFonts w:asciiTheme="majorHAnsi" w:hAnsiTheme="majorHAnsi"/>
          <w:szCs w:val="24"/>
        </w:rPr>
        <w:t>WGG</w:t>
      </w:r>
      <w:r w:rsidRPr="006C1EFA">
        <w:rPr>
          <w:rFonts w:asciiTheme="majorHAnsi" w:hAnsiTheme="majorHAnsi"/>
          <w:szCs w:val="24"/>
        </w:rPr>
        <w:t xml:space="preserve"> is </w:t>
      </w:r>
      <w:r>
        <w:rPr>
          <w:rFonts w:asciiTheme="majorHAnsi" w:hAnsiTheme="majorHAnsi"/>
          <w:szCs w:val="24"/>
        </w:rPr>
        <w:t>a not-for-pro</w:t>
      </w:r>
      <w:r w:rsidR="00F011DA">
        <w:rPr>
          <w:rFonts w:asciiTheme="majorHAnsi" w:hAnsiTheme="majorHAnsi"/>
          <w:szCs w:val="24"/>
        </w:rPr>
        <w:t>fit public interest organization that</w:t>
      </w:r>
      <w:r w:rsidR="00087804">
        <w:rPr>
          <w:rFonts w:asciiTheme="majorHAnsi" w:hAnsiTheme="majorHAnsi"/>
          <w:szCs w:val="24"/>
        </w:rPr>
        <w:t xml:space="preserve"> has</w:t>
      </w:r>
      <w:r w:rsidR="00087804" w:rsidRPr="006C1EFA">
        <w:rPr>
          <w:rFonts w:asciiTheme="majorHAnsi" w:hAnsiTheme="majorHAnsi"/>
          <w:szCs w:val="24"/>
        </w:rPr>
        <w:t xml:space="preserve"> been actively involved in all major state and regional planning initiatives in the west</w:t>
      </w:r>
      <w:r w:rsidR="00087804">
        <w:rPr>
          <w:rFonts w:asciiTheme="majorHAnsi" w:hAnsiTheme="majorHAnsi"/>
          <w:szCs w:val="24"/>
        </w:rPr>
        <w:t xml:space="preserve"> since 2003. The group</w:t>
      </w:r>
      <w:r w:rsidR="00F011DA">
        <w:rPr>
          <w:rFonts w:asciiTheme="majorHAnsi" w:hAnsiTheme="majorHAnsi"/>
          <w:szCs w:val="24"/>
        </w:rPr>
        <w:t xml:space="preserve"> is</w:t>
      </w:r>
      <w:r w:rsidR="00B334E9">
        <w:rPr>
          <w:rFonts w:asciiTheme="majorHAnsi" w:hAnsiTheme="majorHAnsi"/>
          <w:szCs w:val="24"/>
        </w:rPr>
        <w:t xml:space="preserve"> </w:t>
      </w:r>
      <w:r w:rsidR="00B334E9" w:rsidRPr="006C1EFA">
        <w:rPr>
          <w:rFonts w:asciiTheme="majorHAnsi" w:hAnsiTheme="majorHAnsi"/>
          <w:szCs w:val="24"/>
        </w:rPr>
        <w:t xml:space="preserve">staffed by former state regulators, clean energy project developers and state officials. </w:t>
      </w:r>
      <w:r>
        <w:rPr>
          <w:rFonts w:asciiTheme="majorHAnsi" w:hAnsiTheme="majorHAnsi"/>
          <w:szCs w:val="24"/>
        </w:rPr>
        <w:t xml:space="preserve"> </w:t>
      </w:r>
      <w:r w:rsidR="00B334E9">
        <w:rPr>
          <w:rFonts w:asciiTheme="majorHAnsi" w:hAnsiTheme="majorHAnsi"/>
          <w:szCs w:val="24"/>
        </w:rPr>
        <w:t>We work</w:t>
      </w:r>
      <w:r>
        <w:rPr>
          <w:rFonts w:asciiTheme="majorHAnsi" w:hAnsiTheme="majorHAnsi"/>
          <w:szCs w:val="24"/>
        </w:rPr>
        <w:t xml:space="preserve"> </w:t>
      </w:r>
      <w:r w:rsidRPr="006C1EFA">
        <w:rPr>
          <w:rFonts w:asciiTheme="majorHAnsi" w:hAnsiTheme="majorHAnsi"/>
          <w:szCs w:val="24"/>
        </w:rPr>
        <w:t>to</w:t>
      </w:r>
      <w:r>
        <w:rPr>
          <w:rFonts w:asciiTheme="majorHAnsi" w:hAnsiTheme="majorHAnsi"/>
          <w:szCs w:val="24"/>
        </w:rPr>
        <w:t xml:space="preserve"> develop and</w:t>
      </w:r>
      <w:r w:rsidRPr="006C1EFA">
        <w:rPr>
          <w:rFonts w:asciiTheme="majorHAnsi" w:hAnsiTheme="majorHAnsi"/>
          <w:szCs w:val="24"/>
        </w:rPr>
        <w:t xml:space="preserve"> implement </w:t>
      </w:r>
      <w:r>
        <w:rPr>
          <w:rFonts w:asciiTheme="majorHAnsi" w:hAnsiTheme="majorHAnsi"/>
          <w:szCs w:val="24"/>
        </w:rPr>
        <w:t>policies that enable the development of a clean, diversified, and reliable grid within the Western Interconnection.</w:t>
      </w:r>
      <w:r w:rsidR="00B334E9">
        <w:rPr>
          <w:rFonts w:asciiTheme="majorHAnsi" w:hAnsiTheme="majorHAnsi"/>
          <w:szCs w:val="24"/>
        </w:rPr>
        <w:t xml:space="preserve"> We advocate for:</w:t>
      </w:r>
    </w:p>
    <w:p w14:paraId="4EBA336A" w14:textId="43F523FF" w:rsidR="006C1EFA" w:rsidRDefault="00B334E9" w:rsidP="006C1EFA">
      <w:pPr>
        <w:pStyle w:val="ListParagraph"/>
        <w:numPr>
          <w:ilvl w:val="0"/>
          <w:numId w:val="1"/>
        </w:numPr>
        <w:rPr>
          <w:rFonts w:asciiTheme="majorHAnsi" w:hAnsiTheme="majorHAnsi"/>
          <w:szCs w:val="24"/>
        </w:rPr>
      </w:pPr>
      <w:r>
        <w:rPr>
          <w:rFonts w:asciiTheme="majorHAnsi" w:hAnsiTheme="majorHAnsi"/>
          <w:szCs w:val="24"/>
        </w:rPr>
        <w:t>Improved</w:t>
      </w:r>
      <w:r w:rsidR="006C1EFA" w:rsidRPr="006C1EFA">
        <w:rPr>
          <w:rFonts w:asciiTheme="majorHAnsi" w:hAnsiTheme="majorHAnsi"/>
          <w:szCs w:val="24"/>
        </w:rPr>
        <w:t xml:space="preserve"> efficiency of the existing grid, through technology</w:t>
      </w:r>
      <w:r w:rsidR="006C1EFA">
        <w:rPr>
          <w:rFonts w:asciiTheme="majorHAnsi" w:hAnsiTheme="majorHAnsi"/>
          <w:szCs w:val="24"/>
        </w:rPr>
        <w:t>, operational reform,</w:t>
      </w:r>
      <w:r w:rsidR="006C1EFA" w:rsidRPr="006C1EFA">
        <w:rPr>
          <w:rFonts w:asciiTheme="majorHAnsi" w:hAnsiTheme="majorHAnsi"/>
          <w:szCs w:val="24"/>
        </w:rPr>
        <w:t xml:space="preserve"> and market changes, to provide near-term access for clean power;</w:t>
      </w:r>
    </w:p>
    <w:p w14:paraId="63E666CE" w14:textId="77777777" w:rsidR="00B334E9" w:rsidRDefault="006C1EFA" w:rsidP="006C1EFA">
      <w:pPr>
        <w:pStyle w:val="ListParagraph"/>
        <w:numPr>
          <w:ilvl w:val="0"/>
          <w:numId w:val="1"/>
        </w:numPr>
        <w:rPr>
          <w:rFonts w:asciiTheme="majorHAnsi" w:hAnsiTheme="majorHAnsi"/>
          <w:szCs w:val="24"/>
        </w:rPr>
      </w:pPr>
      <w:r>
        <w:rPr>
          <w:rFonts w:asciiTheme="majorHAnsi" w:hAnsiTheme="majorHAnsi"/>
          <w:szCs w:val="24"/>
        </w:rPr>
        <w:t>Ensuring</w:t>
      </w:r>
      <w:r w:rsidRPr="006C1EFA">
        <w:rPr>
          <w:rFonts w:asciiTheme="majorHAnsi" w:hAnsiTheme="majorHAnsi"/>
          <w:szCs w:val="24"/>
        </w:rPr>
        <w:t xml:space="preserve"> </w:t>
      </w:r>
      <w:r>
        <w:rPr>
          <w:rFonts w:asciiTheme="majorHAnsi" w:hAnsiTheme="majorHAnsi"/>
          <w:szCs w:val="24"/>
        </w:rPr>
        <w:t xml:space="preserve">that </w:t>
      </w:r>
      <w:r w:rsidRPr="006C1EFA">
        <w:rPr>
          <w:rFonts w:asciiTheme="majorHAnsi" w:hAnsiTheme="majorHAnsi"/>
          <w:szCs w:val="24"/>
        </w:rPr>
        <w:t xml:space="preserve">transmission and system planning </w:t>
      </w:r>
      <w:r>
        <w:rPr>
          <w:rFonts w:asciiTheme="majorHAnsi" w:hAnsiTheme="majorHAnsi"/>
          <w:szCs w:val="24"/>
        </w:rPr>
        <w:t>incorporate</w:t>
      </w:r>
      <w:r w:rsidR="00B334E9">
        <w:rPr>
          <w:rFonts w:asciiTheme="majorHAnsi" w:hAnsiTheme="majorHAnsi"/>
          <w:szCs w:val="24"/>
        </w:rPr>
        <w:t>s</w:t>
      </w:r>
      <w:r w:rsidRPr="006C1EFA">
        <w:rPr>
          <w:rFonts w:asciiTheme="majorHAnsi" w:hAnsiTheme="majorHAnsi"/>
          <w:szCs w:val="24"/>
        </w:rPr>
        <w:t xml:space="preserve"> all cost-effective energy efficiency, dynamic load resources and distributed generation, and minimizes and mitigates electric sector environmental impacts; and</w:t>
      </w:r>
    </w:p>
    <w:p w14:paraId="4E9537DA" w14:textId="4E5B8CEC" w:rsidR="006C1EFA" w:rsidRPr="00B334E9" w:rsidRDefault="00B334E9" w:rsidP="006C1EFA">
      <w:pPr>
        <w:pStyle w:val="ListParagraph"/>
        <w:numPr>
          <w:ilvl w:val="0"/>
          <w:numId w:val="1"/>
        </w:numPr>
        <w:rPr>
          <w:rFonts w:asciiTheme="majorHAnsi" w:hAnsiTheme="majorHAnsi"/>
          <w:szCs w:val="24"/>
        </w:rPr>
      </w:pPr>
      <w:r>
        <w:rPr>
          <w:rFonts w:asciiTheme="majorHAnsi" w:hAnsiTheme="majorHAnsi"/>
          <w:szCs w:val="24"/>
        </w:rPr>
        <w:t>Expansion of</w:t>
      </w:r>
      <w:r w:rsidR="006C1EFA" w:rsidRPr="00B334E9">
        <w:rPr>
          <w:rFonts w:asciiTheme="majorHAnsi" w:hAnsiTheme="majorHAnsi"/>
          <w:szCs w:val="24"/>
        </w:rPr>
        <w:t xml:space="preserve"> the grid, to access and deliver renewable energy; minimize life-cycle greenhouse gas emissions; and enhance system reliability.</w:t>
      </w:r>
      <w:r w:rsidR="006C1EFA" w:rsidRPr="00B334E9">
        <w:rPr>
          <w:rFonts w:asciiTheme="majorHAnsi" w:hAnsiTheme="majorHAnsi"/>
          <w:szCs w:val="24"/>
        </w:rPr>
        <w:tab/>
      </w:r>
    </w:p>
    <w:p w14:paraId="63E89202" w14:textId="6E5C8A9D" w:rsidR="00C0267B" w:rsidRPr="009E6B4B" w:rsidRDefault="00AC70ED" w:rsidP="00AC70ED">
      <w:pPr>
        <w:ind w:firstLine="720"/>
        <w:rPr>
          <w:rFonts w:asciiTheme="majorHAnsi" w:hAnsiTheme="majorHAnsi"/>
          <w:szCs w:val="24"/>
        </w:rPr>
      </w:pPr>
      <w:r>
        <w:rPr>
          <w:rFonts w:asciiTheme="majorHAnsi" w:hAnsiTheme="majorHAnsi"/>
          <w:szCs w:val="24"/>
        </w:rPr>
        <w:t>We believe that market and procurement</w:t>
      </w:r>
      <w:r w:rsidR="00C8386C">
        <w:rPr>
          <w:rFonts w:asciiTheme="majorHAnsi" w:hAnsiTheme="majorHAnsi"/>
          <w:szCs w:val="24"/>
        </w:rPr>
        <w:t xml:space="preserve"> mechanisms are vital to the creation of policy platforms that will properly incent the adoption of new technologies that provide reliability benefits to the grid. We commend the </w:t>
      </w:r>
      <w:r w:rsidR="007A3958">
        <w:rPr>
          <w:rFonts w:asciiTheme="majorHAnsi" w:hAnsiTheme="majorHAnsi"/>
          <w:szCs w:val="24"/>
        </w:rPr>
        <w:t>Washington State Utilities and Transportation Commission (</w:t>
      </w:r>
      <w:r w:rsidR="00C8386C">
        <w:rPr>
          <w:rFonts w:asciiTheme="majorHAnsi" w:hAnsiTheme="majorHAnsi"/>
          <w:szCs w:val="24"/>
        </w:rPr>
        <w:t>WUTC</w:t>
      </w:r>
      <w:r w:rsidR="007A3958">
        <w:rPr>
          <w:rFonts w:asciiTheme="majorHAnsi" w:hAnsiTheme="majorHAnsi"/>
          <w:szCs w:val="24"/>
        </w:rPr>
        <w:t>)</w:t>
      </w:r>
      <w:r w:rsidR="00C8386C">
        <w:rPr>
          <w:rFonts w:asciiTheme="majorHAnsi" w:hAnsiTheme="majorHAnsi"/>
          <w:szCs w:val="24"/>
        </w:rPr>
        <w:t xml:space="preserve"> for addressing the importance of </w:t>
      </w:r>
      <w:r w:rsidR="00547661" w:rsidRPr="00547661">
        <w:rPr>
          <w:rFonts w:asciiTheme="majorHAnsi" w:hAnsiTheme="majorHAnsi"/>
          <w:szCs w:val="24"/>
        </w:rPr>
        <w:t>ESS</w:t>
      </w:r>
      <w:r w:rsidR="00C8386C">
        <w:rPr>
          <w:rFonts w:asciiTheme="majorHAnsi" w:hAnsiTheme="majorHAnsi"/>
          <w:szCs w:val="24"/>
        </w:rPr>
        <w:t>. Our comments follow.</w:t>
      </w:r>
    </w:p>
    <w:p w14:paraId="6626E3FE" w14:textId="77777777" w:rsidR="00C0267B" w:rsidRDefault="00C0267B" w:rsidP="009E6B4B">
      <w:pPr>
        <w:rPr>
          <w:rFonts w:asciiTheme="majorHAnsi" w:hAnsiTheme="majorHAnsi"/>
          <w:szCs w:val="24"/>
        </w:rPr>
      </w:pPr>
    </w:p>
    <w:p w14:paraId="4C2C142D" w14:textId="77777777" w:rsidR="00C8386C" w:rsidRDefault="00C8386C" w:rsidP="009E6B4B">
      <w:pPr>
        <w:rPr>
          <w:rFonts w:asciiTheme="majorHAnsi" w:hAnsiTheme="majorHAnsi"/>
          <w:b/>
          <w:szCs w:val="24"/>
        </w:rPr>
      </w:pPr>
    </w:p>
    <w:p w14:paraId="455589D4" w14:textId="77777777" w:rsidR="00781BED" w:rsidRPr="00781BED" w:rsidRDefault="00781BED" w:rsidP="00781BED">
      <w:pPr>
        <w:jc w:val="center"/>
        <w:rPr>
          <w:rFonts w:asciiTheme="majorHAnsi" w:hAnsiTheme="majorHAnsi"/>
          <w:b/>
          <w:szCs w:val="24"/>
        </w:rPr>
      </w:pPr>
      <w:r w:rsidRPr="00781BED">
        <w:rPr>
          <w:rFonts w:asciiTheme="majorHAnsi" w:hAnsiTheme="majorHAnsi"/>
          <w:b/>
          <w:szCs w:val="24"/>
        </w:rPr>
        <w:lastRenderedPageBreak/>
        <w:t xml:space="preserve">BEFORE THE </w:t>
      </w:r>
      <w:r>
        <w:rPr>
          <w:rFonts w:asciiTheme="majorHAnsi" w:hAnsiTheme="majorHAnsi"/>
          <w:b/>
          <w:szCs w:val="24"/>
        </w:rPr>
        <w:t>STATE OF WASHINGTON UTILITIES AND TRANSPORTATION COM</w:t>
      </w:r>
      <w:bookmarkStart w:id="0" w:name="_GoBack"/>
      <w:bookmarkEnd w:id="0"/>
      <w:r>
        <w:rPr>
          <w:rFonts w:asciiTheme="majorHAnsi" w:hAnsiTheme="majorHAnsi"/>
          <w:b/>
          <w:szCs w:val="24"/>
        </w:rPr>
        <w:t>MISSION</w:t>
      </w:r>
    </w:p>
    <w:p w14:paraId="7D956919" w14:textId="77777777" w:rsidR="00781BED" w:rsidRPr="00781BED" w:rsidRDefault="00781BED" w:rsidP="00781BED">
      <w:pPr>
        <w:jc w:val="center"/>
        <w:rPr>
          <w:rFonts w:asciiTheme="majorHAnsi" w:hAnsiTheme="majorHAnsi"/>
          <w:szCs w:val="24"/>
        </w:rPr>
      </w:pPr>
    </w:p>
    <w:p w14:paraId="67EDE82E" w14:textId="77777777" w:rsidR="00781BED" w:rsidRPr="00781BED" w:rsidRDefault="00781BED" w:rsidP="00781BED">
      <w:pPr>
        <w:rPr>
          <w:rFonts w:asciiTheme="majorHAnsi" w:hAnsiTheme="majorHAnsi"/>
          <w:b/>
          <w:szCs w:val="24"/>
          <w:u w:val="single"/>
        </w:rPr>
      </w:pPr>
      <w:r w:rsidRPr="00781BED">
        <w:rPr>
          <w:rFonts w:asciiTheme="majorHAnsi" w:hAnsiTheme="majorHAnsi"/>
          <w:b/>
          <w:szCs w:val="24"/>
          <w:u w:val="single"/>
        </w:rPr>
        <w:t>COMMISSIONERS</w:t>
      </w:r>
    </w:p>
    <w:p w14:paraId="2CF10F8B" w14:textId="77777777" w:rsidR="00781BED" w:rsidRPr="00781BED" w:rsidRDefault="00781BED" w:rsidP="00781BED">
      <w:pPr>
        <w:spacing w:after="0" w:line="240" w:lineRule="auto"/>
        <w:rPr>
          <w:rFonts w:asciiTheme="majorHAnsi" w:hAnsiTheme="majorHAnsi"/>
          <w:szCs w:val="24"/>
        </w:rPr>
      </w:pPr>
      <w:r>
        <w:rPr>
          <w:rFonts w:asciiTheme="majorHAnsi" w:hAnsiTheme="majorHAnsi"/>
          <w:szCs w:val="24"/>
        </w:rPr>
        <w:t>David Danner</w:t>
      </w:r>
      <w:r w:rsidRPr="00781BED">
        <w:rPr>
          <w:rFonts w:asciiTheme="majorHAnsi" w:hAnsiTheme="majorHAnsi"/>
          <w:szCs w:val="24"/>
        </w:rPr>
        <w:t>, Chairman</w:t>
      </w:r>
    </w:p>
    <w:p w14:paraId="36EE1160" w14:textId="77777777" w:rsidR="00781BED" w:rsidRPr="00781BED" w:rsidRDefault="00781BED" w:rsidP="00781BED">
      <w:pPr>
        <w:spacing w:after="0" w:line="240" w:lineRule="auto"/>
        <w:rPr>
          <w:rFonts w:asciiTheme="majorHAnsi" w:hAnsiTheme="majorHAnsi"/>
          <w:szCs w:val="24"/>
        </w:rPr>
      </w:pPr>
      <w:r>
        <w:rPr>
          <w:rFonts w:asciiTheme="majorHAnsi" w:hAnsiTheme="majorHAnsi"/>
          <w:szCs w:val="24"/>
        </w:rPr>
        <w:t>Ann Rendahl</w:t>
      </w:r>
    </w:p>
    <w:p w14:paraId="661D6D75" w14:textId="77777777" w:rsidR="00781BED" w:rsidRPr="00781BED" w:rsidRDefault="00781BED" w:rsidP="00781BED">
      <w:pPr>
        <w:spacing w:after="0" w:line="240" w:lineRule="auto"/>
        <w:rPr>
          <w:rFonts w:asciiTheme="majorHAnsi" w:hAnsiTheme="majorHAnsi"/>
          <w:szCs w:val="24"/>
        </w:rPr>
      </w:pPr>
      <w:r>
        <w:rPr>
          <w:rFonts w:asciiTheme="majorHAnsi" w:hAnsiTheme="majorHAnsi"/>
          <w:szCs w:val="24"/>
        </w:rPr>
        <w:t>Philip Jones</w:t>
      </w:r>
    </w:p>
    <w:p w14:paraId="11FD1CB0" w14:textId="77777777" w:rsidR="00781BED" w:rsidRPr="00781BED" w:rsidRDefault="00781BED" w:rsidP="00781BED">
      <w:pPr>
        <w:rPr>
          <w:rFonts w:asciiTheme="majorHAnsi" w:hAnsiTheme="majorHAnsi"/>
          <w:szCs w:val="24"/>
        </w:rPr>
      </w:pPr>
      <w:r w:rsidRPr="00781BED">
        <w:rPr>
          <w:rFonts w:asciiTheme="majorHAnsi" w:hAnsiTheme="majorHAnsi"/>
          <w:noProof/>
          <w:szCs w:val="24"/>
        </w:rPr>
        <mc:AlternateContent>
          <mc:Choice Requires="wps">
            <w:drawing>
              <wp:anchor distT="0" distB="0" distL="114300" distR="114300" simplePos="0" relativeHeight="251660288" behindDoc="0" locked="0" layoutInCell="1" allowOverlap="1" wp14:anchorId="14FED268" wp14:editId="0EDA8FAA">
                <wp:simplePos x="0" y="0"/>
                <wp:positionH relativeFrom="margin">
                  <wp:align>center</wp:align>
                </wp:positionH>
                <wp:positionV relativeFrom="paragraph">
                  <wp:posOffset>216716</wp:posOffset>
                </wp:positionV>
                <wp:extent cx="273" cy="702129"/>
                <wp:effectExtent l="0" t="0" r="19050" b="22225"/>
                <wp:wrapNone/>
                <wp:docPr id="2" name="Straight Connector 2"/>
                <wp:cNvGraphicFramePr/>
                <a:graphic xmlns:a="http://schemas.openxmlformats.org/drawingml/2006/main">
                  <a:graphicData uri="http://schemas.microsoft.com/office/word/2010/wordprocessingShape">
                    <wps:wsp>
                      <wps:cNvCnPr/>
                      <wps:spPr>
                        <a:xfrm>
                          <a:off x="0" y="0"/>
                          <a:ext cx="273" cy="7021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05pt" to="0,7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" strokecolor="black [3040]">
                <w10:wrap anchorx="margin"/>
              </v:line>
            </w:pict>
          </mc:Fallback>
        </mc:AlternateContent>
      </w:r>
    </w:p>
    <w:p w14:paraId="36425717" w14:textId="77777777" w:rsidR="00781BED" w:rsidRPr="00781BED" w:rsidRDefault="00781BED" w:rsidP="00781BED">
      <w:pPr>
        <w:spacing w:after="0"/>
        <w:rPr>
          <w:rFonts w:asciiTheme="majorHAnsi" w:hAnsiTheme="majorHAnsi"/>
          <w:szCs w:val="24"/>
        </w:rPr>
      </w:pPr>
      <w:r w:rsidRPr="00781BED">
        <w:rPr>
          <w:rFonts w:asciiTheme="majorHAnsi" w:hAnsiTheme="majorHAnsi"/>
          <w:szCs w:val="24"/>
        </w:rPr>
        <w:t xml:space="preserve">IN THE MATTER OF </w:t>
      </w:r>
      <w:r>
        <w:rPr>
          <w:rFonts w:asciiTheme="majorHAnsi" w:hAnsiTheme="majorHAnsi"/>
          <w:szCs w:val="24"/>
        </w:rPr>
        <w:t>MODELING ENERGY</w:t>
      </w:r>
    </w:p>
    <w:p w14:paraId="2A13EE50" w14:textId="77777777" w:rsidR="00781BED" w:rsidRDefault="00781BED" w:rsidP="00781BED">
      <w:pPr>
        <w:spacing w:after="0"/>
        <w:rPr>
          <w:rFonts w:asciiTheme="majorHAnsi" w:hAnsiTheme="majorHAnsi"/>
          <w:noProof/>
          <w:szCs w:val="24"/>
        </w:rPr>
      </w:pPr>
      <w:r>
        <w:rPr>
          <w:rFonts w:asciiTheme="majorHAnsi" w:hAnsiTheme="majorHAnsi"/>
          <w:noProof/>
          <w:szCs w:val="24"/>
        </w:rPr>
        <w:t xml:space="preserve">STORAGE IN INTEGRATED RESOURCE </w:t>
      </w:r>
      <w:r>
        <w:rPr>
          <w:rFonts w:asciiTheme="majorHAnsi" w:hAnsiTheme="majorHAnsi"/>
          <w:noProof/>
          <w:szCs w:val="24"/>
        </w:rPr>
        <w:tab/>
      </w:r>
      <w:r>
        <w:rPr>
          <w:rFonts w:asciiTheme="majorHAnsi" w:hAnsiTheme="majorHAnsi"/>
          <w:noProof/>
          <w:szCs w:val="24"/>
        </w:rPr>
        <w:tab/>
      </w:r>
      <w:r>
        <w:rPr>
          <w:rFonts w:asciiTheme="majorHAnsi" w:hAnsiTheme="majorHAnsi"/>
          <w:noProof/>
          <w:szCs w:val="24"/>
        </w:rPr>
        <w:tab/>
      </w:r>
      <w:r w:rsidR="007F1B2D">
        <w:rPr>
          <w:rFonts w:asciiTheme="majorHAnsi" w:hAnsiTheme="majorHAnsi"/>
          <w:noProof/>
          <w:szCs w:val="24"/>
        </w:rPr>
        <w:tab/>
      </w:r>
      <w:r>
        <w:rPr>
          <w:rFonts w:asciiTheme="majorHAnsi" w:hAnsiTheme="majorHAnsi"/>
          <w:noProof/>
          <w:szCs w:val="24"/>
        </w:rPr>
        <w:t>DOCKET UE</w:t>
      </w:r>
      <w:r w:rsidR="007F1B2D">
        <w:rPr>
          <w:rFonts w:asciiTheme="majorHAnsi" w:hAnsiTheme="majorHAnsi"/>
          <w:noProof/>
          <w:szCs w:val="24"/>
        </w:rPr>
        <w:t>-151069</w:t>
      </w:r>
    </w:p>
    <w:p w14:paraId="59AA4E8C" w14:textId="77777777" w:rsidR="00781BED" w:rsidRPr="00781BED" w:rsidRDefault="00781BED" w:rsidP="00781BED">
      <w:pPr>
        <w:spacing w:after="0"/>
        <w:rPr>
          <w:rFonts w:asciiTheme="majorHAnsi" w:hAnsiTheme="majorHAnsi"/>
          <w:szCs w:val="24"/>
        </w:rPr>
      </w:pPr>
      <w:r w:rsidRPr="00781BED">
        <w:rPr>
          <w:rFonts w:asciiTheme="majorHAnsi" w:hAnsiTheme="majorHAnsi"/>
          <w:noProof/>
          <w:szCs w:val="24"/>
        </w:rPr>
        <mc:AlternateContent>
          <mc:Choice Requires="wps">
            <w:drawing>
              <wp:anchor distT="0" distB="0" distL="114300" distR="114300" simplePos="0" relativeHeight="251659264" behindDoc="0" locked="0" layoutInCell="1" allowOverlap="1" wp14:anchorId="71C622DA" wp14:editId="59340AF1">
                <wp:simplePos x="0" y="0"/>
                <wp:positionH relativeFrom="column">
                  <wp:posOffset>15875</wp:posOffset>
                </wp:positionH>
                <wp:positionV relativeFrom="paragraph">
                  <wp:posOffset>263525</wp:posOffset>
                </wp:positionV>
                <wp:extent cx="2727325" cy="0"/>
                <wp:effectExtent l="0" t="0" r="15875" b="25400"/>
                <wp:wrapNone/>
                <wp:docPr id="1" name="Straight Connector 1"/>
                <wp:cNvGraphicFramePr/>
                <a:graphic xmlns:a="http://schemas.openxmlformats.org/drawingml/2006/main">
                  <a:graphicData uri="http://schemas.microsoft.com/office/word/2010/wordprocessingShape">
                    <wps:wsp>
                      <wps:cNvCnPr/>
                      <wps:spPr>
                        <a:xfrm>
                          <a:off x="0" y="0"/>
                          <a:ext cx="272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0.75pt" to="3in,2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" strokecolor="black [3040]"/>
            </w:pict>
          </mc:Fallback>
        </mc:AlternateContent>
      </w:r>
      <w:r>
        <w:rPr>
          <w:rFonts w:asciiTheme="majorHAnsi" w:hAnsiTheme="majorHAnsi"/>
          <w:noProof/>
          <w:szCs w:val="24"/>
        </w:rPr>
        <w:t>PLANNING</w:t>
      </w:r>
      <w:r w:rsidRPr="00781BED">
        <w:rPr>
          <w:rFonts w:asciiTheme="majorHAnsi" w:hAnsiTheme="majorHAnsi"/>
          <w:szCs w:val="24"/>
        </w:rPr>
        <w:t xml:space="preserve">  </w:t>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r w:rsidRPr="00781BED">
        <w:rPr>
          <w:rFonts w:asciiTheme="majorHAnsi" w:hAnsiTheme="majorHAnsi"/>
          <w:szCs w:val="24"/>
        </w:rPr>
        <w:tab/>
      </w:r>
    </w:p>
    <w:p w14:paraId="759448BE" w14:textId="77777777" w:rsidR="00781BED" w:rsidRPr="00781BED" w:rsidRDefault="00781BED" w:rsidP="00781BED">
      <w:pPr>
        <w:spacing w:after="0"/>
        <w:jc w:val="center"/>
        <w:rPr>
          <w:rFonts w:asciiTheme="majorHAnsi" w:hAnsiTheme="majorHAnsi"/>
          <w:szCs w:val="24"/>
        </w:rPr>
      </w:pPr>
    </w:p>
    <w:p w14:paraId="3E6A13BB" w14:textId="6519D765" w:rsidR="009B6C94" w:rsidRPr="009B6C94" w:rsidRDefault="00781BED" w:rsidP="009B6C94">
      <w:pPr>
        <w:jc w:val="center"/>
        <w:rPr>
          <w:rFonts w:asciiTheme="majorHAnsi" w:hAnsiTheme="majorHAnsi"/>
          <w:b/>
          <w:szCs w:val="24"/>
        </w:rPr>
      </w:pPr>
      <w:r w:rsidRPr="00781BED">
        <w:rPr>
          <w:rFonts w:asciiTheme="majorHAnsi" w:hAnsiTheme="majorHAnsi"/>
          <w:b/>
          <w:szCs w:val="24"/>
        </w:rPr>
        <w:t>Comments of Western Grid Group</w:t>
      </w:r>
    </w:p>
    <w:p w14:paraId="27369C10" w14:textId="72406452" w:rsidR="000F7242" w:rsidRDefault="000F7242">
      <w:pPr>
        <w:rPr>
          <w:rFonts w:asciiTheme="majorHAnsi" w:hAnsiTheme="majorHAnsi"/>
        </w:rPr>
      </w:pPr>
      <w:r>
        <w:rPr>
          <w:rFonts w:asciiTheme="majorHAnsi" w:hAnsiTheme="majorHAnsi"/>
        </w:rPr>
        <w:tab/>
        <w:t xml:space="preserve">In its May 2015 white paper, “Modeling Energy Storage: Challenges and Opportunities for Washington Utilities”, staff has fittingly noted that the lack of an organized energy market within Washington or the northwest region presents a significant challenge to proper valuation of </w:t>
      </w:r>
      <w:r w:rsidR="00BC400A">
        <w:rPr>
          <w:rFonts w:asciiTheme="majorHAnsi" w:hAnsiTheme="majorHAnsi"/>
        </w:rPr>
        <w:t>energy storage systems (</w:t>
      </w:r>
      <w:r w:rsidR="00547661">
        <w:rPr>
          <w:rFonts w:asciiTheme="majorHAnsi" w:hAnsiTheme="majorHAnsi"/>
        </w:rPr>
        <w:t>ESS</w:t>
      </w:r>
      <w:r w:rsidR="00BC400A">
        <w:rPr>
          <w:rFonts w:asciiTheme="majorHAnsi" w:hAnsiTheme="majorHAnsi"/>
        </w:rPr>
        <w:t>)</w:t>
      </w:r>
      <w:r>
        <w:rPr>
          <w:rFonts w:asciiTheme="majorHAnsi" w:hAnsiTheme="majorHAnsi"/>
        </w:rPr>
        <w:t xml:space="preserve">. Washington’s utilities have been unable to monetize the beneficial reliability services yielded by </w:t>
      </w:r>
      <w:r w:rsidR="00547661">
        <w:rPr>
          <w:rFonts w:asciiTheme="majorHAnsi" w:hAnsiTheme="majorHAnsi"/>
        </w:rPr>
        <w:t>ESS</w:t>
      </w:r>
      <w:r>
        <w:rPr>
          <w:rFonts w:asciiTheme="majorHAnsi" w:hAnsiTheme="majorHAnsi"/>
        </w:rPr>
        <w:t>, in part because there presently is no</w:t>
      </w:r>
      <w:r w:rsidR="00BB2B5F">
        <w:rPr>
          <w:rFonts w:asciiTheme="majorHAnsi" w:hAnsiTheme="majorHAnsi"/>
        </w:rPr>
        <w:t xml:space="preserve"> standard methodology for quantifying such benefits, and in part because utilities lack the modeling capabilities necessary to do so.</w:t>
      </w:r>
    </w:p>
    <w:p w14:paraId="0E00DA21" w14:textId="5877383C" w:rsidR="00EC2910" w:rsidRDefault="00EC2910">
      <w:pPr>
        <w:rPr>
          <w:rFonts w:asciiTheme="majorHAnsi" w:hAnsiTheme="majorHAnsi"/>
        </w:rPr>
      </w:pPr>
      <w:r>
        <w:rPr>
          <w:rFonts w:asciiTheme="majorHAnsi" w:hAnsiTheme="majorHAnsi"/>
        </w:rPr>
        <w:tab/>
        <w:t>There are clearly numerous benefits that accrue from par</w:t>
      </w:r>
      <w:r w:rsidR="00D9786A">
        <w:rPr>
          <w:rFonts w:asciiTheme="majorHAnsi" w:hAnsiTheme="majorHAnsi"/>
        </w:rPr>
        <w:t xml:space="preserve">ticipation in organized markets, including broadened footprints for resource balancing, reduced individual spinning reserve requirements, economic efficiency of centralized dispatch, </w:t>
      </w:r>
      <w:r w:rsidR="00783D61">
        <w:rPr>
          <w:rFonts w:asciiTheme="majorHAnsi" w:hAnsiTheme="majorHAnsi"/>
        </w:rPr>
        <w:t xml:space="preserve">increased market liquidity, and clear pricing signals that </w:t>
      </w:r>
      <w:r w:rsidR="003411D4">
        <w:rPr>
          <w:rFonts w:asciiTheme="majorHAnsi" w:hAnsiTheme="majorHAnsi"/>
        </w:rPr>
        <w:t xml:space="preserve">fairly </w:t>
      </w:r>
      <w:r w:rsidR="00783D61">
        <w:rPr>
          <w:rFonts w:asciiTheme="majorHAnsi" w:hAnsiTheme="majorHAnsi"/>
        </w:rPr>
        <w:t>compensate resource adequacy and ancillary service</w:t>
      </w:r>
      <w:r w:rsidR="003411D4">
        <w:rPr>
          <w:rFonts w:asciiTheme="majorHAnsi" w:hAnsiTheme="majorHAnsi"/>
        </w:rPr>
        <w:t xml:space="preserve"> provider</w:t>
      </w:r>
      <w:r w:rsidR="00783D61">
        <w:rPr>
          <w:rFonts w:asciiTheme="majorHAnsi" w:hAnsiTheme="majorHAnsi"/>
        </w:rPr>
        <w:t>s. Some of these benefits may also be realized by participation in Energy Imbalance Markets (EIM)</w:t>
      </w:r>
      <w:r w:rsidR="007E57ED">
        <w:rPr>
          <w:rStyle w:val="FootnoteReference"/>
          <w:rFonts w:asciiTheme="majorHAnsi" w:hAnsiTheme="majorHAnsi"/>
        </w:rPr>
        <w:footnoteReference w:id="1"/>
      </w:r>
      <w:r w:rsidR="007E57ED">
        <w:rPr>
          <w:rFonts w:asciiTheme="majorHAnsi" w:hAnsiTheme="majorHAnsi"/>
        </w:rPr>
        <w:t>.</w:t>
      </w:r>
    </w:p>
    <w:p w14:paraId="6230CC53" w14:textId="3FCC47E3" w:rsidR="009B6C94" w:rsidRDefault="007E57ED">
      <w:pPr>
        <w:rPr>
          <w:rFonts w:asciiTheme="majorHAnsi" w:hAnsiTheme="majorHAnsi"/>
        </w:rPr>
      </w:pPr>
      <w:r>
        <w:rPr>
          <w:rFonts w:asciiTheme="majorHAnsi" w:hAnsiTheme="majorHAnsi"/>
        </w:rPr>
        <w:tab/>
        <w:t>Because Washington’s regulated utilities each act as their own Balancing Area Authorities, they must provide the ancillary services required to</w:t>
      </w:r>
      <w:r w:rsidR="00372AB6">
        <w:rPr>
          <w:rFonts w:asciiTheme="majorHAnsi" w:hAnsiTheme="majorHAnsi"/>
        </w:rPr>
        <w:t xml:space="preserve"> maintain continuous balance between loads and resources. The utilities receive no compensation for provision of these services, and thus there have been no</w:t>
      </w:r>
      <w:r w:rsidR="0038586A">
        <w:rPr>
          <w:rFonts w:asciiTheme="majorHAnsi" w:hAnsiTheme="majorHAnsi"/>
        </w:rPr>
        <w:t xml:space="preserve"> established</w:t>
      </w:r>
      <w:r w:rsidR="00372AB6">
        <w:rPr>
          <w:rFonts w:asciiTheme="majorHAnsi" w:hAnsiTheme="majorHAnsi"/>
        </w:rPr>
        <w:t xml:space="preserve"> “sales comparables” to provide guidance on their value. </w:t>
      </w:r>
      <w:r w:rsidR="00547661">
        <w:rPr>
          <w:rFonts w:asciiTheme="majorHAnsi" w:hAnsiTheme="majorHAnsi"/>
        </w:rPr>
        <w:t>ESS</w:t>
      </w:r>
      <w:r w:rsidR="00372AB6">
        <w:rPr>
          <w:rFonts w:asciiTheme="majorHAnsi" w:hAnsiTheme="majorHAnsi"/>
        </w:rPr>
        <w:t xml:space="preserve"> has incontrovertibly been proven, however, to </w:t>
      </w:r>
      <w:r w:rsidR="00EB32ED">
        <w:rPr>
          <w:rFonts w:asciiTheme="majorHAnsi" w:hAnsiTheme="majorHAnsi"/>
        </w:rPr>
        <w:t xml:space="preserve">reliably </w:t>
      </w:r>
      <w:r w:rsidR="00372AB6">
        <w:rPr>
          <w:rFonts w:asciiTheme="majorHAnsi" w:hAnsiTheme="majorHAnsi"/>
        </w:rPr>
        <w:t>provide certain ancillary services</w:t>
      </w:r>
      <w:r w:rsidR="0038586A">
        <w:rPr>
          <w:rFonts w:asciiTheme="majorHAnsi" w:hAnsiTheme="majorHAnsi"/>
        </w:rPr>
        <w:t>, including voltage support,</w:t>
      </w:r>
      <w:r w:rsidR="00372AB6">
        <w:rPr>
          <w:rFonts w:asciiTheme="majorHAnsi" w:hAnsiTheme="majorHAnsi"/>
        </w:rPr>
        <w:t xml:space="preserve"> frequency response</w:t>
      </w:r>
      <w:r w:rsidR="0038586A">
        <w:rPr>
          <w:rFonts w:asciiTheme="majorHAnsi" w:hAnsiTheme="majorHAnsi"/>
        </w:rPr>
        <w:t xml:space="preserve">, </w:t>
      </w:r>
      <w:r w:rsidR="00372AB6">
        <w:rPr>
          <w:rFonts w:asciiTheme="majorHAnsi" w:hAnsiTheme="majorHAnsi"/>
        </w:rPr>
        <w:t>ramping regulation</w:t>
      </w:r>
      <w:r w:rsidR="0038586A">
        <w:rPr>
          <w:rFonts w:asciiTheme="majorHAnsi" w:hAnsiTheme="majorHAnsi"/>
        </w:rPr>
        <w:t xml:space="preserve">, and responsive </w:t>
      </w:r>
      <w:r w:rsidR="003C007C">
        <w:rPr>
          <w:rFonts w:asciiTheme="majorHAnsi" w:hAnsiTheme="majorHAnsi"/>
        </w:rPr>
        <w:t xml:space="preserve">(supplemental) </w:t>
      </w:r>
      <w:r w:rsidR="0038586A">
        <w:rPr>
          <w:rFonts w:asciiTheme="majorHAnsi" w:hAnsiTheme="majorHAnsi"/>
        </w:rPr>
        <w:t>reserves</w:t>
      </w:r>
      <w:r w:rsidR="00372AB6">
        <w:rPr>
          <w:rFonts w:asciiTheme="majorHAnsi" w:hAnsiTheme="majorHAnsi"/>
        </w:rPr>
        <w:t xml:space="preserve">. </w:t>
      </w:r>
    </w:p>
    <w:p w14:paraId="45C1BEBA" w14:textId="50DF0723" w:rsidR="00372AB6" w:rsidRPr="00372AB6" w:rsidRDefault="00372AB6" w:rsidP="009B6C94">
      <w:pPr>
        <w:ind w:left="720" w:right="990"/>
        <w:rPr>
          <w:rFonts w:asciiTheme="majorHAnsi" w:hAnsiTheme="majorHAnsi"/>
          <w:b/>
        </w:rPr>
      </w:pPr>
      <w:r>
        <w:rPr>
          <w:rFonts w:asciiTheme="majorHAnsi" w:hAnsiTheme="majorHAnsi"/>
          <w:b/>
        </w:rPr>
        <w:t xml:space="preserve">Western Grid Group strongly supports staff’s observation </w:t>
      </w:r>
      <w:r w:rsidRPr="00BC400A">
        <w:rPr>
          <w:rFonts w:asciiTheme="majorHAnsi" w:hAnsiTheme="majorHAnsi"/>
          <w:b/>
        </w:rPr>
        <w:t xml:space="preserve">that </w:t>
      </w:r>
      <w:r w:rsidR="00547661" w:rsidRPr="00BC400A">
        <w:rPr>
          <w:rFonts w:asciiTheme="majorHAnsi" w:hAnsiTheme="majorHAnsi"/>
          <w:b/>
          <w:szCs w:val="24"/>
        </w:rPr>
        <w:t>ESS</w:t>
      </w:r>
      <w:r w:rsidR="003411D4">
        <w:rPr>
          <w:rFonts w:asciiTheme="majorHAnsi" w:hAnsiTheme="majorHAnsi"/>
          <w:b/>
        </w:rPr>
        <w:t xml:space="preserve"> provides</w:t>
      </w:r>
      <w:r>
        <w:rPr>
          <w:rFonts w:asciiTheme="majorHAnsi" w:hAnsiTheme="majorHAnsi"/>
          <w:b/>
        </w:rPr>
        <w:t xml:space="preserve"> value in the form of avoided costs, and </w:t>
      </w:r>
      <w:r w:rsidR="003411D4">
        <w:rPr>
          <w:rFonts w:asciiTheme="majorHAnsi" w:hAnsiTheme="majorHAnsi"/>
          <w:b/>
        </w:rPr>
        <w:t>t</w:t>
      </w:r>
      <w:r w:rsidR="009B6C94">
        <w:rPr>
          <w:rFonts w:asciiTheme="majorHAnsi" w:hAnsiTheme="majorHAnsi"/>
          <w:b/>
        </w:rPr>
        <w:t>herefore its</w:t>
      </w:r>
      <w:r>
        <w:rPr>
          <w:rFonts w:asciiTheme="majorHAnsi" w:hAnsiTheme="majorHAnsi"/>
          <w:b/>
        </w:rPr>
        <w:t xml:space="preserve"> value should be reflected in utility planning.</w:t>
      </w:r>
    </w:p>
    <w:p w14:paraId="6FB46207" w14:textId="67E5317F" w:rsidR="00EA51C0" w:rsidRDefault="009B6C94" w:rsidP="006E320D">
      <w:pPr>
        <w:ind w:firstLine="720"/>
        <w:rPr>
          <w:rFonts w:asciiTheme="majorHAnsi" w:hAnsiTheme="majorHAnsi"/>
        </w:rPr>
      </w:pPr>
      <w:r>
        <w:rPr>
          <w:rFonts w:asciiTheme="majorHAnsi" w:hAnsiTheme="majorHAnsi"/>
        </w:rPr>
        <w:t>Current</w:t>
      </w:r>
      <w:r w:rsidR="00EA51C0">
        <w:rPr>
          <w:rFonts w:asciiTheme="majorHAnsi" w:hAnsiTheme="majorHAnsi"/>
        </w:rPr>
        <w:t xml:space="preserve"> utility IRP model</w:t>
      </w:r>
      <w:r>
        <w:rPr>
          <w:rFonts w:asciiTheme="majorHAnsi" w:hAnsiTheme="majorHAnsi"/>
        </w:rPr>
        <w:t>ing efforts</w:t>
      </w:r>
      <w:r w:rsidR="00EA51C0">
        <w:rPr>
          <w:rFonts w:asciiTheme="majorHAnsi" w:hAnsiTheme="majorHAnsi"/>
        </w:rPr>
        <w:t xml:space="preserve"> </w:t>
      </w:r>
      <w:r w:rsidR="0036169D">
        <w:rPr>
          <w:rFonts w:asciiTheme="majorHAnsi" w:hAnsiTheme="majorHAnsi"/>
        </w:rPr>
        <w:t xml:space="preserve">are inherently limited in their ability to accurately reflect the value of </w:t>
      </w:r>
      <w:r w:rsidR="00547661">
        <w:rPr>
          <w:rFonts w:asciiTheme="majorHAnsi" w:hAnsiTheme="majorHAnsi"/>
          <w:szCs w:val="24"/>
        </w:rPr>
        <w:t>ESS</w:t>
      </w:r>
      <w:r w:rsidR="0036169D">
        <w:rPr>
          <w:rFonts w:asciiTheme="majorHAnsi" w:hAnsiTheme="majorHAnsi"/>
        </w:rPr>
        <w:t>, largely because the utility power flow and production cost models are built primarily on the basis of centralized, thermal (gas, coal, nuclear) power stations.</w:t>
      </w:r>
      <w:r w:rsidR="00063064">
        <w:rPr>
          <w:rFonts w:asciiTheme="majorHAnsi" w:hAnsiTheme="majorHAnsi"/>
        </w:rPr>
        <w:t xml:space="preserve"> </w:t>
      </w:r>
      <w:r w:rsidR="006B5227">
        <w:rPr>
          <w:rFonts w:asciiTheme="majorHAnsi" w:hAnsiTheme="majorHAnsi"/>
        </w:rPr>
        <w:t>Power flow models are somewhat effective at modeling system reliability on a contingency basis</w:t>
      </w:r>
      <w:r w:rsidR="00567D59">
        <w:rPr>
          <w:rFonts w:asciiTheme="majorHAnsi" w:hAnsiTheme="majorHAnsi"/>
        </w:rPr>
        <w:t>, while p</w:t>
      </w:r>
      <w:r w:rsidR="006B5227">
        <w:rPr>
          <w:rFonts w:asciiTheme="majorHAnsi" w:hAnsiTheme="majorHAnsi"/>
        </w:rPr>
        <w:t>roduction cost models are effective for optimizing resource needs on the basis of cost, emissions, and other factors on an annual 8760-hour basis. These models require extensive datasets to characterize the attributes of particular resources within a generation fleet.</w:t>
      </w:r>
      <w:r w:rsidR="00567D59">
        <w:rPr>
          <w:rFonts w:asciiTheme="majorHAnsi" w:hAnsiTheme="majorHAnsi"/>
        </w:rPr>
        <w:t xml:space="preserve"> However, utility models to date typically do not have accurate, consistent, or current cost and performance information to adequately characterize </w:t>
      </w:r>
      <w:r w:rsidR="00547661">
        <w:rPr>
          <w:rFonts w:asciiTheme="majorHAnsi" w:hAnsiTheme="majorHAnsi"/>
          <w:szCs w:val="24"/>
        </w:rPr>
        <w:t>ESS</w:t>
      </w:r>
      <w:r w:rsidR="00547661">
        <w:rPr>
          <w:rFonts w:asciiTheme="majorHAnsi" w:hAnsiTheme="majorHAnsi"/>
        </w:rPr>
        <w:t xml:space="preserve"> </w:t>
      </w:r>
      <w:r w:rsidR="0036169D">
        <w:rPr>
          <w:rFonts w:asciiTheme="majorHAnsi" w:hAnsiTheme="majorHAnsi"/>
        </w:rPr>
        <w:t xml:space="preserve">and/or other </w:t>
      </w:r>
      <w:r w:rsidR="009D6536">
        <w:rPr>
          <w:rFonts w:asciiTheme="majorHAnsi" w:hAnsiTheme="majorHAnsi"/>
        </w:rPr>
        <w:t xml:space="preserve">existing and </w:t>
      </w:r>
      <w:r w:rsidR="0036169D">
        <w:rPr>
          <w:rFonts w:asciiTheme="majorHAnsi" w:hAnsiTheme="majorHAnsi"/>
        </w:rPr>
        <w:t xml:space="preserve">evolving renewable </w:t>
      </w:r>
      <w:r w:rsidR="00567D59">
        <w:rPr>
          <w:rFonts w:asciiTheme="majorHAnsi" w:hAnsiTheme="majorHAnsi"/>
        </w:rPr>
        <w:t>technologies</w:t>
      </w:r>
      <w:r w:rsidR="0036169D">
        <w:rPr>
          <w:rStyle w:val="FootnoteReference"/>
          <w:rFonts w:asciiTheme="majorHAnsi" w:hAnsiTheme="majorHAnsi"/>
        </w:rPr>
        <w:footnoteReference w:id="2"/>
      </w:r>
      <w:r w:rsidR="00567D59">
        <w:rPr>
          <w:rFonts w:asciiTheme="majorHAnsi" w:hAnsiTheme="majorHAnsi"/>
        </w:rPr>
        <w:t xml:space="preserve">. </w:t>
      </w:r>
    </w:p>
    <w:p w14:paraId="70B5376D" w14:textId="0EB4C9C9" w:rsidR="003411D4" w:rsidRDefault="00E304CB" w:rsidP="006E320D">
      <w:pPr>
        <w:ind w:firstLine="720"/>
        <w:rPr>
          <w:rFonts w:asciiTheme="majorHAnsi" w:hAnsiTheme="majorHAnsi"/>
        </w:rPr>
      </w:pPr>
      <w:r>
        <w:rPr>
          <w:rFonts w:asciiTheme="majorHAnsi" w:hAnsiTheme="majorHAnsi"/>
        </w:rPr>
        <w:t xml:space="preserve">New datasets and modeling tools are currently evolving for </w:t>
      </w:r>
      <w:r w:rsidR="009E4998">
        <w:rPr>
          <w:rFonts w:asciiTheme="majorHAnsi" w:hAnsiTheme="majorHAnsi"/>
        </w:rPr>
        <w:t xml:space="preserve">a variety of clean energy resources, including </w:t>
      </w:r>
      <w:r w:rsidR="006B5AD2">
        <w:rPr>
          <w:rFonts w:asciiTheme="majorHAnsi" w:hAnsiTheme="majorHAnsi"/>
          <w:szCs w:val="24"/>
        </w:rPr>
        <w:t>ESS</w:t>
      </w:r>
      <w:r w:rsidR="009E4998">
        <w:rPr>
          <w:rFonts w:asciiTheme="majorHAnsi" w:hAnsiTheme="majorHAnsi"/>
        </w:rPr>
        <w:t xml:space="preserve">. </w:t>
      </w:r>
      <w:r w:rsidR="001F44CD">
        <w:rPr>
          <w:rFonts w:asciiTheme="majorHAnsi" w:hAnsiTheme="majorHAnsi"/>
        </w:rPr>
        <w:t>Th</w:t>
      </w:r>
      <w:r w:rsidR="009E4998">
        <w:rPr>
          <w:rFonts w:asciiTheme="majorHAnsi" w:hAnsiTheme="majorHAnsi"/>
        </w:rPr>
        <w:t>e National Renewable Energy Laboratory (NREL) is now finalizing robust</w:t>
      </w:r>
      <w:r w:rsidR="001F44CD">
        <w:rPr>
          <w:rFonts w:asciiTheme="majorHAnsi" w:hAnsiTheme="majorHAnsi"/>
        </w:rPr>
        <w:t xml:space="preserve"> and comprehensive datasets for</w:t>
      </w:r>
      <w:r w:rsidR="009E4998">
        <w:rPr>
          <w:rFonts w:asciiTheme="majorHAnsi" w:hAnsiTheme="majorHAnsi"/>
        </w:rPr>
        <w:t xml:space="preserve"> wind and solar resources</w:t>
      </w:r>
      <w:r w:rsidR="001F44CD">
        <w:rPr>
          <w:rFonts w:asciiTheme="majorHAnsi" w:hAnsiTheme="majorHAnsi"/>
        </w:rPr>
        <w:t xml:space="preserve"> that contain the most recent resource data for 120,000 sites in the continental U.S. The dataset toolkits also contain forecast data and sub-hourly power production data (5 minute for solar; 15 minute for wind)</w:t>
      </w:r>
      <w:r w:rsidR="006E320D">
        <w:rPr>
          <w:rFonts w:asciiTheme="majorHAnsi" w:hAnsiTheme="majorHAnsi"/>
        </w:rPr>
        <w:t xml:space="preserve"> for dozens of the most current wind turbines and several solar generator configurations, including both photovoltaics (PV) and Concentrating Solar Power (CSP) facilities. And as demonstrated during the UTC Energy Storage Modeling Workshop held on August 25</w:t>
      </w:r>
      <w:r w:rsidR="006E320D" w:rsidRPr="006E320D">
        <w:rPr>
          <w:rFonts w:asciiTheme="majorHAnsi" w:hAnsiTheme="majorHAnsi"/>
          <w:vertAlign w:val="superscript"/>
        </w:rPr>
        <w:t>th</w:t>
      </w:r>
      <w:r w:rsidR="006E320D">
        <w:rPr>
          <w:rFonts w:asciiTheme="majorHAnsi" w:hAnsiTheme="majorHAnsi"/>
        </w:rPr>
        <w:t xml:space="preserve">, Pacific Northwest National Laboratory </w:t>
      </w:r>
      <w:r w:rsidR="005F0256">
        <w:rPr>
          <w:rFonts w:asciiTheme="majorHAnsi" w:hAnsiTheme="majorHAnsi"/>
        </w:rPr>
        <w:t xml:space="preserve">(PNNL) </w:t>
      </w:r>
      <w:r w:rsidR="006E320D">
        <w:rPr>
          <w:rFonts w:asciiTheme="majorHAnsi" w:hAnsiTheme="majorHAnsi"/>
        </w:rPr>
        <w:t xml:space="preserve">has developed a very robust Battery Storage Evaluation Tool (BSET) that characterizes and quantifies severable value attributes of a variety of battery types, ranging from Distributed Generation </w:t>
      </w:r>
      <w:r w:rsidR="005F0256">
        <w:rPr>
          <w:rFonts w:asciiTheme="majorHAnsi" w:hAnsiTheme="majorHAnsi"/>
        </w:rPr>
        <w:t xml:space="preserve">(DG) </w:t>
      </w:r>
      <w:r w:rsidR="006E320D">
        <w:rPr>
          <w:rFonts w:asciiTheme="majorHAnsi" w:hAnsiTheme="majorHAnsi"/>
        </w:rPr>
        <w:t>scale</w:t>
      </w:r>
      <w:r w:rsidR="005F0256">
        <w:rPr>
          <w:rFonts w:asciiTheme="majorHAnsi" w:hAnsiTheme="majorHAnsi"/>
        </w:rPr>
        <w:t xml:space="preserve"> to utility grid scale. An essential next step in enabling utilities to maximize </w:t>
      </w:r>
      <w:r w:rsidR="00BC400A">
        <w:rPr>
          <w:rFonts w:asciiTheme="majorHAnsi" w:hAnsiTheme="majorHAnsi"/>
        </w:rPr>
        <w:t>ESS</w:t>
      </w:r>
      <w:r w:rsidR="005F0256">
        <w:rPr>
          <w:rFonts w:asciiTheme="majorHAnsi" w:hAnsiTheme="majorHAnsi"/>
        </w:rPr>
        <w:t xml:space="preserve"> value streams will be the development of dispatch control systems that can optimize battery performance in actual operational timeframes.</w:t>
      </w:r>
    </w:p>
    <w:p w14:paraId="1381889D" w14:textId="787515CA" w:rsidR="00CF3F82" w:rsidRPr="009B6C94" w:rsidRDefault="009B6C94" w:rsidP="009B6C94">
      <w:pPr>
        <w:ind w:left="720" w:right="1080"/>
        <w:rPr>
          <w:rFonts w:asciiTheme="majorHAnsi" w:hAnsiTheme="majorHAnsi"/>
          <w:b/>
        </w:rPr>
      </w:pPr>
      <w:r w:rsidRPr="009B6C94">
        <w:rPr>
          <w:rFonts w:asciiTheme="majorHAnsi" w:hAnsiTheme="majorHAnsi"/>
          <w:b/>
        </w:rPr>
        <w:t>Western Grid Group recommends that Washington</w:t>
      </w:r>
      <w:r w:rsidR="00823F0E" w:rsidRPr="009B6C94">
        <w:rPr>
          <w:rFonts w:asciiTheme="majorHAnsi" w:hAnsiTheme="majorHAnsi"/>
          <w:b/>
        </w:rPr>
        <w:t xml:space="preserve"> utilities should utilize </w:t>
      </w:r>
      <w:r w:rsidR="00823F0E" w:rsidRPr="006B5AD2">
        <w:rPr>
          <w:rFonts w:asciiTheme="majorHAnsi" w:hAnsiTheme="majorHAnsi"/>
          <w:b/>
        </w:rPr>
        <w:t xml:space="preserve">common </w:t>
      </w:r>
      <w:r w:rsidR="006B5AD2" w:rsidRPr="006B5AD2">
        <w:rPr>
          <w:rFonts w:asciiTheme="majorHAnsi" w:hAnsiTheme="majorHAnsi"/>
          <w:b/>
          <w:szCs w:val="24"/>
        </w:rPr>
        <w:t>ESS</w:t>
      </w:r>
      <w:r w:rsidR="006B5AD2" w:rsidRPr="006B5AD2">
        <w:rPr>
          <w:rFonts w:asciiTheme="majorHAnsi" w:hAnsiTheme="majorHAnsi"/>
          <w:b/>
        </w:rPr>
        <w:t xml:space="preserve"> </w:t>
      </w:r>
      <w:r w:rsidR="00CF3F82" w:rsidRPr="009B6C94">
        <w:rPr>
          <w:rFonts w:asciiTheme="majorHAnsi" w:hAnsiTheme="majorHAnsi"/>
          <w:b/>
        </w:rPr>
        <w:t xml:space="preserve">cost-benefit datasets </w:t>
      </w:r>
      <w:r w:rsidR="00823F0E" w:rsidRPr="009B6C94">
        <w:rPr>
          <w:rFonts w:asciiTheme="majorHAnsi" w:hAnsiTheme="majorHAnsi"/>
          <w:b/>
        </w:rPr>
        <w:t xml:space="preserve">and </w:t>
      </w:r>
      <w:r w:rsidRPr="009B6C94">
        <w:rPr>
          <w:rFonts w:asciiTheme="majorHAnsi" w:hAnsiTheme="majorHAnsi"/>
          <w:b/>
        </w:rPr>
        <w:t xml:space="preserve">uniform </w:t>
      </w:r>
      <w:r w:rsidR="00823F0E" w:rsidRPr="009B6C94">
        <w:rPr>
          <w:rFonts w:asciiTheme="majorHAnsi" w:hAnsiTheme="majorHAnsi"/>
          <w:b/>
        </w:rPr>
        <w:t xml:space="preserve">modeling practices as guided by the UTC, rather than working in isolation with disparate models and assumptions. Datasets should </w:t>
      </w:r>
      <w:r w:rsidRPr="009B6C94">
        <w:rPr>
          <w:rFonts w:asciiTheme="majorHAnsi" w:hAnsiTheme="majorHAnsi"/>
          <w:b/>
        </w:rPr>
        <w:t>contain the most</w:t>
      </w:r>
      <w:r w:rsidR="00823F0E" w:rsidRPr="009B6C94">
        <w:rPr>
          <w:rFonts w:asciiTheme="majorHAnsi" w:hAnsiTheme="majorHAnsi"/>
          <w:b/>
        </w:rPr>
        <w:t xml:space="preserve"> current</w:t>
      </w:r>
      <w:r w:rsidRPr="009B6C94">
        <w:rPr>
          <w:rFonts w:asciiTheme="majorHAnsi" w:hAnsiTheme="majorHAnsi"/>
          <w:b/>
        </w:rPr>
        <w:t xml:space="preserve"> information available</w:t>
      </w:r>
      <w:r w:rsidR="00823F0E" w:rsidRPr="009B6C94">
        <w:rPr>
          <w:rFonts w:asciiTheme="majorHAnsi" w:hAnsiTheme="majorHAnsi"/>
          <w:b/>
        </w:rPr>
        <w:t>.</w:t>
      </w:r>
    </w:p>
    <w:p w14:paraId="641499B2" w14:textId="77777777" w:rsidR="00DE2957" w:rsidRDefault="000000A4" w:rsidP="00BC400A">
      <w:pPr>
        <w:ind w:firstLine="720"/>
        <w:rPr>
          <w:rFonts w:asciiTheme="majorHAnsi" w:hAnsiTheme="majorHAnsi"/>
        </w:rPr>
      </w:pPr>
      <w:r>
        <w:rPr>
          <w:rFonts w:asciiTheme="majorHAnsi" w:hAnsiTheme="majorHAnsi"/>
        </w:rPr>
        <w:t>A key challenge becomes identifying and/or taking a role in advising the devel</w:t>
      </w:r>
      <w:r w:rsidR="00DE2957">
        <w:rPr>
          <w:rFonts w:asciiTheme="majorHAnsi" w:hAnsiTheme="majorHAnsi"/>
        </w:rPr>
        <w:t xml:space="preserve">opment of such common resources. </w:t>
      </w:r>
    </w:p>
    <w:p w14:paraId="5AFE2657" w14:textId="0559216D" w:rsidR="005F0256" w:rsidRDefault="00C916CD" w:rsidP="00BC400A">
      <w:pPr>
        <w:ind w:firstLine="720"/>
        <w:rPr>
          <w:rFonts w:asciiTheme="majorHAnsi" w:hAnsiTheme="majorHAnsi"/>
        </w:rPr>
      </w:pPr>
      <w:r>
        <w:rPr>
          <w:rFonts w:asciiTheme="majorHAnsi" w:hAnsiTheme="majorHAnsi"/>
        </w:rPr>
        <w:t>Western Grid Group is</w:t>
      </w:r>
      <w:r w:rsidR="000000A4">
        <w:rPr>
          <w:rFonts w:asciiTheme="majorHAnsi" w:hAnsiTheme="majorHAnsi"/>
        </w:rPr>
        <w:t xml:space="preserve"> active in several key committees of the Western Electricity Coordinating Council (WECC), including the Scenario Planning Steering Group (SPSG), the </w:t>
      </w:r>
      <w:r w:rsidR="000000A4" w:rsidRPr="000000A4">
        <w:rPr>
          <w:rFonts w:asciiTheme="majorHAnsi" w:hAnsiTheme="majorHAnsi"/>
        </w:rPr>
        <w:t>Transmission Expansion Planning Policy Committee</w:t>
      </w:r>
      <w:r w:rsidR="000000A4">
        <w:rPr>
          <w:rFonts w:asciiTheme="majorHAnsi" w:hAnsiTheme="majorHAnsi"/>
        </w:rPr>
        <w:t xml:space="preserve"> (TEPPC), and TEPPC’s Technical Advisory Subcommittee (TAS) working groups. We work to advise and inform various WEC</w:t>
      </w:r>
      <w:r w:rsidR="00F52185">
        <w:rPr>
          <w:rFonts w:asciiTheme="majorHAnsi" w:hAnsiTheme="majorHAnsi"/>
        </w:rPr>
        <w:t>C study committee efforts. O</w:t>
      </w:r>
      <w:r w:rsidR="000000A4">
        <w:rPr>
          <w:rFonts w:asciiTheme="majorHAnsi" w:hAnsiTheme="majorHAnsi"/>
        </w:rPr>
        <w:t>ne of our current requests to the Chair of WECC’s SPSG</w:t>
      </w:r>
      <w:r w:rsidR="00F52185">
        <w:rPr>
          <w:rFonts w:asciiTheme="majorHAnsi" w:hAnsiTheme="majorHAnsi"/>
        </w:rPr>
        <w:t xml:space="preserve"> is to undertake an effort starting in early 2016 to develop robust datasets for a variety of ESS technologies.</w:t>
      </w:r>
      <w:r w:rsidR="00BC400A">
        <w:rPr>
          <w:rFonts w:asciiTheme="majorHAnsi" w:hAnsiTheme="majorHAnsi"/>
        </w:rPr>
        <w:t xml:space="preserve"> WGG will be pleased to coordinate with and provide updates to WUTC staff on these matters.</w:t>
      </w:r>
    </w:p>
    <w:p w14:paraId="60289D2A" w14:textId="11224F12" w:rsidR="00462C66" w:rsidRDefault="00462C66" w:rsidP="00462C66">
      <w:pPr>
        <w:ind w:firstLine="720"/>
        <w:rPr>
          <w:rFonts w:asciiTheme="majorHAnsi" w:hAnsiTheme="majorHAnsi"/>
        </w:rPr>
      </w:pPr>
      <w:r>
        <w:rPr>
          <w:rFonts w:asciiTheme="majorHAnsi" w:hAnsiTheme="majorHAnsi"/>
        </w:rPr>
        <w:t>In its August 7</w:t>
      </w:r>
      <w:r w:rsidRPr="00462C66">
        <w:rPr>
          <w:rFonts w:asciiTheme="majorHAnsi" w:hAnsiTheme="majorHAnsi"/>
          <w:vertAlign w:val="superscript"/>
        </w:rPr>
        <w:t>th</w:t>
      </w:r>
      <w:r>
        <w:rPr>
          <w:rFonts w:asciiTheme="majorHAnsi" w:hAnsiTheme="majorHAnsi"/>
        </w:rPr>
        <w:t xml:space="preserve"> Notice of Opportunity to Provide Written Comments on this matter, the WUTC posed a question as to whether it would </w:t>
      </w:r>
      <w:r w:rsidRPr="00462C66">
        <w:rPr>
          <w:rFonts w:asciiTheme="majorHAnsi" w:hAnsiTheme="majorHAnsi"/>
        </w:rPr>
        <w:t>be appropriate for Washington to use rates for ancillary services in organized electricity markets as a proxy for valuing the ancillary benefits of energy storage in Washington</w:t>
      </w:r>
      <w:r>
        <w:rPr>
          <w:rFonts w:asciiTheme="majorHAnsi" w:hAnsiTheme="majorHAnsi"/>
        </w:rPr>
        <w:t>. The staff white paper also recommends that a proxy be created for valuing the reliability services provided by ESS.</w:t>
      </w:r>
    </w:p>
    <w:p w14:paraId="5FCF1B06" w14:textId="05A0B645" w:rsidR="006E6DA0" w:rsidRPr="006E6DA0" w:rsidRDefault="006E6DA0" w:rsidP="006E6DA0">
      <w:pPr>
        <w:ind w:left="720" w:right="1080"/>
        <w:rPr>
          <w:rFonts w:asciiTheme="majorHAnsi" w:hAnsiTheme="majorHAnsi"/>
          <w:b/>
        </w:rPr>
      </w:pPr>
      <w:r>
        <w:rPr>
          <w:rFonts w:asciiTheme="majorHAnsi" w:hAnsiTheme="majorHAnsi"/>
          <w:b/>
        </w:rPr>
        <w:t xml:space="preserve">Western Grid Group strongly supports the concept of developing a proxy value for ancillary services available from ESS, and incorporating such value in IRP processes so that least cost models will </w:t>
      </w:r>
      <w:r w:rsidR="00F93C1C">
        <w:rPr>
          <w:rFonts w:asciiTheme="majorHAnsi" w:hAnsiTheme="majorHAnsi"/>
          <w:b/>
        </w:rPr>
        <w:t xml:space="preserve">more </w:t>
      </w:r>
      <w:r w:rsidR="00CA7241">
        <w:rPr>
          <w:rFonts w:asciiTheme="majorHAnsi" w:hAnsiTheme="majorHAnsi"/>
          <w:b/>
        </w:rPr>
        <w:t>fairly</w:t>
      </w:r>
      <w:r>
        <w:rPr>
          <w:rFonts w:asciiTheme="majorHAnsi" w:hAnsiTheme="majorHAnsi"/>
          <w:b/>
        </w:rPr>
        <w:t xml:space="preserve"> select ESS alternatives.</w:t>
      </w:r>
      <w:r w:rsidR="00A72437">
        <w:rPr>
          <w:rFonts w:asciiTheme="majorHAnsi" w:hAnsiTheme="majorHAnsi"/>
          <w:b/>
        </w:rPr>
        <w:t xml:space="preserve"> Moreover, there are existing models for such efforts.</w:t>
      </w:r>
    </w:p>
    <w:p w14:paraId="47D1EB9E" w14:textId="5B3C8708" w:rsidR="00462C66" w:rsidRDefault="00462C66" w:rsidP="00462C66">
      <w:pPr>
        <w:ind w:firstLine="720"/>
        <w:rPr>
          <w:rFonts w:asciiTheme="majorHAnsi" w:hAnsiTheme="majorHAnsi"/>
        </w:rPr>
      </w:pPr>
      <w:r>
        <w:rPr>
          <w:rFonts w:asciiTheme="majorHAnsi" w:hAnsiTheme="majorHAnsi"/>
        </w:rPr>
        <w:t>Some</w:t>
      </w:r>
      <w:r w:rsidR="00567D59">
        <w:rPr>
          <w:rFonts w:asciiTheme="majorHAnsi" w:hAnsiTheme="majorHAnsi"/>
        </w:rPr>
        <w:t xml:space="preserve"> relevant example</w:t>
      </w:r>
      <w:r>
        <w:rPr>
          <w:rFonts w:asciiTheme="majorHAnsi" w:hAnsiTheme="majorHAnsi"/>
        </w:rPr>
        <w:t>s exist</w:t>
      </w:r>
      <w:r w:rsidR="00567D59">
        <w:rPr>
          <w:rFonts w:asciiTheme="majorHAnsi" w:hAnsiTheme="majorHAnsi"/>
        </w:rPr>
        <w:t xml:space="preserve"> in the body of literature regarding the value of Concentrating Solar Power (C</w:t>
      </w:r>
      <w:r>
        <w:rPr>
          <w:rFonts w:asciiTheme="majorHAnsi" w:hAnsiTheme="majorHAnsi"/>
        </w:rPr>
        <w:t>SP) with Thermal Energy Storage</w:t>
      </w:r>
      <w:r w:rsidR="00567D59">
        <w:rPr>
          <w:rFonts w:asciiTheme="majorHAnsi" w:hAnsiTheme="majorHAnsi"/>
        </w:rPr>
        <w:t xml:space="preserve"> (TES) systems. </w:t>
      </w:r>
      <w:r>
        <w:rPr>
          <w:rFonts w:asciiTheme="majorHAnsi" w:hAnsiTheme="majorHAnsi"/>
        </w:rPr>
        <w:t xml:space="preserve">While CSP </w:t>
      </w:r>
      <w:r w:rsidR="002D1E56">
        <w:rPr>
          <w:rFonts w:asciiTheme="majorHAnsi" w:hAnsiTheme="majorHAnsi"/>
        </w:rPr>
        <w:t>is not a technology suitable for the solar regime in Washington State, several investigators have worked to quantify the value of the ancillary services available by utilizing TES systems, which are dispatchable. In 201</w:t>
      </w:r>
      <w:r w:rsidR="002F0A49">
        <w:rPr>
          <w:rFonts w:asciiTheme="majorHAnsi" w:hAnsiTheme="majorHAnsi"/>
        </w:rPr>
        <w:t>1</w:t>
      </w:r>
      <w:r w:rsidR="002D1E56">
        <w:rPr>
          <w:rFonts w:asciiTheme="majorHAnsi" w:hAnsiTheme="majorHAnsi"/>
        </w:rPr>
        <w:t>, NREL investigator Paul Denholm and colleagues published results of their work</w:t>
      </w:r>
      <w:r w:rsidR="00DC6B78">
        <w:rPr>
          <w:rStyle w:val="FootnoteReference"/>
          <w:rFonts w:asciiTheme="majorHAnsi" w:hAnsiTheme="majorHAnsi"/>
        </w:rPr>
        <w:footnoteReference w:id="3"/>
      </w:r>
      <w:r w:rsidR="002D1E56">
        <w:rPr>
          <w:rFonts w:asciiTheme="majorHAnsi" w:hAnsiTheme="majorHAnsi"/>
        </w:rPr>
        <w:t xml:space="preserve"> in optimizing multiple revenue streams that could be realized by CSP/TES plants by selling output and services into energy, capacity, and ancillary service contr</w:t>
      </w:r>
      <w:r w:rsidR="00DC6B78">
        <w:rPr>
          <w:rFonts w:asciiTheme="majorHAnsi" w:hAnsiTheme="majorHAnsi"/>
        </w:rPr>
        <w:t xml:space="preserve">acts rather than a single </w:t>
      </w:r>
      <w:r w:rsidR="002F0A49">
        <w:rPr>
          <w:rFonts w:asciiTheme="majorHAnsi" w:hAnsiTheme="majorHAnsi"/>
        </w:rPr>
        <w:t xml:space="preserve">power </w:t>
      </w:r>
      <w:r w:rsidR="00DC6B78">
        <w:rPr>
          <w:rFonts w:asciiTheme="majorHAnsi" w:hAnsiTheme="majorHAnsi"/>
        </w:rPr>
        <w:t xml:space="preserve">purchase agreement (PPA) for energy only. One of the breakthrough </w:t>
      </w:r>
      <w:r w:rsidR="000B327A">
        <w:rPr>
          <w:rFonts w:asciiTheme="majorHAnsi" w:hAnsiTheme="majorHAnsi"/>
        </w:rPr>
        <w:t xml:space="preserve">observations from the Denholm work is that CSP/TES plants could earn significantly higher revenues by selling into multiple procurement frameworks, and at less cost than selling </w:t>
      </w:r>
      <w:r w:rsidR="001C7D51">
        <w:rPr>
          <w:rFonts w:asciiTheme="majorHAnsi" w:hAnsiTheme="majorHAnsi"/>
        </w:rPr>
        <w:t>under</w:t>
      </w:r>
      <w:r w:rsidR="000B327A">
        <w:rPr>
          <w:rFonts w:asciiTheme="majorHAnsi" w:hAnsiTheme="majorHAnsi"/>
        </w:rPr>
        <w:t xml:space="preserve"> an energy-only contract. The reduced cost </w:t>
      </w:r>
      <w:r w:rsidR="002F0A49">
        <w:rPr>
          <w:rFonts w:asciiTheme="majorHAnsi" w:hAnsiTheme="majorHAnsi"/>
        </w:rPr>
        <w:t>occur</w:t>
      </w:r>
      <w:r w:rsidR="000B327A">
        <w:rPr>
          <w:rFonts w:asciiTheme="majorHAnsi" w:hAnsiTheme="majorHAnsi"/>
        </w:rPr>
        <w:t>s beca</w:t>
      </w:r>
      <w:r w:rsidR="002F0A49">
        <w:rPr>
          <w:rFonts w:asciiTheme="majorHAnsi" w:hAnsiTheme="majorHAnsi"/>
        </w:rPr>
        <w:t>use the multiple-revenue-stream-</w:t>
      </w:r>
      <w:r w:rsidR="000B327A">
        <w:rPr>
          <w:rFonts w:asciiTheme="majorHAnsi" w:hAnsiTheme="majorHAnsi"/>
        </w:rPr>
        <w:t>option results in much more use of the plant’s output d</w:t>
      </w:r>
      <w:r w:rsidR="002F0A49">
        <w:rPr>
          <w:rFonts w:asciiTheme="majorHAnsi" w:hAnsiTheme="majorHAnsi"/>
        </w:rPr>
        <w:t xml:space="preserve">uring solar hours and far less production during non-daylight hours, resulting in less need for capital intense storage equipment. </w:t>
      </w:r>
    </w:p>
    <w:p w14:paraId="22FEA4FC" w14:textId="1279E891" w:rsidR="002F0A49" w:rsidRDefault="002F0A49" w:rsidP="00462C66">
      <w:pPr>
        <w:ind w:firstLine="720"/>
        <w:rPr>
          <w:rFonts w:asciiTheme="majorHAnsi" w:hAnsiTheme="majorHAnsi"/>
        </w:rPr>
      </w:pPr>
      <w:r>
        <w:rPr>
          <w:rFonts w:asciiTheme="majorHAnsi" w:hAnsiTheme="majorHAnsi"/>
        </w:rPr>
        <w:t>However, most relevant to the question posed by the UTC, is that the Denholm work demonstrated that the use of a production cost model in tandem with a Mixed Integer Program (MIP) model, allowed the investigators to optimize energy, capacity, and ancillary service revenue streams based on empirical Market Clearing Prices in the CAISO, and create a dispatch protocol that could be utilized in day ahead and hour ahead markets.</w:t>
      </w:r>
    </w:p>
    <w:p w14:paraId="56B5AB4F" w14:textId="426D661E" w:rsidR="002F0A49" w:rsidRPr="00F93C1C" w:rsidRDefault="002F0A49" w:rsidP="00462C66">
      <w:pPr>
        <w:ind w:firstLine="720"/>
        <w:rPr>
          <w:rFonts w:asciiTheme="majorHAnsi" w:hAnsiTheme="majorHAnsi"/>
          <w:sz w:val="24"/>
          <w:szCs w:val="26"/>
        </w:rPr>
      </w:pPr>
      <w:r>
        <w:rPr>
          <w:rFonts w:asciiTheme="majorHAnsi" w:hAnsiTheme="majorHAnsi"/>
        </w:rPr>
        <w:t xml:space="preserve">This work is not dissimilar to the method used by PNNL in the development of BSET. </w:t>
      </w:r>
      <w:r w:rsidRPr="00F93C1C">
        <w:rPr>
          <w:rFonts w:asciiTheme="majorHAnsi" w:hAnsiTheme="majorHAnsi"/>
          <w:i/>
          <w:sz w:val="24"/>
          <w:szCs w:val="26"/>
        </w:rPr>
        <w:t>Further, it demonstrates that this approach can be utilized for other types of storage beyond batteries. It also provides an example of creating a proxy for planning purposes, based upon an organized market.</w:t>
      </w:r>
    </w:p>
    <w:p w14:paraId="4CD28BB5" w14:textId="648806BE" w:rsidR="00D3122F" w:rsidRDefault="00D3122F" w:rsidP="00462C66">
      <w:pPr>
        <w:ind w:firstLine="720"/>
        <w:rPr>
          <w:rFonts w:asciiTheme="majorHAnsi" w:hAnsiTheme="majorHAnsi"/>
        </w:rPr>
      </w:pPr>
      <w:r>
        <w:rPr>
          <w:rFonts w:asciiTheme="majorHAnsi" w:hAnsiTheme="majorHAnsi"/>
        </w:rPr>
        <w:t xml:space="preserve">Other investigators have undertaken similar efforts </w:t>
      </w:r>
      <w:r w:rsidR="000457A0">
        <w:rPr>
          <w:rFonts w:asciiTheme="majorHAnsi" w:hAnsiTheme="majorHAnsi"/>
        </w:rPr>
        <w:t>to quantify the value of storage associated with CSP plants in an effort to quantify and assign benefit to the avoided costs of having to provide grid services through other means. Both NREL and the CSP Alliance have also published works in this area</w:t>
      </w:r>
      <w:r w:rsidR="000457A0">
        <w:rPr>
          <w:rStyle w:val="FootnoteReference"/>
          <w:rFonts w:asciiTheme="majorHAnsi" w:hAnsiTheme="majorHAnsi"/>
        </w:rPr>
        <w:footnoteReference w:id="4"/>
      </w:r>
      <w:r w:rsidR="000457A0">
        <w:rPr>
          <w:rFonts w:asciiTheme="majorHAnsi" w:hAnsiTheme="majorHAnsi"/>
        </w:rPr>
        <w:t>.</w:t>
      </w:r>
    </w:p>
    <w:p w14:paraId="0A2DF414" w14:textId="535360EA" w:rsidR="00D854C3" w:rsidRDefault="009A50BC" w:rsidP="00462C66">
      <w:pPr>
        <w:ind w:firstLine="720"/>
        <w:rPr>
          <w:rFonts w:asciiTheme="majorHAnsi" w:hAnsiTheme="majorHAnsi"/>
        </w:rPr>
      </w:pPr>
      <w:r>
        <w:rPr>
          <w:rFonts w:asciiTheme="majorHAnsi" w:hAnsiTheme="majorHAnsi"/>
        </w:rPr>
        <w:t xml:space="preserve">We cite one final example that utilized empirical market clearing prices for energy and ancillary service prices in the ERCOT </w:t>
      </w:r>
      <w:r w:rsidR="003057BF">
        <w:rPr>
          <w:rFonts w:asciiTheme="majorHAnsi" w:hAnsiTheme="majorHAnsi"/>
        </w:rPr>
        <w:t xml:space="preserve">market. In 2013/14, Spanish engineering and technology company Abengoa Solar also explored the additional value that dispatchable CSP/TES plants could provide in Texas. </w:t>
      </w:r>
      <w:r w:rsidR="00844B91">
        <w:rPr>
          <w:rFonts w:asciiTheme="majorHAnsi" w:hAnsiTheme="majorHAnsi"/>
        </w:rPr>
        <w:t>The team utilized</w:t>
      </w:r>
      <w:r w:rsidR="003057BF">
        <w:rPr>
          <w:rFonts w:asciiTheme="majorHAnsi" w:hAnsiTheme="majorHAnsi"/>
        </w:rPr>
        <w:t xml:space="preserve"> their own proprietary MS Sim (a production cost model developed specifically for molten salt power towers) in tandem with an MIP model for their evaluation. The investigators “back-casted” market clearing prices for energy, responsive reserves, non-spinning reserves, regulation-up, and regulation-down services. The MIP model allowed them to optimize revenues on the basis of 2011 and 2012 clearing prices (2011 prices were a high “bookend” year due to scarcity pricing and weather extremes, while 2012 was a historically low bookend year). Again, the results demonstrated that greater revenues could be achieved, and that an optimized dispatch schedule for day ahead and hour </w:t>
      </w:r>
      <w:proofErr w:type="gramStart"/>
      <w:r w:rsidR="003057BF">
        <w:rPr>
          <w:rFonts w:asciiTheme="majorHAnsi" w:hAnsiTheme="majorHAnsi"/>
        </w:rPr>
        <w:t>ahead</w:t>
      </w:r>
      <w:proofErr w:type="gramEnd"/>
      <w:r w:rsidR="003057BF">
        <w:rPr>
          <w:rFonts w:asciiTheme="majorHAnsi" w:hAnsiTheme="majorHAnsi"/>
        </w:rPr>
        <w:t xml:space="preserve"> markets could be developed</w:t>
      </w:r>
      <w:r w:rsidR="00781F30">
        <w:rPr>
          <w:rFonts w:asciiTheme="majorHAnsi" w:hAnsiTheme="majorHAnsi"/>
        </w:rPr>
        <w:t xml:space="preserve"> to achieve optimized plant performance</w:t>
      </w:r>
      <w:r w:rsidR="003057BF">
        <w:rPr>
          <w:rFonts w:asciiTheme="majorHAnsi" w:hAnsiTheme="majorHAnsi"/>
        </w:rPr>
        <w:t>.</w:t>
      </w:r>
    </w:p>
    <w:p w14:paraId="68C19188" w14:textId="6AFE511E" w:rsidR="00E06859" w:rsidRDefault="00E06859" w:rsidP="00462C66">
      <w:pPr>
        <w:ind w:firstLine="720"/>
        <w:rPr>
          <w:rFonts w:asciiTheme="majorHAnsi" w:hAnsiTheme="majorHAnsi"/>
        </w:rPr>
      </w:pPr>
      <w:r>
        <w:rPr>
          <w:rFonts w:asciiTheme="majorHAnsi" w:hAnsiTheme="majorHAnsi"/>
        </w:rPr>
        <w:t xml:space="preserve">These examples provide some optimism for the possibility of </w:t>
      </w:r>
      <w:r w:rsidR="007F0363">
        <w:rPr>
          <w:rFonts w:asciiTheme="majorHAnsi" w:hAnsiTheme="majorHAnsi"/>
        </w:rPr>
        <w:t xml:space="preserve">a </w:t>
      </w:r>
      <w:r>
        <w:rPr>
          <w:rFonts w:asciiTheme="majorHAnsi" w:hAnsiTheme="majorHAnsi"/>
        </w:rPr>
        <w:t>valuation methodology for ESS grid services. However, they create some questions. Which organized market(s) could create a reasonable proxy for Washington State? ERCOT pricing is far more similar to that of Washington’s regulated utilities than CAISO pricing. But local climate and system topology (primary generating resources, reserve margins, system inertia constraints, etc.) may differ greatly.</w:t>
      </w:r>
    </w:p>
    <w:p w14:paraId="6C327824" w14:textId="41C6C4C3" w:rsidR="00E06859" w:rsidRDefault="00E06859" w:rsidP="00E06859">
      <w:pPr>
        <w:ind w:left="720" w:right="1080"/>
        <w:rPr>
          <w:rFonts w:asciiTheme="majorHAnsi" w:hAnsiTheme="majorHAnsi"/>
        </w:rPr>
      </w:pPr>
      <w:r>
        <w:rPr>
          <w:rFonts w:asciiTheme="majorHAnsi" w:hAnsiTheme="majorHAnsi"/>
          <w:b/>
        </w:rPr>
        <w:t>Western Grid Group would urge that WUTC staff conduct benchmarking analysis to find, either (a) which organized markets in the U.S. might serve as the best proxy for establishing the value of ESS-based ancillary services, and/or (b) other valuation methodologies that may be less dependent on clearing prices in particular markets.</w:t>
      </w:r>
    </w:p>
    <w:p w14:paraId="01774B54" w14:textId="60972C8A" w:rsidR="00E06859" w:rsidRDefault="00906288" w:rsidP="00906288">
      <w:pPr>
        <w:rPr>
          <w:rFonts w:asciiTheme="majorHAnsi" w:hAnsiTheme="majorHAnsi"/>
        </w:rPr>
      </w:pPr>
      <w:r>
        <w:rPr>
          <w:rFonts w:asciiTheme="majorHAnsi" w:hAnsiTheme="majorHAnsi"/>
        </w:rPr>
        <w:tab/>
        <w:t xml:space="preserve">We also note that the majority of effort undertaken by both the WUTC and Washington’s utilities to date has centered </w:t>
      </w:r>
      <w:r w:rsidR="0072785F">
        <w:rPr>
          <w:rFonts w:asciiTheme="majorHAnsi" w:hAnsiTheme="majorHAnsi"/>
        </w:rPr>
        <w:t>on</w:t>
      </w:r>
      <w:r>
        <w:rPr>
          <w:rFonts w:asciiTheme="majorHAnsi" w:hAnsiTheme="majorHAnsi"/>
        </w:rPr>
        <w:t xml:space="preserve"> battery storage. Understanding that pumped hydro and battery storage are the prominent storage technologies in use currently, other technologies such as Compressed Air Energy Storage (CAES)</w:t>
      </w:r>
      <w:r w:rsidR="0072785F">
        <w:rPr>
          <w:rFonts w:asciiTheme="majorHAnsi" w:hAnsiTheme="majorHAnsi"/>
        </w:rPr>
        <w:t>, Liquid Air Energy Storage (LAES)</w:t>
      </w:r>
      <w:r w:rsidR="0072785F">
        <w:rPr>
          <w:rStyle w:val="FootnoteReference"/>
          <w:rFonts w:asciiTheme="majorHAnsi" w:hAnsiTheme="majorHAnsi"/>
        </w:rPr>
        <w:footnoteReference w:id="5"/>
      </w:r>
      <w:r w:rsidR="0072785F">
        <w:rPr>
          <w:rFonts w:asciiTheme="majorHAnsi" w:hAnsiTheme="majorHAnsi"/>
        </w:rPr>
        <w:t xml:space="preserve">, kinetic energy storage, flywheels, and many other forms of ESS are in development and demonstration stages. The proxy valuation under consideration by the WUTC could shape confidence about the viability of such technologies and further their growth. Further, </w:t>
      </w:r>
      <w:r w:rsidR="00AE44A0">
        <w:rPr>
          <w:rFonts w:asciiTheme="majorHAnsi" w:hAnsiTheme="majorHAnsi"/>
        </w:rPr>
        <w:t>we believe that it is valuable for Washington utilities to be well informed about emerging technologies that may have great value in future resource plans.</w:t>
      </w:r>
    </w:p>
    <w:p w14:paraId="32E399FC" w14:textId="02D71FB9" w:rsidR="00AE44A0" w:rsidRPr="00AE44A0" w:rsidRDefault="00AE44A0" w:rsidP="00AE44A0">
      <w:pPr>
        <w:ind w:left="720" w:right="1080"/>
        <w:rPr>
          <w:rFonts w:asciiTheme="majorHAnsi" w:hAnsiTheme="majorHAnsi"/>
          <w:b/>
        </w:rPr>
      </w:pPr>
      <w:r>
        <w:rPr>
          <w:rFonts w:asciiTheme="majorHAnsi" w:hAnsiTheme="majorHAnsi"/>
          <w:b/>
        </w:rPr>
        <w:t>Western Grid Group urges the WUTC to convene a 2016 workshop aimed at updating utility staff and interested stakeholders on the status of developing ESS technologies.</w:t>
      </w:r>
    </w:p>
    <w:p w14:paraId="33EE8451" w14:textId="3907EAFB" w:rsidR="00AE44A0" w:rsidRPr="00AE44A0" w:rsidRDefault="00AE44A0" w:rsidP="00AE44A0">
      <w:pPr>
        <w:rPr>
          <w:rFonts w:asciiTheme="majorHAnsi" w:hAnsiTheme="majorHAnsi" w:cs="Times New Roman"/>
          <w:szCs w:val="24"/>
        </w:rPr>
      </w:pPr>
      <w:r w:rsidRPr="00AE44A0">
        <w:rPr>
          <w:rFonts w:asciiTheme="majorHAnsi" w:hAnsiTheme="majorHAnsi" w:cs="Times New Roman"/>
          <w:szCs w:val="24"/>
        </w:rPr>
        <w:tab/>
        <w:t xml:space="preserve">In final comments, Western Grid Group again concurs with staff in their observation that new IRP frameworks are needed; frameworks that will enable utility IRP models to </w:t>
      </w:r>
      <w:r w:rsidR="00CA7241">
        <w:rPr>
          <w:rFonts w:asciiTheme="majorHAnsi" w:hAnsiTheme="majorHAnsi" w:cs="Times New Roman"/>
          <w:szCs w:val="24"/>
        </w:rPr>
        <w:t>more fairly</w:t>
      </w:r>
      <w:r w:rsidRPr="00AE44A0">
        <w:rPr>
          <w:rFonts w:asciiTheme="majorHAnsi" w:hAnsiTheme="majorHAnsi" w:cs="Times New Roman"/>
          <w:szCs w:val="24"/>
        </w:rPr>
        <w:t xml:space="preserve"> select ESS and other highly efficient and low-carbon technologies by assigning real value to avoided integration costs.</w:t>
      </w:r>
    </w:p>
    <w:p w14:paraId="671BC83F" w14:textId="62EBFF72" w:rsidR="007F1B2D" w:rsidRPr="00AE44A0" w:rsidRDefault="00AE44A0" w:rsidP="00AE44A0">
      <w:pPr>
        <w:rPr>
          <w:rFonts w:asciiTheme="majorHAnsi" w:hAnsiTheme="majorHAnsi"/>
        </w:rPr>
      </w:pPr>
      <w:r>
        <w:rPr>
          <w:rFonts w:asciiTheme="majorHAnsi" w:hAnsiTheme="majorHAnsi"/>
        </w:rPr>
        <w:tab/>
        <w:t xml:space="preserve">Western Grid Group commends the UTC for elevating the importance of the real value of ESS. </w:t>
      </w:r>
      <w:r w:rsidR="007F1B2D" w:rsidRPr="007F1B2D">
        <w:rPr>
          <w:rFonts w:ascii="Calibri" w:eastAsia="Calibri" w:hAnsi="Calibri" w:cs="Times New Roman"/>
        </w:rPr>
        <w:t>Thank you for the opportunity to provide comments.</w:t>
      </w:r>
    </w:p>
    <w:p w14:paraId="2FDE05E9" w14:textId="77777777" w:rsidR="007F1B2D" w:rsidRPr="007F1B2D" w:rsidRDefault="007F1B2D" w:rsidP="007F1B2D">
      <w:pPr>
        <w:spacing w:line="360" w:lineRule="auto"/>
        <w:rPr>
          <w:rFonts w:ascii="Calibri" w:eastAsia="Calibri" w:hAnsi="Calibri" w:cs="Times New Roman"/>
        </w:rPr>
      </w:pPr>
      <w:r w:rsidRPr="007F1B2D">
        <w:rPr>
          <w:rFonts w:ascii="Calibri" w:eastAsia="Calibri" w:hAnsi="Calibri" w:cs="Times New Roman"/>
        </w:rPr>
        <w:tab/>
        <w:t>RESPECTFULLY SUBMITTED this 2</w:t>
      </w:r>
      <w:r>
        <w:rPr>
          <w:rFonts w:ascii="Calibri" w:eastAsia="Calibri" w:hAnsi="Calibri" w:cs="Times New Roman"/>
        </w:rPr>
        <w:t>5th</w:t>
      </w:r>
      <w:r w:rsidRPr="007F1B2D">
        <w:rPr>
          <w:rFonts w:ascii="Calibri" w:eastAsia="Calibri" w:hAnsi="Calibri" w:cs="Times New Roman"/>
        </w:rPr>
        <w:t xml:space="preserve"> day of </w:t>
      </w:r>
      <w:proofErr w:type="gramStart"/>
      <w:r>
        <w:rPr>
          <w:rFonts w:ascii="Calibri" w:eastAsia="Calibri" w:hAnsi="Calibri" w:cs="Times New Roman"/>
        </w:rPr>
        <w:t>September,</w:t>
      </w:r>
      <w:proofErr w:type="gramEnd"/>
      <w:r w:rsidRPr="007F1B2D">
        <w:rPr>
          <w:rFonts w:ascii="Calibri" w:eastAsia="Calibri" w:hAnsi="Calibri" w:cs="Times New Roman"/>
        </w:rPr>
        <w:t xml:space="preserve"> 2015.</w:t>
      </w:r>
    </w:p>
    <w:p w14:paraId="12B3AD75" w14:textId="77777777" w:rsidR="00AE44A0" w:rsidRDefault="00AE44A0" w:rsidP="007F1B2D">
      <w:pPr>
        <w:spacing w:after="0" w:line="240" w:lineRule="auto"/>
        <w:ind w:left="6120"/>
        <w:rPr>
          <w:rFonts w:ascii="Calibri" w:eastAsia="Calibri" w:hAnsi="Calibri" w:cs="Times New Roman"/>
        </w:rPr>
      </w:pPr>
    </w:p>
    <w:p w14:paraId="12120A58" w14:textId="77777777" w:rsidR="00AE44A0" w:rsidRDefault="00AE44A0" w:rsidP="007F1B2D">
      <w:pPr>
        <w:spacing w:after="0" w:line="240" w:lineRule="auto"/>
        <w:ind w:left="6120"/>
        <w:rPr>
          <w:rFonts w:ascii="Calibri" w:eastAsia="Calibri" w:hAnsi="Calibri" w:cs="Times New Roman"/>
        </w:rPr>
      </w:pPr>
    </w:p>
    <w:p w14:paraId="3EC27D37" w14:textId="77777777" w:rsidR="007F1B2D" w:rsidRPr="007F1B2D" w:rsidRDefault="007F1B2D" w:rsidP="007F1B2D">
      <w:pPr>
        <w:spacing w:after="0" w:line="240" w:lineRule="auto"/>
        <w:ind w:left="6120"/>
        <w:rPr>
          <w:rFonts w:ascii="Calibri" w:eastAsia="Calibri" w:hAnsi="Calibri" w:cs="Times New Roman"/>
        </w:rPr>
      </w:pPr>
      <w:r w:rsidRPr="007F1B2D">
        <w:rPr>
          <w:rFonts w:ascii="Calibri" w:eastAsia="Calibri" w:hAnsi="Calibri" w:cs="Times New Roman"/>
        </w:rPr>
        <w:t>Amanda Ormond</w:t>
      </w:r>
    </w:p>
    <w:p w14:paraId="464A8CE2" w14:textId="77777777" w:rsidR="007F1B2D" w:rsidRPr="007F1B2D" w:rsidRDefault="007F1B2D" w:rsidP="007F1B2D">
      <w:pPr>
        <w:spacing w:after="0" w:line="240" w:lineRule="auto"/>
        <w:ind w:left="6120"/>
        <w:rPr>
          <w:rFonts w:ascii="Calibri" w:eastAsia="Calibri" w:hAnsi="Calibri" w:cs="Times New Roman"/>
        </w:rPr>
      </w:pPr>
      <w:r w:rsidRPr="007F1B2D">
        <w:rPr>
          <w:rFonts w:ascii="Calibri" w:eastAsia="Calibri" w:hAnsi="Calibri" w:cs="Times New Roman"/>
        </w:rPr>
        <w:t>Managing Director</w:t>
      </w:r>
    </w:p>
    <w:p w14:paraId="350B9524" w14:textId="77777777" w:rsidR="007F1B2D" w:rsidRPr="007F1B2D" w:rsidRDefault="007F1B2D" w:rsidP="007F1B2D">
      <w:pPr>
        <w:spacing w:after="0" w:line="240" w:lineRule="auto"/>
        <w:ind w:left="6120"/>
        <w:rPr>
          <w:rFonts w:ascii="Calibri" w:eastAsia="Calibri" w:hAnsi="Calibri" w:cs="Times New Roman"/>
        </w:rPr>
      </w:pPr>
      <w:r w:rsidRPr="007F1B2D">
        <w:rPr>
          <w:rFonts w:ascii="Calibri" w:eastAsia="Calibri" w:hAnsi="Calibri" w:cs="Times New Roman"/>
        </w:rPr>
        <w:t>Western Grid Group</w:t>
      </w:r>
    </w:p>
    <w:p w14:paraId="18655428" w14:textId="77777777" w:rsidR="007F1B2D" w:rsidRP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7650 S. McClintock Drive</w:t>
      </w:r>
    </w:p>
    <w:p w14:paraId="025A405A" w14:textId="77777777" w:rsidR="007F1B2D" w:rsidRPr="007F1B2D" w:rsidRDefault="007F1B2D" w:rsidP="007F1B2D">
      <w:pPr>
        <w:spacing w:after="0" w:line="240" w:lineRule="auto"/>
        <w:ind w:left="6120"/>
        <w:rPr>
          <w:rFonts w:ascii="Calibri" w:eastAsia="Calibri" w:hAnsi="Calibri" w:cs="Times New Roman"/>
        </w:rPr>
      </w:pPr>
      <w:r w:rsidRPr="007F1B2D">
        <w:rPr>
          <w:rFonts w:ascii="Calibri" w:eastAsia="Calibri" w:hAnsi="Calibri" w:cs="Times New Roman"/>
        </w:rPr>
        <w:t>S</w:t>
      </w:r>
      <w:r>
        <w:rPr>
          <w:rFonts w:ascii="Calibri" w:eastAsia="Calibri" w:hAnsi="Calibri" w:cs="Times New Roman"/>
        </w:rPr>
        <w:t>ui</w:t>
      </w:r>
      <w:r w:rsidRPr="007F1B2D">
        <w:rPr>
          <w:rFonts w:ascii="Calibri" w:eastAsia="Calibri" w:hAnsi="Calibri" w:cs="Times New Roman"/>
        </w:rPr>
        <w:t>te 103-282</w:t>
      </w:r>
    </w:p>
    <w:p w14:paraId="5B636A8D" w14:textId="77777777" w:rsidR="007F1B2D" w:rsidRPr="007F1B2D" w:rsidRDefault="007F1B2D" w:rsidP="007F1B2D">
      <w:pPr>
        <w:spacing w:after="0" w:line="240" w:lineRule="auto"/>
        <w:ind w:left="6120"/>
        <w:rPr>
          <w:rFonts w:ascii="Calibri" w:eastAsia="Calibri" w:hAnsi="Calibri" w:cs="Times New Roman"/>
        </w:rPr>
      </w:pPr>
      <w:r w:rsidRPr="007F1B2D">
        <w:rPr>
          <w:rFonts w:ascii="Calibri" w:eastAsia="Calibri" w:hAnsi="Calibri" w:cs="Times New Roman"/>
        </w:rPr>
        <w:t>Tempe, Arizona 85284</w:t>
      </w:r>
    </w:p>
    <w:p w14:paraId="0FFB835C" w14:textId="77777777" w:rsidR="007F1B2D" w:rsidRDefault="007F0363" w:rsidP="007F1B2D">
      <w:pPr>
        <w:spacing w:after="0" w:line="240" w:lineRule="auto"/>
        <w:ind w:left="6120"/>
        <w:rPr>
          <w:rFonts w:ascii="Calibri" w:eastAsia="Calibri" w:hAnsi="Calibri" w:cs="Times New Roman"/>
        </w:rPr>
      </w:pPr>
      <w:hyperlink r:id="rId8" w:history="1">
        <w:r w:rsidR="007F1B2D" w:rsidRPr="000E444D">
          <w:rPr>
            <w:rStyle w:val="Hyperlink"/>
            <w:rFonts w:ascii="Calibri" w:eastAsia="Calibri" w:hAnsi="Calibri" w:cs="Times New Roman"/>
          </w:rPr>
          <w:t>asormond@msn.com</w:t>
        </w:r>
      </w:hyperlink>
    </w:p>
    <w:p w14:paraId="3EEB2CA0" w14:textId="77777777" w:rsidR="007F1B2D" w:rsidRDefault="007F1B2D" w:rsidP="007F1B2D">
      <w:pPr>
        <w:spacing w:after="0" w:line="240" w:lineRule="auto"/>
        <w:ind w:left="6120"/>
        <w:rPr>
          <w:rFonts w:ascii="Calibri" w:eastAsia="Calibri" w:hAnsi="Calibri" w:cs="Times New Roman"/>
        </w:rPr>
      </w:pPr>
    </w:p>
    <w:p w14:paraId="5F1BC58C" w14:textId="77777777" w:rsidR="007F1B2D" w:rsidRDefault="007F1B2D" w:rsidP="007F1B2D">
      <w:pPr>
        <w:spacing w:after="0" w:line="240" w:lineRule="auto"/>
        <w:ind w:left="6120"/>
        <w:rPr>
          <w:rFonts w:ascii="Calibri" w:eastAsia="Calibri" w:hAnsi="Calibri" w:cs="Times New Roman"/>
        </w:rPr>
      </w:pPr>
    </w:p>
    <w:p w14:paraId="47767A61" w14:textId="77777777" w:rsid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Kate Maracas</w:t>
      </w:r>
    </w:p>
    <w:p w14:paraId="2741B202" w14:textId="77777777" w:rsid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Pacific Northwest Region</w:t>
      </w:r>
    </w:p>
    <w:p w14:paraId="1E56B73E" w14:textId="77777777" w:rsid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Western Grid Group</w:t>
      </w:r>
    </w:p>
    <w:p w14:paraId="7FC0880E" w14:textId="77777777" w:rsid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7730 78</w:t>
      </w:r>
      <w:r w:rsidRPr="007F1B2D">
        <w:rPr>
          <w:rFonts w:ascii="Calibri" w:eastAsia="Calibri" w:hAnsi="Calibri" w:cs="Times New Roman"/>
          <w:vertAlign w:val="superscript"/>
        </w:rPr>
        <w:t>th</w:t>
      </w:r>
      <w:r>
        <w:rPr>
          <w:rFonts w:ascii="Calibri" w:eastAsia="Calibri" w:hAnsi="Calibri" w:cs="Times New Roman"/>
        </w:rPr>
        <w:t xml:space="preserve"> Loop NW</w:t>
      </w:r>
    </w:p>
    <w:p w14:paraId="18308CAE" w14:textId="77777777" w:rsidR="007F1B2D" w:rsidRDefault="007F1B2D" w:rsidP="007F1B2D">
      <w:pPr>
        <w:spacing w:after="0" w:line="240" w:lineRule="auto"/>
        <w:ind w:left="6120"/>
        <w:rPr>
          <w:rFonts w:ascii="Calibri" w:eastAsia="Calibri" w:hAnsi="Calibri" w:cs="Times New Roman"/>
        </w:rPr>
      </w:pPr>
      <w:r>
        <w:rPr>
          <w:rFonts w:ascii="Calibri" w:eastAsia="Calibri" w:hAnsi="Calibri" w:cs="Times New Roman"/>
        </w:rPr>
        <w:t>Olympia, WA 98502</w:t>
      </w:r>
    </w:p>
    <w:p w14:paraId="1991B1FA" w14:textId="77777777" w:rsidR="007F1B2D" w:rsidRDefault="007F0363" w:rsidP="007F1B2D">
      <w:pPr>
        <w:spacing w:after="0" w:line="240" w:lineRule="auto"/>
        <w:ind w:left="6120"/>
        <w:rPr>
          <w:rFonts w:ascii="Calibri" w:eastAsia="Calibri" w:hAnsi="Calibri" w:cs="Times New Roman"/>
        </w:rPr>
      </w:pPr>
      <w:hyperlink r:id="rId9" w:history="1">
        <w:r w:rsidR="007F1B2D" w:rsidRPr="000E444D">
          <w:rPr>
            <w:rStyle w:val="Hyperlink"/>
            <w:rFonts w:ascii="Calibri" w:eastAsia="Calibri" w:hAnsi="Calibri" w:cs="Times New Roman"/>
          </w:rPr>
          <w:t>kmaracas@cox.net</w:t>
        </w:r>
      </w:hyperlink>
    </w:p>
    <w:p w14:paraId="0565713B" w14:textId="77777777" w:rsidR="007F1B2D" w:rsidRPr="007F1B2D" w:rsidRDefault="007F1B2D" w:rsidP="007F1B2D">
      <w:pPr>
        <w:spacing w:after="0" w:line="240" w:lineRule="auto"/>
        <w:ind w:left="6120"/>
        <w:rPr>
          <w:rFonts w:ascii="Calibri" w:eastAsia="Calibri" w:hAnsi="Calibri" w:cs="Times New Roman"/>
        </w:rPr>
      </w:pPr>
    </w:p>
    <w:p w14:paraId="1FB59AC2" w14:textId="77777777" w:rsidR="007F1B2D" w:rsidRPr="00781BED" w:rsidRDefault="007F1B2D" w:rsidP="007F1B2D">
      <w:pPr>
        <w:ind w:left="6120"/>
        <w:rPr>
          <w:rFonts w:asciiTheme="majorHAnsi" w:hAnsiTheme="majorHAnsi"/>
        </w:rPr>
      </w:pPr>
    </w:p>
    <w:sectPr w:rsidR="007F1B2D" w:rsidRPr="00781BED" w:rsidSect="00AE44A0">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D27AE" w14:textId="77777777" w:rsidR="007F0363" w:rsidRDefault="007F0363" w:rsidP="00C0267B">
      <w:pPr>
        <w:spacing w:after="0" w:line="240" w:lineRule="auto"/>
      </w:pPr>
      <w:r>
        <w:separator/>
      </w:r>
    </w:p>
  </w:endnote>
  <w:endnote w:type="continuationSeparator" w:id="0">
    <w:p w14:paraId="7D342764" w14:textId="77777777" w:rsidR="007F0363" w:rsidRDefault="007F0363" w:rsidP="00C0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5ACB" w14:textId="77777777" w:rsidR="007F0363" w:rsidRDefault="007F0363" w:rsidP="00D85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F4686" w14:textId="77777777" w:rsidR="007F0363" w:rsidRDefault="007F0363" w:rsidP="00C31B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29D67" w14:textId="77777777" w:rsidR="007F0363" w:rsidRDefault="007F0363" w:rsidP="00D85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958">
      <w:rPr>
        <w:rStyle w:val="PageNumber"/>
        <w:noProof/>
      </w:rPr>
      <w:t>2</w:t>
    </w:r>
    <w:r>
      <w:rPr>
        <w:rStyle w:val="PageNumber"/>
      </w:rPr>
      <w:fldChar w:fldCharType="end"/>
    </w:r>
  </w:p>
  <w:p w14:paraId="0ABBDEE5" w14:textId="77777777" w:rsidR="007F0363" w:rsidRDefault="007F0363" w:rsidP="00C31B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5877B" w14:textId="77777777" w:rsidR="007F0363" w:rsidRDefault="007F0363" w:rsidP="00C0267B">
      <w:pPr>
        <w:spacing w:after="0" w:line="240" w:lineRule="auto"/>
      </w:pPr>
      <w:r>
        <w:separator/>
      </w:r>
    </w:p>
  </w:footnote>
  <w:footnote w:type="continuationSeparator" w:id="0">
    <w:p w14:paraId="1BC1085A" w14:textId="77777777" w:rsidR="007F0363" w:rsidRDefault="007F0363" w:rsidP="00C0267B">
      <w:pPr>
        <w:spacing w:after="0" w:line="240" w:lineRule="auto"/>
      </w:pPr>
      <w:r>
        <w:continuationSeparator/>
      </w:r>
    </w:p>
  </w:footnote>
  <w:footnote w:id="1">
    <w:p w14:paraId="474C4395" w14:textId="791FB668" w:rsidR="007F0363" w:rsidRPr="007E57ED" w:rsidRDefault="007F0363" w:rsidP="007E57ED">
      <w:pPr>
        <w:spacing w:line="240" w:lineRule="auto"/>
        <w:ind w:left="274" w:hanging="274"/>
        <w:rPr>
          <w:rFonts w:asciiTheme="majorHAnsi" w:hAnsiTheme="majorHAnsi"/>
          <w:sz w:val="20"/>
        </w:rPr>
      </w:pPr>
      <w:r w:rsidRPr="007E57ED">
        <w:rPr>
          <w:rStyle w:val="FootnoteReference"/>
          <w:rFonts w:asciiTheme="majorHAnsi" w:hAnsiTheme="majorHAnsi"/>
          <w:sz w:val="18"/>
        </w:rPr>
        <w:footnoteRef/>
      </w:r>
      <w:r w:rsidRPr="007E57ED">
        <w:rPr>
          <w:rFonts w:asciiTheme="majorHAnsi" w:hAnsiTheme="majorHAnsi"/>
          <w:sz w:val="18"/>
        </w:rPr>
        <w:t xml:space="preserve"> </w:t>
      </w:r>
      <w:r w:rsidRPr="007E57ED">
        <w:rPr>
          <w:rFonts w:asciiTheme="majorHAnsi" w:hAnsiTheme="majorHAnsi"/>
          <w:sz w:val="18"/>
        </w:rPr>
        <w:tab/>
      </w:r>
      <w:r w:rsidRPr="007E57ED">
        <w:rPr>
          <w:rFonts w:asciiTheme="majorHAnsi" w:hAnsiTheme="majorHAnsi"/>
          <w:sz w:val="20"/>
        </w:rPr>
        <w:t>Puget Sound Energy announced on March 1</w:t>
      </w:r>
      <w:r w:rsidRPr="007E57ED">
        <w:rPr>
          <w:rFonts w:asciiTheme="majorHAnsi" w:hAnsiTheme="majorHAnsi"/>
          <w:sz w:val="20"/>
          <w:vertAlign w:val="superscript"/>
        </w:rPr>
        <w:t>st</w:t>
      </w:r>
      <w:r w:rsidRPr="007E57ED">
        <w:rPr>
          <w:rFonts w:asciiTheme="majorHAnsi" w:hAnsiTheme="majorHAnsi"/>
          <w:sz w:val="20"/>
        </w:rPr>
        <w:t xml:space="preserve"> of this year its intent to join the California Independent System Operator (CAISO) EIM effective October 1, 2016.</w:t>
      </w:r>
    </w:p>
  </w:footnote>
  <w:footnote w:id="2">
    <w:p w14:paraId="71110BFD" w14:textId="38428E96" w:rsidR="007F0363" w:rsidRPr="0036169D" w:rsidRDefault="007F0363" w:rsidP="0036169D">
      <w:pPr>
        <w:pStyle w:val="FootnoteText"/>
        <w:ind w:left="270" w:hanging="270"/>
        <w:rPr>
          <w:rFonts w:asciiTheme="majorHAnsi" w:hAnsiTheme="majorHAnsi"/>
          <w:sz w:val="20"/>
        </w:rPr>
      </w:pPr>
      <w:r w:rsidRPr="0036169D">
        <w:rPr>
          <w:rStyle w:val="FootnoteReference"/>
          <w:rFonts w:asciiTheme="majorHAnsi" w:hAnsiTheme="majorHAnsi"/>
          <w:sz w:val="20"/>
        </w:rPr>
        <w:footnoteRef/>
      </w:r>
      <w:r w:rsidRPr="0036169D">
        <w:rPr>
          <w:rFonts w:asciiTheme="majorHAnsi" w:hAnsiTheme="majorHAnsi"/>
          <w:sz w:val="20"/>
        </w:rPr>
        <w:t xml:space="preserve"> </w:t>
      </w:r>
      <w:r>
        <w:rPr>
          <w:rFonts w:asciiTheme="majorHAnsi" w:hAnsiTheme="majorHAnsi"/>
          <w:sz w:val="20"/>
        </w:rPr>
        <w:tab/>
        <w:t>Many of today’s invertor-based generators can provide an array of ancillary services that are often not selected under utility procurement practices, and therefore often not characterized in IRP models.</w:t>
      </w:r>
    </w:p>
  </w:footnote>
  <w:footnote w:id="3">
    <w:p w14:paraId="6FDBF885" w14:textId="2C47E77A" w:rsidR="007F0363" w:rsidRPr="00DC6B78" w:rsidRDefault="007F0363" w:rsidP="00DC6B78">
      <w:pPr>
        <w:pStyle w:val="FootnoteText"/>
        <w:ind w:left="270" w:hanging="270"/>
        <w:rPr>
          <w:rFonts w:asciiTheme="majorHAnsi" w:hAnsiTheme="majorHAnsi"/>
          <w:sz w:val="20"/>
        </w:rPr>
      </w:pPr>
      <w:r w:rsidRPr="00DC6B78">
        <w:rPr>
          <w:rStyle w:val="FootnoteReference"/>
          <w:rFonts w:asciiTheme="majorHAnsi" w:hAnsiTheme="majorHAnsi"/>
          <w:sz w:val="20"/>
        </w:rPr>
        <w:footnoteRef/>
      </w:r>
      <w:r w:rsidRPr="00DC6B78">
        <w:rPr>
          <w:rFonts w:asciiTheme="majorHAnsi" w:hAnsiTheme="majorHAnsi"/>
          <w:sz w:val="20"/>
        </w:rPr>
        <w:t xml:space="preserve"> </w:t>
      </w:r>
      <w:r>
        <w:rPr>
          <w:rFonts w:asciiTheme="majorHAnsi" w:hAnsiTheme="majorHAnsi"/>
          <w:sz w:val="20"/>
        </w:rPr>
        <w:tab/>
      </w:r>
      <w:r w:rsidRPr="00DC6B78">
        <w:rPr>
          <w:rFonts w:asciiTheme="majorHAnsi" w:hAnsiTheme="majorHAnsi"/>
          <w:i/>
          <w:sz w:val="20"/>
        </w:rPr>
        <w:t>“How Thermal Energy Storage Enhances the Economic Viability of Concentrating Solar Power”</w:t>
      </w:r>
      <w:r>
        <w:rPr>
          <w:rFonts w:asciiTheme="majorHAnsi" w:hAnsiTheme="majorHAnsi"/>
          <w:sz w:val="20"/>
        </w:rPr>
        <w:t xml:space="preserve">, </w:t>
      </w:r>
      <w:r w:rsidRPr="00DC6B78">
        <w:rPr>
          <w:rFonts w:asciiTheme="majorHAnsi" w:hAnsiTheme="majorHAnsi"/>
          <w:sz w:val="20"/>
        </w:rPr>
        <w:t>Seyed Hossein Madaeni, Student Member, IEEE, Ramteen Sioshansi, Member, IEEE, and Paul Denholm, Member, IEEE</w:t>
      </w:r>
      <w:r>
        <w:rPr>
          <w:rFonts w:asciiTheme="majorHAnsi" w:hAnsiTheme="majorHAnsi"/>
          <w:sz w:val="20"/>
        </w:rPr>
        <w:t>; Proceedings of the Institute of Electrical and Electronics Engineers (Volume 100</w:t>
      </w:r>
      <w:proofErr w:type="gramStart"/>
      <w:r>
        <w:rPr>
          <w:rFonts w:asciiTheme="majorHAnsi" w:hAnsiTheme="majorHAnsi"/>
          <w:sz w:val="20"/>
        </w:rPr>
        <w:t>,     Issue</w:t>
      </w:r>
      <w:proofErr w:type="gramEnd"/>
      <w:r>
        <w:rPr>
          <w:rFonts w:asciiTheme="majorHAnsi" w:hAnsiTheme="majorHAnsi"/>
          <w:sz w:val="20"/>
        </w:rPr>
        <w:t xml:space="preserve"> 2), June 20, 2011.</w:t>
      </w:r>
    </w:p>
  </w:footnote>
  <w:footnote w:id="4">
    <w:p w14:paraId="15B8B82F" w14:textId="40293FFC" w:rsidR="007F0363" w:rsidRDefault="007F0363" w:rsidP="000457A0">
      <w:pPr>
        <w:pStyle w:val="FootnoteText"/>
        <w:ind w:left="270" w:hanging="270"/>
        <w:rPr>
          <w:rFonts w:asciiTheme="majorHAnsi" w:hAnsiTheme="majorHAnsi"/>
          <w:sz w:val="20"/>
        </w:rPr>
      </w:pPr>
      <w:r w:rsidRPr="000457A0">
        <w:rPr>
          <w:rStyle w:val="FootnoteReference"/>
          <w:rFonts w:asciiTheme="majorHAnsi" w:hAnsiTheme="majorHAnsi"/>
          <w:sz w:val="20"/>
        </w:rPr>
        <w:footnoteRef/>
      </w:r>
      <w:r w:rsidRPr="000457A0">
        <w:rPr>
          <w:rFonts w:asciiTheme="majorHAnsi" w:hAnsiTheme="majorHAnsi"/>
          <w:sz w:val="20"/>
        </w:rPr>
        <w:t xml:space="preserve"> </w:t>
      </w:r>
      <w:r>
        <w:rPr>
          <w:rFonts w:asciiTheme="majorHAnsi" w:hAnsiTheme="majorHAnsi"/>
          <w:sz w:val="20"/>
        </w:rPr>
        <w:tab/>
        <w:t xml:space="preserve">See “NREL Quantifies Value of CSP to the Grid”, </w:t>
      </w:r>
      <w:hyperlink r:id="rId1" w:history="1">
        <w:r w:rsidRPr="00317E4C">
          <w:rPr>
            <w:rStyle w:val="Hyperlink"/>
            <w:rFonts w:asciiTheme="majorHAnsi" w:hAnsiTheme="majorHAnsi"/>
            <w:sz w:val="20"/>
          </w:rPr>
          <w:t>http://www.nrel.gov/docs/fy14osti/62503.pdf</w:t>
        </w:r>
      </w:hyperlink>
      <w:r>
        <w:rPr>
          <w:rFonts w:asciiTheme="majorHAnsi" w:hAnsiTheme="majorHAnsi"/>
          <w:sz w:val="20"/>
        </w:rPr>
        <w:t>; and “</w:t>
      </w:r>
      <w:r w:rsidRPr="00555319">
        <w:rPr>
          <w:rFonts w:asciiTheme="majorHAnsi" w:hAnsiTheme="majorHAnsi"/>
          <w:sz w:val="20"/>
        </w:rPr>
        <w:t>The Economic and Reliability Benefits of CSP with Thermal Energy Storage: Literature Review and Research Needs, 2014</w:t>
      </w:r>
      <w:r>
        <w:rPr>
          <w:rFonts w:asciiTheme="majorHAnsi" w:hAnsiTheme="majorHAnsi"/>
          <w:sz w:val="20"/>
        </w:rPr>
        <w:t xml:space="preserve">”, </w:t>
      </w:r>
      <w:hyperlink r:id="rId2" w:history="1">
        <w:r w:rsidRPr="00317E4C">
          <w:rPr>
            <w:rStyle w:val="Hyperlink"/>
            <w:rFonts w:asciiTheme="majorHAnsi" w:hAnsiTheme="majorHAnsi"/>
            <w:sz w:val="20"/>
          </w:rPr>
          <w:t>http://www.csp-alliance.org/cspa-report/</w:t>
        </w:r>
      </w:hyperlink>
    </w:p>
    <w:p w14:paraId="31FEC740" w14:textId="77777777" w:rsidR="007F0363" w:rsidRPr="000457A0" w:rsidRDefault="007F0363" w:rsidP="000457A0">
      <w:pPr>
        <w:pStyle w:val="FootnoteText"/>
        <w:ind w:left="270" w:hanging="270"/>
        <w:rPr>
          <w:rFonts w:asciiTheme="majorHAnsi" w:hAnsiTheme="majorHAnsi"/>
          <w:sz w:val="20"/>
        </w:rPr>
      </w:pPr>
    </w:p>
  </w:footnote>
  <w:footnote w:id="5">
    <w:p w14:paraId="421FF867" w14:textId="220931E7" w:rsidR="007F0363" w:rsidRDefault="007F0363" w:rsidP="0072785F">
      <w:pPr>
        <w:pStyle w:val="FootnoteText"/>
        <w:ind w:left="270" w:hanging="270"/>
        <w:rPr>
          <w:rFonts w:asciiTheme="majorHAnsi" w:hAnsiTheme="majorHAnsi"/>
          <w:sz w:val="20"/>
        </w:rPr>
      </w:pPr>
      <w:r w:rsidRPr="0072785F">
        <w:rPr>
          <w:rStyle w:val="FootnoteReference"/>
          <w:rFonts w:asciiTheme="majorHAnsi" w:hAnsiTheme="majorHAnsi"/>
          <w:sz w:val="20"/>
        </w:rPr>
        <w:footnoteRef/>
      </w:r>
      <w:r w:rsidRPr="0072785F">
        <w:rPr>
          <w:rFonts w:asciiTheme="majorHAnsi" w:hAnsiTheme="majorHAnsi"/>
          <w:sz w:val="20"/>
        </w:rPr>
        <w:t xml:space="preserve"> </w:t>
      </w:r>
      <w:r>
        <w:rPr>
          <w:rFonts w:asciiTheme="majorHAnsi" w:hAnsiTheme="majorHAnsi"/>
          <w:sz w:val="20"/>
        </w:rPr>
        <w:tab/>
        <w:t xml:space="preserve">See </w:t>
      </w:r>
      <w:hyperlink r:id="rId3" w:history="1">
        <w:r w:rsidRPr="00317E4C">
          <w:rPr>
            <w:rStyle w:val="Hyperlink"/>
            <w:rFonts w:asciiTheme="majorHAnsi" w:hAnsiTheme="majorHAnsi"/>
            <w:sz w:val="20"/>
          </w:rPr>
          <w:t>http://www.madaenergie.com/index.php/technology-and-market/our-technology</w:t>
        </w:r>
      </w:hyperlink>
    </w:p>
    <w:p w14:paraId="417D25F6" w14:textId="77777777" w:rsidR="007F0363" w:rsidRPr="0072785F" w:rsidRDefault="007F0363" w:rsidP="0072785F">
      <w:pPr>
        <w:pStyle w:val="FootnoteText"/>
        <w:ind w:left="270" w:hanging="270"/>
        <w:rPr>
          <w:rFonts w:asciiTheme="majorHAnsi" w:hAnsiTheme="majorHAnsi"/>
          <w:sz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3330" w14:textId="3ED958D6" w:rsidR="007F0363" w:rsidRDefault="007F0363" w:rsidP="00C0267B">
    <w:pPr>
      <w:pStyle w:val="Header"/>
      <w:ind w:left="-27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AD2DD" w14:textId="3331E348" w:rsidR="007F0363" w:rsidRDefault="007F0363" w:rsidP="009E6B4B">
    <w:pPr>
      <w:pStyle w:val="Header"/>
      <w:ind w:left="-270"/>
    </w:pPr>
    <w:r w:rsidRPr="00C0267B">
      <w:rPr>
        <w:rFonts w:asciiTheme="majorHAnsi" w:hAnsiTheme="majorHAnsi"/>
        <w:b/>
        <w:noProof/>
        <w:szCs w:val="24"/>
      </w:rPr>
      <w:drawing>
        <wp:inline distT="0" distB="0" distL="0" distR="0" wp14:anchorId="1BE91D52" wp14:editId="5916964C">
          <wp:extent cx="2166620" cy="80908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l="16223" t="36445" r="12962" b="37111"/>
                  <a:stretch/>
                </pic:blipFill>
                <pic:spPr>
                  <a:xfrm>
                    <a:off x="0" y="0"/>
                    <a:ext cx="2166734" cy="80912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B29"/>
    <w:multiLevelType w:val="hybridMultilevel"/>
    <w:tmpl w:val="DF3E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530E4"/>
    <w:multiLevelType w:val="hybridMultilevel"/>
    <w:tmpl w:val="9AC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ED"/>
    <w:rsid w:val="000000A4"/>
    <w:rsid w:val="00025C97"/>
    <w:rsid w:val="000457A0"/>
    <w:rsid w:val="00063064"/>
    <w:rsid w:val="00087804"/>
    <w:rsid w:val="000B327A"/>
    <w:rsid w:val="000F7242"/>
    <w:rsid w:val="001361DF"/>
    <w:rsid w:val="001C7D51"/>
    <w:rsid w:val="001F44CD"/>
    <w:rsid w:val="002D1E56"/>
    <w:rsid w:val="002F0A49"/>
    <w:rsid w:val="003057BF"/>
    <w:rsid w:val="00332D60"/>
    <w:rsid w:val="003411D4"/>
    <w:rsid w:val="0036169D"/>
    <w:rsid w:val="00372AB6"/>
    <w:rsid w:val="0038586A"/>
    <w:rsid w:val="003C007C"/>
    <w:rsid w:val="003F4F72"/>
    <w:rsid w:val="004135A8"/>
    <w:rsid w:val="00462C66"/>
    <w:rsid w:val="005145A6"/>
    <w:rsid w:val="00547661"/>
    <w:rsid w:val="00555319"/>
    <w:rsid w:val="00567D59"/>
    <w:rsid w:val="005E3299"/>
    <w:rsid w:val="005F0256"/>
    <w:rsid w:val="006B5227"/>
    <w:rsid w:val="006B5AD2"/>
    <w:rsid w:val="006C1EFA"/>
    <w:rsid w:val="006E320D"/>
    <w:rsid w:val="006E6DA0"/>
    <w:rsid w:val="006F022E"/>
    <w:rsid w:val="0072785F"/>
    <w:rsid w:val="00781BED"/>
    <w:rsid w:val="00781F30"/>
    <w:rsid w:val="00783D61"/>
    <w:rsid w:val="007A3958"/>
    <w:rsid w:val="007E57ED"/>
    <w:rsid w:val="007F0363"/>
    <w:rsid w:val="007F1B2D"/>
    <w:rsid w:val="00823F0E"/>
    <w:rsid w:val="00844B91"/>
    <w:rsid w:val="00906288"/>
    <w:rsid w:val="009A50BC"/>
    <w:rsid w:val="009B6C94"/>
    <w:rsid w:val="009D6536"/>
    <w:rsid w:val="009E4998"/>
    <w:rsid w:val="009E6B4B"/>
    <w:rsid w:val="00A72437"/>
    <w:rsid w:val="00AC70ED"/>
    <w:rsid w:val="00AE44A0"/>
    <w:rsid w:val="00B334E9"/>
    <w:rsid w:val="00BB2B5F"/>
    <w:rsid w:val="00BC400A"/>
    <w:rsid w:val="00C0267B"/>
    <w:rsid w:val="00C31B20"/>
    <w:rsid w:val="00C40341"/>
    <w:rsid w:val="00C8386C"/>
    <w:rsid w:val="00C916CD"/>
    <w:rsid w:val="00CA7241"/>
    <w:rsid w:val="00CF3F82"/>
    <w:rsid w:val="00D3122F"/>
    <w:rsid w:val="00D55ADB"/>
    <w:rsid w:val="00D854C3"/>
    <w:rsid w:val="00D9786A"/>
    <w:rsid w:val="00DC6B78"/>
    <w:rsid w:val="00DE2957"/>
    <w:rsid w:val="00E06859"/>
    <w:rsid w:val="00E304CB"/>
    <w:rsid w:val="00EA51C0"/>
    <w:rsid w:val="00EB32ED"/>
    <w:rsid w:val="00EC2910"/>
    <w:rsid w:val="00F011DA"/>
    <w:rsid w:val="00F17E9C"/>
    <w:rsid w:val="00F52185"/>
    <w:rsid w:val="00F9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093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E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B2D"/>
    <w:rPr>
      <w:color w:val="0000FF" w:themeColor="hyperlink"/>
      <w:u w:val="single"/>
    </w:rPr>
  </w:style>
  <w:style w:type="paragraph" w:styleId="BalloonText">
    <w:name w:val="Balloon Text"/>
    <w:basedOn w:val="Normal"/>
    <w:link w:val="BalloonTextChar"/>
    <w:uiPriority w:val="99"/>
    <w:semiHidden/>
    <w:unhideWhenUsed/>
    <w:rsid w:val="00C026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67B"/>
    <w:rPr>
      <w:rFonts w:ascii="Lucida Grande" w:eastAsiaTheme="minorHAnsi" w:hAnsi="Lucida Grande" w:cs="Lucida Grande"/>
      <w:sz w:val="18"/>
      <w:szCs w:val="18"/>
    </w:rPr>
  </w:style>
  <w:style w:type="paragraph" w:styleId="Header">
    <w:name w:val="header"/>
    <w:basedOn w:val="Normal"/>
    <w:link w:val="HeaderChar"/>
    <w:uiPriority w:val="99"/>
    <w:unhideWhenUsed/>
    <w:rsid w:val="00C026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267B"/>
    <w:rPr>
      <w:rFonts w:eastAsiaTheme="minorHAnsi"/>
      <w:sz w:val="22"/>
      <w:szCs w:val="22"/>
    </w:rPr>
  </w:style>
  <w:style w:type="paragraph" w:styleId="Footer">
    <w:name w:val="footer"/>
    <w:basedOn w:val="Normal"/>
    <w:link w:val="FooterChar"/>
    <w:uiPriority w:val="99"/>
    <w:unhideWhenUsed/>
    <w:rsid w:val="00C026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267B"/>
    <w:rPr>
      <w:rFonts w:eastAsiaTheme="minorHAnsi"/>
      <w:sz w:val="22"/>
      <w:szCs w:val="22"/>
    </w:rPr>
  </w:style>
  <w:style w:type="paragraph" w:styleId="ListParagraph">
    <w:name w:val="List Paragraph"/>
    <w:basedOn w:val="Normal"/>
    <w:uiPriority w:val="34"/>
    <w:qFormat/>
    <w:rsid w:val="006C1EFA"/>
    <w:pPr>
      <w:ind w:left="720"/>
      <w:contextualSpacing/>
    </w:pPr>
  </w:style>
  <w:style w:type="paragraph" w:styleId="FootnoteText">
    <w:name w:val="footnote text"/>
    <w:basedOn w:val="Normal"/>
    <w:link w:val="FootnoteTextChar"/>
    <w:uiPriority w:val="99"/>
    <w:unhideWhenUsed/>
    <w:rsid w:val="007E57ED"/>
    <w:pPr>
      <w:spacing w:after="0" w:line="240" w:lineRule="auto"/>
    </w:pPr>
    <w:rPr>
      <w:sz w:val="24"/>
      <w:szCs w:val="24"/>
    </w:rPr>
  </w:style>
  <w:style w:type="character" w:customStyle="1" w:styleId="FootnoteTextChar">
    <w:name w:val="Footnote Text Char"/>
    <w:basedOn w:val="DefaultParagraphFont"/>
    <w:link w:val="FootnoteText"/>
    <w:uiPriority w:val="99"/>
    <w:rsid w:val="007E57ED"/>
    <w:rPr>
      <w:rFonts w:eastAsiaTheme="minorHAnsi"/>
    </w:rPr>
  </w:style>
  <w:style w:type="character" w:styleId="FootnoteReference">
    <w:name w:val="footnote reference"/>
    <w:basedOn w:val="DefaultParagraphFont"/>
    <w:uiPriority w:val="99"/>
    <w:unhideWhenUsed/>
    <w:rsid w:val="007E57ED"/>
    <w:rPr>
      <w:vertAlign w:val="superscript"/>
    </w:rPr>
  </w:style>
  <w:style w:type="character" w:styleId="PageNumber">
    <w:name w:val="page number"/>
    <w:basedOn w:val="DefaultParagraphFont"/>
    <w:uiPriority w:val="99"/>
    <w:semiHidden/>
    <w:unhideWhenUsed/>
    <w:rsid w:val="00C31B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BE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B2D"/>
    <w:rPr>
      <w:color w:val="0000FF" w:themeColor="hyperlink"/>
      <w:u w:val="single"/>
    </w:rPr>
  </w:style>
  <w:style w:type="paragraph" w:styleId="BalloonText">
    <w:name w:val="Balloon Text"/>
    <w:basedOn w:val="Normal"/>
    <w:link w:val="BalloonTextChar"/>
    <w:uiPriority w:val="99"/>
    <w:semiHidden/>
    <w:unhideWhenUsed/>
    <w:rsid w:val="00C026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67B"/>
    <w:rPr>
      <w:rFonts w:ascii="Lucida Grande" w:eastAsiaTheme="minorHAnsi" w:hAnsi="Lucida Grande" w:cs="Lucida Grande"/>
      <w:sz w:val="18"/>
      <w:szCs w:val="18"/>
    </w:rPr>
  </w:style>
  <w:style w:type="paragraph" w:styleId="Header">
    <w:name w:val="header"/>
    <w:basedOn w:val="Normal"/>
    <w:link w:val="HeaderChar"/>
    <w:uiPriority w:val="99"/>
    <w:unhideWhenUsed/>
    <w:rsid w:val="00C026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267B"/>
    <w:rPr>
      <w:rFonts w:eastAsiaTheme="minorHAnsi"/>
      <w:sz w:val="22"/>
      <w:szCs w:val="22"/>
    </w:rPr>
  </w:style>
  <w:style w:type="paragraph" w:styleId="Footer">
    <w:name w:val="footer"/>
    <w:basedOn w:val="Normal"/>
    <w:link w:val="FooterChar"/>
    <w:uiPriority w:val="99"/>
    <w:unhideWhenUsed/>
    <w:rsid w:val="00C026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267B"/>
    <w:rPr>
      <w:rFonts w:eastAsiaTheme="minorHAnsi"/>
      <w:sz w:val="22"/>
      <w:szCs w:val="22"/>
    </w:rPr>
  </w:style>
  <w:style w:type="paragraph" w:styleId="ListParagraph">
    <w:name w:val="List Paragraph"/>
    <w:basedOn w:val="Normal"/>
    <w:uiPriority w:val="34"/>
    <w:qFormat/>
    <w:rsid w:val="006C1EFA"/>
    <w:pPr>
      <w:ind w:left="720"/>
      <w:contextualSpacing/>
    </w:pPr>
  </w:style>
  <w:style w:type="paragraph" w:styleId="FootnoteText">
    <w:name w:val="footnote text"/>
    <w:basedOn w:val="Normal"/>
    <w:link w:val="FootnoteTextChar"/>
    <w:uiPriority w:val="99"/>
    <w:unhideWhenUsed/>
    <w:rsid w:val="007E57ED"/>
    <w:pPr>
      <w:spacing w:after="0" w:line="240" w:lineRule="auto"/>
    </w:pPr>
    <w:rPr>
      <w:sz w:val="24"/>
      <w:szCs w:val="24"/>
    </w:rPr>
  </w:style>
  <w:style w:type="character" w:customStyle="1" w:styleId="FootnoteTextChar">
    <w:name w:val="Footnote Text Char"/>
    <w:basedOn w:val="DefaultParagraphFont"/>
    <w:link w:val="FootnoteText"/>
    <w:uiPriority w:val="99"/>
    <w:rsid w:val="007E57ED"/>
    <w:rPr>
      <w:rFonts w:eastAsiaTheme="minorHAnsi"/>
    </w:rPr>
  </w:style>
  <w:style w:type="character" w:styleId="FootnoteReference">
    <w:name w:val="footnote reference"/>
    <w:basedOn w:val="DefaultParagraphFont"/>
    <w:uiPriority w:val="99"/>
    <w:unhideWhenUsed/>
    <w:rsid w:val="007E57ED"/>
    <w:rPr>
      <w:vertAlign w:val="superscript"/>
    </w:rPr>
  </w:style>
  <w:style w:type="character" w:styleId="PageNumber">
    <w:name w:val="page number"/>
    <w:basedOn w:val="DefaultParagraphFont"/>
    <w:uiPriority w:val="99"/>
    <w:semiHidden/>
    <w:unhideWhenUsed/>
    <w:rsid w:val="00C3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mailto:asormond@msn.com" TargetMode="Externa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maracas@cox.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rel.gov/docs/fy14osti/62503.pdf" TargetMode="External"/><Relationship Id="rId2" Type="http://schemas.openxmlformats.org/officeDocument/2006/relationships/hyperlink" Target="http://www.csp-alliance.org/cspa-report/" TargetMode="External"/><Relationship Id="rId3" Type="http://schemas.openxmlformats.org/officeDocument/2006/relationships/hyperlink" Target="http://www.madaenergie.com/index.php/technology-and-market/our-technolo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F4CEBD-74F0-457E-975D-3F97E99A7927}"/>
</file>

<file path=customXml/itemProps2.xml><?xml version="1.0" encoding="utf-8"?>
<ds:datastoreItem xmlns:ds="http://schemas.openxmlformats.org/officeDocument/2006/customXml" ds:itemID="{C221B2F3-371C-4BB0-8E10-44028840EAF5}"/>
</file>

<file path=customXml/itemProps3.xml><?xml version="1.0" encoding="utf-8"?>
<ds:datastoreItem xmlns:ds="http://schemas.openxmlformats.org/officeDocument/2006/customXml" ds:itemID="{9FFF595F-45C4-42E9-8A1B-6DA5875075C2}"/>
</file>

<file path=customXml/itemProps4.xml><?xml version="1.0" encoding="utf-8"?>
<ds:datastoreItem xmlns:ds="http://schemas.openxmlformats.org/officeDocument/2006/customXml" ds:itemID="{300D5F66-4A44-4AF6-BEA7-3F93FB7268EF}"/>
</file>

<file path=docProps/app.xml><?xml version="1.0" encoding="utf-8"?>
<Properties xmlns="http://schemas.openxmlformats.org/officeDocument/2006/extended-properties" xmlns:vt="http://schemas.openxmlformats.org/officeDocument/2006/docPropsVTypes">
  <Template>Normal.dotm</Template>
  <TotalTime>3</TotalTime>
  <Pages>6</Pages>
  <Words>2042</Words>
  <Characters>11642</Characters>
  <Application>Microsoft Macintosh Word</Application>
  <DocSecurity>0</DocSecurity>
  <Lines>97</Lines>
  <Paragraphs>27</Paragraphs>
  <ScaleCrop>false</ScaleCrop>
  <Company>Home</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Maracas</dc:creator>
  <cp:keywords/>
  <dc:description/>
  <cp:lastModifiedBy>Kate Maracas</cp:lastModifiedBy>
  <cp:revision>2</cp:revision>
  <dcterms:created xsi:type="dcterms:W3CDTF">2015-09-25T22:52:00Z</dcterms:created>
  <dcterms:modified xsi:type="dcterms:W3CDTF">2015-09-25T22:52:00Z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ies>
</file>