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65E97" w14:textId="77777777" w:rsidR="00A026D6" w:rsidRDefault="00A026D6" w:rsidP="009B45A9">
      <w:pPr>
        <w:jc w:val="center"/>
        <w:rPr>
          <w:rFonts w:ascii="Times New Roman" w:hAnsi="Times New Roman" w:cs="Times New Roman"/>
          <w:b/>
          <w:sz w:val="28"/>
          <w:szCs w:val="28"/>
        </w:rPr>
      </w:pPr>
      <w:bookmarkStart w:id="0" w:name="_GoBack"/>
      <w:bookmarkEnd w:id="0"/>
      <w:r w:rsidRPr="00221BD9">
        <w:rPr>
          <w:rFonts w:ascii="Times New Roman" w:hAnsi="Times New Roman" w:cs="Times New Roman"/>
          <w:b/>
          <w:sz w:val="28"/>
          <w:szCs w:val="28"/>
        </w:rPr>
        <w:t>Summary of Comments</w:t>
      </w:r>
      <w:r w:rsidRPr="00A026D6">
        <w:rPr>
          <w:rFonts w:ascii="Times New Roman" w:hAnsi="Times New Roman" w:cs="Times New Roman"/>
          <w:b/>
          <w:sz w:val="28"/>
          <w:szCs w:val="28"/>
        </w:rPr>
        <w:t xml:space="preserve"> </w:t>
      </w:r>
    </w:p>
    <w:p w14:paraId="5E47A09E" w14:textId="77777777" w:rsidR="00A026D6" w:rsidRDefault="00A026D6" w:rsidP="009B45A9">
      <w:pPr>
        <w:jc w:val="center"/>
        <w:rPr>
          <w:rFonts w:ascii="Times New Roman" w:hAnsi="Times New Roman" w:cs="Times New Roman"/>
          <w:b/>
          <w:sz w:val="28"/>
          <w:szCs w:val="28"/>
        </w:rPr>
      </w:pPr>
      <w:r>
        <w:rPr>
          <w:rFonts w:ascii="Times New Roman" w:hAnsi="Times New Roman" w:cs="Times New Roman"/>
          <w:b/>
          <w:sz w:val="28"/>
          <w:szCs w:val="28"/>
        </w:rPr>
        <w:t xml:space="preserve">Docket </w:t>
      </w:r>
      <w:r w:rsidR="009B45A9" w:rsidRPr="008C04F4">
        <w:rPr>
          <w:rFonts w:ascii="Times New Roman" w:hAnsi="Times New Roman" w:cs="Times New Roman"/>
          <w:b/>
          <w:sz w:val="28"/>
          <w:szCs w:val="28"/>
        </w:rPr>
        <w:t xml:space="preserve">A-150561 </w:t>
      </w:r>
    </w:p>
    <w:p w14:paraId="7CE9BE76" w14:textId="77777777" w:rsidR="002C039A" w:rsidRPr="008C04F4" w:rsidRDefault="009B45A9" w:rsidP="009B45A9">
      <w:pPr>
        <w:jc w:val="center"/>
        <w:rPr>
          <w:rFonts w:ascii="Times New Roman" w:hAnsi="Times New Roman" w:cs="Times New Roman"/>
          <w:b/>
          <w:sz w:val="28"/>
          <w:szCs w:val="28"/>
        </w:rPr>
      </w:pPr>
      <w:r w:rsidRPr="008C04F4">
        <w:rPr>
          <w:rFonts w:ascii="Times New Roman" w:hAnsi="Times New Roman" w:cs="Times New Roman"/>
          <w:b/>
          <w:sz w:val="28"/>
          <w:szCs w:val="28"/>
        </w:rPr>
        <w:t>Inquiry into credit and debit card payment options</w:t>
      </w:r>
    </w:p>
    <w:p w14:paraId="2E3CB8BE" w14:textId="77777777" w:rsidR="001631C1" w:rsidRDefault="001631C1" w:rsidP="009B45A9">
      <w:pPr>
        <w:jc w:val="center"/>
        <w:rPr>
          <w:rFonts w:ascii="Times New Roman" w:hAnsi="Times New Roman" w:cs="Times New Roman"/>
          <w:b/>
          <w:sz w:val="24"/>
          <w:szCs w:val="24"/>
        </w:rPr>
      </w:pPr>
    </w:p>
    <w:p w14:paraId="6A881EDF" w14:textId="39542DFD" w:rsidR="009B45A9" w:rsidRDefault="00AD471C" w:rsidP="00AD3312">
      <w:pPr>
        <w:rPr>
          <w:rFonts w:ascii="Times New Roman" w:hAnsi="Times New Roman" w:cs="Times New Roman"/>
          <w:sz w:val="24"/>
          <w:szCs w:val="24"/>
        </w:rPr>
      </w:pPr>
      <w:r>
        <w:rPr>
          <w:rFonts w:ascii="Times New Roman" w:hAnsi="Times New Roman" w:cs="Times New Roman"/>
          <w:sz w:val="24"/>
          <w:szCs w:val="24"/>
        </w:rPr>
        <w:t xml:space="preserve">On April 20, 2015 the </w:t>
      </w:r>
      <w:r w:rsidR="007A0E22">
        <w:rPr>
          <w:rFonts w:ascii="Times New Roman" w:hAnsi="Times New Roman" w:cs="Times New Roman"/>
          <w:sz w:val="24"/>
          <w:szCs w:val="24"/>
        </w:rPr>
        <w:t xml:space="preserve">Washington </w:t>
      </w:r>
      <w:r>
        <w:rPr>
          <w:rFonts w:ascii="Times New Roman" w:hAnsi="Times New Roman" w:cs="Times New Roman"/>
          <w:sz w:val="24"/>
          <w:szCs w:val="24"/>
        </w:rPr>
        <w:t>Utilities and Transportation Commission</w:t>
      </w:r>
      <w:r w:rsidR="007A0E22">
        <w:rPr>
          <w:rFonts w:ascii="Times New Roman" w:hAnsi="Times New Roman" w:cs="Times New Roman"/>
          <w:sz w:val="24"/>
          <w:szCs w:val="24"/>
        </w:rPr>
        <w:t xml:space="preserve"> (</w:t>
      </w:r>
      <w:r w:rsidR="009A313C">
        <w:rPr>
          <w:rFonts w:ascii="Times New Roman" w:hAnsi="Times New Roman" w:cs="Times New Roman"/>
          <w:sz w:val="24"/>
          <w:szCs w:val="24"/>
        </w:rPr>
        <w:t>commission</w:t>
      </w:r>
      <w:r w:rsidR="007A0E22">
        <w:rPr>
          <w:rFonts w:ascii="Times New Roman" w:hAnsi="Times New Roman" w:cs="Times New Roman"/>
          <w:sz w:val="24"/>
          <w:szCs w:val="24"/>
        </w:rPr>
        <w:t>)</w:t>
      </w:r>
      <w:r>
        <w:rPr>
          <w:rFonts w:ascii="Times New Roman" w:hAnsi="Times New Roman" w:cs="Times New Roman"/>
          <w:sz w:val="24"/>
          <w:szCs w:val="24"/>
        </w:rPr>
        <w:t xml:space="preserve"> issued a Notice of Opportunity to File Written Comments in </w:t>
      </w:r>
      <w:r w:rsidR="009A313C">
        <w:rPr>
          <w:rFonts w:ascii="Times New Roman" w:hAnsi="Times New Roman" w:cs="Times New Roman"/>
          <w:sz w:val="24"/>
          <w:szCs w:val="24"/>
        </w:rPr>
        <w:t>D</w:t>
      </w:r>
      <w:r>
        <w:rPr>
          <w:rFonts w:ascii="Times New Roman" w:hAnsi="Times New Roman" w:cs="Times New Roman"/>
          <w:sz w:val="24"/>
          <w:szCs w:val="24"/>
        </w:rPr>
        <w:t>ocket A-150561. These comments were due May 15, 2015, in preparation for a workshop on June 9, 2015.</w:t>
      </w:r>
      <w:r w:rsidR="00742B76">
        <w:rPr>
          <w:rFonts w:ascii="Times New Roman" w:hAnsi="Times New Roman" w:cs="Times New Roman"/>
          <w:sz w:val="24"/>
          <w:szCs w:val="24"/>
        </w:rPr>
        <w:t xml:space="preserve"> </w:t>
      </w:r>
      <w:r w:rsidR="00455260">
        <w:rPr>
          <w:rFonts w:ascii="Times New Roman" w:hAnsi="Times New Roman" w:cs="Times New Roman"/>
          <w:sz w:val="24"/>
          <w:szCs w:val="24"/>
        </w:rPr>
        <w:t xml:space="preserve">The purpose of </w:t>
      </w:r>
      <w:r w:rsidR="00742B76">
        <w:rPr>
          <w:rFonts w:ascii="Times New Roman" w:hAnsi="Times New Roman" w:cs="Times New Roman"/>
          <w:sz w:val="24"/>
          <w:szCs w:val="24"/>
        </w:rPr>
        <w:t>staff</w:t>
      </w:r>
      <w:r w:rsidR="00455260">
        <w:rPr>
          <w:rFonts w:ascii="Times New Roman" w:hAnsi="Times New Roman" w:cs="Times New Roman"/>
          <w:sz w:val="24"/>
          <w:szCs w:val="24"/>
        </w:rPr>
        <w:t>’s</w:t>
      </w:r>
      <w:r w:rsidR="007324E2">
        <w:rPr>
          <w:rFonts w:ascii="Times New Roman" w:hAnsi="Times New Roman" w:cs="Times New Roman"/>
          <w:sz w:val="24"/>
          <w:szCs w:val="24"/>
        </w:rPr>
        <w:t xml:space="preserve"> </w:t>
      </w:r>
      <w:r w:rsidR="00742B76">
        <w:rPr>
          <w:rFonts w:ascii="Times New Roman" w:hAnsi="Times New Roman" w:cs="Times New Roman"/>
          <w:sz w:val="24"/>
          <w:szCs w:val="24"/>
        </w:rPr>
        <w:t>investigation is to investigate current utility and transportation industry practices regarding credit and debit card payments by customers, and to reevaluate the regulatory framework surrounding these payments.</w:t>
      </w:r>
      <w:r w:rsidR="00D6163A">
        <w:rPr>
          <w:rFonts w:ascii="Times New Roman" w:hAnsi="Times New Roman" w:cs="Times New Roman"/>
          <w:sz w:val="24"/>
          <w:szCs w:val="24"/>
        </w:rPr>
        <w:t xml:space="preserve"> Respondents were asked to answer several questions related to their current practices and their desired regulatory framework.</w:t>
      </w:r>
    </w:p>
    <w:p w14:paraId="031546A7" w14:textId="77777777" w:rsidR="00AD471C" w:rsidRDefault="00AD471C" w:rsidP="00AD3312">
      <w:pPr>
        <w:rPr>
          <w:rFonts w:ascii="Times New Roman" w:hAnsi="Times New Roman" w:cs="Times New Roman"/>
          <w:sz w:val="24"/>
          <w:szCs w:val="24"/>
        </w:rPr>
      </w:pPr>
    </w:p>
    <w:p w14:paraId="62442EE3" w14:textId="4D06F9ED" w:rsidR="00AD471C" w:rsidRDefault="00AD471C" w:rsidP="00AD3312">
      <w:pPr>
        <w:rPr>
          <w:rFonts w:ascii="Times New Roman" w:hAnsi="Times New Roman" w:cs="Times New Roman"/>
          <w:sz w:val="24"/>
          <w:szCs w:val="24"/>
        </w:rPr>
      </w:pPr>
      <w:r>
        <w:rPr>
          <w:rFonts w:ascii="Times New Roman" w:hAnsi="Times New Roman" w:cs="Times New Roman"/>
          <w:sz w:val="24"/>
          <w:szCs w:val="24"/>
        </w:rPr>
        <w:t xml:space="preserve">Comments were received </w:t>
      </w:r>
      <w:r w:rsidR="00757CE7">
        <w:rPr>
          <w:rFonts w:ascii="Times New Roman" w:hAnsi="Times New Roman" w:cs="Times New Roman"/>
          <w:sz w:val="24"/>
          <w:szCs w:val="24"/>
        </w:rPr>
        <w:t>from</w:t>
      </w:r>
      <w:r>
        <w:rPr>
          <w:rFonts w:ascii="Times New Roman" w:hAnsi="Times New Roman" w:cs="Times New Roman"/>
          <w:sz w:val="24"/>
          <w:szCs w:val="24"/>
        </w:rPr>
        <w:t xml:space="preserve"> the following parties: Washington Water Service Company; RTI Pend Oreille Telephone; Here2There, Inc. (dba Two Men and a Truck); CenturyLink; Avista Corporation; Public Counsel; Northwest Natural Gas</w:t>
      </w:r>
      <w:r w:rsidR="00566886">
        <w:rPr>
          <w:rFonts w:ascii="Times New Roman" w:hAnsi="Times New Roman" w:cs="Times New Roman"/>
          <w:sz w:val="24"/>
          <w:szCs w:val="24"/>
        </w:rPr>
        <w:t xml:space="preserve"> </w:t>
      </w:r>
      <w:r w:rsidR="008D3425">
        <w:rPr>
          <w:rFonts w:ascii="Times New Roman" w:hAnsi="Times New Roman" w:cs="Times New Roman"/>
          <w:sz w:val="24"/>
          <w:szCs w:val="24"/>
        </w:rPr>
        <w:t xml:space="preserve">Company </w:t>
      </w:r>
      <w:r w:rsidR="00566886">
        <w:rPr>
          <w:rFonts w:ascii="Times New Roman" w:hAnsi="Times New Roman" w:cs="Times New Roman"/>
          <w:sz w:val="24"/>
          <w:szCs w:val="24"/>
        </w:rPr>
        <w:t>(NW Natural)</w:t>
      </w:r>
      <w:r>
        <w:rPr>
          <w:rFonts w:ascii="Times New Roman" w:hAnsi="Times New Roman" w:cs="Times New Roman"/>
          <w:sz w:val="24"/>
          <w:szCs w:val="24"/>
        </w:rPr>
        <w:t>; Cascade Natural Gas</w:t>
      </w:r>
      <w:r w:rsidR="008D3425">
        <w:rPr>
          <w:rFonts w:ascii="Times New Roman" w:hAnsi="Times New Roman" w:cs="Times New Roman"/>
          <w:sz w:val="24"/>
          <w:szCs w:val="24"/>
        </w:rPr>
        <w:t xml:space="preserve"> Corporation</w:t>
      </w:r>
      <w:r>
        <w:rPr>
          <w:rFonts w:ascii="Times New Roman" w:hAnsi="Times New Roman" w:cs="Times New Roman"/>
          <w:sz w:val="24"/>
          <w:szCs w:val="24"/>
        </w:rPr>
        <w:t>; Washington Refuse &amp; Recycling Association</w:t>
      </w:r>
      <w:r w:rsidR="00002D60">
        <w:rPr>
          <w:rFonts w:ascii="Times New Roman" w:hAnsi="Times New Roman" w:cs="Times New Roman"/>
          <w:sz w:val="24"/>
          <w:szCs w:val="24"/>
        </w:rPr>
        <w:t xml:space="preserve"> (WRRA)</w:t>
      </w:r>
      <w:r>
        <w:rPr>
          <w:rFonts w:ascii="Times New Roman" w:hAnsi="Times New Roman" w:cs="Times New Roman"/>
          <w:sz w:val="24"/>
          <w:szCs w:val="24"/>
        </w:rPr>
        <w:t>; Puget Sound Energy</w:t>
      </w:r>
      <w:r w:rsidR="009F6743">
        <w:rPr>
          <w:rFonts w:ascii="Times New Roman" w:hAnsi="Times New Roman" w:cs="Times New Roman"/>
          <w:sz w:val="24"/>
          <w:szCs w:val="24"/>
        </w:rPr>
        <w:t xml:space="preserve"> (PSE)</w:t>
      </w:r>
      <w:r>
        <w:rPr>
          <w:rFonts w:ascii="Times New Roman" w:hAnsi="Times New Roman" w:cs="Times New Roman"/>
          <w:sz w:val="24"/>
          <w:szCs w:val="24"/>
        </w:rPr>
        <w:t>; and, Pacific Power &amp; Light Company</w:t>
      </w:r>
      <w:r w:rsidR="00566886">
        <w:rPr>
          <w:rFonts w:ascii="Times New Roman" w:hAnsi="Times New Roman" w:cs="Times New Roman"/>
          <w:sz w:val="24"/>
          <w:szCs w:val="24"/>
        </w:rPr>
        <w:t xml:space="preserve"> (Pacific Power)</w:t>
      </w:r>
      <w:r>
        <w:rPr>
          <w:rFonts w:ascii="Times New Roman" w:hAnsi="Times New Roman" w:cs="Times New Roman"/>
          <w:sz w:val="24"/>
          <w:szCs w:val="24"/>
        </w:rPr>
        <w:t>.</w:t>
      </w:r>
      <w:r w:rsidR="00D87F16">
        <w:rPr>
          <w:rFonts w:ascii="Times New Roman" w:hAnsi="Times New Roman" w:cs="Times New Roman"/>
          <w:sz w:val="24"/>
          <w:szCs w:val="24"/>
        </w:rPr>
        <w:t xml:space="preserve">  </w:t>
      </w:r>
    </w:p>
    <w:p w14:paraId="6CC79979" w14:textId="77777777" w:rsidR="00AD471C" w:rsidRDefault="00AD471C" w:rsidP="00AD3312">
      <w:pPr>
        <w:rPr>
          <w:rFonts w:ascii="Times New Roman" w:hAnsi="Times New Roman" w:cs="Times New Roman"/>
          <w:sz w:val="24"/>
          <w:szCs w:val="24"/>
        </w:rPr>
      </w:pPr>
    </w:p>
    <w:p w14:paraId="4057B416" w14:textId="77777777" w:rsidR="009B45A9" w:rsidRPr="0038796C" w:rsidRDefault="00742B76" w:rsidP="009B45A9">
      <w:pPr>
        <w:pStyle w:val="ListParagraph"/>
        <w:numPr>
          <w:ilvl w:val="0"/>
          <w:numId w:val="1"/>
        </w:numPr>
        <w:ind w:left="360"/>
        <w:rPr>
          <w:rFonts w:ascii="Times New Roman" w:hAnsi="Times New Roman" w:cs="Times New Roman"/>
          <w:b/>
          <w:sz w:val="24"/>
          <w:szCs w:val="24"/>
        </w:rPr>
      </w:pPr>
      <w:r>
        <w:rPr>
          <w:rFonts w:ascii="Times New Roman" w:hAnsi="Times New Roman" w:cs="Times New Roman"/>
          <w:b/>
          <w:sz w:val="24"/>
          <w:szCs w:val="24"/>
        </w:rPr>
        <w:t>Current practice</w:t>
      </w:r>
      <w:r w:rsidR="00F536A8">
        <w:rPr>
          <w:rFonts w:ascii="Times New Roman" w:hAnsi="Times New Roman" w:cs="Times New Roman"/>
          <w:b/>
          <w:sz w:val="24"/>
          <w:szCs w:val="24"/>
        </w:rPr>
        <w:t>:</w:t>
      </w:r>
    </w:p>
    <w:p w14:paraId="7FA49704" w14:textId="77777777" w:rsidR="009B45A9" w:rsidRDefault="009B45A9" w:rsidP="009B45A9">
      <w:pPr>
        <w:rPr>
          <w:rFonts w:ascii="Times New Roman" w:hAnsi="Times New Roman" w:cs="Times New Roman"/>
          <w:sz w:val="24"/>
          <w:szCs w:val="24"/>
        </w:rPr>
      </w:pPr>
    </w:p>
    <w:p w14:paraId="68426B4A" w14:textId="6B6288C4" w:rsidR="00231D86" w:rsidRDefault="00455260" w:rsidP="009B45A9">
      <w:pPr>
        <w:rPr>
          <w:rFonts w:ascii="Times New Roman" w:hAnsi="Times New Roman" w:cs="Times New Roman"/>
          <w:sz w:val="24"/>
          <w:szCs w:val="24"/>
        </w:rPr>
      </w:pPr>
      <w:r>
        <w:rPr>
          <w:rFonts w:ascii="Times New Roman" w:hAnsi="Times New Roman" w:cs="Times New Roman"/>
          <w:sz w:val="24"/>
          <w:szCs w:val="24"/>
        </w:rPr>
        <w:t>As a general observation, f</w:t>
      </w:r>
      <w:r w:rsidR="007A0E22">
        <w:rPr>
          <w:rFonts w:ascii="Times New Roman" w:hAnsi="Times New Roman" w:cs="Times New Roman"/>
          <w:sz w:val="24"/>
          <w:szCs w:val="24"/>
        </w:rPr>
        <w:t>irms</w:t>
      </w:r>
      <w:r w:rsidR="009B45A9">
        <w:rPr>
          <w:rFonts w:ascii="Times New Roman" w:hAnsi="Times New Roman" w:cs="Times New Roman"/>
          <w:sz w:val="24"/>
          <w:szCs w:val="24"/>
        </w:rPr>
        <w:t xml:space="preserve"> in </w:t>
      </w:r>
      <w:r w:rsidR="0038796C">
        <w:rPr>
          <w:rFonts w:ascii="Times New Roman" w:hAnsi="Times New Roman" w:cs="Times New Roman"/>
          <w:sz w:val="24"/>
          <w:szCs w:val="24"/>
        </w:rPr>
        <w:t xml:space="preserve">the </w:t>
      </w:r>
      <w:r w:rsidR="009B45A9">
        <w:rPr>
          <w:rFonts w:ascii="Times New Roman" w:hAnsi="Times New Roman" w:cs="Times New Roman"/>
          <w:sz w:val="24"/>
          <w:szCs w:val="24"/>
        </w:rPr>
        <w:t>more competitive industries</w:t>
      </w:r>
      <w:r w:rsidR="0038796C">
        <w:rPr>
          <w:rFonts w:ascii="Times New Roman" w:hAnsi="Times New Roman" w:cs="Times New Roman"/>
          <w:sz w:val="24"/>
          <w:szCs w:val="24"/>
        </w:rPr>
        <w:t xml:space="preserve"> under </w:t>
      </w:r>
      <w:r w:rsidR="005D5BA0">
        <w:rPr>
          <w:rFonts w:ascii="Times New Roman" w:hAnsi="Times New Roman" w:cs="Times New Roman"/>
          <w:sz w:val="24"/>
          <w:szCs w:val="24"/>
        </w:rPr>
        <w:t xml:space="preserve">commission </w:t>
      </w:r>
      <w:r w:rsidR="0038796C">
        <w:rPr>
          <w:rFonts w:ascii="Times New Roman" w:hAnsi="Times New Roman" w:cs="Times New Roman"/>
          <w:sz w:val="24"/>
          <w:szCs w:val="24"/>
        </w:rPr>
        <w:t>purview</w:t>
      </w:r>
      <w:r w:rsidR="009B45A9">
        <w:rPr>
          <w:rFonts w:ascii="Times New Roman" w:hAnsi="Times New Roman" w:cs="Times New Roman"/>
          <w:sz w:val="24"/>
          <w:szCs w:val="24"/>
        </w:rPr>
        <w:t xml:space="preserve"> do not directly charge credit and debit card customers</w:t>
      </w:r>
      <w:r w:rsidR="0038796C">
        <w:rPr>
          <w:rFonts w:ascii="Times New Roman" w:hAnsi="Times New Roman" w:cs="Times New Roman"/>
          <w:sz w:val="24"/>
          <w:szCs w:val="24"/>
        </w:rPr>
        <w:t xml:space="preserve"> a convenience fee</w:t>
      </w:r>
      <w:r w:rsidR="009B45A9">
        <w:rPr>
          <w:rFonts w:ascii="Times New Roman" w:hAnsi="Times New Roman" w:cs="Times New Roman"/>
          <w:sz w:val="24"/>
          <w:szCs w:val="24"/>
        </w:rPr>
        <w:t xml:space="preserve">, whereas energy utilities </w:t>
      </w:r>
      <w:r w:rsidR="009B44C9">
        <w:rPr>
          <w:rFonts w:ascii="Times New Roman" w:hAnsi="Times New Roman" w:cs="Times New Roman"/>
          <w:sz w:val="24"/>
          <w:szCs w:val="24"/>
        </w:rPr>
        <w:t>do.</w:t>
      </w:r>
    </w:p>
    <w:p w14:paraId="571AD305" w14:textId="77777777" w:rsidR="00231D86" w:rsidRDefault="00231D86" w:rsidP="009B45A9">
      <w:pPr>
        <w:rPr>
          <w:rFonts w:ascii="Times New Roman" w:hAnsi="Times New Roman" w:cs="Times New Roman"/>
          <w:sz w:val="24"/>
          <w:szCs w:val="24"/>
        </w:rPr>
      </w:pPr>
    </w:p>
    <w:p w14:paraId="3B1E3830" w14:textId="48A7E664" w:rsidR="009B45A9" w:rsidRDefault="009E6CBD" w:rsidP="009B45A9">
      <w:pPr>
        <w:rPr>
          <w:rFonts w:ascii="Times New Roman" w:hAnsi="Times New Roman" w:cs="Times New Roman"/>
          <w:sz w:val="24"/>
          <w:szCs w:val="24"/>
        </w:rPr>
      </w:pPr>
      <w:r>
        <w:rPr>
          <w:rFonts w:ascii="Times New Roman" w:hAnsi="Times New Roman" w:cs="Times New Roman"/>
          <w:sz w:val="24"/>
          <w:szCs w:val="24"/>
        </w:rPr>
        <w:t xml:space="preserve">As an example, CenturyLink, a telecommunications company that has been minimally regulated under an Alternative Form of Regulation since 2007, doesn’t directly charge a convenience fee to those customers </w:t>
      </w:r>
      <w:r w:rsidR="00CA2B24">
        <w:rPr>
          <w:rFonts w:ascii="Times New Roman" w:hAnsi="Times New Roman" w:cs="Times New Roman"/>
          <w:sz w:val="24"/>
          <w:szCs w:val="24"/>
        </w:rPr>
        <w:t>paying with a debit or credit card,</w:t>
      </w:r>
      <w:r w:rsidR="00455260">
        <w:rPr>
          <w:rFonts w:ascii="Times New Roman" w:hAnsi="Times New Roman" w:cs="Times New Roman"/>
          <w:sz w:val="24"/>
          <w:szCs w:val="24"/>
        </w:rPr>
        <w:t xml:space="preserve"> whereas PSE</w:t>
      </w:r>
      <w:r w:rsidR="00E146DD">
        <w:rPr>
          <w:rFonts w:ascii="Times New Roman" w:hAnsi="Times New Roman" w:cs="Times New Roman"/>
          <w:sz w:val="24"/>
          <w:szCs w:val="24"/>
        </w:rPr>
        <w:t xml:space="preserve"> does.</w:t>
      </w:r>
      <w:r w:rsidR="00455260">
        <w:rPr>
          <w:rFonts w:ascii="Times New Roman" w:hAnsi="Times New Roman" w:cs="Times New Roman"/>
          <w:sz w:val="24"/>
          <w:szCs w:val="24"/>
        </w:rPr>
        <w:t xml:space="preserve"> </w:t>
      </w:r>
      <w:r w:rsidR="009A313C">
        <w:rPr>
          <w:rFonts w:ascii="Times New Roman" w:hAnsi="Times New Roman" w:cs="Times New Roman"/>
          <w:sz w:val="24"/>
          <w:szCs w:val="24"/>
        </w:rPr>
        <w:t>NW Natural</w:t>
      </w:r>
      <w:r w:rsidR="009B45A9">
        <w:rPr>
          <w:rFonts w:ascii="Times New Roman" w:hAnsi="Times New Roman" w:cs="Times New Roman"/>
          <w:sz w:val="24"/>
          <w:szCs w:val="24"/>
        </w:rPr>
        <w:t xml:space="preserve"> is the only </w:t>
      </w:r>
      <w:proofErr w:type="gramStart"/>
      <w:r w:rsidR="009B45A9">
        <w:rPr>
          <w:rFonts w:ascii="Times New Roman" w:hAnsi="Times New Roman" w:cs="Times New Roman"/>
          <w:sz w:val="24"/>
          <w:szCs w:val="24"/>
        </w:rPr>
        <w:t>energy</w:t>
      </w:r>
      <w:proofErr w:type="gramEnd"/>
      <w:r w:rsidR="009B45A9">
        <w:rPr>
          <w:rFonts w:ascii="Times New Roman" w:hAnsi="Times New Roman" w:cs="Times New Roman"/>
          <w:sz w:val="24"/>
          <w:szCs w:val="24"/>
        </w:rPr>
        <w:t xml:space="preserve"> utility that does not directly charge </w:t>
      </w:r>
      <w:r w:rsidR="009A313C">
        <w:rPr>
          <w:rFonts w:ascii="Times New Roman" w:hAnsi="Times New Roman" w:cs="Times New Roman"/>
          <w:sz w:val="24"/>
          <w:szCs w:val="24"/>
        </w:rPr>
        <w:t>its</w:t>
      </w:r>
      <w:r w:rsidR="009B45A9">
        <w:rPr>
          <w:rFonts w:ascii="Times New Roman" w:hAnsi="Times New Roman" w:cs="Times New Roman"/>
          <w:sz w:val="24"/>
          <w:szCs w:val="24"/>
        </w:rPr>
        <w:t xml:space="preserve"> customers</w:t>
      </w:r>
      <w:r w:rsidR="0038796C">
        <w:rPr>
          <w:rFonts w:ascii="Times New Roman" w:hAnsi="Times New Roman" w:cs="Times New Roman"/>
          <w:sz w:val="24"/>
          <w:szCs w:val="24"/>
        </w:rPr>
        <w:t xml:space="preserve"> for card fees – a practice they recently started</w:t>
      </w:r>
      <w:r w:rsidR="009A313C">
        <w:rPr>
          <w:rFonts w:ascii="Times New Roman" w:hAnsi="Times New Roman" w:cs="Times New Roman"/>
          <w:sz w:val="24"/>
          <w:szCs w:val="24"/>
        </w:rPr>
        <w:t xml:space="preserve"> - </w:t>
      </w:r>
      <w:r w:rsidR="0038796C">
        <w:rPr>
          <w:rFonts w:ascii="Times New Roman" w:hAnsi="Times New Roman" w:cs="Times New Roman"/>
          <w:sz w:val="24"/>
          <w:szCs w:val="24"/>
        </w:rPr>
        <w:t xml:space="preserve">and is primarily due to </w:t>
      </w:r>
      <w:r w:rsidR="009A313C">
        <w:rPr>
          <w:rFonts w:ascii="Times New Roman" w:hAnsi="Times New Roman" w:cs="Times New Roman"/>
          <w:sz w:val="24"/>
          <w:szCs w:val="24"/>
        </w:rPr>
        <w:t>its</w:t>
      </w:r>
      <w:r w:rsidR="0038796C">
        <w:rPr>
          <w:rFonts w:ascii="Times New Roman" w:hAnsi="Times New Roman" w:cs="Times New Roman"/>
          <w:sz w:val="24"/>
          <w:szCs w:val="24"/>
        </w:rPr>
        <w:t xml:space="preserve"> ability to recover these</w:t>
      </w:r>
      <w:r w:rsidR="00231D86">
        <w:rPr>
          <w:rFonts w:ascii="Times New Roman" w:hAnsi="Times New Roman" w:cs="Times New Roman"/>
          <w:sz w:val="24"/>
          <w:szCs w:val="24"/>
        </w:rPr>
        <w:t xml:space="preserve"> costs in Oregon, where the vast majority</w:t>
      </w:r>
      <w:r w:rsidR="0038796C">
        <w:rPr>
          <w:rFonts w:ascii="Times New Roman" w:hAnsi="Times New Roman" w:cs="Times New Roman"/>
          <w:sz w:val="24"/>
          <w:szCs w:val="24"/>
        </w:rPr>
        <w:t xml:space="preserve"> of their customers reside.</w:t>
      </w:r>
      <w:r w:rsidR="008D5064">
        <w:rPr>
          <w:rFonts w:ascii="Times New Roman" w:hAnsi="Times New Roman" w:cs="Times New Roman"/>
          <w:sz w:val="24"/>
          <w:szCs w:val="24"/>
        </w:rPr>
        <w:t xml:space="preserve"> N</w:t>
      </w:r>
      <w:r w:rsidR="00017108">
        <w:rPr>
          <w:rFonts w:ascii="Times New Roman" w:hAnsi="Times New Roman" w:cs="Times New Roman"/>
          <w:sz w:val="24"/>
          <w:szCs w:val="24"/>
        </w:rPr>
        <w:t>W</w:t>
      </w:r>
      <w:r w:rsidR="008D5064">
        <w:rPr>
          <w:rFonts w:ascii="Times New Roman" w:hAnsi="Times New Roman" w:cs="Times New Roman"/>
          <w:sz w:val="24"/>
          <w:szCs w:val="24"/>
        </w:rPr>
        <w:t xml:space="preserve"> Natural has stated their intention to seek recovery of the Washington share of these costs in their next Washington rate case.</w:t>
      </w:r>
    </w:p>
    <w:p w14:paraId="115E6D52" w14:textId="77777777" w:rsidR="00F536A8" w:rsidRDefault="00F536A8" w:rsidP="009B45A9">
      <w:pPr>
        <w:rPr>
          <w:rFonts w:ascii="Times New Roman" w:hAnsi="Times New Roman" w:cs="Times New Roman"/>
          <w:sz w:val="24"/>
          <w:szCs w:val="24"/>
        </w:rPr>
      </w:pPr>
    </w:p>
    <w:p w14:paraId="6E949B22" w14:textId="72A339D2" w:rsidR="00F536A8" w:rsidRDefault="00CA2B24" w:rsidP="009B45A9">
      <w:pPr>
        <w:rPr>
          <w:rFonts w:ascii="Times New Roman" w:hAnsi="Times New Roman" w:cs="Times New Roman"/>
          <w:sz w:val="24"/>
          <w:szCs w:val="24"/>
        </w:rPr>
      </w:pPr>
      <w:r>
        <w:rPr>
          <w:rFonts w:ascii="Times New Roman" w:hAnsi="Times New Roman" w:cs="Times New Roman"/>
          <w:sz w:val="24"/>
          <w:szCs w:val="24"/>
        </w:rPr>
        <w:t>All of the c</w:t>
      </w:r>
      <w:r w:rsidR="00F536A8">
        <w:rPr>
          <w:rFonts w:ascii="Times New Roman" w:hAnsi="Times New Roman" w:cs="Times New Roman"/>
          <w:sz w:val="24"/>
          <w:szCs w:val="24"/>
        </w:rPr>
        <w:t>ompanies</w:t>
      </w:r>
      <w:r>
        <w:rPr>
          <w:rFonts w:ascii="Times New Roman" w:hAnsi="Times New Roman" w:cs="Times New Roman"/>
          <w:sz w:val="24"/>
          <w:szCs w:val="24"/>
        </w:rPr>
        <w:t xml:space="preserve"> that submitted comments</w:t>
      </w:r>
      <w:r w:rsidR="00F536A8">
        <w:rPr>
          <w:rFonts w:ascii="Times New Roman" w:hAnsi="Times New Roman" w:cs="Times New Roman"/>
          <w:sz w:val="24"/>
          <w:szCs w:val="24"/>
        </w:rPr>
        <w:t xml:space="preserve"> contract through third-party payment processors to handle credit and debit card transactions (and often, one-time Automated Clearing House</w:t>
      </w:r>
      <w:r w:rsidR="00C63394">
        <w:rPr>
          <w:rFonts w:ascii="Times New Roman" w:hAnsi="Times New Roman" w:cs="Times New Roman"/>
          <w:sz w:val="24"/>
          <w:szCs w:val="24"/>
        </w:rPr>
        <w:t xml:space="preserve"> [ACH]</w:t>
      </w:r>
      <w:r w:rsidR="00F536A8">
        <w:rPr>
          <w:rFonts w:ascii="Times New Roman" w:hAnsi="Times New Roman" w:cs="Times New Roman"/>
          <w:sz w:val="24"/>
          <w:szCs w:val="24"/>
        </w:rPr>
        <w:t xml:space="preserve"> transactions). </w:t>
      </w:r>
      <w:r w:rsidR="000D1CFE">
        <w:rPr>
          <w:rFonts w:ascii="Times New Roman" w:hAnsi="Times New Roman" w:cs="Times New Roman"/>
          <w:sz w:val="24"/>
          <w:szCs w:val="24"/>
        </w:rPr>
        <w:t>These third-party agents are able to specialize in compliance with</w:t>
      </w:r>
      <w:r w:rsidR="006A7512">
        <w:rPr>
          <w:rFonts w:ascii="Times New Roman" w:hAnsi="Times New Roman" w:cs="Times New Roman"/>
          <w:sz w:val="24"/>
          <w:szCs w:val="24"/>
        </w:rPr>
        <w:t xml:space="preserve"> federal consumer protection and financial regulations, and industry standards such as</w:t>
      </w:r>
      <w:r w:rsidR="000D1CFE">
        <w:rPr>
          <w:rFonts w:ascii="Times New Roman" w:hAnsi="Times New Roman" w:cs="Times New Roman"/>
          <w:sz w:val="24"/>
          <w:szCs w:val="24"/>
        </w:rPr>
        <w:t xml:space="preserve"> </w:t>
      </w:r>
      <w:r w:rsidR="006A7512">
        <w:rPr>
          <w:rFonts w:ascii="Times New Roman" w:hAnsi="Times New Roman" w:cs="Times New Roman"/>
          <w:sz w:val="24"/>
          <w:szCs w:val="24"/>
        </w:rPr>
        <w:t>those set by the Payment Card Industry Security Standards Council.</w:t>
      </w:r>
      <w:r w:rsidR="001312FF">
        <w:rPr>
          <w:rFonts w:ascii="Times New Roman" w:hAnsi="Times New Roman" w:cs="Times New Roman"/>
          <w:sz w:val="24"/>
          <w:szCs w:val="24"/>
        </w:rPr>
        <w:t xml:space="preserve"> In exchange for performing these functions, the third-party payment processor collects a direct convenience fee from the customer.</w:t>
      </w:r>
      <w:r w:rsidR="00CD755E">
        <w:rPr>
          <w:rFonts w:ascii="Times New Roman" w:hAnsi="Times New Roman" w:cs="Times New Roman"/>
          <w:sz w:val="24"/>
          <w:szCs w:val="24"/>
        </w:rPr>
        <w:t xml:space="preserve"> These contracts are p</w:t>
      </w:r>
      <w:r w:rsidR="007B12C6">
        <w:rPr>
          <w:rFonts w:ascii="Times New Roman" w:hAnsi="Times New Roman" w:cs="Times New Roman"/>
          <w:sz w:val="24"/>
          <w:szCs w:val="24"/>
        </w:rPr>
        <w:t>ut out for competitive bidding</w:t>
      </w:r>
      <w:r w:rsidR="007536E5">
        <w:rPr>
          <w:rFonts w:ascii="Times New Roman" w:hAnsi="Times New Roman" w:cs="Times New Roman"/>
          <w:sz w:val="24"/>
          <w:szCs w:val="24"/>
        </w:rPr>
        <w:t xml:space="preserve"> by the utility</w:t>
      </w:r>
      <w:r w:rsidR="007B12C6">
        <w:rPr>
          <w:rFonts w:ascii="Times New Roman" w:hAnsi="Times New Roman" w:cs="Times New Roman"/>
          <w:sz w:val="24"/>
          <w:szCs w:val="24"/>
        </w:rPr>
        <w:t>. In these contracts, f</w:t>
      </w:r>
      <w:r w:rsidR="00CD755E">
        <w:rPr>
          <w:rFonts w:ascii="Times New Roman" w:hAnsi="Times New Roman" w:cs="Times New Roman"/>
          <w:sz w:val="24"/>
          <w:szCs w:val="24"/>
        </w:rPr>
        <w:t>inal costs per transaction are often</w:t>
      </w:r>
      <w:r w:rsidR="007B12C6">
        <w:rPr>
          <w:rFonts w:ascii="Times New Roman" w:hAnsi="Times New Roman" w:cs="Times New Roman"/>
          <w:sz w:val="24"/>
          <w:szCs w:val="24"/>
        </w:rPr>
        <w:t xml:space="preserve"> </w:t>
      </w:r>
      <w:r w:rsidR="00E146DD">
        <w:rPr>
          <w:rFonts w:ascii="Times New Roman" w:hAnsi="Times New Roman" w:cs="Times New Roman"/>
          <w:sz w:val="24"/>
          <w:szCs w:val="24"/>
        </w:rPr>
        <w:t>determined by considering</w:t>
      </w:r>
      <w:r w:rsidR="00CD755E">
        <w:rPr>
          <w:rFonts w:ascii="Times New Roman" w:hAnsi="Times New Roman" w:cs="Times New Roman"/>
          <w:sz w:val="24"/>
          <w:szCs w:val="24"/>
        </w:rPr>
        <w:t xml:space="preserve"> the average payment size expected, the </w:t>
      </w:r>
      <w:r w:rsidR="00031514">
        <w:rPr>
          <w:rFonts w:ascii="Times New Roman" w:hAnsi="Times New Roman" w:cs="Times New Roman"/>
          <w:sz w:val="24"/>
          <w:szCs w:val="24"/>
        </w:rPr>
        <w:t>largest</w:t>
      </w:r>
      <w:r w:rsidR="00CD755E">
        <w:rPr>
          <w:rFonts w:ascii="Times New Roman" w:hAnsi="Times New Roman" w:cs="Times New Roman"/>
          <w:sz w:val="24"/>
          <w:szCs w:val="24"/>
        </w:rPr>
        <w:t xml:space="preserve"> payment size allowed, payment frequency, and number of customers</w:t>
      </w:r>
      <w:r w:rsidR="009A313C">
        <w:rPr>
          <w:rFonts w:ascii="Times New Roman" w:hAnsi="Times New Roman" w:cs="Times New Roman"/>
          <w:sz w:val="24"/>
          <w:szCs w:val="24"/>
        </w:rPr>
        <w:t xml:space="preserve"> expected to pay by card</w:t>
      </w:r>
      <w:r w:rsidR="00CD755E">
        <w:rPr>
          <w:rFonts w:ascii="Times New Roman" w:hAnsi="Times New Roman" w:cs="Times New Roman"/>
          <w:sz w:val="24"/>
          <w:szCs w:val="24"/>
        </w:rPr>
        <w:t>. When utilities agree to lower the maximum payment size allowed, they can usually achieve a lower cost for each transaction</w:t>
      </w:r>
      <w:r w:rsidR="00F47F1D">
        <w:rPr>
          <w:rFonts w:ascii="Times New Roman" w:hAnsi="Times New Roman" w:cs="Times New Roman"/>
          <w:sz w:val="24"/>
          <w:szCs w:val="24"/>
        </w:rPr>
        <w:t>.</w:t>
      </w:r>
      <w:r w:rsidR="007B12C6">
        <w:rPr>
          <w:rStyle w:val="FootnoteReference"/>
          <w:rFonts w:ascii="Times New Roman" w:hAnsi="Times New Roman" w:cs="Times New Roman"/>
          <w:sz w:val="24"/>
          <w:szCs w:val="24"/>
        </w:rPr>
        <w:footnoteReference w:id="1"/>
      </w:r>
    </w:p>
    <w:p w14:paraId="4C0B9F3B" w14:textId="6A3816A3" w:rsidR="00566886" w:rsidRDefault="00566886">
      <w:pPr>
        <w:rPr>
          <w:rFonts w:ascii="Times New Roman" w:hAnsi="Times New Roman" w:cs="Times New Roman"/>
          <w:b/>
          <w:sz w:val="24"/>
          <w:szCs w:val="24"/>
        </w:rPr>
      </w:pPr>
    </w:p>
    <w:p w14:paraId="74E887FA" w14:textId="77777777" w:rsidR="009B45A9" w:rsidRPr="0038796C" w:rsidRDefault="009B45A9" w:rsidP="009B45A9">
      <w:pPr>
        <w:pStyle w:val="ListParagraph"/>
        <w:numPr>
          <w:ilvl w:val="0"/>
          <w:numId w:val="1"/>
        </w:numPr>
        <w:ind w:left="360"/>
        <w:rPr>
          <w:rFonts w:ascii="Times New Roman" w:hAnsi="Times New Roman" w:cs="Times New Roman"/>
          <w:b/>
          <w:sz w:val="24"/>
          <w:szCs w:val="24"/>
        </w:rPr>
      </w:pPr>
      <w:r w:rsidRPr="0038796C">
        <w:rPr>
          <w:rFonts w:ascii="Times New Roman" w:hAnsi="Times New Roman" w:cs="Times New Roman"/>
          <w:b/>
          <w:sz w:val="24"/>
          <w:szCs w:val="24"/>
        </w:rPr>
        <w:t>Desired practice</w:t>
      </w:r>
      <w:r w:rsidR="00F536A8">
        <w:rPr>
          <w:rFonts w:ascii="Times New Roman" w:hAnsi="Times New Roman" w:cs="Times New Roman"/>
          <w:b/>
          <w:sz w:val="24"/>
          <w:szCs w:val="24"/>
        </w:rPr>
        <w:t>:</w:t>
      </w:r>
    </w:p>
    <w:p w14:paraId="17B57117" w14:textId="77777777" w:rsidR="009B45A9" w:rsidRDefault="009B45A9" w:rsidP="009B45A9">
      <w:pPr>
        <w:rPr>
          <w:rFonts w:ascii="Times New Roman" w:hAnsi="Times New Roman" w:cs="Times New Roman"/>
          <w:sz w:val="24"/>
          <w:szCs w:val="24"/>
        </w:rPr>
      </w:pPr>
    </w:p>
    <w:p w14:paraId="26C04F28" w14:textId="3E8F5504" w:rsidR="0038796C" w:rsidRDefault="008D5064" w:rsidP="009B45A9">
      <w:pPr>
        <w:rPr>
          <w:rFonts w:ascii="Times New Roman" w:hAnsi="Times New Roman" w:cs="Times New Roman"/>
          <w:sz w:val="24"/>
          <w:szCs w:val="24"/>
        </w:rPr>
      </w:pPr>
      <w:r>
        <w:rPr>
          <w:rFonts w:ascii="Times New Roman" w:hAnsi="Times New Roman" w:cs="Times New Roman"/>
          <w:sz w:val="24"/>
          <w:szCs w:val="24"/>
        </w:rPr>
        <w:t xml:space="preserve">With the </w:t>
      </w:r>
      <w:r w:rsidR="006C4918">
        <w:rPr>
          <w:rFonts w:ascii="Times New Roman" w:hAnsi="Times New Roman" w:cs="Times New Roman"/>
          <w:sz w:val="24"/>
          <w:szCs w:val="24"/>
        </w:rPr>
        <w:t xml:space="preserve">possible </w:t>
      </w:r>
      <w:r>
        <w:rPr>
          <w:rFonts w:ascii="Times New Roman" w:hAnsi="Times New Roman" w:cs="Times New Roman"/>
          <w:sz w:val="24"/>
          <w:szCs w:val="24"/>
        </w:rPr>
        <w:t>exception of Pacific Power</w:t>
      </w:r>
      <w:r w:rsidR="006C4918">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all</w:t>
      </w:r>
      <w:r w:rsidR="0038796C">
        <w:rPr>
          <w:rFonts w:ascii="Times New Roman" w:hAnsi="Times New Roman" w:cs="Times New Roman"/>
          <w:sz w:val="24"/>
          <w:szCs w:val="24"/>
        </w:rPr>
        <w:t xml:space="preserve"> energy utilities</w:t>
      </w:r>
      <w:r w:rsidR="001631C1">
        <w:rPr>
          <w:rFonts w:ascii="Times New Roman" w:hAnsi="Times New Roman" w:cs="Times New Roman"/>
          <w:sz w:val="24"/>
          <w:szCs w:val="24"/>
        </w:rPr>
        <w:t>, and Public Counsel,</w:t>
      </w:r>
      <w:r w:rsidR="0038796C">
        <w:rPr>
          <w:rFonts w:ascii="Times New Roman" w:hAnsi="Times New Roman" w:cs="Times New Roman"/>
          <w:sz w:val="24"/>
          <w:szCs w:val="24"/>
        </w:rPr>
        <w:t xml:space="preserve"> are interested in </w:t>
      </w:r>
      <w:r w:rsidR="00C74897">
        <w:rPr>
          <w:rFonts w:ascii="Times New Roman" w:hAnsi="Times New Roman" w:cs="Times New Roman"/>
          <w:sz w:val="24"/>
          <w:szCs w:val="24"/>
        </w:rPr>
        <w:t>recovering the costs of processing credit and debit cards</w:t>
      </w:r>
      <w:r w:rsidR="0038796C">
        <w:rPr>
          <w:rFonts w:ascii="Times New Roman" w:hAnsi="Times New Roman" w:cs="Times New Roman"/>
          <w:sz w:val="24"/>
          <w:szCs w:val="24"/>
        </w:rPr>
        <w:t xml:space="preserve"> as an</w:t>
      </w:r>
      <w:r w:rsidR="008753F6">
        <w:rPr>
          <w:rFonts w:ascii="Times New Roman" w:hAnsi="Times New Roman" w:cs="Times New Roman"/>
          <w:sz w:val="24"/>
          <w:szCs w:val="24"/>
        </w:rPr>
        <w:t xml:space="preserve"> operating expense through the compan</w:t>
      </w:r>
      <w:r w:rsidR="00D47785">
        <w:rPr>
          <w:rFonts w:ascii="Times New Roman" w:hAnsi="Times New Roman" w:cs="Times New Roman"/>
          <w:sz w:val="24"/>
          <w:szCs w:val="24"/>
        </w:rPr>
        <w:t>ie</w:t>
      </w:r>
      <w:r w:rsidR="008753F6">
        <w:rPr>
          <w:rFonts w:ascii="Times New Roman" w:hAnsi="Times New Roman" w:cs="Times New Roman"/>
          <w:sz w:val="24"/>
          <w:szCs w:val="24"/>
        </w:rPr>
        <w:t>s</w:t>
      </w:r>
      <w:r w:rsidR="00D47785">
        <w:rPr>
          <w:rFonts w:ascii="Times New Roman" w:hAnsi="Times New Roman" w:cs="Times New Roman"/>
          <w:sz w:val="24"/>
          <w:szCs w:val="24"/>
        </w:rPr>
        <w:t>’</w:t>
      </w:r>
      <w:r w:rsidR="0038796C">
        <w:rPr>
          <w:rFonts w:ascii="Times New Roman" w:hAnsi="Times New Roman" w:cs="Times New Roman"/>
          <w:sz w:val="24"/>
          <w:szCs w:val="24"/>
        </w:rPr>
        <w:t xml:space="preserve"> revenue requirement. Several reasons are given for this </w:t>
      </w:r>
      <w:r w:rsidR="00C74897">
        <w:rPr>
          <w:rFonts w:ascii="Times New Roman" w:hAnsi="Times New Roman" w:cs="Times New Roman"/>
          <w:sz w:val="24"/>
          <w:szCs w:val="24"/>
        </w:rPr>
        <w:t>position</w:t>
      </w:r>
      <w:r w:rsidR="0038796C">
        <w:rPr>
          <w:rFonts w:ascii="Times New Roman" w:hAnsi="Times New Roman" w:cs="Times New Roman"/>
          <w:sz w:val="24"/>
          <w:szCs w:val="24"/>
        </w:rPr>
        <w:t>:</w:t>
      </w:r>
    </w:p>
    <w:p w14:paraId="3AA9762B" w14:textId="77777777" w:rsidR="0038796C" w:rsidRDefault="0038796C" w:rsidP="0038796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Customers expect the ability to pay by several methods without incurring fees, and the inability to do so with this method is an area in which customers consistently express frustration.</w:t>
      </w:r>
    </w:p>
    <w:p w14:paraId="122711C9" w14:textId="77777777" w:rsidR="0038796C" w:rsidRDefault="0038796C" w:rsidP="0038796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Many customers use other utilities that do not have this </w:t>
      </w:r>
      <w:r w:rsidR="003250C1">
        <w:rPr>
          <w:rFonts w:ascii="Times New Roman" w:hAnsi="Times New Roman" w:cs="Times New Roman"/>
          <w:sz w:val="24"/>
          <w:szCs w:val="24"/>
        </w:rPr>
        <w:t>practice</w:t>
      </w:r>
      <w:r>
        <w:rPr>
          <w:rFonts w:ascii="Times New Roman" w:hAnsi="Times New Roman" w:cs="Times New Roman"/>
          <w:sz w:val="24"/>
          <w:szCs w:val="24"/>
        </w:rPr>
        <w:t>.</w:t>
      </w:r>
    </w:p>
    <w:p w14:paraId="7FE20E67" w14:textId="77777777" w:rsidR="0038796C" w:rsidRDefault="0038796C" w:rsidP="0038796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Debit and credit card usage is increasing nationwide and statewide.</w:t>
      </w:r>
    </w:p>
    <w:p w14:paraId="1E4F8313" w14:textId="1BBD5D10" w:rsidR="0038796C" w:rsidRDefault="00C63D77" w:rsidP="0038796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Unlike credit and debit cards, c</w:t>
      </w:r>
      <w:r w:rsidR="0038796C">
        <w:rPr>
          <w:rFonts w:ascii="Times New Roman" w:hAnsi="Times New Roman" w:cs="Times New Roman"/>
          <w:sz w:val="24"/>
          <w:szCs w:val="24"/>
        </w:rPr>
        <w:t xml:space="preserve">osts of other payment methods, and of billing, are </w:t>
      </w:r>
      <w:r w:rsidR="006C4918">
        <w:rPr>
          <w:rFonts w:ascii="Times New Roman" w:hAnsi="Times New Roman" w:cs="Times New Roman"/>
          <w:sz w:val="24"/>
          <w:szCs w:val="24"/>
        </w:rPr>
        <w:t>borne by</w:t>
      </w:r>
      <w:r w:rsidR="0038796C">
        <w:rPr>
          <w:rFonts w:ascii="Times New Roman" w:hAnsi="Times New Roman" w:cs="Times New Roman"/>
          <w:sz w:val="24"/>
          <w:szCs w:val="24"/>
        </w:rPr>
        <w:t xml:space="preserve"> all customers</w:t>
      </w:r>
      <w:r w:rsidR="006C4918">
        <w:rPr>
          <w:rFonts w:ascii="Times New Roman" w:hAnsi="Times New Roman" w:cs="Times New Roman"/>
          <w:sz w:val="24"/>
          <w:szCs w:val="24"/>
        </w:rPr>
        <w:t xml:space="preserve"> (e.g. costs traditional payment methods such as cash and checks, are typically included in revenue requirement calculations and borne in service rates charged to all customers)</w:t>
      </w:r>
      <w:r w:rsidR="0038796C">
        <w:rPr>
          <w:rFonts w:ascii="Times New Roman" w:hAnsi="Times New Roman" w:cs="Times New Roman"/>
          <w:sz w:val="24"/>
          <w:szCs w:val="24"/>
        </w:rPr>
        <w:t>.</w:t>
      </w:r>
    </w:p>
    <w:p w14:paraId="6B643AE7" w14:textId="77777777" w:rsidR="0038796C" w:rsidRDefault="0038796C" w:rsidP="0038796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These fees disproportionately affect unbanked customers</w:t>
      </w:r>
      <w:r w:rsidR="00C63D77">
        <w:rPr>
          <w:rFonts w:ascii="Times New Roman" w:hAnsi="Times New Roman" w:cs="Times New Roman"/>
          <w:sz w:val="24"/>
          <w:szCs w:val="24"/>
        </w:rPr>
        <w:t>, who tend to be of lower means</w:t>
      </w:r>
      <w:r>
        <w:rPr>
          <w:rFonts w:ascii="Times New Roman" w:hAnsi="Times New Roman" w:cs="Times New Roman"/>
          <w:sz w:val="24"/>
          <w:szCs w:val="24"/>
        </w:rPr>
        <w:t>.</w:t>
      </w:r>
    </w:p>
    <w:p w14:paraId="7F34A94C" w14:textId="77777777" w:rsidR="00CD755E" w:rsidRDefault="007536E5" w:rsidP="0038796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Further adoption of credit and debit card payments may have knock-off effects, such as reduced r</w:t>
      </w:r>
      <w:r w:rsidR="00CD755E">
        <w:rPr>
          <w:rFonts w:ascii="Times New Roman" w:hAnsi="Times New Roman" w:cs="Times New Roman"/>
          <w:sz w:val="24"/>
          <w:szCs w:val="24"/>
        </w:rPr>
        <w:t xml:space="preserve">emittance times, </w:t>
      </w:r>
      <w:r w:rsidR="00D47785">
        <w:rPr>
          <w:rFonts w:ascii="Times New Roman" w:hAnsi="Times New Roman" w:cs="Times New Roman"/>
          <w:sz w:val="24"/>
          <w:szCs w:val="24"/>
        </w:rPr>
        <w:t>r</w:t>
      </w:r>
      <w:r>
        <w:rPr>
          <w:rFonts w:ascii="Times New Roman" w:hAnsi="Times New Roman" w:cs="Times New Roman"/>
          <w:sz w:val="24"/>
          <w:szCs w:val="24"/>
        </w:rPr>
        <w:t xml:space="preserve">educed </w:t>
      </w:r>
      <w:r w:rsidR="00C63D77">
        <w:rPr>
          <w:rFonts w:ascii="Times New Roman" w:hAnsi="Times New Roman" w:cs="Times New Roman"/>
          <w:sz w:val="24"/>
          <w:szCs w:val="24"/>
        </w:rPr>
        <w:t>costs related to delinquent payments</w:t>
      </w:r>
      <w:r>
        <w:rPr>
          <w:rFonts w:ascii="Times New Roman" w:hAnsi="Times New Roman" w:cs="Times New Roman"/>
          <w:sz w:val="24"/>
          <w:szCs w:val="24"/>
        </w:rPr>
        <w:t>, and further uptake of paperless billing</w:t>
      </w:r>
      <w:r w:rsidR="00977F62">
        <w:rPr>
          <w:rFonts w:ascii="Times New Roman" w:hAnsi="Times New Roman" w:cs="Times New Roman"/>
          <w:sz w:val="24"/>
          <w:szCs w:val="24"/>
        </w:rPr>
        <w:t>.</w:t>
      </w:r>
    </w:p>
    <w:p w14:paraId="224FD2B4" w14:textId="77777777" w:rsidR="00977F62" w:rsidRDefault="00977F62" w:rsidP="0038796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Customer satisfaction would likely rise.</w:t>
      </w:r>
    </w:p>
    <w:p w14:paraId="6B53143C" w14:textId="77777777" w:rsidR="003E44CC" w:rsidRDefault="003E44CC" w:rsidP="0038796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costs associated with collecting payments of all </w:t>
      </w:r>
      <w:r w:rsidR="007B1D39">
        <w:rPr>
          <w:rFonts w:ascii="Times New Roman" w:hAnsi="Times New Roman" w:cs="Times New Roman"/>
          <w:sz w:val="24"/>
          <w:szCs w:val="24"/>
        </w:rPr>
        <w:t xml:space="preserve">types </w:t>
      </w:r>
      <w:r>
        <w:rPr>
          <w:rFonts w:ascii="Times New Roman" w:hAnsi="Times New Roman" w:cs="Times New Roman"/>
          <w:sz w:val="24"/>
          <w:szCs w:val="24"/>
        </w:rPr>
        <w:t>are an inherent cost of business.</w:t>
      </w:r>
    </w:p>
    <w:p w14:paraId="6D3C419F" w14:textId="77777777" w:rsidR="00231D86" w:rsidRDefault="00231D86" w:rsidP="00231D86">
      <w:pPr>
        <w:rPr>
          <w:rFonts w:ascii="Times New Roman" w:hAnsi="Times New Roman" w:cs="Times New Roman"/>
          <w:sz w:val="24"/>
          <w:szCs w:val="24"/>
        </w:rPr>
      </w:pPr>
    </w:p>
    <w:p w14:paraId="3BAE6C78" w14:textId="77777777" w:rsidR="00231D86" w:rsidRDefault="00231D86" w:rsidP="00231D86">
      <w:pPr>
        <w:rPr>
          <w:rFonts w:ascii="Times New Roman" w:hAnsi="Times New Roman" w:cs="Times New Roman"/>
          <w:sz w:val="24"/>
          <w:szCs w:val="24"/>
        </w:rPr>
      </w:pPr>
      <w:r>
        <w:rPr>
          <w:rFonts w:ascii="Times New Roman" w:hAnsi="Times New Roman" w:cs="Times New Roman"/>
          <w:sz w:val="24"/>
          <w:szCs w:val="24"/>
        </w:rPr>
        <w:t>CenturyLink does not charge customers a convenience fee for using debit or credit cards, but exp</w:t>
      </w:r>
      <w:r w:rsidR="000D1CFE">
        <w:rPr>
          <w:rFonts w:ascii="Times New Roman" w:hAnsi="Times New Roman" w:cs="Times New Roman"/>
          <w:sz w:val="24"/>
          <w:szCs w:val="24"/>
        </w:rPr>
        <w:t xml:space="preserve">ressed interest in doing so. CenturyLink’s credit and debit card payments are </w:t>
      </w:r>
      <w:r w:rsidR="007B1D39">
        <w:rPr>
          <w:rFonts w:ascii="Times New Roman" w:hAnsi="Times New Roman" w:cs="Times New Roman"/>
          <w:sz w:val="24"/>
          <w:szCs w:val="24"/>
        </w:rPr>
        <w:t xml:space="preserve">its </w:t>
      </w:r>
      <w:r w:rsidR="009E27C4">
        <w:rPr>
          <w:rFonts w:ascii="Times New Roman" w:hAnsi="Times New Roman" w:cs="Times New Roman"/>
          <w:sz w:val="24"/>
          <w:szCs w:val="24"/>
        </w:rPr>
        <w:t xml:space="preserve">second </w:t>
      </w:r>
      <w:r w:rsidR="000D1CFE">
        <w:rPr>
          <w:rFonts w:ascii="Times New Roman" w:hAnsi="Times New Roman" w:cs="Times New Roman"/>
          <w:sz w:val="24"/>
          <w:szCs w:val="24"/>
        </w:rPr>
        <w:t>highest-cost payment methods</w:t>
      </w:r>
      <w:r w:rsidR="009E27C4">
        <w:rPr>
          <w:rFonts w:ascii="Times New Roman" w:hAnsi="Times New Roman" w:cs="Times New Roman"/>
          <w:sz w:val="24"/>
          <w:szCs w:val="24"/>
        </w:rPr>
        <w:t>, behind cash payments</w:t>
      </w:r>
      <w:r w:rsidR="000D1CFE">
        <w:rPr>
          <w:rFonts w:ascii="Times New Roman" w:hAnsi="Times New Roman" w:cs="Times New Roman"/>
          <w:sz w:val="24"/>
          <w:szCs w:val="24"/>
        </w:rPr>
        <w:t>.</w:t>
      </w:r>
      <w:r w:rsidR="001312FF">
        <w:rPr>
          <w:rFonts w:ascii="Times New Roman" w:hAnsi="Times New Roman" w:cs="Times New Roman"/>
          <w:sz w:val="24"/>
          <w:szCs w:val="24"/>
        </w:rPr>
        <w:t xml:space="preserve"> Credit and debit card payments are likely to be one of the higher-cost payment methods for </w:t>
      </w:r>
      <w:r w:rsidR="009E27C4">
        <w:rPr>
          <w:rFonts w:ascii="Times New Roman" w:hAnsi="Times New Roman" w:cs="Times New Roman"/>
          <w:sz w:val="24"/>
          <w:szCs w:val="24"/>
        </w:rPr>
        <w:t xml:space="preserve">all </w:t>
      </w:r>
      <w:r w:rsidR="001312FF">
        <w:rPr>
          <w:rFonts w:ascii="Times New Roman" w:hAnsi="Times New Roman" w:cs="Times New Roman"/>
          <w:sz w:val="24"/>
          <w:szCs w:val="24"/>
        </w:rPr>
        <w:t>utilities</w:t>
      </w:r>
      <w:r w:rsidR="00FD6D30">
        <w:rPr>
          <w:rFonts w:ascii="Times New Roman" w:hAnsi="Times New Roman" w:cs="Times New Roman"/>
          <w:sz w:val="24"/>
          <w:szCs w:val="24"/>
        </w:rPr>
        <w:t xml:space="preserve">, but not necessarily the highest cost. </w:t>
      </w:r>
      <w:r w:rsidR="007B1D39">
        <w:rPr>
          <w:rFonts w:ascii="Times New Roman" w:hAnsi="Times New Roman" w:cs="Times New Roman"/>
          <w:sz w:val="24"/>
          <w:szCs w:val="24"/>
        </w:rPr>
        <w:t>PSE</w:t>
      </w:r>
      <w:r w:rsidR="00FD6D30">
        <w:rPr>
          <w:rFonts w:ascii="Times New Roman" w:hAnsi="Times New Roman" w:cs="Times New Roman"/>
          <w:sz w:val="24"/>
          <w:szCs w:val="24"/>
        </w:rPr>
        <w:t xml:space="preserve"> is an instructive case, explained </w:t>
      </w:r>
      <w:r w:rsidR="006C4918">
        <w:rPr>
          <w:rFonts w:ascii="Times New Roman" w:hAnsi="Times New Roman" w:cs="Times New Roman"/>
          <w:sz w:val="24"/>
          <w:szCs w:val="24"/>
        </w:rPr>
        <w:t xml:space="preserve">below </w:t>
      </w:r>
      <w:r w:rsidR="00FD6D30">
        <w:rPr>
          <w:rFonts w:ascii="Times New Roman" w:hAnsi="Times New Roman" w:cs="Times New Roman"/>
          <w:sz w:val="24"/>
          <w:szCs w:val="24"/>
        </w:rPr>
        <w:t>in the following section.</w:t>
      </w:r>
    </w:p>
    <w:p w14:paraId="2D840D3D" w14:textId="77777777" w:rsidR="00FD6D30" w:rsidRDefault="00FD6D30" w:rsidP="00231D86">
      <w:pPr>
        <w:rPr>
          <w:rFonts w:ascii="Times New Roman" w:hAnsi="Times New Roman" w:cs="Times New Roman"/>
          <w:sz w:val="24"/>
          <w:szCs w:val="24"/>
        </w:rPr>
      </w:pPr>
    </w:p>
    <w:p w14:paraId="3DFCA83D" w14:textId="504D185A" w:rsidR="00FD6D30" w:rsidRDefault="00FD6D30" w:rsidP="00231D86">
      <w:pPr>
        <w:rPr>
          <w:rFonts w:ascii="Times New Roman" w:hAnsi="Times New Roman" w:cs="Times New Roman"/>
          <w:sz w:val="24"/>
          <w:szCs w:val="24"/>
        </w:rPr>
      </w:pPr>
      <w:r>
        <w:rPr>
          <w:rFonts w:ascii="Times New Roman" w:hAnsi="Times New Roman" w:cs="Times New Roman"/>
          <w:sz w:val="24"/>
          <w:szCs w:val="24"/>
        </w:rPr>
        <w:t>Utility companies may also be able to achieve lower costs by meeting some conditions set by card companies themselves that would allow the utility to qualify for what</w:t>
      </w:r>
      <w:r w:rsidR="007B1D39">
        <w:rPr>
          <w:rFonts w:ascii="Times New Roman" w:hAnsi="Times New Roman" w:cs="Times New Roman"/>
          <w:sz w:val="24"/>
          <w:szCs w:val="24"/>
        </w:rPr>
        <w:t xml:space="preserve"> is</w:t>
      </w:r>
      <w:r>
        <w:rPr>
          <w:rFonts w:ascii="Times New Roman" w:hAnsi="Times New Roman" w:cs="Times New Roman"/>
          <w:sz w:val="24"/>
          <w:szCs w:val="24"/>
        </w:rPr>
        <w:t xml:space="preserve"> known as “the utility rate.” </w:t>
      </w:r>
      <w:r w:rsidR="006C4918">
        <w:rPr>
          <w:rFonts w:ascii="Times New Roman" w:hAnsi="Times New Roman" w:cs="Times New Roman"/>
          <w:sz w:val="24"/>
          <w:szCs w:val="24"/>
        </w:rPr>
        <w:t>The “utility rate”</w:t>
      </w:r>
      <w:r w:rsidR="00372D23">
        <w:rPr>
          <w:rFonts w:ascii="Times New Roman" w:hAnsi="Times New Roman" w:cs="Times New Roman"/>
          <w:sz w:val="24"/>
          <w:szCs w:val="24"/>
        </w:rPr>
        <w:t xml:space="preserve"> is a discounted processing charge levied by a card company to a utility when processing costs are embedded in service rates rather than through a separate convenience charge directly applied to specific customers.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00372D23">
        <w:rPr>
          <w:rFonts w:ascii="Times New Roman" w:hAnsi="Times New Roman" w:cs="Times New Roman"/>
          <w:sz w:val="24"/>
          <w:szCs w:val="24"/>
        </w:rPr>
        <w:t>Therefore, a</w:t>
      </w:r>
      <w:r>
        <w:rPr>
          <w:rFonts w:ascii="Times New Roman" w:hAnsi="Times New Roman" w:cs="Times New Roman"/>
          <w:sz w:val="24"/>
          <w:szCs w:val="24"/>
        </w:rPr>
        <w:t>s long as utilities assign the convenience fees directly to card-using customers, this condition will not be met</w:t>
      </w:r>
      <w:r w:rsidR="00372D23">
        <w:rPr>
          <w:rFonts w:ascii="Times New Roman" w:hAnsi="Times New Roman" w:cs="Times New Roman"/>
          <w:sz w:val="24"/>
          <w:szCs w:val="24"/>
        </w:rPr>
        <w:t xml:space="preserve"> and a utility will not get the benefit of a lower “utility rate”</w:t>
      </w:r>
      <w:r>
        <w:rPr>
          <w:rFonts w:ascii="Times New Roman" w:hAnsi="Times New Roman" w:cs="Times New Roman"/>
          <w:sz w:val="24"/>
          <w:szCs w:val="24"/>
        </w:rPr>
        <w:t xml:space="preserve">. </w:t>
      </w:r>
      <w:r w:rsidR="00372D23">
        <w:rPr>
          <w:rFonts w:ascii="Times New Roman" w:hAnsi="Times New Roman" w:cs="Times New Roman"/>
          <w:sz w:val="24"/>
          <w:szCs w:val="24"/>
        </w:rPr>
        <w:t xml:space="preserve">Embedding </w:t>
      </w:r>
      <w:r w:rsidR="00E30CC3">
        <w:rPr>
          <w:rFonts w:ascii="Times New Roman" w:hAnsi="Times New Roman" w:cs="Times New Roman"/>
          <w:sz w:val="24"/>
          <w:szCs w:val="24"/>
        </w:rPr>
        <w:t>third-party payment processing</w:t>
      </w:r>
      <w:r w:rsidR="00372D23">
        <w:rPr>
          <w:rFonts w:ascii="Times New Roman" w:hAnsi="Times New Roman" w:cs="Times New Roman"/>
          <w:sz w:val="24"/>
          <w:szCs w:val="24"/>
        </w:rPr>
        <w:t xml:space="preserve"> costs in </w:t>
      </w:r>
      <w:r w:rsidR="00E30CC3">
        <w:rPr>
          <w:rFonts w:ascii="Times New Roman" w:hAnsi="Times New Roman" w:cs="Times New Roman"/>
          <w:sz w:val="24"/>
          <w:szCs w:val="24"/>
        </w:rPr>
        <w:t>utility</w:t>
      </w:r>
      <w:r w:rsidR="00372D23">
        <w:rPr>
          <w:rFonts w:ascii="Times New Roman" w:hAnsi="Times New Roman" w:cs="Times New Roman"/>
          <w:sz w:val="24"/>
          <w:szCs w:val="24"/>
        </w:rPr>
        <w:t xml:space="preserve"> service rates </w:t>
      </w:r>
      <w:r w:rsidR="00E30CC3">
        <w:rPr>
          <w:rFonts w:ascii="Times New Roman" w:hAnsi="Times New Roman" w:cs="Times New Roman"/>
          <w:sz w:val="24"/>
          <w:szCs w:val="24"/>
        </w:rPr>
        <w:t>may allow</w:t>
      </w:r>
      <w:r w:rsidR="00372D23">
        <w:rPr>
          <w:rFonts w:ascii="Times New Roman" w:hAnsi="Times New Roman" w:cs="Times New Roman"/>
          <w:sz w:val="24"/>
          <w:szCs w:val="24"/>
        </w:rPr>
        <w:t xml:space="preserve"> utilities </w:t>
      </w:r>
      <w:r>
        <w:rPr>
          <w:rFonts w:ascii="Times New Roman" w:hAnsi="Times New Roman" w:cs="Times New Roman"/>
          <w:sz w:val="24"/>
          <w:szCs w:val="24"/>
        </w:rPr>
        <w:t xml:space="preserve">to achieve this discounted “utility rate” from card companies </w:t>
      </w:r>
      <w:r w:rsidR="00372D23">
        <w:rPr>
          <w:rFonts w:ascii="Times New Roman" w:hAnsi="Times New Roman" w:cs="Times New Roman"/>
          <w:sz w:val="24"/>
          <w:szCs w:val="24"/>
        </w:rPr>
        <w:t>and can</w:t>
      </w:r>
      <w:r>
        <w:rPr>
          <w:rFonts w:ascii="Times New Roman" w:hAnsi="Times New Roman" w:cs="Times New Roman"/>
          <w:sz w:val="24"/>
          <w:szCs w:val="24"/>
        </w:rPr>
        <w:t xml:space="preserve"> satisfy the credit and debit card companies’ desire for parity, from their </w:t>
      </w:r>
      <w:r>
        <w:rPr>
          <w:rFonts w:ascii="Times New Roman" w:hAnsi="Times New Roman" w:cs="Times New Roman"/>
          <w:sz w:val="24"/>
          <w:szCs w:val="24"/>
        </w:rPr>
        <w:lastRenderedPageBreak/>
        <w:t>perspective, in direct costs to their cardholders</w:t>
      </w:r>
      <w:r w:rsidR="00F47F1D">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Further assurances from credit and debit card companies, and the payment processors, should be received on this matter.</w:t>
      </w:r>
    </w:p>
    <w:p w14:paraId="20CF0627" w14:textId="77777777" w:rsidR="00FD6D30" w:rsidRDefault="00FD6D30" w:rsidP="00231D86">
      <w:pPr>
        <w:rPr>
          <w:rFonts w:ascii="Times New Roman" w:hAnsi="Times New Roman" w:cs="Times New Roman"/>
          <w:sz w:val="24"/>
          <w:szCs w:val="24"/>
        </w:rPr>
      </w:pPr>
    </w:p>
    <w:p w14:paraId="412BBF6A" w14:textId="35762522" w:rsidR="002C040E" w:rsidRDefault="00FD6D30" w:rsidP="00231D86">
      <w:pPr>
        <w:rPr>
          <w:rFonts w:ascii="Times New Roman" w:hAnsi="Times New Roman" w:cs="Times New Roman"/>
          <w:sz w:val="24"/>
          <w:szCs w:val="24"/>
        </w:rPr>
      </w:pPr>
      <w:r>
        <w:rPr>
          <w:rFonts w:ascii="Times New Roman" w:hAnsi="Times New Roman" w:cs="Times New Roman"/>
          <w:sz w:val="24"/>
          <w:szCs w:val="24"/>
        </w:rPr>
        <w:t>Staff has not estimated the bill impact of incorporating credit and debit card processing costs into the revenue requirements formula, as this would vary depending on the contractual arrangements achieved by the utilities and their payment processors. Furthermore, these contractual arrangements would likely change if utilities were able to recover these costs through rates – a chicken-and-egg problem of sorts. However, the Vermont Department of Public Service estimated in a 2012 report</w:t>
      </w:r>
      <w:r w:rsidR="001815EE">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that doing so would result in a $0.50 to $1.75 increase to customers’ bills over the entirety of a year</w:t>
      </w:r>
      <w:r w:rsidR="00F47F1D">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007B0AA1">
        <w:rPr>
          <w:rFonts w:ascii="Times New Roman" w:hAnsi="Times New Roman" w:cs="Times New Roman"/>
          <w:sz w:val="24"/>
          <w:szCs w:val="24"/>
        </w:rPr>
        <w:t xml:space="preserve"> NW Natural proposed a</w:t>
      </w:r>
      <w:r w:rsidR="003B5633">
        <w:rPr>
          <w:rFonts w:ascii="Times New Roman" w:hAnsi="Times New Roman" w:cs="Times New Roman"/>
          <w:sz w:val="24"/>
          <w:szCs w:val="24"/>
        </w:rPr>
        <w:t xml:space="preserve">n uncontested </w:t>
      </w:r>
      <w:r w:rsidR="007B0AA1">
        <w:rPr>
          <w:rFonts w:ascii="Times New Roman" w:hAnsi="Times New Roman" w:cs="Times New Roman"/>
          <w:sz w:val="24"/>
          <w:szCs w:val="24"/>
        </w:rPr>
        <w:t>revenue requirement increase of $1.0</w:t>
      </w:r>
      <w:r w:rsidR="00E30CC3">
        <w:rPr>
          <w:rFonts w:ascii="Times New Roman" w:hAnsi="Times New Roman" w:cs="Times New Roman"/>
          <w:sz w:val="24"/>
          <w:szCs w:val="24"/>
        </w:rPr>
        <w:t>5</w:t>
      </w:r>
      <w:r w:rsidR="007B0AA1">
        <w:rPr>
          <w:rFonts w:ascii="Times New Roman" w:hAnsi="Times New Roman" w:cs="Times New Roman"/>
          <w:sz w:val="24"/>
          <w:szCs w:val="24"/>
        </w:rPr>
        <w:t xml:space="preserve"> million </w:t>
      </w:r>
      <w:r w:rsidR="00E30CC3">
        <w:rPr>
          <w:rFonts w:ascii="Times New Roman" w:hAnsi="Times New Roman" w:cs="Times New Roman"/>
          <w:sz w:val="24"/>
          <w:szCs w:val="24"/>
        </w:rPr>
        <w:t>(</w:t>
      </w:r>
      <w:r w:rsidR="004E1234">
        <w:rPr>
          <w:rFonts w:ascii="Times New Roman" w:hAnsi="Times New Roman" w:cs="Times New Roman"/>
          <w:sz w:val="24"/>
          <w:szCs w:val="24"/>
        </w:rPr>
        <w:t xml:space="preserve">$1.56 per customer, per year) </w:t>
      </w:r>
      <w:r w:rsidR="007B0AA1">
        <w:rPr>
          <w:rFonts w:ascii="Times New Roman" w:hAnsi="Times New Roman" w:cs="Times New Roman"/>
          <w:sz w:val="24"/>
          <w:szCs w:val="24"/>
        </w:rPr>
        <w:t xml:space="preserve">in </w:t>
      </w:r>
      <w:r w:rsidR="000C59E8">
        <w:rPr>
          <w:rFonts w:ascii="Times New Roman" w:hAnsi="Times New Roman" w:cs="Times New Roman"/>
          <w:sz w:val="24"/>
          <w:szCs w:val="24"/>
        </w:rPr>
        <w:t xml:space="preserve">its </w:t>
      </w:r>
      <w:r w:rsidR="007B0AA1">
        <w:rPr>
          <w:rFonts w:ascii="Times New Roman" w:hAnsi="Times New Roman" w:cs="Times New Roman"/>
          <w:sz w:val="24"/>
          <w:szCs w:val="24"/>
        </w:rPr>
        <w:t>recent Oregon rate case</w:t>
      </w:r>
      <w:r w:rsidR="00874F29">
        <w:rPr>
          <w:rFonts w:ascii="Times New Roman" w:hAnsi="Times New Roman" w:cs="Times New Roman"/>
          <w:sz w:val="24"/>
          <w:szCs w:val="24"/>
        </w:rPr>
        <w:t xml:space="preserve"> for recovery of these costs</w:t>
      </w:r>
      <w:r w:rsidR="00F47F1D">
        <w:rPr>
          <w:rFonts w:ascii="Times New Roman" w:hAnsi="Times New Roman" w:cs="Times New Roman"/>
          <w:sz w:val="24"/>
          <w:szCs w:val="24"/>
        </w:rPr>
        <w:t>.</w:t>
      </w:r>
      <w:r w:rsidR="00A63A19">
        <w:rPr>
          <w:rStyle w:val="FootnoteReference"/>
          <w:rFonts w:ascii="Times New Roman" w:hAnsi="Times New Roman" w:cs="Times New Roman"/>
          <w:sz w:val="24"/>
          <w:szCs w:val="24"/>
        </w:rPr>
        <w:footnoteReference w:id="7"/>
      </w:r>
    </w:p>
    <w:p w14:paraId="465B16A8" w14:textId="77777777" w:rsidR="002C040E" w:rsidRDefault="002C040E" w:rsidP="00231D86">
      <w:pPr>
        <w:rPr>
          <w:rFonts w:ascii="Times New Roman" w:hAnsi="Times New Roman" w:cs="Times New Roman"/>
          <w:sz w:val="24"/>
          <w:szCs w:val="24"/>
        </w:rPr>
      </w:pPr>
    </w:p>
    <w:p w14:paraId="2F80FA02" w14:textId="77777777" w:rsidR="00FD6D30" w:rsidRDefault="002C040E" w:rsidP="00231D86">
      <w:pPr>
        <w:rPr>
          <w:rFonts w:ascii="Times New Roman" w:hAnsi="Times New Roman" w:cs="Times New Roman"/>
          <w:sz w:val="24"/>
          <w:szCs w:val="24"/>
        </w:rPr>
      </w:pPr>
      <w:r>
        <w:rPr>
          <w:rFonts w:ascii="Times New Roman" w:hAnsi="Times New Roman" w:cs="Times New Roman"/>
          <w:sz w:val="24"/>
          <w:szCs w:val="24"/>
        </w:rPr>
        <w:t>Several parties also made clear their desire for the commission to define the degree to which cost-causation principles should be applied to payment methods.</w:t>
      </w:r>
    </w:p>
    <w:p w14:paraId="0203E371" w14:textId="77777777" w:rsidR="0038796C" w:rsidRDefault="0038796C" w:rsidP="009B45A9">
      <w:pPr>
        <w:rPr>
          <w:rFonts w:ascii="Times New Roman" w:hAnsi="Times New Roman" w:cs="Times New Roman"/>
          <w:sz w:val="24"/>
          <w:szCs w:val="24"/>
        </w:rPr>
      </w:pPr>
    </w:p>
    <w:p w14:paraId="6A3908D1" w14:textId="77777777" w:rsidR="009B45A9" w:rsidRDefault="009B45A9" w:rsidP="009B45A9">
      <w:pPr>
        <w:pStyle w:val="ListParagraph"/>
        <w:numPr>
          <w:ilvl w:val="0"/>
          <w:numId w:val="1"/>
        </w:numPr>
        <w:ind w:left="360"/>
        <w:rPr>
          <w:rFonts w:ascii="Times New Roman" w:hAnsi="Times New Roman" w:cs="Times New Roman"/>
          <w:b/>
          <w:sz w:val="24"/>
          <w:szCs w:val="24"/>
        </w:rPr>
      </w:pPr>
      <w:r w:rsidRPr="0038796C">
        <w:rPr>
          <w:rFonts w:ascii="Times New Roman" w:hAnsi="Times New Roman" w:cs="Times New Roman"/>
          <w:b/>
          <w:sz w:val="24"/>
          <w:szCs w:val="24"/>
        </w:rPr>
        <w:t>Trends in credit and debit card usage</w:t>
      </w:r>
      <w:r w:rsidR="00F536A8">
        <w:rPr>
          <w:rFonts w:ascii="Times New Roman" w:hAnsi="Times New Roman" w:cs="Times New Roman"/>
          <w:b/>
          <w:sz w:val="24"/>
          <w:szCs w:val="24"/>
        </w:rPr>
        <w:t>:</w:t>
      </w:r>
    </w:p>
    <w:p w14:paraId="29141E8F" w14:textId="77777777" w:rsidR="00E76BA9" w:rsidRDefault="00E76BA9" w:rsidP="00E76BA9">
      <w:pPr>
        <w:rPr>
          <w:rFonts w:ascii="Times New Roman" w:hAnsi="Times New Roman" w:cs="Times New Roman"/>
          <w:b/>
          <w:sz w:val="24"/>
          <w:szCs w:val="24"/>
        </w:rPr>
      </w:pPr>
    </w:p>
    <w:p w14:paraId="03E51C42" w14:textId="77777777" w:rsidR="00E76BA9" w:rsidRDefault="00E76BA9" w:rsidP="00E76BA9">
      <w:pPr>
        <w:rPr>
          <w:rFonts w:ascii="Times New Roman" w:hAnsi="Times New Roman" w:cs="Times New Roman"/>
          <w:sz w:val="24"/>
          <w:szCs w:val="24"/>
        </w:rPr>
      </w:pPr>
      <w:r>
        <w:rPr>
          <w:rFonts w:ascii="Times New Roman" w:hAnsi="Times New Roman" w:cs="Times New Roman"/>
          <w:sz w:val="24"/>
          <w:szCs w:val="24"/>
        </w:rPr>
        <w:t xml:space="preserve">Utilities have all experienced an increase in customers using debit and credit cards, despite these convenience fees, as part of a broader move </w:t>
      </w:r>
      <w:r w:rsidR="00D31D89">
        <w:rPr>
          <w:rFonts w:ascii="Times New Roman" w:hAnsi="Times New Roman" w:cs="Times New Roman"/>
          <w:sz w:val="24"/>
          <w:szCs w:val="24"/>
        </w:rPr>
        <w:t xml:space="preserve">by customers </w:t>
      </w:r>
      <w:r>
        <w:rPr>
          <w:rFonts w:ascii="Times New Roman" w:hAnsi="Times New Roman" w:cs="Times New Roman"/>
          <w:sz w:val="24"/>
          <w:szCs w:val="24"/>
        </w:rPr>
        <w:t xml:space="preserve">towards electronic payment methods. </w:t>
      </w:r>
      <w:r w:rsidR="00D31D89">
        <w:rPr>
          <w:rFonts w:ascii="Times New Roman" w:hAnsi="Times New Roman" w:cs="Times New Roman"/>
          <w:sz w:val="24"/>
          <w:szCs w:val="24"/>
        </w:rPr>
        <w:t>This comes at the expense of</w:t>
      </w:r>
      <w:r>
        <w:rPr>
          <w:rFonts w:ascii="Times New Roman" w:hAnsi="Times New Roman" w:cs="Times New Roman"/>
          <w:sz w:val="24"/>
          <w:szCs w:val="24"/>
        </w:rPr>
        <w:t xml:space="preserve"> traditional methods such as paper checks and cash payments. The 2013 Federal Reserve Payments Study</w:t>
      </w:r>
      <w:r w:rsidR="00F47F1D">
        <w:rPr>
          <w:rFonts w:ascii="Times New Roman" w:hAnsi="Times New Roman" w:cs="Times New Roman"/>
          <w:sz w:val="24"/>
          <w:szCs w:val="24"/>
        </w:rPr>
        <w:t>,</w:t>
      </w:r>
      <w:r w:rsidR="008F6F2C">
        <w:rPr>
          <w:rStyle w:val="FootnoteReference"/>
          <w:rFonts w:ascii="Times New Roman" w:hAnsi="Times New Roman" w:cs="Times New Roman"/>
          <w:sz w:val="24"/>
          <w:szCs w:val="24"/>
        </w:rPr>
        <w:footnoteReference w:id="8"/>
      </w:r>
      <w:r w:rsidR="00F42ED6">
        <w:rPr>
          <w:rFonts w:ascii="Times New Roman" w:hAnsi="Times New Roman" w:cs="Times New Roman"/>
          <w:sz w:val="24"/>
          <w:szCs w:val="24"/>
        </w:rPr>
        <w:t xml:space="preserve"> commissioned by the U.S. Federal Reserve System,</w:t>
      </w:r>
      <w:r>
        <w:rPr>
          <w:rFonts w:ascii="Times New Roman" w:hAnsi="Times New Roman" w:cs="Times New Roman"/>
          <w:sz w:val="24"/>
          <w:szCs w:val="24"/>
        </w:rPr>
        <w:t xml:space="preserve"> observed this trend nationwide:</w:t>
      </w:r>
      <w:r w:rsidR="00315A4C">
        <w:rPr>
          <w:rFonts w:ascii="Times New Roman" w:hAnsi="Times New Roman" w:cs="Times New Roman"/>
          <w:sz w:val="24"/>
          <w:szCs w:val="24"/>
        </w:rPr>
        <w:br/>
      </w:r>
    </w:p>
    <w:p w14:paraId="0779CE52" w14:textId="77777777" w:rsidR="00E76BA9" w:rsidRDefault="00E76BA9" w:rsidP="00315A4C">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33158A5" wp14:editId="77228EC6">
            <wp:extent cx="5203201"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nds in noncash payments.png"/>
                    <pic:cNvPicPr/>
                  </pic:nvPicPr>
                  <pic:blipFill>
                    <a:blip r:embed="rId8">
                      <a:extLst>
                        <a:ext uri="{28A0092B-C50C-407E-A947-70E740481C1C}">
                          <a14:useLocalDpi xmlns:a14="http://schemas.microsoft.com/office/drawing/2010/main" val="0"/>
                        </a:ext>
                      </a:extLst>
                    </a:blip>
                    <a:stretch>
                      <a:fillRect/>
                    </a:stretch>
                  </pic:blipFill>
                  <pic:spPr>
                    <a:xfrm>
                      <a:off x="0" y="0"/>
                      <a:ext cx="5215380" cy="2835547"/>
                    </a:xfrm>
                    <a:prstGeom prst="rect">
                      <a:avLst/>
                    </a:prstGeom>
                  </pic:spPr>
                </pic:pic>
              </a:graphicData>
            </a:graphic>
          </wp:inline>
        </w:drawing>
      </w:r>
    </w:p>
    <w:p w14:paraId="66ECD80F" w14:textId="77777777" w:rsidR="000F11CD" w:rsidRDefault="000F11CD" w:rsidP="000F11CD">
      <w:pPr>
        <w:jc w:val="center"/>
        <w:rPr>
          <w:rFonts w:ascii="Times New Roman" w:hAnsi="Times New Roman" w:cs="Times New Roman"/>
          <w:sz w:val="20"/>
          <w:szCs w:val="24"/>
        </w:rPr>
      </w:pPr>
      <w:r>
        <w:rPr>
          <w:rFonts w:ascii="Times New Roman" w:hAnsi="Times New Roman" w:cs="Times New Roman"/>
          <w:sz w:val="20"/>
          <w:szCs w:val="24"/>
        </w:rPr>
        <w:t xml:space="preserve">(Federal Reserve, </w:t>
      </w:r>
      <w:r>
        <w:rPr>
          <w:rFonts w:ascii="Times New Roman" w:hAnsi="Times New Roman" w:cs="Times New Roman"/>
          <w:i/>
          <w:sz w:val="20"/>
          <w:szCs w:val="24"/>
        </w:rPr>
        <w:t xml:space="preserve">2013 Federal Reserve Payments Study, </w:t>
      </w:r>
      <w:r>
        <w:rPr>
          <w:rFonts w:ascii="Times New Roman" w:hAnsi="Times New Roman" w:cs="Times New Roman"/>
          <w:sz w:val="20"/>
          <w:szCs w:val="24"/>
        </w:rPr>
        <w:t>p. 14)</w:t>
      </w:r>
    </w:p>
    <w:p w14:paraId="2729A11A" w14:textId="77777777" w:rsidR="000F11CD" w:rsidRDefault="000F11CD" w:rsidP="000F11CD">
      <w:pPr>
        <w:jc w:val="center"/>
        <w:rPr>
          <w:rFonts w:ascii="Times New Roman" w:hAnsi="Times New Roman" w:cs="Times New Roman"/>
          <w:sz w:val="20"/>
          <w:szCs w:val="24"/>
        </w:rPr>
      </w:pPr>
    </w:p>
    <w:p w14:paraId="03161A45" w14:textId="77777777" w:rsidR="00263F5C" w:rsidRDefault="005E4407" w:rsidP="000F11CD">
      <w:pPr>
        <w:rPr>
          <w:rFonts w:ascii="Times New Roman" w:hAnsi="Times New Roman" w:cs="Times New Roman"/>
          <w:sz w:val="24"/>
          <w:szCs w:val="24"/>
        </w:rPr>
      </w:pPr>
      <w:r>
        <w:rPr>
          <w:rFonts w:ascii="Times New Roman" w:hAnsi="Times New Roman" w:cs="Times New Roman"/>
          <w:sz w:val="24"/>
          <w:szCs w:val="24"/>
        </w:rPr>
        <w:t xml:space="preserve">Some </w:t>
      </w:r>
      <w:r w:rsidR="00F42ED6">
        <w:rPr>
          <w:rFonts w:ascii="Times New Roman" w:hAnsi="Times New Roman" w:cs="Times New Roman"/>
          <w:sz w:val="24"/>
          <w:szCs w:val="24"/>
        </w:rPr>
        <w:t xml:space="preserve">of the </w:t>
      </w:r>
      <w:r>
        <w:rPr>
          <w:rFonts w:ascii="Times New Roman" w:hAnsi="Times New Roman" w:cs="Times New Roman"/>
          <w:sz w:val="24"/>
          <w:szCs w:val="24"/>
        </w:rPr>
        <w:t>customer interest in using credit cards is due to incentive progra</w:t>
      </w:r>
      <w:r w:rsidR="00F42ED6">
        <w:rPr>
          <w:rFonts w:ascii="Times New Roman" w:hAnsi="Times New Roman" w:cs="Times New Roman"/>
          <w:sz w:val="24"/>
          <w:szCs w:val="24"/>
        </w:rPr>
        <w:t>ms sponsored by the card companies, such as airline miles or “cashback” programs</w:t>
      </w:r>
      <w:r>
        <w:rPr>
          <w:rFonts w:ascii="Times New Roman" w:hAnsi="Times New Roman" w:cs="Times New Roman"/>
          <w:sz w:val="24"/>
          <w:szCs w:val="24"/>
        </w:rPr>
        <w:t xml:space="preserve">. It is important to understand this as a driver of customer interest in this arena, and not </w:t>
      </w:r>
      <w:r w:rsidR="00F42ED6">
        <w:rPr>
          <w:rFonts w:ascii="Times New Roman" w:hAnsi="Times New Roman" w:cs="Times New Roman"/>
          <w:sz w:val="24"/>
          <w:szCs w:val="24"/>
        </w:rPr>
        <w:t xml:space="preserve">necessarily </w:t>
      </w:r>
      <w:r>
        <w:rPr>
          <w:rFonts w:ascii="Times New Roman" w:hAnsi="Times New Roman" w:cs="Times New Roman"/>
          <w:sz w:val="24"/>
          <w:szCs w:val="24"/>
        </w:rPr>
        <w:t xml:space="preserve">as a driver of </w:t>
      </w:r>
      <w:r w:rsidR="00263F5C">
        <w:rPr>
          <w:rFonts w:ascii="Times New Roman" w:hAnsi="Times New Roman" w:cs="Times New Roman"/>
          <w:sz w:val="24"/>
          <w:szCs w:val="24"/>
        </w:rPr>
        <w:t xml:space="preserve">costs per transaction </w:t>
      </w:r>
      <w:r>
        <w:rPr>
          <w:rFonts w:ascii="Times New Roman" w:hAnsi="Times New Roman" w:cs="Times New Roman"/>
          <w:sz w:val="24"/>
          <w:szCs w:val="24"/>
        </w:rPr>
        <w:t>to the companie</w:t>
      </w:r>
      <w:r w:rsidR="00263F5C">
        <w:rPr>
          <w:rFonts w:ascii="Times New Roman" w:hAnsi="Times New Roman" w:cs="Times New Roman"/>
          <w:sz w:val="24"/>
          <w:szCs w:val="24"/>
        </w:rPr>
        <w:t>s that process these cards.</w:t>
      </w:r>
      <w:r w:rsidR="005156A9">
        <w:rPr>
          <w:rFonts w:ascii="Times New Roman" w:hAnsi="Times New Roman" w:cs="Times New Roman"/>
          <w:sz w:val="24"/>
          <w:szCs w:val="24"/>
        </w:rPr>
        <w:t xml:space="preserve"> Nonetheless, companies that socialize these costs see their </w:t>
      </w:r>
      <w:r w:rsidR="005156A9" w:rsidRPr="0098056F">
        <w:rPr>
          <w:rFonts w:ascii="Times New Roman" w:hAnsi="Times New Roman" w:cs="Times New Roman"/>
          <w:i/>
          <w:sz w:val="24"/>
          <w:szCs w:val="24"/>
        </w:rPr>
        <w:t>total</w:t>
      </w:r>
      <w:r w:rsidR="005156A9">
        <w:rPr>
          <w:rFonts w:ascii="Times New Roman" w:hAnsi="Times New Roman" w:cs="Times New Roman"/>
          <w:sz w:val="24"/>
          <w:szCs w:val="24"/>
        </w:rPr>
        <w:t xml:space="preserve"> costs incurred by processing credit and debit cards increase due to the broader tre</w:t>
      </w:r>
      <w:r w:rsidR="0098056F">
        <w:rPr>
          <w:rFonts w:ascii="Times New Roman" w:hAnsi="Times New Roman" w:cs="Times New Roman"/>
          <w:sz w:val="24"/>
          <w:szCs w:val="24"/>
        </w:rPr>
        <w:t>nd of card usage by customers</w:t>
      </w:r>
      <w:r w:rsidR="00F42ED6">
        <w:rPr>
          <w:rFonts w:ascii="Times New Roman" w:hAnsi="Times New Roman" w:cs="Times New Roman"/>
          <w:sz w:val="24"/>
          <w:szCs w:val="24"/>
        </w:rPr>
        <w:t>, in addition to the reduction in direct fees incurred by the customer</w:t>
      </w:r>
      <w:r w:rsidR="0098056F">
        <w:rPr>
          <w:rFonts w:ascii="Times New Roman" w:hAnsi="Times New Roman" w:cs="Times New Roman"/>
          <w:sz w:val="24"/>
          <w:szCs w:val="24"/>
        </w:rPr>
        <w:t xml:space="preserve">. Incentive programs by credit card companies are </w:t>
      </w:r>
      <w:r w:rsidR="002517EF">
        <w:rPr>
          <w:rFonts w:ascii="Times New Roman" w:hAnsi="Times New Roman" w:cs="Times New Roman"/>
          <w:sz w:val="24"/>
          <w:szCs w:val="24"/>
        </w:rPr>
        <w:t>one of many reasons why credit card usage has increased, but as evidenced by the graph above, it is clear that there is a broad drive towards all types of electronic payment methods, not just credit cards.</w:t>
      </w:r>
    </w:p>
    <w:p w14:paraId="01FA88E9" w14:textId="77777777" w:rsidR="002517EF" w:rsidRDefault="002517EF" w:rsidP="000F11CD">
      <w:pPr>
        <w:rPr>
          <w:rFonts w:ascii="Times New Roman" w:hAnsi="Times New Roman" w:cs="Times New Roman"/>
          <w:sz w:val="24"/>
          <w:szCs w:val="24"/>
        </w:rPr>
      </w:pPr>
    </w:p>
    <w:p w14:paraId="0362FCD6" w14:textId="77777777" w:rsidR="002517EF" w:rsidRDefault="00DC437C" w:rsidP="000F11CD">
      <w:pPr>
        <w:rPr>
          <w:rFonts w:ascii="Times New Roman" w:hAnsi="Times New Roman" w:cs="Times New Roman"/>
          <w:sz w:val="24"/>
          <w:szCs w:val="24"/>
        </w:rPr>
      </w:pPr>
      <w:r>
        <w:rPr>
          <w:rFonts w:ascii="Times New Roman" w:hAnsi="Times New Roman" w:cs="Times New Roman"/>
          <w:sz w:val="24"/>
          <w:szCs w:val="24"/>
        </w:rPr>
        <w:t xml:space="preserve">Customers’ adoption of these electronic payment methods show little sign of stopping. As more customers move away from traditional payment methods, the fixed costs of processing those traditional methods are spread over fewer and fewer transactions. This phenomenon is already manifesting itself at PSE, where the total cost to customer and company for processing payments through </w:t>
      </w:r>
      <w:r w:rsidR="00076670">
        <w:rPr>
          <w:rFonts w:ascii="Times New Roman" w:hAnsi="Times New Roman" w:cs="Times New Roman"/>
          <w:sz w:val="24"/>
          <w:szCs w:val="24"/>
        </w:rPr>
        <w:t xml:space="preserve">its </w:t>
      </w:r>
      <w:r>
        <w:rPr>
          <w:rFonts w:ascii="Times New Roman" w:hAnsi="Times New Roman" w:cs="Times New Roman"/>
          <w:sz w:val="24"/>
          <w:szCs w:val="24"/>
        </w:rPr>
        <w:t>Business Offices</w:t>
      </w:r>
      <w:r w:rsidR="00C84BBC">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already exceeds that of processing credit and debit cards.</w:t>
      </w:r>
    </w:p>
    <w:p w14:paraId="078A4BF9" w14:textId="77777777" w:rsidR="004B2075" w:rsidRDefault="004B2075" w:rsidP="000F11CD">
      <w:pPr>
        <w:rPr>
          <w:rFonts w:ascii="Times New Roman" w:hAnsi="Times New Roman" w:cs="Times New Roman"/>
          <w:sz w:val="24"/>
          <w:szCs w:val="24"/>
        </w:rPr>
      </w:pPr>
    </w:p>
    <w:p w14:paraId="5F913E13" w14:textId="77777777" w:rsidR="004B2075" w:rsidRPr="00C63394" w:rsidRDefault="00C63394" w:rsidP="00C63394">
      <w:pPr>
        <w:pStyle w:val="ListParagraph"/>
        <w:numPr>
          <w:ilvl w:val="0"/>
          <w:numId w:val="1"/>
        </w:numPr>
        <w:ind w:left="360"/>
        <w:rPr>
          <w:rFonts w:ascii="Times New Roman" w:hAnsi="Times New Roman" w:cs="Times New Roman"/>
          <w:b/>
          <w:sz w:val="24"/>
          <w:szCs w:val="24"/>
        </w:rPr>
      </w:pPr>
      <w:r w:rsidRPr="00C63394">
        <w:rPr>
          <w:rFonts w:ascii="Times New Roman" w:hAnsi="Times New Roman" w:cs="Times New Roman"/>
          <w:b/>
          <w:sz w:val="24"/>
          <w:szCs w:val="24"/>
        </w:rPr>
        <w:t>Cost-causation with respect to payment methods</w:t>
      </w:r>
      <w:r>
        <w:rPr>
          <w:rFonts w:ascii="Times New Roman" w:hAnsi="Times New Roman" w:cs="Times New Roman"/>
          <w:b/>
          <w:sz w:val="24"/>
          <w:szCs w:val="24"/>
        </w:rPr>
        <w:t>:</w:t>
      </w:r>
    </w:p>
    <w:p w14:paraId="62074EE2" w14:textId="77777777" w:rsidR="00C63394" w:rsidRDefault="00C63394" w:rsidP="00C63394">
      <w:pPr>
        <w:rPr>
          <w:rFonts w:ascii="Times New Roman" w:hAnsi="Times New Roman" w:cs="Times New Roman"/>
          <w:sz w:val="24"/>
          <w:szCs w:val="24"/>
        </w:rPr>
      </w:pPr>
    </w:p>
    <w:p w14:paraId="4D6A0C84" w14:textId="25DA7FF8" w:rsidR="009E27C4" w:rsidRDefault="006D53D8" w:rsidP="007B0AA1">
      <w:pPr>
        <w:rPr>
          <w:rFonts w:ascii="Times New Roman" w:hAnsi="Times New Roman" w:cs="Times New Roman"/>
          <w:sz w:val="24"/>
          <w:szCs w:val="24"/>
        </w:rPr>
      </w:pPr>
      <w:r>
        <w:rPr>
          <w:rFonts w:ascii="Times New Roman" w:hAnsi="Times New Roman" w:cs="Times New Roman"/>
          <w:sz w:val="24"/>
          <w:szCs w:val="24"/>
        </w:rPr>
        <w:t>The principle of c</w:t>
      </w:r>
      <w:r w:rsidR="00C63394">
        <w:rPr>
          <w:rFonts w:ascii="Times New Roman" w:hAnsi="Times New Roman" w:cs="Times New Roman"/>
          <w:sz w:val="24"/>
          <w:szCs w:val="24"/>
        </w:rPr>
        <w:t xml:space="preserve">ost-causation </w:t>
      </w:r>
      <w:r>
        <w:rPr>
          <w:rFonts w:ascii="Times New Roman" w:hAnsi="Times New Roman" w:cs="Times New Roman"/>
          <w:sz w:val="24"/>
          <w:szCs w:val="24"/>
        </w:rPr>
        <w:t>has not</w:t>
      </w:r>
      <w:r w:rsidR="00C63394">
        <w:rPr>
          <w:rFonts w:ascii="Times New Roman" w:hAnsi="Times New Roman" w:cs="Times New Roman"/>
          <w:sz w:val="24"/>
          <w:szCs w:val="24"/>
        </w:rPr>
        <w:t xml:space="preserve"> been applied to most payment methods. As previously stated, the costs of processing cash, paper check, money order, and recurring ACH payments, and the costs for billing all customers, are not </w:t>
      </w:r>
      <w:r w:rsidR="003B5633">
        <w:rPr>
          <w:rFonts w:ascii="Times New Roman" w:hAnsi="Times New Roman" w:cs="Times New Roman"/>
          <w:sz w:val="24"/>
          <w:szCs w:val="24"/>
        </w:rPr>
        <w:t xml:space="preserve">recovered by specific charges defined by the principal of </w:t>
      </w:r>
      <w:r w:rsidR="00C63394">
        <w:rPr>
          <w:rFonts w:ascii="Times New Roman" w:hAnsi="Times New Roman" w:cs="Times New Roman"/>
          <w:sz w:val="24"/>
          <w:szCs w:val="24"/>
        </w:rPr>
        <w:t>cost-causation. C</w:t>
      </w:r>
      <w:r>
        <w:rPr>
          <w:rFonts w:ascii="Times New Roman" w:hAnsi="Times New Roman" w:cs="Times New Roman"/>
          <w:sz w:val="24"/>
          <w:szCs w:val="24"/>
        </w:rPr>
        <w:t>omparably, c</w:t>
      </w:r>
      <w:r w:rsidR="00C63394">
        <w:rPr>
          <w:rFonts w:ascii="Times New Roman" w:hAnsi="Times New Roman" w:cs="Times New Roman"/>
          <w:sz w:val="24"/>
          <w:szCs w:val="24"/>
        </w:rPr>
        <w:t xml:space="preserve">ustomers who choose paperless billing receive no </w:t>
      </w:r>
      <w:r w:rsidR="00C63394">
        <w:rPr>
          <w:rFonts w:ascii="Times New Roman" w:hAnsi="Times New Roman" w:cs="Times New Roman"/>
          <w:sz w:val="24"/>
          <w:szCs w:val="24"/>
        </w:rPr>
        <w:lastRenderedPageBreak/>
        <w:t xml:space="preserve">direct benefit from their cost-saving choices, and effectively subsidize those customers that do choose to receive paper bills. Nonetheless, energy utilities have shied away from attempting to recover the costs of </w:t>
      </w:r>
      <w:r w:rsidR="000B0572">
        <w:rPr>
          <w:rFonts w:ascii="Times New Roman" w:hAnsi="Times New Roman" w:cs="Times New Roman"/>
          <w:sz w:val="24"/>
          <w:szCs w:val="24"/>
        </w:rPr>
        <w:t xml:space="preserve">credit and debit card processing because of </w:t>
      </w:r>
      <w:r w:rsidR="006963D6">
        <w:rPr>
          <w:rFonts w:ascii="Times New Roman" w:hAnsi="Times New Roman" w:cs="Times New Roman"/>
          <w:sz w:val="24"/>
          <w:szCs w:val="24"/>
        </w:rPr>
        <w:t>the uncertainty involved.</w:t>
      </w:r>
      <w:r w:rsidR="007B0AA1">
        <w:rPr>
          <w:rFonts w:ascii="Times New Roman" w:hAnsi="Times New Roman" w:cs="Times New Roman"/>
          <w:sz w:val="24"/>
          <w:szCs w:val="24"/>
        </w:rPr>
        <w:t xml:space="preserve"> </w:t>
      </w:r>
    </w:p>
    <w:p w14:paraId="786F0AAD" w14:textId="77777777" w:rsidR="009E27C4" w:rsidRDefault="009E27C4" w:rsidP="007B0AA1">
      <w:pPr>
        <w:rPr>
          <w:rFonts w:ascii="Times New Roman" w:hAnsi="Times New Roman" w:cs="Times New Roman"/>
          <w:sz w:val="24"/>
          <w:szCs w:val="24"/>
        </w:rPr>
      </w:pPr>
    </w:p>
    <w:p w14:paraId="14DB0697" w14:textId="38F5EB86" w:rsidR="00DA4B1B" w:rsidRDefault="001815EE" w:rsidP="00C63394">
      <w:pPr>
        <w:rPr>
          <w:rFonts w:ascii="Times New Roman" w:hAnsi="Times New Roman" w:cs="Times New Roman"/>
          <w:sz w:val="24"/>
          <w:szCs w:val="24"/>
        </w:rPr>
      </w:pPr>
      <w:r>
        <w:rPr>
          <w:rFonts w:ascii="Times New Roman" w:hAnsi="Times New Roman" w:cs="Times New Roman"/>
          <w:sz w:val="24"/>
          <w:szCs w:val="24"/>
        </w:rPr>
        <w:t xml:space="preserve">Utility companies are hesitant to incur the </w:t>
      </w:r>
      <w:r w:rsidR="00DC4B54">
        <w:rPr>
          <w:rFonts w:ascii="Times New Roman" w:hAnsi="Times New Roman" w:cs="Times New Roman"/>
          <w:sz w:val="24"/>
          <w:szCs w:val="24"/>
        </w:rPr>
        <w:t xml:space="preserve">credit and debit card </w:t>
      </w:r>
      <w:r>
        <w:rPr>
          <w:rFonts w:ascii="Times New Roman" w:hAnsi="Times New Roman" w:cs="Times New Roman"/>
          <w:sz w:val="24"/>
          <w:szCs w:val="24"/>
        </w:rPr>
        <w:t xml:space="preserve">processing costs </w:t>
      </w:r>
      <w:r w:rsidR="00DC4B54">
        <w:rPr>
          <w:rFonts w:ascii="Times New Roman" w:hAnsi="Times New Roman" w:cs="Times New Roman"/>
          <w:sz w:val="24"/>
          <w:szCs w:val="24"/>
        </w:rPr>
        <w:t>prior to</w:t>
      </w:r>
      <w:r w:rsidR="007B0AA1">
        <w:rPr>
          <w:rFonts w:ascii="Times New Roman" w:hAnsi="Times New Roman" w:cs="Times New Roman"/>
          <w:sz w:val="24"/>
          <w:szCs w:val="24"/>
        </w:rPr>
        <w:t xml:space="preserve"> requesting recovery through r</w:t>
      </w:r>
      <w:r>
        <w:rPr>
          <w:rFonts w:ascii="Times New Roman" w:hAnsi="Times New Roman" w:cs="Times New Roman"/>
          <w:sz w:val="24"/>
          <w:szCs w:val="24"/>
        </w:rPr>
        <w:t xml:space="preserve">ates, on the chance that </w:t>
      </w:r>
      <w:r w:rsidR="00DC4B54">
        <w:rPr>
          <w:rFonts w:ascii="Times New Roman" w:hAnsi="Times New Roman" w:cs="Times New Roman"/>
          <w:sz w:val="24"/>
          <w:szCs w:val="24"/>
        </w:rPr>
        <w:t xml:space="preserve">the </w:t>
      </w:r>
      <w:r w:rsidR="00BD0CD7">
        <w:rPr>
          <w:rFonts w:ascii="Times New Roman" w:hAnsi="Times New Roman" w:cs="Times New Roman"/>
          <w:sz w:val="24"/>
          <w:szCs w:val="24"/>
        </w:rPr>
        <w:t xml:space="preserve">recovery of those </w:t>
      </w:r>
      <w:r w:rsidR="00DC4B54">
        <w:rPr>
          <w:rFonts w:ascii="Times New Roman" w:hAnsi="Times New Roman" w:cs="Times New Roman"/>
          <w:sz w:val="24"/>
          <w:szCs w:val="24"/>
        </w:rPr>
        <w:t>costs will be disallowed</w:t>
      </w:r>
      <w:r>
        <w:rPr>
          <w:rFonts w:ascii="Times New Roman" w:hAnsi="Times New Roman" w:cs="Times New Roman"/>
          <w:sz w:val="24"/>
          <w:szCs w:val="24"/>
        </w:rPr>
        <w:t xml:space="preserve">. Removing the convenience fees to card users </w:t>
      </w:r>
      <w:r w:rsidR="007B0AA1">
        <w:rPr>
          <w:rFonts w:ascii="Times New Roman" w:hAnsi="Times New Roman" w:cs="Times New Roman"/>
          <w:sz w:val="24"/>
          <w:szCs w:val="24"/>
        </w:rPr>
        <w:t>only to reintroduce the practice</w:t>
      </w:r>
      <w:r>
        <w:rPr>
          <w:rFonts w:ascii="Times New Roman" w:hAnsi="Times New Roman" w:cs="Times New Roman"/>
          <w:sz w:val="24"/>
          <w:szCs w:val="24"/>
        </w:rPr>
        <w:t xml:space="preserve"> after being denied recovery through rat</w:t>
      </w:r>
      <w:r w:rsidR="007B0AA1">
        <w:rPr>
          <w:rFonts w:ascii="Times New Roman" w:hAnsi="Times New Roman" w:cs="Times New Roman"/>
          <w:sz w:val="24"/>
          <w:szCs w:val="24"/>
        </w:rPr>
        <w:t xml:space="preserve">es would likely </w:t>
      </w:r>
      <w:r w:rsidR="001E5AF3">
        <w:rPr>
          <w:rFonts w:ascii="Times New Roman" w:hAnsi="Times New Roman" w:cs="Times New Roman"/>
          <w:sz w:val="24"/>
          <w:szCs w:val="24"/>
        </w:rPr>
        <w:t xml:space="preserve">displease </w:t>
      </w:r>
      <w:r w:rsidR="007B0AA1">
        <w:rPr>
          <w:rFonts w:ascii="Times New Roman" w:hAnsi="Times New Roman" w:cs="Times New Roman"/>
          <w:sz w:val="24"/>
          <w:szCs w:val="24"/>
        </w:rPr>
        <w:t xml:space="preserve">customers, so the status quo </w:t>
      </w:r>
      <w:r w:rsidR="00A12D37">
        <w:rPr>
          <w:rFonts w:ascii="Times New Roman" w:hAnsi="Times New Roman" w:cs="Times New Roman"/>
          <w:sz w:val="24"/>
          <w:szCs w:val="24"/>
        </w:rPr>
        <w:t>remains in place</w:t>
      </w:r>
      <w:r w:rsidR="007B0AA1">
        <w:rPr>
          <w:rFonts w:ascii="Times New Roman" w:hAnsi="Times New Roman" w:cs="Times New Roman"/>
          <w:sz w:val="24"/>
          <w:szCs w:val="24"/>
        </w:rPr>
        <w:t>.</w:t>
      </w:r>
      <w:r w:rsidR="009E27C4">
        <w:rPr>
          <w:rFonts w:ascii="Times New Roman" w:hAnsi="Times New Roman" w:cs="Times New Roman"/>
          <w:sz w:val="24"/>
          <w:szCs w:val="24"/>
        </w:rPr>
        <w:t xml:space="preserve"> It is perhaps more appropriate to consider utilities’ practice</w:t>
      </w:r>
      <w:r w:rsidR="00344B9A">
        <w:rPr>
          <w:rFonts w:ascii="Times New Roman" w:hAnsi="Times New Roman" w:cs="Times New Roman"/>
          <w:sz w:val="24"/>
          <w:szCs w:val="24"/>
        </w:rPr>
        <w:t>s</w:t>
      </w:r>
      <w:r w:rsidR="009E27C4">
        <w:rPr>
          <w:rFonts w:ascii="Times New Roman" w:hAnsi="Times New Roman" w:cs="Times New Roman"/>
          <w:sz w:val="24"/>
          <w:szCs w:val="24"/>
        </w:rPr>
        <w:t xml:space="preserve"> to date to be motivated not by conformance to cost-causation principles, but rather by </w:t>
      </w:r>
      <w:r w:rsidR="00195E57">
        <w:rPr>
          <w:rFonts w:ascii="Times New Roman" w:hAnsi="Times New Roman" w:cs="Times New Roman"/>
          <w:sz w:val="24"/>
          <w:szCs w:val="24"/>
        </w:rPr>
        <w:t>as</w:t>
      </w:r>
      <w:r w:rsidR="009E27C4">
        <w:rPr>
          <w:rFonts w:ascii="Times New Roman" w:hAnsi="Times New Roman" w:cs="Times New Roman"/>
          <w:sz w:val="24"/>
          <w:szCs w:val="24"/>
        </w:rPr>
        <w:t xml:space="preserve">surance of recovery of the costs </w:t>
      </w:r>
      <w:r w:rsidR="002C040E">
        <w:rPr>
          <w:rFonts w:ascii="Times New Roman" w:hAnsi="Times New Roman" w:cs="Times New Roman"/>
          <w:sz w:val="24"/>
          <w:szCs w:val="24"/>
        </w:rPr>
        <w:t xml:space="preserve">the utilities expect to </w:t>
      </w:r>
      <w:r w:rsidR="009E27C4">
        <w:rPr>
          <w:rFonts w:ascii="Times New Roman" w:hAnsi="Times New Roman" w:cs="Times New Roman"/>
          <w:sz w:val="24"/>
          <w:szCs w:val="24"/>
        </w:rPr>
        <w:t>incur</w:t>
      </w:r>
      <w:r w:rsidR="00F47F1D">
        <w:rPr>
          <w:rFonts w:ascii="Times New Roman" w:hAnsi="Times New Roman" w:cs="Times New Roman"/>
          <w:sz w:val="24"/>
          <w:szCs w:val="24"/>
        </w:rPr>
        <w:t>.</w:t>
      </w:r>
      <w:r w:rsidR="009E27C4">
        <w:rPr>
          <w:rStyle w:val="FootnoteReference"/>
          <w:rFonts w:ascii="Times New Roman" w:hAnsi="Times New Roman" w:cs="Times New Roman"/>
          <w:sz w:val="24"/>
          <w:szCs w:val="24"/>
        </w:rPr>
        <w:footnoteReference w:id="10"/>
      </w:r>
      <w:r w:rsidR="002C040E">
        <w:rPr>
          <w:rFonts w:ascii="Times New Roman" w:hAnsi="Times New Roman" w:cs="Times New Roman"/>
          <w:sz w:val="24"/>
          <w:szCs w:val="24"/>
        </w:rPr>
        <w:t xml:space="preserve"> </w:t>
      </w:r>
    </w:p>
    <w:p w14:paraId="4702B80E" w14:textId="77777777" w:rsidR="00DA4B1B" w:rsidRDefault="00DA4B1B" w:rsidP="00C63394">
      <w:pPr>
        <w:rPr>
          <w:rFonts w:ascii="Times New Roman" w:hAnsi="Times New Roman" w:cs="Times New Roman"/>
          <w:sz w:val="24"/>
          <w:szCs w:val="24"/>
        </w:rPr>
      </w:pPr>
    </w:p>
    <w:p w14:paraId="56F9902C" w14:textId="31989E6E" w:rsidR="001815EE" w:rsidRDefault="007B0AA1" w:rsidP="00C63394">
      <w:pPr>
        <w:rPr>
          <w:rFonts w:ascii="Times New Roman" w:hAnsi="Times New Roman" w:cs="Times New Roman"/>
          <w:sz w:val="24"/>
          <w:szCs w:val="24"/>
        </w:rPr>
      </w:pPr>
      <w:r>
        <w:rPr>
          <w:rFonts w:ascii="Times New Roman" w:hAnsi="Times New Roman" w:cs="Times New Roman"/>
          <w:sz w:val="24"/>
          <w:szCs w:val="24"/>
        </w:rPr>
        <w:t xml:space="preserve">Companies have </w:t>
      </w:r>
      <w:r w:rsidR="00DC6AA1">
        <w:rPr>
          <w:rFonts w:ascii="Times New Roman" w:hAnsi="Times New Roman" w:cs="Times New Roman"/>
          <w:sz w:val="24"/>
          <w:szCs w:val="24"/>
        </w:rPr>
        <w:t xml:space="preserve">stated </w:t>
      </w:r>
      <w:r>
        <w:rPr>
          <w:rFonts w:ascii="Times New Roman" w:hAnsi="Times New Roman" w:cs="Times New Roman"/>
          <w:sz w:val="24"/>
          <w:szCs w:val="24"/>
        </w:rPr>
        <w:t>that a change in practice would likely occur during a rate case</w:t>
      </w:r>
      <w:r w:rsidR="00F47F1D">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p>
    <w:p w14:paraId="3F1CD59B" w14:textId="77777777" w:rsidR="001312FF" w:rsidRDefault="001312FF" w:rsidP="00C63394">
      <w:pPr>
        <w:rPr>
          <w:rFonts w:ascii="Times New Roman" w:hAnsi="Times New Roman" w:cs="Times New Roman"/>
          <w:sz w:val="24"/>
          <w:szCs w:val="24"/>
        </w:rPr>
      </w:pPr>
    </w:p>
    <w:p w14:paraId="503B6B2E" w14:textId="77777777" w:rsidR="001312FF" w:rsidRDefault="001312FF" w:rsidP="001312FF">
      <w:pPr>
        <w:pStyle w:val="ListParagraph"/>
        <w:numPr>
          <w:ilvl w:val="0"/>
          <w:numId w:val="1"/>
        </w:numPr>
        <w:ind w:left="360"/>
        <w:rPr>
          <w:rFonts w:ascii="Times New Roman" w:hAnsi="Times New Roman" w:cs="Times New Roman"/>
          <w:b/>
          <w:sz w:val="24"/>
          <w:szCs w:val="24"/>
        </w:rPr>
      </w:pPr>
      <w:r w:rsidRPr="001312FF">
        <w:rPr>
          <w:rFonts w:ascii="Times New Roman" w:hAnsi="Times New Roman" w:cs="Times New Roman"/>
          <w:b/>
          <w:sz w:val="24"/>
          <w:szCs w:val="24"/>
        </w:rPr>
        <w:t>Matrix of parties’ positions:</w:t>
      </w:r>
    </w:p>
    <w:p w14:paraId="128BB5AE" w14:textId="77777777" w:rsidR="001312FF" w:rsidRDefault="001312FF" w:rsidP="001312FF">
      <w:pPr>
        <w:rPr>
          <w:rFonts w:ascii="Times New Roman" w:hAnsi="Times New Roman" w:cs="Times New Roman"/>
          <w:b/>
          <w:sz w:val="24"/>
          <w:szCs w:val="24"/>
        </w:rPr>
      </w:pPr>
    </w:p>
    <w:p w14:paraId="6A56FD1D" w14:textId="77777777" w:rsidR="002A3720" w:rsidRDefault="00187C37" w:rsidP="00C9330C">
      <w:pPr>
        <w:rPr>
          <w:rFonts w:ascii="Times New Roman" w:hAnsi="Times New Roman" w:cs="Times New Roman"/>
          <w:sz w:val="24"/>
          <w:szCs w:val="24"/>
        </w:rPr>
      </w:pPr>
      <w:r>
        <w:rPr>
          <w:rFonts w:ascii="Times New Roman" w:hAnsi="Times New Roman" w:cs="Times New Roman"/>
          <w:sz w:val="24"/>
          <w:szCs w:val="24"/>
        </w:rPr>
        <w:t xml:space="preserve">Below is a matrix summarizing commenting parties’ positions on particular </w:t>
      </w:r>
      <w:proofErr w:type="gramStart"/>
      <w:r>
        <w:rPr>
          <w:rFonts w:ascii="Times New Roman" w:hAnsi="Times New Roman" w:cs="Times New Roman"/>
          <w:sz w:val="24"/>
          <w:szCs w:val="24"/>
        </w:rPr>
        <w:t>issues.</w:t>
      </w:r>
      <w:proofErr w:type="gramEnd"/>
      <w:r>
        <w:rPr>
          <w:rFonts w:ascii="Times New Roman" w:hAnsi="Times New Roman" w:cs="Times New Roman"/>
          <w:sz w:val="24"/>
          <w:szCs w:val="24"/>
        </w:rPr>
        <w:t xml:space="preserve"> A black box indicates that the party did not address the matter, or that it is not applicable to that party.</w:t>
      </w:r>
    </w:p>
    <w:p w14:paraId="7C205266" w14:textId="77777777" w:rsidR="002A3720" w:rsidRDefault="002A3720" w:rsidP="00C9330C">
      <w:pPr>
        <w:rPr>
          <w:rFonts w:ascii="Times New Roman" w:hAnsi="Times New Roman" w:cs="Times New Roman"/>
          <w:sz w:val="24"/>
          <w:szCs w:val="24"/>
        </w:rPr>
      </w:pPr>
    </w:p>
    <w:p w14:paraId="7A888A5F" w14:textId="3882E4E1" w:rsidR="00187C37" w:rsidRPr="00187C37" w:rsidRDefault="00E45965">
      <w:pPr>
        <w:jc w:val="center"/>
        <w:rPr>
          <w:rFonts w:ascii="Times New Roman" w:hAnsi="Times New Roman" w:cs="Times New Roman"/>
          <w:sz w:val="24"/>
          <w:szCs w:val="24"/>
        </w:rPr>
      </w:pPr>
      <w:r w:rsidRPr="00E45965">
        <w:rPr>
          <w:noProof/>
        </w:rPr>
        <w:lastRenderedPageBreak/>
        <w:drawing>
          <wp:inline distT="0" distB="0" distL="0" distR="0" wp14:anchorId="58C5068F" wp14:editId="04287197">
            <wp:extent cx="4248150" cy="8582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150" cy="8582025"/>
                    </a:xfrm>
                    <a:prstGeom prst="rect">
                      <a:avLst/>
                    </a:prstGeom>
                    <a:noFill/>
                    <a:ln>
                      <a:noFill/>
                    </a:ln>
                  </pic:spPr>
                </pic:pic>
              </a:graphicData>
            </a:graphic>
          </wp:inline>
        </w:drawing>
      </w:r>
    </w:p>
    <w:sectPr w:rsidR="00187C37" w:rsidRPr="00187C37" w:rsidSect="008C04F4">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49467" w14:textId="77777777" w:rsidR="0015358A" w:rsidRDefault="0015358A" w:rsidP="008F6F2C">
      <w:r>
        <w:separator/>
      </w:r>
    </w:p>
  </w:endnote>
  <w:endnote w:type="continuationSeparator" w:id="0">
    <w:p w14:paraId="7AE8C6B3" w14:textId="77777777" w:rsidR="0015358A" w:rsidRDefault="0015358A" w:rsidP="008F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ACAF4" w14:textId="77777777" w:rsidR="0015358A" w:rsidRDefault="0015358A" w:rsidP="008F6F2C">
      <w:r>
        <w:separator/>
      </w:r>
    </w:p>
  </w:footnote>
  <w:footnote w:type="continuationSeparator" w:id="0">
    <w:p w14:paraId="0275AF3E" w14:textId="77777777" w:rsidR="0015358A" w:rsidRDefault="0015358A" w:rsidP="008F6F2C">
      <w:r>
        <w:continuationSeparator/>
      </w:r>
    </w:p>
  </w:footnote>
  <w:footnote w:id="1">
    <w:p w14:paraId="44E5AC2F" w14:textId="77777777" w:rsidR="007B12C6" w:rsidRPr="008C04F4" w:rsidRDefault="007B12C6">
      <w:pPr>
        <w:pStyle w:val="FootnoteText"/>
        <w:rPr>
          <w:rFonts w:ascii="Times New Roman" w:hAnsi="Times New Roman" w:cs="Times New Roman"/>
        </w:rPr>
      </w:pPr>
      <w:r w:rsidRPr="008C04F4">
        <w:rPr>
          <w:rStyle w:val="FootnoteReference"/>
          <w:rFonts w:ascii="Times New Roman" w:hAnsi="Times New Roman" w:cs="Times New Roman"/>
        </w:rPr>
        <w:footnoteRef/>
      </w:r>
      <w:r w:rsidRPr="008C04F4">
        <w:rPr>
          <w:rFonts w:ascii="Times New Roman" w:hAnsi="Times New Roman" w:cs="Times New Roman"/>
        </w:rPr>
        <w:t xml:space="preserve"> Compare PSE</w:t>
      </w:r>
      <w:r w:rsidR="008D5064" w:rsidRPr="008C04F4">
        <w:rPr>
          <w:rFonts w:ascii="Times New Roman" w:hAnsi="Times New Roman" w:cs="Times New Roman"/>
        </w:rPr>
        <w:t xml:space="preserve"> and Pacific Power</w:t>
      </w:r>
      <w:r w:rsidRPr="008C04F4">
        <w:rPr>
          <w:rFonts w:ascii="Times New Roman" w:hAnsi="Times New Roman" w:cs="Times New Roman"/>
        </w:rPr>
        <w:t>’s cap, at $600, to Avista’s, at $3,000. PSE has a convenience fee of $2.00,</w:t>
      </w:r>
      <w:r w:rsidR="008D5064" w:rsidRPr="008C04F4">
        <w:rPr>
          <w:rFonts w:ascii="Times New Roman" w:hAnsi="Times New Roman" w:cs="Times New Roman"/>
        </w:rPr>
        <w:t xml:space="preserve"> and Pacific Power’s is $1.95,</w:t>
      </w:r>
      <w:r w:rsidRPr="008C04F4">
        <w:rPr>
          <w:rFonts w:ascii="Times New Roman" w:hAnsi="Times New Roman" w:cs="Times New Roman"/>
        </w:rPr>
        <w:t xml:space="preserve"> whereas Avista’s is $3.50.</w:t>
      </w:r>
    </w:p>
  </w:footnote>
  <w:footnote w:id="2">
    <w:p w14:paraId="3A0B553A" w14:textId="77777777" w:rsidR="008D5064" w:rsidRPr="008C04F4" w:rsidRDefault="008D5064">
      <w:pPr>
        <w:pStyle w:val="FootnoteText"/>
        <w:rPr>
          <w:rFonts w:ascii="Times New Roman" w:hAnsi="Times New Roman" w:cs="Times New Roman"/>
        </w:rPr>
      </w:pPr>
      <w:r w:rsidRPr="008C04F4">
        <w:rPr>
          <w:rStyle w:val="FootnoteReference"/>
          <w:rFonts w:ascii="Times New Roman" w:hAnsi="Times New Roman" w:cs="Times New Roman"/>
        </w:rPr>
        <w:footnoteRef/>
      </w:r>
      <w:r w:rsidRPr="008C04F4">
        <w:rPr>
          <w:rFonts w:ascii="Times New Roman" w:hAnsi="Times New Roman" w:cs="Times New Roman"/>
        </w:rPr>
        <w:t xml:space="preserve"> Pacific Power’s comments on this matter focused on the rationale for their current practice, and emphasized concerns over cost certainty. The company did not reject the idea of including card processing costs in rates.</w:t>
      </w:r>
    </w:p>
  </w:footnote>
  <w:footnote w:id="3">
    <w:p w14:paraId="5FD156DA" w14:textId="77777777" w:rsidR="00FD6D30" w:rsidRPr="008C04F4" w:rsidRDefault="00FD6D30" w:rsidP="00FD6D30">
      <w:pPr>
        <w:pStyle w:val="FootnoteText"/>
        <w:rPr>
          <w:rFonts w:ascii="Times New Roman" w:hAnsi="Times New Roman" w:cs="Times New Roman"/>
        </w:rPr>
      </w:pPr>
      <w:r w:rsidRPr="008C04F4">
        <w:rPr>
          <w:rStyle w:val="FootnoteReference"/>
          <w:rFonts w:ascii="Times New Roman" w:hAnsi="Times New Roman" w:cs="Times New Roman"/>
        </w:rPr>
        <w:footnoteRef/>
      </w:r>
      <w:r w:rsidRPr="008C04F4">
        <w:rPr>
          <w:rFonts w:ascii="Times New Roman" w:hAnsi="Times New Roman" w:cs="Times New Roman"/>
        </w:rPr>
        <w:t xml:space="preserve"> Northwest Natural Gas, </w:t>
      </w:r>
      <w:r w:rsidRPr="008C04F4">
        <w:rPr>
          <w:rFonts w:ascii="Times New Roman" w:hAnsi="Times New Roman" w:cs="Times New Roman"/>
          <w:i/>
        </w:rPr>
        <w:t>Response to WUTC Data Requests to Docket A-150561 (Payments)</w:t>
      </w:r>
      <w:r w:rsidRPr="008C04F4">
        <w:rPr>
          <w:rFonts w:ascii="Times New Roman" w:hAnsi="Times New Roman" w:cs="Times New Roman"/>
        </w:rPr>
        <w:t>, May 18, 2015</w:t>
      </w:r>
    </w:p>
  </w:footnote>
  <w:footnote w:id="4">
    <w:p w14:paraId="7CFDDFA7" w14:textId="77777777" w:rsidR="00FD6D30" w:rsidRPr="008C04F4" w:rsidRDefault="00FD6D30" w:rsidP="00FD6D30">
      <w:pPr>
        <w:pStyle w:val="FootnoteText"/>
        <w:rPr>
          <w:rFonts w:ascii="Times New Roman" w:hAnsi="Times New Roman" w:cs="Times New Roman"/>
        </w:rPr>
      </w:pPr>
      <w:r w:rsidRPr="008C04F4">
        <w:rPr>
          <w:rStyle w:val="FootnoteReference"/>
          <w:rFonts w:ascii="Times New Roman" w:hAnsi="Times New Roman" w:cs="Times New Roman"/>
        </w:rPr>
        <w:footnoteRef/>
      </w:r>
      <w:r w:rsidRPr="008C04F4">
        <w:rPr>
          <w:rFonts w:ascii="Times New Roman" w:hAnsi="Times New Roman" w:cs="Times New Roman"/>
        </w:rPr>
        <w:t xml:space="preserve"> Puget Sound Energy, phone discussion with Nate Hill, Regulatory Affairs Initiative Manager, June 2, 2015</w:t>
      </w:r>
    </w:p>
  </w:footnote>
  <w:footnote w:id="5">
    <w:p w14:paraId="327A108A" w14:textId="77777777" w:rsidR="001815EE" w:rsidRPr="008C04F4" w:rsidRDefault="001815EE">
      <w:pPr>
        <w:pStyle w:val="FootnoteText"/>
        <w:rPr>
          <w:rFonts w:ascii="Times New Roman" w:hAnsi="Times New Roman" w:cs="Times New Roman"/>
        </w:rPr>
      </w:pPr>
      <w:r w:rsidRPr="008C04F4">
        <w:rPr>
          <w:rStyle w:val="FootnoteReference"/>
          <w:rFonts w:ascii="Times New Roman" w:hAnsi="Times New Roman" w:cs="Times New Roman"/>
        </w:rPr>
        <w:footnoteRef/>
      </w:r>
      <w:r w:rsidRPr="008C04F4">
        <w:rPr>
          <w:rFonts w:ascii="Times New Roman" w:hAnsi="Times New Roman" w:cs="Times New Roman"/>
        </w:rPr>
        <w:t xml:space="preserve"> State of Vermont, Department of Public Service, February 21, 2012, http://publicservice.vermont.gov/sites/psd/files/Pubs_Plans_Reports/Legislative_Reports/Utility_Bill_Payment.pdf</w:t>
      </w:r>
    </w:p>
  </w:footnote>
  <w:footnote w:id="6">
    <w:p w14:paraId="0FD9562D" w14:textId="77777777" w:rsidR="00FD6D30" w:rsidRPr="008C04F4" w:rsidRDefault="00FD6D30">
      <w:pPr>
        <w:pStyle w:val="FootnoteText"/>
        <w:rPr>
          <w:rFonts w:ascii="Times New Roman" w:hAnsi="Times New Roman" w:cs="Times New Roman"/>
        </w:rPr>
      </w:pPr>
      <w:r w:rsidRPr="008C04F4">
        <w:rPr>
          <w:rStyle w:val="FootnoteReference"/>
          <w:rFonts w:ascii="Times New Roman" w:hAnsi="Times New Roman" w:cs="Times New Roman"/>
        </w:rPr>
        <w:footnoteRef/>
      </w:r>
      <w:r w:rsidRPr="008C04F4">
        <w:rPr>
          <w:rFonts w:ascii="Times New Roman" w:hAnsi="Times New Roman" w:cs="Times New Roman"/>
        </w:rPr>
        <w:t xml:space="preserve"> This estimate is based in part on assuming that utilities would contract payment processing functions through local banks, an approach that Washington’s utilities are not comfortable with because of the financial and consumer protection regulatory issues noted in Section 1 of this document.</w:t>
      </w:r>
    </w:p>
  </w:footnote>
  <w:footnote w:id="7">
    <w:p w14:paraId="1FCBC03C" w14:textId="77777777" w:rsidR="00A63A19" w:rsidRPr="008C04F4" w:rsidRDefault="00A63A19">
      <w:pPr>
        <w:pStyle w:val="FootnoteText"/>
        <w:rPr>
          <w:rFonts w:ascii="Times New Roman" w:hAnsi="Times New Roman" w:cs="Times New Roman"/>
        </w:rPr>
      </w:pPr>
      <w:r w:rsidRPr="008C04F4">
        <w:rPr>
          <w:rStyle w:val="FootnoteReference"/>
          <w:rFonts w:ascii="Times New Roman" w:hAnsi="Times New Roman" w:cs="Times New Roman"/>
        </w:rPr>
        <w:footnoteRef/>
      </w:r>
      <w:r w:rsidRPr="008C04F4">
        <w:rPr>
          <w:rFonts w:ascii="Times New Roman" w:hAnsi="Times New Roman" w:cs="Times New Roman"/>
        </w:rPr>
        <w:t xml:space="preserve"> Phone call wi</w:t>
      </w:r>
      <w:r w:rsidR="006D0005" w:rsidRPr="008C04F4">
        <w:rPr>
          <w:rFonts w:ascii="Times New Roman" w:hAnsi="Times New Roman" w:cs="Times New Roman"/>
        </w:rPr>
        <w:t xml:space="preserve">th </w:t>
      </w:r>
      <w:proofErr w:type="spellStart"/>
      <w:r w:rsidR="006D0005" w:rsidRPr="008C04F4">
        <w:rPr>
          <w:rFonts w:ascii="Times New Roman" w:hAnsi="Times New Roman" w:cs="Times New Roman"/>
        </w:rPr>
        <w:t>Onita</w:t>
      </w:r>
      <w:proofErr w:type="spellEnd"/>
      <w:r w:rsidR="006D0005" w:rsidRPr="008C04F4">
        <w:rPr>
          <w:rFonts w:ascii="Times New Roman" w:hAnsi="Times New Roman" w:cs="Times New Roman"/>
        </w:rPr>
        <w:t xml:space="preserve"> King of NW Natural regarding </w:t>
      </w:r>
      <w:r w:rsidRPr="008C04F4">
        <w:rPr>
          <w:rFonts w:ascii="Times New Roman" w:hAnsi="Times New Roman" w:cs="Times New Roman"/>
        </w:rPr>
        <w:t>Oregon PUC docket UG 221.</w:t>
      </w:r>
    </w:p>
  </w:footnote>
  <w:footnote w:id="8">
    <w:p w14:paraId="669A8700" w14:textId="77777777" w:rsidR="008F6F2C" w:rsidRDefault="008F6F2C">
      <w:pPr>
        <w:pStyle w:val="FootnoteText"/>
      </w:pPr>
      <w:r w:rsidRPr="008C04F4">
        <w:rPr>
          <w:rStyle w:val="FootnoteReference"/>
          <w:rFonts w:ascii="Times New Roman" w:hAnsi="Times New Roman" w:cs="Times New Roman"/>
        </w:rPr>
        <w:footnoteRef/>
      </w:r>
      <w:r w:rsidRPr="008C04F4">
        <w:rPr>
          <w:rFonts w:ascii="Times New Roman" w:hAnsi="Times New Roman" w:cs="Times New Roman"/>
        </w:rPr>
        <w:t xml:space="preserve"> U.S. Federal Reserve System, </w:t>
      </w:r>
      <w:hyperlink r:id="rId1" w:history="1">
        <w:r w:rsidRPr="008C04F4">
          <w:rPr>
            <w:rStyle w:val="Hyperlink"/>
            <w:rFonts w:ascii="Times New Roman" w:hAnsi="Times New Roman" w:cs="Times New Roman"/>
          </w:rPr>
          <w:t>https://www.frbservices.org/files/communications/pdf/general/2013_fed_res_paymt_study_detailed_rpt.pdf</w:t>
        </w:r>
      </w:hyperlink>
      <w:r>
        <w:t xml:space="preserve"> </w:t>
      </w:r>
    </w:p>
  </w:footnote>
  <w:footnote w:id="9">
    <w:p w14:paraId="5139F699" w14:textId="77777777" w:rsidR="00C84BBC" w:rsidRPr="008C04F4" w:rsidRDefault="00C84BBC">
      <w:pPr>
        <w:pStyle w:val="FootnoteText"/>
        <w:rPr>
          <w:rFonts w:ascii="Times New Roman" w:hAnsi="Times New Roman" w:cs="Times New Roman"/>
          <w:i/>
        </w:rPr>
      </w:pPr>
      <w:r w:rsidRPr="008C04F4">
        <w:rPr>
          <w:rStyle w:val="FootnoteReference"/>
          <w:rFonts w:ascii="Times New Roman" w:hAnsi="Times New Roman" w:cs="Times New Roman"/>
        </w:rPr>
        <w:footnoteRef/>
      </w:r>
      <w:r w:rsidRPr="008C04F4">
        <w:rPr>
          <w:rFonts w:ascii="Times New Roman" w:hAnsi="Times New Roman" w:cs="Times New Roman"/>
        </w:rPr>
        <w:t xml:space="preserve"> These brick-and-mortar business offices are mandated by WAC 480-100-188 and 480-90-188, which read: </w:t>
      </w:r>
      <w:r w:rsidRPr="008C04F4">
        <w:rPr>
          <w:rFonts w:ascii="Times New Roman" w:hAnsi="Times New Roman" w:cs="Times New Roman"/>
          <w:i/>
        </w:rPr>
        <w:t>“The… utility must provide payment agencies in locally accessible locations where applicants and customers can make payments at no charge to the applicants and customers. Payment agencies must clearly post and maintain regular business hours.”</w:t>
      </w:r>
    </w:p>
  </w:footnote>
  <w:footnote w:id="10">
    <w:p w14:paraId="37B61F21" w14:textId="77777777" w:rsidR="009E27C4" w:rsidRPr="008C04F4" w:rsidRDefault="009E27C4">
      <w:pPr>
        <w:pStyle w:val="FootnoteText"/>
        <w:rPr>
          <w:rFonts w:ascii="Times New Roman" w:hAnsi="Times New Roman" w:cs="Times New Roman"/>
        </w:rPr>
      </w:pPr>
      <w:r w:rsidRPr="008C04F4">
        <w:rPr>
          <w:rStyle w:val="FootnoteReference"/>
          <w:rFonts w:ascii="Times New Roman" w:hAnsi="Times New Roman" w:cs="Times New Roman"/>
        </w:rPr>
        <w:footnoteRef/>
      </w:r>
      <w:r w:rsidRPr="008C04F4">
        <w:rPr>
          <w:rFonts w:ascii="Times New Roman" w:hAnsi="Times New Roman" w:cs="Times New Roman"/>
        </w:rPr>
        <w:t xml:space="preserve"> Cascade Natural Gas comments, page 4, May 15, 2015</w:t>
      </w:r>
    </w:p>
  </w:footnote>
  <w:footnote w:id="11">
    <w:p w14:paraId="60D4FCC5" w14:textId="77777777" w:rsidR="007B0AA1" w:rsidRPr="008C04F4" w:rsidRDefault="007B0AA1">
      <w:pPr>
        <w:pStyle w:val="FootnoteText"/>
        <w:rPr>
          <w:rFonts w:ascii="Times New Roman" w:hAnsi="Times New Roman" w:cs="Times New Roman"/>
        </w:rPr>
      </w:pPr>
      <w:r w:rsidRPr="008C04F4">
        <w:rPr>
          <w:rStyle w:val="FootnoteReference"/>
          <w:rFonts w:ascii="Times New Roman" w:hAnsi="Times New Roman" w:cs="Times New Roman"/>
        </w:rPr>
        <w:footnoteRef/>
      </w:r>
      <w:r w:rsidRPr="008C04F4">
        <w:rPr>
          <w:rFonts w:ascii="Times New Roman" w:hAnsi="Times New Roman" w:cs="Times New Roman"/>
        </w:rPr>
        <w:t xml:space="preserve"> Cascade Natural Gas comments, </w:t>
      </w:r>
      <w:r w:rsidR="009E27C4" w:rsidRPr="008C04F4">
        <w:rPr>
          <w:rFonts w:ascii="Times New Roman" w:hAnsi="Times New Roman" w:cs="Times New Roman"/>
        </w:rPr>
        <w:t xml:space="preserve">page 4, </w:t>
      </w:r>
      <w:r w:rsidRPr="008C04F4">
        <w:rPr>
          <w:rFonts w:ascii="Times New Roman" w:hAnsi="Times New Roman" w:cs="Times New Roman"/>
        </w:rPr>
        <w:t>May 15,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EB300" w14:textId="77777777" w:rsidR="00A026D6" w:rsidRPr="0015457B" w:rsidRDefault="00A026D6">
    <w:pPr>
      <w:pStyle w:val="Header"/>
      <w:rPr>
        <w:rFonts w:ascii="Times New Roman" w:hAnsi="Times New Roman" w:cs="Times New Roman"/>
      </w:rPr>
    </w:pPr>
    <w:r w:rsidRPr="0015457B">
      <w:rPr>
        <w:rFonts w:ascii="Times New Roman" w:hAnsi="Times New Roman" w:cs="Times New Roman"/>
      </w:rPr>
      <w:t>Docket A-150561</w:t>
    </w:r>
  </w:p>
  <w:p w14:paraId="7C15E0D6" w14:textId="77777777" w:rsidR="00A026D6" w:rsidRPr="0015457B" w:rsidRDefault="00A026D6">
    <w:pPr>
      <w:pStyle w:val="Header"/>
      <w:rPr>
        <w:rFonts w:ascii="Times New Roman" w:hAnsi="Times New Roman" w:cs="Times New Roman"/>
      </w:rPr>
    </w:pPr>
    <w:r w:rsidRPr="0015457B">
      <w:rPr>
        <w:rFonts w:ascii="Times New Roman" w:hAnsi="Times New Roman" w:cs="Times New Roman"/>
      </w:rPr>
      <w:t>Summary of Comments</w:t>
    </w:r>
  </w:p>
  <w:p w14:paraId="6E5F69C6" w14:textId="77777777" w:rsidR="00A026D6" w:rsidRDefault="00A026D6">
    <w:pPr>
      <w:pStyle w:val="Header"/>
      <w:rPr>
        <w:rFonts w:ascii="Times New Roman" w:hAnsi="Times New Roman" w:cs="Times New Roman"/>
        <w:noProof/>
      </w:rPr>
    </w:pPr>
    <w:r w:rsidRPr="0015457B">
      <w:rPr>
        <w:rFonts w:ascii="Times New Roman" w:hAnsi="Times New Roman" w:cs="Times New Roman"/>
      </w:rPr>
      <w:t xml:space="preserve">Page </w:t>
    </w:r>
    <w:r w:rsidRPr="0015457B">
      <w:rPr>
        <w:rFonts w:ascii="Times New Roman" w:hAnsi="Times New Roman" w:cs="Times New Roman"/>
      </w:rPr>
      <w:fldChar w:fldCharType="begin"/>
    </w:r>
    <w:r w:rsidRPr="0015457B">
      <w:rPr>
        <w:rFonts w:ascii="Times New Roman" w:hAnsi="Times New Roman" w:cs="Times New Roman"/>
      </w:rPr>
      <w:instrText xml:space="preserve"> PAGE   \* MERGEFORMAT </w:instrText>
    </w:r>
    <w:r w:rsidRPr="0015457B">
      <w:rPr>
        <w:rFonts w:ascii="Times New Roman" w:hAnsi="Times New Roman" w:cs="Times New Roman"/>
      </w:rPr>
      <w:fldChar w:fldCharType="separate"/>
    </w:r>
    <w:r w:rsidR="00955878">
      <w:rPr>
        <w:rFonts w:ascii="Times New Roman" w:hAnsi="Times New Roman" w:cs="Times New Roman"/>
        <w:noProof/>
      </w:rPr>
      <w:t>6</w:t>
    </w:r>
    <w:r w:rsidRPr="0015457B">
      <w:rPr>
        <w:rFonts w:ascii="Times New Roman" w:hAnsi="Times New Roman" w:cs="Times New Roman"/>
        <w:noProof/>
      </w:rPr>
      <w:fldChar w:fldCharType="end"/>
    </w:r>
  </w:p>
  <w:p w14:paraId="5D69D0D5" w14:textId="77777777" w:rsidR="00A026D6" w:rsidRDefault="00A026D6">
    <w:pPr>
      <w:pStyle w:val="Header"/>
      <w:rPr>
        <w:rFonts w:ascii="Times New Roman" w:hAnsi="Times New Roman" w:cs="Times New Roman"/>
      </w:rPr>
    </w:pPr>
  </w:p>
  <w:p w14:paraId="3F7D579E" w14:textId="77777777" w:rsidR="003549BC" w:rsidRPr="0015457B" w:rsidRDefault="003549BC">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04C78"/>
    <w:multiLevelType w:val="hybridMultilevel"/>
    <w:tmpl w:val="DCA68064"/>
    <w:lvl w:ilvl="0" w:tplc="4488778E">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D90D5C"/>
    <w:multiLevelType w:val="hybridMultilevel"/>
    <w:tmpl w:val="883E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549"/>
    <w:rsid w:val="00002D60"/>
    <w:rsid w:val="00017108"/>
    <w:rsid w:val="00027FD4"/>
    <w:rsid w:val="00031514"/>
    <w:rsid w:val="00076670"/>
    <w:rsid w:val="000B0572"/>
    <w:rsid w:val="000C59E8"/>
    <w:rsid w:val="000D1CFE"/>
    <w:rsid w:val="000D3AEB"/>
    <w:rsid w:val="000E640C"/>
    <w:rsid w:val="000F11CD"/>
    <w:rsid w:val="00115757"/>
    <w:rsid w:val="001312FF"/>
    <w:rsid w:val="0015358A"/>
    <w:rsid w:val="0015457B"/>
    <w:rsid w:val="001631C1"/>
    <w:rsid w:val="00164013"/>
    <w:rsid w:val="001815EE"/>
    <w:rsid w:val="00187C37"/>
    <w:rsid w:val="00195E57"/>
    <w:rsid w:val="001A42F9"/>
    <w:rsid w:val="001A5464"/>
    <w:rsid w:val="001B23C2"/>
    <w:rsid w:val="001C5AB1"/>
    <w:rsid w:val="001E1D7A"/>
    <w:rsid w:val="001E5AF3"/>
    <w:rsid w:val="00231D86"/>
    <w:rsid w:val="002517EF"/>
    <w:rsid w:val="00263F5C"/>
    <w:rsid w:val="002A3720"/>
    <w:rsid w:val="002C039A"/>
    <w:rsid w:val="002C040E"/>
    <w:rsid w:val="00315A4C"/>
    <w:rsid w:val="003231A9"/>
    <w:rsid w:val="003250C1"/>
    <w:rsid w:val="00344B9A"/>
    <w:rsid w:val="003549BC"/>
    <w:rsid w:val="00372D23"/>
    <w:rsid w:val="0038796C"/>
    <w:rsid w:val="003B5633"/>
    <w:rsid w:val="003E44CC"/>
    <w:rsid w:val="003E4E74"/>
    <w:rsid w:val="00455260"/>
    <w:rsid w:val="00492292"/>
    <w:rsid w:val="004B0092"/>
    <w:rsid w:val="004B2075"/>
    <w:rsid w:val="004E1234"/>
    <w:rsid w:val="005156A9"/>
    <w:rsid w:val="00552600"/>
    <w:rsid w:val="00566886"/>
    <w:rsid w:val="005A6C74"/>
    <w:rsid w:val="005D5BA0"/>
    <w:rsid w:val="005E4407"/>
    <w:rsid w:val="006702BA"/>
    <w:rsid w:val="00672F7B"/>
    <w:rsid w:val="00693549"/>
    <w:rsid w:val="006963D6"/>
    <w:rsid w:val="006A41EE"/>
    <w:rsid w:val="006A7512"/>
    <w:rsid w:val="006C4918"/>
    <w:rsid w:val="006D0005"/>
    <w:rsid w:val="006D53D8"/>
    <w:rsid w:val="007324E2"/>
    <w:rsid w:val="00742B76"/>
    <w:rsid w:val="007536E5"/>
    <w:rsid w:val="00755A7E"/>
    <w:rsid w:val="00757CE7"/>
    <w:rsid w:val="00780066"/>
    <w:rsid w:val="007A0E22"/>
    <w:rsid w:val="007B0AA1"/>
    <w:rsid w:val="007B12C6"/>
    <w:rsid w:val="007B1D39"/>
    <w:rsid w:val="007D2CF3"/>
    <w:rsid w:val="00874F29"/>
    <w:rsid w:val="008753F6"/>
    <w:rsid w:val="008C04F4"/>
    <w:rsid w:val="008D3425"/>
    <w:rsid w:val="008D5064"/>
    <w:rsid w:val="008F6F2C"/>
    <w:rsid w:val="00955878"/>
    <w:rsid w:val="00977F62"/>
    <w:rsid w:val="0098056F"/>
    <w:rsid w:val="009A313C"/>
    <w:rsid w:val="009B44C9"/>
    <w:rsid w:val="009B45A9"/>
    <w:rsid w:val="009E27C4"/>
    <w:rsid w:val="009E6CBD"/>
    <w:rsid w:val="009F6743"/>
    <w:rsid w:val="00A026D6"/>
    <w:rsid w:val="00A12D37"/>
    <w:rsid w:val="00A63A19"/>
    <w:rsid w:val="00A84C2A"/>
    <w:rsid w:val="00AC763B"/>
    <w:rsid w:val="00AD3312"/>
    <w:rsid w:val="00AD471C"/>
    <w:rsid w:val="00AE273E"/>
    <w:rsid w:val="00B13041"/>
    <w:rsid w:val="00B63BA7"/>
    <w:rsid w:val="00BC4D42"/>
    <w:rsid w:val="00BD0CD7"/>
    <w:rsid w:val="00BD2281"/>
    <w:rsid w:val="00C3680F"/>
    <w:rsid w:val="00C63394"/>
    <w:rsid w:val="00C63D77"/>
    <w:rsid w:val="00C74897"/>
    <w:rsid w:val="00C84BBC"/>
    <w:rsid w:val="00C9330C"/>
    <w:rsid w:val="00CA2B24"/>
    <w:rsid w:val="00CD755E"/>
    <w:rsid w:val="00D31D89"/>
    <w:rsid w:val="00D47785"/>
    <w:rsid w:val="00D6163A"/>
    <w:rsid w:val="00D87F16"/>
    <w:rsid w:val="00DA1B86"/>
    <w:rsid w:val="00DA4B1B"/>
    <w:rsid w:val="00DC437C"/>
    <w:rsid w:val="00DC4B54"/>
    <w:rsid w:val="00DC6AA1"/>
    <w:rsid w:val="00DD2A47"/>
    <w:rsid w:val="00E146DD"/>
    <w:rsid w:val="00E30CC3"/>
    <w:rsid w:val="00E45965"/>
    <w:rsid w:val="00E76BA9"/>
    <w:rsid w:val="00F21B68"/>
    <w:rsid w:val="00F2480A"/>
    <w:rsid w:val="00F42ED6"/>
    <w:rsid w:val="00F47BE5"/>
    <w:rsid w:val="00F47F1D"/>
    <w:rsid w:val="00F536A8"/>
    <w:rsid w:val="00F924BB"/>
    <w:rsid w:val="00FD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0A4E0"/>
  <w15:chartTrackingRefBased/>
  <w15:docId w15:val="{47103D38-8653-4D7A-8FC9-134311CF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B45A9"/>
    <w:pPr>
      <w:ind w:left="720"/>
      <w:contextualSpacing/>
    </w:pPr>
  </w:style>
  <w:style w:type="paragraph" w:styleId="FootnoteText">
    <w:name w:val="footnote text"/>
    <w:basedOn w:val="Normal"/>
    <w:link w:val="FootnoteTextChar"/>
    <w:uiPriority w:val="99"/>
    <w:semiHidden/>
    <w:unhideWhenUsed/>
    <w:rsid w:val="008F6F2C"/>
    <w:rPr>
      <w:sz w:val="20"/>
      <w:szCs w:val="20"/>
    </w:rPr>
  </w:style>
  <w:style w:type="character" w:customStyle="1" w:styleId="FootnoteTextChar">
    <w:name w:val="Footnote Text Char"/>
    <w:basedOn w:val="DefaultParagraphFont"/>
    <w:link w:val="FootnoteText"/>
    <w:uiPriority w:val="99"/>
    <w:semiHidden/>
    <w:rsid w:val="008F6F2C"/>
    <w:rPr>
      <w:sz w:val="20"/>
      <w:szCs w:val="20"/>
    </w:rPr>
  </w:style>
  <w:style w:type="character" w:styleId="FootnoteReference">
    <w:name w:val="footnote reference"/>
    <w:basedOn w:val="DefaultParagraphFont"/>
    <w:uiPriority w:val="99"/>
    <w:semiHidden/>
    <w:unhideWhenUsed/>
    <w:rsid w:val="008F6F2C"/>
    <w:rPr>
      <w:vertAlign w:val="superscript"/>
    </w:rPr>
  </w:style>
  <w:style w:type="character" w:styleId="Hyperlink">
    <w:name w:val="Hyperlink"/>
    <w:basedOn w:val="DefaultParagraphFont"/>
    <w:uiPriority w:val="99"/>
    <w:unhideWhenUsed/>
    <w:rsid w:val="008F6F2C"/>
    <w:rPr>
      <w:color w:val="0000FF" w:themeColor="hyperlink"/>
      <w:u w:val="single"/>
    </w:rPr>
  </w:style>
  <w:style w:type="paragraph" w:styleId="Header">
    <w:name w:val="header"/>
    <w:basedOn w:val="Normal"/>
    <w:link w:val="HeaderChar"/>
    <w:uiPriority w:val="99"/>
    <w:unhideWhenUsed/>
    <w:rsid w:val="00A026D6"/>
    <w:pPr>
      <w:tabs>
        <w:tab w:val="center" w:pos="4680"/>
        <w:tab w:val="right" w:pos="9360"/>
      </w:tabs>
    </w:pPr>
  </w:style>
  <w:style w:type="character" w:customStyle="1" w:styleId="HeaderChar">
    <w:name w:val="Header Char"/>
    <w:basedOn w:val="DefaultParagraphFont"/>
    <w:link w:val="Header"/>
    <w:uiPriority w:val="99"/>
    <w:rsid w:val="00A026D6"/>
  </w:style>
  <w:style w:type="paragraph" w:styleId="Footer">
    <w:name w:val="footer"/>
    <w:basedOn w:val="Normal"/>
    <w:link w:val="FooterChar"/>
    <w:uiPriority w:val="99"/>
    <w:unhideWhenUsed/>
    <w:rsid w:val="00A026D6"/>
    <w:pPr>
      <w:tabs>
        <w:tab w:val="center" w:pos="4680"/>
        <w:tab w:val="right" w:pos="9360"/>
      </w:tabs>
    </w:pPr>
  </w:style>
  <w:style w:type="character" w:customStyle="1" w:styleId="FooterChar">
    <w:name w:val="Footer Char"/>
    <w:basedOn w:val="DefaultParagraphFont"/>
    <w:link w:val="Footer"/>
    <w:uiPriority w:val="99"/>
    <w:rsid w:val="00A026D6"/>
  </w:style>
  <w:style w:type="paragraph" w:styleId="BalloonText">
    <w:name w:val="Balloon Text"/>
    <w:basedOn w:val="Normal"/>
    <w:link w:val="BalloonTextChar"/>
    <w:uiPriority w:val="99"/>
    <w:semiHidden/>
    <w:unhideWhenUsed/>
    <w:rsid w:val="008C04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4F4"/>
    <w:rPr>
      <w:rFonts w:ascii="Segoe UI" w:hAnsi="Segoe UI" w:cs="Segoe UI"/>
      <w:sz w:val="18"/>
      <w:szCs w:val="18"/>
    </w:rPr>
  </w:style>
  <w:style w:type="character" w:styleId="CommentReference">
    <w:name w:val="annotation reference"/>
    <w:basedOn w:val="DefaultParagraphFont"/>
    <w:uiPriority w:val="99"/>
    <w:semiHidden/>
    <w:unhideWhenUsed/>
    <w:rsid w:val="00E146DD"/>
    <w:rPr>
      <w:sz w:val="16"/>
      <w:szCs w:val="16"/>
    </w:rPr>
  </w:style>
  <w:style w:type="paragraph" w:styleId="CommentText">
    <w:name w:val="annotation text"/>
    <w:basedOn w:val="Normal"/>
    <w:link w:val="CommentTextChar"/>
    <w:uiPriority w:val="99"/>
    <w:semiHidden/>
    <w:unhideWhenUsed/>
    <w:rsid w:val="00E146DD"/>
    <w:rPr>
      <w:sz w:val="20"/>
      <w:szCs w:val="20"/>
    </w:rPr>
  </w:style>
  <w:style w:type="character" w:customStyle="1" w:styleId="CommentTextChar">
    <w:name w:val="Comment Text Char"/>
    <w:basedOn w:val="DefaultParagraphFont"/>
    <w:link w:val="CommentText"/>
    <w:uiPriority w:val="99"/>
    <w:semiHidden/>
    <w:rsid w:val="00E146DD"/>
    <w:rPr>
      <w:sz w:val="20"/>
      <w:szCs w:val="20"/>
    </w:rPr>
  </w:style>
  <w:style w:type="paragraph" w:styleId="CommentSubject">
    <w:name w:val="annotation subject"/>
    <w:basedOn w:val="CommentText"/>
    <w:next w:val="CommentText"/>
    <w:link w:val="CommentSubjectChar"/>
    <w:uiPriority w:val="99"/>
    <w:semiHidden/>
    <w:unhideWhenUsed/>
    <w:rsid w:val="00E146DD"/>
    <w:rPr>
      <w:b/>
      <w:bCs/>
    </w:rPr>
  </w:style>
  <w:style w:type="character" w:customStyle="1" w:styleId="CommentSubjectChar">
    <w:name w:val="Comment Subject Char"/>
    <w:basedOn w:val="CommentTextChar"/>
    <w:link w:val="CommentSubject"/>
    <w:uiPriority w:val="99"/>
    <w:semiHidden/>
    <w:rsid w:val="00E146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635282">
      <w:bodyDiv w:val="1"/>
      <w:marLeft w:val="0"/>
      <w:marRight w:val="0"/>
      <w:marTop w:val="0"/>
      <w:marBottom w:val="0"/>
      <w:divBdr>
        <w:top w:val="none" w:sz="0" w:space="0" w:color="auto"/>
        <w:left w:val="none" w:sz="0" w:space="0" w:color="auto"/>
        <w:bottom w:val="none" w:sz="0" w:space="0" w:color="auto"/>
        <w:right w:val="none" w:sz="0" w:space="0" w:color="auto"/>
      </w:divBdr>
    </w:div>
    <w:div w:id="1232886685">
      <w:bodyDiv w:val="1"/>
      <w:marLeft w:val="0"/>
      <w:marRight w:val="0"/>
      <w:marTop w:val="0"/>
      <w:marBottom w:val="0"/>
      <w:divBdr>
        <w:top w:val="none" w:sz="0" w:space="0" w:color="auto"/>
        <w:left w:val="none" w:sz="0" w:space="0" w:color="auto"/>
        <w:bottom w:val="none" w:sz="0" w:space="0" w:color="auto"/>
        <w:right w:val="none" w:sz="0" w:space="0" w:color="auto"/>
      </w:divBdr>
    </w:div>
    <w:div w:id="17552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frbservices.org/files/communications/pdf/general/2013_fed_res_paymt_study_detailed_r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EBD57092866944AFE654E015002A8A" ma:contentTypeVersion="119" ma:contentTypeDescription="" ma:contentTypeScope="" ma:versionID="7972e24de38cf2a4d1b5dcfbf58bd9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2015-04-06T07:00:00+00:00</OpenedDate>
    <Date1 xmlns="dc463f71-b30c-4ab2-9473-d307f9d35888">2015-06-04T18:44:14+00:00</Date1>
    <IsDocumentOrder xmlns="dc463f71-b30c-4ab2-9473-d307f9d35888" xsi:nil="true"/>
    <IsHighlyConfidential xmlns="dc463f71-b30c-4ab2-9473-d307f9d35888">false</IsHighlyConfidential>
    <CaseCompanyNames xmlns="dc463f71-b30c-4ab2-9473-d307f9d35888" xsi:nil="true"/>
    <DocketNumber xmlns="dc463f71-b30c-4ab2-9473-d307f9d35888">150561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6F8D7B4-28B4-4727-B67D-80207EDDD13F}"/>
</file>

<file path=customXml/itemProps2.xml><?xml version="1.0" encoding="utf-8"?>
<ds:datastoreItem xmlns:ds="http://schemas.openxmlformats.org/officeDocument/2006/customXml" ds:itemID="{9E5CA475-365D-4EBC-BBE7-CD604CB0D139}"/>
</file>

<file path=customXml/itemProps3.xml><?xml version="1.0" encoding="utf-8"?>
<ds:datastoreItem xmlns:ds="http://schemas.openxmlformats.org/officeDocument/2006/customXml" ds:itemID="{D6F8942E-BECF-4F64-AC5E-024A82EC18BD}"/>
</file>

<file path=customXml/itemProps4.xml><?xml version="1.0" encoding="utf-8"?>
<ds:datastoreItem xmlns:ds="http://schemas.openxmlformats.org/officeDocument/2006/customXml" ds:itemID="{51FB2F18-04ED-47C3-9817-5A057AC35EBC}"/>
</file>

<file path=customXml/itemProps5.xml><?xml version="1.0" encoding="utf-8"?>
<ds:datastoreItem xmlns:ds="http://schemas.openxmlformats.org/officeDocument/2006/customXml" ds:itemID="{971AD84C-8CBF-4CD8-9D94-A3377AA1D0F5}"/>
</file>

<file path=docProps/app.xml><?xml version="1.0" encoding="utf-8"?>
<Properties xmlns="http://schemas.openxmlformats.org/officeDocument/2006/extended-properties" xmlns:vt="http://schemas.openxmlformats.org/officeDocument/2006/docPropsVTypes">
  <Template>Normal.dotm</Template>
  <TotalTime>0</TotalTime>
  <Pages>6</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Christopher (UTC)</dc:creator>
  <cp:keywords/>
  <dc:description/>
  <cp:lastModifiedBy>Anderson, Linda (UTC)</cp:lastModifiedBy>
  <cp:revision>2</cp:revision>
  <cp:lastPrinted>2015-06-03T21:19:00Z</cp:lastPrinted>
  <dcterms:created xsi:type="dcterms:W3CDTF">2015-06-04T16:24:00Z</dcterms:created>
  <dcterms:modified xsi:type="dcterms:W3CDTF">2015-06-04T16:24:00Z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0x0101006E56B4D1795A2E4DB2F0B01679ED314A001DEBD57092866944AFE654E015002A8A</vt:lpwstr>
  </property>
  <property fmtid="{D5CDD505-2E9C-101B-9397-08002B2CF9AE}" pid="3" name="_docset_NoMedatataSyncRequired">
    <vt:lpwstr>False</vt:lpwstr>
  </property>
</Properties>
</file>