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D2" w:rsidRPr="001C5833" w:rsidRDefault="00B97FD2" w:rsidP="00B97FD2">
      <w:pPr>
        <w:jc w:val="center"/>
        <w:rPr>
          <w:rFonts w:cs="Arial"/>
          <w:b/>
          <w:color w:val="1F497D"/>
        </w:rPr>
      </w:pPr>
    </w:p>
    <w:p w:rsidR="00B97FD2" w:rsidRPr="001C5833" w:rsidRDefault="00B97FD2" w:rsidP="00B97FD2">
      <w:pPr>
        <w:jc w:val="center"/>
        <w:rPr>
          <w:rFonts w:cs="Arial"/>
          <w:b/>
          <w:color w:val="1F497D"/>
          <w:sz w:val="40"/>
          <w:szCs w:val="40"/>
        </w:rPr>
      </w:pPr>
    </w:p>
    <w:p w:rsidR="00B97FD2" w:rsidRPr="001C5833" w:rsidRDefault="00A8338F" w:rsidP="00B97FD2">
      <w:pPr>
        <w:pStyle w:val="Title"/>
        <w:jc w:val="center"/>
        <w:rPr>
          <w:rFonts w:ascii="Arial" w:hAnsi="Arial" w:cs="Arial"/>
          <w:color w:val="1F497D" w:themeColor="text2"/>
          <w:szCs w:val="40"/>
        </w:rPr>
      </w:pPr>
      <w:r w:rsidRPr="00A8338F">
        <w:rPr>
          <w:rFonts w:ascii="Arial" w:hAnsi="Arial" w:cs="Arial"/>
          <w:color w:val="1F497D" w:themeColor="text2"/>
        </w:rPr>
        <w:t>Low-Income Rate Assistance Program</w:t>
      </w:r>
    </w:p>
    <w:p w:rsidR="00B97FD2" w:rsidRPr="001C5833" w:rsidRDefault="00A8338F" w:rsidP="00B97FD2">
      <w:pPr>
        <w:pStyle w:val="Title"/>
        <w:jc w:val="center"/>
        <w:rPr>
          <w:rFonts w:ascii="Arial" w:hAnsi="Arial" w:cs="Arial"/>
          <w:color w:val="1F497D" w:themeColor="text2"/>
        </w:rPr>
      </w:pPr>
      <w:r w:rsidRPr="00A8338F">
        <w:rPr>
          <w:rFonts w:ascii="Arial" w:hAnsi="Arial" w:cs="Arial"/>
          <w:color w:val="1F497D" w:themeColor="text2"/>
        </w:rPr>
        <w:t>(LIRAP)</w:t>
      </w:r>
    </w:p>
    <w:p w:rsidR="00B97FD2" w:rsidRPr="001C5833" w:rsidRDefault="00B97FD2" w:rsidP="00B97FD2">
      <w:pPr>
        <w:pStyle w:val="Title"/>
        <w:jc w:val="center"/>
        <w:rPr>
          <w:rFonts w:ascii="Arial" w:hAnsi="Arial" w:cs="Arial"/>
          <w:color w:val="1F497D" w:themeColor="text2"/>
        </w:rPr>
      </w:pPr>
    </w:p>
    <w:p w:rsidR="00B97FD2" w:rsidRPr="001C5833" w:rsidRDefault="00A8338F" w:rsidP="00B97FD2">
      <w:pPr>
        <w:pStyle w:val="Title"/>
        <w:jc w:val="center"/>
        <w:rPr>
          <w:rFonts w:ascii="Arial" w:hAnsi="Arial" w:cs="Arial"/>
          <w:color w:val="1F497D" w:themeColor="text2"/>
        </w:rPr>
      </w:pPr>
      <w:r w:rsidRPr="00A8338F">
        <w:rPr>
          <w:rFonts w:ascii="Arial" w:hAnsi="Arial" w:cs="Arial"/>
          <w:color w:val="1F497D" w:themeColor="text2"/>
        </w:rPr>
        <w:t>Annual Summary Report</w:t>
      </w:r>
    </w:p>
    <w:p w:rsidR="00B97FD2" w:rsidRPr="001C5833" w:rsidRDefault="00B97FD2" w:rsidP="00B97FD2">
      <w:pPr>
        <w:pStyle w:val="Heading1"/>
        <w:jc w:val="center"/>
        <w:rPr>
          <w:rFonts w:cs="Arial"/>
          <w:b w:val="0"/>
          <w:color w:val="1F497D" w:themeColor="text2"/>
          <w:sz w:val="24"/>
          <w:szCs w:val="24"/>
        </w:rPr>
      </w:pPr>
    </w:p>
    <w:p w:rsidR="00B97FD2" w:rsidRPr="001C5833" w:rsidRDefault="00B97FD2" w:rsidP="00B97FD2">
      <w:pPr>
        <w:pStyle w:val="Heading1"/>
        <w:jc w:val="center"/>
        <w:rPr>
          <w:rFonts w:cs="Arial"/>
          <w:b w:val="0"/>
          <w:color w:val="1F497D" w:themeColor="text2"/>
          <w:sz w:val="24"/>
          <w:szCs w:val="24"/>
        </w:rPr>
      </w:pPr>
    </w:p>
    <w:p w:rsidR="00B97FD2" w:rsidRPr="001C5833" w:rsidRDefault="00B97FD2" w:rsidP="00B97FD2">
      <w:pPr>
        <w:pStyle w:val="Heading1"/>
        <w:jc w:val="center"/>
        <w:rPr>
          <w:rFonts w:cs="Arial"/>
          <w:b w:val="0"/>
          <w:color w:val="1F497D" w:themeColor="text2"/>
          <w:sz w:val="24"/>
          <w:szCs w:val="24"/>
        </w:rPr>
      </w:pPr>
    </w:p>
    <w:p w:rsidR="00B97FD2" w:rsidRPr="001C5833" w:rsidRDefault="00B97FD2" w:rsidP="00B97FD2">
      <w:pPr>
        <w:jc w:val="center"/>
        <w:rPr>
          <w:rFonts w:cs="Arial"/>
          <w:b/>
          <w:color w:val="1F497D" w:themeColor="text2"/>
          <w:sz w:val="28"/>
        </w:rPr>
      </w:pPr>
      <w:r w:rsidRPr="001C5833">
        <w:rPr>
          <w:rFonts w:cs="Arial"/>
          <w:b/>
          <w:color w:val="1F497D" w:themeColor="text2"/>
          <w:sz w:val="28"/>
        </w:rPr>
        <w:t>For the program period October 201</w:t>
      </w:r>
      <w:r w:rsidR="00A068A1" w:rsidRPr="001C5833">
        <w:rPr>
          <w:rFonts w:cs="Arial"/>
          <w:b/>
          <w:color w:val="1F497D" w:themeColor="text2"/>
          <w:sz w:val="28"/>
        </w:rPr>
        <w:t>2</w:t>
      </w:r>
      <w:r w:rsidRPr="001C5833">
        <w:rPr>
          <w:rFonts w:cs="Arial"/>
          <w:b/>
          <w:color w:val="1F497D" w:themeColor="text2"/>
          <w:sz w:val="28"/>
        </w:rPr>
        <w:t xml:space="preserve"> through September 201</w:t>
      </w:r>
      <w:r w:rsidR="00A068A1" w:rsidRPr="001C5833">
        <w:rPr>
          <w:rFonts w:cs="Arial"/>
          <w:b/>
          <w:color w:val="1F497D" w:themeColor="text2"/>
          <w:sz w:val="28"/>
        </w:rPr>
        <w:t>3</w:t>
      </w:r>
    </w:p>
    <w:p w:rsidR="00B97FD2" w:rsidRPr="001C5833" w:rsidRDefault="00B97FD2" w:rsidP="00B97FD2">
      <w:pPr>
        <w:jc w:val="center"/>
        <w:rPr>
          <w:rFonts w:cs="Arial"/>
          <w:color w:val="1F497D" w:themeColor="text2"/>
        </w:rPr>
      </w:pPr>
    </w:p>
    <w:p w:rsidR="00B97FD2" w:rsidRPr="001C5833" w:rsidRDefault="00B97FD2" w:rsidP="00B97FD2">
      <w:pPr>
        <w:jc w:val="center"/>
        <w:rPr>
          <w:rFonts w:cs="Arial"/>
          <w:color w:val="1F497D" w:themeColor="text2"/>
        </w:rPr>
      </w:pPr>
    </w:p>
    <w:p w:rsidR="00B97FD2" w:rsidRPr="001C5833" w:rsidRDefault="00B97FD2" w:rsidP="00B97FD2">
      <w:pPr>
        <w:jc w:val="center"/>
        <w:rPr>
          <w:rFonts w:cs="Arial"/>
          <w:color w:val="1F497D" w:themeColor="text2"/>
        </w:rPr>
      </w:pPr>
    </w:p>
    <w:p w:rsidR="00B97FD2" w:rsidRPr="001C5833" w:rsidRDefault="00B97FD2" w:rsidP="00B97FD2">
      <w:pPr>
        <w:jc w:val="center"/>
        <w:rPr>
          <w:rFonts w:cs="Arial"/>
          <w:color w:val="1F497D" w:themeColor="text2"/>
        </w:rPr>
      </w:pPr>
    </w:p>
    <w:p w:rsidR="00B97FD2" w:rsidRPr="001C5833" w:rsidRDefault="00B97FD2" w:rsidP="00B97FD2">
      <w:pPr>
        <w:jc w:val="center"/>
        <w:rPr>
          <w:rFonts w:cs="Arial"/>
          <w:color w:val="1F497D" w:themeColor="text2"/>
        </w:rPr>
      </w:pPr>
    </w:p>
    <w:p w:rsidR="00B97FD2" w:rsidRPr="001C5833" w:rsidRDefault="00B97FD2" w:rsidP="00B97FD2">
      <w:pPr>
        <w:jc w:val="center"/>
        <w:rPr>
          <w:rFonts w:cs="Arial"/>
          <w:color w:val="1F497D" w:themeColor="text2"/>
        </w:rPr>
      </w:pPr>
    </w:p>
    <w:p w:rsidR="00B97FD2" w:rsidRPr="001C5833" w:rsidRDefault="001D13B0" w:rsidP="00B97FD2">
      <w:pPr>
        <w:jc w:val="center"/>
        <w:rPr>
          <w:rFonts w:cs="Arial"/>
          <w:b/>
          <w:color w:val="1F497D" w:themeColor="text2"/>
          <w:sz w:val="36"/>
        </w:rPr>
      </w:pPr>
      <w:r w:rsidRPr="001D13B0">
        <w:rPr>
          <w:rFonts w:cs="Arial"/>
          <w:b/>
          <w:color w:val="1F497D" w:themeColor="text2"/>
          <w:sz w:val="36"/>
        </w:rPr>
        <w:t>WASHINGTON</w:t>
      </w:r>
    </w:p>
    <w:p w:rsidR="00B97FD2" w:rsidRPr="001C5833" w:rsidRDefault="00B97FD2" w:rsidP="00B97FD2">
      <w:pPr>
        <w:jc w:val="center"/>
        <w:rPr>
          <w:rFonts w:cs="Arial"/>
          <w:b/>
          <w:color w:val="1F497D" w:themeColor="text2"/>
          <w:sz w:val="36"/>
        </w:rPr>
      </w:pPr>
    </w:p>
    <w:p w:rsidR="00B97FD2" w:rsidRPr="001C5833" w:rsidRDefault="00B97FD2" w:rsidP="00B97FD2">
      <w:pPr>
        <w:jc w:val="center"/>
        <w:rPr>
          <w:rFonts w:cs="Arial"/>
          <w:b/>
          <w:color w:val="1F497D"/>
          <w:sz w:val="36"/>
        </w:rPr>
      </w:pPr>
    </w:p>
    <w:p w:rsidR="00B97FD2" w:rsidRPr="001C5833" w:rsidRDefault="00B97FD2" w:rsidP="00B97FD2">
      <w:pPr>
        <w:tabs>
          <w:tab w:val="left" w:pos="7920"/>
        </w:tabs>
        <w:ind w:left="720" w:hanging="720"/>
        <w:rPr>
          <w:rFonts w:cs="Arial"/>
        </w:rPr>
      </w:pPr>
    </w:p>
    <w:p w:rsidR="00B97FD2" w:rsidRPr="001C5833" w:rsidRDefault="00B97FD2" w:rsidP="00B97FD2">
      <w:pPr>
        <w:tabs>
          <w:tab w:val="left" w:pos="7920"/>
        </w:tabs>
        <w:ind w:left="720" w:hanging="720"/>
        <w:rPr>
          <w:rFonts w:cs="Arial"/>
        </w:rPr>
      </w:pPr>
    </w:p>
    <w:p w:rsidR="00B97FD2" w:rsidRDefault="00B97FD2" w:rsidP="00B97FD2">
      <w:pPr>
        <w:tabs>
          <w:tab w:val="left" w:pos="7920"/>
        </w:tabs>
        <w:ind w:left="720" w:hanging="720"/>
        <w:rPr>
          <w:rFonts w:cs="Arial"/>
        </w:rPr>
      </w:pPr>
    </w:p>
    <w:p w:rsidR="003816D6" w:rsidRPr="001C5833" w:rsidRDefault="003816D6" w:rsidP="00B97FD2">
      <w:pPr>
        <w:tabs>
          <w:tab w:val="left" w:pos="7920"/>
        </w:tabs>
        <w:ind w:left="720" w:hanging="720"/>
        <w:rPr>
          <w:rFonts w:cs="Arial"/>
        </w:rPr>
      </w:pPr>
    </w:p>
    <w:p w:rsidR="00B97FD2" w:rsidRPr="001C5833" w:rsidRDefault="00B97FD2" w:rsidP="00B97FD2">
      <w:pPr>
        <w:tabs>
          <w:tab w:val="left" w:pos="7920"/>
        </w:tabs>
        <w:ind w:left="720" w:hanging="720"/>
        <w:rPr>
          <w:rFonts w:cs="Arial"/>
        </w:rPr>
      </w:pPr>
    </w:p>
    <w:p w:rsidR="00B97FD2" w:rsidRPr="001C5833" w:rsidRDefault="00EF76F2" w:rsidP="003816D6">
      <w:pPr>
        <w:tabs>
          <w:tab w:val="left" w:pos="7920"/>
        </w:tabs>
        <w:ind w:left="720" w:hanging="720"/>
        <w:jc w:val="both"/>
        <w:rPr>
          <w:rFonts w:cs="Arial"/>
          <w:sz w:val="20"/>
          <w:szCs w:val="20"/>
        </w:rPr>
      </w:pPr>
      <w:proofErr w:type="gramStart"/>
      <w:r w:rsidRPr="00EF76F2">
        <w:rPr>
          <w:rFonts w:cs="Arial"/>
          <w:sz w:val="20"/>
          <w:szCs w:val="20"/>
        </w:rPr>
        <w:t>2013 Avista Corporation.</w:t>
      </w:r>
      <w:proofErr w:type="gramEnd"/>
      <w:r w:rsidRPr="00EF76F2">
        <w:rPr>
          <w:rFonts w:cs="Arial"/>
          <w:sz w:val="20"/>
          <w:szCs w:val="20"/>
        </w:rPr>
        <w:t xml:space="preserve"> All Right Reserved</w:t>
      </w:r>
    </w:p>
    <w:p w:rsidR="00B97FD2" w:rsidRPr="001C5833" w:rsidRDefault="00B97FD2" w:rsidP="003816D6">
      <w:pPr>
        <w:jc w:val="both"/>
        <w:rPr>
          <w:rFonts w:cs="Arial"/>
          <w:sz w:val="20"/>
          <w:szCs w:val="20"/>
        </w:rPr>
      </w:pPr>
    </w:p>
    <w:p w:rsidR="00B97FD2" w:rsidRPr="001C5833" w:rsidRDefault="00F53867" w:rsidP="003816D6">
      <w:pPr>
        <w:jc w:val="both"/>
        <w:rPr>
          <w:rFonts w:cs="Arial"/>
        </w:rPr>
      </w:pPr>
      <w:r w:rsidRPr="00F53867">
        <w:rPr>
          <w:rFonts w:cs="Arial"/>
          <w:sz w:val="20"/>
          <w:szCs w:val="20"/>
        </w:rPr>
        <w:t>Permission of the Copyright owner is granted to users to copy, download, reproduce, transmit or distribute any part of this document provided that: (1) the user includes Avista’s copyright notice on all copies, and (2) the materials ar</w:t>
      </w:r>
      <w:r w:rsidR="00D72D2A" w:rsidRPr="00D72D2A">
        <w:rPr>
          <w:rFonts w:cs="Arial"/>
          <w:sz w:val="20"/>
          <w:szCs w:val="20"/>
        </w:rPr>
        <w:t>e not used in any misleading or inappropriate manner. Furthermore, no portion of the attached work shall be republished in printed or digital form without the written permission of the Copyright owner.</w:t>
      </w:r>
    </w:p>
    <w:sdt>
      <w:sdtPr>
        <w:rPr>
          <w:rFonts w:ascii="Arial" w:eastAsia="Times New Roman" w:hAnsi="Arial" w:cs="Arial"/>
          <w:b w:val="0"/>
          <w:bCs w:val="0"/>
          <w:color w:val="auto"/>
          <w:sz w:val="20"/>
          <w:szCs w:val="20"/>
        </w:rPr>
        <w:id w:val="1572545"/>
        <w:docPartObj>
          <w:docPartGallery w:val="Table of Contents"/>
          <w:docPartUnique/>
        </w:docPartObj>
      </w:sdtPr>
      <w:sdtEndPr>
        <w:rPr>
          <w:rFonts w:eastAsiaTheme="minorHAnsi"/>
          <w:sz w:val="24"/>
          <w:szCs w:val="24"/>
        </w:rPr>
      </w:sdtEndPr>
      <w:sdtContent>
        <w:p w:rsidR="00B97FD2" w:rsidRPr="001C5833" w:rsidRDefault="00A8338F" w:rsidP="00B97FD2">
          <w:pPr>
            <w:pStyle w:val="TOCHeading"/>
            <w:rPr>
              <w:rFonts w:ascii="Arial" w:hAnsi="Arial" w:cs="Arial"/>
            </w:rPr>
          </w:pPr>
          <w:r w:rsidRPr="00A8338F">
            <w:rPr>
              <w:rFonts w:ascii="Arial" w:hAnsi="Arial" w:cs="Arial"/>
            </w:rPr>
            <w:t>Table of Contents</w:t>
          </w:r>
        </w:p>
        <w:p w:rsidR="009D6EDB" w:rsidRDefault="00C84EBE">
          <w:pPr>
            <w:pStyle w:val="TOC1"/>
            <w:rPr>
              <w:rFonts w:asciiTheme="minorHAnsi" w:eastAsiaTheme="minorEastAsia" w:hAnsiTheme="minorHAnsi" w:cstheme="minorBidi"/>
              <w:b w:val="0"/>
              <w:sz w:val="22"/>
              <w:szCs w:val="22"/>
            </w:rPr>
          </w:pPr>
          <w:r w:rsidRPr="00C84EBE">
            <w:rPr>
              <w:rFonts w:ascii="Arial" w:hAnsi="Arial" w:cs="Arial"/>
            </w:rPr>
            <w:fldChar w:fldCharType="begin"/>
          </w:r>
          <w:r w:rsidR="00A8338F" w:rsidRPr="00A8338F">
            <w:rPr>
              <w:rFonts w:ascii="Arial" w:hAnsi="Arial" w:cs="Arial"/>
            </w:rPr>
            <w:instrText xml:space="preserve"> TOC \o "1-3" \h \z \u </w:instrText>
          </w:r>
          <w:r w:rsidRPr="00C84EBE">
            <w:rPr>
              <w:rFonts w:ascii="Arial" w:hAnsi="Arial" w:cs="Arial"/>
            </w:rPr>
            <w:fldChar w:fldCharType="separate"/>
          </w:r>
          <w:hyperlink w:anchor="_Toc375555218" w:history="1">
            <w:r w:rsidR="009D6EDB" w:rsidRPr="00425AAC">
              <w:rPr>
                <w:rStyle w:val="Hyperlink"/>
                <w:rFonts w:cs="Arial"/>
              </w:rPr>
              <w:t>Overview</w:t>
            </w:r>
            <w:r w:rsidR="009D6EDB">
              <w:rPr>
                <w:webHidden/>
              </w:rPr>
              <w:tab/>
            </w:r>
            <w:r w:rsidR="009D6EDB">
              <w:rPr>
                <w:webHidden/>
              </w:rPr>
              <w:fldChar w:fldCharType="begin"/>
            </w:r>
            <w:r w:rsidR="009D6EDB">
              <w:rPr>
                <w:webHidden/>
              </w:rPr>
              <w:instrText xml:space="preserve"> PAGEREF _Toc375555218 \h </w:instrText>
            </w:r>
            <w:r w:rsidR="009D6EDB">
              <w:rPr>
                <w:webHidden/>
              </w:rPr>
            </w:r>
            <w:r w:rsidR="009D6EDB">
              <w:rPr>
                <w:webHidden/>
              </w:rPr>
              <w:fldChar w:fldCharType="separate"/>
            </w:r>
            <w:r w:rsidR="009D6EDB">
              <w:rPr>
                <w:webHidden/>
              </w:rPr>
              <w:t>3</w:t>
            </w:r>
            <w:r w:rsidR="009D6EDB">
              <w:rPr>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19" w:history="1">
            <w:r w:rsidRPr="00425AAC">
              <w:rPr>
                <w:rStyle w:val="Hyperlink"/>
                <w:rFonts w:cs="Arial"/>
                <w:noProof/>
                <w:snapToGrid w:val="0"/>
              </w:rPr>
              <w:t>Table 1 – Yearly Revenues and Disbursements</w:t>
            </w:r>
            <w:r>
              <w:rPr>
                <w:noProof/>
                <w:webHidden/>
              </w:rPr>
              <w:tab/>
            </w:r>
            <w:r>
              <w:rPr>
                <w:noProof/>
                <w:webHidden/>
              </w:rPr>
              <w:fldChar w:fldCharType="begin"/>
            </w:r>
            <w:r>
              <w:rPr>
                <w:noProof/>
                <w:webHidden/>
              </w:rPr>
              <w:instrText xml:space="preserve"> PAGEREF _Toc375555219 \h </w:instrText>
            </w:r>
            <w:r>
              <w:rPr>
                <w:noProof/>
                <w:webHidden/>
              </w:rPr>
            </w:r>
            <w:r>
              <w:rPr>
                <w:noProof/>
                <w:webHidden/>
              </w:rPr>
              <w:fldChar w:fldCharType="separate"/>
            </w:r>
            <w:r>
              <w:rPr>
                <w:noProof/>
                <w:webHidden/>
              </w:rPr>
              <w:t>7</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0" w:history="1">
            <w:r w:rsidRPr="00425AAC">
              <w:rPr>
                <w:rStyle w:val="Hyperlink"/>
                <w:rFonts w:cs="Arial"/>
                <w:noProof/>
              </w:rPr>
              <w:t>Participants and Fund Distribution</w:t>
            </w:r>
            <w:r>
              <w:rPr>
                <w:noProof/>
                <w:webHidden/>
              </w:rPr>
              <w:tab/>
            </w:r>
            <w:r>
              <w:rPr>
                <w:noProof/>
                <w:webHidden/>
              </w:rPr>
              <w:fldChar w:fldCharType="begin"/>
            </w:r>
            <w:r>
              <w:rPr>
                <w:noProof/>
                <w:webHidden/>
              </w:rPr>
              <w:instrText xml:space="preserve"> PAGEREF _Toc375555220 \h </w:instrText>
            </w:r>
            <w:r>
              <w:rPr>
                <w:noProof/>
                <w:webHidden/>
              </w:rPr>
            </w:r>
            <w:r>
              <w:rPr>
                <w:noProof/>
                <w:webHidden/>
              </w:rPr>
              <w:fldChar w:fldCharType="separate"/>
            </w:r>
            <w:r>
              <w:rPr>
                <w:noProof/>
                <w:webHidden/>
              </w:rPr>
              <w:t>7</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1" w:history="1">
            <w:r w:rsidRPr="00425AAC">
              <w:rPr>
                <w:rStyle w:val="Hyperlink"/>
                <w:rFonts w:cs="Arial"/>
                <w:noProof/>
              </w:rPr>
              <w:t>Table 2 - Number and Amount of Grants by Component</w:t>
            </w:r>
            <w:r>
              <w:rPr>
                <w:noProof/>
                <w:webHidden/>
              </w:rPr>
              <w:tab/>
            </w:r>
            <w:r>
              <w:rPr>
                <w:noProof/>
                <w:webHidden/>
              </w:rPr>
              <w:fldChar w:fldCharType="begin"/>
            </w:r>
            <w:r>
              <w:rPr>
                <w:noProof/>
                <w:webHidden/>
              </w:rPr>
              <w:instrText xml:space="preserve"> PAGEREF _Toc375555221 \h </w:instrText>
            </w:r>
            <w:r>
              <w:rPr>
                <w:noProof/>
                <w:webHidden/>
              </w:rPr>
            </w:r>
            <w:r>
              <w:rPr>
                <w:noProof/>
                <w:webHidden/>
              </w:rPr>
              <w:fldChar w:fldCharType="separate"/>
            </w:r>
            <w:r>
              <w:rPr>
                <w:noProof/>
                <w:webHidden/>
              </w:rPr>
              <w:t>8</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2" w:history="1">
            <w:r w:rsidRPr="00425AAC">
              <w:rPr>
                <w:rStyle w:val="Hyperlink"/>
                <w:rFonts w:cs="Arial"/>
                <w:noProof/>
              </w:rPr>
              <w:t>Table 3 -- Demographic Data</w:t>
            </w:r>
            <w:r>
              <w:rPr>
                <w:noProof/>
                <w:webHidden/>
              </w:rPr>
              <w:tab/>
            </w:r>
            <w:r>
              <w:rPr>
                <w:noProof/>
                <w:webHidden/>
              </w:rPr>
              <w:fldChar w:fldCharType="begin"/>
            </w:r>
            <w:r>
              <w:rPr>
                <w:noProof/>
                <w:webHidden/>
              </w:rPr>
              <w:instrText xml:space="preserve"> PAGEREF _Toc375555222 \h </w:instrText>
            </w:r>
            <w:r>
              <w:rPr>
                <w:noProof/>
                <w:webHidden/>
              </w:rPr>
            </w:r>
            <w:r>
              <w:rPr>
                <w:noProof/>
                <w:webHidden/>
              </w:rPr>
              <w:fldChar w:fldCharType="separate"/>
            </w:r>
            <w:r>
              <w:rPr>
                <w:noProof/>
                <w:webHidden/>
              </w:rPr>
              <w:t>9</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3" w:history="1">
            <w:r w:rsidRPr="00425AAC">
              <w:rPr>
                <w:rStyle w:val="Hyperlink"/>
                <w:rFonts w:cs="Arial"/>
                <w:noProof/>
              </w:rPr>
              <w:t>Energy Burden</w:t>
            </w:r>
            <w:r>
              <w:rPr>
                <w:noProof/>
                <w:webHidden/>
              </w:rPr>
              <w:tab/>
            </w:r>
            <w:r>
              <w:rPr>
                <w:noProof/>
                <w:webHidden/>
              </w:rPr>
              <w:fldChar w:fldCharType="begin"/>
            </w:r>
            <w:r>
              <w:rPr>
                <w:noProof/>
                <w:webHidden/>
              </w:rPr>
              <w:instrText xml:space="preserve"> PAGEREF _Toc375555223 \h </w:instrText>
            </w:r>
            <w:r>
              <w:rPr>
                <w:noProof/>
                <w:webHidden/>
              </w:rPr>
            </w:r>
            <w:r>
              <w:rPr>
                <w:noProof/>
                <w:webHidden/>
              </w:rPr>
              <w:fldChar w:fldCharType="separate"/>
            </w:r>
            <w:r>
              <w:rPr>
                <w:noProof/>
                <w:webHidden/>
              </w:rPr>
              <w:t>10</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4" w:history="1">
            <w:r w:rsidRPr="00425AAC">
              <w:rPr>
                <w:rStyle w:val="Hyperlink"/>
                <w:rFonts w:cs="Arial"/>
                <w:noProof/>
              </w:rPr>
              <w:t>Table 4 - Energy Burden -- Total Energy costs divided by household income</w:t>
            </w:r>
            <w:r>
              <w:rPr>
                <w:noProof/>
                <w:webHidden/>
              </w:rPr>
              <w:tab/>
            </w:r>
            <w:r>
              <w:rPr>
                <w:noProof/>
                <w:webHidden/>
              </w:rPr>
              <w:fldChar w:fldCharType="begin"/>
            </w:r>
            <w:r>
              <w:rPr>
                <w:noProof/>
                <w:webHidden/>
              </w:rPr>
              <w:instrText xml:space="preserve"> PAGEREF _Toc375555224 \h </w:instrText>
            </w:r>
            <w:r>
              <w:rPr>
                <w:noProof/>
                <w:webHidden/>
              </w:rPr>
            </w:r>
            <w:r>
              <w:rPr>
                <w:noProof/>
                <w:webHidden/>
              </w:rPr>
              <w:fldChar w:fldCharType="separate"/>
            </w:r>
            <w:r>
              <w:rPr>
                <w:noProof/>
                <w:webHidden/>
              </w:rPr>
              <w:t>11</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5" w:history="1">
            <w:r w:rsidRPr="00425AAC">
              <w:rPr>
                <w:rStyle w:val="Hyperlink"/>
                <w:rFonts w:cs="Arial"/>
                <w:noProof/>
              </w:rPr>
              <w:t>Program Distribution Percentage</w:t>
            </w:r>
            <w:r>
              <w:rPr>
                <w:noProof/>
                <w:webHidden/>
              </w:rPr>
              <w:tab/>
            </w:r>
            <w:r>
              <w:rPr>
                <w:noProof/>
                <w:webHidden/>
              </w:rPr>
              <w:fldChar w:fldCharType="begin"/>
            </w:r>
            <w:r>
              <w:rPr>
                <w:noProof/>
                <w:webHidden/>
              </w:rPr>
              <w:instrText xml:space="preserve"> PAGEREF _Toc375555225 \h </w:instrText>
            </w:r>
            <w:r>
              <w:rPr>
                <w:noProof/>
                <w:webHidden/>
              </w:rPr>
            </w:r>
            <w:r>
              <w:rPr>
                <w:noProof/>
                <w:webHidden/>
              </w:rPr>
              <w:fldChar w:fldCharType="separate"/>
            </w:r>
            <w:r>
              <w:rPr>
                <w:noProof/>
                <w:webHidden/>
              </w:rPr>
              <w:t>12</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6" w:history="1">
            <w:r w:rsidRPr="00425AAC">
              <w:rPr>
                <w:rStyle w:val="Hyperlink"/>
                <w:rFonts w:cs="Arial"/>
                <w:noProof/>
              </w:rPr>
              <w:t>Table 5 – Distribution by Percentage</w:t>
            </w:r>
            <w:r>
              <w:rPr>
                <w:noProof/>
                <w:webHidden/>
              </w:rPr>
              <w:tab/>
            </w:r>
            <w:r>
              <w:rPr>
                <w:noProof/>
                <w:webHidden/>
              </w:rPr>
              <w:fldChar w:fldCharType="begin"/>
            </w:r>
            <w:r>
              <w:rPr>
                <w:noProof/>
                <w:webHidden/>
              </w:rPr>
              <w:instrText xml:space="preserve"> PAGEREF _Toc375555226 \h </w:instrText>
            </w:r>
            <w:r>
              <w:rPr>
                <w:noProof/>
                <w:webHidden/>
              </w:rPr>
            </w:r>
            <w:r>
              <w:rPr>
                <w:noProof/>
                <w:webHidden/>
              </w:rPr>
              <w:fldChar w:fldCharType="separate"/>
            </w:r>
            <w:r>
              <w:rPr>
                <w:noProof/>
                <w:webHidden/>
              </w:rPr>
              <w:t>12</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7" w:history="1">
            <w:r w:rsidRPr="00425AAC">
              <w:rPr>
                <w:rStyle w:val="Hyperlink"/>
                <w:rFonts w:cs="Arial"/>
                <w:noProof/>
              </w:rPr>
              <w:t>Avista Electric and Natural Gas Revenue</w:t>
            </w:r>
            <w:r>
              <w:rPr>
                <w:noProof/>
                <w:webHidden/>
              </w:rPr>
              <w:tab/>
            </w:r>
            <w:r>
              <w:rPr>
                <w:noProof/>
                <w:webHidden/>
              </w:rPr>
              <w:fldChar w:fldCharType="begin"/>
            </w:r>
            <w:r>
              <w:rPr>
                <w:noProof/>
                <w:webHidden/>
              </w:rPr>
              <w:instrText xml:space="preserve"> PAGEREF _Toc375555227 \h </w:instrText>
            </w:r>
            <w:r>
              <w:rPr>
                <w:noProof/>
                <w:webHidden/>
              </w:rPr>
            </w:r>
            <w:r>
              <w:rPr>
                <w:noProof/>
                <w:webHidden/>
              </w:rPr>
              <w:fldChar w:fldCharType="separate"/>
            </w:r>
            <w:r>
              <w:rPr>
                <w:noProof/>
                <w:webHidden/>
              </w:rPr>
              <w:t>13</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8" w:history="1">
            <w:r w:rsidRPr="00425AAC">
              <w:rPr>
                <w:rStyle w:val="Hyperlink"/>
                <w:rFonts w:cs="Arial"/>
                <w:noProof/>
              </w:rPr>
              <w:t>Table 6 – Distribution of Revenue</w:t>
            </w:r>
            <w:r>
              <w:rPr>
                <w:noProof/>
                <w:webHidden/>
              </w:rPr>
              <w:tab/>
            </w:r>
            <w:r>
              <w:rPr>
                <w:noProof/>
                <w:webHidden/>
              </w:rPr>
              <w:fldChar w:fldCharType="begin"/>
            </w:r>
            <w:r>
              <w:rPr>
                <w:noProof/>
                <w:webHidden/>
              </w:rPr>
              <w:instrText xml:space="preserve"> PAGEREF _Toc375555228 \h </w:instrText>
            </w:r>
            <w:r>
              <w:rPr>
                <w:noProof/>
                <w:webHidden/>
              </w:rPr>
            </w:r>
            <w:r>
              <w:rPr>
                <w:noProof/>
                <w:webHidden/>
              </w:rPr>
              <w:fldChar w:fldCharType="separate"/>
            </w:r>
            <w:r>
              <w:rPr>
                <w:noProof/>
                <w:webHidden/>
              </w:rPr>
              <w:t>13</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29" w:history="1">
            <w:r w:rsidRPr="00425AAC">
              <w:rPr>
                <w:rStyle w:val="Hyperlink"/>
                <w:rFonts w:cs="Arial"/>
                <w:noProof/>
              </w:rPr>
              <w:t>Program Funding Distribution</w:t>
            </w:r>
            <w:r>
              <w:rPr>
                <w:noProof/>
                <w:webHidden/>
              </w:rPr>
              <w:tab/>
            </w:r>
            <w:r>
              <w:rPr>
                <w:noProof/>
                <w:webHidden/>
              </w:rPr>
              <w:fldChar w:fldCharType="begin"/>
            </w:r>
            <w:r>
              <w:rPr>
                <w:noProof/>
                <w:webHidden/>
              </w:rPr>
              <w:instrText xml:space="preserve"> PAGEREF _Toc375555229 \h </w:instrText>
            </w:r>
            <w:r>
              <w:rPr>
                <w:noProof/>
                <w:webHidden/>
              </w:rPr>
            </w:r>
            <w:r>
              <w:rPr>
                <w:noProof/>
                <w:webHidden/>
              </w:rPr>
              <w:fldChar w:fldCharType="separate"/>
            </w:r>
            <w:r>
              <w:rPr>
                <w:noProof/>
                <w:webHidden/>
              </w:rPr>
              <w:t>13</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30" w:history="1">
            <w:r w:rsidRPr="00425AAC">
              <w:rPr>
                <w:rStyle w:val="Hyperlink"/>
                <w:rFonts w:cs="Arial"/>
                <w:noProof/>
              </w:rPr>
              <w:t>Table 7 – LIHEAP and LIRAP Grant Distribution</w:t>
            </w:r>
            <w:r>
              <w:rPr>
                <w:noProof/>
                <w:webHidden/>
              </w:rPr>
              <w:tab/>
            </w:r>
            <w:r>
              <w:rPr>
                <w:noProof/>
                <w:webHidden/>
              </w:rPr>
              <w:fldChar w:fldCharType="begin"/>
            </w:r>
            <w:r>
              <w:rPr>
                <w:noProof/>
                <w:webHidden/>
              </w:rPr>
              <w:instrText xml:space="preserve"> PAGEREF _Toc375555230 \h </w:instrText>
            </w:r>
            <w:r>
              <w:rPr>
                <w:noProof/>
                <w:webHidden/>
              </w:rPr>
            </w:r>
            <w:r>
              <w:rPr>
                <w:noProof/>
                <w:webHidden/>
              </w:rPr>
              <w:fldChar w:fldCharType="separate"/>
            </w:r>
            <w:r>
              <w:rPr>
                <w:noProof/>
                <w:webHidden/>
              </w:rPr>
              <w:t>14</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31" w:history="1">
            <w:r w:rsidRPr="00425AAC">
              <w:rPr>
                <w:rStyle w:val="Hyperlink"/>
                <w:rFonts w:cs="Arial"/>
                <w:noProof/>
              </w:rPr>
              <w:t>LIRAP Program Distribution Update</w:t>
            </w:r>
            <w:r>
              <w:rPr>
                <w:noProof/>
                <w:webHidden/>
              </w:rPr>
              <w:tab/>
            </w:r>
            <w:r>
              <w:rPr>
                <w:noProof/>
                <w:webHidden/>
              </w:rPr>
              <w:fldChar w:fldCharType="begin"/>
            </w:r>
            <w:r>
              <w:rPr>
                <w:noProof/>
                <w:webHidden/>
              </w:rPr>
              <w:instrText xml:space="preserve"> PAGEREF _Toc375555231 \h </w:instrText>
            </w:r>
            <w:r>
              <w:rPr>
                <w:noProof/>
                <w:webHidden/>
              </w:rPr>
            </w:r>
            <w:r>
              <w:rPr>
                <w:noProof/>
                <w:webHidden/>
              </w:rPr>
              <w:fldChar w:fldCharType="separate"/>
            </w:r>
            <w:r>
              <w:rPr>
                <w:noProof/>
                <w:webHidden/>
              </w:rPr>
              <w:t>15</w:t>
            </w:r>
            <w:r>
              <w:rPr>
                <w:noProof/>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32" w:history="1">
            <w:r w:rsidRPr="00425AAC">
              <w:rPr>
                <w:rStyle w:val="Hyperlink"/>
                <w:rFonts w:cs="Arial"/>
                <w:noProof/>
              </w:rPr>
              <w:t>Table 8 – New Allocation Distribution</w:t>
            </w:r>
            <w:r>
              <w:rPr>
                <w:noProof/>
                <w:webHidden/>
              </w:rPr>
              <w:tab/>
            </w:r>
            <w:r>
              <w:rPr>
                <w:noProof/>
                <w:webHidden/>
              </w:rPr>
              <w:fldChar w:fldCharType="begin"/>
            </w:r>
            <w:r>
              <w:rPr>
                <w:noProof/>
                <w:webHidden/>
              </w:rPr>
              <w:instrText xml:space="preserve"> PAGEREF _Toc375555232 \h </w:instrText>
            </w:r>
            <w:r>
              <w:rPr>
                <w:noProof/>
                <w:webHidden/>
              </w:rPr>
            </w:r>
            <w:r>
              <w:rPr>
                <w:noProof/>
                <w:webHidden/>
              </w:rPr>
              <w:fldChar w:fldCharType="separate"/>
            </w:r>
            <w:r>
              <w:rPr>
                <w:noProof/>
                <w:webHidden/>
              </w:rPr>
              <w:t>15</w:t>
            </w:r>
            <w:r>
              <w:rPr>
                <w:noProof/>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33" w:history="1">
            <w:r w:rsidRPr="00425AAC">
              <w:rPr>
                <w:rStyle w:val="Hyperlink"/>
              </w:rPr>
              <w:t>LIRAP Programs</w:t>
            </w:r>
            <w:r>
              <w:rPr>
                <w:webHidden/>
              </w:rPr>
              <w:tab/>
            </w:r>
            <w:r>
              <w:rPr>
                <w:webHidden/>
              </w:rPr>
              <w:fldChar w:fldCharType="begin"/>
            </w:r>
            <w:r>
              <w:rPr>
                <w:webHidden/>
              </w:rPr>
              <w:instrText xml:space="preserve"> PAGEREF _Toc375555233 \h </w:instrText>
            </w:r>
            <w:r>
              <w:rPr>
                <w:webHidden/>
              </w:rPr>
            </w:r>
            <w:r>
              <w:rPr>
                <w:webHidden/>
              </w:rPr>
              <w:fldChar w:fldCharType="separate"/>
            </w:r>
            <w:r>
              <w:rPr>
                <w:webHidden/>
              </w:rPr>
              <w:t>15</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34" w:history="1">
            <w:r w:rsidRPr="00425AAC">
              <w:rPr>
                <w:rStyle w:val="Hyperlink"/>
                <w:rFonts w:cs="Arial"/>
              </w:rPr>
              <w:t>Program Process</w:t>
            </w:r>
            <w:r>
              <w:rPr>
                <w:webHidden/>
              </w:rPr>
              <w:tab/>
            </w:r>
            <w:r>
              <w:rPr>
                <w:webHidden/>
              </w:rPr>
              <w:fldChar w:fldCharType="begin"/>
            </w:r>
            <w:r>
              <w:rPr>
                <w:webHidden/>
              </w:rPr>
              <w:instrText xml:space="preserve"> PAGEREF _Toc375555234 \h </w:instrText>
            </w:r>
            <w:r>
              <w:rPr>
                <w:webHidden/>
              </w:rPr>
            </w:r>
            <w:r>
              <w:rPr>
                <w:webHidden/>
              </w:rPr>
              <w:fldChar w:fldCharType="separate"/>
            </w:r>
            <w:r>
              <w:rPr>
                <w:webHidden/>
              </w:rPr>
              <w:t>17</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35" w:history="1">
            <w:r w:rsidRPr="00425AAC">
              <w:rPr>
                <w:rStyle w:val="Hyperlink"/>
                <w:rFonts w:cs="Arial"/>
              </w:rPr>
              <w:t>Conservation Education and Outreach</w:t>
            </w:r>
            <w:r>
              <w:rPr>
                <w:webHidden/>
              </w:rPr>
              <w:tab/>
            </w:r>
            <w:r>
              <w:rPr>
                <w:webHidden/>
              </w:rPr>
              <w:fldChar w:fldCharType="begin"/>
            </w:r>
            <w:r>
              <w:rPr>
                <w:webHidden/>
              </w:rPr>
              <w:instrText xml:space="preserve"> PAGEREF _Toc375555235 \h </w:instrText>
            </w:r>
            <w:r>
              <w:rPr>
                <w:webHidden/>
              </w:rPr>
            </w:r>
            <w:r>
              <w:rPr>
                <w:webHidden/>
              </w:rPr>
              <w:fldChar w:fldCharType="separate"/>
            </w:r>
            <w:r>
              <w:rPr>
                <w:webHidden/>
              </w:rPr>
              <w:t>17</w:t>
            </w:r>
            <w:r>
              <w:rPr>
                <w:webHidden/>
              </w:rPr>
              <w:fldChar w:fldCharType="end"/>
            </w:r>
          </w:hyperlink>
        </w:p>
        <w:p w:rsidR="009D6EDB" w:rsidRDefault="009D6EDB">
          <w:pPr>
            <w:pStyle w:val="TOC2"/>
            <w:tabs>
              <w:tab w:val="right" w:leader="dot" w:pos="9350"/>
            </w:tabs>
            <w:rPr>
              <w:rFonts w:asciiTheme="minorHAnsi" w:eastAsiaTheme="minorEastAsia" w:hAnsiTheme="minorHAnsi" w:cstheme="minorBidi"/>
              <w:noProof/>
              <w:sz w:val="22"/>
              <w:szCs w:val="22"/>
            </w:rPr>
          </w:pPr>
          <w:hyperlink w:anchor="_Toc375555236" w:history="1">
            <w:r w:rsidRPr="00425AAC">
              <w:rPr>
                <w:rStyle w:val="Hyperlink"/>
                <w:rFonts w:cs="Arial"/>
                <w:noProof/>
              </w:rPr>
              <w:t>Conservation Education Activities</w:t>
            </w:r>
            <w:r>
              <w:rPr>
                <w:noProof/>
                <w:webHidden/>
              </w:rPr>
              <w:tab/>
            </w:r>
            <w:r>
              <w:rPr>
                <w:noProof/>
                <w:webHidden/>
              </w:rPr>
              <w:fldChar w:fldCharType="begin"/>
            </w:r>
            <w:r>
              <w:rPr>
                <w:noProof/>
                <w:webHidden/>
              </w:rPr>
              <w:instrText xml:space="preserve"> PAGEREF _Toc375555236 \h </w:instrText>
            </w:r>
            <w:r>
              <w:rPr>
                <w:noProof/>
                <w:webHidden/>
              </w:rPr>
            </w:r>
            <w:r>
              <w:rPr>
                <w:noProof/>
                <w:webHidden/>
              </w:rPr>
              <w:fldChar w:fldCharType="separate"/>
            </w:r>
            <w:r>
              <w:rPr>
                <w:noProof/>
                <w:webHidden/>
              </w:rPr>
              <w:t>19</w:t>
            </w:r>
            <w:r>
              <w:rPr>
                <w:noProof/>
                <w:webHidden/>
              </w:rPr>
              <w:fldChar w:fldCharType="end"/>
            </w:r>
          </w:hyperlink>
        </w:p>
        <w:p w:rsidR="009D6EDB" w:rsidRDefault="009D6EDB">
          <w:pPr>
            <w:pStyle w:val="TOC3"/>
            <w:tabs>
              <w:tab w:val="right" w:leader="dot" w:pos="9350"/>
            </w:tabs>
            <w:rPr>
              <w:noProof/>
            </w:rPr>
          </w:pPr>
          <w:hyperlink w:anchor="_Toc375555237" w:history="1">
            <w:r w:rsidRPr="00425AAC">
              <w:rPr>
                <w:rStyle w:val="Hyperlink"/>
                <w:rFonts w:cs="Arial"/>
                <w:noProof/>
              </w:rPr>
              <w:t>Home Energy Kits</w:t>
            </w:r>
            <w:r>
              <w:rPr>
                <w:noProof/>
                <w:webHidden/>
              </w:rPr>
              <w:tab/>
            </w:r>
            <w:r>
              <w:rPr>
                <w:noProof/>
                <w:webHidden/>
              </w:rPr>
              <w:fldChar w:fldCharType="begin"/>
            </w:r>
            <w:r>
              <w:rPr>
                <w:noProof/>
                <w:webHidden/>
              </w:rPr>
              <w:instrText xml:space="preserve"> PAGEREF _Toc375555237 \h </w:instrText>
            </w:r>
            <w:r>
              <w:rPr>
                <w:noProof/>
                <w:webHidden/>
              </w:rPr>
            </w:r>
            <w:r>
              <w:rPr>
                <w:noProof/>
                <w:webHidden/>
              </w:rPr>
              <w:fldChar w:fldCharType="separate"/>
            </w:r>
            <w:r>
              <w:rPr>
                <w:noProof/>
                <w:webHidden/>
              </w:rPr>
              <w:t>19</w:t>
            </w:r>
            <w:r>
              <w:rPr>
                <w:noProof/>
                <w:webHidden/>
              </w:rPr>
              <w:fldChar w:fldCharType="end"/>
            </w:r>
          </w:hyperlink>
        </w:p>
        <w:p w:rsidR="009D6EDB" w:rsidRDefault="009D6EDB">
          <w:pPr>
            <w:pStyle w:val="TOC3"/>
            <w:tabs>
              <w:tab w:val="right" w:leader="dot" w:pos="9350"/>
            </w:tabs>
            <w:rPr>
              <w:noProof/>
            </w:rPr>
          </w:pPr>
          <w:hyperlink w:anchor="_Toc375555238" w:history="1">
            <w:r w:rsidRPr="00425AAC">
              <w:rPr>
                <w:rStyle w:val="Hyperlink"/>
                <w:rFonts w:cs="Arial"/>
                <w:noProof/>
              </w:rPr>
              <w:t>Outreach</w:t>
            </w:r>
            <w:r>
              <w:rPr>
                <w:noProof/>
                <w:webHidden/>
              </w:rPr>
              <w:tab/>
            </w:r>
            <w:r>
              <w:rPr>
                <w:noProof/>
                <w:webHidden/>
              </w:rPr>
              <w:fldChar w:fldCharType="begin"/>
            </w:r>
            <w:r>
              <w:rPr>
                <w:noProof/>
                <w:webHidden/>
              </w:rPr>
              <w:instrText xml:space="preserve"> PAGEREF _Toc375555238 \h </w:instrText>
            </w:r>
            <w:r>
              <w:rPr>
                <w:noProof/>
                <w:webHidden/>
              </w:rPr>
            </w:r>
            <w:r>
              <w:rPr>
                <w:noProof/>
                <w:webHidden/>
              </w:rPr>
              <w:fldChar w:fldCharType="separate"/>
            </w:r>
            <w:r>
              <w:rPr>
                <w:noProof/>
                <w:webHidden/>
              </w:rPr>
              <w:t>20</w:t>
            </w:r>
            <w:r>
              <w:rPr>
                <w:noProof/>
                <w:webHidden/>
              </w:rPr>
              <w:fldChar w:fldCharType="end"/>
            </w:r>
          </w:hyperlink>
        </w:p>
        <w:p w:rsidR="009D6EDB" w:rsidRDefault="009D6EDB">
          <w:pPr>
            <w:pStyle w:val="TOC3"/>
            <w:tabs>
              <w:tab w:val="right" w:leader="dot" w:pos="9350"/>
            </w:tabs>
            <w:rPr>
              <w:noProof/>
            </w:rPr>
          </w:pPr>
          <w:hyperlink w:anchor="_Toc375555239" w:history="1">
            <w:r w:rsidRPr="00425AAC">
              <w:rPr>
                <w:rStyle w:val="Hyperlink"/>
                <w:rFonts w:cs="Arial"/>
                <w:noProof/>
              </w:rPr>
              <w:t>Senior Directories and Publications</w:t>
            </w:r>
            <w:r>
              <w:rPr>
                <w:noProof/>
                <w:webHidden/>
              </w:rPr>
              <w:tab/>
            </w:r>
            <w:r>
              <w:rPr>
                <w:noProof/>
                <w:webHidden/>
              </w:rPr>
              <w:fldChar w:fldCharType="begin"/>
            </w:r>
            <w:r>
              <w:rPr>
                <w:noProof/>
                <w:webHidden/>
              </w:rPr>
              <w:instrText xml:space="preserve"> PAGEREF _Toc375555239 \h </w:instrText>
            </w:r>
            <w:r>
              <w:rPr>
                <w:noProof/>
                <w:webHidden/>
              </w:rPr>
            </w:r>
            <w:r>
              <w:rPr>
                <w:noProof/>
                <w:webHidden/>
              </w:rPr>
              <w:fldChar w:fldCharType="separate"/>
            </w:r>
            <w:r>
              <w:rPr>
                <w:noProof/>
                <w:webHidden/>
              </w:rPr>
              <w:t>21</w:t>
            </w:r>
            <w:r>
              <w:rPr>
                <w:noProof/>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40" w:history="1">
            <w:r w:rsidRPr="00425AAC">
              <w:rPr>
                <w:rStyle w:val="Hyperlink"/>
                <w:rFonts w:cs="Arial"/>
              </w:rPr>
              <w:t>Reporting Protocols</w:t>
            </w:r>
            <w:r>
              <w:rPr>
                <w:webHidden/>
              </w:rPr>
              <w:tab/>
            </w:r>
            <w:r>
              <w:rPr>
                <w:webHidden/>
              </w:rPr>
              <w:fldChar w:fldCharType="begin"/>
            </w:r>
            <w:r>
              <w:rPr>
                <w:webHidden/>
              </w:rPr>
              <w:instrText xml:space="preserve"> PAGEREF _Toc375555240 \h </w:instrText>
            </w:r>
            <w:r>
              <w:rPr>
                <w:webHidden/>
              </w:rPr>
            </w:r>
            <w:r>
              <w:rPr>
                <w:webHidden/>
              </w:rPr>
              <w:fldChar w:fldCharType="separate"/>
            </w:r>
            <w:r>
              <w:rPr>
                <w:webHidden/>
              </w:rPr>
              <w:t>21</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41" w:history="1">
            <w:r w:rsidRPr="00425AAC">
              <w:rPr>
                <w:rStyle w:val="Hyperlink"/>
                <w:rFonts w:cs="Arial"/>
              </w:rPr>
              <w:t>Key Terms</w:t>
            </w:r>
            <w:r>
              <w:rPr>
                <w:webHidden/>
              </w:rPr>
              <w:tab/>
            </w:r>
            <w:r>
              <w:rPr>
                <w:webHidden/>
              </w:rPr>
              <w:fldChar w:fldCharType="begin"/>
            </w:r>
            <w:r>
              <w:rPr>
                <w:webHidden/>
              </w:rPr>
              <w:instrText xml:space="preserve"> PAGEREF _Toc375555241 \h </w:instrText>
            </w:r>
            <w:r>
              <w:rPr>
                <w:webHidden/>
              </w:rPr>
            </w:r>
            <w:r>
              <w:rPr>
                <w:webHidden/>
              </w:rPr>
              <w:fldChar w:fldCharType="separate"/>
            </w:r>
            <w:r>
              <w:rPr>
                <w:webHidden/>
              </w:rPr>
              <w:t>21</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42" w:history="1">
            <w:r w:rsidRPr="00425AAC">
              <w:rPr>
                <w:rStyle w:val="Hyperlink"/>
                <w:rFonts w:cs="Arial"/>
              </w:rPr>
              <w:t>Data Collection</w:t>
            </w:r>
            <w:r>
              <w:rPr>
                <w:webHidden/>
              </w:rPr>
              <w:tab/>
            </w:r>
            <w:r>
              <w:rPr>
                <w:webHidden/>
              </w:rPr>
              <w:fldChar w:fldCharType="begin"/>
            </w:r>
            <w:r>
              <w:rPr>
                <w:webHidden/>
              </w:rPr>
              <w:instrText xml:space="preserve"> PAGEREF _Toc375555242 \h </w:instrText>
            </w:r>
            <w:r>
              <w:rPr>
                <w:webHidden/>
              </w:rPr>
            </w:r>
            <w:r>
              <w:rPr>
                <w:webHidden/>
              </w:rPr>
              <w:fldChar w:fldCharType="separate"/>
            </w:r>
            <w:r>
              <w:rPr>
                <w:webHidden/>
              </w:rPr>
              <w:t>22</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43" w:history="1">
            <w:r w:rsidRPr="00425AAC">
              <w:rPr>
                <w:rStyle w:val="Hyperlink"/>
                <w:rFonts w:cs="Arial"/>
              </w:rPr>
              <w:t>Participating LIRAP Agencies</w:t>
            </w:r>
            <w:r>
              <w:rPr>
                <w:webHidden/>
              </w:rPr>
              <w:tab/>
            </w:r>
            <w:r>
              <w:rPr>
                <w:webHidden/>
              </w:rPr>
              <w:fldChar w:fldCharType="begin"/>
            </w:r>
            <w:r>
              <w:rPr>
                <w:webHidden/>
              </w:rPr>
              <w:instrText xml:space="preserve"> PAGEREF _Toc375555243 \h </w:instrText>
            </w:r>
            <w:r>
              <w:rPr>
                <w:webHidden/>
              </w:rPr>
            </w:r>
            <w:r>
              <w:rPr>
                <w:webHidden/>
              </w:rPr>
              <w:fldChar w:fldCharType="separate"/>
            </w:r>
            <w:r>
              <w:rPr>
                <w:webHidden/>
              </w:rPr>
              <w:t>22</w:t>
            </w:r>
            <w:r>
              <w:rPr>
                <w:webHidden/>
              </w:rPr>
              <w:fldChar w:fldCharType="end"/>
            </w:r>
          </w:hyperlink>
        </w:p>
        <w:p w:rsidR="009D6EDB" w:rsidRDefault="009D6EDB">
          <w:pPr>
            <w:pStyle w:val="TOC1"/>
            <w:rPr>
              <w:rFonts w:asciiTheme="minorHAnsi" w:eastAsiaTheme="minorEastAsia" w:hAnsiTheme="minorHAnsi" w:cstheme="minorBidi"/>
              <w:b w:val="0"/>
              <w:sz w:val="22"/>
              <w:szCs w:val="22"/>
            </w:rPr>
          </w:pPr>
          <w:hyperlink w:anchor="_Toc375555244" w:history="1">
            <w:r w:rsidRPr="00425AAC">
              <w:rPr>
                <w:rStyle w:val="Hyperlink"/>
                <w:rFonts w:cs="Arial"/>
              </w:rPr>
              <w:t>Contacts</w:t>
            </w:r>
            <w:r>
              <w:rPr>
                <w:webHidden/>
              </w:rPr>
              <w:tab/>
            </w:r>
            <w:r>
              <w:rPr>
                <w:webHidden/>
              </w:rPr>
              <w:fldChar w:fldCharType="begin"/>
            </w:r>
            <w:r>
              <w:rPr>
                <w:webHidden/>
              </w:rPr>
              <w:instrText xml:space="preserve"> PAGEREF _Toc375555244 \h </w:instrText>
            </w:r>
            <w:r>
              <w:rPr>
                <w:webHidden/>
              </w:rPr>
            </w:r>
            <w:r>
              <w:rPr>
                <w:webHidden/>
              </w:rPr>
              <w:fldChar w:fldCharType="separate"/>
            </w:r>
            <w:r>
              <w:rPr>
                <w:webHidden/>
              </w:rPr>
              <w:t>23</w:t>
            </w:r>
            <w:r>
              <w:rPr>
                <w:webHidden/>
              </w:rPr>
              <w:fldChar w:fldCharType="end"/>
            </w:r>
          </w:hyperlink>
        </w:p>
        <w:p w:rsidR="00B97FD2" w:rsidRPr="001C5833" w:rsidRDefault="00C84EBE" w:rsidP="00B97FD2">
          <w:pPr>
            <w:rPr>
              <w:rFonts w:cs="Arial"/>
            </w:rPr>
          </w:pPr>
          <w:r w:rsidRPr="00A8338F">
            <w:rPr>
              <w:rFonts w:cs="Arial"/>
            </w:rPr>
            <w:fldChar w:fldCharType="end"/>
          </w:r>
        </w:p>
      </w:sdtContent>
    </w:sdt>
    <w:p w:rsidR="00B97FD2" w:rsidRPr="008A0428" w:rsidRDefault="006717CE" w:rsidP="00B97FD2">
      <w:pPr>
        <w:pStyle w:val="Heading1"/>
        <w:rPr>
          <w:rFonts w:cs="Arial"/>
          <w:color w:val="1F497D" w:themeColor="text2"/>
          <w:sz w:val="24"/>
          <w:szCs w:val="24"/>
        </w:rPr>
      </w:pPr>
      <w:r>
        <w:rPr>
          <w:rFonts w:cs="Arial"/>
          <w:b w:val="0"/>
          <w:color w:val="1F497D" w:themeColor="text2"/>
          <w:sz w:val="36"/>
          <w:szCs w:val="36"/>
        </w:rPr>
        <w:br w:type="page"/>
      </w:r>
      <w:bookmarkStart w:id="0" w:name="_Toc375555218"/>
      <w:r w:rsidR="00A8338F" w:rsidRPr="008A0428">
        <w:rPr>
          <w:rFonts w:cs="Arial"/>
          <w:color w:val="1F497D" w:themeColor="text2"/>
          <w:sz w:val="36"/>
          <w:szCs w:val="36"/>
        </w:rPr>
        <w:lastRenderedPageBreak/>
        <w:t>Overview</w:t>
      </w:r>
      <w:bookmarkEnd w:id="0"/>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36"/>
          <w:szCs w:val="36"/>
        </w:rPr>
        <w:tab/>
      </w:r>
      <w:r w:rsidR="00A8338F" w:rsidRPr="008A0428">
        <w:rPr>
          <w:rFonts w:cs="Arial"/>
          <w:color w:val="1F497D" w:themeColor="text2"/>
          <w:sz w:val="24"/>
          <w:szCs w:val="24"/>
        </w:rPr>
        <w:tab/>
      </w:r>
      <w:r w:rsidR="00A8338F" w:rsidRPr="008A0428">
        <w:rPr>
          <w:rFonts w:cs="Arial"/>
          <w:color w:val="1F497D" w:themeColor="text2"/>
          <w:sz w:val="24"/>
          <w:szCs w:val="24"/>
        </w:rPr>
        <w:tab/>
      </w:r>
      <w:r w:rsidR="00A8338F" w:rsidRPr="008A0428">
        <w:rPr>
          <w:rFonts w:cs="Arial"/>
          <w:color w:val="1F497D" w:themeColor="text2"/>
          <w:sz w:val="24"/>
          <w:szCs w:val="24"/>
        </w:rPr>
        <w:tab/>
      </w:r>
    </w:p>
    <w:p w:rsidR="00B97FD2" w:rsidRPr="001C5833" w:rsidRDefault="00B97FD2" w:rsidP="00B97FD2">
      <w:pPr>
        <w:spacing w:line="480" w:lineRule="auto"/>
        <w:ind w:firstLine="720"/>
        <w:jc w:val="both"/>
        <w:rPr>
          <w:rFonts w:cs="Arial"/>
          <w:color w:val="000000" w:themeColor="text1"/>
        </w:rPr>
      </w:pPr>
      <w:r w:rsidRPr="001C5833">
        <w:rPr>
          <w:rFonts w:cs="Arial"/>
          <w:color w:val="000000" w:themeColor="text1"/>
        </w:rPr>
        <w:t>Avista Utilities’ Low-Income Rate Assistance Program (LIRAP) approved by the Washington Utilities and Transportation Commission (UTC) in 2001 collects funding through electric and natural gas tariff surcharges on Schedules 91 and 191.  These funds are distributed by Community Action Agencies (CAA’s) in a manner similar to the Federal and State-sponsored Low Income Home Energy Assistance Program (LIHEAP)</w:t>
      </w:r>
      <w:r w:rsidR="00823939">
        <w:rPr>
          <w:rStyle w:val="FootnoteReference"/>
          <w:rFonts w:cs="Arial"/>
          <w:color w:val="000000" w:themeColor="text1"/>
        </w:rPr>
        <w:footnoteReference w:id="1"/>
      </w:r>
      <w:r w:rsidRPr="001C5833">
        <w:rPr>
          <w:rFonts w:cs="Arial"/>
          <w:color w:val="000000" w:themeColor="text1"/>
        </w:rPr>
        <w:t xml:space="preserve">. </w:t>
      </w:r>
      <w:r w:rsidR="00823939" w:rsidRPr="00495464">
        <w:rPr>
          <w:rFonts w:eastAsia="Times New Roman" w:cs="Arial"/>
          <w:color w:val="2D261A"/>
        </w:rPr>
        <w:t>LI</w:t>
      </w:r>
      <w:r w:rsidR="00823939">
        <w:rPr>
          <w:rFonts w:eastAsia="Times New Roman" w:cs="Arial"/>
          <w:color w:val="2D261A"/>
        </w:rPr>
        <w:t>RAP, like LIHEAP</w:t>
      </w:r>
      <w:r w:rsidR="00823939" w:rsidRPr="00495464">
        <w:rPr>
          <w:rFonts w:eastAsia="Times New Roman" w:cs="Arial"/>
          <w:color w:val="2D261A"/>
        </w:rPr>
        <w:t xml:space="preserve"> assistance can help a household avoid having its utilities shut off or help reestablish service after a disruption</w:t>
      </w:r>
      <w:r w:rsidR="00823939">
        <w:rPr>
          <w:rFonts w:eastAsia="Times New Roman" w:cs="Arial"/>
          <w:color w:val="2D261A"/>
        </w:rPr>
        <w:t xml:space="preserve"> and</w:t>
      </w:r>
      <w:r w:rsidR="00823939" w:rsidRPr="00495464">
        <w:rPr>
          <w:rFonts w:eastAsia="Times New Roman" w:cs="Arial"/>
          <w:color w:val="2D261A"/>
        </w:rPr>
        <w:t xml:space="preserve"> can </w:t>
      </w:r>
      <w:r w:rsidR="00823939">
        <w:rPr>
          <w:rFonts w:eastAsia="Times New Roman" w:cs="Arial"/>
          <w:color w:val="2D261A"/>
        </w:rPr>
        <w:t xml:space="preserve">also </w:t>
      </w:r>
      <w:r w:rsidR="00823939" w:rsidRPr="00495464">
        <w:rPr>
          <w:rFonts w:eastAsia="Times New Roman" w:cs="Arial"/>
          <w:color w:val="2D261A"/>
        </w:rPr>
        <w:t>help pay ongoing heating costs, assisting families who may have a hard time paying utility bills and meeting other basic household expenses such as food, prescriptions, rent, or child care.</w:t>
      </w:r>
    </w:p>
    <w:p w:rsidR="00823939" w:rsidRDefault="00523C32" w:rsidP="00823939">
      <w:pPr>
        <w:spacing w:line="480" w:lineRule="auto"/>
        <w:ind w:firstLine="720"/>
        <w:jc w:val="both"/>
      </w:pPr>
      <w:r w:rsidRPr="002F3F0C">
        <w:t xml:space="preserve">Avista is committed to reducing the burden of energy </w:t>
      </w:r>
      <w:r>
        <w:t>costs</w:t>
      </w:r>
      <w:r w:rsidRPr="002F3F0C">
        <w:t xml:space="preserve"> for our customers most affected by rising energy prices, including low income individuals and families, seniors, disabled and vulnerable customers.  To assist our customers’ in their ability to pay, the Company focuses on actions and programs in four primary areas:</w:t>
      </w:r>
    </w:p>
    <w:p w:rsidR="00823939" w:rsidRDefault="00523C32" w:rsidP="00823939">
      <w:pPr>
        <w:spacing w:line="480" w:lineRule="auto"/>
        <w:ind w:firstLine="720"/>
        <w:jc w:val="both"/>
      </w:pPr>
      <w:r w:rsidRPr="002F3F0C">
        <w:t xml:space="preserve">1) </w:t>
      </w:r>
      <w:proofErr w:type="gramStart"/>
      <w:r w:rsidRPr="002F3F0C">
        <w:t>advocacy</w:t>
      </w:r>
      <w:proofErr w:type="gramEnd"/>
      <w:r w:rsidRPr="002F3F0C">
        <w:t xml:space="preserve"> for and support of programs providing direct financial assistance; </w:t>
      </w:r>
    </w:p>
    <w:p w:rsidR="00823939" w:rsidRDefault="00523C32" w:rsidP="00823939">
      <w:pPr>
        <w:spacing w:line="480" w:lineRule="auto"/>
        <w:ind w:firstLine="720"/>
        <w:jc w:val="both"/>
      </w:pPr>
      <w:r w:rsidRPr="002F3F0C">
        <w:t xml:space="preserve">2) </w:t>
      </w:r>
      <w:proofErr w:type="gramStart"/>
      <w:r w:rsidRPr="002F3F0C">
        <w:t>low</w:t>
      </w:r>
      <w:proofErr w:type="gramEnd"/>
      <w:r w:rsidRPr="002F3F0C">
        <w:t xml:space="preserve"> income and senior outreach programs; </w:t>
      </w:r>
    </w:p>
    <w:p w:rsidR="00823939" w:rsidRDefault="00523C32" w:rsidP="00823939">
      <w:pPr>
        <w:spacing w:line="480" w:lineRule="auto"/>
        <w:ind w:firstLine="720"/>
        <w:jc w:val="both"/>
      </w:pPr>
      <w:r w:rsidRPr="002F3F0C">
        <w:t xml:space="preserve">3) </w:t>
      </w:r>
      <w:proofErr w:type="gramStart"/>
      <w:r w:rsidRPr="002F3F0C">
        <w:t>energy</w:t>
      </w:r>
      <w:proofErr w:type="gramEnd"/>
      <w:r w:rsidRPr="002F3F0C">
        <w:t xml:space="preserve"> efficiency and energy conservation education; and </w:t>
      </w:r>
    </w:p>
    <w:p w:rsidR="009E228B" w:rsidRPr="00A03AC1" w:rsidRDefault="00523C32" w:rsidP="00A03AC1">
      <w:pPr>
        <w:spacing w:line="480" w:lineRule="auto"/>
        <w:ind w:firstLine="720"/>
        <w:jc w:val="both"/>
        <w:rPr>
          <w:rFonts w:cs="Arial"/>
          <w:color w:val="000000" w:themeColor="text1"/>
        </w:rPr>
      </w:pPr>
      <w:r w:rsidRPr="002F3F0C">
        <w:lastRenderedPageBreak/>
        <w:t xml:space="preserve">4) </w:t>
      </w:r>
      <w:proofErr w:type="gramStart"/>
      <w:r w:rsidRPr="002F3F0C">
        <w:t>support</w:t>
      </w:r>
      <w:proofErr w:type="gramEnd"/>
      <w:r w:rsidRPr="002F3F0C">
        <w:t xml:space="preserve"> of community programs that increase customers’ ability to pay basic costs of living.</w:t>
      </w:r>
    </w:p>
    <w:p w:rsidR="002244C8" w:rsidRDefault="002244C8" w:rsidP="00B97FD2">
      <w:pPr>
        <w:spacing w:line="480" w:lineRule="auto"/>
        <w:ind w:firstLine="720"/>
        <w:jc w:val="both"/>
        <w:rPr>
          <w:rFonts w:cs="Arial"/>
          <w:color w:val="000000" w:themeColor="text1"/>
        </w:rPr>
      </w:pPr>
      <w:r w:rsidRPr="001C5833">
        <w:rPr>
          <w:rFonts w:cs="Arial"/>
          <w:color w:val="000000" w:themeColor="text1"/>
        </w:rPr>
        <w:t>W</w:t>
      </w:r>
      <w:r w:rsidRPr="001C5833">
        <w:rPr>
          <w:rFonts w:cs="Arial"/>
          <w:bCs/>
          <w:color w:val="000000" w:themeColor="text1"/>
        </w:rPr>
        <w:t xml:space="preserve">e have a history of making it a priority within our Company to maintain </w:t>
      </w:r>
      <w:r>
        <w:rPr>
          <w:rFonts w:cs="Arial"/>
          <w:bCs/>
          <w:color w:val="000000" w:themeColor="text1"/>
        </w:rPr>
        <w:t>and implement</w:t>
      </w:r>
      <w:r w:rsidRPr="001C5833">
        <w:rPr>
          <w:rFonts w:cs="Arial"/>
          <w:bCs/>
          <w:color w:val="000000" w:themeColor="text1"/>
        </w:rPr>
        <w:t xml:space="preserve"> programs </w:t>
      </w:r>
      <w:r>
        <w:rPr>
          <w:rFonts w:cs="Arial"/>
          <w:bCs/>
          <w:color w:val="000000" w:themeColor="text1"/>
        </w:rPr>
        <w:t xml:space="preserve">that are effective in assisting </w:t>
      </w:r>
      <w:r w:rsidRPr="001C5833">
        <w:rPr>
          <w:rFonts w:cs="Arial"/>
          <w:bCs/>
          <w:color w:val="000000" w:themeColor="text1"/>
        </w:rPr>
        <w:t xml:space="preserve">our customers that are experiencing difficulty paying their energy bills and seniors living on fixed incomes.  </w:t>
      </w:r>
      <w:r w:rsidRPr="00A8338F">
        <w:rPr>
          <w:rFonts w:cs="Arial"/>
          <w:color w:val="000000" w:themeColor="text1"/>
        </w:rPr>
        <w:t xml:space="preserve">Avista, along with the low income and senior/vulnerable advocates has long sought to understand the reach and effectiveness of energy assistance and energy efficiency programs. The challenge continues to be how to estimate with more certainty the level of need which could provide information for the purpose of assessing program size and design.  Energy Burden will be discussed later in this report and what impact the federal </w:t>
      </w:r>
      <w:r>
        <w:rPr>
          <w:rFonts w:cs="Arial"/>
          <w:color w:val="000000" w:themeColor="text1"/>
        </w:rPr>
        <w:t xml:space="preserve">LIHEAP </w:t>
      </w:r>
      <w:r w:rsidRPr="00A8338F">
        <w:rPr>
          <w:rFonts w:cs="Arial"/>
          <w:color w:val="000000" w:themeColor="text1"/>
        </w:rPr>
        <w:t xml:space="preserve">and </w:t>
      </w:r>
      <w:r>
        <w:rPr>
          <w:rFonts w:cs="Arial"/>
          <w:color w:val="000000" w:themeColor="text1"/>
        </w:rPr>
        <w:t xml:space="preserve">Avista </w:t>
      </w:r>
      <w:r w:rsidRPr="00A8338F">
        <w:rPr>
          <w:rFonts w:cs="Arial"/>
          <w:color w:val="000000" w:themeColor="text1"/>
        </w:rPr>
        <w:t>LIRAP have had in Spokane County.</w:t>
      </w:r>
    </w:p>
    <w:p w:rsidR="00A03AC1" w:rsidRPr="001C5833" w:rsidRDefault="00A03AC1" w:rsidP="00A03AC1">
      <w:pPr>
        <w:spacing w:line="480" w:lineRule="auto"/>
        <w:ind w:firstLine="720"/>
        <w:jc w:val="both"/>
        <w:rPr>
          <w:rFonts w:cs="Arial"/>
        </w:rPr>
      </w:pPr>
      <w:r w:rsidRPr="00A8338F">
        <w:rPr>
          <w:rFonts w:cs="Arial"/>
        </w:rPr>
        <w:t>In the Company’s last general rate case</w:t>
      </w:r>
      <w:r w:rsidRPr="001C5833">
        <w:rPr>
          <w:rStyle w:val="FootnoteReference"/>
          <w:rFonts w:cs="Arial"/>
        </w:rPr>
        <w:footnoteReference w:id="2"/>
      </w:r>
      <w:r w:rsidRPr="001C5833">
        <w:rPr>
          <w:rFonts w:cs="Arial"/>
        </w:rPr>
        <w:t>, the Parties agreed to increase LIRAP funding in 2013 and 2014</w:t>
      </w:r>
      <w:r>
        <w:rPr>
          <w:rFonts w:cs="Arial"/>
        </w:rPr>
        <w:t>;</w:t>
      </w:r>
      <w:r w:rsidRPr="001C5833">
        <w:rPr>
          <w:rFonts w:cs="Arial"/>
        </w:rPr>
        <w:t xml:space="preserve"> the </w:t>
      </w:r>
      <w:r w:rsidRPr="00264B98">
        <w:rPr>
          <w:rFonts w:cs="Arial"/>
        </w:rPr>
        <w:t>funding level</w:t>
      </w:r>
      <w:r w:rsidRPr="001C5833">
        <w:rPr>
          <w:rFonts w:cs="Arial"/>
        </w:rPr>
        <w:t xml:space="preserve"> for the </w:t>
      </w:r>
      <w:r w:rsidRPr="00264B98">
        <w:rPr>
          <w:rFonts w:cs="Arial"/>
          <w:u w:val="single"/>
        </w:rPr>
        <w:t>electric</w:t>
      </w:r>
      <w:r w:rsidRPr="001C5833">
        <w:rPr>
          <w:rFonts w:cs="Arial"/>
        </w:rPr>
        <w:t xml:space="preserve"> low income program increase</w:t>
      </w:r>
      <w:r>
        <w:rPr>
          <w:rFonts w:cs="Arial"/>
        </w:rPr>
        <w:t>d</w:t>
      </w:r>
      <w:r w:rsidRPr="001C5833">
        <w:rPr>
          <w:rFonts w:cs="Arial"/>
        </w:rPr>
        <w:t xml:space="preserve"> by 3% and 3.68% for the </w:t>
      </w:r>
      <w:r w:rsidRPr="00264B98">
        <w:rPr>
          <w:rFonts w:cs="Arial"/>
          <w:u w:val="single"/>
        </w:rPr>
        <w:t>natural gas</w:t>
      </w:r>
      <w:r w:rsidRPr="001C5833">
        <w:rPr>
          <w:rFonts w:cs="Arial"/>
        </w:rPr>
        <w:t xml:space="preserve"> low income program.  </w:t>
      </w:r>
      <w:r>
        <w:rPr>
          <w:rFonts w:cs="Arial"/>
        </w:rPr>
        <w:t>On January 1,</w:t>
      </w:r>
      <w:r w:rsidRPr="001C5833">
        <w:rPr>
          <w:rFonts w:cs="Arial"/>
        </w:rPr>
        <w:t xml:space="preserve"> 2014 the </w:t>
      </w:r>
      <w:r w:rsidRPr="00264B98">
        <w:rPr>
          <w:rFonts w:cs="Arial"/>
        </w:rPr>
        <w:t xml:space="preserve">funding level </w:t>
      </w:r>
      <w:r w:rsidRPr="001C5833">
        <w:rPr>
          <w:rFonts w:cs="Arial"/>
        </w:rPr>
        <w:t xml:space="preserve">for the </w:t>
      </w:r>
      <w:r w:rsidRPr="00264B98">
        <w:rPr>
          <w:rFonts w:cs="Arial"/>
          <w:u w:val="single"/>
        </w:rPr>
        <w:t>electric</w:t>
      </w:r>
      <w:r w:rsidRPr="001C5833">
        <w:rPr>
          <w:rFonts w:cs="Arial"/>
        </w:rPr>
        <w:t xml:space="preserve"> low income program w</w:t>
      </w:r>
      <w:r>
        <w:rPr>
          <w:rFonts w:cs="Arial"/>
        </w:rPr>
        <w:t>ill</w:t>
      </w:r>
      <w:r w:rsidRPr="001C5833">
        <w:rPr>
          <w:rFonts w:cs="Arial"/>
        </w:rPr>
        <w:t xml:space="preserve"> increase another 3%, and .94% for the </w:t>
      </w:r>
      <w:r w:rsidRPr="00264B98">
        <w:rPr>
          <w:rFonts w:cs="Arial"/>
          <w:u w:val="single"/>
        </w:rPr>
        <w:t>natural gas</w:t>
      </w:r>
      <w:r w:rsidRPr="001C5833">
        <w:rPr>
          <w:rFonts w:cs="Arial"/>
        </w:rPr>
        <w:t xml:space="preserve"> low income program.</w:t>
      </w:r>
    </w:p>
    <w:p w:rsidR="00A03AC1" w:rsidRDefault="00A03AC1" w:rsidP="00A03AC1">
      <w:pPr>
        <w:spacing w:line="480" w:lineRule="auto"/>
        <w:ind w:firstLine="720"/>
        <w:jc w:val="both"/>
        <w:rPr>
          <w:rFonts w:eastAsia="Calibri" w:cs="Arial"/>
        </w:rPr>
      </w:pPr>
      <w:r w:rsidRPr="00A8338F">
        <w:rPr>
          <w:rFonts w:eastAsia="Calibri" w:cs="Arial"/>
        </w:rPr>
        <w:t>As part of the multi-party settlement stipulation, Avista has agreed to work with Commission Staff and all interested parties to discuss the merits of the existing LIRAP program and other potential design options, including a discounted rate program and to propose changes, if necessary, in its next general rate case.</w:t>
      </w:r>
    </w:p>
    <w:p w:rsidR="001123DB" w:rsidRDefault="00A8338F" w:rsidP="00A03AC1">
      <w:pPr>
        <w:spacing w:line="480" w:lineRule="auto"/>
        <w:ind w:firstLine="720"/>
        <w:jc w:val="both"/>
        <w:rPr>
          <w:rFonts w:cs="Arial"/>
        </w:rPr>
      </w:pPr>
      <w:r w:rsidRPr="00A8338F">
        <w:rPr>
          <w:rFonts w:eastAsia="Calibri" w:cs="Arial"/>
        </w:rPr>
        <w:t xml:space="preserve"> </w:t>
      </w:r>
      <w:r w:rsidRPr="00264B98">
        <w:rPr>
          <w:rFonts w:eastAsia="Calibri" w:cs="Arial"/>
        </w:rPr>
        <w:t>T</w:t>
      </w:r>
      <w:r w:rsidRPr="00264B98">
        <w:rPr>
          <w:rFonts w:cs="Arial"/>
        </w:rPr>
        <w:t xml:space="preserve">he Company is cognizant that, while the funding from the LIRAP surcharge is distributed to qualifying customers through direct bill assistance (i.e., grants), there </w:t>
      </w:r>
      <w:r w:rsidR="00767DB7" w:rsidRPr="00264B98">
        <w:rPr>
          <w:rFonts w:cs="Arial"/>
        </w:rPr>
        <w:t>is</w:t>
      </w:r>
      <w:r w:rsidRPr="00A8338F">
        <w:rPr>
          <w:rFonts w:cs="Arial"/>
          <w:highlight w:val="yellow"/>
        </w:rPr>
        <w:t xml:space="preserve"> </w:t>
      </w:r>
      <w:r w:rsidR="00767DB7">
        <w:rPr>
          <w:rFonts w:cs="Arial"/>
        </w:rPr>
        <w:lastRenderedPageBreak/>
        <w:t>interest</w:t>
      </w:r>
      <w:r w:rsidR="00523C32">
        <w:rPr>
          <w:rFonts w:cs="Arial"/>
        </w:rPr>
        <w:t xml:space="preserve"> in exploring other programs that may also help to reduce the energy burden such as a discounted rate, a</w:t>
      </w:r>
      <w:r w:rsidR="001123DB">
        <w:rPr>
          <w:rFonts w:cs="Arial"/>
        </w:rPr>
        <w:t xml:space="preserve">rrearage forgiveness plans, </w:t>
      </w:r>
      <w:r w:rsidR="007710E2" w:rsidRPr="002244C8">
        <w:rPr>
          <w:rFonts w:cs="Tahoma"/>
          <w:bCs/>
        </w:rPr>
        <w:t>percentage of income payment p</w:t>
      </w:r>
      <w:r w:rsidR="00E86BFC" w:rsidRPr="002244C8">
        <w:rPr>
          <w:rFonts w:cs="Tahoma"/>
          <w:bCs/>
        </w:rPr>
        <w:t>lan</w:t>
      </w:r>
      <w:r w:rsidR="001123DB" w:rsidRPr="002244C8">
        <w:rPr>
          <w:rFonts w:cs="Arial"/>
        </w:rPr>
        <w:t>, to name a few</w:t>
      </w:r>
      <w:r w:rsidRPr="002244C8">
        <w:rPr>
          <w:rFonts w:cs="Arial"/>
        </w:rPr>
        <w:t>.  PacifiCorp curren</w:t>
      </w:r>
      <w:r w:rsidRPr="00A8338F">
        <w:rPr>
          <w:rFonts w:cs="Arial"/>
        </w:rPr>
        <w:t xml:space="preserve">tly offers a discount rate in Washington, while Puget Sound Energy operates their low-income rate assistance program in a manner similar to that of Avista. </w:t>
      </w:r>
    </w:p>
    <w:p w:rsidR="001B510F" w:rsidRDefault="009E228B" w:rsidP="00B97FD2">
      <w:pPr>
        <w:spacing w:line="480" w:lineRule="auto"/>
        <w:ind w:firstLine="720"/>
        <w:jc w:val="both"/>
        <w:rPr>
          <w:rFonts w:cs="Arial"/>
        </w:rPr>
      </w:pPr>
      <w:r>
        <w:rPr>
          <w:rFonts w:cs="Arial"/>
        </w:rPr>
        <w:t>In May 2013, t</w:t>
      </w:r>
      <w:r w:rsidRPr="00A8338F">
        <w:rPr>
          <w:rFonts w:cs="Arial"/>
        </w:rPr>
        <w:t xml:space="preserve">he </w:t>
      </w:r>
      <w:r w:rsidR="00A8338F" w:rsidRPr="00A8338F">
        <w:rPr>
          <w:rFonts w:cs="Arial"/>
        </w:rPr>
        <w:t xml:space="preserve">Company </w:t>
      </w:r>
      <w:r>
        <w:rPr>
          <w:rFonts w:cs="Arial"/>
        </w:rPr>
        <w:t xml:space="preserve">sent out a “Request for Information” to </w:t>
      </w:r>
      <w:r w:rsidRPr="00A8338F">
        <w:rPr>
          <w:rFonts w:cs="Arial"/>
        </w:rPr>
        <w:t>all of the affected parties – the Commission</w:t>
      </w:r>
      <w:r w:rsidR="00A03AC1">
        <w:rPr>
          <w:rFonts w:cs="Arial"/>
        </w:rPr>
        <w:t xml:space="preserve"> Staff</w:t>
      </w:r>
      <w:r w:rsidRPr="00A8338F">
        <w:rPr>
          <w:rFonts w:cs="Arial"/>
        </w:rPr>
        <w:t xml:space="preserve">, </w:t>
      </w:r>
      <w:r>
        <w:rPr>
          <w:rFonts w:cs="Arial"/>
        </w:rPr>
        <w:t>Washington Investor Owned U</w:t>
      </w:r>
      <w:r w:rsidRPr="00A8338F">
        <w:rPr>
          <w:rFonts w:cs="Arial"/>
        </w:rPr>
        <w:t xml:space="preserve">tilities, </w:t>
      </w:r>
      <w:r>
        <w:rPr>
          <w:rFonts w:cs="Arial"/>
        </w:rPr>
        <w:t xml:space="preserve">Public Counsel, and the Energy Project. The responses to the request helped inform </w:t>
      </w:r>
      <w:r w:rsidR="001123DB">
        <w:rPr>
          <w:rFonts w:cs="Arial"/>
        </w:rPr>
        <w:t xml:space="preserve">a meeting </w:t>
      </w:r>
      <w:r>
        <w:rPr>
          <w:rFonts w:cs="Arial"/>
        </w:rPr>
        <w:t xml:space="preserve">held </w:t>
      </w:r>
      <w:r w:rsidR="001123DB">
        <w:rPr>
          <w:rFonts w:cs="Arial"/>
        </w:rPr>
        <w:t xml:space="preserve">on September 11, 2013 </w:t>
      </w:r>
      <w:r>
        <w:rPr>
          <w:rFonts w:cs="Arial"/>
        </w:rPr>
        <w:t xml:space="preserve">to </w:t>
      </w:r>
      <w:r w:rsidR="001B510F">
        <w:rPr>
          <w:rFonts w:cs="Arial"/>
        </w:rPr>
        <w:t xml:space="preserve">discuss current programs and to </w:t>
      </w:r>
      <w:r>
        <w:rPr>
          <w:rFonts w:cs="Arial"/>
        </w:rPr>
        <w:t>address</w:t>
      </w:r>
      <w:r w:rsidR="001123DB">
        <w:rPr>
          <w:rFonts w:cs="Arial"/>
        </w:rPr>
        <w:t xml:space="preserve"> the issue</w:t>
      </w:r>
      <w:r>
        <w:rPr>
          <w:rFonts w:cs="Arial"/>
        </w:rPr>
        <w:t>s</w:t>
      </w:r>
      <w:r w:rsidR="001123DB">
        <w:rPr>
          <w:rFonts w:cs="Arial"/>
        </w:rPr>
        <w:t xml:space="preserve"> of the administration of low-income programs</w:t>
      </w:r>
      <w:r w:rsidR="001B510F">
        <w:rPr>
          <w:rFonts w:cs="Arial"/>
        </w:rPr>
        <w:t>.</w:t>
      </w:r>
      <w:r w:rsidR="001123DB">
        <w:rPr>
          <w:rFonts w:cs="Arial"/>
        </w:rPr>
        <w:t xml:space="preserve"> </w:t>
      </w:r>
    </w:p>
    <w:p w:rsidR="00306642" w:rsidRDefault="001B510F" w:rsidP="00B97FD2">
      <w:pPr>
        <w:spacing w:line="480" w:lineRule="auto"/>
        <w:ind w:firstLine="720"/>
        <w:jc w:val="both"/>
        <w:rPr>
          <w:rFonts w:cs="Arial"/>
        </w:rPr>
      </w:pPr>
      <w:r>
        <w:rPr>
          <w:rFonts w:cs="Arial"/>
        </w:rPr>
        <w:t xml:space="preserve">The Company continues to review programs offered by other states, </w:t>
      </w:r>
      <w:r w:rsidR="00264B98">
        <w:rPr>
          <w:rFonts w:cs="Arial"/>
        </w:rPr>
        <w:t xml:space="preserve">gather information, </w:t>
      </w:r>
      <w:r>
        <w:rPr>
          <w:rFonts w:cs="Arial"/>
        </w:rPr>
        <w:t xml:space="preserve">request discovery of agencies, as well as </w:t>
      </w:r>
      <w:r w:rsidR="00264B98">
        <w:rPr>
          <w:rFonts w:cs="Arial"/>
        </w:rPr>
        <w:t>collect and analyze</w:t>
      </w:r>
      <w:r>
        <w:rPr>
          <w:rFonts w:cs="Arial"/>
        </w:rPr>
        <w:t xml:space="preserve"> data to determine whether or not it merits a change </w:t>
      </w:r>
      <w:r w:rsidR="00306642">
        <w:rPr>
          <w:rFonts w:cs="Arial"/>
        </w:rPr>
        <w:t>to</w:t>
      </w:r>
      <w:r>
        <w:rPr>
          <w:rFonts w:cs="Arial"/>
        </w:rPr>
        <w:t xml:space="preserve"> its current program. </w:t>
      </w:r>
      <w:r w:rsidR="00264B98" w:rsidRPr="0010598C">
        <w:rPr>
          <w:rFonts w:cs="Arial"/>
        </w:rPr>
        <w:t xml:space="preserve">Such information will be important in identifying—and fostering the further use of—any methods of meeting the </w:t>
      </w:r>
      <w:r w:rsidR="002244C8">
        <w:rPr>
          <w:rFonts w:cs="Arial"/>
        </w:rPr>
        <w:t>energy</w:t>
      </w:r>
      <w:r w:rsidR="00264B98" w:rsidRPr="0010598C">
        <w:rPr>
          <w:rFonts w:cs="Arial"/>
        </w:rPr>
        <w:t xml:space="preserve"> needs of low-income families that </w:t>
      </w:r>
      <w:r w:rsidR="00264B98">
        <w:rPr>
          <w:rFonts w:cs="Arial"/>
        </w:rPr>
        <w:t>may be</w:t>
      </w:r>
      <w:r w:rsidR="00264B98" w:rsidRPr="0010598C">
        <w:rPr>
          <w:rFonts w:cs="Arial"/>
        </w:rPr>
        <w:t xml:space="preserve"> more effective</w:t>
      </w:r>
      <w:r w:rsidR="00264B98">
        <w:rPr>
          <w:rFonts w:cs="Arial"/>
        </w:rPr>
        <w:t xml:space="preserve"> </w:t>
      </w:r>
      <w:r w:rsidR="00264B98" w:rsidRPr="0010598C">
        <w:rPr>
          <w:rFonts w:cs="Arial"/>
        </w:rPr>
        <w:t>than current methods.</w:t>
      </w:r>
      <w:r w:rsidR="00264B98">
        <w:rPr>
          <w:rFonts w:cs="Arial"/>
        </w:rPr>
        <w:t xml:space="preserve"> </w:t>
      </w:r>
      <w:r w:rsidR="009D6EDB">
        <w:rPr>
          <w:rFonts w:cs="Arial"/>
        </w:rPr>
        <w:t xml:space="preserve">At this time, the Company believes it is a bit premature to propose a change to its current program and </w:t>
      </w:r>
      <w:r w:rsidR="00264B98">
        <w:rPr>
          <w:rFonts w:cs="Arial"/>
        </w:rPr>
        <w:t xml:space="preserve">commits to setting up a schedule for 2014 to meet with parties to discuss results, ideas and possible proposals for future </w:t>
      </w:r>
      <w:r w:rsidR="009D6EDB">
        <w:rPr>
          <w:rFonts w:cs="Arial"/>
        </w:rPr>
        <w:t>changes</w:t>
      </w:r>
      <w:r w:rsidR="00264B98">
        <w:rPr>
          <w:rFonts w:cs="Arial"/>
        </w:rPr>
        <w:t>.</w:t>
      </w:r>
    </w:p>
    <w:p w:rsidR="00B97FD2" w:rsidRPr="001C5833" w:rsidRDefault="002244C8" w:rsidP="00A03AC1">
      <w:pPr>
        <w:tabs>
          <w:tab w:val="left" w:pos="0"/>
        </w:tabs>
        <w:spacing w:line="480" w:lineRule="auto"/>
        <w:ind w:right="-187"/>
        <w:jc w:val="both"/>
        <w:rPr>
          <w:rFonts w:cs="Arial"/>
        </w:rPr>
      </w:pPr>
      <w:r>
        <w:rPr>
          <w:rFonts w:cs="Arial"/>
          <w:b/>
          <w:color w:val="1F497D" w:themeColor="text2"/>
          <w:sz w:val="36"/>
          <w:szCs w:val="36"/>
        </w:rPr>
        <w:br w:type="page"/>
      </w:r>
      <w:r w:rsidR="00A8338F" w:rsidRPr="00A8338F">
        <w:rPr>
          <w:rFonts w:cs="Arial"/>
          <w:b/>
          <w:color w:val="1F497D" w:themeColor="text2"/>
          <w:sz w:val="36"/>
          <w:szCs w:val="36"/>
        </w:rPr>
        <w:lastRenderedPageBreak/>
        <w:t>Program Year Results</w:t>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p>
    <w:p w:rsidR="00B97FD2" w:rsidRPr="001C5833" w:rsidRDefault="00B97FD2" w:rsidP="00B97FD2">
      <w:pPr>
        <w:spacing w:line="480" w:lineRule="auto"/>
        <w:ind w:firstLine="720"/>
        <w:jc w:val="both"/>
        <w:rPr>
          <w:rFonts w:cs="Arial"/>
          <w:snapToGrid w:val="0"/>
        </w:rPr>
      </w:pPr>
      <w:r w:rsidRPr="001C5833">
        <w:rPr>
          <w:rFonts w:cs="Arial"/>
        </w:rPr>
        <w:t>Approximately $</w:t>
      </w:r>
      <w:r w:rsidR="00D078E2">
        <w:rPr>
          <w:rFonts w:cs="Arial"/>
        </w:rPr>
        <w:t>3,782,60</w:t>
      </w:r>
      <w:r w:rsidR="00AD65CE">
        <w:rPr>
          <w:rFonts w:cs="Arial"/>
        </w:rPr>
        <w:t>3</w:t>
      </w:r>
      <w:r w:rsidRPr="001C5833">
        <w:rPr>
          <w:rFonts w:cs="Arial"/>
        </w:rPr>
        <w:t xml:space="preserve"> of electric revenue was collected during the program year and $</w:t>
      </w:r>
      <w:r w:rsidR="00D078E2">
        <w:rPr>
          <w:rFonts w:cs="Arial"/>
        </w:rPr>
        <w:t>1,699,151</w:t>
      </w:r>
      <w:r w:rsidRPr="001C5833">
        <w:rPr>
          <w:rFonts w:cs="Arial"/>
        </w:rPr>
        <w:t xml:space="preserve"> natural gas revenue was collected for a total of $</w:t>
      </w:r>
      <w:r w:rsidR="00D078E2">
        <w:rPr>
          <w:rFonts w:cs="Arial"/>
        </w:rPr>
        <w:t>5,481,754</w:t>
      </w:r>
      <w:r w:rsidRPr="001C5833">
        <w:rPr>
          <w:rFonts w:cs="Arial"/>
          <w:snapToGrid w:val="0"/>
        </w:rPr>
        <w:t xml:space="preserve">. </w:t>
      </w:r>
      <w:r w:rsidRPr="001C5833">
        <w:rPr>
          <w:rFonts w:cs="Arial"/>
        </w:rPr>
        <w:t xml:space="preserve">For this program year, the average LIRAP </w:t>
      </w:r>
      <w:r w:rsidRPr="001C5833">
        <w:rPr>
          <w:rFonts w:cs="Arial"/>
          <w:u w:val="single"/>
        </w:rPr>
        <w:t>heat</w:t>
      </w:r>
      <w:r w:rsidR="002244C8">
        <w:rPr>
          <w:rFonts w:cs="Arial"/>
        </w:rPr>
        <w:t xml:space="preserve"> grant </w:t>
      </w:r>
      <w:r w:rsidRPr="001C5833">
        <w:rPr>
          <w:rFonts w:cs="Arial"/>
        </w:rPr>
        <w:t>averaged $</w:t>
      </w:r>
      <w:r w:rsidR="00C95801">
        <w:rPr>
          <w:rFonts w:cs="Arial"/>
        </w:rPr>
        <w:t>461</w:t>
      </w:r>
      <w:r w:rsidRPr="001C5833">
        <w:rPr>
          <w:rFonts w:cs="Arial"/>
        </w:rPr>
        <w:t xml:space="preserve">. Over </w:t>
      </w:r>
      <w:r w:rsidR="00C95801">
        <w:rPr>
          <w:rFonts w:cs="Arial"/>
        </w:rPr>
        <w:t>12,680</w:t>
      </w:r>
      <w:r w:rsidRPr="001C5833">
        <w:rPr>
          <w:rFonts w:cs="Arial"/>
        </w:rPr>
        <w:t xml:space="preserve"> electric and natural gas customers in the Company’s Washington service territory received </w:t>
      </w:r>
      <w:r w:rsidRPr="001C5833">
        <w:rPr>
          <w:rFonts w:cs="Arial"/>
          <w:u w:val="single"/>
        </w:rPr>
        <w:t>total</w:t>
      </w:r>
      <w:r w:rsidRPr="001C5833">
        <w:rPr>
          <w:rFonts w:cs="Arial"/>
        </w:rPr>
        <w:t xml:space="preserve"> energy grants averaging $</w:t>
      </w:r>
      <w:r w:rsidR="00C95801">
        <w:rPr>
          <w:rFonts w:cs="Arial"/>
        </w:rPr>
        <w:t>34</w:t>
      </w:r>
      <w:r w:rsidR="00AD65CE">
        <w:rPr>
          <w:rFonts w:cs="Arial"/>
        </w:rPr>
        <w:t>3</w:t>
      </w:r>
      <w:r w:rsidRPr="001C5833">
        <w:rPr>
          <w:rFonts w:cs="Arial"/>
        </w:rPr>
        <w:t xml:space="preserve">.  </w:t>
      </w:r>
    </w:p>
    <w:p w:rsidR="00B97FD2" w:rsidRPr="001C5833" w:rsidRDefault="00A8338F" w:rsidP="00B97FD2">
      <w:pPr>
        <w:pStyle w:val="BodyText"/>
        <w:tabs>
          <w:tab w:val="left" w:pos="720"/>
        </w:tabs>
        <w:spacing w:line="480" w:lineRule="auto"/>
        <w:jc w:val="both"/>
        <w:rPr>
          <w:rFonts w:ascii="Arial" w:hAnsi="Arial" w:cs="Arial"/>
          <w:szCs w:val="24"/>
        </w:rPr>
      </w:pPr>
      <w:r w:rsidRPr="00A8338F">
        <w:rPr>
          <w:rFonts w:ascii="Arial" w:hAnsi="Arial" w:cs="Arial"/>
          <w:szCs w:val="24"/>
        </w:rPr>
        <w:tab/>
        <w:t xml:space="preserve">In this program year, 65% of LIRAP participants had household average incomes less than $15,000.   Approximately 25% of the grant recipients had annual household incomes less than $8,000.  Over </w:t>
      </w:r>
      <w:r w:rsidR="008C65AD">
        <w:rPr>
          <w:rFonts w:ascii="Arial" w:hAnsi="Arial" w:cs="Arial"/>
          <w:szCs w:val="24"/>
        </w:rPr>
        <w:t>67</w:t>
      </w:r>
      <w:r w:rsidRPr="00A8338F">
        <w:rPr>
          <w:rFonts w:ascii="Arial" w:hAnsi="Arial" w:cs="Arial"/>
          <w:szCs w:val="24"/>
        </w:rPr>
        <w:t xml:space="preserve">% of the LIRAP participants had households of two or more people.  Customers renting their residences constituted </w:t>
      </w:r>
      <w:r w:rsidR="008C65AD">
        <w:rPr>
          <w:rFonts w:ascii="Arial" w:hAnsi="Arial" w:cs="Arial"/>
          <w:szCs w:val="24"/>
        </w:rPr>
        <w:t>72</w:t>
      </w:r>
      <w:r w:rsidRPr="00A8338F">
        <w:rPr>
          <w:rFonts w:ascii="Arial" w:hAnsi="Arial" w:cs="Arial"/>
          <w:szCs w:val="24"/>
        </w:rPr>
        <w:t>% of the total.</w:t>
      </w:r>
    </w:p>
    <w:p w:rsidR="00B97FD2" w:rsidRPr="001C5833" w:rsidRDefault="002244C8" w:rsidP="002244C8">
      <w:pPr>
        <w:spacing w:line="360" w:lineRule="auto"/>
        <w:ind w:firstLine="720"/>
        <w:rPr>
          <w:rFonts w:cs="Arial"/>
          <w:color w:val="000000" w:themeColor="text1"/>
        </w:rPr>
      </w:pPr>
      <w:r>
        <w:rPr>
          <w:rFonts w:cs="Arial"/>
          <w:snapToGrid w:val="0"/>
          <w:color w:val="000000" w:themeColor="text1"/>
        </w:rPr>
        <w:br w:type="page"/>
      </w:r>
      <w:r w:rsidR="00B97FD2" w:rsidRPr="001C5833">
        <w:rPr>
          <w:rFonts w:cs="Arial"/>
          <w:snapToGrid w:val="0"/>
          <w:color w:val="000000" w:themeColor="text1"/>
        </w:rPr>
        <w:lastRenderedPageBreak/>
        <w:t xml:space="preserve">The following Table reflects </w:t>
      </w:r>
      <w:r w:rsidR="00B97FD2" w:rsidRPr="001C5833">
        <w:rPr>
          <w:rFonts w:cs="Arial"/>
          <w:color w:val="000000" w:themeColor="text1"/>
        </w:rPr>
        <w:t>the total amount disbursed since the inception of the Washington LIRAP program, these numbers include amounts for Direct Services, Administration, and Conservation Education:</w:t>
      </w:r>
    </w:p>
    <w:p w:rsidR="00B97FD2" w:rsidRPr="001C5833" w:rsidRDefault="00A8338F" w:rsidP="00B97FD2">
      <w:pPr>
        <w:pStyle w:val="Heading2"/>
        <w:rPr>
          <w:rFonts w:cs="Arial"/>
          <w:snapToGrid w:val="0"/>
          <w:color w:val="FF0000"/>
          <w:u w:val="single"/>
        </w:rPr>
      </w:pPr>
      <w:bookmarkStart w:id="1" w:name="_Toc375555219"/>
      <w:r w:rsidRPr="00A8338F">
        <w:rPr>
          <w:rFonts w:cs="Arial"/>
          <w:snapToGrid w:val="0"/>
          <w:u w:val="single"/>
        </w:rPr>
        <w:t>Table 1 – Yearly Revenues and Disbursements</w:t>
      </w:r>
      <w:bookmarkEnd w:id="1"/>
      <w:r w:rsidRPr="00A8338F">
        <w:rPr>
          <w:rFonts w:cs="Arial"/>
          <w:snapToGrid w:val="0"/>
          <w:color w:val="FF0000"/>
          <w:u w:val="single"/>
        </w:rPr>
        <w:t xml:space="preserve"> </w:t>
      </w:r>
    </w:p>
    <w:p w:rsidR="00B97FD2" w:rsidRPr="001C5833" w:rsidRDefault="00B97FD2" w:rsidP="00B97FD2">
      <w:pPr>
        <w:rPr>
          <w:rFonts w:cs="Arial"/>
        </w:rPr>
      </w:pPr>
    </w:p>
    <w:tbl>
      <w:tblPr>
        <w:tblW w:w="9580" w:type="dxa"/>
        <w:tblInd w:w="96" w:type="dxa"/>
        <w:tblLook w:val="04A0"/>
      </w:tblPr>
      <w:tblGrid>
        <w:gridCol w:w="1660"/>
        <w:gridCol w:w="1980"/>
        <w:gridCol w:w="1980"/>
        <w:gridCol w:w="1980"/>
        <w:gridCol w:w="1980"/>
      </w:tblGrid>
      <w:tr w:rsidR="00C95801" w:rsidRPr="00C95801" w:rsidTr="00C95801">
        <w:trPr>
          <w:trHeight w:val="975"/>
        </w:trPr>
        <w:tc>
          <w:tcPr>
            <w:tcW w:w="166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Program Year October 1 - September 30</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Beginning Balance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Total Revenue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Total Funds Disbursed</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Ending Balance</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2001-2002</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$0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$2,731,616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$2,476,529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$255,087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2002-2003</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$255,087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$2,678,068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$2,197,150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$736,005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2003-2004</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$736,005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$3,158,220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$2,533,916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$1,360,309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2004-2005</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$1,360,309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$3,039,672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$3,169,051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$1,230,930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2005-2006</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$1,230,930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$3,157,635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$3,230,665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$1,157,900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2006-2007</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$1,157,900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$3,846,394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$4,155,463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$848,831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2007-2008</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$848,831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$3,302,091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$3,320,239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$830,683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2008-2009</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$830,683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$4,078,532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$2,955,033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$1,954,182 </w:t>
            </w:r>
          </w:p>
        </w:tc>
      </w:tr>
      <w:tr w:rsidR="00C95801" w:rsidRPr="00C95801" w:rsidTr="00C95801">
        <w:trPr>
          <w:trHeight w:val="34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2009-2010</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$1,954,182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$4,220,837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$5,534,638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$636,267 </w:t>
            </w:r>
          </w:p>
        </w:tc>
      </w:tr>
      <w:tr w:rsidR="00C95801" w:rsidRPr="00C95801" w:rsidTr="00C95801">
        <w:trPr>
          <w:trHeight w:val="345"/>
        </w:trPr>
        <w:tc>
          <w:tcPr>
            <w:tcW w:w="1660" w:type="dxa"/>
            <w:tcBorders>
              <w:top w:val="nil"/>
              <w:left w:val="single" w:sz="8" w:space="0" w:color="auto"/>
              <w:bottom w:val="single" w:sz="8"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2010-2011</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$636,267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$4,701,900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$3,638,166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$1,700,001 </w:t>
            </w:r>
          </w:p>
        </w:tc>
      </w:tr>
      <w:tr w:rsidR="00C95801" w:rsidRPr="00C95801" w:rsidTr="00C95801">
        <w:trPr>
          <w:trHeight w:val="675"/>
        </w:trPr>
        <w:tc>
          <w:tcPr>
            <w:tcW w:w="166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May 2011-September 2011</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$1,700,001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$1,607,661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$668,243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$2,639,419 </w:t>
            </w:r>
          </w:p>
        </w:tc>
      </w:tr>
      <w:tr w:rsidR="00C95801" w:rsidRPr="00C95801" w:rsidTr="00C95801">
        <w:trPr>
          <w:trHeight w:val="330"/>
        </w:trPr>
        <w:tc>
          <w:tcPr>
            <w:tcW w:w="166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2011 - 2012</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$2,639,419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$5,078,131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$5,698,838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$2,018,713 </w:t>
            </w:r>
          </w:p>
        </w:tc>
      </w:tr>
      <w:tr w:rsidR="00C95801" w:rsidRPr="00C95801" w:rsidTr="00C95801">
        <w:trPr>
          <w:trHeight w:val="330"/>
        </w:trPr>
        <w:tc>
          <w:tcPr>
            <w:tcW w:w="166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2012 - 2013</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$2,018,713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$5,481,754 </w:t>
            </w:r>
          </w:p>
        </w:tc>
        <w:tc>
          <w:tcPr>
            <w:tcW w:w="1980" w:type="dxa"/>
            <w:tcBorders>
              <w:top w:val="nil"/>
              <w:left w:val="nil"/>
              <w:bottom w:val="single" w:sz="4" w:space="0" w:color="auto"/>
              <w:right w:val="single" w:sz="4"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$6,030,999 </w:t>
            </w:r>
          </w:p>
        </w:tc>
        <w:tc>
          <w:tcPr>
            <w:tcW w:w="1980" w:type="dxa"/>
            <w:tcBorders>
              <w:top w:val="nil"/>
              <w:left w:val="nil"/>
              <w:bottom w:val="single" w:sz="4" w:space="0" w:color="auto"/>
              <w:right w:val="single" w:sz="8" w:space="0" w:color="auto"/>
            </w:tcBorders>
            <w:shd w:val="clear" w:color="auto" w:fill="auto"/>
            <w:vAlign w:val="bottom"/>
            <w:hideMark/>
          </w:tcPr>
          <w:p w:rsidR="00C95801" w:rsidRPr="00C95801" w:rsidRDefault="00C95801" w:rsidP="00C95801">
            <w:pPr>
              <w:jc w:val="right"/>
              <w:rPr>
                <w:rFonts w:ascii="Times New Roman" w:eastAsia="Times New Roman" w:hAnsi="Times New Roman" w:cs="Times New Roman"/>
              </w:rPr>
            </w:pPr>
            <w:r w:rsidRPr="00C95801">
              <w:rPr>
                <w:rFonts w:ascii="Times New Roman" w:eastAsia="Times New Roman" w:hAnsi="Times New Roman" w:cs="Times New Roman"/>
              </w:rPr>
              <w:t xml:space="preserve">$1,469,468 </w:t>
            </w:r>
          </w:p>
        </w:tc>
      </w:tr>
    </w:tbl>
    <w:p w:rsidR="00B97FD2" w:rsidRPr="001C5833" w:rsidRDefault="00B97FD2" w:rsidP="00B97FD2">
      <w:pPr>
        <w:spacing w:line="480" w:lineRule="auto"/>
        <w:jc w:val="both"/>
        <w:rPr>
          <w:rFonts w:cs="Arial"/>
          <w:b/>
          <w:snapToGrid w:val="0"/>
          <w:color w:val="FF0000"/>
        </w:rPr>
      </w:pPr>
    </w:p>
    <w:p w:rsidR="00B97FD2" w:rsidRPr="008A0428" w:rsidRDefault="00A8338F" w:rsidP="00B97FD2">
      <w:pPr>
        <w:pStyle w:val="Heading2"/>
        <w:rPr>
          <w:rFonts w:cs="Arial"/>
          <w:b w:val="0"/>
          <w:szCs w:val="24"/>
        </w:rPr>
      </w:pPr>
      <w:bookmarkStart w:id="2" w:name="_Toc375555220"/>
      <w:r w:rsidRPr="008A0428">
        <w:rPr>
          <w:rFonts w:cs="Arial"/>
          <w:b w:val="0"/>
          <w:szCs w:val="24"/>
        </w:rPr>
        <w:t>Participants and Fund Distribution</w:t>
      </w:r>
      <w:bookmarkEnd w:id="2"/>
      <w:r w:rsidRPr="008A0428">
        <w:rPr>
          <w:rFonts w:cs="Arial"/>
          <w:b w:val="0"/>
          <w:szCs w:val="24"/>
        </w:rPr>
        <w:t xml:space="preserve"> </w:t>
      </w:r>
    </w:p>
    <w:p w:rsidR="00B97FD2" w:rsidRPr="001C5833" w:rsidRDefault="00B97FD2" w:rsidP="00B97FD2">
      <w:pPr>
        <w:tabs>
          <w:tab w:val="left" w:pos="720"/>
        </w:tabs>
        <w:jc w:val="both"/>
        <w:rPr>
          <w:rFonts w:cs="Arial"/>
        </w:rPr>
      </w:pPr>
    </w:p>
    <w:p w:rsidR="00B97FD2" w:rsidRPr="001C5833" w:rsidRDefault="002244C8" w:rsidP="00B97FD2">
      <w:pPr>
        <w:pStyle w:val="BodyText"/>
        <w:spacing w:line="480" w:lineRule="auto"/>
        <w:ind w:firstLine="720"/>
        <w:jc w:val="both"/>
        <w:rPr>
          <w:rFonts w:ascii="Arial" w:hAnsi="Arial" w:cs="Arial"/>
          <w:szCs w:val="24"/>
        </w:rPr>
      </w:pPr>
      <w:r w:rsidRPr="00A8338F">
        <w:rPr>
          <w:rFonts w:ascii="Arial" w:hAnsi="Arial" w:cs="Arial"/>
          <w:szCs w:val="24"/>
        </w:rPr>
        <w:t>Avista</w:t>
      </w:r>
      <w:r>
        <w:rPr>
          <w:rFonts w:ascii="Arial" w:hAnsi="Arial" w:cs="Arial"/>
          <w:szCs w:val="24"/>
        </w:rPr>
        <w:t>’s</w:t>
      </w:r>
      <w:r w:rsidRPr="00A8338F">
        <w:rPr>
          <w:rFonts w:ascii="Arial" w:hAnsi="Arial" w:cs="Arial"/>
          <w:szCs w:val="24"/>
        </w:rPr>
        <w:t xml:space="preserve"> LIRAP</w:t>
      </w:r>
      <w:r w:rsidR="00A8338F" w:rsidRPr="00A8338F">
        <w:rPr>
          <w:rFonts w:ascii="Arial" w:hAnsi="Arial" w:cs="Arial"/>
          <w:szCs w:val="24"/>
        </w:rPr>
        <w:t xml:space="preserve"> provided 12,</w:t>
      </w:r>
      <w:r w:rsidR="00C95801">
        <w:rPr>
          <w:rFonts w:ascii="Arial" w:hAnsi="Arial" w:cs="Arial"/>
          <w:szCs w:val="24"/>
        </w:rPr>
        <w:t>680</w:t>
      </w:r>
      <w:r w:rsidR="00A8338F" w:rsidRPr="00A8338F">
        <w:rPr>
          <w:rFonts w:ascii="Arial" w:hAnsi="Arial" w:cs="Arial"/>
          <w:szCs w:val="24"/>
        </w:rPr>
        <w:t xml:space="preserve"> grants in the current program year.  The </w:t>
      </w:r>
      <w:r w:rsidR="00A8338F" w:rsidRPr="00A8338F">
        <w:rPr>
          <w:rFonts w:ascii="Arial" w:hAnsi="Arial" w:cs="Arial"/>
          <w:szCs w:val="24"/>
          <w:u w:val="single"/>
        </w:rPr>
        <w:t>total</w:t>
      </w:r>
      <w:r w:rsidR="00A8338F" w:rsidRPr="00A8338F">
        <w:rPr>
          <w:rFonts w:ascii="Arial" w:hAnsi="Arial" w:cs="Arial"/>
          <w:szCs w:val="24"/>
        </w:rPr>
        <w:t xml:space="preserve"> grants averaged $3</w:t>
      </w:r>
      <w:r w:rsidR="00C95801">
        <w:rPr>
          <w:rFonts w:ascii="Arial" w:hAnsi="Arial" w:cs="Arial"/>
          <w:szCs w:val="24"/>
        </w:rPr>
        <w:t>43</w:t>
      </w:r>
      <w:r w:rsidR="00A8338F" w:rsidRPr="00A8338F">
        <w:rPr>
          <w:rFonts w:ascii="Arial" w:hAnsi="Arial" w:cs="Arial"/>
          <w:szCs w:val="24"/>
        </w:rPr>
        <w:t xml:space="preserve"> per customer.  Participants may have received a total of two grants from LIHEAP, LIRAP and LIRAP Project Share at different times during the program year.  The CAA’s are able to serve repeat participants according to the LIHEAP/LIRAP guidelines, specifically using income qualifications and by demonstrated need.</w:t>
      </w:r>
      <w:r w:rsidR="009D6EDB">
        <w:rPr>
          <w:rFonts w:ascii="Arial" w:hAnsi="Arial" w:cs="Arial"/>
          <w:szCs w:val="24"/>
        </w:rPr>
        <w:t xml:space="preserve"> The following table breaks out the number and amount of grants by program component:</w:t>
      </w:r>
    </w:p>
    <w:p w:rsidR="00B97FD2" w:rsidRPr="001C5833" w:rsidRDefault="00A8338F" w:rsidP="00B97FD2">
      <w:pPr>
        <w:pStyle w:val="Heading2"/>
        <w:rPr>
          <w:rFonts w:cs="Arial"/>
          <w:u w:val="single"/>
        </w:rPr>
      </w:pPr>
      <w:bookmarkStart w:id="3" w:name="_Toc375555221"/>
      <w:r w:rsidRPr="00A8338F">
        <w:rPr>
          <w:rFonts w:cs="Arial"/>
          <w:u w:val="single"/>
        </w:rPr>
        <w:lastRenderedPageBreak/>
        <w:t>Table 2 - Number and Amount of Grants by Component</w:t>
      </w:r>
      <w:bookmarkEnd w:id="3"/>
    </w:p>
    <w:p w:rsidR="00B97FD2" w:rsidRPr="001C5833" w:rsidRDefault="00B97FD2" w:rsidP="00B97FD2">
      <w:pPr>
        <w:rPr>
          <w:rFonts w:cs="Arial"/>
        </w:rPr>
      </w:pPr>
    </w:p>
    <w:tbl>
      <w:tblPr>
        <w:tblW w:w="7120" w:type="dxa"/>
        <w:tblInd w:w="96" w:type="dxa"/>
        <w:tblLook w:val="04A0"/>
      </w:tblPr>
      <w:tblGrid>
        <w:gridCol w:w="2680"/>
        <w:gridCol w:w="1480"/>
        <w:gridCol w:w="1480"/>
        <w:gridCol w:w="1480"/>
      </w:tblGrid>
      <w:tr w:rsidR="00C95801" w:rsidRPr="00C95801" w:rsidTr="00C95801">
        <w:trPr>
          <w:trHeight w:val="255"/>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95801" w:rsidRPr="00C95801" w:rsidRDefault="00C95801" w:rsidP="00C95801">
            <w:pPr>
              <w:rPr>
                <w:rFonts w:ascii="Times New Roman" w:eastAsia="Times New Roman" w:hAnsi="Times New Roman" w:cs="Times New Roman"/>
                <w:b/>
                <w:bCs/>
                <w:sz w:val="22"/>
                <w:szCs w:val="22"/>
              </w:rPr>
            </w:pPr>
            <w:r w:rsidRPr="00C95801">
              <w:rPr>
                <w:rFonts w:ascii="Times New Roman" w:eastAsia="Times New Roman" w:hAnsi="Times New Roman" w:cs="Times New Roman"/>
                <w:b/>
                <w:bCs/>
                <w:sz w:val="22"/>
                <w:szCs w:val="22"/>
              </w:rPr>
              <w:t>Year 12 - October 2012 through  September 2013</w:t>
            </w:r>
          </w:p>
        </w:tc>
        <w:tc>
          <w:tcPr>
            <w:tcW w:w="44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r>
      <w:tr w:rsidR="00C95801" w:rsidRPr="00C95801" w:rsidTr="00C95801">
        <w:trPr>
          <w:trHeight w:val="270"/>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C95801" w:rsidRPr="00C95801" w:rsidRDefault="00C95801" w:rsidP="00C95801">
            <w:pPr>
              <w:rPr>
                <w:rFonts w:ascii="Times New Roman" w:eastAsia="Times New Roman" w:hAnsi="Times New Roman" w:cs="Times New Roman"/>
                <w:b/>
                <w:bCs/>
                <w:sz w:val="22"/>
                <w:szCs w:val="22"/>
              </w:rPr>
            </w:pPr>
          </w:p>
        </w:tc>
        <w:tc>
          <w:tcPr>
            <w:tcW w:w="4440" w:type="dxa"/>
            <w:gridSpan w:val="3"/>
            <w:vMerge/>
            <w:tcBorders>
              <w:top w:val="single" w:sz="8" w:space="0" w:color="auto"/>
              <w:left w:val="single" w:sz="8" w:space="0" w:color="auto"/>
              <w:bottom w:val="single" w:sz="8" w:space="0" w:color="000000"/>
              <w:right w:val="single" w:sz="8" w:space="0" w:color="000000"/>
            </w:tcBorders>
            <w:vAlign w:val="center"/>
            <w:hideMark/>
          </w:tcPr>
          <w:p w:rsidR="00C95801" w:rsidRPr="00C95801" w:rsidRDefault="00C95801" w:rsidP="00C95801">
            <w:pPr>
              <w:rPr>
                <w:rFonts w:ascii="Times New Roman" w:eastAsia="Times New Roman" w:hAnsi="Times New Roman" w:cs="Times New Roman"/>
                <w:b/>
                <w:bCs/>
              </w:rPr>
            </w:pPr>
          </w:p>
        </w:tc>
      </w:tr>
      <w:tr w:rsidR="00C95801" w:rsidRPr="00C95801" w:rsidTr="00C95801">
        <w:trPr>
          <w:trHeight w:val="645"/>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Program Component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Number of Grants</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Grant Amount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Avg. Grant Amt.</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Heat</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6,258</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$2,888,030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$461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Emergency Share</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5,155</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$1,123,625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$218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Senior Outreach</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1,267</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$333,335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$263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12,680</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$4,344,990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$343 </w:t>
            </w:r>
          </w:p>
        </w:tc>
      </w:tr>
      <w:tr w:rsidR="00C95801" w:rsidRPr="00C95801" w:rsidTr="00C95801">
        <w:trPr>
          <w:trHeight w:val="255"/>
        </w:trPr>
        <w:tc>
          <w:tcPr>
            <w:tcW w:w="26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r>
      <w:tr w:rsidR="00C95801" w:rsidRPr="00C95801" w:rsidTr="00C95801">
        <w:trPr>
          <w:trHeight w:val="270"/>
        </w:trPr>
        <w:tc>
          <w:tcPr>
            <w:tcW w:w="26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r>
      <w:tr w:rsidR="00C95801" w:rsidRPr="00C95801" w:rsidTr="00C95801">
        <w:trPr>
          <w:trHeight w:val="255"/>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95801" w:rsidRPr="00C95801" w:rsidRDefault="00C95801" w:rsidP="00C95801">
            <w:pPr>
              <w:rPr>
                <w:rFonts w:ascii="Times New Roman" w:eastAsia="Times New Roman" w:hAnsi="Times New Roman" w:cs="Times New Roman"/>
                <w:b/>
                <w:bCs/>
                <w:sz w:val="22"/>
                <w:szCs w:val="22"/>
              </w:rPr>
            </w:pPr>
            <w:r w:rsidRPr="00C95801">
              <w:rPr>
                <w:rFonts w:ascii="Times New Roman" w:eastAsia="Times New Roman" w:hAnsi="Times New Roman" w:cs="Times New Roman"/>
                <w:b/>
                <w:bCs/>
                <w:sz w:val="22"/>
                <w:szCs w:val="22"/>
              </w:rPr>
              <w:t>Year 11 - October 2011 through  September 2012</w:t>
            </w:r>
          </w:p>
        </w:tc>
        <w:tc>
          <w:tcPr>
            <w:tcW w:w="44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r>
      <w:tr w:rsidR="00C95801" w:rsidRPr="00C95801" w:rsidTr="00C95801">
        <w:trPr>
          <w:trHeight w:val="270"/>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C95801" w:rsidRPr="00C95801" w:rsidRDefault="00C95801" w:rsidP="00C95801">
            <w:pPr>
              <w:rPr>
                <w:rFonts w:ascii="Times New Roman" w:eastAsia="Times New Roman" w:hAnsi="Times New Roman" w:cs="Times New Roman"/>
                <w:b/>
                <w:bCs/>
                <w:sz w:val="22"/>
                <w:szCs w:val="22"/>
              </w:rPr>
            </w:pPr>
          </w:p>
        </w:tc>
        <w:tc>
          <w:tcPr>
            <w:tcW w:w="4440" w:type="dxa"/>
            <w:gridSpan w:val="3"/>
            <w:vMerge/>
            <w:tcBorders>
              <w:top w:val="single" w:sz="8" w:space="0" w:color="auto"/>
              <w:left w:val="single" w:sz="8" w:space="0" w:color="auto"/>
              <w:bottom w:val="single" w:sz="8" w:space="0" w:color="000000"/>
              <w:right w:val="single" w:sz="8" w:space="0" w:color="000000"/>
            </w:tcBorders>
            <w:vAlign w:val="center"/>
            <w:hideMark/>
          </w:tcPr>
          <w:p w:rsidR="00C95801" w:rsidRPr="00C95801" w:rsidRDefault="00C95801" w:rsidP="00C95801">
            <w:pPr>
              <w:rPr>
                <w:rFonts w:ascii="Times New Roman" w:eastAsia="Times New Roman" w:hAnsi="Times New Roman" w:cs="Times New Roman"/>
                <w:b/>
                <w:bCs/>
              </w:rPr>
            </w:pPr>
          </w:p>
        </w:tc>
      </w:tr>
      <w:tr w:rsidR="00C95801" w:rsidRPr="00C95801" w:rsidTr="00C95801">
        <w:trPr>
          <w:trHeight w:val="645"/>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Program Component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Number of Grants</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Grant Amount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Avg. Grant Amt.</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Heat</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6,047</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$2,911,968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$482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Emergency Share</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4,950</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$1,138,850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$230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Senior Outreach</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1,530</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$403,890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$264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12,527</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$4,454,708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$356 </w:t>
            </w:r>
          </w:p>
        </w:tc>
      </w:tr>
      <w:tr w:rsidR="00C95801" w:rsidRPr="00C95801" w:rsidTr="00C95801">
        <w:trPr>
          <w:trHeight w:val="255"/>
        </w:trPr>
        <w:tc>
          <w:tcPr>
            <w:tcW w:w="26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r>
      <w:tr w:rsidR="00C95801" w:rsidRPr="00C95801" w:rsidTr="00C95801">
        <w:trPr>
          <w:trHeight w:val="270"/>
        </w:trPr>
        <w:tc>
          <w:tcPr>
            <w:tcW w:w="26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c>
          <w:tcPr>
            <w:tcW w:w="1480" w:type="dxa"/>
            <w:tcBorders>
              <w:top w:val="nil"/>
              <w:left w:val="nil"/>
              <w:bottom w:val="nil"/>
              <w:right w:val="nil"/>
            </w:tcBorders>
            <w:shd w:val="clear" w:color="auto" w:fill="auto"/>
            <w:noWrap/>
            <w:vAlign w:val="bottom"/>
            <w:hideMark/>
          </w:tcPr>
          <w:p w:rsidR="00C95801" w:rsidRPr="00C95801" w:rsidRDefault="00C95801" w:rsidP="00C95801">
            <w:pPr>
              <w:rPr>
                <w:rFonts w:eastAsia="Times New Roman" w:cs="Arial"/>
                <w:sz w:val="20"/>
                <w:szCs w:val="20"/>
              </w:rPr>
            </w:pPr>
          </w:p>
        </w:tc>
      </w:tr>
      <w:tr w:rsidR="00C95801" w:rsidRPr="00C95801" w:rsidTr="00C95801">
        <w:trPr>
          <w:trHeight w:val="255"/>
        </w:trPr>
        <w:tc>
          <w:tcPr>
            <w:tcW w:w="2680" w:type="dxa"/>
            <w:tcBorders>
              <w:top w:val="single" w:sz="8" w:space="0" w:color="auto"/>
              <w:left w:val="single" w:sz="8" w:space="0" w:color="auto"/>
              <w:bottom w:val="nil"/>
              <w:right w:val="single" w:sz="8" w:space="0" w:color="auto"/>
            </w:tcBorders>
            <w:shd w:val="clear" w:color="auto" w:fill="auto"/>
            <w:vAlign w:val="bottom"/>
            <w:hideMark/>
          </w:tcPr>
          <w:p w:rsidR="00C95801" w:rsidRPr="00C95801" w:rsidRDefault="00C95801" w:rsidP="00C95801">
            <w:pPr>
              <w:rPr>
                <w:rFonts w:ascii="Times New Roman" w:eastAsia="Times New Roman" w:hAnsi="Times New Roman" w:cs="Times New Roman"/>
                <w:b/>
                <w:bCs/>
                <w:sz w:val="22"/>
                <w:szCs w:val="22"/>
              </w:rPr>
            </w:pPr>
            <w:r w:rsidRPr="00C95801">
              <w:rPr>
                <w:rFonts w:ascii="Times New Roman" w:eastAsia="Times New Roman" w:hAnsi="Times New Roman" w:cs="Times New Roman"/>
                <w:b/>
                <w:bCs/>
                <w:sz w:val="22"/>
                <w:szCs w:val="22"/>
              </w:rPr>
              <w:t>Partial Year - May 2011 through September 2011</w:t>
            </w:r>
          </w:p>
        </w:tc>
        <w:tc>
          <w:tcPr>
            <w:tcW w:w="1480" w:type="dxa"/>
            <w:tcBorders>
              <w:top w:val="single" w:sz="8" w:space="0" w:color="auto"/>
              <w:left w:val="nil"/>
              <w:bottom w:val="nil"/>
              <w:right w:val="nil"/>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c>
          <w:tcPr>
            <w:tcW w:w="1480" w:type="dxa"/>
            <w:tcBorders>
              <w:top w:val="single" w:sz="8" w:space="0" w:color="auto"/>
              <w:left w:val="nil"/>
              <w:bottom w:val="nil"/>
              <w:right w:val="nil"/>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c>
          <w:tcPr>
            <w:tcW w:w="1480" w:type="dxa"/>
            <w:tcBorders>
              <w:top w:val="single" w:sz="8" w:space="0" w:color="auto"/>
              <w:left w:val="nil"/>
              <w:bottom w:val="nil"/>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r>
      <w:tr w:rsidR="00C95801" w:rsidRPr="00C95801" w:rsidTr="00F13036">
        <w:trPr>
          <w:trHeight w:val="135"/>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C95801" w:rsidRPr="00C95801" w:rsidRDefault="00C95801" w:rsidP="00C95801">
            <w:pPr>
              <w:rPr>
                <w:rFonts w:ascii="Times New Roman" w:eastAsia="Times New Roman" w:hAnsi="Times New Roman" w:cs="Times New Roman"/>
                <w:b/>
                <w:bCs/>
                <w:sz w:val="22"/>
                <w:szCs w:val="22"/>
              </w:rPr>
            </w:pPr>
            <w:r w:rsidRPr="00C95801">
              <w:rPr>
                <w:rFonts w:ascii="Times New Roman" w:eastAsia="Times New Roman" w:hAnsi="Times New Roman" w:cs="Times New Roman"/>
                <w:b/>
                <w:bCs/>
                <w:sz w:val="22"/>
                <w:szCs w:val="22"/>
              </w:rPr>
              <w:t> </w:t>
            </w:r>
          </w:p>
        </w:tc>
        <w:tc>
          <w:tcPr>
            <w:tcW w:w="1480" w:type="dxa"/>
            <w:tcBorders>
              <w:top w:val="nil"/>
              <w:left w:val="nil"/>
              <w:bottom w:val="single" w:sz="8" w:space="0" w:color="auto"/>
              <w:right w:val="nil"/>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c>
          <w:tcPr>
            <w:tcW w:w="1480" w:type="dxa"/>
            <w:tcBorders>
              <w:top w:val="nil"/>
              <w:left w:val="nil"/>
              <w:bottom w:val="single" w:sz="8" w:space="0" w:color="auto"/>
              <w:right w:val="nil"/>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b/>
                <w:bCs/>
              </w:rPr>
            </w:pPr>
            <w:r w:rsidRPr="00C95801">
              <w:rPr>
                <w:rFonts w:ascii="Times New Roman" w:eastAsia="Times New Roman" w:hAnsi="Times New Roman" w:cs="Times New Roman"/>
                <w:b/>
                <w:bCs/>
              </w:rPr>
              <w:t> </w:t>
            </w:r>
          </w:p>
        </w:tc>
      </w:tr>
      <w:tr w:rsidR="00C95801" w:rsidRPr="00C95801" w:rsidTr="00C95801">
        <w:trPr>
          <w:trHeight w:val="645"/>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Program Component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Number of Grants</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Grant Amount</w:t>
            </w:r>
          </w:p>
        </w:tc>
        <w:tc>
          <w:tcPr>
            <w:tcW w:w="1480" w:type="dxa"/>
            <w:tcBorders>
              <w:top w:val="nil"/>
              <w:left w:val="nil"/>
              <w:bottom w:val="single" w:sz="8" w:space="0" w:color="auto"/>
              <w:right w:val="single" w:sz="8" w:space="0" w:color="auto"/>
            </w:tcBorders>
            <w:shd w:val="clear" w:color="auto" w:fill="auto"/>
            <w:vAlign w:val="bottom"/>
            <w:hideMark/>
          </w:tcPr>
          <w:p w:rsidR="00C95801" w:rsidRPr="00C95801" w:rsidRDefault="00C95801" w:rsidP="00C95801">
            <w:pPr>
              <w:jc w:val="center"/>
              <w:rPr>
                <w:rFonts w:ascii="Times New Roman" w:eastAsia="Times New Roman" w:hAnsi="Times New Roman" w:cs="Times New Roman"/>
              </w:rPr>
            </w:pPr>
            <w:r w:rsidRPr="00C95801">
              <w:rPr>
                <w:rFonts w:ascii="Times New Roman" w:eastAsia="Times New Roman" w:hAnsi="Times New Roman" w:cs="Times New Roman"/>
              </w:rPr>
              <w:t>Avg. Grant Amt.</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Heat</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72</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$27,660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$384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LIRAP Emergency Share</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358</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$85,157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$238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Senior Outreach</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315</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$84,041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$267 </w:t>
            </w:r>
          </w:p>
        </w:tc>
      </w:tr>
      <w:tr w:rsidR="00C95801" w:rsidRPr="00C95801" w:rsidTr="00C95801">
        <w:trPr>
          <w:trHeight w:val="330"/>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C95801" w:rsidRPr="00C95801" w:rsidRDefault="00C95801" w:rsidP="00C95801">
            <w:pPr>
              <w:rPr>
                <w:rFonts w:ascii="Times New Roman" w:eastAsia="Times New Roman" w:hAnsi="Times New Roman" w:cs="Times New Roman"/>
              </w:rPr>
            </w:pPr>
            <w:r w:rsidRPr="00C95801">
              <w:rPr>
                <w:rFonts w:ascii="Times New Roman" w:eastAsia="Times New Roman" w:hAnsi="Times New Roman" w:cs="Times New Roman"/>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745</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right"/>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$196,859 </w:t>
            </w:r>
          </w:p>
        </w:tc>
        <w:tc>
          <w:tcPr>
            <w:tcW w:w="1480" w:type="dxa"/>
            <w:tcBorders>
              <w:top w:val="nil"/>
              <w:left w:val="nil"/>
              <w:bottom w:val="single" w:sz="8" w:space="0" w:color="auto"/>
              <w:right w:val="single" w:sz="8" w:space="0" w:color="auto"/>
            </w:tcBorders>
            <w:shd w:val="clear" w:color="auto" w:fill="auto"/>
            <w:noWrap/>
            <w:vAlign w:val="bottom"/>
            <w:hideMark/>
          </w:tcPr>
          <w:p w:rsidR="00C95801" w:rsidRPr="00C95801" w:rsidRDefault="00C95801" w:rsidP="00C95801">
            <w:pPr>
              <w:jc w:val="center"/>
              <w:rPr>
                <w:rFonts w:ascii="Times New Roman" w:eastAsia="Times New Roman" w:hAnsi="Times New Roman" w:cs="Times New Roman"/>
                <w:color w:val="000000"/>
              </w:rPr>
            </w:pPr>
            <w:r w:rsidRPr="00C95801">
              <w:rPr>
                <w:rFonts w:ascii="Times New Roman" w:eastAsia="Times New Roman" w:hAnsi="Times New Roman" w:cs="Times New Roman"/>
                <w:color w:val="000000"/>
              </w:rPr>
              <w:t xml:space="preserve">$264 </w:t>
            </w:r>
          </w:p>
        </w:tc>
      </w:tr>
    </w:tbl>
    <w:p w:rsidR="00B97FD2" w:rsidRPr="001C5833" w:rsidRDefault="00B97FD2" w:rsidP="00B97FD2">
      <w:pPr>
        <w:pStyle w:val="BodyText"/>
        <w:tabs>
          <w:tab w:val="left" w:pos="720"/>
        </w:tabs>
        <w:spacing w:line="480" w:lineRule="auto"/>
        <w:jc w:val="both"/>
        <w:rPr>
          <w:rFonts w:ascii="Arial" w:hAnsi="Arial" w:cs="Arial"/>
          <w:b/>
          <w:szCs w:val="24"/>
          <w:u w:val="single"/>
        </w:rPr>
      </w:pPr>
    </w:p>
    <w:p w:rsidR="00B97FD2" w:rsidRPr="001C5833" w:rsidRDefault="00B97FD2" w:rsidP="00B97FD2">
      <w:pPr>
        <w:pStyle w:val="BodyText"/>
        <w:spacing w:line="480" w:lineRule="auto"/>
        <w:ind w:firstLine="720"/>
        <w:jc w:val="both"/>
        <w:rPr>
          <w:rFonts w:ascii="Arial" w:hAnsi="Arial" w:cs="Arial"/>
          <w:szCs w:val="24"/>
        </w:rPr>
      </w:pPr>
    </w:p>
    <w:p w:rsidR="00B97FD2" w:rsidRPr="001C5833" w:rsidRDefault="00B97FD2" w:rsidP="00B97FD2">
      <w:pPr>
        <w:pStyle w:val="BodyText"/>
        <w:spacing w:line="480" w:lineRule="auto"/>
        <w:ind w:firstLine="720"/>
        <w:jc w:val="both"/>
        <w:rPr>
          <w:rFonts w:ascii="Arial" w:hAnsi="Arial" w:cs="Arial"/>
          <w:szCs w:val="24"/>
        </w:rPr>
      </w:pPr>
    </w:p>
    <w:p w:rsidR="00B97FD2" w:rsidRPr="001C5833" w:rsidRDefault="00A8338F" w:rsidP="00B97FD2">
      <w:pPr>
        <w:pStyle w:val="BodyText"/>
        <w:tabs>
          <w:tab w:val="left" w:pos="720"/>
          <w:tab w:val="left" w:pos="2250"/>
          <w:tab w:val="left" w:pos="7920"/>
        </w:tabs>
        <w:spacing w:line="480" w:lineRule="auto"/>
        <w:jc w:val="both"/>
        <w:rPr>
          <w:rFonts w:ascii="Arial" w:hAnsi="Arial" w:cs="Arial"/>
          <w:szCs w:val="24"/>
        </w:rPr>
      </w:pPr>
      <w:r w:rsidRPr="00A8338F">
        <w:rPr>
          <w:rFonts w:ascii="Arial" w:hAnsi="Arial" w:cs="Arial"/>
          <w:szCs w:val="24"/>
        </w:rPr>
        <w:lastRenderedPageBreak/>
        <w:tab/>
        <w:t>Table 3 below shows a collection of demographic data intended to be responsive to requests for general information of participating customers.  This data was collected by the participating Community Action Agencies.</w:t>
      </w:r>
    </w:p>
    <w:p w:rsidR="00B97FD2" w:rsidRPr="001C5833" w:rsidRDefault="00A8338F" w:rsidP="00B97FD2">
      <w:pPr>
        <w:pStyle w:val="Heading2"/>
        <w:rPr>
          <w:rFonts w:cs="Arial"/>
          <w:u w:val="single"/>
        </w:rPr>
      </w:pPr>
      <w:bookmarkStart w:id="4" w:name="_Toc375555222"/>
      <w:r w:rsidRPr="00A8338F">
        <w:rPr>
          <w:rFonts w:cs="Arial"/>
          <w:u w:val="single"/>
        </w:rPr>
        <w:t>Table 3 -- Demographic Data</w:t>
      </w:r>
      <w:bookmarkEnd w:id="4"/>
    </w:p>
    <w:p w:rsidR="00B97FD2" w:rsidRPr="001C5833" w:rsidRDefault="00B97FD2" w:rsidP="00B97FD2">
      <w:pPr>
        <w:rPr>
          <w:rFonts w:cs="Arial"/>
        </w:rPr>
      </w:pPr>
    </w:p>
    <w:p w:rsidR="00B97FD2" w:rsidRPr="001C5833" w:rsidRDefault="00523C32" w:rsidP="00B97FD2">
      <w:pPr>
        <w:widowControl w:val="0"/>
        <w:rPr>
          <w:rFonts w:cs="Arial"/>
          <w:u w:val="single"/>
        </w:rPr>
      </w:pPr>
      <w:r>
        <w:rPr>
          <w:noProof/>
        </w:rPr>
        <w:drawing>
          <wp:inline distT="0" distB="0" distL="0" distR="0">
            <wp:extent cx="5052060" cy="589788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052060" cy="5897880"/>
                    </a:xfrm>
                    <a:prstGeom prst="rect">
                      <a:avLst/>
                    </a:prstGeom>
                    <a:noFill/>
                    <a:ln w="9525">
                      <a:noFill/>
                      <a:miter lim="800000"/>
                      <a:headEnd/>
                      <a:tailEnd/>
                    </a:ln>
                  </pic:spPr>
                </pic:pic>
              </a:graphicData>
            </a:graphic>
          </wp:inline>
        </w:drawing>
      </w:r>
    </w:p>
    <w:p w:rsidR="009E228B" w:rsidRDefault="00B97FD2">
      <w:pPr>
        <w:rPr>
          <w:rFonts w:cs="Arial"/>
          <w:color w:val="1F497D" w:themeColor="text2"/>
          <w:sz w:val="36"/>
          <w:szCs w:val="36"/>
        </w:rPr>
      </w:pPr>
      <w:r w:rsidRPr="001C5833">
        <w:rPr>
          <w:rFonts w:cs="Arial"/>
          <w:b/>
          <w:u w:val="single"/>
        </w:rPr>
        <w:br w:type="page"/>
      </w:r>
      <w:r w:rsidR="00A8338F" w:rsidRPr="00A8338F">
        <w:rPr>
          <w:rFonts w:cs="Arial"/>
          <w:b/>
          <w:color w:val="1F497D" w:themeColor="text2"/>
          <w:sz w:val="36"/>
          <w:szCs w:val="36"/>
        </w:rPr>
        <w:lastRenderedPageBreak/>
        <w:t>Program Impacts</w:t>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r w:rsidR="00A8338F" w:rsidRPr="00A8338F">
        <w:rPr>
          <w:rFonts w:cs="Arial"/>
          <w:b/>
          <w:color w:val="1F497D" w:themeColor="text2"/>
          <w:sz w:val="36"/>
          <w:szCs w:val="36"/>
        </w:rPr>
        <w:tab/>
      </w:r>
    </w:p>
    <w:p w:rsidR="00B97FD2" w:rsidRPr="001C5833" w:rsidRDefault="00B97FD2" w:rsidP="00B97FD2">
      <w:pPr>
        <w:rPr>
          <w:rFonts w:cs="Arial"/>
        </w:rPr>
      </w:pPr>
    </w:p>
    <w:p w:rsidR="00B97FD2" w:rsidRPr="001C5833" w:rsidRDefault="00A8338F" w:rsidP="00B97FD2">
      <w:pPr>
        <w:widowControl w:val="0"/>
        <w:spacing w:line="480" w:lineRule="auto"/>
        <w:jc w:val="both"/>
        <w:rPr>
          <w:rFonts w:cs="Arial"/>
        </w:rPr>
      </w:pPr>
      <w:bookmarkStart w:id="5" w:name="_Toc375555223"/>
      <w:r w:rsidRPr="008A0428">
        <w:rPr>
          <w:rStyle w:val="Heading2Char"/>
          <w:rFonts w:cs="Arial"/>
          <w:b w:val="0"/>
        </w:rPr>
        <w:t>Energy Burden</w:t>
      </w:r>
      <w:bookmarkEnd w:id="5"/>
      <w:r w:rsidR="00B97FD2" w:rsidRPr="001C5833">
        <w:rPr>
          <w:rFonts w:cs="Arial"/>
        </w:rPr>
        <w:t xml:space="preserve"> - “Energy burden” is the percentage of income that households pay for energy service.  This term is relevant to low-income issues as a comparison to income used for other essential needs such as food, housing, clothing, and health services.  Table 4</w:t>
      </w:r>
      <w:r w:rsidR="009D6EDB">
        <w:rPr>
          <w:rStyle w:val="FootnoteReference"/>
          <w:rFonts w:cs="Arial"/>
        </w:rPr>
        <w:footnoteReference w:id="3"/>
      </w:r>
      <w:r w:rsidR="001C5833">
        <w:rPr>
          <w:rFonts w:cs="Arial"/>
        </w:rPr>
        <w:t xml:space="preserve"> </w:t>
      </w:r>
      <w:r w:rsidR="00B97FD2" w:rsidRPr="001C5833">
        <w:rPr>
          <w:rFonts w:cs="Arial"/>
        </w:rPr>
        <w:t xml:space="preserve">depicts reductions in the energy burden experienced by energy assistance participants in the current program year.  The column titled “Before Benefits” represents the energy burden to low-income customers prior to receiving the energy assistance benefits.  Each successive column illustrates low-income customers’ energy burden after receiving the specified energy assistance benefit.  For customers receiving energy assistance benefits, the energy burden has been reduced by approximately </w:t>
      </w:r>
      <w:r w:rsidR="00A82CFB">
        <w:rPr>
          <w:rFonts w:cs="Arial"/>
        </w:rPr>
        <w:t xml:space="preserve">53% </w:t>
      </w:r>
      <w:r w:rsidR="00B97FD2" w:rsidRPr="001C5833">
        <w:rPr>
          <w:rFonts w:cs="Arial"/>
        </w:rPr>
        <w:t xml:space="preserve">for customers between </w:t>
      </w:r>
      <w:r w:rsidR="00A82CFB">
        <w:rPr>
          <w:rFonts w:cs="Arial"/>
        </w:rPr>
        <w:t xml:space="preserve">0 and 50% of </w:t>
      </w:r>
      <w:r w:rsidR="00B97FD2" w:rsidRPr="001C5833">
        <w:rPr>
          <w:rFonts w:cs="Arial"/>
        </w:rPr>
        <w:t>the federal poverty level (FPL)</w:t>
      </w:r>
      <w:r w:rsidR="00A82CFB">
        <w:rPr>
          <w:rFonts w:cs="Arial"/>
        </w:rPr>
        <w:t>; 48% for those between 51% to 100% FPL</w:t>
      </w:r>
      <w:r w:rsidR="00F13036">
        <w:rPr>
          <w:rFonts w:cs="Arial"/>
        </w:rPr>
        <w:t xml:space="preserve"> </w:t>
      </w:r>
      <w:r w:rsidR="00A82CFB">
        <w:rPr>
          <w:rFonts w:cs="Arial"/>
        </w:rPr>
        <w:t xml:space="preserve">and </w:t>
      </w:r>
      <w:r w:rsidR="00B97FD2" w:rsidRPr="001C5833">
        <w:rPr>
          <w:rFonts w:cs="Arial"/>
        </w:rPr>
        <w:t xml:space="preserve">by </w:t>
      </w:r>
      <w:r w:rsidR="00B97FD2" w:rsidRPr="001C5833">
        <w:rPr>
          <w:rFonts w:cs="Arial"/>
          <w:color w:val="000000" w:themeColor="text1"/>
        </w:rPr>
        <w:t>39%</w:t>
      </w:r>
      <w:r w:rsidRPr="00A8338F">
        <w:rPr>
          <w:rFonts w:cs="Arial"/>
        </w:rPr>
        <w:t xml:space="preserve"> for </w:t>
      </w:r>
      <w:r w:rsidR="00A82CFB">
        <w:rPr>
          <w:rFonts w:cs="Arial"/>
        </w:rPr>
        <w:t>energy assistance recipients</w:t>
      </w:r>
      <w:r w:rsidRPr="00A8338F">
        <w:rPr>
          <w:rFonts w:cs="Arial"/>
        </w:rPr>
        <w:t xml:space="preserve"> between 101% and 125% of the FPL.</w:t>
      </w:r>
    </w:p>
    <w:p w:rsidR="00B97FD2" w:rsidRPr="001C5833" w:rsidRDefault="00A8338F" w:rsidP="00B97FD2">
      <w:pPr>
        <w:pStyle w:val="BodyText"/>
        <w:tabs>
          <w:tab w:val="left" w:pos="720"/>
        </w:tabs>
        <w:spacing w:line="480" w:lineRule="auto"/>
        <w:jc w:val="both"/>
        <w:rPr>
          <w:rFonts w:ascii="Arial" w:hAnsi="Arial" w:cs="Arial"/>
          <w:szCs w:val="24"/>
        </w:rPr>
      </w:pPr>
      <w:r w:rsidRPr="00A8338F">
        <w:rPr>
          <w:rFonts w:ascii="Arial" w:hAnsi="Arial" w:cs="Arial"/>
          <w:szCs w:val="24"/>
        </w:rPr>
        <w:tab/>
        <w:t xml:space="preserve">Table 4 has been calculated as follows:  </w:t>
      </w:r>
    </w:p>
    <w:p w:rsidR="00B97FD2" w:rsidRPr="001C5833" w:rsidRDefault="00A8338F" w:rsidP="00B97FD2">
      <w:pPr>
        <w:pStyle w:val="BodyText"/>
        <w:numPr>
          <w:ilvl w:val="0"/>
          <w:numId w:val="23"/>
        </w:numPr>
        <w:spacing w:line="480" w:lineRule="auto"/>
        <w:ind w:left="1440"/>
        <w:jc w:val="both"/>
        <w:rPr>
          <w:rFonts w:ascii="Arial" w:hAnsi="Arial" w:cs="Arial"/>
          <w:szCs w:val="24"/>
        </w:rPr>
      </w:pPr>
      <w:r w:rsidRPr="00A8338F">
        <w:rPr>
          <w:rFonts w:ascii="Arial" w:hAnsi="Arial" w:cs="Arial"/>
          <w:szCs w:val="24"/>
        </w:rPr>
        <w:t xml:space="preserve">The remaining households’ energy burden was calculated by dividing the annual household income by the annual energy costs.  </w:t>
      </w:r>
    </w:p>
    <w:p w:rsidR="00B97FD2" w:rsidRPr="001C5833" w:rsidRDefault="00A8338F" w:rsidP="00B97FD2">
      <w:pPr>
        <w:pStyle w:val="BodyText"/>
        <w:numPr>
          <w:ilvl w:val="0"/>
          <w:numId w:val="23"/>
        </w:numPr>
        <w:spacing w:line="480" w:lineRule="auto"/>
        <w:ind w:left="1440"/>
        <w:jc w:val="both"/>
        <w:rPr>
          <w:rFonts w:ascii="Arial" w:hAnsi="Arial" w:cs="Arial"/>
          <w:szCs w:val="24"/>
        </w:rPr>
      </w:pPr>
      <w:r w:rsidRPr="00A8338F">
        <w:rPr>
          <w:rFonts w:ascii="Arial" w:hAnsi="Arial" w:cs="Arial"/>
          <w:szCs w:val="24"/>
        </w:rPr>
        <w:t xml:space="preserve">Annual income was calculated by multiplying the three-month average, required at the time of application, by four to determine the annual amount.  </w:t>
      </w:r>
    </w:p>
    <w:p w:rsidR="00B97FD2" w:rsidRPr="001C5833" w:rsidRDefault="00A8338F" w:rsidP="00B97FD2">
      <w:pPr>
        <w:pStyle w:val="BodyText"/>
        <w:numPr>
          <w:ilvl w:val="0"/>
          <w:numId w:val="23"/>
        </w:numPr>
        <w:spacing w:line="480" w:lineRule="auto"/>
        <w:ind w:left="1440"/>
        <w:jc w:val="both"/>
        <w:rPr>
          <w:rFonts w:ascii="Arial" w:hAnsi="Arial" w:cs="Arial"/>
          <w:szCs w:val="24"/>
        </w:rPr>
      </w:pPr>
      <w:r w:rsidRPr="00A8338F">
        <w:rPr>
          <w:rFonts w:ascii="Arial" w:hAnsi="Arial" w:cs="Arial"/>
          <w:szCs w:val="24"/>
        </w:rPr>
        <w:t xml:space="preserve">Annual energy costs were determined by the actual previous 12 months energy usage from the date of application.  When annual energy costs are </w:t>
      </w:r>
      <w:r w:rsidRPr="00A8338F">
        <w:rPr>
          <w:rFonts w:ascii="Arial" w:hAnsi="Arial" w:cs="Arial"/>
          <w:szCs w:val="24"/>
        </w:rPr>
        <w:lastRenderedPageBreak/>
        <w:t>not available, a backup amount developed on the average cost for households, with that fuel type and vendor, was used.</w:t>
      </w:r>
    </w:p>
    <w:p w:rsidR="00B97FD2" w:rsidRPr="001C5833" w:rsidRDefault="00A8338F" w:rsidP="00B97FD2">
      <w:pPr>
        <w:pStyle w:val="Heading2"/>
        <w:rPr>
          <w:rFonts w:cs="Arial"/>
          <w:u w:val="single"/>
        </w:rPr>
      </w:pPr>
      <w:bookmarkStart w:id="6" w:name="_Toc375555224"/>
      <w:r w:rsidRPr="00A8338F">
        <w:rPr>
          <w:rFonts w:cs="Arial"/>
          <w:u w:val="single"/>
        </w:rPr>
        <w:t>Table 4 - Energy Burden -- Total Energy costs divided by household income</w:t>
      </w:r>
      <w:bookmarkEnd w:id="6"/>
    </w:p>
    <w:p w:rsidR="00B97FD2" w:rsidRPr="001C5833" w:rsidRDefault="00B97FD2" w:rsidP="00B97FD2">
      <w:pPr>
        <w:rPr>
          <w:rFonts w:cs="Arial"/>
        </w:rPr>
      </w:pPr>
    </w:p>
    <w:tbl>
      <w:tblPr>
        <w:tblW w:w="8388" w:type="dxa"/>
        <w:tblInd w:w="738" w:type="dxa"/>
        <w:tblLayout w:type="fixed"/>
        <w:tblCellMar>
          <w:left w:w="0" w:type="dxa"/>
          <w:right w:w="0" w:type="dxa"/>
        </w:tblCellMar>
        <w:tblLook w:val="04A0"/>
      </w:tblPr>
      <w:tblGrid>
        <w:gridCol w:w="1262"/>
        <w:gridCol w:w="890"/>
        <w:gridCol w:w="890"/>
        <w:gridCol w:w="890"/>
        <w:gridCol w:w="890"/>
        <w:gridCol w:w="890"/>
        <w:gridCol w:w="890"/>
        <w:gridCol w:w="890"/>
        <w:gridCol w:w="896"/>
      </w:tblGrid>
      <w:tr w:rsidR="00B97FD2" w:rsidRPr="001C5833" w:rsidTr="000B159F">
        <w:trPr>
          <w:trHeight w:val="236"/>
        </w:trPr>
        <w:tc>
          <w:tcPr>
            <w:tcW w:w="8388" w:type="dxa"/>
            <w:gridSpan w:val="9"/>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B97FD2" w:rsidRPr="001C5833" w:rsidRDefault="00B97FD2" w:rsidP="000E601B">
            <w:pPr>
              <w:jc w:val="center"/>
              <w:rPr>
                <w:rFonts w:cs="Arial"/>
                <w:b/>
                <w:bCs/>
              </w:rPr>
            </w:pPr>
            <w:r w:rsidRPr="001C5833">
              <w:rPr>
                <w:rFonts w:cs="Arial"/>
                <w:b/>
                <w:bCs/>
              </w:rPr>
              <w:t xml:space="preserve">ENERGY BURDEN </w:t>
            </w:r>
            <w:r w:rsidR="000E601B" w:rsidRPr="001C5833">
              <w:rPr>
                <w:rFonts w:cs="Arial"/>
                <w:b/>
                <w:bCs/>
              </w:rPr>
              <w:t>201</w:t>
            </w:r>
            <w:r w:rsidR="000E601B">
              <w:rPr>
                <w:rFonts w:cs="Arial"/>
                <w:b/>
                <w:bCs/>
              </w:rPr>
              <w:t>2/2013</w:t>
            </w:r>
          </w:p>
        </w:tc>
      </w:tr>
      <w:tr w:rsidR="00B97FD2" w:rsidRPr="001C5833" w:rsidTr="000B159F">
        <w:trPr>
          <w:trHeight w:val="51"/>
        </w:trPr>
        <w:tc>
          <w:tcPr>
            <w:tcW w:w="1262"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B97FD2" w:rsidP="001C5833">
            <w:pPr>
              <w:rPr>
                <w:rFonts w:cs="Arial"/>
              </w:rPr>
            </w:pP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B97FD2" w:rsidP="001C5833">
            <w:pPr>
              <w:ind w:left="-792"/>
              <w:rPr>
                <w:rFonts w:cs="Arial"/>
              </w:rPr>
            </w:pP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B97FD2" w:rsidP="001C5833">
            <w:pPr>
              <w:rPr>
                <w:rFonts w:cs="Arial"/>
              </w:rPr>
            </w:pP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B97FD2" w:rsidP="001C5833">
            <w:pPr>
              <w:rPr>
                <w:rFonts w:cs="Arial"/>
              </w:rPr>
            </w:pP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r>
      <w:tr w:rsidR="00B97FD2" w:rsidRPr="001C5833" w:rsidTr="000B159F">
        <w:trPr>
          <w:trHeight w:val="214"/>
        </w:trPr>
        <w:tc>
          <w:tcPr>
            <w:tcW w:w="1262"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single" w:sz="8" w:space="0" w:color="auto"/>
              <w:left w:val="nil"/>
              <w:bottom w:val="nil"/>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5345"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Energy costs are reduced by benefits for these calculations</w:t>
            </w:r>
          </w:p>
        </w:tc>
      </w:tr>
      <w:tr w:rsidR="00B97FD2" w:rsidRPr="001C5833" w:rsidTr="000B159F">
        <w:trPr>
          <w:trHeight w:val="1615"/>
        </w:trPr>
        <w:tc>
          <w:tcPr>
            <w:tcW w:w="1262"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nil"/>
              <w:left w:val="nil"/>
              <w:bottom w:val="single" w:sz="8" w:space="0" w:color="auto"/>
              <w:right w:val="nil"/>
            </w:tcBorders>
            <w:noWrap/>
            <w:tcMar>
              <w:top w:w="15" w:type="dxa"/>
              <w:left w:w="15" w:type="dxa"/>
              <w:bottom w:w="0" w:type="dxa"/>
              <w:right w:w="15" w:type="dxa"/>
            </w:tcMar>
            <w:vAlign w:val="bottom"/>
          </w:tcPr>
          <w:p w:rsidR="00B97FD2" w:rsidRPr="001C5833" w:rsidRDefault="00A8338F" w:rsidP="001C5833">
            <w:pPr>
              <w:rPr>
                <w:rFonts w:cs="Arial"/>
              </w:rPr>
            </w:pPr>
            <w:r w:rsidRPr="00A8338F">
              <w:rPr>
                <w:rFonts w:cs="Arial"/>
              </w:rPr>
              <w:t> </w:t>
            </w:r>
          </w:p>
        </w:tc>
        <w:tc>
          <w:tcPr>
            <w:tcW w:w="890"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Before Benefits</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EAP or Avista</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 xml:space="preserve">Plus Base and </w:t>
            </w:r>
            <w:proofErr w:type="spellStart"/>
            <w:r w:rsidRPr="00A8338F">
              <w:rPr>
                <w:rFonts w:cs="Arial"/>
                <w:b/>
                <w:bCs/>
              </w:rPr>
              <w:t>Fema</w:t>
            </w:r>
            <w:proofErr w:type="spellEnd"/>
          </w:p>
        </w:tc>
        <w:tc>
          <w:tcPr>
            <w:tcW w:w="890"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Plus  PS</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Plus Senior</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 xml:space="preserve">Plus  Avista </w:t>
            </w:r>
            <w:proofErr w:type="spellStart"/>
            <w:r w:rsidRPr="00A8338F">
              <w:rPr>
                <w:rFonts w:cs="Arial"/>
                <w:b/>
                <w:bCs/>
              </w:rPr>
              <w:t>Emer</w:t>
            </w:r>
            <w:proofErr w:type="spellEnd"/>
          </w:p>
        </w:tc>
        <w:tc>
          <w:tcPr>
            <w:tcW w:w="893"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tcPr>
          <w:p w:rsidR="00B97FD2" w:rsidRPr="001C5833" w:rsidRDefault="00A8338F" w:rsidP="001C5833">
            <w:pPr>
              <w:jc w:val="center"/>
              <w:rPr>
                <w:rFonts w:cs="Arial"/>
                <w:b/>
                <w:bCs/>
              </w:rPr>
            </w:pPr>
            <w:r w:rsidRPr="00A8338F">
              <w:rPr>
                <w:rFonts w:cs="Arial"/>
                <w:b/>
                <w:bCs/>
              </w:rPr>
              <w:t>All Benefits</w:t>
            </w:r>
          </w:p>
        </w:tc>
      </w:tr>
      <w:tr w:rsidR="00B97FD2" w:rsidRPr="001C5833" w:rsidTr="000B159F">
        <w:trPr>
          <w:trHeight w:val="201"/>
        </w:trPr>
        <w:tc>
          <w:tcPr>
            <w:tcW w:w="1262"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0-50%FPL</w:t>
            </w: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N</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1234</w:t>
            </w:r>
            <w:r w:rsidR="00A8338F" w:rsidRPr="00A8338F">
              <w:rPr>
                <w:rFonts w:cs="Arial"/>
              </w:rPr>
              <w:t xml:space="preserve"> </w:t>
            </w:r>
            <w:proofErr w:type="spellStart"/>
            <w:r w:rsidR="00A8338F" w:rsidRPr="00A8338F">
              <w:rPr>
                <w:rFonts w:cs="Arial"/>
              </w:rPr>
              <w:t>elec</w:t>
            </w:r>
            <w:proofErr w:type="spellEnd"/>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25.9</w:t>
            </w:r>
            <w:r w:rsidR="00A8338F" w:rsidRPr="00A8338F">
              <w:rPr>
                <w:rFonts w:cs="Arial"/>
              </w:rPr>
              <w:t>%</w:t>
            </w:r>
          </w:p>
        </w:tc>
        <w:tc>
          <w:tcPr>
            <w:tcW w:w="890" w:type="dxa"/>
            <w:tcBorders>
              <w:right w:val="single" w:sz="4"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14%</w:t>
            </w:r>
          </w:p>
        </w:tc>
        <w:tc>
          <w:tcPr>
            <w:tcW w:w="890" w:type="dxa"/>
            <w:tcBorders>
              <w:top w:val="nil"/>
              <w:left w:val="single" w:sz="4" w:space="0" w:color="auto"/>
              <w:bottom w:val="nil"/>
              <w:right w:val="single" w:sz="8" w:space="0" w:color="auto"/>
            </w:tcBorders>
            <w:noWrap/>
            <w:tcMar>
              <w:top w:w="15" w:type="dxa"/>
              <w:left w:w="15" w:type="dxa"/>
              <w:bottom w:w="0" w:type="dxa"/>
              <w:right w:w="15" w:type="dxa"/>
            </w:tcMar>
            <w:vAlign w:val="bottom"/>
          </w:tcPr>
          <w:p w:rsidR="00B97FD2" w:rsidRPr="001C5833" w:rsidRDefault="00B15CF2" w:rsidP="00B16A05">
            <w:pPr>
              <w:jc w:val="center"/>
              <w:rPr>
                <w:rFonts w:cs="Arial"/>
              </w:rPr>
            </w:pPr>
            <w:r>
              <w:rPr>
                <w:rFonts w:cs="Arial"/>
              </w:rPr>
              <w:t>14.</w:t>
            </w:r>
            <w:r w:rsidR="00B16A05">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13.</w:t>
            </w:r>
            <w:r w:rsidR="00B15CF2">
              <w:rPr>
                <w:rFonts w:cs="Arial"/>
              </w:rPr>
              <w:t>8</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14%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13.%</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12.</w:t>
            </w:r>
            <w:r w:rsidR="00B15CF2">
              <w:rPr>
                <w:rFonts w:cs="Arial"/>
              </w:rPr>
              <w:t>8</w:t>
            </w:r>
            <w:r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824</w:t>
            </w:r>
            <w:r w:rsidR="00A8338F" w:rsidRPr="00A8338F">
              <w:rPr>
                <w:rFonts w:cs="Arial"/>
              </w:rPr>
              <w:t xml:space="preserve"> gas</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26.3</w:t>
            </w:r>
            <w:r w:rsidR="00A8338F" w:rsidRPr="00A8338F">
              <w:rPr>
                <w:rFonts w:cs="Arial"/>
              </w:rPr>
              <w:t>%</w:t>
            </w:r>
          </w:p>
        </w:tc>
        <w:tc>
          <w:tcPr>
            <w:tcW w:w="890" w:type="dxa"/>
            <w:tcBorders>
              <w:right w:val="single" w:sz="4"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w:t>
            </w:r>
            <w:r w:rsidR="00B15CF2">
              <w:rPr>
                <w:rFonts w:cs="Arial"/>
              </w:rPr>
              <w:t>3</w:t>
            </w:r>
            <w:r w:rsidRPr="00A8338F">
              <w:rPr>
                <w:rFonts w:cs="Arial"/>
              </w:rPr>
              <w:t>.</w:t>
            </w:r>
            <w:r w:rsidR="00B16A05" w:rsidRPr="00EF76F2">
              <w:rPr>
                <w:rFonts w:cs="Arial"/>
              </w:rPr>
              <w:t xml:space="preserve"> </w:t>
            </w:r>
            <w:r w:rsidRPr="00A8338F">
              <w:rPr>
                <w:rFonts w:cs="Arial"/>
              </w:rPr>
              <w:t>%</w:t>
            </w:r>
          </w:p>
        </w:tc>
        <w:tc>
          <w:tcPr>
            <w:tcW w:w="890" w:type="dxa"/>
            <w:tcBorders>
              <w:top w:val="nil"/>
              <w:left w:val="single" w:sz="4" w:space="0" w:color="auto"/>
              <w:bottom w:val="nil"/>
              <w:right w:val="single" w:sz="8" w:space="0" w:color="auto"/>
            </w:tcBorders>
            <w:noWrap/>
            <w:tcMar>
              <w:top w:w="15" w:type="dxa"/>
              <w:left w:w="15" w:type="dxa"/>
              <w:bottom w:w="0" w:type="dxa"/>
              <w:right w:w="15" w:type="dxa"/>
            </w:tcMar>
            <w:vAlign w:val="bottom"/>
          </w:tcPr>
          <w:p w:rsidR="00B97FD2" w:rsidRPr="001C5833" w:rsidRDefault="00B15CF2" w:rsidP="00B16A05">
            <w:pPr>
              <w:jc w:val="center"/>
              <w:rPr>
                <w:rFonts w:cs="Arial"/>
              </w:rPr>
            </w:pPr>
            <w:r>
              <w:rPr>
                <w:rFonts w:cs="Arial"/>
              </w:rPr>
              <w:t>13.</w:t>
            </w:r>
            <w:r w:rsidR="00B16A05">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w:t>
            </w:r>
            <w:r w:rsidR="00B15CF2">
              <w:rPr>
                <w:rFonts w:cs="Arial"/>
              </w:rPr>
              <w:t>2</w:t>
            </w:r>
            <w:r w:rsidRPr="00A8338F">
              <w:rPr>
                <w:rFonts w:cs="Arial"/>
              </w:rPr>
              <w:t>.</w:t>
            </w:r>
            <w:r w:rsidR="00B15CF2">
              <w:rPr>
                <w:rFonts w:cs="Arial"/>
              </w:rPr>
              <w:t>8</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B16A05">
            <w:pPr>
              <w:jc w:val="center"/>
              <w:rPr>
                <w:rFonts w:cs="Arial"/>
              </w:rPr>
            </w:pPr>
            <w:r>
              <w:rPr>
                <w:rFonts w:cs="Arial"/>
              </w:rPr>
              <w:t>13.</w:t>
            </w:r>
            <w:r w:rsidR="00B16A05" w:rsidRPr="00EF76F2">
              <w:rPr>
                <w:rFonts w:cs="Arial"/>
              </w:rPr>
              <w:t xml:space="preserve"> </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11.6</w:t>
            </w:r>
            <w:r w:rsidR="00A8338F"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11.4</w:t>
            </w:r>
            <w:r w:rsidR="00A8338F"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2058</w:t>
            </w:r>
            <w:r w:rsidR="00A8338F" w:rsidRPr="00A8338F">
              <w:rPr>
                <w:rFonts w:cs="Arial"/>
              </w:rPr>
              <w:t xml:space="preserve"> all</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B16A05">
            <w:pPr>
              <w:jc w:val="center"/>
              <w:rPr>
                <w:rFonts w:cs="Arial"/>
              </w:rPr>
            </w:pPr>
            <w:r>
              <w:rPr>
                <w:rFonts w:cs="Arial"/>
              </w:rPr>
              <w:t>26.1</w:t>
            </w:r>
            <w:r w:rsidR="00A8338F" w:rsidRPr="00A8338F">
              <w:rPr>
                <w:rFonts w:cs="Arial"/>
              </w:rPr>
              <w:t>%</w:t>
            </w:r>
          </w:p>
        </w:tc>
        <w:tc>
          <w:tcPr>
            <w:tcW w:w="890" w:type="dxa"/>
            <w:tcBorders>
              <w:right w:val="single" w:sz="4"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13.</w:t>
            </w:r>
            <w:r w:rsidR="00B15CF2">
              <w:rPr>
                <w:rFonts w:cs="Arial"/>
              </w:rPr>
              <w:t>6</w:t>
            </w:r>
            <w:r w:rsidRPr="00A8338F">
              <w:rPr>
                <w:rFonts w:cs="Arial"/>
              </w:rPr>
              <w:t>%</w:t>
            </w:r>
          </w:p>
        </w:tc>
        <w:tc>
          <w:tcPr>
            <w:tcW w:w="890" w:type="dxa"/>
            <w:tcBorders>
              <w:top w:val="nil"/>
              <w:left w:val="single" w:sz="4" w:space="0" w:color="auto"/>
              <w:bottom w:val="nil"/>
              <w:right w:val="single" w:sz="8" w:space="0" w:color="auto"/>
            </w:tcBorders>
            <w:noWrap/>
            <w:tcMar>
              <w:top w:w="15" w:type="dxa"/>
              <w:left w:w="15" w:type="dxa"/>
              <w:bottom w:w="0" w:type="dxa"/>
              <w:right w:w="15" w:type="dxa"/>
            </w:tcMar>
            <w:vAlign w:val="bottom"/>
          </w:tcPr>
          <w:p w:rsidR="00B97FD2" w:rsidRPr="001C5833" w:rsidRDefault="00B15CF2" w:rsidP="00B16A05">
            <w:pPr>
              <w:jc w:val="center"/>
              <w:rPr>
                <w:rFonts w:cs="Arial"/>
              </w:rPr>
            </w:pPr>
            <w:r>
              <w:rPr>
                <w:rFonts w:cs="Arial"/>
              </w:rPr>
              <w:t>13.6</w:t>
            </w:r>
            <w:r w:rsidR="00B16A05">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13.</w:t>
            </w:r>
            <w:r w:rsidR="00B15CF2">
              <w:rPr>
                <w:rFonts w:cs="Arial"/>
              </w:rPr>
              <w:t>4</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13.</w:t>
            </w:r>
            <w:r w:rsidR="00B15CF2">
              <w:rPr>
                <w:rFonts w:cs="Arial"/>
              </w:rPr>
              <w:t>6</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12.</w:t>
            </w:r>
            <w:r w:rsidR="00B15CF2">
              <w:rPr>
                <w:rFonts w:cs="Arial"/>
              </w:rPr>
              <w:t>5</w:t>
            </w:r>
            <w:r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6A05">
            <w:pPr>
              <w:jc w:val="center"/>
              <w:rPr>
                <w:rFonts w:cs="Arial"/>
              </w:rPr>
            </w:pPr>
            <w:r w:rsidRPr="00A8338F">
              <w:rPr>
                <w:rFonts w:cs="Arial"/>
              </w:rPr>
              <w:t>12.</w:t>
            </w:r>
            <w:r w:rsidR="00B15CF2">
              <w:rPr>
                <w:rFonts w:cs="Arial"/>
              </w:rPr>
              <w:t>3</w:t>
            </w:r>
            <w:r w:rsidRPr="00A8338F">
              <w:rPr>
                <w:rFonts w:cs="Arial"/>
              </w:rPr>
              <w:t>%</w:t>
            </w:r>
          </w:p>
        </w:tc>
      </w:tr>
      <w:tr w:rsidR="00B97FD2" w:rsidRPr="001C5833" w:rsidTr="000B159F">
        <w:trPr>
          <w:trHeight w:val="80"/>
        </w:trPr>
        <w:tc>
          <w:tcPr>
            <w:tcW w:w="126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51-100%FPL</w:t>
            </w: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N</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2990</w:t>
            </w:r>
            <w:r w:rsidR="00A8338F" w:rsidRPr="00A8338F">
              <w:rPr>
                <w:rFonts w:cs="Arial"/>
              </w:rPr>
              <w:t xml:space="preserve"> </w:t>
            </w:r>
            <w:proofErr w:type="spellStart"/>
            <w:r w:rsidR="00A8338F" w:rsidRPr="00A8338F">
              <w:rPr>
                <w:rFonts w:cs="Arial"/>
              </w:rPr>
              <w:t>elec</w:t>
            </w:r>
            <w:proofErr w:type="spellEnd"/>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8.8</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5.</w:t>
            </w:r>
            <w:r w:rsidR="00B15CF2">
              <w:rPr>
                <w:rFonts w:cs="Arial"/>
              </w:rPr>
              <w:t>1</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B15CF2">
            <w:pPr>
              <w:jc w:val="center"/>
              <w:rPr>
                <w:rFonts w:cs="Arial"/>
              </w:rPr>
            </w:pPr>
            <w:r>
              <w:rPr>
                <w:rFonts w:cs="Arial"/>
              </w:rPr>
              <w:t>5.1</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5CF2">
            <w:pPr>
              <w:jc w:val="center"/>
              <w:rPr>
                <w:rFonts w:cs="Arial"/>
              </w:rPr>
            </w:pPr>
            <w:r w:rsidRPr="00A8338F">
              <w:rPr>
                <w:rFonts w:cs="Arial"/>
              </w:rPr>
              <w:t>5.</w:t>
            </w:r>
            <w:r w:rsidR="00B15CF2">
              <w:rPr>
                <w:rFonts w:cs="Arial"/>
              </w:rPr>
              <w:t>0</w:t>
            </w:r>
            <w:r w:rsidRPr="00A8338F">
              <w:rPr>
                <w:rFonts w:cs="Arial"/>
              </w:rPr>
              <w:t>0%</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5.</w:t>
            </w:r>
            <w:r w:rsidR="00B15CF2">
              <w:rPr>
                <w:rFonts w:cs="Arial"/>
              </w:rPr>
              <w:t>1</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A82CFB">
            <w:pPr>
              <w:jc w:val="center"/>
              <w:rPr>
                <w:rFonts w:cs="Arial"/>
              </w:rPr>
            </w:pPr>
            <w:r>
              <w:rPr>
                <w:rFonts w:cs="Arial"/>
              </w:rPr>
              <w:t>4.8</w:t>
            </w:r>
            <w:r w:rsidR="00A8338F"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A82CFB">
            <w:pPr>
              <w:jc w:val="center"/>
              <w:rPr>
                <w:rFonts w:cs="Arial"/>
              </w:rPr>
            </w:pPr>
            <w:r>
              <w:rPr>
                <w:rFonts w:cs="Arial"/>
              </w:rPr>
              <w:t>4.8</w:t>
            </w:r>
            <w:r w:rsidR="00A8338F"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2120</w:t>
            </w:r>
            <w:r w:rsidR="00A8338F" w:rsidRPr="00A8338F">
              <w:rPr>
                <w:rFonts w:cs="Arial"/>
              </w:rPr>
              <w:t xml:space="preserve"> gas</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8.</w:t>
            </w:r>
            <w:r w:rsidR="00B15CF2">
              <w:rPr>
                <w:rFonts w:cs="Arial"/>
              </w:rPr>
              <w:t>3</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5</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4.5</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B15CF2">
            <w:pPr>
              <w:jc w:val="center"/>
              <w:rPr>
                <w:rFonts w:cs="Arial"/>
              </w:rPr>
            </w:pPr>
            <w:r w:rsidRPr="00A8338F">
              <w:rPr>
                <w:rFonts w:cs="Arial"/>
              </w:rPr>
              <w:t>4.</w:t>
            </w:r>
            <w:r w:rsidR="00B15CF2">
              <w:rPr>
                <w:rFonts w:cs="Arial"/>
              </w:rPr>
              <w:t>5</w:t>
            </w:r>
            <w:r w:rsidRPr="00A8338F">
              <w:rPr>
                <w:rFonts w:cs="Arial"/>
              </w:rPr>
              <w:t>0%</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5</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2</w:t>
            </w:r>
            <w:r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2</w:t>
            </w:r>
            <w:r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5110</w:t>
            </w:r>
            <w:r w:rsidR="00A8338F" w:rsidRPr="00A8338F">
              <w:rPr>
                <w:rFonts w:cs="Arial"/>
              </w:rPr>
              <w:t xml:space="preserve"> all</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8.6</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4.9</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4.9</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4.8</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4.9</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6</w:t>
            </w:r>
            <w:r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5</w:t>
            </w:r>
            <w:r w:rsidRPr="00A8338F">
              <w:rPr>
                <w:rFonts w:cs="Arial"/>
              </w:rPr>
              <w:t>%</w:t>
            </w:r>
          </w:p>
        </w:tc>
      </w:tr>
      <w:tr w:rsidR="00B97FD2" w:rsidRPr="001C5833" w:rsidTr="000B159F">
        <w:trPr>
          <w:trHeight w:val="51"/>
        </w:trPr>
        <w:tc>
          <w:tcPr>
            <w:tcW w:w="126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101-125%FPL</w:t>
            </w: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single" w:sz="8" w:space="0" w:color="auto"/>
              <w:bottom w:val="nil"/>
              <w:right w:val="nil"/>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1C5833">
            <w:pPr>
              <w:jc w:val="center"/>
              <w:rPr>
                <w:rFonts w:cs="Arial"/>
              </w:rPr>
            </w:pPr>
            <w:r w:rsidRPr="00A8338F">
              <w:rPr>
                <w:rFonts w:cs="Arial"/>
              </w:rPr>
              <w:t>N</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829</w:t>
            </w:r>
            <w:r w:rsidR="00A8338F" w:rsidRPr="00A8338F">
              <w:rPr>
                <w:rFonts w:cs="Arial"/>
              </w:rPr>
              <w:t xml:space="preserve"> </w:t>
            </w:r>
            <w:proofErr w:type="spellStart"/>
            <w:r w:rsidR="00A8338F" w:rsidRPr="00A8338F">
              <w:rPr>
                <w:rFonts w:cs="Arial"/>
              </w:rPr>
              <w:t>elec</w:t>
            </w:r>
            <w:proofErr w:type="spellEnd"/>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6.</w:t>
            </w:r>
            <w:r w:rsidR="00B15CF2">
              <w:rPr>
                <w:rFonts w:cs="Arial"/>
              </w:rPr>
              <w:t>4</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r w:rsidR="00B15CF2">
              <w:rPr>
                <w:rFonts w:cs="Arial"/>
              </w:rPr>
              <w:t>3</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4.0</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3.90</w:t>
            </w:r>
            <w:r w:rsidR="00A8338F"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A82CFB">
            <w:pPr>
              <w:jc w:val="center"/>
              <w:rPr>
                <w:rFonts w:cs="Arial"/>
              </w:rPr>
            </w:pPr>
            <w:r>
              <w:rPr>
                <w:rFonts w:cs="Arial"/>
              </w:rPr>
              <w:t>3.8</w:t>
            </w:r>
            <w:r w:rsidR="00A8338F"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792</w:t>
            </w:r>
            <w:r w:rsidR="00A8338F" w:rsidRPr="00A8338F">
              <w:rPr>
                <w:rFonts w:cs="Arial"/>
              </w:rPr>
              <w:t xml:space="preserve"> gas</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5.9</w:t>
            </w:r>
            <w:r w:rsidR="00A8338F"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7</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3.70</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7</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7</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6</w:t>
            </w:r>
            <w:r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5</w:t>
            </w:r>
            <w:r w:rsidRPr="00A8338F">
              <w:rPr>
                <w:rFonts w:cs="Arial"/>
              </w:rPr>
              <w:t>%</w:t>
            </w:r>
          </w:p>
        </w:tc>
      </w:tr>
      <w:tr w:rsidR="00B97FD2" w:rsidRPr="001C5833" w:rsidTr="000B159F">
        <w:trPr>
          <w:trHeight w:val="201"/>
        </w:trPr>
        <w:tc>
          <w:tcPr>
            <w:tcW w:w="126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1621</w:t>
            </w:r>
            <w:r w:rsidR="00A8338F" w:rsidRPr="00A8338F">
              <w:rPr>
                <w:rFonts w:cs="Arial"/>
              </w:rPr>
              <w:t xml:space="preserve"> all</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6.</w:t>
            </w:r>
            <w:r w:rsidR="00B15CF2">
              <w:rPr>
                <w:rFonts w:cs="Arial"/>
              </w:rPr>
              <w:t>2</w:t>
            </w:r>
            <w:r w:rsidRPr="00A8338F">
              <w:rPr>
                <w:rFonts w:cs="Arial"/>
              </w:rPr>
              <w:t>%</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B15CF2" w:rsidP="001C5833">
            <w:pPr>
              <w:jc w:val="center"/>
              <w:rPr>
                <w:rFonts w:cs="Arial"/>
              </w:rPr>
            </w:pPr>
            <w:r>
              <w:rPr>
                <w:rFonts w:cs="Arial"/>
              </w:rPr>
              <w:t>4.0</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4.%</w:t>
            </w:r>
          </w:p>
        </w:tc>
        <w:tc>
          <w:tcPr>
            <w:tcW w:w="890"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8</w:t>
            </w:r>
            <w:r w:rsidRPr="00A8338F">
              <w:rPr>
                <w:rFonts w:cs="Arial"/>
              </w:rPr>
              <w:t>%</w:t>
            </w:r>
          </w:p>
        </w:tc>
        <w:tc>
          <w:tcPr>
            <w:tcW w:w="893" w:type="dxa"/>
            <w:tcBorders>
              <w:top w:val="nil"/>
              <w:left w:val="nil"/>
              <w:bottom w:val="nil"/>
              <w:right w:val="single" w:sz="8" w:space="0" w:color="auto"/>
            </w:tcBorders>
            <w:noWrap/>
            <w:tcMar>
              <w:top w:w="15" w:type="dxa"/>
              <w:left w:w="15" w:type="dxa"/>
              <w:bottom w:w="0" w:type="dxa"/>
              <w:right w:w="15" w:type="dxa"/>
            </w:tcMar>
            <w:vAlign w:val="bottom"/>
          </w:tcPr>
          <w:p w:rsidR="00B97FD2" w:rsidRPr="001C5833" w:rsidRDefault="00A8338F" w:rsidP="00A82CFB">
            <w:pPr>
              <w:jc w:val="center"/>
              <w:rPr>
                <w:rFonts w:cs="Arial"/>
              </w:rPr>
            </w:pPr>
            <w:r w:rsidRPr="00A8338F">
              <w:rPr>
                <w:rFonts w:cs="Arial"/>
              </w:rPr>
              <w:t>3.</w:t>
            </w:r>
            <w:r w:rsidR="00B15CF2">
              <w:rPr>
                <w:rFonts w:cs="Arial"/>
              </w:rPr>
              <w:t>8</w:t>
            </w:r>
            <w:r w:rsidRPr="00A8338F">
              <w:rPr>
                <w:rFonts w:cs="Arial"/>
              </w:rPr>
              <w:t>%</w:t>
            </w:r>
          </w:p>
        </w:tc>
      </w:tr>
      <w:tr w:rsidR="00B97FD2" w:rsidRPr="001C5833" w:rsidTr="000B159F">
        <w:trPr>
          <w:trHeight w:val="214"/>
        </w:trPr>
        <w:tc>
          <w:tcPr>
            <w:tcW w:w="126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B97FD2" w:rsidRPr="001C5833" w:rsidRDefault="00A8338F" w:rsidP="001C5833">
            <w:pPr>
              <w:rPr>
                <w:rFonts w:cs="Arial"/>
                <w:b/>
                <w:bCs/>
              </w:rPr>
            </w:pPr>
            <w:r w:rsidRPr="00A8338F">
              <w:rPr>
                <w:rFonts w:cs="Arial"/>
                <w:b/>
                <w:bCs/>
              </w:rPr>
              <w:t> </w:t>
            </w: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c>
          <w:tcPr>
            <w:tcW w:w="89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97FD2" w:rsidRPr="001C5833" w:rsidRDefault="00B97FD2" w:rsidP="001C5833">
            <w:pPr>
              <w:jc w:val="center"/>
              <w:rPr>
                <w:rFonts w:cs="Arial"/>
              </w:rPr>
            </w:pPr>
          </w:p>
        </w:tc>
      </w:tr>
    </w:tbl>
    <w:p w:rsidR="009D6EDB" w:rsidRDefault="009D6EDB" w:rsidP="00B97FD2">
      <w:pPr>
        <w:widowControl w:val="0"/>
        <w:spacing w:line="480" w:lineRule="auto"/>
        <w:jc w:val="both"/>
        <w:rPr>
          <w:rStyle w:val="Heading2Char"/>
          <w:rFonts w:cs="Arial"/>
          <w:b w:val="0"/>
        </w:rPr>
      </w:pPr>
    </w:p>
    <w:p w:rsidR="00B97FD2" w:rsidRPr="001C5833" w:rsidRDefault="00A8338F" w:rsidP="00B97FD2">
      <w:pPr>
        <w:widowControl w:val="0"/>
        <w:spacing w:line="480" w:lineRule="auto"/>
        <w:jc w:val="both"/>
        <w:rPr>
          <w:rFonts w:cs="Arial"/>
        </w:rPr>
      </w:pPr>
      <w:bookmarkStart w:id="7" w:name="_Toc375555225"/>
      <w:r w:rsidRPr="008A0428">
        <w:rPr>
          <w:rStyle w:val="Heading2Char"/>
          <w:rFonts w:cs="Arial"/>
          <w:b w:val="0"/>
        </w:rPr>
        <w:t>Program Distribution Percentage</w:t>
      </w:r>
      <w:bookmarkEnd w:id="7"/>
      <w:r w:rsidR="00B97FD2" w:rsidRPr="001C5833">
        <w:rPr>
          <w:rFonts w:cs="Arial"/>
        </w:rPr>
        <w:t xml:space="preserve"> -</w:t>
      </w:r>
      <w:r w:rsidR="00B97FD2" w:rsidRPr="001C5833">
        <w:rPr>
          <w:rFonts w:cs="Arial"/>
          <w:color w:val="FF0000"/>
        </w:rPr>
        <w:t xml:space="preserve"> </w:t>
      </w:r>
      <w:r w:rsidR="00B97FD2" w:rsidRPr="001C5833">
        <w:rPr>
          <w:rFonts w:cs="Arial"/>
        </w:rPr>
        <w:t xml:space="preserve">Initially, the CAA’s and the Company had </w:t>
      </w:r>
      <w:proofErr w:type="gramStart"/>
      <w:r w:rsidR="00B97FD2" w:rsidRPr="001C5833">
        <w:rPr>
          <w:rFonts w:cs="Arial"/>
        </w:rPr>
        <w:t>mutually</w:t>
      </w:r>
      <w:proofErr w:type="gramEnd"/>
      <w:r w:rsidR="00B97FD2" w:rsidRPr="001C5833">
        <w:rPr>
          <w:rFonts w:cs="Arial"/>
        </w:rPr>
        <w:t xml:space="preserve"> agreed that the percentages for program distribution among the three grant programs (i.e., LIRAP Heat, Emergency Share and Senior Outreac</w:t>
      </w:r>
      <w:r w:rsidR="000B159F">
        <w:rPr>
          <w:rFonts w:cs="Arial"/>
        </w:rPr>
        <w:t>h) would be: 80% for LIRAP Heat;</w:t>
      </w:r>
      <w:r w:rsidR="00B97FD2" w:rsidRPr="001C5833">
        <w:rPr>
          <w:rFonts w:cs="Arial"/>
        </w:rPr>
        <w:t xml:space="preserve"> 13% for LIRAP Emergency Share</w:t>
      </w:r>
      <w:r w:rsidR="000B159F">
        <w:rPr>
          <w:rFonts w:cs="Arial"/>
        </w:rPr>
        <w:t>;</w:t>
      </w:r>
      <w:r w:rsidR="00B97FD2" w:rsidRPr="001C5833">
        <w:rPr>
          <w:rFonts w:cs="Arial"/>
        </w:rPr>
        <w:t xml:space="preserve"> and 7% for Senior Energy Outreach.  In the 2010/2011 program year, in order to best leverage the additional LIHEAP funds, the CAA’s and the Company agreed that the distribution should be </w:t>
      </w:r>
      <w:r w:rsidR="000B159F">
        <w:rPr>
          <w:rFonts w:cs="Arial"/>
        </w:rPr>
        <w:t>changed to:  60% for LIRAP Heat;</w:t>
      </w:r>
      <w:r w:rsidR="00B97FD2" w:rsidRPr="001C5833">
        <w:rPr>
          <w:rFonts w:cs="Arial"/>
        </w:rPr>
        <w:t xml:space="preserve"> 26% for LIRAP Emergency Share</w:t>
      </w:r>
      <w:r w:rsidR="000B159F">
        <w:rPr>
          <w:rFonts w:cs="Arial"/>
        </w:rPr>
        <w:t>;</w:t>
      </w:r>
      <w:r w:rsidR="00B97FD2" w:rsidRPr="001C5833">
        <w:rPr>
          <w:rFonts w:cs="Arial"/>
        </w:rPr>
        <w:t xml:space="preserve"> and 14% for Senior Energy Outreach.  That distribution was maintained for the </w:t>
      </w:r>
      <w:r w:rsidR="00EE1371" w:rsidRPr="001C5833">
        <w:rPr>
          <w:rFonts w:cs="Arial"/>
        </w:rPr>
        <w:t>201</w:t>
      </w:r>
      <w:r w:rsidR="00EE1371">
        <w:rPr>
          <w:rFonts w:cs="Arial"/>
        </w:rPr>
        <w:t>2</w:t>
      </w:r>
      <w:r w:rsidR="00B97FD2" w:rsidRPr="001C5833">
        <w:rPr>
          <w:rFonts w:cs="Arial"/>
        </w:rPr>
        <w:t>/</w:t>
      </w:r>
      <w:r w:rsidR="00EE1371" w:rsidRPr="001C5833">
        <w:rPr>
          <w:rFonts w:cs="Arial"/>
        </w:rPr>
        <w:t>201</w:t>
      </w:r>
      <w:r w:rsidR="00EE1371">
        <w:rPr>
          <w:rFonts w:cs="Arial"/>
        </w:rPr>
        <w:t>3</w:t>
      </w:r>
      <w:r w:rsidR="00EE1371" w:rsidRPr="001C5833">
        <w:rPr>
          <w:rFonts w:cs="Arial"/>
        </w:rPr>
        <w:t xml:space="preserve"> </w:t>
      </w:r>
      <w:r w:rsidR="00B97FD2" w:rsidRPr="001C5833">
        <w:rPr>
          <w:rFonts w:cs="Arial"/>
        </w:rPr>
        <w:t xml:space="preserve">program year. The </w:t>
      </w:r>
      <w:r w:rsidR="000B159F">
        <w:rPr>
          <w:rFonts w:cs="Arial"/>
        </w:rPr>
        <w:t>results were</w:t>
      </w:r>
      <w:r w:rsidR="00B97FD2" w:rsidRPr="001C5833">
        <w:rPr>
          <w:rFonts w:cs="Arial"/>
        </w:rPr>
        <w:t xml:space="preserve"> as follows:</w:t>
      </w:r>
    </w:p>
    <w:p w:rsidR="009D6EDB" w:rsidRPr="001C5833" w:rsidRDefault="009D6EDB" w:rsidP="009D6EDB">
      <w:pPr>
        <w:pStyle w:val="Heading2"/>
        <w:rPr>
          <w:rFonts w:cs="Arial"/>
          <w:u w:val="single"/>
        </w:rPr>
      </w:pPr>
      <w:bookmarkStart w:id="8" w:name="_Toc375555226"/>
      <w:r>
        <w:rPr>
          <w:rFonts w:cs="Arial"/>
          <w:u w:val="single"/>
        </w:rPr>
        <w:t>Table 5</w:t>
      </w:r>
      <w:r w:rsidRPr="00A8338F">
        <w:rPr>
          <w:rFonts w:cs="Arial"/>
          <w:u w:val="single"/>
        </w:rPr>
        <w:t xml:space="preserve"> </w:t>
      </w:r>
      <w:r>
        <w:rPr>
          <w:rFonts w:cs="Arial"/>
          <w:u w:val="single"/>
        </w:rPr>
        <w:t>–</w:t>
      </w:r>
      <w:r w:rsidRPr="00A8338F">
        <w:rPr>
          <w:rFonts w:cs="Arial"/>
          <w:u w:val="single"/>
        </w:rPr>
        <w:t xml:space="preserve"> </w:t>
      </w:r>
      <w:r>
        <w:rPr>
          <w:rFonts w:cs="Arial"/>
          <w:u w:val="single"/>
        </w:rPr>
        <w:t>Distribution by Percentage</w:t>
      </w:r>
      <w:bookmarkEnd w:id="8"/>
    </w:p>
    <w:p w:rsidR="00B97FD2" w:rsidRPr="001C5833" w:rsidRDefault="00B97FD2" w:rsidP="00B97FD2">
      <w:pPr>
        <w:widowControl w:val="0"/>
        <w:spacing w:line="360" w:lineRule="auto"/>
        <w:jc w:val="both"/>
        <w:rPr>
          <w:rFonts w:cs="Arial"/>
        </w:r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245"/>
        <w:gridCol w:w="2011"/>
        <w:gridCol w:w="2151"/>
        <w:gridCol w:w="2089"/>
      </w:tblGrid>
      <w:tr w:rsidR="00B97FD2" w:rsidRPr="001C5833" w:rsidTr="001C5833">
        <w:tc>
          <w:tcPr>
            <w:tcW w:w="2245" w:type="dxa"/>
            <w:shd w:val="clear" w:color="auto" w:fill="EEECE1" w:themeFill="background2"/>
          </w:tcPr>
          <w:p w:rsidR="00B97FD2" w:rsidRPr="001C5833" w:rsidRDefault="00A8338F" w:rsidP="001C5833">
            <w:pPr>
              <w:pStyle w:val="ListParagraph"/>
              <w:widowControl w:val="0"/>
              <w:ind w:left="0"/>
              <w:jc w:val="center"/>
              <w:rPr>
                <w:rFonts w:ascii="Arial" w:hAnsi="Arial" w:cs="Arial"/>
                <w:b/>
              </w:rPr>
            </w:pPr>
            <w:r w:rsidRPr="00A8338F">
              <w:rPr>
                <w:rFonts w:ascii="Arial" w:hAnsi="Arial" w:cs="Arial"/>
                <w:b/>
              </w:rPr>
              <w:t>Agency</w:t>
            </w:r>
          </w:p>
        </w:tc>
        <w:tc>
          <w:tcPr>
            <w:tcW w:w="2011" w:type="dxa"/>
            <w:shd w:val="clear" w:color="auto" w:fill="EEECE1" w:themeFill="background2"/>
          </w:tcPr>
          <w:p w:rsidR="00B97FD2" w:rsidRPr="001C5833" w:rsidRDefault="00A8338F" w:rsidP="001C5833">
            <w:pPr>
              <w:pStyle w:val="ListParagraph"/>
              <w:widowControl w:val="0"/>
              <w:ind w:left="0"/>
              <w:jc w:val="center"/>
              <w:rPr>
                <w:rFonts w:ascii="Arial" w:hAnsi="Arial" w:cs="Arial"/>
                <w:b/>
              </w:rPr>
            </w:pPr>
            <w:r w:rsidRPr="00A8338F">
              <w:rPr>
                <w:rFonts w:ascii="Arial" w:hAnsi="Arial" w:cs="Arial"/>
                <w:b/>
              </w:rPr>
              <w:t>Heat</w:t>
            </w:r>
          </w:p>
        </w:tc>
        <w:tc>
          <w:tcPr>
            <w:tcW w:w="2151" w:type="dxa"/>
            <w:shd w:val="clear" w:color="auto" w:fill="EEECE1" w:themeFill="background2"/>
          </w:tcPr>
          <w:p w:rsidR="00B97FD2" w:rsidRPr="001C5833" w:rsidRDefault="00A8338F" w:rsidP="001C5833">
            <w:pPr>
              <w:pStyle w:val="ListParagraph"/>
              <w:widowControl w:val="0"/>
              <w:ind w:left="0"/>
              <w:jc w:val="center"/>
              <w:rPr>
                <w:rFonts w:ascii="Arial" w:hAnsi="Arial" w:cs="Arial"/>
                <w:b/>
              </w:rPr>
            </w:pPr>
            <w:r w:rsidRPr="00A8338F">
              <w:rPr>
                <w:rFonts w:ascii="Arial" w:hAnsi="Arial" w:cs="Arial"/>
                <w:b/>
              </w:rPr>
              <w:t>Emergency Share</w:t>
            </w:r>
          </w:p>
        </w:tc>
        <w:tc>
          <w:tcPr>
            <w:tcW w:w="2089" w:type="dxa"/>
            <w:shd w:val="clear" w:color="auto" w:fill="EEECE1" w:themeFill="background2"/>
          </w:tcPr>
          <w:p w:rsidR="00B97FD2" w:rsidRPr="001C5833" w:rsidRDefault="00A8338F" w:rsidP="001C5833">
            <w:pPr>
              <w:pStyle w:val="ListParagraph"/>
              <w:widowControl w:val="0"/>
              <w:ind w:left="0"/>
              <w:jc w:val="center"/>
              <w:rPr>
                <w:rFonts w:ascii="Arial" w:hAnsi="Arial" w:cs="Arial"/>
                <w:b/>
              </w:rPr>
            </w:pPr>
            <w:r w:rsidRPr="00A8338F">
              <w:rPr>
                <w:rFonts w:ascii="Arial" w:hAnsi="Arial" w:cs="Arial"/>
                <w:b/>
              </w:rPr>
              <w:t>Senior Outreach</w:t>
            </w:r>
          </w:p>
        </w:tc>
      </w:tr>
      <w:tr w:rsidR="00B97FD2" w:rsidRPr="001C5833" w:rsidTr="001C5833">
        <w:tc>
          <w:tcPr>
            <w:tcW w:w="2245" w:type="dxa"/>
            <w:shd w:val="clear" w:color="auto" w:fill="auto"/>
          </w:tcPr>
          <w:p w:rsidR="00B97FD2" w:rsidRPr="001C5833" w:rsidRDefault="00A8338F" w:rsidP="001C5833">
            <w:pPr>
              <w:widowControl w:val="0"/>
              <w:rPr>
                <w:rFonts w:cs="Arial"/>
              </w:rPr>
            </w:pPr>
            <w:r w:rsidRPr="00A8338F">
              <w:rPr>
                <w:rFonts w:cs="Arial"/>
              </w:rPr>
              <w:t>Recommended Percent for Program Distribution</w:t>
            </w:r>
          </w:p>
        </w:tc>
        <w:tc>
          <w:tcPr>
            <w:tcW w:w="2011" w:type="dxa"/>
            <w:shd w:val="clear" w:color="auto" w:fill="auto"/>
          </w:tcPr>
          <w:p w:rsidR="00B97FD2" w:rsidRPr="001C5833" w:rsidRDefault="00A8338F" w:rsidP="001C5833">
            <w:pPr>
              <w:pStyle w:val="ListParagraph"/>
              <w:widowControl w:val="0"/>
              <w:ind w:left="0"/>
              <w:jc w:val="center"/>
              <w:rPr>
                <w:rFonts w:ascii="Arial" w:hAnsi="Arial" w:cs="Arial"/>
              </w:rPr>
            </w:pPr>
            <w:r w:rsidRPr="00A8338F">
              <w:rPr>
                <w:rFonts w:ascii="Arial" w:hAnsi="Arial" w:cs="Arial"/>
              </w:rPr>
              <w:t>60%</w:t>
            </w:r>
          </w:p>
        </w:tc>
        <w:tc>
          <w:tcPr>
            <w:tcW w:w="2151" w:type="dxa"/>
            <w:shd w:val="clear" w:color="auto" w:fill="auto"/>
          </w:tcPr>
          <w:p w:rsidR="00B97FD2" w:rsidRPr="001C5833" w:rsidRDefault="00A8338F" w:rsidP="001C5833">
            <w:pPr>
              <w:pStyle w:val="ListParagraph"/>
              <w:widowControl w:val="0"/>
              <w:ind w:left="0"/>
              <w:jc w:val="center"/>
              <w:rPr>
                <w:rFonts w:ascii="Arial" w:hAnsi="Arial" w:cs="Arial"/>
              </w:rPr>
            </w:pPr>
            <w:r w:rsidRPr="00A8338F">
              <w:rPr>
                <w:rFonts w:ascii="Arial" w:hAnsi="Arial" w:cs="Arial"/>
              </w:rPr>
              <w:t>26%</w:t>
            </w:r>
          </w:p>
        </w:tc>
        <w:tc>
          <w:tcPr>
            <w:tcW w:w="2089" w:type="dxa"/>
            <w:shd w:val="clear" w:color="auto" w:fill="auto"/>
          </w:tcPr>
          <w:p w:rsidR="00B97FD2" w:rsidRPr="001C5833" w:rsidRDefault="00A8338F" w:rsidP="001C5833">
            <w:pPr>
              <w:pStyle w:val="ListParagraph"/>
              <w:widowControl w:val="0"/>
              <w:ind w:left="0"/>
              <w:jc w:val="center"/>
              <w:rPr>
                <w:rFonts w:ascii="Arial" w:hAnsi="Arial" w:cs="Arial"/>
              </w:rPr>
            </w:pPr>
            <w:r w:rsidRPr="00A8338F">
              <w:rPr>
                <w:rFonts w:ascii="Arial" w:hAnsi="Arial" w:cs="Arial"/>
              </w:rPr>
              <w:t>14%</w:t>
            </w:r>
          </w:p>
        </w:tc>
      </w:tr>
      <w:tr w:rsidR="00B97FD2" w:rsidRPr="001C5833" w:rsidTr="001C5833">
        <w:tc>
          <w:tcPr>
            <w:tcW w:w="2245" w:type="dxa"/>
            <w:shd w:val="clear" w:color="auto" w:fill="auto"/>
          </w:tcPr>
          <w:p w:rsidR="00B97FD2" w:rsidRPr="001C5833" w:rsidRDefault="00A8338F" w:rsidP="001C5833">
            <w:pPr>
              <w:widowControl w:val="0"/>
              <w:rPr>
                <w:rFonts w:cs="Arial"/>
                <w:u w:val="single"/>
              </w:rPr>
            </w:pPr>
            <w:r w:rsidRPr="00A8338F">
              <w:rPr>
                <w:rFonts w:cs="Arial"/>
              </w:rPr>
              <w:t>Community Action Partnership Asotin</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68.26</w:t>
            </w:r>
            <w:r w:rsidR="00A8338F" w:rsidRPr="00A8338F">
              <w:rPr>
                <w:rFonts w:ascii="Arial" w:hAnsi="Arial" w:cs="Arial"/>
              </w:rPr>
              <w:t>%</w:t>
            </w:r>
          </w:p>
        </w:tc>
        <w:tc>
          <w:tcPr>
            <w:tcW w:w="2151" w:type="dxa"/>
            <w:shd w:val="clear" w:color="auto" w:fill="auto"/>
          </w:tcPr>
          <w:p w:rsidR="00B97FD2" w:rsidRPr="001C5833" w:rsidRDefault="00A8338F" w:rsidP="000532DE">
            <w:pPr>
              <w:pStyle w:val="ListParagraph"/>
              <w:widowControl w:val="0"/>
              <w:ind w:left="0"/>
              <w:jc w:val="center"/>
              <w:rPr>
                <w:rFonts w:ascii="Arial" w:hAnsi="Arial" w:cs="Arial"/>
              </w:rPr>
            </w:pPr>
            <w:r w:rsidRPr="00A8338F">
              <w:rPr>
                <w:rFonts w:ascii="Arial" w:hAnsi="Arial" w:cs="Arial"/>
              </w:rPr>
              <w:t>29.</w:t>
            </w:r>
            <w:r w:rsidR="000532DE">
              <w:rPr>
                <w:rFonts w:ascii="Arial" w:hAnsi="Arial" w:cs="Arial"/>
              </w:rPr>
              <w:t>42</w:t>
            </w:r>
            <w:r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2.32</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pStyle w:val="ListParagraph"/>
              <w:widowControl w:val="0"/>
              <w:ind w:left="0"/>
              <w:rPr>
                <w:rFonts w:ascii="Arial" w:hAnsi="Arial" w:cs="Arial"/>
              </w:rPr>
            </w:pPr>
            <w:r w:rsidRPr="00A8338F">
              <w:rPr>
                <w:rFonts w:ascii="Arial" w:hAnsi="Arial" w:cs="Arial"/>
              </w:rPr>
              <w:t>OIC</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78.33</w:t>
            </w:r>
            <w:r w:rsidR="00A8338F" w:rsidRPr="00A8338F">
              <w:rPr>
                <w:rFonts w:ascii="Arial" w:hAnsi="Arial" w:cs="Arial"/>
              </w:rPr>
              <w:t>%</w:t>
            </w:r>
          </w:p>
        </w:tc>
        <w:tc>
          <w:tcPr>
            <w:tcW w:w="215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12.94</w:t>
            </w:r>
            <w:r w:rsidR="00A8338F"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8.73</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pStyle w:val="ListParagraph"/>
              <w:widowControl w:val="0"/>
              <w:ind w:left="0"/>
              <w:rPr>
                <w:rFonts w:ascii="Arial" w:hAnsi="Arial" w:cs="Arial"/>
              </w:rPr>
            </w:pPr>
            <w:r w:rsidRPr="00A8338F">
              <w:rPr>
                <w:rFonts w:ascii="Arial" w:hAnsi="Arial" w:cs="Arial"/>
              </w:rPr>
              <w:t>Rural Resources</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71.00</w:t>
            </w:r>
            <w:r w:rsidR="00A8338F" w:rsidRPr="00A8338F">
              <w:rPr>
                <w:rFonts w:ascii="Arial" w:hAnsi="Arial" w:cs="Arial"/>
              </w:rPr>
              <w:t>%</w:t>
            </w:r>
          </w:p>
        </w:tc>
        <w:tc>
          <w:tcPr>
            <w:tcW w:w="2151" w:type="dxa"/>
            <w:shd w:val="clear" w:color="auto" w:fill="auto"/>
          </w:tcPr>
          <w:p w:rsidR="00B97FD2" w:rsidRPr="001C5833" w:rsidRDefault="00A8338F" w:rsidP="000532DE">
            <w:pPr>
              <w:pStyle w:val="ListParagraph"/>
              <w:widowControl w:val="0"/>
              <w:ind w:left="0"/>
              <w:jc w:val="center"/>
              <w:rPr>
                <w:rFonts w:ascii="Arial" w:hAnsi="Arial" w:cs="Arial"/>
              </w:rPr>
            </w:pPr>
            <w:r w:rsidRPr="00A8338F">
              <w:rPr>
                <w:rFonts w:ascii="Arial" w:hAnsi="Arial" w:cs="Arial"/>
              </w:rPr>
              <w:t>18.</w:t>
            </w:r>
            <w:r w:rsidR="000532DE">
              <w:rPr>
                <w:rFonts w:ascii="Arial" w:hAnsi="Arial" w:cs="Arial"/>
              </w:rPr>
              <w:t>94</w:t>
            </w:r>
            <w:r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10.06</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pStyle w:val="ListParagraph"/>
              <w:widowControl w:val="0"/>
              <w:ind w:left="0"/>
              <w:rPr>
                <w:rFonts w:ascii="Arial" w:hAnsi="Arial" w:cs="Arial"/>
              </w:rPr>
            </w:pPr>
            <w:r w:rsidRPr="00A8338F">
              <w:rPr>
                <w:rFonts w:ascii="Arial" w:hAnsi="Arial" w:cs="Arial"/>
              </w:rPr>
              <w:t>SNAP</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66.67</w:t>
            </w:r>
            <w:r w:rsidR="00A8338F" w:rsidRPr="00A8338F">
              <w:rPr>
                <w:rFonts w:ascii="Arial" w:hAnsi="Arial" w:cs="Arial"/>
              </w:rPr>
              <w:t>%</w:t>
            </w:r>
          </w:p>
        </w:tc>
        <w:tc>
          <w:tcPr>
            <w:tcW w:w="215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25.99</w:t>
            </w:r>
            <w:r w:rsidR="00A8338F"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7.34</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pStyle w:val="ListParagraph"/>
              <w:widowControl w:val="0"/>
              <w:ind w:left="0"/>
              <w:rPr>
                <w:rFonts w:ascii="Arial" w:hAnsi="Arial" w:cs="Arial"/>
              </w:rPr>
            </w:pPr>
            <w:r w:rsidRPr="00A8338F">
              <w:rPr>
                <w:rFonts w:ascii="Arial" w:hAnsi="Arial" w:cs="Arial"/>
              </w:rPr>
              <w:t>WGAP</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85.05</w:t>
            </w:r>
            <w:r w:rsidR="00A8338F" w:rsidRPr="00A8338F">
              <w:rPr>
                <w:rFonts w:ascii="Arial" w:hAnsi="Arial" w:cs="Arial"/>
              </w:rPr>
              <w:t>%</w:t>
            </w:r>
          </w:p>
        </w:tc>
        <w:tc>
          <w:tcPr>
            <w:tcW w:w="215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14.95</w:t>
            </w:r>
            <w:r w:rsidR="00A8338F"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0</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widowControl w:val="0"/>
              <w:rPr>
                <w:rFonts w:cs="Arial"/>
              </w:rPr>
            </w:pPr>
            <w:r w:rsidRPr="00A8338F">
              <w:rPr>
                <w:rFonts w:cs="Arial"/>
              </w:rPr>
              <w:t>Community Action Center Whitman</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4.53</w:t>
            </w:r>
            <w:r w:rsidR="00A8338F" w:rsidRPr="00A8338F">
              <w:rPr>
                <w:rFonts w:ascii="Arial" w:hAnsi="Arial" w:cs="Arial"/>
              </w:rPr>
              <w:t>%</w:t>
            </w:r>
          </w:p>
        </w:tc>
        <w:tc>
          <w:tcPr>
            <w:tcW w:w="215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87.77</w:t>
            </w:r>
            <w:r w:rsidR="00A8338F"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7.70</w:t>
            </w:r>
            <w:r w:rsidR="00A8338F" w:rsidRPr="00A8338F">
              <w:rPr>
                <w:rFonts w:ascii="Arial" w:hAnsi="Arial" w:cs="Arial"/>
              </w:rPr>
              <w:t>%</w:t>
            </w:r>
          </w:p>
        </w:tc>
      </w:tr>
      <w:tr w:rsidR="00B97FD2" w:rsidRPr="001C5833" w:rsidTr="001C5833">
        <w:tc>
          <w:tcPr>
            <w:tcW w:w="2245" w:type="dxa"/>
            <w:shd w:val="clear" w:color="auto" w:fill="auto"/>
          </w:tcPr>
          <w:p w:rsidR="00B97FD2" w:rsidRPr="001C5833" w:rsidRDefault="00A8338F" w:rsidP="001C5833">
            <w:pPr>
              <w:pStyle w:val="ListParagraph"/>
              <w:widowControl w:val="0"/>
              <w:ind w:left="0"/>
              <w:rPr>
                <w:rFonts w:ascii="Arial" w:hAnsi="Arial" w:cs="Arial"/>
                <w:b/>
              </w:rPr>
            </w:pPr>
            <w:r w:rsidRPr="00A8338F">
              <w:rPr>
                <w:rFonts w:ascii="Arial" w:hAnsi="Arial" w:cs="Arial"/>
                <w:b/>
              </w:rPr>
              <w:t xml:space="preserve">Total </w:t>
            </w:r>
          </w:p>
        </w:tc>
        <w:tc>
          <w:tcPr>
            <w:tcW w:w="2011"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65.82</w:t>
            </w:r>
            <w:r w:rsidR="00A8338F" w:rsidRPr="00A8338F">
              <w:rPr>
                <w:rFonts w:ascii="Arial" w:hAnsi="Arial" w:cs="Arial"/>
              </w:rPr>
              <w:t>%</w:t>
            </w:r>
          </w:p>
        </w:tc>
        <w:tc>
          <w:tcPr>
            <w:tcW w:w="2151" w:type="dxa"/>
            <w:shd w:val="clear" w:color="auto" w:fill="auto"/>
          </w:tcPr>
          <w:p w:rsidR="00B97FD2" w:rsidRPr="001C5833" w:rsidRDefault="00A8338F" w:rsidP="000532DE">
            <w:pPr>
              <w:pStyle w:val="ListParagraph"/>
              <w:widowControl w:val="0"/>
              <w:ind w:left="0"/>
              <w:jc w:val="center"/>
              <w:rPr>
                <w:rFonts w:ascii="Arial" w:hAnsi="Arial" w:cs="Arial"/>
              </w:rPr>
            </w:pPr>
            <w:r w:rsidRPr="00A8338F">
              <w:rPr>
                <w:rFonts w:ascii="Arial" w:hAnsi="Arial" w:cs="Arial"/>
              </w:rPr>
              <w:t>26.</w:t>
            </w:r>
            <w:r w:rsidR="000532DE">
              <w:rPr>
                <w:rFonts w:ascii="Arial" w:hAnsi="Arial" w:cs="Arial"/>
              </w:rPr>
              <w:t>73</w:t>
            </w:r>
            <w:r w:rsidRPr="00A8338F">
              <w:rPr>
                <w:rFonts w:ascii="Arial" w:hAnsi="Arial" w:cs="Arial"/>
              </w:rPr>
              <w:t>%</w:t>
            </w:r>
          </w:p>
        </w:tc>
        <w:tc>
          <w:tcPr>
            <w:tcW w:w="2089" w:type="dxa"/>
            <w:shd w:val="clear" w:color="auto" w:fill="auto"/>
          </w:tcPr>
          <w:p w:rsidR="00B97FD2" w:rsidRPr="001C5833" w:rsidRDefault="000532DE" w:rsidP="001C5833">
            <w:pPr>
              <w:pStyle w:val="ListParagraph"/>
              <w:widowControl w:val="0"/>
              <w:ind w:left="0"/>
              <w:jc w:val="center"/>
              <w:rPr>
                <w:rFonts w:ascii="Arial" w:hAnsi="Arial" w:cs="Arial"/>
              </w:rPr>
            </w:pPr>
            <w:r>
              <w:rPr>
                <w:rFonts w:ascii="Arial" w:hAnsi="Arial" w:cs="Arial"/>
              </w:rPr>
              <w:t>7.45</w:t>
            </w:r>
            <w:r w:rsidR="00A8338F" w:rsidRPr="00A8338F">
              <w:rPr>
                <w:rFonts w:ascii="Arial" w:hAnsi="Arial" w:cs="Arial"/>
              </w:rPr>
              <w:t>%</w:t>
            </w:r>
          </w:p>
        </w:tc>
      </w:tr>
    </w:tbl>
    <w:p w:rsidR="00B97FD2" w:rsidRPr="001C5833" w:rsidRDefault="00B97FD2" w:rsidP="00B97FD2">
      <w:pPr>
        <w:pStyle w:val="ListParagraph"/>
        <w:widowControl w:val="0"/>
        <w:spacing w:line="360" w:lineRule="auto"/>
        <w:ind w:left="1080"/>
        <w:jc w:val="both"/>
        <w:rPr>
          <w:rFonts w:ascii="Arial" w:hAnsi="Arial" w:cs="Arial"/>
        </w:rPr>
      </w:pPr>
    </w:p>
    <w:p w:rsidR="00B97FD2" w:rsidRPr="001C5833" w:rsidRDefault="00B97FD2" w:rsidP="00B97FD2">
      <w:pPr>
        <w:widowControl w:val="0"/>
        <w:spacing w:line="480" w:lineRule="auto"/>
        <w:ind w:firstLine="720"/>
        <w:jc w:val="both"/>
        <w:rPr>
          <w:rFonts w:cs="Arial"/>
        </w:rPr>
      </w:pPr>
      <w:r w:rsidRPr="001C5833">
        <w:rPr>
          <w:rFonts w:cs="Arial"/>
        </w:rPr>
        <w:t xml:space="preserve">The Company recognizes that each agency service territory is unique and attributes the differences in program distribution to diversity of need that each agency experiences. However, the Company will continue to monitor and assess these differences. </w:t>
      </w:r>
    </w:p>
    <w:p w:rsidR="00B97FD2" w:rsidRPr="001C5833" w:rsidRDefault="00A8338F" w:rsidP="000B159F">
      <w:pPr>
        <w:spacing w:line="480" w:lineRule="auto"/>
        <w:jc w:val="both"/>
        <w:rPr>
          <w:rFonts w:cs="Arial"/>
        </w:rPr>
      </w:pPr>
      <w:bookmarkStart w:id="9" w:name="_Toc375555227"/>
      <w:r w:rsidRPr="008A0428">
        <w:rPr>
          <w:rStyle w:val="Heading2Char"/>
          <w:rFonts w:cs="Arial"/>
          <w:b w:val="0"/>
        </w:rPr>
        <w:lastRenderedPageBreak/>
        <w:t>Avista Electric and Natural Gas Revenue</w:t>
      </w:r>
      <w:bookmarkEnd w:id="9"/>
      <w:r w:rsidRPr="00F317EA">
        <w:rPr>
          <w:rStyle w:val="Heading2Char"/>
          <w:rFonts w:cs="Arial"/>
        </w:rPr>
        <w:t xml:space="preserve"> </w:t>
      </w:r>
      <w:r w:rsidR="00B97FD2" w:rsidRPr="001C5833">
        <w:rPr>
          <w:rFonts w:cs="Arial"/>
        </w:rPr>
        <w:t xml:space="preserve">- To improve the equitability of the distribution of LIRAP funds and based on discussions with Commission Staff and other interested parties, the Company agreed to allow electric revenue to be used for natural gas heat customers as long as those same customers also use Avista electric service. Of the total LIRAP funds distributed approximately 68% was electric and 32% was natural gas. The </w:t>
      </w:r>
      <w:r w:rsidR="006D4CEB" w:rsidRPr="001C5833">
        <w:rPr>
          <w:rFonts w:cs="Arial"/>
        </w:rPr>
        <w:t>201</w:t>
      </w:r>
      <w:r w:rsidR="006D4CEB">
        <w:rPr>
          <w:rFonts w:cs="Arial"/>
        </w:rPr>
        <w:t>2</w:t>
      </w:r>
      <w:r w:rsidR="00B97FD2" w:rsidRPr="001C5833">
        <w:rPr>
          <w:rFonts w:cs="Arial"/>
        </w:rPr>
        <w:t>/</w:t>
      </w:r>
      <w:r w:rsidR="006D4CEB" w:rsidRPr="001C5833">
        <w:rPr>
          <w:rFonts w:cs="Arial"/>
        </w:rPr>
        <w:t>201</w:t>
      </w:r>
      <w:r w:rsidR="006D4CEB">
        <w:rPr>
          <w:rFonts w:cs="Arial"/>
        </w:rPr>
        <w:t>3</w:t>
      </w:r>
      <w:r w:rsidR="006D4CEB" w:rsidRPr="001C5833">
        <w:rPr>
          <w:rFonts w:cs="Arial"/>
        </w:rPr>
        <w:t xml:space="preserve"> </w:t>
      </w:r>
      <w:proofErr w:type="gramStart"/>
      <w:r w:rsidR="000B159F">
        <w:rPr>
          <w:rFonts w:cs="Arial"/>
        </w:rPr>
        <w:t>results</w:t>
      </w:r>
      <w:r w:rsidR="00B97FD2" w:rsidRPr="001C5833">
        <w:rPr>
          <w:rFonts w:cs="Arial"/>
        </w:rPr>
        <w:t xml:space="preserve"> for heating source assistance </w:t>
      </w:r>
      <w:r w:rsidR="000B159F">
        <w:rPr>
          <w:rFonts w:cs="Arial"/>
        </w:rPr>
        <w:t>is</w:t>
      </w:r>
      <w:proofErr w:type="gramEnd"/>
      <w:r w:rsidR="00B97FD2" w:rsidRPr="001C5833">
        <w:rPr>
          <w:rFonts w:cs="Arial"/>
        </w:rPr>
        <w:t xml:space="preserve"> as follows:</w:t>
      </w:r>
    </w:p>
    <w:p w:rsidR="009D6EDB" w:rsidRPr="001C5833" w:rsidRDefault="009D6EDB" w:rsidP="009D6EDB">
      <w:pPr>
        <w:pStyle w:val="Heading2"/>
        <w:rPr>
          <w:rFonts w:cs="Arial"/>
          <w:u w:val="single"/>
        </w:rPr>
      </w:pPr>
      <w:bookmarkStart w:id="10" w:name="_Toc375555228"/>
      <w:r>
        <w:rPr>
          <w:rFonts w:cs="Arial"/>
          <w:u w:val="single"/>
        </w:rPr>
        <w:t>Table 6</w:t>
      </w:r>
      <w:r w:rsidRPr="00A8338F">
        <w:rPr>
          <w:rFonts w:cs="Arial"/>
          <w:u w:val="single"/>
        </w:rPr>
        <w:t xml:space="preserve"> </w:t>
      </w:r>
      <w:r>
        <w:rPr>
          <w:rFonts w:cs="Arial"/>
          <w:u w:val="single"/>
        </w:rPr>
        <w:t>–</w:t>
      </w:r>
      <w:r w:rsidRPr="00A8338F">
        <w:rPr>
          <w:rFonts w:cs="Arial"/>
          <w:u w:val="single"/>
        </w:rPr>
        <w:t xml:space="preserve"> </w:t>
      </w:r>
      <w:r>
        <w:rPr>
          <w:rFonts w:cs="Arial"/>
          <w:u w:val="single"/>
        </w:rPr>
        <w:t>Distribution of Revenue</w:t>
      </w:r>
      <w:bookmarkEnd w:id="10"/>
    </w:p>
    <w:p w:rsidR="00B97FD2" w:rsidRPr="001C5833" w:rsidRDefault="00B97FD2" w:rsidP="00B97FD2">
      <w:pPr>
        <w:spacing w:line="480" w:lineRule="auto"/>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003"/>
        <w:gridCol w:w="2932"/>
        <w:gridCol w:w="2921"/>
      </w:tblGrid>
      <w:tr w:rsidR="00B97FD2" w:rsidRPr="001C5833" w:rsidTr="006D4CEB">
        <w:tc>
          <w:tcPr>
            <w:tcW w:w="3384" w:type="dxa"/>
            <w:shd w:val="clear" w:color="auto" w:fill="EEECE1" w:themeFill="background2"/>
          </w:tcPr>
          <w:p w:rsidR="00B97FD2" w:rsidRPr="001C5833" w:rsidRDefault="00B97FD2" w:rsidP="001C5833">
            <w:pPr>
              <w:rPr>
                <w:rFonts w:cs="Arial"/>
                <w:b/>
              </w:rPr>
            </w:pPr>
            <w:r w:rsidRPr="001C5833">
              <w:rPr>
                <w:rFonts w:cs="Arial"/>
                <w:b/>
              </w:rPr>
              <w:t>Agency</w:t>
            </w:r>
          </w:p>
        </w:tc>
        <w:tc>
          <w:tcPr>
            <w:tcW w:w="3384" w:type="dxa"/>
            <w:shd w:val="clear" w:color="auto" w:fill="EEECE1" w:themeFill="background2"/>
          </w:tcPr>
          <w:p w:rsidR="00B97FD2" w:rsidRPr="001C5833" w:rsidRDefault="00B97FD2" w:rsidP="001C5833">
            <w:pPr>
              <w:jc w:val="center"/>
              <w:rPr>
                <w:rFonts w:cs="Arial"/>
                <w:b/>
              </w:rPr>
            </w:pPr>
            <w:r w:rsidRPr="001C5833">
              <w:rPr>
                <w:rFonts w:cs="Arial"/>
                <w:b/>
              </w:rPr>
              <w:t>Electric</w:t>
            </w:r>
          </w:p>
        </w:tc>
        <w:tc>
          <w:tcPr>
            <w:tcW w:w="3384" w:type="dxa"/>
            <w:shd w:val="clear" w:color="auto" w:fill="EEECE1" w:themeFill="background2"/>
          </w:tcPr>
          <w:p w:rsidR="00B97FD2" w:rsidRPr="001C5833" w:rsidRDefault="00A8338F" w:rsidP="001C5833">
            <w:pPr>
              <w:jc w:val="center"/>
              <w:rPr>
                <w:rFonts w:cs="Arial"/>
                <w:b/>
              </w:rPr>
            </w:pPr>
            <w:r w:rsidRPr="00A8338F">
              <w:rPr>
                <w:rFonts w:cs="Arial"/>
                <w:b/>
              </w:rPr>
              <w:t>Gas</w:t>
            </w:r>
          </w:p>
        </w:tc>
      </w:tr>
      <w:tr w:rsidR="00B97FD2" w:rsidRPr="001C5833" w:rsidTr="006D4CEB">
        <w:tc>
          <w:tcPr>
            <w:tcW w:w="3384" w:type="dxa"/>
          </w:tcPr>
          <w:p w:rsidR="00B97FD2" w:rsidRPr="001C5833" w:rsidRDefault="00A8338F" w:rsidP="001C5833">
            <w:pPr>
              <w:rPr>
                <w:rFonts w:cs="Arial"/>
              </w:rPr>
            </w:pPr>
            <w:r w:rsidRPr="00A8338F">
              <w:rPr>
                <w:rFonts w:cs="Arial"/>
              </w:rPr>
              <w:t>A Community Action Partnership Asotin</w:t>
            </w:r>
          </w:p>
        </w:tc>
        <w:tc>
          <w:tcPr>
            <w:tcW w:w="3384" w:type="dxa"/>
          </w:tcPr>
          <w:p w:rsidR="00B97FD2" w:rsidRPr="001C5833" w:rsidRDefault="009143DE" w:rsidP="009143DE">
            <w:pPr>
              <w:jc w:val="center"/>
              <w:rPr>
                <w:rFonts w:cs="Arial"/>
              </w:rPr>
            </w:pPr>
            <w:r>
              <w:rPr>
                <w:rFonts w:cs="Arial"/>
              </w:rPr>
              <w:t>53.18</w:t>
            </w:r>
            <w:r w:rsidR="00B97FD2" w:rsidRPr="001C5833">
              <w:rPr>
                <w:rFonts w:cs="Arial"/>
              </w:rPr>
              <w:t>%</w:t>
            </w:r>
          </w:p>
        </w:tc>
        <w:tc>
          <w:tcPr>
            <w:tcW w:w="3384" w:type="dxa"/>
          </w:tcPr>
          <w:p w:rsidR="00B97FD2" w:rsidRPr="001C5833" w:rsidRDefault="009143DE" w:rsidP="001C5833">
            <w:pPr>
              <w:jc w:val="center"/>
              <w:rPr>
                <w:rFonts w:cs="Arial"/>
              </w:rPr>
            </w:pPr>
            <w:r>
              <w:rPr>
                <w:rFonts w:cs="Arial"/>
              </w:rPr>
              <w:t>46.82</w:t>
            </w:r>
            <w:r w:rsidR="00B97FD2" w:rsidRPr="001C5833">
              <w:rPr>
                <w:rFonts w:cs="Arial"/>
              </w:rPr>
              <w:t>%</w:t>
            </w:r>
          </w:p>
        </w:tc>
      </w:tr>
      <w:tr w:rsidR="00B97FD2" w:rsidRPr="001C5833" w:rsidTr="006D4CEB">
        <w:tc>
          <w:tcPr>
            <w:tcW w:w="3384" w:type="dxa"/>
          </w:tcPr>
          <w:p w:rsidR="00B97FD2" w:rsidRPr="001C5833" w:rsidRDefault="00A8338F" w:rsidP="001C5833">
            <w:pPr>
              <w:rPr>
                <w:rFonts w:cs="Arial"/>
              </w:rPr>
            </w:pPr>
            <w:r w:rsidRPr="00A8338F">
              <w:rPr>
                <w:rFonts w:cs="Arial"/>
              </w:rPr>
              <w:t>OIC</w:t>
            </w:r>
          </w:p>
        </w:tc>
        <w:tc>
          <w:tcPr>
            <w:tcW w:w="3384" w:type="dxa"/>
          </w:tcPr>
          <w:p w:rsidR="00B97FD2" w:rsidRPr="001C5833" w:rsidRDefault="009143DE" w:rsidP="001C5833">
            <w:pPr>
              <w:jc w:val="center"/>
              <w:rPr>
                <w:rFonts w:cs="Arial"/>
              </w:rPr>
            </w:pPr>
            <w:r>
              <w:rPr>
                <w:rFonts w:cs="Arial"/>
              </w:rPr>
              <w:t>89.71</w:t>
            </w:r>
            <w:r w:rsidR="00B97FD2" w:rsidRPr="001C5833">
              <w:rPr>
                <w:rFonts w:cs="Arial"/>
              </w:rPr>
              <w:t>%</w:t>
            </w:r>
          </w:p>
        </w:tc>
        <w:tc>
          <w:tcPr>
            <w:tcW w:w="3384" w:type="dxa"/>
          </w:tcPr>
          <w:p w:rsidR="00B97FD2" w:rsidRPr="001C5833" w:rsidRDefault="009143DE" w:rsidP="001C5833">
            <w:pPr>
              <w:jc w:val="center"/>
              <w:rPr>
                <w:rFonts w:cs="Arial"/>
              </w:rPr>
            </w:pPr>
            <w:r>
              <w:rPr>
                <w:rFonts w:cs="Arial"/>
              </w:rPr>
              <w:t>10.29</w:t>
            </w:r>
            <w:r w:rsidR="00B97FD2" w:rsidRPr="001C5833">
              <w:rPr>
                <w:rFonts w:cs="Arial"/>
              </w:rPr>
              <w:t>%</w:t>
            </w:r>
          </w:p>
        </w:tc>
      </w:tr>
      <w:tr w:rsidR="00B97FD2" w:rsidRPr="001C5833" w:rsidTr="006D4CEB">
        <w:tc>
          <w:tcPr>
            <w:tcW w:w="3384" w:type="dxa"/>
          </w:tcPr>
          <w:p w:rsidR="00B97FD2" w:rsidRPr="001C5833" w:rsidRDefault="00A8338F" w:rsidP="001C5833">
            <w:pPr>
              <w:rPr>
                <w:rFonts w:cs="Arial"/>
              </w:rPr>
            </w:pPr>
            <w:r w:rsidRPr="00A8338F">
              <w:rPr>
                <w:rFonts w:cs="Arial"/>
              </w:rPr>
              <w:t>Rural Resources</w:t>
            </w:r>
          </w:p>
        </w:tc>
        <w:tc>
          <w:tcPr>
            <w:tcW w:w="3384" w:type="dxa"/>
          </w:tcPr>
          <w:p w:rsidR="00B97FD2" w:rsidRPr="001C5833" w:rsidRDefault="009143DE" w:rsidP="001C5833">
            <w:pPr>
              <w:jc w:val="center"/>
              <w:rPr>
                <w:rFonts w:cs="Arial"/>
              </w:rPr>
            </w:pPr>
            <w:r>
              <w:rPr>
                <w:rFonts w:cs="Arial"/>
              </w:rPr>
              <w:t>81.01</w:t>
            </w:r>
            <w:r w:rsidR="00B97FD2" w:rsidRPr="001C5833">
              <w:rPr>
                <w:rFonts w:cs="Arial"/>
              </w:rPr>
              <w:t>%</w:t>
            </w:r>
          </w:p>
        </w:tc>
        <w:tc>
          <w:tcPr>
            <w:tcW w:w="3384" w:type="dxa"/>
          </w:tcPr>
          <w:p w:rsidR="00B97FD2" w:rsidRPr="001C5833" w:rsidRDefault="009143DE" w:rsidP="001C5833">
            <w:pPr>
              <w:jc w:val="center"/>
              <w:rPr>
                <w:rFonts w:cs="Arial"/>
              </w:rPr>
            </w:pPr>
            <w:r>
              <w:rPr>
                <w:rFonts w:cs="Arial"/>
              </w:rPr>
              <w:t>18.99</w:t>
            </w:r>
            <w:r w:rsidR="00B97FD2" w:rsidRPr="001C5833">
              <w:rPr>
                <w:rFonts w:cs="Arial"/>
              </w:rPr>
              <w:t>%</w:t>
            </w:r>
          </w:p>
        </w:tc>
      </w:tr>
      <w:tr w:rsidR="00B97FD2" w:rsidRPr="001C5833" w:rsidTr="006D4CEB">
        <w:tc>
          <w:tcPr>
            <w:tcW w:w="3384" w:type="dxa"/>
          </w:tcPr>
          <w:p w:rsidR="00B97FD2" w:rsidRPr="001C5833" w:rsidRDefault="00A8338F" w:rsidP="001C5833">
            <w:pPr>
              <w:rPr>
                <w:rFonts w:cs="Arial"/>
              </w:rPr>
            </w:pPr>
            <w:r w:rsidRPr="00A8338F">
              <w:rPr>
                <w:rFonts w:cs="Arial"/>
              </w:rPr>
              <w:t>SNAP</w:t>
            </w:r>
          </w:p>
        </w:tc>
        <w:tc>
          <w:tcPr>
            <w:tcW w:w="3384" w:type="dxa"/>
          </w:tcPr>
          <w:p w:rsidR="00B97FD2" w:rsidRPr="001C5833" w:rsidRDefault="009143DE" w:rsidP="001C5833">
            <w:pPr>
              <w:jc w:val="center"/>
              <w:rPr>
                <w:rFonts w:cs="Arial"/>
              </w:rPr>
            </w:pPr>
            <w:r>
              <w:rPr>
                <w:rFonts w:cs="Arial"/>
              </w:rPr>
              <w:t>52.40</w:t>
            </w:r>
            <w:r w:rsidR="00B97FD2" w:rsidRPr="001C5833">
              <w:rPr>
                <w:rFonts w:cs="Arial"/>
              </w:rPr>
              <w:t>%</w:t>
            </w:r>
          </w:p>
        </w:tc>
        <w:tc>
          <w:tcPr>
            <w:tcW w:w="3384" w:type="dxa"/>
          </w:tcPr>
          <w:p w:rsidR="00B97FD2" w:rsidRPr="001C5833" w:rsidRDefault="009143DE" w:rsidP="001C5833">
            <w:pPr>
              <w:jc w:val="center"/>
              <w:rPr>
                <w:rFonts w:cs="Arial"/>
              </w:rPr>
            </w:pPr>
            <w:r>
              <w:rPr>
                <w:rFonts w:cs="Arial"/>
              </w:rPr>
              <w:t>47.60</w:t>
            </w:r>
            <w:r w:rsidR="00B97FD2" w:rsidRPr="001C5833">
              <w:rPr>
                <w:rFonts w:cs="Arial"/>
              </w:rPr>
              <w:t>%</w:t>
            </w:r>
          </w:p>
        </w:tc>
      </w:tr>
      <w:tr w:rsidR="00B97FD2" w:rsidRPr="001C5833" w:rsidTr="006D4CEB">
        <w:tc>
          <w:tcPr>
            <w:tcW w:w="3384" w:type="dxa"/>
          </w:tcPr>
          <w:p w:rsidR="00B97FD2" w:rsidRPr="001C5833" w:rsidRDefault="00A8338F" w:rsidP="001C5833">
            <w:pPr>
              <w:rPr>
                <w:rFonts w:cs="Arial"/>
              </w:rPr>
            </w:pPr>
            <w:r w:rsidRPr="00A8338F">
              <w:rPr>
                <w:rFonts w:cs="Arial"/>
              </w:rPr>
              <w:t>Community Action Center Whitman</w:t>
            </w:r>
          </w:p>
        </w:tc>
        <w:tc>
          <w:tcPr>
            <w:tcW w:w="3384" w:type="dxa"/>
          </w:tcPr>
          <w:p w:rsidR="00B97FD2" w:rsidRPr="001C5833" w:rsidRDefault="00A8338F" w:rsidP="009143DE">
            <w:pPr>
              <w:jc w:val="center"/>
              <w:rPr>
                <w:rFonts w:cs="Arial"/>
              </w:rPr>
            </w:pPr>
            <w:r w:rsidRPr="00A8338F">
              <w:rPr>
                <w:rFonts w:cs="Arial"/>
              </w:rPr>
              <w:t>70.</w:t>
            </w:r>
            <w:r w:rsidR="009143DE">
              <w:rPr>
                <w:rFonts w:cs="Arial"/>
              </w:rPr>
              <w:t>17</w:t>
            </w:r>
            <w:r w:rsidR="00B97FD2" w:rsidRPr="001C5833">
              <w:rPr>
                <w:rFonts w:cs="Arial"/>
              </w:rPr>
              <w:t>%</w:t>
            </w:r>
          </w:p>
        </w:tc>
        <w:tc>
          <w:tcPr>
            <w:tcW w:w="3384" w:type="dxa"/>
          </w:tcPr>
          <w:p w:rsidR="00B97FD2" w:rsidRPr="001C5833" w:rsidRDefault="00B97FD2" w:rsidP="009143DE">
            <w:pPr>
              <w:jc w:val="center"/>
              <w:rPr>
                <w:rFonts w:cs="Arial"/>
              </w:rPr>
            </w:pPr>
            <w:r w:rsidRPr="001C5833">
              <w:rPr>
                <w:rFonts w:cs="Arial"/>
              </w:rPr>
              <w:t>29.</w:t>
            </w:r>
            <w:r w:rsidR="009143DE">
              <w:rPr>
                <w:rFonts w:cs="Arial"/>
              </w:rPr>
              <w:t>83</w:t>
            </w:r>
            <w:r w:rsidRPr="001C5833">
              <w:rPr>
                <w:rFonts w:cs="Arial"/>
              </w:rPr>
              <w:t>%</w:t>
            </w:r>
          </w:p>
        </w:tc>
      </w:tr>
      <w:tr w:rsidR="00B97FD2" w:rsidRPr="001C5833" w:rsidTr="006D4CEB">
        <w:tc>
          <w:tcPr>
            <w:tcW w:w="3384" w:type="dxa"/>
          </w:tcPr>
          <w:p w:rsidR="00B97FD2" w:rsidRPr="001C5833" w:rsidRDefault="00A8338F" w:rsidP="001C5833">
            <w:pPr>
              <w:rPr>
                <w:rFonts w:cs="Arial"/>
                <w:b/>
              </w:rPr>
            </w:pPr>
            <w:r w:rsidRPr="00A8338F">
              <w:rPr>
                <w:rFonts w:cs="Arial"/>
                <w:b/>
              </w:rPr>
              <w:t>Total</w:t>
            </w:r>
          </w:p>
        </w:tc>
        <w:tc>
          <w:tcPr>
            <w:tcW w:w="3384" w:type="dxa"/>
          </w:tcPr>
          <w:p w:rsidR="00B97FD2" w:rsidRPr="001C5833" w:rsidRDefault="00A8338F" w:rsidP="009143DE">
            <w:pPr>
              <w:jc w:val="center"/>
              <w:rPr>
                <w:rFonts w:cs="Arial"/>
              </w:rPr>
            </w:pPr>
            <w:r w:rsidRPr="00A8338F">
              <w:rPr>
                <w:rFonts w:cs="Arial"/>
              </w:rPr>
              <w:t>57.</w:t>
            </w:r>
            <w:r w:rsidR="009143DE">
              <w:rPr>
                <w:rFonts w:cs="Arial"/>
              </w:rPr>
              <w:t>53</w:t>
            </w:r>
            <w:r w:rsidR="00B97FD2" w:rsidRPr="001C5833">
              <w:rPr>
                <w:rFonts w:cs="Arial"/>
              </w:rPr>
              <w:t>%</w:t>
            </w:r>
          </w:p>
        </w:tc>
        <w:tc>
          <w:tcPr>
            <w:tcW w:w="3384" w:type="dxa"/>
          </w:tcPr>
          <w:p w:rsidR="00B97FD2" w:rsidRPr="001C5833" w:rsidRDefault="00B97FD2" w:rsidP="009143DE">
            <w:pPr>
              <w:jc w:val="center"/>
              <w:rPr>
                <w:rFonts w:cs="Arial"/>
              </w:rPr>
            </w:pPr>
            <w:r w:rsidRPr="001C5833">
              <w:rPr>
                <w:rFonts w:cs="Arial"/>
              </w:rPr>
              <w:t>42.</w:t>
            </w:r>
            <w:r w:rsidR="009143DE">
              <w:rPr>
                <w:rFonts w:cs="Arial"/>
              </w:rPr>
              <w:t>47</w:t>
            </w:r>
            <w:r w:rsidRPr="001C5833">
              <w:rPr>
                <w:rFonts w:cs="Arial"/>
              </w:rPr>
              <w:t>%</w:t>
            </w:r>
          </w:p>
        </w:tc>
      </w:tr>
    </w:tbl>
    <w:p w:rsidR="00B97FD2" w:rsidRPr="001C5833" w:rsidRDefault="00B97FD2" w:rsidP="00B97FD2">
      <w:pPr>
        <w:rPr>
          <w:rFonts w:cs="Arial"/>
        </w:rPr>
      </w:pPr>
    </w:p>
    <w:p w:rsidR="00B97FD2" w:rsidRPr="001C5833" w:rsidRDefault="00A8338F" w:rsidP="00B97FD2">
      <w:pPr>
        <w:spacing w:line="480" w:lineRule="auto"/>
        <w:jc w:val="both"/>
        <w:rPr>
          <w:rFonts w:cs="Arial"/>
        </w:rPr>
      </w:pPr>
      <w:bookmarkStart w:id="11" w:name="_Toc375555229"/>
      <w:r w:rsidRPr="008A0428">
        <w:rPr>
          <w:rStyle w:val="Heading2Char"/>
          <w:rFonts w:cs="Arial"/>
          <w:b w:val="0"/>
        </w:rPr>
        <w:t xml:space="preserve">Program </w:t>
      </w:r>
      <w:r w:rsidR="006D4CEB" w:rsidRPr="008A0428">
        <w:rPr>
          <w:rStyle w:val="Heading2Char"/>
          <w:rFonts w:cs="Arial"/>
          <w:b w:val="0"/>
        </w:rPr>
        <w:t>Funding Distribution</w:t>
      </w:r>
      <w:bookmarkEnd w:id="11"/>
      <w:r w:rsidR="00B97FD2" w:rsidRPr="001C5833">
        <w:rPr>
          <w:rFonts w:cs="Arial"/>
        </w:rPr>
        <w:t xml:space="preserve"> - </w:t>
      </w:r>
      <w:r w:rsidRPr="00A8338F">
        <w:rPr>
          <w:rFonts w:cs="Arial"/>
        </w:rPr>
        <w:t>The LIRAP program year was first established by the effective date of the Commission approved tariff on May 2, 2001. For the first nine years, the program year was May 1, through April 30. The LIHEAP program year is October 1</w:t>
      </w:r>
      <w:r w:rsidRPr="00A8338F">
        <w:rPr>
          <w:rFonts w:cs="Arial"/>
          <w:vertAlign w:val="superscript"/>
        </w:rPr>
        <w:t>st</w:t>
      </w:r>
      <w:r w:rsidRPr="00A8338F">
        <w:rPr>
          <w:rFonts w:cs="Arial"/>
        </w:rPr>
        <w:t xml:space="preserve"> through September 30</w:t>
      </w:r>
      <w:r w:rsidRPr="00A8338F">
        <w:rPr>
          <w:rFonts w:cs="Arial"/>
          <w:vertAlign w:val="superscript"/>
        </w:rPr>
        <w:t>th</w:t>
      </w:r>
      <w:r w:rsidRPr="00A8338F">
        <w:rPr>
          <w:rFonts w:cs="Arial"/>
        </w:rPr>
        <w:t xml:space="preserve"> and is considered the norm for the official heating season timeframe and for reporting data such as the number of households helped, amount of funding available for the year. The Company has aligned its LIRAP program year with the LIHEAP program year. With this change there is never a break in the distribution of awarding grants since it is essentially a “year-round” program. </w:t>
      </w:r>
      <w:r w:rsidR="00FB2DB9">
        <w:rPr>
          <w:rFonts w:cs="Arial"/>
        </w:rPr>
        <w:t xml:space="preserve">Additionally, agencies are allocated a direct service funding amount and are paid </w:t>
      </w:r>
      <w:r w:rsidR="00FB2DB9">
        <w:rPr>
          <w:rFonts w:cs="Arial"/>
        </w:rPr>
        <w:lastRenderedPageBreak/>
        <w:t>administration/program deliver and conservation education staff and labor each month of the year, and those amounts are based on the previous month’s revenues</w:t>
      </w:r>
      <w:r w:rsidR="001A4794">
        <w:rPr>
          <w:rFonts w:cs="Arial"/>
        </w:rPr>
        <w:t>.</w:t>
      </w:r>
      <w:r w:rsidR="00FB2DB9">
        <w:rPr>
          <w:rFonts w:cs="Arial"/>
        </w:rPr>
        <w:t xml:space="preserve"> </w:t>
      </w:r>
    </w:p>
    <w:p w:rsidR="00B97FD2" w:rsidRDefault="00A8338F" w:rsidP="00B97FD2">
      <w:pPr>
        <w:pStyle w:val="BodyText"/>
        <w:spacing w:line="480" w:lineRule="auto"/>
        <w:ind w:firstLine="720"/>
        <w:jc w:val="both"/>
        <w:rPr>
          <w:rFonts w:ascii="Arial" w:hAnsi="Arial" w:cs="Arial"/>
          <w:szCs w:val="24"/>
        </w:rPr>
      </w:pPr>
      <w:r w:rsidRPr="00A8338F">
        <w:rPr>
          <w:rFonts w:ascii="Arial" w:hAnsi="Arial" w:cs="Arial"/>
          <w:szCs w:val="24"/>
        </w:rPr>
        <w:t>One of the benefits of having LIRAP funds at the beginning of the heating season enables the agencies to start providing heating assistance when the heating season begins and without confirmation of their LIHEAP funding.</w:t>
      </w:r>
    </w:p>
    <w:p w:rsidR="009E6458" w:rsidRDefault="001A4794" w:rsidP="00B97FD2">
      <w:pPr>
        <w:pStyle w:val="BodyText"/>
        <w:spacing w:line="480" w:lineRule="auto"/>
        <w:ind w:firstLine="720"/>
        <w:jc w:val="both"/>
        <w:rPr>
          <w:rFonts w:ascii="Arial" w:hAnsi="Arial" w:cs="Arial"/>
          <w:szCs w:val="24"/>
        </w:rPr>
      </w:pPr>
      <w:r>
        <w:rPr>
          <w:rFonts w:ascii="Arial" w:hAnsi="Arial" w:cs="Arial"/>
          <w:szCs w:val="24"/>
        </w:rPr>
        <w:t xml:space="preserve">Although the starting funds provide for an earlier heating season start date, it is important to note, and an area of concern for the Company, that </w:t>
      </w:r>
      <w:r w:rsidR="002F56EC">
        <w:rPr>
          <w:rFonts w:ascii="Arial" w:hAnsi="Arial" w:cs="Arial"/>
          <w:szCs w:val="24"/>
        </w:rPr>
        <w:t>Avista customers</w:t>
      </w:r>
      <w:r w:rsidR="009E6458">
        <w:rPr>
          <w:rFonts w:ascii="Arial" w:hAnsi="Arial" w:cs="Arial"/>
          <w:szCs w:val="24"/>
        </w:rPr>
        <w:t xml:space="preserve"> </w:t>
      </w:r>
      <w:r>
        <w:rPr>
          <w:rFonts w:ascii="Arial" w:hAnsi="Arial" w:cs="Arial"/>
          <w:szCs w:val="24"/>
        </w:rPr>
        <w:t xml:space="preserve">receive </w:t>
      </w:r>
      <w:r w:rsidR="009E6458">
        <w:rPr>
          <w:rFonts w:ascii="Arial" w:hAnsi="Arial" w:cs="Arial"/>
          <w:szCs w:val="24"/>
        </w:rPr>
        <w:t>more LIRAP assistance than LIHEAP</w:t>
      </w:r>
      <w:r>
        <w:rPr>
          <w:rFonts w:ascii="Arial" w:hAnsi="Arial" w:cs="Arial"/>
          <w:szCs w:val="24"/>
        </w:rPr>
        <w:t xml:space="preserve"> assistance</w:t>
      </w:r>
      <w:r w:rsidR="009E6458">
        <w:rPr>
          <w:rFonts w:ascii="Arial" w:hAnsi="Arial" w:cs="Arial"/>
          <w:szCs w:val="24"/>
        </w:rPr>
        <w:t xml:space="preserve">. </w:t>
      </w:r>
      <w:r>
        <w:rPr>
          <w:rFonts w:ascii="Arial" w:hAnsi="Arial" w:cs="Arial"/>
          <w:szCs w:val="24"/>
        </w:rPr>
        <w:t>Since the programs intent has been to compliment, or extend the LIHEAP program, t</w:t>
      </w:r>
      <w:r w:rsidR="009E6458">
        <w:rPr>
          <w:rFonts w:ascii="Arial" w:hAnsi="Arial" w:cs="Arial"/>
          <w:szCs w:val="24"/>
        </w:rPr>
        <w:t xml:space="preserve">he chart below </w:t>
      </w:r>
      <w:r>
        <w:rPr>
          <w:rFonts w:ascii="Arial" w:hAnsi="Arial" w:cs="Arial"/>
          <w:szCs w:val="24"/>
        </w:rPr>
        <w:t xml:space="preserve">clearly </w:t>
      </w:r>
      <w:r w:rsidR="009E6458">
        <w:rPr>
          <w:rFonts w:ascii="Arial" w:hAnsi="Arial" w:cs="Arial"/>
          <w:szCs w:val="24"/>
        </w:rPr>
        <w:t xml:space="preserve">shows </w:t>
      </w:r>
      <w:r>
        <w:rPr>
          <w:rFonts w:ascii="Arial" w:hAnsi="Arial" w:cs="Arial"/>
          <w:szCs w:val="24"/>
        </w:rPr>
        <w:t xml:space="preserve">that </w:t>
      </w:r>
      <w:r w:rsidR="009E6458">
        <w:rPr>
          <w:rFonts w:ascii="Arial" w:hAnsi="Arial" w:cs="Arial"/>
          <w:szCs w:val="24"/>
        </w:rPr>
        <w:t xml:space="preserve">the number of </w:t>
      </w:r>
      <w:r>
        <w:rPr>
          <w:rFonts w:ascii="Arial" w:hAnsi="Arial" w:cs="Arial"/>
          <w:szCs w:val="24"/>
        </w:rPr>
        <w:t xml:space="preserve">LIRAP </w:t>
      </w:r>
      <w:r w:rsidR="009E6458">
        <w:rPr>
          <w:rFonts w:ascii="Arial" w:hAnsi="Arial" w:cs="Arial"/>
          <w:szCs w:val="24"/>
        </w:rPr>
        <w:t>grants awarded to Avista customers</w:t>
      </w:r>
      <w:r>
        <w:rPr>
          <w:rFonts w:ascii="Arial" w:hAnsi="Arial" w:cs="Arial"/>
          <w:szCs w:val="24"/>
        </w:rPr>
        <w:t>,</w:t>
      </w:r>
      <w:r w:rsidR="009E6458">
        <w:rPr>
          <w:rFonts w:ascii="Arial" w:hAnsi="Arial" w:cs="Arial"/>
          <w:szCs w:val="24"/>
        </w:rPr>
        <w:t xml:space="preserve"> and the monetary amount associated with those awards</w:t>
      </w:r>
      <w:r>
        <w:rPr>
          <w:rFonts w:ascii="Arial" w:hAnsi="Arial" w:cs="Arial"/>
          <w:szCs w:val="24"/>
        </w:rPr>
        <w:t>,</w:t>
      </w:r>
      <w:r w:rsidR="002F56EC">
        <w:rPr>
          <w:rFonts w:ascii="Arial" w:hAnsi="Arial" w:cs="Arial"/>
          <w:szCs w:val="24"/>
        </w:rPr>
        <w:t xml:space="preserve"> </w:t>
      </w:r>
      <w:r>
        <w:rPr>
          <w:rFonts w:ascii="Arial" w:hAnsi="Arial" w:cs="Arial"/>
          <w:szCs w:val="24"/>
        </w:rPr>
        <w:t xml:space="preserve">exceeds that of LIHEAP for the past couple of heating seasons: </w:t>
      </w:r>
    </w:p>
    <w:p w:rsidR="009D6EDB" w:rsidRPr="009D6EDB" w:rsidRDefault="009D6EDB" w:rsidP="009D6EDB">
      <w:pPr>
        <w:pStyle w:val="Heading2"/>
        <w:rPr>
          <w:rFonts w:cs="Arial"/>
          <w:u w:val="single"/>
        </w:rPr>
      </w:pPr>
      <w:bookmarkStart w:id="12" w:name="_Toc375555230"/>
      <w:r w:rsidRPr="009D6EDB">
        <w:rPr>
          <w:rFonts w:cs="Arial"/>
          <w:u w:val="single"/>
        </w:rPr>
        <w:t>Table 7 – LIHEAP and LIRAP Grant</w:t>
      </w:r>
      <w:r>
        <w:rPr>
          <w:rFonts w:cs="Arial"/>
          <w:u w:val="single"/>
        </w:rPr>
        <w:t xml:space="preserve"> Distribution</w:t>
      </w:r>
      <w:bookmarkEnd w:id="12"/>
    </w:p>
    <w:p w:rsidR="009D6EDB" w:rsidRPr="009D6EDB" w:rsidRDefault="009D6EDB" w:rsidP="00B97FD2">
      <w:pPr>
        <w:pStyle w:val="BodyText"/>
        <w:spacing w:line="480" w:lineRule="auto"/>
        <w:ind w:firstLine="720"/>
        <w:jc w:val="both"/>
        <w:rPr>
          <w:rFonts w:ascii="Arial" w:hAnsi="Arial" w:cs="Arial"/>
          <w:szCs w:val="24"/>
        </w:rPr>
      </w:pPr>
    </w:p>
    <w:tbl>
      <w:tblPr>
        <w:tblStyle w:val="TableGrid"/>
        <w:tblW w:w="0" w:type="auto"/>
        <w:tblLook w:val="04A0"/>
      </w:tblPr>
      <w:tblGrid>
        <w:gridCol w:w="1852"/>
        <w:gridCol w:w="2205"/>
        <w:gridCol w:w="1910"/>
        <w:gridCol w:w="1709"/>
        <w:gridCol w:w="1900"/>
      </w:tblGrid>
      <w:tr w:rsidR="00F37718" w:rsidTr="00F37718">
        <w:trPr>
          <w:trHeight w:val="278"/>
        </w:trPr>
        <w:tc>
          <w:tcPr>
            <w:tcW w:w="1852"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Grant Type</w:t>
            </w:r>
          </w:p>
        </w:tc>
        <w:tc>
          <w:tcPr>
            <w:tcW w:w="4115" w:type="dxa"/>
            <w:gridSpan w:val="2"/>
          </w:tcPr>
          <w:p w:rsidR="00F37718" w:rsidRDefault="00F37718" w:rsidP="002F56EC">
            <w:pPr>
              <w:pStyle w:val="BodyText"/>
              <w:spacing w:line="480" w:lineRule="auto"/>
              <w:jc w:val="center"/>
              <w:rPr>
                <w:rFonts w:ascii="Arial" w:hAnsi="Arial" w:cs="Arial"/>
                <w:szCs w:val="24"/>
              </w:rPr>
            </w:pPr>
            <w:r>
              <w:rPr>
                <w:rFonts w:ascii="Arial" w:hAnsi="Arial" w:cs="Arial"/>
                <w:szCs w:val="24"/>
              </w:rPr>
              <w:t>2011/2012</w:t>
            </w:r>
          </w:p>
        </w:tc>
        <w:tc>
          <w:tcPr>
            <w:tcW w:w="3609" w:type="dxa"/>
            <w:gridSpan w:val="2"/>
          </w:tcPr>
          <w:p w:rsidR="00F37718" w:rsidRDefault="00F37718" w:rsidP="002F56EC">
            <w:pPr>
              <w:pStyle w:val="BodyText"/>
              <w:spacing w:line="480" w:lineRule="auto"/>
              <w:jc w:val="center"/>
              <w:rPr>
                <w:rFonts w:ascii="Arial" w:hAnsi="Arial" w:cs="Arial"/>
                <w:szCs w:val="24"/>
              </w:rPr>
            </w:pPr>
            <w:r>
              <w:rPr>
                <w:rFonts w:ascii="Arial" w:hAnsi="Arial" w:cs="Arial"/>
                <w:szCs w:val="24"/>
              </w:rPr>
              <w:t>2012/2013</w:t>
            </w:r>
          </w:p>
        </w:tc>
      </w:tr>
      <w:tr w:rsidR="00B75C96" w:rsidTr="00F37718">
        <w:tc>
          <w:tcPr>
            <w:tcW w:w="1852" w:type="dxa"/>
          </w:tcPr>
          <w:p w:rsidR="00B75C96" w:rsidRDefault="00B75C96" w:rsidP="00B97FD2">
            <w:pPr>
              <w:pStyle w:val="BodyText"/>
              <w:spacing w:line="480" w:lineRule="auto"/>
              <w:jc w:val="both"/>
              <w:rPr>
                <w:rFonts w:ascii="Arial" w:hAnsi="Arial" w:cs="Arial"/>
                <w:szCs w:val="24"/>
              </w:rPr>
            </w:pPr>
          </w:p>
        </w:tc>
        <w:tc>
          <w:tcPr>
            <w:tcW w:w="2205"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 of Grants</w:t>
            </w:r>
          </w:p>
        </w:tc>
        <w:tc>
          <w:tcPr>
            <w:tcW w:w="1910"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Amount</w:t>
            </w:r>
          </w:p>
        </w:tc>
        <w:tc>
          <w:tcPr>
            <w:tcW w:w="1709"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 of Grants</w:t>
            </w:r>
          </w:p>
        </w:tc>
        <w:tc>
          <w:tcPr>
            <w:tcW w:w="1900"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Amount</w:t>
            </w:r>
          </w:p>
        </w:tc>
      </w:tr>
      <w:tr w:rsidR="00B75C96" w:rsidTr="00F37718">
        <w:tc>
          <w:tcPr>
            <w:tcW w:w="1852" w:type="dxa"/>
          </w:tcPr>
          <w:p w:rsidR="00B75C96" w:rsidRDefault="00B75C96" w:rsidP="00B97FD2">
            <w:pPr>
              <w:pStyle w:val="BodyText"/>
              <w:spacing w:line="480" w:lineRule="auto"/>
              <w:jc w:val="both"/>
              <w:rPr>
                <w:rFonts w:ascii="Arial" w:hAnsi="Arial" w:cs="Arial"/>
                <w:szCs w:val="24"/>
              </w:rPr>
            </w:pPr>
            <w:r>
              <w:rPr>
                <w:rFonts w:ascii="Arial" w:hAnsi="Arial" w:cs="Arial"/>
                <w:szCs w:val="24"/>
              </w:rPr>
              <w:t>LIHEAP</w:t>
            </w:r>
          </w:p>
        </w:tc>
        <w:tc>
          <w:tcPr>
            <w:tcW w:w="2205" w:type="dxa"/>
          </w:tcPr>
          <w:p w:rsidR="00A8338F" w:rsidRDefault="00B75C96" w:rsidP="00A8338F">
            <w:pPr>
              <w:pStyle w:val="BodyText"/>
              <w:spacing w:line="480" w:lineRule="auto"/>
              <w:jc w:val="center"/>
              <w:rPr>
                <w:rFonts w:ascii="Arial" w:hAnsi="Arial" w:cs="Arial"/>
                <w:szCs w:val="24"/>
              </w:rPr>
            </w:pPr>
            <w:r>
              <w:rPr>
                <w:rFonts w:ascii="Arial" w:hAnsi="Arial" w:cs="Arial"/>
                <w:szCs w:val="24"/>
              </w:rPr>
              <w:t>8,909</w:t>
            </w:r>
          </w:p>
        </w:tc>
        <w:tc>
          <w:tcPr>
            <w:tcW w:w="1910" w:type="dxa"/>
          </w:tcPr>
          <w:p w:rsidR="00A8338F" w:rsidRDefault="001A4794" w:rsidP="00A8338F">
            <w:pPr>
              <w:pStyle w:val="BodyText"/>
              <w:spacing w:line="480" w:lineRule="auto"/>
              <w:jc w:val="center"/>
              <w:rPr>
                <w:rFonts w:ascii="Arial" w:hAnsi="Arial" w:cs="Arial"/>
                <w:szCs w:val="24"/>
              </w:rPr>
            </w:pPr>
            <w:r>
              <w:rPr>
                <w:rFonts w:ascii="Arial" w:hAnsi="Arial" w:cs="Arial"/>
                <w:szCs w:val="24"/>
              </w:rPr>
              <w:t>$</w:t>
            </w:r>
            <w:r w:rsidR="00F37718">
              <w:rPr>
                <w:rFonts w:ascii="Arial" w:hAnsi="Arial" w:cs="Arial"/>
                <w:szCs w:val="24"/>
              </w:rPr>
              <w:t>4,137,786</w:t>
            </w:r>
          </w:p>
        </w:tc>
        <w:tc>
          <w:tcPr>
            <w:tcW w:w="1709"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6,282</w:t>
            </w:r>
          </w:p>
        </w:tc>
        <w:tc>
          <w:tcPr>
            <w:tcW w:w="1900" w:type="dxa"/>
          </w:tcPr>
          <w:p w:rsidR="00A8338F" w:rsidRDefault="001A4794" w:rsidP="00A8338F">
            <w:pPr>
              <w:pStyle w:val="BodyText"/>
              <w:spacing w:line="480" w:lineRule="auto"/>
              <w:jc w:val="center"/>
              <w:rPr>
                <w:rFonts w:ascii="Arial" w:hAnsi="Arial" w:cs="Arial"/>
                <w:szCs w:val="24"/>
              </w:rPr>
            </w:pPr>
            <w:r>
              <w:rPr>
                <w:rFonts w:ascii="Arial" w:hAnsi="Arial" w:cs="Arial"/>
                <w:szCs w:val="24"/>
              </w:rPr>
              <w:t>$</w:t>
            </w:r>
            <w:r w:rsidR="002F56EC">
              <w:rPr>
                <w:rFonts w:ascii="Arial" w:hAnsi="Arial" w:cs="Arial"/>
                <w:szCs w:val="24"/>
              </w:rPr>
              <w:t>2,741,174</w:t>
            </w:r>
          </w:p>
        </w:tc>
      </w:tr>
      <w:tr w:rsidR="00B75C96" w:rsidTr="00F37718">
        <w:tc>
          <w:tcPr>
            <w:tcW w:w="1852" w:type="dxa"/>
          </w:tcPr>
          <w:p w:rsidR="00B75C96" w:rsidRDefault="002F56EC" w:rsidP="00B97FD2">
            <w:pPr>
              <w:pStyle w:val="BodyText"/>
              <w:spacing w:line="480" w:lineRule="auto"/>
              <w:jc w:val="both"/>
              <w:rPr>
                <w:rFonts w:ascii="Arial" w:hAnsi="Arial" w:cs="Arial"/>
                <w:szCs w:val="24"/>
              </w:rPr>
            </w:pPr>
            <w:r>
              <w:rPr>
                <w:rFonts w:ascii="Arial" w:hAnsi="Arial" w:cs="Arial"/>
                <w:szCs w:val="24"/>
              </w:rPr>
              <w:t>LIRAP</w:t>
            </w:r>
          </w:p>
        </w:tc>
        <w:tc>
          <w:tcPr>
            <w:tcW w:w="2205" w:type="dxa"/>
          </w:tcPr>
          <w:p w:rsidR="00A8338F" w:rsidRDefault="002F56EC" w:rsidP="00A8338F">
            <w:pPr>
              <w:pStyle w:val="BodyText"/>
              <w:spacing w:line="480" w:lineRule="auto"/>
              <w:jc w:val="center"/>
              <w:rPr>
                <w:rFonts w:ascii="Arial" w:hAnsi="Arial" w:cs="Arial"/>
                <w:szCs w:val="24"/>
              </w:rPr>
            </w:pPr>
            <w:r>
              <w:rPr>
                <w:rFonts w:ascii="Arial" w:hAnsi="Arial" w:cs="Arial"/>
                <w:szCs w:val="24"/>
              </w:rPr>
              <w:t>12,527</w:t>
            </w:r>
          </w:p>
        </w:tc>
        <w:tc>
          <w:tcPr>
            <w:tcW w:w="1910" w:type="dxa"/>
          </w:tcPr>
          <w:p w:rsidR="00A8338F" w:rsidRDefault="001A4794" w:rsidP="00A8338F">
            <w:pPr>
              <w:pStyle w:val="BodyText"/>
              <w:spacing w:line="480" w:lineRule="auto"/>
              <w:jc w:val="center"/>
              <w:rPr>
                <w:rFonts w:ascii="Arial" w:hAnsi="Arial" w:cs="Arial"/>
                <w:szCs w:val="24"/>
              </w:rPr>
            </w:pPr>
            <w:r>
              <w:rPr>
                <w:rFonts w:ascii="Arial" w:hAnsi="Arial" w:cs="Arial"/>
                <w:szCs w:val="24"/>
              </w:rPr>
              <w:t>$</w:t>
            </w:r>
            <w:r w:rsidR="00F37718">
              <w:rPr>
                <w:rFonts w:ascii="Arial" w:hAnsi="Arial" w:cs="Arial"/>
                <w:szCs w:val="24"/>
              </w:rPr>
              <w:t>4,454,708</w:t>
            </w:r>
          </w:p>
        </w:tc>
        <w:tc>
          <w:tcPr>
            <w:tcW w:w="1709" w:type="dxa"/>
          </w:tcPr>
          <w:p w:rsidR="00A8338F" w:rsidRDefault="00F37718" w:rsidP="00A8338F">
            <w:pPr>
              <w:pStyle w:val="BodyText"/>
              <w:spacing w:line="480" w:lineRule="auto"/>
              <w:jc w:val="center"/>
              <w:rPr>
                <w:rFonts w:ascii="Arial" w:hAnsi="Arial" w:cs="Arial"/>
                <w:szCs w:val="24"/>
              </w:rPr>
            </w:pPr>
            <w:r>
              <w:rPr>
                <w:rFonts w:ascii="Arial" w:hAnsi="Arial" w:cs="Arial"/>
                <w:szCs w:val="24"/>
              </w:rPr>
              <w:t>12,680</w:t>
            </w:r>
          </w:p>
        </w:tc>
        <w:tc>
          <w:tcPr>
            <w:tcW w:w="1900" w:type="dxa"/>
          </w:tcPr>
          <w:p w:rsidR="00A8338F" w:rsidRDefault="001A4794" w:rsidP="00A8338F">
            <w:pPr>
              <w:pStyle w:val="BodyText"/>
              <w:spacing w:line="480" w:lineRule="auto"/>
              <w:jc w:val="center"/>
              <w:rPr>
                <w:rFonts w:ascii="Arial" w:hAnsi="Arial" w:cs="Arial"/>
                <w:szCs w:val="24"/>
              </w:rPr>
            </w:pPr>
            <w:r>
              <w:rPr>
                <w:rFonts w:ascii="Arial" w:hAnsi="Arial" w:cs="Arial"/>
                <w:szCs w:val="24"/>
              </w:rPr>
              <w:t>$</w:t>
            </w:r>
            <w:r w:rsidR="00196CCA">
              <w:rPr>
                <w:rFonts w:ascii="Arial" w:hAnsi="Arial" w:cs="Arial"/>
                <w:szCs w:val="24"/>
              </w:rPr>
              <w:t>4,344,990</w:t>
            </w:r>
          </w:p>
        </w:tc>
      </w:tr>
    </w:tbl>
    <w:p w:rsidR="009E6458" w:rsidRPr="001C5833" w:rsidRDefault="009E6458" w:rsidP="00B97FD2">
      <w:pPr>
        <w:pStyle w:val="BodyText"/>
        <w:spacing w:line="480" w:lineRule="auto"/>
        <w:ind w:firstLine="720"/>
        <w:jc w:val="both"/>
        <w:rPr>
          <w:rFonts w:ascii="Arial" w:hAnsi="Arial" w:cs="Arial"/>
          <w:szCs w:val="24"/>
        </w:rPr>
      </w:pPr>
    </w:p>
    <w:p w:rsidR="00B97FD2" w:rsidRDefault="00A8338F" w:rsidP="00B97FD2">
      <w:pPr>
        <w:spacing w:line="480" w:lineRule="auto"/>
        <w:jc w:val="both"/>
        <w:rPr>
          <w:rFonts w:cs="Arial"/>
        </w:rPr>
      </w:pPr>
      <w:r w:rsidRPr="00A8338F">
        <w:rPr>
          <w:rFonts w:cs="Arial"/>
        </w:rPr>
        <w:tab/>
      </w:r>
    </w:p>
    <w:p w:rsidR="001A4794" w:rsidRDefault="001A4794" w:rsidP="00B97FD2">
      <w:pPr>
        <w:spacing w:line="480" w:lineRule="auto"/>
        <w:jc w:val="both"/>
        <w:rPr>
          <w:rFonts w:cs="Arial"/>
        </w:rPr>
      </w:pPr>
    </w:p>
    <w:p w:rsidR="001A4794" w:rsidRDefault="001A4794" w:rsidP="00A8338F"/>
    <w:p w:rsidR="001A4794" w:rsidRDefault="00B01F7E" w:rsidP="00A8338F">
      <w:bookmarkStart w:id="13" w:name="_Toc375555231"/>
      <w:r>
        <w:rPr>
          <w:rStyle w:val="Heading2Char"/>
          <w:rFonts w:cs="Arial"/>
          <w:u w:val="single"/>
        </w:rPr>
        <w:t xml:space="preserve">LIRAP </w:t>
      </w:r>
      <w:r w:rsidRPr="00A8338F">
        <w:rPr>
          <w:rStyle w:val="Heading2Char"/>
          <w:rFonts w:cs="Arial"/>
          <w:u w:val="single"/>
        </w:rPr>
        <w:t>Pro</w:t>
      </w:r>
      <w:r>
        <w:rPr>
          <w:rStyle w:val="Heading2Char"/>
          <w:rFonts w:cs="Arial"/>
          <w:u w:val="single"/>
        </w:rPr>
        <w:t>gram Distribution Update</w:t>
      </w:r>
      <w:bookmarkEnd w:id="13"/>
    </w:p>
    <w:p w:rsidR="001A4794" w:rsidRDefault="001A4794" w:rsidP="00A8338F"/>
    <w:p w:rsidR="00A8338F" w:rsidRDefault="004D3B8F" w:rsidP="00B01F7E">
      <w:pPr>
        <w:spacing w:line="480" w:lineRule="auto"/>
        <w:ind w:firstLine="720"/>
        <w:jc w:val="both"/>
      </w:pPr>
      <w:r>
        <w:lastRenderedPageBreak/>
        <w:t xml:space="preserve">The WA LIRAP </w:t>
      </w:r>
      <w:r w:rsidR="00970F2D">
        <w:t>allocation, based on meter counts in each agencies service area, was updated with</w:t>
      </w:r>
      <w:r w:rsidR="006717CE">
        <w:t xml:space="preserve"> the 2013/2014 program year as follows:</w:t>
      </w:r>
    </w:p>
    <w:p w:rsidR="009D6EDB" w:rsidRPr="001C5833" w:rsidRDefault="009D6EDB" w:rsidP="009D6EDB">
      <w:pPr>
        <w:pStyle w:val="Heading2"/>
        <w:rPr>
          <w:rFonts w:cs="Arial"/>
          <w:u w:val="single"/>
        </w:rPr>
      </w:pPr>
      <w:bookmarkStart w:id="14" w:name="_Toc375555232"/>
      <w:r>
        <w:rPr>
          <w:rFonts w:cs="Arial"/>
          <w:u w:val="single"/>
        </w:rPr>
        <w:t>Table 8</w:t>
      </w:r>
      <w:r w:rsidRPr="00A8338F">
        <w:rPr>
          <w:rFonts w:cs="Arial"/>
          <w:u w:val="single"/>
        </w:rPr>
        <w:t xml:space="preserve"> </w:t>
      </w:r>
      <w:r>
        <w:rPr>
          <w:rFonts w:cs="Arial"/>
          <w:u w:val="single"/>
        </w:rPr>
        <w:t>–</w:t>
      </w:r>
      <w:r w:rsidRPr="00A8338F">
        <w:rPr>
          <w:rFonts w:cs="Arial"/>
          <w:u w:val="single"/>
        </w:rPr>
        <w:t xml:space="preserve"> </w:t>
      </w:r>
      <w:r>
        <w:rPr>
          <w:rFonts w:cs="Arial"/>
          <w:u w:val="single"/>
        </w:rPr>
        <w:t>New Allocation Distribution</w:t>
      </w:r>
      <w:bookmarkEnd w:id="14"/>
    </w:p>
    <w:p w:rsidR="009D6EDB" w:rsidRDefault="009D6EDB" w:rsidP="00B01F7E">
      <w:pPr>
        <w:spacing w:line="480" w:lineRule="auto"/>
        <w:ind w:firstLine="720"/>
        <w:jc w:val="both"/>
      </w:pPr>
    </w:p>
    <w:p w:rsidR="00A8338F" w:rsidRDefault="00A8338F" w:rsidP="00A8338F"/>
    <w:tbl>
      <w:tblPr>
        <w:tblW w:w="5740" w:type="dxa"/>
        <w:tblInd w:w="96" w:type="dxa"/>
        <w:tblLook w:val="04A0"/>
      </w:tblPr>
      <w:tblGrid>
        <w:gridCol w:w="1219"/>
        <w:gridCol w:w="1451"/>
        <w:gridCol w:w="1451"/>
        <w:gridCol w:w="1280"/>
        <w:gridCol w:w="1280"/>
      </w:tblGrid>
      <w:tr w:rsidR="006717CE" w:rsidRPr="006717CE" w:rsidTr="006717CE">
        <w:trPr>
          <w:trHeight w:val="300"/>
        </w:trPr>
        <w:tc>
          <w:tcPr>
            <w:tcW w:w="1160" w:type="dxa"/>
            <w:tcBorders>
              <w:top w:val="nil"/>
              <w:left w:val="nil"/>
              <w:bottom w:val="nil"/>
              <w:right w:val="nil"/>
            </w:tcBorders>
            <w:shd w:val="clear" w:color="auto" w:fill="auto"/>
            <w:noWrap/>
            <w:vAlign w:val="bottom"/>
            <w:hideMark/>
          </w:tcPr>
          <w:p w:rsidR="006717CE" w:rsidRPr="006717CE" w:rsidRDefault="006717CE" w:rsidP="006717CE">
            <w:pPr>
              <w:rPr>
                <w:rFonts w:ascii="Calibri" w:eastAsia="Times New Roman" w:hAnsi="Calibri" w:cs="Times New Roman"/>
                <w:color w:val="000000"/>
                <w:sz w:val="22"/>
                <w:szCs w:val="22"/>
              </w:rPr>
            </w:pPr>
          </w:p>
        </w:tc>
        <w:tc>
          <w:tcPr>
            <w:tcW w:w="4580" w:type="dxa"/>
            <w:gridSpan w:val="4"/>
            <w:tcBorders>
              <w:top w:val="nil"/>
              <w:left w:val="single" w:sz="4" w:space="0" w:color="auto"/>
              <w:bottom w:val="nil"/>
              <w:right w:val="nil"/>
            </w:tcBorders>
            <w:shd w:val="clear" w:color="auto" w:fill="auto"/>
            <w:noWrap/>
            <w:vAlign w:val="bottom"/>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Distribution</w:t>
            </w:r>
          </w:p>
        </w:tc>
      </w:tr>
      <w:tr w:rsidR="006717CE" w:rsidRPr="006717CE" w:rsidTr="006717CE">
        <w:trPr>
          <w:trHeight w:val="975"/>
        </w:trPr>
        <w:tc>
          <w:tcPr>
            <w:tcW w:w="1160" w:type="dxa"/>
            <w:tcBorders>
              <w:top w:val="nil"/>
              <w:left w:val="nil"/>
              <w:bottom w:val="nil"/>
              <w:right w:val="nil"/>
            </w:tcBorders>
            <w:shd w:val="clear" w:color="auto" w:fill="auto"/>
            <w:noWrap/>
            <w:vAlign w:val="bottom"/>
            <w:hideMark/>
          </w:tcPr>
          <w:p w:rsidR="006717CE" w:rsidRPr="006717CE" w:rsidRDefault="006717CE" w:rsidP="006717CE">
            <w:pPr>
              <w:rPr>
                <w:rFonts w:ascii="Calibri" w:eastAsia="Times New Roman" w:hAnsi="Calibri" w:cs="Times New Roman"/>
                <w:color w:val="000000"/>
                <w:sz w:val="22"/>
                <w:szCs w:val="22"/>
              </w:rPr>
            </w:pPr>
          </w:p>
        </w:tc>
        <w:tc>
          <w:tcPr>
            <w:tcW w:w="2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Allocation Distribution</w:t>
            </w:r>
          </w:p>
        </w:tc>
        <w:tc>
          <w:tcPr>
            <w:tcW w:w="2120" w:type="dxa"/>
            <w:gridSpan w:val="2"/>
            <w:tcBorders>
              <w:top w:val="single" w:sz="4" w:space="0" w:color="auto"/>
              <w:left w:val="nil"/>
              <w:bottom w:val="single" w:sz="4" w:space="0" w:color="auto"/>
              <w:right w:val="single" w:sz="4" w:space="0" w:color="auto"/>
            </w:tcBorders>
            <w:shd w:val="clear" w:color="auto" w:fill="auto"/>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New Allocation Distribution based on meter count</w:t>
            </w:r>
          </w:p>
        </w:tc>
      </w:tr>
      <w:tr w:rsidR="006717CE" w:rsidRPr="006717CE" w:rsidTr="006717CE">
        <w:trPr>
          <w:trHeight w:val="106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7CE" w:rsidRPr="006717CE" w:rsidRDefault="006717CE" w:rsidP="006717CE">
            <w:pPr>
              <w:rPr>
                <w:rFonts w:ascii="Calibri" w:eastAsia="Times New Roman" w:hAnsi="Calibri" w:cs="Times New Roman"/>
                <w:color w:val="000000"/>
                <w:sz w:val="22"/>
                <w:szCs w:val="22"/>
              </w:rPr>
            </w:pPr>
            <w:r w:rsidRPr="006717CE">
              <w:rPr>
                <w:rFonts w:ascii="Calibri" w:eastAsia="Times New Roman" w:hAnsi="Calibri" w:cs="Times New Roman"/>
                <w:color w:val="000000"/>
                <w:sz w:val="22"/>
                <w:szCs w:val="22"/>
              </w:rPr>
              <w:t> </w:t>
            </w:r>
          </w:p>
        </w:tc>
        <w:tc>
          <w:tcPr>
            <w:tcW w:w="1240" w:type="dxa"/>
            <w:tcBorders>
              <w:top w:val="nil"/>
              <w:left w:val="nil"/>
              <w:bottom w:val="single" w:sz="4" w:space="0" w:color="auto"/>
              <w:right w:val="single" w:sz="4" w:space="0" w:color="auto"/>
            </w:tcBorders>
            <w:shd w:val="clear" w:color="auto" w:fill="auto"/>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Current Electric Distribution</w:t>
            </w:r>
          </w:p>
        </w:tc>
        <w:tc>
          <w:tcPr>
            <w:tcW w:w="1220" w:type="dxa"/>
            <w:tcBorders>
              <w:top w:val="nil"/>
              <w:left w:val="nil"/>
              <w:bottom w:val="single" w:sz="4" w:space="0" w:color="auto"/>
              <w:right w:val="single" w:sz="4" w:space="0" w:color="auto"/>
            </w:tcBorders>
            <w:shd w:val="clear" w:color="auto" w:fill="auto"/>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Current Gas Distribution</w:t>
            </w:r>
          </w:p>
        </w:tc>
        <w:tc>
          <w:tcPr>
            <w:tcW w:w="1060" w:type="dxa"/>
            <w:tcBorders>
              <w:top w:val="nil"/>
              <w:left w:val="nil"/>
              <w:bottom w:val="single" w:sz="4" w:space="0" w:color="auto"/>
              <w:right w:val="single" w:sz="4" w:space="0" w:color="auto"/>
            </w:tcBorders>
            <w:shd w:val="clear" w:color="auto" w:fill="auto"/>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Electric % New Allocation</w:t>
            </w:r>
          </w:p>
        </w:tc>
        <w:tc>
          <w:tcPr>
            <w:tcW w:w="1060" w:type="dxa"/>
            <w:tcBorders>
              <w:top w:val="nil"/>
              <w:left w:val="nil"/>
              <w:bottom w:val="single" w:sz="4" w:space="0" w:color="auto"/>
              <w:right w:val="single" w:sz="4" w:space="0" w:color="auto"/>
            </w:tcBorders>
            <w:shd w:val="clear" w:color="auto" w:fill="auto"/>
            <w:hideMark/>
          </w:tcPr>
          <w:p w:rsidR="006717CE" w:rsidRPr="006717CE" w:rsidRDefault="00A8338F" w:rsidP="006717CE">
            <w:pPr>
              <w:jc w:val="center"/>
              <w:rPr>
                <w:rFonts w:eastAsia="Times New Roman" w:cs="Arial"/>
                <w:b/>
                <w:bCs/>
                <w:color w:val="000000"/>
                <w:sz w:val="22"/>
                <w:szCs w:val="22"/>
              </w:rPr>
            </w:pPr>
            <w:r w:rsidRPr="00A8338F">
              <w:rPr>
                <w:rFonts w:eastAsia="Times New Roman" w:cs="Arial"/>
                <w:b/>
                <w:bCs/>
                <w:color w:val="000000"/>
                <w:sz w:val="22"/>
                <w:szCs w:val="22"/>
              </w:rPr>
              <w:t>Gas % New Allocation</w:t>
            </w:r>
          </w:p>
        </w:tc>
      </w:tr>
      <w:tr w:rsidR="006717CE" w:rsidRPr="006717CE" w:rsidTr="006717C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Asotin</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5.92%</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5.78%</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4.02%</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4.24%</w:t>
            </w:r>
          </w:p>
        </w:tc>
      </w:tr>
      <w:tr w:rsidR="006717CE" w:rsidRPr="006717CE" w:rsidTr="006717C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OIC</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3.71%</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0.99%</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2.82%</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0.71%</w:t>
            </w:r>
          </w:p>
        </w:tc>
      </w:tr>
      <w:tr w:rsidR="006717CE" w:rsidRPr="006717CE" w:rsidTr="006717CE">
        <w:trPr>
          <w:trHeight w:val="54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Rural Resource</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13.15%</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6.41%</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13.62%</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3.84%</w:t>
            </w:r>
          </w:p>
        </w:tc>
      </w:tr>
      <w:tr w:rsidR="006717CE" w:rsidRPr="006717CE" w:rsidTr="006717C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SNAP</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73.77%</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83.26%</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70.29%</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85.15%</w:t>
            </w:r>
          </w:p>
        </w:tc>
      </w:tr>
      <w:tr w:rsidR="006717CE" w:rsidRPr="006717CE" w:rsidTr="006717C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Whitman</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3.46%</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3.31%</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9.24%</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4.67%</w:t>
            </w:r>
          </w:p>
        </w:tc>
      </w:tr>
      <w:tr w:rsidR="006717CE" w:rsidRPr="006717CE" w:rsidTr="006717CE">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717CE" w:rsidRPr="006717CE" w:rsidRDefault="00A8338F" w:rsidP="006717CE">
            <w:pPr>
              <w:rPr>
                <w:rFonts w:eastAsia="Times New Roman" w:cs="Arial"/>
                <w:b/>
                <w:bCs/>
                <w:color w:val="000000"/>
                <w:sz w:val="22"/>
                <w:szCs w:val="22"/>
              </w:rPr>
            </w:pPr>
            <w:r w:rsidRPr="00A8338F">
              <w:rPr>
                <w:rFonts w:eastAsia="Times New Roman" w:cs="Arial"/>
                <w:b/>
                <w:bCs/>
                <w:color w:val="000000"/>
                <w:sz w:val="22"/>
                <w:szCs w:val="22"/>
              </w:rPr>
              <w:t>WGAP</w:t>
            </w:r>
          </w:p>
        </w:tc>
        <w:tc>
          <w:tcPr>
            <w:tcW w:w="124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0.00%</w:t>
            </w:r>
          </w:p>
        </w:tc>
        <w:tc>
          <w:tcPr>
            <w:tcW w:w="1220" w:type="dxa"/>
            <w:tcBorders>
              <w:top w:val="nil"/>
              <w:left w:val="nil"/>
              <w:bottom w:val="single" w:sz="4" w:space="0" w:color="auto"/>
              <w:right w:val="single" w:sz="4" w:space="0" w:color="auto"/>
            </w:tcBorders>
            <w:shd w:val="clear" w:color="000000" w:fill="EEECE1"/>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0.25%</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0.00%</w:t>
            </w:r>
          </w:p>
        </w:tc>
        <w:tc>
          <w:tcPr>
            <w:tcW w:w="1060" w:type="dxa"/>
            <w:tcBorders>
              <w:top w:val="nil"/>
              <w:left w:val="nil"/>
              <w:bottom w:val="single" w:sz="4" w:space="0" w:color="auto"/>
              <w:right w:val="single" w:sz="4" w:space="0" w:color="auto"/>
            </w:tcBorders>
            <w:shd w:val="clear" w:color="000000" w:fill="FFFF00"/>
            <w:noWrap/>
            <w:vAlign w:val="center"/>
            <w:hideMark/>
          </w:tcPr>
          <w:p w:rsidR="006717CE" w:rsidRPr="006717CE" w:rsidRDefault="00A8338F" w:rsidP="006717CE">
            <w:pPr>
              <w:jc w:val="center"/>
              <w:rPr>
                <w:rFonts w:eastAsia="Times New Roman" w:cs="Arial"/>
                <w:color w:val="000000"/>
                <w:sz w:val="22"/>
                <w:szCs w:val="22"/>
              </w:rPr>
            </w:pPr>
            <w:r w:rsidRPr="00A8338F">
              <w:rPr>
                <w:rFonts w:eastAsia="Times New Roman" w:cs="Arial"/>
                <w:color w:val="000000"/>
                <w:sz w:val="22"/>
                <w:szCs w:val="22"/>
              </w:rPr>
              <w:t>1.40%</w:t>
            </w:r>
          </w:p>
        </w:tc>
      </w:tr>
    </w:tbl>
    <w:p w:rsidR="00A8338F" w:rsidRDefault="00A8338F" w:rsidP="00A8338F"/>
    <w:p w:rsidR="00A8338F" w:rsidRPr="00A8338F" w:rsidRDefault="00A8338F" w:rsidP="00A8338F"/>
    <w:p w:rsidR="00B97FD2" w:rsidRPr="008A0428" w:rsidRDefault="00A8338F" w:rsidP="006717CE">
      <w:pPr>
        <w:pStyle w:val="Heading1"/>
        <w:rPr>
          <w:color w:val="1F497D" w:themeColor="text2"/>
          <w:sz w:val="36"/>
          <w:szCs w:val="36"/>
        </w:rPr>
      </w:pPr>
      <w:bookmarkStart w:id="15" w:name="_Toc375555233"/>
      <w:r w:rsidRPr="008A0428">
        <w:rPr>
          <w:color w:val="1F497D" w:themeColor="text2"/>
          <w:sz w:val="36"/>
          <w:szCs w:val="36"/>
        </w:rPr>
        <w:t>LIRAP Programs</w:t>
      </w:r>
      <w:bookmarkEnd w:id="15"/>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r w:rsidRPr="008A0428">
        <w:rPr>
          <w:color w:val="1F497D" w:themeColor="text2"/>
          <w:sz w:val="36"/>
          <w:szCs w:val="36"/>
        </w:rPr>
        <w:tab/>
      </w:r>
    </w:p>
    <w:p w:rsidR="00B97FD2" w:rsidRPr="001C5833" w:rsidRDefault="00B97FD2" w:rsidP="00B97FD2">
      <w:pPr>
        <w:rPr>
          <w:rFonts w:cs="Arial"/>
        </w:rPr>
      </w:pPr>
    </w:p>
    <w:p w:rsidR="00B97FD2" w:rsidRPr="001C5833" w:rsidRDefault="00B97FD2" w:rsidP="00B97FD2">
      <w:pPr>
        <w:spacing w:line="480" w:lineRule="auto"/>
        <w:jc w:val="both"/>
        <w:rPr>
          <w:rFonts w:cs="Arial"/>
        </w:rPr>
      </w:pPr>
      <w:r w:rsidRPr="001C5833">
        <w:rPr>
          <w:rFonts w:cs="Arial"/>
        </w:rPr>
        <w:tab/>
      </w:r>
      <w:r w:rsidR="00A8338F" w:rsidRPr="00A8338F">
        <w:rPr>
          <w:rFonts w:cs="Arial"/>
          <w:u w:val="single"/>
        </w:rPr>
        <w:t>LIRAP Heat</w:t>
      </w:r>
      <w:r w:rsidRPr="001C5833">
        <w:rPr>
          <w:rFonts w:cs="Arial"/>
        </w:rPr>
        <w:t xml:space="preserve">: For clients receiving “regular” energy assistance (i.e., LIRAP Heat), the eligibility determination is the same as the Federal LIHEAP program.  The amount of the assistance provided is based on household income, energy costs (all electric or natural gas costs, used for space heating or base load) and housing type (single family, multifamily, etc.) and then calculated using the Office of Community Development’s (OCD) mechanism.  The benefits of using this mechanism include leveraging </w:t>
      </w:r>
      <w:r w:rsidR="00EA4101">
        <w:rPr>
          <w:rFonts w:cs="Arial"/>
        </w:rPr>
        <w:t xml:space="preserve">established </w:t>
      </w:r>
      <w:r w:rsidRPr="001C5833">
        <w:rPr>
          <w:rFonts w:cs="Arial"/>
        </w:rPr>
        <w:t>systems and staff knowledge already in place at the agencies as well as using a system that indexes assistance to income and need.</w:t>
      </w:r>
    </w:p>
    <w:p w:rsidR="00B97FD2" w:rsidRPr="001C5833" w:rsidRDefault="00A8338F" w:rsidP="00B97FD2">
      <w:pPr>
        <w:spacing w:line="480" w:lineRule="auto"/>
        <w:ind w:firstLine="720"/>
        <w:jc w:val="both"/>
        <w:rPr>
          <w:rFonts w:cs="Arial"/>
        </w:rPr>
      </w:pPr>
      <w:r w:rsidRPr="00A8338F">
        <w:rPr>
          <w:rFonts w:cs="Arial"/>
          <w:u w:val="single"/>
        </w:rPr>
        <w:lastRenderedPageBreak/>
        <w:t>LIRAP Project Share (Emergency)</w:t>
      </w:r>
      <w:r w:rsidR="00B97FD2" w:rsidRPr="001C5833">
        <w:rPr>
          <w:rFonts w:cs="Arial"/>
        </w:rPr>
        <w:t xml:space="preserve">: For clients receiving “emergency” assistance (i.e., LIRAP Project Share) or small benefit amounts, the process is similar to that used for the donation-based Project Share program. The amount of emergency assistance is determined on a case-by-case basis not to exceed $300.  Emergency assistance qualification criteria include imminent danger of disconnection.  All energy costs resulting from electric or natural gas usage is eligible (including kWh and therm consumption, applicable taxes, and arrearages). </w:t>
      </w:r>
    </w:p>
    <w:p w:rsidR="00B97FD2" w:rsidRPr="001C5833" w:rsidRDefault="00A8338F" w:rsidP="00B97FD2">
      <w:pPr>
        <w:spacing w:line="480" w:lineRule="auto"/>
        <w:ind w:firstLine="720"/>
        <w:jc w:val="both"/>
        <w:rPr>
          <w:rFonts w:cs="Arial"/>
        </w:rPr>
      </w:pPr>
      <w:r w:rsidRPr="00A8338F">
        <w:rPr>
          <w:rFonts w:cs="Arial"/>
          <w:u w:val="single"/>
        </w:rPr>
        <w:t>LIRAP Senior Outreach</w:t>
      </w:r>
      <w:r w:rsidR="00B97FD2" w:rsidRPr="001C5833">
        <w:rPr>
          <w:rFonts w:cs="Arial"/>
        </w:rPr>
        <w:t xml:space="preserve">: The Senior Energy Outreach program guidelines are designed to help mitigate the impact of energy costs on vulnerable seniors living in their own homes, yet who are over income guidelines for energy assistance.  This program also includes conservation education workshops specifically designed for seniors.  </w:t>
      </w:r>
    </w:p>
    <w:p w:rsidR="00B97FD2" w:rsidRPr="001C5833" w:rsidRDefault="00B97FD2" w:rsidP="00B97FD2">
      <w:pPr>
        <w:spacing w:line="480" w:lineRule="auto"/>
        <w:ind w:firstLine="720"/>
        <w:jc w:val="both"/>
        <w:rPr>
          <w:rFonts w:cs="Arial"/>
        </w:rPr>
      </w:pPr>
      <w:r w:rsidRPr="001C5833">
        <w:rPr>
          <w:rFonts w:cs="Arial"/>
        </w:rPr>
        <w:t>CAA’s follow established protocols to qualify and distribute the assistance to eligible customers.  These guidelines are promulgated by the Washington State Office of Community Development and cover: 1) eligibility, 2) documentation and verification, 3) energy assistance services, and 4) allowable costs. The</w:t>
      </w:r>
      <w:r w:rsidR="00A8338F" w:rsidRPr="00A8338F">
        <w:rPr>
          <w:rFonts w:cs="Arial"/>
        </w:rPr>
        <w:t xml:space="preserve"> participating CAA’s follow these guidelines for the disbursement of energy assistance funds originating from Schedules 91 and 191.</w:t>
      </w:r>
    </w:p>
    <w:p w:rsidR="00B97FD2" w:rsidRDefault="00B97FD2" w:rsidP="00B97FD2">
      <w:pPr>
        <w:spacing w:line="480" w:lineRule="auto"/>
        <w:ind w:firstLine="720"/>
        <w:jc w:val="both"/>
        <w:rPr>
          <w:rFonts w:cs="Arial"/>
        </w:rPr>
      </w:pPr>
    </w:p>
    <w:p w:rsidR="00B01F7E" w:rsidRDefault="00B01F7E" w:rsidP="00B97FD2">
      <w:pPr>
        <w:spacing w:line="480" w:lineRule="auto"/>
        <w:ind w:firstLine="720"/>
        <w:jc w:val="both"/>
        <w:rPr>
          <w:rFonts w:cs="Arial"/>
        </w:rPr>
      </w:pPr>
    </w:p>
    <w:p w:rsidR="00B01F7E" w:rsidRPr="001C5833" w:rsidRDefault="00B01F7E" w:rsidP="009D6EDB">
      <w:pPr>
        <w:spacing w:line="480" w:lineRule="auto"/>
        <w:jc w:val="both"/>
        <w:rPr>
          <w:rFonts w:cs="Arial"/>
        </w:rPr>
      </w:pPr>
    </w:p>
    <w:p w:rsidR="00B01F7E" w:rsidRDefault="00A8338F" w:rsidP="00B01F7E">
      <w:pPr>
        <w:pStyle w:val="Heading1"/>
        <w:spacing w:before="0"/>
        <w:rPr>
          <w:rFonts w:cs="Arial"/>
          <w:u w:val="single"/>
        </w:rPr>
      </w:pPr>
      <w:bookmarkStart w:id="16" w:name="_Toc341960292"/>
      <w:bookmarkStart w:id="17" w:name="_Toc375555234"/>
      <w:r w:rsidRPr="00B01F7E">
        <w:rPr>
          <w:rFonts w:cs="Arial"/>
          <w:color w:val="1F497D" w:themeColor="text2"/>
          <w:sz w:val="36"/>
          <w:szCs w:val="36"/>
        </w:rPr>
        <w:lastRenderedPageBreak/>
        <w:t>Program Process</w:t>
      </w:r>
      <w:bookmarkEnd w:id="17"/>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p>
    <w:bookmarkEnd w:id="16"/>
    <w:p w:rsidR="00B97FD2" w:rsidRPr="001C5833" w:rsidRDefault="00B97FD2" w:rsidP="00B97FD2">
      <w:pPr>
        <w:pStyle w:val="BodyText2"/>
        <w:tabs>
          <w:tab w:val="clear" w:pos="720"/>
          <w:tab w:val="left" w:pos="90"/>
        </w:tabs>
        <w:jc w:val="both"/>
        <w:rPr>
          <w:rFonts w:cs="Arial"/>
          <w:szCs w:val="24"/>
        </w:rPr>
      </w:pPr>
    </w:p>
    <w:p w:rsidR="00B97FD2" w:rsidRPr="001C5833" w:rsidRDefault="00A8338F" w:rsidP="00B97FD2">
      <w:pPr>
        <w:pStyle w:val="BodyText2"/>
        <w:tabs>
          <w:tab w:val="clear" w:pos="720"/>
        </w:tabs>
        <w:spacing w:line="480" w:lineRule="auto"/>
        <w:jc w:val="both"/>
        <w:rPr>
          <w:rFonts w:cs="Arial"/>
          <w:color w:val="auto"/>
          <w:szCs w:val="24"/>
        </w:rPr>
      </w:pPr>
      <w:r w:rsidRPr="00A8338F">
        <w:rPr>
          <w:rFonts w:cs="Arial"/>
          <w:color w:val="auto"/>
          <w:szCs w:val="24"/>
        </w:rPr>
        <w:tab/>
      </w:r>
      <w:r w:rsidR="00B01F7E">
        <w:rPr>
          <w:rFonts w:cs="Arial"/>
          <w:color w:val="auto"/>
          <w:szCs w:val="24"/>
        </w:rPr>
        <w:t xml:space="preserve">Agency Meetings - </w:t>
      </w:r>
      <w:r w:rsidRPr="00A8338F">
        <w:rPr>
          <w:rFonts w:cs="Arial"/>
          <w:color w:val="auto"/>
          <w:szCs w:val="24"/>
        </w:rPr>
        <w:t xml:space="preserve">The Company </w:t>
      </w:r>
      <w:r w:rsidR="006D4CEB">
        <w:rPr>
          <w:rFonts w:cs="Arial"/>
          <w:color w:val="auto"/>
          <w:szCs w:val="24"/>
        </w:rPr>
        <w:t xml:space="preserve">met </w:t>
      </w:r>
      <w:r w:rsidR="0086512E">
        <w:rPr>
          <w:rFonts w:cs="Arial"/>
          <w:color w:val="auto"/>
          <w:szCs w:val="24"/>
        </w:rPr>
        <w:t xml:space="preserve">twice this year </w:t>
      </w:r>
      <w:r w:rsidRPr="00A8338F">
        <w:rPr>
          <w:rFonts w:cs="Arial"/>
          <w:color w:val="auto"/>
          <w:szCs w:val="24"/>
        </w:rPr>
        <w:t>with the LIRAP agencies</w:t>
      </w:r>
      <w:r w:rsidR="0086512E">
        <w:rPr>
          <w:rFonts w:cs="Arial"/>
          <w:color w:val="auto"/>
          <w:szCs w:val="24"/>
        </w:rPr>
        <w:t xml:space="preserve"> </w:t>
      </w:r>
      <w:r w:rsidR="00B01F7E">
        <w:rPr>
          <w:rFonts w:cs="Arial"/>
          <w:color w:val="auto"/>
          <w:szCs w:val="24"/>
        </w:rPr>
        <w:t>–</w:t>
      </w:r>
      <w:r w:rsidR="0086512E">
        <w:rPr>
          <w:rFonts w:cs="Arial"/>
          <w:color w:val="auto"/>
          <w:szCs w:val="24"/>
        </w:rPr>
        <w:t xml:space="preserve"> </w:t>
      </w:r>
      <w:r w:rsidR="00B01F7E">
        <w:rPr>
          <w:rFonts w:cs="Arial"/>
          <w:color w:val="auto"/>
          <w:szCs w:val="24"/>
        </w:rPr>
        <w:t xml:space="preserve">the first meeting </w:t>
      </w:r>
      <w:r w:rsidR="0086512E">
        <w:rPr>
          <w:rFonts w:cs="Arial"/>
          <w:color w:val="auto"/>
          <w:szCs w:val="24"/>
        </w:rPr>
        <w:t xml:space="preserve">was </w:t>
      </w:r>
      <w:r w:rsidRPr="00A8338F">
        <w:rPr>
          <w:rFonts w:cs="Arial"/>
          <w:color w:val="auto"/>
          <w:szCs w:val="24"/>
        </w:rPr>
        <w:t>held before the heating season commence</w:t>
      </w:r>
      <w:r w:rsidR="0086512E">
        <w:rPr>
          <w:rFonts w:cs="Arial"/>
          <w:color w:val="auto"/>
          <w:szCs w:val="24"/>
        </w:rPr>
        <w:t>d</w:t>
      </w:r>
      <w:r w:rsidRPr="00A8338F">
        <w:rPr>
          <w:rFonts w:cs="Arial"/>
          <w:color w:val="auto"/>
          <w:szCs w:val="24"/>
        </w:rPr>
        <w:t xml:space="preserve"> and </w:t>
      </w:r>
      <w:r w:rsidR="0086512E">
        <w:rPr>
          <w:rFonts w:cs="Arial"/>
          <w:color w:val="auto"/>
          <w:szCs w:val="24"/>
        </w:rPr>
        <w:t xml:space="preserve">the </w:t>
      </w:r>
      <w:r w:rsidR="00B01F7E">
        <w:rPr>
          <w:rFonts w:cs="Arial"/>
          <w:color w:val="auto"/>
          <w:szCs w:val="24"/>
        </w:rPr>
        <w:t>second meeting was held</w:t>
      </w:r>
      <w:r w:rsidR="0086512E">
        <w:rPr>
          <w:rFonts w:cs="Arial"/>
          <w:color w:val="auto"/>
          <w:szCs w:val="24"/>
        </w:rPr>
        <w:t xml:space="preserve"> </w:t>
      </w:r>
      <w:r w:rsidRPr="00A8338F">
        <w:rPr>
          <w:rFonts w:cs="Arial"/>
          <w:color w:val="auto"/>
          <w:szCs w:val="24"/>
        </w:rPr>
        <w:t>right after the season end</w:t>
      </w:r>
      <w:r w:rsidR="0086512E">
        <w:rPr>
          <w:rFonts w:cs="Arial"/>
          <w:color w:val="auto"/>
          <w:szCs w:val="24"/>
        </w:rPr>
        <w:t>ed</w:t>
      </w:r>
      <w:r w:rsidRPr="00A8338F">
        <w:rPr>
          <w:rFonts w:cs="Arial"/>
          <w:color w:val="auto"/>
          <w:szCs w:val="24"/>
        </w:rPr>
        <w:t xml:space="preserve">.  The discussion that occurs during the meetings provides direction for continued program refinement and clarity for program implementation. </w:t>
      </w:r>
      <w:r w:rsidR="0086512E">
        <w:rPr>
          <w:rFonts w:cs="Arial"/>
          <w:color w:val="auto"/>
          <w:szCs w:val="24"/>
        </w:rPr>
        <w:t xml:space="preserve">Additionally, it is an opportunity to train the agency representatives on topics that affect customers; for example for the meeting </w:t>
      </w:r>
      <w:proofErr w:type="gramStart"/>
      <w:r w:rsidR="0086512E">
        <w:rPr>
          <w:rFonts w:cs="Arial"/>
          <w:color w:val="auto"/>
          <w:szCs w:val="24"/>
        </w:rPr>
        <w:t>preceding</w:t>
      </w:r>
      <w:proofErr w:type="gramEnd"/>
      <w:r w:rsidR="0086512E">
        <w:rPr>
          <w:rFonts w:cs="Arial"/>
          <w:color w:val="auto"/>
          <w:szCs w:val="24"/>
        </w:rPr>
        <w:t xml:space="preserve"> the heating season</w:t>
      </w:r>
      <w:r w:rsidR="00B01F7E">
        <w:rPr>
          <w:rFonts w:cs="Arial"/>
          <w:color w:val="auto"/>
          <w:szCs w:val="24"/>
        </w:rPr>
        <w:t>,</w:t>
      </w:r>
      <w:r w:rsidR="0086512E">
        <w:rPr>
          <w:rFonts w:cs="Arial"/>
          <w:color w:val="auto"/>
          <w:szCs w:val="24"/>
        </w:rPr>
        <w:t xml:space="preserve"> the Company Collection Manager and a CARES representative provided an overview of the billing process.</w:t>
      </w:r>
      <w:r w:rsidR="008A0428">
        <w:rPr>
          <w:rStyle w:val="FootnoteReference"/>
          <w:rFonts w:cs="Arial"/>
          <w:color w:val="auto"/>
          <w:szCs w:val="24"/>
        </w:rPr>
        <w:footnoteReference w:id="4"/>
      </w:r>
      <w:r w:rsidR="0086512E">
        <w:rPr>
          <w:rFonts w:cs="Arial"/>
          <w:color w:val="auto"/>
          <w:szCs w:val="24"/>
        </w:rPr>
        <w:t xml:space="preserve"> </w:t>
      </w:r>
    </w:p>
    <w:p w:rsidR="00B97FD2" w:rsidRPr="001C5833" w:rsidRDefault="00B97FD2" w:rsidP="00B97FD2">
      <w:pPr>
        <w:spacing w:line="480" w:lineRule="auto"/>
        <w:ind w:firstLine="720"/>
        <w:jc w:val="both"/>
        <w:rPr>
          <w:rFonts w:cs="Arial"/>
        </w:rPr>
      </w:pPr>
      <w:r w:rsidRPr="001C5833">
        <w:rPr>
          <w:rFonts w:cs="Arial"/>
        </w:rPr>
        <w:t xml:space="preserve">In addition to the group meetings, the Company has discovered that meeting with each of the agencies at their location is extremely beneficial. During </w:t>
      </w:r>
      <w:r w:rsidR="006D4CEB">
        <w:rPr>
          <w:rFonts w:cs="Arial"/>
        </w:rPr>
        <w:t>an</w:t>
      </w:r>
      <w:r w:rsidR="006D4CEB" w:rsidRPr="001C5833">
        <w:rPr>
          <w:rFonts w:cs="Arial"/>
        </w:rPr>
        <w:t xml:space="preserve"> </w:t>
      </w:r>
      <w:r w:rsidRPr="001C5833">
        <w:rPr>
          <w:rFonts w:cs="Arial"/>
        </w:rPr>
        <w:t xml:space="preserve">agency site meeting, the agency staff, the Avista LIRAP Manager and CARES representative can discuss in detail how LIRAP functions at the agency, best serves their </w:t>
      </w:r>
      <w:r w:rsidR="006D4CEB">
        <w:rPr>
          <w:rFonts w:cs="Arial"/>
        </w:rPr>
        <w:t>client</w:t>
      </w:r>
      <w:r w:rsidR="006D4CEB" w:rsidRPr="001C5833">
        <w:rPr>
          <w:rFonts w:cs="Arial"/>
        </w:rPr>
        <w:t xml:space="preserve"> </w:t>
      </w:r>
      <w:r w:rsidRPr="001C5833">
        <w:rPr>
          <w:rFonts w:cs="Arial"/>
        </w:rPr>
        <w:t xml:space="preserve">population and any topics of special interest to the agency. </w:t>
      </w:r>
    </w:p>
    <w:p w:rsidR="00B97FD2" w:rsidRPr="00B01F7E" w:rsidRDefault="00A8338F" w:rsidP="00B97FD2">
      <w:pPr>
        <w:pStyle w:val="Heading1"/>
        <w:rPr>
          <w:rFonts w:cs="Arial"/>
          <w:color w:val="1F497D" w:themeColor="text2"/>
          <w:sz w:val="36"/>
          <w:szCs w:val="36"/>
        </w:rPr>
      </w:pPr>
      <w:bookmarkStart w:id="18" w:name="_Toc375555235"/>
      <w:r w:rsidRPr="00B01F7E">
        <w:rPr>
          <w:rFonts w:cs="Arial"/>
          <w:color w:val="1F497D" w:themeColor="text2"/>
          <w:sz w:val="36"/>
          <w:szCs w:val="36"/>
        </w:rPr>
        <w:t>Conservation Education and Outreach</w:t>
      </w:r>
      <w:bookmarkEnd w:id="18"/>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r w:rsidRPr="00B01F7E">
        <w:rPr>
          <w:rFonts w:cs="Arial"/>
          <w:color w:val="1F497D" w:themeColor="text2"/>
          <w:sz w:val="36"/>
          <w:szCs w:val="36"/>
        </w:rPr>
        <w:tab/>
      </w:r>
    </w:p>
    <w:p w:rsidR="00B97FD2" w:rsidRPr="001C5833" w:rsidRDefault="00A8338F" w:rsidP="00B97FD2">
      <w:pPr>
        <w:autoSpaceDE w:val="0"/>
        <w:autoSpaceDN w:val="0"/>
        <w:adjustRightInd w:val="0"/>
        <w:spacing w:line="480" w:lineRule="auto"/>
        <w:ind w:firstLine="720"/>
        <w:jc w:val="both"/>
        <w:rPr>
          <w:rFonts w:cs="Arial"/>
        </w:rPr>
      </w:pPr>
      <w:r w:rsidRPr="00A8338F">
        <w:rPr>
          <w:rFonts w:cs="Arial"/>
        </w:rPr>
        <w:t xml:space="preserve">Conservation Education (Con-Ed) </w:t>
      </w:r>
      <w:r w:rsidR="00E41961">
        <w:rPr>
          <w:rFonts w:cs="Arial"/>
        </w:rPr>
        <w:t>is</w:t>
      </w:r>
      <w:r w:rsidRPr="00A8338F">
        <w:rPr>
          <w:rFonts w:cs="Arial"/>
        </w:rPr>
        <w:t xml:space="preserve"> a key component of the LIRAP energy assistance program</w:t>
      </w:r>
      <w:r w:rsidR="00E41961">
        <w:rPr>
          <w:rFonts w:cs="Arial"/>
        </w:rPr>
        <w:t xml:space="preserve"> as</w:t>
      </w:r>
      <w:r w:rsidRPr="00A8338F">
        <w:rPr>
          <w:rFonts w:cs="Arial"/>
        </w:rPr>
        <w:t xml:space="preserve"> it supports the program’s intent to encourage self sufficiency. Teaching and demonstrating </w:t>
      </w:r>
      <w:r w:rsidR="006D4CEB">
        <w:rPr>
          <w:rFonts w:cs="Arial"/>
        </w:rPr>
        <w:t>proven</w:t>
      </w:r>
      <w:r w:rsidRPr="00A8338F">
        <w:rPr>
          <w:rFonts w:cs="Arial"/>
        </w:rPr>
        <w:t xml:space="preserve"> approaches to managing energy use may potentially reduce customers’ bills and increase customers’ ability to pay.  In the original </w:t>
      </w:r>
      <w:r w:rsidRPr="00A8338F">
        <w:rPr>
          <w:rFonts w:cs="Arial"/>
        </w:rPr>
        <w:lastRenderedPageBreak/>
        <w:t xml:space="preserve">program dockets (Docket Nos. UE-010436 and UG-010437) the Commission Staff’s decision memo dated April 25, 2001 states: “Staff believes that a comprehensive educational program should be designed to contribute toward changing the behavior of customers with respect to energy conservation and efficiency. The educational materials may include video, workshops, articles, brochures and newsletters, etc. The production of educational materials, including how well the message is structured, ease with which it can be comprehended by customers and whether or not there are alternative forms of educational materials to enhance conservation measures, should be evaluated by consultants.” Also provided in Staff’s memo is the inclusion of the 4% funding level to the Company for Conservation Education.  </w:t>
      </w:r>
    </w:p>
    <w:p w:rsidR="00B97FD2" w:rsidRPr="001C5833" w:rsidRDefault="00A8338F" w:rsidP="00B97FD2">
      <w:pPr>
        <w:autoSpaceDE w:val="0"/>
        <w:autoSpaceDN w:val="0"/>
        <w:adjustRightInd w:val="0"/>
        <w:spacing w:line="480" w:lineRule="auto"/>
        <w:ind w:firstLine="720"/>
        <w:jc w:val="both"/>
        <w:rPr>
          <w:rFonts w:cs="Arial"/>
        </w:rPr>
      </w:pPr>
      <w:r w:rsidRPr="00A8338F">
        <w:rPr>
          <w:rFonts w:cs="Arial"/>
        </w:rPr>
        <w:t>Based on this order, Avista has recognized the following educational strategies as efficient and effective means for delivering the energy conservation program:</w:t>
      </w:r>
    </w:p>
    <w:p w:rsidR="00B97FD2" w:rsidRPr="001C5833" w:rsidRDefault="00A8338F" w:rsidP="00B97FD2">
      <w:pPr>
        <w:numPr>
          <w:ilvl w:val="0"/>
          <w:numId w:val="36"/>
        </w:numPr>
        <w:autoSpaceDE w:val="0"/>
        <w:autoSpaceDN w:val="0"/>
        <w:adjustRightInd w:val="0"/>
        <w:spacing w:line="480" w:lineRule="auto"/>
        <w:jc w:val="both"/>
        <w:rPr>
          <w:rFonts w:cs="Arial"/>
        </w:rPr>
      </w:pPr>
      <w:r w:rsidRPr="00A8338F">
        <w:rPr>
          <w:rFonts w:cs="Arial"/>
        </w:rPr>
        <w:t xml:space="preserve">Energy Conservation workshops for groups of Avista customers with the primary focus on reaching seniors and low-income. </w:t>
      </w:r>
    </w:p>
    <w:p w:rsidR="00B97FD2" w:rsidRPr="001C5833" w:rsidRDefault="00A8338F" w:rsidP="00B97FD2">
      <w:pPr>
        <w:numPr>
          <w:ilvl w:val="0"/>
          <w:numId w:val="36"/>
        </w:numPr>
        <w:autoSpaceDE w:val="0"/>
        <w:autoSpaceDN w:val="0"/>
        <w:adjustRightInd w:val="0"/>
        <w:spacing w:line="480" w:lineRule="auto"/>
        <w:jc w:val="both"/>
        <w:rPr>
          <w:rFonts w:cs="Arial"/>
        </w:rPr>
      </w:pPr>
      <w:r w:rsidRPr="00A8338F">
        <w:rPr>
          <w:rFonts w:cs="Arial"/>
        </w:rPr>
        <w:t xml:space="preserve">Energy Conservation kits that include items such as: window plastic, V-seal, outlet draft stoppers, and other items to encourage effective energy management practices and that all Avista customers who have received an energy assistance grant </w:t>
      </w:r>
      <w:proofErr w:type="gramStart"/>
      <w:r w:rsidRPr="00A8338F">
        <w:rPr>
          <w:rFonts w:cs="Arial"/>
        </w:rPr>
        <w:t>be</w:t>
      </w:r>
      <w:proofErr w:type="gramEnd"/>
      <w:r w:rsidRPr="00A8338F">
        <w:rPr>
          <w:rFonts w:cs="Arial"/>
        </w:rPr>
        <w:t xml:space="preserve"> provided with energy conservation materials. </w:t>
      </w:r>
    </w:p>
    <w:p w:rsidR="00B97FD2" w:rsidRPr="001C5833" w:rsidRDefault="00A8338F" w:rsidP="00B97FD2">
      <w:pPr>
        <w:numPr>
          <w:ilvl w:val="0"/>
          <w:numId w:val="36"/>
        </w:numPr>
        <w:autoSpaceDE w:val="0"/>
        <w:autoSpaceDN w:val="0"/>
        <w:adjustRightInd w:val="0"/>
        <w:spacing w:line="480" w:lineRule="auto"/>
        <w:jc w:val="both"/>
        <w:rPr>
          <w:rFonts w:cs="Arial"/>
        </w:rPr>
      </w:pPr>
      <w:r w:rsidRPr="00A8338F">
        <w:rPr>
          <w:rFonts w:cs="Arial"/>
        </w:rPr>
        <w:t>Avista printed materials that feature information on:</w:t>
      </w:r>
    </w:p>
    <w:p w:rsidR="00B97FD2" w:rsidRPr="001C5833" w:rsidRDefault="00A8338F" w:rsidP="00B97FD2">
      <w:pPr>
        <w:numPr>
          <w:ilvl w:val="1"/>
          <w:numId w:val="37"/>
        </w:numPr>
        <w:autoSpaceDE w:val="0"/>
        <w:autoSpaceDN w:val="0"/>
        <w:adjustRightInd w:val="0"/>
        <w:spacing w:line="480" w:lineRule="auto"/>
        <w:jc w:val="both"/>
        <w:rPr>
          <w:rFonts w:cs="Arial"/>
        </w:rPr>
      </w:pPr>
      <w:r w:rsidRPr="00A8338F">
        <w:rPr>
          <w:rFonts w:cs="Arial"/>
        </w:rPr>
        <w:t>Avista Assistance Programs, such as payment arrangements, comfort-level billing, preferred due date, and</w:t>
      </w:r>
    </w:p>
    <w:p w:rsidR="00B97FD2" w:rsidRPr="001C5833" w:rsidRDefault="00A8338F" w:rsidP="00B97FD2">
      <w:pPr>
        <w:numPr>
          <w:ilvl w:val="1"/>
          <w:numId w:val="37"/>
        </w:numPr>
        <w:autoSpaceDE w:val="0"/>
        <w:autoSpaceDN w:val="0"/>
        <w:adjustRightInd w:val="0"/>
        <w:spacing w:line="480" w:lineRule="auto"/>
        <w:jc w:val="both"/>
        <w:rPr>
          <w:rFonts w:cs="Arial"/>
        </w:rPr>
      </w:pPr>
      <w:r w:rsidRPr="00A8338F">
        <w:rPr>
          <w:rFonts w:cs="Arial"/>
        </w:rPr>
        <w:t>Energy saving methods and resources</w:t>
      </w:r>
    </w:p>
    <w:p w:rsidR="00B97FD2" w:rsidRPr="001C5833" w:rsidRDefault="00A8338F" w:rsidP="00B97FD2">
      <w:pPr>
        <w:autoSpaceDE w:val="0"/>
        <w:autoSpaceDN w:val="0"/>
        <w:adjustRightInd w:val="0"/>
        <w:spacing w:line="480" w:lineRule="auto"/>
        <w:ind w:firstLine="720"/>
        <w:jc w:val="both"/>
        <w:rPr>
          <w:rFonts w:cs="Arial"/>
        </w:rPr>
      </w:pPr>
      <w:r w:rsidRPr="00A8338F">
        <w:rPr>
          <w:rFonts w:cs="Arial"/>
        </w:rPr>
        <w:lastRenderedPageBreak/>
        <w:t>However, the results from the rate order</w:t>
      </w:r>
      <w:r w:rsidRPr="00A8338F">
        <w:rPr>
          <w:rStyle w:val="FootnoteReference"/>
          <w:rFonts w:cs="Arial"/>
        </w:rPr>
        <w:footnoteReference w:id="5"/>
      </w:r>
      <w:r w:rsidRPr="00A8338F">
        <w:rPr>
          <w:rFonts w:cs="Arial"/>
        </w:rPr>
        <w:t xml:space="preserve"> effective January 1, 2012, provided for a reallocation of $180,000 from Avista Conservation Education to direct services (e.g. the low-income energy bill assistance). For the 2011/2012 LIRAP year, to achieve compliance with the order, Avista suspended LIRAP-funded conservation education, effective January 1, 2012.  </w:t>
      </w:r>
    </w:p>
    <w:p w:rsidR="00B97FD2" w:rsidRPr="001C5833" w:rsidRDefault="00A8338F" w:rsidP="00B97FD2">
      <w:pPr>
        <w:pStyle w:val="Heading2"/>
        <w:rPr>
          <w:rFonts w:cs="Arial"/>
          <w:b w:val="0"/>
          <w:u w:val="single"/>
        </w:rPr>
      </w:pPr>
      <w:bookmarkStart w:id="19" w:name="_Toc375555236"/>
      <w:r w:rsidRPr="00A8338F">
        <w:rPr>
          <w:rFonts w:cs="Arial"/>
          <w:u w:val="single"/>
        </w:rPr>
        <w:t>Conservation Education Activities</w:t>
      </w:r>
      <w:bookmarkEnd w:id="19"/>
    </w:p>
    <w:p w:rsidR="00B97FD2" w:rsidRPr="001C5833" w:rsidRDefault="00B97FD2" w:rsidP="00B97FD2">
      <w:pPr>
        <w:pStyle w:val="Heading2"/>
        <w:rPr>
          <w:rFonts w:cs="Arial"/>
          <w:b w:val="0"/>
          <w:u w:val="single"/>
        </w:rPr>
      </w:pPr>
    </w:p>
    <w:p w:rsidR="00B97FD2" w:rsidRPr="008A0428" w:rsidRDefault="00A8338F" w:rsidP="00B97FD2">
      <w:pPr>
        <w:pStyle w:val="Heading3"/>
        <w:rPr>
          <w:rFonts w:cs="Arial"/>
          <w:b w:val="0"/>
          <w:i/>
          <w:color w:val="1F497D" w:themeColor="text2"/>
          <w:u w:val="single"/>
        </w:rPr>
      </w:pPr>
      <w:bookmarkStart w:id="20" w:name="_Toc375555237"/>
      <w:r w:rsidRPr="008A0428">
        <w:rPr>
          <w:rFonts w:cs="Arial"/>
          <w:b w:val="0"/>
          <w:color w:val="1F497D" w:themeColor="text2"/>
          <w:u w:val="single"/>
        </w:rPr>
        <w:t>Home Energy Kits</w:t>
      </w:r>
      <w:bookmarkEnd w:id="20"/>
    </w:p>
    <w:p w:rsidR="00B97FD2" w:rsidRPr="001C5833" w:rsidRDefault="00B97FD2" w:rsidP="00B97FD2">
      <w:pPr>
        <w:rPr>
          <w:rFonts w:cs="Arial"/>
        </w:rPr>
      </w:pPr>
    </w:p>
    <w:p w:rsidR="00B97FD2" w:rsidRPr="001C5833" w:rsidRDefault="00A8338F" w:rsidP="00B97FD2">
      <w:pPr>
        <w:pStyle w:val="BodyText2"/>
        <w:spacing w:line="480" w:lineRule="auto"/>
        <w:jc w:val="both"/>
        <w:rPr>
          <w:rFonts w:cs="Arial"/>
          <w:color w:val="auto"/>
          <w:szCs w:val="24"/>
        </w:rPr>
      </w:pPr>
      <w:r w:rsidRPr="00A8338F">
        <w:rPr>
          <w:rFonts w:cs="Arial"/>
          <w:color w:val="auto"/>
          <w:szCs w:val="24"/>
        </w:rPr>
        <w:tab/>
        <w:t xml:space="preserve">It is the Company’s goal that each Avista customer who applies for either a LIHEAP or LIRAP Heat grant receives both information and materials to help them </w:t>
      </w:r>
      <w:r w:rsidR="006D4CEB">
        <w:rPr>
          <w:rFonts w:cs="Arial"/>
          <w:color w:val="auto"/>
          <w:szCs w:val="24"/>
        </w:rPr>
        <w:t>manage their energy use effectively</w:t>
      </w:r>
      <w:r w:rsidRPr="00A8338F">
        <w:rPr>
          <w:rFonts w:cs="Arial"/>
          <w:color w:val="auto"/>
          <w:szCs w:val="24"/>
        </w:rPr>
        <w:t xml:space="preserve">.  This goal has been accomplished with the creation of an Energy Efficiency Kit that is mailed to these customers.  Each kit contains energy saving items and information. For the </w:t>
      </w:r>
      <w:r w:rsidR="00D3252F">
        <w:rPr>
          <w:rFonts w:cs="Arial"/>
          <w:color w:val="auto"/>
          <w:szCs w:val="24"/>
        </w:rPr>
        <w:t>2012/2013</w:t>
      </w:r>
      <w:r w:rsidRPr="00A8338F">
        <w:rPr>
          <w:rFonts w:cs="Arial"/>
          <w:color w:val="auto"/>
          <w:szCs w:val="24"/>
        </w:rPr>
        <w:t xml:space="preserve"> program year, the Company coordinated the distribution of </w:t>
      </w:r>
      <w:r w:rsidRPr="00B01F7E">
        <w:rPr>
          <w:rFonts w:cs="Arial"/>
          <w:color w:val="auto"/>
          <w:szCs w:val="24"/>
          <w:u w:val="single"/>
        </w:rPr>
        <w:t>9,</w:t>
      </w:r>
      <w:r w:rsidR="00D3252F" w:rsidRPr="00B01F7E">
        <w:rPr>
          <w:rFonts w:cs="Arial"/>
          <w:color w:val="auto"/>
          <w:szCs w:val="24"/>
          <w:u w:val="single"/>
        </w:rPr>
        <w:t>598</w:t>
      </w:r>
      <w:r w:rsidRPr="00A8338F">
        <w:rPr>
          <w:rFonts w:cs="Arial"/>
          <w:color w:val="auto"/>
          <w:szCs w:val="24"/>
        </w:rPr>
        <w:t xml:space="preserve"> mailed conservation education kits that included </w:t>
      </w:r>
      <w:r w:rsidR="006D4CEB">
        <w:rPr>
          <w:rFonts w:cs="Arial"/>
          <w:color w:val="auto"/>
          <w:szCs w:val="24"/>
        </w:rPr>
        <w:t xml:space="preserve">an energy timer and printed materials such as tips sheet and </w:t>
      </w:r>
      <w:r w:rsidR="006D4CEB" w:rsidRPr="001D13B0">
        <w:rPr>
          <w:rFonts w:cs="Arial"/>
          <w:color w:val="auto"/>
          <w:szCs w:val="24"/>
        </w:rPr>
        <w:t xml:space="preserve">calendar </w:t>
      </w:r>
      <w:r w:rsidR="006D4CEB">
        <w:rPr>
          <w:rFonts w:cs="Arial"/>
          <w:color w:val="auto"/>
          <w:szCs w:val="24"/>
        </w:rPr>
        <w:t>that featured</w:t>
      </w:r>
      <w:r w:rsidR="006D4CEB" w:rsidRPr="001D13B0">
        <w:rPr>
          <w:rFonts w:cs="Arial"/>
          <w:color w:val="auto"/>
          <w:szCs w:val="24"/>
        </w:rPr>
        <w:t xml:space="preserve"> no-cost/low-cost energy efficiency ideas</w:t>
      </w:r>
      <w:r w:rsidR="006D4CEB">
        <w:rPr>
          <w:rFonts w:cs="Arial"/>
          <w:color w:val="auto"/>
          <w:szCs w:val="24"/>
        </w:rPr>
        <w:t xml:space="preserve"> to</w:t>
      </w:r>
      <w:r w:rsidRPr="00A8338F">
        <w:rPr>
          <w:rFonts w:cs="Arial"/>
          <w:color w:val="auto"/>
          <w:szCs w:val="24"/>
        </w:rPr>
        <w:t xml:space="preserve"> individuals who had received a grant at SNAP and OIC.   The kits were funded out of SNAP and OIC’s </w:t>
      </w:r>
      <w:r w:rsidR="006D4CEB">
        <w:rPr>
          <w:rFonts w:cs="Arial"/>
          <w:color w:val="auto"/>
          <w:szCs w:val="24"/>
        </w:rPr>
        <w:t xml:space="preserve">LIRAP </w:t>
      </w:r>
      <w:r w:rsidRPr="00A8338F">
        <w:rPr>
          <w:rFonts w:cs="Arial"/>
          <w:color w:val="auto"/>
          <w:szCs w:val="24"/>
        </w:rPr>
        <w:t>conservation education allocations.</w:t>
      </w:r>
    </w:p>
    <w:p w:rsidR="00B97FD2" w:rsidRPr="001C5833" w:rsidRDefault="00A8338F" w:rsidP="00B97FD2">
      <w:pPr>
        <w:pStyle w:val="BodyText2"/>
        <w:spacing w:line="480" w:lineRule="auto"/>
        <w:jc w:val="both"/>
        <w:rPr>
          <w:rFonts w:cs="Arial"/>
          <w:color w:val="auto"/>
          <w:szCs w:val="24"/>
        </w:rPr>
      </w:pPr>
      <w:r w:rsidRPr="00A8338F">
        <w:rPr>
          <w:rFonts w:cs="Arial"/>
          <w:color w:val="auto"/>
          <w:szCs w:val="24"/>
        </w:rPr>
        <w:tab/>
        <w:t xml:space="preserve">The other agencies chose to purchase energy saving items to disburse to individuals </w:t>
      </w:r>
      <w:r w:rsidR="00D3252F">
        <w:rPr>
          <w:rFonts w:cs="Arial"/>
          <w:color w:val="auto"/>
          <w:szCs w:val="24"/>
        </w:rPr>
        <w:t xml:space="preserve">either </w:t>
      </w:r>
      <w:r w:rsidRPr="00A8338F">
        <w:rPr>
          <w:rFonts w:cs="Arial"/>
          <w:color w:val="auto"/>
          <w:szCs w:val="24"/>
        </w:rPr>
        <w:t>at the time of their appointment</w:t>
      </w:r>
      <w:r w:rsidR="00D3252F">
        <w:rPr>
          <w:rFonts w:cs="Arial"/>
          <w:color w:val="auto"/>
          <w:szCs w:val="24"/>
        </w:rPr>
        <w:t xml:space="preserve"> or through other means</w:t>
      </w:r>
      <w:r w:rsidRPr="00A8338F">
        <w:rPr>
          <w:rFonts w:cs="Arial"/>
          <w:color w:val="auto"/>
          <w:szCs w:val="24"/>
        </w:rPr>
        <w:t xml:space="preserve">. The Community Action Partnership that serves Asotin County </w:t>
      </w:r>
      <w:r w:rsidR="00D3252F">
        <w:rPr>
          <w:rFonts w:cs="Arial"/>
          <w:color w:val="auto"/>
          <w:szCs w:val="24"/>
        </w:rPr>
        <w:t xml:space="preserve">allows for individuals to request items that they would like to use; the concept is that individuals will use what </w:t>
      </w:r>
      <w:r w:rsidR="00D3252F">
        <w:rPr>
          <w:rFonts w:cs="Arial"/>
          <w:color w:val="auto"/>
          <w:szCs w:val="24"/>
        </w:rPr>
        <w:lastRenderedPageBreak/>
        <w:t>they request rather than a pre-packed kit that may contain things that they won’t use.</w:t>
      </w:r>
      <w:r w:rsidRPr="00A8338F">
        <w:rPr>
          <w:rFonts w:cs="Arial"/>
          <w:color w:val="auto"/>
          <w:szCs w:val="24"/>
        </w:rPr>
        <w:t xml:space="preserve"> Rural Resources serving Stevens, Lincoln and Ferry counties </w:t>
      </w:r>
      <w:r w:rsidR="00D3252F">
        <w:rPr>
          <w:rFonts w:cs="Arial"/>
          <w:color w:val="auto"/>
          <w:szCs w:val="24"/>
        </w:rPr>
        <w:t>distributed kits through local food banks. Individuals who had completed an application for energy assistance wer</w:t>
      </w:r>
      <w:r w:rsidR="00B01F7E">
        <w:rPr>
          <w:rFonts w:cs="Arial"/>
          <w:color w:val="auto"/>
          <w:szCs w:val="24"/>
        </w:rPr>
        <w:t xml:space="preserve">e provided with a voucher </w:t>
      </w:r>
      <w:r w:rsidR="008A0428">
        <w:rPr>
          <w:rFonts w:cs="Arial"/>
          <w:color w:val="auto"/>
          <w:szCs w:val="24"/>
        </w:rPr>
        <w:t>that could be</w:t>
      </w:r>
      <w:r w:rsidR="00D3252F">
        <w:rPr>
          <w:rFonts w:cs="Arial"/>
          <w:color w:val="auto"/>
          <w:szCs w:val="24"/>
        </w:rPr>
        <w:t xml:space="preserve"> redeemed at their local food bank for a home energy kit. </w:t>
      </w:r>
      <w:r w:rsidR="00E41961">
        <w:rPr>
          <w:rFonts w:cs="Arial"/>
          <w:color w:val="auto"/>
          <w:szCs w:val="24"/>
        </w:rPr>
        <w:t>Additionally, energy assistance recipients may receive education at the time of intake and i</w:t>
      </w:r>
      <w:r w:rsidR="00E41961" w:rsidRPr="00E41961">
        <w:rPr>
          <w:rFonts w:cs="Arial"/>
          <w:color w:val="auto"/>
          <w:szCs w:val="24"/>
        </w:rPr>
        <w:t xml:space="preserve">n-depth counseling and </w:t>
      </w:r>
      <w:r w:rsidR="00E41961">
        <w:rPr>
          <w:rFonts w:cs="Arial"/>
          <w:color w:val="auto"/>
          <w:szCs w:val="24"/>
        </w:rPr>
        <w:t xml:space="preserve">personalized </w:t>
      </w:r>
      <w:r w:rsidR="00E41961" w:rsidRPr="00E41961">
        <w:rPr>
          <w:rFonts w:cs="Arial"/>
          <w:color w:val="auto"/>
          <w:szCs w:val="24"/>
        </w:rPr>
        <w:t xml:space="preserve">troubleshooting </w:t>
      </w:r>
      <w:r w:rsidR="00E41961">
        <w:rPr>
          <w:rFonts w:cs="Arial"/>
          <w:color w:val="auto"/>
          <w:szCs w:val="24"/>
        </w:rPr>
        <w:t xml:space="preserve">is provided to </w:t>
      </w:r>
      <w:r w:rsidR="00E41961" w:rsidRPr="00E41961">
        <w:rPr>
          <w:rFonts w:cs="Arial"/>
          <w:color w:val="auto"/>
          <w:szCs w:val="24"/>
        </w:rPr>
        <w:t>high energy bill customers</w:t>
      </w:r>
    </w:p>
    <w:p w:rsidR="00B97FD2" w:rsidRPr="008A0428" w:rsidRDefault="00A8338F" w:rsidP="00B97FD2">
      <w:pPr>
        <w:pStyle w:val="Heading3"/>
        <w:rPr>
          <w:rFonts w:cs="Arial"/>
          <w:b w:val="0"/>
          <w:i/>
          <w:color w:val="1F497D" w:themeColor="text2"/>
          <w:u w:val="single"/>
        </w:rPr>
      </w:pPr>
      <w:bookmarkStart w:id="21" w:name="_Toc375555238"/>
      <w:r w:rsidRPr="008A0428">
        <w:rPr>
          <w:rFonts w:cs="Arial"/>
          <w:b w:val="0"/>
          <w:color w:val="1F497D" w:themeColor="text2"/>
          <w:u w:val="single"/>
        </w:rPr>
        <w:t>Outreach</w:t>
      </w:r>
      <w:bookmarkEnd w:id="21"/>
    </w:p>
    <w:p w:rsidR="00B97FD2" w:rsidRPr="001C5833" w:rsidRDefault="00B97FD2" w:rsidP="00B97FD2">
      <w:pPr>
        <w:rPr>
          <w:rFonts w:cs="Arial"/>
        </w:rPr>
      </w:pPr>
    </w:p>
    <w:p w:rsidR="00FD6E32" w:rsidRPr="008A0428" w:rsidRDefault="00FD6E32" w:rsidP="008A0428">
      <w:pPr>
        <w:pStyle w:val="BodyText"/>
        <w:spacing w:line="480" w:lineRule="auto"/>
        <w:ind w:firstLine="720"/>
        <w:jc w:val="both"/>
        <w:rPr>
          <w:rFonts w:ascii="Arial" w:hAnsi="Arial" w:cs="Arial"/>
          <w:color w:val="FF0000"/>
          <w:szCs w:val="24"/>
        </w:rPr>
      </w:pPr>
      <w:r>
        <w:rPr>
          <w:rFonts w:ascii="Arial" w:hAnsi="Arial" w:cs="Arial"/>
          <w:szCs w:val="24"/>
        </w:rPr>
        <w:t xml:space="preserve">The majority of households seeking assistance contact the Community Action Agencies (CAA’s) directly.  However, Avista has a variety of methods to support outreach efforts to engage those in need and guide them to the agencies and promote the availability of assistance programs at the agencies.   </w:t>
      </w:r>
    </w:p>
    <w:p w:rsidR="00FD6E32" w:rsidRPr="008A0428" w:rsidRDefault="008A0428" w:rsidP="008A0428">
      <w:pPr>
        <w:pStyle w:val="BodyText"/>
        <w:spacing w:line="480" w:lineRule="auto"/>
        <w:ind w:firstLine="720"/>
        <w:jc w:val="both"/>
        <w:rPr>
          <w:rFonts w:ascii="Arial" w:hAnsi="Arial" w:cs="Arial"/>
          <w:szCs w:val="24"/>
        </w:rPr>
      </w:pPr>
      <w:r>
        <w:rPr>
          <w:rFonts w:ascii="Arial" w:hAnsi="Arial" w:cs="Arial"/>
          <w:szCs w:val="24"/>
        </w:rPr>
        <w:t>All Avista Customer Service R</w:t>
      </w:r>
      <w:r w:rsidR="00FD6E32">
        <w:rPr>
          <w:rFonts w:ascii="Arial" w:hAnsi="Arial" w:cs="Arial"/>
          <w:szCs w:val="24"/>
        </w:rPr>
        <w:t xml:space="preserve">epresentatives </w:t>
      </w:r>
      <w:r>
        <w:rPr>
          <w:rFonts w:ascii="Arial" w:hAnsi="Arial" w:cs="Arial"/>
          <w:szCs w:val="24"/>
        </w:rPr>
        <w:t xml:space="preserve">(CSRs) </w:t>
      </w:r>
      <w:r w:rsidR="00FD6E32">
        <w:rPr>
          <w:rFonts w:ascii="Arial" w:hAnsi="Arial" w:cs="Arial"/>
          <w:szCs w:val="24"/>
        </w:rPr>
        <w:t xml:space="preserve">are informed about the agencies that administer LIRAP so they can appropriately refer customers seeking assistance. </w:t>
      </w:r>
      <w:r w:rsidR="00FD6E32" w:rsidRPr="008A0428">
        <w:rPr>
          <w:rFonts w:ascii="Arial" w:hAnsi="Arial" w:cs="Arial"/>
          <w:szCs w:val="24"/>
        </w:rPr>
        <w:t>In 2013</w:t>
      </w:r>
      <w:r w:rsidRPr="008A0428">
        <w:rPr>
          <w:rFonts w:ascii="Arial" w:hAnsi="Arial" w:cs="Arial"/>
          <w:szCs w:val="24"/>
        </w:rPr>
        <w:t>,</w:t>
      </w:r>
      <w:r w:rsidR="00FD6E32" w:rsidRPr="008A0428">
        <w:rPr>
          <w:rFonts w:ascii="Arial" w:hAnsi="Arial" w:cs="Arial"/>
          <w:szCs w:val="24"/>
        </w:rPr>
        <w:t xml:space="preserve"> an agency update feature was added to the Company</w:t>
      </w:r>
      <w:r w:rsidRPr="008A0428">
        <w:rPr>
          <w:rFonts w:ascii="Arial" w:hAnsi="Arial" w:cs="Arial"/>
          <w:szCs w:val="24"/>
        </w:rPr>
        <w:t>’s</w:t>
      </w:r>
      <w:r w:rsidR="00FD6E32" w:rsidRPr="008A0428">
        <w:rPr>
          <w:rFonts w:ascii="Arial" w:hAnsi="Arial" w:cs="Arial"/>
          <w:szCs w:val="24"/>
        </w:rPr>
        <w:t xml:space="preserve"> low</w:t>
      </w:r>
      <w:r w:rsidRPr="008A0428">
        <w:rPr>
          <w:rFonts w:ascii="Arial" w:hAnsi="Arial" w:cs="Arial"/>
          <w:szCs w:val="24"/>
        </w:rPr>
        <w:t>-income workbench; this feature</w:t>
      </w:r>
      <w:r w:rsidR="00FD6E32" w:rsidRPr="008A0428">
        <w:rPr>
          <w:rFonts w:ascii="Arial" w:hAnsi="Arial" w:cs="Arial"/>
          <w:szCs w:val="24"/>
        </w:rPr>
        <w:t xml:space="preserve"> enables the agency administrator to provide real time information regarding their agency appointment and funding status to </w:t>
      </w:r>
      <w:r w:rsidRPr="008A0428">
        <w:rPr>
          <w:rFonts w:ascii="Arial" w:hAnsi="Arial" w:cs="Arial"/>
          <w:szCs w:val="24"/>
        </w:rPr>
        <w:t>the CSRs,</w:t>
      </w:r>
      <w:r w:rsidR="00FD6E32" w:rsidRPr="008A0428">
        <w:rPr>
          <w:rFonts w:ascii="Arial" w:hAnsi="Arial" w:cs="Arial"/>
          <w:szCs w:val="24"/>
        </w:rPr>
        <w:t xml:space="preserve"> therefore improving the quality of the customer referral to the agency.    </w:t>
      </w:r>
    </w:p>
    <w:p w:rsidR="00B97FD2" w:rsidRPr="008A0428" w:rsidRDefault="00FD6E32" w:rsidP="008A0428">
      <w:pPr>
        <w:pStyle w:val="BodyText"/>
        <w:spacing w:line="480" w:lineRule="auto"/>
        <w:ind w:firstLine="720"/>
        <w:jc w:val="both"/>
        <w:rPr>
          <w:rFonts w:ascii="Arial" w:hAnsi="Arial" w:cs="Arial"/>
          <w:szCs w:val="24"/>
        </w:rPr>
      </w:pPr>
      <w:r w:rsidRPr="008A0428">
        <w:rPr>
          <w:rFonts w:ascii="Arial" w:hAnsi="Arial" w:cs="Arial"/>
          <w:szCs w:val="24"/>
        </w:rPr>
        <w:t xml:space="preserve">Furthermore, at Avista-hosted community workshops, energy fairs and mobile outreach events, the </w:t>
      </w:r>
      <w:r w:rsidR="008A0428" w:rsidRPr="008A0428">
        <w:rPr>
          <w:rFonts w:ascii="Arial" w:hAnsi="Arial" w:cs="Arial"/>
          <w:szCs w:val="24"/>
        </w:rPr>
        <w:t>C</w:t>
      </w:r>
      <w:r w:rsidRPr="008A0428">
        <w:rPr>
          <w:rFonts w:ascii="Arial" w:hAnsi="Arial" w:cs="Arial"/>
          <w:szCs w:val="24"/>
        </w:rPr>
        <w:t xml:space="preserve">ompany staff informs </w:t>
      </w:r>
      <w:r w:rsidR="008A0428">
        <w:rPr>
          <w:rFonts w:ascii="Arial" w:hAnsi="Arial" w:cs="Arial"/>
          <w:szCs w:val="24"/>
        </w:rPr>
        <w:t>participants</w:t>
      </w:r>
      <w:r w:rsidRPr="008A0428">
        <w:rPr>
          <w:rFonts w:ascii="Arial" w:hAnsi="Arial" w:cs="Arial"/>
          <w:szCs w:val="24"/>
        </w:rPr>
        <w:t xml:space="preserve"> </w:t>
      </w:r>
      <w:r w:rsidR="008A0428">
        <w:rPr>
          <w:rFonts w:ascii="Arial" w:hAnsi="Arial" w:cs="Arial"/>
          <w:szCs w:val="24"/>
        </w:rPr>
        <w:t>about</w:t>
      </w:r>
      <w:r w:rsidRPr="008A0428">
        <w:rPr>
          <w:rFonts w:ascii="Arial" w:hAnsi="Arial" w:cs="Arial"/>
          <w:szCs w:val="24"/>
        </w:rPr>
        <w:t xml:space="preserve"> the local agency and the services they provide – most specifically energy assistance. In 2013</w:t>
      </w:r>
      <w:r w:rsidR="008A0428">
        <w:rPr>
          <w:rFonts w:ascii="Arial" w:hAnsi="Arial" w:cs="Arial"/>
          <w:szCs w:val="24"/>
        </w:rPr>
        <w:t>,</w:t>
      </w:r>
      <w:r w:rsidRPr="008A0428">
        <w:rPr>
          <w:rFonts w:ascii="Arial" w:hAnsi="Arial" w:cs="Arial"/>
          <w:szCs w:val="24"/>
        </w:rPr>
        <w:t xml:space="preserve"> approximately 1,782 individuals were reached through these programs.</w:t>
      </w:r>
      <w:r w:rsidR="00A8338F" w:rsidRPr="008A0428">
        <w:rPr>
          <w:rFonts w:ascii="Arial" w:hAnsi="Arial" w:cs="Arial"/>
          <w:szCs w:val="24"/>
        </w:rPr>
        <w:t xml:space="preserve"> </w:t>
      </w:r>
    </w:p>
    <w:p w:rsidR="00B97FD2" w:rsidRPr="008A0428" w:rsidRDefault="00A8338F" w:rsidP="00B97FD2">
      <w:pPr>
        <w:pStyle w:val="Heading3"/>
        <w:spacing w:line="360" w:lineRule="auto"/>
        <w:rPr>
          <w:rFonts w:cs="Arial"/>
          <w:color w:val="1F497D" w:themeColor="text2"/>
        </w:rPr>
      </w:pPr>
      <w:bookmarkStart w:id="22" w:name="_Toc375555239"/>
      <w:r w:rsidRPr="008A0428">
        <w:rPr>
          <w:rFonts w:cs="Arial"/>
          <w:b w:val="0"/>
          <w:color w:val="1F497D" w:themeColor="text2"/>
          <w:u w:val="single"/>
        </w:rPr>
        <w:lastRenderedPageBreak/>
        <w:t>Senior Directories and Publications</w:t>
      </w:r>
      <w:bookmarkEnd w:id="22"/>
      <w:r w:rsidRPr="008A0428">
        <w:rPr>
          <w:rFonts w:cs="Arial"/>
          <w:b w:val="0"/>
          <w:color w:val="1F497D" w:themeColor="text2"/>
          <w:u w:val="single"/>
        </w:rPr>
        <w:t xml:space="preserve"> </w:t>
      </w:r>
      <w:r w:rsidRPr="008A0428">
        <w:rPr>
          <w:rFonts w:cs="Arial"/>
          <w:color w:val="1F497D" w:themeColor="text2"/>
        </w:rPr>
        <w:tab/>
      </w:r>
    </w:p>
    <w:p w:rsidR="00B97FD2" w:rsidRPr="001C5833" w:rsidRDefault="00FD6E32" w:rsidP="008A0428">
      <w:pPr>
        <w:spacing w:line="480" w:lineRule="auto"/>
        <w:ind w:firstLine="720"/>
        <w:jc w:val="both"/>
        <w:rPr>
          <w:rFonts w:cs="Arial"/>
        </w:rPr>
      </w:pPr>
      <w:r>
        <w:rPr>
          <w:rFonts w:cs="Arial"/>
        </w:rPr>
        <w:t>The Company continue</w:t>
      </w:r>
      <w:r w:rsidRPr="008A0428">
        <w:rPr>
          <w:rFonts w:cs="Arial"/>
        </w:rPr>
        <w:t>s</w:t>
      </w:r>
      <w:r>
        <w:rPr>
          <w:rFonts w:cs="Arial"/>
        </w:rPr>
        <w:t xml:space="preserve"> </w:t>
      </w:r>
      <w:r w:rsidR="008A0428">
        <w:rPr>
          <w:rFonts w:cs="Arial"/>
        </w:rPr>
        <w:t>its</w:t>
      </w:r>
      <w:r>
        <w:rPr>
          <w:rFonts w:cs="Arial"/>
        </w:rPr>
        <w:t xml:space="preserve"> practice of placing ads in senior publications as part of a strategic effort to reach seniors with information about energy efficiency, billing assistance, Senior Energy Outreach workshops and CARES information.</w:t>
      </w:r>
      <w:r w:rsidR="00A8338F" w:rsidRPr="00A8338F">
        <w:rPr>
          <w:rFonts w:cs="Arial"/>
        </w:rPr>
        <w:t xml:space="preserve"> </w:t>
      </w:r>
    </w:p>
    <w:p w:rsidR="00B97FD2" w:rsidRPr="001C5833" w:rsidRDefault="00A8338F" w:rsidP="00B97FD2">
      <w:pPr>
        <w:pStyle w:val="Heading1"/>
        <w:rPr>
          <w:rFonts w:cs="Arial"/>
          <w:b w:val="0"/>
          <w:color w:val="1F497D" w:themeColor="text2"/>
          <w:sz w:val="36"/>
          <w:szCs w:val="36"/>
        </w:rPr>
      </w:pPr>
      <w:bookmarkStart w:id="23" w:name="_Toc375555240"/>
      <w:r w:rsidRPr="00A8338F">
        <w:rPr>
          <w:rFonts w:cs="Arial"/>
          <w:b w:val="0"/>
          <w:color w:val="1F497D" w:themeColor="text2"/>
          <w:sz w:val="36"/>
          <w:szCs w:val="36"/>
        </w:rPr>
        <w:t>Reporting Protocols</w:t>
      </w:r>
      <w:bookmarkEnd w:id="23"/>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p>
    <w:p w:rsidR="00B97FD2" w:rsidRPr="001C5833" w:rsidRDefault="00B97FD2" w:rsidP="00B97FD2">
      <w:pPr>
        <w:spacing w:line="480" w:lineRule="auto"/>
        <w:ind w:firstLine="720"/>
        <w:rPr>
          <w:rFonts w:cs="Arial"/>
        </w:rPr>
      </w:pPr>
    </w:p>
    <w:p w:rsidR="00B97FD2" w:rsidRPr="001C5833" w:rsidRDefault="00A8338F" w:rsidP="00B97FD2">
      <w:pPr>
        <w:spacing w:line="480" w:lineRule="auto"/>
        <w:ind w:firstLine="720"/>
        <w:rPr>
          <w:rFonts w:cs="Arial"/>
        </w:rPr>
      </w:pPr>
      <w:r w:rsidRPr="00A8338F">
        <w:rPr>
          <w:rFonts w:cs="Arial"/>
        </w:rPr>
        <w:t>The Company reviewed the program year report in the fall of 201</w:t>
      </w:r>
      <w:r w:rsidR="00FB2DB9">
        <w:rPr>
          <w:rFonts w:cs="Arial"/>
        </w:rPr>
        <w:t>2</w:t>
      </w:r>
      <w:r w:rsidRPr="00A8338F">
        <w:rPr>
          <w:rFonts w:cs="Arial"/>
        </w:rPr>
        <w:t xml:space="preserve"> with its Energy Efficiency Advisory Group.  This Report is intended to be responsive to several areas identified for evaluation as part of the UTC’s authorization of this program.</w:t>
      </w:r>
    </w:p>
    <w:p w:rsidR="00B97FD2" w:rsidRPr="001C5833" w:rsidRDefault="00A8338F" w:rsidP="00B97FD2">
      <w:pPr>
        <w:pStyle w:val="Heading1"/>
        <w:rPr>
          <w:rFonts w:cs="Arial"/>
          <w:b w:val="0"/>
          <w:color w:val="1F497D" w:themeColor="text2"/>
          <w:sz w:val="36"/>
          <w:szCs w:val="36"/>
        </w:rPr>
      </w:pPr>
      <w:bookmarkStart w:id="24" w:name="_Toc375555241"/>
      <w:r w:rsidRPr="00A8338F">
        <w:rPr>
          <w:rFonts w:cs="Arial"/>
          <w:b w:val="0"/>
          <w:color w:val="1F497D" w:themeColor="text2"/>
          <w:sz w:val="36"/>
          <w:szCs w:val="36"/>
        </w:rPr>
        <w:t>Key Terms</w:t>
      </w:r>
      <w:bookmarkEnd w:id="24"/>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p>
    <w:p w:rsidR="00B97FD2" w:rsidRPr="001C5833" w:rsidRDefault="00B97FD2" w:rsidP="00B97FD2">
      <w:pPr>
        <w:rPr>
          <w:rFonts w:cs="Arial"/>
        </w:rPr>
      </w:pPr>
    </w:p>
    <w:p w:rsidR="00B97FD2" w:rsidRPr="001C5833" w:rsidRDefault="00A8338F" w:rsidP="00B97FD2">
      <w:pPr>
        <w:spacing w:line="480" w:lineRule="auto"/>
        <w:rPr>
          <w:rFonts w:cs="Arial"/>
        </w:rPr>
      </w:pPr>
      <w:r w:rsidRPr="00A8338F">
        <w:rPr>
          <w:rFonts w:cs="Arial"/>
        </w:rPr>
        <w:t>Key terms used in this Report are described as follows.</w:t>
      </w:r>
    </w:p>
    <w:p w:rsidR="00B97FD2" w:rsidRPr="001C5833" w:rsidRDefault="00A8338F" w:rsidP="00B97FD2">
      <w:pPr>
        <w:pStyle w:val="ListParagraph"/>
        <w:numPr>
          <w:ilvl w:val="0"/>
          <w:numId w:val="42"/>
        </w:numPr>
        <w:spacing w:line="480" w:lineRule="auto"/>
        <w:rPr>
          <w:rFonts w:ascii="Arial" w:hAnsi="Arial" w:cs="Arial"/>
        </w:rPr>
      </w:pPr>
      <w:r w:rsidRPr="00A8338F">
        <w:rPr>
          <w:rFonts w:ascii="Arial" w:hAnsi="Arial" w:cs="Arial"/>
          <w:u w:val="single"/>
        </w:rPr>
        <w:t>Energy Cost Burden, Energy Burden</w:t>
      </w:r>
      <w:r w:rsidRPr="00A8338F">
        <w:rPr>
          <w:rFonts w:ascii="Arial" w:hAnsi="Arial" w:cs="Arial"/>
        </w:rPr>
        <w:t>—</w:t>
      </w:r>
      <w:proofErr w:type="gramStart"/>
      <w:r w:rsidRPr="00A8338F">
        <w:rPr>
          <w:rFonts w:ascii="Arial" w:hAnsi="Arial" w:cs="Arial"/>
        </w:rPr>
        <w:t>The</w:t>
      </w:r>
      <w:proofErr w:type="gramEnd"/>
      <w:r w:rsidRPr="00A8338F">
        <w:rPr>
          <w:rFonts w:ascii="Arial" w:hAnsi="Arial" w:cs="Arial"/>
        </w:rPr>
        <w:t xml:space="preserve"> percentage of income that households pay for energy service.</w:t>
      </w:r>
    </w:p>
    <w:p w:rsidR="00B97FD2" w:rsidRPr="001C5833" w:rsidRDefault="00A8338F" w:rsidP="00B97FD2">
      <w:pPr>
        <w:pStyle w:val="ListParagraph"/>
        <w:numPr>
          <w:ilvl w:val="0"/>
          <w:numId w:val="42"/>
        </w:numPr>
        <w:spacing w:line="480" w:lineRule="auto"/>
        <w:rPr>
          <w:rFonts w:ascii="Arial" w:hAnsi="Arial" w:cs="Arial"/>
        </w:rPr>
      </w:pPr>
      <w:r w:rsidRPr="00A8338F">
        <w:rPr>
          <w:rFonts w:ascii="Arial" w:hAnsi="Arial" w:cs="Arial"/>
          <w:u w:val="single"/>
        </w:rPr>
        <w:t>LIRAP Heat</w:t>
      </w:r>
      <w:r w:rsidRPr="00A8338F">
        <w:rPr>
          <w:rFonts w:ascii="Arial" w:hAnsi="Arial" w:cs="Arial"/>
        </w:rPr>
        <w:t xml:space="preserve">—Benefit calculated using customer heating costs.  </w:t>
      </w:r>
      <w:r w:rsidRPr="00A8338F">
        <w:rPr>
          <w:rFonts w:ascii="Arial" w:hAnsi="Arial" w:cs="Arial"/>
          <w:u w:val="single"/>
        </w:rPr>
        <w:t>LIRAP Project Share</w:t>
      </w:r>
      <w:r w:rsidRPr="00A8338F">
        <w:rPr>
          <w:rFonts w:ascii="Arial" w:hAnsi="Arial" w:cs="Arial"/>
        </w:rPr>
        <w:t>—Funds provided for “emergency” purposes.  The term “Project</w:t>
      </w:r>
      <w:r w:rsidRPr="00A8338F">
        <w:rPr>
          <w:rFonts w:ascii="Arial" w:hAnsi="Arial" w:cs="Arial"/>
          <w:u w:val="single"/>
        </w:rPr>
        <w:t xml:space="preserve"> </w:t>
      </w:r>
      <w:r w:rsidRPr="00A8338F">
        <w:rPr>
          <w:rFonts w:ascii="Arial" w:hAnsi="Arial" w:cs="Arial"/>
        </w:rPr>
        <w:t>Share” is used because this LIRAP emergency funding is patterned after the Project Share Program.</w:t>
      </w:r>
    </w:p>
    <w:p w:rsidR="00B97FD2" w:rsidRPr="001C5833" w:rsidRDefault="00A8338F" w:rsidP="00B97FD2">
      <w:pPr>
        <w:pStyle w:val="ListParagraph"/>
        <w:numPr>
          <w:ilvl w:val="0"/>
          <w:numId w:val="42"/>
        </w:numPr>
        <w:spacing w:line="480" w:lineRule="auto"/>
        <w:rPr>
          <w:rFonts w:ascii="Arial" w:hAnsi="Arial" w:cs="Arial"/>
        </w:rPr>
      </w:pPr>
      <w:r w:rsidRPr="00A8338F">
        <w:rPr>
          <w:rFonts w:ascii="Arial" w:hAnsi="Arial" w:cs="Arial"/>
          <w:u w:val="single"/>
        </w:rPr>
        <w:t>Participants</w:t>
      </w:r>
      <w:r w:rsidRPr="00A8338F">
        <w:rPr>
          <w:rFonts w:ascii="Arial" w:hAnsi="Arial" w:cs="Arial"/>
        </w:rPr>
        <w:t>—Customers who received LIRAP grant(s).</w:t>
      </w:r>
    </w:p>
    <w:p w:rsidR="00B97FD2" w:rsidRPr="001C5833" w:rsidRDefault="00A8338F" w:rsidP="00B97FD2">
      <w:pPr>
        <w:pStyle w:val="ListParagraph"/>
        <w:numPr>
          <w:ilvl w:val="0"/>
          <w:numId w:val="42"/>
        </w:numPr>
        <w:spacing w:line="480" w:lineRule="auto"/>
        <w:rPr>
          <w:rFonts w:ascii="Arial" w:hAnsi="Arial" w:cs="Arial"/>
        </w:rPr>
      </w:pPr>
      <w:r w:rsidRPr="00A8338F">
        <w:rPr>
          <w:rFonts w:ascii="Arial" w:hAnsi="Arial" w:cs="Arial"/>
          <w:u w:val="single"/>
        </w:rPr>
        <w:t>Schedule 91</w:t>
      </w:r>
      <w:r w:rsidRPr="00A8338F">
        <w:rPr>
          <w:rFonts w:ascii="Arial" w:hAnsi="Arial" w:cs="Arial"/>
        </w:rPr>
        <w:t>—Avista tariff including the electric surcharge LIRAP rate.</w:t>
      </w:r>
    </w:p>
    <w:p w:rsidR="00B97FD2" w:rsidRPr="001C5833" w:rsidRDefault="00A8338F" w:rsidP="00B97FD2">
      <w:pPr>
        <w:pStyle w:val="ListParagraph"/>
        <w:numPr>
          <w:ilvl w:val="0"/>
          <w:numId w:val="42"/>
        </w:numPr>
        <w:spacing w:line="480" w:lineRule="auto"/>
        <w:rPr>
          <w:rFonts w:ascii="Arial" w:hAnsi="Arial" w:cs="Arial"/>
        </w:rPr>
      </w:pPr>
      <w:r w:rsidRPr="00A8338F">
        <w:rPr>
          <w:rFonts w:ascii="Arial" w:hAnsi="Arial" w:cs="Arial"/>
          <w:u w:val="single"/>
        </w:rPr>
        <w:t>Schedule 191</w:t>
      </w:r>
      <w:r w:rsidRPr="00A8338F">
        <w:rPr>
          <w:rFonts w:ascii="Arial" w:hAnsi="Arial" w:cs="Arial"/>
        </w:rPr>
        <w:t>—Avista tariff including the natural gas surcharge LIRAP rate.</w:t>
      </w:r>
    </w:p>
    <w:p w:rsidR="00B97FD2" w:rsidRPr="001C5833" w:rsidRDefault="00A8338F" w:rsidP="00B97FD2">
      <w:pPr>
        <w:pStyle w:val="ListParagraph"/>
        <w:numPr>
          <w:ilvl w:val="0"/>
          <w:numId w:val="42"/>
        </w:numPr>
        <w:spacing w:line="480" w:lineRule="auto"/>
        <w:rPr>
          <w:rFonts w:ascii="Arial" w:hAnsi="Arial" w:cs="Arial"/>
          <w:b/>
          <w:u w:val="single"/>
        </w:rPr>
      </w:pPr>
      <w:r w:rsidRPr="00A8338F">
        <w:rPr>
          <w:rFonts w:ascii="Arial" w:hAnsi="Arial" w:cs="Arial"/>
          <w:u w:val="single"/>
        </w:rPr>
        <w:lastRenderedPageBreak/>
        <w:t>Senior Energy Outreach</w:t>
      </w:r>
      <w:r w:rsidRPr="00A8338F">
        <w:rPr>
          <w:rFonts w:ascii="Arial" w:hAnsi="Arial" w:cs="Arial"/>
        </w:rPr>
        <w:t>—</w:t>
      </w:r>
      <w:proofErr w:type="gramStart"/>
      <w:r w:rsidRPr="00A8338F">
        <w:rPr>
          <w:rFonts w:ascii="Arial" w:hAnsi="Arial" w:cs="Arial"/>
        </w:rPr>
        <w:t>This</w:t>
      </w:r>
      <w:proofErr w:type="gramEnd"/>
      <w:r w:rsidRPr="00A8338F">
        <w:rPr>
          <w:rFonts w:ascii="Arial" w:hAnsi="Arial" w:cs="Arial"/>
        </w:rPr>
        <w:t xml:space="preserve"> program denotes an offering unique to low-income senior customers.</w:t>
      </w:r>
    </w:p>
    <w:p w:rsidR="00B97FD2" w:rsidRPr="001C5833" w:rsidRDefault="00A8338F" w:rsidP="00B97FD2">
      <w:pPr>
        <w:pStyle w:val="Heading1"/>
        <w:rPr>
          <w:rFonts w:cs="Arial"/>
          <w:b w:val="0"/>
          <w:color w:val="1F497D" w:themeColor="text2"/>
          <w:sz w:val="36"/>
          <w:szCs w:val="36"/>
        </w:rPr>
      </w:pPr>
      <w:bookmarkStart w:id="25" w:name="_Toc375555242"/>
      <w:r w:rsidRPr="00A8338F">
        <w:rPr>
          <w:rFonts w:cs="Arial"/>
          <w:b w:val="0"/>
          <w:color w:val="1F497D" w:themeColor="text2"/>
          <w:sz w:val="36"/>
          <w:szCs w:val="36"/>
        </w:rPr>
        <w:t>Data Collection</w:t>
      </w:r>
      <w:bookmarkEnd w:id="25"/>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p>
    <w:p w:rsidR="00B97FD2" w:rsidRPr="001C5833" w:rsidRDefault="00B97FD2" w:rsidP="00B97FD2">
      <w:pPr>
        <w:spacing w:line="480" w:lineRule="auto"/>
        <w:contextualSpacing/>
        <w:rPr>
          <w:rFonts w:cs="Arial"/>
        </w:rPr>
      </w:pPr>
      <w:bookmarkStart w:id="26" w:name="_Toc294255861"/>
    </w:p>
    <w:p w:rsidR="00B97FD2" w:rsidRPr="001C5833" w:rsidRDefault="00A8338F" w:rsidP="00B97FD2">
      <w:pPr>
        <w:spacing w:line="480" w:lineRule="auto"/>
        <w:contextualSpacing/>
        <w:rPr>
          <w:rFonts w:cs="Arial"/>
        </w:rPr>
      </w:pPr>
      <w:r w:rsidRPr="00A8338F">
        <w:rPr>
          <w:rFonts w:cs="Arial"/>
        </w:rPr>
        <w:t>The data collection and measures used by Avista Utilities in the evaluation of LIRAP include:</w:t>
      </w:r>
      <w:bookmarkEnd w:id="26"/>
    </w:p>
    <w:p w:rsidR="00B97FD2" w:rsidRPr="001C5833" w:rsidRDefault="00A8338F" w:rsidP="00B97FD2">
      <w:pPr>
        <w:pStyle w:val="ListParagraph"/>
        <w:numPr>
          <w:ilvl w:val="0"/>
          <w:numId w:val="39"/>
        </w:numPr>
        <w:spacing w:line="360" w:lineRule="auto"/>
        <w:rPr>
          <w:rFonts w:ascii="Arial" w:hAnsi="Arial" w:cs="Arial"/>
        </w:rPr>
      </w:pPr>
      <w:r w:rsidRPr="00A8338F">
        <w:rPr>
          <w:rFonts w:ascii="Arial" w:hAnsi="Arial" w:cs="Arial"/>
        </w:rPr>
        <w:t>LIRAP Database;</w:t>
      </w:r>
    </w:p>
    <w:p w:rsidR="00B97FD2" w:rsidRPr="001C5833" w:rsidRDefault="00A8338F" w:rsidP="00B97FD2">
      <w:pPr>
        <w:pStyle w:val="ListParagraph"/>
        <w:numPr>
          <w:ilvl w:val="0"/>
          <w:numId w:val="39"/>
        </w:numPr>
        <w:spacing w:line="360" w:lineRule="auto"/>
        <w:rPr>
          <w:rFonts w:ascii="Arial" w:hAnsi="Arial" w:cs="Arial"/>
        </w:rPr>
      </w:pPr>
      <w:r w:rsidRPr="00A8338F">
        <w:rPr>
          <w:rFonts w:ascii="Arial" w:hAnsi="Arial" w:cs="Arial"/>
        </w:rPr>
        <w:t>Customer Service System (Avista Utilities’ information management data base);</w:t>
      </w:r>
      <w:r w:rsidR="00F317EA">
        <w:rPr>
          <w:rFonts w:ascii="Arial" w:hAnsi="Arial" w:cs="Arial"/>
        </w:rPr>
        <w:t xml:space="preserve"> and</w:t>
      </w:r>
    </w:p>
    <w:p w:rsidR="00B97FD2" w:rsidRPr="001C5833" w:rsidRDefault="00A8338F" w:rsidP="00B97FD2">
      <w:pPr>
        <w:pStyle w:val="ListParagraph"/>
        <w:numPr>
          <w:ilvl w:val="0"/>
          <w:numId w:val="39"/>
        </w:numPr>
        <w:spacing w:line="360" w:lineRule="auto"/>
        <w:rPr>
          <w:rFonts w:ascii="Arial" w:hAnsi="Arial" w:cs="Arial"/>
          <w:b/>
          <w:u w:val="single"/>
        </w:rPr>
      </w:pPr>
      <w:r w:rsidRPr="00A8338F">
        <w:rPr>
          <w:rFonts w:ascii="Arial" w:hAnsi="Arial" w:cs="Arial"/>
        </w:rPr>
        <w:t>Ongoing Advisory Group review.</w:t>
      </w:r>
    </w:p>
    <w:p w:rsidR="00B97FD2" w:rsidRPr="001C5833" w:rsidRDefault="00A8338F" w:rsidP="00B97FD2">
      <w:pPr>
        <w:pStyle w:val="Heading1"/>
        <w:rPr>
          <w:rFonts w:cs="Arial"/>
          <w:b w:val="0"/>
          <w:color w:val="1F497D" w:themeColor="text2"/>
          <w:sz w:val="36"/>
          <w:szCs w:val="36"/>
        </w:rPr>
      </w:pPr>
      <w:bookmarkStart w:id="27" w:name="_Toc375555243"/>
      <w:r w:rsidRPr="00A8338F">
        <w:rPr>
          <w:rFonts w:cs="Arial"/>
          <w:b w:val="0"/>
          <w:color w:val="1F497D" w:themeColor="text2"/>
          <w:sz w:val="36"/>
          <w:szCs w:val="36"/>
        </w:rPr>
        <w:t>Participating LIRAP Agencies</w:t>
      </w:r>
      <w:bookmarkEnd w:id="27"/>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p>
    <w:p w:rsidR="00B97FD2" w:rsidRPr="001C5833" w:rsidRDefault="00B97FD2" w:rsidP="00B97FD2">
      <w:pPr>
        <w:pStyle w:val="ListParagraph"/>
        <w:rPr>
          <w:rFonts w:ascii="Arial" w:hAnsi="Arial" w:cs="Arial"/>
        </w:rPr>
      </w:pP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Spokane Neighborhood Action Programs</w:t>
      </w: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Opportunities Industrialization Center of Washington</w:t>
      </w: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Community Action Center of Whitman County</w:t>
      </w: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A Community Action Partnership (Asotin County)</w:t>
      </w: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Washington Gorge Action Programs</w:t>
      </w:r>
    </w:p>
    <w:p w:rsidR="00B97FD2" w:rsidRPr="001C5833" w:rsidRDefault="00A8338F" w:rsidP="00B97FD2">
      <w:pPr>
        <w:pStyle w:val="ListParagraph"/>
        <w:numPr>
          <w:ilvl w:val="0"/>
          <w:numId w:val="40"/>
        </w:numPr>
        <w:spacing w:line="360" w:lineRule="auto"/>
        <w:rPr>
          <w:rFonts w:ascii="Arial" w:hAnsi="Arial" w:cs="Arial"/>
        </w:rPr>
      </w:pPr>
      <w:r w:rsidRPr="00A8338F">
        <w:rPr>
          <w:rFonts w:ascii="Arial" w:hAnsi="Arial" w:cs="Arial"/>
        </w:rPr>
        <w:t>Rural Resources Community Action</w:t>
      </w:r>
    </w:p>
    <w:p w:rsidR="008A0428" w:rsidRDefault="008A0428" w:rsidP="00B97FD2">
      <w:pPr>
        <w:pStyle w:val="Heading1"/>
        <w:rPr>
          <w:rFonts w:cs="Arial"/>
          <w:b w:val="0"/>
          <w:color w:val="1F497D" w:themeColor="text2"/>
          <w:sz w:val="36"/>
          <w:szCs w:val="36"/>
        </w:rPr>
      </w:pPr>
    </w:p>
    <w:p w:rsidR="008A0428" w:rsidRDefault="008A0428" w:rsidP="008A0428"/>
    <w:p w:rsidR="008A0428" w:rsidRDefault="008A0428" w:rsidP="008A0428"/>
    <w:p w:rsidR="008A0428" w:rsidRDefault="008A0428" w:rsidP="008A0428"/>
    <w:p w:rsidR="008A0428" w:rsidRDefault="008A0428" w:rsidP="008A0428"/>
    <w:p w:rsidR="008A0428" w:rsidRDefault="008A0428" w:rsidP="008A0428"/>
    <w:p w:rsidR="008A0428" w:rsidRDefault="008A0428" w:rsidP="008A0428"/>
    <w:p w:rsidR="008A0428" w:rsidRDefault="008A0428" w:rsidP="008A0428"/>
    <w:p w:rsidR="008A0428" w:rsidRDefault="008A0428" w:rsidP="008A0428"/>
    <w:p w:rsidR="008A0428" w:rsidRPr="008A0428" w:rsidRDefault="008A0428" w:rsidP="008A0428"/>
    <w:p w:rsidR="00B97FD2" w:rsidRPr="001C5833" w:rsidRDefault="00A8338F" w:rsidP="008A0428">
      <w:pPr>
        <w:pStyle w:val="Heading1"/>
        <w:spacing w:before="0"/>
        <w:rPr>
          <w:rFonts w:cs="Arial"/>
          <w:b w:val="0"/>
          <w:color w:val="1F497D" w:themeColor="text2"/>
          <w:sz w:val="36"/>
          <w:szCs w:val="36"/>
        </w:rPr>
      </w:pPr>
      <w:bookmarkStart w:id="28" w:name="_Toc375555244"/>
      <w:r w:rsidRPr="00A8338F">
        <w:rPr>
          <w:rFonts w:cs="Arial"/>
          <w:b w:val="0"/>
          <w:color w:val="1F497D" w:themeColor="text2"/>
          <w:sz w:val="36"/>
          <w:szCs w:val="36"/>
        </w:rPr>
        <w:lastRenderedPageBreak/>
        <w:t>Contacts</w:t>
      </w:r>
      <w:bookmarkEnd w:id="28"/>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r w:rsidRPr="00A8338F">
        <w:rPr>
          <w:rFonts w:cs="Arial"/>
          <w:b w:val="0"/>
          <w:color w:val="1F497D" w:themeColor="text2"/>
          <w:sz w:val="36"/>
          <w:szCs w:val="36"/>
        </w:rPr>
        <w:tab/>
      </w:r>
    </w:p>
    <w:p w:rsidR="00B97FD2" w:rsidRPr="001C5833" w:rsidRDefault="00B97FD2" w:rsidP="00B97FD2">
      <w:pPr>
        <w:rPr>
          <w:rFonts w:cs="Arial"/>
        </w:rPr>
      </w:pPr>
    </w:p>
    <w:p w:rsidR="00B97FD2" w:rsidRPr="001C5833" w:rsidRDefault="00A8338F" w:rsidP="00B97FD2">
      <w:pPr>
        <w:rPr>
          <w:rFonts w:cs="Arial"/>
        </w:rPr>
      </w:pPr>
      <w:r w:rsidRPr="00A8338F">
        <w:rPr>
          <w:rFonts w:cs="Arial"/>
        </w:rPr>
        <w:t>For further information, please contact:</w:t>
      </w:r>
    </w:p>
    <w:p w:rsidR="00B97FD2" w:rsidRPr="001C5833" w:rsidRDefault="00B97FD2" w:rsidP="00B97FD2">
      <w:pPr>
        <w:rPr>
          <w:rFonts w:cs="Arial"/>
        </w:rPr>
      </w:pPr>
    </w:p>
    <w:p w:rsidR="00B97FD2" w:rsidRPr="001C5833" w:rsidRDefault="00B97FD2" w:rsidP="00B97FD2">
      <w:pPr>
        <w:rPr>
          <w:rFonts w:cs="Arial"/>
        </w:rPr>
      </w:pPr>
    </w:p>
    <w:p w:rsidR="00B97FD2" w:rsidRPr="001C5833" w:rsidRDefault="00A8338F" w:rsidP="00B97FD2">
      <w:pPr>
        <w:pStyle w:val="ListParagraph"/>
        <w:numPr>
          <w:ilvl w:val="0"/>
          <w:numId w:val="41"/>
        </w:numPr>
        <w:rPr>
          <w:rFonts w:ascii="Arial" w:hAnsi="Arial" w:cs="Arial"/>
        </w:rPr>
      </w:pPr>
      <w:r w:rsidRPr="00A8338F">
        <w:rPr>
          <w:rFonts w:ascii="Arial" w:hAnsi="Arial" w:cs="Arial"/>
        </w:rPr>
        <w:t xml:space="preserve">Ana Matthews </w:t>
      </w:r>
    </w:p>
    <w:p w:rsidR="00B97FD2" w:rsidRPr="001C5833" w:rsidRDefault="00A8338F" w:rsidP="00B97FD2">
      <w:pPr>
        <w:pStyle w:val="ListParagraph"/>
        <w:rPr>
          <w:rFonts w:ascii="Arial" w:hAnsi="Arial" w:cs="Arial"/>
        </w:rPr>
      </w:pPr>
      <w:r w:rsidRPr="00A8338F">
        <w:rPr>
          <w:rFonts w:ascii="Arial" w:hAnsi="Arial" w:cs="Arial"/>
        </w:rPr>
        <w:t xml:space="preserve">LIRAP </w:t>
      </w:r>
      <w:r w:rsidR="008A0428">
        <w:rPr>
          <w:rFonts w:ascii="Arial" w:hAnsi="Arial" w:cs="Arial"/>
        </w:rPr>
        <w:t xml:space="preserve">Program </w:t>
      </w:r>
      <w:r w:rsidRPr="00A8338F">
        <w:rPr>
          <w:rFonts w:ascii="Arial" w:hAnsi="Arial" w:cs="Arial"/>
        </w:rPr>
        <w:t>Manager</w:t>
      </w:r>
    </w:p>
    <w:p w:rsidR="00B97FD2" w:rsidRPr="001C5833" w:rsidRDefault="00A8338F" w:rsidP="00B97FD2">
      <w:pPr>
        <w:ind w:firstLine="720"/>
        <w:rPr>
          <w:rFonts w:cs="Arial"/>
        </w:rPr>
      </w:pPr>
      <w:r w:rsidRPr="00A8338F">
        <w:rPr>
          <w:rFonts w:cs="Arial"/>
        </w:rPr>
        <w:t>509.495.7979</w:t>
      </w:r>
    </w:p>
    <w:p w:rsidR="00B97FD2" w:rsidRPr="001C5833" w:rsidRDefault="00A8338F" w:rsidP="00B97FD2">
      <w:pPr>
        <w:pStyle w:val="ListParagraph"/>
        <w:rPr>
          <w:rFonts w:ascii="Arial" w:hAnsi="Arial" w:cs="Arial"/>
        </w:rPr>
      </w:pPr>
      <w:r w:rsidRPr="00A8338F">
        <w:rPr>
          <w:rFonts w:ascii="Arial" w:hAnsi="Arial" w:cs="Arial"/>
        </w:rPr>
        <w:t>Ana.Matthews@avistacorp.com</w:t>
      </w:r>
    </w:p>
    <w:p w:rsidR="00B97FD2" w:rsidRPr="001C5833" w:rsidRDefault="00B97FD2" w:rsidP="00B97FD2">
      <w:pPr>
        <w:ind w:firstLine="720"/>
        <w:rPr>
          <w:rFonts w:cs="Arial"/>
        </w:rPr>
      </w:pPr>
    </w:p>
    <w:p w:rsidR="00B97FD2" w:rsidRPr="001C5833" w:rsidRDefault="00A8338F" w:rsidP="00B97FD2">
      <w:pPr>
        <w:pStyle w:val="ListParagraph"/>
        <w:numPr>
          <w:ilvl w:val="0"/>
          <w:numId w:val="41"/>
        </w:numPr>
        <w:rPr>
          <w:rFonts w:ascii="Arial" w:hAnsi="Arial" w:cs="Arial"/>
        </w:rPr>
      </w:pPr>
      <w:r w:rsidRPr="00A8338F">
        <w:rPr>
          <w:rFonts w:ascii="Arial" w:hAnsi="Arial" w:cs="Arial"/>
        </w:rPr>
        <w:t>Linda Gervais</w:t>
      </w:r>
    </w:p>
    <w:p w:rsidR="00B97FD2" w:rsidRPr="001C5833" w:rsidRDefault="00A8338F" w:rsidP="00B97FD2">
      <w:pPr>
        <w:pStyle w:val="ListParagraph"/>
        <w:rPr>
          <w:rFonts w:ascii="Arial" w:hAnsi="Arial" w:cs="Arial"/>
        </w:rPr>
      </w:pPr>
      <w:r w:rsidRPr="00A8338F">
        <w:rPr>
          <w:rFonts w:ascii="Arial" w:hAnsi="Arial" w:cs="Arial"/>
        </w:rPr>
        <w:t>Manager, Regulatory Policy</w:t>
      </w:r>
    </w:p>
    <w:p w:rsidR="00B97FD2" w:rsidRPr="001C5833" w:rsidRDefault="00A8338F" w:rsidP="00B97FD2">
      <w:pPr>
        <w:ind w:firstLine="720"/>
        <w:rPr>
          <w:rFonts w:cs="Arial"/>
        </w:rPr>
      </w:pPr>
      <w:r w:rsidRPr="00A8338F">
        <w:rPr>
          <w:rFonts w:cs="Arial"/>
        </w:rPr>
        <w:t>509.495.4975</w:t>
      </w:r>
    </w:p>
    <w:p w:rsidR="00B97FD2" w:rsidRPr="001C5833" w:rsidRDefault="00A8338F" w:rsidP="00B97FD2">
      <w:pPr>
        <w:pStyle w:val="ListParagraph"/>
        <w:rPr>
          <w:rFonts w:ascii="Arial" w:hAnsi="Arial" w:cs="Arial"/>
        </w:rPr>
      </w:pPr>
      <w:r w:rsidRPr="00A8338F">
        <w:rPr>
          <w:rFonts w:ascii="Arial" w:hAnsi="Arial" w:cs="Arial"/>
        </w:rPr>
        <w:t>linda.gervais@avistacorp.com</w:t>
      </w:r>
      <w:r w:rsidRPr="00A8338F">
        <w:rPr>
          <w:rFonts w:ascii="Arial" w:hAnsi="Arial" w:cs="Arial"/>
        </w:rPr>
        <w:tab/>
      </w:r>
    </w:p>
    <w:p w:rsidR="00B97FD2" w:rsidRPr="001C5833" w:rsidRDefault="00B97FD2" w:rsidP="00B97FD2">
      <w:pPr>
        <w:rPr>
          <w:rFonts w:cs="Arial"/>
        </w:rPr>
      </w:pPr>
    </w:p>
    <w:p w:rsidR="00B97FD2" w:rsidRPr="001C5833" w:rsidRDefault="00FB2DB9" w:rsidP="00B97FD2">
      <w:pPr>
        <w:pStyle w:val="ListParagraph"/>
        <w:numPr>
          <w:ilvl w:val="0"/>
          <w:numId w:val="41"/>
        </w:numPr>
        <w:rPr>
          <w:rFonts w:ascii="Arial" w:hAnsi="Arial" w:cs="Arial"/>
        </w:rPr>
      </w:pPr>
      <w:r>
        <w:rPr>
          <w:rFonts w:ascii="Arial" w:hAnsi="Arial" w:cs="Arial"/>
        </w:rPr>
        <w:t>Ryan Finesilver</w:t>
      </w:r>
    </w:p>
    <w:p w:rsidR="00B97FD2" w:rsidRPr="001C5833" w:rsidRDefault="00A8338F" w:rsidP="00B97FD2">
      <w:pPr>
        <w:pStyle w:val="ListParagraph"/>
        <w:rPr>
          <w:rFonts w:ascii="Arial" w:hAnsi="Arial" w:cs="Arial"/>
        </w:rPr>
      </w:pPr>
      <w:r w:rsidRPr="00A8338F">
        <w:rPr>
          <w:rFonts w:ascii="Arial" w:hAnsi="Arial" w:cs="Arial"/>
        </w:rPr>
        <w:t>Regulatory Analyst</w:t>
      </w:r>
    </w:p>
    <w:p w:rsidR="00B97FD2" w:rsidRPr="001C5833" w:rsidRDefault="00A8338F" w:rsidP="00B97FD2">
      <w:pPr>
        <w:pStyle w:val="ListParagraph"/>
        <w:rPr>
          <w:rFonts w:ascii="Arial" w:hAnsi="Arial" w:cs="Arial"/>
        </w:rPr>
      </w:pPr>
      <w:r w:rsidRPr="00A8338F">
        <w:rPr>
          <w:rFonts w:ascii="Arial" w:hAnsi="Arial" w:cs="Arial"/>
        </w:rPr>
        <w:t>509.495.</w:t>
      </w:r>
      <w:r w:rsidR="00FB2DB9">
        <w:rPr>
          <w:rFonts w:ascii="Arial" w:hAnsi="Arial" w:cs="Arial"/>
        </w:rPr>
        <w:t>4873</w:t>
      </w:r>
    </w:p>
    <w:p w:rsidR="00B97FD2" w:rsidRPr="001C5833" w:rsidRDefault="00FB2DB9" w:rsidP="00B97FD2">
      <w:pPr>
        <w:pStyle w:val="ListParagraph"/>
        <w:rPr>
          <w:rFonts w:ascii="Arial" w:hAnsi="Arial" w:cs="Arial"/>
        </w:rPr>
      </w:pPr>
      <w:r>
        <w:rPr>
          <w:rFonts w:ascii="Arial" w:hAnsi="Arial" w:cs="Arial"/>
        </w:rPr>
        <w:t>ryan.finesilver</w:t>
      </w:r>
      <w:r w:rsidR="00A8338F" w:rsidRPr="00A8338F">
        <w:rPr>
          <w:rFonts w:ascii="Arial" w:hAnsi="Arial" w:cs="Arial"/>
        </w:rPr>
        <w:t>@avistacorp.com</w:t>
      </w:r>
    </w:p>
    <w:p w:rsidR="00B97FD2" w:rsidRPr="001C5833" w:rsidRDefault="00B97FD2" w:rsidP="00B97FD2">
      <w:pPr>
        <w:rPr>
          <w:rFonts w:cs="Arial"/>
        </w:rPr>
      </w:pPr>
    </w:p>
    <w:p w:rsidR="003D0502" w:rsidRPr="001C5833" w:rsidRDefault="003D0502" w:rsidP="00B3771B">
      <w:pPr>
        <w:pStyle w:val="Heading1"/>
        <w:rPr>
          <w:rFonts w:cs="Arial"/>
        </w:rPr>
      </w:pPr>
    </w:p>
    <w:sectPr w:rsidR="003D0502" w:rsidRPr="001C5833"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7EA" w:rsidRDefault="00F317EA" w:rsidP="00BA6B62">
      <w:r>
        <w:separator/>
      </w:r>
    </w:p>
  </w:endnote>
  <w:endnote w:type="continuationSeparator" w:id="0">
    <w:p w:rsidR="00F317EA" w:rsidRDefault="00F317EA" w:rsidP="00BA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08830"/>
      <w:docPartObj>
        <w:docPartGallery w:val="Page Numbers (Bottom of Page)"/>
        <w:docPartUnique/>
      </w:docPartObj>
    </w:sdtPr>
    <w:sdtEndPr>
      <w:rPr>
        <w:color w:val="7F7F7F" w:themeColor="background1" w:themeShade="7F"/>
        <w:spacing w:val="60"/>
      </w:rPr>
    </w:sdtEndPr>
    <w:sdtContent>
      <w:p w:rsidR="00F317EA" w:rsidRDefault="00F317EA">
        <w:pPr>
          <w:pStyle w:val="Footer"/>
          <w:pBdr>
            <w:top w:val="single" w:sz="4" w:space="1" w:color="D9D9D9" w:themeColor="background1" w:themeShade="D9"/>
          </w:pBdr>
          <w:jc w:val="right"/>
        </w:pPr>
        <w:fldSimple w:instr=" PAGE   \* MERGEFORMAT ">
          <w:r w:rsidR="006922D5">
            <w:rPr>
              <w:noProof/>
            </w:rPr>
            <w:t>15</w:t>
          </w:r>
        </w:fldSimple>
        <w:r>
          <w:t xml:space="preserve"> | </w:t>
        </w:r>
        <w:r>
          <w:rPr>
            <w:color w:val="7F7F7F" w:themeColor="background1" w:themeShade="7F"/>
            <w:spacing w:val="60"/>
          </w:rPr>
          <w:t>Page</w:t>
        </w:r>
      </w:p>
    </w:sdtContent>
  </w:sdt>
  <w:p w:rsidR="00F317EA" w:rsidRDefault="00F317EA"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7EA" w:rsidRDefault="00F317EA" w:rsidP="00BA6B62">
      <w:r>
        <w:separator/>
      </w:r>
    </w:p>
  </w:footnote>
  <w:footnote w:type="continuationSeparator" w:id="0">
    <w:p w:rsidR="00F317EA" w:rsidRDefault="00F317EA" w:rsidP="00BA6B62">
      <w:r>
        <w:continuationSeparator/>
      </w:r>
    </w:p>
  </w:footnote>
  <w:footnote w:id="1">
    <w:p w:rsidR="00F317EA" w:rsidRDefault="00F317EA">
      <w:pPr>
        <w:pStyle w:val="FootnoteText"/>
        <w:jc w:val="both"/>
      </w:pPr>
      <w:r>
        <w:rPr>
          <w:rStyle w:val="FootnoteReference"/>
        </w:rPr>
        <w:footnoteRef/>
      </w:r>
      <w:r>
        <w:t xml:space="preserve"> </w:t>
      </w:r>
      <w:r w:rsidRPr="00944670">
        <w:rPr>
          <w:rFonts w:ascii="Arial" w:hAnsi="Arial" w:cs="Arial"/>
          <w:bCs/>
          <w:color w:val="2D261A"/>
        </w:rPr>
        <w:t xml:space="preserve">The Low Income Home Energy Assistance Program </w:t>
      </w:r>
      <w:r w:rsidRPr="00944670">
        <w:rPr>
          <w:rFonts w:ascii="Arial" w:hAnsi="Arial" w:cs="Arial"/>
          <w:color w:val="2D261A"/>
        </w:rPr>
        <w:t>(</w:t>
      </w:r>
      <w:r w:rsidRPr="00944670">
        <w:rPr>
          <w:rFonts w:ascii="Arial" w:hAnsi="Arial" w:cs="Arial"/>
          <w:bCs/>
          <w:color w:val="2D261A"/>
        </w:rPr>
        <w:t>LIHEAP</w:t>
      </w:r>
      <w:r w:rsidRPr="00944670">
        <w:rPr>
          <w:rFonts w:ascii="Arial" w:hAnsi="Arial" w:cs="Arial"/>
          <w:color w:val="2D261A"/>
        </w:rPr>
        <w:t>) is a federal program established in 1981 and funded annually by Congress. These federal dollars are released directly to states, territories, tribes and the District of Columbia who use the funds to provide energy assistance to low-income households. LIHEAP offers financial assistance to qualifying low-income households to help them pay their home heating or cooling bills. Under federal law, a household must have income below either 150 percent of the federal poverty level or 60 percent of state median income level, whichever is higher. However, states can set lower income thresholds if they choose to. Some states use non-federal funds to expand their programs to include more households or to provide higher benefits.</w:t>
      </w:r>
    </w:p>
  </w:footnote>
  <w:footnote w:id="2">
    <w:p w:rsidR="00F317EA" w:rsidRDefault="00F317EA" w:rsidP="00A03AC1">
      <w:pPr>
        <w:pStyle w:val="FootnoteText"/>
      </w:pPr>
      <w:r>
        <w:rPr>
          <w:rStyle w:val="FootnoteReference"/>
        </w:rPr>
        <w:footnoteRef/>
      </w:r>
      <w:r>
        <w:t xml:space="preserve"> Docket No. UE-120436 and UG-120437</w:t>
      </w:r>
    </w:p>
  </w:footnote>
  <w:footnote w:id="3">
    <w:p w:rsidR="009D6EDB" w:rsidRDefault="009D6EDB">
      <w:pPr>
        <w:pStyle w:val="FootnoteText"/>
      </w:pPr>
      <w:r>
        <w:rPr>
          <w:rStyle w:val="FootnoteReference"/>
        </w:rPr>
        <w:footnoteRef/>
      </w:r>
      <w:r>
        <w:t xml:space="preserve"> </w:t>
      </w:r>
      <w:r>
        <w:rPr>
          <w:rFonts w:cs="Arial"/>
        </w:rPr>
        <w:t>Information provided</w:t>
      </w:r>
      <w:r w:rsidRPr="001C5833">
        <w:rPr>
          <w:rFonts w:cs="Arial"/>
        </w:rPr>
        <w:t xml:space="preserve"> by the Spokane Nei</w:t>
      </w:r>
      <w:r>
        <w:rPr>
          <w:rFonts w:cs="Arial"/>
        </w:rPr>
        <w:t>ghborhood Action Program (SNAP).</w:t>
      </w:r>
    </w:p>
  </w:footnote>
  <w:footnote w:id="4">
    <w:p w:rsidR="00F317EA" w:rsidRDefault="00F317EA">
      <w:pPr>
        <w:pStyle w:val="FootnoteText"/>
      </w:pPr>
      <w:r>
        <w:rPr>
          <w:rStyle w:val="FootnoteReference"/>
        </w:rPr>
        <w:footnoteRef/>
      </w:r>
      <w:r>
        <w:t xml:space="preserve"> </w:t>
      </w:r>
      <w:r>
        <w:rPr>
          <w:rFonts w:ascii="Arial" w:hAnsi="Arial" w:cs="Arial"/>
          <w:szCs w:val="24"/>
        </w:rPr>
        <w:t>Avista Customer Assistance Referral and Evaluation Services (CARES) team is comprised of specially-trained representatives that provide referrals to area agencies and churches for customers with special needs for help with housing, utilities, medical assistance, etc. Currently, the CARES team is working with 2,336 special needs customers in Washington.</w:t>
      </w:r>
    </w:p>
  </w:footnote>
  <w:footnote w:id="5">
    <w:p w:rsidR="00F317EA" w:rsidRDefault="00F317EA" w:rsidP="00B97FD2">
      <w:pPr>
        <w:pStyle w:val="FootnoteText"/>
      </w:pPr>
      <w:r>
        <w:rPr>
          <w:rStyle w:val="FootnoteReference"/>
        </w:rPr>
        <w:footnoteRef/>
      </w:r>
      <w:r>
        <w:t xml:space="preserve"> Docket Nos. </w:t>
      </w:r>
      <w:proofErr w:type="gramStart"/>
      <w:r>
        <w:t>UE-110876 and UG-110877.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EA" w:rsidRDefault="00F317EA"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EA" w:rsidRDefault="00F317EA"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0290BC"/>
    <w:lvl w:ilvl="0">
      <w:numFmt w:val="bullet"/>
      <w:lvlText w:val="*"/>
      <w:lvlJc w:val="left"/>
    </w:lvl>
  </w:abstractNum>
  <w:abstractNum w:abstractNumId="1">
    <w:nsid w:val="02A10FC7"/>
    <w:multiLevelType w:val="multilevel"/>
    <w:tmpl w:val="99BE9E0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227473"/>
    <w:multiLevelType w:val="hybridMultilevel"/>
    <w:tmpl w:val="7B084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4085C"/>
    <w:multiLevelType w:val="hybridMultilevel"/>
    <w:tmpl w:val="C3088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5786B"/>
    <w:multiLevelType w:val="hybridMultilevel"/>
    <w:tmpl w:val="E82EE0FC"/>
    <w:lvl w:ilvl="0" w:tplc="0409000F">
      <w:start w:val="1"/>
      <w:numFmt w:val="decimal"/>
      <w:lvlText w:val="%1."/>
      <w:lvlJc w:val="left"/>
      <w:pPr>
        <w:ind w:left="765" w:hanging="360"/>
      </w:pPr>
      <w:rPr>
        <w:rFonts w:hint="default"/>
      </w:rPr>
    </w:lvl>
    <w:lvl w:ilvl="1" w:tplc="04090017">
      <w:start w:val="1"/>
      <w:numFmt w:val="lowerLetter"/>
      <w:lvlText w:val="%2)"/>
      <w:lvlJc w:val="left"/>
      <w:pPr>
        <w:ind w:left="1485" w:hanging="360"/>
      </w:pPr>
      <w:rPr>
        <w:rFonts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622FD2"/>
    <w:multiLevelType w:val="hybridMultilevel"/>
    <w:tmpl w:val="99D8A39E"/>
    <w:lvl w:ilvl="0" w:tplc="521449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57698"/>
    <w:multiLevelType w:val="hybridMultilevel"/>
    <w:tmpl w:val="F2FA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D06018"/>
    <w:multiLevelType w:val="hybridMultilevel"/>
    <w:tmpl w:val="72603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E1E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3F43ABD"/>
    <w:multiLevelType w:val="hybridMultilevel"/>
    <w:tmpl w:val="6CA46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47B91"/>
    <w:multiLevelType w:val="multilevel"/>
    <w:tmpl w:val="13F884E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7181AE4"/>
    <w:multiLevelType w:val="hybridMultilevel"/>
    <w:tmpl w:val="8DEE4D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F77D5"/>
    <w:multiLevelType w:val="hybridMultilevel"/>
    <w:tmpl w:val="03A0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533834"/>
    <w:multiLevelType w:val="hybridMultilevel"/>
    <w:tmpl w:val="F25C4A44"/>
    <w:lvl w:ilvl="0" w:tplc="32FC77E4">
      <w:start w:val="2"/>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053C5"/>
    <w:multiLevelType w:val="hybridMultilevel"/>
    <w:tmpl w:val="0AEC3B32"/>
    <w:lvl w:ilvl="0" w:tplc="52144964">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700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D776F37"/>
    <w:multiLevelType w:val="multilevel"/>
    <w:tmpl w:val="607A8822"/>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4C4E62"/>
    <w:multiLevelType w:val="hybridMultilevel"/>
    <w:tmpl w:val="B900C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F4BB3"/>
    <w:multiLevelType w:val="hybridMultilevel"/>
    <w:tmpl w:val="CED2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76FCF"/>
    <w:multiLevelType w:val="hybridMultilevel"/>
    <w:tmpl w:val="2A3EF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1A76E7"/>
    <w:multiLevelType w:val="hybridMultilevel"/>
    <w:tmpl w:val="94BA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4F6983"/>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CE663E"/>
    <w:multiLevelType w:val="hybridMultilevel"/>
    <w:tmpl w:val="5266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A17AA2"/>
    <w:multiLevelType w:val="hybridMultilevel"/>
    <w:tmpl w:val="AA4A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393F51"/>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0533BE"/>
    <w:multiLevelType w:val="multilevel"/>
    <w:tmpl w:val="6EDC6CD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B948A9"/>
    <w:multiLevelType w:val="hybridMultilevel"/>
    <w:tmpl w:val="76C26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9F74CC2"/>
    <w:multiLevelType w:val="hybridMultilevel"/>
    <w:tmpl w:val="E83C0BA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nsid w:val="4A4F0590"/>
    <w:multiLevelType w:val="hybridMultilevel"/>
    <w:tmpl w:val="30BC0D22"/>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
    <w:nsid w:val="51EB7DCE"/>
    <w:multiLevelType w:val="hybridMultilevel"/>
    <w:tmpl w:val="19787390"/>
    <w:lvl w:ilvl="0" w:tplc="52144964">
      <w:start w:val="1"/>
      <w:numFmt w:val="bullet"/>
      <w:lvlText w:val=""/>
      <w:lvlJc w:val="left"/>
      <w:pPr>
        <w:ind w:left="720" w:hanging="360"/>
      </w:pPr>
      <w:rPr>
        <w:rFonts w:ascii="Symbol" w:hAnsi="Symbol" w:hint="default"/>
      </w:rPr>
    </w:lvl>
    <w:lvl w:ilvl="1" w:tplc="5214496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A17B0"/>
    <w:multiLevelType w:val="multilevel"/>
    <w:tmpl w:val="FC92094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675"/>
        </w:tabs>
        <w:ind w:left="675" w:hanging="630"/>
      </w:pPr>
      <w:rPr>
        <w:rFonts w:hint="default"/>
      </w:rPr>
    </w:lvl>
    <w:lvl w:ilvl="2">
      <w:start w:val="2"/>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52B7E9D"/>
    <w:multiLevelType w:val="multilevel"/>
    <w:tmpl w:val="E90E510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3A22FF"/>
    <w:multiLevelType w:val="hybridMultilevel"/>
    <w:tmpl w:val="7D0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428E2"/>
    <w:multiLevelType w:val="hybridMultilevel"/>
    <w:tmpl w:val="3F4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91BBF"/>
    <w:multiLevelType w:val="singleLevel"/>
    <w:tmpl w:val="2F9C025A"/>
    <w:lvl w:ilvl="0">
      <w:start w:val="1411"/>
      <w:numFmt w:val="bullet"/>
      <w:lvlText w:val=""/>
      <w:lvlJc w:val="left"/>
      <w:pPr>
        <w:tabs>
          <w:tab w:val="num" w:pos="720"/>
        </w:tabs>
        <w:ind w:left="720" w:hanging="720"/>
      </w:pPr>
      <w:rPr>
        <w:rFonts w:ascii="Symbol" w:hAnsi="Symbol" w:hint="default"/>
      </w:rPr>
    </w:lvl>
  </w:abstractNum>
  <w:abstractNum w:abstractNumId="37">
    <w:nsid w:val="6AB3236C"/>
    <w:multiLevelType w:val="hybridMultilevel"/>
    <w:tmpl w:val="3722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D36EAE"/>
    <w:multiLevelType w:val="multilevel"/>
    <w:tmpl w:val="CBFE6A9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761229E"/>
    <w:multiLevelType w:val="hybridMultilevel"/>
    <w:tmpl w:val="741E3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E1BAF"/>
    <w:multiLevelType w:val="multilevel"/>
    <w:tmpl w:val="A218F49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36"/>
  </w:num>
  <w:num w:numId="3">
    <w:abstractNumId w:val="16"/>
  </w:num>
  <w:num w:numId="4">
    <w:abstractNumId w:val="9"/>
  </w:num>
  <w:num w:numId="5">
    <w:abstractNumId w:val="7"/>
  </w:num>
  <w:num w:numId="6">
    <w:abstractNumId w:val="41"/>
  </w:num>
  <w:num w:numId="7">
    <w:abstractNumId w:val="25"/>
  </w:num>
  <w:num w:numId="8">
    <w:abstractNumId w:val="31"/>
  </w:num>
  <w:num w:numId="9">
    <w:abstractNumId w:val="29"/>
  </w:num>
  <w:num w:numId="10">
    <w:abstractNumId w:val="22"/>
  </w:num>
  <w:num w:numId="11">
    <w:abstractNumId w:val="28"/>
  </w:num>
  <w:num w:numId="12">
    <w:abstractNumId w:val="3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3"/>
  </w:num>
  <w:num w:numId="15">
    <w:abstractNumId w:val="24"/>
  </w:num>
  <w:num w:numId="16">
    <w:abstractNumId w:val="26"/>
  </w:num>
  <w:num w:numId="17">
    <w:abstractNumId w:val="1"/>
  </w:num>
  <w:num w:numId="18">
    <w:abstractNumId w:val="11"/>
  </w:num>
  <w:num w:numId="19">
    <w:abstractNumId w:val="13"/>
  </w:num>
  <w:num w:numId="20">
    <w:abstractNumId w:val="27"/>
  </w:num>
  <w:num w:numId="21">
    <w:abstractNumId w:val="17"/>
  </w:num>
  <w:num w:numId="22">
    <w:abstractNumId w:val="19"/>
  </w:num>
  <w:num w:numId="23">
    <w:abstractNumId w:val="35"/>
  </w:num>
  <w:num w:numId="24">
    <w:abstractNumId w:val="5"/>
  </w:num>
  <w:num w:numId="25">
    <w:abstractNumId w:val="32"/>
  </w:num>
  <w:num w:numId="26">
    <w:abstractNumId w:val="14"/>
  </w:num>
  <w:num w:numId="27">
    <w:abstractNumId w:val="34"/>
  </w:num>
  <w:num w:numId="28">
    <w:abstractNumId w:val="21"/>
  </w:num>
  <w:num w:numId="29">
    <w:abstractNumId w:val="38"/>
  </w:num>
  <w:num w:numId="30">
    <w:abstractNumId w:val="23"/>
  </w:num>
  <w:num w:numId="31">
    <w:abstractNumId w:val="40"/>
  </w:num>
  <w:num w:numId="32">
    <w:abstractNumId w:val="4"/>
  </w:num>
  <w:num w:numId="33">
    <w:abstractNumId w:val="6"/>
  </w:num>
  <w:num w:numId="34">
    <w:abstractNumId w:val="18"/>
  </w:num>
  <w:num w:numId="35">
    <w:abstractNumId w:val="15"/>
  </w:num>
  <w:num w:numId="36">
    <w:abstractNumId w:val="12"/>
  </w:num>
  <w:num w:numId="37">
    <w:abstractNumId w:val="30"/>
  </w:num>
  <w:num w:numId="38">
    <w:abstractNumId w:val="2"/>
  </w:num>
  <w:num w:numId="39">
    <w:abstractNumId w:val="10"/>
  </w:num>
  <w:num w:numId="40">
    <w:abstractNumId w:val="8"/>
  </w:num>
  <w:num w:numId="41">
    <w:abstractNumId w:val="20"/>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96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06012"/>
    <w:rsid w:val="0003332F"/>
    <w:rsid w:val="000532DE"/>
    <w:rsid w:val="000678BD"/>
    <w:rsid w:val="000B159F"/>
    <w:rsid w:val="000E601B"/>
    <w:rsid w:val="001123DB"/>
    <w:rsid w:val="00196CCA"/>
    <w:rsid w:val="001A4794"/>
    <w:rsid w:val="001B510F"/>
    <w:rsid w:val="001C5833"/>
    <w:rsid w:val="001D13B0"/>
    <w:rsid w:val="00200184"/>
    <w:rsid w:val="00213891"/>
    <w:rsid w:val="002244C8"/>
    <w:rsid w:val="00264B98"/>
    <w:rsid w:val="002A6E1E"/>
    <w:rsid w:val="002F56EC"/>
    <w:rsid w:val="00306642"/>
    <w:rsid w:val="00330281"/>
    <w:rsid w:val="003816D6"/>
    <w:rsid w:val="003D0502"/>
    <w:rsid w:val="003D0D74"/>
    <w:rsid w:val="00466821"/>
    <w:rsid w:val="00471D19"/>
    <w:rsid w:val="004B112A"/>
    <w:rsid w:val="004C7047"/>
    <w:rsid w:val="004D3B8F"/>
    <w:rsid w:val="004E3337"/>
    <w:rsid w:val="00523C32"/>
    <w:rsid w:val="006717CE"/>
    <w:rsid w:val="006922D5"/>
    <w:rsid w:val="006A7257"/>
    <w:rsid w:val="006B168C"/>
    <w:rsid w:val="006D4CEB"/>
    <w:rsid w:val="00767DB7"/>
    <w:rsid w:val="007710E2"/>
    <w:rsid w:val="007A0206"/>
    <w:rsid w:val="007D6CF0"/>
    <w:rsid w:val="007E3E2D"/>
    <w:rsid w:val="00823939"/>
    <w:rsid w:val="00832472"/>
    <w:rsid w:val="0086512E"/>
    <w:rsid w:val="008A0428"/>
    <w:rsid w:val="008C65AD"/>
    <w:rsid w:val="00911BCE"/>
    <w:rsid w:val="009143DE"/>
    <w:rsid w:val="00944670"/>
    <w:rsid w:val="00970F2D"/>
    <w:rsid w:val="009D6EDB"/>
    <w:rsid w:val="009E228B"/>
    <w:rsid w:val="009E6458"/>
    <w:rsid w:val="00A03AC1"/>
    <w:rsid w:val="00A068A1"/>
    <w:rsid w:val="00A82CFB"/>
    <w:rsid w:val="00A8338F"/>
    <w:rsid w:val="00AB73BC"/>
    <w:rsid w:val="00AD65CE"/>
    <w:rsid w:val="00B01F7E"/>
    <w:rsid w:val="00B15CF2"/>
    <w:rsid w:val="00B16A05"/>
    <w:rsid w:val="00B3771B"/>
    <w:rsid w:val="00B75C96"/>
    <w:rsid w:val="00B97FD2"/>
    <w:rsid w:val="00BA6B62"/>
    <w:rsid w:val="00C349CE"/>
    <w:rsid w:val="00C84EBE"/>
    <w:rsid w:val="00C95801"/>
    <w:rsid w:val="00D078E2"/>
    <w:rsid w:val="00D3252F"/>
    <w:rsid w:val="00D72D2A"/>
    <w:rsid w:val="00D77E4B"/>
    <w:rsid w:val="00D91712"/>
    <w:rsid w:val="00DB109F"/>
    <w:rsid w:val="00DB52F7"/>
    <w:rsid w:val="00DC3BB3"/>
    <w:rsid w:val="00E41961"/>
    <w:rsid w:val="00E86BFC"/>
    <w:rsid w:val="00EA4101"/>
    <w:rsid w:val="00ED353A"/>
    <w:rsid w:val="00ED68ED"/>
    <w:rsid w:val="00EE1371"/>
    <w:rsid w:val="00EF76F2"/>
    <w:rsid w:val="00F13036"/>
    <w:rsid w:val="00F317EA"/>
    <w:rsid w:val="00F37718"/>
    <w:rsid w:val="00F53867"/>
    <w:rsid w:val="00FB2DB9"/>
    <w:rsid w:val="00FD6E3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nhideWhenUsed/>
    <w:qFormat/>
    <w:rsid w:val="00B3771B"/>
    <w:pPr>
      <w:keepNext/>
      <w:keepLines/>
      <w:spacing w:before="200"/>
      <w:outlineLvl w:val="2"/>
    </w:pPr>
    <w:rPr>
      <w:rFonts w:eastAsiaTheme="majorEastAsia" w:cstheme="majorBidi"/>
      <w:b/>
      <w:bCs/>
      <w:color w:val="009CD4"/>
    </w:rPr>
  </w:style>
  <w:style w:type="paragraph" w:styleId="Heading4">
    <w:name w:val="heading 4"/>
    <w:basedOn w:val="Normal"/>
    <w:next w:val="Normal"/>
    <w:link w:val="Heading4Char"/>
    <w:qFormat/>
    <w:rsid w:val="00B97FD2"/>
    <w:pPr>
      <w:keepNext/>
      <w:outlineLvl w:val="3"/>
    </w:pPr>
    <w:rPr>
      <w:rFonts w:ascii="Garamond" w:eastAsia="Times New Roman" w:hAnsi="Garamond" w:cs="Times New Roman"/>
      <w:sz w:val="26"/>
      <w:szCs w:val="20"/>
    </w:rPr>
  </w:style>
  <w:style w:type="paragraph" w:styleId="Heading5">
    <w:name w:val="heading 5"/>
    <w:basedOn w:val="Normal"/>
    <w:next w:val="Normal"/>
    <w:link w:val="Heading5Char"/>
    <w:qFormat/>
    <w:rsid w:val="00B97FD2"/>
    <w:pPr>
      <w:keepNext/>
      <w:outlineLvl w:val="4"/>
    </w:pPr>
    <w:rPr>
      <w:rFonts w:eastAsia="Times New Roman" w:cs="Times New Roman"/>
      <w:b/>
      <w:i/>
      <w:snapToGrid w:val="0"/>
      <w:color w:val="000000"/>
      <w:sz w:val="20"/>
      <w:szCs w:val="20"/>
    </w:rPr>
  </w:style>
  <w:style w:type="paragraph" w:styleId="Heading6">
    <w:name w:val="heading 6"/>
    <w:basedOn w:val="Normal"/>
    <w:next w:val="Normal"/>
    <w:link w:val="Heading6Char"/>
    <w:qFormat/>
    <w:rsid w:val="00B97FD2"/>
    <w:pPr>
      <w:keepNext/>
      <w:outlineLvl w:val="5"/>
    </w:pPr>
    <w:rPr>
      <w:rFonts w:ascii="Times New Roman" w:eastAsia="Times New Roman" w:hAnsi="Times New Roman" w:cs="Times New Roman"/>
      <w:b/>
      <w:szCs w:val="20"/>
      <w:u w:val="single"/>
    </w:rPr>
  </w:style>
  <w:style w:type="paragraph" w:styleId="Heading7">
    <w:name w:val="heading 7"/>
    <w:basedOn w:val="Normal"/>
    <w:next w:val="Normal"/>
    <w:link w:val="Heading7Char"/>
    <w:qFormat/>
    <w:rsid w:val="00B97FD2"/>
    <w:pPr>
      <w:keepNext/>
      <w:outlineLvl w:val="6"/>
    </w:pPr>
    <w:rPr>
      <w:rFonts w:eastAsia="Times New Roman" w:cs="Times New Roman"/>
      <w:b/>
      <w:dstrike/>
      <w:shadow/>
      <w:snapToGrid w:val="0"/>
      <w:color w:val="000000"/>
      <w:szCs w:val="20"/>
    </w:rPr>
  </w:style>
  <w:style w:type="paragraph" w:styleId="Heading8">
    <w:name w:val="heading 8"/>
    <w:basedOn w:val="Normal"/>
    <w:next w:val="Normal"/>
    <w:link w:val="Heading8Char"/>
    <w:qFormat/>
    <w:rsid w:val="00B97FD2"/>
    <w:pPr>
      <w:keepNext/>
      <w:outlineLvl w:val="7"/>
    </w:pPr>
    <w:rPr>
      <w:rFonts w:eastAsia="Times New Roman" w:cs="Times New Roman"/>
      <w:szCs w:val="20"/>
      <w:u w:val="single"/>
    </w:rPr>
  </w:style>
  <w:style w:type="paragraph" w:styleId="Heading9">
    <w:name w:val="heading 9"/>
    <w:basedOn w:val="Normal"/>
    <w:next w:val="Normal"/>
    <w:link w:val="Heading9Char"/>
    <w:qFormat/>
    <w:rsid w:val="00B97FD2"/>
    <w:pPr>
      <w:keepNext/>
      <w:jc w:val="right"/>
      <w:outlineLvl w:val="8"/>
    </w:pPr>
    <w:rPr>
      <w:rFonts w:eastAsia="Times New Roman" w:cs="Times New Roman"/>
      <w:b/>
      <w:i/>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71B"/>
    <w:rPr>
      <w:rFonts w:ascii="Arial" w:eastAsiaTheme="majorEastAsia" w:hAnsi="Arial" w:cstheme="majorBidi"/>
      <w:b/>
      <w:bCs/>
      <w:color w:val="00213F"/>
      <w:sz w:val="40"/>
      <w:szCs w:val="32"/>
    </w:rPr>
  </w:style>
  <w:style w:type="character" w:customStyle="1" w:styleId="Heading2Char">
    <w:name w:val="Heading 2 Char"/>
    <w:basedOn w:val="DefaultParagraphFont"/>
    <w:link w:val="Heading2"/>
    <w:rsid w:val="00B3771B"/>
    <w:rPr>
      <w:rFonts w:ascii="Arial" w:eastAsiaTheme="majorEastAsia" w:hAnsi="Arial" w:cstheme="majorBidi"/>
      <w:b/>
      <w:bCs/>
      <w:color w:val="1869A6"/>
      <w:sz w:val="28"/>
      <w:szCs w:val="26"/>
    </w:rPr>
  </w:style>
  <w:style w:type="character" w:customStyle="1" w:styleId="Heading3Char">
    <w:name w:val="Heading 3 Char"/>
    <w:basedOn w:val="DefaultParagraphFont"/>
    <w:link w:val="Heading3"/>
    <w:rsid w:val="00B3771B"/>
    <w:rPr>
      <w:rFonts w:ascii="Arial" w:eastAsiaTheme="majorEastAsia" w:hAnsi="Arial" w:cstheme="majorBidi"/>
      <w:b/>
      <w:bCs/>
      <w:color w:val="009CD4"/>
      <w:sz w:val="24"/>
      <w:szCs w:val="24"/>
    </w:rPr>
  </w:style>
  <w:style w:type="character" w:customStyle="1" w:styleId="Heading4Char">
    <w:name w:val="Heading 4 Char"/>
    <w:basedOn w:val="DefaultParagraphFont"/>
    <w:link w:val="Heading4"/>
    <w:rsid w:val="00B97FD2"/>
    <w:rPr>
      <w:rFonts w:ascii="Garamond" w:eastAsia="Times New Roman" w:hAnsi="Garamond" w:cs="Times New Roman"/>
      <w:sz w:val="26"/>
    </w:rPr>
  </w:style>
  <w:style w:type="character" w:customStyle="1" w:styleId="Heading5Char">
    <w:name w:val="Heading 5 Char"/>
    <w:basedOn w:val="DefaultParagraphFont"/>
    <w:link w:val="Heading5"/>
    <w:rsid w:val="00B97FD2"/>
    <w:rPr>
      <w:rFonts w:ascii="Arial" w:eastAsia="Times New Roman" w:hAnsi="Arial" w:cs="Times New Roman"/>
      <w:b/>
      <w:i/>
      <w:snapToGrid w:val="0"/>
      <w:color w:val="000000"/>
    </w:rPr>
  </w:style>
  <w:style w:type="character" w:customStyle="1" w:styleId="Heading6Char">
    <w:name w:val="Heading 6 Char"/>
    <w:basedOn w:val="DefaultParagraphFont"/>
    <w:link w:val="Heading6"/>
    <w:rsid w:val="00B97FD2"/>
    <w:rPr>
      <w:rFonts w:ascii="Times New Roman" w:eastAsia="Times New Roman" w:hAnsi="Times New Roman" w:cs="Times New Roman"/>
      <w:b/>
      <w:sz w:val="24"/>
      <w:u w:val="single"/>
    </w:rPr>
  </w:style>
  <w:style w:type="character" w:customStyle="1" w:styleId="Heading7Char">
    <w:name w:val="Heading 7 Char"/>
    <w:basedOn w:val="DefaultParagraphFont"/>
    <w:link w:val="Heading7"/>
    <w:rsid w:val="00B97FD2"/>
    <w:rPr>
      <w:rFonts w:ascii="Arial" w:eastAsia="Times New Roman" w:hAnsi="Arial" w:cs="Times New Roman"/>
      <w:b/>
      <w:dstrike/>
      <w:shadow/>
      <w:snapToGrid w:val="0"/>
      <w:color w:val="000000"/>
      <w:sz w:val="24"/>
    </w:rPr>
  </w:style>
  <w:style w:type="character" w:customStyle="1" w:styleId="Heading8Char">
    <w:name w:val="Heading 8 Char"/>
    <w:basedOn w:val="DefaultParagraphFont"/>
    <w:link w:val="Heading8"/>
    <w:rsid w:val="00B97FD2"/>
    <w:rPr>
      <w:rFonts w:ascii="Arial" w:eastAsia="Times New Roman" w:hAnsi="Arial" w:cs="Times New Roman"/>
      <w:sz w:val="24"/>
      <w:u w:val="single"/>
    </w:rPr>
  </w:style>
  <w:style w:type="character" w:customStyle="1" w:styleId="Heading9Char">
    <w:name w:val="Heading 9 Char"/>
    <w:basedOn w:val="DefaultParagraphFont"/>
    <w:link w:val="Heading9"/>
    <w:rsid w:val="00B97FD2"/>
    <w:rPr>
      <w:rFonts w:ascii="Arial" w:eastAsia="Times New Roman" w:hAnsi="Arial" w:cs="Times New Roman"/>
      <w:b/>
      <w:i/>
      <w:snapToGrid w:val="0"/>
      <w:color w:val="000000"/>
    </w:rPr>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paragraph" w:styleId="BalloonText">
    <w:name w:val="Balloon Text"/>
    <w:basedOn w:val="Normal"/>
    <w:link w:val="BalloonTextChar"/>
    <w:semiHidden/>
    <w:unhideWhenUsed/>
    <w:rsid w:val="00B97FD2"/>
    <w:rPr>
      <w:rFonts w:ascii="Tahoma" w:hAnsi="Tahoma" w:cs="Tahoma"/>
      <w:sz w:val="16"/>
      <w:szCs w:val="16"/>
    </w:rPr>
  </w:style>
  <w:style w:type="character" w:customStyle="1" w:styleId="BalloonTextChar">
    <w:name w:val="Balloon Text Char"/>
    <w:basedOn w:val="DefaultParagraphFont"/>
    <w:link w:val="BalloonText"/>
    <w:semiHidden/>
    <w:rsid w:val="00B97FD2"/>
    <w:rPr>
      <w:rFonts w:ascii="Tahoma" w:hAnsi="Tahoma" w:cs="Tahoma"/>
      <w:sz w:val="16"/>
      <w:szCs w:val="16"/>
    </w:rPr>
  </w:style>
  <w:style w:type="character" w:styleId="Hyperlink">
    <w:name w:val="Hyperlink"/>
    <w:basedOn w:val="DefaultParagraphFont"/>
    <w:uiPriority w:val="99"/>
    <w:rsid w:val="00B97FD2"/>
    <w:rPr>
      <w:color w:val="0000FF"/>
      <w:u w:val="single"/>
    </w:rPr>
  </w:style>
  <w:style w:type="character" w:styleId="PageNumber">
    <w:name w:val="page number"/>
    <w:basedOn w:val="DefaultParagraphFont"/>
    <w:rsid w:val="00B97FD2"/>
  </w:style>
  <w:style w:type="paragraph" w:styleId="BodyText">
    <w:name w:val="Body Text"/>
    <w:basedOn w:val="Normal"/>
    <w:link w:val="BodyTextChar"/>
    <w:uiPriority w:val="99"/>
    <w:rsid w:val="00B97FD2"/>
    <w:rPr>
      <w:rFonts w:ascii="Garamond" w:eastAsia="Times New Roman" w:hAnsi="Garamond" w:cs="Times New Roman"/>
      <w:szCs w:val="20"/>
    </w:rPr>
  </w:style>
  <w:style w:type="character" w:customStyle="1" w:styleId="BodyTextChar">
    <w:name w:val="Body Text Char"/>
    <w:basedOn w:val="DefaultParagraphFont"/>
    <w:link w:val="BodyText"/>
    <w:uiPriority w:val="99"/>
    <w:rsid w:val="00B97FD2"/>
    <w:rPr>
      <w:rFonts w:ascii="Garamond" w:eastAsia="Times New Roman" w:hAnsi="Garamond" w:cs="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B97FD2"/>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B97FD2"/>
    <w:rPr>
      <w:rFonts w:ascii="Times New Roman" w:eastAsia="Times New Roman" w:hAnsi="Times New Roman" w:cs="Times New Roman"/>
    </w:rPr>
  </w:style>
  <w:style w:type="character" w:styleId="FootnoteReference">
    <w:name w:val="footnote reference"/>
    <w:basedOn w:val="DefaultParagraphFont"/>
    <w:uiPriority w:val="99"/>
    <w:rsid w:val="00B97FD2"/>
    <w:rPr>
      <w:vertAlign w:val="superscript"/>
    </w:rPr>
  </w:style>
  <w:style w:type="paragraph" w:styleId="BodyTextIndent">
    <w:name w:val="Body Text Indent"/>
    <w:basedOn w:val="Normal"/>
    <w:link w:val="BodyTextIndentChar"/>
    <w:rsid w:val="00B97FD2"/>
    <w:pPr>
      <w:ind w:left="36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97FD2"/>
    <w:rPr>
      <w:rFonts w:ascii="Times New Roman" w:eastAsia="Times New Roman" w:hAnsi="Times New Roman" w:cs="Times New Roman"/>
      <w:sz w:val="24"/>
    </w:rPr>
  </w:style>
  <w:style w:type="paragraph" w:styleId="CommentText">
    <w:name w:val="annotation text"/>
    <w:basedOn w:val="Normal"/>
    <w:link w:val="CommentTextChar"/>
    <w:semiHidden/>
    <w:rsid w:val="00B97FD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97FD2"/>
    <w:rPr>
      <w:rFonts w:ascii="Times New Roman" w:eastAsia="Times New Roman" w:hAnsi="Times New Roman" w:cs="Times New Roman"/>
    </w:rPr>
  </w:style>
  <w:style w:type="paragraph" w:styleId="BodyText2">
    <w:name w:val="Body Text 2"/>
    <w:basedOn w:val="Normal"/>
    <w:link w:val="BodyText2Char"/>
    <w:uiPriority w:val="99"/>
    <w:rsid w:val="00B97FD2"/>
    <w:pPr>
      <w:tabs>
        <w:tab w:val="left" w:pos="720"/>
      </w:tabs>
    </w:pPr>
    <w:rPr>
      <w:rFonts w:eastAsia="Times New Roman" w:cs="Times New Roman"/>
      <w:color w:val="FF0000"/>
      <w:szCs w:val="20"/>
    </w:rPr>
  </w:style>
  <w:style w:type="character" w:customStyle="1" w:styleId="BodyText2Char">
    <w:name w:val="Body Text 2 Char"/>
    <w:basedOn w:val="DefaultParagraphFont"/>
    <w:link w:val="BodyText2"/>
    <w:uiPriority w:val="99"/>
    <w:rsid w:val="00B97FD2"/>
    <w:rPr>
      <w:rFonts w:ascii="Arial" w:eastAsia="Times New Roman" w:hAnsi="Arial" w:cs="Times New Roman"/>
      <w:color w:val="FF0000"/>
      <w:sz w:val="24"/>
    </w:rPr>
  </w:style>
  <w:style w:type="paragraph" w:styleId="BodyText3">
    <w:name w:val="Body Text 3"/>
    <w:basedOn w:val="Normal"/>
    <w:link w:val="BodyText3Char"/>
    <w:rsid w:val="00B97FD2"/>
    <w:rPr>
      <w:rFonts w:ascii="Times New Roman" w:eastAsia="Times New Roman" w:hAnsi="Times New Roman" w:cs="Times New Roman"/>
      <w:color w:val="FF0000"/>
      <w:sz w:val="20"/>
      <w:szCs w:val="20"/>
    </w:rPr>
  </w:style>
  <w:style w:type="character" w:customStyle="1" w:styleId="BodyText3Char">
    <w:name w:val="Body Text 3 Char"/>
    <w:basedOn w:val="DefaultParagraphFont"/>
    <w:link w:val="BodyText3"/>
    <w:rsid w:val="00B97FD2"/>
    <w:rPr>
      <w:rFonts w:ascii="Times New Roman" w:eastAsia="Times New Roman" w:hAnsi="Times New Roman" w:cs="Times New Roman"/>
      <w:color w:val="FF0000"/>
    </w:rPr>
  </w:style>
  <w:style w:type="character" w:styleId="FollowedHyperlink">
    <w:name w:val="FollowedHyperlink"/>
    <w:basedOn w:val="DefaultParagraphFont"/>
    <w:rsid w:val="00B97FD2"/>
    <w:rPr>
      <w:color w:val="800080"/>
      <w:u w:val="single"/>
    </w:rPr>
  </w:style>
  <w:style w:type="paragraph" w:customStyle="1" w:styleId="xl24">
    <w:name w:val="xl24"/>
    <w:basedOn w:val="Normal"/>
    <w:rsid w:val="00B97FD2"/>
    <w:pPr>
      <w:shd w:val="clear" w:color="auto" w:fill="C0C0C0"/>
      <w:spacing w:before="100" w:beforeAutospacing="1" w:after="100" w:afterAutospacing="1"/>
      <w:jc w:val="center"/>
    </w:pPr>
    <w:rPr>
      <w:rFonts w:eastAsia="Arial Unicode MS" w:cs="Arial"/>
      <w:sz w:val="16"/>
      <w:szCs w:val="16"/>
    </w:rPr>
  </w:style>
  <w:style w:type="paragraph" w:customStyle="1" w:styleId="xl25">
    <w:name w:val="xl25"/>
    <w:basedOn w:val="Normal"/>
    <w:rsid w:val="00B97FD2"/>
    <w:pPr>
      <w:pBdr>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26">
    <w:name w:val="xl26"/>
    <w:basedOn w:val="Normal"/>
    <w:rsid w:val="00B97FD2"/>
    <w:pPr>
      <w:pBdr>
        <w:lef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27">
    <w:name w:val="xl27"/>
    <w:basedOn w:val="Normal"/>
    <w:rsid w:val="00B97FD2"/>
    <w:pPr>
      <w:pBdr>
        <w:top w:val="single" w:sz="8" w:space="0" w:color="auto"/>
        <w:left w:val="single" w:sz="8" w:space="0" w:color="auto"/>
      </w:pBdr>
      <w:spacing w:before="100" w:beforeAutospacing="1" w:after="100" w:afterAutospacing="1"/>
    </w:pPr>
    <w:rPr>
      <w:rFonts w:eastAsia="Arial Unicode MS" w:cs="Arial"/>
      <w:sz w:val="16"/>
      <w:szCs w:val="16"/>
    </w:rPr>
  </w:style>
  <w:style w:type="paragraph" w:customStyle="1" w:styleId="xl28">
    <w:name w:val="xl28"/>
    <w:basedOn w:val="Normal"/>
    <w:rsid w:val="00B97FD2"/>
    <w:pPr>
      <w:pBdr>
        <w:top w:val="single" w:sz="8" w:space="0" w:color="auto"/>
      </w:pBdr>
      <w:spacing w:before="100" w:beforeAutospacing="1" w:after="100" w:afterAutospacing="1"/>
    </w:pPr>
    <w:rPr>
      <w:rFonts w:eastAsia="Arial Unicode MS" w:cs="Arial"/>
      <w:sz w:val="16"/>
      <w:szCs w:val="16"/>
    </w:rPr>
  </w:style>
  <w:style w:type="paragraph" w:customStyle="1" w:styleId="xl29">
    <w:name w:val="xl29"/>
    <w:basedOn w:val="Normal"/>
    <w:rsid w:val="00B97FD2"/>
    <w:pPr>
      <w:pBdr>
        <w:top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30">
    <w:name w:val="xl30"/>
    <w:basedOn w:val="Normal"/>
    <w:rsid w:val="00B97FD2"/>
    <w:pPr>
      <w:pBdr>
        <w:top w:val="single" w:sz="8" w:space="0" w:color="auto"/>
        <w:left w:val="single" w:sz="8" w:space="0" w:color="auto"/>
      </w:pBdr>
      <w:spacing w:before="100" w:beforeAutospacing="1" w:after="100" w:afterAutospacing="1"/>
    </w:pPr>
    <w:rPr>
      <w:rFonts w:eastAsia="Arial Unicode MS" w:cs="Arial"/>
      <w:sz w:val="16"/>
      <w:szCs w:val="16"/>
    </w:rPr>
  </w:style>
  <w:style w:type="paragraph" w:customStyle="1" w:styleId="xl31">
    <w:name w:val="xl31"/>
    <w:basedOn w:val="Normal"/>
    <w:rsid w:val="00B97FD2"/>
    <w:pPr>
      <w:shd w:val="clear" w:color="auto" w:fill="C0C0C0"/>
      <w:spacing w:before="100" w:beforeAutospacing="1" w:after="100" w:afterAutospacing="1"/>
    </w:pPr>
    <w:rPr>
      <w:rFonts w:eastAsia="Arial Unicode MS" w:cs="Arial"/>
      <w:sz w:val="16"/>
      <w:szCs w:val="16"/>
    </w:rPr>
  </w:style>
  <w:style w:type="paragraph" w:customStyle="1" w:styleId="xl32">
    <w:name w:val="xl32"/>
    <w:basedOn w:val="Normal"/>
    <w:rsid w:val="00B97FD2"/>
    <w:pPr>
      <w:pBdr>
        <w:lef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3">
    <w:name w:val="xl33"/>
    <w:basedOn w:val="Normal"/>
    <w:rsid w:val="00B97FD2"/>
    <w:pPr>
      <w:pBdr>
        <w:righ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4">
    <w:name w:val="xl34"/>
    <w:basedOn w:val="Normal"/>
    <w:rsid w:val="00B97FD2"/>
    <w:pPr>
      <w:pBdr>
        <w:lef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5">
    <w:name w:val="xl35"/>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36">
    <w:name w:val="xl36"/>
    <w:basedOn w:val="Normal"/>
    <w:rsid w:val="00B97FD2"/>
    <w:pPr>
      <w:spacing w:before="100" w:beforeAutospacing="1" w:after="100" w:afterAutospacing="1"/>
    </w:pPr>
    <w:rPr>
      <w:rFonts w:eastAsia="Arial Unicode MS" w:cs="Arial"/>
      <w:sz w:val="16"/>
      <w:szCs w:val="16"/>
    </w:rPr>
  </w:style>
  <w:style w:type="paragraph" w:customStyle="1" w:styleId="xl37">
    <w:name w:val="xl37"/>
    <w:basedOn w:val="Normal"/>
    <w:rsid w:val="00B97FD2"/>
    <w:pPr>
      <w:pBdr>
        <w:right w:val="single" w:sz="8" w:space="0" w:color="auto"/>
      </w:pBdr>
      <w:spacing w:before="100" w:beforeAutospacing="1" w:after="100" w:afterAutospacing="1"/>
    </w:pPr>
    <w:rPr>
      <w:rFonts w:eastAsia="Arial Unicode MS" w:cs="Arial"/>
      <w:sz w:val="16"/>
      <w:szCs w:val="16"/>
    </w:rPr>
  </w:style>
  <w:style w:type="paragraph" w:customStyle="1" w:styleId="xl38">
    <w:name w:val="xl38"/>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39">
    <w:name w:val="xl39"/>
    <w:basedOn w:val="Normal"/>
    <w:rsid w:val="00B97FD2"/>
    <w:pPr>
      <w:pBdr>
        <w:right w:val="single" w:sz="8" w:space="0" w:color="auto"/>
      </w:pBdr>
      <w:spacing w:before="100" w:beforeAutospacing="1" w:after="100" w:afterAutospacing="1"/>
    </w:pPr>
    <w:rPr>
      <w:rFonts w:eastAsia="Arial Unicode MS" w:cs="Arial"/>
      <w:sz w:val="16"/>
      <w:szCs w:val="16"/>
    </w:rPr>
  </w:style>
  <w:style w:type="paragraph" w:customStyle="1" w:styleId="xl40">
    <w:name w:val="xl40"/>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41">
    <w:name w:val="xl41"/>
    <w:basedOn w:val="Normal"/>
    <w:rsid w:val="00B97FD2"/>
    <w:pPr>
      <w:pBdr>
        <w:left w:val="single" w:sz="8" w:space="0" w:color="auto"/>
        <w:bottom w:val="single" w:sz="8" w:space="0" w:color="auto"/>
      </w:pBdr>
      <w:spacing w:before="100" w:beforeAutospacing="1" w:after="100" w:afterAutospacing="1"/>
    </w:pPr>
    <w:rPr>
      <w:rFonts w:eastAsia="Arial Unicode MS" w:cs="Arial"/>
      <w:sz w:val="16"/>
      <w:szCs w:val="16"/>
    </w:rPr>
  </w:style>
  <w:style w:type="paragraph" w:customStyle="1" w:styleId="xl42">
    <w:name w:val="xl42"/>
    <w:basedOn w:val="Normal"/>
    <w:rsid w:val="00B97FD2"/>
    <w:pPr>
      <w:pBdr>
        <w:bottom w:val="single" w:sz="8" w:space="0" w:color="auto"/>
      </w:pBdr>
      <w:spacing w:before="100" w:beforeAutospacing="1" w:after="100" w:afterAutospacing="1"/>
    </w:pPr>
    <w:rPr>
      <w:rFonts w:eastAsia="Arial Unicode MS" w:cs="Arial"/>
      <w:sz w:val="16"/>
      <w:szCs w:val="16"/>
    </w:rPr>
  </w:style>
  <w:style w:type="paragraph" w:customStyle="1" w:styleId="xl43">
    <w:name w:val="xl43"/>
    <w:basedOn w:val="Normal"/>
    <w:rsid w:val="00B97FD2"/>
    <w:pPr>
      <w:pBdr>
        <w:bottom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44">
    <w:name w:val="xl44"/>
    <w:basedOn w:val="Normal"/>
    <w:rsid w:val="00B97FD2"/>
    <w:pPr>
      <w:pBdr>
        <w:left w:val="single" w:sz="8" w:space="0" w:color="auto"/>
        <w:bottom w:val="single" w:sz="8" w:space="0" w:color="auto"/>
      </w:pBdr>
      <w:spacing w:before="100" w:beforeAutospacing="1" w:after="100" w:afterAutospacing="1"/>
    </w:pPr>
    <w:rPr>
      <w:rFonts w:eastAsia="Arial Unicode MS" w:cs="Arial"/>
      <w:sz w:val="16"/>
      <w:szCs w:val="16"/>
    </w:rPr>
  </w:style>
  <w:style w:type="paragraph" w:customStyle="1" w:styleId="xl45">
    <w:name w:val="xl45"/>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6">
    <w:name w:val="xl46"/>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7">
    <w:name w:val="xl47"/>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8">
    <w:name w:val="xl48"/>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9">
    <w:name w:val="xl49"/>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0">
    <w:name w:val="xl50"/>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1">
    <w:name w:val="xl51"/>
    <w:basedOn w:val="Normal"/>
    <w:rsid w:val="00B97FD2"/>
    <w:pPr>
      <w:pBdr>
        <w:top w:val="single" w:sz="8" w:space="0" w:color="auto"/>
        <w:left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2">
    <w:name w:val="xl52"/>
    <w:basedOn w:val="Normal"/>
    <w:rsid w:val="00B97FD2"/>
    <w:pPr>
      <w:pBdr>
        <w:left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3">
    <w:name w:val="xl53"/>
    <w:basedOn w:val="Normal"/>
    <w:rsid w:val="00B97FD2"/>
    <w:pPr>
      <w:pBdr>
        <w:left w:val="single" w:sz="8" w:space="0" w:color="auto"/>
        <w:righ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54">
    <w:name w:val="xl54"/>
    <w:basedOn w:val="Normal"/>
    <w:rsid w:val="00B97FD2"/>
    <w:pPr>
      <w:pBdr>
        <w:left w:val="single" w:sz="8" w:space="0" w:color="auto"/>
        <w:bottom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5">
    <w:name w:val="xl55"/>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6">
    <w:name w:val="xl56"/>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7">
    <w:name w:val="xl57"/>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8">
    <w:name w:val="xl58"/>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styleId="BodyTextIndent2">
    <w:name w:val="Body Text Indent 2"/>
    <w:basedOn w:val="Normal"/>
    <w:link w:val="BodyTextIndent2Char"/>
    <w:rsid w:val="00B97FD2"/>
    <w:pPr>
      <w:ind w:left="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97FD2"/>
    <w:rPr>
      <w:rFonts w:ascii="Times New Roman" w:eastAsia="Times New Roman" w:hAnsi="Times New Roman" w:cs="Times New Roman"/>
      <w:sz w:val="24"/>
    </w:rPr>
  </w:style>
  <w:style w:type="paragraph" w:styleId="BodyTextIndent3">
    <w:name w:val="Body Text Indent 3"/>
    <w:basedOn w:val="Normal"/>
    <w:link w:val="BodyTextIndent3Char"/>
    <w:rsid w:val="00B97FD2"/>
    <w:pPr>
      <w:spacing w:before="375"/>
      <w:ind w:left="9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B97FD2"/>
    <w:rPr>
      <w:rFonts w:ascii="Times New Roman" w:eastAsia="Times New Roman" w:hAnsi="Times New Roman" w:cs="Times New Roman"/>
      <w:color w:val="000000"/>
      <w:sz w:val="24"/>
    </w:rPr>
  </w:style>
  <w:style w:type="paragraph" w:styleId="NoSpacing">
    <w:name w:val="No Spacing"/>
    <w:link w:val="NoSpacingChar"/>
    <w:uiPriority w:val="1"/>
    <w:qFormat/>
    <w:rsid w:val="00B97FD2"/>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B97FD2"/>
    <w:rPr>
      <w:rFonts w:ascii="Calibri" w:eastAsia="Times New Roman" w:hAnsi="Calibri" w:cs="Times New Roman"/>
      <w:sz w:val="22"/>
      <w:szCs w:val="22"/>
    </w:rPr>
  </w:style>
  <w:style w:type="table" w:styleId="TableGrid">
    <w:name w:val="Table Grid"/>
    <w:basedOn w:val="TableNormal"/>
    <w:uiPriority w:val="59"/>
    <w:rsid w:val="00B97FD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97FD2"/>
    <w:rPr>
      <w:b/>
      <w:bCs/>
    </w:rPr>
  </w:style>
  <w:style w:type="paragraph" w:styleId="ListParagraph">
    <w:name w:val="List Paragraph"/>
    <w:basedOn w:val="Normal"/>
    <w:uiPriority w:val="34"/>
    <w:qFormat/>
    <w:rsid w:val="00B97FD2"/>
    <w:pPr>
      <w:autoSpaceDE w:val="0"/>
      <w:autoSpaceDN w:val="0"/>
      <w:ind w:left="720"/>
      <w:contextualSpacing/>
    </w:pPr>
    <w:rPr>
      <w:rFonts w:ascii="Times New Roman" w:eastAsia="Times New Roman" w:hAnsi="Times New Roman" w:cs="Times New Roman"/>
    </w:rPr>
  </w:style>
  <w:style w:type="paragraph" w:styleId="Title">
    <w:name w:val="Title"/>
    <w:basedOn w:val="Normal"/>
    <w:next w:val="Normal"/>
    <w:link w:val="TitleChar"/>
    <w:uiPriority w:val="10"/>
    <w:qFormat/>
    <w:rsid w:val="00B97F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FD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B97FD2"/>
    <w:pPr>
      <w:spacing w:line="276" w:lineRule="auto"/>
      <w:outlineLvl w:val="9"/>
    </w:pPr>
    <w:rPr>
      <w:rFonts w:asciiTheme="majorHAnsi" w:hAnsiTheme="majorHAnsi"/>
      <w:color w:val="365F91" w:themeColor="accent1" w:themeShade="BF"/>
      <w:sz w:val="28"/>
      <w:szCs w:val="28"/>
    </w:rPr>
  </w:style>
  <w:style w:type="paragraph" w:styleId="TOC2">
    <w:name w:val="toc 2"/>
    <w:basedOn w:val="Normal"/>
    <w:next w:val="Normal"/>
    <w:autoRedefine/>
    <w:uiPriority w:val="39"/>
    <w:qFormat/>
    <w:rsid w:val="00B97FD2"/>
    <w:pPr>
      <w:spacing w:after="100"/>
      <w:ind w:left="200"/>
    </w:pPr>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B97FD2"/>
    <w:pPr>
      <w:tabs>
        <w:tab w:val="right" w:leader="dot" w:pos="9926"/>
      </w:tabs>
      <w:spacing w:after="100"/>
    </w:pPr>
    <w:rPr>
      <w:rFonts w:ascii="Times New Roman" w:eastAsia="Times New Roman" w:hAnsi="Times New Roman" w:cs="Times New Roman"/>
      <w:b/>
      <w:noProof/>
      <w:sz w:val="20"/>
      <w:szCs w:val="20"/>
    </w:rPr>
  </w:style>
  <w:style w:type="paragraph" w:styleId="TOC3">
    <w:name w:val="toc 3"/>
    <w:basedOn w:val="Normal"/>
    <w:next w:val="Normal"/>
    <w:autoRedefine/>
    <w:uiPriority w:val="39"/>
    <w:unhideWhenUsed/>
    <w:qFormat/>
    <w:rsid w:val="00B97FD2"/>
    <w:pPr>
      <w:spacing w:after="100" w:line="276" w:lineRule="auto"/>
      <w:ind w:left="440"/>
    </w:pPr>
    <w:rPr>
      <w:rFonts w:asciiTheme="minorHAnsi" w:eastAsiaTheme="minorEastAsia" w:hAnsiTheme="minorHAnsi"/>
      <w:sz w:val="22"/>
      <w:szCs w:val="22"/>
    </w:rPr>
  </w:style>
  <w:style w:type="paragraph" w:styleId="CommentSubject">
    <w:name w:val="annotation subject"/>
    <w:basedOn w:val="CommentText"/>
    <w:next w:val="CommentText"/>
    <w:link w:val="CommentSubjectChar"/>
    <w:rsid w:val="00B97FD2"/>
    <w:rPr>
      <w:b/>
      <w:bCs/>
    </w:rPr>
  </w:style>
  <w:style w:type="character" w:customStyle="1" w:styleId="CommentSubjectChar">
    <w:name w:val="Comment Subject Char"/>
    <w:basedOn w:val="CommentTextChar"/>
    <w:link w:val="CommentSubject"/>
    <w:rsid w:val="00B97FD2"/>
    <w:rPr>
      <w:b/>
      <w:bCs/>
    </w:rPr>
  </w:style>
  <w:style w:type="character" w:styleId="CommentReference">
    <w:name w:val="annotation reference"/>
    <w:basedOn w:val="DefaultParagraphFont"/>
    <w:semiHidden/>
    <w:unhideWhenUsed/>
    <w:rsid w:val="006717CE"/>
    <w:rPr>
      <w:sz w:val="16"/>
      <w:szCs w:val="16"/>
    </w:rPr>
  </w:style>
</w:styles>
</file>

<file path=word/webSettings.xml><?xml version="1.0" encoding="utf-8"?>
<w:webSettings xmlns:r="http://schemas.openxmlformats.org/officeDocument/2006/relationships" xmlns:w="http://schemas.openxmlformats.org/wordprocessingml/2006/main">
  <w:divs>
    <w:div w:id="73861231">
      <w:bodyDiv w:val="1"/>
      <w:marLeft w:val="0"/>
      <w:marRight w:val="0"/>
      <w:marTop w:val="0"/>
      <w:marBottom w:val="0"/>
      <w:divBdr>
        <w:top w:val="none" w:sz="0" w:space="0" w:color="auto"/>
        <w:left w:val="none" w:sz="0" w:space="0" w:color="auto"/>
        <w:bottom w:val="none" w:sz="0" w:space="0" w:color="auto"/>
        <w:right w:val="none" w:sz="0" w:space="0" w:color="auto"/>
      </w:divBdr>
    </w:div>
    <w:div w:id="84151992">
      <w:bodyDiv w:val="1"/>
      <w:marLeft w:val="0"/>
      <w:marRight w:val="0"/>
      <w:marTop w:val="0"/>
      <w:marBottom w:val="0"/>
      <w:divBdr>
        <w:top w:val="none" w:sz="0" w:space="0" w:color="auto"/>
        <w:left w:val="none" w:sz="0" w:space="0" w:color="auto"/>
        <w:bottom w:val="none" w:sz="0" w:space="0" w:color="auto"/>
        <w:right w:val="none" w:sz="0" w:space="0" w:color="auto"/>
      </w:divBdr>
    </w:div>
    <w:div w:id="227693440">
      <w:bodyDiv w:val="1"/>
      <w:marLeft w:val="0"/>
      <w:marRight w:val="0"/>
      <w:marTop w:val="0"/>
      <w:marBottom w:val="0"/>
      <w:divBdr>
        <w:top w:val="none" w:sz="0" w:space="0" w:color="auto"/>
        <w:left w:val="none" w:sz="0" w:space="0" w:color="auto"/>
        <w:bottom w:val="none" w:sz="0" w:space="0" w:color="auto"/>
        <w:right w:val="none" w:sz="0" w:space="0" w:color="auto"/>
      </w:divBdr>
      <w:divsChild>
        <w:div w:id="301615556">
          <w:marLeft w:val="1526"/>
          <w:marRight w:val="0"/>
          <w:marTop w:val="96"/>
          <w:marBottom w:val="0"/>
          <w:divBdr>
            <w:top w:val="none" w:sz="0" w:space="0" w:color="auto"/>
            <w:left w:val="none" w:sz="0" w:space="0" w:color="auto"/>
            <w:bottom w:val="none" w:sz="0" w:space="0" w:color="auto"/>
            <w:right w:val="none" w:sz="0" w:space="0" w:color="auto"/>
          </w:divBdr>
        </w:div>
      </w:divsChild>
    </w:div>
    <w:div w:id="301732172">
      <w:bodyDiv w:val="1"/>
      <w:marLeft w:val="0"/>
      <w:marRight w:val="0"/>
      <w:marTop w:val="0"/>
      <w:marBottom w:val="0"/>
      <w:divBdr>
        <w:top w:val="none" w:sz="0" w:space="0" w:color="auto"/>
        <w:left w:val="none" w:sz="0" w:space="0" w:color="auto"/>
        <w:bottom w:val="none" w:sz="0" w:space="0" w:color="auto"/>
        <w:right w:val="none" w:sz="0" w:space="0" w:color="auto"/>
      </w:divBdr>
    </w:div>
    <w:div w:id="316037471">
      <w:bodyDiv w:val="1"/>
      <w:marLeft w:val="0"/>
      <w:marRight w:val="0"/>
      <w:marTop w:val="0"/>
      <w:marBottom w:val="0"/>
      <w:divBdr>
        <w:top w:val="none" w:sz="0" w:space="0" w:color="auto"/>
        <w:left w:val="none" w:sz="0" w:space="0" w:color="auto"/>
        <w:bottom w:val="none" w:sz="0" w:space="0" w:color="auto"/>
        <w:right w:val="none" w:sz="0" w:space="0" w:color="auto"/>
      </w:divBdr>
    </w:div>
    <w:div w:id="851184757">
      <w:bodyDiv w:val="1"/>
      <w:marLeft w:val="0"/>
      <w:marRight w:val="0"/>
      <w:marTop w:val="0"/>
      <w:marBottom w:val="0"/>
      <w:divBdr>
        <w:top w:val="none" w:sz="0" w:space="0" w:color="auto"/>
        <w:left w:val="none" w:sz="0" w:space="0" w:color="auto"/>
        <w:bottom w:val="none" w:sz="0" w:space="0" w:color="auto"/>
        <w:right w:val="none" w:sz="0" w:space="0" w:color="auto"/>
      </w:divBdr>
    </w:div>
    <w:div w:id="1402869128">
      <w:bodyDiv w:val="1"/>
      <w:marLeft w:val="0"/>
      <w:marRight w:val="0"/>
      <w:marTop w:val="0"/>
      <w:marBottom w:val="0"/>
      <w:divBdr>
        <w:top w:val="none" w:sz="0" w:space="0" w:color="auto"/>
        <w:left w:val="none" w:sz="0" w:space="0" w:color="auto"/>
        <w:bottom w:val="none" w:sz="0" w:space="0" w:color="auto"/>
        <w:right w:val="none" w:sz="0" w:space="0" w:color="auto"/>
      </w:divBdr>
    </w:div>
    <w:div w:id="1530527823">
      <w:bodyDiv w:val="1"/>
      <w:marLeft w:val="0"/>
      <w:marRight w:val="0"/>
      <w:marTop w:val="0"/>
      <w:marBottom w:val="0"/>
      <w:divBdr>
        <w:top w:val="none" w:sz="0" w:space="0" w:color="auto"/>
        <w:left w:val="none" w:sz="0" w:space="0" w:color="auto"/>
        <w:bottom w:val="none" w:sz="0" w:space="0" w:color="auto"/>
        <w:right w:val="none" w:sz="0" w:space="0" w:color="auto"/>
      </w:divBdr>
    </w:div>
    <w:div w:id="1898972344">
      <w:bodyDiv w:val="1"/>
      <w:marLeft w:val="0"/>
      <w:marRight w:val="0"/>
      <w:marTop w:val="0"/>
      <w:marBottom w:val="0"/>
      <w:divBdr>
        <w:top w:val="none" w:sz="0" w:space="0" w:color="auto"/>
        <w:left w:val="none" w:sz="0" w:space="0" w:color="auto"/>
        <w:bottom w:val="none" w:sz="0" w:space="0" w:color="auto"/>
        <w:right w:val="none" w:sz="0" w:space="0" w:color="auto"/>
      </w:divBdr>
    </w:div>
    <w:div w:id="201707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BDD8C422249D4EB714086F7E182FBB" ma:contentTypeVersion="128" ma:contentTypeDescription="" ma:contentTypeScope="" ma:versionID="f2c301a78c6284b56382ee5386380c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2001-04-02T07:00:00+00:00</OpenedDate>
    <Date1 xmlns="dc463f71-b30c-4ab2-9473-d307f9d35888">2013-12-23T08:00:00+00:00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010437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D6C1A8-DCC0-49DE-9150-100A41715194}"/>
</file>

<file path=customXml/itemProps2.xml><?xml version="1.0" encoding="utf-8"?>
<ds:datastoreItem xmlns:ds="http://schemas.openxmlformats.org/officeDocument/2006/customXml" ds:itemID="{4D59B8BE-DBE2-486E-9371-563EDFBC6D49}"/>
</file>

<file path=customXml/itemProps3.xml><?xml version="1.0" encoding="utf-8"?>
<ds:datastoreItem xmlns:ds="http://schemas.openxmlformats.org/officeDocument/2006/customXml" ds:itemID="{C8ABB69C-96DF-4093-8905-FDDF0AE70B27}"/>
</file>

<file path=customXml/itemProps4.xml><?xml version="1.0" encoding="utf-8"?>
<ds:datastoreItem xmlns:ds="http://schemas.openxmlformats.org/officeDocument/2006/customXml" ds:itemID="{B3F4F13D-1186-4A8C-AFEB-713D5E8C82C8}"/>
</file>

<file path=customXml/itemProps5.xml><?xml version="1.0" encoding="utf-8"?>
<ds:datastoreItem xmlns:ds="http://schemas.openxmlformats.org/officeDocument/2006/customXml" ds:itemID="{526C73AF-5314-40FD-9FC0-31B11C34ECCB}"/>
</file>

<file path=docProps/app.xml><?xml version="1.0" encoding="utf-8"?>
<Properties xmlns="http://schemas.openxmlformats.org/officeDocument/2006/extended-properties" xmlns:vt="http://schemas.openxmlformats.org/officeDocument/2006/docPropsVTypes">
  <Template>Normal.dotm</Template>
  <TotalTime>0</TotalTime>
  <Pages>23</Pages>
  <Words>4210</Words>
  <Characters>23999</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
      <vt:lpstr/>
      <vt:lpstr>Overview														</vt:lpstr>
      <vt:lpstr>    Table 1 – Yearly Revenues and Disbursements </vt:lpstr>
      <vt:lpstr>    Participants and Fund Distribution </vt:lpstr>
      <vt:lpstr>    Table 2 - Number and Amount of Grants by Component</vt:lpstr>
      <vt:lpstr>    Table 3 -- Demographic Data</vt:lpstr>
      <vt:lpstr>    Table 4 - Energy Burden -- Total Energy costs divided by household income</vt:lpstr>
      <vt:lpstr>LIRAP Programs										</vt:lpstr>
      <vt:lpstr>Program Process									</vt:lpstr>
      <vt:lpstr>Conservation Education and Outreach					</vt:lpstr>
      <vt:lpstr>    Conservation Education Activities</vt:lpstr>
      <vt:lpstr>    </vt:lpstr>
      <vt:lpstr>        Home Energy Kits</vt:lpstr>
      <vt:lpstr>        Outreach</vt:lpstr>
      <vt:lpstr>        Senior Directories and Publications 	</vt:lpstr>
      <vt:lpstr>Reporting Protocols									</vt:lpstr>
      <vt:lpstr>Key Terms											</vt:lpstr>
      <vt:lpstr>Data Collection										</vt:lpstr>
      <vt:lpstr>Participating LIRAP Agencies						</vt:lpstr>
      <vt:lpstr/>
      <vt:lpstr>Contacts											</vt:lpstr>
      <vt:lpstr/>
    </vt:vector>
  </TitlesOfParts>
  <Company>MAI</Company>
  <LinksUpToDate>false</LinksUpToDate>
  <CharactersWithSpaces>28153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monigle</dc:creator>
  <cp:keywords/>
  <cp:lastModifiedBy>Linda Gervais</cp:lastModifiedBy>
  <cp:revision>2</cp:revision>
  <cp:lastPrinted>2013-12-23T16:52:00Z</cp:lastPrinted>
  <dcterms:created xsi:type="dcterms:W3CDTF">2013-12-23T17:46:00Z</dcterms:created>
  <dcterms:modified xsi:type="dcterms:W3CDTF">2013-12-23T17:46:00Z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0x0101006E56B4D1795A2E4DB2F0B01679ED314A00F3BDD8C422249D4EB714086F7E182FBB</vt:lpwstr>
  </property>
  <property fmtid="{D5CDD505-2E9C-101B-9397-08002B2CF9AE}" pid="3" name="_docset_NoMedatataSyncRequired">
    <vt:lpwstr>False</vt:lpwstr>
  </property>
</Properties>
</file>