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AE6ED" w14:textId="77777777" w:rsidR="005B0BEE" w:rsidRPr="00EE3302" w:rsidRDefault="005B0BEE" w:rsidP="005B0BEE">
      <w:pPr>
        <w:pStyle w:val="Address"/>
        <w:rPr>
          <w:szCs w:val="24"/>
        </w:rPr>
      </w:pPr>
      <w:bookmarkStart w:id="0" w:name="_GoBack"/>
      <w:bookmarkEnd w:id="0"/>
    </w:p>
    <w:p w14:paraId="1249ED5D" w14:textId="77777777" w:rsidR="005B0BEE" w:rsidRPr="00EE3302" w:rsidRDefault="005B0BEE" w:rsidP="005B0BEE">
      <w:pPr>
        <w:rPr>
          <w:szCs w:val="24"/>
        </w:rPr>
      </w:pPr>
    </w:p>
    <w:p w14:paraId="3923C567" w14:textId="77777777" w:rsidR="005B0BEE" w:rsidRPr="00EE3302" w:rsidRDefault="005B0BEE" w:rsidP="005B0BEE">
      <w:pPr>
        <w:jc w:val="center"/>
        <w:rPr>
          <w:szCs w:val="24"/>
        </w:rPr>
      </w:pPr>
      <w:r w:rsidRPr="00EE3302">
        <w:rPr>
          <w:szCs w:val="24"/>
        </w:rPr>
        <w:t>BEFORE THE WASHINGTON STATE</w:t>
      </w:r>
    </w:p>
    <w:p w14:paraId="2C58D83C" w14:textId="77777777" w:rsidR="005B0BEE" w:rsidRPr="00EE3302" w:rsidRDefault="005B0BEE" w:rsidP="005B0BEE">
      <w:pPr>
        <w:jc w:val="center"/>
        <w:rPr>
          <w:szCs w:val="24"/>
        </w:rPr>
      </w:pPr>
      <w:r w:rsidRPr="00EE3302">
        <w:rPr>
          <w:szCs w:val="24"/>
        </w:rPr>
        <w:t>UTILITIES AND TRANSPORTATION COMMISSION</w:t>
      </w:r>
    </w:p>
    <w:p w14:paraId="676C4B23" w14:textId="77777777" w:rsidR="005B0BEE" w:rsidRPr="00EE3302" w:rsidRDefault="005B0BEE" w:rsidP="005B0BEE">
      <w:pPr>
        <w:rPr>
          <w:szCs w:val="24"/>
        </w:rPr>
      </w:pPr>
    </w:p>
    <w:p w14:paraId="408B79A6" w14:textId="77777777" w:rsidR="00950160" w:rsidRPr="00EE3302" w:rsidRDefault="00950160" w:rsidP="00950160">
      <w:pPr>
        <w:rPr>
          <w:szCs w:val="24"/>
        </w:rPr>
      </w:pPr>
    </w:p>
    <w:tbl>
      <w:tblPr>
        <w:tblW w:w="9363" w:type="dxa"/>
        <w:tblInd w:w="8" w:type="dxa"/>
        <w:tblLayout w:type="fixed"/>
        <w:tblCellMar>
          <w:left w:w="0" w:type="dxa"/>
          <w:right w:w="0" w:type="dxa"/>
        </w:tblCellMar>
        <w:tblLook w:val="0000" w:firstRow="0" w:lastRow="0" w:firstColumn="0" w:lastColumn="0" w:noHBand="0" w:noVBand="0"/>
      </w:tblPr>
      <w:tblGrid>
        <w:gridCol w:w="4492"/>
        <w:gridCol w:w="270"/>
        <w:gridCol w:w="4601"/>
      </w:tblGrid>
      <w:tr w:rsidR="00950160" w:rsidRPr="00EE3302" w14:paraId="099E3178" w14:textId="77777777" w:rsidTr="00950160">
        <w:tc>
          <w:tcPr>
            <w:tcW w:w="4492" w:type="dxa"/>
            <w:tcBorders>
              <w:bottom w:val="single" w:sz="4" w:space="0" w:color="auto"/>
              <w:right w:val="single" w:sz="4" w:space="0" w:color="auto"/>
            </w:tcBorders>
          </w:tcPr>
          <w:p w14:paraId="41C6996A" w14:textId="77777777" w:rsidR="00950160" w:rsidRPr="00EE3302" w:rsidRDefault="00950160" w:rsidP="00950160">
            <w:pPr>
              <w:rPr>
                <w:szCs w:val="24"/>
              </w:rPr>
            </w:pPr>
            <w:r w:rsidRPr="00EE3302">
              <w:rPr>
                <w:szCs w:val="24"/>
              </w:rPr>
              <w:t>WASHINGTON UTILITES AND TRANSPORTATION COMMISSION,</w:t>
            </w:r>
          </w:p>
          <w:p w14:paraId="7AF8559D" w14:textId="77777777" w:rsidR="00950160" w:rsidRPr="00EE3302" w:rsidRDefault="00950160" w:rsidP="00950160">
            <w:pPr>
              <w:rPr>
                <w:szCs w:val="24"/>
              </w:rPr>
            </w:pPr>
          </w:p>
          <w:p w14:paraId="23F96DA2" w14:textId="77777777" w:rsidR="00950160" w:rsidRPr="00EE3302" w:rsidRDefault="00950160" w:rsidP="00950160">
            <w:pPr>
              <w:rPr>
                <w:szCs w:val="24"/>
              </w:rPr>
            </w:pPr>
            <w:r w:rsidRPr="00EE3302">
              <w:rPr>
                <w:szCs w:val="24"/>
              </w:rPr>
              <w:t>Complainant,</w:t>
            </w:r>
          </w:p>
          <w:p w14:paraId="32EFB499" w14:textId="77777777" w:rsidR="00950160" w:rsidRPr="00EE3302" w:rsidRDefault="00950160" w:rsidP="00950160">
            <w:pPr>
              <w:rPr>
                <w:szCs w:val="24"/>
              </w:rPr>
            </w:pPr>
          </w:p>
          <w:p w14:paraId="30F015C5" w14:textId="77777777" w:rsidR="00950160" w:rsidRPr="00EE3302" w:rsidRDefault="00950160" w:rsidP="00950160">
            <w:pPr>
              <w:rPr>
                <w:szCs w:val="24"/>
              </w:rPr>
            </w:pPr>
            <w:r w:rsidRPr="00EE3302">
              <w:rPr>
                <w:szCs w:val="24"/>
              </w:rPr>
              <w:tab/>
              <w:t>v.</w:t>
            </w:r>
          </w:p>
          <w:p w14:paraId="057FE549" w14:textId="77777777" w:rsidR="00950160" w:rsidRPr="00EE3302" w:rsidRDefault="00950160" w:rsidP="00950160">
            <w:pPr>
              <w:rPr>
                <w:szCs w:val="24"/>
              </w:rPr>
            </w:pPr>
          </w:p>
          <w:p w14:paraId="168BD646" w14:textId="77777777" w:rsidR="00950160" w:rsidRPr="00EE3302" w:rsidRDefault="00950160" w:rsidP="00950160">
            <w:pPr>
              <w:rPr>
                <w:szCs w:val="24"/>
              </w:rPr>
            </w:pPr>
            <w:r w:rsidRPr="00EE3302">
              <w:rPr>
                <w:szCs w:val="24"/>
              </w:rPr>
              <w:t>PUGET SOUND ENERGY,</w:t>
            </w:r>
          </w:p>
          <w:p w14:paraId="0DA7EA1D" w14:textId="77777777" w:rsidR="00950160" w:rsidRPr="00EE3302" w:rsidRDefault="00950160" w:rsidP="00950160">
            <w:pPr>
              <w:rPr>
                <w:szCs w:val="24"/>
              </w:rPr>
            </w:pPr>
          </w:p>
          <w:p w14:paraId="7DCD143A" w14:textId="77777777" w:rsidR="00950160" w:rsidRPr="00EE3302" w:rsidRDefault="00950160" w:rsidP="00950160">
            <w:pPr>
              <w:rPr>
                <w:szCs w:val="24"/>
              </w:rPr>
            </w:pPr>
            <w:r w:rsidRPr="00EE3302">
              <w:rPr>
                <w:szCs w:val="24"/>
              </w:rPr>
              <w:t>Respondent.</w:t>
            </w:r>
          </w:p>
          <w:p w14:paraId="3F8DF007" w14:textId="77777777" w:rsidR="00950160" w:rsidRPr="00EE3302" w:rsidRDefault="00950160" w:rsidP="00950160">
            <w:pPr>
              <w:rPr>
                <w:szCs w:val="24"/>
              </w:rPr>
            </w:pPr>
          </w:p>
        </w:tc>
        <w:tc>
          <w:tcPr>
            <w:tcW w:w="270" w:type="dxa"/>
            <w:tcBorders>
              <w:left w:val="single" w:sz="4" w:space="0" w:color="auto"/>
            </w:tcBorders>
          </w:tcPr>
          <w:p w14:paraId="433E193B" w14:textId="77777777" w:rsidR="00950160" w:rsidRPr="00EE3302" w:rsidRDefault="00950160" w:rsidP="00950160">
            <w:pPr>
              <w:rPr>
                <w:szCs w:val="24"/>
              </w:rPr>
            </w:pPr>
          </w:p>
        </w:tc>
        <w:tc>
          <w:tcPr>
            <w:tcW w:w="4601" w:type="dxa"/>
          </w:tcPr>
          <w:p w14:paraId="405ABA5C" w14:textId="77777777" w:rsidR="00950160" w:rsidRPr="00EE3302" w:rsidRDefault="00950160" w:rsidP="00950160">
            <w:pPr>
              <w:rPr>
                <w:szCs w:val="24"/>
              </w:rPr>
            </w:pPr>
            <w:r w:rsidRPr="00EE3302">
              <w:rPr>
                <w:szCs w:val="24"/>
              </w:rPr>
              <w:t>DOCKET NOS. UE-170033</w:t>
            </w:r>
          </w:p>
          <w:p w14:paraId="73AC31A9" w14:textId="77777777" w:rsidR="00950160" w:rsidRPr="00EE3302" w:rsidRDefault="00950160" w:rsidP="00950160">
            <w:pPr>
              <w:rPr>
                <w:szCs w:val="24"/>
              </w:rPr>
            </w:pPr>
            <w:r w:rsidRPr="00EE3302">
              <w:rPr>
                <w:szCs w:val="24"/>
              </w:rPr>
              <w:t>and UG-170034 (</w:t>
            </w:r>
            <w:r w:rsidRPr="00EE3302">
              <w:rPr>
                <w:i/>
                <w:szCs w:val="24"/>
              </w:rPr>
              <w:t>Consolidated)</w:t>
            </w:r>
          </w:p>
          <w:p w14:paraId="2FFA2338" w14:textId="77777777" w:rsidR="00950160" w:rsidRPr="00EE3302" w:rsidRDefault="00950160" w:rsidP="00950160">
            <w:pPr>
              <w:rPr>
                <w:szCs w:val="24"/>
              </w:rPr>
            </w:pPr>
          </w:p>
          <w:p w14:paraId="2A25FAE1" w14:textId="77777777" w:rsidR="00950160" w:rsidRPr="00EE3302" w:rsidRDefault="00950160" w:rsidP="00950160">
            <w:pPr>
              <w:rPr>
                <w:szCs w:val="24"/>
              </w:rPr>
            </w:pPr>
          </w:p>
          <w:p w14:paraId="0E1653EC" w14:textId="77777777" w:rsidR="00950160" w:rsidRPr="00EE3302" w:rsidRDefault="00950160" w:rsidP="00950160">
            <w:pPr>
              <w:rPr>
                <w:szCs w:val="24"/>
              </w:rPr>
            </w:pPr>
          </w:p>
        </w:tc>
      </w:tr>
    </w:tbl>
    <w:p w14:paraId="14DC8CEE" w14:textId="77777777" w:rsidR="00950160" w:rsidRPr="00EE3302" w:rsidRDefault="00950160" w:rsidP="00950160">
      <w:pPr>
        <w:rPr>
          <w:szCs w:val="24"/>
        </w:rPr>
      </w:pPr>
    </w:p>
    <w:p w14:paraId="6C17531C" w14:textId="77777777" w:rsidR="004D1603" w:rsidRPr="00EE3302" w:rsidRDefault="004D1603" w:rsidP="00950160">
      <w:pPr>
        <w:rPr>
          <w:szCs w:val="24"/>
        </w:rPr>
      </w:pPr>
    </w:p>
    <w:p w14:paraId="55DC5268" w14:textId="77777777" w:rsidR="00B87BA1" w:rsidRPr="00EE3302" w:rsidRDefault="00B87BA1" w:rsidP="00B87BA1">
      <w:pPr>
        <w:rPr>
          <w:szCs w:val="24"/>
        </w:rPr>
      </w:pPr>
    </w:p>
    <w:p w14:paraId="005235BA" w14:textId="642588E4" w:rsidR="000F497A" w:rsidRPr="00EE3302" w:rsidRDefault="000F497A" w:rsidP="000F497A">
      <w:pPr>
        <w:jc w:val="center"/>
        <w:rPr>
          <w:szCs w:val="24"/>
        </w:rPr>
      </w:pPr>
      <w:r w:rsidRPr="00EE3302">
        <w:rPr>
          <w:szCs w:val="24"/>
        </w:rPr>
        <w:t xml:space="preserve">POST-HEARING </w:t>
      </w:r>
      <w:r w:rsidR="00DA1E36" w:rsidRPr="00EE3302">
        <w:rPr>
          <w:szCs w:val="24"/>
        </w:rPr>
        <w:t xml:space="preserve">REPLY </w:t>
      </w:r>
      <w:r w:rsidRPr="00EE3302">
        <w:rPr>
          <w:szCs w:val="24"/>
        </w:rPr>
        <w:t>BRIEF OF</w:t>
      </w:r>
    </w:p>
    <w:p w14:paraId="6CE3E128" w14:textId="77777777" w:rsidR="00950160" w:rsidRPr="00EE3302" w:rsidRDefault="000F497A" w:rsidP="000F497A">
      <w:pPr>
        <w:jc w:val="center"/>
        <w:rPr>
          <w:szCs w:val="24"/>
        </w:rPr>
      </w:pPr>
      <w:r w:rsidRPr="00EE3302">
        <w:rPr>
          <w:szCs w:val="24"/>
        </w:rPr>
        <w:t>NW ENERGY COALITION</w:t>
      </w:r>
      <w:r w:rsidR="00950160" w:rsidRPr="00EE3302">
        <w:rPr>
          <w:szCs w:val="24"/>
        </w:rPr>
        <w:t>, RENEWABLE NORTHWEST,</w:t>
      </w:r>
    </w:p>
    <w:p w14:paraId="7D41AB66" w14:textId="77777777" w:rsidR="000F497A" w:rsidRPr="00EE3302" w:rsidRDefault="00950160" w:rsidP="000F497A">
      <w:pPr>
        <w:jc w:val="center"/>
        <w:rPr>
          <w:szCs w:val="24"/>
        </w:rPr>
      </w:pPr>
      <w:r w:rsidRPr="00EE3302">
        <w:rPr>
          <w:szCs w:val="24"/>
        </w:rPr>
        <w:t>AND NATURAL RESOURCES DEFENSE COUNCIL</w:t>
      </w:r>
    </w:p>
    <w:p w14:paraId="5B59579F" w14:textId="77777777" w:rsidR="000F497A" w:rsidRPr="00EE3302" w:rsidRDefault="000F497A" w:rsidP="000F497A">
      <w:pPr>
        <w:jc w:val="center"/>
        <w:rPr>
          <w:szCs w:val="24"/>
        </w:rPr>
      </w:pPr>
    </w:p>
    <w:p w14:paraId="0D835A70" w14:textId="77777777" w:rsidR="000F497A" w:rsidRPr="00EE3302" w:rsidRDefault="000F497A" w:rsidP="000F497A">
      <w:pPr>
        <w:jc w:val="center"/>
        <w:rPr>
          <w:szCs w:val="24"/>
        </w:rPr>
      </w:pPr>
    </w:p>
    <w:p w14:paraId="03312ED7" w14:textId="77777777" w:rsidR="000F497A" w:rsidRPr="00EE3302" w:rsidRDefault="000F497A" w:rsidP="000F497A">
      <w:pPr>
        <w:jc w:val="center"/>
        <w:rPr>
          <w:szCs w:val="24"/>
        </w:rPr>
      </w:pPr>
    </w:p>
    <w:p w14:paraId="10DEB1C5" w14:textId="5C3BBFC8" w:rsidR="000F497A" w:rsidRPr="00EE3302" w:rsidRDefault="00DA1E36" w:rsidP="000F497A">
      <w:pPr>
        <w:jc w:val="center"/>
        <w:rPr>
          <w:szCs w:val="24"/>
        </w:rPr>
      </w:pPr>
      <w:r w:rsidRPr="00EE3302">
        <w:rPr>
          <w:szCs w:val="24"/>
        </w:rPr>
        <w:t>October 27</w:t>
      </w:r>
      <w:r w:rsidR="00950160" w:rsidRPr="00EE3302">
        <w:rPr>
          <w:szCs w:val="24"/>
        </w:rPr>
        <w:t>, 2017</w:t>
      </w:r>
    </w:p>
    <w:p w14:paraId="4A5686DE" w14:textId="77777777" w:rsidR="00B87BA1" w:rsidRPr="00EE3302" w:rsidRDefault="00B87BA1" w:rsidP="00B87BA1">
      <w:pPr>
        <w:rPr>
          <w:szCs w:val="24"/>
        </w:rPr>
      </w:pPr>
    </w:p>
    <w:p w14:paraId="7480DB3F" w14:textId="77777777" w:rsidR="00B87BA1" w:rsidRPr="00EE3302" w:rsidRDefault="00B87BA1" w:rsidP="00B87BA1">
      <w:pPr>
        <w:rPr>
          <w:szCs w:val="24"/>
        </w:rPr>
      </w:pPr>
    </w:p>
    <w:p w14:paraId="0E67EF9C" w14:textId="77777777" w:rsidR="00B87BA1" w:rsidRPr="00EE3302" w:rsidRDefault="00B87BA1" w:rsidP="00B87BA1">
      <w:pPr>
        <w:rPr>
          <w:szCs w:val="24"/>
        </w:rPr>
        <w:sectPr w:rsidR="00B87BA1" w:rsidRPr="00EE3302">
          <w:pgSz w:w="12240" w:h="15840" w:code="1"/>
          <w:pgMar w:top="1440" w:right="1440" w:bottom="1440" w:left="1440" w:header="720" w:footer="432" w:gutter="0"/>
          <w:paperSrc w:first="275" w:other="275"/>
          <w:cols w:space="720"/>
        </w:sectPr>
      </w:pPr>
    </w:p>
    <w:p w14:paraId="445FE08E" w14:textId="7AA1FE7D" w:rsidR="00685EAC" w:rsidRPr="00EE3302" w:rsidRDefault="00BB3F86" w:rsidP="00BB3F86">
      <w:pPr>
        <w:jc w:val="center"/>
        <w:rPr>
          <w:szCs w:val="24"/>
        </w:rPr>
      </w:pPr>
      <w:r w:rsidRPr="00EE3302">
        <w:rPr>
          <w:szCs w:val="24"/>
        </w:rPr>
        <w:lastRenderedPageBreak/>
        <w:t>TABLE OF CONTENTS</w:t>
      </w:r>
    </w:p>
    <w:p w14:paraId="33ACF267" w14:textId="14B45282" w:rsidR="00580B9D" w:rsidRPr="00EE3302" w:rsidRDefault="00580B9D" w:rsidP="00BB3F86">
      <w:pPr>
        <w:jc w:val="center"/>
        <w:rPr>
          <w:szCs w:val="24"/>
        </w:rPr>
      </w:pPr>
    </w:p>
    <w:p w14:paraId="5A30F84D" w14:textId="57AA182E" w:rsidR="00934A8C" w:rsidRDefault="00934A8C">
      <w:pPr>
        <w:pStyle w:val="TOC1"/>
        <w:rPr>
          <w:rFonts w:asciiTheme="minorHAnsi" w:eastAsiaTheme="minorEastAsia" w:hAnsiTheme="minorHAnsi" w:cstheme="minorBidi"/>
          <w:caps w:val="0"/>
          <w:sz w:val="22"/>
          <w:szCs w:val="22"/>
        </w:rPr>
      </w:pPr>
      <w:r>
        <w:rPr>
          <w:szCs w:val="24"/>
        </w:rPr>
        <w:fldChar w:fldCharType="begin"/>
      </w:r>
      <w:r>
        <w:rPr>
          <w:szCs w:val="24"/>
        </w:rPr>
        <w:instrText xml:space="preserve"> TOC \o "1-6" \h \z \u </w:instrText>
      </w:r>
      <w:r>
        <w:rPr>
          <w:szCs w:val="24"/>
        </w:rPr>
        <w:fldChar w:fldCharType="separate"/>
      </w:r>
      <w:hyperlink w:anchor="_Toc496860081" w:history="1">
        <w:r w:rsidRPr="00521D8E">
          <w:rPr>
            <w:rStyle w:val="Hyperlink"/>
          </w:rPr>
          <w:t>introduction</w:t>
        </w:r>
        <w:r>
          <w:rPr>
            <w:webHidden/>
          </w:rPr>
          <w:tab/>
        </w:r>
        <w:r>
          <w:rPr>
            <w:webHidden/>
          </w:rPr>
          <w:fldChar w:fldCharType="begin"/>
        </w:r>
        <w:r>
          <w:rPr>
            <w:webHidden/>
          </w:rPr>
          <w:instrText xml:space="preserve"> PAGEREF _Toc496860081 \h </w:instrText>
        </w:r>
        <w:r>
          <w:rPr>
            <w:webHidden/>
          </w:rPr>
        </w:r>
        <w:r>
          <w:rPr>
            <w:webHidden/>
          </w:rPr>
          <w:fldChar w:fldCharType="separate"/>
        </w:r>
        <w:r w:rsidR="00724810">
          <w:rPr>
            <w:webHidden/>
          </w:rPr>
          <w:t>1</w:t>
        </w:r>
        <w:r>
          <w:rPr>
            <w:webHidden/>
          </w:rPr>
          <w:fldChar w:fldCharType="end"/>
        </w:r>
      </w:hyperlink>
    </w:p>
    <w:p w14:paraId="23B288ED" w14:textId="32C36E7F" w:rsidR="00934A8C" w:rsidRDefault="00457FFB">
      <w:pPr>
        <w:pStyle w:val="TOC1"/>
        <w:rPr>
          <w:rFonts w:asciiTheme="minorHAnsi" w:eastAsiaTheme="minorEastAsia" w:hAnsiTheme="minorHAnsi" w:cstheme="minorBidi"/>
          <w:caps w:val="0"/>
          <w:sz w:val="22"/>
          <w:szCs w:val="22"/>
        </w:rPr>
      </w:pPr>
      <w:hyperlink w:anchor="_Toc496860082" w:history="1">
        <w:r w:rsidR="00934A8C" w:rsidRPr="00521D8E">
          <w:rPr>
            <w:rStyle w:val="Hyperlink"/>
          </w:rPr>
          <w:t>ARGUMENT</w:t>
        </w:r>
        <w:r w:rsidR="00934A8C">
          <w:rPr>
            <w:webHidden/>
          </w:rPr>
          <w:tab/>
        </w:r>
        <w:r w:rsidR="00934A8C">
          <w:rPr>
            <w:webHidden/>
          </w:rPr>
          <w:fldChar w:fldCharType="begin"/>
        </w:r>
        <w:r w:rsidR="00934A8C">
          <w:rPr>
            <w:webHidden/>
          </w:rPr>
          <w:instrText xml:space="preserve"> PAGEREF _Toc496860082 \h </w:instrText>
        </w:r>
        <w:r w:rsidR="00934A8C">
          <w:rPr>
            <w:webHidden/>
          </w:rPr>
        </w:r>
        <w:r w:rsidR="00934A8C">
          <w:rPr>
            <w:webHidden/>
          </w:rPr>
          <w:fldChar w:fldCharType="separate"/>
        </w:r>
        <w:r w:rsidR="00724810">
          <w:rPr>
            <w:webHidden/>
          </w:rPr>
          <w:t>1</w:t>
        </w:r>
        <w:r w:rsidR="00934A8C">
          <w:rPr>
            <w:webHidden/>
          </w:rPr>
          <w:fldChar w:fldCharType="end"/>
        </w:r>
      </w:hyperlink>
    </w:p>
    <w:p w14:paraId="133BB59B" w14:textId="63760A4A" w:rsidR="00934A8C" w:rsidRDefault="00457FFB">
      <w:pPr>
        <w:pStyle w:val="TOC2"/>
        <w:rPr>
          <w:rFonts w:asciiTheme="minorHAnsi" w:eastAsiaTheme="minorEastAsia" w:hAnsiTheme="minorHAnsi" w:cstheme="minorBidi"/>
          <w:caps w:val="0"/>
          <w:sz w:val="22"/>
          <w:szCs w:val="22"/>
        </w:rPr>
      </w:pPr>
      <w:hyperlink w:anchor="_Toc496860083" w:history="1">
        <w:r w:rsidR="00934A8C" w:rsidRPr="00521D8E">
          <w:rPr>
            <w:rStyle w:val="Hyperlink"/>
          </w:rPr>
          <w:t>I.</w:t>
        </w:r>
        <w:r w:rsidR="00934A8C">
          <w:rPr>
            <w:rFonts w:asciiTheme="minorHAnsi" w:eastAsiaTheme="minorEastAsia" w:hAnsiTheme="minorHAnsi" w:cstheme="minorBidi"/>
            <w:caps w:val="0"/>
            <w:sz w:val="22"/>
            <w:szCs w:val="22"/>
          </w:rPr>
          <w:tab/>
        </w:r>
        <w:r w:rsidR="00934A8C" w:rsidRPr="00521D8E">
          <w:rPr>
            <w:rStyle w:val="Hyperlink"/>
          </w:rPr>
          <w:t>the commission should continue pse’s decoupling mechanism.</w:t>
        </w:r>
        <w:r w:rsidR="00934A8C">
          <w:rPr>
            <w:webHidden/>
          </w:rPr>
          <w:tab/>
        </w:r>
        <w:r w:rsidR="00934A8C">
          <w:rPr>
            <w:webHidden/>
          </w:rPr>
          <w:fldChar w:fldCharType="begin"/>
        </w:r>
        <w:r w:rsidR="00934A8C">
          <w:rPr>
            <w:webHidden/>
          </w:rPr>
          <w:instrText xml:space="preserve"> PAGEREF _Toc496860083 \h </w:instrText>
        </w:r>
        <w:r w:rsidR="00934A8C">
          <w:rPr>
            <w:webHidden/>
          </w:rPr>
        </w:r>
        <w:r w:rsidR="00934A8C">
          <w:rPr>
            <w:webHidden/>
          </w:rPr>
          <w:fldChar w:fldCharType="separate"/>
        </w:r>
        <w:r w:rsidR="00724810">
          <w:rPr>
            <w:webHidden/>
          </w:rPr>
          <w:t>1</w:t>
        </w:r>
        <w:r w:rsidR="00934A8C">
          <w:rPr>
            <w:webHidden/>
          </w:rPr>
          <w:fldChar w:fldCharType="end"/>
        </w:r>
      </w:hyperlink>
    </w:p>
    <w:p w14:paraId="74B2B60D" w14:textId="34C6C6A7" w:rsidR="00934A8C" w:rsidRDefault="00457FFB">
      <w:pPr>
        <w:pStyle w:val="TOC2"/>
        <w:rPr>
          <w:rFonts w:asciiTheme="minorHAnsi" w:eastAsiaTheme="minorEastAsia" w:hAnsiTheme="minorHAnsi" w:cstheme="minorBidi"/>
          <w:caps w:val="0"/>
          <w:sz w:val="22"/>
          <w:szCs w:val="22"/>
        </w:rPr>
      </w:pPr>
      <w:hyperlink w:anchor="_Toc496860084" w:history="1">
        <w:r w:rsidR="00934A8C" w:rsidRPr="00521D8E">
          <w:rPr>
            <w:rStyle w:val="Hyperlink"/>
          </w:rPr>
          <w:t>II.</w:t>
        </w:r>
        <w:r w:rsidR="00934A8C">
          <w:rPr>
            <w:rFonts w:asciiTheme="minorHAnsi" w:eastAsiaTheme="minorEastAsia" w:hAnsiTheme="minorHAnsi" w:cstheme="minorBidi"/>
            <w:caps w:val="0"/>
            <w:sz w:val="22"/>
            <w:szCs w:val="22"/>
          </w:rPr>
          <w:tab/>
        </w:r>
        <w:r w:rsidR="00934A8C" w:rsidRPr="00521D8E">
          <w:rPr>
            <w:rStyle w:val="Hyperlink"/>
          </w:rPr>
          <w:t>the commission should reject proposals by pse and staff to increase fixed charges.</w:t>
        </w:r>
        <w:r w:rsidR="00934A8C">
          <w:rPr>
            <w:webHidden/>
          </w:rPr>
          <w:tab/>
        </w:r>
        <w:r w:rsidR="00934A8C">
          <w:rPr>
            <w:webHidden/>
          </w:rPr>
          <w:fldChar w:fldCharType="begin"/>
        </w:r>
        <w:r w:rsidR="00934A8C">
          <w:rPr>
            <w:webHidden/>
          </w:rPr>
          <w:instrText xml:space="preserve"> PAGEREF _Toc496860084 \h </w:instrText>
        </w:r>
        <w:r w:rsidR="00934A8C">
          <w:rPr>
            <w:webHidden/>
          </w:rPr>
        </w:r>
        <w:r w:rsidR="00934A8C">
          <w:rPr>
            <w:webHidden/>
          </w:rPr>
          <w:fldChar w:fldCharType="separate"/>
        </w:r>
        <w:r w:rsidR="00724810">
          <w:rPr>
            <w:webHidden/>
          </w:rPr>
          <w:t>3</w:t>
        </w:r>
        <w:r w:rsidR="00934A8C">
          <w:rPr>
            <w:webHidden/>
          </w:rPr>
          <w:fldChar w:fldCharType="end"/>
        </w:r>
      </w:hyperlink>
    </w:p>
    <w:p w14:paraId="06FEFA27" w14:textId="025F1786" w:rsidR="00934A8C" w:rsidRDefault="00457FFB">
      <w:pPr>
        <w:pStyle w:val="TOC2"/>
        <w:rPr>
          <w:rFonts w:asciiTheme="minorHAnsi" w:eastAsiaTheme="minorEastAsia" w:hAnsiTheme="minorHAnsi" w:cstheme="minorBidi"/>
          <w:caps w:val="0"/>
          <w:sz w:val="22"/>
          <w:szCs w:val="22"/>
        </w:rPr>
      </w:pPr>
      <w:hyperlink w:anchor="_Toc496860085" w:history="1">
        <w:r w:rsidR="00934A8C" w:rsidRPr="00521D8E">
          <w:rPr>
            <w:rStyle w:val="Hyperlink"/>
          </w:rPr>
          <w:t>III.</w:t>
        </w:r>
        <w:r w:rsidR="00934A8C">
          <w:rPr>
            <w:rFonts w:asciiTheme="minorHAnsi" w:eastAsiaTheme="minorEastAsia" w:hAnsiTheme="minorHAnsi" w:cstheme="minorBidi"/>
            <w:caps w:val="0"/>
            <w:sz w:val="22"/>
            <w:szCs w:val="22"/>
          </w:rPr>
          <w:tab/>
        </w:r>
        <w:r w:rsidR="00934A8C" w:rsidRPr="00521D8E">
          <w:rPr>
            <w:rStyle w:val="Hyperlink"/>
          </w:rPr>
          <w:t>PSE’s brief Presented no new evidence to support an increase in the 3% cap for the decoupling mechanism.</w:t>
        </w:r>
        <w:r w:rsidR="00934A8C">
          <w:rPr>
            <w:webHidden/>
          </w:rPr>
          <w:tab/>
        </w:r>
        <w:r w:rsidR="00934A8C">
          <w:rPr>
            <w:webHidden/>
          </w:rPr>
          <w:fldChar w:fldCharType="begin"/>
        </w:r>
        <w:r w:rsidR="00934A8C">
          <w:rPr>
            <w:webHidden/>
          </w:rPr>
          <w:instrText xml:space="preserve"> PAGEREF _Toc496860085 \h </w:instrText>
        </w:r>
        <w:r w:rsidR="00934A8C">
          <w:rPr>
            <w:webHidden/>
          </w:rPr>
        </w:r>
        <w:r w:rsidR="00934A8C">
          <w:rPr>
            <w:webHidden/>
          </w:rPr>
          <w:fldChar w:fldCharType="separate"/>
        </w:r>
        <w:r w:rsidR="00724810">
          <w:rPr>
            <w:webHidden/>
          </w:rPr>
          <w:t>5</w:t>
        </w:r>
        <w:r w:rsidR="00934A8C">
          <w:rPr>
            <w:webHidden/>
          </w:rPr>
          <w:fldChar w:fldCharType="end"/>
        </w:r>
      </w:hyperlink>
    </w:p>
    <w:p w14:paraId="7ECF4D28" w14:textId="0AA365FD" w:rsidR="00934A8C" w:rsidRDefault="00457FFB">
      <w:pPr>
        <w:pStyle w:val="TOC2"/>
        <w:rPr>
          <w:rFonts w:asciiTheme="minorHAnsi" w:eastAsiaTheme="minorEastAsia" w:hAnsiTheme="minorHAnsi" w:cstheme="minorBidi"/>
          <w:caps w:val="0"/>
          <w:sz w:val="22"/>
          <w:szCs w:val="22"/>
        </w:rPr>
      </w:pPr>
      <w:hyperlink w:anchor="_Toc496860086" w:history="1">
        <w:r w:rsidR="00934A8C" w:rsidRPr="00521D8E">
          <w:rPr>
            <w:rStyle w:val="Hyperlink"/>
          </w:rPr>
          <w:t>IV.</w:t>
        </w:r>
        <w:r w:rsidR="00934A8C">
          <w:rPr>
            <w:rFonts w:asciiTheme="minorHAnsi" w:eastAsiaTheme="minorEastAsia" w:hAnsiTheme="minorHAnsi" w:cstheme="minorBidi"/>
            <w:caps w:val="0"/>
            <w:sz w:val="22"/>
            <w:szCs w:val="22"/>
          </w:rPr>
          <w:tab/>
        </w:r>
        <w:r w:rsidR="00934A8C" w:rsidRPr="00521D8E">
          <w:rPr>
            <w:rStyle w:val="Hyperlink"/>
          </w:rPr>
          <w:t>Pse misrepresents nwec’s position on three-tier rates.</w:t>
        </w:r>
        <w:r w:rsidR="00934A8C">
          <w:rPr>
            <w:webHidden/>
          </w:rPr>
          <w:tab/>
        </w:r>
        <w:r w:rsidR="00934A8C">
          <w:rPr>
            <w:webHidden/>
          </w:rPr>
          <w:fldChar w:fldCharType="begin"/>
        </w:r>
        <w:r w:rsidR="00934A8C">
          <w:rPr>
            <w:webHidden/>
          </w:rPr>
          <w:instrText xml:space="preserve"> PAGEREF _Toc496860086 \h </w:instrText>
        </w:r>
        <w:r w:rsidR="00934A8C">
          <w:rPr>
            <w:webHidden/>
          </w:rPr>
        </w:r>
        <w:r w:rsidR="00934A8C">
          <w:rPr>
            <w:webHidden/>
          </w:rPr>
          <w:fldChar w:fldCharType="separate"/>
        </w:r>
        <w:r w:rsidR="00724810">
          <w:rPr>
            <w:webHidden/>
          </w:rPr>
          <w:t>5</w:t>
        </w:r>
        <w:r w:rsidR="00934A8C">
          <w:rPr>
            <w:webHidden/>
          </w:rPr>
          <w:fldChar w:fldCharType="end"/>
        </w:r>
      </w:hyperlink>
    </w:p>
    <w:p w14:paraId="71CFF110" w14:textId="578B136B" w:rsidR="00934A8C" w:rsidRDefault="00457FFB">
      <w:pPr>
        <w:pStyle w:val="TOC2"/>
        <w:rPr>
          <w:rFonts w:asciiTheme="minorHAnsi" w:eastAsiaTheme="minorEastAsia" w:hAnsiTheme="minorHAnsi" w:cstheme="minorBidi"/>
          <w:caps w:val="0"/>
          <w:sz w:val="22"/>
          <w:szCs w:val="22"/>
        </w:rPr>
      </w:pPr>
      <w:hyperlink w:anchor="_Toc496860087" w:history="1">
        <w:r w:rsidR="00934A8C" w:rsidRPr="00521D8E">
          <w:rPr>
            <w:rStyle w:val="Hyperlink"/>
          </w:rPr>
          <w:t>V.</w:t>
        </w:r>
        <w:r w:rsidR="00934A8C">
          <w:rPr>
            <w:rFonts w:asciiTheme="minorHAnsi" w:eastAsiaTheme="minorEastAsia" w:hAnsiTheme="minorHAnsi" w:cstheme="minorBidi"/>
            <w:caps w:val="0"/>
            <w:sz w:val="22"/>
            <w:szCs w:val="22"/>
          </w:rPr>
          <w:tab/>
        </w:r>
        <w:r w:rsidR="00934A8C" w:rsidRPr="00521D8E">
          <w:rPr>
            <w:rStyle w:val="Hyperlink"/>
          </w:rPr>
          <w:t>public counsel’s objections to the colstrip provisions of the settlement are unfounded and threaten to recreate the current problems surrounding colstrip units 1 and 2.</w:t>
        </w:r>
        <w:r w:rsidR="00934A8C">
          <w:rPr>
            <w:webHidden/>
          </w:rPr>
          <w:tab/>
        </w:r>
        <w:r w:rsidR="00934A8C">
          <w:rPr>
            <w:webHidden/>
          </w:rPr>
          <w:fldChar w:fldCharType="begin"/>
        </w:r>
        <w:r w:rsidR="00934A8C">
          <w:rPr>
            <w:webHidden/>
          </w:rPr>
          <w:instrText xml:space="preserve"> PAGEREF _Toc496860087 \h </w:instrText>
        </w:r>
        <w:r w:rsidR="00934A8C">
          <w:rPr>
            <w:webHidden/>
          </w:rPr>
        </w:r>
        <w:r w:rsidR="00934A8C">
          <w:rPr>
            <w:webHidden/>
          </w:rPr>
          <w:fldChar w:fldCharType="separate"/>
        </w:r>
        <w:r w:rsidR="00724810">
          <w:rPr>
            <w:webHidden/>
          </w:rPr>
          <w:t>5</w:t>
        </w:r>
        <w:r w:rsidR="00934A8C">
          <w:rPr>
            <w:webHidden/>
          </w:rPr>
          <w:fldChar w:fldCharType="end"/>
        </w:r>
      </w:hyperlink>
    </w:p>
    <w:p w14:paraId="515FE4A1" w14:textId="574DDB8D" w:rsidR="00934A8C" w:rsidRDefault="00457FFB">
      <w:pPr>
        <w:pStyle w:val="TOC3"/>
        <w:tabs>
          <w:tab w:val="left" w:pos="2592"/>
        </w:tabs>
        <w:rPr>
          <w:rFonts w:asciiTheme="minorHAnsi" w:eastAsiaTheme="minorEastAsia" w:hAnsiTheme="minorHAnsi" w:cstheme="minorBidi"/>
          <w:sz w:val="22"/>
          <w:szCs w:val="22"/>
        </w:rPr>
      </w:pPr>
      <w:hyperlink w:anchor="_Toc496860088" w:history="1">
        <w:r w:rsidR="00934A8C" w:rsidRPr="00521D8E">
          <w:rPr>
            <w:rStyle w:val="Hyperlink"/>
          </w:rPr>
          <w:t>A.</w:t>
        </w:r>
        <w:r w:rsidR="00934A8C">
          <w:rPr>
            <w:rFonts w:asciiTheme="minorHAnsi" w:eastAsiaTheme="minorEastAsia" w:hAnsiTheme="minorHAnsi" w:cstheme="minorBidi"/>
            <w:sz w:val="22"/>
            <w:szCs w:val="22"/>
          </w:rPr>
          <w:tab/>
        </w:r>
        <w:r w:rsidR="00934A8C" w:rsidRPr="00521D8E">
          <w:rPr>
            <w:rStyle w:val="Hyperlink"/>
          </w:rPr>
          <w:t xml:space="preserve">Public Counsel’s Proposed Depreciation Schedule for Colstrip Units 3 and 4 </w:t>
        </w:r>
        <w:r w:rsidR="00934A8C">
          <w:rPr>
            <w:rStyle w:val="Hyperlink"/>
          </w:rPr>
          <w:t>i</w:t>
        </w:r>
        <w:r w:rsidR="00934A8C" w:rsidRPr="00521D8E">
          <w:rPr>
            <w:rStyle w:val="Hyperlink"/>
          </w:rPr>
          <w:t>s Without Foundation and Risks Recreating the Problems Faced by Units 1 and 2.</w:t>
        </w:r>
        <w:r w:rsidR="00934A8C">
          <w:rPr>
            <w:webHidden/>
          </w:rPr>
          <w:tab/>
        </w:r>
        <w:r w:rsidR="00934A8C">
          <w:rPr>
            <w:webHidden/>
          </w:rPr>
          <w:fldChar w:fldCharType="begin"/>
        </w:r>
        <w:r w:rsidR="00934A8C">
          <w:rPr>
            <w:webHidden/>
          </w:rPr>
          <w:instrText xml:space="preserve"> PAGEREF _Toc496860088 \h </w:instrText>
        </w:r>
        <w:r w:rsidR="00934A8C">
          <w:rPr>
            <w:webHidden/>
          </w:rPr>
        </w:r>
        <w:r w:rsidR="00934A8C">
          <w:rPr>
            <w:webHidden/>
          </w:rPr>
          <w:fldChar w:fldCharType="separate"/>
        </w:r>
        <w:r w:rsidR="00724810">
          <w:rPr>
            <w:webHidden/>
          </w:rPr>
          <w:t>6</w:t>
        </w:r>
        <w:r w:rsidR="00934A8C">
          <w:rPr>
            <w:webHidden/>
          </w:rPr>
          <w:fldChar w:fldCharType="end"/>
        </w:r>
      </w:hyperlink>
    </w:p>
    <w:p w14:paraId="66D2CB07" w14:textId="6FA9E043" w:rsidR="00934A8C" w:rsidRDefault="00457FFB">
      <w:pPr>
        <w:pStyle w:val="TOC3"/>
        <w:tabs>
          <w:tab w:val="left" w:pos="2592"/>
        </w:tabs>
        <w:rPr>
          <w:rFonts w:asciiTheme="minorHAnsi" w:eastAsiaTheme="minorEastAsia" w:hAnsiTheme="minorHAnsi" w:cstheme="minorBidi"/>
          <w:sz w:val="22"/>
          <w:szCs w:val="22"/>
        </w:rPr>
      </w:pPr>
      <w:hyperlink w:anchor="_Toc496860089" w:history="1">
        <w:r w:rsidR="00934A8C" w:rsidRPr="00521D8E">
          <w:rPr>
            <w:rStyle w:val="Hyperlink"/>
          </w:rPr>
          <w:t>B.</w:t>
        </w:r>
        <w:r w:rsidR="00934A8C">
          <w:rPr>
            <w:rFonts w:asciiTheme="minorHAnsi" w:eastAsiaTheme="minorEastAsia" w:hAnsiTheme="minorHAnsi" w:cstheme="minorBidi"/>
            <w:sz w:val="22"/>
            <w:szCs w:val="22"/>
          </w:rPr>
          <w:tab/>
        </w:r>
        <w:r w:rsidR="00934A8C" w:rsidRPr="00521D8E">
          <w:rPr>
            <w:rStyle w:val="Hyperlink"/>
          </w:rPr>
          <w:t>Public Counsels’ Proposed Treatment of Remediation Costs Has No Basis in the Law or Sound Public Policy.</w:t>
        </w:r>
        <w:r w:rsidR="00934A8C">
          <w:rPr>
            <w:webHidden/>
          </w:rPr>
          <w:tab/>
        </w:r>
        <w:r w:rsidR="00934A8C">
          <w:rPr>
            <w:webHidden/>
          </w:rPr>
          <w:fldChar w:fldCharType="begin"/>
        </w:r>
        <w:r w:rsidR="00934A8C">
          <w:rPr>
            <w:webHidden/>
          </w:rPr>
          <w:instrText xml:space="preserve"> PAGEREF _Toc496860089 \h </w:instrText>
        </w:r>
        <w:r w:rsidR="00934A8C">
          <w:rPr>
            <w:webHidden/>
          </w:rPr>
        </w:r>
        <w:r w:rsidR="00934A8C">
          <w:rPr>
            <w:webHidden/>
          </w:rPr>
          <w:fldChar w:fldCharType="separate"/>
        </w:r>
        <w:r w:rsidR="00724810">
          <w:rPr>
            <w:webHidden/>
          </w:rPr>
          <w:t>7</w:t>
        </w:r>
        <w:r w:rsidR="00934A8C">
          <w:rPr>
            <w:webHidden/>
          </w:rPr>
          <w:fldChar w:fldCharType="end"/>
        </w:r>
      </w:hyperlink>
    </w:p>
    <w:p w14:paraId="3FC3C3E1" w14:textId="14F98574" w:rsidR="00934A8C" w:rsidRDefault="00457FFB">
      <w:pPr>
        <w:pStyle w:val="TOC1"/>
        <w:rPr>
          <w:rFonts w:asciiTheme="minorHAnsi" w:eastAsiaTheme="minorEastAsia" w:hAnsiTheme="minorHAnsi" w:cstheme="minorBidi"/>
          <w:caps w:val="0"/>
          <w:sz w:val="22"/>
          <w:szCs w:val="22"/>
        </w:rPr>
      </w:pPr>
      <w:hyperlink w:anchor="_Toc496860090" w:history="1">
        <w:r w:rsidR="00934A8C" w:rsidRPr="00521D8E">
          <w:rPr>
            <w:rStyle w:val="Hyperlink"/>
          </w:rPr>
          <w:t>conclusion</w:t>
        </w:r>
        <w:r w:rsidR="00934A8C">
          <w:rPr>
            <w:webHidden/>
          </w:rPr>
          <w:tab/>
        </w:r>
        <w:r w:rsidR="00934A8C">
          <w:rPr>
            <w:webHidden/>
          </w:rPr>
          <w:fldChar w:fldCharType="begin"/>
        </w:r>
        <w:r w:rsidR="00934A8C">
          <w:rPr>
            <w:webHidden/>
          </w:rPr>
          <w:instrText xml:space="preserve"> PAGEREF _Toc496860090 \h </w:instrText>
        </w:r>
        <w:r w:rsidR="00934A8C">
          <w:rPr>
            <w:webHidden/>
          </w:rPr>
        </w:r>
        <w:r w:rsidR="00934A8C">
          <w:rPr>
            <w:webHidden/>
          </w:rPr>
          <w:fldChar w:fldCharType="separate"/>
        </w:r>
        <w:r w:rsidR="00724810">
          <w:rPr>
            <w:webHidden/>
          </w:rPr>
          <w:t>8</w:t>
        </w:r>
        <w:r w:rsidR="00934A8C">
          <w:rPr>
            <w:webHidden/>
          </w:rPr>
          <w:fldChar w:fldCharType="end"/>
        </w:r>
      </w:hyperlink>
    </w:p>
    <w:p w14:paraId="4929CC2E" w14:textId="5C17646A" w:rsidR="00724810" w:rsidRDefault="00934A8C" w:rsidP="00BB3F86">
      <w:pPr>
        <w:jc w:val="center"/>
        <w:rPr>
          <w:szCs w:val="24"/>
        </w:rPr>
        <w:sectPr w:rsidR="00724810" w:rsidSect="00724810">
          <w:footerReference w:type="default" r:id="rId11"/>
          <w:pgSz w:w="12240" w:h="15840" w:code="1"/>
          <w:pgMar w:top="1440" w:right="1440" w:bottom="1440" w:left="1440" w:header="720" w:footer="432" w:gutter="0"/>
          <w:paperSrc w:first="275" w:other="275"/>
          <w:pgNumType w:fmt="lowerRoman" w:start="1"/>
          <w:cols w:space="720"/>
        </w:sectPr>
      </w:pPr>
      <w:r>
        <w:rPr>
          <w:szCs w:val="24"/>
        </w:rPr>
        <w:fldChar w:fldCharType="end"/>
      </w:r>
    </w:p>
    <w:p w14:paraId="7691DB6A" w14:textId="77777777" w:rsidR="006C1987" w:rsidRPr="00EE3302" w:rsidRDefault="006C1987" w:rsidP="001A0065">
      <w:pPr>
        <w:pStyle w:val="Heading1"/>
        <w:rPr>
          <w:szCs w:val="24"/>
        </w:rPr>
      </w:pPr>
      <w:bookmarkStart w:id="1" w:name="_Toc357674219"/>
      <w:bookmarkStart w:id="2" w:name="_Toc496860081"/>
      <w:r w:rsidRPr="00EE3302">
        <w:rPr>
          <w:szCs w:val="24"/>
        </w:rPr>
        <w:lastRenderedPageBreak/>
        <w:t>introduction</w:t>
      </w:r>
      <w:bookmarkEnd w:id="1"/>
      <w:bookmarkEnd w:id="2"/>
    </w:p>
    <w:p w14:paraId="0D824F54" w14:textId="1C729039" w:rsidR="009D017A" w:rsidRPr="00EE3302" w:rsidRDefault="00EE3302" w:rsidP="00EE3302">
      <w:pPr>
        <w:pStyle w:val="BodyText"/>
        <w:numPr>
          <w:ilvl w:val="0"/>
          <w:numId w:val="19"/>
        </w:numPr>
        <w:ind w:left="0" w:hanging="720"/>
        <w:rPr>
          <w:b/>
        </w:rPr>
      </w:pPr>
      <w:r>
        <w:tab/>
        <w:t>N</w:t>
      </w:r>
      <w:r w:rsidR="00860CDF" w:rsidRPr="00EE3302">
        <w:t xml:space="preserve">W Energy Coalition, Renewable Northwest, and Natural Resources Defense Council (collectively “NWEC”) </w:t>
      </w:r>
      <w:r w:rsidR="00113CAC" w:rsidRPr="00EE3302">
        <w:t>respectfully sub</w:t>
      </w:r>
      <w:r w:rsidR="009D017A" w:rsidRPr="00EE3302">
        <w:t xml:space="preserve">mit this </w:t>
      </w:r>
      <w:r w:rsidR="00A90A83">
        <w:t xml:space="preserve">post-hearing </w:t>
      </w:r>
      <w:r w:rsidR="009D017A" w:rsidRPr="00EE3302">
        <w:t xml:space="preserve">reply </w:t>
      </w:r>
      <w:r w:rsidR="00A90A83">
        <w:t xml:space="preserve">brief to address four issues raised by other parties: </w:t>
      </w:r>
      <w:r w:rsidR="00B14E57">
        <w:t xml:space="preserve">(1) </w:t>
      </w:r>
      <w:r w:rsidR="00A90A83">
        <w:t xml:space="preserve">objections to </w:t>
      </w:r>
      <w:r w:rsidR="009D017A" w:rsidRPr="00EE3302">
        <w:t>PSE’s decoupling mechanism</w:t>
      </w:r>
      <w:r w:rsidR="00A90A83">
        <w:t xml:space="preserve">; </w:t>
      </w:r>
      <w:r w:rsidR="00B14E57">
        <w:t xml:space="preserve">(2) </w:t>
      </w:r>
      <w:r w:rsidR="00A90A83">
        <w:t xml:space="preserve">proposals to add line transformer costs to the monthly </w:t>
      </w:r>
      <w:r w:rsidR="00386FCE">
        <w:t xml:space="preserve">basic charge and create a new minimum </w:t>
      </w:r>
      <w:r w:rsidR="00A90A83">
        <w:t xml:space="preserve">bill; </w:t>
      </w:r>
      <w:r w:rsidR="00B14E57">
        <w:t xml:space="preserve">(3) </w:t>
      </w:r>
      <w:r w:rsidR="00A90A83">
        <w:t xml:space="preserve">the need for a technical </w:t>
      </w:r>
      <w:r w:rsidR="00B14E57">
        <w:t>meeting</w:t>
      </w:r>
      <w:r w:rsidR="00A90A83">
        <w:t xml:space="preserve"> to help design a workable three-tier rate structure; and </w:t>
      </w:r>
      <w:r w:rsidR="00B14E57">
        <w:t xml:space="preserve">(4) </w:t>
      </w:r>
      <w:r w:rsidR="00A90A83">
        <w:t xml:space="preserve">Public Counsel’s opposition to </w:t>
      </w:r>
      <w:r w:rsidR="00386FCE">
        <w:t xml:space="preserve">parts of </w:t>
      </w:r>
      <w:r w:rsidR="00A90A83">
        <w:t>the settlement agreement.</w:t>
      </w:r>
    </w:p>
    <w:p w14:paraId="5016EC69" w14:textId="46AFC362" w:rsidR="005F2CA0" w:rsidRPr="00EE3302" w:rsidRDefault="00275432" w:rsidP="00AF2340">
      <w:pPr>
        <w:pStyle w:val="Heading1"/>
        <w:rPr>
          <w:szCs w:val="24"/>
        </w:rPr>
      </w:pPr>
      <w:bookmarkStart w:id="3" w:name="_Toc496860082"/>
      <w:r w:rsidRPr="00EE3302">
        <w:rPr>
          <w:szCs w:val="24"/>
        </w:rPr>
        <w:t>ARGUMENT</w:t>
      </w:r>
      <w:bookmarkEnd w:id="3"/>
    </w:p>
    <w:p w14:paraId="1B53B7AD" w14:textId="0EE6548A" w:rsidR="009640D4" w:rsidRPr="00EE3302" w:rsidRDefault="00D2766D" w:rsidP="00AF2340">
      <w:pPr>
        <w:pStyle w:val="Heading2"/>
        <w:rPr>
          <w:szCs w:val="24"/>
        </w:rPr>
      </w:pPr>
      <w:bookmarkStart w:id="4" w:name="_Toc496860083"/>
      <w:r w:rsidRPr="00EE3302">
        <w:rPr>
          <w:szCs w:val="24"/>
        </w:rPr>
        <w:t>the commission should continue pse’s decoupling mechanism.</w:t>
      </w:r>
      <w:bookmarkEnd w:id="4"/>
    </w:p>
    <w:p w14:paraId="7320AA11" w14:textId="2B8FAA9E" w:rsidR="00313B7F" w:rsidRPr="00EE3302" w:rsidRDefault="00AF2340" w:rsidP="00EE3302">
      <w:pPr>
        <w:pStyle w:val="ListParagraph"/>
        <w:numPr>
          <w:ilvl w:val="0"/>
          <w:numId w:val="19"/>
        </w:numPr>
        <w:spacing w:after="0" w:line="480" w:lineRule="auto"/>
        <w:ind w:left="0" w:hanging="720"/>
        <w:contextualSpacing w:val="0"/>
        <w:rPr>
          <w:rFonts w:ascii="Times New Roman" w:eastAsia="Times New Roman" w:hAnsi="Times New Roman" w:cs="Times New Roman"/>
          <w:sz w:val="24"/>
          <w:szCs w:val="24"/>
        </w:rPr>
      </w:pPr>
      <w:r w:rsidRPr="00EE3302">
        <w:rPr>
          <w:rFonts w:ascii="Times New Roman" w:eastAsia="Times New Roman" w:hAnsi="Times New Roman" w:cs="Times New Roman"/>
          <w:sz w:val="24"/>
          <w:szCs w:val="24"/>
        </w:rPr>
        <w:tab/>
        <w:t>T</w:t>
      </w:r>
      <w:r w:rsidR="00D2766D" w:rsidRPr="00EE3302">
        <w:rPr>
          <w:rFonts w:ascii="Times New Roman" w:eastAsia="Times New Roman" w:hAnsi="Times New Roman" w:cs="Times New Roman"/>
          <w:sz w:val="24"/>
          <w:szCs w:val="24"/>
        </w:rPr>
        <w:t xml:space="preserve">he Federal Executive Agencies (“FEA”) and </w:t>
      </w:r>
      <w:r w:rsidR="00B14E57">
        <w:rPr>
          <w:rFonts w:ascii="Times New Roman" w:eastAsia="Times New Roman" w:hAnsi="Times New Roman" w:cs="Times New Roman"/>
          <w:sz w:val="24"/>
          <w:szCs w:val="24"/>
        </w:rPr>
        <w:t>Industrial Customers of Northwest Utilities (“</w:t>
      </w:r>
      <w:r w:rsidR="009D017A" w:rsidRPr="00EE3302">
        <w:rPr>
          <w:rFonts w:ascii="Times New Roman" w:eastAsia="Times New Roman" w:hAnsi="Times New Roman" w:cs="Times New Roman"/>
          <w:sz w:val="24"/>
          <w:szCs w:val="24"/>
        </w:rPr>
        <w:t>ICNU</w:t>
      </w:r>
      <w:r w:rsidR="00B14E57">
        <w:rPr>
          <w:rFonts w:ascii="Times New Roman" w:eastAsia="Times New Roman" w:hAnsi="Times New Roman" w:cs="Times New Roman"/>
          <w:sz w:val="24"/>
          <w:szCs w:val="24"/>
        </w:rPr>
        <w:t>”)</w:t>
      </w:r>
      <w:r w:rsidR="009D017A" w:rsidRPr="00EE3302">
        <w:rPr>
          <w:rFonts w:ascii="Times New Roman" w:eastAsia="Times New Roman" w:hAnsi="Times New Roman" w:cs="Times New Roman"/>
          <w:sz w:val="24"/>
          <w:szCs w:val="24"/>
        </w:rPr>
        <w:t xml:space="preserve"> </w:t>
      </w:r>
      <w:r w:rsidR="00D2766D" w:rsidRPr="00EE3302">
        <w:rPr>
          <w:rFonts w:ascii="Times New Roman" w:eastAsia="Times New Roman" w:hAnsi="Times New Roman" w:cs="Times New Roman"/>
          <w:sz w:val="24"/>
          <w:szCs w:val="24"/>
        </w:rPr>
        <w:t xml:space="preserve">filed opening briefs that </w:t>
      </w:r>
      <w:r w:rsidR="00722535" w:rsidRPr="00EE3302">
        <w:rPr>
          <w:rFonts w:ascii="Times New Roman" w:eastAsia="Times New Roman" w:hAnsi="Times New Roman" w:cs="Times New Roman"/>
          <w:sz w:val="24"/>
          <w:szCs w:val="24"/>
        </w:rPr>
        <w:t xml:space="preserve">primarily </w:t>
      </w:r>
      <w:r w:rsidR="005F2CA0" w:rsidRPr="00EE3302">
        <w:rPr>
          <w:rFonts w:ascii="Times New Roman" w:eastAsia="Times New Roman" w:hAnsi="Times New Roman" w:cs="Times New Roman"/>
          <w:sz w:val="24"/>
          <w:szCs w:val="24"/>
        </w:rPr>
        <w:t xml:space="preserve">repeat </w:t>
      </w:r>
      <w:r w:rsidR="00D2766D" w:rsidRPr="00EE3302">
        <w:rPr>
          <w:rFonts w:ascii="Times New Roman" w:eastAsia="Times New Roman" w:hAnsi="Times New Roman" w:cs="Times New Roman"/>
          <w:sz w:val="24"/>
          <w:szCs w:val="24"/>
        </w:rPr>
        <w:t xml:space="preserve">arguments contained in their testimony </w:t>
      </w:r>
      <w:r w:rsidR="00313B7F" w:rsidRPr="00EE3302">
        <w:rPr>
          <w:rFonts w:ascii="Times New Roman" w:eastAsia="Times New Roman" w:hAnsi="Times New Roman" w:cs="Times New Roman"/>
          <w:sz w:val="24"/>
          <w:szCs w:val="24"/>
        </w:rPr>
        <w:t xml:space="preserve">that decoupling </w:t>
      </w:r>
      <w:r w:rsidR="00D2766D" w:rsidRPr="00EE3302">
        <w:rPr>
          <w:rFonts w:ascii="Times New Roman" w:eastAsia="Times New Roman" w:hAnsi="Times New Roman" w:cs="Times New Roman"/>
          <w:sz w:val="24"/>
          <w:szCs w:val="24"/>
        </w:rPr>
        <w:t xml:space="preserve">should end </w:t>
      </w:r>
      <w:r w:rsidR="00313B7F" w:rsidRPr="00EE3302">
        <w:rPr>
          <w:rFonts w:ascii="Times New Roman" w:eastAsia="Times New Roman" w:hAnsi="Times New Roman" w:cs="Times New Roman"/>
          <w:sz w:val="24"/>
          <w:szCs w:val="24"/>
        </w:rPr>
        <w:t>because it violates traditional ratemaking principles</w:t>
      </w:r>
      <w:r w:rsidR="00D2766D" w:rsidRPr="00EE3302">
        <w:rPr>
          <w:rFonts w:ascii="Times New Roman" w:eastAsia="Times New Roman" w:hAnsi="Times New Roman" w:cs="Times New Roman"/>
          <w:sz w:val="24"/>
          <w:szCs w:val="24"/>
        </w:rPr>
        <w:t>.</w:t>
      </w:r>
      <w:r w:rsidR="00D2766D" w:rsidRPr="00EE3302">
        <w:rPr>
          <w:rStyle w:val="FootnoteReference"/>
          <w:rFonts w:ascii="Times New Roman" w:eastAsia="Times New Roman" w:hAnsi="Times New Roman" w:cs="Times New Roman"/>
          <w:sz w:val="24"/>
          <w:szCs w:val="24"/>
        </w:rPr>
        <w:footnoteReference w:id="1"/>
      </w:r>
      <w:r w:rsidR="00313B7F" w:rsidRPr="00EE3302">
        <w:rPr>
          <w:rFonts w:ascii="Times New Roman" w:eastAsia="Times New Roman" w:hAnsi="Times New Roman" w:cs="Times New Roman"/>
          <w:sz w:val="24"/>
          <w:szCs w:val="24"/>
        </w:rPr>
        <w:t xml:space="preserve">  </w:t>
      </w:r>
      <w:r w:rsidR="00167CF9">
        <w:rPr>
          <w:rFonts w:ascii="Times New Roman" w:eastAsia="Times New Roman" w:hAnsi="Times New Roman" w:cs="Times New Roman"/>
          <w:sz w:val="24"/>
          <w:szCs w:val="24"/>
        </w:rPr>
        <w:t xml:space="preserve">As explained in </w:t>
      </w:r>
      <w:r w:rsidR="00313B7F" w:rsidRPr="00EE3302">
        <w:rPr>
          <w:rFonts w:ascii="Times New Roman" w:eastAsia="Times New Roman" w:hAnsi="Times New Roman" w:cs="Times New Roman"/>
          <w:sz w:val="24"/>
          <w:szCs w:val="24"/>
        </w:rPr>
        <w:t>NWEC</w:t>
      </w:r>
      <w:r w:rsidR="00167CF9">
        <w:rPr>
          <w:rFonts w:ascii="Times New Roman" w:eastAsia="Times New Roman" w:hAnsi="Times New Roman" w:cs="Times New Roman"/>
          <w:sz w:val="24"/>
          <w:szCs w:val="24"/>
        </w:rPr>
        <w:t xml:space="preserve">’s </w:t>
      </w:r>
      <w:r w:rsidR="00313B7F" w:rsidRPr="00EE3302">
        <w:rPr>
          <w:rFonts w:ascii="Times New Roman" w:eastAsia="Times New Roman" w:hAnsi="Times New Roman" w:cs="Times New Roman"/>
          <w:sz w:val="24"/>
          <w:szCs w:val="24"/>
        </w:rPr>
        <w:t>initial post-hearing brief</w:t>
      </w:r>
      <w:r w:rsidR="00167CF9">
        <w:rPr>
          <w:rFonts w:ascii="Times New Roman" w:eastAsia="Times New Roman" w:hAnsi="Times New Roman" w:cs="Times New Roman"/>
          <w:sz w:val="24"/>
          <w:szCs w:val="24"/>
        </w:rPr>
        <w:t xml:space="preserve">, </w:t>
      </w:r>
      <w:r w:rsidR="00313B7F" w:rsidRPr="00EE3302">
        <w:rPr>
          <w:rFonts w:ascii="Times New Roman" w:eastAsia="Times New Roman" w:hAnsi="Times New Roman" w:cs="Times New Roman"/>
          <w:sz w:val="24"/>
          <w:szCs w:val="24"/>
        </w:rPr>
        <w:t>FEA’s and ICNU’s arguments have no merit.</w:t>
      </w:r>
      <w:r w:rsidR="00313B7F" w:rsidRPr="00EE3302">
        <w:rPr>
          <w:rStyle w:val="FootnoteReference"/>
          <w:rFonts w:ascii="Times New Roman" w:eastAsia="Times New Roman" w:hAnsi="Times New Roman" w:cs="Times New Roman"/>
          <w:sz w:val="24"/>
          <w:szCs w:val="24"/>
        </w:rPr>
        <w:footnoteReference w:id="2"/>
      </w:r>
    </w:p>
    <w:p w14:paraId="3A938DA9" w14:textId="7F9BF0F9" w:rsidR="00DF2E1C" w:rsidRPr="00EE3302" w:rsidRDefault="00AF2340" w:rsidP="00EE3302">
      <w:pPr>
        <w:pStyle w:val="ListParagraph"/>
        <w:numPr>
          <w:ilvl w:val="0"/>
          <w:numId w:val="19"/>
        </w:numPr>
        <w:spacing w:after="0" w:line="480" w:lineRule="auto"/>
        <w:ind w:left="0" w:hanging="720"/>
        <w:contextualSpacing w:val="0"/>
        <w:rPr>
          <w:rFonts w:ascii="Times New Roman" w:eastAsia="Times New Roman" w:hAnsi="Times New Roman" w:cs="Times New Roman"/>
          <w:sz w:val="24"/>
          <w:szCs w:val="24"/>
        </w:rPr>
      </w:pPr>
      <w:r w:rsidRPr="00EE3302">
        <w:rPr>
          <w:rFonts w:ascii="Times New Roman" w:eastAsia="Times New Roman" w:hAnsi="Times New Roman" w:cs="Times New Roman"/>
          <w:sz w:val="24"/>
          <w:szCs w:val="24"/>
        </w:rPr>
        <w:tab/>
        <w:t>I</w:t>
      </w:r>
      <w:r w:rsidR="00941B33" w:rsidRPr="00EE3302">
        <w:rPr>
          <w:rFonts w:ascii="Times New Roman" w:eastAsia="Times New Roman" w:hAnsi="Times New Roman" w:cs="Times New Roman"/>
          <w:sz w:val="24"/>
          <w:szCs w:val="24"/>
        </w:rPr>
        <w:t xml:space="preserve">CNU </w:t>
      </w:r>
      <w:r w:rsidR="00722535" w:rsidRPr="00EE3302">
        <w:rPr>
          <w:rFonts w:ascii="Times New Roman" w:eastAsia="Times New Roman" w:hAnsi="Times New Roman" w:cs="Times New Roman"/>
          <w:sz w:val="24"/>
          <w:szCs w:val="24"/>
        </w:rPr>
        <w:t xml:space="preserve">also </w:t>
      </w:r>
      <w:r w:rsidR="00941B33" w:rsidRPr="00EE3302">
        <w:rPr>
          <w:rFonts w:ascii="Times New Roman" w:eastAsia="Times New Roman" w:hAnsi="Times New Roman" w:cs="Times New Roman"/>
          <w:sz w:val="24"/>
          <w:szCs w:val="24"/>
        </w:rPr>
        <w:t>advance</w:t>
      </w:r>
      <w:r w:rsidR="00D36A8F">
        <w:rPr>
          <w:rFonts w:ascii="Times New Roman" w:eastAsia="Times New Roman" w:hAnsi="Times New Roman" w:cs="Times New Roman"/>
          <w:sz w:val="24"/>
          <w:szCs w:val="24"/>
        </w:rPr>
        <w:t>s</w:t>
      </w:r>
      <w:r w:rsidR="00941B33" w:rsidRPr="00EE3302">
        <w:rPr>
          <w:rFonts w:ascii="Times New Roman" w:eastAsia="Times New Roman" w:hAnsi="Times New Roman" w:cs="Times New Roman"/>
          <w:sz w:val="24"/>
          <w:szCs w:val="24"/>
        </w:rPr>
        <w:t xml:space="preserve"> the new argument that approval of the decoupling mechanism </w:t>
      </w:r>
      <w:r w:rsidR="00167CF9">
        <w:rPr>
          <w:rFonts w:ascii="Times New Roman" w:eastAsia="Times New Roman" w:hAnsi="Times New Roman" w:cs="Times New Roman"/>
          <w:sz w:val="24"/>
          <w:szCs w:val="24"/>
        </w:rPr>
        <w:t xml:space="preserve">would </w:t>
      </w:r>
      <w:r w:rsidR="00941B33" w:rsidRPr="00EE3302">
        <w:rPr>
          <w:rFonts w:ascii="Times New Roman" w:eastAsia="Times New Roman" w:hAnsi="Times New Roman" w:cs="Times New Roman"/>
          <w:sz w:val="24"/>
          <w:szCs w:val="24"/>
        </w:rPr>
        <w:t xml:space="preserve">exceed the Commission’s authority, which ICNU alleges is limited to </w:t>
      </w:r>
      <w:r w:rsidR="00DD61D2" w:rsidRPr="00EE3302">
        <w:rPr>
          <w:rFonts w:ascii="Times New Roman" w:eastAsia="Times New Roman" w:hAnsi="Times New Roman" w:cs="Times New Roman"/>
          <w:sz w:val="24"/>
          <w:szCs w:val="24"/>
        </w:rPr>
        <w:t xml:space="preserve">setting rates for services provided by a utility.  According to ICNU, </w:t>
      </w:r>
      <w:r w:rsidR="00722535" w:rsidRPr="00EE3302">
        <w:rPr>
          <w:rFonts w:ascii="Times New Roman" w:eastAsia="Times New Roman" w:hAnsi="Times New Roman" w:cs="Times New Roman"/>
          <w:sz w:val="24"/>
          <w:szCs w:val="24"/>
        </w:rPr>
        <w:t xml:space="preserve">because </w:t>
      </w:r>
      <w:r w:rsidR="005F2CA0" w:rsidRPr="00EE3302">
        <w:rPr>
          <w:rFonts w:ascii="Times New Roman" w:eastAsia="Times New Roman" w:hAnsi="Times New Roman" w:cs="Times New Roman"/>
          <w:sz w:val="24"/>
          <w:szCs w:val="24"/>
        </w:rPr>
        <w:t xml:space="preserve">each customer’s </w:t>
      </w:r>
      <w:r w:rsidR="00DD61D2" w:rsidRPr="00EE3302">
        <w:rPr>
          <w:rFonts w:ascii="Times New Roman" w:eastAsia="Times New Roman" w:hAnsi="Times New Roman" w:cs="Times New Roman"/>
          <w:sz w:val="24"/>
          <w:szCs w:val="24"/>
        </w:rPr>
        <w:t>decoupling charge is not related to</w:t>
      </w:r>
      <w:r w:rsidR="005F2CA0" w:rsidRPr="00EE3302">
        <w:rPr>
          <w:rFonts w:ascii="Times New Roman" w:eastAsia="Times New Roman" w:hAnsi="Times New Roman" w:cs="Times New Roman"/>
          <w:sz w:val="24"/>
          <w:szCs w:val="24"/>
        </w:rPr>
        <w:t xml:space="preserve"> that customer’s </w:t>
      </w:r>
      <w:r w:rsidR="00DD61D2" w:rsidRPr="00EE3302">
        <w:rPr>
          <w:rFonts w:ascii="Times New Roman" w:eastAsia="Times New Roman" w:hAnsi="Times New Roman" w:cs="Times New Roman"/>
          <w:sz w:val="24"/>
          <w:szCs w:val="24"/>
        </w:rPr>
        <w:t xml:space="preserve">actual energy usage, </w:t>
      </w:r>
      <w:r w:rsidR="00722535" w:rsidRPr="00EE3302">
        <w:rPr>
          <w:rFonts w:ascii="Times New Roman" w:eastAsia="Times New Roman" w:hAnsi="Times New Roman" w:cs="Times New Roman"/>
          <w:sz w:val="24"/>
          <w:szCs w:val="24"/>
        </w:rPr>
        <w:t>any</w:t>
      </w:r>
      <w:r w:rsidR="005F2CA0" w:rsidRPr="00EE3302">
        <w:rPr>
          <w:rFonts w:ascii="Times New Roman" w:eastAsia="Times New Roman" w:hAnsi="Times New Roman" w:cs="Times New Roman"/>
          <w:sz w:val="24"/>
          <w:szCs w:val="24"/>
        </w:rPr>
        <w:t xml:space="preserve"> decoupling charge </w:t>
      </w:r>
      <w:r w:rsidR="00DD61D2" w:rsidRPr="00EE3302">
        <w:rPr>
          <w:rFonts w:ascii="Times New Roman" w:eastAsia="Times New Roman" w:hAnsi="Times New Roman" w:cs="Times New Roman"/>
          <w:sz w:val="24"/>
          <w:szCs w:val="24"/>
        </w:rPr>
        <w:t>is unlawful.</w:t>
      </w:r>
      <w:r w:rsidR="00DD61D2" w:rsidRPr="00EE3302">
        <w:rPr>
          <w:rStyle w:val="FootnoteReference"/>
          <w:rFonts w:ascii="Times New Roman" w:eastAsia="Times New Roman" w:hAnsi="Times New Roman" w:cs="Times New Roman"/>
          <w:sz w:val="24"/>
          <w:szCs w:val="24"/>
        </w:rPr>
        <w:footnoteReference w:id="3"/>
      </w:r>
    </w:p>
    <w:p w14:paraId="419C53EF" w14:textId="56D0E32C" w:rsidR="00D36A8F" w:rsidRPr="00D36A8F" w:rsidRDefault="00AF2340" w:rsidP="00D36A8F">
      <w:pPr>
        <w:pStyle w:val="ListParagraph"/>
        <w:numPr>
          <w:ilvl w:val="0"/>
          <w:numId w:val="19"/>
        </w:numPr>
        <w:spacing w:after="0" w:line="480" w:lineRule="auto"/>
        <w:ind w:left="0" w:hanging="720"/>
        <w:contextualSpacing w:val="0"/>
        <w:rPr>
          <w:rFonts w:ascii="Times New Roman" w:eastAsia="Times New Roman" w:hAnsi="Times New Roman" w:cs="Times New Roman"/>
          <w:sz w:val="24"/>
          <w:szCs w:val="24"/>
        </w:rPr>
      </w:pPr>
      <w:r w:rsidRPr="00EE3302">
        <w:rPr>
          <w:rFonts w:ascii="Times New Roman" w:eastAsia="Times New Roman" w:hAnsi="Times New Roman" w:cs="Times New Roman"/>
          <w:sz w:val="24"/>
          <w:szCs w:val="24"/>
        </w:rPr>
        <w:tab/>
        <w:t>I</w:t>
      </w:r>
      <w:r w:rsidR="00DF2E1C" w:rsidRPr="00EE3302">
        <w:rPr>
          <w:rFonts w:ascii="Times New Roman" w:eastAsia="Times New Roman" w:hAnsi="Times New Roman" w:cs="Times New Roman"/>
          <w:sz w:val="24"/>
          <w:szCs w:val="24"/>
        </w:rPr>
        <w:t xml:space="preserve">CNU’s argument </w:t>
      </w:r>
      <w:r w:rsidR="009443C3" w:rsidRPr="00EE3302">
        <w:rPr>
          <w:rFonts w:ascii="Times New Roman" w:eastAsia="Times New Roman" w:hAnsi="Times New Roman" w:cs="Times New Roman"/>
          <w:sz w:val="24"/>
          <w:szCs w:val="24"/>
        </w:rPr>
        <w:t xml:space="preserve">rests on </w:t>
      </w:r>
      <w:r w:rsidR="005F2CA0" w:rsidRPr="00EE3302">
        <w:rPr>
          <w:rFonts w:ascii="Times New Roman" w:eastAsia="Times New Roman" w:hAnsi="Times New Roman" w:cs="Times New Roman"/>
          <w:sz w:val="24"/>
          <w:szCs w:val="24"/>
        </w:rPr>
        <w:t xml:space="preserve">case law </w:t>
      </w:r>
      <w:r w:rsidR="009443C3" w:rsidRPr="00EE3302">
        <w:rPr>
          <w:rFonts w:ascii="Times New Roman" w:eastAsia="Times New Roman" w:hAnsi="Times New Roman" w:cs="Times New Roman"/>
          <w:sz w:val="24"/>
          <w:szCs w:val="24"/>
        </w:rPr>
        <w:t>involving situations that bear no resemblance to the decoupling mechanism</w:t>
      </w:r>
      <w:r w:rsidR="00722535" w:rsidRPr="00EE3302">
        <w:rPr>
          <w:rFonts w:ascii="Times New Roman" w:eastAsia="Times New Roman" w:hAnsi="Times New Roman" w:cs="Times New Roman"/>
          <w:sz w:val="24"/>
          <w:szCs w:val="24"/>
        </w:rPr>
        <w:t xml:space="preserve"> here</w:t>
      </w:r>
      <w:r w:rsidR="009443C3" w:rsidRPr="00EE3302">
        <w:rPr>
          <w:rFonts w:ascii="Times New Roman" w:eastAsia="Times New Roman" w:hAnsi="Times New Roman" w:cs="Times New Roman"/>
          <w:sz w:val="24"/>
          <w:szCs w:val="24"/>
        </w:rPr>
        <w:t xml:space="preserve">. </w:t>
      </w:r>
      <w:r w:rsidR="00DF2E1C" w:rsidRPr="00EE3302">
        <w:rPr>
          <w:rFonts w:ascii="Times New Roman" w:eastAsia="Times New Roman" w:hAnsi="Times New Roman" w:cs="Times New Roman"/>
          <w:sz w:val="24"/>
          <w:szCs w:val="24"/>
        </w:rPr>
        <w:t xml:space="preserve"> ICNU </w:t>
      </w:r>
      <w:r w:rsidR="009443C3" w:rsidRPr="00EE3302">
        <w:rPr>
          <w:rFonts w:ascii="Times New Roman" w:eastAsia="Times New Roman" w:hAnsi="Times New Roman" w:cs="Times New Roman"/>
          <w:sz w:val="24"/>
          <w:szCs w:val="24"/>
        </w:rPr>
        <w:t xml:space="preserve">invokes a case striking down a charge to </w:t>
      </w:r>
      <w:r w:rsidR="009443C3" w:rsidRPr="00EE3302">
        <w:rPr>
          <w:rFonts w:ascii="Times New Roman" w:eastAsia="Times New Roman" w:hAnsi="Times New Roman" w:cs="Times New Roman"/>
          <w:sz w:val="24"/>
          <w:szCs w:val="24"/>
        </w:rPr>
        <w:lastRenderedPageBreak/>
        <w:t xml:space="preserve">telecommunications carriers that was </w:t>
      </w:r>
      <w:r w:rsidR="00DF2E1C" w:rsidRPr="00EE3302">
        <w:rPr>
          <w:rFonts w:ascii="Times New Roman" w:eastAsia="Times New Roman" w:hAnsi="Times New Roman" w:cs="Times New Roman"/>
          <w:sz w:val="24"/>
          <w:szCs w:val="24"/>
        </w:rPr>
        <w:t>“unrelated to service</w:t>
      </w:r>
      <w:r w:rsidR="009443C3" w:rsidRPr="00EE3302">
        <w:rPr>
          <w:rFonts w:ascii="Times New Roman" w:eastAsia="Times New Roman" w:hAnsi="Times New Roman" w:cs="Times New Roman"/>
          <w:sz w:val="24"/>
          <w:szCs w:val="24"/>
        </w:rPr>
        <w:t xml:space="preserve"> provided by the company.</w:t>
      </w:r>
      <w:r w:rsidR="00DF2E1C" w:rsidRPr="00EE3302">
        <w:rPr>
          <w:rFonts w:ascii="Times New Roman" w:eastAsia="Times New Roman" w:hAnsi="Times New Roman" w:cs="Times New Roman"/>
          <w:sz w:val="24"/>
          <w:szCs w:val="24"/>
        </w:rPr>
        <w:t>”</w:t>
      </w:r>
      <w:r w:rsidR="00EA78C8" w:rsidRPr="00EE3302">
        <w:rPr>
          <w:rStyle w:val="FootnoteReference"/>
          <w:rFonts w:ascii="Times New Roman" w:eastAsia="Times New Roman" w:hAnsi="Times New Roman" w:cs="Times New Roman"/>
          <w:sz w:val="24"/>
          <w:szCs w:val="24"/>
        </w:rPr>
        <w:footnoteReference w:id="4"/>
      </w:r>
      <w:r w:rsidR="00DF2E1C" w:rsidRPr="00EE3302">
        <w:rPr>
          <w:rFonts w:ascii="Times New Roman" w:eastAsia="Times New Roman" w:hAnsi="Times New Roman" w:cs="Times New Roman"/>
          <w:sz w:val="24"/>
          <w:szCs w:val="24"/>
        </w:rPr>
        <w:t xml:space="preserve"> </w:t>
      </w:r>
      <w:r w:rsidR="009443C3" w:rsidRPr="00EE3302">
        <w:rPr>
          <w:rFonts w:ascii="Times New Roman" w:eastAsia="Times New Roman" w:hAnsi="Times New Roman" w:cs="Times New Roman"/>
          <w:sz w:val="24"/>
          <w:szCs w:val="24"/>
        </w:rPr>
        <w:t xml:space="preserve"> </w:t>
      </w:r>
      <w:r w:rsidR="00722535" w:rsidRPr="00EE3302">
        <w:rPr>
          <w:rFonts w:ascii="Times New Roman" w:eastAsia="Times New Roman" w:hAnsi="Times New Roman" w:cs="Times New Roman"/>
          <w:sz w:val="24"/>
          <w:szCs w:val="24"/>
        </w:rPr>
        <w:t xml:space="preserve">To the contrary, here, </w:t>
      </w:r>
      <w:r w:rsidR="009443C3" w:rsidRPr="00EE3302">
        <w:rPr>
          <w:rFonts w:ascii="Times New Roman" w:eastAsia="Times New Roman" w:hAnsi="Times New Roman" w:cs="Times New Roman"/>
          <w:sz w:val="24"/>
          <w:szCs w:val="24"/>
        </w:rPr>
        <w:t xml:space="preserve">the decoupling mechanism </w:t>
      </w:r>
      <w:r w:rsidR="00333BE4">
        <w:rPr>
          <w:rFonts w:ascii="Times New Roman" w:eastAsia="Times New Roman" w:hAnsi="Times New Roman" w:cs="Times New Roman"/>
          <w:sz w:val="24"/>
          <w:szCs w:val="24"/>
        </w:rPr>
        <w:t xml:space="preserve">related to service provided by the company because it </w:t>
      </w:r>
      <w:r w:rsidR="00D36A8F" w:rsidRPr="00EE3302">
        <w:rPr>
          <w:rFonts w:ascii="Times New Roman" w:eastAsia="Times New Roman" w:hAnsi="Times New Roman" w:cs="Times New Roman"/>
          <w:sz w:val="24"/>
          <w:szCs w:val="24"/>
        </w:rPr>
        <w:t>is a method for recovering the costs of electricity services PSE provides to customers.</w:t>
      </w:r>
      <w:r w:rsidR="00D36A8F">
        <w:rPr>
          <w:rFonts w:ascii="Times New Roman" w:eastAsia="Times New Roman" w:hAnsi="Times New Roman" w:cs="Times New Roman"/>
          <w:sz w:val="24"/>
          <w:szCs w:val="24"/>
        </w:rPr>
        <w:t xml:space="preserve">  </w:t>
      </w:r>
      <w:r w:rsidRPr="00D36A8F">
        <w:rPr>
          <w:rFonts w:ascii="Times New Roman" w:eastAsia="Times New Roman" w:hAnsi="Times New Roman" w:cs="Times New Roman"/>
          <w:sz w:val="24"/>
          <w:szCs w:val="24"/>
        </w:rPr>
        <w:t>S</w:t>
      </w:r>
      <w:r w:rsidR="00B52CAD" w:rsidRPr="00D36A8F">
        <w:rPr>
          <w:rFonts w:ascii="Times New Roman" w:eastAsia="Times New Roman" w:hAnsi="Times New Roman" w:cs="Times New Roman"/>
          <w:sz w:val="24"/>
          <w:szCs w:val="24"/>
        </w:rPr>
        <w:t>imilarly, ICNU</w:t>
      </w:r>
      <w:r w:rsidR="00DF2E1C" w:rsidRPr="00D36A8F">
        <w:rPr>
          <w:rFonts w:ascii="Times New Roman" w:eastAsia="Times New Roman" w:hAnsi="Times New Roman" w:cs="Times New Roman"/>
          <w:sz w:val="24"/>
          <w:szCs w:val="24"/>
        </w:rPr>
        <w:t xml:space="preserve"> </w:t>
      </w:r>
      <w:r w:rsidR="00B52CAD" w:rsidRPr="00D36A8F">
        <w:rPr>
          <w:rFonts w:ascii="Times New Roman" w:eastAsia="Times New Roman" w:hAnsi="Times New Roman" w:cs="Times New Roman"/>
          <w:sz w:val="24"/>
          <w:szCs w:val="24"/>
        </w:rPr>
        <w:t xml:space="preserve">misapplies </w:t>
      </w:r>
      <w:r w:rsidR="005F2CA0" w:rsidRPr="00D36A8F">
        <w:rPr>
          <w:rFonts w:ascii="Times New Roman" w:eastAsia="Times New Roman" w:hAnsi="Times New Roman" w:cs="Times New Roman"/>
          <w:sz w:val="24"/>
          <w:szCs w:val="24"/>
        </w:rPr>
        <w:t xml:space="preserve">a </w:t>
      </w:r>
      <w:r w:rsidR="00B52CAD" w:rsidRPr="00D36A8F">
        <w:rPr>
          <w:rFonts w:ascii="Times New Roman" w:eastAsia="Times New Roman" w:hAnsi="Times New Roman" w:cs="Times New Roman"/>
          <w:sz w:val="24"/>
          <w:szCs w:val="24"/>
        </w:rPr>
        <w:t>decision striking down a charge for a utility’s charitable contributions</w:t>
      </w:r>
      <w:r w:rsidR="00D36A8F">
        <w:rPr>
          <w:rFonts w:ascii="Times New Roman" w:eastAsia="Times New Roman" w:hAnsi="Times New Roman" w:cs="Times New Roman"/>
          <w:sz w:val="24"/>
          <w:szCs w:val="24"/>
        </w:rPr>
        <w:t>.</w:t>
      </w:r>
      <w:r w:rsidR="00B52CAD" w:rsidRPr="00EE3302">
        <w:rPr>
          <w:rStyle w:val="FootnoteReference"/>
          <w:rFonts w:ascii="Times New Roman" w:hAnsi="Times New Roman" w:cs="Times New Roman"/>
          <w:sz w:val="24"/>
          <w:szCs w:val="24"/>
        </w:rPr>
        <w:footnoteReference w:id="5"/>
      </w:r>
      <w:r w:rsidR="00566C3A" w:rsidRPr="00D36A8F">
        <w:rPr>
          <w:rFonts w:ascii="Times New Roman" w:hAnsi="Times New Roman" w:cs="Times New Roman"/>
          <w:sz w:val="24"/>
          <w:szCs w:val="24"/>
        </w:rPr>
        <w:t xml:space="preserve">  </w:t>
      </w:r>
      <w:r w:rsidR="00450A02" w:rsidRPr="00D36A8F">
        <w:rPr>
          <w:rFonts w:ascii="Times New Roman" w:hAnsi="Times New Roman" w:cs="Times New Roman"/>
          <w:sz w:val="24"/>
          <w:szCs w:val="24"/>
        </w:rPr>
        <w:t xml:space="preserve">ICNU’s attempt to analogize decoupling costs, which stem from the provision of electricity services, to a utility’s charitable contributions, which </w:t>
      </w:r>
      <w:r w:rsidR="0071584E" w:rsidRPr="00D36A8F">
        <w:rPr>
          <w:rFonts w:ascii="Times New Roman" w:hAnsi="Times New Roman" w:cs="Times New Roman"/>
          <w:sz w:val="24"/>
          <w:szCs w:val="24"/>
        </w:rPr>
        <w:t xml:space="preserve">are not related to </w:t>
      </w:r>
      <w:r w:rsidR="00450A02" w:rsidRPr="00D36A8F">
        <w:rPr>
          <w:rFonts w:ascii="Times New Roman" w:hAnsi="Times New Roman" w:cs="Times New Roman"/>
          <w:sz w:val="24"/>
          <w:szCs w:val="24"/>
        </w:rPr>
        <w:t>electricity service</w:t>
      </w:r>
      <w:r w:rsidR="0071584E" w:rsidRPr="00D36A8F">
        <w:rPr>
          <w:rFonts w:ascii="Times New Roman" w:hAnsi="Times New Roman" w:cs="Times New Roman"/>
          <w:sz w:val="24"/>
          <w:szCs w:val="24"/>
        </w:rPr>
        <w:t>s provided to customers</w:t>
      </w:r>
      <w:r w:rsidR="00450A02" w:rsidRPr="00D36A8F">
        <w:rPr>
          <w:rFonts w:ascii="Times New Roman" w:hAnsi="Times New Roman" w:cs="Times New Roman"/>
          <w:sz w:val="24"/>
          <w:szCs w:val="24"/>
        </w:rPr>
        <w:t xml:space="preserve">, </w:t>
      </w:r>
      <w:r w:rsidR="00D36A8F">
        <w:rPr>
          <w:rFonts w:ascii="Times New Roman" w:hAnsi="Times New Roman" w:cs="Times New Roman"/>
          <w:sz w:val="24"/>
          <w:szCs w:val="24"/>
        </w:rPr>
        <w:t>fails</w:t>
      </w:r>
      <w:r w:rsidR="00450A02" w:rsidRPr="00D36A8F">
        <w:rPr>
          <w:rFonts w:ascii="Times New Roman" w:hAnsi="Times New Roman" w:cs="Times New Roman"/>
          <w:sz w:val="24"/>
          <w:szCs w:val="24"/>
        </w:rPr>
        <w:t xml:space="preserve">.  </w:t>
      </w:r>
    </w:p>
    <w:p w14:paraId="089A1671" w14:textId="2C756E3A" w:rsidR="009A5ADA" w:rsidRPr="00D36A8F" w:rsidRDefault="00D36A8F" w:rsidP="00D36A8F">
      <w:pPr>
        <w:pStyle w:val="ListParagraph"/>
        <w:numPr>
          <w:ilvl w:val="0"/>
          <w:numId w:val="19"/>
        </w:numPr>
        <w:spacing w:after="0" w:line="480" w:lineRule="auto"/>
        <w:ind w:left="0" w:hanging="720"/>
        <w:contextualSpacing w:val="0"/>
        <w:rPr>
          <w:rFonts w:ascii="Times New Roman" w:eastAsia="Times New Roman" w:hAnsi="Times New Roman" w:cs="Times New Roman"/>
          <w:sz w:val="24"/>
          <w:szCs w:val="24"/>
        </w:rPr>
      </w:pPr>
      <w:r>
        <w:rPr>
          <w:rFonts w:ascii="Times New Roman" w:hAnsi="Times New Roman" w:cs="Times New Roman"/>
          <w:sz w:val="24"/>
          <w:szCs w:val="24"/>
        </w:rPr>
        <w:tab/>
        <w:t xml:space="preserve">More importantly, </w:t>
      </w:r>
      <w:r w:rsidR="00566C3A" w:rsidRPr="00D36A8F">
        <w:rPr>
          <w:rFonts w:ascii="Times New Roman" w:hAnsi="Times New Roman" w:cs="Times New Roman"/>
          <w:sz w:val="24"/>
          <w:szCs w:val="24"/>
        </w:rPr>
        <w:t xml:space="preserve">there is ample evidence </w:t>
      </w:r>
      <w:r w:rsidR="00167CF9" w:rsidRPr="00D36A8F">
        <w:rPr>
          <w:rFonts w:ascii="Times New Roman" w:hAnsi="Times New Roman" w:cs="Times New Roman"/>
          <w:sz w:val="24"/>
          <w:szCs w:val="24"/>
        </w:rPr>
        <w:t xml:space="preserve">before the Commission </w:t>
      </w:r>
      <w:r w:rsidR="00566C3A" w:rsidRPr="00D36A8F">
        <w:rPr>
          <w:rFonts w:ascii="Times New Roman" w:hAnsi="Times New Roman" w:cs="Times New Roman"/>
          <w:sz w:val="24"/>
          <w:szCs w:val="24"/>
        </w:rPr>
        <w:t>that decoupling provides benefits to customers.</w:t>
      </w:r>
      <w:r w:rsidR="008E098F" w:rsidRPr="00D36A8F">
        <w:rPr>
          <w:rFonts w:ascii="Times New Roman" w:hAnsi="Times New Roman" w:cs="Times New Roman"/>
          <w:sz w:val="24"/>
          <w:szCs w:val="24"/>
        </w:rPr>
        <w:t xml:space="preserve">  </w:t>
      </w:r>
      <w:r>
        <w:rPr>
          <w:rFonts w:ascii="Times New Roman" w:hAnsi="Times New Roman" w:cs="Times New Roman"/>
          <w:sz w:val="24"/>
          <w:szCs w:val="24"/>
        </w:rPr>
        <w:t>T</w:t>
      </w:r>
      <w:r w:rsidR="008E098F" w:rsidRPr="00D36A8F">
        <w:rPr>
          <w:rFonts w:ascii="Times New Roman" w:hAnsi="Times New Roman" w:cs="Times New Roman"/>
          <w:sz w:val="24"/>
          <w:szCs w:val="24"/>
        </w:rPr>
        <w:t xml:space="preserve">he third-party audit of the decoupling mechanism found that </w:t>
      </w:r>
      <w:r w:rsidR="00F00F3A" w:rsidRPr="00D36A8F">
        <w:rPr>
          <w:rFonts w:ascii="Times New Roman" w:hAnsi="Times New Roman" w:cs="Times New Roman"/>
          <w:sz w:val="24"/>
          <w:szCs w:val="24"/>
        </w:rPr>
        <w:t xml:space="preserve">the growth in </w:t>
      </w:r>
      <w:r w:rsidR="008E098F" w:rsidRPr="00D36A8F">
        <w:rPr>
          <w:rFonts w:ascii="Times New Roman" w:hAnsi="Times New Roman" w:cs="Times New Roman"/>
          <w:sz w:val="24"/>
          <w:szCs w:val="24"/>
        </w:rPr>
        <w:t xml:space="preserve">PSE’s </w:t>
      </w:r>
      <w:r w:rsidR="00F00F3A" w:rsidRPr="00D36A8F">
        <w:rPr>
          <w:rFonts w:ascii="Times New Roman" w:hAnsi="Times New Roman" w:cs="Times New Roman"/>
          <w:sz w:val="24"/>
          <w:szCs w:val="24"/>
        </w:rPr>
        <w:t>operating and maintenance costs has declined since decoupling began.</w:t>
      </w:r>
      <w:r w:rsidR="000A5211" w:rsidRPr="00EE3302">
        <w:rPr>
          <w:rStyle w:val="FootnoteReference"/>
          <w:rFonts w:ascii="Times New Roman" w:hAnsi="Times New Roman" w:cs="Times New Roman"/>
          <w:sz w:val="24"/>
          <w:szCs w:val="24"/>
        </w:rPr>
        <w:footnoteReference w:id="6"/>
      </w:r>
      <w:r w:rsidR="00F00F3A" w:rsidRPr="00D36A8F">
        <w:rPr>
          <w:rFonts w:ascii="Times New Roman" w:hAnsi="Times New Roman" w:cs="Times New Roman"/>
          <w:sz w:val="24"/>
          <w:szCs w:val="24"/>
        </w:rPr>
        <w:t xml:space="preserve">  In addition, the audit concluded that removal of the throughput incentive has led PSE to continue to exceed its energy conservation targets, sav</w:t>
      </w:r>
      <w:r w:rsidR="00167CF9" w:rsidRPr="00D36A8F">
        <w:rPr>
          <w:rFonts w:ascii="Times New Roman" w:hAnsi="Times New Roman" w:cs="Times New Roman"/>
          <w:sz w:val="24"/>
          <w:szCs w:val="24"/>
        </w:rPr>
        <w:t>ing</w:t>
      </w:r>
      <w:r w:rsidR="00F00F3A" w:rsidRPr="00D36A8F">
        <w:rPr>
          <w:rFonts w:ascii="Times New Roman" w:hAnsi="Times New Roman" w:cs="Times New Roman"/>
          <w:sz w:val="24"/>
          <w:szCs w:val="24"/>
        </w:rPr>
        <w:t xml:space="preserve"> customers money.</w:t>
      </w:r>
      <w:r w:rsidR="000A5211" w:rsidRPr="00EE3302">
        <w:rPr>
          <w:rStyle w:val="FootnoteReference"/>
          <w:rFonts w:ascii="Times New Roman" w:hAnsi="Times New Roman" w:cs="Times New Roman"/>
          <w:sz w:val="24"/>
          <w:szCs w:val="24"/>
        </w:rPr>
        <w:footnoteReference w:id="7"/>
      </w:r>
    </w:p>
    <w:p w14:paraId="0D690134" w14:textId="22ED95D9" w:rsidR="00DF2E1C" w:rsidRPr="00EE3302" w:rsidRDefault="00AF2340" w:rsidP="00EE3302">
      <w:pPr>
        <w:pStyle w:val="ListParagraph"/>
        <w:numPr>
          <w:ilvl w:val="0"/>
          <w:numId w:val="19"/>
        </w:numPr>
        <w:spacing w:after="0" w:line="480" w:lineRule="auto"/>
        <w:ind w:left="0" w:hanging="720"/>
        <w:contextualSpacing w:val="0"/>
        <w:rPr>
          <w:rFonts w:ascii="Times New Roman" w:hAnsi="Times New Roman" w:cs="Times New Roman"/>
          <w:sz w:val="24"/>
          <w:szCs w:val="24"/>
        </w:rPr>
      </w:pPr>
      <w:r w:rsidRPr="00EE3302">
        <w:rPr>
          <w:rFonts w:ascii="Times New Roman" w:hAnsi="Times New Roman" w:cs="Times New Roman"/>
          <w:sz w:val="24"/>
          <w:szCs w:val="24"/>
        </w:rPr>
        <w:tab/>
        <w:t>I</w:t>
      </w:r>
      <w:r w:rsidR="009A5ADA" w:rsidRPr="00EE3302">
        <w:rPr>
          <w:rFonts w:ascii="Times New Roman" w:hAnsi="Times New Roman" w:cs="Times New Roman"/>
          <w:sz w:val="24"/>
          <w:szCs w:val="24"/>
        </w:rPr>
        <w:t xml:space="preserve">n sum, </w:t>
      </w:r>
      <w:r w:rsidR="00D36A8F">
        <w:rPr>
          <w:rFonts w:ascii="Times New Roman" w:hAnsi="Times New Roman" w:cs="Times New Roman"/>
          <w:sz w:val="24"/>
          <w:szCs w:val="24"/>
        </w:rPr>
        <w:t>PSE’s</w:t>
      </w:r>
      <w:r w:rsidR="009A5ADA" w:rsidRPr="00EE3302">
        <w:rPr>
          <w:rFonts w:ascii="Times New Roman" w:hAnsi="Times New Roman" w:cs="Times New Roman"/>
          <w:sz w:val="24"/>
          <w:szCs w:val="24"/>
        </w:rPr>
        <w:t xml:space="preserve"> deco</w:t>
      </w:r>
      <w:r w:rsidR="005F2CA0" w:rsidRPr="00EE3302">
        <w:rPr>
          <w:rFonts w:ascii="Times New Roman" w:hAnsi="Times New Roman" w:cs="Times New Roman"/>
          <w:sz w:val="24"/>
          <w:szCs w:val="24"/>
        </w:rPr>
        <w:t>upling mechanism</w:t>
      </w:r>
      <w:r w:rsidR="00D36A8F">
        <w:rPr>
          <w:rFonts w:ascii="Times New Roman" w:hAnsi="Times New Roman" w:cs="Times New Roman"/>
          <w:sz w:val="24"/>
          <w:szCs w:val="24"/>
        </w:rPr>
        <w:t xml:space="preserve"> has worked; it</w:t>
      </w:r>
      <w:r w:rsidR="005F2CA0" w:rsidRPr="00EE3302">
        <w:rPr>
          <w:rFonts w:ascii="Times New Roman" w:hAnsi="Times New Roman" w:cs="Times New Roman"/>
          <w:sz w:val="24"/>
          <w:szCs w:val="24"/>
        </w:rPr>
        <w:t xml:space="preserve"> is a lawful ex</w:t>
      </w:r>
      <w:r w:rsidR="009A5ADA" w:rsidRPr="00EE3302">
        <w:rPr>
          <w:rFonts w:ascii="Times New Roman" w:hAnsi="Times New Roman" w:cs="Times New Roman"/>
          <w:sz w:val="24"/>
          <w:szCs w:val="24"/>
        </w:rPr>
        <w:t>ercise of the Commission’s authority to set rates for the provision o</w:t>
      </w:r>
      <w:r w:rsidRPr="00EE3302">
        <w:rPr>
          <w:rFonts w:ascii="Times New Roman" w:hAnsi="Times New Roman" w:cs="Times New Roman"/>
          <w:sz w:val="24"/>
          <w:szCs w:val="24"/>
        </w:rPr>
        <w:t>f electricity services by PSE</w:t>
      </w:r>
      <w:r w:rsidR="00D36A8F">
        <w:rPr>
          <w:rFonts w:ascii="Times New Roman" w:hAnsi="Times New Roman" w:cs="Times New Roman"/>
          <w:sz w:val="24"/>
          <w:szCs w:val="24"/>
        </w:rPr>
        <w:t>; and it follows the Commission’s 2010 Decoupling Policy</w:t>
      </w:r>
      <w:r w:rsidR="00AD3D2A">
        <w:rPr>
          <w:rFonts w:ascii="Times New Roman" w:hAnsi="Times New Roman" w:cs="Times New Roman"/>
          <w:sz w:val="24"/>
          <w:szCs w:val="24"/>
        </w:rPr>
        <w:t>.</w:t>
      </w:r>
      <w:r w:rsidR="00D36A8F">
        <w:rPr>
          <w:rStyle w:val="FootnoteReference"/>
          <w:rFonts w:ascii="Times New Roman" w:hAnsi="Times New Roman" w:cs="Times New Roman"/>
          <w:sz w:val="24"/>
          <w:szCs w:val="24"/>
        </w:rPr>
        <w:footnoteReference w:id="8"/>
      </w:r>
      <w:r w:rsidR="00167CF9">
        <w:rPr>
          <w:rFonts w:ascii="Times New Roman" w:hAnsi="Times New Roman" w:cs="Times New Roman"/>
          <w:sz w:val="24"/>
          <w:szCs w:val="24"/>
        </w:rPr>
        <w:t xml:space="preserve"> </w:t>
      </w:r>
      <w:r w:rsidR="00D36A8F">
        <w:rPr>
          <w:rFonts w:ascii="Times New Roman" w:hAnsi="Times New Roman" w:cs="Times New Roman"/>
          <w:sz w:val="24"/>
          <w:szCs w:val="24"/>
        </w:rPr>
        <w:t xml:space="preserve"> </w:t>
      </w:r>
      <w:r w:rsidR="00167CF9">
        <w:rPr>
          <w:rFonts w:ascii="Times New Roman" w:hAnsi="Times New Roman" w:cs="Times New Roman"/>
          <w:sz w:val="24"/>
          <w:szCs w:val="24"/>
        </w:rPr>
        <w:t>NWEC asks the Commission to continue PSE’s decoupling mechanism permanently</w:t>
      </w:r>
      <w:r w:rsidR="003D3B85">
        <w:rPr>
          <w:rFonts w:ascii="Times New Roman" w:hAnsi="Times New Roman" w:cs="Times New Roman"/>
          <w:sz w:val="24"/>
          <w:szCs w:val="24"/>
        </w:rPr>
        <w:t>.</w:t>
      </w:r>
    </w:p>
    <w:p w14:paraId="28D8242A" w14:textId="22DB4456" w:rsidR="00BB454A" w:rsidRPr="00EE3302" w:rsidRDefault="00BB454A" w:rsidP="00AF2340">
      <w:pPr>
        <w:pStyle w:val="Heading2"/>
        <w:rPr>
          <w:szCs w:val="24"/>
        </w:rPr>
      </w:pPr>
      <w:bookmarkStart w:id="6" w:name="_Toc496860084"/>
      <w:r w:rsidRPr="00EE3302">
        <w:rPr>
          <w:szCs w:val="24"/>
        </w:rPr>
        <w:lastRenderedPageBreak/>
        <w:t>the commission should reject propo</w:t>
      </w:r>
      <w:r w:rsidR="00AF2340" w:rsidRPr="00EE3302">
        <w:rPr>
          <w:szCs w:val="24"/>
        </w:rPr>
        <w:t xml:space="preserve">sals </w:t>
      </w:r>
      <w:r w:rsidR="00167CF9">
        <w:rPr>
          <w:szCs w:val="24"/>
        </w:rPr>
        <w:t xml:space="preserve">by pse and staff </w:t>
      </w:r>
      <w:r w:rsidR="00AF2340" w:rsidRPr="00EE3302">
        <w:rPr>
          <w:szCs w:val="24"/>
        </w:rPr>
        <w:t>to increase fixed charges.</w:t>
      </w:r>
      <w:bookmarkEnd w:id="6"/>
    </w:p>
    <w:p w14:paraId="666424A2" w14:textId="5C4970F2" w:rsidR="00BB454A" w:rsidRPr="00EE3302" w:rsidRDefault="00EE3302" w:rsidP="00EE3302">
      <w:pPr>
        <w:pStyle w:val="ListParagraph"/>
        <w:numPr>
          <w:ilvl w:val="0"/>
          <w:numId w:val="19"/>
        </w:numPr>
        <w:spacing w:after="0" w:line="480" w:lineRule="auto"/>
        <w:ind w:left="0" w:hanging="720"/>
        <w:contextualSpacing w:val="0"/>
        <w:rPr>
          <w:rFonts w:ascii="Times New Roman" w:hAnsi="Times New Roman" w:cs="Times New Roman"/>
          <w:sz w:val="24"/>
          <w:szCs w:val="24"/>
        </w:rPr>
      </w:pPr>
      <w:r w:rsidRPr="00EE3302">
        <w:rPr>
          <w:rFonts w:ascii="Times New Roman" w:hAnsi="Times New Roman" w:cs="Times New Roman"/>
          <w:sz w:val="24"/>
          <w:szCs w:val="24"/>
        </w:rPr>
        <w:tab/>
        <w:t>A</w:t>
      </w:r>
      <w:r w:rsidR="00D164DB" w:rsidRPr="00EE3302">
        <w:rPr>
          <w:rFonts w:ascii="Times New Roman" w:hAnsi="Times New Roman" w:cs="Times New Roman"/>
          <w:sz w:val="24"/>
          <w:szCs w:val="24"/>
        </w:rPr>
        <w:t>s NWEC explained in its initial post-hearing brief, both PSE’s and Staff’s proposals to increase fixed charges would require the Commission to overturn decades of precedent finding that line transformer costs are not customer-related costs.</w:t>
      </w:r>
      <w:r w:rsidR="00D164DB" w:rsidRPr="00EE3302">
        <w:rPr>
          <w:rStyle w:val="FootnoteReference"/>
          <w:rFonts w:ascii="Times New Roman" w:hAnsi="Times New Roman" w:cs="Times New Roman"/>
          <w:sz w:val="24"/>
          <w:szCs w:val="24"/>
        </w:rPr>
        <w:footnoteReference w:id="9"/>
      </w:r>
      <w:r w:rsidR="00D164DB" w:rsidRPr="00EE3302">
        <w:rPr>
          <w:rFonts w:ascii="Times New Roman" w:hAnsi="Times New Roman" w:cs="Times New Roman"/>
          <w:sz w:val="24"/>
          <w:szCs w:val="24"/>
        </w:rPr>
        <w:t xml:space="preserve">  In their briefs, PSE and Staff do not dispute that if the Commission adheres to long-standing precedent and continues to exclude line-transformer costs from customer-related costs, there is no basis for increasing the basic charge or imposing a minimum bill.</w:t>
      </w:r>
      <w:r w:rsidR="007B031B" w:rsidRPr="00EE3302">
        <w:rPr>
          <w:rStyle w:val="FootnoteReference"/>
          <w:rFonts w:ascii="Times New Roman" w:hAnsi="Times New Roman" w:cs="Times New Roman"/>
          <w:sz w:val="24"/>
          <w:szCs w:val="24"/>
        </w:rPr>
        <w:footnoteReference w:id="10"/>
      </w:r>
    </w:p>
    <w:p w14:paraId="5CFD34CE" w14:textId="5826D513" w:rsidR="00B63E15" w:rsidRPr="00EE3302" w:rsidRDefault="00EE3302" w:rsidP="00EE3302">
      <w:pPr>
        <w:pStyle w:val="ListParagraph"/>
        <w:numPr>
          <w:ilvl w:val="0"/>
          <w:numId w:val="19"/>
        </w:numPr>
        <w:spacing w:after="0" w:line="480" w:lineRule="auto"/>
        <w:ind w:left="0" w:hanging="720"/>
        <w:contextualSpacing w:val="0"/>
        <w:rPr>
          <w:rFonts w:ascii="Times New Roman" w:hAnsi="Times New Roman" w:cs="Times New Roman"/>
          <w:sz w:val="24"/>
          <w:szCs w:val="24"/>
        </w:rPr>
      </w:pPr>
      <w:r w:rsidRPr="00EE3302">
        <w:rPr>
          <w:rFonts w:ascii="Times New Roman" w:hAnsi="Times New Roman" w:cs="Times New Roman"/>
          <w:sz w:val="24"/>
          <w:szCs w:val="24"/>
        </w:rPr>
        <w:tab/>
        <w:t>P</w:t>
      </w:r>
      <w:r w:rsidR="00D164DB" w:rsidRPr="00EE3302">
        <w:rPr>
          <w:rFonts w:ascii="Times New Roman" w:hAnsi="Times New Roman" w:cs="Times New Roman"/>
          <w:sz w:val="24"/>
          <w:szCs w:val="24"/>
        </w:rPr>
        <w:t>SE supports its proposal to increase the monthly basic charge by reiterating the arguments in the Company’s direct and reply testimony.</w:t>
      </w:r>
      <w:r w:rsidR="00D164DB" w:rsidRPr="00EE3302">
        <w:rPr>
          <w:rStyle w:val="FootnoteReference"/>
          <w:rFonts w:ascii="Times New Roman" w:hAnsi="Times New Roman" w:cs="Times New Roman"/>
          <w:sz w:val="24"/>
          <w:szCs w:val="24"/>
        </w:rPr>
        <w:footnoteReference w:id="11"/>
      </w:r>
      <w:r w:rsidR="00D164DB" w:rsidRPr="00EE3302">
        <w:rPr>
          <w:rFonts w:ascii="Times New Roman" w:hAnsi="Times New Roman" w:cs="Times New Roman"/>
          <w:sz w:val="24"/>
          <w:szCs w:val="24"/>
        </w:rPr>
        <w:t xml:space="preserve">  </w:t>
      </w:r>
      <w:r w:rsidR="00167CF9">
        <w:rPr>
          <w:rFonts w:ascii="Times New Roman" w:hAnsi="Times New Roman" w:cs="Times New Roman"/>
          <w:sz w:val="24"/>
          <w:szCs w:val="24"/>
        </w:rPr>
        <w:t xml:space="preserve">Those arguments are adequately rebutted in </w:t>
      </w:r>
      <w:r w:rsidR="00D164DB" w:rsidRPr="00EE3302">
        <w:rPr>
          <w:rFonts w:ascii="Times New Roman" w:hAnsi="Times New Roman" w:cs="Times New Roman"/>
          <w:sz w:val="24"/>
          <w:szCs w:val="24"/>
        </w:rPr>
        <w:t>NWEC’s post-hearing brief</w:t>
      </w:r>
      <w:r w:rsidR="00167CF9">
        <w:rPr>
          <w:rFonts w:ascii="Times New Roman" w:hAnsi="Times New Roman" w:cs="Times New Roman"/>
          <w:sz w:val="24"/>
          <w:szCs w:val="24"/>
        </w:rPr>
        <w:t>.</w:t>
      </w:r>
      <w:r w:rsidR="00D164DB" w:rsidRPr="00EE3302">
        <w:rPr>
          <w:rFonts w:ascii="Times New Roman" w:hAnsi="Times New Roman" w:cs="Times New Roman"/>
          <w:sz w:val="24"/>
          <w:szCs w:val="24"/>
        </w:rPr>
        <w:t xml:space="preserve">  However, </w:t>
      </w:r>
      <w:r w:rsidR="00F00A5F" w:rsidRPr="00EE3302">
        <w:rPr>
          <w:rFonts w:ascii="Times New Roman" w:hAnsi="Times New Roman" w:cs="Times New Roman"/>
          <w:sz w:val="24"/>
          <w:szCs w:val="24"/>
        </w:rPr>
        <w:t xml:space="preserve">Staff’s initial post-hearing brief advances new arguments in support of </w:t>
      </w:r>
      <w:r w:rsidR="00722535" w:rsidRPr="00EE3302">
        <w:rPr>
          <w:rFonts w:ascii="Times New Roman" w:hAnsi="Times New Roman" w:cs="Times New Roman"/>
          <w:sz w:val="24"/>
          <w:szCs w:val="24"/>
        </w:rPr>
        <w:t xml:space="preserve">its </w:t>
      </w:r>
      <w:r w:rsidR="00F00A5F" w:rsidRPr="00EE3302">
        <w:rPr>
          <w:rFonts w:ascii="Times New Roman" w:hAnsi="Times New Roman" w:cs="Times New Roman"/>
          <w:sz w:val="24"/>
          <w:szCs w:val="24"/>
        </w:rPr>
        <w:t>proposal to increase the mon</w:t>
      </w:r>
      <w:r w:rsidR="00722535" w:rsidRPr="00EE3302">
        <w:rPr>
          <w:rFonts w:ascii="Times New Roman" w:hAnsi="Times New Roman" w:cs="Times New Roman"/>
          <w:sz w:val="24"/>
          <w:szCs w:val="24"/>
        </w:rPr>
        <w:t>th</w:t>
      </w:r>
      <w:r w:rsidR="00F00A5F" w:rsidRPr="00EE3302">
        <w:rPr>
          <w:rFonts w:ascii="Times New Roman" w:hAnsi="Times New Roman" w:cs="Times New Roman"/>
          <w:sz w:val="24"/>
          <w:szCs w:val="24"/>
        </w:rPr>
        <w:t>ly basic charge and impose a new minimum bill.</w:t>
      </w:r>
      <w:r w:rsidR="004807D5" w:rsidRPr="00EE3302">
        <w:rPr>
          <w:rStyle w:val="FootnoteReference"/>
          <w:rFonts w:ascii="Times New Roman" w:hAnsi="Times New Roman" w:cs="Times New Roman"/>
          <w:sz w:val="24"/>
          <w:szCs w:val="24"/>
        </w:rPr>
        <w:footnoteReference w:id="12"/>
      </w:r>
    </w:p>
    <w:p w14:paraId="2C7024C0" w14:textId="3AF618B3" w:rsidR="001B566D" w:rsidRPr="00E00C6B" w:rsidRDefault="00EE3302" w:rsidP="00E00C6B">
      <w:pPr>
        <w:pStyle w:val="ListParagraph"/>
        <w:numPr>
          <w:ilvl w:val="0"/>
          <w:numId w:val="19"/>
        </w:numPr>
        <w:spacing w:after="0" w:line="480" w:lineRule="auto"/>
        <w:ind w:left="0" w:hanging="720"/>
        <w:contextualSpacing w:val="0"/>
        <w:rPr>
          <w:rFonts w:ascii="Times New Roman" w:hAnsi="Times New Roman" w:cs="Times New Roman"/>
          <w:sz w:val="24"/>
          <w:szCs w:val="24"/>
        </w:rPr>
      </w:pPr>
      <w:r w:rsidRPr="00E00C6B">
        <w:rPr>
          <w:rFonts w:ascii="Times New Roman" w:hAnsi="Times New Roman" w:cs="Times New Roman"/>
          <w:sz w:val="24"/>
          <w:szCs w:val="24"/>
        </w:rPr>
        <w:tab/>
        <w:t>S</w:t>
      </w:r>
      <w:r w:rsidR="004807D5" w:rsidRPr="00E00C6B">
        <w:rPr>
          <w:rFonts w:ascii="Times New Roman" w:hAnsi="Times New Roman" w:cs="Times New Roman"/>
          <w:sz w:val="24"/>
          <w:szCs w:val="24"/>
        </w:rPr>
        <w:t>taff assert</w:t>
      </w:r>
      <w:r w:rsidR="00722535" w:rsidRPr="00E00C6B">
        <w:rPr>
          <w:rFonts w:ascii="Times New Roman" w:hAnsi="Times New Roman" w:cs="Times New Roman"/>
          <w:sz w:val="24"/>
          <w:szCs w:val="24"/>
        </w:rPr>
        <w:t>s</w:t>
      </w:r>
      <w:r w:rsidR="008101D4" w:rsidRPr="00E00C6B">
        <w:rPr>
          <w:rFonts w:ascii="Times New Roman" w:hAnsi="Times New Roman" w:cs="Times New Roman"/>
          <w:sz w:val="24"/>
          <w:szCs w:val="24"/>
        </w:rPr>
        <w:t xml:space="preserve"> that there is no evidence that </w:t>
      </w:r>
      <w:r w:rsidR="00722535" w:rsidRPr="00E00C6B">
        <w:rPr>
          <w:rFonts w:ascii="Times New Roman" w:hAnsi="Times New Roman" w:cs="Times New Roman"/>
          <w:sz w:val="24"/>
          <w:szCs w:val="24"/>
        </w:rPr>
        <w:t xml:space="preserve">its </w:t>
      </w:r>
      <w:r w:rsidR="008101D4" w:rsidRPr="00E00C6B">
        <w:rPr>
          <w:rFonts w:ascii="Times New Roman" w:hAnsi="Times New Roman" w:cs="Times New Roman"/>
          <w:sz w:val="24"/>
          <w:szCs w:val="24"/>
        </w:rPr>
        <w:t>proposal will disproportionately impact low-income customers</w:t>
      </w:r>
      <w:r w:rsidR="001B566D" w:rsidRPr="00E00C6B">
        <w:rPr>
          <w:rFonts w:ascii="Times New Roman" w:hAnsi="Times New Roman" w:cs="Times New Roman"/>
          <w:sz w:val="24"/>
          <w:szCs w:val="24"/>
        </w:rPr>
        <w:t>.</w:t>
      </w:r>
      <w:r w:rsidR="001B566D" w:rsidRPr="00EE3302">
        <w:rPr>
          <w:rStyle w:val="FootnoteReference"/>
          <w:rFonts w:ascii="Times New Roman" w:hAnsi="Times New Roman" w:cs="Times New Roman"/>
          <w:sz w:val="24"/>
          <w:szCs w:val="24"/>
        </w:rPr>
        <w:footnoteReference w:id="13"/>
      </w:r>
      <w:r w:rsidR="001B566D" w:rsidRPr="00E00C6B">
        <w:rPr>
          <w:rFonts w:ascii="Times New Roman" w:hAnsi="Times New Roman" w:cs="Times New Roman"/>
          <w:sz w:val="24"/>
          <w:szCs w:val="24"/>
        </w:rPr>
        <w:t xml:space="preserve">  Specifically, Staff contend</w:t>
      </w:r>
      <w:r w:rsidR="009A7AFB">
        <w:rPr>
          <w:rFonts w:ascii="Times New Roman" w:hAnsi="Times New Roman" w:cs="Times New Roman"/>
          <w:sz w:val="24"/>
          <w:szCs w:val="24"/>
        </w:rPr>
        <w:t>s</w:t>
      </w:r>
      <w:r w:rsidR="001B566D" w:rsidRPr="00E00C6B">
        <w:rPr>
          <w:rFonts w:ascii="Times New Roman" w:hAnsi="Times New Roman" w:cs="Times New Roman"/>
          <w:sz w:val="24"/>
          <w:szCs w:val="24"/>
        </w:rPr>
        <w:t xml:space="preserve"> that its proposal is designed to affect only </w:t>
      </w:r>
      <w:r w:rsidR="00DF0E10">
        <w:rPr>
          <w:rFonts w:ascii="Times New Roman" w:hAnsi="Times New Roman" w:cs="Times New Roman"/>
          <w:sz w:val="24"/>
          <w:szCs w:val="24"/>
        </w:rPr>
        <w:t xml:space="preserve">a small percentage </w:t>
      </w:r>
      <w:r w:rsidR="001B566D" w:rsidRPr="00E00C6B">
        <w:rPr>
          <w:rFonts w:ascii="Times New Roman" w:hAnsi="Times New Roman" w:cs="Times New Roman"/>
          <w:sz w:val="24"/>
          <w:szCs w:val="24"/>
        </w:rPr>
        <w:t>of</w:t>
      </w:r>
      <w:r w:rsidR="001B566D" w:rsidRPr="00D379BE">
        <w:rPr>
          <w:rFonts w:ascii="Times New Roman" w:hAnsi="Times New Roman" w:cs="Times New Roman"/>
          <w:sz w:val="24"/>
          <w:szCs w:val="24"/>
        </w:rPr>
        <w:t xml:space="preserve"> all customers who use less than the monthly amount—35</w:t>
      </w:r>
      <w:r w:rsidR="00D34869" w:rsidRPr="00D379BE">
        <w:rPr>
          <w:rFonts w:ascii="Times New Roman" w:hAnsi="Times New Roman" w:cs="Times New Roman"/>
          <w:sz w:val="24"/>
          <w:szCs w:val="24"/>
        </w:rPr>
        <w:t xml:space="preserve"> </w:t>
      </w:r>
      <w:r w:rsidR="001B566D" w:rsidRPr="00A04462">
        <w:rPr>
          <w:rFonts w:ascii="Times New Roman" w:hAnsi="Times New Roman" w:cs="Times New Roman"/>
          <w:sz w:val="24"/>
          <w:szCs w:val="24"/>
        </w:rPr>
        <w:t>kWh—that would trigger</w:t>
      </w:r>
      <w:r w:rsidR="001B566D" w:rsidRPr="006A075E">
        <w:rPr>
          <w:rFonts w:ascii="Times New Roman" w:hAnsi="Times New Roman" w:cs="Times New Roman"/>
          <w:sz w:val="24"/>
          <w:szCs w:val="24"/>
        </w:rPr>
        <w:t xml:space="preserve"> the minimum bill</w:t>
      </w:r>
      <w:r w:rsidR="001B566D" w:rsidRPr="002E3594">
        <w:rPr>
          <w:rFonts w:ascii="Times New Roman" w:hAnsi="Times New Roman" w:cs="Times New Roman"/>
          <w:sz w:val="24"/>
          <w:szCs w:val="24"/>
        </w:rPr>
        <w:t>.</w:t>
      </w:r>
      <w:r w:rsidR="001B566D">
        <w:rPr>
          <w:rStyle w:val="FootnoteReference"/>
          <w:rFonts w:ascii="Times New Roman" w:hAnsi="Times New Roman" w:cs="Times New Roman"/>
          <w:sz w:val="24"/>
          <w:szCs w:val="24"/>
        </w:rPr>
        <w:footnoteReference w:id="14"/>
      </w:r>
      <w:r w:rsidR="001B566D" w:rsidRPr="00E00C6B">
        <w:rPr>
          <w:rFonts w:ascii="Times New Roman" w:hAnsi="Times New Roman" w:cs="Times New Roman"/>
          <w:sz w:val="24"/>
          <w:szCs w:val="24"/>
        </w:rPr>
        <w:t xml:space="preserve">  </w:t>
      </w:r>
      <w:r w:rsidR="00E00C6B" w:rsidRPr="00E00C6B">
        <w:rPr>
          <w:rFonts w:ascii="Times New Roman" w:hAnsi="Times New Roman" w:cs="Times New Roman"/>
          <w:sz w:val="24"/>
          <w:szCs w:val="24"/>
        </w:rPr>
        <w:t>But w</w:t>
      </w:r>
      <w:r w:rsidR="001B566D" w:rsidRPr="00E00C6B">
        <w:rPr>
          <w:rFonts w:ascii="Times New Roman" w:hAnsi="Times New Roman" w:cs="Times New Roman"/>
          <w:sz w:val="24"/>
          <w:szCs w:val="24"/>
        </w:rPr>
        <w:t>hether Staff’s proposal affects 1%, or 100%, of customers using less than 35</w:t>
      </w:r>
      <w:r w:rsidR="00D34869" w:rsidRPr="00D379BE">
        <w:rPr>
          <w:rFonts w:ascii="Times New Roman" w:hAnsi="Times New Roman" w:cs="Times New Roman"/>
          <w:sz w:val="24"/>
          <w:szCs w:val="24"/>
        </w:rPr>
        <w:t xml:space="preserve"> </w:t>
      </w:r>
      <w:r w:rsidR="001B566D" w:rsidRPr="00D379BE">
        <w:rPr>
          <w:rFonts w:ascii="Times New Roman" w:hAnsi="Times New Roman" w:cs="Times New Roman"/>
          <w:sz w:val="24"/>
          <w:szCs w:val="24"/>
        </w:rPr>
        <w:t xml:space="preserve">kWh per month, any low-income customers forced to pay a minimum bill will </w:t>
      </w:r>
      <w:r w:rsidR="00D34869" w:rsidRPr="00A04462">
        <w:rPr>
          <w:rFonts w:ascii="Times New Roman" w:hAnsi="Times New Roman" w:cs="Times New Roman"/>
          <w:sz w:val="24"/>
          <w:szCs w:val="24"/>
        </w:rPr>
        <w:t xml:space="preserve">face a greater burden </w:t>
      </w:r>
      <w:r w:rsidR="001B566D" w:rsidRPr="006A075E">
        <w:rPr>
          <w:rFonts w:ascii="Times New Roman" w:hAnsi="Times New Roman" w:cs="Times New Roman"/>
          <w:sz w:val="24"/>
          <w:szCs w:val="24"/>
        </w:rPr>
        <w:t>than more affluent customers paying</w:t>
      </w:r>
      <w:r w:rsidR="001B566D" w:rsidRPr="002E3594">
        <w:rPr>
          <w:rFonts w:ascii="Times New Roman" w:hAnsi="Times New Roman" w:cs="Times New Roman"/>
          <w:sz w:val="24"/>
          <w:szCs w:val="24"/>
        </w:rPr>
        <w:t xml:space="preserve"> a minimum bill.</w:t>
      </w:r>
    </w:p>
    <w:p w14:paraId="3CDE1ED2" w14:textId="24516560" w:rsidR="00A04462" w:rsidRDefault="00983C00" w:rsidP="00EE3302">
      <w:pPr>
        <w:pStyle w:val="ListParagraph"/>
        <w:numPr>
          <w:ilvl w:val="0"/>
          <w:numId w:val="19"/>
        </w:numPr>
        <w:spacing w:after="0" w:line="480" w:lineRule="auto"/>
        <w:ind w:left="0" w:hanging="720"/>
        <w:contextualSpacing w:val="0"/>
        <w:rPr>
          <w:rFonts w:ascii="Times New Roman" w:hAnsi="Times New Roman" w:cs="Times New Roman"/>
          <w:sz w:val="24"/>
          <w:szCs w:val="24"/>
        </w:rPr>
      </w:pPr>
      <w:r>
        <w:rPr>
          <w:rFonts w:ascii="Times New Roman" w:hAnsi="Times New Roman" w:cs="Times New Roman"/>
          <w:sz w:val="24"/>
          <w:szCs w:val="24"/>
        </w:rPr>
        <w:lastRenderedPageBreak/>
        <w:tab/>
        <w:t>S</w:t>
      </w:r>
      <w:r w:rsidR="00D34869">
        <w:rPr>
          <w:rFonts w:ascii="Times New Roman" w:hAnsi="Times New Roman" w:cs="Times New Roman"/>
          <w:sz w:val="24"/>
          <w:szCs w:val="24"/>
        </w:rPr>
        <w:t xml:space="preserve">taff also relies on its cross-referencing of billing data with median incomes to conclude that its minimum bill proposal would </w:t>
      </w:r>
      <w:r w:rsidR="00D379BE">
        <w:rPr>
          <w:rFonts w:ascii="Times New Roman" w:hAnsi="Times New Roman" w:cs="Times New Roman"/>
          <w:sz w:val="24"/>
          <w:szCs w:val="24"/>
        </w:rPr>
        <w:t>mostly affect customers who are not low-income.</w:t>
      </w:r>
      <w:r w:rsidR="00D379BE">
        <w:rPr>
          <w:rStyle w:val="FootnoteReference"/>
          <w:rFonts w:ascii="Times New Roman" w:hAnsi="Times New Roman" w:cs="Times New Roman"/>
          <w:sz w:val="24"/>
          <w:szCs w:val="24"/>
        </w:rPr>
        <w:footnoteReference w:id="15"/>
      </w:r>
      <w:r w:rsidR="00D379BE">
        <w:rPr>
          <w:rFonts w:ascii="Times New Roman" w:hAnsi="Times New Roman" w:cs="Times New Roman"/>
          <w:sz w:val="24"/>
          <w:szCs w:val="24"/>
        </w:rPr>
        <w:t xml:space="preserve">  B</w:t>
      </w:r>
      <w:r w:rsidR="008101D4" w:rsidRPr="00EE3302">
        <w:rPr>
          <w:rFonts w:ascii="Times New Roman" w:hAnsi="Times New Roman" w:cs="Times New Roman"/>
          <w:sz w:val="24"/>
          <w:szCs w:val="24"/>
        </w:rPr>
        <w:t>ut this</w:t>
      </w:r>
      <w:r w:rsidR="00722535" w:rsidRPr="00EE3302">
        <w:rPr>
          <w:rFonts w:ascii="Times New Roman" w:hAnsi="Times New Roman" w:cs="Times New Roman"/>
          <w:sz w:val="24"/>
          <w:szCs w:val="24"/>
        </w:rPr>
        <w:t xml:space="preserve"> position</w:t>
      </w:r>
      <w:r w:rsidR="008101D4" w:rsidRPr="00EE3302">
        <w:rPr>
          <w:rFonts w:ascii="Times New Roman" w:hAnsi="Times New Roman" w:cs="Times New Roman"/>
          <w:sz w:val="24"/>
          <w:szCs w:val="24"/>
        </w:rPr>
        <w:t xml:space="preserve"> ignores </w:t>
      </w:r>
      <w:r w:rsidR="00722535" w:rsidRPr="00EE3302">
        <w:rPr>
          <w:rFonts w:ascii="Times New Roman" w:hAnsi="Times New Roman" w:cs="Times New Roman"/>
          <w:sz w:val="24"/>
          <w:szCs w:val="24"/>
        </w:rPr>
        <w:t xml:space="preserve">the fact </w:t>
      </w:r>
      <w:r w:rsidR="008101D4" w:rsidRPr="00EE3302">
        <w:rPr>
          <w:rFonts w:ascii="Times New Roman" w:hAnsi="Times New Roman" w:cs="Times New Roman"/>
          <w:sz w:val="24"/>
          <w:szCs w:val="24"/>
        </w:rPr>
        <w:t xml:space="preserve">that increasing </w:t>
      </w:r>
      <w:r w:rsidR="0071584E">
        <w:rPr>
          <w:rFonts w:ascii="Times New Roman" w:hAnsi="Times New Roman" w:cs="Times New Roman"/>
          <w:sz w:val="24"/>
          <w:szCs w:val="24"/>
        </w:rPr>
        <w:t xml:space="preserve">fixed </w:t>
      </w:r>
      <w:r w:rsidR="008101D4" w:rsidRPr="00EE3302">
        <w:rPr>
          <w:rFonts w:ascii="Times New Roman" w:hAnsi="Times New Roman" w:cs="Times New Roman"/>
          <w:sz w:val="24"/>
          <w:szCs w:val="24"/>
        </w:rPr>
        <w:t xml:space="preserve">charges </w:t>
      </w:r>
      <w:r w:rsidR="007B13E4" w:rsidRPr="00EE3302">
        <w:rPr>
          <w:rFonts w:ascii="Times New Roman" w:hAnsi="Times New Roman" w:cs="Times New Roman"/>
          <w:sz w:val="24"/>
          <w:szCs w:val="24"/>
        </w:rPr>
        <w:t>sends the wrong price signal to everyone—not just</w:t>
      </w:r>
      <w:r w:rsidR="004F6BE4" w:rsidRPr="00EE3302">
        <w:rPr>
          <w:rFonts w:ascii="Times New Roman" w:hAnsi="Times New Roman" w:cs="Times New Roman"/>
          <w:sz w:val="24"/>
          <w:szCs w:val="24"/>
        </w:rPr>
        <w:t xml:space="preserve"> </w:t>
      </w:r>
      <w:r w:rsidR="00083CFD" w:rsidRPr="00EE3302">
        <w:rPr>
          <w:rFonts w:ascii="Times New Roman" w:hAnsi="Times New Roman" w:cs="Times New Roman"/>
          <w:sz w:val="24"/>
          <w:szCs w:val="24"/>
        </w:rPr>
        <w:t>low-income consumers</w:t>
      </w:r>
      <w:r w:rsidR="004F6BE4" w:rsidRPr="00EE3302">
        <w:rPr>
          <w:rFonts w:ascii="Times New Roman" w:hAnsi="Times New Roman" w:cs="Times New Roman"/>
          <w:sz w:val="24"/>
          <w:szCs w:val="24"/>
        </w:rPr>
        <w:t xml:space="preserve">.  </w:t>
      </w:r>
      <w:r w:rsidR="00D164DB" w:rsidRPr="00EE3302">
        <w:rPr>
          <w:rFonts w:ascii="Times New Roman" w:hAnsi="Times New Roman" w:cs="Times New Roman"/>
          <w:sz w:val="24"/>
          <w:szCs w:val="24"/>
        </w:rPr>
        <w:t xml:space="preserve">As NWEC and others have explained, the minimum bill proposal discourages everyone subject to the minimum bill from conserving energy, because a minimum bill penalizes customers from reducing energy use below the level </w:t>
      </w:r>
      <w:r w:rsidR="00BF0DC9">
        <w:rPr>
          <w:rFonts w:ascii="Times New Roman" w:hAnsi="Times New Roman" w:cs="Times New Roman"/>
          <w:sz w:val="24"/>
          <w:szCs w:val="24"/>
        </w:rPr>
        <w:t>that triggers the minimum bill.</w:t>
      </w:r>
    </w:p>
    <w:p w14:paraId="49AC8E13" w14:textId="7D408195" w:rsidR="001B53EE" w:rsidRPr="00EE3302" w:rsidRDefault="00EE3302" w:rsidP="00EE3302">
      <w:pPr>
        <w:pStyle w:val="ListParagraph"/>
        <w:numPr>
          <w:ilvl w:val="0"/>
          <w:numId w:val="19"/>
        </w:numPr>
        <w:spacing w:after="0" w:line="480" w:lineRule="auto"/>
        <w:ind w:left="0" w:hanging="720"/>
        <w:contextualSpacing w:val="0"/>
        <w:rPr>
          <w:rFonts w:ascii="Times New Roman" w:hAnsi="Times New Roman" w:cs="Times New Roman"/>
          <w:sz w:val="24"/>
          <w:szCs w:val="24"/>
        </w:rPr>
      </w:pPr>
      <w:r w:rsidRPr="00EE3302">
        <w:rPr>
          <w:rFonts w:ascii="Times New Roman" w:hAnsi="Times New Roman" w:cs="Times New Roman"/>
          <w:sz w:val="24"/>
          <w:szCs w:val="24"/>
        </w:rPr>
        <w:tab/>
        <w:t>S</w:t>
      </w:r>
      <w:r w:rsidR="003D7981" w:rsidRPr="00EE3302">
        <w:rPr>
          <w:rFonts w:ascii="Times New Roman" w:hAnsi="Times New Roman" w:cs="Times New Roman"/>
          <w:sz w:val="24"/>
          <w:szCs w:val="24"/>
        </w:rPr>
        <w:t xml:space="preserve">taff </w:t>
      </w:r>
      <w:r w:rsidR="00167CF9">
        <w:rPr>
          <w:rFonts w:ascii="Times New Roman" w:hAnsi="Times New Roman" w:cs="Times New Roman"/>
          <w:sz w:val="24"/>
          <w:szCs w:val="24"/>
        </w:rPr>
        <w:t xml:space="preserve">also </w:t>
      </w:r>
      <w:r w:rsidR="003B72DB" w:rsidRPr="00EE3302">
        <w:rPr>
          <w:rFonts w:ascii="Times New Roman" w:hAnsi="Times New Roman" w:cs="Times New Roman"/>
          <w:sz w:val="24"/>
          <w:szCs w:val="24"/>
        </w:rPr>
        <w:t>make</w:t>
      </w:r>
      <w:r w:rsidR="00083CFD" w:rsidRPr="00EE3302">
        <w:rPr>
          <w:rFonts w:ascii="Times New Roman" w:hAnsi="Times New Roman" w:cs="Times New Roman"/>
          <w:sz w:val="24"/>
          <w:szCs w:val="24"/>
        </w:rPr>
        <w:t>s</w:t>
      </w:r>
      <w:r w:rsidR="00DE6C42" w:rsidRPr="00EE3302">
        <w:rPr>
          <w:rFonts w:ascii="Times New Roman" w:hAnsi="Times New Roman" w:cs="Times New Roman"/>
          <w:sz w:val="24"/>
          <w:szCs w:val="24"/>
        </w:rPr>
        <w:t xml:space="preserve"> the unsupported argument </w:t>
      </w:r>
      <w:r w:rsidR="003D7981" w:rsidRPr="00EE3302">
        <w:rPr>
          <w:rFonts w:ascii="Times New Roman" w:hAnsi="Times New Roman" w:cs="Times New Roman"/>
          <w:sz w:val="24"/>
          <w:szCs w:val="24"/>
        </w:rPr>
        <w:t xml:space="preserve">that even if an increase in the monthly basic charge </w:t>
      </w:r>
      <w:r w:rsidR="00E60797" w:rsidRPr="00EE3302">
        <w:rPr>
          <w:rFonts w:ascii="Times New Roman" w:hAnsi="Times New Roman" w:cs="Times New Roman"/>
          <w:sz w:val="24"/>
          <w:szCs w:val="24"/>
        </w:rPr>
        <w:t>reduces the incentive to conserve energy, a minimum bill somehow does not have the same effect.</w:t>
      </w:r>
      <w:r w:rsidR="00E60797" w:rsidRPr="00EE3302">
        <w:rPr>
          <w:rStyle w:val="FootnoteReference"/>
          <w:rFonts w:ascii="Times New Roman" w:hAnsi="Times New Roman" w:cs="Times New Roman"/>
          <w:sz w:val="24"/>
          <w:szCs w:val="24"/>
        </w:rPr>
        <w:footnoteReference w:id="16"/>
      </w:r>
      <w:r w:rsidR="00DE6C42" w:rsidRPr="00EE3302">
        <w:rPr>
          <w:rFonts w:ascii="Times New Roman" w:hAnsi="Times New Roman" w:cs="Times New Roman"/>
          <w:sz w:val="24"/>
          <w:szCs w:val="24"/>
        </w:rPr>
        <w:t xml:space="preserve">  Staff notes that the minimum bill applies only if a customer</w:t>
      </w:r>
      <w:r w:rsidR="003B72DB" w:rsidRPr="00EE3302">
        <w:rPr>
          <w:rFonts w:ascii="Times New Roman" w:hAnsi="Times New Roman" w:cs="Times New Roman"/>
          <w:sz w:val="24"/>
          <w:szCs w:val="24"/>
        </w:rPr>
        <w:t>’s energy usage falls below a certain amount</w:t>
      </w:r>
      <w:r w:rsidR="00DE6C42" w:rsidRPr="00EE3302">
        <w:rPr>
          <w:rFonts w:ascii="Times New Roman" w:hAnsi="Times New Roman" w:cs="Times New Roman"/>
          <w:sz w:val="24"/>
          <w:szCs w:val="24"/>
        </w:rPr>
        <w:t>.</w:t>
      </w:r>
      <w:r w:rsidR="00DE6C42" w:rsidRPr="00EE3302">
        <w:rPr>
          <w:rStyle w:val="FootnoteReference"/>
          <w:rFonts w:ascii="Times New Roman" w:hAnsi="Times New Roman" w:cs="Times New Roman"/>
          <w:sz w:val="24"/>
          <w:szCs w:val="24"/>
        </w:rPr>
        <w:footnoteReference w:id="17"/>
      </w:r>
      <w:r w:rsidR="00DE6C42" w:rsidRPr="00EE3302">
        <w:rPr>
          <w:rFonts w:ascii="Times New Roman" w:hAnsi="Times New Roman" w:cs="Times New Roman"/>
          <w:sz w:val="24"/>
          <w:szCs w:val="24"/>
        </w:rPr>
        <w:t xml:space="preserve">  But that is precisely </w:t>
      </w:r>
      <w:r w:rsidR="00DE6C42" w:rsidRPr="00EE3302">
        <w:rPr>
          <w:rFonts w:ascii="Times New Roman" w:hAnsi="Times New Roman" w:cs="Times New Roman"/>
          <w:i/>
          <w:sz w:val="24"/>
          <w:szCs w:val="24"/>
        </w:rPr>
        <w:t>why</w:t>
      </w:r>
      <w:r w:rsidR="00DE6C42" w:rsidRPr="00EE3302">
        <w:rPr>
          <w:rFonts w:ascii="Times New Roman" w:hAnsi="Times New Roman" w:cs="Times New Roman"/>
          <w:sz w:val="24"/>
          <w:szCs w:val="24"/>
        </w:rPr>
        <w:t xml:space="preserve"> a minimum bill discourages energy conservation:  it penalizes customers </w:t>
      </w:r>
      <w:r w:rsidR="003B72DB" w:rsidRPr="00EE3302">
        <w:rPr>
          <w:rFonts w:ascii="Times New Roman" w:hAnsi="Times New Roman" w:cs="Times New Roman"/>
          <w:sz w:val="24"/>
          <w:szCs w:val="24"/>
        </w:rPr>
        <w:t xml:space="preserve">who reduce their </w:t>
      </w:r>
      <w:r w:rsidR="00DE6C42" w:rsidRPr="00EE3302">
        <w:rPr>
          <w:rFonts w:ascii="Times New Roman" w:hAnsi="Times New Roman" w:cs="Times New Roman"/>
          <w:sz w:val="24"/>
          <w:szCs w:val="24"/>
        </w:rPr>
        <w:t xml:space="preserve">energy use below </w:t>
      </w:r>
      <w:r w:rsidR="003B72DB" w:rsidRPr="00EE3302">
        <w:rPr>
          <w:rFonts w:ascii="Times New Roman" w:hAnsi="Times New Roman" w:cs="Times New Roman"/>
          <w:sz w:val="24"/>
          <w:szCs w:val="24"/>
        </w:rPr>
        <w:t xml:space="preserve">a </w:t>
      </w:r>
      <w:r w:rsidR="00DE6C42" w:rsidRPr="00EE3302">
        <w:rPr>
          <w:rFonts w:ascii="Times New Roman" w:hAnsi="Times New Roman" w:cs="Times New Roman"/>
          <w:sz w:val="24"/>
          <w:szCs w:val="24"/>
        </w:rPr>
        <w:t xml:space="preserve">level that Staff deems “too low.”  If </w:t>
      </w:r>
      <w:r w:rsidR="003B72DB" w:rsidRPr="00EE3302">
        <w:rPr>
          <w:rFonts w:ascii="Times New Roman" w:hAnsi="Times New Roman" w:cs="Times New Roman"/>
          <w:sz w:val="24"/>
          <w:szCs w:val="24"/>
        </w:rPr>
        <w:t xml:space="preserve">Staff’s proposal to increase the cost of using too little electricity </w:t>
      </w:r>
      <w:r w:rsidR="00DE6C42" w:rsidRPr="00EE3302">
        <w:rPr>
          <w:rFonts w:ascii="Times New Roman" w:hAnsi="Times New Roman" w:cs="Times New Roman"/>
          <w:sz w:val="24"/>
          <w:szCs w:val="24"/>
        </w:rPr>
        <w:t>does not discourage energy conservation, it is unclear what would.</w:t>
      </w:r>
    </w:p>
    <w:p w14:paraId="513760A7" w14:textId="10B06D33" w:rsidR="007303D3" w:rsidRPr="00EE3302" w:rsidRDefault="00EE3302" w:rsidP="00EE3302">
      <w:pPr>
        <w:pStyle w:val="ListParagraph"/>
        <w:numPr>
          <w:ilvl w:val="0"/>
          <w:numId w:val="19"/>
        </w:numPr>
        <w:spacing w:after="0" w:line="480" w:lineRule="auto"/>
        <w:ind w:left="0" w:hanging="720"/>
        <w:contextualSpacing w:val="0"/>
        <w:rPr>
          <w:rFonts w:ascii="Times New Roman" w:hAnsi="Times New Roman" w:cs="Times New Roman"/>
          <w:sz w:val="24"/>
          <w:szCs w:val="24"/>
        </w:rPr>
      </w:pPr>
      <w:r w:rsidRPr="00EE3302">
        <w:rPr>
          <w:rFonts w:ascii="Times New Roman" w:hAnsi="Times New Roman" w:cs="Times New Roman"/>
          <w:sz w:val="24"/>
          <w:szCs w:val="24"/>
        </w:rPr>
        <w:tab/>
        <w:t>F</w:t>
      </w:r>
      <w:r w:rsidR="001B53EE" w:rsidRPr="00EE3302">
        <w:rPr>
          <w:rFonts w:ascii="Times New Roman" w:hAnsi="Times New Roman" w:cs="Times New Roman"/>
          <w:sz w:val="24"/>
          <w:szCs w:val="24"/>
        </w:rPr>
        <w:t>inally, Staff claims that the purported virtues of its seasonal rate structure should somehow cause the Commission to overlook the flaws of its proposed increase in the basic charge and minimum bill.</w:t>
      </w:r>
      <w:r w:rsidR="001B53EE" w:rsidRPr="00EE3302">
        <w:rPr>
          <w:rStyle w:val="FootnoteReference"/>
          <w:rFonts w:ascii="Times New Roman" w:hAnsi="Times New Roman" w:cs="Times New Roman"/>
          <w:sz w:val="24"/>
          <w:szCs w:val="24"/>
        </w:rPr>
        <w:footnoteReference w:id="18"/>
      </w:r>
      <w:r w:rsidR="001B53EE" w:rsidRPr="00EE3302">
        <w:rPr>
          <w:rFonts w:ascii="Times New Roman" w:hAnsi="Times New Roman" w:cs="Times New Roman"/>
          <w:sz w:val="24"/>
          <w:szCs w:val="24"/>
        </w:rPr>
        <w:t xml:space="preserve">  This a</w:t>
      </w:r>
      <w:r w:rsidR="00E32034" w:rsidRPr="00EE3302">
        <w:rPr>
          <w:rFonts w:ascii="Times New Roman" w:hAnsi="Times New Roman" w:cs="Times New Roman"/>
          <w:sz w:val="24"/>
          <w:szCs w:val="24"/>
        </w:rPr>
        <w:t>rgument is incoherent, at best.  T</w:t>
      </w:r>
      <w:r w:rsidR="001B53EE" w:rsidRPr="00EE3302">
        <w:rPr>
          <w:rFonts w:ascii="Times New Roman" w:hAnsi="Times New Roman" w:cs="Times New Roman"/>
          <w:sz w:val="24"/>
          <w:szCs w:val="24"/>
        </w:rPr>
        <w:t xml:space="preserve">here is no logical </w:t>
      </w:r>
      <w:r w:rsidR="00E32034" w:rsidRPr="00EE3302">
        <w:rPr>
          <w:rFonts w:ascii="Times New Roman" w:hAnsi="Times New Roman" w:cs="Times New Roman"/>
          <w:sz w:val="24"/>
          <w:szCs w:val="24"/>
        </w:rPr>
        <w:t xml:space="preserve">or practical </w:t>
      </w:r>
      <w:r w:rsidR="001B53EE" w:rsidRPr="00EE3302">
        <w:rPr>
          <w:rFonts w:ascii="Times New Roman" w:hAnsi="Times New Roman" w:cs="Times New Roman"/>
          <w:sz w:val="24"/>
          <w:szCs w:val="24"/>
        </w:rPr>
        <w:t xml:space="preserve">relationship between establishing seasonal rates and increasing fixed charges; the Commission could approve seasonal rates but reject Staff’s proposal to increase the basic charge and impose a minimum bill.  </w:t>
      </w:r>
      <w:r w:rsidR="00E32034" w:rsidRPr="00EE3302">
        <w:rPr>
          <w:rFonts w:ascii="Times New Roman" w:hAnsi="Times New Roman" w:cs="Times New Roman"/>
          <w:sz w:val="24"/>
          <w:szCs w:val="24"/>
        </w:rPr>
        <w:t>E</w:t>
      </w:r>
      <w:r w:rsidR="001B53EE" w:rsidRPr="00EE3302">
        <w:rPr>
          <w:rFonts w:ascii="Times New Roman" w:hAnsi="Times New Roman" w:cs="Times New Roman"/>
          <w:sz w:val="24"/>
          <w:szCs w:val="24"/>
        </w:rPr>
        <w:t xml:space="preserve">ven if Staff is correct that its seasonal rate </w:t>
      </w:r>
      <w:r w:rsidR="00E32034" w:rsidRPr="00EE3302">
        <w:rPr>
          <w:rFonts w:ascii="Times New Roman" w:hAnsi="Times New Roman" w:cs="Times New Roman"/>
          <w:sz w:val="24"/>
          <w:szCs w:val="24"/>
        </w:rPr>
        <w:t xml:space="preserve">structure </w:t>
      </w:r>
      <w:r w:rsidR="001B53EE" w:rsidRPr="00EE3302">
        <w:rPr>
          <w:rFonts w:ascii="Times New Roman" w:hAnsi="Times New Roman" w:cs="Times New Roman"/>
          <w:sz w:val="24"/>
          <w:szCs w:val="24"/>
        </w:rPr>
        <w:t xml:space="preserve">would increase energy </w:t>
      </w:r>
      <w:r w:rsidR="001B53EE" w:rsidRPr="00EE3302">
        <w:rPr>
          <w:rFonts w:ascii="Times New Roman" w:hAnsi="Times New Roman" w:cs="Times New Roman"/>
          <w:sz w:val="24"/>
          <w:szCs w:val="24"/>
        </w:rPr>
        <w:lastRenderedPageBreak/>
        <w:t>conservation, that is no justification for the Commission to approve an increase in fixed charges that would have the opposite effect.</w:t>
      </w:r>
    </w:p>
    <w:p w14:paraId="566271B6" w14:textId="381A719D" w:rsidR="007303D3" w:rsidRPr="00EE3302" w:rsidRDefault="007303D3" w:rsidP="00EE3302">
      <w:pPr>
        <w:pStyle w:val="Heading2"/>
      </w:pPr>
      <w:bookmarkStart w:id="7" w:name="_Toc496860085"/>
      <w:r w:rsidRPr="00EE3302">
        <w:t xml:space="preserve">PSE’s brief Presented no new evidence to support an increase in the </w:t>
      </w:r>
      <w:r w:rsidR="001B5E4C" w:rsidRPr="00EE3302">
        <w:t xml:space="preserve">3% </w:t>
      </w:r>
      <w:r w:rsidRPr="00EE3302">
        <w:t>cap</w:t>
      </w:r>
      <w:r w:rsidR="003D2444" w:rsidRPr="00EE3302">
        <w:t xml:space="preserve"> for the decoupling mechanism</w:t>
      </w:r>
      <w:r w:rsidR="00FA12C8">
        <w:t>.</w:t>
      </w:r>
      <w:bookmarkEnd w:id="7"/>
    </w:p>
    <w:p w14:paraId="7BF76DA2" w14:textId="5B029E15" w:rsidR="003D2444" w:rsidRDefault="00EE3302" w:rsidP="00EE3302">
      <w:pPr>
        <w:pStyle w:val="ListParagraph"/>
        <w:numPr>
          <w:ilvl w:val="0"/>
          <w:numId w:val="19"/>
        </w:numPr>
        <w:spacing w:after="0" w:line="480" w:lineRule="auto"/>
        <w:ind w:left="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67CF9">
        <w:rPr>
          <w:rFonts w:ascii="Times New Roman" w:eastAsia="Times New Roman" w:hAnsi="Times New Roman" w:cs="Times New Roman"/>
          <w:sz w:val="24"/>
          <w:szCs w:val="24"/>
        </w:rPr>
        <w:t>The</w:t>
      </w:r>
      <w:r w:rsidR="00AA716E" w:rsidRPr="00EE3302">
        <w:rPr>
          <w:rFonts w:ascii="Times New Roman" w:eastAsia="Times New Roman" w:hAnsi="Times New Roman" w:cs="Times New Roman"/>
          <w:sz w:val="24"/>
          <w:szCs w:val="24"/>
        </w:rPr>
        <w:t xml:space="preserve"> Commission should reject </w:t>
      </w:r>
      <w:r w:rsidR="003D2444" w:rsidRPr="00EE3302">
        <w:rPr>
          <w:rFonts w:ascii="Times New Roman" w:eastAsia="Times New Roman" w:hAnsi="Times New Roman" w:cs="Times New Roman"/>
          <w:sz w:val="24"/>
          <w:szCs w:val="24"/>
        </w:rPr>
        <w:t xml:space="preserve">PSE’s request to increase the 3% cap for electric customers </w:t>
      </w:r>
      <w:r w:rsidR="00AA716E" w:rsidRPr="00EE3302">
        <w:rPr>
          <w:rFonts w:ascii="Times New Roman" w:eastAsia="Times New Roman" w:hAnsi="Times New Roman" w:cs="Times New Roman"/>
          <w:sz w:val="24"/>
          <w:szCs w:val="24"/>
        </w:rPr>
        <w:t>because there is no evidence that the 3% cap has harmed either the Company or customers.</w:t>
      </w:r>
      <w:r w:rsidR="00AA716E" w:rsidRPr="00EE3302">
        <w:rPr>
          <w:rStyle w:val="FootnoteReference"/>
          <w:rFonts w:ascii="Times New Roman" w:eastAsia="Times New Roman" w:hAnsi="Times New Roman" w:cs="Times New Roman"/>
          <w:sz w:val="24"/>
          <w:szCs w:val="24"/>
        </w:rPr>
        <w:t xml:space="preserve"> </w:t>
      </w:r>
      <w:r w:rsidR="00AA716E" w:rsidRPr="00EE3302">
        <w:rPr>
          <w:rStyle w:val="FootnoteReference"/>
          <w:rFonts w:ascii="Times New Roman" w:eastAsia="Times New Roman" w:hAnsi="Times New Roman" w:cs="Times New Roman"/>
          <w:sz w:val="24"/>
          <w:szCs w:val="24"/>
        </w:rPr>
        <w:footnoteReference w:id="19"/>
      </w:r>
      <w:r w:rsidR="00AA716E" w:rsidRPr="00EE3302">
        <w:rPr>
          <w:rFonts w:ascii="Times New Roman" w:eastAsia="Times New Roman" w:hAnsi="Times New Roman" w:cs="Times New Roman"/>
          <w:sz w:val="24"/>
          <w:szCs w:val="24"/>
        </w:rPr>
        <w:t xml:space="preserve">  While NWEC does not oppose increasing the cap to 5% for residential gas customers, the Commission should condition the increase on PSE revising its weather forecasting</w:t>
      </w:r>
      <w:r w:rsidR="003D2444" w:rsidRPr="00EE3302">
        <w:rPr>
          <w:rFonts w:ascii="Times New Roman" w:eastAsia="Times New Roman" w:hAnsi="Times New Roman" w:cs="Times New Roman"/>
          <w:sz w:val="24"/>
          <w:szCs w:val="24"/>
        </w:rPr>
        <w:t>.</w:t>
      </w:r>
      <w:r w:rsidR="00AA716E" w:rsidRPr="00EE3302">
        <w:rPr>
          <w:rStyle w:val="FootnoteReference"/>
          <w:rFonts w:ascii="Times New Roman" w:eastAsia="Times New Roman" w:hAnsi="Times New Roman" w:cs="Times New Roman"/>
          <w:sz w:val="24"/>
          <w:szCs w:val="24"/>
        </w:rPr>
        <w:footnoteReference w:id="20"/>
      </w:r>
    </w:p>
    <w:p w14:paraId="0E777F8C" w14:textId="47866140" w:rsidR="00FA12C8" w:rsidRPr="00EE3302" w:rsidRDefault="00FA12C8" w:rsidP="00FA12C8">
      <w:pPr>
        <w:pStyle w:val="Heading2"/>
      </w:pPr>
      <w:bookmarkStart w:id="8" w:name="_Toc496860086"/>
      <w:r w:rsidRPr="00FA12C8">
        <w:t>Pse misrepresents nwec’s position on three-tier rates.</w:t>
      </w:r>
      <w:bookmarkEnd w:id="8"/>
    </w:p>
    <w:p w14:paraId="058D2B79" w14:textId="2B201880" w:rsidR="00F61774" w:rsidRPr="00EE3302" w:rsidRDefault="00EE3302" w:rsidP="00EE3302">
      <w:pPr>
        <w:pStyle w:val="ListParagraph"/>
        <w:numPr>
          <w:ilvl w:val="0"/>
          <w:numId w:val="19"/>
        </w:numPr>
        <w:spacing w:after="0" w:line="480" w:lineRule="auto"/>
        <w:ind w:left="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C</w:t>
      </w:r>
      <w:r w:rsidR="00F61774" w:rsidRPr="00EE3302">
        <w:rPr>
          <w:rFonts w:ascii="Times New Roman" w:eastAsia="Times New Roman" w:hAnsi="Times New Roman" w:cs="Times New Roman"/>
          <w:sz w:val="24"/>
          <w:szCs w:val="24"/>
        </w:rPr>
        <w:t xml:space="preserve">ontrary to PSE’s </w:t>
      </w:r>
      <w:r w:rsidR="00167CF9">
        <w:rPr>
          <w:rFonts w:ascii="Times New Roman" w:eastAsia="Times New Roman" w:hAnsi="Times New Roman" w:cs="Times New Roman"/>
          <w:sz w:val="24"/>
          <w:szCs w:val="24"/>
        </w:rPr>
        <w:t>statements</w:t>
      </w:r>
      <w:r w:rsidR="00F61774" w:rsidRPr="00EE3302">
        <w:rPr>
          <w:rFonts w:ascii="Times New Roman" w:eastAsia="Times New Roman" w:hAnsi="Times New Roman" w:cs="Times New Roman"/>
          <w:sz w:val="24"/>
          <w:szCs w:val="24"/>
        </w:rPr>
        <w:t>,</w:t>
      </w:r>
      <w:r w:rsidR="00F61774" w:rsidRPr="00EE3302">
        <w:rPr>
          <w:rStyle w:val="FootnoteReference"/>
          <w:rFonts w:ascii="Times New Roman" w:eastAsia="Times New Roman" w:hAnsi="Times New Roman" w:cs="Times New Roman"/>
          <w:sz w:val="24"/>
          <w:szCs w:val="24"/>
        </w:rPr>
        <w:footnoteReference w:id="21"/>
      </w:r>
      <w:r w:rsidR="00F61774" w:rsidRPr="00EE3302">
        <w:rPr>
          <w:rFonts w:ascii="Times New Roman" w:eastAsia="Times New Roman" w:hAnsi="Times New Roman" w:cs="Times New Roman"/>
          <w:sz w:val="24"/>
          <w:szCs w:val="24"/>
        </w:rPr>
        <w:t xml:space="preserve"> NWEC </w:t>
      </w:r>
      <w:r w:rsidR="00167CF9">
        <w:rPr>
          <w:rFonts w:ascii="Times New Roman" w:eastAsia="Times New Roman" w:hAnsi="Times New Roman" w:cs="Times New Roman"/>
          <w:sz w:val="24"/>
          <w:szCs w:val="24"/>
        </w:rPr>
        <w:t>has</w:t>
      </w:r>
      <w:r w:rsidR="00167CF9" w:rsidRPr="00EE3302">
        <w:rPr>
          <w:rFonts w:ascii="Times New Roman" w:eastAsia="Times New Roman" w:hAnsi="Times New Roman" w:cs="Times New Roman"/>
          <w:sz w:val="24"/>
          <w:szCs w:val="24"/>
        </w:rPr>
        <w:t xml:space="preserve"> </w:t>
      </w:r>
      <w:r w:rsidR="00F61774" w:rsidRPr="00EE3302">
        <w:rPr>
          <w:rFonts w:ascii="Times New Roman" w:eastAsia="Times New Roman" w:hAnsi="Times New Roman" w:cs="Times New Roman"/>
          <w:sz w:val="24"/>
          <w:szCs w:val="24"/>
        </w:rPr>
        <w:t xml:space="preserve">not </w:t>
      </w:r>
      <w:r w:rsidR="00167CF9" w:rsidRPr="00EE3302">
        <w:rPr>
          <w:rFonts w:ascii="Times New Roman" w:eastAsia="Times New Roman" w:hAnsi="Times New Roman" w:cs="Times New Roman"/>
          <w:sz w:val="24"/>
          <w:szCs w:val="24"/>
        </w:rPr>
        <w:t>ask</w:t>
      </w:r>
      <w:r w:rsidR="00167CF9">
        <w:rPr>
          <w:rFonts w:ascii="Times New Roman" w:eastAsia="Times New Roman" w:hAnsi="Times New Roman" w:cs="Times New Roman"/>
          <w:sz w:val="24"/>
          <w:szCs w:val="24"/>
        </w:rPr>
        <w:t>ed</w:t>
      </w:r>
      <w:r w:rsidR="00167CF9" w:rsidRPr="00EE3302">
        <w:rPr>
          <w:rFonts w:ascii="Times New Roman" w:eastAsia="Times New Roman" w:hAnsi="Times New Roman" w:cs="Times New Roman"/>
          <w:sz w:val="24"/>
          <w:szCs w:val="24"/>
        </w:rPr>
        <w:t xml:space="preserve"> </w:t>
      </w:r>
      <w:r w:rsidR="00F61774" w:rsidRPr="00EE3302">
        <w:rPr>
          <w:rFonts w:ascii="Times New Roman" w:eastAsia="Times New Roman" w:hAnsi="Times New Roman" w:cs="Times New Roman"/>
          <w:sz w:val="24"/>
          <w:szCs w:val="24"/>
        </w:rPr>
        <w:t>the Commiss</w:t>
      </w:r>
      <w:r w:rsidR="00083CFD" w:rsidRPr="00EE3302">
        <w:rPr>
          <w:rFonts w:ascii="Times New Roman" w:eastAsia="Times New Roman" w:hAnsi="Times New Roman" w:cs="Times New Roman"/>
          <w:sz w:val="24"/>
          <w:szCs w:val="24"/>
        </w:rPr>
        <w:t>i</w:t>
      </w:r>
      <w:r w:rsidR="00F61774" w:rsidRPr="00EE3302">
        <w:rPr>
          <w:rFonts w:ascii="Times New Roman" w:eastAsia="Times New Roman" w:hAnsi="Times New Roman" w:cs="Times New Roman"/>
          <w:sz w:val="24"/>
          <w:szCs w:val="24"/>
        </w:rPr>
        <w:t>on to set three-tier rates for electric residential customers.  As NWEC explained in its initial post-hearing brief, NWEC requests that the Commission convene a technical conference so that the parties can discuss how best to design a three-tier rate and how to collect the data necessary to do so.</w:t>
      </w:r>
      <w:r w:rsidR="00F61774" w:rsidRPr="00EE3302">
        <w:rPr>
          <w:rStyle w:val="FootnoteReference"/>
          <w:rFonts w:ascii="Times New Roman" w:eastAsia="Times New Roman" w:hAnsi="Times New Roman" w:cs="Times New Roman"/>
          <w:sz w:val="24"/>
          <w:szCs w:val="24"/>
        </w:rPr>
        <w:footnoteReference w:id="22"/>
      </w:r>
    </w:p>
    <w:p w14:paraId="6800DFDE" w14:textId="42A8CFBF" w:rsidR="006509D1" w:rsidRPr="005775C1" w:rsidRDefault="00946D10" w:rsidP="00946D10">
      <w:pPr>
        <w:pStyle w:val="Heading2"/>
        <w:rPr>
          <w:szCs w:val="24"/>
        </w:rPr>
      </w:pPr>
      <w:bookmarkStart w:id="9" w:name="_Toc496860087"/>
      <w:r w:rsidRPr="005775C1">
        <w:rPr>
          <w:szCs w:val="24"/>
        </w:rPr>
        <w:t xml:space="preserve">public counsel’s objections to the colstrip provisions of the settlement are unfounded and threaten to recreate the </w:t>
      </w:r>
      <w:r w:rsidR="006509D1" w:rsidRPr="005775C1">
        <w:rPr>
          <w:szCs w:val="24"/>
        </w:rPr>
        <w:t xml:space="preserve">current </w:t>
      </w:r>
      <w:r w:rsidRPr="005775C1">
        <w:rPr>
          <w:szCs w:val="24"/>
        </w:rPr>
        <w:t xml:space="preserve">problems </w:t>
      </w:r>
      <w:r w:rsidR="006509D1" w:rsidRPr="005775C1">
        <w:rPr>
          <w:szCs w:val="24"/>
        </w:rPr>
        <w:t>surr</w:t>
      </w:r>
      <w:r w:rsidR="009B56C1">
        <w:rPr>
          <w:szCs w:val="24"/>
        </w:rPr>
        <w:t>ounding colstrip units 1 and 2.</w:t>
      </w:r>
      <w:bookmarkEnd w:id="9"/>
    </w:p>
    <w:p w14:paraId="74EEBCA0" w14:textId="00D8CCC8" w:rsidR="00A26B7A" w:rsidRPr="00EE3302" w:rsidRDefault="00EE3302" w:rsidP="00EE3302">
      <w:pPr>
        <w:pStyle w:val="ListParagraph"/>
        <w:numPr>
          <w:ilvl w:val="0"/>
          <w:numId w:val="19"/>
        </w:numPr>
        <w:spacing w:after="0" w:line="480" w:lineRule="auto"/>
        <w:ind w:left="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078AC">
        <w:rPr>
          <w:rFonts w:ascii="Times New Roman" w:eastAsia="Times New Roman" w:hAnsi="Times New Roman" w:cs="Times New Roman"/>
          <w:sz w:val="24"/>
          <w:szCs w:val="24"/>
        </w:rPr>
        <w:t xml:space="preserve">The </w:t>
      </w:r>
      <w:r w:rsidR="009B56C1">
        <w:rPr>
          <w:rFonts w:ascii="Times New Roman" w:eastAsia="Times New Roman" w:hAnsi="Times New Roman" w:cs="Times New Roman"/>
          <w:sz w:val="24"/>
          <w:szCs w:val="24"/>
        </w:rPr>
        <w:t xml:space="preserve">multi-party </w:t>
      </w:r>
      <w:r w:rsidR="00C078AC">
        <w:rPr>
          <w:rFonts w:ascii="Times New Roman" w:eastAsia="Times New Roman" w:hAnsi="Times New Roman" w:cs="Times New Roman"/>
          <w:sz w:val="24"/>
          <w:szCs w:val="24"/>
        </w:rPr>
        <w:t xml:space="preserve">settlement is the product of extensive negotiations between many parties with diverse interests, ranging from low-income and environmental advocates to industrial groups to Staff and the Company.  </w:t>
      </w:r>
      <w:r w:rsidR="00D7516E">
        <w:rPr>
          <w:rFonts w:ascii="Times New Roman" w:eastAsia="Times New Roman" w:hAnsi="Times New Roman" w:cs="Times New Roman"/>
          <w:sz w:val="24"/>
          <w:szCs w:val="24"/>
        </w:rPr>
        <w:t xml:space="preserve">On the Colstrip issues in particular, the parties reached common ground in a way that addresses the various, legitimate interests at stake.  </w:t>
      </w:r>
      <w:r w:rsidR="00C078AC">
        <w:rPr>
          <w:rFonts w:ascii="Times New Roman" w:eastAsia="Times New Roman" w:hAnsi="Times New Roman" w:cs="Times New Roman"/>
          <w:sz w:val="24"/>
          <w:szCs w:val="24"/>
        </w:rPr>
        <w:t xml:space="preserve">Public Counsel </w:t>
      </w:r>
      <w:r w:rsidR="00C078AC">
        <w:rPr>
          <w:rFonts w:ascii="Times New Roman" w:eastAsia="Times New Roman" w:hAnsi="Times New Roman" w:cs="Times New Roman"/>
          <w:sz w:val="24"/>
          <w:szCs w:val="24"/>
        </w:rPr>
        <w:lastRenderedPageBreak/>
        <w:t xml:space="preserve">is the only party that opposes portions of the settlement agreement.  </w:t>
      </w:r>
      <w:r w:rsidR="007B11A5" w:rsidRPr="00EE3302">
        <w:rPr>
          <w:rFonts w:ascii="Times New Roman" w:eastAsia="Times New Roman" w:hAnsi="Times New Roman" w:cs="Times New Roman"/>
          <w:sz w:val="24"/>
          <w:szCs w:val="24"/>
        </w:rPr>
        <w:t>As several parties have explained,</w:t>
      </w:r>
      <w:r w:rsidR="006509D1" w:rsidRPr="00EE3302">
        <w:rPr>
          <w:rStyle w:val="FootnoteReference"/>
          <w:rFonts w:ascii="Times New Roman" w:eastAsia="Times New Roman" w:hAnsi="Times New Roman" w:cs="Times New Roman"/>
          <w:sz w:val="24"/>
          <w:szCs w:val="24"/>
        </w:rPr>
        <w:footnoteReference w:id="23"/>
      </w:r>
      <w:r w:rsidR="007B11A5" w:rsidRPr="00EE3302">
        <w:rPr>
          <w:rFonts w:ascii="Times New Roman" w:eastAsia="Times New Roman" w:hAnsi="Times New Roman" w:cs="Times New Roman"/>
          <w:sz w:val="24"/>
          <w:szCs w:val="24"/>
        </w:rPr>
        <w:t xml:space="preserve"> t</w:t>
      </w:r>
      <w:r w:rsidR="00A26B7A" w:rsidRPr="00EE3302">
        <w:rPr>
          <w:rFonts w:ascii="Times New Roman" w:eastAsia="Times New Roman" w:hAnsi="Times New Roman" w:cs="Times New Roman"/>
          <w:sz w:val="24"/>
          <w:szCs w:val="24"/>
        </w:rPr>
        <w:t xml:space="preserve">he </w:t>
      </w:r>
      <w:r w:rsidR="00167CF9">
        <w:rPr>
          <w:rFonts w:ascii="Times New Roman" w:eastAsia="Times New Roman" w:hAnsi="Times New Roman" w:cs="Times New Roman"/>
          <w:sz w:val="24"/>
          <w:szCs w:val="24"/>
        </w:rPr>
        <w:t xml:space="preserve">current </w:t>
      </w:r>
      <w:r w:rsidR="00A26B7A" w:rsidRPr="00EE3302">
        <w:rPr>
          <w:rFonts w:ascii="Times New Roman" w:eastAsia="Times New Roman" w:hAnsi="Times New Roman" w:cs="Times New Roman"/>
          <w:sz w:val="24"/>
          <w:szCs w:val="24"/>
        </w:rPr>
        <w:t>Colstrip 1 and 2</w:t>
      </w:r>
      <w:r w:rsidR="00BC5FFB">
        <w:rPr>
          <w:rFonts w:ascii="Times New Roman" w:eastAsia="Times New Roman" w:hAnsi="Times New Roman" w:cs="Times New Roman"/>
          <w:sz w:val="24"/>
          <w:szCs w:val="24"/>
        </w:rPr>
        <w:t xml:space="preserve"> depreciation </w:t>
      </w:r>
      <w:r w:rsidR="003D3B85">
        <w:rPr>
          <w:rFonts w:ascii="Times New Roman" w:eastAsia="Times New Roman" w:hAnsi="Times New Roman" w:cs="Times New Roman"/>
          <w:sz w:val="24"/>
          <w:szCs w:val="24"/>
        </w:rPr>
        <w:t>predicament</w:t>
      </w:r>
      <w:r w:rsidR="003D3B85" w:rsidRPr="00EE3302">
        <w:rPr>
          <w:rFonts w:ascii="Times New Roman" w:eastAsia="Times New Roman" w:hAnsi="Times New Roman" w:cs="Times New Roman"/>
          <w:sz w:val="24"/>
          <w:szCs w:val="24"/>
        </w:rPr>
        <w:t xml:space="preserve"> </w:t>
      </w:r>
      <w:r w:rsidR="00A26B7A" w:rsidRPr="00EE3302">
        <w:rPr>
          <w:rFonts w:ascii="Times New Roman" w:eastAsia="Times New Roman" w:hAnsi="Times New Roman" w:cs="Times New Roman"/>
          <w:sz w:val="24"/>
          <w:szCs w:val="24"/>
        </w:rPr>
        <w:t>is a direct result of Public Counsel and Staff opposing PSE’s proposed depreciation schedule in the 2007 general rate case</w:t>
      </w:r>
      <w:r w:rsidR="00BC5FFB">
        <w:rPr>
          <w:rFonts w:ascii="Times New Roman" w:eastAsia="Times New Roman" w:hAnsi="Times New Roman" w:cs="Times New Roman"/>
          <w:sz w:val="24"/>
          <w:szCs w:val="24"/>
        </w:rPr>
        <w:t xml:space="preserve">, where </w:t>
      </w:r>
      <w:r w:rsidR="00A26B7A" w:rsidRPr="00EE3302">
        <w:rPr>
          <w:rFonts w:ascii="Times New Roman" w:eastAsia="Times New Roman" w:hAnsi="Times New Roman" w:cs="Times New Roman"/>
          <w:sz w:val="24"/>
          <w:szCs w:val="24"/>
        </w:rPr>
        <w:t xml:space="preserve">PSE proposed a schedule that would have fully depreciated Units 1 and 2 by 2022.  Had Public Counsel not opposed </w:t>
      </w:r>
      <w:r w:rsidR="007B11A5" w:rsidRPr="00EE3302">
        <w:rPr>
          <w:rFonts w:ascii="Times New Roman" w:eastAsia="Times New Roman" w:hAnsi="Times New Roman" w:cs="Times New Roman"/>
          <w:sz w:val="24"/>
          <w:szCs w:val="24"/>
        </w:rPr>
        <w:t xml:space="preserve">PSE’s </w:t>
      </w:r>
      <w:r w:rsidR="00A26B7A" w:rsidRPr="00EE3302">
        <w:rPr>
          <w:rFonts w:ascii="Times New Roman" w:eastAsia="Times New Roman" w:hAnsi="Times New Roman" w:cs="Times New Roman"/>
          <w:sz w:val="24"/>
          <w:szCs w:val="24"/>
        </w:rPr>
        <w:t xml:space="preserve">plan, </w:t>
      </w:r>
      <w:r w:rsidR="007B11A5" w:rsidRPr="00EE3302">
        <w:rPr>
          <w:rFonts w:ascii="Times New Roman" w:eastAsia="Times New Roman" w:hAnsi="Times New Roman" w:cs="Times New Roman"/>
          <w:sz w:val="24"/>
          <w:szCs w:val="24"/>
        </w:rPr>
        <w:t>the retirement of Units 1 and 2 would have aligned</w:t>
      </w:r>
      <w:r w:rsidR="006509D1" w:rsidRPr="00EE3302">
        <w:rPr>
          <w:rFonts w:ascii="Times New Roman" w:eastAsia="Times New Roman" w:hAnsi="Times New Roman" w:cs="Times New Roman"/>
          <w:sz w:val="24"/>
          <w:szCs w:val="24"/>
        </w:rPr>
        <w:t xml:space="preserve"> with the depreciation schedule</w:t>
      </w:r>
      <w:r w:rsidR="00A26B7A" w:rsidRPr="00EE3302">
        <w:rPr>
          <w:rFonts w:ascii="Times New Roman" w:eastAsia="Times New Roman" w:hAnsi="Times New Roman" w:cs="Times New Roman"/>
          <w:sz w:val="24"/>
          <w:szCs w:val="24"/>
        </w:rPr>
        <w:t>.</w:t>
      </w:r>
    </w:p>
    <w:p w14:paraId="5182D698" w14:textId="1A08464F" w:rsidR="00A26B7A" w:rsidRPr="00EE3302" w:rsidRDefault="00EE3302" w:rsidP="00EE3302">
      <w:pPr>
        <w:pStyle w:val="ListParagraph"/>
        <w:numPr>
          <w:ilvl w:val="0"/>
          <w:numId w:val="19"/>
        </w:numPr>
        <w:spacing w:after="0" w:line="480" w:lineRule="auto"/>
        <w:ind w:left="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D</w:t>
      </w:r>
      <w:r w:rsidR="00A26B7A" w:rsidRPr="00EE3302">
        <w:rPr>
          <w:rFonts w:ascii="Times New Roman" w:eastAsia="Times New Roman" w:hAnsi="Times New Roman" w:cs="Times New Roman"/>
          <w:sz w:val="24"/>
          <w:szCs w:val="24"/>
        </w:rPr>
        <w:t xml:space="preserve">espite </w:t>
      </w:r>
      <w:r w:rsidR="00BC5FFB">
        <w:rPr>
          <w:rFonts w:ascii="Times New Roman" w:eastAsia="Times New Roman" w:hAnsi="Times New Roman" w:cs="Times New Roman"/>
          <w:sz w:val="24"/>
          <w:szCs w:val="24"/>
        </w:rPr>
        <w:t xml:space="preserve">this history, </w:t>
      </w:r>
      <w:r w:rsidR="00A26B7A" w:rsidRPr="00EE3302">
        <w:rPr>
          <w:rFonts w:ascii="Times New Roman" w:eastAsia="Times New Roman" w:hAnsi="Times New Roman" w:cs="Times New Roman"/>
          <w:sz w:val="24"/>
          <w:szCs w:val="24"/>
        </w:rPr>
        <w:t xml:space="preserve">Public Counsel now opposes both the </w:t>
      </w:r>
      <w:r w:rsidR="007D5540" w:rsidRPr="00EE3302">
        <w:rPr>
          <w:rFonts w:ascii="Times New Roman" w:eastAsia="Times New Roman" w:hAnsi="Times New Roman" w:cs="Times New Roman"/>
          <w:sz w:val="24"/>
          <w:szCs w:val="24"/>
        </w:rPr>
        <w:t xml:space="preserve">annual </w:t>
      </w:r>
      <w:r w:rsidR="00A26B7A" w:rsidRPr="00EE3302">
        <w:rPr>
          <w:rFonts w:ascii="Times New Roman" w:eastAsia="Times New Roman" w:hAnsi="Times New Roman" w:cs="Times New Roman"/>
          <w:sz w:val="24"/>
          <w:szCs w:val="24"/>
        </w:rPr>
        <w:t xml:space="preserve">depreciation rates for </w:t>
      </w:r>
      <w:r w:rsidR="007D5540" w:rsidRPr="00EE3302">
        <w:rPr>
          <w:rFonts w:ascii="Times New Roman" w:eastAsia="Times New Roman" w:hAnsi="Times New Roman" w:cs="Times New Roman"/>
          <w:sz w:val="24"/>
          <w:szCs w:val="24"/>
        </w:rPr>
        <w:t xml:space="preserve">Units </w:t>
      </w:r>
      <w:r w:rsidR="00A26B7A" w:rsidRPr="00EE3302">
        <w:rPr>
          <w:rFonts w:ascii="Times New Roman" w:eastAsia="Times New Roman" w:hAnsi="Times New Roman" w:cs="Times New Roman"/>
          <w:sz w:val="24"/>
          <w:szCs w:val="24"/>
        </w:rPr>
        <w:t xml:space="preserve">1 and 2 as too high, and the depreciation schedule for </w:t>
      </w:r>
      <w:r w:rsidR="007D5540" w:rsidRPr="00EE3302">
        <w:rPr>
          <w:rFonts w:ascii="Times New Roman" w:eastAsia="Times New Roman" w:hAnsi="Times New Roman" w:cs="Times New Roman"/>
          <w:sz w:val="24"/>
          <w:szCs w:val="24"/>
        </w:rPr>
        <w:t xml:space="preserve">Units </w:t>
      </w:r>
      <w:r w:rsidR="00A26B7A" w:rsidRPr="00EE3302">
        <w:rPr>
          <w:rFonts w:ascii="Times New Roman" w:eastAsia="Times New Roman" w:hAnsi="Times New Roman" w:cs="Times New Roman"/>
          <w:sz w:val="24"/>
          <w:szCs w:val="24"/>
        </w:rPr>
        <w:t>3 and 4 as too long.</w:t>
      </w:r>
      <w:r w:rsidR="007D5540" w:rsidRPr="00EE3302">
        <w:rPr>
          <w:rStyle w:val="FootnoteReference"/>
          <w:rFonts w:ascii="Times New Roman" w:eastAsia="Times New Roman" w:hAnsi="Times New Roman" w:cs="Times New Roman"/>
          <w:sz w:val="24"/>
          <w:szCs w:val="24"/>
        </w:rPr>
        <w:footnoteReference w:id="24"/>
      </w:r>
      <w:r w:rsidR="00A26B7A" w:rsidRPr="00EE3302">
        <w:rPr>
          <w:rFonts w:ascii="Times New Roman" w:eastAsia="Times New Roman" w:hAnsi="Times New Roman" w:cs="Times New Roman"/>
          <w:sz w:val="24"/>
          <w:szCs w:val="24"/>
        </w:rPr>
        <w:t xml:space="preserve">  Public Counsel</w:t>
      </w:r>
      <w:r w:rsidR="007D5540" w:rsidRPr="00EE3302">
        <w:rPr>
          <w:rFonts w:ascii="Times New Roman" w:eastAsia="Times New Roman" w:hAnsi="Times New Roman" w:cs="Times New Roman"/>
          <w:sz w:val="24"/>
          <w:szCs w:val="24"/>
        </w:rPr>
        <w:t>’s</w:t>
      </w:r>
      <w:r w:rsidR="00A26B7A" w:rsidRPr="00EE3302">
        <w:rPr>
          <w:rFonts w:ascii="Times New Roman" w:eastAsia="Times New Roman" w:hAnsi="Times New Roman" w:cs="Times New Roman"/>
          <w:sz w:val="24"/>
          <w:szCs w:val="24"/>
        </w:rPr>
        <w:t xml:space="preserve"> </w:t>
      </w:r>
      <w:r w:rsidR="002637AC" w:rsidRPr="00EE3302">
        <w:rPr>
          <w:rFonts w:ascii="Times New Roman" w:eastAsia="Times New Roman" w:hAnsi="Times New Roman" w:cs="Times New Roman"/>
          <w:sz w:val="24"/>
          <w:szCs w:val="24"/>
        </w:rPr>
        <w:t xml:space="preserve">failure to learn from its mistakes </w:t>
      </w:r>
      <w:r w:rsidR="00A26B7A" w:rsidRPr="00EE3302">
        <w:rPr>
          <w:rFonts w:ascii="Times New Roman" w:eastAsia="Times New Roman" w:hAnsi="Times New Roman" w:cs="Times New Roman"/>
          <w:sz w:val="24"/>
          <w:szCs w:val="24"/>
        </w:rPr>
        <w:t xml:space="preserve">should not </w:t>
      </w:r>
      <w:r w:rsidR="007D5540" w:rsidRPr="00EE3302">
        <w:rPr>
          <w:rFonts w:ascii="Times New Roman" w:eastAsia="Times New Roman" w:hAnsi="Times New Roman" w:cs="Times New Roman"/>
          <w:sz w:val="24"/>
          <w:szCs w:val="24"/>
        </w:rPr>
        <w:t xml:space="preserve">lead </w:t>
      </w:r>
      <w:r w:rsidR="002637AC" w:rsidRPr="00EE3302">
        <w:rPr>
          <w:rFonts w:ascii="Times New Roman" w:eastAsia="Times New Roman" w:hAnsi="Times New Roman" w:cs="Times New Roman"/>
          <w:sz w:val="24"/>
          <w:szCs w:val="24"/>
        </w:rPr>
        <w:t xml:space="preserve">the Commission </w:t>
      </w:r>
      <w:r w:rsidR="00A26B7A" w:rsidRPr="00EE3302">
        <w:rPr>
          <w:rFonts w:ascii="Times New Roman" w:eastAsia="Times New Roman" w:hAnsi="Times New Roman" w:cs="Times New Roman"/>
          <w:sz w:val="24"/>
          <w:szCs w:val="24"/>
        </w:rPr>
        <w:t>down the same path that has created the problems face</w:t>
      </w:r>
      <w:r w:rsidR="00BC5FFB">
        <w:rPr>
          <w:rFonts w:ascii="Times New Roman" w:eastAsia="Times New Roman" w:hAnsi="Times New Roman" w:cs="Times New Roman"/>
          <w:sz w:val="24"/>
          <w:szCs w:val="24"/>
        </w:rPr>
        <w:t>d</w:t>
      </w:r>
      <w:r w:rsidR="00A26B7A" w:rsidRPr="00EE3302">
        <w:rPr>
          <w:rFonts w:ascii="Times New Roman" w:eastAsia="Times New Roman" w:hAnsi="Times New Roman" w:cs="Times New Roman"/>
          <w:sz w:val="24"/>
          <w:szCs w:val="24"/>
        </w:rPr>
        <w:t xml:space="preserve"> today </w:t>
      </w:r>
      <w:r w:rsidR="00BC5FFB">
        <w:rPr>
          <w:rFonts w:ascii="Times New Roman" w:eastAsia="Times New Roman" w:hAnsi="Times New Roman" w:cs="Times New Roman"/>
          <w:sz w:val="24"/>
          <w:szCs w:val="24"/>
        </w:rPr>
        <w:t>for</w:t>
      </w:r>
      <w:r w:rsidR="00BC5FFB" w:rsidRPr="00EE3302">
        <w:rPr>
          <w:rFonts w:ascii="Times New Roman" w:eastAsia="Times New Roman" w:hAnsi="Times New Roman" w:cs="Times New Roman"/>
          <w:sz w:val="24"/>
          <w:szCs w:val="24"/>
        </w:rPr>
        <w:t xml:space="preserve"> </w:t>
      </w:r>
      <w:r w:rsidR="00A26B7A" w:rsidRPr="00EE3302">
        <w:rPr>
          <w:rFonts w:ascii="Times New Roman" w:eastAsia="Times New Roman" w:hAnsi="Times New Roman" w:cs="Times New Roman"/>
          <w:sz w:val="24"/>
          <w:szCs w:val="24"/>
        </w:rPr>
        <w:t>Units 1 and 2.</w:t>
      </w:r>
    </w:p>
    <w:p w14:paraId="44FA5D16" w14:textId="38282915" w:rsidR="00147283" w:rsidRPr="00EE3302" w:rsidRDefault="00147283" w:rsidP="00EA16EC">
      <w:pPr>
        <w:pStyle w:val="Heading3"/>
      </w:pPr>
      <w:bookmarkStart w:id="10" w:name="_Toc496860088"/>
      <w:r w:rsidRPr="00EE3302">
        <w:t xml:space="preserve">Public Counsel’s Proposed Depreciation Schedule for Colstrip Units 3 and 4 </w:t>
      </w:r>
      <w:r w:rsidR="00B17060">
        <w:t>I</w:t>
      </w:r>
      <w:r w:rsidR="008A1F1D" w:rsidRPr="00EE3302">
        <w:t xml:space="preserve">s </w:t>
      </w:r>
      <w:r w:rsidR="00B17060">
        <w:t>Without Foundation</w:t>
      </w:r>
      <w:r w:rsidR="008A1F1D" w:rsidRPr="00EE3302">
        <w:t xml:space="preserve"> and </w:t>
      </w:r>
      <w:r w:rsidR="00511E99">
        <w:t xml:space="preserve">Risks Recreating </w:t>
      </w:r>
      <w:r w:rsidR="008A1F1D" w:rsidRPr="00EE3302">
        <w:t xml:space="preserve">the Problems </w:t>
      </w:r>
      <w:r w:rsidR="004F4CC1" w:rsidRPr="00EE3302">
        <w:t xml:space="preserve">Faced by </w:t>
      </w:r>
      <w:r w:rsidR="008A1F1D" w:rsidRPr="00EE3302">
        <w:t>Units 1 and 2.</w:t>
      </w:r>
      <w:bookmarkEnd w:id="10"/>
    </w:p>
    <w:p w14:paraId="157A2AB2" w14:textId="28723EB9" w:rsidR="00B47380" w:rsidRPr="000001C3" w:rsidRDefault="00EA16EC" w:rsidP="00FB0D60">
      <w:pPr>
        <w:pStyle w:val="ListParagraph"/>
        <w:numPr>
          <w:ilvl w:val="0"/>
          <w:numId w:val="19"/>
        </w:numPr>
        <w:spacing w:after="0" w:line="480" w:lineRule="auto"/>
        <w:ind w:left="0" w:hanging="720"/>
        <w:contextualSpacing w:val="0"/>
        <w:rPr>
          <w:rFonts w:ascii="Times New Roman" w:eastAsia="Times New Roman" w:hAnsi="Times New Roman" w:cs="Times New Roman"/>
          <w:sz w:val="24"/>
          <w:szCs w:val="24"/>
        </w:rPr>
      </w:pPr>
      <w:r w:rsidRPr="000001C3">
        <w:rPr>
          <w:rFonts w:ascii="Times New Roman" w:eastAsia="Times New Roman" w:hAnsi="Times New Roman" w:cs="Times New Roman"/>
          <w:sz w:val="24"/>
          <w:szCs w:val="24"/>
        </w:rPr>
        <w:tab/>
        <w:t>S</w:t>
      </w:r>
      <w:r w:rsidR="006A4D1F" w:rsidRPr="000001C3">
        <w:rPr>
          <w:rFonts w:ascii="Times New Roman" w:eastAsia="Times New Roman" w:hAnsi="Times New Roman" w:cs="Times New Roman"/>
          <w:sz w:val="24"/>
          <w:szCs w:val="24"/>
        </w:rPr>
        <w:t xml:space="preserve">everal parties submitted evidence from economists and regulatory experts showing that </w:t>
      </w:r>
      <w:r w:rsidR="000001C3" w:rsidRPr="000001C3">
        <w:rPr>
          <w:rFonts w:ascii="Times New Roman" w:eastAsia="Times New Roman" w:hAnsi="Times New Roman" w:cs="Times New Roman"/>
          <w:sz w:val="24"/>
          <w:szCs w:val="24"/>
        </w:rPr>
        <w:t xml:space="preserve">the depreciation dates for </w:t>
      </w:r>
      <w:r w:rsidR="006A4D1F" w:rsidRPr="000001C3">
        <w:rPr>
          <w:rFonts w:ascii="Times New Roman" w:eastAsia="Times New Roman" w:hAnsi="Times New Roman" w:cs="Times New Roman"/>
          <w:sz w:val="24"/>
          <w:szCs w:val="24"/>
        </w:rPr>
        <w:t xml:space="preserve">Colstrip Units 3 and 4 </w:t>
      </w:r>
      <w:r w:rsidR="000001C3" w:rsidRPr="000001C3">
        <w:rPr>
          <w:rFonts w:ascii="Times New Roman" w:eastAsia="Times New Roman" w:hAnsi="Times New Roman" w:cs="Times New Roman"/>
          <w:sz w:val="24"/>
          <w:szCs w:val="24"/>
        </w:rPr>
        <w:t xml:space="preserve">should be earlier than </w:t>
      </w:r>
      <w:r w:rsidR="006A4D1F" w:rsidRPr="000001C3">
        <w:rPr>
          <w:rFonts w:ascii="Times New Roman" w:eastAsia="Times New Roman" w:hAnsi="Times New Roman" w:cs="Times New Roman"/>
          <w:sz w:val="24"/>
          <w:szCs w:val="24"/>
        </w:rPr>
        <w:t xml:space="preserve">2030 </w:t>
      </w:r>
      <w:r w:rsidR="004F4CC1" w:rsidRPr="000001C3">
        <w:rPr>
          <w:rFonts w:ascii="Times New Roman" w:eastAsia="Times New Roman" w:hAnsi="Times New Roman" w:cs="Times New Roman"/>
          <w:sz w:val="24"/>
          <w:szCs w:val="24"/>
        </w:rPr>
        <w:t xml:space="preserve">due to a combination of </w:t>
      </w:r>
      <w:r w:rsidR="006A4D1F" w:rsidRPr="000001C3">
        <w:rPr>
          <w:rFonts w:ascii="Times New Roman" w:eastAsia="Times New Roman" w:hAnsi="Times New Roman" w:cs="Times New Roman"/>
          <w:sz w:val="24"/>
          <w:szCs w:val="24"/>
        </w:rPr>
        <w:t>lower-cost natural gas and rene</w:t>
      </w:r>
      <w:r w:rsidR="00083CFD" w:rsidRPr="000001C3">
        <w:rPr>
          <w:rFonts w:ascii="Times New Roman" w:eastAsia="Times New Roman" w:hAnsi="Times New Roman" w:cs="Times New Roman"/>
          <w:sz w:val="24"/>
          <w:szCs w:val="24"/>
        </w:rPr>
        <w:t>w</w:t>
      </w:r>
      <w:r w:rsidR="006A4D1F" w:rsidRPr="000001C3">
        <w:rPr>
          <w:rFonts w:ascii="Times New Roman" w:eastAsia="Times New Roman" w:hAnsi="Times New Roman" w:cs="Times New Roman"/>
          <w:sz w:val="24"/>
          <w:szCs w:val="24"/>
        </w:rPr>
        <w:t>ables and environmental rules.</w:t>
      </w:r>
      <w:r w:rsidR="004F4CC1" w:rsidRPr="00EE3302">
        <w:rPr>
          <w:rStyle w:val="FootnoteReference"/>
          <w:rFonts w:ascii="Times New Roman" w:eastAsia="Times New Roman" w:hAnsi="Times New Roman" w:cs="Times New Roman"/>
          <w:sz w:val="24"/>
          <w:szCs w:val="24"/>
        </w:rPr>
        <w:footnoteReference w:id="25"/>
      </w:r>
      <w:r w:rsidR="006A4D1F" w:rsidRPr="000001C3">
        <w:rPr>
          <w:rFonts w:ascii="Times New Roman" w:eastAsia="Times New Roman" w:hAnsi="Times New Roman" w:cs="Times New Roman"/>
          <w:sz w:val="24"/>
          <w:szCs w:val="24"/>
        </w:rPr>
        <w:t xml:space="preserve">  </w:t>
      </w:r>
      <w:r w:rsidR="002E4D70" w:rsidRPr="000001C3">
        <w:rPr>
          <w:rFonts w:ascii="Times New Roman" w:eastAsia="Times New Roman" w:hAnsi="Times New Roman" w:cs="Times New Roman"/>
          <w:sz w:val="24"/>
          <w:szCs w:val="24"/>
        </w:rPr>
        <w:t>In her testimony concer</w:t>
      </w:r>
      <w:r w:rsidR="00083CFD" w:rsidRPr="000001C3">
        <w:rPr>
          <w:rFonts w:ascii="Times New Roman" w:eastAsia="Times New Roman" w:hAnsi="Times New Roman" w:cs="Times New Roman"/>
          <w:sz w:val="24"/>
          <w:szCs w:val="24"/>
        </w:rPr>
        <w:t>n</w:t>
      </w:r>
      <w:r w:rsidR="002E4D70" w:rsidRPr="000001C3">
        <w:rPr>
          <w:rFonts w:ascii="Times New Roman" w:eastAsia="Times New Roman" w:hAnsi="Times New Roman" w:cs="Times New Roman"/>
          <w:sz w:val="24"/>
          <w:szCs w:val="24"/>
        </w:rPr>
        <w:t xml:space="preserve">ing the settlement, </w:t>
      </w:r>
      <w:r w:rsidR="000001C3" w:rsidRPr="000001C3">
        <w:rPr>
          <w:rFonts w:ascii="Times New Roman" w:eastAsia="Times New Roman" w:hAnsi="Times New Roman" w:cs="Times New Roman"/>
          <w:sz w:val="24"/>
          <w:szCs w:val="24"/>
        </w:rPr>
        <w:t xml:space="preserve">Public Counsel witness </w:t>
      </w:r>
      <w:r w:rsidR="002E4D70" w:rsidRPr="000001C3">
        <w:rPr>
          <w:rFonts w:ascii="Times New Roman" w:eastAsia="Times New Roman" w:hAnsi="Times New Roman" w:cs="Times New Roman"/>
          <w:sz w:val="24"/>
          <w:szCs w:val="24"/>
        </w:rPr>
        <w:t>Ms.</w:t>
      </w:r>
      <w:r w:rsidR="000001C3" w:rsidRPr="000001C3">
        <w:rPr>
          <w:rFonts w:ascii="Times New Roman" w:eastAsia="Times New Roman" w:hAnsi="Times New Roman" w:cs="Times New Roman"/>
          <w:sz w:val="24"/>
          <w:szCs w:val="24"/>
        </w:rPr>
        <w:t xml:space="preserve"> Roxie</w:t>
      </w:r>
      <w:r w:rsidR="002E4D70" w:rsidRPr="000001C3">
        <w:rPr>
          <w:rFonts w:ascii="Times New Roman" w:eastAsia="Times New Roman" w:hAnsi="Times New Roman" w:cs="Times New Roman"/>
          <w:sz w:val="24"/>
          <w:szCs w:val="24"/>
        </w:rPr>
        <w:t xml:space="preserve"> </w:t>
      </w:r>
      <w:r w:rsidR="00B46D19" w:rsidRPr="000001C3">
        <w:rPr>
          <w:rFonts w:ascii="Times New Roman" w:eastAsia="Times New Roman" w:hAnsi="Times New Roman" w:cs="Times New Roman"/>
          <w:sz w:val="24"/>
          <w:szCs w:val="24"/>
        </w:rPr>
        <w:t>McCullar</w:t>
      </w:r>
      <w:r w:rsidR="002E4D70" w:rsidRPr="000001C3">
        <w:rPr>
          <w:rFonts w:ascii="Times New Roman" w:eastAsia="Times New Roman" w:hAnsi="Times New Roman" w:cs="Times New Roman"/>
          <w:sz w:val="24"/>
          <w:szCs w:val="24"/>
        </w:rPr>
        <w:t xml:space="preserve"> ignores </w:t>
      </w:r>
      <w:r w:rsidR="006A4D1F" w:rsidRPr="000001C3">
        <w:rPr>
          <w:rFonts w:ascii="Times New Roman" w:eastAsia="Times New Roman" w:hAnsi="Times New Roman" w:cs="Times New Roman"/>
          <w:sz w:val="24"/>
          <w:szCs w:val="24"/>
        </w:rPr>
        <w:t>this evidence</w:t>
      </w:r>
      <w:r w:rsidR="00D93AB3" w:rsidRPr="000001C3">
        <w:rPr>
          <w:rFonts w:ascii="Times New Roman" w:eastAsia="Times New Roman" w:hAnsi="Times New Roman" w:cs="Times New Roman"/>
          <w:sz w:val="24"/>
          <w:szCs w:val="24"/>
        </w:rPr>
        <w:t xml:space="preserve">.  </w:t>
      </w:r>
      <w:r w:rsidR="006A4D1F" w:rsidRPr="000001C3">
        <w:rPr>
          <w:rFonts w:ascii="Times New Roman" w:eastAsia="Times New Roman" w:hAnsi="Times New Roman" w:cs="Times New Roman"/>
          <w:sz w:val="24"/>
          <w:szCs w:val="24"/>
        </w:rPr>
        <w:t xml:space="preserve">Ms. </w:t>
      </w:r>
      <w:r w:rsidR="00B46D19" w:rsidRPr="000001C3">
        <w:rPr>
          <w:rFonts w:ascii="Times New Roman" w:eastAsia="Times New Roman" w:hAnsi="Times New Roman" w:cs="Times New Roman"/>
          <w:sz w:val="24"/>
          <w:szCs w:val="24"/>
        </w:rPr>
        <w:t>McCullar</w:t>
      </w:r>
      <w:r w:rsidR="006A4D1F" w:rsidRPr="000001C3">
        <w:rPr>
          <w:rFonts w:ascii="Times New Roman" w:eastAsia="Times New Roman" w:hAnsi="Times New Roman" w:cs="Times New Roman"/>
          <w:sz w:val="24"/>
          <w:szCs w:val="24"/>
        </w:rPr>
        <w:t xml:space="preserve"> simply reviews the </w:t>
      </w:r>
      <w:r w:rsidR="00737AAA" w:rsidRPr="000001C3">
        <w:rPr>
          <w:rFonts w:ascii="Times New Roman" w:eastAsia="Times New Roman" w:hAnsi="Times New Roman" w:cs="Times New Roman"/>
          <w:sz w:val="24"/>
          <w:szCs w:val="24"/>
        </w:rPr>
        <w:t>parties’ proposed depreciation dates</w:t>
      </w:r>
      <w:r w:rsidR="00083CFD" w:rsidRPr="000001C3">
        <w:rPr>
          <w:rFonts w:ascii="Times New Roman" w:eastAsia="Times New Roman" w:hAnsi="Times New Roman" w:cs="Times New Roman"/>
          <w:sz w:val="24"/>
          <w:szCs w:val="24"/>
        </w:rPr>
        <w:t xml:space="preserve"> in the </w:t>
      </w:r>
      <w:r w:rsidR="00D5349E" w:rsidRPr="000001C3">
        <w:rPr>
          <w:rFonts w:ascii="Times New Roman" w:eastAsia="Times New Roman" w:hAnsi="Times New Roman" w:cs="Times New Roman"/>
          <w:sz w:val="24"/>
          <w:szCs w:val="24"/>
        </w:rPr>
        <w:t xml:space="preserve">testimony filed </w:t>
      </w:r>
      <w:r w:rsidR="00083CFD" w:rsidRPr="000001C3">
        <w:rPr>
          <w:rFonts w:ascii="Times New Roman" w:eastAsia="Times New Roman" w:hAnsi="Times New Roman" w:cs="Times New Roman"/>
          <w:sz w:val="24"/>
          <w:szCs w:val="24"/>
        </w:rPr>
        <w:t>pre-settlement</w:t>
      </w:r>
      <w:r w:rsidR="00737AAA" w:rsidRPr="000001C3">
        <w:rPr>
          <w:rFonts w:ascii="Times New Roman" w:eastAsia="Times New Roman" w:hAnsi="Times New Roman" w:cs="Times New Roman"/>
          <w:sz w:val="24"/>
          <w:szCs w:val="24"/>
        </w:rPr>
        <w:t xml:space="preserve">, spanning </w:t>
      </w:r>
      <w:r w:rsidR="000001C3">
        <w:rPr>
          <w:rFonts w:ascii="Times New Roman" w:eastAsia="Times New Roman" w:hAnsi="Times New Roman" w:cs="Times New Roman"/>
          <w:sz w:val="24"/>
          <w:szCs w:val="24"/>
        </w:rPr>
        <w:t xml:space="preserve">the years </w:t>
      </w:r>
      <w:r w:rsidR="00737AAA" w:rsidRPr="000001C3">
        <w:rPr>
          <w:rFonts w:ascii="Times New Roman" w:eastAsia="Times New Roman" w:hAnsi="Times New Roman" w:cs="Times New Roman"/>
          <w:sz w:val="24"/>
          <w:szCs w:val="24"/>
        </w:rPr>
        <w:t xml:space="preserve">from </w:t>
      </w:r>
      <w:r w:rsidR="006A4D1F" w:rsidRPr="000001C3">
        <w:rPr>
          <w:rFonts w:ascii="Times New Roman" w:eastAsia="Times New Roman" w:hAnsi="Times New Roman" w:cs="Times New Roman"/>
          <w:sz w:val="24"/>
          <w:szCs w:val="24"/>
        </w:rPr>
        <w:t>202</w:t>
      </w:r>
      <w:r w:rsidR="008D1293" w:rsidRPr="000001C3">
        <w:rPr>
          <w:rFonts w:ascii="Times New Roman" w:eastAsia="Times New Roman" w:hAnsi="Times New Roman" w:cs="Times New Roman"/>
          <w:sz w:val="24"/>
          <w:szCs w:val="24"/>
        </w:rPr>
        <w:t>4</w:t>
      </w:r>
      <w:r w:rsidR="006A4D1F" w:rsidRPr="000001C3">
        <w:rPr>
          <w:rFonts w:ascii="Times New Roman" w:eastAsia="Times New Roman" w:hAnsi="Times New Roman" w:cs="Times New Roman"/>
          <w:sz w:val="24"/>
          <w:szCs w:val="24"/>
        </w:rPr>
        <w:t xml:space="preserve"> to 2035, and concludes that the 2027 date in the settlement fall</w:t>
      </w:r>
      <w:r w:rsidR="00737AAA" w:rsidRPr="000001C3">
        <w:rPr>
          <w:rFonts w:ascii="Times New Roman" w:eastAsia="Times New Roman" w:hAnsi="Times New Roman" w:cs="Times New Roman"/>
          <w:sz w:val="24"/>
          <w:szCs w:val="24"/>
        </w:rPr>
        <w:t>s</w:t>
      </w:r>
      <w:r w:rsidR="006A4D1F" w:rsidRPr="000001C3">
        <w:rPr>
          <w:rFonts w:ascii="Times New Roman" w:eastAsia="Times New Roman" w:hAnsi="Times New Roman" w:cs="Times New Roman"/>
          <w:sz w:val="24"/>
          <w:szCs w:val="24"/>
        </w:rPr>
        <w:t xml:space="preserve"> on the early end of that range.</w:t>
      </w:r>
      <w:r w:rsidR="00747631" w:rsidRPr="00EE3302">
        <w:rPr>
          <w:rStyle w:val="FootnoteReference"/>
          <w:rFonts w:ascii="Times New Roman" w:eastAsia="Times New Roman" w:hAnsi="Times New Roman" w:cs="Times New Roman"/>
          <w:sz w:val="24"/>
          <w:szCs w:val="24"/>
        </w:rPr>
        <w:footnoteReference w:id="26"/>
      </w:r>
      <w:r w:rsidR="006A4D1F" w:rsidRPr="000001C3">
        <w:rPr>
          <w:rFonts w:ascii="Times New Roman" w:eastAsia="Times New Roman" w:hAnsi="Times New Roman" w:cs="Times New Roman"/>
          <w:sz w:val="24"/>
          <w:szCs w:val="24"/>
        </w:rPr>
        <w:t xml:space="preserve">  Ms. </w:t>
      </w:r>
      <w:r w:rsidR="00B46D19" w:rsidRPr="000001C3">
        <w:rPr>
          <w:rFonts w:ascii="Times New Roman" w:eastAsia="Times New Roman" w:hAnsi="Times New Roman" w:cs="Times New Roman"/>
          <w:sz w:val="24"/>
          <w:szCs w:val="24"/>
        </w:rPr>
        <w:t>McCullar</w:t>
      </w:r>
      <w:r w:rsidR="006A4D1F" w:rsidRPr="000001C3">
        <w:rPr>
          <w:rFonts w:ascii="Times New Roman" w:eastAsia="Times New Roman" w:hAnsi="Times New Roman" w:cs="Times New Roman"/>
          <w:sz w:val="24"/>
          <w:szCs w:val="24"/>
        </w:rPr>
        <w:t xml:space="preserve">’s “methodology” </w:t>
      </w:r>
      <w:r w:rsidR="00DC1014" w:rsidRPr="000001C3">
        <w:rPr>
          <w:rFonts w:ascii="Times New Roman" w:eastAsia="Times New Roman" w:hAnsi="Times New Roman" w:cs="Times New Roman"/>
          <w:sz w:val="24"/>
          <w:szCs w:val="24"/>
        </w:rPr>
        <w:t xml:space="preserve">to support </w:t>
      </w:r>
      <w:r w:rsidR="000001C3">
        <w:rPr>
          <w:rFonts w:ascii="Times New Roman" w:eastAsia="Times New Roman" w:hAnsi="Times New Roman" w:cs="Times New Roman"/>
          <w:sz w:val="24"/>
          <w:szCs w:val="24"/>
        </w:rPr>
        <w:t xml:space="preserve">a </w:t>
      </w:r>
      <w:r w:rsidR="00DC1014" w:rsidRPr="000001C3">
        <w:rPr>
          <w:rFonts w:ascii="Times New Roman" w:eastAsia="Times New Roman" w:hAnsi="Times New Roman" w:cs="Times New Roman"/>
          <w:sz w:val="24"/>
          <w:szCs w:val="24"/>
        </w:rPr>
        <w:t>2030</w:t>
      </w:r>
      <w:r w:rsidR="000001C3">
        <w:rPr>
          <w:rFonts w:ascii="Times New Roman" w:eastAsia="Times New Roman" w:hAnsi="Times New Roman" w:cs="Times New Roman"/>
          <w:sz w:val="24"/>
          <w:szCs w:val="24"/>
        </w:rPr>
        <w:t xml:space="preserve"> depreciation date</w:t>
      </w:r>
      <w:r w:rsidR="00DC1014" w:rsidRPr="000001C3">
        <w:rPr>
          <w:rFonts w:ascii="Times New Roman" w:eastAsia="Times New Roman" w:hAnsi="Times New Roman" w:cs="Times New Roman"/>
          <w:sz w:val="24"/>
          <w:szCs w:val="24"/>
        </w:rPr>
        <w:t xml:space="preserve"> </w:t>
      </w:r>
      <w:r w:rsidR="006A4D1F" w:rsidRPr="000001C3">
        <w:rPr>
          <w:rFonts w:ascii="Times New Roman" w:eastAsia="Times New Roman" w:hAnsi="Times New Roman" w:cs="Times New Roman"/>
          <w:sz w:val="24"/>
          <w:szCs w:val="24"/>
        </w:rPr>
        <w:t xml:space="preserve">is </w:t>
      </w:r>
      <w:r w:rsidR="000001C3">
        <w:rPr>
          <w:rFonts w:ascii="Times New Roman" w:eastAsia="Times New Roman" w:hAnsi="Times New Roman" w:cs="Times New Roman"/>
          <w:sz w:val="24"/>
          <w:szCs w:val="24"/>
        </w:rPr>
        <w:t xml:space="preserve">no methodology at all: </w:t>
      </w:r>
      <w:r w:rsidR="006A4D1F" w:rsidRPr="000001C3">
        <w:rPr>
          <w:rFonts w:ascii="Times New Roman" w:eastAsia="Times New Roman" w:hAnsi="Times New Roman" w:cs="Times New Roman"/>
          <w:sz w:val="24"/>
          <w:szCs w:val="24"/>
        </w:rPr>
        <w:t xml:space="preserve">depreciation dates should not be </w:t>
      </w:r>
      <w:r w:rsidR="006A4D1F" w:rsidRPr="000001C3">
        <w:rPr>
          <w:rFonts w:ascii="Times New Roman" w:eastAsia="Times New Roman" w:hAnsi="Times New Roman" w:cs="Times New Roman"/>
          <w:sz w:val="24"/>
          <w:szCs w:val="24"/>
        </w:rPr>
        <w:lastRenderedPageBreak/>
        <w:t xml:space="preserve">picked by </w:t>
      </w:r>
      <w:r w:rsidR="00747631" w:rsidRPr="000001C3">
        <w:rPr>
          <w:rFonts w:ascii="Times New Roman" w:eastAsia="Times New Roman" w:hAnsi="Times New Roman" w:cs="Times New Roman"/>
          <w:sz w:val="24"/>
          <w:szCs w:val="24"/>
        </w:rPr>
        <w:t xml:space="preserve">simply </w:t>
      </w:r>
      <w:r w:rsidR="006A4D1F" w:rsidRPr="000001C3">
        <w:rPr>
          <w:rFonts w:ascii="Times New Roman" w:eastAsia="Times New Roman" w:hAnsi="Times New Roman" w:cs="Times New Roman"/>
          <w:sz w:val="24"/>
          <w:szCs w:val="24"/>
        </w:rPr>
        <w:t xml:space="preserve">averaging the </w:t>
      </w:r>
      <w:r w:rsidR="00A0700D" w:rsidRPr="000001C3">
        <w:rPr>
          <w:rFonts w:ascii="Times New Roman" w:eastAsia="Times New Roman" w:hAnsi="Times New Roman" w:cs="Times New Roman"/>
          <w:sz w:val="24"/>
          <w:szCs w:val="24"/>
        </w:rPr>
        <w:t xml:space="preserve">dates </w:t>
      </w:r>
      <w:r w:rsidR="006A4D1F" w:rsidRPr="000001C3">
        <w:rPr>
          <w:rFonts w:ascii="Times New Roman" w:eastAsia="Times New Roman" w:hAnsi="Times New Roman" w:cs="Times New Roman"/>
          <w:sz w:val="24"/>
          <w:szCs w:val="24"/>
        </w:rPr>
        <w:t xml:space="preserve">that parties have </w:t>
      </w:r>
      <w:r w:rsidR="00A0700D" w:rsidRPr="000001C3">
        <w:rPr>
          <w:rFonts w:ascii="Times New Roman" w:eastAsia="Times New Roman" w:hAnsi="Times New Roman" w:cs="Times New Roman"/>
          <w:sz w:val="24"/>
          <w:szCs w:val="24"/>
        </w:rPr>
        <w:t>proposed</w:t>
      </w:r>
      <w:r w:rsidR="006A4D1F" w:rsidRPr="000001C3">
        <w:rPr>
          <w:rFonts w:ascii="Times New Roman" w:eastAsia="Times New Roman" w:hAnsi="Times New Roman" w:cs="Times New Roman"/>
          <w:sz w:val="24"/>
          <w:szCs w:val="24"/>
        </w:rPr>
        <w:t xml:space="preserve">.  Depreciation schedules </w:t>
      </w:r>
      <w:r w:rsidR="00A0700D" w:rsidRPr="000001C3">
        <w:rPr>
          <w:rFonts w:ascii="Times New Roman" w:eastAsia="Times New Roman" w:hAnsi="Times New Roman" w:cs="Times New Roman"/>
          <w:sz w:val="24"/>
          <w:szCs w:val="24"/>
        </w:rPr>
        <w:t xml:space="preserve">must </w:t>
      </w:r>
      <w:r w:rsidR="006A4D1F" w:rsidRPr="000001C3">
        <w:rPr>
          <w:rFonts w:ascii="Times New Roman" w:eastAsia="Times New Roman" w:hAnsi="Times New Roman" w:cs="Times New Roman"/>
          <w:sz w:val="24"/>
          <w:szCs w:val="24"/>
        </w:rPr>
        <w:t>be based on evidence and sound argument.</w:t>
      </w:r>
      <w:r w:rsidR="00CC6462" w:rsidRPr="000001C3">
        <w:rPr>
          <w:rFonts w:ascii="Times New Roman" w:eastAsia="Times New Roman" w:hAnsi="Times New Roman" w:cs="Times New Roman"/>
          <w:sz w:val="24"/>
          <w:szCs w:val="24"/>
        </w:rPr>
        <w:t xml:space="preserve"> </w:t>
      </w:r>
      <w:r w:rsidR="006E78D1" w:rsidRPr="000001C3">
        <w:rPr>
          <w:rFonts w:ascii="Times New Roman" w:eastAsia="Times New Roman" w:hAnsi="Times New Roman" w:cs="Times New Roman"/>
          <w:sz w:val="24"/>
          <w:szCs w:val="24"/>
        </w:rPr>
        <w:t xml:space="preserve"> As explained by</w:t>
      </w:r>
      <w:r w:rsidR="007C3AF5" w:rsidRPr="000001C3">
        <w:rPr>
          <w:rFonts w:ascii="Times New Roman" w:eastAsia="Times New Roman" w:hAnsi="Times New Roman" w:cs="Times New Roman"/>
          <w:sz w:val="24"/>
          <w:szCs w:val="24"/>
        </w:rPr>
        <w:t xml:space="preserve"> </w:t>
      </w:r>
      <w:r w:rsidR="000C046F" w:rsidRPr="000001C3">
        <w:rPr>
          <w:rFonts w:ascii="Times New Roman" w:eastAsia="Times New Roman" w:hAnsi="Times New Roman" w:cs="Times New Roman"/>
          <w:sz w:val="24"/>
          <w:szCs w:val="24"/>
        </w:rPr>
        <w:t>several witnesses,</w:t>
      </w:r>
      <w:r w:rsidR="006E78D1" w:rsidRPr="000001C3">
        <w:rPr>
          <w:rFonts w:ascii="Times New Roman" w:eastAsia="Times New Roman" w:hAnsi="Times New Roman" w:cs="Times New Roman"/>
          <w:sz w:val="24"/>
          <w:szCs w:val="24"/>
        </w:rPr>
        <w:t xml:space="preserve"> </w:t>
      </w:r>
      <w:r w:rsidR="004943C1" w:rsidRPr="000001C3">
        <w:rPr>
          <w:rFonts w:ascii="Times New Roman" w:eastAsia="Times New Roman" w:hAnsi="Times New Roman" w:cs="Times New Roman"/>
          <w:sz w:val="24"/>
          <w:szCs w:val="24"/>
        </w:rPr>
        <w:t xml:space="preserve">a schedule that fully depreciates Colstrip Units 3 and 4 before 2030 is in </w:t>
      </w:r>
      <w:r w:rsidR="000001C3">
        <w:rPr>
          <w:rFonts w:ascii="Times New Roman" w:eastAsia="Times New Roman" w:hAnsi="Times New Roman" w:cs="Times New Roman"/>
          <w:sz w:val="24"/>
          <w:szCs w:val="24"/>
        </w:rPr>
        <w:t xml:space="preserve">the </w:t>
      </w:r>
      <w:r w:rsidR="004943C1" w:rsidRPr="000001C3">
        <w:rPr>
          <w:rFonts w:ascii="Times New Roman" w:eastAsia="Times New Roman" w:hAnsi="Times New Roman" w:cs="Times New Roman"/>
          <w:sz w:val="24"/>
          <w:szCs w:val="24"/>
        </w:rPr>
        <w:t>customers’ best interests</w:t>
      </w:r>
      <w:r w:rsidR="000001C3">
        <w:rPr>
          <w:rFonts w:ascii="Times New Roman" w:eastAsia="Times New Roman" w:hAnsi="Times New Roman" w:cs="Times New Roman"/>
          <w:sz w:val="24"/>
          <w:szCs w:val="24"/>
        </w:rPr>
        <w:t>.</w:t>
      </w:r>
      <w:r w:rsidR="000C046F">
        <w:rPr>
          <w:rStyle w:val="FootnoteReference"/>
          <w:rFonts w:ascii="Times New Roman" w:eastAsia="Times New Roman" w:hAnsi="Times New Roman" w:cs="Times New Roman"/>
          <w:sz w:val="24"/>
          <w:szCs w:val="24"/>
        </w:rPr>
        <w:footnoteReference w:id="27"/>
      </w:r>
      <w:r w:rsidRPr="000001C3">
        <w:rPr>
          <w:rFonts w:ascii="Times New Roman" w:eastAsia="Times New Roman" w:hAnsi="Times New Roman" w:cs="Times New Roman"/>
          <w:sz w:val="24"/>
          <w:szCs w:val="24"/>
        </w:rPr>
        <w:t xml:space="preserve">  T</w:t>
      </w:r>
      <w:r w:rsidR="00F9581C" w:rsidRPr="000001C3">
        <w:rPr>
          <w:rFonts w:ascii="Times New Roman" w:eastAsia="Times New Roman" w:hAnsi="Times New Roman" w:cs="Times New Roman"/>
          <w:sz w:val="24"/>
          <w:szCs w:val="24"/>
        </w:rPr>
        <w:t xml:space="preserve">he Commission should not accept Public Counsel’s invitation to </w:t>
      </w:r>
      <w:r w:rsidR="00CC6462" w:rsidRPr="000001C3">
        <w:rPr>
          <w:rFonts w:ascii="Times New Roman" w:eastAsia="Times New Roman" w:hAnsi="Times New Roman" w:cs="Times New Roman"/>
          <w:sz w:val="24"/>
          <w:szCs w:val="24"/>
        </w:rPr>
        <w:t>simply split the difference between estimated depreciation dates.</w:t>
      </w:r>
    </w:p>
    <w:p w14:paraId="4DD7A36F" w14:textId="13489C2C" w:rsidR="006A4D1F" w:rsidRPr="00EE3302" w:rsidRDefault="00EA16EC" w:rsidP="00EA16EC">
      <w:pPr>
        <w:pStyle w:val="ListParagraph"/>
        <w:numPr>
          <w:ilvl w:val="0"/>
          <w:numId w:val="19"/>
        </w:numPr>
        <w:spacing w:after="0" w:line="480" w:lineRule="auto"/>
        <w:ind w:left="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M</w:t>
      </w:r>
      <w:r w:rsidR="00B47380" w:rsidRPr="00EE3302">
        <w:rPr>
          <w:rFonts w:ascii="Times New Roman" w:eastAsia="Times New Roman" w:hAnsi="Times New Roman" w:cs="Times New Roman"/>
          <w:sz w:val="24"/>
          <w:szCs w:val="24"/>
        </w:rPr>
        <w:t xml:space="preserve">s. </w:t>
      </w:r>
      <w:r w:rsidR="00B46D19">
        <w:rPr>
          <w:rFonts w:ascii="Times New Roman" w:eastAsia="Times New Roman" w:hAnsi="Times New Roman" w:cs="Times New Roman"/>
          <w:sz w:val="24"/>
          <w:szCs w:val="24"/>
        </w:rPr>
        <w:t>McCullar</w:t>
      </w:r>
      <w:r w:rsidR="00B47380" w:rsidRPr="00EE3302">
        <w:rPr>
          <w:rFonts w:ascii="Times New Roman" w:eastAsia="Times New Roman" w:hAnsi="Times New Roman" w:cs="Times New Roman"/>
          <w:sz w:val="24"/>
          <w:szCs w:val="24"/>
        </w:rPr>
        <w:t xml:space="preserve"> </w:t>
      </w:r>
      <w:r w:rsidR="00CC6462" w:rsidRPr="00EE3302">
        <w:rPr>
          <w:rFonts w:ascii="Times New Roman" w:eastAsia="Times New Roman" w:hAnsi="Times New Roman" w:cs="Times New Roman"/>
          <w:sz w:val="24"/>
          <w:szCs w:val="24"/>
        </w:rPr>
        <w:t xml:space="preserve">also </w:t>
      </w:r>
      <w:r w:rsidR="00B47380" w:rsidRPr="00EE3302">
        <w:rPr>
          <w:rFonts w:ascii="Times New Roman" w:eastAsia="Times New Roman" w:hAnsi="Times New Roman" w:cs="Times New Roman"/>
          <w:sz w:val="24"/>
          <w:szCs w:val="24"/>
        </w:rPr>
        <w:t xml:space="preserve">suggests that setting </w:t>
      </w:r>
      <w:r w:rsidR="00745624" w:rsidRPr="00EE3302">
        <w:rPr>
          <w:rFonts w:ascii="Times New Roman" w:eastAsia="Times New Roman" w:hAnsi="Times New Roman" w:cs="Times New Roman"/>
          <w:sz w:val="24"/>
          <w:szCs w:val="24"/>
        </w:rPr>
        <w:t xml:space="preserve">a </w:t>
      </w:r>
      <w:r w:rsidR="00B47380" w:rsidRPr="00EE3302">
        <w:rPr>
          <w:rFonts w:ascii="Times New Roman" w:eastAsia="Times New Roman" w:hAnsi="Times New Roman" w:cs="Times New Roman"/>
          <w:sz w:val="24"/>
          <w:szCs w:val="24"/>
        </w:rPr>
        <w:t xml:space="preserve">depreciation </w:t>
      </w:r>
      <w:r w:rsidR="00DC1014">
        <w:rPr>
          <w:rFonts w:ascii="Times New Roman" w:eastAsia="Times New Roman" w:hAnsi="Times New Roman" w:cs="Times New Roman"/>
          <w:sz w:val="24"/>
          <w:szCs w:val="24"/>
        </w:rPr>
        <w:t xml:space="preserve">schedule </w:t>
      </w:r>
      <w:r w:rsidR="00B47380" w:rsidRPr="00EE3302">
        <w:rPr>
          <w:rFonts w:ascii="Times New Roman" w:eastAsia="Times New Roman" w:hAnsi="Times New Roman" w:cs="Times New Roman"/>
          <w:sz w:val="24"/>
          <w:szCs w:val="24"/>
        </w:rPr>
        <w:t>based on a 2027 date would be unfair to current ratepayers.</w:t>
      </w:r>
      <w:r w:rsidR="00B47380" w:rsidRPr="00EE3302">
        <w:rPr>
          <w:rStyle w:val="FootnoteReference"/>
          <w:rFonts w:ascii="Times New Roman" w:eastAsia="Times New Roman" w:hAnsi="Times New Roman" w:cs="Times New Roman"/>
          <w:sz w:val="24"/>
          <w:szCs w:val="24"/>
        </w:rPr>
        <w:footnoteReference w:id="28"/>
      </w:r>
      <w:r w:rsidR="00B47380" w:rsidRPr="00EE3302">
        <w:rPr>
          <w:rFonts w:ascii="Times New Roman" w:eastAsia="Times New Roman" w:hAnsi="Times New Roman" w:cs="Times New Roman"/>
          <w:sz w:val="24"/>
          <w:szCs w:val="24"/>
        </w:rPr>
        <w:t xml:space="preserve">  Yet </w:t>
      </w:r>
      <w:r w:rsidR="00CC6462" w:rsidRPr="00EE3302">
        <w:rPr>
          <w:rFonts w:ascii="Times New Roman" w:eastAsia="Times New Roman" w:hAnsi="Times New Roman" w:cs="Times New Roman"/>
          <w:sz w:val="24"/>
          <w:szCs w:val="24"/>
        </w:rPr>
        <w:t>she</w:t>
      </w:r>
      <w:r w:rsidR="00B47380" w:rsidRPr="00EE3302">
        <w:rPr>
          <w:rFonts w:ascii="Times New Roman" w:eastAsia="Times New Roman" w:hAnsi="Times New Roman" w:cs="Times New Roman"/>
          <w:sz w:val="24"/>
          <w:szCs w:val="24"/>
        </w:rPr>
        <w:t xml:space="preserve"> </w:t>
      </w:r>
      <w:r w:rsidR="00B17060">
        <w:rPr>
          <w:rFonts w:ascii="Times New Roman" w:eastAsia="Times New Roman" w:hAnsi="Times New Roman" w:cs="Times New Roman"/>
          <w:sz w:val="24"/>
          <w:szCs w:val="24"/>
        </w:rPr>
        <w:t>fails to address</w:t>
      </w:r>
      <w:r w:rsidR="00B47380" w:rsidRPr="00EE3302">
        <w:rPr>
          <w:rFonts w:ascii="Times New Roman" w:eastAsia="Times New Roman" w:hAnsi="Times New Roman" w:cs="Times New Roman"/>
          <w:sz w:val="24"/>
          <w:szCs w:val="24"/>
        </w:rPr>
        <w:t xml:space="preserve"> </w:t>
      </w:r>
      <w:r w:rsidR="00B17060">
        <w:rPr>
          <w:rFonts w:ascii="Times New Roman" w:eastAsia="Times New Roman" w:hAnsi="Times New Roman" w:cs="Times New Roman"/>
          <w:sz w:val="24"/>
          <w:szCs w:val="24"/>
        </w:rPr>
        <w:t xml:space="preserve">the fact </w:t>
      </w:r>
      <w:r w:rsidR="00745624" w:rsidRPr="00EE3302">
        <w:rPr>
          <w:rFonts w:ascii="Times New Roman" w:eastAsia="Times New Roman" w:hAnsi="Times New Roman" w:cs="Times New Roman"/>
          <w:sz w:val="24"/>
          <w:szCs w:val="24"/>
        </w:rPr>
        <w:t>that her proposal, by setting a</w:t>
      </w:r>
      <w:r w:rsidR="00B47380" w:rsidRPr="00EE3302">
        <w:rPr>
          <w:rFonts w:ascii="Times New Roman" w:eastAsia="Times New Roman" w:hAnsi="Times New Roman" w:cs="Times New Roman"/>
          <w:sz w:val="24"/>
          <w:szCs w:val="24"/>
        </w:rPr>
        <w:t xml:space="preserve"> depreciation</w:t>
      </w:r>
      <w:r w:rsidR="00DC1014">
        <w:rPr>
          <w:rFonts w:ascii="Times New Roman" w:eastAsia="Times New Roman" w:hAnsi="Times New Roman" w:cs="Times New Roman"/>
          <w:sz w:val="24"/>
          <w:szCs w:val="24"/>
        </w:rPr>
        <w:t xml:space="preserve"> schedule</w:t>
      </w:r>
      <w:r w:rsidR="00745624" w:rsidRPr="00EE3302">
        <w:rPr>
          <w:rFonts w:ascii="Times New Roman" w:eastAsia="Times New Roman" w:hAnsi="Times New Roman" w:cs="Times New Roman"/>
          <w:sz w:val="24"/>
          <w:szCs w:val="24"/>
        </w:rPr>
        <w:t xml:space="preserve"> that is unrealistically long</w:t>
      </w:r>
      <w:r w:rsidR="00B47380" w:rsidRPr="00EE3302">
        <w:rPr>
          <w:rFonts w:ascii="Times New Roman" w:eastAsia="Times New Roman" w:hAnsi="Times New Roman" w:cs="Times New Roman"/>
          <w:sz w:val="24"/>
          <w:szCs w:val="24"/>
        </w:rPr>
        <w:t xml:space="preserve">, will </w:t>
      </w:r>
      <w:r w:rsidR="00B17060">
        <w:rPr>
          <w:rFonts w:ascii="Times New Roman" w:eastAsia="Times New Roman" w:hAnsi="Times New Roman" w:cs="Times New Roman"/>
          <w:sz w:val="24"/>
          <w:szCs w:val="24"/>
        </w:rPr>
        <w:t xml:space="preserve">likely </w:t>
      </w:r>
      <w:r w:rsidR="00B47380" w:rsidRPr="00EE3302">
        <w:rPr>
          <w:rFonts w:ascii="Times New Roman" w:eastAsia="Times New Roman" w:hAnsi="Times New Roman" w:cs="Times New Roman"/>
          <w:sz w:val="24"/>
          <w:szCs w:val="24"/>
        </w:rPr>
        <w:t xml:space="preserve">burden future ratepayers with the expense of a plant they did not use.  That is exactly what </w:t>
      </w:r>
      <w:r w:rsidR="00745624" w:rsidRPr="00EE3302">
        <w:rPr>
          <w:rFonts w:ascii="Times New Roman" w:eastAsia="Times New Roman" w:hAnsi="Times New Roman" w:cs="Times New Roman"/>
          <w:sz w:val="24"/>
          <w:szCs w:val="24"/>
        </w:rPr>
        <w:t xml:space="preserve">happened </w:t>
      </w:r>
      <w:r w:rsidR="00B47380" w:rsidRPr="00EE3302">
        <w:rPr>
          <w:rFonts w:ascii="Times New Roman" w:eastAsia="Times New Roman" w:hAnsi="Times New Roman" w:cs="Times New Roman"/>
          <w:sz w:val="24"/>
          <w:szCs w:val="24"/>
        </w:rPr>
        <w:t xml:space="preserve">with Colstrip Units 1 and 2: </w:t>
      </w:r>
      <w:r w:rsidR="00CC6462" w:rsidRPr="00EE3302">
        <w:rPr>
          <w:rFonts w:ascii="Times New Roman" w:eastAsia="Times New Roman" w:hAnsi="Times New Roman" w:cs="Times New Roman"/>
          <w:sz w:val="24"/>
          <w:szCs w:val="24"/>
        </w:rPr>
        <w:t xml:space="preserve">with an </w:t>
      </w:r>
      <w:r w:rsidR="00B47380" w:rsidRPr="00EE3302">
        <w:rPr>
          <w:rFonts w:ascii="Times New Roman" w:eastAsia="Times New Roman" w:hAnsi="Times New Roman" w:cs="Times New Roman"/>
          <w:sz w:val="24"/>
          <w:szCs w:val="24"/>
        </w:rPr>
        <w:t>unrealistically long depreciati</w:t>
      </w:r>
      <w:r w:rsidR="000001C3">
        <w:rPr>
          <w:rFonts w:ascii="Times New Roman" w:eastAsia="Times New Roman" w:hAnsi="Times New Roman" w:cs="Times New Roman"/>
          <w:sz w:val="24"/>
          <w:szCs w:val="24"/>
        </w:rPr>
        <w:t xml:space="preserve">on schedule, </w:t>
      </w:r>
      <w:r w:rsidR="00B47380" w:rsidRPr="00EE3302">
        <w:rPr>
          <w:rFonts w:ascii="Times New Roman" w:eastAsia="Times New Roman" w:hAnsi="Times New Roman" w:cs="Times New Roman"/>
          <w:sz w:val="24"/>
          <w:szCs w:val="24"/>
        </w:rPr>
        <w:t xml:space="preserve">customers who </w:t>
      </w:r>
      <w:r w:rsidR="00CC6462" w:rsidRPr="00EE3302">
        <w:rPr>
          <w:rFonts w:ascii="Times New Roman" w:eastAsia="Times New Roman" w:hAnsi="Times New Roman" w:cs="Times New Roman"/>
          <w:sz w:val="24"/>
          <w:szCs w:val="24"/>
        </w:rPr>
        <w:t xml:space="preserve">no longer </w:t>
      </w:r>
      <w:r w:rsidR="00B47380" w:rsidRPr="00EE3302">
        <w:rPr>
          <w:rFonts w:ascii="Times New Roman" w:eastAsia="Times New Roman" w:hAnsi="Times New Roman" w:cs="Times New Roman"/>
          <w:sz w:val="24"/>
          <w:szCs w:val="24"/>
        </w:rPr>
        <w:t>receiv</w:t>
      </w:r>
      <w:r w:rsidR="00CC6462" w:rsidRPr="00EE3302">
        <w:rPr>
          <w:rFonts w:ascii="Times New Roman" w:eastAsia="Times New Roman" w:hAnsi="Times New Roman" w:cs="Times New Roman"/>
          <w:sz w:val="24"/>
          <w:szCs w:val="24"/>
        </w:rPr>
        <w:t>e</w:t>
      </w:r>
      <w:r w:rsidR="00B47380" w:rsidRPr="00EE3302">
        <w:rPr>
          <w:rFonts w:ascii="Times New Roman" w:eastAsia="Times New Roman" w:hAnsi="Times New Roman" w:cs="Times New Roman"/>
          <w:sz w:val="24"/>
          <w:szCs w:val="24"/>
        </w:rPr>
        <w:t xml:space="preserve"> power from Colstrip Units 1 and 2 </w:t>
      </w:r>
      <w:r w:rsidR="00745624" w:rsidRPr="00EE3302">
        <w:rPr>
          <w:rFonts w:ascii="Times New Roman" w:eastAsia="Times New Roman" w:hAnsi="Times New Roman" w:cs="Times New Roman"/>
          <w:sz w:val="24"/>
          <w:szCs w:val="24"/>
        </w:rPr>
        <w:t xml:space="preserve">may </w:t>
      </w:r>
      <w:r w:rsidR="00B47380" w:rsidRPr="00EE3302">
        <w:rPr>
          <w:rFonts w:ascii="Times New Roman" w:eastAsia="Times New Roman" w:hAnsi="Times New Roman" w:cs="Times New Roman"/>
          <w:sz w:val="24"/>
          <w:szCs w:val="24"/>
        </w:rPr>
        <w:t xml:space="preserve">still be paying </w:t>
      </w:r>
      <w:r w:rsidR="00CC6462" w:rsidRPr="00EE3302">
        <w:rPr>
          <w:rFonts w:ascii="Times New Roman" w:eastAsia="Times New Roman" w:hAnsi="Times New Roman" w:cs="Times New Roman"/>
          <w:sz w:val="24"/>
          <w:szCs w:val="24"/>
        </w:rPr>
        <w:t>for them into the future.</w:t>
      </w:r>
      <w:r w:rsidR="00AA716E" w:rsidRPr="00EE3302">
        <w:rPr>
          <w:rStyle w:val="FootnoteReference"/>
          <w:rFonts w:ascii="Times New Roman" w:eastAsia="Times New Roman" w:hAnsi="Times New Roman" w:cs="Times New Roman"/>
          <w:sz w:val="24"/>
          <w:szCs w:val="24"/>
        </w:rPr>
        <w:footnoteReference w:id="29"/>
      </w:r>
    </w:p>
    <w:p w14:paraId="23B5F1EC" w14:textId="14135282" w:rsidR="002E4D70" w:rsidRPr="00EE3302" w:rsidRDefault="00EA16EC" w:rsidP="00EA16EC">
      <w:pPr>
        <w:pStyle w:val="ListParagraph"/>
        <w:numPr>
          <w:ilvl w:val="0"/>
          <w:numId w:val="19"/>
        </w:numPr>
        <w:spacing w:after="0" w:line="480" w:lineRule="auto"/>
        <w:ind w:left="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I</w:t>
      </w:r>
      <w:r w:rsidR="005E3495" w:rsidRPr="00EE3302">
        <w:rPr>
          <w:rFonts w:ascii="Times New Roman" w:eastAsia="Times New Roman" w:hAnsi="Times New Roman" w:cs="Times New Roman"/>
          <w:sz w:val="24"/>
          <w:szCs w:val="24"/>
        </w:rPr>
        <w:t xml:space="preserve">n sum, </w:t>
      </w:r>
      <w:r w:rsidR="00B47380" w:rsidRPr="00EE3302">
        <w:rPr>
          <w:rFonts w:ascii="Times New Roman" w:eastAsia="Times New Roman" w:hAnsi="Times New Roman" w:cs="Times New Roman"/>
          <w:sz w:val="24"/>
          <w:szCs w:val="24"/>
        </w:rPr>
        <w:t xml:space="preserve">Colstrip Units 3 and 4 are subject to the same economic and regulatory pressures that </w:t>
      </w:r>
      <w:r w:rsidR="00745624" w:rsidRPr="00EE3302">
        <w:rPr>
          <w:rFonts w:ascii="Times New Roman" w:eastAsia="Times New Roman" w:hAnsi="Times New Roman" w:cs="Times New Roman"/>
          <w:sz w:val="24"/>
          <w:szCs w:val="24"/>
        </w:rPr>
        <w:t xml:space="preserve">are leading </w:t>
      </w:r>
      <w:r w:rsidR="00B47380" w:rsidRPr="00EE3302">
        <w:rPr>
          <w:rFonts w:ascii="Times New Roman" w:eastAsia="Times New Roman" w:hAnsi="Times New Roman" w:cs="Times New Roman"/>
          <w:sz w:val="24"/>
          <w:szCs w:val="24"/>
        </w:rPr>
        <w:t>Units 1 and 2 to close</w:t>
      </w:r>
      <w:r w:rsidR="00745624" w:rsidRPr="00EE3302">
        <w:rPr>
          <w:rFonts w:ascii="Times New Roman" w:eastAsia="Times New Roman" w:hAnsi="Times New Roman" w:cs="Times New Roman"/>
          <w:sz w:val="24"/>
          <w:szCs w:val="24"/>
        </w:rPr>
        <w:t xml:space="preserve"> no later than 2022</w:t>
      </w:r>
      <w:r w:rsidR="00B47380" w:rsidRPr="00EE3302">
        <w:rPr>
          <w:rFonts w:ascii="Times New Roman" w:eastAsia="Times New Roman" w:hAnsi="Times New Roman" w:cs="Times New Roman"/>
          <w:sz w:val="24"/>
          <w:szCs w:val="24"/>
        </w:rPr>
        <w:t xml:space="preserve">.  </w:t>
      </w:r>
      <w:r w:rsidR="00786463" w:rsidRPr="00EE3302">
        <w:rPr>
          <w:rFonts w:ascii="Times New Roman" w:eastAsia="Times New Roman" w:hAnsi="Times New Roman" w:cs="Times New Roman"/>
          <w:sz w:val="24"/>
          <w:szCs w:val="24"/>
        </w:rPr>
        <w:t>Economic and regulatory experts, and PSE itself, believe that</w:t>
      </w:r>
      <w:r w:rsidR="00CC6462" w:rsidRPr="00EE3302">
        <w:rPr>
          <w:rFonts w:ascii="Times New Roman" w:eastAsia="Times New Roman" w:hAnsi="Times New Roman" w:cs="Times New Roman"/>
          <w:sz w:val="24"/>
          <w:szCs w:val="24"/>
        </w:rPr>
        <w:t xml:space="preserve"> 2027 </w:t>
      </w:r>
      <w:r w:rsidR="00786463" w:rsidRPr="00EE3302">
        <w:rPr>
          <w:rFonts w:ascii="Times New Roman" w:eastAsia="Times New Roman" w:hAnsi="Times New Roman" w:cs="Times New Roman"/>
          <w:sz w:val="24"/>
          <w:szCs w:val="24"/>
        </w:rPr>
        <w:t>is a reasonable end-of-life date to use for depreciation purposes</w:t>
      </w:r>
      <w:r w:rsidR="00D5349E" w:rsidRPr="00EE3302">
        <w:rPr>
          <w:rFonts w:ascii="Times New Roman" w:eastAsia="Times New Roman" w:hAnsi="Times New Roman" w:cs="Times New Roman"/>
          <w:sz w:val="24"/>
          <w:szCs w:val="24"/>
        </w:rPr>
        <w:t xml:space="preserve"> and a reasonable settlement compromise</w:t>
      </w:r>
      <w:r w:rsidR="00786463" w:rsidRPr="00EE3302">
        <w:rPr>
          <w:rFonts w:ascii="Times New Roman" w:eastAsia="Times New Roman" w:hAnsi="Times New Roman" w:cs="Times New Roman"/>
          <w:sz w:val="24"/>
          <w:szCs w:val="24"/>
        </w:rPr>
        <w:t xml:space="preserve">.  The </w:t>
      </w:r>
      <w:r w:rsidR="00745624" w:rsidRPr="00EE3302">
        <w:rPr>
          <w:rFonts w:ascii="Times New Roman" w:eastAsia="Times New Roman" w:hAnsi="Times New Roman" w:cs="Times New Roman"/>
          <w:sz w:val="24"/>
          <w:szCs w:val="24"/>
        </w:rPr>
        <w:t xml:space="preserve">settlement agreement’s </w:t>
      </w:r>
      <w:r w:rsidR="00786463" w:rsidRPr="00EE3302">
        <w:rPr>
          <w:rFonts w:ascii="Times New Roman" w:eastAsia="Times New Roman" w:hAnsi="Times New Roman" w:cs="Times New Roman"/>
          <w:sz w:val="24"/>
          <w:szCs w:val="24"/>
        </w:rPr>
        <w:t>depreciation schedule for Co</w:t>
      </w:r>
      <w:r w:rsidR="00CC6462" w:rsidRPr="00EE3302">
        <w:rPr>
          <w:rFonts w:ascii="Times New Roman" w:eastAsia="Times New Roman" w:hAnsi="Times New Roman" w:cs="Times New Roman"/>
          <w:sz w:val="24"/>
          <w:szCs w:val="24"/>
        </w:rPr>
        <w:t>l</w:t>
      </w:r>
      <w:r w:rsidR="00786463" w:rsidRPr="00EE3302">
        <w:rPr>
          <w:rFonts w:ascii="Times New Roman" w:eastAsia="Times New Roman" w:hAnsi="Times New Roman" w:cs="Times New Roman"/>
          <w:sz w:val="24"/>
          <w:szCs w:val="24"/>
        </w:rPr>
        <w:t xml:space="preserve">strip </w:t>
      </w:r>
      <w:r w:rsidR="00745624" w:rsidRPr="00EE3302">
        <w:rPr>
          <w:rFonts w:ascii="Times New Roman" w:eastAsia="Times New Roman" w:hAnsi="Times New Roman" w:cs="Times New Roman"/>
          <w:sz w:val="24"/>
          <w:szCs w:val="24"/>
        </w:rPr>
        <w:t xml:space="preserve">Units </w:t>
      </w:r>
      <w:r>
        <w:rPr>
          <w:rFonts w:ascii="Times New Roman" w:eastAsia="Times New Roman" w:hAnsi="Times New Roman" w:cs="Times New Roman"/>
          <w:sz w:val="24"/>
          <w:szCs w:val="24"/>
        </w:rPr>
        <w:t>3 and 4 should be approved.</w:t>
      </w:r>
    </w:p>
    <w:p w14:paraId="6CAC4409" w14:textId="3335E37B" w:rsidR="008A1F1D" w:rsidRPr="00EE3302" w:rsidRDefault="008A1F1D" w:rsidP="008A1F1D">
      <w:pPr>
        <w:pStyle w:val="Heading3"/>
        <w:rPr>
          <w:szCs w:val="24"/>
        </w:rPr>
      </w:pPr>
      <w:bookmarkStart w:id="11" w:name="_Toc496860089"/>
      <w:r w:rsidRPr="00EE3302">
        <w:rPr>
          <w:szCs w:val="24"/>
        </w:rPr>
        <w:t>Public Counsels’ Proposed Treatment of Remediation Costs Has No Basis in the Law or Sound Public Policy.</w:t>
      </w:r>
      <w:bookmarkEnd w:id="11"/>
      <w:r w:rsidRPr="00EE3302">
        <w:rPr>
          <w:szCs w:val="24"/>
        </w:rPr>
        <w:t xml:space="preserve"> </w:t>
      </w:r>
    </w:p>
    <w:p w14:paraId="234E6589" w14:textId="0E864345" w:rsidR="00DC2912" w:rsidRPr="00EA16EC" w:rsidRDefault="00EA16EC" w:rsidP="00EA16EC">
      <w:pPr>
        <w:pStyle w:val="ListParagraph"/>
        <w:numPr>
          <w:ilvl w:val="0"/>
          <w:numId w:val="19"/>
        </w:numPr>
        <w:spacing w:after="0" w:line="480" w:lineRule="auto"/>
        <w:ind w:left="0" w:hanging="720"/>
        <w:contextualSpacing w:val="0"/>
        <w:rPr>
          <w:rFonts w:ascii="Times New Roman" w:hAnsi="Times New Roman" w:cs="Times New Roman"/>
          <w:sz w:val="24"/>
          <w:szCs w:val="24"/>
        </w:rPr>
      </w:pPr>
      <w:r w:rsidRPr="00EA16EC">
        <w:rPr>
          <w:rFonts w:ascii="Times New Roman" w:hAnsi="Times New Roman" w:cs="Times New Roman"/>
          <w:sz w:val="24"/>
          <w:szCs w:val="24"/>
        </w:rPr>
        <w:tab/>
        <w:t>P</w:t>
      </w:r>
      <w:r w:rsidR="008A1F1D" w:rsidRPr="00EA16EC">
        <w:rPr>
          <w:rFonts w:ascii="Times New Roman" w:hAnsi="Times New Roman" w:cs="Times New Roman"/>
          <w:sz w:val="24"/>
          <w:szCs w:val="24"/>
        </w:rPr>
        <w:t xml:space="preserve">ublic Counsel makes the </w:t>
      </w:r>
      <w:r w:rsidR="005E3495" w:rsidRPr="00EA16EC">
        <w:rPr>
          <w:rFonts w:ascii="Times New Roman" w:hAnsi="Times New Roman" w:cs="Times New Roman"/>
          <w:sz w:val="24"/>
          <w:szCs w:val="24"/>
        </w:rPr>
        <w:t xml:space="preserve">misguided </w:t>
      </w:r>
      <w:r w:rsidR="008A1F1D" w:rsidRPr="00EA16EC">
        <w:rPr>
          <w:rFonts w:ascii="Times New Roman" w:hAnsi="Times New Roman" w:cs="Times New Roman"/>
          <w:sz w:val="24"/>
          <w:szCs w:val="24"/>
        </w:rPr>
        <w:t>request that the Commiss</w:t>
      </w:r>
      <w:r w:rsidR="00D5349E" w:rsidRPr="00EA16EC">
        <w:rPr>
          <w:rFonts w:ascii="Times New Roman" w:hAnsi="Times New Roman" w:cs="Times New Roman"/>
          <w:sz w:val="24"/>
          <w:szCs w:val="24"/>
        </w:rPr>
        <w:t>i</w:t>
      </w:r>
      <w:r w:rsidR="008A1F1D" w:rsidRPr="00EA16EC">
        <w:rPr>
          <w:rFonts w:ascii="Times New Roman" w:hAnsi="Times New Roman" w:cs="Times New Roman"/>
          <w:sz w:val="24"/>
          <w:szCs w:val="24"/>
        </w:rPr>
        <w:t xml:space="preserve">on “require that PSE demonstrate that its decommission and remediation expenses are prudent and eligible for cost </w:t>
      </w:r>
      <w:r w:rsidR="008A1F1D" w:rsidRPr="00EA16EC">
        <w:rPr>
          <w:rFonts w:ascii="Times New Roman" w:hAnsi="Times New Roman" w:cs="Times New Roman"/>
          <w:sz w:val="24"/>
          <w:szCs w:val="24"/>
        </w:rPr>
        <w:lastRenderedPageBreak/>
        <w:t xml:space="preserve">recovery </w:t>
      </w:r>
      <w:r w:rsidR="008A1F1D" w:rsidRPr="00EA16EC">
        <w:rPr>
          <w:rFonts w:ascii="Times New Roman" w:hAnsi="Times New Roman" w:cs="Times New Roman"/>
          <w:i/>
          <w:sz w:val="24"/>
          <w:szCs w:val="24"/>
        </w:rPr>
        <w:t>before</w:t>
      </w:r>
      <w:r w:rsidR="008A1F1D" w:rsidRPr="00EA16EC">
        <w:rPr>
          <w:rFonts w:ascii="Times New Roman" w:hAnsi="Times New Roman" w:cs="Times New Roman"/>
          <w:sz w:val="24"/>
          <w:szCs w:val="24"/>
        </w:rPr>
        <w:t xml:space="preserve"> being permitted to apply funds from the account in its order approving the account under RCW 80.84.”</w:t>
      </w:r>
      <w:r w:rsidR="008A1F1D" w:rsidRPr="00EA16EC">
        <w:rPr>
          <w:rStyle w:val="FootnoteReference"/>
          <w:rFonts w:ascii="Times New Roman" w:hAnsi="Times New Roman" w:cs="Times New Roman"/>
          <w:sz w:val="24"/>
          <w:szCs w:val="24"/>
        </w:rPr>
        <w:footnoteReference w:id="30"/>
      </w:r>
      <w:r w:rsidR="0062130A" w:rsidRPr="00EA16EC">
        <w:rPr>
          <w:rFonts w:ascii="Times New Roman" w:hAnsi="Times New Roman" w:cs="Times New Roman"/>
          <w:sz w:val="24"/>
          <w:szCs w:val="24"/>
        </w:rPr>
        <w:t xml:space="preserve">  Under standard ratemaking principles, PSE does not need Commission pre-approval before expending funds, except in limited circumstances not applicable to remediation expenses.  Instead of ob</w:t>
      </w:r>
      <w:r w:rsidR="00CC6462" w:rsidRPr="00EA16EC">
        <w:rPr>
          <w:rFonts w:ascii="Times New Roman" w:hAnsi="Times New Roman" w:cs="Times New Roman"/>
          <w:sz w:val="24"/>
          <w:szCs w:val="24"/>
        </w:rPr>
        <w:t>t</w:t>
      </w:r>
      <w:r w:rsidR="0062130A" w:rsidRPr="00EA16EC">
        <w:rPr>
          <w:rFonts w:ascii="Times New Roman" w:hAnsi="Times New Roman" w:cs="Times New Roman"/>
          <w:sz w:val="24"/>
          <w:szCs w:val="24"/>
        </w:rPr>
        <w:t>aining preapproval, PSE spends funds, and the Commission later reviews whether the costs were prudently incurred.</w:t>
      </w:r>
    </w:p>
    <w:p w14:paraId="626DA56E" w14:textId="13044DA7" w:rsidR="006C3BE9" w:rsidRPr="00EA16EC" w:rsidRDefault="00EA16EC" w:rsidP="00EA16EC">
      <w:pPr>
        <w:pStyle w:val="ListParagraph"/>
        <w:numPr>
          <w:ilvl w:val="0"/>
          <w:numId w:val="19"/>
        </w:numPr>
        <w:spacing w:after="0" w:line="480" w:lineRule="auto"/>
        <w:ind w:left="0" w:hanging="720"/>
        <w:contextualSpacing w:val="0"/>
        <w:rPr>
          <w:rFonts w:ascii="Times New Roman" w:hAnsi="Times New Roman" w:cs="Times New Roman"/>
          <w:sz w:val="24"/>
          <w:szCs w:val="24"/>
        </w:rPr>
      </w:pPr>
      <w:r w:rsidRPr="00EA16EC">
        <w:rPr>
          <w:rFonts w:ascii="Times New Roman" w:hAnsi="Times New Roman" w:cs="Times New Roman"/>
          <w:sz w:val="24"/>
          <w:szCs w:val="24"/>
        </w:rPr>
        <w:tab/>
        <w:t>P</w:t>
      </w:r>
      <w:r w:rsidR="00DC2912" w:rsidRPr="00EA16EC">
        <w:rPr>
          <w:rFonts w:ascii="Times New Roman" w:hAnsi="Times New Roman" w:cs="Times New Roman"/>
          <w:sz w:val="24"/>
          <w:szCs w:val="24"/>
        </w:rPr>
        <w:t>ublic Counsel advances no rationale whatsoever for treating remediation costs differently than any other costs PSE incurs.</w:t>
      </w:r>
      <w:r w:rsidR="00566A1D" w:rsidRPr="00EA16EC">
        <w:rPr>
          <w:rFonts w:ascii="Times New Roman" w:hAnsi="Times New Roman" w:cs="Times New Roman"/>
          <w:sz w:val="24"/>
          <w:szCs w:val="24"/>
        </w:rPr>
        <w:t xml:space="preserve">  </w:t>
      </w:r>
      <w:r w:rsidR="006C3BE9" w:rsidRPr="00EA16EC">
        <w:rPr>
          <w:rFonts w:ascii="Times New Roman" w:hAnsi="Times New Roman" w:cs="Times New Roman"/>
          <w:sz w:val="24"/>
          <w:szCs w:val="24"/>
        </w:rPr>
        <w:t xml:space="preserve">As </w:t>
      </w:r>
      <w:r w:rsidR="00DC1014">
        <w:rPr>
          <w:rFonts w:ascii="Times New Roman" w:hAnsi="Times New Roman" w:cs="Times New Roman"/>
          <w:sz w:val="24"/>
          <w:szCs w:val="24"/>
        </w:rPr>
        <w:t xml:space="preserve">Dr. </w:t>
      </w:r>
      <w:r w:rsidR="006C3BE9" w:rsidRPr="00EA16EC">
        <w:rPr>
          <w:rFonts w:ascii="Times New Roman" w:hAnsi="Times New Roman" w:cs="Times New Roman"/>
          <w:sz w:val="24"/>
          <w:szCs w:val="24"/>
        </w:rPr>
        <w:t>Tom Power explained</w:t>
      </w:r>
      <w:r w:rsidR="00AA716E" w:rsidRPr="00EA16EC">
        <w:rPr>
          <w:rFonts w:ascii="Times New Roman" w:hAnsi="Times New Roman" w:cs="Times New Roman"/>
          <w:sz w:val="24"/>
          <w:szCs w:val="24"/>
        </w:rPr>
        <w:t xml:space="preserve"> with respect to a separate Staff proposal</w:t>
      </w:r>
      <w:r w:rsidR="006C3BE9" w:rsidRPr="00EA16EC">
        <w:rPr>
          <w:rFonts w:ascii="Times New Roman" w:hAnsi="Times New Roman" w:cs="Times New Roman"/>
          <w:sz w:val="24"/>
          <w:szCs w:val="24"/>
        </w:rPr>
        <w:t>, “</w:t>
      </w:r>
      <w:r w:rsidR="00DC1014">
        <w:rPr>
          <w:rFonts w:ascii="Times New Roman" w:hAnsi="Times New Roman" w:cs="Times New Roman"/>
          <w:sz w:val="24"/>
          <w:szCs w:val="24"/>
        </w:rPr>
        <w:t>[i]</w:t>
      </w:r>
      <w:r w:rsidR="006C3BE9" w:rsidRPr="00EA16EC">
        <w:rPr>
          <w:rFonts w:ascii="Times New Roman" w:hAnsi="Times New Roman" w:cs="Times New Roman"/>
          <w:sz w:val="24"/>
          <w:szCs w:val="24"/>
        </w:rPr>
        <w:t>t is unclear why environmental mitigation costs should be treated differently than other utility costs</w:t>
      </w:r>
      <w:r w:rsidR="00413147" w:rsidRPr="00EA16EC">
        <w:rPr>
          <w:rFonts w:ascii="Times New Roman" w:hAnsi="Times New Roman" w:cs="Times New Roman"/>
          <w:sz w:val="24"/>
          <w:szCs w:val="24"/>
        </w:rPr>
        <w:t xml:space="preserve"> ... </w:t>
      </w:r>
      <w:r w:rsidR="006C3BE9" w:rsidRPr="00EA16EC">
        <w:rPr>
          <w:rFonts w:ascii="Times New Roman" w:hAnsi="Times New Roman" w:cs="Times New Roman"/>
          <w:sz w:val="24"/>
          <w:szCs w:val="24"/>
        </w:rPr>
        <w:t>.”</w:t>
      </w:r>
      <w:r w:rsidR="006C3BE9" w:rsidRPr="00EA16EC">
        <w:rPr>
          <w:rStyle w:val="FootnoteReference"/>
          <w:rFonts w:ascii="Times New Roman" w:hAnsi="Times New Roman" w:cs="Times New Roman"/>
          <w:sz w:val="24"/>
          <w:szCs w:val="24"/>
        </w:rPr>
        <w:footnoteReference w:id="31"/>
      </w:r>
    </w:p>
    <w:p w14:paraId="1370134F" w14:textId="3088EA2C" w:rsidR="00566A1D" w:rsidRPr="00EA16EC" w:rsidRDefault="00EA16EC" w:rsidP="00EA16EC">
      <w:pPr>
        <w:pStyle w:val="ListParagraph"/>
        <w:numPr>
          <w:ilvl w:val="0"/>
          <w:numId w:val="19"/>
        </w:numPr>
        <w:spacing w:after="0" w:line="480" w:lineRule="auto"/>
        <w:ind w:left="0" w:hanging="720"/>
        <w:contextualSpacing w:val="0"/>
        <w:rPr>
          <w:rFonts w:ascii="Times New Roman" w:hAnsi="Times New Roman" w:cs="Times New Roman"/>
          <w:sz w:val="24"/>
          <w:szCs w:val="24"/>
        </w:rPr>
      </w:pPr>
      <w:r w:rsidRPr="00EA16EC">
        <w:rPr>
          <w:rFonts w:ascii="Times New Roman" w:hAnsi="Times New Roman" w:cs="Times New Roman"/>
          <w:sz w:val="24"/>
          <w:szCs w:val="24"/>
        </w:rPr>
        <w:tab/>
        <w:t>M</w:t>
      </w:r>
      <w:r w:rsidR="00566A1D" w:rsidRPr="00EA16EC">
        <w:rPr>
          <w:rFonts w:ascii="Times New Roman" w:hAnsi="Times New Roman" w:cs="Times New Roman"/>
          <w:sz w:val="24"/>
          <w:szCs w:val="24"/>
        </w:rPr>
        <w:t>oreover, Public Counsel ignores that PSE has legal obligation</w:t>
      </w:r>
      <w:r w:rsidR="002E4D70" w:rsidRPr="00EA16EC">
        <w:rPr>
          <w:rFonts w:ascii="Times New Roman" w:hAnsi="Times New Roman" w:cs="Times New Roman"/>
          <w:sz w:val="24"/>
          <w:szCs w:val="24"/>
        </w:rPr>
        <w:t>s</w:t>
      </w:r>
      <w:r w:rsidR="00566A1D" w:rsidRPr="00EA16EC">
        <w:rPr>
          <w:rFonts w:ascii="Times New Roman" w:hAnsi="Times New Roman" w:cs="Times New Roman"/>
          <w:sz w:val="24"/>
          <w:szCs w:val="24"/>
        </w:rPr>
        <w:t xml:space="preserve"> under state and federal laws to clean up the widespread environmental damage caused by the Colstrip units.</w:t>
      </w:r>
      <w:r w:rsidR="005E3495" w:rsidRPr="00EA16EC">
        <w:rPr>
          <w:rFonts w:ascii="Times New Roman" w:hAnsi="Times New Roman" w:cs="Times New Roman"/>
          <w:sz w:val="24"/>
          <w:szCs w:val="24"/>
        </w:rPr>
        <w:t xml:space="preserve">  </w:t>
      </w:r>
      <w:r w:rsidR="00566A1D" w:rsidRPr="00EA16EC">
        <w:rPr>
          <w:rFonts w:ascii="Times New Roman" w:hAnsi="Times New Roman" w:cs="Times New Roman"/>
          <w:sz w:val="24"/>
          <w:szCs w:val="24"/>
        </w:rPr>
        <w:t xml:space="preserve">And that is to say nothing of the moral obligation PSE has to clean up the contamination </w:t>
      </w:r>
      <w:r w:rsidR="005E3495" w:rsidRPr="00EA16EC">
        <w:rPr>
          <w:rFonts w:ascii="Times New Roman" w:hAnsi="Times New Roman" w:cs="Times New Roman"/>
          <w:sz w:val="24"/>
          <w:szCs w:val="24"/>
        </w:rPr>
        <w:t xml:space="preserve">PSE caused in and around </w:t>
      </w:r>
      <w:r w:rsidR="00566A1D" w:rsidRPr="00EA16EC">
        <w:rPr>
          <w:rFonts w:ascii="Times New Roman" w:hAnsi="Times New Roman" w:cs="Times New Roman"/>
          <w:sz w:val="24"/>
          <w:szCs w:val="24"/>
        </w:rPr>
        <w:t xml:space="preserve">the Colstrip </w:t>
      </w:r>
      <w:r w:rsidR="005E3495" w:rsidRPr="00EA16EC">
        <w:rPr>
          <w:rFonts w:ascii="Times New Roman" w:hAnsi="Times New Roman" w:cs="Times New Roman"/>
          <w:sz w:val="24"/>
          <w:szCs w:val="24"/>
        </w:rPr>
        <w:t>facility</w:t>
      </w:r>
      <w:r w:rsidR="00566A1D" w:rsidRPr="00EA16EC">
        <w:rPr>
          <w:rFonts w:ascii="Times New Roman" w:hAnsi="Times New Roman" w:cs="Times New Roman"/>
          <w:sz w:val="24"/>
          <w:szCs w:val="24"/>
        </w:rPr>
        <w:t xml:space="preserve">.  Public Counsel’s request seems designed to </w:t>
      </w:r>
      <w:r w:rsidR="005E3495" w:rsidRPr="00EA16EC">
        <w:rPr>
          <w:rFonts w:ascii="Times New Roman" w:hAnsi="Times New Roman" w:cs="Times New Roman"/>
          <w:sz w:val="24"/>
          <w:szCs w:val="24"/>
        </w:rPr>
        <w:t>im</w:t>
      </w:r>
      <w:r w:rsidR="002E4D70" w:rsidRPr="00EA16EC">
        <w:rPr>
          <w:rFonts w:ascii="Times New Roman" w:hAnsi="Times New Roman" w:cs="Times New Roman"/>
          <w:sz w:val="24"/>
          <w:szCs w:val="24"/>
        </w:rPr>
        <w:t xml:space="preserve">pose </w:t>
      </w:r>
      <w:r w:rsidR="00566A1D" w:rsidRPr="00EA16EC">
        <w:rPr>
          <w:rFonts w:ascii="Times New Roman" w:hAnsi="Times New Roman" w:cs="Times New Roman"/>
          <w:sz w:val="24"/>
          <w:szCs w:val="24"/>
        </w:rPr>
        <w:t xml:space="preserve">obstacles to PSE fulfilling its legal and ethical obligations to clean up the toxic waste generated at the Colstrip plant.  Public Counsel’s request </w:t>
      </w:r>
      <w:r>
        <w:rPr>
          <w:rFonts w:ascii="Times New Roman" w:hAnsi="Times New Roman" w:cs="Times New Roman"/>
          <w:sz w:val="24"/>
          <w:szCs w:val="24"/>
        </w:rPr>
        <w:t>should be rejected.</w:t>
      </w:r>
    </w:p>
    <w:p w14:paraId="070D0A1B" w14:textId="306B682D" w:rsidR="006C1987" w:rsidRPr="00EE3302" w:rsidRDefault="006C1987" w:rsidP="00EA16EC">
      <w:pPr>
        <w:pStyle w:val="Heading1"/>
      </w:pPr>
      <w:bookmarkStart w:id="12" w:name="_Toc357674232"/>
      <w:bookmarkStart w:id="13" w:name="_Toc496860090"/>
      <w:r w:rsidRPr="00EA16EC">
        <w:t>conclusion</w:t>
      </w:r>
      <w:bookmarkEnd w:id="12"/>
      <w:bookmarkEnd w:id="13"/>
    </w:p>
    <w:p w14:paraId="31998E83" w14:textId="19DF9BDA" w:rsidR="00275432" w:rsidRPr="00BD2C1A" w:rsidRDefault="00BD2C1A" w:rsidP="00BD2C1A">
      <w:pPr>
        <w:pStyle w:val="ListParagraph"/>
        <w:numPr>
          <w:ilvl w:val="0"/>
          <w:numId w:val="19"/>
        </w:numPr>
        <w:spacing w:after="0" w:line="480" w:lineRule="auto"/>
        <w:ind w:left="0" w:hanging="720"/>
        <w:contextualSpacing w:val="0"/>
        <w:rPr>
          <w:rFonts w:ascii="Times New Roman" w:eastAsia="Calibri" w:hAnsi="Times New Roman" w:cs="Times New Roman"/>
          <w:color w:val="222222"/>
          <w:sz w:val="24"/>
          <w:szCs w:val="24"/>
          <w:shd w:val="clear" w:color="auto" w:fill="FFFFFF"/>
        </w:rPr>
      </w:pPr>
      <w:r w:rsidRPr="00BD2C1A">
        <w:rPr>
          <w:rFonts w:ascii="Times New Roman" w:hAnsi="Times New Roman" w:cs="Times New Roman"/>
          <w:sz w:val="24"/>
          <w:szCs w:val="24"/>
        </w:rPr>
        <w:tab/>
      </w:r>
      <w:r>
        <w:rPr>
          <w:rFonts w:ascii="Times New Roman" w:hAnsi="Times New Roman" w:cs="Times New Roman"/>
          <w:sz w:val="24"/>
          <w:szCs w:val="24"/>
        </w:rPr>
        <w:t>F</w:t>
      </w:r>
      <w:r w:rsidR="00950CCC" w:rsidRPr="00BD2C1A">
        <w:rPr>
          <w:rFonts w:ascii="Times New Roman" w:hAnsi="Times New Roman" w:cs="Times New Roman"/>
          <w:sz w:val="24"/>
          <w:szCs w:val="24"/>
        </w:rPr>
        <w:t xml:space="preserve">or the </w:t>
      </w:r>
      <w:r w:rsidR="00DC1014">
        <w:rPr>
          <w:rFonts w:ascii="Times New Roman" w:hAnsi="Times New Roman" w:cs="Times New Roman"/>
          <w:sz w:val="24"/>
          <w:szCs w:val="24"/>
        </w:rPr>
        <w:t xml:space="preserve">reasons discussed above and in NWEC’s initial post-hearing brief, </w:t>
      </w:r>
      <w:r w:rsidR="00950CCC" w:rsidRPr="00BD2C1A">
        <w:rPr>
          <w:rFonts w:ascii="Times New Roman" w:hAnsi="Times New Roman" w:cs="Times New Roman"/>
          <w:sz w:val="24"/>
          <w:szCs w:val="24"/>
        </w:rPr>
        <w:t>the Commission should issue an o</w:t>
      </w:r>
      <w:bookmarkStart w:id="14" w:name="_BA_Cite_FAD85A_000098"/>
      <w:bookmarkEnd w:id="14"/>
      <w:r w:rsidR="00950CCC" w:rsidRPr="00BD2C1A">
        <w:rPr>
          <w:rFonts w:ascii="Times New Roman" w:hAnsi="Times New Roman" w:cs="Times New Roman"/>
          <w:sz w:val="24"/>
          <w:szCs w:val="24"/>
        </w:rPr>
        <w:t>rder</w:t>
      </w:r>
      <w:r w:rsidR="00D454CC" w:rsidRPr="00BD2C1A">
        <w:rPr>
          <w:rFonts w:ascii="Times New Roman" w:hAnsi="Times New Roman" w:cs="Times New Roman"/>
          <w:sz w:val="24"/>
          <w:szCs w:val="24"/>
        </w:rPr>
        <w:t xml:space="preserve">: </w:t>
      </w:r>
      <w:r w:rsidR="00950CCC" w:rsidRPr="00BD2C1A">
        <w:rPr>
          <w:rFonts w:ascii="Times New Roman" w:hAnsi="Times New Roman" w:cs="Times New Roman"/>
          <w:sz w:val="24"/>
          <w:szCs w:val="24"/>
        </w:rPr>
        <w:t xml:space="preserve">(1) </w:t>
      </w:r>
      <w:r w:rsidR="00D454CC" w:rsidRPr="00BD2C1A">
        <w:rPr>
          <w:rFonts w:ascii="Times New Roman" w:hAnsi="Times New Roman" w:cs="Times New Roman"/>
          <w:sz w:val="24"/>
          <w:szCs w:val="24"/>
        </w:rPr>
        <w:t xml:space="preserve">making </w:t>
      </w:r>
      <w:r w:rsidR="00DC1014">
        <w:rPr>
          <w:rFonts w:ascii="Times New Roman" w:hAnsi="Times New Roman" w:cs="Times New Roman"/>
          <w:sz w:val="24"/>
          <w:szCs w:val="24"/>
        </w:rPr>
        <w:t xml:space="preserve">PSE’s </w:t>
      </w:r>
      <w:r w:rsidR="00950CCC" w:rsidRPr="00BD2C1A">
        <w:rPr>
          <w:rFonts w:ascii="Times New Roman" w:hAnsi="Times New Roman" w:cs="Times New Roman"/>
          <w:sz w:val="24"/>
          <w:szCs w:val="24"/>
        </w:rPr>
        <w:t xml:space="preserve">decoupling </w:t>
      </w:r>
      <w:r w:rsidR="00DC1014">
        <w:rPr>
          <w:rFonts w:ascii="Times New Roman" w:hAnsi="Times New Roman" w:cs="Times New Roman"/>
          <w:sz w:val="24"/>
          <w:szCs w:val="24"/>
        </w:rPr>
        <w:t xml:space="preserve">mechanism </w:t>
      </w:r>
      <w:r w:rsidR="00950CCC" w:rsidRPr="00BD2C1A">
        <w:rPr>
          <w:rFonts w:ascii="Times New Roman" w:hAnsi="Times New Roman" w:cs="Times New Roman"/>
          <w:sz w:val="24"/>
          <w:szCs w:val="24"/>
        </w:rPr>
        <w:t xml:space="preserve">permanent; (2) rejecting proposals by PSE and </w:t>
      </w:r>
      <w:r w:rsidR="00D454CC" w:rsidRPr="00BD2C1A">
        <w:rPr>
          <w:rFonts w:ascii="Times New Roman" w:hAnsi="Times New Roman" w:cs="Times New Roman"/>
          <w:sz w:val="24"/>
          <w:szCs w:val="24"/>
        </w:rPr>
        <w:t>Staff</w:t>
      </w:r>
      <w:r w:rsidR="00950CCC" w:rsidRPr="00BD2C1A">
        <w:rPr>
          <w:rFonts w:ascii="Times New Roman" w:hAnsi="Times New Roman" w:cs="Times New Roman"/>
          <w:sz w:val="24"/>
          <w:szCs w:val="24"/>
        </w:rPr>
        <w:t xml:space="preserve"> to increase the </w:t>
      </w:r>
      <w:r w:rsidR="00D454CC" w:rsidRPr="00BD2C1A">
        <w:rPr>
          <w:rFonts w:ascii="Times New Roman" w:hAnsi="Times New Roman" w:cs="Times New Roman"/>
          <w:sz w:val="24"/>
          <w:szCs w:val="24"/>
        </w:rPr>
        <w:t xml:space="preserve">monthly </w:t>
      </w:r>
      <w:r w:rsidR="00950CCC" w:rsidRPr="00BD2C1A">
        <w:rPr>
          <w:rFonts w:ascii="Times New Roman" w:hAnsi="Times New Roman" w:cs="Times New Roman"/>
          <w:sz w:val="24"/>
          <w:szCs w:val="24"/>
        </w:rPr>
        <w:t xml:space="preserve">basic customer charge and impose a new minimum bill; (3) rejecting PSE’s request to increase the soft cap for the electric decoupling mechanism from 3% to 5%; </w:t>
      </w:r>
      <w:r w:rsidR="00D454CC" w:rsidRPr="00BD2C1A">
        <w:rPr>
          <w:rFonts w:ascii="Times New Roman" w:hAnsi="Times New Roman" w:cs="Times New Roman"/>
          <w:sz w:val="24"/>
          <w:szCs w:val="24"/>
        </w:rPr>
        <w:t xml:space="preserve">(4) requiring PSE to reevaluate the weather forecasting models it </w:t>
      </w:r>
      <w:r w:rsidR="00D454CC" w:rsidRPr="00BD2C1A">
        <w:rPr>
          <w:rFonts w:ascii="Times New Roman" w:hAnsi="Times New Roman" w:cs="Times New Roman"/>
          <w:sz w:val="24"/>
          <w:szCs w:val="24"/>
        </w:rPr>
        <w:lastRenderedPageBreak/>
        <w:t>uses to forecast gas sale</w:t>
      </w:r>
      <w:r w:rsidR="00DC1014">
        <w:rPr>
          <w:rFonts w:ascii="Times New Roman" w:hAnsi="Times New Roman" w:cs="Times New Roman"/>
          <w:sz w:val="24"/>
          <w:szCs w:val="24"/>
        </w:rPr>
        <w:t>s</w:t>
      </w:r>
      <w:r w:rsidR="00D454CC" w:rsidRPr="00BD2C1A">
        <w:rPr>
          <w:rFonts w:ascii="Times New Roman" w:hAnsi="Times New Roman" w:cs="Times New Roman"/>
          <w:sz w:val="24"/>
          <w:szCs w:val="24"/>
        </w:rPr>
        <w:t>; (5</w:t>
      </w:r>
      <w:r w:rsidR="00950CCC" w:rsidRPr="00BD2C1A">
        <w:rPr>
          <w:rFonts w:ascii="Times New Roman" w:hAnsi="Times New Roman" w:cs="Times New Roman"/>
          <w:sz w:val="24"/>
          <w:szCs w:val="24"/>
        </w:rPr>
        <w:t>) convening a technical workshop on three-tier rate design for residential electric customers</w:t>
      </w:r>
      <w:r w:rsidR="00D454CC" w:rsidRPr="00BD2C1A">
        <w:rPr>
          <w:rFonts w:ascii="Times New Roman" w:hAnsi="Times New Roman" w:cs="Times New Roman"/>
          <w:sz w:val="24"/>
          <w:szCs w:val="24"/>
        </w:rPr>
        <w:t>; and (6) approving the settlement agreement in full</w:t>
      </w:r>
      <w:r>
        <w:rPr>
          <w:rFonts w:ascii="Times New Roman" w:hAnsi="Times New Roman" w:cs="Times New Roman"/>
          <w:sz w:val="24"/>
          <w:szCs w:val="24"/>
        </w:rPr>
        <w:t>.</w:t>
      </w:r>
    </w:p>
    <w:p w14:paraId="4E761A43" w14:textId="72A7D400" w:rsidR="00174D7E" w:rsidRDefault="00B161E3" w:rsidP="00174D7E">
      <w:pPr>
        <w:ind w:firstLine="720"/>
        <w:rPr>
          <w:rFonts w:eastAsia="Calibri"/>
          <w:szCs w:val="24"/>
        </w:rPr>
      </w:pPr>
      <w:r w:rsidRPr="00EE3302">
        <w:rPr>
          <w:rFonts w:eastAsia="Calibri"/>
          <w:szCs w:val="24"/>
        </w:rPr>
        <w:t>Respectfully submitted this 27</w:t>
      </w:r>
      <w:r w:rsidR="00EB7801" w:rsidRPr="00EE3302">
        <w:rPr>
          <w:rFonts w:eastAsia="Calibri"/>
          <w:szCs w:val="24"/>
        </w:rPr>
        <w:t>th</w:t>
      </w:r>
      <w:r w:rsidR="00174D7E" w:rsidRPr="00EE3302">
        <w:rPr>
          <w:rFonts w:eastAsia="Calibri"/>
          <w:szCs w:val="24"/>
        </w:rPr>
        <w:t xml:space="preserve"> day of October, 2017.</w:t>
      </w:r>
    </w:p>
    <w:p w14:paraId="4599623D" w14:textId="7A8FBFA6" w:rsidR="00BD2C1A" w:rsidRPr="00EE3302" w:rsidRDefault="00BD2C1A" w:rsidP="00174D7E">
      <w:pPr>
        <w:ind w:firstLine="720"/>
        <w:rPr>
          <w:rFonts w:eastAsia="Calibri"/>
          <w:szCs w:val="24"/>
        </w:rPr>
      </w:pPr>
    </w:p>
    <w:p w14:paraId="23DA6996" w14:textId="7EFA1AB2" w:rsidR="00174D7E" w:rsidRPr="00EE3302" w:rsidRDefault="00934A8C" w:rsidP="00934A8C">
      <w:pPr>
        <w:rPr>
          <w:rFonts w:eastAsia="Calibri"/>
          <w:szCs w:val="24"/>
        </w:rPr>
      </w:pP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sidRPr="00934A8C">
        <w:rPr>
          <w:rFonts w:eastAsia="Calibri"/>
          <w:noProof/>
          <w:szCs w:val="24"/>
        </w:rPr>
        <w:drawing>
          <wp:inline distT="0" distB="0" distL="0" distR="0" wp14:anchorId="216927C8" wp14:editId="224CAD1A">
            <wp:extent cx="1677035" cy="39794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5012" cy="402207"/>
                    </a:xfrm>
                    <a:prstGeom prst="rect">
                      <a:avLst/>
                    </a:prstGeom>
                    <a:noFill/>
                    <a:ln>
                      <a:noFill/>
                    </a:ln>
                  </pic:spPr>
                </pic:pic>
              </a:graphicData>
            </a:graphic>
          </wp:inline>
        </w:drawing>
      </w:r>
    </w:p>
    <w:p w14:paraId="0D1172E4" w14:textId="24E1629E" w:rsidR="00174D7E" w:rsidRPr="00EE3302" w:rsidRDefault="00174D7E" w:rsidP="00174D7E">
      <w:pPr>
        <w:tabs>
          <w:tab w:val="left" w:pos="9270"/>
        </w:tabs>
        <w:ind w:left="4320"/>
        <w:rPr>
          <w:i/>
          <w:szCs w:val="24"/>
          <w:lang w:val="nl-NL"/>
        </w:rPr>
      </w:pPr>
      <w:r w:rsidRPr="00EE3302">
        <w:rPr>
          <w:i/>
          <w:szCs w:val="24"/>
          <w:u w:val="single"/>
          <w:lang w:val="nl-NL"/>
        </w:rPr>
        <w:tab/>
      </w:r>
    </w:p>
    <w:p w14:paraId="71714EAC" w14:textId="502AAD5C" w:rsidR="00174D7E" w:rsidRPr="00EE3302" w:rsidRDefault="00174D7E" w:rsidP="00174D7E">
      <w:pPr>
        <w:ind w:left="4320"/>
        <w:rPr>
          <w:rFonts w:eastAsia="Calibri"/>
          <w:szCs w:val="24"/>
          <w:lang w:val="nl-NL"/>
        </w:rPr>
      </w:pPr>
      <w:r w:rsidRPr="00EE3302">
        <w:rPr>
          <w:rFonts w:eastAsia="Calibri"/>
          <w:szCs w:val="24"/>
          <w:lang w:val="nl-NL"/>
        </w:rPr>
        <w:t>KRISTEN L. BOYLES (WSB # 23806)</w:t>
      </w:r>
    </w:p>
    <w:p w14:paraId="10497598" w14:textId="188C130C" w:rsidR="00174D7E" w:rsidRPr="00EE3302" w:rsidRDefault="00174D7E" w:rsidP="00174D7E">
      <w:pPr>
        <w:ind w:left="4320"/>
        <w:rPr>
          <w:rFonts w:eastAsia="Calibri"/>
          <w:szCs w:val="24"/>
          <w:lang w:val="nl-NL"/>
        </w:rPr>
      </w:pPr>
      <w:r w:rsidRPr="00EE3302">
        <w:rPr>
          <w:rFonts w:eastAsia="Calibri"/>
          <w:szCs w:val="24"/>
          <w:lang w:val="nl-NL"/>
        </w:rPr>
        <w:t>AMANDA W. GOODIN</w:t>
      </w:r>
      <w:r w:rsidR="00BF0DC9">
        <w:rPr>
          <w:rFonts w:eastAsia="Calibri"/>
          <w:szCs w:val="24"/>
          <w:lang w:val="nl-NL"/>
        </w:rPr>
        <w:t xml:space="preserve"> (WSB # 41312</w:t>
      </w:r>
      <w:r w:rsidR="000B23D0" w:rsidRPr="00EE3302">
        <w:rPr>
          <w:rFonts w:eastAsia="Calibri"/>
          <w:szCs w:val="24"/>
          <w:lang w:val="nl-NL"/>
        </w:rPr>
        <w:t>)</w:t>
      </w:r>
    </w:p>
    <w:p w14:paraId="2B53D275" w14:textId="5E6159E7" w:rsidR="00174D7E" w:rsidRPr="00EE3302" w:rsidRDefault="00174D7E" w:rsidP="00174D7E">
      <w:pPr>
        <w:ind w:left="4320"/>
        <w:rPr>
          <w:rFonts w:eastAsia="Calibri"/>
          <w:szCs w:val="24"/>
        </w:rPr>
      </w:pPr>
      <w:r w:rsidRPr="00EE3302">
        <w:rPr>
          <w:rFonts w:eastAsia="Calibri"/>
          <w:szCs w:val="24"/>
        </w:rPr>
        <w:t>MATTHEW E. GERHART (WSB# 42787)</w:t>
      </w:r>
    </w:p>
    <w:p w14:paraId="22E3FF04" w14:textId="77777777" w:rsidR="00174D7E" w:rsidRPr="00EE3302" w:rsidRDefault="00174D7E" w:rsidP="00174D7E">
      <w:pPr>
        <w:ind w:left="4320"/>
        <w:rPr>
          <w:rFonts w:eastAsia="Calibri"/>
          <w:szCs w:val="24"/>
        </w:rPr>
      </w:pPr>
      <w:r w:rsidRPr="00EE3302">
        <w:rPr>
          <w:rFonts w:eastAsia="Calibri"/>
          <w:szCs w:val="24"/>
        </w:rPr>
        <w:t>Earthjustice</w:t>
      </w:r>
    </w:p>
    <w:p w14:paraId="1FBB10E6" w14:textId="77777777" w:rsidR="00174D7E" w:rsidRPr="00EE3302" w:rsidRDefault="00174D7E" w:rsidP="00174D7E">
      <w:pPr>
        <w:ind w:left="4320"/>
        <w:rPr>
          <w:rFonts w:eastAsia="Calibri"/>
          <w:szCs w:val="24"/>
        </w:rPr>
      </w:pPr>
      <w:r w:rsidRPr="00EE3302">
        <w:rPr>
          <w:rFonts w:eastAsia="Calibri"/>
          <w:szCs w:val="24"/>
        </w:rPr>
        <w:t>705 Second Avenue, Suite 203</w:t>
      </w:r>
    </w:p>
    <w:p w14:paraId="6684163A" w14:textId="77777777" w:rsidR="00174D7E" w:rsidRPr="00EE3302" w:rsidRDefault="00174D7E" w:rsidP="00174D7E">
      <w:pPr>
        <w:ind w:left="4320"/>
        <w:rPr>
          <w:rFonts w:eastAsia="Calibri"/>
          <w:szCs w:val="24"/>
        </w:rPr>
      </w:pPr>
      <w:r w:rsidRPr="00EE3302">
        <w:rPr>
          <w:rFonts w:eastAsia="Calibri"/>
          <w:szCs w:val="24"/>
        </w:rPr>
        <w:t>Seattle, WA  98104</w:t>
      </w:r>
    </w:p>
    <w:p w14:paraId="7455A4A1" w14:textId="77777777" w:rsidR="00174D7E" w:rsidRPr="00EE3302" w:rsidRDefault="00174D7E" w:rsidP="00174D7E">
      <w:pPr>
        <w:ind w:left="4320"/>
        <w:rPr>
          <w:rFonts w:eastAsia="Calibri"/>
          <w:szCs w:val="24"/>
        </w:rPr>
      </w:pPr>
      <w:r w:rsidRPr="00EE3302">
        <w:rPr>
          <w:rFonts w:eastAsia="Calibri"/>
          <w:szCs w:val="24"/>
        </w:rPr>
        <w:t>(206) 343-7340 | Phone</w:t>
      </w:r>
    </w:p>
    <w:p w14:paraId="1499B478" w14:textId="77777777" w:rsidR="00174D7E" w:rsidRPr="00EE3302" w:rsidRDefault="00174D7E" w:rsidP="00174D7E">
      <w:pPr>
        <w:ind w:left="4320"/>
        <w:rPr>
          <w:rFonts w:eastAsia="Calibri"/>
          <w:szCs w:val="24"/>
        </w:rPr>
      </w:pPr>
      <w:r w:rsidRPr="00EE3302">
        <w:rPr>
          <w:rFonts w:eastAsia="Calibri"/>
          <w:szCs w:val="24"/>
        </w:rPr>
        <w:t>(206) 343-1526 | Fax</w:t>
      </w:r>
    </w:p>
    <w:p w14:paraId="238C86C0" w14:textId="1A248306" w:rsidR="004E1157" w:rsidRPr="00EE3302" w:rsidRDefault="00174D7E" w:rsidP="00174D7E">
      <w:pPr>
        <w:ind w:left="4320"/>
        <w:rPr>
          <w:rFonts w:eastAsia="Calibri"/>
          <w:szCs w:val="24"/>
        </w:rPr>
      </w:pPr>
      <w:r w:rsidRPr="00EE3302">
        <w:rPr>
          <w:rFonts w:eastAsia="Calibri"/>
          <w:szCs w:val="24"/>
        </w:rPr>
        <w:t>kboyles@earthjustice.org</w:t>
      </w:r>
    </w:p>
    <w:p w14:paraId="611A3755" w14:textId="32C26DAF" w:rsidR="00B87BA1" w:rsidRPr="00EE3302" w:rsidRDefault="00174D7E" w:rsidP="000B23D0">
      <w:pPr>
        <w:ind w:left="4320"/>
        <w:rPr>
          <w:rFonts w:eastAsia="Calibri"/>
          <w:szCs w:val="24"/>
        </w:rPr>
      </w:pPr>
      <w:r w:rsidRPr="00EE3302">
        <w:rPr>
          <w:rFonts w:eastAsia="Calibri"/>
          <w:szCs w:val="24"/>
        </w:rPr>
        <w:t>agoodin@earthjustice.org</w:t>
      </w:r>
    </w:p>
    <w:sectPr w:rsidR="00B87BA1" w:rsidRPr="00EE3302" w:rsidSect="0020046E">
      <w:pgSz w:w="12240" w:h="15840" w:code="1"/>
      <w:pgMar w:top="1440" w:right="1440" w:bottom="1440" w:left="1440" w:header="720" w:footer="432" w:gutter="0"/>
      <w:paperSrc w:first="275" w:other="27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3397F" w14:textId="77777777" w:rsidR="009F1998" w:rsidRPr="00073291" w:rsidRDefault="009F1998">
      <w:r w:rsidRPr="00073291">
        <w:separator/>
      </w:r>
    </w:p>
  </w:endnote>
  <w:endnote w:type="continuationSeparator" w:id="0">
    <w:p w14:paraId="3E85F844" w14:textId="77777777" w:rsidR="009F1998" w:rsidRPr="00073291" w:rsidRDefault="009F1998">
      <w:r w:rsidRPr="000732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99E4E" w14:textId="3F67C404" w:rsidR="009B56C1" w:rsidRDefault="009B56C1" w:rsidP="00685EAC">
    <w:pPr>
      <w:pStyle w:val="Footer"/>
      <w:tabs>
        <w:tab w:val="clear" w:pos="4320"/>
        <w:tab w:val="clear" w:pos="8640"/>
        <w:tab w:val="right" w:pos="180"/>
        <w:tab w:val="right" w:pos="9090"/>
      </w:tabs>
      <w:rPr>
        <w:noProof/>
      </w:rPr>
    </w:pPr>
    <w:r>
      <w:t>Post-Hearing Reply Brief of NWEC, RNW, NRDC</w:t>
    </w:r>
    <w:r>
      <w:tab/>
      <w:t xml:space="preserve">Page </w:t>
    </w:r>
    <w:r w:rsidR="00724810">
      <w:t xml:space="preserve"> </w:t>
    </w:r>
    <w:r>
      <w:fldChar w:fldCharType="begin"/>
    </w:r>
    <w:r>
      <w:instrText xml:space="preserve"> PAGE   \* MERGEFORMAT </w:instrText>
    </w:r>
    <w:r>
      <w:fldChar w:fldCharType="separate"/>
    </w:r>
    <w:r w:rsidR="00457FFB">
      <w:rPr>
        <w:noProof/>
      </w:rPr>
      <w:t>i</w:t>
    </w:r>
    <w:r>
      <w:rPr>
        <w:noProof/>
      </w:rPr>
      <w:fldChar w:fldCharType="end"/>
    </w:r>
  </w:p>
  <w:p w14:paraId="7DAB0078" w14:textId="77777777" w:rsidR="009B56C1" w:rsidRDefault="009B56C1" w:rsidP="00685EAC">
    <w:pPr>
      <w:pStyle w:val="Footer"/>
      <w:tabs>
        <w:tab w:val="clear" w:pos="4320"/>
        <w:tab w:val="clear" w:pos="8640"/>
        <w:tab w:val="right" w:pos="180"/>
        <w:tab w:val="right" w:pos="9090"/>
      </w:tabs>
    </w:pPr>
    <w:r>
      <w:t>Docket Nos. UE-170033/UG-170034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EE654" w14:textId="77777777" w:rsidR="009F1998" w:rsidRPr="00073291" w:rsidRDefault="009F1998">
      <w:r w:rsidRPr="00073291">
        <w:separator/>
      </w:r>
    </w:p>
  </w:footnote>
  <w:footnote w:type="continuationSeparator" w:id="0">
    <w:p w14:paraId="40E59A8B" w14:textId="77777777" w:rsidR="009F1998" w:rsidRPr="00073291" w:rsidRDefault="009F1998">
      <w:r w:rsidRPr="00073291">
        <w:continuationSeparator/>
      </w:r>
    </w:p>
  </w:footnote>
  <w:footnote w:id="1">
    <w:p w14:paraId="512F94CC" w14:textId="4F5B281A" w:rsidR="009B56C1" w:rsidRDefault="009B56C1">
      <w:pPr>
        <w:pStyle w:val="FootnoteText"/>
      </w:pPr>
      <w:r>
        <w:rPr>
          <w:rStyle w:val="FootnoteReference"/>
        </w:rPr>
        <w:footnoteRef/>
      </w:r>
      <w:r>
        <w:t xml:space="preserve"> FEA Br. at 5-6; ICNU Br. at ¶¶ 43-46.</w:t>
      </w:r>
    </w:p>
  </w:footnote>
  <w:footnote w:id="2">
    <w:p w14:paraId="17CE0C56" w14:textId="151921ED" w:rsidR="009B56C1" w:rsidRDefault="009B56C1">
      <w:pPr>
        <w:pStyle w:val="FootnoteText"/>
      </w:pPr>
      <w:r>
        <w:rPr>
          <w:rStyle w:val="FootnoteReference"/>
        </w:rPr>
        <w:footnoteRef/>
      </w:r>
      <w:r>
        <w:t xml:space="preserve"> NWEC Br. at ¶¶ 6-8.</w:t>
      </w:r>
    </w:p>
  </w:footnote>
  <w:footnote w:id="3">
    <w:p w14:paraId="5FB64C4F" w14:textId="2931F9C8" w:rsidR="009B56C1" w:rsidRDefault="009B56C1">
      <w:pPr>
        <w:pStyle w:val="FootnoteText"/>
      </w:pPr>
      <w:r>
        <w:rPr>
          <w:rStyle w:val="FootnoteReference"/>
        </w:rPr>
        <w:footnoteRef/>
      </w:r>
      <w:r>
        <w:t xml:space="preserve"> ICNU Br. at ¶¶ 47-52.</w:t>
      </w:r>
    </w:p>
  </w:footnote>
  <w:footnote w:id="4">
    <w:p w14:paraId="29EAAC13" w14:textId="53533C3B" w:rsidR="009B56C1" w:rsidRDefault="009B56C1">
      <w:pPr>
        <w:pStyle w:val="FootnoteText"/>
      </w:pPr>
      <w:r>
        <w:rPr>
          <w:rStyle w:val="FootnoteReference"/>
        </w:rPr>
        <w:footnoteRef/>
      </w:r>
      <w:r>
        <w:t xml:space="preserve"> </w:t>
      </w:r>
      <w:r w:rsidRPr="00F4575F">
        <w:rPr>
          <w:i/>
        </w:rPr>
        <w:t>Id.</w:t>
      </w:r>
      <w:r>
        <w:t xml:space="preserve"> at ¶ 50 (citing </w:t>
      </w:r>
      <w:r w:rsidRPr="00D037D3">
        <w:rPr>
          <w:i/>
        </w:rPr>
        <w:t>Wa. Indep. Telephone Ass’n v. Telecomm. Ratepayers Ass’n for Cost-Based Equitable Rate</w:t>
      </w:r>
      <w:r>
        <w:t>, 55 Wn. App. 356 (1994)).</w:t>
      </w:r>
    </w:p>
  </w:footnote>
  <w:footnote w:id="5">
    <w:p w14:paraId="57E5FE16" w14:textId="36BCB0C6" w:rsidR="009B56C1" w:rsidRDefault="009B56C1">
      <w:pPr>
        <w:pStyle w:val="FootnoteText"/>
      </w:pPr>
      <w:r>
        <w:rPr>
          <w:rStyle w:val="FootnoteReference"/>
        </w:rPr>
        <w:footnoteRef/>
      </w:r>
      <w:r>
        <w:t xml:space="preserve"> </w:t>
      </w:r>
      <w:r w:rsidRPr="00B52CAD">
        <w:rPr>
          <w:i/>
        </w:rPr>
        <w:t>Id.</w:t>
      </w:r>
      <w:r>
        <w:t xml:space="preserve"> at ¶ 51 (citing </w:t>
      </w:r>
      <w:r w:rsidRPr="00410E0C">
        <w:rPr>
          <w:i/>
        </w:rPr>
        <w:t>Jewell v. WUTC</w:t>
      </w:r>
      <w:r>
        <w:t>, 90 Wn.2d 775 (1978)).</w:t>
      </w:r>
    </w:p>
  </w:footnote>
  <w:footnote w:id="6">
    <w:p w14:paraId="3C2C36B7" w14:textId="048ACB96" w:rsidR="009B56C1" w:rsidRDefault="009B56C1">
      <w:pPr>
        <w:pStyle w:val="FootnoteText"/>
      </w:pPr>
      <w:r>
        <w:rPr>
          <w:rStyle w:val="FootnoteReference"/>
        </w:rPr>
        <w:footnoteRef/>
      </w:r>
      <w:r>
        <w:t xml:space="preserve"> </w:t>
      </w:r>
      <w:r w:rsidRPr="0057370A">
        <w:rPr>
          <w:i/>
        </w:rPr>
        <w:t>See</w:t>
      </w:r>
      <w:r w:rsidRPr="0057370A">
        <w:t xml:space="preserve"> Third-Year Report at 114; Piliaris, Exh. JAP-1T at 127:11-14.</w:t>
      </w:r>
    </w:p>
  </w:footnote>
  <w:footnote w:id="7">
    <w:p w14:paraId="678549DB" w14:textId="402CFA91" w:rsidR="009B56C1" w:rsidRDefault="009B56C1">
      <w:pPr>
        <w:pStyle w:val="FootnoteText"/>
      </w:pPr>
      <w:r>
        <w:rPr>
          <w:rStyle w:val="FootnoteReference"/>
        </w:rPr>
        <w:footnoteRef/>
      </w:r>
      <w:r>
        <w:t xml:space="preserve"> </w:t>
      </w:r>
      <w:r w:rsidRPr="0057370A">
        <w:t xml:space="preserve">Second-Year Report at 5; </w:t>
      </w:r>
      <w:r w:rsidRPr="0057370A">
        <w:rPr>
          <w:i/>
        </w:rPr>
        <w:t>see also</w:t>
      </w:r>
      <w:r w:rsidRPr="0057370A">
        <w:t xml:space="preserve"> Third-Year Report at 20, 87-88, 94.</w:t>
      </w:r>
    </w:p>
  </w:footnote>
  <w:footnote w:id="8">
    <w:p w14:paraId="28AE3FB8" w14:textId="6E213315" w:rsidR="009B56C1" w:rsidRDefault="009B56C1">
      <w:pPr>
        <w:pStyle w:val="FootnoteText"/>
      </w:pPr>
      <w:r>
        <w:rPr>
          <w:rStyle w:val="FootnoteReference"/>
        </w:rPr>
        <w:footnoteRef/>
      </w:r>
      <w:r>
        <w:t xml:space="preserve"> </w:t>
      </w:r>
      <w:r w:rsidRPr="00D36A8F">
        <w:t>D</w:t>
      </w:r>
      <w:bookmarkStart w:id="5" w:name="_BA_Cite_FAD85A_000029"/>
      <w:bookmarkEnd w:id="5"/>
      <w:r w:rsidRPr="00D36A8F">
        <w:t>ocket No. UE-100522, Report and Policy Statement on Regulatory Mechanisms, Including Decoupling, to Encourage Utilities to Meet or Exceed Their Conservation Targets (Nov. 4, 2010) (“2010 Decoupling Policy”).</w:t>
      </w:r>
    </w:p>
  </w:footnote>
  <w:footnote w:id="9">
    <w:p w14:paraId="3A07D922" w14:textId="4AC3D11C" w:rsidR="009B56C1" w:rsidRDefault="009B56C1" w:rsidP="00D164DB">
      <w:pPr>
        <w:pStyle w:val="FootnoteText"/>
      </w:pPr>
      <w:r>
        <w:rPr>
          <w:rStyle w:val="FootnoteReference"/>
        </w:rPr>
        <w:footnoteRef/>
      </w:r>
      <w:r>
        <w:t xml:space="preserve"> NWEC Br. at ¶¶ 25-31.</w:t>
      </w:r>
    </w:p>
  </w:footnote>
  <w:footnote w:id="10">
    <w:p w14:paraId="5C108461" w14:textId="555D5FB1" w:rsidR="009B56C1" w:rsidRDefault="009B56C1">
      <w:pPr>
        <w:pStyle w:val="FootnoteText"/>
      </w:pPr>
      <w:r>
        <w:rPr>
          <w:rStyle w:val="FootnoteReference"/>
        </w:rPr>
        <w:footnoteRef/>
      </w:r>
      <w:r>
        <w:t xml:space="preserve"> </w:t>
      </w:r>
      <w:r w:rsidRPr="007720A5">
        <w:rPr>
          <w:i/>
        </w:rPr>
        <w:t>Id.</w:t>
      </w:r>
      <w:r>
        <w:t xml:space="preserve"> at ¶¶ 20-34.</w:t>
      </w:r>
    </w:p>
  </w:footnote>
  <w:footnote w:id="11">
    <w:p w14:paraId="7CACF19E" w14:textId="29600F0E" w:rsidR="009B56C1" w:rsidRDefault="009B56C1" w:rsidP="00D164DB">
      <w:pPr>
        <w:pStyle w:val="FootnoteText"/>
      </w:pPr>
      <w:r w:rsidRPr="00744CED">
        <w:rPr>
          <w:rStyle w:val="FootnoteReference"/>
        </w:rPr>
        <w:footnoteRef/>
      </w:r>
      <w:r w:rsidRPr="00744CED">
        <w:t xml:space="preserve"> PSE Br. at </w:t>
      </w:r>
      <w:r>
        <w:t>¶¶ 102-08.</w:t>
      </w:r>
    </w:p>
  </w:footnote>
  <w:footnote w:id="12">
    <w:p w14:paraId="50E73B54" w14:textId="6460AD7B" w:rsidR="009B56C1" w:rsidRDefault="009B56C1">
      <w:pPr>
        <w:pStyle w:val="FootnoteText"/>
      </w:pPr>
      <w:r>
        <w:rPr>
          <w:rStyle w:val="FootnoteReference"/>
        </w:rPr>
        <w:footnoteRef/>
      </w:r>
      <w:r>
        <w:t xml:space="preserve"> Staff Br. at ¶¶ 40-48.</w:t>
      </w:r>
    </w:p>
  </w:footnote>
  <w:footnote w:id="13">
    <w:p w14:paraId="04C7F444" w14:textId="77777777" w:rsidR="009B56C1" w:rsidRDefault="009B56C1" w:rsidP="001B566D">
      <w:pPr>
        <w:pStyle w:val="FootnoteText"/>
      </w:pPr>
      <w:r>
        <w:rPr>
          <w:rStyle w:val="FootnoteReference"/>
        </w:rPr>
        <w:footnoteRef/>
      </w:r>
      <w:r>
        <w:t xml:space="preserve"> </w:t>
      </w:r>
      <w:r w:rsidRPr="007720A5">
        <w:rPr>
          <w:i/>
        </w:rPr>
        <w:t>Id.</w:t>
      </w:r>
      <w:r>
        <w:t xml:space="preserve"> at ¶ 45.</w:t>
      </w:r>
    </w:p>
  </w:footnote>
  <w:footnote w:id="14">
    <w:p w14:paraId="57492597" w14:textId="0FCC3DD9" w:rsidR="009B56C1" w:rsidRDefault="009B56C1">
      <w:pPr>
        <w:pStyle w:val="FootnoteText"/>
      </w:pPr>
      <w:r>
        <w:rPr>
          <w:rStyle w:val="FootnoteReference"/>
        </w:rPr>
        <w:footnoteRef/>
      </w:r>
      <w:r>
        <w:t xml:space="preserve"> </w:t>
      </w:r>
      <w:r w:rsidRPr="002B02E7">
        <w:rPr>
          <w:i/>
        </w:rPr>
        <w:t>Id.</w:t>
      </w:r>
    </w:p>
  </w:footnote>
  <w:footnote w:id="15">
    <w:p w14:paraId="401EE14E" w14:textId="19E38161" w:rsidR="009B56C1" w:rsidRDefault="009B56C1">
      <w:pPr>
        <w:pStyle w:val="FootnoteText"/>
      </w:pPr>
      <w:r>
        <w:rPr>
          <w:rStyle w:val="FootnoteReference"/>
        </w:rPr>
        <w:footnoteRef/>
      </w:r>
      <w:r>
        <w:t xml:space="preserve"> </w:t>
      </w:r>
      <w:r w:rsidRPr="003617D7">
        <w:rPr>
          <w:i/>
        </w:rPr>
        <w:t>Id.</w:t>
      </w:r>
      <w:r>
        <w:t xml:space="preserve"> at ¶ 44-45.</w:t>
      </w:r>
    </w:p>
  </w:footnote>
  <w:footnote w:id="16">
    <w:p w14:paraId="4DC9DF1E" w14:textId="3362C90C" w:rsidR="009B56C1" w:rsidRDefault="009B56C1">
      <w:pPr>
        <w:pStyle w:val="FootnoteText"/>
      </w:pPr>
      <w:r>
        <w:rPr>
          <w:rStyle w:val="FootnoteReference"/>
        </w:rPr>
        <w:footnoteRef/>
      </w:r>
      <w:r>
        <w:t xml:space="preserve"> </w:t>
      </w:r>
      <w:r w:rsidRPr="00E13B4D">
        <w:rPr>
          <w:i/>
        </w:rPr>
        <w:t>Id.</w:t>
      </w:r>
      <w:r>
        <w:t xml:space="preserve"> at ¶ 47.</w:t>
      </w:r>
    </w:p>
  </w:footnote>
  <w:footnote w:id="17">
    <w:p w14:paraId="56C2C360" w14:textId="3A7CA53F" w:rsidR="009B56C1" w:rsidRDefault="009B56C1">
      <w:pPr>
        <w:pStyle w:val="FootnoteText"/>
      </w:pPr>
      <w:r>
        <w:rPr>
          <w:rStyle w:val="FootnoteReference"/>
        </w:rPr>
        <w:footnoteRef/>
      </w:r>
      <w:r>
        <w:t xml:space="preserve"> </w:t>
      </w:r>
      <w:r w:rsidRPr="00DE6C42">
        <w:rPr>
          <w:i/>
        </w:rPr>
        <w:t>Id.</w:t>
      </w:r>
    </w:p>
  </w:footnote>
  <w:footnote w:id="18">
    <w:p w14:paraId="3E11170C" w14:textId="7CDAB65A" w:rsidR="009B56C1" w:rsidRDefault="009B56C1">
      <w:pPr>
        <w:pStyle w:val="FootnoteText"/>
      </w:pPr>
      <w:r>
        <w:rPr>
          <w:rStyle w:val="FootnoteReference"/>
        </w:rPr>
        <w:footnoteRef/>
      </w:r>
      <w:r>
        <w:t xml:space="preserve"> </w:t>
      </w:r>
      <w:r w:rsidRPr="003C0302">
        <w:rPr>
          <w:i/>
        </w:rPr>
        <w:t>Id.</w:t>
      </w:r>
      <w:r>
        <w:t xml:space="preserve"> </w:t>
      </w:r>
    </w:p>
  </w:footnote>
  <w:footnote w:id="19">
    <w:p w14:paraId="26F2540D" w14:textId="0D3B5D6B" w:rsidR="009B56C1" w:rsidRDefault="009B56C1" w:rsidP="00AA716E">
      <w:pPr>
        <w:pStyle w:val="FootnoteText"/>
      </w:pPr>
      <w:r>
        <w:rPr>
          <w:rStyle w:val="FootnoteReference"/>
        </w:rPr>
        <w:footnoteRef/>
      </w:r>
      <w:r>
        <w:t xml:space="preserve"> NWEC Br. at ¶¶ 35-37.</w:t>
      </w:r>
    </w:p>
  </w:footnote>
  <w:footnote w:id="20">
    <w:p w14:paraId="50665D68" w14:textId="7B34C56B" w:rsidR="009B56C1" w:rsidRPr="00525F51" w:rsidRDefault="009B56C1">
      <w:pPr>
        <w:pStyle w:val="FootnoteText"/>
        <w:rPr>
          <w:iCs/>
        </w:rPr>
      </w:pPr>
      <w:r>
        <w:rPr>
          <w:rStyle w:val="FootnoteReference"/>
        </w:rPr>
        <w:footnoteRef/>
      </w:r>
      <w:r>
        <w:t xml:space="preserve"> </w:t>
      </w:r>
      <w:r w:rsidRPr="009F2657">
        <w:rPr>
          <w:i/>
          <w:iCs/>
        </w:rPr>
        <w:t>Id.</w:t>
      </w:r>
      <w:r>
        <w:rPr>
          <w:iCs/>
        </w:rPr>
        <w:t xml:space="preserve"> </w:t>
      </w:r>
      <w:r>
        <w:t>at ¶¶ 38-39.</w:t>
      </w:r>
    </w:p>
  </w:footnote>
  <w:footnote w:id="21">
    <w:p w14:paraId="426C6CD2" w14:textId="03303E3D" w:rsidR="009B56C1" w:rsidRDefault="009B56C1">
      <w:pPr>
        <w:pStyle w:val="FootnoteText"/>
      </w:pPr>
      <w:r>
        <w:rPr>
          <w:rStyle w:val="FootnoteReference"/>
        </w:rPr>
        <w:footnoteRef/>
      </w:r>
      <w:r>
        <w:t xml:space="preserve"> PSE Br. at ¶¶ 111-12.</w:t>
      </w:r>
    </w:p>
  </w:footnote>
  <w:footnote w:id="22">
    <w:p w14:paraId="1692B0EF" w14:textId="1C81B6D7" w:rsidR="009B56C1" w:rsidRDefault="009B56C1">
      <w:pPr>
        <w:pStyle w:val="FootnoteText"/>
      </w:pPr>
      <w:r>
        <w:rPr>
          <w:rStyle w:val="FootnoteReference"/>
        </w:rPr>
        <w:footnoteRef/>
      </w:r>
      <w:r>
        <w:t xml:space="preserve"> NWEC Br. at ¶¶ 40-41.</w:t>
      </w:r>
    </w:p>
  </w:footnote>
  <w:footnote w:id="23">
    <w:p w14:paraId="5F141560" w14:textId="0B0136A7" w:rsidR="009B56C1" w:rsidRDefault="009B56C1">
      <w:pPr>
        <w:pStyle w:val="FootnoteText"/>
      </w:pPr>
      <w:r>
        <w:rPr>
          <w:rStyle w:val="FootnoteReference"/>
        </w:rPr>
        <w:footnoteRef/>
      </w:r>
      <w:r>
        <w:t xml:space="preserve"> PSE Br. at ¶ 12; Exh. EDH-1T at 8:6 –  9:13; Exh. TMP-9T at 7:18 – 8:11. </w:t>
      </w:r>
    </w:p>
  </w:footnote>
  <w:footnote w:id="24">
    <w:p w14:paraId="0B9FA6CF" w14:textId="5C1ED67E" w:rsidR="009B56C1" w:rsidRDefault="009B56C1">
      <w:pPr>
        <w:pStyle w:val="FootnoteText"/>
      </w:pPr>
      <w:r>
        <w:rPr>
          <w:rStyle w:val="FootnoteReference"/>
        </w:rPr>
        <w:footnoteRef/>
      </w:r>
      <w:r>
        <w:t xml:space="preserve"> Public Counsel Br. at ¶¶ 53-60.</w:t>
      </w:r>
    </w:p>
  </w:footnote>
  <w:footnote w:id="25">
    <w:p w14:paraId="6E9AE144" w14:textId="7D21134D" w:rsidR="009B56C1" w:rsidRDefault="009B56C1">
      <w:pPr>
        <w:pStyle w:val="FootnoteText"/>
      </w:pPr>
      <w:r>
        <w:rPr>
          <w:rStyle w:val="FootnoteReference"/>
        </w:rPr>
        <w:footnoteRef/>
      </w:r>
      <w:r>
        <w:t xml:space="preserve"> </w:t>
      </w:r>
      <w:r w:rsidRPr="0010336A">
        <w:rPr>
          <w:i/>
        </w:rPr>
        <w:t>See</w:t>
      </w:r>
      <w:r>
        <w:t xml:space="preserve"> Exh. EDH-1T at 25:3 – 36:10; Exh. TMP-1T at 18:22 – 23:16; Exh. TMP-9T at 19:22 – 20:24. </w:t>
      </w:r>
    </w:p>
  </w:footnote>
  <w:footnote w:id="26">
    <w:p w14:paraId="022E6792" w14:textId="19C7F476" w:rsidR="009B56C1" w:rsidRDefault="009B56C1">
      <w:pPr>
        <w:pStyle w:val="FootnoteText"/>
      </w:pPr>
      <w:r>
        <w:rPr>
          <w:rStyle w:val="FootnoteReference"/>
        </w:rPr>
        <w:footnoteRef/>
      </w:r>
      <w:r>
        <w:t xml:space="preserve"> Exh. RMM-12T at 6:12-14.</w:t>
      </w:r>
    </w:p>
  </w:footnote>
  <w:footnote w:id="27">
    <w:p w14:paraId="2205A010" w14:textId="09C19B3A" w:rsidR="009B56C1" w:rsidRDefault="009B56C1">
      <w:pPr>
        <w:pStyle w:val="FootnoteText"/>
      </w:pPr>
      <w:r>
        <w:rPr>
          <w:rStyle w:val="FootnoteReference"/>
        </w:rPr>
        <w:footnoteRef/>
      </w:r>
      <w:r>
        <w:t xml:space="preserve"> </w:t>
      </w:r>
      <w:r w:rsidRPr="0010336A">
        <w:rPr>
          <w:i/>
        </w:rPr>
        <w:t>See</w:t>
      </w:r>
      <w:r>
        <w:t xml:space="preserve"> Exh. EDH-1T at 25:3 – 36:10; Exh. TMP-1T at 18:22 – 23:16; Exh. TMP-9T at 19:22 – 20:24; </w:t>
      </w:r>
      <w:r w:rsidRPr="002B02E7">
        <w:rPr>
          <w:i/>
        </w:rPr>
        <w:t>see also</w:t>
      </w:r>
      <w:r>
        <w:t xml:space="preserve"> PSE Br. at ¶ 12. </w:t>
      </w:r>
    </w:p>
  </w:footnote>
  <w:footnote w:id="28">
    <w:p w14:paraId="43E6ABC0" w14:textId="2BAB989B" w:rsidR="009B56C1" w:rsidRDefault="009B56C1">
      <w:pPr>
        <w:pStyle w:val="FootnoteText"/>
      </w:pPr>
      <w:r>
        <w:rPr>
          <w:rStyle w:val="FootnoteReference"/>
        </w:rPr>
        <w:footnoteRef/>
      </w:r>
      <w:r>
        <w:t xml:space="preserve"> Exh. RMM-12T at 8:6-8.</w:t>
      </w:r>
    </w:p>
  </w:footnote>
  <w:footnote w:id="29">
    <w:p w14:paraId="0B87225F" w14:textId="7B574E6E" w:rsidR="009B56C1" w:rsidRDefault="009B56C1">
      <w:pPr>
        <w:pStyle w:val="FootnoteText"/>
      </w:pPr>
      <w:r>
        <w:rPr>
          <w:rStyle w:val="FootnoteReference"/>
        </w:rPr>
        <w:footnoteRef/>
      </w:r>
      <w:r>
        <w:t xml:space="preserve"> Exh. TMP-9T at 12:19 – 18:21. </w:t>
      </w:r>
    </w:p>
  </w:footnote>
  <w:footnote w:id="30">
    <w:p w14:paraId="742308A4" w14:textId="00F206BA" w:rsidR="009B56C1" w:rsidRDefault="009B56C1">
      <w:pPr>
        <w:pStyle w:val="FootnoteText"/>
      </w:pPr>
      <w:r>
        <w:rPr>
          <w:rStyle w:val="FootnoteReference"/>
        </w:rPr>
        <w:footnoteRef/>
      </w:r>
      <w:r>
        <w:t xml:space="preserve"> Public Counsel Br. at ¶ 62 (emphasis added).</w:t>
      </w:r>
    </w:p>
  </w:footnote>
  <w:footnote w:id="31">
    <w:p w14:paraId="44C71976" w14:textId="610F9EF1" w:rsidR="009B56C1" w:rsidRDefault="009B56C1">
      <w:pPr>
        <w:pStyle w:val="FootnoteText"/>
      </w:pPr>
      <w:r>
        <w:rPr>
          <w:rStyle w:val="FootnoteReference"/>
        </w:rPr>
        <w:footnoteRef/>
      </w:r>
      <w:r>
        <w:t xml:space="preserve"> Exh. TMP-9T at 21:12-15.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03B87"/>
    <w:multiLevelType w:val="hybridMultilevel"/>
    <w:tmpl w:val="5D9CB480"/>
    <w:lvl w:ilvl="0" w:tplc="3DEE50DA">
      <w:start w:val="1"/>
      <w:numFmt w:val="decimal"/>
      <w:lvlText w:val="%1"/>
      <w:lvlJc w:val="left"/>
      <w:pPr>
        <w:ind w:left="1188" w:hanging="360"/>
      </w:pPr>
      <w:rPr>
        <w:rFonts w:hint="default"/>
        <w:i/>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10E559DE"/>
    <w:multiLevelType w:val="singleLevel"/>
    <w:tmpl w:val="FEE8C3C0"/>
    <w:lvl w:ilvl="0">
      <w:start w:val="1"/>
      <w:numFmt w:val="decimal"/>
      <w:lvlText w:val="%1."/>
      <w:lvlJc w:val="left"/>
      <w:pPr>
        <w:tabs>
          <w:tab w:val="num" w:pos="1440"/>
        </w:tabs>
        <w:ind w:left="1440" w:hanging="720"/>
      </w:pPr>
      <w:rPr>
        <w:rFonts w:hint="default"/>
      </w:rPr>
    </w:lvl>
  </w:abstractNum>
  <w:abstractNum w:abstractNumId="2" w15:restartNumberingAfterBreak="0">
    <w:nsid w:val="12C53D22"/>
    <w:multiLevelType w:val="hybridMultilevel"/>
    <w:tmpl w:val="EFF08716"/>
    <w:lvl w:ilvl="0" w:tplc="D8082C1A">
      <w:start w:val="1"/>
      <w:numFmt w:val="decimal"/>
      <w:lvlText w:val="%1"/>
      <w:lvlJc w:val="left"/>
      <w:pPr>
        <w:ind w:left="2883" w:hanging="1155"/>
      </w:pPr>
      <w:rPr>
        <w:rFonts w:hint="default"/>
        <w:i/>
        <w:sz w:val="20"/>
        <w:szCs w:val="20"/>
      </w:rPr>
    </w:lvl>
    <w:lvl w:ilvl="1" w:tplc="04090019">
      <w:start w:val="1"/>
      <w:numFmt w:val="lowerLetter"/>
      <w:lvlText w:val="%2."/>
      <w:lvlJc w:val="left"/>
      <w:pPr>
        <w:ind w:left="2808" w:hanging="360"/>
      </w:pPr>
    </w:lvl>
    <w:lvl w:ilvl="2" w:tplc="0409001B">
      <w:start w:val="1"/>
      <w:numFmt w:val="lowerRoman"/>
      <w:lvlText w:val="%3."/>
      <w:lvlJc w:val="right"/>
      <w:pPr>
        <w:ind w:left="3528" w:hanging="180"/>
      </w:pPr>
    </w:lvl>
    <w:lvl w:ilvl="3" w:tplc="0409000F">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3" w15:restartNumberingAfterBreak="0">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4" w15:restartNumberingAfterBreak="0">
    <w:nsid w:val="1CE53F0B"/>
    <w:multiLevelType w:val="multilevel"/>
    <w:tmpl w:val="1EAAA410"/>
    <w:lvl w:ilvl="0">
      <w:start w:val="1"/>
      <w:numFmt w:val="none"/>
      <w:suff w:val="nothing"/>
      <w:lvlText w:val="%1"/>
      <w:lvlJc w:val="center"/>
      <w:pPr>
        <w:ind w:left="0" w:firstLine="0"/>
      </w:pPr>
      <w:rPr>
        <w:rFonts w:hint="default"/>
      </w:rPr>
    </w:lvl>
    <w:lvl w:ilvl="1">
      <w:start w:val="1"/>
      <w:numFmt w:val="upperRoman"/>
      <w:lvlText w:val="%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u w:val="none"/>
      </w:rPr>
    </w:lvl>
    <w:lvl w:ilvl="3">
      <w:start w:val="1"/>
      <w:numFmt w:val="decimal"/>
      <w:lvlText w:val="%4."/>
      <w:lvlJc w:val="left"/>
      <w:pPr>
        <w:tabs>
          <w:tab w:val="num" w:pos="2160"/>
        </w:tabs>
        <w:ind w:left="2160" w:hanging="720"/>
      </w:pPr>
      <w:rPr>
        <w:rFonts w:hint="default"/>
        <w:b w:val="0"/>
        <w:i/>
      </w:rPr>
    </w:lvl>
    <w:lvl w:ilvl="4">
      <w:start w:val="1"/>
      <w:numFmt w:val="lowerRoman"/>
      <w:lvlText w:val="%5."/>
      <w:lvlJc w:val="left"/>
      <w:pPr>
        <w:tabs>
          <w:tab w:val="num" w:pos="2880"/>
        </w:tabs>
        <w:ind w:left="2880" w:hanging="720"/>
      </w:pPr>
      <w:rPr>
        <w:rFonts w:hint="default"/>
      </w:rPr>
    </w:lvl>
    <w:lvl w:ilvl="5">
      <w:start w:val="1"/>
      <w:numFmt w:val="none"/>
      <w:lvlText w:val=""/>
      <w:lvlJc w:val="left"/>
      <w:pPr>
        <w:tabs>
          <w:tab w:val="num" w:pos="360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5" w15:restartNumberingAfterBreak="0">
    <w:nsid w:val="32C973E9"/>
    <w:multiLevelType w:val="singleLevel"/>
    <w:tmpl w:val="C8608CCE"/>
    <w:lvl w:ilvl="0">
      <w:start w:val="1"/>
      <w:numFmt w:val="decimal"/>
      <w:pStyle w:val="ParaNum"/>
      <w:lvlText w:val="%1."/>
      <w:lvlJc w:val="left"/>
      <w:pPr>
        <w:tabs>
          <w:tab w:val="num" w:pos="360"/>
        </w:tabs>
        <w:ind w:left="360" w:hanging="360"/>
      </w:pPr>
    </w:lvl>
  </w:abstractNum>
  <w:abstractNum w:abstractNumId="6" w15:restartNumberingAfterBreak="0">
    <w:nsid w:val="33D41653"/>
    <w:multiLevelType w:val="hybridMultilevel"/>
    <w:tmpl w:val="A710B282"/>
    <w:lvl w:ilvl="0" w:tplc="F9028E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0752B0"/>
    <w:multiLevelType w:val="hybridMultilevel"/>
    <w:tmpl w:val="DAEAED3C"/>
    <w:lvl w:ilvl="0" w:tplc="D60878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374F13"/>
    <w:multiLevelType w:val="hybridMultilevel"/>
    <w:tmpl w:val="65281914"/>
    <w:lvl w:ilvl="0" w:tplc="C1C4053A">
      <w:start w:val="1"/>
      <w:numFmt w:val="decimal"/>
      <w:lvlText w:val="%1"/>
      <w:lvlJc w:val="left"/>
      <w:pPr>
        <w:ind w:left="-720" w:hanging="360"/>
      </w:pPr>
      <w:rPr>
        <w:rFonts w:ascii="Times New Roman" w:hAnsi="Times New Roman" w:hint="default"/>
        <w:b w:val="0"/>
        <w:i/>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2E4C56"/>
    <w:multiLevelType w:val="hybridMultilevel"/>
    <w:tmpl w:val="59F46266"/>
    <w:lvl w:ilvl="0" w:tplc="352AD6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4"/>
  </w:num>
  <w:num w:numId="14">
    <w:abstractNumId w:val="2"/>
  </w:num>
  <w:num w:numId="15">
    <w:abstractNumId w:val="6"/>
  </w:num>
  <w:num w:numId="16">
    <w:abstractNumId w:val="9"/>
  </w:num>
  <w:num w:numId="17">
    <w:abstractNumId w:val="7"/>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hideSpellingErrors/>
  <w:hideGrammaticalError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nl-NL" w:vendorID="64" w:dllVersion="0" w:nlCheck="1" w:checkStyle="0"/>
  <w:activeWritingStyle w:appName="MSWord" w:lang="en-US" w:vendorID="64" w:dllVersion="131078"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BA_DictionariesAutoLoaded_" w:val="True"/>
    <w:docVar w:name="_BA_DictionaryFile_AutoLoadEveryone" w:val="K:\Application Data\Levit &amp; James, Inc\Best Authority\Shared\Dictionaries\AutoLoadEveryone.baod"/>
    <w:docVar w:name="_BA_DictionaryFile_AutoLoadPersonal" w:val="K:\Application Data\Levit &amp; James, Inc\Best Authority\Private\Dictionaries\AutoLoadPersonal.baod"/>
    <w:docVar w:name="_BA_Hash" w:val="RQJZY+"/>
    <w:docVar w:name="_BA_History_" w:val="|03/16/2012 09:24 AM;Set Scheme: Sample Common;chamborg|03/16/2012 09:25 AM;Scan;chamborg|03/16/2012 09:26 AM;Build Fully-Formatted TOAs;chamborg"/>
    <w:docVar w:name="_BA_LastTab_Right" w:val="0"/>
    <w:docVar w:name="_BA_ReformatLongs" w:val="Current"/>
    <w:docVar w:name="_BA_ScanOptions" w:val="0|1||2|False|False|False|False|False|True|True|False|False|0|WA|0.2|False"/>
    <w:docVar w:name="_BA_SchemeCustomized_" w:val="False"/>
    <w:docVar w:name="_BA_SchemeValues_" w:val="_x000d__x000a__x000d__x000a_[@STARTINI@]_x000d__x000a__x000d__x000a_[@[Options]@]_x000d__x000a__x000d__x000a_[@AddPageHeading=True@]_x000d__x000a__x000d__x000a_[@AddTitle=True@]_x000d__x000a__x000d__x000a_[@ApplySubstitutions=False@]_x000d__x000a__x000d__x000a_[@ExcludeIds=False@]_x000d__x000a__x000d__x000a_[@GlobalFormatOption=0@]_x000d__x000a__x000d__x000a_[@EnforceFont=True@]_x000d__x000a__x000d__x000a_[@InsertReturnCase=True@]_x000d__x000a__x000d__x000a_[@LeftMarginTextOffset=0.5@]_x000d__x000a__x000d__x000a_[@NoSpellCheck=True@]_x000d__x000a__x000d__x000a_[@PageBreakAfter=False@]_x000d__x000a__x000d__x000a_[@PageBreakBefore=False@]_x000d__x000a__x000d__x000a_[@PageBreakBetweenCats=False@]_x000d__x000a__x000d__x000a_[@PageHeadingStyle=BA TOA Page Heading@]_x000d__x000a__x000d__x000a_[@PageHeadingText=Page(s)@]_x000d__x000a__x000d__x000a_[@PlainText=False@]_x000d__x000a__x000d__x000a_[@RemoveComma=False@]_x000d__x000a__x000d__x000a_[@ReturnType=1@]_x000d__x000a__x000d__x000a_[@SplitTOAIndent=1@]_x000d__x000a__x000d__x000a_[@SuppressMentions=False@]_x000d__x000a__x000d__x000a_[@SuppressQuotedCites=True@]_x000d__x000a__x000d__x000a_[@SuppressShorts=False@]_x000d__x000a__x000d__x000a_[@TitleStyle=BA TOA Title@]_x000d__x000a__x000d__x000a_[@TitleText=Table of Authorities@]_x000d__x000a__x000d__x000a_[@UseCS1=False@]_x000d__x000a__x000d__x000a_[@UseHyperlinks=True@]_x000d__x000a__x000d__x000a_[@FootEndnotePattern=@]_x000d__x000a__x000d__x000a_[@[Sorting]@]_x000d__x000a__x000d__x000a_[@IgnoreExParteForCases=False@]_x000d__x000a__x000d__x000a_[@IgnoreExRelForCases=False@]_x000d__x000a__x000d__x000a_[@IgnoreInReForCases=False@]_x000d__x000a__x000d__x000a_[@SortNumerically=True@]_x000d__x000a__x000d__x000a_[@IgnorePublicPartyForCases=False@]_x000d__x000a__x000d__x000a_[@[File]@]_x000d__x000a__x000d__x000a_[@Version=2.0.24@]_x000d__x000a__x000d__x000a_[@Scope=0@]_x000d__x000a__x000d__x000a_[@Description=Cases, Statutes, Other Authorities included&lt;ret&gt;Mentions NOT suppressed&lt;ret&gt;Quoted citations suppressed, no substitutions, hyperlinks turned on.&lt;ret&gt;@]_x000d__x000a__x000d__x000a_[@Name=Sample Common@]_x000d__x000a__x000d__x000a_[@[FileControl]@]_x000d__x000a__x000d__x000a_[@FileType=Best Authority Scheme File@]_x000d__x000a__x000d__x000a_[@FileVersion=01.02.0000@]_x000d__x000a__x000d__x000a_[@MinAppVersion=01.00.0090@]_x000d__x000a__x000d__x000a_[@[XTOAs]@]_x000d__x000a__x000d__x000a_[@1=Cases.False.0.@]_x000d__x000a__x000d__x000a_[@2=Statutes.False.0.@]_x000d__x000a__x000d__x000a_[@3=Other Authorities.False.0.@]_x000d__x000a__x000d__x000a_[@4=Suspects.False.0.@]_x000d__x000a__x000d__x000a_[@5=Non-TOA References.False.0.@]_x000d__x000a__x000d__x000a_[@[Cases.False.0.]@]_x000d__x000a__x000d__x000a_[@HitClasses=&lt;@cs&gt;|&lt;@regcs&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Cas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tatutes.False.0.]@]_x000d__x000a__x000d__x000a_[@HitClasses=&lt;@s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Statut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Other Authorities.False.0.]@]_x000d__x000a__x000d__x000a_[@HitClasses=&lt;@admproc&gt;|&lt;@con&gt;|&lt;@leg&gt;|&lt;@misc&gt;|&lt;@nper&gt;|&lt;@pat&gt;|&lt;@per&gt;|&lt;@reg&gt;|&lt;@ru&gt;|&lt;@tr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Other Authoriti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Tru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uspects.False.0.]@]_x000d__x000a__x000d__x000a_[@HitClasses=&lt;@o&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True@]_x000d__x000a__x000d__x000a_[@MultiPageSep=0@]_x000d__x000a__x000d__x000a_[@Name=Suspects@]_x000d__x000a__x000d__x000a_[@AutoOverride=0@]_x000d__x000a__x000d__x000a_[@PageRangeSep=3@]_x000d__x000a__x000d__x000a_[@PageHeadingText=Page(s)@]_x000d__x000a__x000d__x000a_[@PassimNumber=6@]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1@]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Non-TOA References.False.0.]@]_x000d__x000a__x000d__x000a_[@HitClasses=&lt;@rec&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Non-TOA Referenc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Tru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DefaultGroup]@]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DEFAULT@]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Cases - Entire Cite]@]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Case Name]@]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v.]@]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tatut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onstitutional Provis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ul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egul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Treatis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Book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eriodical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Non-Periodical Public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ge Number]@]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ssim]@]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ubstitutions]@]_x000d__x000a__x000d__x000a_[@amendment=True|True|amend,amend.,amendment|amendment@]_x000d__x000a__x000d__x000a_[@amendments=True|True|amends,amends.,amendments|amendments@]_x000d__x000a__x000d__x000a_[@article=True|True|art,art.,article|article@]_x000d__x000a__x000d__x000a_[@articles=True|True|arts,arts.,articles|articles@]_x000d__x000a__x000d__x000a_[@chapter=True|True|ch,ch.,chapter|chapter@]_x000d__x000a__x000d__x000a_[@chapters=True|True|chs,chs.,chapters|chapters@]_x000d__x000a__x000d__x000a_[@footnote=False|True|n,n.,fn,fn.,note,footnote|n.@]_x000d__x000a__x000d__x000a_[@footnotes=False|True|nn,nn.,fns,fns.,notes,footnotes|nn.@]_x000d__x000a__x000d__x000a_[@line=False|True|l,l.,line|l.@]_x000d__x000a__x000d__x000a_[@lines=False|True|ll,ll.,lines|ll.@]_x000d__x000a__x000d__x000a_[@page=False|True|p,p.,page|p.@]_x000d__x000a__x000d__x000a_[@pages=False|True|pp,pp.,pages|pp.@]_x000d__x000a__x000d__x000a_[@paragraph=False|True|para,para.,¶,paragraph|¶@]_x000d__x000a__x000d__x000a_[@paragraphs=False|True|paras,paras.,¶¶,paragraphs|¶¶@]_x000d__x000a__x000d__x000a_[@part=False|True|part,pt.|pt.@]_x000d__x000a__x000d__x000a_[@parts=False|True|parts,pts.|pts.@]_x000d__x000a__x000d__x000a_[@section=False|True|sec,sec.,§,section|§@]_x000d__x000a__x000d__x000a_[@sections=False|True|secs,secs.,§§,sections|§§@]_x000d__x000a__x000d__x000a_[@subdivision=False|True|subd.,subdiv.,subdivision|subd.@]_x000d__x000a__x000d__x000a_[@subdivisions=False|True|subds.,subdivs.,subdivisions|subds.@]_x000d__x000a__x000d__x000a_[@title=True|True|tit,tit.,title|title@]_x000d__x000a__x000d__x000a_[@titles=True|True|tits,tits.,titles|titles@]_x000d__x000a__x000d__x000a_[@volume=False|True|v,v.,vol,vol.,volume|vol.@]_x000d__x000a__x000d__x000a_[@volumes=False|True|vols,vols.,volumes|vols.@]_x000d__x000a__x000d__x000a_[@ENDINI@]_x000d__x000a__x000d__x000a_"/>
    <w:docVar w:name="_BA_ShowOptions_Version_FullFormat" w:val="02.07.0208"/>
    <w:docVar w:name="_BA_ShowOptions_Version_Review" w:val="02.07.0208"/>
    <w:docVar w:name="_BA_ShowOptionsFullFormat" w:val="0|1|0|02.07.0208|"/>
    <w:docVar w:name="_BA_State_" w:val="1"/>
    <w:docVar w:name="_BA_TOAGroupsOptions_FullFormat" w:val="|Suspects|Non-TOA References|"/>
    <w:docVar w:name="_BA_WizardTabs" w:val="4|5|0;True;Startup|1;True;Scan|2;False;Draft Review|3;False;Full-Page Review|4;True;Build||Startup|Startup@Scan|Startup@Scan|Startup@Scan"/>
  </w:docVars>
  <w:rsids>
    <w:rsidRoot w:val="006C1987"/>
    <w:rsid w:val="0000004B"/>
    <w:rsid w:val="000001C3"/>
    <w:rsid w:val="00003029"/>
    <w:rsid w:val="00004892"/>
    <w:rsid w:val="00011548"/>
    <w:rsid w:val="00014A4C"/>
    <w:rsid w:val="00016B0D"/>
    <w:rsid w:val="0002223B"/>
    <w:rsid w:val="00025AC4"/>
    <w:rsid w:val="000319F4"/>
    <w:rsid w:val="00041253"/>
    <w:rsid w:val="000448FF"/>
    <w:rsid w:val="00044EDE"/>
    <w:rsid w:val="00044F7E"/>
    <w:rsid w:val="000649CA"/>
    <w:rsid w:val="00073291"/>
    <w:rsid w:val="0007578F"/>
    <w:rsid w:val="0008068D"/>
    <w:rsid w:val="000833A7"/>
    <w:rsid w:val="00083CFD"/>
    <w:rsid w:val="000846DE"/>
    <w:rsid w:val="00085B0A"/>
    <w:rsid w:val="00093AAF"/>
    <w:rsid w:val="00094874"/>
    <w:rsid w:val="00094D73"/>
    <w:rsid w:val="00095532"/>
    <w:rsid w:val="000A2D0A"/>
    <w:rsid w:val="000A3C9B"/>
    <w:rsid w:val="000A5211"/>
    <w:rsid w:val="000B0EAB"/>
    <w:rsid w:val="000B23D0"/>
    <w:rsid w:val="000B508D"/>
    <w:rsid w:val="000B5AAC"/>
    <w:rsid w:val="000C046F"/>
    <w:rsid w:val="000C098B"/>
    <w:rsid w:val="000C7AD4"/>
    <w:rsid w:val="000D04AC"/>
    <w:rsid w:val="000D05F6"/>
    <w:rsid w:val="000D3ECE"/>
    <w:rsid w:val="000E2FC3"/>
    <w:rsid w:val="000E3355"/>
    <w:rsid w:val="000F0AFC"/>
    <w:rsid w:val="000F227E"/>
    <w:rsid w:val="000F2831"/>
    <w:rsid w:val="000F2E19"/>
    <w:rsid w:val="000F497A"/>
    <w:rsid w:val="000F5BEB"/>
    <w:rsid w:val="0010059E"/>
    <w:rsid w:val="0010336A"/>
    <w:rsid w:val="00103CC2"/>
    <w:rsid w:val="00104AAD"/>
    <w:rsid w:val="00105A64"/>
    <w:rsid w:val="00112C85"/>
    <w:rsid w:val="00113CAC"/>
    <w:rsid w:val="00116FF2"/>
    <w:rsid w:val="001236B9"/>
    <w:rsid w:val="00125D6F"/>
    <w:rsid w:val="001344A4"/>
    <w:rsid w:val="001431E0"/>
    <w:rsid w:val="0014321F"/>
    <w:rsid w:val="0014401D"/>
    <w:rsid w:val="00147283"/>
    <w:rsid w:val="00147F50"/>
    <w:rsid w:val="0015611F"/>
    <w:rsid w:val="00162251"/>
    <w:rsid w:val="00167CF9"/>
    <w:rsid w:val="00170215"/>
    <w:rsid w:val="00174D7E"/>
    <w:rsid w:val="00177909"/>
    <w:rsid w:val="001847FA"/>
    <w:rsid w:val="00186359"/>
    <w:rsid w:val="00190888"/>
    <w:rsid w:val="00197963"/>
    <w:rsid w:val="001A0065"/>
    <w:rsid w:val="001A13A2"/>
    <w:rsid w:val="001A1B6A"/>
    <w:rsid w:val="001A224F"/>
    <w:rsid w:val="001B53EE"/>
    <w:rsid w:val="001B566D"/>
    <w:rsid w:val="001B5E4C"/>
    <w:rsid w:val="001C697B"/>
    <w:rsid w:val="001E18E2"/>
    <w:rsid w:val="001E1EB3"/>
    <w:rsid w:val="001E438D"/>
    <w:rsid w:val="001E43E8"/>
    <w:rsid w:val="001E53CE"/>
    <w:rsid w:val="001F06AE"/>
    <w:rsid w:val="001F5673"/>
    <w:rsid w:val="0020046E"/>
    <w:rsid w:val="00216481"/>
    <w:rsid w:val="00220878"/>
    <w:rsid w:val="002255F7"/>
    <w:rsid w:val="00244095"/>
    <w:rsid w:val="002502F6"/>
    <w:rsid w:val="002524AB"/>
    <w:rsid w:val="00255A0E"/>
    <w:rsid w:val="00257B55"/>
    <w:rsid w:val="00261036"/>
    <w:rsid w:val="002637AC"/>
    <w:rsid w:val="002645EA"/>
    <w:rsid w:val="00275432"/>
    <w:rsid w:val="00292731"/>
    <w:rsid w:val="002934E3"/>
    <w:rsid w:val="002969C8"/>
    <w:rsid w:val="0029738F"/>
    <w:rsid w:val="002A3E66"/>
    <w:rsid w:val="002B02E7"/>
    <w:rsid w:val="002B27ED"/>
    <w:rsid w:val="002B4815"/>
    <w:rsid w:val="002C34C4"/>
    <w:rsid w:val="002C4FE0"/>
    <w:rsid w:val="002C672A"/>
    <w:rsid w:val="002D641A"/>
    <w:rsid w:val="002E1994"/>
    <w:rsid w:val="002E3594"/>
    <w:rsid w:val="002E44DB"/>
    <w:rsid w:val="002E4D70"/>
    <w:rsid w:val="002F01C1"/>
    <w:rsid w:val="002F0F80"/>
    <w:rsid w:val="002F742B"/>
    <w:rsid w:val="00304370"/>
    <w:rsid w:val="00306198"/>
    <w:rsid w:val="003062D7"/>
    <w:rsid w:val="00313B7F"/>
    <w:rsid w:val="003140DE"/>
    <w:rsid w:val="00314977"/>
    <w:rsid w:val="00320CD4"/>
    <w:rsid w:val="0032640B"/>
    <w:rsid w:val="00331B23"/>
    <w:rsid w:val="00333BE4"/>
    <w:rsid w:val="00341E6B"/>
    <w:rsid w:val="00345D7D"/>
    <w:rsid w:val="00355396"/>
    <w:rsid w:val="0035799C"/>
    <w:rsid w:val="00365CF2"/>
    <w:rsid w:val="00372D9E"/>
    <w:rsid w:val="00375AC1"/>
    <w:rsid w:val="00376452"/>
    <w:rsid w:val="00381BAE"/>
    <w:rsid w:val="00386260"/>
    <w:rsid w:val="00386FCE"/>
    <w:rsid w:val="00393DDE"/>
    <w:rsid w:val="003B20BC"/>
    <w:rsid w:val="003B2B10"/>
    <w:rsid w:val="003B5094"/>
    <w:rsid w:val="003B72DB"/>
    <w:rsid w:val="003C0302"/>
    <w:rsid w:val="003C08FE"/>
    <w:rsid w:val="003C7BCC"/>
    <w:rsid w:val="003D01F4"/>
    <w:rsid w:val="003D06F9"/>
    <w:rsid w:val="003D2444"/>
    <w:rsid w:val="003D3B85"/>
    <w:rsid w:val="003D72C7"/>
    <w:rsid w:val="003D7981"/>
    <w:rsid w:val="003E0B12"/>
    <w:rsid w:val="003F0656"/>
    <w:rsid w:val="003F1490"/>
    <w:rsid w:val="003F1C68"/>
    <w:rsid w:val="003F6B96"/>
    <w:rsid w:val="0040595D"/>
    <w:rsid w:val="00405E84"/>
    <w:rsid w:val="00410E0C"/>
    <w:rsid w:val="00411FE5"/>
    <w:rsid w:val="00413147"/>
    <w:rsid w:val="00414963"/>
    <w:rsid w:val="00423DBA"/>
    <w:rsid w:val="00430B94"/>
    <w:rsid w:val="00431368"/>
    <w:rsid w:val="00434790"/>
    <w:rsid w:val="00435971"/>
    <w:rsid w:val="00445AC0"/>
    <w:rsid w:val="00450A02"/>
    <w:rsid w:val="0045111F"/>
    <w:rsid w:val="004529F5"/>
    <w:rsid w:val="00452FE1"/>
    <w:rsid w:val="00454708"/>
    <w:rsid w:val="004547F1"/>
    <w:rsid w:val="0045556E"/>
    <w:rsid w:val="00456F50"/>
    <w:rsid w:val="00457FFB"/>
    <w:rsid w:val="00464C71"/>
    <w:rsid w:val="00471AFA"/>
    <w:rsid w:val="00472AFC"/>
    <w:rsid w:val="00476398"/>
    <w:rsid w:val="004807D5"/>
    <w:rsid w:val="004865CF"/>
    <w:rsid w:val="004943C1"/>
    <w:rsid w:val="004A22F8"/>
    <w:rsid w:val="004A350A"/>
    <w:rsid w:val="004B72D3"/>
    <w:rsid w:val="004C0742"/>
    <w:rsid w:val="004C119E"/>
    <w:rsid w:val="004D1603"/>
    <w:rsid w:val="004E1157"/>
    <w:rsid w:val="004E469C"/>
    <w:rsid w:val="004F1BCD"/>
    <w:rsid w:val="004F447D"/>
    <w:rsid w:val="004F4CC1"/>
    <w:rsid w:val="004F6BE4"/>
    <w:rsid w:val="00511E99"/>
    <w:rsid w:val="00513709"/>
    <w:rsid w:val="005235A5"/>
    <w:rsid w:val="00525B83"/>
    <w:rsid w:val="00525F51"/>
    <w:rsid w:val="00532F85"/>
    <w:rsid w:val="00537AAF"/>
    <w:rsid w:val="00550321"/>
    <w:rsid w:val="00553517"/>
    <w:rsid w:val="00560550"/>
    <w:rsid w:val="00560BD0"/>
    <w:rsid w:val="00566A1D"/>
    <w:rsid w:val="00566C3A"/>
    <w:rsid w:val="00566FD4"/>
    <w:rsid w:val="00570FC4"/>
    <w:rsid w:val="005716BB"/>
    <w:rsid w:val="005722EE"/>
    <w:rsid w:val="0057370A"/>
    <w:rsid w:val="00574244"/>
    <w:rsid w:val="0057465C"/>
    <w:rsid w:val="00575851"/>
    <w:rsid w:val="005775C1"/>
    <w:rsid w:val="00580541"/>
    <w:rsid w:val="00580B9D"/>
    <w:rsid w:val="00581492"/>
    <w:rsid w:val="005817D3"/>
    <w:rsid w:val="005964C7"/>
    <w:rsid w:val="005B0561"/>
    <w:rsid w:val="005B0BEE"/>
    <w:rsid w:val="005B6C61"/>
    <w:rsid w:val="005B7D8C"/>
    <w:rsid w:val="005C537D"/>
    <w:rsid w:val="005D53B2"/>
    <w:rsid w:val="005D6EC7"/>
    <w:rsid w:val="005E26F8"/>
    <w:rsid w:val="005E2A98"/>
    <w:rsid w:val="005E3495"/>
    <w:rsid w:val="005E3CE6"/>
    <w:rsid w:val="005E4A47"/>
    <w:rsid w:val="005F016F"/>
    <w:rsid w:val="005F0F62"/>
    <w:rsid w:val="005F2CA0"/>
    <w:rsid w:val="005F3A30"/>
    <w:rsid w:val="0061268B"/>
    <w:rsid w:val="0062130A"/>
    <w:rsid w:val="0062241B"/>
    <w:rsid w:val="00624001"/>
    <w:rsid w:val="00630B45"/>
    <w:rsid w:val="00632741"/>
    <w:rsid w:val="00635B11"/>
    <w:rsid w:val="00636EC7"/>
    <w:rsid w:val="0064364B"/>
    <w:rsid w:val="006509D1"/>
    <w:rsid w:val="006616C2"/>
    <w:rsid w:val="00667D53"/>
    <w:rsid w:val="00671F0C"/>
    <w:rsid w:val="006723A0"/>
    <w:rsid w:val="0067319A"/>
    <w:rsid w:val="00675A89"/>
    <w:rsid w:val="00684779"/>
    <w:rsid w:val="00685EAC"/>
    <w:rsid w:val="006868F0"/>
    <w:rsid w:val="0069004E"/>
    <w:rsid w:val="006A075E"/>
    <w:rsid w:val="006A1987"/>
    <w:rsid w:val="006A2370"/>
    <w:rsid w:val="006A4D1F"/>
    <w:rsid w:val="006B03B3"/>
    <w:rsid w:val="006B570A"/>
    <w:rsid w:val="006B719C"/>
    <w:rsid w:val="006C0098"/>
    <w:rsid w:val="006C1987"/>
    <w:rsid w:val="006C2CCE"/>
    <w:rsid w:val="006C3BE9"/>
    <w:rsid w:val="006C4F6E"/>
    <w:rsid w:val="006D46BA"/>
    <w:rsid w:val="006E2265"/>
    <w:rsid w:val="006E39E0"/>
    <w:rsid w:val="006E78D1"/>
    <w:rsid w:val="006F5A41"/>
    <w:rsid w:val="007006F5"/>
    <w:rsid w:val="00700ADA"/>
    <w:rsid w:val="00701B43"/>
    <w:rsid w:val="00706E35"/>
    <w:rsid w:val="0071584E"/>
    <w:rsid w:val="007164A1"/>
    <w:rsid w:val="00721889"/>
    <w:rsid w:val="00722535"/>
    <w:rsid w:val="00724810"/>
    <w:rsid w:val="00726884"/>
    <w:rsid w:val="007303D3"/>
    <w:rsid w:val="00737AAA"/>
    <w:rsid w:val="00744CED"/>
    <w:rsid w:val="00745624"/>
    <w:rsid w:val="00745864"/>
    <w:rsid w:val="00747631"/>
    <w:rsid w:val="00753BEC"/>
    <w:rsid w:val="00754EB4"/>
    <w:rsid w:val="00762FCE"/>
    <w:rsid w:val="007633D7"/>
    <w:rsid w:val="007720A5"/>
    <w:rsid w:val="00773B45"/>
    <w:rsid w:val="007771D4"/>
    <w:rsid w:val="0078446B"/>
    <w:rsid w:val="00786463"/>
    <w:rsid w:val="007A0905"/>
    <w:rsid w:val="007A234B"/>
    <w:rsid w:val="007A5E6A"/>
    <w:rsid w:val="007A76C3"/>
    <w:rsid w:val="007B01F3"/>
    <w:rsid w:val="007B031B"/>
    <w:rsid w:val="007B0E66"/>
    <w:rsid w:val="007B11A5"/>
    <w:rsid w:val="007B13E4"/>
    <w:rsid w:val="007B2FBE"/>
    <w:rsid w:val="007B7357"/>
    <w:rsid w:val="007B7EBC"/>
    <w:rsid w:val="007C3AF5"/>
    <w:rsid w:val="007C644F"/>
    <w:rsid w:val="007D5540"/>
    <w:rsid w:val="007D5F37"/>
    <w:rsid w:val="007D62AB"/>
    <w:rsid w:val="007D6724"/>
    <w:rsid w:val="007E4287"/>
    <w:rsid w:val="007E645A"/>
    <w:rsid w:val="007E6DB6"/>
    <w:rsid w:val="007E78E2"/>
    <w:rsid w:val="007F13AD"/>
    <w:rsid w:val="007F6E37"/>
    <w:rsid w:val="008003AD"/>
    <w:rsid w:val="0080655C"/>
    <w:rsid w:val="008101D4"/>
    <w:rsid w:val="0081587C"/>
    <w:rsid w:val="00816BC2"/>
    <w:rsid w:val="008253B1"/>
    <w:rsid w:val="008270CB"/>
    <w:rsid w:val="00832829"/>
    <w:rsid w:val="00841641"/>
    <w:rsid w:val="00860CDF"/>
    <w:rsid w:val="00863FFD"/>
    <w:rsid w:val="00870087"/>
    <w:rsid w:val="0087139F"/>
    <w:rsid w:val="008729E2"/>
    <w:rsid w:val="00880F12"/>
    <w:rsid w:val="00882FD7"/>
    <w:rsid w:val="0088623C"/>
    <w:rsid w:val="0089264F"/>
    <w:rsid w:val="00892B8F"/>
    <w:rsid w:val="00893D4B"/>
    <w:rsid w:val="008977FF"/>
    <w:rsid w:val="008A1F1D"/>
    <w:rsid w:val="008A43A6"/>
    <w:rsid w:val="008B7B9B"/>
    <w:rsid w:val="008C211C"/>
    <w:rsid w:val="008C22CD"/>
    <w:rsid w:val="008D1293"/>
    <w:rsid w:val="008D1463"/>
    <w:rsid w:val="008E098F"/>
    <w:rsid w:val="008E0DE1"/>
    <w:rsid w:val="008E1448"/>
    <w:rsid w:val="008E69B2"/>
    <w:rsid w:val="008F283C"/>
    <w:rsid w:val="008F2A1C"/>
    <w:rsid w:val="008F535C"/>
    <w:rsid w:val="00902793"/>
    <w:rsid w:val="00902A68"/>
    <w:rsid w:val="00911016"/>
    <w:rsid w:val="00913055"/>
    <w:rsid w:val="00916D0D"/>
    <w:rsid w:val="0092182F"/>
    <w:rsid w:val="00922F66"/>
    <w:rsid w:val="0092329E"/>
    <w:rsid w:val="00925F59"/>
    <w:rsid w:val="00934A8C"/>
    <w:rsid w:val="00941B33"/>
    <w:rsid w:val="009443C3"/>
    <w:rsid w:val="00946D10"/>
    <w:rsid w:val="00950160"/>
    <w:rsid w:val="00950CCC"/>
    <w:rsid w:val="00955155"/>
    <w:rsid w:val="00956CB0"/>
    <w:rsid w:val="009640D4"/>
    <w:rsid w:val="00983841"/>
    <w:rsid w:val="00983C00"/>
    <w:rsid w:val="0098535E"/>
    <w:rsid w:val="00992C4F"/>
    <w:rsid w:val="009A020E"/>
    <w:rsid w:val="009A31E8"/>
    <w:rsid w:val="009A4289"/>
    <w:rsid w:val="009A5ADA"/>
    <w:rsid w:val="009A79CC"/>
    <w:rsid w:val="009A7AFB"/>
    <w:rsid w:val="009B12FA"/>
    <w:rsid w:val="009B54E1"/>
    <w:rsid w:val="009B56C1"/>
    <w:rsid w:val="009C43BB"/>
    <w:rsid w:val="009C491A"/>
    <w:rsid w:val="009D017A"/>
    <w:rsid w:val="009D0B76"/>
    <w:rsid w:val="009D6AEC"/>
    <w:rsid w:val="009F1998"/>
    <w:rsid w:val="009F2657"/>
    <w:rsid w:val="009F380A"/>
    <w:rsid w:val="00A01376"/>
    <w:rsid w:val="00A04462"/>
    <w:rsid w:val="00A0700D"/>
    <w:rsid w:val="00A079D9"/>
    <w:rsid w:val="00A07C3C"/>
    <w:rsid w:val="00A2089D"/>
    <w:rsid w:val="00A24C0B"/>
    <w:rsid w:val="00A258E5"/>
    <w:rsid w:val="00A26B7A"/>
    <w:rsid w:val="00A31E6A"/>
    <w:rsid w:val="00A33717"/>
    <w:rsid w:val="00A357DA"/>
    <w:rsid w:val="00A3617E"/>
    <w:rsid w:val="00A40513"/>
    <w:rsid w:val="00A41ABF"/>
    <w:rsid w:val="00A41E96"/>
    <w:rsid w:val="00A42F9B"/>
    <w:rsid w:val="00A4310A"/>
    <w:rsid w:val="00A45C22"/>
    <w:rsid w:val="00A64291"/>
    <w:rsid w:val="00A767BC"/>
    <w:rsid w:val="00A7792A"/>
    <w:rsid w:val="00A90A83"/>
    <w:rsid w:val="00A90F06"/>
    <w:rsid w:val="00A92C92"/>
    <w:rsid w:val="00A95DB5"/>
    <w:rsid w:val="00AA208A"/>
    <w:rsid w:val="00AA6600"/>
    <w:rsid w:val="00AA716E"/>
    <w:rsid w:val="00AC57E0"/>
    <w:rsid w:val="00AC6EBC"/>
    <w:rsid w:val="00AD3D2A"/>
    <w:rsid w:val="00AD6150"/>
    <w:rsid w:val="00AD7E50"/>
    <w:rsid w:val="00AF14D2"/>
    <w:rsid w:val="00AF2340"/>
    <w:rsid w:val="00AF571F"/>
    <w:rsid w:val="00AF65CB"/>
    <w:rsid w:val="00B01E04"/>
    <w:rsid w:val="00B07B88"/>
    <w:rsid w:val="00B07EA4"/>
    <w:rsid w:val="00B146A0"/>
    <w:rsid w:val="00B14E57"/>
    <w:rsid w:val="00B161E3"/>
    <w:rsid w:val="00B17060"/>
    <w:rsid w:val="00B308E1"/>
    <w:rsid w:val="00B334AF"/>
    <w:rsid w:val="00B46D19"/>
    <w:rsid w:val="00B47380"/>
    <w:rsid w:val="00B51580"/>
    <w:rsid w:val="00B52CAD"/>
    <w:rsid w:val="00B548F1"/>
    <w:rsid w:val="00B54A6C"/>
    <w:rsid w:val="00B636F4"/>
    <w:rsid w:val="00B63E15"/>
    <w:rsid w:val="00B65CF7"/>
    <w:rsid w:val="00B74353"/>
    <w:rsid w:val="00B76051"/>
    <w:rsid w:val="00B8476B"/>
    <w:rsid w:val="00B8631C"/>
    <w:rsid w:val="00B87BA1"/>
    <w:rsid w:val="00BA14C6"/>
    <w:rsid w:val="00BB3F86"/>
    <w:rsid w:val="00BB454A"/>
    <w:rsid w:val="00BC2F30"/>
    <w:rsid w:val="00BC5AA6"/>
    <w:rsid w:val="00BC5FFB"/>
    <w:rsid w:val="00BC61E0"/>
    <w:rsid w:val="00BD2C1A"/>
    <w:rsid w:val="00BD57F8"/>
    <w:rsid w:val="00BE049E"/>
    <w:rsid w:val="00BE3A8C"/>
    <w:rsid w:val="00BE534A"/>
    <w:rsid w:val="00BF0DC9"/>
    <w:rsid w:val="00BF10C6"/>
    <w:rsid w:val="00BF2EE6"/>
    <w:rsid w:val="00BF320A"/>
    <w:rsid w:val="00BF603C"/>
    <w:rsid w:val="00C078AC"/>
    <w:rsid w:val="00C07A90"/>
    <w:rsid w:val="00C07F08"/>
    <w:rsid w:val="00C11E06"/>
    <w:rsid w:val="00C22E21"/>
    <w:rsid w:val="00C30501"/>
    <w:rsid w:val="00C30B2F"/>
    <w:rsid w:val="00C34BD0"/>
    <w:rsid w:val="00C369A6"/>
    <w:rsid w:val="00C40B1F"/>
    <w:rsid w:val="00C5336D"/>
    <w:rsid w:val="00C568A9"/>
    <w:rsid w:val="00C654B1"/>
    <w:rsid w:val="00C6735B"/>
    <w:rsid w:val="00C7117F"/>
    <w:rsid w:val="00C73AD0"/>
    <w:rsid w:val="00C74BF5"/>
    <w:rsid w:val="00C96716"/>
    <w:rsid w:val="00CB2033"/>
    <w:rsid w:val="00CB61A5"/>
    <w:rsid w:val="00CB77FC"/>
    <w:rsid w:val="00CC110B"/>
    <w:rsid w:val="00CC47D1"/>
    <w:rsid w:val="00CC6462"/>
    <w:rsid w:val="00CD32CC"/>
    <w:rsid w:val="00CD43A1"/>
    <w:rsid w:val="00CD4404"/>
    <w:rsid w:val="00CD5397"/>
    <w:rsid w:val="00CD69E9"/>
    <w:rsid w:val="00CE3547"/>
    <w:rsid w:val="00CE4DCC"/>
    <w:rsid w:val="00CF051C"/>
    <w:rsid w:val="00CF2CA9"/>
    <w:rsid w:val="00D0207D"/>
    <w:rsid w:val="00D02C25"/>
    <w:rsid w:val="00D037D3"/>
    <w:rsid w:val="00D04C32"/>
    <w:rsid w:val="00D06067"/>
    <w:rsid w:val="00D1099E"/>
    <w:rsid w:val="00D10EE6"/>
    <w:rsid w:val="00D121F8"/>
    <w:rsid w:val="00D13C91"/>
    <w:rsid w:val="00D16294"/>
    <w:rsid w:val="00D164DB"/>
    <w:rsid w:val="00D2766D"/>
    <w:rsid w:val="00D339A3"/>
    <w:rsid w:val="00D34869"/>
    <w:rsid w:val="00D36A8F"/>
    <w:rsid w:val="00D379BE"/>
    <w:rsid w:val="00D454CC"/>
    <w:rsid w:val="00D46CAD"/>
    <w:rsid w:val="00D5349E"/>
    <w:rsid w:val="00D55C14"/>
    <w:rsid w:val="00D57D11"/>
    <w:rsid w:val="00D63FC9"/>
    <w:rsid w:val="00D673A4"/>
    <w:rsid w:val="00D7516E"/>
    <w:rsid w:val="00D8088A"/>
    <w:rsid w:val="00D81C6D"/>
    <w:rsid w:val="00D86423"/>
    <w:rsid w:val="00D91727"/>
    <w:rsid w:val="00D93AB3"/>
    <w:rsid w:val="00D961D3"/>
    <w:rsid w:val="00DA1E36"/>
    <w:rsid w:val="00DA2A8A"/>
    <w:rsid w:val="00DB152C"/>
    <w:rsid w:val="00DB6D62"/>
    <w:rsid w:val="00DC0E74"/>
    <w:rsid w:val="00DC1014"/>
    <w:rsid w:val="00DC107E"/>
    <w:rsid w:val="00DC2009"/>
    <w:rsid w:val="00DC2912"/>
    <w:rsid w:val="00DC7002"/>
    <w:rsid w:val="00DD195E"/>
    <w:rsid w:val="00DD550B"/>
    <w:rsid w:val="00DD61D2"/>
    <w:rsid w:val="00DE51E1"/>
    <w:rsid w:val="00DE6528"/>
    <w:rsid w:val="00DE6C42"/>
    <w:rsid w:val="00DF0E10"/>
    <w:rsid w:val="00DF0FE0"/>
    <w:rsid w:val="00DF2E1C"/>
    <w:rsid w:val="00DF384A"/>
    <w:rsid w:val="00DF45A5"/>
    <w:rsid w:val="00DF605C"/>
    <w:rsid w:val="00E00C6B"/>
    <w:rsid w:val="00E13B4D"/>
    <w:rsid w:val="00E17C6D"/>
    <w:rsid w:val="00E22984"/>
    <w:rsid w:val="00E242F1"/>
    <w:rsid w:val="00E32034"/>
    <w:rsid w:val="00E42768"/>
    <w:rsid w:val="00E53545"/>
    <w:rsid w:val="00E574EA"/>
    <w:rsid w:val="00E57561"/>
    <w:rsid w:val="00E575EE"/>
    <w:rsid w:val="00E60797"/>
    <w:rsid w:val="00E623E5"/>
    <w:rsid w:val="00E637BB"/>
    <w:rsid w:val="00E67E82"/>
    <w:rsid w:val="00E71722"/>
    <w:rsid w:val="00E7434F"/>
    <w:rsid w:val="00E8085B"/>
    <w:rsid w:val="00E80892"/>
    <w:rsid w:val="00E91CFA"/>
    <w:rsid w:val="00E92173"/>
    <w:rsid w:val="00E9314D"/>
    <w:rsid w:val="00EA16EC"/>
    <w:rsid w:val="00EA78C8"/>
    <w:rsid w:val="00EB1BE5"/>
    <w:rsid w:val="00EB2944"/>
    <w:rsid w:val="00EB524A"/>
    <w:rsid w:val="00EB6581"/>
    <w:rsid w:val="00EB6F82"/>
    <w:rsid w:val="00EB7801"/>
    <w:rsid w:val="00EC0183"/>
    <w:rsid w:val="00ED1EAE"/>
    <w:rsid w:val="00ED7431"/>
    <w:rsid w:val="00EE2BA2"/>
    <w:rsid w:val="00EE2DC0"/>
    <w:rsid w:val="00EE3302"/>
    <w:rsid w:val="00EE7233"/>
    <w:rsid w:val="00F00A5F"/>
    <w:rsid w:val="00F00F3A"/>
    <w:rsid w:val="00F05C71"/>
    <w:rsid w:val="00F17699"/>
    <w:rsid w:val="00F24EC5"/>
    <w:rsid w:val="00F27880"/>
    <w:rsid w:val="00F32BD8"/>
    <w:rsid w:val="00F36141"/>
    <w:rsid w:val="00F4575F"/>
    <w:rsid w:val="00F61774"/>
    <w:rsid w:val="00F847DB"/>
    <w:rsid w:val="00F861E6"/>
    <w:rsid w:val="00F9581C"/>
    <w:rsid w:val="00FA12C8"/>
    <w:rsid w:val="00FA1AB7"/>
    <w:rsid w:val="00FA45A8"/>
    <w:rsid w:val="00FA5D43"/>
    <w:rsid w:val="00FB4682"/>
    <w:rsid w:val="00FB4762"/>
    <w:rsid w:val="00FB6F0D"/>
    <w:rsid w:val="00FC2896"/>
    <w:rsid w:val="00FC30B0"/>
    <w:rsid w:val="00FC45E8"/>
    <w:rsid w:val="00FD100D"/>
    <w:rsid w:val="00FE0DDD"/>
    <w:rsid w:val="00FE1770"/>
    <w:rsid w:val="00FF0B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DC79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033"/>
    <w:rPr>
      <w:sz w:val="24"/>
    </w:rPr>
  </w:style>
  <w:style w:type="paragraph" w:styleId="Heading1">
    <w:name w:val="heading 1"/>
    <w:basedOn w:val="Normal"/>
    <w:next w:val="BodyText"/>
    <w:link w:val="Heading1Char"/>
    <w:uiPriority w:val="9"/>
    <w:qFormat/>
    <w:rsid w:val="008C22CD"/>
    <w:pPr>
      <w:keepNext/>
      <w:keepLines/>
      <w:numPr>
        <w:numId w:val="12"/>
      </w:numPr>
      <w:spacing w:after="240"/>
      <w:jc w:val="center"/>
      <w:outlineLvl w:val="0"/>
    </w:pPr>
    <w:rPr>
      <w:caps/>
      <w:kern w:val="28"/>
    </w:rPr>
  </w:style>
  <w:style w:type="paragraph" w:styleId="Heading2">
    <w:name w:val="heading 2"/>
    <w:basedOn w:val="Normal"/>
    <w:next w:val="BodyText"/>
    <w:link w:val="Heading2Char"/>
    <w:uiPriority w:val="9"/>
    <w:qFormat/>
    <w:rsid w:val="008C22CD"/>
    <w:pPr>
      <w:keepNext/>
      <w:keepLines/>
      <w:numPr>
        <w:ilvl w:val="1"/>
        <w:numId w:val="12"/>
      </w:numPr>
      <w:spacing w:after="240"/>
      <w:outlineLvl w:val="1"/>
    </w:pPr>
    <w:rPr>
      <w:caps/>
    </w:rPr>
  </w:style>
  <w:style w:type="paragraph" w:styleId="Heading3">
    <w:name w:val="heading 3"/>
    <w:basedOn w:val="Normal"/>
    <w:next w:val="BodyText"/>
    <w:link w:val="Heading3Char"/>
    <w:uiPriority w:val="9"/>
    <w:qFormat/>
    <w:rsid w:val="008C22CD"/>
    <w:pPr>
      <w:keepNext/>
      <w:keepLines/>
      <w:numPr>
        <w:ilvl w:val="2"/>
        <w:numId w:val="12"/>
      </w:numPr>
      <w:spacing w:after="240"/>
      <w:outlineLvl w:val="2"/>
    </w:pPr>
    <w:rPr>
      <w:u w:val="single"/>
    </w:rPr>
  </w:style>
  <w:style w:type="paragraph" w:styleId="Heading4">
    <w:name w:val="heading 4"/>
    <w:basedOn w:val="Normal"/>
    <w:next w:val="BodyText"/>
    <w:link w:val="Heading4Char"/>
    <w:uiPriority w:val="9"/>
    <w:qFormat/>
    <w:rsid w:val="008C22CD"/>
    <w:pPr>
      <w:keepNext/>
      <w:keepLines/>
      <w:numPr>
        <w:ilvl w:val="3"/>
        <w:numId w:val="12"/>
      </w:numPr>
      <w:spacing w:after="240"/>
      <w:outlineLvl w:val="3"/>
    </w:pPr>
    <w:rPr>
      <w:i/>
    </w:rPr>
  </w:style>
  <w:style w:type="paragraph" w:styleId="Heading5">
    <w:name w:val="heading 5"/>
    <w:basedOn w:val="Normal"/>
    <w:next w:val="BodyText"/>
    <w:uiPriority w:val="9"/>
    <w:qFormat/>
    <w:rsid w:val="00566FD4"/>
    <w:pPr>
      <w:keepNext/>
      <w:keepLines/>
      <w:numPr>
        <w:ilvl w:val="4"/>
        <w:numId w:val="12"/>
      </w:numPr>
      <w:spacing w:before="40" w:after="200"/>
      <w:outlineLvl w:val="4"/>
    </w:pPr>
  </w:style>
  <w:style w:type="paragraph" w:styleId="Heading6">
    <w:name w:val="heading 6"/>
    <w:basedOn w:val="Normal"/>
    <w:next w:val="BodyText"/>
    <w:link w:val="Heading6Char"/>
    <w:uiPriority w:val="9"/>
    <w:qFormat/>
    <w:rsid w:val="006C1987"/>
    <w:pPr>
      <w:keepNext/>
      <w:keepLines/>
      <w:tabs>
        <w:tab w:val="num" w:pos="3600"/>
      </w:tabs>
      <w:spacing w:after="240"/>
      <w:ind w:left="3600" w:hanging="720"/>
      <w:outlineLvl w:val="5"/>
    </w:pPr>
    <w:rPr>
      <w:rFonts w:eastAsiaTheme="minorHAnsi" w:cstheme="minorBidi"/>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link w:val="FootnoteTextChar"/>
    <w:uiPriority w:val="1"/>
    <w:rsid w:val="00525B83"/>
    <w:pPr>
      <w:spacing w:after="120"/>
    </w:pPr>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qFormat/>
    <w:rsid w:val="00B87BA1"/>
    <w:pPr>
      <w:spacing w:line="480" w:lineRule="auto"/>
      <w:ind w:hanging="432"/>
    </w:pPr>
  </w:style>
  <w:style w:type="paragraph" w:customStyle="1" w:styleId="SpaceAfter">
    <w:name w:val="Space After"/>
    <w:basedOn w:val="BodyText"/>
    <w:pPr>
      <w:spacing w:after="160"/>
    </w:pPr>
  </w:style>
  <w:style w:type="paragraph" w:styleId="BodyText2">
    <w:name w:val="Body Text 2"/>
    <w:basedOn w:val="Normal"/>
    <w:rsid w:val="00CB2033"/>
    <w:pPr>
      <w:spacing w:line="480" w:lineRule="auto"/>
    </w:pPr>
  </w:style>
  <w:style w:type="paragraph" w:styleId="TOC1">
    <w:name w:val="toc 1"/>
    <w:basedOn w:val="Normal"/>
    <w:next w:val="Normal"/>
    <w:autoRedefine/>
    <w:uiPriority w:val="39"/>
    <w:pPr>
      <w:tabs>
        <w:tab w:val="right" w:leader="dot" w:pos="9350"/>
      </w:tabs>
      <w:spacing w:after="240"/>
      <w:ind w:right="720"/>
    </w:pPr>
    <w:rPr>
      <w:caps/>
      <w:noProof/>
    </w:rPr>
  </w:style>
  <w:style w:type="paragraph" w:styleId="TOC2">
    <w:name w:val="toc 2"/>
    <w:basedOn w:val="Normal"/>
    <w:next w:val="Normal"/>
    <w:autoRedefine/>
    <w:uiPriority w:val="39"/>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uiPriority w:val="39"/>
    <w:pPr>
      <w:keepLines/>
      <w:tabs>
        <w:tab w:val="left" w:pos="1440"/>
        <w:tab w:val="right" w:leader="dot" w:pos="9360"/>
      </w:tabs>
      <w:spacing w:after="240"/>
      <w:ind w:left="1872" w:right="720" w:hanging="432"/>
    </w:pPr>
    <w:rPr>
      <w:noProof/>
    </w:rPr>
  </w:style>
  <w:style w:type="paragraph" w:styleId="TOC4">
    <w:name w:val="toc 4"/>
    <w:basedOn w:val="Normal"/>
    <w:next w:val="Normal"/>
    <w:autoRedefine/>
    <w:uiPriority w:val="39"/>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uiPriority w:val="99"/>
    <w:rPr>
      <w:color w:val="0000FF"/>
      <w:u w:val="single"/>
    </w:rPr>
  </w:style>
  <w:style w:type="paragraph" w:styleId="BlockText">
    <w:name w:val="Block Text"/>
    <w:basedOn w:val="Normal"/>
    <w:pPr>
      <w:ind w:left="720" w:right="720"/>
    </w:pPr>
  </w:style>
  <w:style w:type="character" w:styleId="FootnoteReference">
    <w:name w:val="footnote reference"/>
    <w:basedOn w:val="DefaultParagraphFont"/>
    <w:uiPriority w:val="99"/>
    <w:rPr>
      <w:vertAlign w:val="superscript"/>
    </w:rPr>
  </w:style>
  <w:style w:type="paragraph" w:styleId="BodyTextIndent">
    <w:name w:val="Body Text Indent"/>
    <w:basedOn w:val="Normal"/>
    <w:next w:val="BodyText"/>
    <w:link w:val="BodyTextIndentChar"/>
    <w:qFormat/>
    <w:rsid w:val="008C22CD"/>
    <w:pPr>
      <w:spacing w:after="240"/>
      <w:ind w:left="720" w:right="720"/>
    </w:pPr>
  </w:style>
  <w:style w:type="character" w:customStyle="1" w:styleId="BodyTextChar">
    <w:name w:val="Body Text Char"/>
    <w:basedOn w:val="DefaultParagraphFont"/>
    <w:link w:val="BodyText"/>
    <w:rsid w:val="00B87BA1"/>
    <w:rPr>
      <w:sz w:val="24"/>
    </w:rPr>
  </w:style>
  <w:style w:type="character" w:customStyle="1" w:styleId="FootnoteTextChar">
    <w:name w:val="Footnote Text Char"/>
    <w:basedOn w:val="DefaultParagraphFont"/>
    <w:link w:val="FootnoteText"/>
    <w:uiPriority w:val="1"/>
    <w:rsid w:val="00525B83"/>
    <w:rPr>
      <w:sz w:val="24"/>
    </w:rPr>
  </w:style>
  <w:style w:type="character" w:customStyle="1" w:styleId="Heading1Char">
    <w:name w:val="Heading 1 Char"/>
    <w:basedOn w:val="DefaultParagraphFont"/>
    <w:link w:val="Heading1"/>
    <w:uiPriority w:val="9"/>
    <w:rsid w:val="008C22CD"/>
    <w:rPr>
      <w:caps/>
      <w:kern w:val="28"/>
      <w:sz w:val="24"/>
    </w:rPr>
  </w:style>
  <w:style w:type="character" w:customStyle="1" w:styleId="Heading2Char">
    <w:name w:val="Heading 2 Char"/>
    <w:basedOn w:val="DefaultParagraphFont"/>
    <w:link w:val="Heading2"/>
    <w:uiPriority w:val="9"/>
    <w:rsid w:val="008C22CD"/>
    <w:rPr>
      <w:caps/>
      <w:sz w:val="24"/>
    </w:rPr>
  </w:style>
  <w:style w:type="character" w:customStyle="1" w:styleId="Heading3Char">
    <w:name w:val="Heading 3 Char"/>
    <w:basedOn w:val="DefaultParagraphFont"/>
    <w:link w:val="Heading3"/>
    <w:uiPriority w:val="9"/>
    <w:rsid w:val="008C22CD"/>
    <w:rPr>
      <w:sz w:val="24"/>
      <w:u w:val="single"/>
    </w:rPr>
  </w:style>
  <w:style w:type="character" w:customStyle="1" w:styleId="Heading4Char">
    <w:name w:val="Heading 4 Char"/>
    <w:basedOn w:val="DefaultParagraphFont"/>
    <w:link w:val="Heading4"/>
    <w:rsid w:val="008C22CD"/>
    <w:rPr>
      <w:i/>
      <w:sz w:val="24"/>
    </w:rPr>
  </w:style>
  <w:style w:type="character" w:customStyle="1" w:styleId="FooterChar">
    <w:name w:val="Footer Char"/>
    <w:basedOn w:val="DefaultParagraphFont"/>
    <w:link w:val="Footer"/>
    <w:uiPriority w:val="99"/>
    <w:rsid w:val="00B87BA1"/>
    <w:rPr>
      <w:sz w:val="24"/>
    </w:rPr>
  </w:style>
  <w:style w:type="paragraph" w:styleId="TableofAuthorities">
    <w:name w:val="table of authorities"/>
    <w:basedOn w:val="Normal"/>
    <w:next w:val="Normal"/>
    <w:rsid w:val="00073291"/>
    <w:pPr>
      <w:ind w:left="240" w:hanging="240"/>
    </w:pPr>
  </w:style>
  <w:style w:type="paragraph" w:customStyle="1" w:styleId="BATOAPageHeading">
    <w:name w:val="BA TOA Page Heading"/>
    <w:basedOn w:val="Normal"/>
    <w:rsid w:val="00073291"/>
    <w:pPr>
      <w:keepNext/>
      <w:keepLines/>
      <w:tabs>
        <w:tab w:val="right" w:pos="9360"/>
      </w:tabs>
      <w:jc w:val="right"/>
    </w:pPr>
    <w:rPr>
      <w:b/>
      <w:szCs w:val="24"/>
    </w:rPr>
  </w:style>
  <w:style w:type="paragraph" w:customStyle="1" w:styleId="BATOAHeading">
    <w:name w:val="BA TOA Heading"/>
    <w:basedOn w:val="Normal"/>
    <w:rsid w:val="00073291"/>
    <w:pPr>
      <w:keepNext/>
      <w:keepLines/>
      <w:spacing w:after="240"/>
    </w:pPr>
    <w:rPr>
      <w:b/>
      <w:smallCaps/>
      <w:szCs w:val="24"/>
    </w:rPr>
  </w:style>
  <w:style w:type="paragraph" w:customStyle="1" w:styleId="BATOAEntry">
    <w:name w:val="BA TOA Entry"/>
    <w:basedOn w:val="Normal"/>
    <w:link w:val="BATOAEntryChar"/>
    <w:rsid w:val="00073291"/>
    <w:pPr>
      <w:keepLines/>
      <w:tabs>
        <w:tab w:val="right" w:leader="dot" w:pos="9360"/>
      </w:tabs>
      <w:spacing w:after="240"/>
      <w:ind w:left="360" w:right="720" w:hanging="360"/>
    </w:pPr>
    <w:rPr>
      <w:szCs w:val="24"/>
    </w:rPr>
  </w:style>
  <w:style w:type="character" w:customStyle="1" w:styleId="BATOAEntryChar">
    <w:name w:val="BA TOA Entry Char"/>
    <w:basedOn w:val="DefaultParagraphFont"/>
    <w:link w:val="BATOAEntry"/>
    <w:rsid w:val="00073291"/>
    <w:rPr>
      <w:sz w:val="24"/>
      <w:szCs w:val="24"/>
    </w:rPr>
  </w:style>
  <w:style w:type="paragraph" w:customStyle="1" w:styleId="BADraft">
    <w:name w:val="BA Draft"/>
    <w:basedOn w:val="BodyText"/>
    <w:rsid w:val="00073291"/>
    <w:pPr>
      <w:keepLines/>
      <w:spacing w:line="240" w:lineRule="auto"/>
      <w:ind w:firstLine="0"/>
    </w:pPr>
    <w:rPr>
      <w:szCs w:val="24"/>
    </w:rPr>
  </w:style>
  <w:style w:type="paragraph" w:customStyle="1" w:styleId="BATOATitle">
    <w:name w:val="BA TOA Title"/>
    <w:basedOn w:val="Normal"/>
    <w:rsid w:val="00073291"/>
    <w:pPr>
      <w:keepNext/>
      <w:spacing w:before="120" w:after="240"/>
      <w:jc w:val="center"/>
    </w:pPr>
    <w:rPr>
      <w:b/>
      <w:caps/>
      <w:szCs w:val="24"/>
      <w:u w:val="single"/>
    </w:rPr>
  </w:style>
  <w:style w:type="paragraph" w:styleId="BalloonText">
    <w:name w:val="Balloon Text"/>
    <w:basedOn w:val="Normal"/>
    <w:link w:val="BalloonTextChar"/>
    <w:rsid w:val="00BD57F8"/>
    <w:rPr>
      <w:rFonts w:ascii="Tahoma" w:hAnsi="Tahoma" w:cs="Tahoma"/>
      <w:sz w:val="16"/>
      <w:szCs w:val="16"/>
    </w:rPr>
  </w:style>
  <w:style w:type="character" w:customStyle="1" w:styleId="BalloonTextChar">
    <w:name w:val="Balloon Text Char"/>
    <w:basedOn w:val="DefaultParagraphFont"/>
    <w:link w:val="BalloonText"/>
    <w:rsid w:val="00BD57F8"/>
    <w:rPr>
      <w:rFonts w:ascii="Tahoma" w:hAnsi="Tahoma" w:cs="Tahoma"/>
      <w:sz w:val="16"/>
      <w:szCs w:val="16"/>
    </w:rPr>
  </w:style>
  <w:style w:type="character" w:customStyle="1" w:styleId="Heading6Char">
    <w:name w:val="Heading 6 Char"/>
    <w:basedOn w:val="DefaultParagraphFont"/>
    <w:link w:val="Heading6"/>
    <w:uiPriority w:val="9"/>
    <w:rsid w:val="006C1987"/>
    <w:rPr>
      <w:rFonts w:eastAsiaTheme="minorHAnsi" w:cstheme="minorBidi"/>
      <w:bCs/>
      <w:i/>
      <w:sz w:val="24"/>
      <w:szCs w:val="22"/>
    </w:rPr>
  </w:style>
  <w:style w:type="character" w:customStyle="1" w:styleId="BodyTextIndentChar">
    <w:name w:val="Body Text Indent Char"/>
    <w:basedOn w:val="DefaultParagraphFont"/>
    <w:link w:val="BodyTextIndent"/>
    <w:rsid w:val="006C1987"/>
    <w:rPr>
      <w:sz w:val="24"/>
    </w:rPr>
  </w:style>
  <w:style w:type="character" w:customStyle="1" w:styleId="HeaderChar">
    <w:name w:val="Header Char"/>
    <w:basedOn w:val="DefaultParagraphFont"/>
    <w:link w:val="Header"/>
    <w:uiPriority w:val="99"/>
    <w:rsid w:val="00B07EA4"/>
    <w:rPr>
      <w:sz w:val="24"/>
    </w:rPr>
  </w:style>
  <w:style w:type="character" w:styleId="CommentReference">
    <w:name w:val="annotation reference"/>
    <w:basedOn w:val="DefaultParagraphFont"/>
    <w:uiPriority w:val="99"/>
    <w:semiHidden/>
    <w:unhideWhenUsed/>
    <w:rsid w:val="00950160"/>
    <w:rPr>
      <w:sz w:val="16"/>
      <w:szCs w:val="16"/>
    </w:rPr>
  </w:style>
  <w:style w:type="paragraph" w:styleId="CommentText">
    <w:name w:val="annotation text"/>
    <w:basedOn w:val="Normal"/>
    <w:link w:val="CommentTextChar"/>
    <w:uiPriority w:val="99"/>
    <w:unhideWhenUsed/>
    <w:rsid w:val="00950160"/>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950160"/>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950160"/>
    <w:rPr>
      <w:color w:val="800080" w:themeColor="followedHyperlink"/>
      <w:u w:val="single"/>
    </w:rPr>
  </w:style>
  <w:style w:type="paragraph" w:styleId="ListParagraph">
    <w:name w:val="List Paragraph"/>
    <w:basedOn w:val="Normal"/>
    <w:uiPriority w:val="34"/>
    <w:qFormat/>
    <w:rsid w:val="00636EC7"/>
    <w:pPr>
      <w:spacing w:after="160" w:line="259" w:lineRule="auto"/>
      <w:ind w:left="720"/>
      <w:contextualSpacing/>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semiHidden/>
    <w:unhideWhenUsed/>
    <w:rsid w:val="00431368"/>
    <w:pPr>
      <w:widowControl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431368"/>
    <w:rPr>
      <w:rFonts w:asciiTheme="minorHAnsi" w:eastAsiaTheme="minorHAnsi" w:hAnsiTheme="minorHAnsi" w:cstheme="minorBidi"/>
      <w:b/>
      <w:bCs/>
    </w:rPr>
  </w:style>
  <w:style w:type="paragraph" w:styleId="Revision">
    <w:name w:val="Revision"/>
    <w:hidden/>
    <w:uiPriority w:val="99"/>
    <w:semiHidden/>
    <w:rsid w:val="0069004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54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2017-10-27T07:00:00+00:00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EAB4F3CB-0375-40D7-94B6-87D4CFDDFCA3}">
  <ds:schemaRefs>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6a7bd91e-004b-490a-8704-e368d63d59a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7A16EA9-89FB-45B4-9625-B1F9180867A9}">
  <ds:schemaRefs>
    <ds:schemaRef ds:uri="http://schemas.microsoft.com/sharepoint/v3/contenttype/forms"/>
  </ds:schemaRefs>
</ds:datastoreItem>
</file>

<file path=customXml/itemProps3.xml><?xml version="1.0" encoding="utf-8"?>
<ds:datastoreItem xmlns:ds="http://schemas.openxmlformats.org/officeDocument/2006/customXml" ds:itemID="{5E10D8FC-37FB-4300-914C-5B522BEF2BDB}"/>
</file>

<file path=customXml/itemProps4.xml><?xml version="1.0" encoding="utf-8"?>
<ds:datastoreItem xmlns:ds="http://schemas.openxmlformats.org/officeDocument/2006/customXml" ds:itemID="{E5C4ADB4-4D19-4D2A-842E-DBCE3B68DDA4}">
  <ds:schemaRefs>
    <ds:schemaRef ds:uri="http://schemas.openxmlformats.org/officeDocument/2006/bibliography"/>
  </ds:schemaRefs>
</ds:datastoreItem>
</file>

<file path=customXml/itemProps5.xml><?xml version="1.0" encoding="utf-8"?>
<ds:datastoreItem xmlns:ds="http://schemas.openxmlformats.org/officeDocument/2006/customXml" ds:itemID="{043F1181-CAC5-46E7-8BD3-1710156E6B38}"/>
</file>

<file path=docProps/app.xml><?xml version="1.0" encoding="utf-8"?>
<Properties xmlns="http://schemas.openxmlformats.org/officeDocument/2006/extended-properties" xmlns:vt="http://schemas.openxmlformats.org/officeDocument/2006/docPropsVTypes">
  <Template>Normal</Template>
  <TotalTime>0</TotalTime>
  <Pages>11</Pages>
  <Words>2246</Words>
  <Characters>12807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2017-10-27T20:55:00Z</dcterms:created>
  <dcterms:modified xsi:type="dcterms:W3CDTF">2017-10-27T20:55:00Z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0x0101006E56B4D1795A2E4DB2F0B01679ED314A00718D2FBB09848246B6FD4A5A815592E3</vt:lpwstr>
  </property>
  <property fmtid="{D5CDD505-2E9C-101B-9397-08002B2CF9AE}" pid="3" name="_docset_NoMedatataSyncRequired">
    <vt:lpwstr>False</vt:lpwstr>
  </property>
  <property fmtid="{D5CDD505-2E9C-101B-9397-08002B2CF9AE}" pid="4" name="IsEFSEC">
    <vt:bool>false</vt:bool>
  </property>
</Properties>
</file>