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3FD71" w14:textId="53D32274" w:rsidR="006E3B58" w:rsidRDefault="00154718" w:rsidP="00BE5610">
      <w:r w:rsidRPr="00EB4CE3">
        <w:t xml:space="preserve">Agenda Date: </w:t>
      </w:r>
      <w:r w:rsidRPr="00EB4CE3">
        <w:tab/>
      </w:r>
      <w:r w:rsidRPr="00EB4CE3">
        <w:tab/>
      </w:r>
      <w:r w:rsidR="003202A6">
        <w:t>November 14</w:t>
      </w:r>
      <w:r w:rsidRPr="00EB4CE3">
        <w:t xml:space="preserve">, </w:t>
      </w:r>
      <w:r w:rsidR="00103755">
        <w:t>201</w:t>
      </w:r>
      <w:r w:rsidR="007A59D5">
        <w:t>4</w:t>
      </w:r>
      <w:r w:rsidR="004456FB">
        <w:tab/>
      </w:r>
      <w:r w:rsidR="004456FB">
        <w:tab/>
      </w:r>
    </w:p>
    <w:p w14:paraId="1F03FD72" w14:textId="273310DF" w:rsidR="00154718" w:rsidRDefault="00154718" w:rsidP="00BE5610">
      <w:r w:rsidRPr="00EB4CE3">
        <w:t>Item Number:</w:t>
      </w:r>
      <w:r w:rsidRPr="00EB4CE3">
        <w:tab/>
      </w:r>
      <w:r w:rsidR="000536A2">
        <w:tab/>
      </w:r>
      <w:r w:rsidR="00C04B51" w:rsidRPr="00C04B51">
        <w:t>A</w:t>
      </w:r>
      <w:r w:rsidR="007152C4">
        <w:t>1</w:t>
      </w:r>
      <w:bookmarkStart w:id="0" w:name="_GoBack"/>
      <w:bookmarkEnd w:id="0"/>
    </w:p>
    <w:p w14:paraId="1F03FD73" w14:textId="77777777" w:rsidR="006E3B58" w:rsidRPr="00EB4CE3" w:rsidRDefault="006E3B58" w:rsidP="00BE5610"/>
    <w:p w14:paraId="1F03FD74" w14:textId="43C7FE9B" w:rsidR="00154718" w:rsidRPr="00EB4CE3" w:rsidRDefault="00154718" w:rsidP="00BE5610">
      <w:r w:rsidRPr="00EB4CE3">
        <w:t xml:space="preserve">Docket: </w:t>
      </w:r>
      <w:r w:rsidRPr="00EB4CE3">
        <w:tab/>
      </w:r>
      <w:r w:rsidRPr="00EB4CE3">
        <w:tab/>
        <w:t>UW-</w:t>
      </w:r>
      <w:r w:rsidR="00705164">
        <w:t>1</w:t>
      </w:r>
      <w:r w:rsidR="005C440D">
        <w:t>4</w:t>
      </w:r>
      <w:r w:rsidR="00894BC9">
        <w:t>1</w:t>
      </w:r>
      <w:r w:rsidR="00353F90">
        <w:t>363</w:t>
      </w:r>
    </w:p>
    <w:p w14:paraId="1F03FD75" w14:textId="381AC799" w:rsidR="00154718" w:rsidRPr="00EB4CE3" w:rsidRDefault="00A41C23" w:rsidP="00BE5610">
      <w:r w:rsidRPr="00EB4CE3">
        <w:t>Company Name:</w:t>
      </w:r>
      <w:r w:rsidRPr="00EB4CE3">
        <w:tab/>
      </w:r>
      <w:r w:rsidR="00353F90">
        <w:t>Rainier View Water Company, Inc.</w:t>
      </w:r>
    </w:p>
    <w:p w14:paraId="1F03FD76" w14:textId="77777777" w:rsidR="00154718" w:rsidRPr="00EB4CE3" w:rsidRDefault="00154718" w:rsidP="00BE5610"/>
    <w:p w14:paraId="1F03FD77" w14:textId="77777777" w:rsidR="00154718" w:rsidRDefault="00595023" w:rsidP="00BE5610">
      <w:r w:rsidRPr="00EB4CE3">
        <w:t xml:space="preserve">Staff: </w:t>
      </w:r>
      <w:r w:rsidRPr="00EB4CE3">
        <w:tab/>
      </w:r>
      <w:r w:rsidRPr="00EB4CE3">
        <w:tab/>
      </w:r>
      <w:r w:rsidRPr="00EB4CE3">
        <w:tab/>
        <w:t>Jim Ward</w:t>
      </w:r>
      <w:r w:rsidR="00154718" w:rsidRPr="00EB4CE3">
        <w:t>, Regulatory Analyst</w:t>
      </w:r>
    </w:p>
    <w:p w14:paraId="1F03FD78" w14:textId="77777777" w:rsidR="00154718" w:rsidRPr="00EB4CE3" w:rsidRDefault="00103755" w:rsidP="00705164">
      <w:pPr>
        <w:ind w:left="1440" w:firstLine="720"/>
      </w:pPr>
      <w:r>
        <w:t>John Cupp</w:t>
      </w:r>
      <w:r w:rsidR="00154718" w:rsidRPr="00EB4CE3">
        <w:t>, Consumer Protection Staff</w:t>
      </w:r>
    </w:p>
    <w:p w14:paraId="1F03FD79" w14:textId="77777777" w:rsidR="00154718" w:rsidRPr="00EB4CE3" w:rsidRDefault="00154718" w:rsidP="00BE5610"/>
    <w:p w14:paraId="1F03FD7A" w14:textId="702CB083" w:rsidR="00154718" w:rsidRPr="00935AF2" w:rsidRDefault="00154718" w:rsidP="00BE5610">
      <w:pPr>
        <w:rPr>
          <w:b/>
          <w:u w:val="single"/>
        </w:rPr>
      </w:pPr>
      <w:r w:rsidRPr="00935AF2">
        <w:rPr>
          <w:b/>
          <w:u w:val="single"/>
        </w:rPr>
        <w:t>Recommendation</w:t>
      </w:r>
      <w:r w:rsidR="003A5256">
        <w:rPr>
          <w:b/>
          <w:u w:val="single"/>
        </w:rPr>
        <w:t>s</w:t>
      </w:r>
    </w:p>
    <w:p w14:paraId="3E33493B" w14:textId="77777777" w:rsidR="00C1691C" w:rsidRDefault="00C1691C" w:rsidP="00C1691C">
      <w:pPr>
        <w:widowControl w:val="0"/>
        <w:autoSpaceDE w:val="0"/>
        <w:autoSpaceDN w:val="0"/>
        <w:adjustRightInd w:val="0"/>
        <w:rPr>
          <w:rFonts w:eastAsia="Times New Roman"/>
          <w:color w:val="000000"/>
          <w:lang w:bidi="ar-SA"/>
        </w:rPr>
      </w:pPr>
    </w:p>
    <w:p w14:paraId="508D2F3B" w14:textId="67B30088" w:rsidR="00C1691C" w:rsidRDefault="00C1691C" w:rsidP="00C1691C">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t xml:space="preserve">Dismiss the </w:t>
      </w:r>
      <w:r w:rsidRPr="006073C4">
        <w:t>Complaint and Order Suspending the Tariff Revision</w:t>
      </w:r>
      <w:r w:rsidR="009D716A">
        <w:t>s</w:t>
      </w:r>
      <w:r w:rsidRPr="006073C4">
        <w:t xml:space="preserve"> filed </w:t>
      </w:r>
      <w:r w:rsidR="00277380">
        <w:t xml:space="preserve">by </w:t>
      </w:r>
      <w:r w:rsidR="007B716E">
        <w:t>Rainier View Water Company, Inc.,</w:t>
      </w:r>
      <w:r w:rsidR="007B716E" w:rsidRPr="006D62FC">
        <w:t xml:space="preserve"> </w:t>
      </w:r>
      <w:r w:rsidR="007B716E">
        <w:t>in Docket UW-141363</w:t>
      </w:r>
      <w:r w:rsidR="00294B74">
        <w:t>,</w:t>
      </w:r>
      <w:r w:rsidR="007B716E">
        <w:t xml:space="preserve"> dated </w:t>
      </w:r>
      <w:r w:rsidR="002A7813">
        <w:t>August 14</w:t>
      </w:r>
      <w:r w:rsidRPr="006D62FC">
        <w:t>, 2014</w:t>
      </w:r>
      <w:r w:rsidR="0068197A">
        <w:t>, and;</w:t>
      </w:r>
      <w:r w:rsidRPr="004C73F1">
        <w:t xml:space="preserve"> </w:t>
      </w:r>
    </w:p>
    <w:p w14:paraId="5359B942" w14:textId="77777777" w:rsidR="00C1691C" w:rsidRDefault="00C1691C" w:rsidP="00C169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ind w:left="720"/>
      </w:pPr>
    </w:p>
    <w:p w14:paraId="3424F61D" w14:textId="500D5196" w:rsidR="00C1691C" w:rsidRDefault="00C1691C" w:rsidP="00C1691C">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t xml:space="preserve">Allow the </w:t>
      </w:r>
      <w:r w:rsidR="0068197A">
        <w:t xml:space="preserve">revised </w:t>
      </w:r>
      <w:r w:rsidRPr="00AA4488">
        <w:t>rates and tariff revision</w:t>
      </w:r>
      <w:r w:rsidR="007A75F8">
        <w:t>s</w:t>
      </w:r>
      <w:r w:rsidRPr="00AA4488">
        <w:t xml:space="preserve"> filed by </w:t>
      </w:r>
      <w:r w:rsidR="007B716E">
        <w:t>Rainier View Water Company, Inc.,</w:t>
      </w:r>
      <w:r w:rsidR="0068197A">
        <w:t xml:space="preserve"> on</w:t>
      </w:r>
      <w:r w:rsidR="001F3323">
        <w:t xml:space="preserve"> </w:t>
      </w:r>
      <w:r w:rsidR="007B716E">
        <w:t>June 30, 2014</w:t>
      </w:r>
      <w:r>
        <w:t xml:space="preserve">, </w:t>
      </w:r>
      <w:r w:rsidR="00294B74">
        <w:t xml:space="preserve">as </w:t>
      </w:r>
      <w:r w:rsidR="003202A6">
        <w:t xml:space="preserve">revised </w:t>
      </w:r>
      <w:r w:rsidR="00005EB3">
        <w:t xml:space="preserve">August 18, 2014, and </w:t>
      </w:r>
      <w:r w:rsidR="003202A6">
        <w:t>November</w:t>
      </w:r>
      <w:r w:rsidR="00C05DD3">
        <w:t xml:space="preserve"> </w:t>
      </w:r>
      <w:r w:rsidR="00C05DD3" w:rsidRPr="005B6F3C">
        <w:t>1</w:t>
      </w:r>
      <w:r w:rsidR="002633A1" w:rsidRPr="005B6F3C">
        <w:t>0</w:t>
      </w:r>
      <w:r w:rsidR="00C05DD3" w:rsidRPr="005B6F3C">
        <w:t>,</w:t>
      </w:r>
      <w:r w:rsidR="00C05DD3">
        <w:t xml:space="preserve"> 2014, </w:t>
      </w:r>
      <w:r w:rsidRPr="00AA4488">
        <w:t xml:space="preserve">to become effective </w:t>
      </w:r>
      <w:r w:rsidR="00C05DD3">
        <w:t>November</w:t>
      </w:r>
      <w:r>
        <w:t xml:space="preserve"> 1</w:t>
      </w:r>
      <w:r w:rsidR="003202A6">
        <w:t>5</w:t>
      </w:r>
      <w:r w:rsidRPr="00AA4488">
        <w:t>, 201</w:t>
      </w:r>
      <w:r>
        <w:t>4</w:t>
      </w:r>
      <w:r w:rsidRPr="00AA4488">
        <w:t>.</w:t>
      </w:r>
    </w:p>
    <w:p w14:paraId="090287E9" w14:textId="77777777" w:rsidR="00C1691C" w:rsidRPr="00B1586B" w:rsidRDefault="00C1691C" w:rsidP="00C1691C">
      <w:pPr>
        <w:widowControl w:val="0"/>
        <w:autoSpaceDE w:val="0"/>
        <w:autoSpaceDN w:val="0"/>
        <w:adjustRightInd w:val="0"/>
      </w:pPr>
    </w:p>
    <w:p w14:paraId="1F03FD80" w14:textId="77777777" w:rsidR="00154718" w:rsidRPr="00935AF2" w:rsidRDefault="00154718" w:rsidP="00BE5610">
      <w:pPr>
        <w:rPr>
          <w:b/>
          <w:u w:val="single"/>
        </w:rPr>
      </w:pPr>
      <w:r w:rsidRPr="00935AF2">
        <w:rPr>
          <w:b/>
          <w:u w:val="single"/>
        </w:rPr>
        <w:t>Discussion</w:t>
      </w:r>
    </w:p>
    <w:p w14:paraId="1F03FD81" w14:textId="77777777" w:rsidR="00154718" w:rsidRPr="00EB4CE3" w:rsidRDefault="00154718" w:rsidP="00BE5610"/>
    <w:p w14:paraId="1F03FD84" w14:textId="307DC170" w:rsidR="00AE0092" w:rsidRDefault="00DD65A6" w:rsidP="007A59D5">
      <w:pPr>
        <w:rPr>
          <w:color w:val="000000"/>
        </w:rPr>
      </w:pPr>
      <w:r w:rsidRPr="007A59D5">
        <w:rPr>
          <w:szCs w:val="32"/>
        </w:rPr>
        <w:t xml:space="preserve">On </w:t>
      </w:r>
      <w:r w:rsidR="00353F90">
        <w:rPr>
          <w:szCs w:val="32"/>
        </w:rPr>
        <w:t>June 30</w:t>
      </w:r>
      <w:r w:rsidRPr="007A59D5">
        <w:rPr>
          <w:szCs w:val="32"/>
        </w:rPr>
        <w:t xml:space="preserve">, </w:t>
      </w:r>
      <w:r w:rsidR="00705164" w:rsidRPr="007A59D5">
        <w:rPr>
          <w:szCs w:val="32"/>
        </w:rPr>
        <w:t>201</w:t>
      </w:r>
      <w:r w:rsidR="007A59D5">
        <w:rPr>
          <w:szCs w:val="32"/>
        </w:rPr>
        <w:t>4</w:t>
      </w:r>
      <w:r w:rsidRPr="007A59D5">
        <w:rPr>
          <w:szCs w:val="32"/>
        </w:rPr>
        <w:t xml:space="preserve">, </w:t>
      </w:r>
      <w:r w:rsidR="00353F90">
        <w:rPr>
          <w:szCs w:val="32"/>
        </w:rPr>
        <w:t>Rainier View Water Company, Inc.</w:t>
      </w:r>
      <w:r w:rsidR="006F6487" w:rsidRPr="007A59D5">
        <w:rPr>
          <w:szCs w:val="32"/>
        </w:rPr>
        <w:t xml:space="preserve"> </w:t>
      </w:r>
      <w:r w:rsidRPr="007A59D5">
        <w:rPr>
          <w:szCs w:val="32"/>
        </w:rPr>
        <w:t>(</w:t>
      </w:r>
      <w:r w:rsidR="00353F90">
        <w:rPr>
          <w:szCs w:val="32"/>
        </w:rPr>
        <w:t>Rainier View</w:t>
      </w:r>
      <w:r w:rsidR="00187E0D" w:rsidRPr="007A59D5">
        <w:rPr>
          <w:szCs w:val="32"/>
        </w:rPr>
        <w:t xml:space="preserve"> </w:t>
      </w:r>
      <w:r w:rsidRPr="007A59D5">
        <w:rPr>
          <w:szCs w:val="32"/>
        </w:rPr>
        <w:t>or company</w:t>
      </w:r>
      <w:r w:rsidR="00A201C0" w:rsidRPr="007A59D5">
        <w:rPr>
          <w:szCs w:val="32"/>
        </w:rPr>
        <w:t>)</w:t>
      </w:r>
      <w:r w:rsidR="00BD138F" w:rsidRPr="007A59D5">
        <w:rPr>
          <w:szCs w:val="32"/>
        </w:rPr>
        <w:t>,</w:t>
      </w:r>
      <w:r w:rsidR="00A201C0" w:rsidRPr="007A59D5">
        <w:rPr>
          <w:szCs w:val="32"/>
        </w:rPr>
        <w:t xml:space="preserve"> filed</w:t>
      </w:r>
      <w:r w:rsidRPr="007A59D5">
        <w:rPr>
          <w:szCs w:val="32"/>
        </w:rPr>
        <w:t xml:space="preserve"> </w:t>
      </w:r>
      <w:r w:rsidR="00CB1B63" w:rsidRPr="007A59D5">
        <w:rPr>
          <w:szCs w:val="32"/>
        </w:rPr>
        <w:t xml:space="preserve">a </w:t>
      </w:r>
      <w:r w:rsidR="009A01B8">
        <w:rPr>
          <w:szCs w:val="32"/>
        </w:rPr>
        <w:t>p</w:t>
      </w:r>
      <w:r w:rsidR="007A59D5" w:rsidRPr="007A59D5">
        <w:rPr>
          <w:szCs w:val="32"/>
        </w:rPr>
        <w:t xml:space="preserve">roposed rate increase that would generate </w:t>
      </w:r>
      <w:r w:rsidR="00353F90" w:rsidRPr="00106C06">
        <w:rPr>
          <w:color w:val="000000"/>
        </w:rPr>
        <w:t xml:space="preserve">$166,083 (2.9 percent) additional annual revenue. </w:t>
      </w:r>
      <w:r w:rsidR="00353F90" w:rsidRPr="00106C06">
        <w:t xml:space="preserve">The purpose of this tariff filing is to address a revenue shortfall </w:t>
      </w:r>
      <w:r w:rsidR="006F6D87">
        <w:t>d</w:t>
      </w:r>
      <w:r w:rsidR="00353F90" w:rsidRPr="00106C06">
        <w:t>ue to employment related costs (salaries and benefits)</w:t>
      </w:r>
      <w:r w:rsidR="00277380">
        <w:t>,</w:t>
      </w:r>
      <w:r w:rsidR="00353F90" w:rsidRPr="00106C06">
        <w:t xml:space="preserve"> Department of Health permitting fees</w:t>
      </w:r>
      <w:r w:rsidR="00277380">
        <w:t>,</w:t>
      </w:r>
      <w:r w:rsidR="00353F90" w:rsidRPr="00106C06">
        <w:t xml:space="preserve"> and water qua</w:t>
      </w:r>
      <w:r w:rsidR="00353F90">
        <w:t>lity testing requirements</w:t>
      </w:r>
      <w:r w:rsidR="006F6D87">
        <w:t>.</w:t>
      </w:r>
      <w:r w:rsidR="00353F90">
        <w:t xml:space="preserve"> </w:t>
      </w:r>
      <w:r w:rsidR="00325AE5" w:rsidRPr="00B43FA6">
        <w:rPr>
          <w:color w:val="000000"/>
        </w:rPr>
        <w:t xml:space="preserve">The proposed effective date </w:t>
      </w:r>
      <w:r w:rsidR="00325AE5">
        <w:rPr>
          <w:color w:val="000000"/>
        </w:rPr>
        <w:t>wa</w:t>
      </w:r>
      <w:r w:rsidR="00325AE5" w:rsidRPr="00B43FA6">
        <w:rPr>
          <w:color w:val="000000"/>
        </w:rPr>
        <w:t xml:space="preserve">s </w:t>
      </w:r>
      <w:r w:rsidR="00325AE5">
        <w:rPr>
          <w:color w:val="000000"/>
        </w:rPr>
        <w:t>August 15</w:t>
      </w:r>
      <w:r w:rsidR="00325AE5" w:rsidRPr="00B43FA6">
        <w:rPr>
          <w:color w:val="000000"/>
        </w:rPr>
        <w:t>, 2014</w:t>
      </w:r>
      <w:r w:rsidR="00325AE5">
        <w:rPr>
          <w:color w:val="000000"/>
        </w:rPr>
        <w:t xml:space="preserve">. </w:t>
      </w:r>
      <w:r w:rsidR="00353F90" w:rsidRPr="00106C06">
        <w:rPr>
          <w:color w:val="000000"/>
        </w:rPr>
        <w:t>The company provides water service to approximately 17,</w:t>
      </w:r>
      <w:r w:rsidR="00353F90">
        <w:rPr>
          <w:color w:val="000000"/>
        </w:rPr>
        <w:t>35</w:t>
      </w:r>
      <w:r w:rsidR="00353F90" w:rsidRPr="00106C06">
        <w:rPr>
          <w:color w:val="000000"/>
        </w:rPr>
        <w:t>0 customers served on 26 water systems located in Pierce County and two water systems located in Kitsap County.</w:t>
      </w:r>
      <w:r w:rsidR="00EC62E6">
        <w:rPr>
          <w:color w:val="000000"/>
        </w:rPr>
        <w:t xml:space="preserve"> The company’s last </w:t>
      </w:r>
      <w:r w:rsidR="00E03508">
        <w:rPr>
          <w:color w:val="000000"/>
        </w:rPr>
        <w:t xml:space="preserve">general </w:t>
      </w:r>
      <w:r w:rsidR="00EC62E6">
        <w:rPr>
          <w:color w:val="000000"/>
        </w:rPr>
        <w:t xml:space="preserve">rate increase was effective June 1, 2013. </w:t>
      </w:r>
      <w:r w:rsidR="00E03508">
        <w:rPr>
          <w:color w:val="000000"/>
        </w:rPr>
        <w:t xml:space="preserve">The commission allowed </w:t>
      </w:r>
      <w:r w:rsidR="00EC62E6">
        <w:rPr>
          <w:color w:val="000000"/>
        </w:rPr>
        <w:t xml:space="preserve">a </w:t>
      </w:r>
      <w:r w:rsidR="00E03508">
        <w:rPr>
          <w:color w:val="000000"/>
        </w:rPr>
        <w:t xml:space="preserve">$.75 </w:t>
      </w:r>
      <w:r w:rsidR="00EC62E6">
        <w:rPr>
          <w:color w:val="000000"/>
        </w:rPr>
        <w:t xml:space="preserve">Capital </w:t>
      </w:r>
      <w:r w:rsidR="00615539">
        <w:rPr>
          <w:color w:val="000000"/>
        </w:rPr>
        <w:t xml:space="preserve">Plant </w:t>
      </w:r>
      <w:r w:rsidR="00EC62E6">
        <w:rPr>
          <w:color w:val="000000"/>
        </w:rPr>
        <w:t>Treatment surcharge to be</w:t>
      </w:r>
      <w:r w:rsidR="00E03508">
        <w:rPr>
          <w:color w:val="000000"/>
        </w:rPr>
        <w:t>come</w:t>
      </w:r>
      <w:r w:rsidR="00EC62E6">
        <w:rPr>
          <w:color w:val="000000"/>
        </w:rPr>
        <w:t xml:space="preserve"> effective August 1, 2014.</w:t>
      </w:r>
    </w:p>
    <w:p w14:paraId="2E386E96" w14:textId="77777777" w:rsidR="007B716E" w:rsidRDefault="007B716E" w:rsidP="00C1691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rPr>
          <w:rFonts w:eastAsia="Times New Roman"/>
        </w:rPr>
      </w:pPr>
    </w:p>
    <w:p w14:paraId="11D94A82" w14:textId="730856E4" w:rsidR="006F6D87" w:rsidRDefault="00C1691C" w:rsidP="006F6D8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pPr>
      <w:r w:rsidRPr="00E04176">
        <w:rPr>
          <w:rFonts w:eastAsia="Times New Roman"/>
        </w:rPr>
        <w:t xml:space="preserve">On </w:t>
      </w:r>
      <w:r w:rsidR="00656F93">
        <w:rPr>
          <w:rFonts w:eastAsia="Times New Roman"/>
        </w:rPr>
        <w:t>August 14</w:t>
      </w:r>
      <w:r w:rsidRPr="00E04176">
        <w:rPr>
          <w:rFonts w:eastAsia="Times New Roman"/>
        </w:rPr>
        <w:t>, 201</w:t>
      </w:r>
      <w:r>
        <w:rPr>
          <w:rFonts w:eastAsia="Times New Roman"/>
        </w:rPr>
        <w:t>4</w:t>
      </w:r>
      <w:r w:rsidRPr="00E04176">
        <w:rPr>
          <w:rFonts w:eastAsia="Times New Roman"/>
        </w:rPr>
        <w:t xml:space="preserve">, the commission </w:t>
      </w:r>
      <w:r w:rsidR="003A5256">
        <w:rPr>
          <w:rFonts w:eastAsia="Times New Roman"/>
        </w:rPr>
        <w:t xml:space="preserve">issued an order </w:t>
      </w:r>
      <w:r w:rsidRPr="00E04176">
        <w:rPr>
          <w:rFonts w:eastAsia="Times New Roman"/>
        </w:rPr>
        <w:t>suspend</w:t>
      </w:r>
      <w:r w:rsidR="003A5256">
        <w:rPr>
          <w:rFonts w:eastAsia="Times New Roman"/>
        </w:rPr>
        <w:t>ing</w:t>
      </w:r>
      <w:r w:rsidRPr="00E04176">
        <w:rPr>
          <w:rFonts w:eastAsia="Times New Roman"/>
        </w:rPr>
        <w:t xml:space="preserve"> this filing for further review.</w:t>
      </w:r>
      <w:r>
        <w:rPr>
          <w:rFonts w:eastAsia="Times New Roman"/>
        </w:rPr>
        <w:t xml:space="preserve"> </w:t>
      </w:r>
      <w:r w:rsidR="00294B74">
        <w:rPr>
          <w:rFonts w:eastAsia="Times New Roman"/>
        </w:rPr>
        <w:t>T</w:t>
      </w:r>
      <w:r w:rsidR="006F6D87">
        <w:rPr>
          <w:rFonts w:eastAsia="Times New Roman"/>
        </w:rPr>
        <w:t xml:space="preserve">he company proposed to </w:t>
      </w:r>
      <w:r w:rsidR="00294B74">
        <w:rPr>
          <w:rFonts w:eastAsia="Times New Roman"/>
        </w:rPr>
        <w:t>increase revenue</w:t>
      </w:r>
      <w:r w:rsidR="006F6D87">
        <w:rPr>
          <w:rFonts w:eastAsia="Times New Roman"/>
        </w:rPr>
        <w:t xml:space="preserve"> by raising the third block usage rate. Additionally</w:t>
      </w:r>
      <w:r w:rsidR="00811645">
        <w:rPr>
          <w:rFonts w:eastAsia="Times New Roman"/>
        </w:rPr>
        <w:t>,</w:t>
      </w:r>
      <w:r w:rsidR="006F6D87">
        <w:rPr>
          <w:rFonts w:eastAsia="Times New Roman"/>
        </w:rPr>
        <w:t xml:space="preserve"> the company wanted to </w:t>
      </w:r>
      <w:r w:rsidR="006F6D87" w:rsidRPr="00106C06">
        <w:t xml:space="preserve">modify </w:t>
      </w:r>
      <w:r w:rsidR="00811645">
        <w:t>it</w:t>
      </w:r>
      <w:r w:rsidR="00811645" w:rsidRPr="00106C06">
        <w:t>s</w:t>
      </w:r>
      <w:r w:rsidR="006F6D87" w:rsidRPr="00106C06">
        <w:t xml:space="preserve"> rate design</w:t>
      </w:r>
      <w:r w:rsidR="006F6D87">
        <w:t xml:space="preserve"> to promote conservation in the third usage block</w:t>
      </w:r>
      <w:r w:rsidR="00811645">
        <w:t xml:space="preserve"> on a year round basis</w:t>
      </w:r>
      <w:r w:rsidR="006F6D87" w:rsidRPr="00106C06">
        <w:t>.</w:t>
      </w:r>
    </w:p>
    <w:p w14:paraId="56DAF21F" w14:textId="77777777" w:rsidR="00811645" w:rsidRDefault="00811645" w:rsidP="006F6D8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pPr>
    </w:p>
    <w:p w14:paraId="5283BC60" w14:textId="2BCADA28" w:rsidR="00C1691C" w:rsidRDefault="00491963" w:rsidP="00C1691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rPr>
          <w:rFonts w:eastAsia="Times New Roman"/>
        </w:rPr>
      </w:pPr>
      <w:r>
        <w:rPr>
          <w:rFonts w:eastAsia="Times New Roman"/>
        </w:rPr>
        <w:t>S</w:t>
      </w:r>
      <w:r w:rsidR="00C1691C" w:rsidRPr="00E04176">
        <w:rPr>
          <w:rFonts w:eastAsia="Times New Roman"/>
        </w:rPr>
        <w:t>taff found the proposed rates would generate revenue</w:t>
      </w:r>
      <w:r w:rsidR="00656F93">
        <w:rPr>
          <w:rFonts w:eastAsia="Times New Roman"/>
        </w:rPr>
        <w:t>s to one class of customer in excess of three percent</w:t>
      </w:r>
      <w:r>
        <w:rPr>
          <w:rFonts w:eastAsia="Times New Roman"/>
        </w:rPr>
        <w:t xml:space="preserve">, </w:t>
      </w:r>
      <w:r w:rsidR="004C7A3E">
        <w:rPr>
          <w:rFonts w:eastAsia="Times New Roman"/>
        </w:rPr>
        <w:t>which WAC 480-07-505(1) defines</w:t>
      </w:r>
      <w:r>
        <w:rPr>
          <w:rFonts w:eastAsia="Times New Roman"/>
        </w:rPr>
        <w:t xml:space="preserve"> as a general rate proceeding and </w:t>
      </w:r>
      <w:r w:rsidR="004C7A3E">
        <w:rPr>
          <w:rFonts w:eastAsia="Times New Roman"/>
        </w:rPr>
        <w:t xml:space="preserve">WAC 480-07-530 </w:t>
      </w:r>
      <w:r>
        <w:rPr>
          <w:rFonts w:eastAsia="Times New Roman"/>
        </w:rPr>
        <w:t>requir</w:t>
      </w:r>
      <w:r w:rsidR="004C7A3E">
        <w:rPr>
          <w:rFonts w:eastAsia="Times New Roman"/>
        </w:rPr>
        <w:t>es</w:t>
      </w:r>
      <w:r>
        <w:rPr>
          <w:rFonts w:eastAsia="Times New Roman"/>
        </w:rPr>
        <w:t xml:space="preserve"> the company </w:t>
      </w:r>
      <w:r w:rsidR="004C7A3E">
        <w:rPr>
          <w:rFonts w:eastAsia="Times New Roman"/>
        </w:rPr>
        <w:t>to file specific</w:t>
      </w:r>
      <w:r>
        <w:rPr>
          <w:rFonts w:eastAsia="Times New Roman"/>
        </w:rPr>
        <w:t xml:space="preserve"> work paper</w:t>
      </w:r>
      <w:r w:rsidR="004C7A3E">
        <w:rPr>
          <w:rFonts w:eastAsia="Times New Roman"/>
        </w:rPr>
        <w:t>s</w:t>
      </w:r>
      <w:r w:rsidR="00C1691C" w:rsidRPr="00E04176">
        <w:rPr>
          <w:rFonts w:eastAsia="Times New Roman"/>
        </w:rPr>
        <w:t xml:space="preserve">. </w:t>
      </w:r>
      <w:r w:rsidR="006F6D87">
        <w:rPr>
          <w:rFonts w:eastAsia="Times New Roman"/>
        </w:rPr>
        <w:t>Since the August 14, 2014, open meeting, t</w:t>
      </w:r>
      <w:r>
        <w:rPr>
          <w:rFonts w:eastAsia="Times New Roman"/>
        </w:rPr>
        <w:t>he company filed the required work papers</w:t>
      </w:r>
      <w:r w:rsidR="006F6D87">
        <w:rPr>
          <w:rFonts w:eastAsia="Times New Roman"/>
        </w:rPr>
        <w:t xml:space="preserve"> and additional support for the revised revenue</w:t>
      </w:r>
      <w:r w:rsidR="00811645">
        <w:rPr>
          <w:rFonts w:eastAsia="Times New Roman"/>
        </w:rPr>
        <w:t xml:space="preserve"> requirement</w:t>
      </w:r>
      <w:r>
        <w:rPr>
          <w:rFonts w:eastAsia="Times New Roman"/>
        </w:rPr>
        <w:t xml:space="preserve">. </w:t>
      </w:r>
    </w:p>
    <w:p w14:paraId="4BBA9086" w14:textId="77777777" w:rsidR="006F6D87" w:rsidRDefault="006F6D87" w:rsidP="00C1691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pPr>
    </w:p>
    <w:p w14:paraId="324A5265" w14:textId="20200906" w:rsidR="00B46C5C" w:rsidRDefault="007B716E" w:rsidP="003A3419">
      <w:r>
        <w:t xml:space="preserve">At the August </w:t>
      </w:r>
      <w:r w:rsidR="00AF6993">
        <w:t>14</w:t>
      </w:r>
      <w:r>
        <w:t>, 2014, open meeting</w:t>
      </w:r>
      <w:r w:rsidR="00FA4D40">
        <w:t>,</w:t>
      </w:r>
      <w:r>
        <w:t xml:space="preserve"> </w:t>
      </w:r>
      <w:r w:rsidR="003A3419">
        <w:t xml:space="preserve">Bethel School District (Bethel), a non-residential </w:t>
      </w:r>
      <w:r w:rsidR="005B04F4">
        <w:t>customer</w:t>
      </w:r>
      <w:r w:rsidR="003A3419">
        <w:t xml:space="preserve">, </w:t>
      </w:r>
      <w:r>
        <w:t>raised</w:t>
      </w:r>
      <w:r w:rsidR="003A3419">
        <w:t xml:space="preserve"> the following issues:</w:t>
      </w:r>
    </w:p>
    <w:p w14:paraId="58FF8B74" w14:textId="0F4E6343" w:rsidR="00DA0C11" w:rsidRDefault="003A3419" w:rsidP="00DB187D">
      <w:pPr>
        <w:pStyle w:val="ListParagraph"/>
        <w:numPr>
          <w:ilvl w:val="0"/>
          <w:numId w:val="36"/>
        </w:numPr>
      </w:pPr>
      <w:r>
        <w:t>T</w:t>
      </w:r>
      <w:r w:rsidR="006F6D87">
        <w:t xml:space="preserve">he large dollar amount proposed based on </w:t>
      </w:r>
      <w:r w:rsidR="007B716E">
        <w:t>water usage amount</w:t>
      </w:r>
      <w:r w:rsidR="00FA4D40">
        <w:t>s</w:t>
      </w:r>
      <w:r w:rsidR="007B716E">
        <w:t xml:space="preserve"> </w:t>
      </w:r>
      <w:r w:rsidR="00491963">
        <w:t xml:space="preserve">by </w:t>
      </w:r>
      <w:r w:rsidR="007B716E">
        <w:t>the non-resident</w:t>
      </w:r>
      <w:r w:rsidR="00FA4D40">
        <w:t>i</w:t>
      </w:r>
      <w:r w:rsidR="007B716E">
        <w:t>al customers.</w:t>
      </w:r>
      <w:r w:rsidR="00FA4D40">
        <w:t xml:space="preserve"> </w:t>
      </w:r>
      <w:r>
        <w:t xml:space="preserve">Bethel </w:t>
      </w:r>
      <w:r w:rsidR="00E2394B">
        <w:t>claim</w:t>
      </w:r>
      <w:r w:rsidR="008C5A41">
        <w:t>s</w:t>
      </w:r>
      <w:r w:rsidR="00E2394B">
        <w:t xml:space="preserve"> the increase is disp</w:t>
      </w:r>
      <w:r w:rsidR="00095127">
        <w:t>r</w:t>
      </w:r>
      <w:r w:rsidR="00E2394B">
        <w:t>o</w:t>
      </w:r>
      <w:r w:rsidR="00095127">
        <w:t>po</w:t>
      </w:r>
      <w:r w:rsidR="00E2394B">
        <w:t xml:space="preserve">rtionate to the district </w:t>
      </w:r>
      <w:r w:rsidR="00095127">
        <w:t xml:space="preserve">because it </w:t>
      </w:r>
      <w:r w:rsidR="0069302C">
        <w:t>would</w:t>
      </w:r>
      <w:r w:rsidR="00095127">
        <w:t xml:space="preserve"> pay </w:t>
      </w:r>
      <w:r w:rsidR="00E2394B">
        <w:t>$13,660 (</w:t>
      </w:r>
      <w:r w:rsidR="00AC0C97">
        <w:t>8</w:t>
      </w:r>
      <w:r w:rsidR="00E2394B">
        <w:t xml:space="preserve"> percent) of the proposed $166,083 increase.</w:t>
      </w:r>
      <w:r w:rsidR="001C15EF">
        <w:t xml:space="preserve"> </w:t>
      </w:r>
    </w:p>
    <w:p w14:paraId="3DA0F8D6" w14:textId="107049D0" w:rsidR="003A3419" w:rsidRPr="00E2394B" w:rsidRDefault="005C0568" w:rsidP="00C30070">
      <w:pPr>
        <w:pStyle w:val="ListParagraph"/>
        <w:numPr>
          <w:ilvl w:val="0"/>
          <w:numId w:val="36"/>
        </w:numPr>
      </w:pPr>
      <w:r>
        <w:t>O</w:t>
      </w:r>
      <w:r w:rsidR="003A3419">
        <w:t>verhead or general operating expenses should be paid by all customers through an increase in the base rate or the first block of water usage.</w:t>
      </w:r>
    </w:p>
    <w:p w14:paraId="4E691B75" w14:textId="5A04C12E" w:rsidR="001047F2" w:rsidRDefault="00736FD7" w:rsidP="00C1691C">
      <w:r>
        <w:lastRenderedPageBreak/>
        <w:t xml:space="preserve">In response to Bethel’s comments, </w:t>
      </w:r>
      <w:r w:rsidR="00784726">
        <w:t xml:space="preserve">Staff </w:t>
      </w:r>
      <w:r w:rsidR="001047F2">
        <w:t>re</w:t>
      </w:r>
      <w:r w:rsidR="00E80A28">
        <w:t xml:space="preserve">viewed </w:t>
      </w:r>
      <w:r w:rsidR="001047F2">
        <w:t>the following:</w:t>
      </w:r>
    </w:p>
    <w:p w14:paraId="48F92E0D" w14:textId="77777777" w:rsidR="001047F2" w:rsidRDefault="001047F2" w:rsidP="00C1691C"/>
    <w:p w14:paraId="58A95541" w14:textId="382DA4C8" w:rsidR="00E070E1" w:rsidRPr="00603AE2" w:rsidRDefault="00E070E1" w:rsidP="00C1691C">
      <w:pPr>
        <w:rPr>
          <w:b/>
        </w:rPr>
      </w:pPr>
      <w:r w:rsidRPr="00603AE2">
        <w:rPr>
          <w:b/>
        </w:rPr>
        <w:t>Bet</w:t>
      </w:r>
      <w:r w:rsidR="00A11045" w:rsidRPr="00603AE2">
        <w:rPr>
          <w:b/>
        </w:rPr>
        <w:t>h</w:t>
      </w:r>
      <w:r w:rsidRPr="00603AE2">
        <w:rPr>
          <w:b/>
        </w:rPr>
        <w:t>el’s increased water bills since 2005.</w:t>
      </w:r>
    </w:p>
    <w:p w14:paraId="4C812664" w14:textId="7AEA5FC1" w:rsidR="00481178" w:rsidRDefault="0058025E" w:rsidP="00481178">
      <w:r>
        <w:t>Bethel’s</w:t>
      </w:r>
      <w:r w:rsidR="00E070E1">
        <w:t xml:space="preserve"> bills are a function of rates and usage. Staff </w:t>
      </w:r>
      <w:r w:rsidR="00A11045">
        <w:t xml:space="preserve">makes no comment on usage because </w:t>
      </w:r>
      <w:r>
        <w:t xml:space="preserve">we </w:t>
      </w:r>
      <w:r w:rsidR="00A11045">
        <w:t>do not have the data</w:t>
      </w:r>
      <w:r>
        <w:t xml:space="preserve"> since 2005</w:t>
      </w:r>
      <w:r w:rsidR="00A11045">
        <w:t xml:space="preserve">. </w:t>
      </w:r>
      <w:r w:rsidR="00E070E1">
        <w:t>Rate</w:t>
      </w:r>
      <w:r w:rsidR="00A11045">
        <w:t>s</w:t>
      </w:r>
      <w:r>
        <w:t xml:space="preserve"> for water service</w:t>
      </w:r>
      <w:r w:rsidR="00E070E1">
        <w:t xml:space="preserve"> have changed </w:t>
      </w:r>
      <w:r w:rsidR="00B14973">
        <w:t>substantially</w:t>
      </w:r>
      <w:r w:rsidR="00A11045">
        <w:t xml:space="preserve"> </w:t>
      </w:r>
      <w:r w:rsidR="00E070E1">
        <w:t xml:space="preserve">since 2005. </w:t>
      </w:r>
      <w:r w:rsidR="00481178">
        <w:t xml:space="preserve">Prior to 2005, Rainier View had only one base meter charge and one usage rate schedule for all customers. In March 2005, Rainier View implemented a summer (May – September) conservation rate of $5.00 per 100 cubic feet for water usage over 3,000 cubic feet per month for only residential customers. Non-residential customers continued to pay $.85 per 100 cubic feet for water usage above the 500 cubic feet allowance. </w:t>
      </w:r>
    </w:p>
    <w:p w14:paraId="11AA958F" w14:textId="77777777" w:rsidR="00481178" w:rsidRDefault="00481178" w:rsidP="00481178"/>
    <w:p w14:paraId="20E97499" w14:textId="0C686C52" w:rsidR="00481178" w:rsidRDefault="00481178" w:rsidP="00481178">
      <w:r>
        <w:t>In Rainier View’s 2010 general rate case, the company and staff agreed to a rate design that established base charges, rates and usage blocks based on meter sizes</w:t>
      </w:r>
      <w:r w:rsidR="00A11045">
        <w:t xml:space="preserve"> to apply to all customers</w:t>
      </w:r>
      <w:r>
        <w:t>. To encourage conservation, the new rate design incorporated increasing rates for higher water usage. Due to rate shock, the higher third block rate for non-residential customers was phased in over several years. Effective June 1, 2013, all customers (residential and non-residential) paid the same rates based on the customer’s meter size, and the third block rate was set at $2.05 for all customers.</w:t>
      </w:r>
    </w:p>
    <w:p w14:paraId="0268DBDC" w14:textId="77777777" w:rsidR="00E070E1" w:rsidRDefault="00E070E1" w:rsidP="00C1691C">
      <w:pPr>
        <w:rPr>
          <w:b/>
        </w:rPr>
      </w:pPr>
    </w:p>
    <w:p w14:paraId="0AA49779" w14:textId="6E5E5C00" w:rsidR="001047F2" w:rsidRPr="00C30070" w:rsidRDefault="001047F2" w:rsidP="00C1691C">
      <w:pPr>
        <w:rPr>
          <w:b/>
        </w:rPr>
      </w:pPr>
      <w:r w:rsidRPr="00C30070">
        <w:rPr>
          <w:b/>
        </w:rPr>
        <w:t>R</w:t>
      </w:r>
      <w:r w:rsidR="00C664C2">
        <w:rPr>
          <w:b/>
        </w:rPr>
        <w:t xml:space="preserve">ainier </w:t>
      </w:r>
      <w:r w:rsidRPr="00C30070">
        <w:rPr>
          <w:b/>
        </w:rPr>
        <w:t>V</w:t>
      </w:r>
      <w:r w:rsidR="00C664C2">
        <w:rPr>
          <w:b/>
        </w:rPr>
        <w:t>iew</w:t>
      </w:r>
      <w:r w:rsidRPr="00C30070">
        <w:rPr>
          <w:b/>
        </w:rPr>
        <w:t>’s third block usage</w:t>
      </w:r>
      <w:r w:rsidR="00A11045">
        <w:rPr>
          <w:b/>
        </w:rPr>
        <w:t xml:space="preserve"> rate</w:t>
      </w:r>
      <w:r w:rsidRPr="00C30070">
        <w:rPr>
          <w:b/>
        </w:rPr>
        <w:t>.</w:t>
      </w:r>
    </w:p>
    <w:p w14:paraId="10346FF0" w14:textId="2AB4F3F6" w:rsidR="00595B75" w:rsidRDefault="005E3FC7" w:rsidP="00595B75">
      <w:pPr>
        <w:rPr>
          <w:color w:val="000000"/>
        </w:rPr>
      </w:pPr>
      <w:r w:rsidRPr="00972EE7">
        <w:rPr>
          <w:color w:val="000000"/>
        </w:rPr>
        <w:t>Rainier View has limited water source capacity</w:t>
      </w:r>
      <w:r w:rsidR="00784726">
        <w:rPr>
          <w:color w:val="000000"/>
        </w:rPr>
        <w:t xml:space="preserve">. </w:t>
      </w:r>
      <w:r w:rsidR="00784726" w:rsidRPr="00972EE7">
        <w:rPr>
          <w:color w:val="000000"/>
        </w:rPr>
        <w:t xml:space="preserve">Increased consumption of water in the high usage blocks during the summer months </w:t>
      </w:r>
      <w:r w:rsidRPr="00972EE7">
        <w:rPr>
          <w:color w:val="000000"/>
        </w:rPr>
        <w:t xml:space="preserve">has required the company to buy </w:t>
      </w:r>
      <w:r>
        <w:rPr>
          <w:color w:val="000000"/>
        </w:rPr>
        <w:t xml:space="preserve">additional </w:t>
      </w:r>
      <w:r w:rsidRPr="00972EE7">
        <w:rPr>
          <w:color w:val="000000"/>
        </w:rPr>
        <w:t>water from the City of Tacoma</w:t>
      </w:r>
      <w:r w:rsidR="00E070E1">
        <w:rPr>
          <w:color w:val="000000"/>
        </w:rPr>
        <w:t xml:space="preserve"> </w:t>
      </w:r>
      <w:r w:rsidR="00E070E1">
        <w:rPr>
          <w:rFonts w:eastAsia="Times New Roman"/>
        </w:rPr>
        <w:t>(Tacoma)</w:t>
      </w:r>
      <w:r w:rsidRPr="00972EE7">
        <w:rPr>
          <w:color w:val="000000"/>
        </w:rPr>
        <w:t xml:space="preserve">. </w:t>
      </w:r>
      <w:r w:rsidR="00784726" w:rsidRPr="00277380">
        <w:rPr>
          <w:rFonts w:eastAsia="Times New Roman"/>
        </w:rPr>
        <w:t xml:space="preserve">Rainier View </w:t>
      </w:r>
      <w:r w:rsidR="00784726">
        <w:rPr>
          <w:rFonts w:eastAsia="Times New Roman"/>
        </w:rPr>
        <w:t xml:space="preserve">paid the </w:t>
      </w:r>
      <w:r w:rsidR="00B14973">
        <w:rPr>
          <w:rFonts w:eastAsia="Times New Roman"/>
        </w:rPr>
        <w:t>Tacoma $</w:t>
      </w:r>
      <w:r w:rsidR="00784726">
        <w:rPr>
          <w:rFonts w:eastAsia="Times New Roman"/>
        </w:rPr>
        <w:t xml:space="preserve">2.56 per 100 cubic feet through 2013 and, since January 1, 2014, $2.64 </w:t>
      </w:r>
      <w:r w:rsidR="00784726" w:rsidRPr="00F000B4">
        <w:rPr>
          <w:rFonts w:eastAsia="Times New Roman"/>
        </w:rPr>
        <w:t xml:space="preserve">per 100 cubic feet </w:t>
      </w:r>
      <w:r w:rsidR="00784726">
        <w:rPr>
          <w:rFonts w:eastAsia="Times New Roman"/>
        </w:rPr>
        <w:t>for peaking water usage. Rainier View currently charges $2.05 per 100 cubic feet for the third block. Current rates do not cover the cost to purchase water.</w:t>
      </w:r>
      <w:r w:rsidR="00595B75">
        <w:rPr>
          <w:rFonts w:eastAsia="Times New Roman"/>
        </w:rPr>
        <w:t xml:space="preserve"> T</w:t>
      </w:r>
      <w:r w:rsidR="00784726" w:rsidRPr="00972EE7">
        <w:rPr>
          <w:color w:val="000000"/>
        </w:rPr>
        <w:t>he company seeks to recover</w:t>
      </w:r>
      <w:r w:rsidR="00595B75">
        <w:rPr>
          <w:color w:val="000000"/>
        </w:rPr>
        <w:t xml:space="preserve"> the </w:t>
      </w:r>
      <w:r w:rsidR="00BB5FB8">
        <w:rPr>
          <w:color w:val="000000"/>
        </w:rPr>
        <w:t>full cost of purchasing water</w:t>
      </w:r>
      <w:r w:rsidR="00595B75">
        <w:rPr>
          <w:color w:val="000000"/>
        </w:rPr>
        <w:t xml:space="preserve"> </w:t>
      </w:r>
      <w:r w:rsidR="00784726" w:rsidRPr="00972EE7">
        <w:rPr>
          <w:color w:val="000000"/>
        </w:rPr>
        <w:t>in this filing.</w:t>
      </w:r>
      <w:r w:rsidR="00595B75" w:rsidRPr="00595B75">
        <w:rPr>
          <w:color w:val="000000"/>
        </w:rPr>
        <w:t xml:space="preserve"> </w:t>
      </w:r>
      <w:r w:rsidR="00595B75" w:rsidRPr="00972EE7">
        <w:rPr>
          <w:color w:val="000000"/>
        </w:rPr>
        <w:t xml:space="preserve">The company expects that </w:t>
      </w:r>
      <w:r w:rsidR="00595B75">
        <w:rPr>
          <w:color w:val="000000"/>
        </w:rPr>
        <w:t xml:space="preserve">increasing </w:t>
      </w:r>
      <w:r w:rsidR="00595B75" w:rsidRPr="00972EE7">
        <w:rPr>
          <w:color w:val="000000"/>
        </w:rPr>
        <w:t xml:space="preserve">the third block </w:t>
      </w:r>
      <w:r w:rsidR="00595B75">
        <w:rPr>
          <w:color w:val="000000"/>
        </w:rPr>
        <w:t xml:space="preserve">usage </w:t>
      </w:r>
      <w:r w:rsidR="00595B75" w:rsidRPr="00972EE7">
        <w:rPr>
          <w:color w:val="000000"/>
        </w:rPr>
        <w:t xml:space="preserve">rate </w:t>
      </w:r>
      <w:r w:rsidR="0069302C">
        <w:rPr>
          <w:color w:val="000000"/>
        </w:rPr>
        <w:t>would</w:t>
      </w:r>
      <w:r w:rsidR="00595B75" w:rsidRPr="00972EE7">
        <w:rPr>
          <w:color w:val="000000"/>
        </w:rPr>
        <w:t xml:space="preserve"> help </w:t>
      </w:r>
      <w:r w:rsidR="00125753" w:rsidRPr="00972EE7">
        <w:rPr>
          <w:color w:val="000000"/>
        </w:rPr>
        <w:t>promote conservation</w:t>
      </w:r>
      <w:r w:rsidR="00125753">
        <w:rPr>
          <w:color w:val="000000"/>
        </w:rPr>
        <w:t xml:space="preserve">, </w:t>
      </w:r>
      <w:r w:rsidR="00595B75" w:rsidRPr="00972EE7">
        <w:rPr>
          <w:color w:val="000000"/>
        </w:rPr>
        <w:t>reduce third block water usage</w:t>
      </w:r>
      <w:r w:rsidR="00125753">
        <w:rPr>
          <w:color w:val="000000"/>
        </w:rPr>
        <w:t xml:space="preserve">, </w:t>
      </w:r>
      <w:r w:rsidR="00595B75" w:rsidRPr="00972EE7">
        <w:rPr>
          <w:color w:val="000000"/>
        </w:rPr>
        <w:t>and</w:t>
      </w:r>
      <w:r w:rsidR="00125753">
        <w:rPr>
          <w:color w:val="000000"/>
        </w:rPr>
        <w:t xml:space="preserve"> </w:t>
      </w:r>
      <w:r w:rsidR="00595B75" w:rsidRPr="00972EE7">
        <w:rPr>
          <w:color w:val="000000"/>
        </w:rPr>
        <w:t xml:space="preserve">reduce the amount of water </w:t>
      </w:r>
      <w:r w:rsidR="00125753">
        <w:rPr>
          <w:color w:val="000000"/>
        </w:rPr>
        <w:t xml:space="preserve">the company must </w:t>
      </w:r>
      <w:r w:rsidR="00595B75" w:rsidRPr="00972EE7">
        <w:rPr>
          <w:color w:val="000000"/>
        </w:rPr>
        <w:t>purchase</w:t>
      </w:r>
      <w:r w:rsidR="00125753">
        <w:rPr>
          <w:color w:val="000000"/>
        </w:rPr>
        <w:t xml:space="preserve"> from Tacoma</w:t>
      </w:r>
      <w:r w:rsidR="00595B75" w:rsidRPr="00972EE7">
        <w:rPr>
          <w:color w:val="000000"/>
        </w:rPr>
        <w:t>.</w:t>
      </w:r>
    </w:p>
    <w:p w14:paraId="53B4B422" w14:textId="77777777" w:rsidR="00595B75" w:rsidRDefault="00595B75" w:rsidP="00595B75"/>
    <w:p w14:paraId="733A8D51" w14:textId="62FDC665" w:rsidR="00595B75" w:rsidRPr="00C30070" w:rsidRDefault="00595B75" w:rsidP="00595B75">
      <w:pPr>
        <w:rPr>
          <w:b/>
        </w:rPr>
      </w:pPr>
      <w:r w:rsidRPr="00C30070">
        <w:rPr>
          <w:b/>
        </w:rPr>
        <w:t>Bethel’s water usage</w:t>
      </w:r>
      <w:r w:rsidR="00A11045">
        <w:rPr>
          <w:b/>
        </w:rPr>
        <w:t xml:space="preserve"> compared to other school districts</w:t>
      </w:r>
      <w:r w:rsidRPr="00C30070">
        <w:rPr>
          <w:b/>
        </w:rPr>
        <w:t>.</w:t>
      </w:r>
    </w:p>
    <w:p w14:paraId="079387A3" w14:textId="7AFFE939" w:rsidR="00595B75" w:rsidRDefault="00595B75" w:rsidP="00595B75">
      <w:r w:rsidRPr="00280915">
        <w:t xml:space="preserve">Staff reviewed Bethel’s </w:t>
      </w:r>
      <w:r w:rsidR="00DB187D" w:rsidRPr="00280915">
        <w:t xml:space="preserve">test period </w:t>
      </w:r>
      <w:r w:rsidRPr="00280915">
        <w:t>individual meter usage data</w:t>
      </w:r>
      <w:r w:rsidR="00DB187D" w:rsidRPr="00280915">
        <w:t xml:space="preserve">. </w:t>
      </w:r>
      <w:r w:rsidRPr="00280915">
        <w:t xml:space="preserve">With one exception, all </w:t>
      </w:r>
      <w:r w:rsidR="00AF1904" w:rsidRPr="00280915">
        <w:t xml:space="preserve">third-block </w:t>
      </w:r>
      <w:r w:rsidRPr="00280915">
        <w:t>water us</w:t>
      </w:r>
      <w:r w:rsidR="00AF1904" w:rsidRPr="00280915">
        <w:t xml:space="preserve">age </w:t>
      </w:r>
      <w:r w:rsidRPr="00280915">
        <w:t>occurred in July, August and September</w:t>
      </w:r>
      <w:r w:rsidR="00280915" w:rsidRPr="00280915">
        <w:t>, 2013</w:t>
      </w:r>
      <w:r w:rsidRPr="00280915">
        <w:t>. These appear to be the major irrigation months for the school district. All school district meters</w:t>
      </w:r>
      <w:r>
        <w:t xml:space="preserve"> are upsize and the company’s records clearly identify some as dedicated to irrigation.</w:t>
      </w:r>
      <w:r w:rsidR="00AF1904">
        <w:rPr>
          <w:rStyle w:val="FootnoteReference"/>
        </w:rPr>
        <w:footnoteReference w:id="2"/>
      </w:r>
      <w:r>
        <w:t xml:space="preserve"> </w:t>
      </w:r>
    </w:p>
    <w:p w14:paraId="41C73B80" w14:textId="77777777" w:rsidR="00595B75" w:rsidRDefault="00595B75" w:rsidP="00595B75">
      <w:pPr>
        <w:ind w:left="720"/>
      </w:pPr>
    </w:p>
    <w:p w14:paraId="44010E37" w14:textId="77777777" w:rsidR="006F0C2F" w:rsidRDefault="006F0C2F">
      <w:r>
        <w:br w:type="page"/>
      </w:r>
    </w:p>
    <w:p w14:paraId="41A110CB" w14:textId="03FAB511" w:rsidR="00DB187D" w:rsidRDefault="00DB187D" w:rsidP="00595B75">
      <w:r w:rsidRPr="00DB187D">
        <w:lastRenderedPageBreak/>
        <w:t>For the test period ending June 30, 2014, Bethel</w:t>
      </w:r>
      <w:r>
        <w:t>:</w:t>
      </w:r>
    </w:p>
    <w:p w14:paraId="4D079A17" w14:textId="336C8A7E" w:rsidR="00DB187D" w:rsidRDefault="00DB187D" w:rsidP="00DB187D">
      <w:pPr>
        <w:pStyle w:val="ListParagraph"/>
        <w:numPr>
          <w:ilvl w:val="0"/>
          <w:numId w:val="37"/>
        </w:numPr>
      </w:pPr>
      <w:r>
        <w:t>U</w:t>
      </w:r>
      <w:r w:rsidRPr="00DB187D">
        <w:t xml:space="preserve">sed 2.2 percent of the water sold to residential and non-residential customers. </w:t>
      </w:r>
    </w:p>
    <w:p w14:paraId="788FCEC6" w14:textId="6AE13540" w:rsidR="00595B75" w:rsidRPr="00E070E1" w:rsidRDefault="00DB187D" w:rsidP="00DB187D">
      <w:pPr>
        <w:pStyle w:val="ListParagraph"/>
        <w:numPr>
          <w:ilvl w:val="0"/>
          <w:numId w:val="37"/>
        </w:numPr>
      </w:pPr>
      <w:r w:rsidRPr="00E070E1">
        <w:t xml:space="preserve">Used 17.2 percent of the water sold </w:t>
      </w:r>
      <w:r w:rsidR="005512A7" w:rsidRPr="00E070E1">
        <w:t xml:space="preserve">to </w:t>
      </w:r>
      <w:r w:rsidRPr="00E070E1">
        <w:t>non-residential customers.</w:t>
      </w:r>
    </w:p>
    <w:p w14:paraId="00737BC1" w14:textId="2BA5CAE1" w:rsidR="00DB187D" w:rsidRPr="00E070E1" w:rsidRDefault="00DB187D" w:rsidP="00DB187D">
      <w:pPr>
        <w:pStyle w:val="ListParagraph"/>
        <w:numPr>
          <w:ilvl w:val="0"/>
          <w:numId w:val="37"/>
        </w:numPr>
      </w:pPr>
      <w:r w:rsidRPr="00E070E1">
        <w:t>Used 22.7 percent of non-residential third block</w:t>
      </w:r>
      <w:r w:rsidR="005512A7" w:rsidRPr="00E070E1">
        <w:t xml:space="preserve"> water</w:t>
      </w:r>
      <w:r w:rsidRPr="00E070E1">
        <w:t xml:space="preserve">, and </w:t>
      </w:r>
    </w:p>
    <w:p w14:paraId="187FF481" w14:textId="50F2CC86" w:rsidR="00DB187D" w:rsidRPr="00E070E1" w:rsidRDefault="00DB187D" w:rsidP="00DB187D">
      <w:pPr>
        <w:pStyle w:val="ListParagraph"/>
        <w:numPr>
          <w:ilvl w:val="0"/>
          <w:numId w:val="37"/>
        </w:numPr>
      </w:pPr>
      <w:r w:rsidRPr="00E070E1">
        <w:t>Paid 18.5 percent of the non-residential revenue.</w:t>
      </w:r>
    </w:p>
    <w:p w14:paraId="7000766F" w14:textId="6074C86F" w:rsidR="00784726" w:rsidRPr="00E070E1" w:rsidRDefault="00784726" w:rsidP="005E3FC7">
      <w:pPr>
        <w:rPr>
          <w:color w:val="000000"/>
        </w:rPr>
      </w:pPr>
    </w:p>
    <w:p w14:paraId="7D179A3E" w14:textId="62715155" w:rsidR="001047F2" w:rsidRPr="00E070E1" w:rsidRDefault="001047F2" w:rsidP="00C1691C">
      <w:pPr>
        <w:rPr>
          <w:b/>
        </w:rPr>
      </w:pPr>
      <w:r w:rsidRPr="00E070E1">
        <w:rPr>
          <w:b/>
        </w:rPr>
        <w:t xml:space="preserve">Bethel’s </w:t>
      </w:r>
      <w:r w:rsidR="00595B75" w:rsidRPr="00E070E1">
        <w:rPr>
          <w:b/>
        </w:rPr>
        <w:t xml:space="preserve">water </w:t>
      </w:r>
      <w:r w:rsidRPr="00E070E1">
        <w:rPr>
          <w:b/>
        </w:rPr>
        <w:t>usage compared to other school districts and non-</w:t>
      </w:r>
      <w:r w:rsidR="00BB5FB8" w:rsidRPr="00E070E1">
        <w:rPr>
          <w:b/>
        </w:rPr>
        <w:t>residential</w:t>
      </w:r>
      <w:r w:rsidRPr="00E070E1">
        <w:rPr>
          <w:b/>
        </w:rPr>
        <w:t xml:space="preserve"> customers.</w:t>
      </w:r>
    </w:p>
    <w:p w14:paraId="711B8438" w14:textId="5E61EC71" w:rsidR="00815B53" w:rsidRDefault="00815B53" w:rsidP="00C1691C">
      <w:pPr>
        <w:rPr>
          <w:color w:val="000000"/>
        </w:rPr>
      </w:pPr>
      <w:r w:rsidRPr="00E070E1">
        <w:rPr>
          <w:color w:val="000000"/>
        </w:rPr>
        <w:t xml:space="preserve">Staff </w:t>
      </w:r>
      <w:r w:rsidR="002763F6" w:rsidRPr="00E070E1">
        <w:rPr>
          <w:color w:val="000000"/>
        </w:rPr>
        <w:t xml:space="preserve">reviewed </w:t>
      </w:r>
      <w:r w:rsidR="00736FD7" w:rsidRPr="00E070E1">
        <w:rPr>
          <w:color w:val="000000"/>
        </w:rPr>
        <w:t>Bethel’</w:t>
      </w:r>
      <w:r w:rsidR="002763F6" w:rsidRPr="00E070E1">
        <w:rPr>
          <w:color w:val="000000"/>
        </w:rPr>
        <w:t xml:space="preserve">s </w:t>
      </w:r>
      <w:r w:rsidR="00736FD7" w:rsidRPr="00E070E1">
        <w:rPr>
          <w:color w:val="000000"/>
        </w:rPr>
        <w:t xml:space="preserve">water </w:t>
      </w:r>
      <w:r w:rsidR="002763F6" w:rsidRPr="00E070E1">
        <w:rPr>
          <w:color w:val="000000"/>
        </w:rPr>
        <w:t xml:space="preserve">usage </w:t>
      </w:r>
      <w:r w:rsidR="00736FD7" w:rsidRPr="00E070E1">
        <w:rPr>
          <w:color w:val="000000"/>
        </w:rPr>
        <w:t>compared to</w:t>
      </w:r>
      <w:r w:rsidRPr="00E070E1">
        <w:rPr>
          <w:color w:val="000000"/>
        </w:rPr>
        <w:t xml:space="preserve"> water usage data from </w:t>
      </w:r>
      <w:r w:rsidR="009247A3" w:rsidRPr="00E070E1">
        <w:rPr>
          <w:color w:val="000000"/>
        </w:rPr>
        <w:t>the Puyallup School District</w:t>
      </w:r>
      <w:r w:rsidR="00736FD7" w:rsidRPr="00E070E1">
        <w:rPr>
          <w:color w:val="000000"/>
        </w:rPr>
        <w:t xml:space="preserve"> (served by </w:t>
      </w:r>
      <w:r w:rsidR="00E070E1" w:rsidRPr="00E070E1">
        <w:rPr>
          <w:color w:val="000000"/>
        </w:rPr>
        <w:t>C</w:t>
      </w:r>
      <w:r w:rsidR="00441C74" w:rsidRPr="00E070E1">
        <w:rPr>
          <w:color w:val="000000"/>
        </w:rPr>
        <w:t xml:space="preserve">ity of Puyallup, Milton, Tacoma, Firgrove </w:t>
      </w:r>
      <w:r w:rsidR="00E070E1" w:rsidRPr="00E070E1">
        <w:rPr>
          <w:color w:val="000000"/>
        </w:rPr>
        <w:t xml:space="preserve">Mutual, </w:t>
      </w:r>
      <w:r w:rsidR="00441C74" w:rsidRPr="00E070E1">
        <w:rPr>
          <w:color w:val="000000"/>
        </w:rPr>
        <w:t>Fruitland Mutual</w:t>
      </w:r>
      <w:r w:rsidR="00441C74" w:rsidRPr="00280915">
        <w:rPr>
          <w:color w:val="000000"/>
        </w:rPr>
        <w:t>, Mt. View-Edgewood</w:t>
      </w:r>
      <w:r w:rsidR="00441C74" w:rsidRPr="00E070E1">
        <w:rPr>
          <w:color w:val="000000"/>
        </w:rPr>
        <w:t>, Summit Water and Rainier View Water Company</w:t>
      </w:r>
      <w:r w:rsidR="00736FD7" w:rsidRPr="00E070E1">
        <w:rPr>
          <w:color w:val="000000"/>
        </w:rPr>
        <w:t>)</w:t>
      </w:r>
      <w:r w:rsidR="00BB491B" w:rsidRPr="00E070E1">
        <w:rPr>
          <w:color w:val="000000"/>
        </w:rPr>
        <w:t>, the</w:t>
      </w:r>
      <w:r w:rsidR="009247A3" w:rsidRPr="00E070E1">
        <w:t xml:space="preserve"> </w:t>
      </w:r>
      <w:r w:rsidR="009247A3" w:rsidRPr="00E070E1">
        <w:rPr>
          <w:color w:val="000000"/>
        </w:rPr>
        <w:t xml:space="preserve">Clover Park School District </w:t>
      </w:r>
      <w:r w:rsidR="00736FD7" w:rsidRPr="00E070E1">
        <w:rPr>
          <w:color w:val="000000"/>
        </w:rPr>
        <w:t xml:space="preserve">(served by </w:t>
      </w:r>
      <w:r w:rsidR="00441C74" w:rsidRPr="00E070E1">
        <w:rPr>
          <w:color w:val="000000"/>
        </w:rPr>
        <w:t>JBLM Public Works and Lakewood Water District</w:t>
      </w:r>
      <w:r w:rsidR="00736FD7" w:rsidRPr="00E070E1">
        <w:rPr>
          <w:color w:val="000000"/>
        </w:rPr>
        <w:t>)</w:t>
      </w:r>
      <w:r>
        <w:rPr>
          <w:color w:val="000000"/>
        </w:rPr>
        <w:t xml:space="preserve">. The review </w:t>
      </w:r>
      <w:r w:rsidR="00736FD7">
        <w:rPr>
          <w:color w:val="000000"/>
        </w:rPr>
        <w:t>compared</w:t>
      </w:r>
      <w:r>
        <w:rPr>
          <w:color w:val="000000"/>
        </w:rPr>
        <w:t xml:space="preserve"> the </w:t>
      </w:r>
      <w:r w:rsidR="00736FD7">
        <w:rPr>
          <w:color w:val="000000"/>
        </w:rPr>
        <w:t xml:space="preserve">meter </w:t>
      </w:r>
      <w:r>
        <w:rPr>
          <w:color w:val="000000"/>
        </w:rPr>
        <w:t>size</w:t>
      </w:r>
      <w:r w:rsidR="00736FD7">
        <w:rPr>
          <w:color w:val="000000"/>
        </w:rPr>
        <w:t xml:space="preserve">, </w:t>
      </w:r>
      <w:r>
        <w:rPr>
          <w:color w:val="000000"/>
        </w:rPr>
        <w:t xml:space="preserve">total usage </w:t>
      </w:r>
      <w:r w:rsidR="00972EE7">
        <w:rPr>
          <w:color w:val="000000"/>
        </w:rPr>
        <w:t>amount</w:t>
      </w:r>
      <w:r w:rsidR="00736FD7">
        <w:rPr>
          <w:color w:val="000000"/>
        </w:rPr>
        <w:t>, and</w:t>
      </w:r>
      <w:r>
        <w:rPr>
          <w:color w:val="000000"/>
        </w:rPr>
        <w:t xml:space="preserve"> monthly average </w:t>
      </w:r>
      <w:r w:rsidR="00736FD7">
        <w:rPr>
          <w:color w:val="000000"/>
        </w:rPr>
        <w:t xml:space="preserve">water </w:t>
      </w:r>
      <w:r>
        <w:rPr>
          <w:color w:val="000000"/>
        </w:rPr>
        <w:t>usage. The results are shown on Attachment 1.</w:t>
      </w:r>
    </w:p>
    <w:p w14:paraId="40B1ACA7" w14:textId="77777777" w:rsidR="00F56052" w:rsidRDefault="00F56052" w:rsidP="00C1691C">
      <w:pPr>
        <w:rPr>
          <w:color w:val="000000"/>
        </w:rPr>
      </w:pPr>
    </w:p>
    <w:p w14:paraId="01397F34" w14:textId="55D3CF78" w:rsidR="00815B53" w:rsidRDefault="00815B53" w:rsidP="00C1691C">
      <w:pPr>
        <w:rPr>
          <w:rFonts w:eastAsia="Times New Roman"/>
        </w:rPr>
      </w:pPr>
      <w:r>
        <w:rPr>
          <w:color w:val="000000"/>
        </w:rPr>
        <w:t>On a per</w:t>
      </w:r>
      <w:r w:rsidR="00595B75">
        <w:rPr>
          <w:color w:val="000000"/>
        </w:rPr>
        <w:t>-</w:t>
      </w:r>
      <w:r>
        <w:rPr>
          <w:color w:val="000000"/>
        </w:rPr>
        <w:t xml:space="preserve">meter usage basis, Bethel is </w:t>
      </w:r>
      <w:r w:rsidR="0067486D">
        <w:rPr>
          <w:color w:val="000000"/>
        </w:rPr>
        <w:t>similar</w:t>
      </w:r>
      <w:r>
        <w:rPr>
          <w:color w:val="000000"/>
        </w:rPr>
        <w:t xml:space="preserve"> in comparison to the other </w:t>
      </w:r>
      <w:r w:rsidR="00736FD7">
        <w:rPr>
          <w:color w:val="000000"/>
        </w:rPr>
        <w:t>customers</w:t>
      </w:r>
      <w:r>
        <w:rPr>
          <w:color w:val="000000"/>
        </w:rPr>
        <w:t xml:space="preserve">. </w:t>
      </w:r>
      <w:r w:rsidR="009247A3">
        <w:rPr>
          <w:color w:val="000000"/>
        </w:rPr>
        <w:t>C</w:t>
      </w:r>
      <w:r>
        <w:rPr>
          <w:color w:val="000000"/>
        </w:rPr>
        <w:t>ompared to other schools</w:t>
      </w:r>
      <w:r w:rsidR="009247A3">
        <w:rPr>
          <w:color w:val="000000"/>
        </w:rPr>
        <w:t>,</w:t>
      </w:r>
      <w:r>
        <w:rPr>
          <w:color w:val="000000"/>
        </w:rPr>
        <w:t xml:space="preserve"> </w:t>
      </w:r>
      <w:r w:rsidR="008C5A41">
        <w:t>Bethel</w:t>
      </w:r>
      <w:r>
        <w:rPr>
          <w:color w:val="000000"/>
        </w:rPr>
        <w:t xml:space="preserve">’s total usage </w:t>
      </w:r>
      <w:r w:rsidR="00972EE7">
        <w:rPr>
          <w:color w:val="000000"/>
        </w:rPr>
        <w:t>is</w:t>
      </w:r>
      <w:r>
        <w:rPr>
          <w:color w:val="000000"/>
        </w:rPr>
        <w:t xml:space="preserve"> lower. </w:t>
      </w:r>
      <w:r w:rsidR="002D1B3F">
        <w:rPr>
          <w:color w:val="000000"/>
        </w:rPr>
        <w:t>For 1.5 inch meters and 6</w:t>
      </w:r>
      <w:r w:rsidR="00BE7775">
        <w:rPr>
          <w:color w:val="000000"/>
        </w:rPr>
        <w:t>-</w:t>
      </w:r>
      <w:r w:rsidR="002D1B3F">
        <w:rPr>
          <w:color w:val="000000"/>
        </w:rPr>
        <w:t>inch meters,</w:t>
      </w:r>
      <w:r w:rsidR="002D1B3F">
        <w:t xml:space="preserve"> </w:t>
      </w:r>
      <w:r w:rsidR="008C5A41">
        <w:t>Bethel</w:t>
      </w:r>
      <w:r w:rsidR="002763F6">
        <w:t xml:space="preserve">’s </w:t>
      </w:r>
      <w:r w:rsidR="0067486D">
        <w:t xml:space="preserve">full year consumption </w:t>
      </w:r>
      <w:r w:rsidR="002763F6">
        <w:t>usage</w:t>
      </w:r>
      <w:r w:rsidR="009D716A">
        <w:rPr>
          <w:color w:val="000000"/>
        </w:rPr>
        <w:t xml:space="preserve"> </w:t>
      </w:r>
      <w:r>
        <w:rPr>
          <w:color w:val="000000"/>
        </w:rPr>
        <w:t>is higher</w:t>
      </w:r>
      <w:r w:rsidR="002D1B3F">
        <w:rPr>
          <w:color w:val="000000"/>
        </w:rPr>
        <w:t xml:space="preserve"> than the other districts</w:t>
      </w:r>
      <w:r>
        <w:rPr>
          <w:color w:val="000000"/>
        </w:rPr>
        <w:t>. The other mete</w:t>
      </w:r>
      <w:r w:rsidR="00972EE7">
        <w:rPr>
          <w:color w:val="000000"/>
        </w:rPr>
        <w:t>r</w:t>
      </w:r>
      <w:r>
        <w:rPr>
          <w:color w:val="000000"/>
        </w:rPr>
        <w:t xml:space="preserve"> size </w:t>
      </w:r>
      <w:r w:rsidR="00972EE7">
        <w:rPr>
          <w:color w:val="000000"/>
        </w:rPr>
        <w:t>categories</w:t>
      </w:r>
      <w:r>
        <w:rPr>
          <w:color w:val="000000"/>
        </w:rPr>
        <w:t xml:space="preserve"> show </w:t>
      </w:r>
      <w:r w:rsidR="008C5A41">
        <w:t>Bethel’s</w:t>
      </w:r>
      <w:r w:rsidR="009D716A">
        <w:rPr>
          <w:color w:val="000000"/>
        </w:rPr>
        <w:t xml:space="preserve"> </w:t>
      </w:r>
      <w:r w:rsidR="008C5A41">
        <w:rPr>
          <w:color w:val="000000"/>
        </w:rPr>
        <w:t>usage is</w:t>
      </w:r>
      <w:r>
        <w:rPr>
          <w:color w:val="000000"/>
        </w:rPr>
        <w:t xml:space="preserve"> mu</w:t>
      </w:r>
      <w:r w:rsidR="00972EE7">
        <w:rPr>
          <w:color w:val="000000"/>
        </w:rPr>
        <w:t xml:space="preserve">ch less than </w:t>
      </w:r>
      <w:r w:rsidR="00593B58">
        <w:rPr>
          <w:color w:val="000000"/>
        </w:rPr>
        <w:t xml:space="preserve">the </w:t>
      </w:r>
      <w:r w:rsidR="00972EE7">
        <w:rPr>
          <w:color w:val="000000"/>
        </w:rPr>
        <w:t>Puyallup School Di</w:t>
      </w:r>
      <w:r>
        <w:rPr>
          <w:color w:val="000000"/>
        </w:rPr>
        <w:t>st</w:t>
      </w:r>
      <w:r w:rsidR="00972EE7">
        <w:rPr>
          <w:color w:val="000000"/>
        </w:rPr>
        <w:t>rict</w:t>
      </w:r>
      <w:r>
        <w:rPr>
          <w:color w:val="000000"/>
        </w:rPr>
        <w:t xml:space="preserve"> and in </w:t>
      </w:r>
      <w:r w:rsidR="009D716A">
        <w:rPr>
          <w:color w:val="000000"/>
        </w:rPr>
        <w:t xml:space="preserve">close </w:t>
      </w:r>
      <w:r>
        <w:rPr>
          <w:color w:val="000000"/>
        </w:rPr>
        <w:t>relation</w:t>
      </w:r>
      <w:r w:rsidR="009D716A">
        <w:rPr>
          <w:color w:val="000000"/>
        </w:rPr>
        <w:t>ship</w:t>
      </w:r>
      <w:r>
        <w:rPr>
          <w:color w:val="000000"/>
        </w:rPr>
        <w:t xml:space="preserve"> to </w:t>
      </w:r>
      <w:r w:rsidR="00593B58">
        <w:rPr>
          <w:color w:val="000000"/>
        </w:rPr>
        <w:t xml:space="preserve">the </w:t>
      </w:r>
      <w:r>
        <w:rPr>
          <w:color w:val="000000"/>
        </w:rPr>
        <w:t>Clover Park School District. The bottom line is</w:t>
      </w:r>
      <w:r w:rsidR="00593B58">
        <w:rPr>
          <w:color w:val="000000"/>
        </w:rPr>
        <w:t>,</w:t>
      </w:r>
      <w:r>
        <w:rPr>
          <w:color w:val="000000"/>
        </w:rPr>
        <w:t xml:space="preserve"> </w:t>
      </w:r>
      <w:r w:rsidR="008C5A41">
        <w:t>Bethel</w:t>
      </w:r>
      <w:r>
        <w:rPr>
          <w:color w:val="000000"/>
        </w:rPr>
        <w:t xml:space="preserve"> </w:t>
      </w:r>
      <w:r w:rsidR="009D716A">
        <w:rPr>
          <w:color w:val="000000"/>
        </w:rPr>
        <w:t xml:space="preserve">is </w:t>
      </w:r>
      <w:r>
        <w:rPr>
          <w:color w:val="000000"/>
        </w:rPr>
        <w:t xml:space="preserve">not a large </w:t>
      </w:r>
      <w:r w:rsidR="00F000B4">
        <w:rPr>
          <w:color w:val="000000"/>
        </w:rPr>
        <w:t xml:space="preserve">water </w:t>
      </w:r>
      <w:r>
        <w:rPr>
          <w:color w:val="000000"/>
        </w:rPr>
        <w:t xml:space="preserve">user </w:t>
      </w:r>
      <w:r w:rsidR="00F000B4">
        <w:rPr>
          <w:color w:val="000000"/>
        </w:rPr>
        <w:t>compared to other school districts</w:t>
      </w:r>
      <w:r>
        <w:rPr>
          <w:color w:val="000000"/>
        </w:rPr>
        <w:t xml:space="preserve">. </w:t>
      </w:r>
    </w:p>
    <w:p w14:paraId="0C459BFC" w14:textId="77777777" w:rsidR="005F222C" w:rsidRDefault="005F222C" w:rsidP="00C1691C">
      <w:pPr>
        <w:rPr>
          <w:rFonts w:eastAsia="Times New Roman"/>
        </w:rPr>
      </w:pPr>
    </w:p>
    <w:p w14:paraId="11328899" w14:textId="6DB88C88" w:rsidR="001047F2" w:rsidRDefault="001047F2" w:rsidP="00C1691C">
      <w:pPr>
        <w:rPr>
          <w:rFonts w:eastAsia="Times New Roman"/>
        </w:rPr>
      </w:pPr>
      <w:r w:rsidRPr="00C30070">
        <w:rPr>
          <w:rFonts w:eastAsia="Times New Roman"/>
          <w:b/>
        </w:rPr>
        <w:t>Rates charged to school districts compared to other customers.</w:t>
      </w:r>
    </w:p>
    <w:p w14:paraId="00AF7A6E" w14:textId="5CC4C499" w:rsidR="00F81FF0" w:rsidRDefault="00F81FF0" w:rsidP="00F81FF0">
      <w:pPr>
        <w:rPr>
          <w:rFonts w:eastAsia="Times New Roman"/>
        </w:rPr>
      </w:pPr>
      <w:r w:rsidRPr="00F81FF0">
        <w:rPr>
          <w:rFonts w:eastAsia="Times New Roman"/>
        </w:rPr>
        <w:t xml:space="preserve">Staff has found that other water purveyors in the Rainier View area and the City of Seattle </w:t>
      </w:r>
      <w:r w:rsidR="00061746">
        <w:rPr>
          <w:rFonts w:eastAsia="Times New Roman"/>
        </w:rPr>
        <w:t>consider</w:t>
      </w:r>
      <w:r w:rsidRPr="00F81FF0">
        <w:rPr>
          <w:rFonts w:eastAsia="Times New Roman"/>
        </w:rPr>
        <w:t xml:space="preserve"> schools as commercial </w:t>
      </w:r>
      <w:r w:rsidR="00061746">
        <w:rPr>
          <w:rFonts w:eastAsia="Times New Roman"/>
        </w:rPr>
        <w:t xml:space="preserve">and apply commercial rates to these </w:t>
      </w:r>
      <w:r w:rsidRPr="00F81FF0">
        <w:rPr>
          <w:rFonts w:eastAsia="Times New Roman"/>
        </w:rPr>
        <w:t>customers. The summary table below outlines other water purveyors and their rate schedules for schools.</w:t>
      </w:r>
    </w:p>
    <w:p w14:paraId="254E6BB7" w14:textId="77777777" w:rsidR="006F0C2F" w:rsidRPr="00F81FF0" w:rsidRDefault="006F0C2F" w:rsidP="00F81FF0">
      <w:pPr>
        <w:rPr>
          <w:rFonts w:eastAsia="Times New Roman"/>
        </w:rPr>
      </w:pPr>
    </w:p>
    <w:tbl>
      <w:tblPr>
        <w:tblStyle w:val="TableGrid"/>
        <w:tblW w:w="10435" w:type="dxa"/>
        <w:tblLayout w:type="fixed"/>
        <w:tblLook w:val="04A0" w:firstRow="1" w:lastRow="0" w:firstColumn="1" w:lastColumn="0" w:noHBand="0" w:noVBand="1"/>
      </w:tblPr>
      <w:tblGrid>
        <w:gridCol w:w="1885"/>
        <w:gridCol w:w="1260"/>
        <w:gridCol w:w="1170"/>
        <w:gridCol w:w="1440"/>
        <w:gridCol w:w="4680"/>
      </w:tblGrid>
      <w:tr w:rsidR="00BE7775" w:rsidRPr="00F81FF0" w14:paraId="18442812" w14:textId="77777777" w:rsidTr="006F0C2F">
        <w:tc>
          <w:tcPr>
            <w:tcW w:w="1885" w:type="dxa"/>
            <w:vAlign w:val="center"/>
          </w:tcPr>
          <w:p w14:paraId="66C6D4A5" w14:textId="2F7B3935" w:rsidR="00BE7775" w:rsidRPr="006F0C2F" w:rsidRDefault="00A11045" w:rsidP="00C1289B">
            <w:pPr>
              <w:jc w:val="center"/>
              <w:rPr>
                <w:rFonts w:eastAsia="Times New Roman"/>
                <w:b/>
              </w:rPr>
            </w:pPr>
            <w:r w:rsidRPr="006F0C2F">
              <w:rPr>
                <w:rFonts w:eastAsia="Times New Roman"/>
                <w:b/>
              </w:rPr>
              <w:br w:type="page"/>
            </w:r>
          </w:p>
          <w:p w14:paraId="74D898FA" w14:textId="77777777" w:rsidR="00BE7775" w:rsidRPr="006F0C2F" w:rsidRDefault="00BE7775" w:rsidP="00C1289B">
            <w:pPr>
              <w:jc w:val="center"/>
              <w:rPr>
                <w:rFonts w:eastAsia="Times New Roman"/>
                <w:b/>
              </w:rPr>
            </w:pPr>
            <w:r w:rsidRPr="006F0C2F">
              <w:rPr>
                <w:rFonts w:eastAsia="Times New Roman"/>
                <w:b/>
              </w:rPr>
              <w:t>Water Purveyor</w:t>
            </w:r>
          </w:p>
        </w:tc>
        <w:tc>
          <w:tcPr>
            <w:tcW w:w="1260" w:type="dxa"/>
            <w:vAlign w:val="center"/>
          </w:tcPr>
          <w:p w14:paraId="6CD50EFA" w14:textId="26C87F52" w:rsidR="00BE7775" w:rsidRPr="006F0C2F" w:rsidRDefault="00382420" w:rsidP="00C1289B">
            <w:pPr>
              <w:jc w:val="center"/>
              <w:rPr>
                <w:rFonts w:eastAsia="Times New Roman"/>
                <w:b/>
              </w:rPr>
            </w:pPr>
            <w:r w:rsidRPr="006F0C2F">
              <w:rPr>
                <w:rFonts w:eastAsia="Times New Roman"/>
                <w:b/>
              </w:rPr>
              <w:t>Type</w:t>
            </w:r>
          </w:p>
        </w:tc>
        <w:tc>
          <w:tcPr>
            <w:tcW w:w="1170" w:type="dxa"/>
            <w:vAlign w:val="center"/>
          </w:tcPr>
          <w:p w14:paraId="3471A343" w14:textId="1E318557" w:rsidR="00BE7775" w:rsidRPr="006F0C2F" w:rsidRDefault="00BE7775" w:rsidP="00C1289B">
            <w:pPr>
              <w:jc w:val="center"/>
              <w:rPr>
                <w:rFonts w:eastAsia="Times New Roman"/>
                <w:b/>
              </w:rPr>
            </w:pPr>
            <w:r w:rsidRPr="006F0C2F">
              <w:rPr>
                <w:rFonts w:eastAsia="Times New Roman"/>
                <w:b/>
              </w:rPr>
              <w:t>School Contract</w:t>
            </w:r>
          </w:p>
        </w:tc>
        <w:tc>
          <w:tcPr>
            <w:tcW w:w="1440" w:type="dxa"/>
            <w:vAlign w:val="center"/>
          </w:tcPr>
          <w:p w14:paraId="0690FF4F" w14:textId="77777777" w:rsidR="00BE7775" w:rsidRPr="006F0C2F" w:rsidRDefault="00BE7775" w:rsidP="00C1289B">
            <w:pPr>
              <w:jc w:val="center"/>
              <w:rPr>
                <w:rFonts w:eastAsia="Times New Roman"/>
                <w:b/>
              </w:rPr>
            </w:pPr>
            <w:r w:rsidRPr="006F0C2F">
              <w:rPr>
                <w:rFonts w:eastAsia="Times New Roman"/>
                <w:b/>
              </w:rPr>
              <w:t>Separate School Rate</w:t>
            </w:r>
          </w:p>
        </w:tc>
        <w:tc>
          <w:tcPr>
            <w:tcW w:w="4680" w:type="dxa"/>
            <w:vAlign w:val="center"/>
          </w:tcPr>
          <w:p w14:paraId="039F357F" w14:textId="599E3F3B" w:rsidR="00BE7775" w:rsidRPr="006F0C2F" w:rsidRDefault="00BE7775" w:rsidP="00C1289B">
            <w:pPr>
              <w:jc w:val="center"/>
              <w:rPr>
                <w:rFonts w:eastAsia="Times New Roman"/>
                <w:b/>
              </w:rPr>
            </w:pPr>
            <w:r w:rsidRPr="006F0C2F">
              <w:rPr>
                <w:rFonts w:eastAsia="Times New Roman"/>
                <w:b/>
              </w:rPr>
              <w:t>Charge</w:t>
            </w:r>
            <w:r w:rsidR="000D6199" w:rsidRPr="006F0C2F">
              <w:rPr>
                <w:rFonts w:eastAsia="Times New Roman"/>
                <w:b/>
              </w:rPr>
              <w:t>s</w:t>
            </w:r>
            <w:r w:rsidRPr="006F0C2F">
              <w:rPr>
                <w:rFonts w:eastAsia="Times New Roman"/>
                <w:b/>
              </w:rPr>
              <w:t xml:space="preserve"> to Schools</w:t>
            </w:r>
            <w:r w:rsidR="006F0C2F">
              <w:rPr>
                <w:rFonts w:eastAsia="Times New Roman"/>
                <w:b/>
              </w:rPr>
              <w:t xml:space="preserve"> (Nonresidential / Commercial)</w:t>
            </w:r>
          </w:p>
          <w:p w14:paraId="0DD3FAAB" w14:textId="77777777" w:rsidR="00BE7775" w:rsidRPr="006F0C2F" w:rsidRDefault="00BE7775" w:rsidP="00C1289B">
            <w:pPr>
              <w:jc w:val="center"/>
              <w:rPr>
                <w:rFonts w:eastAsia="Times New Roman"/>
                <w:b/>
              </w:rPr>
            </w:pPr>
            <w:r w:rsidRPr="006F0C2F">
              <w:rPr>
                <w:rFonts w:eastAsia="Times New Roman"/>
                <w:b/>
              </w:rPr>
              <w:t>Compared to Residential</w:t>
            </w:r>
          </w:p>
        </w:tc>
      </w:tr>
      <w:tr w:rsidR="00BE7775" w:rsidRPr="00F81FF0" w14:paraId="1C3E9F6F" w14:textId="77777777" w:rsidTr="006F0C2F">
        <w:tc>
          <w:tcPr>
            <w:tcW w:w="1885" w:type="dxa"/>
          </w:tcPr>
          <w:p w14:paraId="09C20BFD" w14:textId="77777777" w:rsidR="00BE7775" w:rsidRPr="00F81FF0" w:rsidRDefault="00BE7775" w:rsidP="00F81FF0">
            <w:pPr>
              <w:rPr>
                <w:rFonts w:eastAsia="Times New Roman"/>
              </w:rPr>
            </w:pPr>
          </w:p>
        </w:tc>
        <w:tc>
          <w:tcPr>
            <w:tcW w:w="1260" w:type="dxa"/>
          </w:tcPr>
          <w:p w14:paraId="2A7A1334" w14:textId="77777777" w:rsidR="00BE7775" w:rsidRPr="00F81FF0" w:rsidRDefault="00BE7775" w:rsidP="00F81FF0">
            <w:pPr>
              <w:rPr>
                <w:rFonts w:eastAsia="Times New Roman"/>
              </w:rPr>
            </w:pPr>
          </w:p>
        </w:tc>
        <w:tc>
          <w:tcPr>
            <w:tcW w:w="1170" w:type="dxa"/>
          </w:tcPr>
          <w:p w14:paraId="7452AD64" w14:textId="44AC8BC0" w:rsidR="00BE7775" w:rsidRPr="00F81FF0" w:rsidRDefault="00BE7775" w:rsidP="00F81FF0">
            <w:pPr>
              <w:rPr>
                <w:rFonts w:eastAsia="Times New Roman"/>
              </w:rPr>
            </w:pPr>
          </w:p>
        </w:tc>
        <w:tc>
          <w:tcPr>
            <w:tcW w:w="1440" w:type="dxa"/>
          </w:tcPr>
          <w:p w14:paraId="22D2D648" w14:textId="77777777" w:rsidR="00BE7775" w:rsidRPr="00F81FF0" w:rsidRDefault="00BE7775" w:rsidP="00F81FF0">
            <w:pPr>
              <w:rPr>
                <w:rFonts w:eastAsia="Times New Roman"/>
              </w:rPr>
            </w:pPr>
          </w:p>
        </w:tc>
        <w:tc>
          <w:tcPr>
            <w:tcW w:w="4680" w:type="dxa"/>
          </w:tcPr>
          <w:p w14:paraId="0D7352DD" w14:textId="77777777" w:rsidR="00BE7775" w:rsidRPr="00F81FF0" w:rsidRDefault="00BE7775" w:rsidP="00F81FF0">
            <w:pPr>
              <w:rPr>
                <w:rFonts w:eastAsia="Times New Roman"/>
              </w:rPr>
            </w:pPr>
          </w:p>
        </w:tc>
      </w:tr>
      <w:tr w:rsidR="00BE7775" w:rsidRPr="00F81FF0" w14:paraId="3AD22AF3" w14:textId="77777777" w:rsidTr="006F0C2F">
        <w:tc>
          <w:tcPr>
            <w:tcW w:w="1885" w:type="dxa"/>
          </w:tcPr>
          <w:p w14:paraId="2977332D" w14:textId="77777777" w:rsidR="00BE7775" w:rsidRPr="00F81FF0" w:rsidRDefault="00BE7775" w:rsidP="00F81FF0">
            <w:pPr>
              <w:rPr>
                <w:rFonts w:eastAsia="Times New Roman"/>
              </w:rPr>
            </w:pPr>
            <w:r w:rsidRPr="00F81FF0">
              <w:rPr>
                <w:rFonts w:eastAsia="Times New Roman"/>
              </w:rPr>
              <w:t>Rainer View</w:t>
            </w:r>
          </w:p>
        </w:tc>
        <w:tc>
          <w:tcPr>
            <w:tcW w:w="1260" w:type="dxa"/>
          </w:tcPr>
          <w:p w14:paraId="24262D0E" w14:textId="14EB1FF1" w:rsidR="00BE7775" w:rsidRPr="00F81FF0" w:rsidRDefault="00BE7775" w:rsidP="006F0C2F">
            <w:pPr>
              <w:jc w:val="center"/>
              <w:rPr>
                <w:rFonts w:eastAsia="Times New Roman"/>
              </w:rPr>
            </w:pPr>
            <w:r>
              <w:rPr>
                <w:rFonts w:eastAsia="Times New Roman"/>
              </w:rPr>
              <w:t>UTC Reg.</w:t>
            </w:r>
          </w:p>
        </w:tc>
        <w:tc>
          <w:tcPr>
            <w:tcW w:w="1170" w:type="dxa"/>
          </w:tcPr>
          <w:p w14:paraId="5CF3149F" w14:textId="283F6C30" w:rsidR="00BE7775" w:rsidRPr="00F81FF0" w:rsidRDefault="00BE7775" w:rsidP="006F0C2F">
            <w:pPr>
              <w:jc w:val="center"/>
              <w:rPr>
                <w:rFonts w:eastAsia="Times New Roman"/>
              </w:rPr>
            </w:pPr>
            <w:r w:rsidRPr="00F81FF0">
              <w:rPr>
                <w:rFonts w:eastAsia="Times New Roman"/>
              </w:rPr>
              <w:t>No</w:t>
            </w:r>
          </w:p>
        </w:tc>
        <w:tc>
          <w:tcPr>
            <w:tcW w:w="1440" w:type="dxa"/>
          </w:tcPr>
          <w:p w14:paraId="746AF857" w14:textId="77777777" w:rsidR="00BE7775" w:rsidRPr="00F81FF0" w:rsidRDefault="00BE7775" w:rsidP="006F0C2F">
            <w:pPr>
              <w:jc w:val="center"/>
              <w:rPr>
                <w:rFonts w:eastAsia="Times New Roman"/>
              </w:rPr>
            </w:pPr>
            <w:r w:rsidRPr="00F81FF0">
              <w:rPr>
                <w:rFonts w:eastAsia="Times New Roman"/>
              </w:rPr>
              <w:t>No</w:t>
            </w:r>
          </w:p>
        </w:tc>
        <w:tc>
          <w:tcPr>
            <w:tcW w:w="4680" w:type="dxa"/>
          </w:tcPr>
          <w:p w14:paraId="46C626FA" w14:textId="09747676" w:rsidR="00BE7775" w:rsidRPr="00F81FF0" w:rsidRDefault="00BE7775" w:rsidP="000D6199">
            <w:pPr>
              <w:rPr>
                <w:rFonts w:eastAsia="Times New Roman"/>
              </w:rPr>
            </w:pPr>
            <w:r w:rsidRPr="00F81FF0">
              <w:rPr>
                <w:rFonts w:eastAsia="Times New Roman"/>
              </w:rPr>
              <w:t xml:space="preserve">Same </w:t>
            </w:r>
          </w:p>
        </w:tc>
      </w:tr>
      <w:tr w:rsidR="00BE7775" w:rsidRPr="00F81FF0" w14:paraId="41C75031" w14:textId="77777777" w:rsidTr="006F0C2F">
        <w:tc>
          <w:tcPr>
            <w:tcW w:w="1885" w:type="dxa"/>
          </w:tcPr>
          <w:p w14:paraId="2BC675DC" w14:textId="77777777" w:rsidR="00BE7775" w:rsidRPr="00F81FF0" w:rsidRDefault="00BE7775" w:rsidP="00F81FF0">
            <w:pPr>
              <w:rPr>
                <w:rFonts w:eastAsia="Times New Roman"/>
              </w:rPr>
            </w:pPr>
            <w:r w:rsidRPr="00F81FF0">
              <w:rPr>
                <w:rFonts w:eastAsia="Times New Roman"/>
              </w:rPr>
              <w:t>Firgrove Mutual</w:t>
            </w:r>
          </w:p>
        </w:tc>
        <w:tc>
          <w:tcPr>
            <w:tcW w:w="1260" w:type="dxa"/>
          </w:tcPr>
          <w:p w14:paraId="473628E3" w14:textId="72A5515C" w:rsidR="00BE7775" w:rsidRPr="00F81FF0" w:rsidRDefault="00106D72" w:rsidP="006F0C2F">
            <w:pPr>
              <w:jc w:val="center"/>
              <w:rPr>
                <w:rFonts w:eastAsia="Times New Roman"/>
              </w:rPr>
            </w:pPr>
            <w:r>
              <w:rPr>
                <w:rFonts w:eastAsia="Times New Roman"/>
              </w:rPr>
              <w:t>Member</w:t>
            </w:r>
          </w:p>
        </w:tc>
        <w:tc>
          <w:tcPr>
            <w:tcW w:w="1170" w:type="dxa"/>
          </w:tcPr>
          <w:p w14:paraId="77A43AA2" w14:textId="679B2DBA" w:rsidR="00BE7775" w:rsidRPr="00F81FF0" w:rsidRDefault="00BE7775" w:rsidP="006F0C2F">
            <w:pPr>
              <w:jc w:val="center"/>
              <w:rPr>
                <w:rFonts w:eastAsia="Times New Roman"/>
              </w:rPr>
            </w:pPr>
            <w:r w:rsidRPr="00F81FF0">
              <w:rPr>
                <w:rFonts w:eastAsia="Times New Roman"/>
              </w:rPr>
              <w:t>No</w:t>
            </w:r>
          </w:p>
        </w:tc>
        <w:tc>
          <w:tcPr>
            <w:tcW w:w="1440" w:type="dxa"/>
          </w:tcPr>
          <w:p w14:paraId="726A3E27" w14:textId="77777777" w:rsidR="00BE7775" w:rsidRPr="00F81FF0" w:rsidRDefault="00BE7775" w:rsidP="006F0C2F">
            <w:pPr>
              <w:jc w:val="center"/>
              <w:rPr>
                <w:rFonts w:eastAsia="Times New Roman"/>
              </w:rPr>
            </w:pPr>
            <w:r w:rsidRPr="00F81FF0">
              <w:rPr>
                <w:rFonts w:eastAsia="Times New Roman"/>
              </w:rPr>
              <w:t>No</w:t>
            </w:r>
          </w:p>
        </w:tc>
        <w:tc>
          <w:tcPr>
            <w:tcW w:w="4680" w:type="dxa"/>
          </w:tcPr>
          <w:p w14:paraId="70DF4E2F" w14:textId="53F13F11" w:rsidR="00BE7775" w:rsidRPr="00F81FF0" w:rsidRDefault="00BE7775" w:rsidP="000D6199">
            <w:pPr>
              <w:rPr>
                <w:rFonts w:eastAsia="Times New Roman"/>
              </w:rPr>
            </w:pPr>
            <w:r w:rsidRPr="00F81FF0">
              <w:rPr>
                <w:rFonts w:eastAsia="Times New Roman"/>
              </w:rPr>
              <w:t xml:space="preserve">Same </w:t>
            </w:r>
          </w:p>
        </w:tc>
      </w:tr>
      <w:tr w:rsidR="000D6199" w:rsidRPr="00F81FF0" w14:paraId="45B4E359" w14:textId="77777777" w:rsidTr="006F0C2F">
        <w:tc>
          <w:tcPr>
            <w:tcW w:w="1885" w:type="dxa"/>
          </w:tcPr>
          <w:p w14:paraId="5CBCE3AC" w14:textId="71D59406" w:rsidR="000D6199" w:rsidRPr="00F81FF0" w:rsidRDefault="000D6199" w:rsidP="000D6199">
            <w:pPr>
              <w:rPr>
                <w:rFonts w:eastAsia="Times New Roman"/>
              </w:rPr>
            </w:pPr>
            <w:r w:rsidRPr="00F81FF0">
              <w:rPr>
                <w:rFonts w:eastAsia="Times New Roman"/>
              </w:rPr>
              <w:t>Fruitland Mutual</w:t>
            </w:r>
          </w:p>
        </w:tc>
        <w:tc>
          <w:tcPr>
            <w:tcW w:w="1260" w:type="dxa"/>
          </w:tcPr>
          <w:p w14:paraId="55771D64" w14:textId="299C9F98" w:rsidR="000D6199" w:rsidRDefault="000D6199" w:rsidP="006F0C2F">
            <w:pPr>
              <w:jc w:val="center"/>
              <w:rPr>
                <w:rFonts w:eastAsia="Times New Roman"/>
              </w:rPr>
            </w:pPr>
            <w:r>
              <w:rPr>
                <w:rFonts w:eastAsia="Times New Roman"/>
              </w:rPr>
              <w:t>Member</w:t>
            </w:r>
          </w:p>
        </w:tc>
        <w:tc>
          <w:tcPr>
            <w:tcW w:w="1170" w:type="dxa"/>
          </w:tcPr>
          <w:p w14:paraId="55AF7259" w14:textId="78A355F8" w:rsidR="000D6199" w:rsidRPr="00F81FF0" w:rsidRDefault="000D6199" w:rsidP="006F0C2F">
            <w:pPr>
              <w:jc w:val="center"/>
              <w:rPr>
                <w:rFonts w:eastAsia="Times New Roman"/>
              </w:rPr>
            </w:pPr>
            <w:r w:rsidRPr="00F81FF0">
              <w:rPr>
                <w:rFonts w:eastAsia="Times New Roman"/>
              </w:rPr>
              <w:t>No</w:t>
            </w:r>
          </w:p>
        </w:tc>
        <w:tc>
          <w:tcPr>
            <w:tcW w:w="1440" w:type="dxa"/>
          </w:tcPr>
          <w:p w14:paraId="46C2A52F" w14:textId="2D25FD70" w:rsidR="000D6199" w:rsidRPr="00F81FF0" w:rsidRDefault="000D6199" w:rsidP="006F0C2F">
            <w:pPr>
              <w:jc w:val="center"/>
              <w:rPr>
                <w:rFonts w:eastAsia="Times New Roman"/>
              </w:rPr>
            </w:pPr>
            <w:r w:rsidRPr="00F81FF0">
              <w:rPr>
                <w:rFonts w:eastAsia="Times New Roman"/>
              </w:rPr>
              <w:t>No</w:t>
            </w:r>
          </w:p>
        </w:tc>
        <w:tc>
          <w:tcPr>
            <w:tcW w:w="4680" w:type="dxa"/>
          </w:tcPr>
          <w:p w14:paraId="3447E8A5" w14:textId="25786C5C" w:rsidR="000D6199" w:rsidRPr="00F81FF0" w:rsidDel="000D6199" w:rsidRDefault="000D6199" w:rsidP="000D6199">
            <w:pPr>
              <w:rPr>
                <w:rFonts w:eastAsia="Times New Roman"/>
              </w:rPr>
            </w:pPr>
            <w:r>
              <w:rPr>
                <w:rFonts w:eastAsia="Times New Roman"/>
              </w:rPr>
              <w:t>Commercial more than Residential</w:t>
            </w:r>
          </w:p>
        </w:tc>
      </w:tr>
      <w:tr w:rsidR="000D6199" w:rsidRPr="00F81FF0" w14:paraId="51721441" w14:textId="77777777" w:rsidTr="006F0C2F">
        <w:tc>
          <w:tcPr>
            <w:tcW w:w="1885" w:type="dxa"/>
          </w:tcPr>
          <w:p w14:paraId="0527FB22" w14:textId="77777777" w:rsidR="000D6199" w:rsidRPr="00F81FF0" w:rsidRDefault="000D6199" w:rsidP="000D6199">
            <w:pPr>
              <w:rPr>
                <w:rFonts w:eastAsia="Times New Roman"/>
              </w:rPr>
            </w:pPr>
          </w:p>
        </w:tc>
        <w:tc>
          <w:tcPr>
            <w:tcW w:w="1260" w:type="dxa"/>
          </w:tcPr>
          <w:p w14:paraId="69D9F4D5" w14:textId="77777777" w:rsidR="000D6199" w:rsidRDefault="000D6199" w:rsidP="006F0C2F">
            <w:pPr>
              <w:jc w:val="center"/>
              <w:rPr>
                <w:rFonts w:eastAsia="Times New Roman"/>
              </w:rPr>
            </w:pPr>
          </w:p>
        </w:tc>
        <w:tc>
          <w:tcPr>
            <w:tcW w:w="1170" w:type="dxa"/>
          </w:tcPr>
          <w:p w14:paraId="69927308" w14:textId="77777777" w:rsidR="000D6199" w:rsidRPr="00F81FF0" w:rsidRDefault="000D6199" w:rsidP="006F0C2F">
            <w:pPr>
              <w:jc w:val="center"/>
              <w:rPr>
                <w:rFonts w:eastAsia="Times New Roman"/>
              </w:rPr>
            </w:pPr>
          </w:p>
        </w:tc>
        <w:tc>
          <w:tcPr>
            <w:tcW w:w="1440" w:type="dxa"/>
          </w:tcPr>
          <w:p w14:paraId="3253EA13" w14:textId="77777777" w:rsidR="000D6199" w:rsidRPr="00F81FF0" w:rsidRDefault="000D6199" w:rsidP="006F0C2F">
            <w:pPr>
              <w:jc w:val="center"/>
              <w:rPr>
                <w:rFonts w:eastAsia="Times New Roman"/>
              </w:rPr>
            </w:pPr>
          </w:p>
        </w:tc>
        <w:tc>
          <w:tcPr>
            <w:tcW w:w="4680" w:type="dxa"/>
          </w:tcPr>
          <w:p w14:paraId="5847B185" w14:textId="77777777" w:rsidR="000D6199" w:rsidRPr="00F81FF0" w:rsidDel="000D6199" w:rsidRDefault="000D6199" w:rsidP="000D6199">
            <w:pPr>
              <w:rPr>
                <w:rFonts w:eastAsia="Times New Roman"/>
              </w:rPr>
            </w:pPr>
          </w:p>
        </w:tc>
      </w:tr>
      <w:tr w:rsidR="000D6199" w:rsidRPr="00F81FF0" w14:paraId="5F33484E" w14:textId="77777777" w:rsidTr="006F0C2F">
        <w:tc>
          <w:tcPr>
            <w:tcW w:w="1885" w:type="dxa"/>
          </w:tcPr>
          <w:p w14:paraId="165C5007" w14:textId="77777777" w:rsidR="000D6199" w:rsidRPr="00F81FF0" w:rsidRDefault="000D6199" w:rsidP="000D6199">
            <w:pPr>
              <w:rPr>
                <w:rFonts w:eastAsia="Times New Roman"/>
              </w:rPr>
            </w:pPr>
            <w:r w:rsidRPr="00F81FF0">
              <w:rPr>
                <w:rFonts w:eastAsia="Times New Roman"/>
              </w:rPr>
              <w:t xml:space="preserve">Seattle </w:t>
            </w:r>
          </w:p>
        </w:tc>
        <w:tc>
          <w:tcPr>
            <w:tcW w:w="1260" w:type="dxa"/>
          </w:tcPr>
          <w:p w14:paraId="2EBB9D84" w14:textId="3CF44491" w:rsidR="000D6199" w:rsidRPr="00F81FF0" w:rsidRDefault="000D6199" w:rsidP="006F0C2F">
            <w:pPr>
              <w:jc w:val="center"/>
              <w:rPr>
                <w:rFonts w:eastAsia="Times New Roman"/>
              </w:rPr>
            </w:pPr>
            <w:r>
              <w:rPr>
                <w:rFonts w:eastAsia="Times New Roman"/>
              </w:rPr>
              <w:t>City</w:t>
            </w:r>
          </w:p>
        </w:tc>
        <w:tc>
          <w:tcPr>
            <w:tcW w:w="1170" w:type="dxa"/>
          </w:tcPr>
          <w:p w14:paraId="6E76E96B" w14:textId="03CB7106" w:rsidR="000D6199" w:rsidRPr="00F81FF0" w:rsidRDefault="000D6199" w:rsidP="006F0C2F">
            <w:pPr>
              <w:jc w:val="center"/>
              <w:rPr>
                <w:rFonts w:eastAsia="Times New Roman"/>
              </w:rPr>
            </w:pPr>
            <w:r w:rsidRPr="00F81FF0">
              <w:rPr>
                <w:rFonts w:eastAsia="Times New Roman"/>
              </w:rPr>
              <w:t>No</w:t>
            </w:r>
          </w:p>
        </w:tc>
        <w:tc>
          <w:tcPr>
            <w:tcW w:w="1440" w:type="dxa"/>
          </w:tcPr>
          <w:p w14:paraId="62E595A5" w14:textId="77777777" w:rsidR="000D6199" w:rsidRPr="00F81FF0" w:rsidRDefault="000D6199" w:rsidP="006F0C2F">
            <w:pPr>
              <w:jc w:val="center"/>
              <w:rPr>
                <w:rFonts w:eastAsia="Times New Roman"/>
              </w:rPr>
            </w:pPr>
            <w:r w:rsidRPr="00F81FF0">
              <w:rPr>
                <w:rFonts w:eastAsia="Times New Roman"/>
              </w:rPr>
              <w:t>No</w:t>
            </w:r>
          </w:p>
        </w:tc>
        <w:tc>
          <w:tcPr>
            <w:tcW w:w="4680" w:type="dxa"/>
          </w:tcPr>
          <w:p w14:paraId="1CAACAD0" w14:textId="690D63D6" w:rsidR="000D6199" w:rsidRPr="00F81FF0" w:rsidRDefault="000D6199" w:rsidP="000D6199">
            <w:pPr>
              <w:rPr>
                <w:rFonts w:eastAsia="Times New Roman"/>
              </w:rPr>
            </w:pPr>
            <w:r>
              <w:rPr>
                <w:rFonts w:eastAsia="Times New Roman"/>
              </w:rPr>
              <w:t>Commercial less than Residential</w:t>
            </w:r>
          </w:p>
        </w:tc>
      </w:tr>
      <w:tr w:rsidR="000D6199" w:rsidRPr="00F81FF0" w14:paraId="5120BD0F" w14:textId="77777777" w:rsidTr="006F0C2F">
        <w:tc>
          <w:tcPr>
            <w:tcW w:w="1885" w:type="dxa"/>
          </w:tcPr>
          <w:p w14:paraId="4D69C1C2" w14:textId="77777777" w:rsidR="000D6199" w:rsidRPr="00F81FF0" w:rsidRDefault="000D6199" w:rsidP="000D6199">
            <w:pPr>
              <w:rPr>
                <w:rFonts w:eastAsia="Times New Roman"/>
              </w:rPr>
            </w:pPr>
            <w:r w:rsidRPr="00F81FF0">
              <w:rPr>
                <w:rFonts w:eastAsia="Times New Roman"/>
              </w:rPr>
              <w:t>Puyallup</w:t>
            </w:r>
          </w:p>
        </w:tc>
        <w:tc>
          <w:tcPr>
            <w:tcW w:w="1260" w:type="dxa"/>
          </w:tcPr>
          <w:p w14:paraId="22FDF81F" w14:textId="61820C15" w:rsidR="000D6199" w:rsidRPr="00F81FF0" w:rsidRDefault="000D6199" w:rsidP="006F0C2F">
            <w:pPr>
              <w:jc w:val="center"/>
              <w:rPr>
                <w:rFonts w:eastAsia="Times New Roman"/>
              </w:rPr>
            </w:pPr>
            <w:r>
              <w:rPr>
                <w:rFonts w:eastAsia="Times New Roman"/>
              </w:rPr>
              <w:t>City</w:t>
            </w:r>
          </w:p>
        </w:tc>
        <w:tc>
          <w:tcPr>
            <w:tcW w:w="1170" w:type="dxa"/>
          </w:tcPr>
          <w:p w14:paraId="6D3B1F1E" w14:textId="6E969C7A" w:rsidR="000D6199" w:rsidRPr="00F81FF0" w:rsidRDefault="000D6199" w:rsidP="006F0C2F">
            <w:pPr>
              <w:jc w:val="center"/>
              <w:rPr>
                <w:rFonts w:eastAsia="Times New Roman"/>
              </w:rPr>
            </w:pPr>
            <w:r w:rsidRPr="00F81FF0">
              <w:rPr>
                <w:rFonts w:eastAsia="Times New Roman"/>
              </w:rPr>
              <w:t>No</w:t>
            </w:r>
          </w:p>
        </w:tc>
        <w:tc>
          <w:tcPr>
            <w:tcW w:w="1440" w:type="dxa"/>
          </w:tcPr>
          <w:p w14:paraId="1025B478" w14:textId="77777777" w:rsidR="000D6199" w:rsidRPr="00F81FF0" w:rsidRDefault="000D6199" w:rsidP="006F0C2F">
            <w:pPr>
              <w:jc w:val="center"/>
              <w:rPr>
                <w:rFonts w:eastAsia="Times New Roman"/>
              </w:rPr>
            </w:pPr>
            <w:r w:rsidRPr="00F81FF0">
              <w:rPr>
                <w:rFonts w:eastAsia="Times New Roman"/>
              </w:rPr>
              <w:t>No</w:t>
            </w:r>
          </w:p>
        </w:tc>
        <w:tc>
          <w:tcPr>
            <w:tcW w:w="4680" w:type="dxa"/>
          </w:tcPr>
          <w:p w14:paraId="118908BC" w14:textId="41BC01D4" w:rsidR="000D6199" w:rsidRPr="00F81FF0" w:rsidRDefault="000D6199" w:rsidP="000D6199">
            <w:pPr>
              <w:rPr>
                <w:rFonts w:eastAsia="Times New Roman"/>
              </w:rPr>
            </w:pPr>
            <w:r w:rsidRPr="000D6199">
              <w:rPr>
                <w:rFonts w:eastAsia="Times New Roman"/>
              </w:rPr>
              <w:t>Commercial less than Residential</w:t>
            </w:r>
          </w:p>
        </w:tc>
      </w:tr>
      <w:tr w:rsidR="000D6199" w:rsidRPr="00F81FF0" w14:paraId="056BC379" w14:textId="77777777" w:rsidTr="006F0C2F">
        <w:tc>
          <w:tcPr>
            <w:tcW w:w="1885" w:type="dxa"/>
          </w:tcPr>
          <w:p w14:paraId="7001BB18" w14:textId="77777777" w:rsidR="000D6199" w:rsidRPr="000D6199" w:rsidRDefault="000D6199" w:rsidP="000D6199">
            <w:pPr>
              <w:rPr>
                <w:rFonts w:eastAsia="Times New Roman"/>
              </w:rPr>
            </w:pPr>
            <w:r w:rsidRPr="000D6199">
              <w:rPr>
                <w:rFonts w:eastAsia="Times New Roman"/>
              </w:rPr>
              <w:t>Tacoma</w:t>
            </w:r>
          </w:p>
        </w:tc>
        <w:tc>
          <w:tcPr>
            <w:tcW w:w="1260" w:type="dxa"/>
          </w:tcPr>
          <w:p w14:paraId="07F132B6" w14:textId="0882EC29" w:rsidR="000D6199" w:rsidRPr="000D6199" w:rsidRDefault="000D6199" w:rsidP="006F0C2F">
            <w:pPr>
              <w:jc w:val="center"/>
              <w:rPr>
                <w:rFonts w:eastAsia="Times New Roman"/>
              </w:rPr>
            </w:pPr>
            <w:r w:rsidRPr="000D6199">
              <w:rPr>
                <w:rFonts w:eastAsia="Times New Roman"/>
              </w:rPr>
              <w:t>City</w:t>
            </w:r>
          </w:p>
        </w:tc>
        <w:tc>
          <w:tcPr>
            <w:tcW w:w="1170" w:type="dxa"/>
          </w:tcPr>
          <w:p w14:paraId="0D736EF9" w14:textId="04248439" w:rsidR="000D6199" w:rsidRPr="000D6199" w:rsidRDefault="000D6199" w:rsidP="006F0C2F">
            <w:pPr>
              <w:jc w:val="center"/>
              <w:rPr>
                <w:rFonts w:eastAsia="Times New Roman"/>
              </w:rPr>
            </w:pPr>
            <w:r w:rsidRPr="000D6199">
              <w:rPr>
                <w:rFonts w:eastAsia="Times New Roman"/>
              </w:rPr>
              <w:t>No</w:t>
            </w:r>
          </w:p>
        </w:tc>
        <w:tc>
          <w:tcPr>
            <w:tcW w:w="1440" w:type="dxa"/>
          </w:tcPr>
          <w:p w14:paraId="207505A0" w14:textId="77777777" w:rsidR="000D6199" w:rsidRPr="000D6199" w:rsidRDefault="000D6199" w:rsidP="006F0C2F">
            <w:pPr>
              <w:jc w:val="center"/>
              <w:rPr>
                <w:rFonts w:eastAsia="Times New Roman"/>
              </w:rPr>
            </w:pPr>
            <w:r w:rsidRPr="000D6199">
              <w:rPr>
                <w:rFonts w:eastAsia="Times New Roman"/>
              </w:rPr>
              <w:t>No</w:t>
            </w:r>
          </w:p>
        </w:tc>
        <w:tc>
          <w:tcPr>
            <w:tcW w:w="4680" w:type="dxa"/>
          </w:tcPr>
          <w:p w14:paraId="44658352" w14:textId="3F7EF145" w:rsidR="000D6199" w:rsidRPr="000D6199" w:rsidRDefault="000D6199" w:rsidP="000D6199">
            <w:pPr>
              <w:rPr>
                <w:rFonts w:eastAsia="Times New Roman"/>
              </w:rPr>
            </w:pPr>
            <w:r w:rsidRPr="000D6199">
              <w:rPr>
                <w:rFonts w:eastAsia="Times New Roman"/>
              </w:rPr>
              <w:t>Commercial less than Residential</w:t>
            </w:r>
          </w:p>
        </w:tc>
      </w:tr>
    </w:tbl>
    <w:p w14:paraId="7CC87094" w14:textId="77777777" w:rsidR="00382420" w:rsidRDefault="00382420" w:rsidP="00382420">
      <w:pPr>
        <w:rPr>
          <w:rFonts w:eastAsia="Times New Roman"/>
        </w:rPr>
      </w:pPr>
    </w:p>
    <w:p w14:paraId="545820D5" w14:textId="268D3FEB" w:rsidR="00382420" w:rsidRDefault="00382420" w:rsidP="00382420">
      <w:pPr>
        <w:rPr>
          <w:rFonts w:eastAsia="Times New Roman"/>
        </w:rPr>
      </w:pPr>
      <w:r>
        <w:rPr>
          <w:rFonts w:eastAsia="Times New Roman"/>
        </w:rPr>
        <w:t>Firgrove Mutual</w:t>
      </w:r>
      <w:r w:rsidRPr="00F81FF0">
        <w:rPr>
          <w:rFonts w:eastAsia="Times New Roman"/>
        </w:rPr>
        <w:t xml:space="preserve"> </w:t>
      </w:r>
      <w:r>
        <w:rPr>
          <w:rFonts w:eastAsia="Times New Roman"/>
        </w:rPr>
        <w:t>serves several public schools that are billed on the same rate schedule as all other accounts, based on meter size with three usage blocks and increasing usage rates.</w:t>
      </w:r>
      <w:r w:rsidRPr="00F81FF0">
        <w:rPr>
          <w:rFonts w:eastAsia="Times New Roman"/>
        </w:rPr>
        <w:t xml:space="preserve"> There is no special rate or contract for schools.</w:t>
      </w:r>
    </w:p>
    <w:p w14:paraId="58A819B1" w14:textId="77777777" w:rsidR="00E80A28" w:rsidRPr="00F81FF0" w:rsidRDefault="00E80A28" w:rsidP="00382420">
      <w:pPr>
        <w:rPr>
          <w:rFonts w:eastAsia="Times New Roman"/>
        </w:rPr>
      </w:pPr>
    </w:p>
    <w:p w14:paraId="486DA6C2" w14:textId="2232FA9E" w:rsidR="00382420" w:rsidRDefault="00382420" w:rsidP="00382420">
      <w:pPr>
        <w:rPr>
          <w:rFonts w:eastAsia="Times New Roman"/>
        </w:rPr>
      </w:pPr>
      <w:r>
        <w:rPr>
          <w:rFonts w:eastAsia="Times New Roman"/>
        </w:rPr>
        <w:lastRenderedPageBreak/>
        <w:t>Fruitland Mutual</w:t>
      </w:r>
      <w:r w:rsidRPr="00F81FF0">
        <w:rPr>
          <w:rFonts w:eastAsia="Times New Roman"/>
        </w:rPr>
        <w:t xml:space="preserve"> </w:t>
      </w:r>
      <w:r>
        <w:rPr>
          <w:rFonts w:eastAsia="Times New Roman"/>
        </w:rPr>
        <w:t>bills all customers the same base and usage rates based on meter size with three usage blocks and increasing usage rates.</w:t>
      </w:r>
      <w:r w:rsidRPr="00F81FF0">
        <w:rPr>
          <w:rFonts w:eastAsia="Times New Roman"/>
        </w:rPr>
        <w:t xml:space="preserve"> </w:t>
      </w:r>
      <w:r>
        <w:rPr>
          <w:rFonts w:eastAsia="Times New Roman"/>
        </w:rPr>
        <w:t xml:space="preserve">Commercial accounts are charged an additional $0.0065 per square foot surcharge. </w:t>
      </w:r>
      <w:r w:rsidRPr="00F81FF0">
        <w:rPr>
          <w:rFonts w:eastAsia="Times New Roman"/>
        </w:rPr>
        <w:t>There is no special rate or contract for schools.</w:t>
      </w:r>
    </w:p>
    <w:p w14:paraId="00ABB896" w14:textId="77777777" w:rsidR="00382420" w:rsidRDefault="00382420" w:rsidP="00382420">
      <w:pPr>
        <w:rPr>
          <w:rFonts w:eastAsia="Times New Roman"/>
        </w:rPr>
      </w:pPr>
    </w:p>
    <w:p w14:paraId="050979A5" w14:textId="77777777" w:rsidR="00382420" w:rsidRPr="00F81FF0" w:rsidRDefault="00382420" w:rsidP="00382420">
      <w:pPr>
        <w:rPr>
          <w:rFonts w:eastAsia="Times New Roman"/>
        </w:rPr>
      </w:pPr>
      <w:r>
        <w:rPr>
          <w:rFonts w:eastAsia="Times New Roman"/>
        </w:rPr>
        <w:t>City of Puyallup</w:t>
      </w:r>
      <w:r w:rsidRPr="00F81FF0">
        <w:rPr>
          <w:rFonts w:eastAsia="Times New Roman"/>
        </w:rPr>
        <w:t xml:space="preserve"> </w:t>
      </w:r>
      <w:r>
        <w:rPr>
          <w:rFonts w:eastAsia="Times New Roman"/>
        </w:rPr>
        <w:t xml:space="preserve">charges schools the </w:t>
      </w:r>
      <w:r w:rsidRPr="00F81FF0">
        <w:rPr>
          <w:rFonts w:eastAsia="Times New Roman"/>
        </w:rPr>
        <w:t>‘commercial’</w:t>
      </w:r>
      <w:r>
        <w:rPr>
          <w:rFonts w:eastAsia="Times New Roman"/>
        </w:rPr>
        <w:t xml:space="preserve"> rates </w:t>
      </w:r>
      <w:r w:rsidRPr="00F81FF0">
        <w:rPr>
          <w:rFonts w:eastAsia="Times New Roman"/>
        </w:rPr>
        <w:t xml:space="preserve">for water service. </w:t>
      </w:r>
      <w:r>
        <w:rPr>
          <w:rFonts w:eastAsia="Times New Roman"/>
        </w:rPr>
        <w:t>The base charge is determined by the meter size and applied to both residential and commercial customers. There are no u</w:t>
      </w:r>
      <w:r w:rsidRPr="00F81FF0">
        <w:rPr>
          <w:rFonts w:eastAsia="Times New Roman"/>
        </w:rPr>
        <w:t xml:space="preserve">sage blocks and the rate </w:t>
      </w:r>
      <w:r>
        <w:rPr>
          <w:rFonts w:eastAsia="Times New Roman"/>
        </w:rPr>
        <w:t>is</w:t>
      </w:r>
      <w:r w:rsidRPr="00F81FF0">
        <w:rPr>
          <w:rFonts w:eastAsia="Times New Roman"/>
        </w:rPr>
        <w:t xml:space="preserve"> $</w:t>
      </w:r>
      <w:r>
        <w:rPr>
          <w:rFonts w:eastAsia="Times New Roman"/>
        </w:rPr>
        <w:t>2.36</w:t>
      </w:r>
      <w:r w:rsidRPr="00F81FF0">
        <w:rPr>
          <w:rFonts w:eastAsia="Times New Roman"/>
        </w:rPr>
        <w:t xml:space="preserve"> per 100 cubic feet </w:t>
      </w:r>
      <w:r>
        <w:rPr>
          <w:rFonts w:eastAsia="Times New Roman"/>
        </w:rPr>
        <w:t>for all usage.</w:t>
      </w:r>
      <w:r w:rsidRPr="00F81FF0">
        <w:rPr>
          <w:rFonts w:eastAsia="Times New Roman"/>
        </w:rPr>
        <w:t xml:space="preserve"> There is no special rate or contract for schools.</w:t>
      </w:r>
    </w:p>
    <w:p w14:paraId="5B5A3806" w14:textId="77777777" w:rsidR="00F81FF0" w:rsidRPr="00F81FF0" w:rsidRDefault="00F81FF0" w:rsidP="00F81FF0">
      <w:pPr>
        <w:rPr>
          <w:rFonts w:eastAsia="Times New Roman"/>
        </w:rPr>
      </w:pPr>
    </w:p>
    <w:p w14:paraId="2F2424C2" w14:textId="249C876C" w:rsidR="00F81FF0" w:rsidRDefault="00F81FF0" w:rsidP="00F81FF0">
      <w:pPr>
        <w:rPr>
          <w:rFonts w:eastAsia="Times New Roman"/>
        </w:rPr>
      </w:pPr>
      <w:r w:rsidRPr="00F81FF0">
        <w:rPr>
          <w:rFonts w:eastAsia="Times New Roman"/>
        </w:rPr>
        <w:t xml:space="preserve">Tacoma Water also </w:t>
      </w:r>
      <w:r w:rsidR="0000789A">
        <w:rPr>
          <w:rFonts w:eastAsia="Times New Roman"/>
        </w:rPr>
        <w:t xml:space="preserve">charges </w:t>
      </w:r>
      <w:r w:rsidRPr="00F81FF0">
        <w:rPr>
          <w:rFonts w:eastAsia="Times New Roman"/>
        </w:rPr>
        <w:t xml:space="preserve">schools </w:t>
      </w:r>
      <w:r w:rsidR="0000789A">
        <w:rPr>
          <w:rFonts w:eastAsia="Times New Roman"/>
        </w:rPr>
        <w:t>the</w:t>
      </w:r>
      <w:r w:rsidRPr="00F81FF0">
        <w:rPr>
          <w:rFonts w:eastAsia="Times New Roman"/>
        </w:rPr>
        <w:t xml:space="preserve"> </w:t>
      </w:r>
      <w:r w:rsidR="0000789A">
        <w:rPr>
          <w:rFonts w:eastAsia="Times New Roman"/>
        </w:rPr>
        <w:t>“</w:t>
      </w:r>
      <w:r w:rsidRPr="00F81FF0">
        <w:rPr>
          <w:rFonts w:eastAsia="Times New Roman"/>
        </w:rPr>
        <w:t>commercial</w:t>
      </w:r>
      <w:r w:rsidR="0000789A">
        <w:rPr>
          <w:rFonts w:eastAsia="Times New Roman"/>
        </w:rPr>
        <w:t>”</w:t>
      </w:r>
      <w:r w:rsidRPr="00F81FF0">
        <w:rPr>
          <w:rFonts w:eastAsia="Times New Roman"/>
        </w:rPr>
        <w:t xml:space="preserve"> rate</w:t>
      </w:r>
      <w:r w:rsidR="0000789A" w:rsidRPr="0000789A">
        <w:rPr>
          <w:rFonts w:eastAsia="Times New Roman"/>
        </w:rPr>
        <w:t xml:space="preserve"> </w:t>
      </w:r>
      <w:r w:rsidR="0000789A">
        <w:rPr>
          <w:rFonts w:eastAsia="Times New Roman"/>
        </w:rPr>
        <w:t xml:space="preserve">for </w:t>
      </w:r>
      <w:r w:rsidR="0000789A" w:rsidRPr="00F81FF0">
        <w:rPr>
          <w:rFonts w:eastAsia="Times New Roman"/>
        </w:rPr>
        <w:t>water service</w:t>
      </w:r>
      <w:r w:rsidR="00280915">
        <w:rPr>
          <w:rFonts w:eastAsia="Times New Roman"/>
        </w:rPr>
        <w:t xml:space="preserve">. </w:t>
      </w:r>
      <w:r w:rsidR="002257DF">
        <w:rPr>
          <w:rFonts w:eastAsia="Times New Roman"/>
        </w:rPr>
        <w:t>Base charge</w:t>
      </w:r>
      <w:r w:rsidR="00280915">
        <w:rPr>
          <w:rFonts w:eastAsia="Times New Roman"/>
        </w:rPr>
        <w:t xml:space="preserve">s are the </w:t>
      </w:r>
      <w:r w:rsidR="002257DF">
        <w:rPr>
          <w:rFonts w:eastAsia="Times New Roman"/>
        </w:rPr>
        <w:t xml:space="preserve">same as residential </w:t>
      </w:r>
      <w:r w:rsidR="00280915">
        <w:rPr>
          <w:rFonts w:eastAsia="Times New Roman"/>
        </w:rPr>
        <w:t xml:space="preserve">customers </w:t>
      </w:r>
      <w:r w:rsidR="002257DF">
        <w:rPr>
          <w:rFonts w:eastAsia="Times New Roman"/>
        </w:rPr>
        <w:t xml:space="preserve">depending on meter size, </w:t>
      </w:r>
      <w:r w:rsidRPr="00F81FF0">
        <w:rPr>
          <w:rFonts w:eastAsia="Times New Roman"/>
        </w:rPr>
        <w:t>$1.71 per 100 cubic feet</w:t>
      </w:r>
      <w:r w:rsidR="0000789A">
        <w:rPr>
          <w:rFonts w:eastAsia="Times New Roman"/>
        </w:rPr>
        <w:t xml:space="preserve">, </w:t>
      </w:r>
      <w:r w:rsidRPr="00F81FF0">
        <w:rPr>
          <w:rFonts w:eastAsia="Times New Roman"/>
        </w:rPr>
        <w:t>year ro</w:t>
      </w:r>
      <w:r w:rsidR="0000789A">
        <w:rPr>
          <w:rFonts w:eastAsia="Times New Roman"/>
        </w:rPr>
        <w:t>und</w:t>
      </w:r>
      <w:r w:rsidR="002257DF">
        <w:rPr>
          <w:rFonts w:eastAsia="Times New Roman"/>
        </w:rPr>
        <w:t xml:space="preserve"> as </w:t>
      </w:r>
      <w:r w:rsidR="00B14973">
        <w:rPr>
          <w:rFonts w:eastAsia="Times New Roman"/>
        </w:rPr>
        <w:t>opposed</w:t>
      </w:r>
      <w:r w:rsidR="002257DF">
        <w:rPr>
          <w:rFonts w:eastAsia="Times New Roman"/>
        </w:rPr>
        <w:t xml:space="preserve"> to residential non-peaking at $1.54 and peaking at $1.92</w:t>
      </w:r>
      <w:r w:rsidRPr="00F81FF0">
        <w:rPr>
          <w:rFonts w:eastAsia="Times New Roman"/>
        </w:rPr>
        <w:t>. There is no special rate or contract for schools.</w:t>
      </w:r>
    </w:p>
    <w:p w14:paraId="2BC2006C" w14:textId="77777777" w:rsidR="00382420" w:rsidRDefault="00382420" w:rsidP="00382420">
      <w:pPr>
        <w:rPr>
          <w:rFonts w:eastAsia="Times New Roman"/>
        </w:rPr>
      </w:pPr>
    </w:p>
    <w:p w14:paraId="6E2EA5B9" w14:textId="79A61514" w:rsidR="00382420" w:rsidRPr="00F81FF0" w:rsidRDefault="00382420" w:rsidP="00382420">
      <w:pPr>
        <w:rPr>
          <w:rFonts w:eastAsia="Times New Roman"/>
        </w:rPr>
      </w:pPr>
      <w:r w:rsidRPr="00F81FF0">
        <w:rPr>
          <w:rFonts w:eastAsia="Times New Roman"/>
        </w:rPr>
        <w:t xml:space="preserve">Seattle Public Utilities </w:t>
      </w:r>
      <w:r>
        <w:rPr>
          <w:rFonts w:eastAsia="Times New Roman"/>
        </w:rPr>
        <w:t xml:space="preserve">charges schools the </w:t>
      </w:r>
      <w:r w:rsidRPr="00F81FF0">
        <w:rPr>
          <w:rFonts w:eastAsia="Times New Roman"/>
        </w:rPr>
        <w:t>‘commercial’</w:t>
      </w:r>
      <w:r>
        <w:rPr>
          <w:rFonts w:eastAsia="Times New Roman"/>
        </w:rPr>
        <w:t xml:space="preserve"> rates </w:t>
      </w:r>
      <w:r w:rsidRPr="00F81FF0">
        <w:rPr>
          <w:rFonts w:eastAsia="Times New Roman"/>
        </w:rPr>
        <w:t xml:space="preserve">for water service. </w:t>
      </w:r>
      <w:r w:rsidR="00280915" w:rsidRPr="00280915">
        <w:rPr>
          <w:rFonts w:eastAsia="Times New Roman"/>
        </w:rPr>
        <w:t xml:space="preserve">Base charges are the same as residential </w:t>
      </w:r>
      <w:r w:rsidR="00280915">
        <w:rPr>
          <w:rFonts w:eastAsia="Times New Roman"/>
        </w:rPr>
        <w:t xml:space="preserve">customers, depending on meter size. </w:t>
      </w:r>
      <w:r>
        <w:rPr>
          <w:rFonts w:eastAsia="Times New Roman"/>
        </w:rPr>
        <w:t>There are no u</w:t>
      </w:r>
      <w:r w:rsidRPr="00F81FF0">
        <w:rPr>
          <w:rFonts w:eastAsia="Times New Roman"/>
        </w:rPr>
        <w:t xml:space="preserve">sage blocks and the rates </w:t>
      </w:r>
      <w:r w:rsidR="002257DF">
        <w:rPr>
          <w:rFonts w:eastAsia="Times New Roman"/>
        </w:rPr>
        <w:t xml:space="preserve">for residential and commercial </w:t>
      </w:r>
      <w:r w:rsidRPr="00F81FF0">
        <w:rPr>
          <w:rFonts w:eastAsia="Times New Roman"/>
        </w:rPr>
        <w:t xml:space="preserve">are $4.99 per 100 cubic feet for off-peak </w:t>
      </w:r>
      <w:r>
        <w:rPr>
          <w:rFonts w:eastAsia="Times New Roman"/>
        </w:rPr>
        <w:t xml:space="preserve">/ </w:t>
      </w:r>
      <w:r w:rsidRPr="00F81FF0">
        <w:rPr>
          <w:rFonts w:eastAsia="Times New Roman"/>
        </w:rPr>
        <w:t xml:space="preserve">winter (September – May) and </w:t>
      </w:r>
      <w:r w:rsidR="00280915">
        <w:rPr>
          <w:rFonts w:eastAsia="Times New Roman"/>
        </w:rPr>
        <w:t xml:space="preserve">for </w:t>
      </w:r>
      <w:r w:rsidR="00280915" w:rsidRPr="00F81FF0">
        <w:rPr>
          <w:rFonts w:eastAsia="Times New Roman"/>
        </w:rPr>
        <w:t xml:space="preserve">peak </w:t>
      </w:r>
      <w:r w:rsidR="00280915">
        <w:rPr>
          <w:rFonts w:eastAsia="Times New Roman"/>
        </w:rPr>
        <w:t>/</w:t>
      </w:r>
      <w:r w:rsidR="00280915" w:rsidRPr="00F81FF0">
        <w:rPr>
          <w:rFonts w:eastAsia="Times New Roman"/>
        </w:rPr>
        <w:t xml:space="preserve"> summer (May – September)</w:t>
      </w:r>
      <w:r w:rsidR="00280915">
        <w:rPr>
          <w:rFonts w:eastAsia="Times New Roman"/>
        </w:rPr>
        <w:t xml:space="preserve"> the commercial rate is </w:t>
      </w:r>
      <w:r w:rsidRPr="00F81FF0">
        <w:rPr>
          <w:rFonts w:eastAsia="Times New Roman"/>
        </w:rPr>
        <w:t xml:space="preserve">$6.34 per 100 cubic feet </w:t>
      </w:r>
      <w:r w:rsidR="002257DF">
        <w:rPr>
          <w:rFonts w:eastAsia="Times New Roman"/>
        </w:rPr>
        <w:t xml:space="preserve">and residential </w:t>
      </w:r>
      <w:r w:rsidR="00C015E1">
        <w:rPr>
          <w:rFonts w:eastAsia="Times New Roman"/>
        </w:rPr>
        <w:t xml:space="preserve">rates are </w:t>
      </w:r>
      <w:r w:rsidR="002257DF">
        <w:rPr>
          <w:rFonts w:eastAsia="Times New Roman"/>
        </w:rPr>
        <w:t>three block</w:t>
      </w:r>
      <w:r w:rsidR="00C015E1">
        <w:rPr>
          <w:rFonts w:eastAsia="Times New Roman"/>
        </w:rPr>
        <w:t xml:space="preserve">s </w:t>
      </w:r>
      <w:r w:rsidR="002257DF">
        <w:rPr>
          <w:rFonts w:eastAsia="Times New Roman"/>
        </w:rPr>
        <w:t xml:space="preserve"> starting at $5.13 for </w:t>
      </w:r>
      <w:r w:rsidR="00B14973">
        <w:rPr>
          <w:rFonts w:eastAsia="Times New Roman"/>
        </w:rPr>
        <w:t>first</w:t>
      </w:r>
      <w:r w:rsidR="002257DF">
        <w:rPr>
          <w:rFonts w:eastAsia="Times New Roman"/>
        </w:rPr>
        <w:t xml:space="preserve"> 500 cubic feet and ending in $11.80 over 1,800 cubic feet</w:t>
      </w:r>
      <w:r w:rsidRPr="00F81FF0">
        <w:rPr>
          <w:rFonts w:eastAsia="Times New Roman"/>
        </w:rPr>
        <w:t>. There is no special rate or contract for schools.</w:t>
      </w:r>
      <w:r>
        <w:rPr>
          <w:rFonts w:eastAsia="Times New Roman"/>
        </w:rPr>
        <w:t xml:space="preserve"> </w:t>
      </w:r>
    </w:p>
    <w:p w14:paraId="7F378D11" w14:textId="77777777" w:rsidR="003555E4" w:rsidRDefault="003555E4" w:rsidP="00F81FF0">
      <w:pPr>
        <w:rPr>
          <w:rFonts w:eastAsia="Times New Roman"/>
        </w:rPr>
      </w:pPr>
    </w:p>
    <w:p w14:paraId="552C7CF8" w14:textId="77777777" w:rsidR="005C0568" w:rsidRPr="00C30070" w:rsidRDefault="005C0568" w:rsidP="007A59D5">
      <w:pPr>
        <w:rPr>
          <w:b/>
          <w:color w:val="000000"/>
          <w:u w:val="single"/>
        </w:rPr>
      </w:pPr>
      <w:r w:rsidRPr="00C30070">
        <w:rPr>
          <w:b/>
          <w:color w:val="000000"/>
          <w:u w:val="single"/>
        </w:rPr>
        <w:t>Audit and Rate Design</w:t>
      </w:r>
    </w:p>
    <w:p w14:paraId="2475136E" w14:textId="77777777" w:rsidR="005C0568" w:rsidRDefault="005C0568" w:rsidP="007A59D5">
      <w:pPr>
        <w:rPr>
          <w:rFonts w:eastAsia="Times New Roman"/>
        </w:rPr>
      </w:pPr>
    </w:p>
    <w:p w14:paraId="7A3A1B12" w14:textId="08D8FD07" w:rsidR="005C0568" w:rsidRDefault="005C0568" w:rsidP="007A59D5">
      <w:pPr>
        <w:rPr>
          <w:rFonts w:eastAsia="Times New Roman"/>
        </w:rPr>
      </w:pPr>
      <w:r w:rsidRPr="00E04176">
        <w:rPr>
          <w:rFonts w:eastAsia="Times New Roman"/>
        </w:rPr>
        <w:t xml:space="preserve">Staff </w:t>
      </w:r>
      <w:r>
        <w:rPr>
          <w:rFonts w:eastAsia="Times New Roman"/>
        </w:rPr>
        <w:t xml:space="preserve">has completed its review and determined the </w:t>
      </w:r>
      <w:r w:rsidRPr="00E04176">
        <w:rPr>
          <w:rFonts w:eastAsia="Times New Roman"/>
        </w:rPr>
        <w:t>company’s books and records support</w:t>
      </w:r>
      <w:r>
        <w:rPr>
          <w:rFonts w:eastAsia="Times New Roman"/>
        </w:rPr>
        <w:t xml:space="preserve"> the revised</w:t>
      </w:r>
      <w:r w:rsidRPr="00E04176">
        <w:rPr>
          <w:rFonts w:eastAsia="Times New Roman"/>
        </w:rPr>
        <w:t xml:space="preserve"> revenue requirement of </w:t>
      </w:r>
      <w:r w:rsidRPr="00811645">
        <w:rPr>
          <w:rFonts w:eastAsia="Times New Roman"/>
        </w:rPr>
        <w:t>$183,439 (3.3 percent</w:t>
      </w:r>
      <w:r w:rsidRPr="00E04176">
        <w:rPr>
          <w:rFonts w:eastAsia="Times New Roman"/>
        </w:rPr>
        <w:t xml:space="preserve">) additional annual revenue. </w:t>
      </w:r>
      <w:r w:rsidR="00C1691C" w:rsidRPr="00E04176">
        <w:rPr>
          <w:rFonts w:eastAsia="Times New Roman"/>
        </w:rPr>
        <w:t xml:space="preserve">Staff and the company agreed to </w:t>
      </w:r>
      <w:r w:rsidR="00C1691C">
        <w:rPr>
          <w:rFonts w:eastAsia="Times New Roman"/>
        </w:rPr>
        <w:t xml:space="preserve">the </w:t>
      </w:r>
      <w:r w:rsidR="00815B53">
        <w:rPr>
          <w:rFonts w:eastAsia="Times New Roman"/>
        </w:rPr>
        <w:t xml:space="preserve">revised </w:t>
      </w:r>
      <w:r w:rsidR="00EB1092" w:rsidRPr="00811645">
        <w:rPr>
          <w:rFonts w:eastAsia="Times New Roman"/>
        </w:rPr>
        <w:t>$183</w:t>
      </w:r>
      <w:r w:rsidR="00EB1092">
        <w:rPr>
          <w:rFonts w:eastAsia="Times New Roman"/>
        </w:rPr>
        <w:t>,439</w:t>
      </w:r>
      <w:r w:rsidR="00EB1092" w:rsidRPr="00E04176">
        <w:rPr>
          <w:rFonts w:eastAsia="Times New Roman"/>
        </w:rPr>
        <w:t xml:space="preserve"> </w:t>
      </w:r>
      <w:r w:rsidR="00C1691C">
        <w:rPr>
          <w:rFonts w:eastAsia="Times New Roman"/>
        </w:rPr>
        <w:t>revenue requirement</w:t>
      </w:r>
      <w:r w:rsidR="00C1691C" w:rsidRPr="00E04176">
        <w:rPr>
          <w:rFonts w:eastAsia="Times New Roman"/>
        </w:rPr>
        <w:t>.</w:t>
      </w:r>
      <w:r w:rsidR="00C1691C" w:rsidRPr="00E04176" w:rsidDel="00D96549">
        <w:rPr>
          <w:rFonts w:eastAsia="Times New Roman"/>
        </w:rPr>
        <w:t xml:space="preserve"> </w:t>
      </w:r>
    </w:p>
    <w:p w14:paraId="46728C39" w14:textId="77777777" w:rsidR="005C0568" w:rsidRDefault="005C0568" w:rsidP="007A59D5">
      <w:pPr>
        <w:rPr>
          <w:rFonts w:eastAsia="Times New Roman"/>
        </w:rPr>
      </w:pPr>
    </w:p>
    <w:p w14:paraId="6FFD21CA" w14:textId="7A47A6ED" w:rsidR="00EA1079" w:rsidRDefault="00E50801" w:rsidP="007A59D5">
      <w:pPr>
        <w:rPr>
          <w:color w:val="000000"/>
        </w:rPr>
      </w:pPr>
      <w:r>
        <w:rPr>
          <w:color w:val="000000"/>
        </w:rPr>
        <w:t>The revi</w:t>
      </w:r>
      <w:r w:rsidR="00E03508">
        <w:rPr>
          <w:color w:val="000000"/>
        </w:rPr>
        <w:t xml:space="preserve">sed </w:t>
      </w:r>
      <w:r w:rsidR="00566AD5">
        <w:rPr>
          <w:color w:val="000000"/>
        </w:rPr>
        <w:t xml:space="preserve">rate design </w:t>
      </w:r>
      <w:r w:rsidR="0069302C">
        <w:rPr>
          <w:color w:val="000000"/>
        </w:rPr>
        <w:t>would</w:t>
      </w:r>
      <w:r w:rsidR="00EA1079">
        <w:rPr>
          <w:color w:val="000000"/>
        </w:rPr>
        <w:t>:</w:t>
      </w:r>
    </w:p>
    <w:p w14:paraId="1F4476C5" w14:textId="2B1F29B8" w:rsidR="00EA1079" w:rsidRDefault="00EA1079" w:rsidP="00B06ED2">
      <w:pPr>
        <w:pStyle w:val="ListParagraph"/>
        <w:numPr>
          <w:ilvl w:val="0"/>
          <w:numId w:val="38"/>
        </w:numPr>
        <w:rPr>
          <w:color w:val="000000"/>
        </w:rPr>
      </w:pPr>
      <w:r>
        <w:rPr>
          <w:color w:val="000000"/>
        </w:rPr>
        <w:t>I</w:t>
      </w:r>
      <w:r w:rsidR="00BE7775" w:rsidRPr="00B06ED2">
        <w:rPr>
          <w:color w:val="000000"/>
        </w:rPr>
        <w:t xml:space="preserve">ncrease </w:t>
      </w:r>
      <w:r w:rsidR="00972EE7" w:rsidRPr="00B06ED2">
        <w:rPr>
          <w:color w:val="000000"/>
        </w:rPr>
        <w:t xml:space="preserve">the base charge </w:t>
      </w:r>
      <w:r w:rsidR="00E50801" w:rsidRPr="00B06ED2">
        <w:rPr>
          <w:color w:val="000000"/>
        </w:rPr>
        <w:t>to all customers by 2.</w:t>
      </w:r>
      <w:r w:rsidR="0067486D" w:rsidRPr="00B06ED2">
        <w:rPr>
          <w:color w:val="000000"/>
        </w:rPr>
        <w:t>25</w:t>
      </w:r>
      <w:r w:rsidR="00E50801" w:rsidRPr="00B06ED2">
        <w:rPr>
          <w:color w:val="000000"/>
        </w:rPr>
        <w:t xml:space="preserve"> percent. The base charge for a 3/4 inch meter </w:t>
      </w:r>
      <w:r w:rsidR="0069302C" w:rsidRPr="00B06ED2">
        <w:rPr>
          <w:color w:val="000000"/>
        </w:rPr>
        <w:t>would</w:t>
      </w:r>
      <w:r w:rsidR="00E50801" w:rsidRPr="00B06ED2">
        <w:rPr>
          <w:color w:val="000000"/>
        </w:rPr>
        <w:t xml:space="preserve"> increase </w:t>
      </w:r>
      <w:r w:rsidR="0069302C" w:rsidRPr="00B06ED2">
        <w:rPr>
          <w:color w:val="000000"/>
        </w:rPr>
        <w:t xml:space="preserve">$.31 (2.25 percent) </w:t>
      </w:r>
      <w:r w:rsidR="00E50801" w:rsidRPr="00B06ED2">
        <w:rPr>
          <w:color w:val="000000"/>
        </w:rPr>
        <w:t>from $13.90 to $14.</w:t>
      </w:r>
      <w:r w:rsidR="0067486D" w:rsidRPr="00B06ED2">
        <w:rPr>
          <w:color w:val="000000"/>
        </w:rPr>
        <w:t>2</w:t>
      </w:r>
      <w:r w:rsidR="00E50801" w:rsidRPr="00B06ED2">
        <w:rPr>
          <w:color w:val="000000"/>
        </w:rPr>
        <w:t xml:space="preserve">1. </w:t>
      </w:r>
    </w:p>
    <w:p w14:paraId="185AE827" w14:textId="5EC387EE" w:rsidR="00EA1079" w:rsidRPr="00B06ED2" w:rsidRDefault="00EA1079" w:rsidP="00B06ED2">
      <w:pPr>
        <w:pStyle w:val="ListParagraph"/>
        <w:numPr>
          <w:ilvl w:val="0"/>
          <w:numId w:val="38"/>
        </w:numPr>
        <w:rPr>
          <w:color w:val="000000"/>
        </w:rPr>
      </w:pPr>
      <w:r>
        <w:rPr>
          <w:color w:val="000000"/>
        </w:rPr>
        <w:t>I</w:t>
      </w:r>
      <w:r w:rsidRPr="00B717CC">
        <w:rPr>
          <w:color w:val="000000"/>
        </w:rPr>
        <w:t>ncrease</w:t>
      </w:r>
      <w:r w:rsidRPr="00EA1079">
        <w:rPr>
          <w:color w:val="000000"/>
        </w:rPr>
        <w:t xml:space="preserve"> </w:t>
      </w:r>
      <w:r>
        <w:rPr>
          <w:color w:val="000000"/>
        </w:rPr>
        <w:t xml:space="preserve">third block (more than </w:t>
      </w:r>
      <w:r w:rsidRPr="00FC21F6">
        <w:rPr>
          <w:color w:val="000000"/>
        </w:rPr>
        <w:t>3,000 cubic feet per month</w:t>
      </w:r>
      <w:r>
        <w:rPr>
          <w:rStyle w:val="FootnoteReference"/>
          <w:color w:val="000000"/>
        </w:rPr>
        <w:footnoteReference w:id="3"/>
      </w:r>
      <w:r>
        <w:rPr>
          <w:color w:val="000000"/>
        </w:rPr>
        <w:t xml:space="preserve">) usage rate from </w:t>
      </w:r>
      <w:r w:rsidRPr="00783599">
        <w:rPr>
          <w:color w:val="000000"/>
        </w:rPr>
        <w:t>$2.05 per 100 cubic feet</w:t>
      </w:r>
      <w:r w:rsidRPr="00C97860" w:rsidDel="00EA1079">
        <w:rPr>
          <w:color w:val="000000"/>
        </w:rPr>
        <w:t xml:space="preserve"> </w:t>
      </w:r>
      <w:r w:rsidRPr="00783599">
        <w:rPr>
          <w:color w:val="000000"/>
        </w:rPr>
        <w:t xml:space="preserve">to $2.71 </w:t>
      </w:r>
      <w:r w:rsidRPr="00EA1079">
        <w:rPr>
          <w:color w:val="000000"/>
        </w:rPr>
        <w:t>per 100 cubic feet</w:t>
      </w:r>
      <w:r w:rsidRPr="004D21DD">
        <w:rPr>
          <w:color w:val="000000"/>
        </w:rPr>
        <w:t>.</w:t>
      </w:r>
    </w:p>
    <w:p w14:paraId="084E5A0C" w14:textId="77777777" w:rsidR="00EA1079" w:rsidRDefault="00EA1079" w:rsidP="007A59D5">
      <w:pPr>
        <w:rPr>
          <w:color w:val="000000"/>
        </w:rPr>
      </w:pPr>
    </w:p>
    <w:p w14:paraId="09BBA663" w14:textId="2AD3992A" w:rsidR="00B26620" w:rsidRDefault="00EA1079" w:rsidP="007A59D5">
      <w:pPr>
        <w:rPr>
          <w:color w:val="000000"/>
        </w:rPr>
      </w:pPr>
      <w:r>
        <w:rPr>
          <w:color w:val="000000"/>
        </w:rPr>
        <w:t xml:space="preserve">The company’s revised rate design to the third block usage rate would cover the cost of the water purchased </w:t>
      </w:r>
      <w:r w:rsidR="00DD5876">
        <w:rPr>
          <w:color w:val="000000"/>
        </w:rPr>
        <w:t xml:space="preserve">from Tacoma </w:t>
      </w:r>
      <w:r>
        <w:rPr>
          <w:color w:val="000000"/>
        </w:rPr>
        <w:t xml:space="preserve">and is an effort to promote conservation. </w:t>
      </w:r>
      <w:r w:rsidR="00566AD5">
        <w:rPr>
          <w:color w:val="000000"/>
        </w:rPr>
        <w:t xml:space="preserve">The </w:t>
      </w:r>
      <w:r w:rsidR="00566AD5" w:rsidRPr="0067486D">
        <w:rPr>
          <w:color w:val="000000"/>
        </w:rPr>
        <w:t>$2.7</w:t>
      </w:r>
      <w:r w:rsidR="008C6A5A" w:rsidRPr="0067486D">
        <w:rPr>
          <w:color w:val="000000"/>
        </w:rPr>
        <w:t>1</w:t>
      </w:r>
      <w:r w:rsidR="00566AD5">
        <w:rPr>
          <w:color w:val="000000"/>
        </w:rPr>
        <w:t xml:space="preserve"> rate for third block usage is based on </w:t>
      </w:r>
      <w:r w:rsidR="0067486D">
        <w:rPr>
          <w:color w:val="000000"/>
        </w:rPr>
        <w:t xml:space="preserve">Tacoma’s </w:t>
      </w:r>
      <w:r w:rsidR="00566AD5">
        <w:rPr>
          <w:color w:val="000000"/>
        </w:rPr>
        <w:t>historical annual increase and recovery of annual operating costs for the Tacoma intertie</w:t>
      </w:r>
      <w:r w:rsidR="003555E4">
        <w:rPr>
          <w:color w:val="000000"/>
        </w:rPr>
        <w:t xml:space="preserve">. </w:t>
      </w:r>
      <w:r w:rsidR="00C664C2">
        <w:rPr>
          <w:color w:val="000000"/>
        </w:rPr>
        <w:t xml:space="preserve"> The revised rate design changes the base charge above the notice to customers. </w:t>
      </w:r>
      <w:r w:rsidR="00325AE5">
        <w:rPr>
          <w:color w:val="000000"/>
        </w:rPr>
        <w:t xml:space="preserve">Staff </w:t>
      </w:r>
      <w:r w:rsidR="00E80A28">
        <w:rPr>
          <w:color w:val="000000"/>
        </w:rPr>
        <w:t xml:space="preserve">recommends that the commission not require </w:t>
      </w:r>
      <w:r w:rsidR="00325AE5">
        <w:rPr>
          <w:color w:val="000000"/>
        </w:rPr>
        <w:t xml:space="preserve">a separate notice to the customers </w:t>
      </w:r>
      <w:r w:rsidR="00E80A28">
        <w:rPr>
          <w:color w:val="000000"/>
        </w:rPr>
        <w:t xml:space="preserve">because of cost and the </w:t>
      </w:r>
      <w:r w:rsidR="00325AE5">
        <w:rPr>
          <w:color w:val="000000"/>
        </w:rPr>
        <w:t xml:space="preserve">small difference between the company’s </w:t>
      </w:r>
      <w:r w:rsidR="0069302C">
        <w:rPr>
          <w:color w:val="000000"/>
        </w:rPr>
        <w:t xml:space="preserve">original </w:t>
      </w:r>
      <w:r w:rsidR="00325AE5">
        <w:rPr>
          <w:color w:val="000000"/>
        </w:rPr>
        <w:t xml:space="preserve">proposed rates and staff’s revised rates. The company has agreed to </w:t>
      </w:r>
      <w:r w:rsidR="0069302C">
        <w:rPr>
          <w:color w:val="000000"/>
        </w:rPr>
        <w:t>notify</w:t>
      </w:r>
      <w:r w:rsidR="00325AE5">
        <w:rPr>
          <w:color w:val="000000"/>
        </w:rPr>
        <w:t xml:space="preserve"> customers in the next bill.</w:t>
      </w:r>
    </w:p>
    <w:p w14:paraId="644BD83C" w14:textId="77777777" w:rsidR="00246192" w:rsidRDefault="00246192" w:rsidP="007A59D5">
      <w:pPr>
        <w:rPr>
          <w:color w:val="000000"/>
        </w:rPr>
      </w:pPr>
    </w:p>
    <w:p w14:paraId="41809EB8" w14:textId="77777777" w:rsidR="006F0C2F" w:rsidRDefault="006F0C2F">
      <w:pPr>
        <w:rPr>
          <w:rFonts w:eastAsia="Times New Roman"/>
          <w:b/>
          <w:u w:val="single"/>
          <w:lang w:bidi="ar-SA"/>
        </w:rPr>
      </w:pPr>
      <w:r>
        <w:rPr>
          <w:rFonts w:eastAsia="Times New Roman"/>
          <w:b/>
          <w:u w:val="single"/>
          <w:lang w:bidi="ar-SA"/>
        </w:rPr>
        <w:br w:type="page"/>
      </w:r>
    </w:p>
    <w:p w14:paraId="1F03FDA6" w14:textId="48856BAD"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lastRenderedPageBreak/>
        <w:t xml:space="preserve">Customer Comments </w:t>
      </w:r>
    </w:p>
    <w:p w14:paraId="1F03FDA7" w14:textId="77777777" w:rsidR="00A8749C" w:rsidRP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5850452D" w14:textId="77777777" w:rsidR="007B435C" w:rsidRDefault="00894BC9" w:rsidP="007B435C">
      <w:pPr>
        <w:rPr>
          <w:color w:val="000000"/>
        </w:rPr>
      </w:pPr>
      <w:r>
        <w:rPr>
          <w:color w:val="000000"/>
        </w:rPr>
        <w:t xml:space="preserve">On </w:t>
      </w:r>
      <w:r w:rsidR="00353F90">
        <w:rPr>
          <w:color w:val="000000"/>
        </w:rPr>
        <w:t>June 30</w:t>
      </w:r>
      <w:r w:rsidR="0010556E">
        <w:rPr>
          <w:color w:val="000000"/>
        </w:rPr>
        <w:t>, 2014,</w:t>
      </w:r>
      <w:r w:rsidR="00D37B53" w:rsidRPr="00D37B53">
        <w:rPr>
          <w:color w:val="000000"/>
        </w:rPr>
        <w:t xml:space="preserve"> </w:t>
      </w:r>
      <w:r w:rsidR="00D37B53">
        <w:rPr>
          <w:color w:val="000000"/>
        </w:rPr>
        <w:t>the company notified its customers by mail of the proposed rate increase. Customers were notified they may access relevant documents about this rate increase on the commission’s website, and that they may contact John Cupp at 1-888-333-9882 or jcupp@utc.wa.gov with questions or concerns. Staff received three consumer comments opposed to the rate increase.</w:t>
      </w:r>
    </w:p>
    <w:p w14:paraId="70DB8F89" w14:textId="77777777" w:rsidR="007B435C" w:rsidRDefault="007B435C" w:rsidP="007B435C">
      <w:pPr>
        <w:rPr>
          <w:color w:val="000000"/>
        </w:rPr>
      </w:pPr>
    </w:p>
    <w:p w14:paraId="0F70FBA7" w14:textId="7B3951B7" w:rsidR="00D37B53" w:rsidRDefault="00D37B53" w:rsidP="007B435C">
      <w:r>
        <w:rPr>
          <w:b/>
          <w:color w:val="000000"/>
        </w:rPr>
        <w:t>General Comments</w:t>
      </w:r>
    </w:p>
    <w:p w14:paraId="7C72E193" w14:textId="6860DBEB" w:rsidR="00D37B53" w:rsidRDefault="00D37B53" w:rsidP="006F0C2F">
      <w:pPr>
        <w:ind w:left="768"/>
        <w:rPr>
          <w:color w:val="000000"/>
        </w:rPr>
      </w:pPr>
      <w:r>
        <w:rPr>
          <w:color w:val="000000"/>
        </w:rPr>
        <w:t>Through its attorney, Bethel School District comment</w:t>
      </w:r>
      <w:r w:rsidR="00AC0C97">
        <w:rPr>
          <w:color w:val="000000"/>
        </w:rPr>
        <w:t xml:space="preserve">ed that it </w:t>
      </w:r>
      <w:r w:rsidR="0069302C">
        <w:rPr>
          <w:color w:val="000000"/>
        </w:rPr>
        <w:t>would</w:t>
      </w:r>
      <w:r w:rsidR="00AC0C97">
        <w:rPr>
          <w:color w:val="000000"/>
        </w:rPr>
        <w:t xml:space="preserve"> see a $13,660 (8</w:t>
      </w:r>
      <w:r>
        <w:rPr>
          <w:color w:val="000000"/>
        </w:rPr>
        <w:t xml:space="preserve"> percent) increase in annual expenses for water if the </w:t>
      </w:r>
      <w:r w:rsidR="002B5EB2">
        <w:rPr>
          <w:color w:val="000000"/>
        </w:rPr>
        <w:t>commission approve</w:t>
      </w:r>
      <w:r w:rsidR="00E03508">
        <w:rPr>
          <w:color w:val="000000"/>
        </w:rPr>
        <w:t>s</w:t>
      </w:r>
      <w:r w:rsidR="002B5EB2">
        <w:rPr>
          <w:color w:val="000000"/>
        </w:rPr>
        <w:t xml:space="preserve"> the </w:t>
      </w:r>
      <w:r>
        <w:rPr>
          <w:color w:val="000000"/>
        </w:rPr>
        <w:t xml:space="preserve">proposed rates. </w:t>
      </w:r>
      <w:r w:rsidR="008C5A41">
        <w:rPr>
          <w:color w:val="000000"/>
        </w:rPr>
        <w:t>Bethel</w:t>
      </w:r>
      <w:r>
        <w:rPr>
          <w:color w:val="000000"/>
        </w:rPr>
        <w:t xml:space="preserve"> said, “Rate increases, like the one proposed would necessarily need to be borne by the District’s general fund, directly reducing critical funds for classroom use.”  </w:t>
      </w:r>
    </w:p>
    <w:p w14:paraId="5E44AF2C" w14:textId="77777777" w:rsidR="00D37B53" w:rsidRDefault="00D37B53" w:rsidP="00D37B53">
      <w:pPr>
        <w:ind w:left="720"/>
        <w:rPr>
          <w:color w:val="000000"/>
        </w:rPr>
      </w:pPr>
    </w:p>
    <w:p w14:paraId="0C01250C" w14:textId="1BE41EEB" w:rsidR="00D37B53" w:rsidRDefault="00D37B53" w:rsidP="00D37B53">
      <w:pPr>
        <w:ind w:left="720"/>
        <w:rPr>
          <w:color w:val="000000"/>
        </w:rPr>
      </w:pPr>
      <w:r>
        <w:rPr>
          <w:color w:val="000000"/>
        </w:rPr>
        <w:t>Another customer believes that the increase targets those who use more water</w:t>
      </w:r>
      <w:r w:rsidR="002B5EB2">
        <w:rPr>
          <w:color w:val="000000"/>
        </w:rPr>
        <w:t xml:space="preserve"> and </w:t>
      </w:r>
      <w:r>
        <w:rPr>
          <w:color w:val="000000"/>
        </w:rPr>
        <w:t xml:space="preserve">it is unfair to target these customers. One customer believes the proposed increase </w:t>
      </w:r>
      <w:r w:rsidR="002B5EB2">
        <w:rPr>
          <w:color w:val="000000"/>
        </w:rPr>
        <w:t xml:space="preserve">amount </w:t>
      </w:r>
      <w:r>
        <w:rPr>
          <w:color w:val="000000"/>
        </w:rPr>
        <w:t>is excessive.</w:t>
      </w:r>
    </w:p>
    <w:p w14:paraId="22F6ECB7" w14:textId="77777777" w:rsidR="00D37B53" w:rsidRDefault="00D37B53" w:rsidP="00D37B53">
      <w:pPr>
        <w:ind w:left="720"/>
        <w:rPr>
          <w:color w:val="000000"/>
        </w:rPr>
      </w:pPr>
    </w:p>
    <w:p w14:paraId="75E3FA86" w14:textId="77777777" w:rsidR="00D37B53" w:rsidRDefault="00D37B53" w:rsidP="00D37B53">
      <w:pPr>
        <w:ind w:left="720"/>
        <w:rPr>
          <w:b/>
          <w:color w:val="000000"/>
        </w:rPr>
      </w:pPr>
      <w:r>
        <w:rPr>
          <w:b/>
          <w:color w:val="000000"/>
        </w:rPr>
        <w:t>Staff Response</w:t>
      </w:r>
    </w:p>
    <w:p w14:paraId="1BBDDD9F" w14:textId="77777777" w:rsidR="00207F8D" w:rsidRDefault="00207F8D" w:rsidP="00207F8D">
      <w:pPr>
        <w:ind w:left="720"/>
      </w:pPr>
      <w:r>
        <w:t>Customers were advised that state law requires rates to be fair, just, reasonable and sufficient to allow the company to recover reasonable operating expenses and the opportunity to earn a reasonable return on its investment. Regulatory staff review filings to ensure that all rates and fees are appropriate.</w:t>
      </w:r>
    </w:p>
    <w:p w14:paraId="74D147D6" w14:textId="77777777" w:rsidR="00207F8D" w:rsidRDefault="00207F8D" w:rsidP="00D37B53">
      <w:pPr>
        <w:ind w:left="720"/>
        <w:rPr>
          <w:b/>
          <w:color w:val="000000"/>
        </w:rPr>
      </w:pPr>
    </w:p>
    <w:p w14:paraId="1546D2E8" w14:textId="7E55CEA2" w:rsidR="00603AE2" w:rsidRDefault="00603AE2">
      <w:pPr>
        <w:rPr>
          <w:b/>
          <w:u w:val="single"/>
        </w:rPr>
      </w:pPr>
    </w:p>
    <w:p w14:paraId="7C143837" w14:textId="3709FD4A" w:rsidR="00FA19D0" w:rsidRDefault="00FA19D0" w:rsidP="0067486D">
      <w:pPr>
        <w:jc w:val="center"/>
        <w:rPr>
          <w:b/>
          <w:u w:val="single"/>
        </w:rPr>
      </w:pPr>
      <w:r w:rsidRPr="00ED617B">
        <w:rPr>
          <w:b/>
          <w:u w:val="single"/>
        </w:rPr>
        <w:t>Rate Comparison</w:t>
      </w:r>
    </w:p>
    <w:p w14:paraId="41120C15" w14:textId="76594763" w:rsidR="00D30C52" w:rsidRDefault="00705BBD" w:rsidP="00FA19D0">
      <w:pPr>
        <w:jc w:val="center"/>
        <w:rPr>
          <w:b/>
          <w:u w:val="single"/>
        </w:rPr>
      </w:pPr>
      <w:r>
        <w:rPr>
          <w:b/>
          <w:u w:val="single"/>
        </w:rPr>
        <w:t xml:space="preserve">(Both Residential </w:t>
      </w:r>
      <w:r w:rsidR="00972EE7">
        <w:rPr>
          <w:b/>
          <w:u w:val="single"/>
        </w:rPr>
        <w:t>and</w:t>
      </w:r>
      <w:r>
        <w:rPr>
          <w:b/>
          <w:u w:val="single"/>
        </w:rPr>
        <w:t xml:space="preserve"> Non-Residential)</w:t>
      </w:r>
    </w:p>
    <w:p w14:paraId="2EBD8A92" w14:textId="77777777" w:rsidR="00FA19D0" w:rsidRDefault="00FA19D0" w:rsidP="00FA19D0">
      <w:pPr>
        <w:jc w:val="center"/>
        <w:rPr>
          <w:b/>
          <w:u w:val="single"/>
        </w:rPr>
      </w:pPr>
    </w:p>
    <w:tbl>
      <w:tblPr>
        <w:tblStyle w:val="TableGrid"/>
        <w:tblW w:w="0" w:type="auto"/>
        <w:tblInd w:w="-5" w:type="dxa"/>
        <w:tblLook w:val="04A0" w:firstRow="1" w:lastRow="0" w:firstColumn="1" w:lastColumn="0" w:noHBand="0" w:noVBand="1"/>
      </w:tblPr>
      <w:tblGrid>
        <w:gridCol w:w="3690"/>
        <w:gridCol w:w="1890"/>
        <w:gridCol w:w="1800"/>
        <w:gridCol w:w="1975"/>
      </w:tblGrid>
      <w:tr w:rsidR="002D013F" w:rsidRPr="006B166F" w14:paraId="52866DE0" w14:textId="77777777" w:rsidTr="00E50801">
        <w:tc>
          <w:tcPr>
            <w:tcW w:w="3690" w:type="dxa"/>
            <w:tcBorders>
              <w:bottom w:val="single" w:sz="4" w:space="0" w:color="auto"/>
            </w:tcBorders>
            <w:vAlign w:val="center"/>
          </w:tcPr>
          <w:p w14:paraId="3879CECB" w14:textId="77777777" w:rsidR="002D013F" w:rsidRPr="006B166F" w:rsidRDefault="002D013F" w:rsidP="00E03508">
            <w:pPr>
              <w:jc w:val="center"/>
              <w:rPr>
                <w:b/>
              </w:rPr>
            </w:pPr>
            <w:r w:rsidRPr="006B166F">
              <w:rPr>
                <w:b/>
              </w:rPr>
              <w:t>Monthly Rate</w:t>
            </w:r>
          </w:p>
        </w:tc>
        <w:tc>
          <w:tcPr>
            <w:tcW w:w="1890" w:type="dxa"/>
            <w:shd w:val="pct10" w:color="auto" w:fill="auto"/>
            <w:vAlign w:val="center"/>
          </w:tcPr>
          <w:p w14:paraId="33FF0DB9" w14:textId="77777777" w:rsidR="002D013F" w:rsidRPr="006B166F" w:rsidRDefault="002D013F" w:rsidP="00E03508">
            <w:pPr>
              <w:jc w:val="center"/>
              <w:rPr>
                <w:b/>
              </w:rPr>
            </w:pPr>
            <w:r w:rsidRPr="006B166F">
              <w:rPr>
                <w:b/>
              </w:rPr>
              <w:t>Current Rate</w:t>
            </w:r>
          </w:p>
        </w:tc>
        <w:tc>
          <w:tcPr>
            <w:tcW w:w="1800" w:type="dxa"/>
            <w:shd w:val="pct10" w:color="auto" w:fill="auto"/>
          </w:tcPr>
          <w:p w14:paraId="79734A18" w14:textId="3ED2B2FA" w:rsidR="002D013F" w:rsidRPr="006B166F" w:rsidRDefault="002D013F" w:rsidP="00E03508">
            <w:pPr>
              <w:jc w:val="center"/>
              <w:rPr>
                <w:b/>
              </w:rPr>
            </w:pPr>
            <w:r>
              <w:rPr>
                <w:b/>
              </w:rPr>
              <w:t>Proposed Rate</w:t>
            </w:r>
          </w:p>
        </w:tc>
        <w:tc>
          <w:tcPr>
            <w:tcW w:w="1975" w:type="dxa"/>
            <w:shd w:val="pct10" w:color="auto" w:fill="auto"/>
          </w:tcPr>
          <w:p w14:paraId="5ABE5317" w14:textId="4BF6E126" w:rsidR="002D013F" w:rsidRPr="006B166F" w:rsidRDefault="00E50801" w:rsidP="00E03508">
            <w:pPr>
              <w:jc w:val="center"/>
              <w:rPr>
                <w:b/>
              </w:rPr>
            </w:pPr>
            <w:r>
              <w:rPr>
                <w:b/>
              </w:rPr>
              <w:t>Revi</w:t>
            </w:r>
            <w:r w:rsidR="002D013F" w:rsidRPr="006B166F">
              <w:rPr>
                <w:b/>
              </w:rPr>
              <w:t>sed</w:t>
            </w:r>
            <w:r w:rsidR="002D013F">
              <w:rPr>
                <w:b/>
              </w:rPr>
              <w:t xml:space="preserve"> Rate</w:t>
            </w:r>
          </w:p>
        </w:tc>
      </w:tr>
      <w:tr w:rsidR="002D013F" w:rsidRPr="006B166F" w14:paraId="7115BD51" w14:textId="77777777" w:rsidTr="00E50801">
        <w:tc>
          <w:tcPr>
            <w:tcW w:w="3690" w:type="dxa"/>
            <w:shd w:val="clear" w:color="auto" w:fill="auto"/>
          </w:tcPr>
          <w:p w14:paraId="0A320006" w14:textId="7F0EF527" w:rsidR="002D013F" w:rsidRPr="006B166F" w:rsidRDefault="002D013F" w:rsidP="00E03508">
            <w:r>
              <w:t>Base Rate, 3/4–Inch Meter</w:t>
            </w:r>
            <w:r w:rsidRPr="00570F2C">
              <w:rPr>
                <w:vertAlign w:val="superscript"/>
              </w:rPr>
              <w:t>1</w:t>
            </w:r>
          </w:p>
        </w:tc>
        <w:tc>
          <w:tcPr>
            <w:tcW w:w="1890" w:type="dxa"/>
          </w:tcPr>
          <w:p w14:paraId="3B378AE5" w14:textId="3497FAF2" w:rsidR="002D013F" w:rsidRPr="006B166F" w:rsidRDefault="002D013F" w:rsidP="00E55F48">
            <w:pPr>
              <w:jc w:val="center"/>
            </w:pPr>
            <w:r>
              <w:t>$13.90</w:t>
            </w:r>
          </w:p>
        </w:tc>
        <w:tc>
          <w:tcPr>
            <w:tcW w:w="1800" w:type="dxa"/>
          </w:tcPr>
          <w:p w14:paraId="140017BA" w14:textId="37079EF9" w:rsidR="002D013F" w:rsidRPr="00362D86" w:rsidRDefault="002D013F" w:rsidP="001925EF">
            <w:pPr>
              <w:jc w:val="center"/>
            </w:pPr>
            <w:r>
              <w:t>$19.90</w:t>
            </w:r>
          </w:p>
        </w:tc>
        <w:tc>
          <w:tcPr>
            <w:tcW w:w="1975" w:type="dxa"/>
          </w:tcPr>
          <w:p w14:paraId="5CD84D2E" w14:textId="41300D4E" w:rsidR="002D013F" w:rsidRPr="006B166F" w:rsidRDefault="002D013F" w:rsidP="001925EF">
            <w:pPr>
              <w:jc w:val="center"/>
            </w:pPr>
            <w:r w:rsidRPr="00362D86">
              <w:t>$</w:t>
            </w:r>
            <w:r w:rsidR="0067486D">
              <w:t>14.21</w:t>
            </w:r>
          </w:p>
        </w:tc>
      </w:tr>
      <w:tr w:rsidR="002D013F" w:rsidRPr="006B166F" w14:paraId="0CB0151E" w14:textId="77777777" w:rsidTr="00E50801">
        <w:tc>
          <w:tcPr>
            <w:tcW w:w="3690" w:type="dxa"/>
          </w:tcPr>
          <w:p w14:paraId="6A0CC3EF" w14:textId="162F4A8C" w:rsidR="002D013F" w:rsidRPr="006B166F" w:rsidRDefault="002D013F" w:rsidP="001925EF">
            <w:r>
              <w:t>0 – 600 CF</w:t>
            </w:r>
            <w:r w:rsidRPr="00F04C34">
              <w:rPr>
                <w:vertAlign w:val="superscript"/>
              </w:rPr>
              <w:t>2</w:t>
            </w:r>
            <w:r>
              <w:t>, Per CCF</w:t>
            </w:r>
            <w:r w:rsidRPr="00F04C34">
              <w:rPr>
                <w:vertAlign w:val="superscript"/>
              </w:rPr>
              <w:t>3</w:t>
            </w:r>
          </w:p>
        </w:tc>
        <w:tc>
          <w:tcPr>
            <w:tcW w:w="1890" w:type="dxa"/>
          </w:tcPr>
          <w:p w14:paraId="06C59D3E" w14:textId="1F43D9A0" w:rsidR="002D013F" w:rsidRPr="006B166F" w:rsidRDefault="002D013F" w:rsidP="001925EF">
            <w:pPr>
              <w:jc w:val="center"/>
            </w:pPr>
            <w:r>
              <w:t>$.94</w:t>
            </w:r>
          </w:p>
        </w:tc>
        <w:tc>
          <w:tcPr>
            <w:tcW w:w="1800" w:type="dxa"/>
          </w:tcPr>
          <w:p w14:paraId="70628939" w14:textId="3A6A9445" w:rsidR="002D013F" w:rsidRDefault="002D013F" w:rsidP="001925EF">
            <w:pPr>
              <w:jc w:val="center"/>
            </w:pPr>
            <w:r>
              <w:t>$.94</w:t>
            </w:r>
          </w:p>
        </w:tc>
        <w:tc>
          <w:tcPr>
            <w:tcW w:w="1975" w:type="dxa"/>
          </w:tcPr>
          <w:p w14:paraId="662DF8D6" w14:textId="629B06D8" w:rsidR="002D013F" w:rsidRPr="006B166F" w:rsidRDefault="002D013F" w:rsidP="001925EF">
            <w:pPr>
              <w:jc w:val="center"/>
            </w:pPr>
            <w:r>
              <w:t>$.94</w:t>
            </w:r>
          </w:p>
        </w:tc>
      </w:tr>
      <w:tr w:rsidR="002D013F" w:rsidRPr="006B166F" w14:paraId="119D0AB1" w14:textId="77777777" w:rsidTr="00E50801">
        <w:tc>
          <w:tcPr>
            <w:tcW w:w="3690" w:type="dxa"/>
          </w:tcPr>
          <w:p w14:paraId="5A26DE8A" w14:textId="0FD103B8" w:rsidR="002D013F" w:rsidRPr="006B166F" w:rsidRDefault="002D013F" w:rsidP="001925EF">
            <w:r>
              <w:t>601</w:t>
            </w:r>
            <w:r w:rsidRPr="006B166F">
              <w:t xml:space="preserve"> </w:t>
            </w:r>
            <w:r>
              <w:t>–</w:t>
            </w:r>
            <w:r w:rsidRPr="006B166F">
              <w:t xml:space="preserve"> </w:t>
            </w:r>
            <w:r>
              <w:t>3,000</w:t>
            </w:r>
            <w:r w:rsidRPr="006B166F">
              <w:t xml:space="preserve"> CF, Per CCF</w:t>
            </w:r>
          </w:p>
        </w:tc>
        <w:tc>
          <w:tcPr>
            <w:tcW w:w="1890" w:type="dxa"/>
          </w:tcPr>
          <w:p w14:paraId="20342848" w14:textId="23E8FF3B" w:rsidR="002D013F" w:rsidRPr="006B166F" w:rsidRDefault="002D013F" w:rsidP="001925EF">
            <w:pPr>
              <w:jc w:val="center"/>
            </w:pPr>
            <w:r>
              <w:t>$1.00</w:t>
            </w:r>
          </w:p>
        </w:tc>
        <w:tc>
          <w:tcPr>
            <w:tcW w:w="1800" w:type="dxa"/>
          </w:tcPr>
          <w:p w14:paraId="54BCF4F3" w14:textId="25C6DE6E" w:rsidR="002D013F" w:rsidRPr="006B166F" w:rsidRDefault="002D013F" w:rsidP="001925EF">
            <w:pPr>
              <w:jc w:val="center"/>
            </w:pPr>
            <w:r>
              <w:t>$1.00</w:t>
            </w:r>
          </w:p>
        </w:tc>
        <w:tc>
          <w:tcPr>
            <w:tcW w:w="1975" w:type="dxa"/>
          </w:tcPr>
          <w:p w14:paraId="0BFA04F6" w14:textId="0F373A1C" w:rsidR="002D013F" w:rsidRPr="006B166F" w:rsidRDefault="002D013F" w:rsidP="001925EF">
            <w:pPr>
              <w:jc w:val="center"/>
            </w:pPr>
            <w:r w:rsidRPr="006B166F">
              <w:t>$</w:t>
            </w:r>
            <w:r>
              <w:t>1.00</w:t>
            </w:r>
          </w:p>
        </w:tc>
      </w:tr>
      <w:tr w:rsidR="002D013F" w:rsidRPr="006B166F" w14:paraId="7A79C9D2" w14:textId="77777777" w:rsidTr="00E50801">
        <w:tc>
          <w:tcPr>
            <w:tcW w:w="3690" w:type="dxa"/>
          </w:tcPr>
          <w:p w14:paraId="50AFDA0D" w14:textId="219759D1" w:rsidR="002D013F" w:rsidRPr="006B166F" w:rsidRDefault="002D013F" w:rsidP="001925EF">
            <w:r>
              <w:t>Over 3,000</w:t>
            </w:r>
            <w:r w:rsidRPr="006B166F">
              <w:t xml:space="preserve"> CF</w:t>
            </w:r>
            <w:r>
              <w:t>,</w:t>
            </w:r>
            <w:r w:rsidRPr="006B166F">
              <w:t xml:space="preserve"> Per CCF </w:t>
            </w:r>
          </w:p>
        </w:tc>
        <w:tc>
          <w:tcPr>
            <w:tcW w:w="1890" w:type="dxa"/>
          </w:tcPr>
          <w:p w14:paraId="054D15F1" w14:textId="7BFFB608" w:rsidR="002D013F" w:rsidRPr="006B166F" w:rsidRDefault="002D013F" w:rsidP="001925EF">
            <w:pPr>
              <w:jc w:val="center"/>
            </w:pPr>
            <w:r w:rsidRPr="006B166F">
              <w:t>$</w:t>
            </w:r>
            <w:r>
              <w:t>2.05</w:t>
            </w:r>
          </w:p>
        </w:tc>
        <w:tc>
          <w:tcPr>
            <w:tcW w:w="1800" w:type="dxa"/>
          </w:tcPr>
          <w:p w14:paraId="61FBA825" w14:textId="594FE0C0" w:rsidR="002D013F" w:rsidRDefault="002D013F" w:rsidP="001925EF">
            <w:pPr>
              <w:jc w:val="center"/>
            </w:pPr>
            <w:r>
              <w:t>$2.80</w:t>
            </w:r>
          </w:p>
        </w:tc>
        <w:tc>
          <w:tcPr>
            <w:tcW w:w="1975" w:type="dxa"/>
          </w:tcPr>
          <w:p w14:paraId="794F83A2" w14:textId="725CCC0F" w:rsidR="002D013F" w:rsidRPr="006B166F" w:rsidRDefault="00B23AFE" w:rsidP="0067486D">
            <w:pPr>
              <w:jc w:val="center"/>
            </w:pPr>
            <w:r>
              <w:t>$2.7</w:t>
            </w:r>
            <w:r w:rsidR="0067486D">
              <w:t>1</w:t>
            </w:r>
          </w:p>
        </w:tc>
      </w:tr>
    </w:tbl>
    <w:p w14:paraId="16299A8D" w14:textId="3A66EF35" w:rsidR="00570F2C" w:rsidRPr="00570F2C" w:rsidRDefault="00570F2C"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sidRPr="00570F2C">
        <w:rPr>
          <w:rFonts w:eastAsia="Times New Roman"/>
          <w:sz w:val="18"/>
          <w:szCs w:val="18"/>
        </w:rPr>
        <w:t>1 – Based on 3/4-inch meter classification, see company’s tariff for upsize meter classification</w:t>
      </w:r>
      <w:r w:rsidR="00F04C34">
        <w:rPr>
          <w:rFonts w:eastAsia="Times New Roman"/>
          <w:sz w:val="18"/>
          <w:szCs w:val="18"/>
        </w:rPr>
        <w:t>s</w:t>
      </w:r>
      <w:r w:rsidRPr="00570F2C">
        <w:rPr>
          <w:rFonts w:eastAsia="Times New Roman"/>
          <w:sz w:val="18"/>
          <w:szCs w:val="18"/>
        </w:rPr>
        <w:t>, usage blocks and rates.</w:t>
      </w:r>
    </w:p>
    <w:p w14:paraId="04C77B33" w14:textId="52B90333" w:rsidR="00FA19D0" w:rsidRPr="00570F2C" w:rsidRDefault="00F04C34" w:rsidP="00FA1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ind w:left="720"/>
        <w:rPr>
          <w:rFonts w:eastAsia="Times New Roman"/>
          <w:sz w:val="18"/>
          <w:szCs w:val="18"/>
        </w:rPr>
      </w:pPr>
      <w:r>
        <w:rPr>
          <w:rFonts w:eastAsia="Times New Roman"/>
          <w:sz w:val="18"/>
          <w:szCs w:val="18"/>
        </w:rPr>
        <w:t>2</w:t>
      </w:r>
      <w:r w:rsidR="00FA19D0" w:rsidRPr="00570F2C">
        <w:rPr>
          <w:rFonts w:eastAsia="Times New Roman"/>
          <w:sz w:val="18"/>
          <w:szCs w:val="18"/>
        </w:rPr>
        <w:t xml:space="preserve"> </w:t>
      </w:r>
      <w:r>
        <w:rPr>
          <w:rFonts w:eastAsia="Times New Roman"/>
          <w:sz w:val="18"/>
          <w:szCs w:val="18"/>
        </w:rPr>
        <w:t xml:space="preserve">- </w:t>
      </w:r>
      <w:r w:rsidR="00FA19D0" w:rsidRPr="00570F2C">
        <w:rPr>
          <w:rFonts w:eastAsia="Times New Roman"/>
          <w:sz w:val="18"/>
          <w:szCs w:val="18"/>
        </w:rPr>
        <w:t>CF – Cubic Feet,</w:t>
      </w:r>
      <w:r>
        <w:rPr>
          <w:rFonts w:eastAsia="Times New Roman"/>
          <w:sz w:val="18"/>
          <w:szCs w:val="18"/>
        </w:rPr>
        <w:t xml:space="preserve"> 3 - </w:t>
      </w:r>
      <w:r w:rsidRPr="00570F2C">
        <w:rPr>
          <w:rFonts w:eastAsia="Times New Roman"/>
          <w:sz w:val="18"/>
          <w:szCs w:val="18"/>
        </w:rPr>
        <w:t>CCF</w:t>
      </w:r>
      <w:r w:rsidR="00353F90">
        <w:rPr>
          <w:rFonts w:eastAsia="Times New Roman"/>
          <w:sz w:val="18"/>
          <w:szCs w:val="18"/>
        </w:rPr>
        <w:t xml:space="preserve"> - 100 Cubic Feet.</w:t>
      </w:r>
    </w:p>
    <w:p w14:paraId="1BEB8C98" w14:textId="77777777" w:rsidR="00135480" w:rsidRDefault="00135480" w:rsidP="00135480"/>
    <w:p w14:paraId="3F90FE53" w14:textId="42B7B019" w:rsidR="00FA19D0" w:rsidRPr="00F13BA9" w:rsidRDefault="00FA19D0" w:rsidP="00135480">
      <w:pPr>
        <w:jc w:val="center"/>
      </w:pPr>
      <w:r>
        <w:rPr>
          <w:b/>
          <w:u w:val="single"/>
        </w:rPr>
        <w:t>Monthly</w:t>
      </w:r>
      <w:r w:rsidRPr="00F13BA9">
        <w:rPr>
          <w:b/>
          <w:u w:val="single"/>
        </w:rPr>
        <w:t xml:space="preserve"> </w:t>
      </w:r>
      <w:r>
        <w:rPr>
          <w:b/>
          <w:u w:val="single"/>
        </w:rPr>
        <w:t xml:space="preserve">Residential </w:t>
      </w:r>
      <w:r w:rsidRPr="00F13BA9">
        <w:rPr>
          <w:b/>
          <w:u w:val="single"/>
        </w:rPr>
        <w:t>Bill Comparison</w:t>
      </w:r>
    </w:p>
    <w:p w14:paraId="387982CE" w14:textId="77777777" w:rsidR="00FA19D0" w:rsidRPr="00F13BA9" w:rsidRDefault="00FA19D0" w:rsidP="00FA19D0">
      <w:pPr>
        <w:jc w:val="center"/>
      </w:pPr>
    </w:p>
    <w:tbl>
      <w:tblPr>
        <w:tblStyle w:val="TableGrid"/>
        <w:tblW w:w="0" w:type="auto"/>
        <w:jc w:val="center"/>
        <w:tblLook w:val="04A0" w:firstRow="1" w:lastRow="0" w:firstColumn="1" w:lastColumn="0" w:noHBand="0" w:noVBand="1"/>
      </w:tblPr>
      <w:tblGrid>
        <w:gridCol w:w="3709"/>
        <w:gridCol w:w="1873"/>
        <w:gridCol w:w="1848"/>
        <w:gridCol w:w="1920"/>
      </w:tblGrid>
      <w:tr w:rsidR="002D013F" w:rsidRPr="00F13BA9" w14:paraId="64ADFE1F" w14:textId="77777777" w:rsidTr="002D013F">
        <w:trPr>
          <w:jc w:val="center"/>
        </w:trPr>
        <w:tc>
          <w:tcPr>
            <w:tcW w:w="3709" w:type="dxa"/>
            <w:tcBorders>
              <w:bottom w:val="single" w:sz="4" w:space="0" w:color="auto"/>
            </w:tcBorders>
            <w:shd w:val="clear" w:color="auto" w:fill="auto"/>
          </w:tcPr>
          <w:p w14:paraId="289BEBB5" w14:textId="03274989" w:rsidR="002D013F" w:rsidRPr="00F13BA9" w:rsidRDefault="002D013F" w:rsidP="00970C51">
            <w:pPr>
              <w:rPr>
                <w:b/>
              </w:rPr>
            </w:pPr>
            <w:r w:rsidRPr="00F13BA9">
              <w:rPr>
                <w:b/>
              </w:rPr>
              <w:t xml:space="preserve">Monthly </w:t>
            </w:r>
            <w:r>
              <w:rPr>
                <w:b/>
              </w:rPr>
              <w:t>Average 877 Cubic Feet</w:t>
            </w:r>
          </w:p>
        </w:tc>
        <w:tc>
          <w:tcPr>
            <w:tcW w:w="1873" w:type="dxa"/>
            <w:shd w:val="pct10" w:color="auto" w:fill="auto"/>
          </w:tcPr>
          <w:p w14:paraId="00AE548D" w14:textId="77777777" w:rsidR="002D013F" w:rsidRPr="00F13BA9" w:rsidRDefault="002D013F" w:rsidP="00E03508">
            <w:pPr>
              <w:jc w:val="center"/>
              <w:rPr>
                <w:b/>
              </w:rPr>
            </w:pPr>
            <w:r w:rsidRPr="00F13BA9">
              <w:rPr>
                <w:b/>
              </w:rPr>
              <w:t>Current Rate</w:t>
            </w:r>
          </w:p>
        </w:tc>
        <w:tc>
          <w:tcPr>
            <w:tcW w:w="1848" w:type="dxa"/>
            <w:shd w:val="pct10" w:color="auto" w:fill="auto"/>
          </w:tcPr>
          <w:p w14:paraId="37E28602" w14:textId="346021C4" w:rsidR="002D013F" w:rsidRPr="00F13BA9" w:rsidRDefault="002D013F" w:rsidP="00E03508">
            <w:pPr>
              <w:jc w:val="center"/>
              <w:rPr>
                <w:b/>
              </w:rPr>
            </w:pPr>
            <w:r>
              <w:rPr>
                <w:b/>
              </w:rPr>
              <w:t>Proposed Rate</w:t>
            </w:r>
          </w:p>
        </w:tc>
        <w:tc>
          <w:tcPr>
            <w:tcW w:w="1920" w:type="dxa"/>
            <w:shd w:val="pct10" w:color="auto" w:fill="auto"/>
          </w:tcPr>
          <w:p w14:paraId="3AEE57E0" w14:textId="3AB67EA0" w:rsidR="002D013F" w:rsidRPr="00F13BA9" w:rsidRDefault="00E50801" w:rsidP="00E50801">
            <w:pPr>
              <w:jc w:val="center"/>
              <w:rPr>
                <w:b/>
              </w:rPr>
            </w:pPr>
            <w:r>
              <w:rPr>
                <w:b/>
              </w:rPr>
              <w:t>Revi</w:t>
            </w:r>
            <w:r w:rsidR="002D013F" w:rsidRPr="00F13BA9">
              <w:rPr>
                <w:b/>
              </w:rPr>
              <w:t>sed</w:t>
            </w:r>
            <w:r w:rsidR="002D013F">
              <w:rPr>
                <w:b/>
              </w:rPr>
              <w:t xml:space="preserve"> Rate</w:t>
            </w:r>
          </w:p>
        </w:tc>
      </w:tr>
      <w:tr w:rsidR="002D013F" w:rsidRPr="00F13BA9" w14:paraId="0E08ACC7" w14:textId="77777777" w:rsidTr="002D013F">
        <w:trPr>
          <w:jc w:val="center"/>
        </w:trPr>
        <w:tc>
          <w:tcPr>
            <w:tcW w:w="3709" w:type="dxa"/>
          </w:tcPr>
          <w:p w14:paraId="01FAD716" w14:textId="0F4A6246" w:rsidR="002D013F" w:rsidRPr="00F13BA9" w:rsidRDefault="002D013F" w:rsidP="00570F2C">
            <w:r>
              <w:t xml:space="preserve">3/4-Inch Metered Base </w:t>
            </w:r>
          </w:p>
        </w:tc>
        <w:tc>
          <w:tcPr>
            <w:tcW w:w="1873" w:type="dxa"/>
          </w:tcPr>
          <w:p w14:paraId="0F1A2915" w14:textId="32F9A161" w:rsidR="002D013F" w:rsidRPr="00F13BA9" w:rsidRDefault="002D013F" w:rsidP="00E03508">
            <w:pPr>
              <w:jc w:val="center"/>
            </w:pPr>
            <w:r w:rsidRPr="00F13BA9">
              <w:t>$</w:t>
            </w:r>
            <w:r>
              <w:t>13.90</w:t>
            </w:r>
          </w:p>
        </w:tc>
        <w:tc>
          <w:tcPr>
            <w:tcW w:w="1848" w:type="dxa"/>
          </w:tcPr>
          <w:p w14:paraId="799E989F" w14:textId="785C4A4F" w:rsidR="002D013F" w:rsidRPr="00362D86" w:rsidRDefault="002D013F" w:rsidP="002747EF">
            <w:pPr>
              <w:jc w:val="center"/>
            </w:pPr>
            <w:r>
              <w:t>$13.90</w:t>
            </w:r>
          </w:p>
        </w:tc>
        <w:tc>
          <w:tcPr>
            <w:tcW w:w="1920" w:type="dxa"/>
          </w:tcPr>
          <w:p w14:paraId="79A6C60C" w14:textId="358A5B85" w:rsidR="002D013F" w:rsidRPr="00F13BA9" w:rsidRDefault="002D013F" w:rsidP="0067486D">
            <w:pPr>
              <w:jc w:val="center"/>
            </w:pPr>
            <w:r w:rsidRPr="00362D86">
              <w:t>$</w:t>
            </w:r>
            <w:r w:rsidR="00B23AFE" w:rsidRPr="00B23AFE">
              <w:t>14.</w:t>
            </w:r>
            <w:r w:rsidR="0067486D">
              <w:t>2</w:t>
            </w:r>
            <w:r w:rsidR="00B23AFE" w:rsidRPr="00B23AFE">
              <w:t>1</w:t>
            </w:r>
          </w:p>
        </w:tc>
      </w:tr>
      <w:tr w:rsidR="002D013F" w:rsidRPr="00F13BA9" w14:paraId="723BD24E" w14:textId="77777777" w:rsidTr="002D013F">
        <w:trPr>
          <w:jc w:val="center"/>
        </w:trPr>
        <w:tc>
          <w:tcPr>
            <w:tcW w:w="3709" w:type="dxa"/>
          </w:tcPr>
          <w:p w14:paraId="7DD90FDA" w14:textId="0B64135D" w:rsidR="002D013F" w:rsidRDefault="002D013F" w:rsidP="0091589C">
            <w:r>
              <w:t>600 Cubic Feet</w:t>
            </w:r>
          </w:p>
        </w:tc>
        <w:tc>
          <w:tcPr>
            <w:tcW w:w="1873" w:type="dxa"/>
          </w:tcPr>
          <w:p w14:paraId="0B421BEE" w14:textId="23DECD33" w:rsidR="002D013F" w:rsidRDefault="002D013F" w:rsidP="00570F2C">
            <w:pPr>
              <w:jc w:val="center"/>
            </w:pPr>
            <w:r>
              <w:t>$5.64</w:t>
            </w:r>
          </w:p>
        </w:tc>
        <w:tc>
          <w:tcPr>
            <w:tcW w:w="1848" w:type="dxa"/>
          </w:tcPr>
          <w:p w14:paraId="69D89D87" w14:textId="079BBA1B" w:rsidR="002D013F" w:rsidRDefault="002D013F" w:rsidP="0091589C">
            <w:pPr>
              <w:jc w:val="center"/>
            </w:pPr>
            <w:r>
              <w:t>$5.64</w:t>
            </w:r>
          </w:p>
        </w:tc>
        <w:tc>
          <w:tcPr>
            <w:tcW w:w="1920" w:type="dxa"/>
          </w:tcPr>
          <w:p w14:paraId="02362526" w14:textId="545206B8" w:rsidR="002D013F" w:rsidRDefault="002D013F" w:rsidP="0091589C">
            <w:pPr>
              <w:jc w:val="center"/>
            </w:pPr>
            <w:r>
              <w:t>$5.64</w:t>
            </w:r>
          </w:p>
        </w:tc>
      </w:tr>
      <w:tr w:rsidR="002D013F" w:rsidRPr="00F13BA9" w14:paraId="4F0CF0A5" w14:textId="77777777" w:rsidTr="002D013F">
        <w:trPr>
          <w:jc w:val="center"/>
        </w:trPr>
        <w:tc>
          <w:tcPr>
            <w:tcW w:w="3709" w:type="dxa"/>
          </w:tcPr>
          <w:p w14:paraId="64996E1C" w14:textId="15CD55F6" w:rsidR="002D013F" w:rsidRDefault="002D013F" w:rsidP="00970C51">
            <w:r>
              <w:t>277 Cubic Feet</w:t>
            </w:r>
          </w:p>
        </w:tc>
        <w:tc>
          <w:tcPr>
            <w:tcW w:w="1873" w:type="dxa"/>
          </w:tcPr>
          <w:p w14:paraId="6D221E8E" w14:textId="59A5B2A9" w:rsidR="002D013F" w:rsidRDefault="002D013F" w:rsidP="00970C51">
            <w:pPr>
              <w:jc w:val="center"/>
            </w:pPr>
            <w:r>
              <w:t>$2.77</w:t>
            </w:r>
          </w:p>
        </w:tc>
        <w:tc>
          <w:tcPr>
            <w:tcW w:w="1848" w:type="dxa"/>
          </w:tcPr>
          <w:p w14:paraId="0D1DEB20" w14:textId="7C3F4598" w:rsidR="002D013F" w:rsidRDefault="002D013F" w:rsidP="00970C51">
            <w:pPr>
              <w:jc w:val="center"/>
            </w:pPr>
            <w:r>
              <w:t>$2.77</w:t>
            </w:r>
          </w:p>
        </w:tc>
        <w:tc>
          <w:tcPr>
            <w:tcW w:w="1920" w:type="dxa"/>
          </w:tcPr>
          <w:p w14:paraId="50FB2D7D" w14:textId="36203855" w:rsidR="002D013F" w:rsidRDefault="002D013F" w:rsidP="00970C51">
            <w:pPr>
              <w:jc w:val="center"/>
            </w:pPr>
            <w:r>
              <w:t>$2.77</w:t>
            </w:r>
          </w:p>
        </w:tc>
      </w:tr>
      <w:tr w:rsidR="002D013F" w:rsidRPr="00F13BA9" w14:paraId="5400DF0B" w14:textId="77777777" w:rsidTr="002D013F">
        <w:trPr>
          <w:jc w:val="center"/>
        </w:trPr>
        <w:tc>
          <w:tcPr>
            <w:tcW w:w="3709" w:type="dxa"/>
          </w:tcPr>
          <w:p w14:paraId="62ACF3C2" w14:textId="77777777" w:rsidR="002D013F" w:rsidRPr="00F13BA9" w:rsidRDefault="002D013F" w:rsidP="00E03508">
            <w:r w:rsidRPr="00F13BA9">
              <w:t xml:space="preserve"> </w:t>
            </w:r>
          </w:p>
        </w:tc>
        <w:tc>
          <w:tcPr>
            <w:tcW w:w="1873" w:type="dxa"/>
          </w:tcPr>
          <w:p w14:paraId="20104394" w14:textId="77777777" w:rsidR="002D013F" w:rsidRPr="00F13BA9" w:rsidRDefault="002D013F" w:rsidP="00E03508">
            <w:pPr>
              <w:jc w:val="center"/>
            </w:pPr>
          </w:p>
        </w:tc>
        <w:tc>
          <w:tcPr>
            <w:tcW w:w="1848" w:type="dxa"/>
          </w:tcPr>
          <w:p w14:paraId="41A6F897" w14:textId="77777777" w:rsidR="002D013F" w:rsidRPr="00F13BA9" w:rsidRDefault="002D013F" w:rsidP="00E03508">
            <w:pPr>
              <w:jc w:val="center"/>
            </w:pPr>
          </w:p>
        </w:tc>
        <w:tc>
          <w:tcPr>
            <w:tcW w:w="1920" w:type="dxa"/>
          </w:tcPr>
          <w:p w14:paraId="2AFD570A" w14:textId="4FD1E0B9" w:rsidR="002D013F" w:rsidRPr="00F13BA9" w:rsidRDefault="002D013F" w:rsidP="00E03508">
            <w:pPr>
              <w:jc w:val="center"/>
            </w:pPr>
          </w:p>
        </w:tc>
      </w:tr>
      <w:tr w:rsidR="002D013F" w:rsidRPr="00F13BA9" w14:paraId="5367F8F3" w14:textId="77777777" w:rsidTr="002D013F">
        <w:trPr>
          <w:jc w:val="center"/>
        </w:trPr>
        <w:tc>
          <w:tcPr>
            <w:tcW w:w="3709" w:type="dxa"/>
          </w:tcPr>
          <w:p w14:paraId="40797C9E" w14:textId="77777777" w:rsidR="002D013F" w:rsidRPr="00F13BA9" w:rsidRDefault="002D013F" w:rsidP="00E03508">
            <w:r w:rsidRPr="00F13BA9">
              <w:t xml:space="preserve">Water Bill Total </w:t>
            </w:r>
          </w:p>
        </w:tc>
        <w:tc>
          <w:tcPr>
            <w:tcW w:w="1873" w:type="dxa"/>
            <w:tcBorders>
              <w:bottom w:val="single" w:sz="18" w:space="0" w:color="auto"/>
            </w:tcBorders>
          </w:tcPr>
          <w:p w14:paraId="0FAE8827" w14:textId="006D64C1" w:rsidR="002D013F" w:rsidRPr="00F13BA9" w:rsidRDefault="002D013F" w:rsidP="00E03508">
            <w:pPr>
              <w:jc w:val="center"/>
            </w:pPr>
            <w:r>
              <w:t>$22.31</w:t>
            </w:r>
          </w:p>
        </w:tc>
        <w:tc>
          <w:tcPr>
            <w:tcW w:w="1848" w:type="dxa"/>
            <w:tcBorders>
              <w:bottom w:val="single" w:sz="18" w:space="0" w:color="auto"/>
            </w:tcBorders>
          </w:tcPr>
          <w:p w14:paraId="15A7D935" w14:textId="225DC35E" w:rsidR="002D013F" w:rsidRDefault="002D013F" w:rsidP="00970C51">
            <w:pPr>
              <w:jc w:val="center"/>
            </w:pPr>
            <w:r>
              <w:t>$22.31</w:t>
            </w:r>
          </w:p>
        </w:tc>
        <w:tc>
          <w:tcPr>
            <w:tcW w:w="1920" w:type="dxa"/>
            <w:tcBorders>
              <w:bottom w:val="single" w:sz="18" w:space="0" w:color="auto"/>
            </w:tcBorders>
          </w:tcPr>
          <w:p w14:paraId="35A9EFF9" w14:textId="30EA1B21" w:rsidR="002D013F" w:rsidRPr="00B23AFE" w:rsidRDefault="002D013F" w:rsidP="00970C51">
            <w:pPr>
              <w:jc w:val="center"/>
            </w:pPr>
            <w:r w:rsidRPr="00B23AFE">
              <w:t>$</w:t>
            </w:r>
            <w:r w:rsidR="00B23AFE">
              <w:t>22.60</w:t>
            </w:r>
          </w:p>
        </w:tc>
      </w:tr>
      <w:tr w:rsidR="002D013F" w:rsidRPr="00F13BA9" w14:paraId="7E32E257" w14:textId="77777777" w:rsidTr="002D013F">
        <w:trPr>
          <w:jc w:val="center"/>
        </w:trPr>
        <w:tc>
          <w:tcPr>
            <w:tcW w:w="3709" w:type="dxa"/>
          </w:tcPr>
          <w:p w14:paraId="56C665C8" w14:textId="5330E22D" w:rsidR="002D013F" w:rsidRPr="00F13BA9" w:rsidRDefault="002D013F" w:rsidP="00353F90">
            <w:r>
              <w:t>Increase From Current Rates</w:t>
            </w:r>
            <w:r w:rsidRPr="00F13BA9">
              <w:t xml:space="preserve"> </w:t>
            </w:r>
          </w:p>
        </w:tc>
        <w:tc>
          <w:tcPr>
            <w:tcW w:w="1873" w:type="dxa"/>
            <w:tcBorders>
              <w:top w:val="single" w:sz="18" w:space="0" w:color="auto"/>
              <w:bottom w:val="single" w:sz="4" w:space="0" w:color="auto"/>
            </w:tcBorders>
          </w:tcPr>
          <w:p w14:paraId="143B8BE4" w14:textId="77777777" w:rsidR="002D013F" w:rsidRPr="00F13BA9" w:rsidRDefault="002D013F" w:rsidP="00E03508">
            <w:pPr>
              <w:jc w:val="center"/>
            </w:pPr>
          </w:p>
        </w:tc>
        <w:tc>
          <w:tcPr>
            <w:tcW w:w="1848" w:type="dxa"/>
            <w:tcBorders>
              <w:top w:val="single" w:sz="18" w:space="0" w:color="auto"/>
              <w:bottom w:val="single" w:sz="4" w:space="0" w:color="auto"/>
            </w:tcBorders>
          </w:tcPr>
          <w:p w14:paraId="5768D0CD" w14:textId="1491C398" w:rsidR="002D013F" w:rsidRDefault="002D013F" w:rsidP="0091589C">
            <w:pPr>
              <w:jc w:val="center"/>
            </w:pPr>
            <w:r>
              <w:t>$0.00     0%</w:t>
            </w:r>
          </w:p>
        </w:tc>
        <w:tc>
          <w:tcPr>
            <w:tcW w:w="1920" w:type="dxa"/>
            <w:tcBorders>
              <w:top w:val="single" w:sz="18" w:space="0" w:color="auto"/>
              <w:bottom w:val="single" w:sz="4" w:space="0" w:color="auto"/>
            </w:tcBorders>
          </w:tcPr>
          <w:p w14:paraId="4B726253" w14:textId="68D7D40A" w:rsidR="002D013F" w:rsidRPr="00F13BA9" w:rsidRDefault="002D013F" w:rsidP="0067486D">
            <w:pPr>
              <w:jc w:val="center"/>
            </w:pPr>
            <w:r>
              <w:t>$0.</w:t>
            </w:r>
            <w:r w:rsidR="0067486D">
              <w:t>31</w:t>
            </w:r>
            <w:r>
              <w:t xml:space="preserve">     </w:t>
            </w:r>
            <w:r w:rsidR="00B23AFE">
              <w:t>1.</w:t>
            </w:r>
            <w:r w:rsidR="0067486D">
              <w:t>4</w:t>
            </w:r>
            <w:r w:rsidRPr="00F13BA9">
              <w:t xml:space="preserve">% </w:t>
            </w:r>
          </w:p>
        </w:tc>
      </w:tr>
    </w:tbl>
    <w:p w14:paraId="5B8B7684" w14:textId="3CE51C3B" w:rsidR="00F82E46" w:rsidRPr="00F13BA9" w:rsidRDefault="00F82E46" w:rsidP="006F0C2F">
      <w:pPr>
        <w:jc w:val="center"/>
      </w:pPr>
      <w:r>
        <w:rPr>
          <w:b/>
          <w:u w:val="single"/>
        </w:rPr>
        <w:lastRenderedPageBreak/>
        <w:t>Monthly</w:t>
      </w:r>
      <w:r w:rsidRPr="00F13BA9">
        <w:rPr>
          <w:b/>
          <w:u w:val="single"/>
        </w:rPr>
        <w:t xml:space="preserve"> </w:t>
      </w:r>
      <w:r>
        <w:rPr>
          <w:b/>
          <w:u w:val="single"/>
        </w:rPr>
        <w:t xml:space="preserve">Non-Residential </w:t>
      </w:r>
      <w:r w:rsidRPr="00F13BA9">
        <w:rPr>
          <w:b/>
          <w:u w:val="single"/>
        </w:rPr>
        <w:t>Bill Comparison</w:t>
      </w:r>
    </w:p>
    <w:p w14:paraId="104E827E" w14:textId="77777777" w:rsidR="00F82E46" w:rsidRPr="00F13BA9" w:rsidRDefault="00F82E46" w:rsidP="00F82E46">
      <w:pPr>
        <w:jc w:val="center"/>
      </w:pPr>
    </w:p>
    <w:tbl>
      <w:tblPr>
        <w:tblStyle w:val="TableGrid"/>
        <w:tblW w:w="0" w:type="auto"/>
        <w:jc w:val="center"/>
        <w:tblLook w:val="04A0" w:firstRow="1" w:lastRow="0" w:firstColumn="1" w:lastColumn="0" w:noHBand="0" w:noVBand="1"/>
      </w:tblPr>
      <w:tblGrid>
        <w:gridCol w:w="3955"/>
        <w:gridCol w:w="1627"/>
        <w:gridCol w:w="1848"/>
        <w:gridCol w:w="1920"/>
      </w:tblGrid>
      <w:tr w:rsidR="002D013F" w:rsidRPr="00F13BA9" w14:paraId="5B5399B6" w14:textId="77777777" w:rsidTr="006F0C2F">
        <w:trPr>
          <w:jc w:val="center"/>
        </w:trPr>
        <w:tc>
          <w:tcPr>
            <w:tcW w:w="3955" w:type="dxa"/>
            <w:tcBorders>
              <w:bottom w:val="single" w:sz="4" w:space="0" w:color="auto"/>
            </w:tcBorders>
            <w:shd w:val="clear" w:color="auto" w:fill="auto"/>
          </w:tcPr>
          <w:p w14:paraId="2EF0DBC3" w14:textId="148C3E10" w:rsidR="002D013F" w:rsidRPr="00F13BA9" w:rsidRDefault="002D013F" w:rsidP="006F0C2F">
            <w:pPr>
              <w:rPr>
                <w:b/>
              </w:rPr>
            </w:pPr>
            <w:r w:rsidRPr="00F13BA9">
              <w:rPr>
                <w:b/>
              </w:rPr>
              <w:t xml:space="preserve">Monthly </w:t>
            </w:r>
            <w:r>
              <w:rPr>
                <w:b/>
              </w:rPr>
              <w:t xml:space="preserve">Average </w:t>
            </w:r>
            <w:r w:rsidR="006F0C2F">
              <w:rPr>
                <w:b/>
              </w:rPr>
              <w:t xml:space="preserve">- </w:t>
            </w:r>
            <w:r>
              <w:rPr>
                <w:b/>
              </w:rPr>
              <w:t>3,661 Cubic</w:t>
            </w:r>
            <w:r w:rsidR="006F0C2F">
              <w:rPr>
                <w:b/>
              </w:rPr>
              <w:t xml:space="preserve"> </w:t>
            </w:r>
            <w:r>
              <w:rPr>
                <w:b/>
              </w:rPr>
              <w:t>Feet</w:t>
            </w:r>
          </w:p>
        </w:tc>
        <w:tc>
          <w:tcPr>
            <w:tcW w:w="1627" w:type="dxa"/>
            <w:shd w:val="pct10" w:color="auto" w:fill="auto"/>
          </w:tcPr>
          <w:p w14:paraId="692BA652" w14:textId="77777777" w:rsidR="002D013F" w:rsidRPr="00F13BA9" w:rsidRDefault="002D013F" w:rsidP="00A54FAB">
            <w:pPr>
              <w:jc w:val="center"/>
              <w:rPr>
                <w:b/>
              </w:rPr>
            </w:pPr>
            <w:r w:rsidRPr="00F13BA9">
              <w:rPr>
                <w:b/>
              </w:rPr>
              <w:t>Current Rate</w:t>
            </w:r>
          </w:p>
        </w:tc>
        <w:tc>
          <w:tcPr>
            <w:tcW w:w="1848" w:type="dxa"/>
            <w:shd w:val="pct10" w:color="auto" w:fill="auto"/>
          </w:tcPr>
          <w:p w14:paraId="7E15696A" w14:textId="7EC8CC8D" w:rsidR="002D013F" w:rsidRPr="00F13BA9" w:rsidRDefault="002D013F" w:rsidP="002D013F">
            <w:pPr>
              <w:jc w:val="center"/>
              <w:rPr>
                <w:b/>
              </w:rPr>
            </w:pPr>
            <w:r>
              <w:rPr>
                <w:b/>
              </w:rPr>
              <w:t>Proposed Rate</w:t>
            </w:r>
          </w:p>
        </w:tc>
        <w:tc>
          <w:tcPr>
            <w:tcW w:w="1920" w:type="dxa"/>
            <w:shd w:val="pct10" w:color="auto" w:fill="auto"/>
          </w:tcPr>
          <w:p w14:paraId="4A9899DD" w14:textId="151EAEE7" w:rsidR="002D013F" w:rsidRPr="00F13BA9" w:rsidRDefault="00E50801" w:rsidP="00E50801">
            <w:pPr>
              <w:jc w:val="center"/>
              <w:rPr>
                <w:b/>
              </w:rPr>
            </w:pPr>
            <w:r>
              <w:rPr>
                <w:b/>
              </w:rPr>
              <w:t>Revis</w:t>
            </w:r>
            <w:r w:rsidR="002D013F" w:rsidRPr="00F13BA9">
              <w:rPr>
                <w:b/>
              </w:rPr>
              <w:t>ed</w:t>
            </w:r>
            <w:r w:rsidR="002D013F">
              <w:rPr>
                <w:b/>
              </w:rPr>
              <w:t xml:space="preserve"> Rate</w:t>
            </w:r>
          </w:p>
        </w:tc>
      </w:tr>
      <w:tr w:rsidR="002D013F" w:rsidRPr="00F13BA9" w14:paraId="5ADFBBD1" w14:textId="77777777" w:rsidTr="006F0C2F">
        <w:trPr>
          <w:jc w:val="center"/>
        </w:trPr>
        <w:tc>
          <w:tcPr>
            <w:tcW w:w="3955" w:type="dxa"/>
          </w:tcPr>
          <w:p w14:paraId="313CC092" w14:textId="77777777" w:rsidR="002D013F" w:rsidRPr="00F13BA9" w:rsidRDefault="002D013F" w:rsidP="00A54FAB">
            <w:r>
              <w:t xml:space="preserve">3/4-Inch Metered Base </w:t>
            </w:r>
          </w:p>
        </w:tc>
        <w:tc>
          <w:tcPr>
            <w:tcW w:w="1627" w:type="dxa"/>
          </w:tcPr>
          <w:p w14:paraId="02B478A2" w14:textId="77777777" w:rsidR="002D013F" w:rsidRPr="00F13BA9" w:rsidRDefault="002D013F" w:rsidP="00A54FAB">
            <w:pPr>
              <w:jc w:val="center"/>
            </w:pPr>
            <w:r w:rsidRPr="00F13BA9">
              <w:t>$</w:t>
            </w:r>
            <w:r>
              <w:t>13.90</w:t>
            </w:r>
          </w:p>
        </w:tc>
        <w:tc>
          <w:tcPr>
            <w:tcW w:w="1848" w:type="dxa"/>
          </w:tcPr>
          <w:p w14:paraId="5F1CCA2D" w14:textId="37095751" w:rsidR="002D013F" w:rsidRPr="00362D86" w:rsidRDefault="002D013F" w:rsidP="00A54FAB">
            <w:pPr>
              <w:jc w:val="center"/>
            </w:pPr>
            <w:r>
              <w:t>$13.90</w:t>
            </w:r>
          </w:p>
        </w:tc>
        <w:tc>
          <w:tcPr>
            <w:tcW w:w="1920" w:type="dxa"/>
          </w:tcPr>
          <w:p w14:paraId="60849F4A" w14:textId="7EE64BAD" w:rsidR="002D013F" w:rsidRPr="00F13BA9" w:rsidRDefault="002D013F" w:rsidP="00A54FAB">
            <w:pPr>
              <w:jc w:val="center"/>
            </w:pPr>
            <w:r w:rsidRPr="00362D86">
              <w:t>$</w:t>
            </w:r>
            <w:r w:rsidR="0067486D">
              <w:t>14.21</w:t>
            </w:r>
          </w:p>
        </w:tc>
      </w:tr>
      <w:tr w:rsidR="002D013F" w:rsidRPr="00F13BA9" w14:paraId="3E4481D6" w14:textId="77777777" w:rsidTr="006F0C2F">
        <w:trPr>
          <w:jc w:val="center"/>
        </w:trPr>
        <w:tc>
          <w:tcPr>
            <w:tcW w:w="3955" w:type="dxa"/>
          </w:tcPr>
          <w:p w14:paraId="54351AEA" w14:textId="77777777" w:rsidR="002D013F" w:rsidRDefault="002D013F" w:rsidP="00A54FAB">
            <w:r>
              <w:t>600 Cubic Feet</w:t>
            </w:r>
          </w:p>
        </w:tc>
        <w:tc>
          <w:tcPr>
            <w:tcW w:w="1627" w:type="dxa"/>
          </w:tcPr>
          <w:p w14:paraId="1456629F" w14:textId="77777777" w:rsidR="002D013F" w:rsidRDefault="002D013F" w:rsidP="00A54FAB">
            <w:pPr>
              <w:jc w:val="center"/>
            </w:pPr>
            <w:r>
              <w:t>$5.64</w:t>
            </w:r>
          </w:p>
        </w:tc>
        <w:tc>
          <w:tcPr>
            <w:tcW w:w="1848" w:type="dxa"/>
          </w:tcPr>
          <w:p w14:paraId="033EBE69" w14:textId="7C6798A3" w:rsidR="002D013F" w:rsidRDefault="002D013F" w:rsidP="00A54FAB">
            <w:pPr>
              <w:jc w:val="center"/>
            </w:pPr>
            <w:r>
              <w:t>$5.64</w:t>
            </w:r>
          </w:p>
        </w:tc>
        <w:tc>
          <w:tcPr>
            <w:tcW w:w="1920" w:type="dxa"/>
          </w:tcPr>
          <w:p w14:paraId="5112188C" w14:textId="6E8519E1" w:rsidR="002D013F" w:rsidRDefault="002D013F" w:rsidP="00A54FAB">
            <w:pPr>
              <w:jc w:val="center"/>
            </w:pPr>
            <w:r>
              <w:t>$5.64</w:t>
            </w:r>
          </w:p>
        </w:tc>
      </w:tr>
      <w:tr w:rsidR="002D013F" w:rsidRPr="00F13BA9" w14:paraId="01AD3556" w14:textId="77777777" w:rsidTr="006F0C2F">
        <w:trPr>
          <w:jc w:val="center"/>
        </w:trPr>
        <w:tc>
          <w:tcPr>
            <w:tcW w:w="3955" w:type="dxa"/>
          </w:tcPr>
          <w:p w14:paraId="6535B373" w14:textId="09806C5D" w:rsidR="002D013F" w:rsidRDefault="002D013F" w:rsidP="00F82E46">
            <w:r>
              <w:t>2,400 Cubic Feet</w:t>
            </w:r>
          </w:p>
        </w:tc>
        <w:tc>
          <w:tcPr>
            <w:tcW w:w="1627" w:type="dxa"/>
          </w:tcPr>
          <w:p w14:paraId="58323245" w14:textId="3C09E620" w:rsidR="002D013F" w:rsidRDefault="002D013F" w:rsidP="00F82E46">
            <w:pPr>
              <w:jc w:val="center"/>
            </w:pPr>
            <w:r>
              <w:t>$24.00</w:t>
            </w:r>
          </w:p>
        </w:tc>
        <w:tc>
          <w:tcPr>
            <w:tcW w:w="1848" w:type="dxa"/>
          </w:tcPr>
          <w:p w14:paraId="4AE7042E" w14:textId="2D5799BB" w:rsidR="002D013F" w:rsidRDefault="002D013F" w:rsidP="00F82E46">
            <w:pPr>
              <w:jc w:val="center"/>
            </w:pPr>
            <w:r>
              <w:t>$24.00</w:t>
            </w:r>
          </w:p>
        </w:tc>
        <w:tc>
          <w:tcPr>
            <w:tcW w:w="1920" w:type="dxa"/>
          </w:tcPr>
          <w:p w14:paraId="18BF65B3" w14:textId="191B6464" w:rsidR="002D013F" w:rsidRDefault="002D013F" w:rsidP="00F82E46">
            <w:pPr>
              <w:jc w:val="center"/>
            </w:pPr>
            <w:r>
              <w:t>$24.00</w:t>
            </w:r>
          </w:p>
        </w:tc>
      </w:tr>
      <w:tr w:rsidR="002D013F" w:rsidRPr="00F13BA9" w14:paraId="3BF0788E" w14:textId="77777777" w:rsidTr="006F0C2F">
        <w:trPr>
          <w:jc w:val="center"/>
        </w:trPr>
        <w:tc>
          <w:tcPr>
            <w:tcW w:w="3955" w:type="dxa"/>
          </w:tcPr>
          <w:p w14:paraId="6CE3C548" w14:textId="3F987542" w:rsidR="002D013F" w:rsidRPr="00F13BA9" w:rsidRDefault="002D013F" w:rsidP="00A54FAB">
            <w:r>
              <w:t>661 Cubic Feet</w:t>
            </w:r>
          </w:p>
        </w:tc>
        <w:tc>
          <w:tcPr>
            <w:tcW w:w="1627" w:type="dxa"/>
          </w:tcPr>
          <w:p w14:paraId="79145F54" w14:textId="3AA4A969" w:rsidR="002D013F" w:rsidRPr="00F13BA9" w:rsidRDefault="002D013F" w:rsidP="00A54FAB">
            <w:pPr>
              <w:jc w:val="center"/>
            </w:pPr>
            <w:r>
              <w:t>$13.55</w:t>
            </w:r>
          </w:p>
        </w:tc>
        <w:tc>
          <w:tcPr>
            <w:tcW w:w="1848" w:type="dxa"/>
          </w:tcPr>
          <w:p w14:paraId="3A8A295E" w14:textId="14B15FCC" w:rsidR="002D013F" w:rsidRDefault="002D013F" w:rsidP="00A54FAB">
            <w:pPr>
              <w:jc w:val="center"/>
            </w:pPr>
            <w:r>
              <w:t>$18.51</w:t>
            </w:r>
          </w:p>
        </w:tc>
        <w:tc>
          <w:tcPr>
            <w:tcW w:w="1920" w:type="dxa"/>
          </w:tcPr>
          <w:p w14:paraId="1D9A1A52" w14:textId="12442E8A" w:rsidR="002D013F" w:rsidRPr="00B23AFE" w:rsidRDefault="002D013F" w:rsidP="0067486D">
            <w:pPr>
              <w:jc w:val="center"/>
            </w:pPr>
            <w:r w:rsidRPr="00B23AFE">
              <w:t>$</w:t>
            </w:r>
            <w:r w:rsidR="00B23AFE">
              <w:t>1</w:t>
            </w:r>
            <w:r w:rsidR="0067486D">
              <w:t>7.9</w:t>
            </w:r>
            <w:r w:rsidR="00B23AFE">
              <w:t>1</w:t>
            </w:r>
          </w:p>
        </w:tc>
      </w:tr>
      <w:tr w:rsidR="002D013F" w:rsidRPr="00F13BA9" w14:paraId="6CCBD2F7" w14:textId="77777777" w:rsidTr="006F0C2F">
        <w:trPr>
          <w:jc w:val="center"/>
        </w:trPr>
        <w:tc>
          <w:tcPr>
            <w:tcW w:w="3955" w:type="dxa"/>
          </w:tcPr>
          <w:p w14:paraId="134DC557" w14:textId="77777777" w:rsidR="002D013F" w:rsidRPr="00F13BA9" w:rsidRDefault="002D013F" w:rsidP="00A54FAB">
            <w:r w:rsidRPr="00F13BA9">
              <w:t xml:space="preserve">Water Bill Total </w:t>
            </w:r>
          </w:p>
        </w:tc>
        <w:tc>
          <w:tcPr>
            <w:tcW w:w="1627" w:type="dxa"/>
            <w:tcBorders>
              <w:bottom w:val="single" w:sz="18" w:space="0" w:color="auto"/>
            </w:tcBorders>
          </w:tcPr>
          <w:p w14:paraId="299867B5" w14:textId="58B49EAB" w:rsidR="002D013F" w:rsidRPr="00F13BA9" w:rsidRDefault="002D013F" w:rsidP="00A54FAB">
            <w:pPr>
              <w:jc w:val="center"/>
            </w:pPr>
            <w:r>
              <w:t>$57.09</w:t>
            </w:r>
          </w:p>
        </w:tc>
        <w:tc>
          <w:tcPr>
            <w:tcW w:w="1848" w:type="dxa"/>
            <w:tcBorders>
              <w:bottom w:val="single" w:sz="18" w:space="0" w:color="auto"/>
            </w:tcBorders>
          </w:tcPr>
          <w:p w14:paraId="7FDEAEF8" w14:textId="73B4C5CF" w:rsidR="002D013F" w:rsidRDefault="002D013F" w:rsidP="00A54FAB">
            <w:pPr>
              <w:jc w:val="center"/>
            </w:pPr>
            <w:r>
              <w:t>$62.05</w:t>
            </w:r>
          </w:p>
        </w:tc>
        <w:tc>
          <w:tcPr>
            <w:tcW w:w="1920" w:type="dxa"/>
            <w:tcBorders>
              <w:bottom w:val="single" w:sz="18" w:space="0" w:color="auto"/>
            </w:tcBorders>
          </w:tcPr>
          <w:p w14:paraId="56CF6112" w14:textId="44066536" w:rsidR="002D013F" w:rsidRPr="00F13BA9" w:rsidRDefault="002D013F" w:rsidP="0067486D">
            <w:pPr>
              <w:jc w:val="center"/>
            </w:pPr>
            <w:r>
              <w:t>$</w:t>
            </w:r>
            <w:r w:rsidRPr="00B23AFE">
              <w:t>6</w:t>
            </w:r>
            <w:r w:rsidR="00B23AFE">
              <w:t>1.</w:t>
            </w:r>
            <w:r w:rsidR="0067486D">
              <w:t>76</w:t>
            </w:r>
          </w:p>
        </w:tc>
      </w:tr>
      <w:tr w:rsidR="002D013F" w:rsidRPr="00F13BA9" w14:paraId="1252410E" w14:textId="77777777" w:rsidTr="006F0C2F">
        <w:trPr>
          <w:jc w:val="center"/>
        </w:trPr>
        <w:tc>
          <w:tcPr>
            <w:tcW w:w="3955" w:type="dxa"/>
          </w:tcPr>
          <w:p w14:paraId="62694F5B" w14:textId="77777777" w:rsidR="002D013F" w:rsidRPr="00F13BA9" w:rsidRDefault="002D013F" w:rsidP="00A54FAB">
            <w:r>
              <w:t>Increase From Current Rates</w:t>
            </w:r>
            <w:r w:rsidRPr="00F13BA9">
              <w:t xml:space="preserve"> </w:t>
            </w:r>
          </w:p>
        </w:tc>
        <w:tc>
          <w:tcPr>
            <w:tcW w:w="1627" w:type="dxa"/>
            <w:tcBorders>
              <w:top w:val="single" w:sz="18" w:space="0" w:color="auto"/>
              <w:bottom w:val="single" w:sz="4" w:space="0" w:color="auto"/>
            </w:tcBorders>
          </w:tcPr>
          <w:p w14:paraId="7D16392F" w14:textId="77777777" w:rsidR="002D013F" w:rsidRPr="00F13BA9" w:rsidRDefault="002D013F" w:rsidP="00A54FAB">
            <w:pPr>
              <w:jc w:val="center"/>
            </w:pPr>
          </w:p>
        </w:tc>
        <w:tc>
          <w:tcPr>
            <w:tcW w:w="1848" w:type="dxa"/>
            <w:tcBorders>
              <w:top w:val="single" w:sz="18" w:space="0" w:color="auto"/>
              <w:bottom w:val="single" w:sz="4" w:space="0" w:color="auto"/>
            </w:tcBorders>
          </w:tcPr>
          <w:p w14:paraId="0B89C491" w14:textId="4C997AC4" w:rsidR="002D013F" w:rsidRDefault="002D013F" w:rsidP="00F82E46">
            <w:pPr>
              <w:jc w:val="center"/>
            </w:pPr>
            <w:r>
              <w:t>$4.96     8.7%</w:t>
            </w:r>
          </w:p>
        </w:tc>
        <w:tc>
          <w:tcPr>
            <w:tcW w:w="1920" w:type="dxa"/>
            <w:tcBorders>
              <w:top w:val="single" w:sz="18" w:space="0" w:color="auto"/>
              <w:bottom w:val="single" w:sz="4" w:space="0" w:color="auto"/>
            </w:tcBorders>
          </w:tcPr>
          <w:p w14:paraId="589CCC30" w14:textId="233374E4" w:rsidR="002D013F" w:rsidRPr="00F13BA9" w:rsidRDefault="002D013F" w:rsidP="0067486D">
            <w:pPr>
              <w:jc w:val="center"/>
            </w:pPr>
            <w:r>
              <w:t>$4.</w:t>
            </w:r>
            <w:r w:rsidR="0067486D">
              <w:t>67</w:t>
            </w:r>
            <w:r>
              <w:t xml:space="preserve">     8.</w:t>
            </w:r>
            <w:r w:rsidR="0067486D">
              <w:t>1</w:t>
            </w:r>
            <w:r w:rsidRPr="00F13BA9">
              <w:t xml:space="preserve">% </w:t>
            </w:r>
          </w:p>
        </w:tc>
      </w:tr>
    </w:tbl>
    <w:p w14:paraId="6E4E0CF4" w14:textId="77777777" w:rsidR="00353F90" w:rsidRDefault="00353F90" w:rsidP="00B402B4">
      <w:pPr>
        <w:rPr>
          <w:b/>
          <w:u w:val="single"/>
        </w:rPr>
      </w:pPr>
    </w:p>
    <w:p w14:paraId="3B03968A" w14:textId="32E07247" w:rsidR="00EA2626" w:rsidRDefault="00EA2626" w:rsidP="00B402B4">
      <w:pPr>
        <w:rPr>
          <w:b/>
          <w:u w:val="single"/>
        </w:rPr>
      </w:pPr>
      <w:r>
        <w:rPr>
          <w:b/>
          <w:u w:val="single"/>
        </w:rPr>
        <w:t>Conclusion</w:t>
      </w:r>
    </w:p>
    <w:p w14:paraId="5768E293" w14:textId="77777777" w:rsidR="00EA2626" w:rsidRPr="00EA2626" w:rsidRDefault="00EA2626" w:rsidP="00B402B4"/>
    <w:p w14:paraId="7EB48A7E" w14:textId="608B5248" w:rsidR="00576269" w:rsidRDefault="00576269">
      <w:r w:rsidRPr="00AA4488">
        <w:t>Commission staff has completed its review of the company’s supporting financia</w:t>
      </w:r>
      <w:r>
        <w:t>l documents, books and records</w:t>
      </w:r>
      <w:r w:rsidR="00A60D96">
        <w:t>.</w:t>
      </w:r>
      <w:r>
        <w:t xml:space="preserve"> </w:t>
      </w:r>
      <w:r w:rsidR="00A60D96" w:rsidRPr="00AA4488">
        <w:t xml:space="preserve">Staff’s review shows that the expenses are reasonable and required as part of the company’s operation. </w:t>
      </w:r>
      <w:r w:rsidR="00A60D96">
        <w:t xml:space="preserve">The supporting data </w:t>
      </w:r>
      <w:r>
        <w:t>demonstrate</w:t>
      </w:r>
      <w:r w:rsidR="00A60D96">
        <w:t>s</w:t>
      </w:r>
      <w:r>
        <w:t xml:space="preserve"> </w:t>
      </w:r>
      <w:r w:rsidR="00005EB3">
        <w:t>a need for $183,439 (3.3</w:t>
      </w:r>
      <w:r w:rsidR="00A60D96">
        <w:t xml:space="preserve"> percent) additional annual revenue.</w:t>
      </w:r>
    </w:p>
    <w:p w14:paraId="6F320D90" w14:textId="77777777" w:rsidR="00576269" w:rsidRDefault="00576269" w:rsidP="00576269"/>
    <w:p w14:paraId="13B30F91" w14:textId="79DBAEBC" w:rsidR="00EA2626" w:rsidRDefault="00EA2626" w:rsidP="00B402B4">
      <w:r w:rsidRPr="00EA2626">
        <w:t>R</w:t>
      </w:r>
      <w:r>
        <w:t xml:space="preserve">ainer View </w:t>
      </w:r>
      <w:r w:rsidR="00972EE7">
        <w:t>initially</w:t>
      </w:r>
      <w:r>
        <w:t xml:space="preserve"> filed to increase </w:t>
      </w:r>
      <w:r w:rsidR="00A60D96">
        <w:t xml:space="preserve">only </w:t>
      </w:r>
      <w:r>
        <w:t xml:space="preserve">its third block usage </w:t>
      </w:r>
      <w:r w:rsidR="00B06ED2">
        <w:t>rate. The</w:t>
      </w:r>
      <w:r w:rsidR="000D73B1">
        <w:t xml:space="preserve"> </w:t>
      </w:r>
      <w:r w:rsidR="00B06ED2">
        <w:t>revised</w:t>
      </w:r>
      <w:r w:rsidR="000D73B1">
        <w:t xml:space="preserve"> rates increase the third block usage rate to re</w:t>
      </w:r>
      <w:r w:rsidR="00B06ED2">
        <w:t>cover</w:t>
      </w:r>
      <w:r w:rsidR="000D73B1">
        <w:t xml:space="preserve"> the cost of purchasing water from Tacoma and spreads the balance of the revenue requirement across all customers by increasing </w:t>
      </w:r>
      <w:r w:rsidR="00C015E1">
        <w:t>all</w:t>
      </w:r>
      <w:r w:rsidR="000D73B1">
        <w:t xml:space="preserve"> base charge</w:t>
      </w:r>
      <w:r w:rsidR="00C015E1">
        <w:t>s</w:t>
      </w:r>
      <w:r w:rsidR="000D73B1">
        <w:t xml:space="preserve"> by 2.25 percent.</w:t>
      </w:r>
      <w:r w:rsidR="00A60D96">
        <w:t xml:space="preserve"> </w:t>
      </w:r>
      <w:r w:rsidR="006A0C2F">
        <w:t xml:space="preserve">Staff concludes the revised </w:t>
      </w:r>
      <w:r w:rsidR="006A0C2F" w:rsidRPr="006A0C2F">
        <w:t>rates and charges are fair, just, reasonable, and sufficient.</w:t>
      </w:r>
    </w:p>
    <w:p w14:paraId="4988A65D" w14:textId="77777777" w:rsidR="000D73B1" w:rsidRDefault="000D73B1" w:rsidP="00B402B4"/>
    <w:p w14:paraId="6603DB8A" w14:textId="29C89422" w:rsidR="000D73B1" w:rsidRDefault="000D73B1" w:rsidP="00B402B4">
      <w:r>
        <w:t>Rainier View</w:t>
      </w:r>
      <w:r w:rsidR="006A0C2F">
        <w:t xml:space="preserve"> charges all customers the same rates, unlike other water purveyors staff surveyed</w:t>
      </w:r>
      <w:r w:rsidR="00C015E1">
        <w:t xml:space="preserve">, one of which (Fruitland Mutual) charges commercial </w:t>
      </w:r>
      <w:r w:rsidR="00D304AE">
        <w:t>customers</w:t>
      </w:r>
      <w:r w:rsidR="00C015E1">
        <w:t xml:space="preserve"> more than residential customers, and three cities </w:t>
      </w:r>
      <w:r w:rsidR="006A0C2F">
        <w:t>that charge commercial customers</w:t>
      </w:r>
      <w:r w:rsidR="00C015E1">
        <w:t xml:space="preserve"> less than residential customers. Staff points out the cities are independent governmental agencies that provide multiple services to residents</w:t>
      </w:r>
      <w:r w:rsidR="006A4CB0">
        <w:t xml:space="preserve"> subject to varying political and economic influences</w:t>
      </w:r>
      <w:r w:rsidR="00C015E1">
        <w:t xml:space="preserve">. </w:t>
      </w:r>
      <w:r w:rsidR="006A0C2F">
        <w:t xml:space="preserve">None of the water purveyors surveyed provide special rates or contracts to schools. Staff concludes that Rainer View’s rate design </w:t>
      </w:r>
      <w:r w:rsidR="00C015E1">
        <w:t xml:space="preserve">for </w:t>
      </w:r>
      <w:r w:rsidR="006A0C2F">
        <w:t xml:space="preserve">schools </w:t>
      </w:r>
      <w:r w:rsidR="00C015E1">
        <w:t>is not unreasonable.</w:t>
      </w:r>
      <w:r w:rsidR="006A0C2F">
        <w:t xml:space="preserve"> </w:t>
      </w:r>
    </w:p>
    <w:p w14:paraId="5495475D" w14:textId="77777777" w:rsidR="006A0C2F" w:rsidRDefault="006A0C2F" w:rsidP="00B402B4"/>
    <w:p w14:paraId="662965B4" w14:textId="744841C0" w:rsidR="00A60D96" w:rsidRDefault="00A60D96" w:rsidP="00A60D96">
      <w:r w:rsidRPr="00AA4488">
        <w:t>The customers</w:t>
      </w:r>
      <w:r>
        <w:t>’</w:t>
      </w:r>
      <w:r w:rsidRPr="00AA4488">
        <w:t xml:space="preserve"> comment</w:t>
      </w:r>
      <w:r>
        <w:t>s</w:t>
      </w:r>
      <w:r w:rsidRPr="00AA4488">
        <w:t xml:space="preserve"> do not change staff’s opinion that the company’s financial information supports the </w:t>
      </w:r>
      <w:r>
        <w:t xml:space="preserve">revised </w:t>
      </w:r>
      <w:r w:rsidRPr="00AA4488">
        <w:t xml:space="preserve">revenue requirement and </w:t>
      </w:r>
      <w:r>
        <w:t xml:space="preserve">the </w:t>
      </w:r>
      <w:r w:rsidRPr="00AA4488">
        <w:t>revised rates and charges are fair, just, reasonable, and sufficient.</w:t>
      </w:r>
    </w:p>
    <w:p w14:paraId="615F9007" w14:textId="2A5747AF" w:rsidR="00EA2626" w:rsidRPr="00EA2626" w:rsidRDefault="00EA2626" w:rsidP="00B402B4"/>
    <w:p w14:paraId="1F03FDB7" w14:textId="7D7C7C96" w:rsidR="00B402B4" w:rsidRDefault="00B402B4" w:rsidP="00B402B4">
      <w:pPr>
        <w:rPr>
          <w:b/>
          <w:u w:val="single"/>
        </w:rPr>
      </w:pPr>
      <w:r>
        <w:rPr>
          <w:b/>
          <w:u w:val="single"/>
        </w:rPr>
        <w:t>Recommendat</w:t>
      </w:r>
      <w:r w:rsidRPr="00935AF2">
        <w:rPr>
          <w:b/>
          <w:u w:val="single"/>
        </w:rPr>
        <w:t>ion</w:t>
      </w:r>
      <w:r w:rsidR="003A5256">
        <w:rPr>
          <w:b/>
          <w:u w:val="single"/>
        </w:rPr>
        <w:t>s</w:t>
      </w:r>
      <w:r w:rsidRPr="00935AF2">
        <w:rPr>
          <w:b/>
          <w:u w:val="single"/>
        </w:rPr>
        <w:t xml:space="preserve"> </w:t>
      </w:r>
    </w:p>
    <w:p w14:paraId="19202659" w14:textId="77777777" w:rsidR="002A7813" w:rsidRDefault="002A7813" w:rsidP="002A7813">
      <w:pPr>
        <w:widowControl w:val="0"/>
        <w:autoSpaceDE w:val="0"/>
        <w:autoSpaceDN w:val="0"/>
        <w:adjustRightInd w:val="0"/>
        <w:rPr>
          <w:rFonts w:eastAsia="Times New Roman"/>
          <w:color w:val="000000"/>
          <w:lang w:bidi="ar-SA"/>
        </w:rPr>
      </w:pPr>
    </w:p>
    <w:p w14:paraId="016BDDCE" w14:textId="41357727" w:rsidR="002A7813" w:rsidRDefault="002A7813" w:rsidP="002A7813">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t xml:space="preserve">Dismiss the </w:t>
      </w:r>
      <w:r w:rsidRPr="006073C4">
        <w:t xml:space="preserve">Complaint and Order Suspending the Tariff </w:t>
      </w:r>
      <w:r w:rsidR="009D716A">
        <w:t>Revisions</w:t>
      </w:r>
      <w:r w:rsidRPr="006073C4">
        <w:t xml:space="preserve"> filed </w:t>
      </w:r>
      <w:r>
        <w:t>Rainier View Water Company, Inc.,</w:t>
      </w:r>
      <w:r w:rsidRPr="006D62FC">
        <w:t xml:space="preserve"> </w:t>
      </w:r>
      <w:r>
        <w:t xml:space="preserve">in Docket UW-141363 </w:t>
      </w:r>
      <w:r w:rsidR="0068197A">
        <w:t>on</w:t>
      </w:r>
      <w:r>
        <w:t xml:space="preserve"> August 14</w:t>
      </w:r>
      <w:r w:rsidRPr="006D62FC">
        <w:t>, 2014</w:t>
      </w:r>
      <w:r w:rsidR="0068197A">
        <w:t>, and;</w:t>
      </w:r>
      <w:r w:rsidRPr="004C73F1">
        <w:t xml:space="preserve"> </w:t>
      </w:r>
    </w:p>
    <w:p w14:paraId="2228E787" w14:textId="06EDD22E" w:rsidR="002A7813" w:rsidRDefault="001F3323" w:rsidP="002A7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ind w:left="720"/>
      </w:pPr>
      <w:r>
        <w:t xml:space="preserve"> </w:t>
      </w:r>
    </w:p>
    <w:p w14:paraId="524AA178" w14:textId="4F8D5532" w:rsidR="007B716E" w:rsidRPr="00083B1B" w:rsidRDefault="002A7813" w:rsidP="00955792">
      <w:pPr>
        <w:widowControl w:val="0"/>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rPr>
          <w:rFonts w:eastAsia="Times New Roman"/>
          <w:color w:val="000000"/>
          <w:lang w:bidi="ar-SA"/>
        </w:rPr>
      </w:pPr>
      <w:r w:rsidRPr="00AA4488">
        <w:t xml:space="preserve">Allow the </w:t>
      </w:r>
      <w:r w:rsidR="0068197A">
        <w:t xml:space="preserve">revised </w:t>
      </w:r>
      <w:r w:rsidRPr="00AA4488">
        <w:t>rates and tariff revision</w:t>
      </w:r>
      <w:r w:rsidR="007A75F8">
        <w:t>s</w:t>
      </w:r>
      <w:r w:rsidRPr="00AA4488">
        <w:t xml:space="preserve"> filed by </w:t>
      </w:r>
      <w:r>
        <w:t>Rainier View Water Company, Inc.,</w:t>
      </w:r>
      <w:r w:rsidRPr="006D62FC">
        <w:t xml:space="preserve"> on</w:t>
      </w:r>
      <w:r w:rsidR="001F3323">
        <w:t xml:space="preserve"> </w:t>
      </w:r>
      <w:r>
        <w:t>June 30, 2014</w:t>
      </w:r>
      <w:r w:rsidR="003202A6">
        <w:t xml:space="preserve">, </w:t>
      </w:r>
      <w:r w:rsidR="0068197A">
        <w:t xml:space="preserve">as </w:t>
      </w:r>
      <w:r w:rsidR="003202A6">
        <w:t xml:space="preserve">revised </w:t>
      </w:r>
      <w:r w:rsidR="00005EB3">
        <w:t xml:space="preserve">August 18, 2014, and </w:t>
      </w:r>
      <w:r w:rsidR="003202A6">
        <w:t>Novem</w:t>
      </w:r>
      <w:r w:rsidR="007A75F8">
        <w:t xml:space="preserve">ber </w:t>
      </w:r>
      <w:r w:rsidR="007A75F8" w:rsidRPr="005B6F3C">
        <w:t>1</w:t>
      </w:r>
      <w:r w:rsidR="008C6A5A" w:rsidRPr="005B6F3C">
        <w:t>0</w:t>
      </w:r>
      <w:r w:rsidR="007A75F8" w:rsidRPr="005B6F3C">
        <w:t>,</w:t>
      </w:r>
      <w:r w:rsidR="007A75F8">
        <w:t xml:space="preserve"> 2014, </w:t>
      </w:r>
      <w:r w:rsidR="007A75F8" w:rsidRPr="00AA4488">
        <w:t xml:space="preserve">to become effective </w:t>
      </w:r>
      <w:r w:rsidR="007A75F8">
        <w:t>November 1</w:t>
      </w:r>
      <w:r w:rsidR="003202A6">
        <w:t>5</w:t>
      </w:r>
      <w:r w:rsidR="007A75F8" w:rsidRPr="00AA4488">
        <w:t>, 201</w:t>
      </w:r>
      <w:r w:rsidR="007A75F8">
        <w:t>4</w:t>
      </w:r>
      <w:r w:rsidR="007A75F8" w:rsidRPr="00AA4488">
        <w:t>.</w:t>
      </w:r>
    </w:p>
    <w:p w14:paraId="1CEAE4B7" w14:textId="77777777" w:rsidR="00BB491B" w:rsidRPr="00D30C52" w:rsidRDefault="00BB491B" w:rsidP="00364890">
      <w:pPr>
        <w:pStyle w:val="ListParagraph"/>
        <w:rPr>
          <w:rFonts w:eastAsia="Times New Roman"/>
          <w:color w:val="000000"/>
          <w:lang w:bidi="ar-SA"/>
        </w:rPr>
      </w:pPr>
    </w:p>
    <w:sectPr w:rsidR="00BB491B" w:rsidRPr="00D30C52" w:rsidSect="00F148C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3D72E" w14:textId="77777777" w:rsidR="006A0C2F" w:rsidRDefault="006A0C2F" w:rsidP="00BE5610">
      <w:r>
        <w:separator/>
      </w:r>
    </w:p>
  </w:endnote>
  <w:endnote w:type="continuationSeparator" w:id="0">
    <w:p w14:paraId="7C23CF05" w14:textId="77777777" w:rsidR="006A0C2F" w:rsidRDefault="006A0C2F" w:rsidP="00BE5610">
      <w:r>
        <w:continuationSeparator/>
      </w:r>
    </w:p>
  </w:endnote>
  <w:endnote w:type="continuationNotice" w:id="1">
    <w:p w14:paraId="52E453E8" w14:textId="77777777" w:rsidR="006A0C2F" w:rsidRDefault="006A0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843D5" w14:textId="77777777" w:rsidR="006A0C2F" w:rsidRDefault="006A0C2F" w:rsidP="00BE5610">
      <w:r>
        <w:separator/>
      </w:r>
    </w:p>
  </w:footnote>
  <w:footnote w:type="continuationSeparator" w:id="0">
    <w:p w14:paraId="56C9123D" w14:textId="77777777" w:rsidR="006A0C2F" w:rsidRDefault="006A0C2F" w:rsidP="00BE5610">
      <w:r>
        <w:continuationSeparator/>
      </w:r>
    </w:p>
  </w:footnote>
  <w:footnote w:type="continuationNotice" w:id="1">
    <w:p w14:paraId="393AC16F" w14:textId="77777777" w:rsidR="006A0C2F" w:rsidRDefault="006A0C2F"/>
  </w:footnote>
  <w:footnote w:id="2">
    <w:p w14:paraId="72E8B2E6" w14:textId="071345EC" w:rsidR="006A0C2F" w:rsidRPr="00AF1904" w:rsidRDefault="006A0C2F" w:rsidP="00AF1904">
      <w:pPr>
        <w:pStyle w:val="FootnoteText"/>
      </w:pPr>
      <w:r>
        <w:rPr>
          <w:rStyle w:val="FootnoteReference"/>
        </w:rPr>
        <w:footnoteRef/>
      </w:r>
      <w:r>
        <w:t xml:space="preserve"> </w:t>
      </w:r>
      <w:r w:rsidRPr="00AF1904">
        <w:t>On August 20, 2014, the company proposed a rearrangement of Bethel’s water lines and meter sizes that could save Bethel a net of about $4,300 per year, resulting in a projected annual increase of about $9,360 (4.8 percent) for Bethel. The company advised staff that Bethel responded to its proposal.</w:t>
      </w:r>
    </w:p>
    <w:p w14:paraId="16AD35A1" w14:textId="277FDF5A" w:rsidR="006A0C2F" w:rsidRDefault="006A0C2F">
      <w:pPr>
        <w:pStyle w:val="FootnoteText"/>
      </w:pPr>
    </w:p>
  </w:footnote>
  <w:footnote w:id="3">
    <w:p w14:paraId="505D77AF" w14:textId="77777777" w:rsidR="006A0C2F" w:rsidRDefault="006A0C2F" w:rsidP="00EA1079">
      <w:pPr>
        <w:pStyle w:val="FootnoteText"/>
      </w:pPr>
      <w:r>
        <w:rPr>
          <w:rStyle w:val="FootnoteReference"/>
        </w:rPr>
        <w:footnoteRef/>
      </w:r>
      <w:r>
        <w:t xml:space="preserve"> 3,000 cubic feet third block applies to 3/4-inch or smaller meter size. Other third block usage amounts are based on meter size factors established by the American Water Works Association and available in the proposed tariff.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3FDC2" w14:textId="3521F96A" w:rsidR="006A0C2F" w:rsidRPr="00296F3B" w:rsidRDefault="006A0C2F" w:rsidP="00BE5610">
    <w:pPr>
      <w:pStyle w:val="Header"/>
      <w:rPr>
        <w:sz w:val="20"/>
        <w:szCs w:val="20"/>
      </w:rPr>
    </w:pPr>
    <w:r w:rsidRPr="00296F3B">
      <w:rPr>
        <w:sz w:val="20"/>
        <w:szCs w:val="20"/>
      </w:rPr>
      <w:t>Docket</w:t>
    </w:r>
    <w:r>
      <w:rPr>
        <w:sz w:val="20"/>
        <w:szCs w:val="20"/>
      </w:rPr>
      <w:t xml:space="preserve"> UW-141363</w:t>
    </w:r>
  </w:p>
  <w:p w14:paraId="1F03FDC3" w14:textId="23135824" w:rsidR="006A0C2F" w:rsidRPr="00296F3B" w:rsidRDefault="006A0C2F" w:rsidP="00BE5610">
    <w:pPr>
      <w:pStyle w:val="Header"/>
      <w:rPr>
        <w:sz w:val="20"/>
        <w:szCs w:val="20"/>
      </w:rPr>
    </w:pPr>
    <w:r>
      <w:rPr>
        <w:sz w:val="20"/>
        <w:szCs w:val="20"/>
      </w:rPr>
      <w:t>November 14</w:t>
    </w:r>
    <w:r w:rsidRPr="00296F3B">
      <w:rPr>
        <w:sz w:val="20"/>
        <w:szCs w:val="20"/>
      </w:rPr>
      <w:t>, 201</w:t>
    </w:r>
    <w:r>
      <w:rPr>
        <w:sz w:val="20"/>
        <w:szCs w:val="20"/>
      </w:rPr>
      <w:t>4</w:t>
    </w:r>
  </w:p>
  <w:p w14:paraId="1F03FDC4" w14:textId="77777777" w:rsidR="006A0C2F" w:rsidRDefault="006A0C2F"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7152C4">
      <w:rPr>
        <w:noProof/>
        <w:sz w:val="20"/>
        <w:szCs w:val="20"/>
      </w:rPr>
      <w:t>6</w:t>
    </w:r>
    <w:r w:rsidRPr="00296F3B">
      <w:rPr>
        <w:sz w:val="20"/>
        <w:szCs w:val="20"/>
      </w:rPr>
      <w:fldChar w:fldCharType="end"/>
    </w:r>
  </w:p>
  <w:p w14:paraId="1F03FDC5" w14:textId="77777777" w:rsidR="006A0C2F" w:rsidRPr="00296F3B" w:rsidRDefault="006A0C2F" w:rsidP="00BE5610">
    <w:pPr>
      <w:pStyle w:val="Header"/>
      <w:rPr>
        <w:sz w:val="20"/>
        <w:szCs w:val="20"/>
      </w:rPr>
    </w:pPr>
  </w:p>
  <w:p w14:paraId="1F03FDC6" w14:textId="77777777" w:rsidR="006A0C2F" w:rsidRDefault="006A0C2F"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nsid w:val="00B257AB"/>
    <w:multiLevelType w:val="hybridMultilevel"/>
    <w:tmpl w:val="C296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43A1837"/>
    <w:multiLevelType w:val="hybridMultilevel"/>
    <w:tmpl w:val="6DD8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AF1132E"/>
    <w:multiLevelType w:val="hybridMultilevel"/>
    <w:tmpl w:val="ED18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FD735B"/>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6571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6160C2"/>
    <w:multiLevelType w:val="hybridMultilevel"/>
    <w:tmpl w:val="8D882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F2327D"/>
    <w:multiLevelType w:val="hybridMultilevel"/>
    <w:tmpl w:val="5230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D6088C"/>
    <w:multiLevelType w:val="hybridMultilevel"/>
    <w:tmpl w:val="15C6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46968FC"/>
    <w:multiLevelType w:val="hybridMultilevel"/>
    <w:tmpl w:val="5EDA4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1">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1AF17EB"/>
    <w:multiLevelType w:val="hybridMultilevel"/>
    <w:tmpl w:val="4DA2B6F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34">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25"/>
  </w:num>
  <w:num w:numId="4">
    <w:abstractNumId w:val="28"/>
  </w:num>
  <w:num w:numId="5">
    <w:abstractNumId w:val="2"/>
  </w:num>
  <w:num w:numId="6">
    <w:abstractNumId w:val="4"/>
  </w:num>
  <w:num w:numId="7">
    <w:abstractNumId w:val="16"/>
  </w:num>
  <w:num w:numId="8">
    <w:abstractNumId w:val="29"/>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3"/>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1"/>
  </w:num>
  <w:num w:numId="15">
    <w:abstractNumId w:val="10"/>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9"/>
  </w:num>
  <w:num w:numId="19">
    <w:abstractNumId w:val="20"/>
  </w:num>
  <w:num w:numId="20">
    <w:abstractNumId w:val="9"/>
  </w:num>
  <w:num w:numId="21">
    <w:abstractNumId w:val="3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8"/>
  </w:num>
  <w:num w:numId="25">
    <w:abstractNumId w:val="15"/>
  </w:num>
  <w:num w:numId="26">
    <w:abstractNumId w:val="12"/>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7"/>
  </w:num>
  <w:num w:numId="30">
    <w:abstractNumId w:val="13"/>
  </w:num>
  <w:num w:numId="31">
    <w:abstractNumId w:val="27"/>
  </w:num>
  <w:num w:numId="32">
    <w:abstractNumId w:val="32"/>
  </w:num>
  <w:num w:numId="33">
    <w:abstractNumId w:val="24"/>
  </w:num>
  <w:num w:numId="34">
    <w:abstractNumId w:val="18"/>
  </w:num>
  <w:num w:numId="35">
    <w:abstractNumId w:val="6"/>
  </w:num>
  <w:num w:numId="36">
    <w:abstractNumId w:val="1"/>
  </w:num>
  <w:num w:numId="37">
    <w:abstractNumId w:val="1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oofState w:spelling="clean" w:grammar="clean"/>
  <w:defaultTabStop w:val="720"/>
  <w:drawingGridHorizontalSpacing w:val="120"/>
  <w:displayHorizontalDrawingGridEvery w:val="2"/>
  <w:characterSpacingControl w:val="doNotCompress"/>
  <w:hdrShapeDefaults>
    <o:shapedefaults v:ext="edit" spidmax="645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18"/>
    <w:rsid w:val="000020C4"/>
    <w:rsid w:val="00005828"/>
    <w:rsid w:val="00005B41"/>
    <w:rsid w:val="00005EB3"/>
    <w:rsid w:val="00006192"/>
    <w:rsid w:val="0000789A"/>
    <w:rsid w:val="00015DD8"/>
    <w:rsid w:val="0002544E"/>
    <w:rsid w:val="0002774D"/>
    <w:rsid w:val="00030B4E"/>
    <w:rsid w:val="0003714D"/>
    <w:rsid w:val="00043899"/>
    <w:rsid w:val="000458AC"/>
    <w:rsid w:val="0005270D"/>
    <w:rsid w:val="00053628"/>
    <w:rsid w:val="000536A2"/>
    <w:rsid w:val="00054CC9"/>
    <w:rsid w:val="00055945"/>
    <w:rsid w:val="00061746"/>
    <w:rsid w:val="000625B1"/>
    <w:rsid w:val="0006481C"/>
    <w:rsid w:val="00066C40"/>
    <w:rsid w:val="0006708E"/>
    <w:rsid w:val="00070C76"/>
    <w:rsid w:val="00070E98"/>
    <w:rsid w:val="0007123D"/>
    <w:rsid w:val="00072280"/>
    <w:rsid w:val="0008268C"/>
    <w:rsid w:val="00082892"/>
    <w:rsid w:val="00083B1B"/>
    <w:rsid w:val="00083D7B"/>
    <w:rsid w:val="00085451"/>
    <w:rsid w:val="00087D28"/>
    <w:rsid w:val="000908F4"/>
    <w:rsid w:val="000909CD"/>
    <w:rsid w:val="00090B62"/>
    <w:rsid w:val="00091DE4"/>
    <w:rsid w:val="00094B8B"/>
    <w:rsid w:val="00095127"/>
    <w:rsid w:val="00097E35"/>
    <w:rsid w:val="000B0C16"/>
    <w:rsid w:val="000B47FC"/>
    <w:rsid w:val="000B78DD"/>
    <w:rsid w:val="000C1B0B"/>
    <w:rsid w:val="000C2481"/>
    <w:rsid w:val="000C3CFE"/>
    <w:rsid w:val="000C3D4F"/>
    <w:rsid w:val="000D01D2"/>
    <w:rsid w:val="000D2D58"/>
    <w:rsid w:val="000D3B16"/>
    <w:rsid w:val="000D3CE0"/>
    <w:rsid w:val="000D6199"/>
    <w:rsid w:val="000D6DAF"/>
    <w:rsid w:val="000D706D"/>
    <w:rsid w:val="000D73B1"/>
    <w:rsid w:val="000E1DFC"/>
    <w:rsid w:val="000E3081"/>
    <w:rsid w:val="000E50DD"/>
    <w:rsid w:val="000E640C"/>
    <w:rsid w:val="000E714E"/>
    <w:rsid w:val="000F29ED"/>
    <w:rsid w:val="000F6251"/>
    <w:rsid w:val="00103755"/>
    <w:rsid w:val="001047F2"/>
    <w:rsid w:val="0010556E"/>
    <w:rsid w:val="00106D72"/>
    <w:rsid w:val="00111EF9"/>
    <w:rsid w:val="0011233C"/>
    <w:rsid w:val="00112670"/>
    <w:rsid w:val="0011477E"/>
    <w:rsid w:val="00114B3D"/>
    <w:rsid w:val="00116BC6"/>
    <w:rsid w:val="00116FB7"/>
    <w:rsid w:val="0012342E"/>
    <w:rsid w:val="00124C0B"/>
    <w:rsid w:val="00125753"/>
    <w:rsid w:val="00126930"/>
    <w:rsid w:val="0013089B"/>
    <w:rsid w:val="00130B3D"/>
    <w:rsid w:val="0013149D"/>
    <w:rsid w:val="0013280A"/>
    <w:rsid w:val="0013423A"/>
    <w:rsid w:val="00135480"/>
    <w:rsid w:val="00136DD9"/>
    <w:rsid w:val="001375A5"/>
    <w:rsid w:val="00140589"/>
    <w:rsid w:val="00141434"/>
    <w:rsid w:val="001423FE"/>
    <w:rsid w:val="00142B36"/>
    <w:rsid w:val="00143CDB"/>
    <w:rsid w:val="0014659D"/>
    <w:rsid w:val="00154718"/>
    <w:rsid w:val="001603B0"/>
    <w:rsid w:val="0016055D"/>
    <w:rsid w:val="0016348F"/>
    <w:rsid w:val="001648E7"/>
    <w:rsid w:val="001649E3"/>
    <w:rsid w:val="0016545B"/>
    <w:rsid w:val="001677A6"/>
    <w:rsid w:val="00170B1B"/>
    <w:rsid w:val="00171102"/>
    <w:rsid w:val="00173A9E"/>
    <w:rsid w:val="00173F60"/>
    <w:rsid w:val="00175369"/>
    <w:rsid w:val="00177491"/>
    <w:rsid w:val="001824D0"/>
    <w:rsid w:val="00184151"/>
    <w:rsid w:val="00186DB5"/>
    <w:rsid w:val="00187393"/>
    <w:rsid w:val="00187E0D"/>
    <w:rsid w:val="00190825"/>
    <w:rsid w:val="00191627"/>
    <w:rsid w:val="0019202D"/>
    <w:rsid w:val="001925EF"/>
    <w:rsid w:val="001A0A16"/>
    <w:rsid w:val="001A1500"/>
    <w:rsid w:val="001C15EF"/>
    <w:rsid w:val="001C30BF"/>
    <w:rsid w:val="001C438A"/>
    <w:rsid w:val="001C5AB1"/>
    <w:rsid w:val="001C7DFD"/>
    <w:rsid w:val="001D2A48"/>
    <w:rsid w:val="001D2F7A"/>
    <w:rsid w:val="001D4BFC"/>
    <w:rsid w:val="001E0047"/>
    <w:rsid w:val="001E0702"/>
    <w:rsid w:val="001E11F9"/>
    <w:rsid w:val="001E1BE5"/>
    <w:rsid w:val="001F30F9"/>
    <w:rsid w:val="001F3323"/>
    <w:rsid w:val="001F3D7A"/>
    <w:rsid w:val="001F465E"/>
    <w:rsid w:val="002027E0"/>
    <w:rsid w:val="00204D11"/>
    <w:rsid w:val="00207F8D"/>
    <w:rsid w:val="00212D43"/>
    <w:rsid w:val="0021363E"/>
    <w:rsid w:val="0022116C"/>
    <w:rsid w:val="002218EF"/>
    <w:rsid w:val="002257DF"/>
    <w:rsid w:val="00226657"/>
    <w:rsid w:val="002277F9"/>
    <w:rsid w:val="00227DC0"/>
    <w:rsid w:val="00241B80"/>
    <w:rsid w:val="00244A84"/>
    <w:rsid w:val="00246192"/>
    <w:rsid w:val="00260D57"/>
    <w:rsid w:val="002622A8"/>
    <w:rsid w:val="002632B7"/>
    <w:rsid w:val="002633A1"/>
    <w:rsid w:val="00266104"/>
    <w:rsid w:val="002747EF"/>
    <w:rsid w:val="002763F6"/>
    <w:rsid w:val="00277380"/>
    <w:rsid w:val="00280915"/>
    <w:rsid w:val="00283AD9"/>
    <w:rsid w:val="00285152"/>
    <w:rsid w:val="002863C0"/>
    <w:rsid w:val="00291958"/>
    <w:rsid w:val="00292F9A"/>
    <w:rsid w:val="00294AE3"/>
    <w:rsid w:val="00294B74"/>
    <w:rsid w:val="00295745"/>
    <w:rsid w:val="00296F3B"/>
    <w:rsid w:val="00297CF8"/>
    <w:rsid w:val="002A17FD"/>
    <w:rsid w:val="002A4E8A"/>
    <w:rsid w:val="002A70D7"/>
    <w:rsid w:val="002A7813"/>
    <w:rsid w:val="002B5724"/>
    <w:rsid w:val="002B5EB2"/>
    <w:rsid w:val="002C039A"/>
    <w:rsid w:val="002C20B0"/>
    <w:rsid w:val="002C23B9"/>
    <w:rsid w:val="002C6110"/>
    <w:rsid w:val="002C786B"/>
    <w:rsid w:val="002D013F"/>
    <w:rsid w:val="002D0666"/>
    <w:rsid w:val="002D1B3F"/>
    <w:rsid w:val="002D33FC"/>
    <w:rsid w:val="002E14D4"/>
    <w:rsid w:val="002E50C7"/>
    <w:rsid w:val="002F0BC8"/>
    <w:rsid w:val="002F3890"/>
    <w:rsid w:val="002F70BE"/>
    <w:rsid w:val="00300789"/>
    <w:rsid w:val="00300D92"/>
    <w:rsid w:val="00301106"/>
    <w:rsid w:val="00305DB3"/>
    <w:rsid w:val="00311C54"/>
    <w:rsid w:val="003202A6"/>
    <w:rsid w:val="003219B9"/>
    <w:rsid w:val="00323034"/>
    <w:rsid w:val="00324289"/>
    <w:rsid w:val="00325AE5"/>
    <w:rsid w:val="00330C32"/>
    <w:rsid w:val="00333221"/>
    <w:rsid w:val="00334A7C"/>
    <w:rsid w:val="0033585C"/>
    <w:rsid w:val="00336E17"/>
    <w:rsid w:val="00337C05"/>
    <w:rsid w:val="00337E6C"/>
    <w:rsid w:val="00340C02"/>
    <w:rsid w:val="00353F90"/>
    <w:rsid w:val="00354852"/>
    <w:rsid w:val="003555E4"/>
    <w:rsid w:val="00355F2E"/>
    <w:rsid w:val="0036038B"/>
    <w:rsid w:val="00364890"/>
    <w:rsid w:val="00367ED5"/>
    <w:rsid w:val="00382420"/>
    <w:rsid w:val="003835E6"/>
    <w:rsid w:val="00384A19"/>
    <w:rsid w:val="00385F54"/>
    <w:rsid w:val="00392579"/>
    <w:rsid w:val="0039291C"/>
    <w:rsid w:val="00396F67"/>
    <w:rsid w:val="003A3419"/>
    <w:rsid w:val="003A5256"/>
    <w:rsid w:val="003A5258"/>
    <w:rsid w:val="003B4D1C"/>
    <w:rsid w:val="003B5083"/>
    <w:rsid w:val="003B700C"/>
    <w:rsid w:val="003C166B"/>
    <w:rsid w:val="003C16E8"/>
    <w:rsid w:val="003C3EC8"/>
    <w:rsid w:val="003C4EB8"/>
    <w:rsid w:val="003C73AC"/>
    <w:rsid w:val="003D0238"/>
    <w:rsid w:val="003D1E26"/>
    <w:rsid w:val="003D2276"/>
    <w:rsid w:val="003D25A3"/>
    <w:rsid w:val="003D3146"/>
    <w:rsid w:val="003D717F"/>
    <w:rsid w:val="003D79BC"/>
    <w:rsid w:val="003E0403"/>
    <w:rsid w:val="003E6D45"/>
    <w:rsid w:val="003F0972"/>
    <w:rsid w:val="004054A0"/>
    <w:rsid w:val="00405F3D"/>
    <w:rsid w:val="00411F64"/>
    <w:rsid w:val="00412BB9"/>
    <w:rsid w:val="004130B4"/>
    <w:rsid w:val="00424794"/>
    <w:rsid w:val="00426C82"/>
    <w:rsid w:val="00430880"/>
    <w:rsid w:val="00433FDC"/>
    <w:rsid w:val="00441C74"/>
    <w:rsid w:val="004456FB"/>
    <w:rsid w:val="00450175"/>
    <w:rsid w:val="00450267"/>
    <w:rsid w:val="00451AF9"/>
    <w:rsid w:val="0045370F"/>
    <w:rsid w:val="0045498E"/>
    <w:rsid w:val="00454D15"/>
    <w:rsid w:val="00455301"/>
    <w:rsid w:val="00456888"/>
    <w:rsid w:val="00456EC7"/>
    <w:rsid w:val="004653F7"/>
    <w:rsid w:val="00466174"/>
    <w:rsid w:val="0046632D"/>
    <w:rsid w:val="0046783B"/>
    <w:rsid w:val="00470AE0"/>
    <w:rsid w:val="00470DFC"/>
    <w:rsid w:val="00470F19"/>
    <w:rsid w:val="00472DF2"/>
    <w:rsid w:val="00473F57"/>
    <w:rsid w:val="00481178"/>
    <w:rsid w:val="00482338"/>
    <w:rsid w:val="004838E1"/>
    <w:rsid w:val="00487BA4"/>
    <w:rsid w:val="00491963"/>
    <w:rsid w:val="004944F2"/>
    <w:rsid w:val="00495B71"/>
    <w:rsid w:val="00496744"/>
    <w:rsid w:val="00497530"/>
    <w:rsid w:val="004A4C9C"/>
    <w:rsid w:val="004A5C6A"/>
    <w:rsid w:val="004A691E"/>
    <w:rsid w:val="004B1AA8"/>
    <w:rsid w:val="004B7D5F"/>
    <w:rsid w:val="004C0811"/>
    <w:rsid w:val="004C36DF"/>
    <w:rsid w:val="004C5605"/>
    <w:rsid w:val="004C7A3E"/>
    <w:rsid w:val="004D4EF6"/>
    <w:rsid w:val="004D5E19"/>
    <w:rsid w:val="004D736E"/>
    <w:rsid w:val="004D7E01"/>
    <w:rsid w:val="004E0141"/>
    <w:rsid w:val="004F009E"/>
    <w:rsid w:val="004F127E"/>
    <w:rsid w:val="004F25D5"/>
    <w:rsid w:val="00500DE6"/>
    <w:rsid w:val="00504DB9"/>
    <w:rsid w:val="00507302"/>
    <w:rsid w:val="005123FF"/>
    <w:rsid w:val="005131DE"/>
    <w:rsid w:val="005153B7"/>
    <w:rsid w:val="00515B98"/>
    <w:rsid w:val="00527CF8"/>
    <w:rsid w:val="00533DBE"/>
    <w:rsid w:val="005370FF"/>
    <w:rsid w:val="00543E8C"/>
    <w:rsid w:val="00544DDE"/>
    <w:rsid w:val="005512A7"/>
    <w:rsid w:val="00552600"/>
    <w:rsid w:val="00552E11"/>
    <w:rsid w:val="005561C1"/>
    <w:rsid w:val="00557E18"/>
    <w:rsid w:val="00562B0E"/>
    <w:rsid w:val="0056400F"/>
    <w:rsid w:val="005642D2"/>
    <w:rsid w:val="005663D1"/>
    <w:rsid w:val="00566AD5"/>
    <w:rsid w:val="0056751B"/>
    <w:rsid w:val="00567B46"/>
    <w:rsid w:val="0057047C"/>
    <w:rsid w:val="00570F2C"/>
    <w:rsid w:val="005710F7"/>
    <w:rsid w:val="00576269"/>
    <w:rsid w:val="0058025E"/>
    <w:rsid w:val="00587079"/>
    <w:rsid w:val="0059122B"/>
    <w:rsid w:val="005912C3"/>
    <w:rsid w:val="00591A12"/>
    <w:rsid w:val="00591D1D"/>
    <w:rsid w:val="00593B58"/>
    <w:rsid w:val="00595023"/>
    <w:rsid w:val="0059540A"/>
    <w:rsid w:val="00595B75"/>
    <w:rsid w:val="00596D05"/>
    <w:rsid w:val="00597882"/>
    <w:rsid w:val="005A6C74"/>
    <w:rsid w:val="005A71C6"/>
    <w:rsid w:val="005B04F4"/>
    <w:rsid w:val="005B4C72"/>
    <w:rsid w:val="005B6246"/>
    <w:rsid w:val="005B6F3C"/>
    <w:rsid w:val="005C0568"/>
    <w:rsid w:val="005C15D1"/>
    <w:rsid w:val="005C1C4B"/>
    <w:rsid w:val="005C440D"/>
    <w:rsid w:val="005C4415"/>
    <w:rsid w:val="005D4CA4"/>
    <w:rsid w:val="005D7925"/>
    <w:rsid w:val="005E3FC7"/>
    <w:rsid w:val="005F059A"/>
    <w:rsid w:val="005F136C"/>
    <w:rsid w:val="005F222C"/>
    <w:rsid w:val="005F2C6B"/>
    <w:rsid w:val="005F51F2"/>
    <w:rsid w:val="00603AE2"/>
    <w:rsid w:val="00603AF9"/>
    <w:rsid w:val="006070AC"/>
    <w:rsid w:val="006073FE"/>
    <w:rsid w:val="00615539"/>
    <w:rsid w:val="00616813"/>
    <w:rsid w:val="00617F14"/>
    <w:rsid w:val="0062191D"/>
    <w:rsid w:val="0062474A"/>
    <w:rsid w:val="00626264"/>
    <w:rsid w:val="006308C7"/>
    <w:rsid w:val="00631C8E"/>
    <w:rsid w:val="00641A44"/>
    <w:rsid w:val="00642AC3"/>
    <w:rsid w:val="0064326E"/>
    <w:rsid w:val="006434BB"/>
    <w:rsid w:val="006449EA"/>
    <w:rsid w:val="00645A0C"/>
    <w:rsid w:val="00647ECD"/>
    <w:rsid w:val="00653050"/>
    <w:rsid w:val="00653A10"/>
    <w:rsid w:val="00654D5A"/>
    <w:rsid w:val="00656E56"/>
    <w:rsid w:val="00656F93"/>
    <w:rsid w:val="006618F0"/>
    <w:rsid w:val="00661F4F"/>
    <w:rsid w:val="00666EDE"/>
    <w:rsid w:val="006700B0"/>
    <w:rsid w:val="00671E46"/>
    <w:rsid w:val="00672F7B"/>
    <w:rsid w:val="00673B06"/>
    <w:rsid w:val="0067486D"/>
    <w:rsid w:val="0068197A"/>
    <w:rsid w:val="00682BE7"/>
    <w:rsid w:val="00683780"/>
    <w:rsid w:val="0068432F"/>
    <w:rsid w:val="00684C49"/>
    <w:rsid w:val="0069302C"/>
    <w:rsid w:val="00693188"/>
    <w:rsid w:val="00695625"/>
    <w:rsid w:val="006A021F"/>
    <w:rsid w:val="006A0C2F"/>
    <w:rsid w:val="006A41EE"/>
    <w:rsid w:val="006A4887"/>
    <w:rsid w:val="006A4895"/>
    <w:rsid w:val="006A4CB0"/>
    <w:rsid w:val="006B4513"/>
    <w:rsid w:val="006B495A"/>
    <w:rsid w:val="006B51B8"/>
    <w:rsid w:val="006B6D42"/>
    <w:rsid w:val="006B795B"/>
    <w:rsid w:val="006C013C"/>
    <w:rsid w:val="006C3712"/>
    <w:rsid w:val="006C714F"/>
    <w:rsid w:val="006D0B53"/>
    <w:rsid w:val="006D15C2"/>
    <w:rsid w:val="006D22CE"/>
    <w:rsid w:val="006D3CEA"/>
    <w:rsid w:val="006D52E1"/>
    <w:rsid w:val="006E0F8C"/>
    <w:rsid w:val="006E0FA9"/>
    <w:rsid w:val="006E1B69"/>
    <w:rsid w:val="006E3B58"/>
    <w:rsid w:val="006E60BA"/>
    <w:rsid w:val="006E610A"/>
    <w:rsid w:val="006F0C2F"/>
    <w:rsid w:val="006F113F"/>
    <w:rsid w:val="006F6487"/>
    <w:rsid w:val="006F6D87"/>
    <w:rsid w:val="006F6EE1"/>
    <w:rsid w:val="00704124"/>
    <w:rsid w:val="00704631"/>
    <w:rsid w:val="00705164"/>
    <w:rsid w:val="00705BBD"/>
    <w:rsid w:val="0071402F"/>
    <w:rsid w:val="00715204"/>
    <w:rsid w:val="007152C4"/>
    <w:rsid w:val="00716E8B"/>
    <w:rsid w:val="007207CD"/>
    <w:rsid w:val="007210FE"/>
    <w:rsid w:val="007228E4"/>
    <w:rsid w:val="00723388"/>
    <w:rsid w:val="00724BB0"/>
    <w:rsid w:val="007261E5"/>
    <w:rsid w:val="00727399"/>
    <w:rsid w:val="007335C6"/>
    <w:rsid w:val="00734BC8"/>
    <w:rsid w:val="00736FD7"/>
    <w:rsid w:val="00743A51"/>
    <w:rsid w:val="00746397"/>
    <w:rsid w:val="00751B5E"/>
    <w:rsid w:val="00751E73"/>
    <w:rsid w:val="00754ED6"/>
    <w:rsid w:val="00760472"/>
    <w:rsid w:val="007611CF"/>
    <w:rsid w:val="0076679B"/>
    <w:rsid w:val="00767BDD"/>
    <w:rsid w:val="00767DEC"/>
    <w:rsid w:val="00772F17"/>
    <w:rsid w:val="00773CAD"/>
    <w:rsid w:val="00774275"/>
    <w:rsid w:val="00774540"/>
    <w:rsid w:val="00776D6C"/>
    <w:rsid w:val="00776E58"/>
    <w:rsid w:val="00784726"/>
    <w:rsid w:val="007878B5"/>
    <w:rsid w:val="00790302"/>
    <w:rsid w:val="007913E9"/>
    <w:rsid w:val="0079365D"/>
    <w:rsid w:val="00795178"/>
    <w:rsid w:val="0079709F"/>
    <w:rsid w:val="007A0BDB"/>
    <w:rsid w:val="007A1DFE"/>
    <w:rsid w:val="007A59D5"/>
    <w:rsid w:val="007A75F8"/>
    <w:rsid w:val="007B0BE0"/>
    <w:rsid w:val="007B29CE"/>
    <w:rsid w:val="007B435C"/>
    <w:rsid w:val="007B716E"/>
    <w:rsid w:val="007C75D8"/>
    <w:rsid w:val="007D3777"/>
    <w:rsid w:val="007D55AE"/>
    <w:rsid w:val="007E489C"/>
    <w:rsid w:val="007E5B2C"/>
    <w:rsid w:val="007E71A3"/>
    <w:rsid w:val="007F13D3"/>
    <w:rsid w:val="007F26EF"/>
    <w:rsid w:val="007F30B1"/>
    <w:rsid w:val="007F60C5"/>
    <w:rsid w:val="008001DC"/>
    <w:rsid w:val="0080117F"/>
    <w:rsid w:val="008020A5"/>
    <w:rsid w:val="008111DE"/>
    <w:rsid w:val="00811645"/>
    <w:rsid w:val="008116D0"/>
    <w:rsid w:val="008138E1"/>
    <w:rsid w:val="00815B53"/>
    <w:rsid w:val="008165AD"/>
    <w:rsid w:val="00816612"/>
    <w:rsid w:val="00816F41"/>
    <w:rsid w:val="00823690"/>
    <w:rsid w:val="00825773"/>
    <w:rsid w:val="00826C0C"/>
    <w:rsid w:val="00826F11"/>
    <w:rsid w:val="00827BE3"/>
    <w:rsid w:val="00832CE0"/>
    <w:rsid w:val="00853B63"/>
    <w:rsid w:val="00854110"/>
    <w:rsid w:val="0085598E"/>
    <w:rsid w:val="008630EA"/>
    <w:rsid w:val="00863543"/>
    <w:rsid w:val="00864F6E"/>
    <w:rsid w:val="0087483A"/>
    <w:rsid w:val="00877282"/>
    <w:rsid w:val="008801B8"/>
    <w:rsid w:val="008871CF"/>
    <w:rsid w:val="00894BC9"/>
    <w:rsid w:val="0089542B"/>
    <w:rsid w:val="008A20BF"/>
    <w:rsid w:val="008A350E"/>
    <w:rsid w:val="008A6E88"/>
    <w:rsid w:val="008B0C20"/>
    <w:rsid w:val="008B479D"/>
    <w:rsid w:val="008B4AA0"/>
    <w:rsid w:val="008B52CF"/>
    <w:rsid w:val="008B762F"/>
    <w:rsid w:val="008C168F"/>
    <w:rsid w:val="008C1A57"/>
    <w:rsid w:val="008C1E17"/>
    <w:rsid w:val="008C26CE"/>
    <w:rsid w:val="008C5A41"/>
    <w:rsid w:val="008C6A5A"/>
    <w:rsid w:val="008C7E6D"/>
    <w:rsid w:val="008D0AAC"/>
    <w:rsid w:val="008E2364"/>
    <w:rsid w:val="008E5A4E"/>
    <w:rsid w:val="008E5CD6"/>
    <w:rsid w:val="00901675"/>
    <w:rsid w:val="00901E60"/>
    <w:rsid w:val="0090640F"/>
    <w:rsid w:val="009116F3"/>
    <w:rsid w:val="0091589C"/>
    <w:rsid w:val="00915BD4"/>
    <w:rsid w:val="009206A2"/>
    <w:rsid w:val="009247A3"/>
    <w:rsid w:val="00924E13"/>
    <w:rsid w:val="0092593B"/>
    <w:rsid w:val="00926924"/>
    <w:rsid w:val="009270B9"/>
    <w:rsid w:val="0093048B"/>
    <w:rsid w:val="00935AF2"/>
    <w:rsid w:val="0094358B"/>
    <w:rsid w:val="009506B9"/>
    <w:rsid w:val="00951306"/>
    <w:rsid w:val="00952AA0"/>
    <w:rsid w:val="00955792"/>
    <w:rsid w:val="009603D1"/>
    <w:rsid w:val="00960675"/>
    <w:rsid w:val="00962F41"/>
    <w:rsid w:val="00967F91"/>
    <w:rsid w:val="00970C51"/>
    <w:rsid w:val="00972C39"/>
    <w:rsid w:val="00972EE7"/>
    <w:rsid w:val="009768A1"/>
    <w:rsid w:val="00983416"/>
    <w:rsid w:val="00983543"/>
    <w:rsid w:val="00984AEE"/>
    <w:rsid w:val="00987DB6"/>
    <w:rsid w:val="00991C5B"/>
    <w:rsid w:val="00992790"/>
    <w:rsid w:val="00992914"/>
    <w:rsid w:val="009A01B8"/>
    <w:rsid w:val="009B2F83"/>
    <w:rsid w:val="009B5DCE"/>
    <w:rsid w:val="009B696D"/>
    <w:rsid w:val="009C1F16"/>
    <w:rsid w:val="009D109C"/>
    <w:rsid w:val="009D2A93"/>
    <w:rsid w:val="009D6766"/>
    <w:rsid w:val="009D716A"/>
    <w:rsid w:val="009E0D5C"/>
    <w:rsid w:val="009E4F48"/>
    <w:rsid w:val="009F2F5A"/>
    <w:rsid w:val="00A01C65"/>
    <w:rsid w:val="00A0210E"/>
    <w:rsid w:val="00A04699"/>
    <w:rsid w:val="00A06A46"/>
    <w:rsid w:val="00A10E54"/>
    <w:rsid w:val="00A11045"/>
    <w:rsid w:val="00A201C0"/>
    <w:rsid w:val="00A26FD3"/>
    <w:rsid w:val="00A271A6"/>
    <w:rsid w:val="00A274A1"/>
    <w:rsid w:val="00A2758F"/>
    <w:rsid w:val="00A32222"/>
    <w:rsid w:val="00A33CC3"/>
    <w:rsid w:val="00A33CED"/>
    <w:rsid w:val="00A34715"/>
    <w:rsid w:val="00A41C23"/>
    <w:rsid w:val="00A427EC"/>
    <w:rsid w:val="00A42E8D"/>
    <w:rsid w:val="00A5145E"/>
    <w:rsid w:val="00A52858"/>
    <w:rsid w:val="00A54FAB"/>
    <w:rsid w:val="00A6009F"/>
    <w:rsid w:val="00A60613"/>
    <w:rsid w:val="00A60D96"/>
    <w:rsid w:val="00A631C7"/>
    <w:rsid w:val="00A64CC7"/>
    <w:rsid w:val="00A67402"/>
    <w:rsid w:val="00A7048A"/>
    <w:rsid w:val="00A70E29"/>
    <w:rsid w:val="00A726C4"/>
    <w:rsid w:val="00A73C46"/>
    <w:rsid w:val="00A77152"/>
    <w:rsid w:val="00A8090E"/>
    <w:rsid w:val="00A813D0"/>
    <w:rsid w:val="00A822CA"/>
    <w:rsid w:val="00A82CAE"/>
    <w:rsid w:val="00A84C2A"/>
    <w:rsid w:val="00A85688"/>
    <w:rsid w:val="00A86F90"/>
    <w:rsid w:val="00A8749C"/>
    <w:rsid w:val="00A902E8"/>
    <w:rsid w:val="00A9538D"/>
    <w:rsid w:val="00AA2503"/>
    <w:rsid w:val="00AC0C97"/>
    <w:rsid w:val="00AC6F3A"/>
    <w:rsid w:val="00AD0599"/>
    <w:rsid w:val="00AD059D"/>
    <w:rsid w:val="00AD0897"/>
    <w:rsid w:val="00AD1824"/>
    <w:rsid w:val="00AD2297"/>
    <w:rsid w:val="00AD3312"/>
    <w:rsid w:val="00AD3DD8"/>
    <w:rsid w:val="00AD4B87"/>
    <w:rsid w:val="00AE0092"/>
    <w:rsid w:val="00AE0900"/>
    <w:rsid w:val="00AF0B54"/>
    <w:rsid w:val="00AF1904"/>
    <w:rsid w:val="00AF1D42"/>
    <w:rsid w:val="00AF5800"/>
    <w:rsid w:val="00AF6993"/>
    <w:rsid w:val="00AF6B3F"/>
    <w:rsid w:val="00B00171"/>
    <w:rsid w:val="00B03361"/>
    <w:rsid w:val="00B06ED2"/>
    <w:rsid w:val="00B07BCB"/>
    <w:rsid w:val="00B13041"/>
    <w:rsid w:val="00B131E1"/>
    <w:rsid w:val="00B14362"/>
    <w:rsid w:val="00B14973"/>
    <w:rsid w:val="00B1586B"/>
    <w:rsid w:val="00B23AFE"/>
    <w:rsid w:val="00B26620"/>
    <w:rsid w:val="00B33485"/>
    <w:rsid w:val="00B34845"/>
    <w:rsid w:val="00B35380"/>
    <w:rsid w:val="00B360DD"/>
    <w:rsid w:val="00B3778D"/>
    <w:rsid w:val="00B402B4"/>
    <w:rsid w:val="00B425D9"/>
    <w:rsid w:val="00B42AD0"/>
    <w:rsid w:val="00B451F0"/>
    <w:rsid w:val="00B45CF2"/>
    <w:rsid w:val="00B46C5C"/>
    <w:rsid w:val="00B47288"/>
    <w:rsid w:val="00B51910"/>
    <w:rsid w:val="00B5220D"/>
    <w:rsid w:val="00B5241C"/>
    <w:rsid w:val="00B55CD3"/>
    <w:rsid w:val="00B56E98"/>
    <w:rsid w:val="00B603AA"/>
    <w:rsid w:val="00B639FC"/>
    <w:rsid w:val="00B71DC1"/>
    <w:rsid w:val="00B726EF"/>
    <w:rsid w:val="00B7757B"/>
    <w:rsid w:val="00B84E56"/>
    <w:rsid w:val="00B93044"/>
    <w:rsid w:val="00B96622"/>
    <w:rsid w:val="00B97113"/>
    <w:rsid w:val="00BA0EB0"/>
    <w:rsid w:val="00BA3D1B"/>
    <w:rsid w:val="00BB2331"/>
    <w:rsid w:val="00BB491B"/>
    <w:rsid w:val="00BB5FB8"/>
    <w:rsid w:val="00BC03F3"/>
    <w:rsid w:val="00BD138F"/>
    <w:rsid w:val="00BD39EF"/>
    <w:rsid w:val="00BD3C85"/>
    <w:rsid w:val="00BD7D8F"/>
    <w:rsid w:val="00BE1CB5"/>
    <w:rsid w:val="00BE5610"/>
    <w:rsid w:val="00BE7775"/>
    <w:rsid w:val="00BF2510"/>
    <w:rsid w:val="00BF6BCD"/>
    <w:rsid w:val="00C011D5"/>
    <w:rsid w:val="00C015E1"/>
    <w:rsid w:val="00C02F07"/>
    <w:rsid w:val="00C03AA9"/>
    <w:rsid w:val="00C04668"/>
    <w:rsid w:val="00C04B51"/>
    <w:rsid w:val="00C04FF5"/>
    <w:rsid w:val="00C05DD3"/>
    <w:rsid w:val="00C0624C"/>
    <w:rsid w:val="00C062C0"/>
    <w:rsid w:val="00C07C24"/>
    <w:rsid w:val="00C1289B"/>
    <w:rsid w:val="00C1691C"/>
    <w:rsid w:val="00C250F7"/>
    <w:rsid w:val="00C30070"/>
    <w:rsid w:val="00C34261"/>
    <w:rsid w:val="00C36001"/>
    <w:rsid w:val="00C36CE0"/>
    <w:rsid w:val="00C36D30"/>
    <w:rsid w:val="00C41982"/>
    <w:rsid w:val="00C41B31"/>
    <w:rsid w:val="00C4224C"/>
    <w:rsid w:val="00C42A41"/>
    <w:rsid w:val="00C45EB9"/>
    <w:rsid w:val="00C62DC4"/>
    <w:rsid w:val="00C647EB"/>
    <w:rsid w:val="00C664C2"/>
    <w:rsid w:val="00C71EF8"/>
    <w:rsid w:val="00C9197F"/>
    <w:rsid w:val="00C92705"/>
    <w:rsid w:val="00C9274A"/>
    <w:rsid w:val="00CA04A7"/>
    <w:rsid w:val="00CA22AF"/>
    <w:rsid w:val="00CA3026"/>
    <w:rsid w:val="00CA50F7"/>
    <w:rsid w:val="00CA6007"/>
    <w:rsid w:val="00CA6D70"/>
    <w:rsid w:val="00CB0525"/>
    <w:rsid w:val="00CB1B63"/>
    <w:rsid w:val="00CC3EE4"/>
    <w:rsid w:val="00CC4FE2"/>
    <w:rsid w:val="00CD43F1"/>
    <w:rsid w:val="00CD758B"/>
    <w:rsid w:val="00CE1DDD"/>
    <w:rsid w:val="00CE7267"/>
    <w:rsid w:val="00CE7D56"/>
    <w:rsid w:val="00CF014F"/>
    <w:rsid w:val="00CF0CB9"/>
    <w:rsid w:val="00CF1AA4"/>
    <w:rsid w:val="00CF4EB3"/>
    <w:rsid w:val="00CF66D8"/>
    <w:rsid w:val="00D00B3A"/>
    <w:rsid w:val="00D0403B"/>
    <w:rsid w:val="00D04D37"/>
    <w:rsid w:val="00D108C7"/>
    <w:rsid w:val="00D10C98"/>
    <w:rsid w:val="00D12988"/>
    <w:rsid w:val="00D12B32"/>
    <w:rsid w:val="00D30196"/>
    <w:rsid w:val="00D304AE"/>
    <w:rsid w:val="00D30C52"/>
    <w:rsid w:val="00D31072"/>
    <w:rsid w:val="00D31B70"/>
    <w:rsid w:val="00D327D0"/>
    <w:rsid w:val="00D33FD2"/>
    <w:rsid w:val="00D37B53"/>
    <w:rsid w:val="00D4160B"/>
    <w:rsid w:val="00D4166C"/>
    <w:rsid w:val="00D44D58"/>
    <w:rsid w:val="00D47789"/>
    <w:rsid w:val="00D53F2F"/>
    <w:rsid w:val="00D56595"/>
    <w:rsid w:val="00D57ADC"/>
    <w:rsid w:val="00D6298E"/>
    <w:rsid w:val="00D62F0D"/>
    <w:rsid w:val="00D63193"/>
    <w:rsid w:val="00D65C0A"/>
    <w:rsid w:val="00D662D4"/>
    <w:rsid w:val="00D70105"/>
    <w:rsid w:val="00D7092F"/>
    <w:rsid w:val="00D7596F"/>
    <w:rsid w:val="00D764C7"/>
    <w:rsid w:val="00D7659F"/>
    <w:rsid w:val="00D7684A"/>
    <w:rsid w:val="00D77A03"/>
    <w:rsid w:val="00D80776"/>
    <w:rsid w:val="00D84E69"/>
    <w:rsid w:val="00D93349"/>
    <w:rsid w:val="00D96246"/>
    <w:rsid w:val="00D96F9A"/>
    <w:rsid w:val="00DA0C11"/>
    <w:rsid w:val="00DA1B86"/>
    <w:rsid w:val="00DA64A1"/>
    <w:rsid w:val="00DB145D"/>
    <w:rsid w:val="00DB187D"/>
    <w:rsid w:val="00DB3767"/>
    <w:rsid w:val="00DB46DB"/>
    <w:rsid w:val="00DC12EE"/>
    <w:rsid w:val="00DD27FE"/>
    <w:rsid w:val="00DD2A47"/>
    <w:rsid w:val="00DD5876"/>
    <w:rsid w:val="00DD65A6"/>
    <w:rsid w:val="00DD6714"/>
    <w:rsid w:val="00DE29E0"/>
    <w:rsid w:val="00DF2E8D"/>
    <w:rsid w:val="00E001DD"/>
    <w:rsid w:val="00E01425"/>
    <w:rsid w:val="00E02017"/>
    <w:rsid w:val="00E03508"/>
    <w:rsid w:val="00E06470"/>
    <w:rsid w:val="00E070E1"/>
    <w:rsid w:val="00E16AEF"/>
    <w:rsid w:val="00E21E65"/>
    <w:rsid w:val="00E2394B"/>
    <w:rsid w:val="00E24838"/>
    <w:rsid w:val="00E256DF"/>
    <w:rsid w:val="00E26DE6"/>
    <w:rsid w:val="00E273D7"/>
    <w:rsid w:val="00E3025E"/>
    <w:rsid w:val="00E3132D"/>
    <w:rsid w:val="00E35D9D"/>
    <w:rsid w:val="00E37996"/>
    <w:rsid w:val="00E4351B"/>
    <w:rsid w:val="00E47492"/>
    <w:rsid w:val="00E47FD4"/>
    <w:rsid w:val="00E50801"/>
    <w:rsid w:val="00E50A27"/>
    <w:rsid w:val="00E50D5F"/>
    <w:rsid w:val="00E53B48"/>
    <w:rsid w:val="00E55F48"/>
    <w:rsid w:val="00E60353"/>
    <w:rsid w:val="00E62E77"/>
    <w:rsid w:val="00E7669C"/>
    <w:rsid w:val="00E76CBF"/>
    <w:rsid w:val="00E80A28"/>
    <w:rsid w:val="00E8562C"/>
    <w:rsid w:val="00E864B6"/>
    <w:rsid w:val="00E941B2"/>
    <w:rsid w:val="00E96BCC"/>
    <w:rsid w:val="00EA1079"/>
    <w:rsid w:val="00EA2626"/>
    <w:rsid w:val="00EA52A5"/>
    <w:rsid w:val="00EB024F"/>
    <w:rsid w:val="00EB1092"/>
    <w:rsid w:val="00EB3A93"/>
    <w:rsid w:val="00EB41E4"/>
    <w:rsid w:val="00EB4CE3"/>
    <w:rsid w:val="00EB6042"/>
    <w:rsid w:val="00EC31F5"/>
    <w:rsid w:val="00EC3B3F"/>
    <w:rsid w:val="00EC4359"/>
    <w:rsid w:val="00EC4599"/>
    <w:rsid w:val="00EC5118"/>
    <w:rsid w:val="00EC62E6"/>
    <w:rsid w:val="00EC6C2D"/>
    <w:rsid w:val="00ED229D"/>
    <w:rsid w:val="00ED332D"/>
    <w:rsid w:val="00ED3FED"/>
    <w:rsid w:val="00ED4CC8"/>
    <w:rsid w:val="00EE074C"/>
    <w:rsid w:val="00EE6798"/>
    <w:rsid w:val="00EE7659"/>
    <w:rsid w:val="00EF0944"/>
    <w:rsid w:val="00EF436B"/>
    <w:rsid w:val="00F000B4"/>
    <w:rsid w:val="00F00111"/>
    <w:rsid w:val="00F00561"/>
    <w:rsid w:val="00F007DA"/>
    <w:rsid w:val="00F00B7C"/>
    <w:rsid w:val="00F04C34"/>
    <w:rsid w:val="00F06CFA"/>
    <w:rsid w:val="00F121C0"/>
    <w:rsid w:val="00F12D5F"/>
    <w:rsid w:val="00F148CB"/>
    <w:rsid w:val="00F14E94"/>
    <w:rsid w:val="00F167E4"/>
    <w:rsid w:val="00F21B68"/>
    <w:rsid w:val="00F23F28"/>
    <w:rsid w:val="00F242BD"/>
    <w:rsid w:val="00F27C98"/>
    <w:rsid w:val="00F3018E"/>
    <w:rsid w:val="00F330AF"/>
    <w:rsid w:val="00F35DB6"/>
    <w:rsid w:val="00F40EE9"/>
    <w:rsid w:val="00F435A5"/>
    <w:rsid w:val="00F469E5"/>
    <w:rsid w:val="00F52BF2"/>
    <w:rsid w:val="00F541D0"/>
    <w:rsid w:val="00F56052"/>
    <w:rsid w:val="00F56219"/>
    <w:rsid w:val="00F57BC4"/>
    <w:rsid w:val="00F700D9"/>
    <w:rsid w:val="00F713A4"/>
    <w:rsid w:val="00F72E59"/>
    <w:rsid w:val="00F759F9"/>
    <w:rsid w:val="00F7764C"/>
    <w:rsid w:val="00F80513"/>
    <w:rsid w:val="00F81FF0"/>
    <w:rsid w:val="00F82E46"/>
    <w:rsid w:val="00F8306C"/>
    <w:rsid w:val="00F83084"/>
    <w:rsid w:val="00F83144"/>
    <w:rsid w:val="00F83EF1"/>
    <w:rsid w:val="00F87B48"/>
    <w:rsid w:val="00F90612"/>
    <w:rsid w:val="00F92193"/>
    <w:rsid w:val="00F93D9C"/>
    <w:rsid w:val="00F96ED4"/>
    <w:rsid w:val="00FA015B"/>
    <w:rsid w:val="00FA19D0"/>
    <w:rsid w:val="00FA4D40"/>
    <w:rsid w:val="00FA58E0"/>
    <w:rsid w:val="00FB11ED"/>
    <w:rsid w:val="00FB699B"/>
    <w:rsid w:val="00FB741F"/>
    <w:rsid w:val="00FC239F"/>
    <w:rsid w:val="00FC797F"/>
    <w:rsid w:val="00FE2453"/>
    <w:rsid w:val="00FE5608"/>
    <w:rsid w:val="00FF1670"/>
    <w:rsid w:val="00FF2762"/>
    <w:rsid w:val="00FF42B0"/>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1F03FD71"/>
  <w15:docId w15:val="{43C491BE-E40C-4BEC-8315-CCEF17D6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430880"/>
    <w:rPr>
      <w:sz w:val="20"/>
      <w:szCs w:val="20"/>
    </w:rPr>
  </w:style>
  <w:style w:type="character" w:customStyle="1" w:styleId="FootnoteTextChar">
    <w:name w:val="Footnote Text Char"/>
    <w:basedOn w:val="DefaultParagraphFont"/>
    <w:link w:val="FootnoteText"/>
    <w:uiPriority w:val="99"/>
    <w:semiHidden/>
    <w:rsid w:val="00430880"/>
    <w:rPr>
      <w:rFonts w:ascii="Times New Roman" w:hAnsi="Times New Roman"/>
      <w:lang w:bidi="en-US"/>
    </w:rPr>
  </w:style>
  <w:style w:type="character" w:styleId="FootnoteReference">
    <w:name w:val="footnote reference"/>
    <w:basedOn w:val="DefaultParagraphFont"/>
    <w:uiPriority w:val="99"/>
    <w:semiHidden/>
    <w:unhideWhenUsed/>
    <w:rsid w:val="00430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529878574">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829638511">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28084172">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2014-06-30T07:00:00+00:00</OpenedDate>
    <Date1 xmlns="dc463f71-b30c-4ab2-9473-d307f9d35888">2014-11-14T08:00:00+00:00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141363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3C187504547D46B7D1751E5E22CDA5" ma:contentTypeVersion="175" ma:contentTypeDescription="" ma:contentTypeScope="" ma:versionID="2a7e4aeb8b34f215053a0e632ba978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8FDCB-957F-442D-B19D-33664D772A3D}"/>
</file>

<file path=customXml/itemProps2.xml><?xml version="1.0" encoding="utf-8"?>
<ds:datastoreItem xmlns:ds="http://schemas.openxmlformats.org/officeDocument/2006/customXml" ds:itemID="{55B89C35-4DB2-4B11-863A-E32F1BC314F6}"/>
</file>

<file path=customXml/itemProps3.xml><?xml version="1.0" encoding="utf-8"?>
<ds:datastoreItem xmlns:ds="http://schemas.openxmlformats.org/officeDocument/2006/customXml" ds:itemID="{69A2B954-FF01-4AC3-A890-9CD4ADD13D9B}"/>
</file>

<file path=customXml/itemProps4.xml><?xml version="1.0" encoding="utf-8"?>
<ds:datastoreItem xmlns:ds="http://schemas.openxmlformats.org/officeDocument/2006/customXml" ds:itemID="{93084504-D3D9-4015-B9EC-34C09F4684CD}"/>
</file>

<file path=customXml/itemProps5.xml><?xml version="1.0" encoding="utf-8"?>
<ds:datastoreItem xmlns:ds="http://schemas.openxmlformats.org/officeDocument/2006/customXml" ds:itemID="{45227816-F000-4174-9D2D-0767F5EBBD00}"/>
</file>

<file path=customXml/itemProps6.xml><?xml version="1.0" encoding="utf-8"?>
<ds:datastoreItem xmlns:ds="http://schemas.openxmlformats.org/officeDocument/2006/customXml" ds:itemID="{A3B3C03B-A941-4F76-ABBB-9CE1D6BF2556}"/>
</file>

<file path=docProps/app.xml><?xml version="1.0" encoding="utf-8"?>
<Properties xmlns="http://schemas.openxmlformats.org/officeDocument/2006/extended-properties" xmlns:vt="http://schemas.openxmlformats.org/officeDocument/2006/docPropsVTypes">
  <Template>Normal</Template>
  <TotalTime>327</TotalTime>
  <Pages>6</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UW-141363 Rainier View Memo to Allow</vt:lpstr>
    </vt:vector>
  </TitlesOfParts>
  <Company>Washington Utilities and Transportation Commission</Company>
  <LinksUpToDate>false</LinksUpToDate>
  <CharactersWithSpaces>14447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UW-141363 Rainier View Memo to Allow</dc:title>
  <dc:subject/>
  <dc:creator>JWard</dc:creator>
  <cp:keywords/>
  <dc:description/>
  <cp:lastModifiedBy>Ward, Jim (UTC)</cp:lastModifiedBy>
  <cp:revision>23</cp:revision>
  <cp:lastPrinted>2014-11-06T23:56:00Z</cp:lastPrinted>
  <dcterms:created xsi:type="dcterms:W3CDTF">2014-11-07T00:50:00Z</dcterms:created>
  <dcterms:modified xsi:type="dcterms:W3CDTF">2014-11-10T18:14:00Z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0x0101006E56B4D1795A2E4DB2F0B01679ED314A001C3C187504547D46B7D1751E5E22CDA5</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