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E3999F" w14:textId="77777777" w:rsidR="00045148" w:rsidRPr="00045148" w:rsidRDefault="00E04B9A" w:rsidP="00502F86">
      <w:pPr>
        <w:pStyle w:val="IRPtitl"/>
        <w:ind w:left="0" w:firstLine="0"/>
        <w:rPr>
          <w:sz w:val="48"/>
          <w:szCs w:val="48"/>
        </w:rPr>
      </w:pPr>
      <w:r>
        <w:rPr>
          <w:sz w:val="48"/>
          <w:szCs w:val="48"/>
        </w:rPr>
        <w:t>2015 PSE IRP EXECUTIVE SUMMARY</w:t>
      </w:r>
      <w:r w:rsidR="00045148" w:rsidRPr="00045148">
        <w:rPr>
          <w:sz w:val="48"/>
          <w:szCs w:val="48"/>
        </w:rPr>
        <w:br/>
      </w:r>
      <w:r w:rsidR="00DA3F26">
        <w:rPr>
          <w:noProof/>
          <w:color w:val="FFFFFF" w:themeColor="background1"/>
          <w:sz w:val="48"/>
          <w:szCs w:val="48"/>
          <w:lang w:eastAsia="en-US"/>
        </w:rPr>
        <mc:AlternateContent>
          <mc:Choice Requires="wps">
            <w:drawing>
              <wp:anchor distT="0" distB="0" distL="0" distR="182880" simplePos="0" relativeHeight="251661312" behindDoc="0" locked="0" layoutInCell="1" allowOverlap="1" wp14:anchorId="4F9A4458" wp14:editId="6C3CCE97">
                <wp:simplePos x="0" y="0"/>
                <wp:positionH relativeFrom="margin">
                  <wp:posOffset>49530</wp:posOffset>
                </wp:positionH>
                <wp:positionV relativeFrom="line">
                  <wp:posOffset>218440</wp:posOffset>
                </wp:positionV>
                <wp:extent cx="3086100" cy="4914900"/>
                <wp:effectExtent l="0" t="0" r="12700" b="12700"/>
                <wp:wrapThrough wrapText="right">
                  <wp:wrapPolygon edited="0">
                    <wp:start x="0" y="0"/>
                    <wp:lineTo x="0" y="21544"/>
                    <wp:lineTo x="21511" y="21544"/>
                    <wp:lineTo x="21511" y="0"/>
                    <wp:lineTo x="0" y="0"/>
                  </wp:wrapPolygon>
                </wp:wrapThrough>
                <wp:docPr id="54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914900"/>
                        </a:xfrm>
                        <a:prstGeom prst="rect">
                          <a:avLst/>
                        </a:prstGeom>
                        <a:solidFill>
                          <a:srgbClr val="71BB32"/>
                        </a:solidFill>
                        <a:ln>
                          <a:noFill/>
                        </a:ln>
                        <a:extLst/>
                      </wps:spPr>
                      <wps:txbx>
                        <w:txbxContent>
                          <w:p w14:paraId="3370D4D8" w14:textId="77777777" w:rsidR="00643810" w:rsidRPr="00771D35" w:rsidRDefault="00643810" w:rsidP="00601E72">
                            <w:pPr>
                              <w:pStyle w:val="IRPsub1"/>
                              <w:rPr>
                                <w:i w:val="0"/>
                                <w:sz w:val="32"/>
                                <w:szCs w:val="32"/>
                              </w:rPr>
                            </w:pPr>
                            <w:r w:rsidRPr="00771D35">
                              <w:rPr>
                                <w:i w:val="0"/>
                                <w:sz w:val="32"/>
                                <w:szCs w:val="32"/>
                              </w:rPr>
                              <w:t>Contents:</w:t>
                            </w:r>
                          </w:p>
                          <w:p w14:paraId="0AA224B5" w14:textId="77777777" w:rsidR="00643810" w:rsidRDefault="00643810" w:rsidP="00E04B9A">
                            <w:pPr>
                              <w:pStyle w:val="IRPsub1"/>
                              <w:spacing w:before="80" w:after="80" w:line="276" w:lineRule="auto"/>
                              <w:rPr>
                                <w:b/>
                                <w:color w:val="02265C"/>
                              </w:rPr>
                            </w:pPr>
                            <w:r>
                              <w:rPr>
                                <w:b/>
                                <w:color w:val="02265C"/>
                              </w:rPr>
                              <w:t>1-2. OVERVIEW</w:t>
                            </w:r>
                          </w:p>
                          <w:p w14:paraId="0966FD1D" w14:textId="77777777" w:rsidR="00643810" w:rsidRDefault="00C87C22" w:rsidP="00E04B9A">
                            <w:pPr>
                              <w:pStyle w:val="IRPsub1"/>
                              <w:spacing w:before="80" w:after="80" w:line="276" w:lineRule="auto"/>
                              <w:rPr>
                                <w:b/>
                                <w:color w:val="02265C"/>
                              </w:rPr>
                            </w:pPr>
                            <w:r>
                              <w:rPr>
                                <w:b/>
                                <w:color w:val="02265C"/>
                              </w:rPr>
                              <w:t>1-10</w:t>
                            </w:r>
                            <w:r w:rsidR="00643810">
                              <w:rPr>
                                <w:b/>
                                <w:color w:val="02265C"/>
                              </w:rPr>
                              <w:t>. ACTION PLANS</w:t>
                            </w:r>
                          </w:p>
                          <w:p w14:paraId="4F08EE57" w14:textId="77777777" w:rsidR="00643810" w:rsidRPr="00E04B9A" w:rsidRDefault="00643810" w:rsidP="001457F5">
                            <w:pPr>
                              <w:pStyle w:val="ListParagraph"/>
                              <w:numPr>
                                <w:ilvl w:val="0"/>
                                <w:numId w:val="2"/>
                              </w:numPr>
                              <w:spacing w:line="276" w:lineRule="auto"/>
                              <w:rPr>
                                <w:rFonts w:ascii="Arial" w:hAnsi="Arial"/>
                                <w:i/>
                              </w:rPr>
                            </w:pPr>
                            <w:r w:rsidRPr="00E04B9A">
                              <w:rPr>
                                <w:rFonts w:ascii="Arial" w:hAnsi="Arial"/>
                                <w:i/>
                              </w:rPr>
                              <w:t xml:space="preserve">Action Plans vs. Resource </w:t>
                            </w:r>
                            <w:r>
                              <w:rPr>
                                <w:rFonts w:ascii="Arial" w:hAnsi="Arial"/>
                                <w:i/>
                              </w:rPr>
                              <w:t xml:space="preserve">Plan </w:t>
                            </w:r>
                            <w:r w:rsidRPr="00E04B9A">
                              <w:rPr>
                                <w:rFonts w:ascii="Arial" w:hAnsi="Arial"/>
                                <w:i/>
                              </w:rPr>
                              <w:t>Forecasts</w:t>
                            </w:r>
                          </w:p>
                          <w:p w14:paraId="24AC7146" w14:textId="77777777" w:rsidR="00643810" w:rsidRPr="00E04B9A" w:rsidRDefault="00643810" w:rsidP="001457F5">
                            <w:pPr>
                              <w:pStyle w:val="ListParagraph"/>
                              <w:numPr>
                                <w:ilvl w:val="0"/>
                                <w:numId w:val="2"/>
                              </w:numPr>
                              <w:spacing w:line="276" w:lineRule="auto"/>
                              <w:rPr>
                                <w:rFonts w:ascii="Arial" w:hAnsi="Arial"/>
                                <w:i/>
                              </w:rPr>
                            </w:pPr>
                            <w:r w:rsidRPr="00E04B9A">
                              <w:rPr>
                                <w:rFonts w:ascii="Arial" w:hAnsi="Arial"/>
                                <w:i/>
                              </w:rPr>
                              <w:t>Electric Action Plan</w:t>
                            </w:r>
                          </w:p>
                          <w:p w14:paraId="068252F7" w14:textId="77777777" w:rsidR="00C87C22" w:rsidRDefault="00643810" w:rsidP="001457F5">
                            <w:pPr>
                              <w:pStyle w:val="ListParagraph"/>
                              <w:numPr>
                                <w:ilvl w:val="0"/>
                                <w:numId w:val="2"/>
                              </w:numPr>
                              <w:spacing w:line="276" w:lineRule="auto"/>
                              <w:rPr>
                                <w:rFonts w:ascii="Arial" w:hAnsi="Arial"/>
                                <w:i/>
                              </w:rPr>
                            </w:pPr>
                            <w:r w:rsidRPr="00E04B9A">
                              <w:rPr>
                                <w:rFonts w:ascii="Arial" w:hAnsi="Arial"/>
                                <w:i/>
                              </w:rPr>
                              <w:t>Gas Sales Action Plan</w:t>
                            </w:r>
                          </w:p>
                          <w:p w14:paraId="50B57A9D" w14:textId="77777777" w:rsidR="00643810" w:rsidRPr="00E04B9A" w:rsidRDefault="00C87C22" w:rsidP="001457F5">
                            <w:pPr>
                              <w:pStyle w:val="ListParagraph"/>
                              <w:numPr>
                                <w:ilvl w:val="0"/>
                                <w:numId w:val="2"/>
                              </w:numPr>
                              <w:spacing w:line="276" w:lineRule="auto"/>
                              <w:rPr>
                                <w:rFonts w:ascii="Arial" w:hAnsi="Arial"/>
                                <w:i/>
                              </w:rPr>
                            </w:pPr>
                            <w:r>
                              <w:rPr>
                                <w:rFonts w:ascii="Arial" w:hAnsi="Arial"/>
                                <w:i/>
                              </w:rPr>
                              <w:t>Gas-Electric Convergence Action Plan</w:t>
                            </w:r>
                          </w:p>
                          <w:p w14:paraId="5D2DAB4E" w14:textId="77777777" w:rsidR="00643810" w:rsidRDefault="00C87C22" w:rsidP="00E04B9A">
                            <w:pPr>
                              <w:pStyle w:val="IRPsub1"/>
                              <w:spacing w:before="80" w:after="80" w:line="276" w:lineRule="auto"/>
                              <w:rPr>
                                <w:b/>
                                <w:color w:val="02265C"/>
                              </w:rPr>
                            </w:pPr>
                            <w:r>
                              <w:rPr>
                                <w:b/>
                                <w:color w:val="02265C"/>
                              </w:rPr>
                              <w:t>1-13</w:t>
                            </w:r>
                            <w:r w:rsidR="00643810">
                              <w:rPr>
                                <w:b/>
                                <w:color w:val="02265C"/>
                              </w:rPr>
                              <w:t xml:space="preserve">. ELECTRIC RESOURCE PLAN </w:t>
                            </w:r>
                            <w:r w:rsidR="00643810">
                              <w:rPr>
                                <w:b/>
                                <w:color w:val="02265C"/>
                              </w:rPr>
                              <w:br/>
                              <w:t xml:space="preserve">      FORECAST</w:t>
                            </w:r>
                          </w:p>
                          <w:p w14:paraId="3C11BA1C" w14:textId="77777777" w:rsidR="00643810" w:rsidRPr="00E04B9A" w:rsidRDefault="00643810" w:rsidP="001457F5">
                            <w:pPr>
                              <w:pStyle w:val="ListParagraph"/>
                              <w:numPr>
                                <w:ilvl w:val="0"/>
                                <w:numId w:val="3"/>
                              </w:numPr>
                              <w:spacing w:line="276" w:lineRule="auto"/>
                              <w:rPr>
                                <w:rFonts w:ascii="Arial" w:hAnsi="Arial"/>
                                <w:i/>
                              </w:rPr>
                            </w:pPr>
                            <w:r w:rsidRPr="00E04B9A">
                              <w:rPr>
                                <w:rFonts w:ascii="Arial" w:hAnsi="Arial"/>
                                <w:i/>
                              </w:rPr>
                              <w:t>Electric Resource Need</w:t>
                            </w:r>
                          </w:p>
                          <w:p w14:paraId="0F1D97CC" w14:textId="77777777" w:rsidR="00643810" w:rsidRPr="00E04B9A" w:rsidRDefault="00643810" w:rsidP="001457F5">
                            <w:pPr>
                              <w:pStyle w:val="ListParagraph"/>
                              <w:numPr>
                                <w:ilvl w:val="0"/>
                                <w:numId w:val="3"/>
                              </w:numPr>
                              <w:spacing w:line="276" w:lineRule="auto"/>
                              <w:rPr>
                                <w:rFonts w:ascii="Arial" w:hAnsi="Arial"/>
                                <w:i/>
                              </w:rPr>
                            </w:pPr>
                            <w:r w:rsidRPr="00E04B9A">
                              <w:rPr>
                                <w:rFonts w:ascii="Arial" w:hAnsi="Arial"/>
                                <w:i/>
                              </w:rPr>
                              <w:t xml:space="preserve">Electric Portfolio </w:t>
                            </w:r>
                            <w:r>
                              <w:rPr>
                                <w:rFonts w:ascii="Arial" w:hAnsi="Arial"/>
                                <w:i/>
                              </w:rPr>
                              <w:t xml:space="preserve">Resource </w:t>
                            </w:r>
                            <w:r w:rsidRPr="00E04B9A">
                              <w:rPr>
                                <w:rFonts w:ascii="Arial" w:hAnsi="Arial"/>
                                <w:i/>
                              </w:rPr>
                              <w:t>Additions Forecast</w:t>
                            </w:r>
                          </w:p>
                          <w:p w14:paraId="7D55157E" w14:textId="77777777" w:rsidR="00643810" w:rsidRPr="00E04B9A" w:rsidRDefault="00643810" w:rsidP="001457F5">
                            <w:pPr>
                              <w:pStyle w:val="ListParagraph"/>
                              <w:numPr>
                                <w:ilvl w:val="0"/>
                                <w:numId w:val="3"/>
                              </w:numPr>
                              <w:spacing w:line="276" w:lineRule="auto"/>
                              <w:rPr>
                                <w:rFonts w:ascii="Arial" w:hAnsi="Arial"/>
                                <w:i/>
                              </w:rPr>
                            </w:pPr>
                            <w:r w:rsidRPr="00E04B9A">
                              <w:rPr>
                                <w:rFonts w:ascii="Arial" w:hAnsi="Arial"/>
                                <w:i/>
                              </w:rPr>
                              <w:t xml:space="preserve">Costs and Carbon Emissions </w:t>
                            </w:r>
                          </w:p>
                          <w:p w14:paraId="44267F4E" w14:textId="77777777" w:rsidR="00643810" w:rsidRDefault="00643810" w:rsidP="00E04B9A">
                            <w:pPr>
                              <w:pStyle w:val="IRPsub1"/>
                              <w:spacing w:before="80" w:after="80" w:line="276" w:lineRule="auto"/>
                              <w:rPr>
                                <w:b/>
                                <w:color w:val="02265C"/>
                              </w:rPr>
                            </w:pPr>
                            <w:r>
                              <w:rPr>
                                <w:b/>
                                <w:color w:val="02265C"/>
                              </w:rPr>
                              <w:t xml:space="preserve">1-23. GAS SALES RESOURCE PLAN </w:t>
                            </w:r>
                            <w:r>
                              <w:rPr>
                                <w:b/>
                                <w:color w:val="02265C"/>
                              </w:rPr>
                              <w:br/>
                              <w:t xml:space="preserve">      FORECAST</w:t>
                            </w:r>
                          </w:p>
                          <w:p w14:paraId="13EEA8FB" w14:textId="77777777" w:rsidR="00643810" w:rsidRPr="00E04B9A" w:rsidRDefault="00643810" w:rsidP="001457F5">
                            <w:pPr>
                              <w:pStyle w:val="ListParagraph"/>
                              <w:numPr>
                                <w:ilvl w:val="0"/>
                                <w:numId w:val="4"/>
                              </w:numPr>
                              <w:spacing w:line="276" w:lineRule="auto"/>
                              <w:rPr>
                                <w:rFonts w:ascii="Arial" w:hAnsi="Arial"/>
                                <w:i/>
                              </w:rPr>
                            </w:pPr>
                            <w:r w:rsidRPr="00E04B9A">
                              <w:rPr>
                                <w:rFonts w:ascii="Arial" w:hAnsi="Arial"/>
                                <w:i/>
                              </w:rPr>
                              <w:t>Gas Sales Resource Need</w:t>
                            </w:r>
                          </w:p>
                          <w:p w14:paraId="45D57043" w14:textId="77777777" w:rsidR="00643810" w:rsidRPr="00E04B9A" w:rsidRDefault="00643810" w:rsidP="001457F5">
                            <w:pPr>
                              <w:pStyle w:val="ListParagraph"/>
                              <w:numPr>
                                <w:ilvl w:val="0"/>
                                <w:numId w:val="4"/>
                              </w:numPr>
                              <w:spacing w:line="276" w:lineRule="auto"/>
                              <w:rPr>
                                <w:rFonts w:ascii="Arial" w:hAnsi="Arial"/>
                                <w:i/>
                              </w:rPr>
                            </w:pPr>
                            <w:r w:rsidRPr="00E04B9A">
                              <w:rPr>
                                <w:rFonts w:ascii="Arial" w:hAnsi="Arial"/>
                                <w:i/>
                              </w:rPr>
                              <w:t>Gas Sales Resource Additions Forecast</w:t>
                            </w:r>
                          </w:p>
                          <w:p w14:paraId="28409455" w14:textId="77777777" w:rsidR="00643810" w:rsidRPr="00E04B9A" w:rsidRDefault="00643810" w:rsidP="00E04B9A">
                            <w:pPr>
                              <w:pStyle w:val="IRPsub1"/>
                              <w:spacing w:before="80" w:after="80" w:line="276" w:lineRule="auto"/>
                              <w:rPr>
                                <w:b/>
                                <w:color w:val="02265C"/>
                              </w:rPr>
                            </w:pPr>
                            <w:r>
                              <w:rPr>
                                <w:b/>
                                <w:color w:val="02265C"/>
                              </w:rPr>
                              <w:t>1-26. THE IRP AND THE RESOURCE ACQUISITION PROCESS</w:t>
                            </w: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67" o:spid="_x0000_s1026" type="#_x0000_t202" style="position:absolute;margin-left:3.9pt;margin-top:17.2pt;width:243pt;height:387pt;z-index:251661312;visibility:visible;mso-wrap-style:square;mso-width-percent:0;mso-height-percent:0;mso-wrap-distance-left:0;mso-wrap-distance-top:0;mso-wrap-distance-right:14.4pt;mso-wrap-distance-bottom:0;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" fillcolor="#71bb32" stroked="f">
                <v:textbox inset="14.4pt,7.2pt,,7.2pt">
                  <w:txbxContent>
                    <w:p w14:paraId="3370D4D8" w14:textId="77777777" w:rsidR="00643810" w:rsidRPr="00771D35" w:rsidRDefault="00643810" w:rsidP="00601E72">
                      <w:pPr>
                        <w:pStyle w:val="IRPsub1"/>
                        <w:rPr>
                          <w:i w:val="0"/>
                          <w:sz w:val="32"/>
                          <w:szCs w:val="32"/>
                        </w:rPr>
                      </w:pPr>
                      <w:r w:rsidRPr="00771D35">
                        <w:rPr>
                          <w:i w:val="0"/>
                          <w:sz w:val="32"/>
                          <w:szCs w:val="32"/>
                        </w:rPr>
                        <w:t>Contents:</w:t>
                      </w:r>
                    </w:p>
                    <w:p w14:paraId="0AA224B5" w14:textId="77777777" w:rsidR="00643810" w:rsidRDefault="00643810" w:rsidP="00E04B9A">
                      <w:pPr>
                        <w:pStyle w:val="IRPsub1"/>
                        <w:spacing w:before="80" w:after="80" w:line="276" w:lineRule="auto"/>
                        <w:rPr>
                          <w:b/>
                          <w:color w:val="02265C"/>
                        </w:rPr>
                      </w:pPr>
                      <w:r>
                        <w:rPr>
                          <w:b/>
                          <w:color w:val="02265C"/>
                        </w:rPr>
                        <w:t>1-2. OVERVIEW</w:t>
                      </w:r>
                    </w:p>
                    <w:p w14:paraId="0966FD1D" w14:textId="77777777" w:rsidR="00643810" w:rsidRDefault="00C87C22" w:rsidP="00E04B9A">
                      <w:pPr>
                        <w:pStyle w:val="IRPsub1"/>
                        <w:spacing w:before="80" w:after="80" w:line="276" w:lineRule="auto"/>
                        <w:rPr>
                          <w:b/>
                          <w:color w:val="02265C"/>
                        </w:rPr>
                      </w:pPr>
                      <w:r>
                        <w:rPr>
                          <w:b/>
                          <w:color w:val="02265C"/>
                        </w:rPr>
                        <w:t>1-10</w:t>
                      </w:r>
                      <w:r w:rsidR="00643810">
                        <w:rPr>
                          <w:b/>
                          <w:color w:val="02265C"/>
                        </w:rPr>
                        <w:t>. ACTION PLANS</w:t>
                      </w:r>
                    </w:p>
                    <w:p w14:paraId="4F08EE57" w14:textId="77777777" w:rsidR="00643810" w:rsidRPr="00E04B9A" w:rsidRDefault="00643810" w:rsidP="001457F5">
                      <w:pPr>
                        <w:pStyle w:val="ListParagraph"/>
                        <w:numPr>
                          <w:ilvl w:val="0"/>
                          <w:numId w:val="2"/>
                        </w:numPr>
                        <w:spacing w:line="276" w:lineRule="auto"/>
                        <w:rPr>
                          <w:rFonts w:ascii="Arial" w:hAnsi="Arial"/>
                          <w:i/>
                        </w:rPr>
                      </w:pPr>
                      <w:r w:rsidRPr="00E04B9A">
                        <w:rPr>
                          <w:rFonts w:ascii="Arial" w:hAnsi="Arial"/>
                          <w:i/>
                        </w:rPr>
                        <w:t xml:space="preserve">Action Plans vs. Resource </w:t>
                      </w:r>
                      <w:r>
                        <w:rPr>
                          <w:rFonts w:ascii="Arial" w:hAnsi="Arial"/>
                          <w:i/>
                        </w:rPr>
                        <w:t xml:space="preserve">Plan </w:t>
                      </w:r>
                      <w:r w:rsidRPr="00E04B9A">
                        <w:rPr>
                          <w:rFonts w:ascii="Arial" w:hAnsi="Arial"/>
                          <w:i/>
                        </w:rPr>
                        <w:t>Forecasts</w:t>
                      </w:r>
                    </w:p>
                    <w:p w14:paraId="24AC7146" w14:textId="77777777" w:rsidR="00643810" w:rsidRPr="00E04B9A" w:rsidRDefault="00643810" w:rsidP="001457F5">
                      <w:pPr>
                        <w:pStyle w:val="ListParagraph"/>
                        <w:numPr>
                          <w:ilvl w:val="0"/>
                          <w:numId w:val="2"/>
                        </w:numPr>
                        <w:spacing w:line="276" w:lineRule="auto"/>
                        <w:rPr>
                          <w:rFonts w:ascii="Arial" w:hAnsi="Arial"/>
                          <w:i/>
                        </w:rPr>
                      </w:pPr>
                      <w:r w:rsidRPr="00E04B9A">
                        <w:rPr>
                          <w:rFonts w:ascii="Arial" w:hAnsi="Arial"/>
                          <w:i/>
                        </w:rPr>
                        <w:t>Electric Action Plan</w:t>
                      </w:r>
                    </w:p>
                    <w:p w14:paraId="068252F7" w14:textId="77777777" w:rsidR="00C87C22" w:rsidRDefault="00643810" w:rsidP="001457F5">
                      <w:pPr>
                        <w:pStyle w:val="ListParagraph"/>
                        <w:numPr>
                          <w:ilvl w:val="0"/>
                          <w:numId w:val="2"/>
                        </w:numPr>
                        <w:spacing w:line="276" w:lineRule="auto"/>
                        <w:rPr>
                          <w:rFonts w:ascii="Arial" w:hAnsi="Arial"/>
                          <w:i/>
                        </w:rPr>
                      </w:pPr>
                      <w:r w:rsidRPr="00E04B9A">
                        <w:rPr>
                          <w:rFonts w:ascii="Arial" w:hAnsi="Arial"/>
                          <w:i/>
                        </w:rPr>
                        <w:t>Gas Sales Action Plan</w:t>
                      </w:r>
                    </w:p>
                    <w:p w14:paraId="50B57A9D" w14:textId="77777777" w:rsidR="00643810" w:rsidRPr="00E04B9A" w:rsidRDefault="00C87C22" w:rsidP="001457F5">
                      <w:pPr>
                        <w:pStyle w:val="ListParagraph"/>
                        <w:numPr>
                          <w:ilvl w:val="0"/>
                          <w:numId w:val="2"/>
                        </w:numPr>
                        <w:spacing w:line="276" w:lineRule="auto"/>
                        <w:rPr>
                          <w:rFonts w:ascii="Arial" w:hAnsi="Arial"/>
                          <w:i/>
                        </w:rPr>
                      </w:pPr>
                      <w:r>
                        <w:rPr>
                          <w:rFonts w:ascii="Arial" w:hAnsi="Arial"/>
                          <w:i/>
                        </w:rPr>
                        <w:t>Gas-Electric Convergence Action Plan</w:t>
                      </w:r>
                    </w:p>
                    <w:p w14:paraId="5D2DAB4E" w14:textId="77777777" w:rsidR="00643810" w:rsidRDefault="00C87C22" w:rsidP="00E04B9A">
                      <w:pPr>
                        <w:pStyle w:val="IRPsub1"/>
                        <w:spacing w:before="80" w:after="80" w:line="276" w:lineRule="auto"/>
                        <w:rPr>
                          <w:b/>
                          <w:color w:val="02265C"/>
                        </w:rPr>
                      </w:pPr>
                      <w:r>
                        <w:rPr>
                          <w:b/>
                          <w:color w:val="02265C"/>
                        </w:rPr>
                        <w:t>1-13</w:t>
                      </w:r>
                      <w:r w:rsidR="00643810">
                        <w:rPr>
                          <w:b/>
                          <w:color w:val="02265C"/>
                        </w:rPr>
                        <w:t xml:space="preserve">. ELECTRIC RESOURCE PLAN </w:t>
                      </w:r>
                      <w:r w:rsidR="00643810">
                        <w:rPr>
                          <w:b/>
                          <w:color w:val="02265C"/>
                        </w:rPr>
                        <w:br/>
                        <w:t xml:space="preserve">      FORECAST</w:t>
                      </w:r>
                    </w:p>
                    <w:p w14:paraId="3C11BA1C" w14:textId="77777777" w:rsidR="00643810" w:rsidRPr="00E04B9A" w:rsidRDefault="00643810" w:rsidP="001457F5">
                      <w:pPr>
                        <w:pStyle w:val="ListParagraph"/>
                        <w:numPr>
                          <w:ilvl w:val="0"/>
                          <w:numId w:val="3"/>
                        </w:numPr>
                        <w:spacing w:line="276" w:lineRule="auto"/>
                        <w:rPr>
                          <w:rFonts w:ascii="Arial" w:hAnsi="Arial"/>
                          <w:i/>
                        </w:rPr>
                      </w:pPr>
                      <w:r w:rsidRPr="00E04B9A">
                        <w:rPr>
                          <w:rFonts w:ascii="Arial" w:hAnsi="Arial"/>
                          <w:i/>
                        </w:rPr>
                        <w:t>Electric Resource Need</w:t>
                      </w:r>
                    </w:p>
                    <w:p w14:paraId="0F1D97CC" w14:textId="77777777" w:rsidR="00643810" w:rsidRPr="00E04B9A" w:rsidRDefault="00643810" w:rsidP="001457F5">
                      <w:pPr>
                        <w:pStyle w:val="ListParagraph"/>
                        <w:numPr>
                          <w:ilvl w:val="0"/>
                          <w:numId w:val="3"/>
                        </w:numPr>
                        <w:spacing w:line="276" w:lineRule="auto"/>
                        <w:rPr>
                          <w:rFonts w:ascii="Arial" w:hAnsi="Arial"/>
                          <w:i/>
                        </w:rPr>
                      </w:pPr>
                      <w:r w:rsidRPr="00E04B9A">
                        <w:rPr>
                          <w:rFonts w:ascii="Arial" w:hAnsi="Arial"/>
                          <w:i/>
                        </w:rPr>
                        <w:t xml:space="preserve">Electric Portfolio </w:t>
                      </w:r>
                      <w:r>
                        <w:rPr>
                          <w:rFonts w:ascii="Arial" w:hAnsi="Arial"/>
                          <w:i/>
                        </w:rPr>
                        <w:t xml:space="preserve">Resource </w:t>
                      </w:r>
                      <w:r w:rsidRPr="00E04B9A">
                        <w:rPr>
                          <w:rFonts w:ascii="Arial" w:hAnsi="Arial"/>
                          <w:i/>
                        </w:rPr>
                        <w:t>Additions Forecast</w:t>
                      </w:r>
                    </w:p>
                    <w:p w14:paraId="7D55157E" w14:textId="77777777" w:rsidR="00643810" w:rsidRPr="00E04B9A" w:rsidRDefault="00643810" w:rsidP="001457F5">
                      <w:pPr>
                        <w:pStyle w:val="ListParagraph"/>
                        <w:numPr>
                          <w:ilvl w:val="0"/>
                          <w:numId w:val="3"/>
                        </w:numPr>
                        <w:spacing w:line="276" w:lineRule="auto"/>
                        <w:rPr>
                          <w:rFonts w:ascii="Arial" w:hAnsi="Arial"/>
                          <w:i/>
                        </w:rPr>
                      </w:pPr>
                      <w:r w:rsidRPr="00E04B9A">
                        <w:rPr>
                          <w:rFonts w:ascii="Arial" w:hAnsi="Arial"/>
                          <w:i/>
                        </w:rPr>
                        <w:t xml:space="preserve">Costs and Carbon Emissions </w:t>
                      </w:r>
                    </w:p>
                    <w:p w14:paraId="44267F4E" w14:textId="77777777" w:rsidR="00643810" w:rsidRDefault="00643810" w:rsidP="00E04B9A">
                      <w:pPr>
                        <w:pStyle w:val="IRPsub1"/>
                        <w:spacing w:before="80" w:after="80" w:line="276" w:lineRule="auto"/>
                        <w:rPr>
                          <w:b/>
                          <w:color w:val="02265C"/>
                        </w:rPr>
                      </w:pPr>
                      <w:r>
                        <w:rPr>
                          <w:b/>
                          <w:color w:val="02265C"/>
                        </w:rPr>
                        <w:t xml:space="preserve">1-23. GAS SALES RESOURCE PLAN </w:t>
                      </w:r>
                      <w:r>
                        <w:rPr>
                          <w:b/>
                          <w:color w:val="02265C"/>
                        </w:rPr>
                        <w:br/>
                        <w:t xml:space="preserve">      FORECAST</w:t>
                      </w:r>
                    </w:p>
                    <w:p w14:paraId="13EEA8FB" w14:textId="77777777" w:rsidR="00643810" w:rsidRPr="00E04B9A" w:rsidRDefault="00643810" w:rsidP="001457F5">
                      <w:pPr>
                        <w:pStyle w:val="ListParagraph"/>
                        <w:numPr>
                          <w:ilvl w:val="0"/>
                          <w:numId w:val="4"/>
                        </w:numPr>
                        <w:spacing w:line="276" w:lineRule="auto"/>
                        <w:rPr>
                          <w:rFonts w:ascii="Arial" w:hAnsi="Arial"/>
                          <w:i/>
                        </w:rPr>
                      </w:pPr>
                      <w:r w:rsidRPr="00E04B9A">
                        <w:rPr>
                          <w:rFonts w:ascii="Arial" w:hAnsi="Arial"/>
                          <w:i/>
                        </w:rPr>
                        <w:t>Gas Sales Resource Need</w:t>
                      </w:r>
                    </w:p>
                    <w:p w14:paraId="45D57043" w14:textId="77777777" w:rsidR="00643810" w:rsidRPr="00E04B9A" w:rsidRDefault="00643810" w:rsidP="001457F5">
                      <w:pPr>
                        <w:pStyle w:val="ListParagraph"/>
                        <w:numPr>
                          <w:ilvl w:val="0"/>
                          <w:numId w:val="4"/>
                        </w:numPr>
                        <w:spacing w:line="276" w:lineRule="auto"/>
                        <w:rPr>
                          <w:rFonts w:ascii="Arial" w:hAnsi="Arial"/>
                          <w:i/>
                        </w:rPr>
                      </w:pPr>
                      <w:r w:rsidRPr="00E04B9A">
                        <w:rPr>
                          <w:rFonts w:ascii="Arial" w:hAnsi="Arial"/>
                          <w:i/>
                        </w:rPr>
                        <w:t>Gas Sales Resource Additions Forecast</w:t>
                      </w:r>
                    </w:p>
                    <w:p w14:paraId="28409455" w14:textId="77777777" w:rsidR="00643810" w:rsidRPr="00E04B9A" w:rsidRDefault="00643810" w:rsidP="00E04B9A">
                      <w:pPr>
                        <w:pStyle w:val="IRPsub1"/>
                        <w:spacing w:before="80" w:after="80" w:line="276" w:lineRule="auto"/>
                        <w:rPr>
                          <w:b/>
                          <w:color w:val="02265C"/>
                        </w:rPr>
                      </w:pPr>
                      <w:r>
                        <w:rPr>
                          <w:b/>
                          <w:color w:val="02265C"/>
                        </w:rPr>
                        <w:t>1-26. THE IRP AND THE RESOURCE ACQUISITION PROCESS</w:t>
                      </w:r>
                    </w:p>
                  </w:txbxContent>
                </v:textbox>
                <w10:wrap type="through" side="right" anchorx="margin" anchory="line"/>
              </v:shape>
            </w:pict>
          </mc:Fallback>
        </mc:AlternateContent>
      </w:r>
    </w:p>
    <w:p w14:paraId="12891918" w14:textId="77777777" w:rsidR="008705D8" w:rsidRDefault="002C251A" w:rsidP="00E04B9A">
      <w:pPr>
        <w:pStyle w:val="IRPseriftextbig"/>
      </w:pPr>
      <w:r>
        <w:t xml:space="preserve">The </w:t>
      </w:r>
      <w:r w:rsidRPr="00E04B9A">
        <w:t xml:space="preserve">primary value </w:t>
      </w:r>
      <w:r>
        <w:t>of the</w:t>
      </w:r>
      <w:r w:rsidRPr="00E04B9A">
        <w:t xml:space="preserve"> IRP </w:t>
      </w:r>
      <w:r>
        <w:t>is</w:t>
      </w:r>
      <w:r w:rsidRPr="00E04B9A">
        <w:t xml:space="preserve"> what we learn from the opportunity to do three things: develop key analytical tools to aid in prudent decision making, create and manage expectations about the near future, and think broadly about the next two decades.</w:t>
      </w:r>
      <w:r>
        <w:t xml:space="preserve"> The portfolios produced by the </w:t>
      </w:r>
      <w:r w:rsidR="008705D8">
        <w:t xml:space="preserve">analysis </w:t>
      </w:r>
      <w:r>
        <w:t xml:space="preserve">are best understood as a forecast of resource additions that appear to be cost effective given what </w:t>
      </w:r>
      <w:r w:rsidR="008705D8">
        <w:t>we kno</w:t>
      </w:r>
      <w:r w:rsidR="00212CA1">
        <w:t>w today about the future</w:t>
      </w:r>
      <w:r w:rsidR="00796D4D">
        <w:t>. We know</w:t>
      </w:r>
      <w:r w:rsidR="00212CA1">
        <w:t xml:space="preserve"> these forecasts will change as </w:t>
      </w:r>
      <w:r w:rsidR="00796D4D">
        <w:t xml:space="preserve">the future unfolds and </w:t>
      </w:r>
      <w:r w:rsidR="00212CA1">
        <w:t>conditions change</w:t>
      </w:r>
      <w:r w:rsidR="00C936AA">
        <w:t xml:space="preserve">. </w:t>
      </w:r>
      <w:r w:rsidR="00212CA1">
        <w:t xml:space="preserve">PSE’s commitments to action are driven by what we </w:t>
      </w:r>
      <w:proofErr w:type="gramStart"/>
      <w:r w:rsidR="00212CA1">
        <w:t>learn</w:t>
      </w:r>
      <w:proofErr w:type="gramEnd"/>
      <w:r w:rsidR="00212CA1">
        <w:t xml:space="preserve"> through the </w:t>
      </w:r>
      <w:r w:rsidR="00796D4D">
        <w:t xml:space="preserve">planning </w:t>
      </w:r>
      <w:r w:rsidR="00FA31E4">
        <w:t>exercise. T</w:t>
      </w:r>
      <w:r w:rsidR="00212CA1">
        <w:t>hese commitments are embodied in the Action Plans presented here</w:t>
      </w:r>
      <w:r w:rsidR="008705D8">
        <w:t xml:space="preserve">.  </w:t>
      </w:r>
    </w:p>
    <w:p w14:paraId="30946744" w14:textId="77777777" w:rsidR="00E04B9A" w:rsidRPr="00E04B9A" w:rsidRDefault="00E04B9A" w:rsidP="00E04B9A">
      <w:pPr>
        <w:pStyle w:val="IRPseriftextbig"/>
      </w:pPr>
      <w:r w:rsidRPr="00E04B9A">
        <w:t xml:space="preserve"> </w:t>
      </w:r>
    </w:p>
    <w:p w14:paraId="484A625C" w14:textId="77777777" w:rsidR="00C12FBA" w:rsidRPr="008139F0" w:rsidRDefault="00C12FBA" w:rsidP="000D3DFF">
      <w:pPr>
        <w:spacing w:line="292" w:lineRule="auto"/>
        <w:ind w:left="4770" w:right="664"/>
        <w:rPr>
          <w:rFonts w:ascii="Palatino Linotype"/>
          <w:i/>
          <w:color w:val="FF0000"/>
          <w:sz w:val="28"/>
        </w:rPr>
      </w:pPr>
      <w:r w:rsidRPr="008139F0">
        <w:rPr>
          <w:color w:val="FF0000"/>
        </w:rPr>
        <w:br w:type="page"/>
      </w:r>
    </w:p>
    <w:p w14:paraId="68AC4846" w14:textId="77777777" w:rsidR="00882098" w:rsidRDefault="00E04B9A" w:rsidP="00882098">
      <w:pPr>
        <w:pStyle w:val="IRPsecthead2sans"/>
      </w:pPr>
      <w:r>
        <w:lastRenderedPageBreak/>
        <w:t>OVERVIEW</w:t>
      </w:r>
    </w:p>
    <w:p w14:paraId="345D9200" w14:textId="77777777" w:rsidR="00505A09" w:rsidRDefault="00505A09" w:rsidP="00E04B9A">
      <w:pPr>
        <w:pStyle w:val="IRPsanstext"/>
      </w:pPr>
    </w:p>
    <w:p w14:paraId="04B6EB69" w14:textId="77777777" w:rsidR="002F7464" w:rsidRPr="00E04B9A" w:rsidRDefault="002F7464" w:rsidP="002F7464">
      <w:pPr>
        <w:pStyle w:val="IRPsanstext"/>
      </w:pPr>
      <w:r w:rsidRPr="00E04B9A">
        <w:t xml:space="preserve">In this IRP, we reoriented our capacity planning standard to focus on the value of reliability to our customers; and, for the first time, we explicitly incorporated physical risk in wholesale markets into our needs assessment. This IRP indicates </w:t>
      </w:r>
      <w:r w:rsidR="001B21C3">
        <w:t>PSE</w:t>
      </w:r>
      <w:r w:rsidRPr="00E04B9A">
        <w:t xml:space="preserve"> needs to acquire </w:t>
      </w:r>
      <w:r w:rsidR="002351B1">
        <w:t xml:space="preserve">approximately 275 MW </w:t>
      </w:r>
      <w:r w:rsidRPr="00E04B9A">
        <w:t>of firm, dispatchable generation (most likely natural gas plants) in the next 7 years</w:t>
      </w:r>
      <w:r w:rsidR="002351B1">
        <w:t>.  This will be required to</w:t>
      </w:r>
      <w:r w:rsidR="00F27914">
        <w:t xml:space="preserve"> </w:t>
      </w:r>
      <w:r w:rsidR="002351B1">
        <w:t>meet our customers’ capacity needs as the regional capacity surplus</w:t>
      </w:r>
      <w:r w:rsidR="002F1580">
        <w:t xml:space="preserve"> – </w:t>
      </w:r>
      <w:r w:rsidR="002351B1">
        <w:t>which PSE has relied on as a low cost/low risk resource</w:t>
      </w:r>
      <w:r w:rsidR="002F1580">
        <w:t xml:space="preserve"> – </w:t>
      </w:r>
      <w:r w:rsidR="002351B1">
        <w:t>dwindles in the next few years.</w:t>
      </w:r>
    </w:p>
    <w:p w14:paraId="7871D3B6" w14:textId="77777777" w:rsidR="00E04B9A" w:rsidRPr="00E04B9A" w:rsidRDefault="00E04B9A" w:rsidP="00E04B9A">
      <w:pPr>
        <w:pStyle w:val="IRPsanstext"/>
      </w:pPr>
    </w:p>
    <w:p w14:paraId="41D3F2A4" w14:textId="77777777" w:rsidR="00E04B9A" w:rsidRPr="00E04B9A" w:rsidRDefault="00E04B9A" w:rsidP="00E04B9A">
      <w:pPr>
        <w:pStyle w:val="IRPsanstext"/>
      </w:pPr>
      <w:r w:rsidRPr="00E04B9A">
        <w:t xml:space="preserve">On the gas side, PSE </w:t>
      </w:r>
      <w:r w:rsidR="00435F05">
        <w:t>intends to</w:t>
      </w:r>
      <w:r w:rsidR="00435F05" w:rsidRPr="00E04B9A">
        <w:t xml:space="preserve"> </w:t>
      </w:r>
      <w:r w:rsidRPr="00E04B9A">
        <w:t xml:space="preserve">begin construction of an LNG storage facility at the Port of Tacoma. This facility will serve two purposes. It will </w:t>
      </w:r>
      <w:r w:rsidR="00435F05">
        <w:t xml:space="preserve">provide a cost-effective way to meet the peak needs of our gas customers, while also </w:t>
      </w:r>
      <w:r w:rsidRPr="00E04B9A">
        <w:t>facilitat</w:t>
      </w:r>
      <w:r w:rsidR="00435F05">
        <w:t>ing</w:t>
      </w:r>
      <w:r w:rsidRPr="00E04B9A">
        <w:t xml:space="preserve"> conversion of maritime vessels to natural gas fuel, reducing greenhouse gas emissions and reducing particulate emissions in the Puget Sound region.  </w:t>
      </w:r>
    </w:p>
    <w:p w14:paraId="7B104B6D" w14:textId="77777777" w:rsidR="00E04B9A" w:rsidRPr="00E04B9A" w:rsidRDefault="00E04B9A" w:rsidP="00E04B9A">
      <w:pPr>
        <w:pStyle w:val="IRPsanstext"/>
      </w:pPr>
    </w:p>
    <w:p w14:paraId="3B2A8A3C" w14:textId="77777777" w:rsidR="00E04B9A" w:rsidRPr="004B681C" w:rsidRDefault="00F02FEA" w:rsidP="0041507A">
      <w:pPr>
        <w:pStyle w:val="IRPsanstext"/>
        <w:spacing w:line="276" w:lineRule="auto"/>
        <w:rPr>
          <w:rFonts w:ascii="Palatino" w:hAnsi="Palatino"/>
          <w:i/>
          <w:color w:val="156570"/>
          <w:sz w:val="32"/>
          <w:szCs w:val="32"/>
        </w:rPr>
      </w:pPr>
      <w:r w:rsidRPr="004B681C">
        <w:rPr>
          <w:rFonts w:ascii="Palatino" w:hAnsi="Palatino"/>
          <w:i/>
          <w:color w:val="156570"/>
          <w:sz w:val="32"/>
          <w:szCs w:val="32"/>
        </w:rPr>
        <w:t>Declining regional surpluses require a shift in electric resource strategy</w:t>
      </w:r>
      <w:r w:rsidR="00E04B9A" w:rsidRPr="004B681C">
        <w:rPr>
          <w:rFonts w:ascii="Palatino" w:hAnsi="Palatino"/>
          <w:i/>
          <w:color w:val="156570"/>
          <w:sz w:val="32"/>
          <w:szCs w:val="32"/>
        </w:rPr>
        <w:t xml:space="preserve">. </w:t>
      </w:r>
    </w:p>
    <w:p w14:paraId="6A060087" w14:textId="77777777" w:rsidR="00E04B9A" w:rsidRPr="00A50878" w:rsidRDefault="00E04B9A" w:rsidP="00E04B9A">
      <w:pPr>
        <w:pStyle w:val="IRPsanstext"/>
        <w:rPr>
          <w:rFonts w:ascii="Palatino" w:hAnsi="Palatino"/>
          <w:i/>
        </w:rPr>
      </w:pPr>
    </w:p>
    <w:p w14:paraId="034F27FE" w14:textId="77777777" w:rsidR="002C41B7" w:rsidRDefault="003300EE" w:rsidP="00E04B9A">
      <w:pPr>
        <w:pStyle w:val="IRPsanstext"/>
      </w:pPr>
      <w:r>
        <w:t xml:space="preserve">The surplus conditions the Pacific Northwest electric markets have experienced for a decade are forecast to change significantly with the </w:t>
      </w:r>
      <w:r w:rsidR="00915258">
        <w:t>scheduled retir</w:t>
      </w:r>
      <w:r w:rsidR="00C87C22">
        <w:t>ement of two coal plants in 2020</w:t>
      </w:r>
      <w:r w:rsidR="00915258">
        <w:t xml:space="preserve">, </w:t>
      </w:r>
      <w:r w:rsidR="00915258" w:rsidRPr="00E04B9A">
        <w:t xml:space="preserve">Portland General Electric’s </w:t>
      </w:r>
      <w:r w:rsidR="002F1580">
        <w:t>585</w:t>
      </w:r>
      <w:r w:rsidR="002F1580" w:rsidRPr="00E04B9A">
        <w:t xml:space="preserve"> </w:t>
      </w:r>
      <w:r w:rsidR="00915258" w:rsidRPr="00E04B9A">
        <w:t>MW Boardman plant in Oregon and TransAlta’s 730 MW Centralia Unit 1</w:t>
      </w:r>
      <w:r>
        <w:t xml:space="preserve">. </w:t>
      </w:r>
      <w:r w:rsidR="00915258">
        <w:t xml:space="preserve"> </w:t>
      </w:r>
      <w:r w:rsidR="000B4121">
        <w:t>A</w:t>
      </w:r>
      <w:r>
        <w:t xml:space="preserve">ccording to </w:t>
      </w:r>
      <w:r w:rsidR="00996855">
        <w:t>studies</w:t>
      </w:r>
      <w:r w:rsidR="00E04B9A" w:rsidRPr="00E04B9A">
        <w:t xml:space="preserve"> of long-term resource adequacy from the region’s e</w:t>
      </w:r>
      <w:r>
        <w:t>nergy organizations</w:t>
      </w:r>
      <w:r w:rsidR="000B4121">
        <w:t xml:space="preserve">, </w:t>
      </w:r>
      <w:r w:rsidR="00796D4D">
        <w:t xml:space="preserve">regional market </w:t>
      </w:r>
      <w:r w:rsidR="000B4121">
        <w:t>deficits are a possibility unless new resources are added in the region by 2021, and potential outages could affect more people and last longer than under previous conditions.</w:t>
      </w:r>
      <w:r>
        <w:rPr>
          <w:rStyle w:val="FootnoteReference"/>
        </w:rPr>
        <w:footnoteReference w:id="1"/>
      </w:r>
      <w:r>
        <w:t xml:space="preserve"> </w:t>
      </w:r>
      <w:r w:rsidR="00E04B9A" w:rsidRPr="00E04B9A">
        <w:t xml:space="preserve"> </w:t>
      </w:r>
    </w:p>
    <w:p w14:paraId="0EBDF2CC" w14:textId="77777777" w:rsidR="002C41B7" w:rsidRDefault="002C41B7" w:rsidP="00E04B9A">
      <w:pPr>
        <w:pStyle w:val="IRPsanstext"/>
      </w:pPr>
    </w:p>
    <w:p w14:paraId="28184671" w14:textId="77777777" w:rsidR="000B4121" w:rsidRDefault="003300EE" w:rsidP="002F7464">
      <w:pPr>
        <w:pStyle w:val="IRPsanstext"/>
      </w:pPr>
      <w:r>
        <w:t>This</w:t>
      </w:r>
      <w:r w:rsidR="00996855">
        <w:t xml:space="preserve"> shift</w:t>
      </w:r>
      <w:r>
        <w:t xml:space="preserve"> requires a change in PSE’s electric resource strategy. </w:t>
      </w:r>
      <w:r w:rsidR="00996855">
        <w:t xml:space="preserve">During the decade of surplus capacity, </w:t>
      </w:r>
      <w:r w:rsidR="002F7464" w:rsidRPr="00E04B9A">
        <w:t xml:space="preserve">relying on short-term wholesale market purchases to meet a significant portion of </w:t>
      </w:r>
      <w:r w:rsidR="00996855">
        <w:t>peak customer need</w:t>
      </w:r>
      <w:r w:rsidR="002F7464" w:rsidRPr="00E04B9A">
        <w:t xml:space="preserve"> has been a low cost/low risk strategy</w:t>
      </w:r>
      <w:r w:rsidR="00996855">
        <w:t>,</w:t>
      </w:r>
      <w:r w:rsidR="002F7464" w:rsidRPr="00E04B9A">
        <w:t xml:space="preserve"> but </w:t>
      </w:r>
      <w:r w:rsidR="002F7464">
        <w:t xml:space="preserve">now that </w:t>
      </w:r>
      <w:r w:rsidR="00996855">
        <w:t xml:space="preserve">supplies are tightening, continuing this </w:t>
      </w:r>
      <w:r w:rsidR="002F7464">
        <w:t>level of market purchases would expose PSE and its customers to unreasonable levels of physical and financial risk</w:t>
      </w:r>
      <w:r w:rsidR="002F7464" w:rsidRPr="00E04B9A">
        <w:t xml:space="preserve">. </w:t>
      </w:r>
    </w:p>
    <w:p w14:paraId="46532EB9" w14:textId="77777777" w:rsidR="00326042" w:rsidRDefault="00326042" w:rsidP="00E04B9A">
      <w:pPr>
        <w:pStyle w:val="IRPsanstext"/>
      </w:pPr>
    </w:p>
    <w:p w14:paraId="0034489A" w14:textId="77777777" w:rsidR="00E04B9A" w:rsidRPr="00E04B9A" w:rsidRDefault="00935C7F" w:rsidP="00E04B9A">
      <w:pPr>
        <w:pStyle w:val="IRPsanstext"/>
      </w:pPr>
      <w:r>
        <w:t xml:space="preserve">In this IRP, we directly incorporated physical wholesale market risk in </w:t>
      </w:r>
      <w:r w:rsidR="00A50878">
        <w:t xml:space="preserve">the </w:t>
      </w:r>
      <w:r>
        <w:t>resource need analysis</w:t>
      </w:r>
      <w:r w:rsidR="00A50878">
        <w:t>,</w:t>
      </w:r>
      <w:r>
        <w:t xml:space="preserve"> </w:t>
      </w:r>
      <w:r w:rsidR="00A50878">
        <w:t xml:space="preserve">so </w:t>
      </w:r>
      <w:r>
        <w:t xml:space="preserve">that risk is now reflected in </w:t>
      </w:r>
      <w:r w:rsidR="00A50878">
        <w:t xml:space="preserve">the </w:t>
      </w:r>
      <w:r>
        <w:t xml:space="preserve">capacity planning standard.  </w:t>
      </w:r>
    </w:p>
    <w:p w14:paraId="70D1E3CE" w14:textId="77777777" w:rsidR="00E04B9A" w:rsidRPr="00E04B9A" w:rsidRDefault="00E04B9A" w:rsidP="00E04B9A">
      <w:pPr>
        <w:pStyle w:val="IRPsanstext"/>
      </w:pPr>
    </w:p>
    <w:p w14:paraId="3F1D47F4" w14:textId="77777777" w:rsidR="00326042" w:rsidRDefault="00326042">
      <w:pPr>
        <w:rPr>
          <w:rFonts w:ascii="Arial" w:hAnsi="Arial"/>
          <w:b/>
          <w:caps/>
          <w:sz w:val="20"/>
          <w:szCs w:val="32"/>
        </w:rPr>
      </w:pPr>
      <w:r>
        <w:rPr>
          <w:b/>
          <w:caps/>
          <w:szCs w:val="32"/>
        </w:rPr>
        <w:br w:type="page"/>
      </w:r>
    </w:p>
    <w:p w14:paraId="615E3614" w14:textId="77777777" w:rsidR="00A50878" w:rsidRPr="004B681C" w:rsidRDefault="00E04B9A" w:rsidP="0041507A">
      <w:pPr>
        <w:pStyle w:val="IRPsanstext"/>
        <w:spacing w:line="276" w:lineRule="auto"/>
        <w:rPr>
          <w:rFonts w:ascii="Palatino" w:hAnsi="Palatino"/>
          <w:i/>
          <w:color w:val="156570"/>
          <w:sz w:val="32"/>
          <w:szCs w:val="32"/>
        </w:rPr>
      </w:pPr>
      <w:r w:rsidRPr="004B681C">
        <w:rPr>
          <w:rFonts w:ascii="Palatino" w:hAnsi="Palatino"/>
          <w:i/>
          <w:color w:val="156570"/>
          <w:sz w:val="32"/>
          <w:szCs w:val="32"/>
        </w:rPr>
        <w:lastRenderedPageBreak/>
        <w:t xml:space="preserve">Updating the </w:t>
      </w:r>
      <w:r w:rsidR="00A50878" w:rsidRPr="004B681C">
        <w:rPr>
          <w:rFonts w:ascii="Palatino" w:hAnsi="Palatino"/>
          <w:i/>
          <w:color w:val="156570"/>
          <w:sz w:val="32"/>
          <w:szCs w:val="32"/>
        </w:rPr>
        <w:t>e</w:t>
      </w:r>
      <w:r w:rsidRPr="004B681C">
        <w:rPr>
          <w:rFonts w:ascii="Palatino" w:hAnsi="Palatino"/>
          <w:i/>
          <w:color w:val="156570"/>
          <w:sz w:val="32"/>
          <w:szCs w:val="32"/>
        </w:rPr>
        <w:t xml:space="preserve">lectric </w:t>
      </w:r>
      <w:r w:rsidR="00A50878" w:rsidRPr="004B681C">
        <w:rPr>
          <w:rFonts w:ascii="Palatino" w:hAnsi="Palatino"/>
          <w:i/>
          <w:color w:val="156570"/>
          <w:sz w:val="32"/>
          <w:szCs w:val="32"/>
        </w:rPr>
        <w:t>p</w:t>
      </w:r>
      <w:r w:rsidRPr="004B681C">
        <w:rPr>
          <w:rFonts w:ascii="Palatino" w:hAnsi="Palatino"/>
          <w:i/>
          <w:color w:val="156570"/>
          <w:sz w:val="32"/>
          <w:szCs w:val="32"/>
        </w:rPr>
        <w:t xml:space="preserve">lanning </w:t>
      </w:r>
      <w:r w:rsidR="00A50878" w:rsidRPr="004B681C">
        <w:rPr>
          <w:rFonts w:ascii="Palatino" w:hAnsi="Palatino"/>
          <w:i/>
          <w:color w:val="156570"/>
          <w:sz w:val="32"/>
          <w:szCs w:val="32"/>
        </w:rPr>
        <w:t>s</w:t>
      </w:r>
      <w:r w:rsidRPr="004B681C">
        <w:rPr>
          <w:rFonts w:ascii="Palatino" w:hAnsi="Palatino"/>
          <w:i/>
          <w:color w:val="156570"/>
          <w:sz w:val="32"/>
          <w:szCs w:val="32"/>
        </w:rPr>
        <w:t>tandard</w:t>
      </w:r>
      <w:r w:rsidR="00F02FEA" w:rsidRPr="004B681C">
        <w:rPr>
          <w:rFonts w:ascii="Palatino" w:hAnsi="Palatino"/>
          <w:i/>
          <w:color w:val="156570"/>
          <w:sz w:val="32"/>
          <w:szCs w:val="32"/>
        </w:rPr>
        <w:t xml:space="preserve"> </w:t>
      </w:r>
      <w:r w:rsidR="00A50878" w:rsidRPr="004B681C">
        <w:rPr>
          <w:rFonts w:ascii="Palatino" w:hAnsi="Palatino"/>
          <w:i/>
          <w:color w:val="156570"/>
          <w:sz w:val="32"/>
          <w:szCs w:val="32"/>
        </w:rPr>
        <w:t>c</w:t>
      </w:r>
      <w:r w:rsidR="0059662E" w:rsidRPr="004B681C">
        <w:rPr>
          <w:rFonts w:ascii="Palatino" w:hAnsi="Palatino"/>
          <w:i/>
          <w:color w:val="156570"/>
          <w:sz w:val="32"/>
          <w:szCs w:val="32"/>
        </w:rPr>
        <w:t xml:space="preserve">reates </w:t>
      </w:r>
      <w:r w:rsidR="00A50878" w:rsidRPr="004B681C">
        <w:rPr>
          <w:rFonts w:ascii="Palatino" w:hAnsi="Palatino"/>
          <w:i/>
          <w:color w:val="156570"/>
          <w:sz w:val="32"/>
          <w:szCs w:val="32"/>
        </w:rPr>
        <w:t>s</w:t>
      </w:r>
      <w:r w:rsidR="0059662E" w:rsidRPr="004B681C">
        <w:rPr>
          <w:rFonts w:ascii="Palatino" w:hAnsi="Palatino"/>
          <w:i/>
          <w:color w:val="156570"/>
          <w:sz w:val="32"/>
          <w:szCs w:val="32"/>
        </w:rPr>
        <w:t>ignificant net benefits and risk mitigation for customers</w:t>
      </w:r>
      <w:r w:rsidR="00A50878" w:rsidRPr="004B681C">
        <w:rPr>
          <w:rFonts w:ascii="Palatino" w:hAnsi="Palatino"/>
          <w:i/>
          <w:color w:val="156570"/>
          <w:sz w:val="32"/>
          <w:szCs w:val="32"/>
        </w:rPr>
        <w:t>.</w:t>
      </w:r>
    </w:p>
    <w:p w14:paraId="764D8051" w14:textId="77777777" w:rsidR="00F02FEA" w:rsidRDefault="00F02FEA" w:rsidP="00E04B9A">
      <w:pPr>
        <w:pStyle w:val="IRPsanstext"/>
        <w:rPr>
          <w:b/>
          <w:caps/>
          <w:szCs w:val="32"/>
        </w:rPr>
      </w:pPr>
    </w:p>
    <w:p w14:paraId="1640A894" w14:textId="77777777" w:rsidR="0059662E" w:rsidRDefault="002F5666" w:rsidP="0059662E">
      <w:pPr>
        <w:pStyle w:val="IRPsanstext"/>
      </w:pPr>
      <w:r>
        <w:t xml:space="preserve">PSE’s </w:t>
      </w:r>
      <w:r w:rsidR="00A073EC">
        <w:t xml:space="preserve">new </w:t>
      </w:r>
      <w:r w:rsidR="00796D4D">
        <w:t xml:space="preserve">electric </w:t>
      </w:r>
      <w:r w:rsidR="00A073EC">
        <w:t xml:space="preserve">planning standard is the </w:t>
      </w:r>
      <w:r>
        <w:t xml:space="preserve">optimal customer planning standard, because it is a </w:t>
      </w:r>
      <w:r w:rsidR="00A073EC">
        <w:t xml:space="preserve">product of a benefit/cost analysis that focuses on the cost to customers of potential outages (also known as the value of lost load). </w:t>
      </w:r>
      <w:r>
        <w:t xml:space="preserve">The former </w:t>
      </w:r>
      <w:r w:rsidR="005A64C6">
        <w:t xml:space="preserve">electric planning </w:t>
      </w:r>
      <w:r>
        <w:t>standard relied on an industry</w:t>
      </w:r>
      <w:r w:rsidR="00FA31E4">
        <w:t xml:space="preserve"> </w:t>
      </w:r>
      <w:r>
        <w:t>standard approach</w:t>
      </w:r>
      <w:r w:rsidR="00FA31E4">
        <w:t xml:space="preserve"> that</w:t>
      </w:r>
      <w:r>
        <w:t xml:space="preserve"> target</w:t>
      </w:r>
      <w:r w:rsidR="00FA31E4">
        <w:t>s</w:t>
      </w:r>
      <w:r>
        <w:t xml:space="preserve"> a 5 </w:t>
      </w:r>
      <w:r w:rsidRPr="00E04B9A">
        <w:t xml:space="preserve">percent loss of </w:t>
      </w:r>
      <w:r>
        <w:t>load probability (LOLP)</w:t>
      </w:r>
      <w:r w:rsidR="00FA31E4">
        <w:t>, which measures the likelihood of potential outage events rather than the magnitude of their impact on customers</w:t>
      </w:r>
      <w:r>
        <w:t xml:space="preserve">.  </w:t>
      </w:r>
      <w:r w:rsidR="0059662E">
        <w:rPr>
          <w:rFonts w:cs="Arial"/>
        </w:rPr>
        <w:t xml:space="preserve">Translating the MWh lost into the Customer Value of Lost Load allows us to quantify the value </w:t>
      </w:r>
      <w:r w:rsidR="00B041E9">
        <w:rPr>
          <w:rFonts w:cs="Arial"/>
        </w:rPr>
        <w:t>associated with different levels of</w:t>
      </w:r>
      <w:r w:rsidR="0059662E">
        <w:rPr>
          <w:rFonts w:cs="Arial"/>
        </w:rPr>
        <w:t xml:space="preserve"> reliability. </w:t>
      </w:r>
      <w:proofErr w:type="gramStart"/>
      <w:r w:rsidR="0059662E">
        <w:rPr>
          <w:rFonts w:cs="Arial"/>
        </w:rPr>
        <w:t xml:space="preserve">Information from Figure 1-1, Comparison of Old and New </w:t>
      </w:r>
      <w:r w:rsidR="005A64C6">
        <w:rPr>
          <w:rFonts w:cs="Arial"/>
        </w:rPr>
        <w:t xml:space="preserve">Electric Capacity </w:t>
      </w:r>
      <w:r w:rsidR="0059662E">
        <w:rPr>
          <w:rFonts w:cs="Arial"/>
        </w:rPr>
        <w:t xml:space="preserve">Planning Standards, shows that moving to the </w:t>
      </w:r>
      <w:r w:rsidR="002F1580">
        <w:rPr>
          <w:rFonts w:cs="Arial"/>
        </w:rPr>
        <w:t xml:space="preserve">2015 </w:t>
      </w:r>
      <w:r w:rsidR="0059662E">
        <w:rPr>
          <w:rFonts w:cs="Arial"/>
        </w:rPr>
        <w:t xml:space="preserve">Optimal Planning Standard reduces the </w:t>
      </w:r>
      <w:r w:rsidR="00FA31E4">
        <w:rPr>
          <w:rFonts w:cs="Arial"/>
        </w:rPr>
        <w:t>e</w:t>
      </w:r>
      <w:r w:rsidR="0059662E">
        <w:rPr>
          <w:rFonts w:cs="Arial"/>
        </w:rPr>
        <w:t xml:space="preserve">xpected </w:t>
      </w:r>
      <w:r w:rsidR="00FA31E4">
        <w:rPr>
          <w:rFonts w:cs="Arial"/>
        </w:rPr>
        <w:t>v</w:t>
      </w:r>
      <w:r w:rsidR="0059662E">
        <w:rPr>
          <w:rFonts w:cs="Arial"/>
        </w:rPr>
        <w:t xml:space="preserve">alue of </w:t>
      </w:r>
      <w:r w:rsidR="00FA31E4">
        <w:rPr>
          <w:rFonts w:cs="Arial"/>
        </w:rPr>
        <w:t>l</w:t>
      </w:r>
      <w:r w:rsidR="0059662E">
        <w:rPr>
          <w:rFonts w:cs="Arial"/>
        </w:rPr>
        <w:t xml:space="preserve">ost </w:t>
      </w:r>
      <w:r w:rsidR="00FA31E4">
        <w:rPr>
          <w:rFonts w:cs="Arial"/>
        </w:rPr>
        <w:t>l</w:t>
      </w:r>
      <w:r w:rsidR="0059662E">
        <w:rPr>
          <w:rFonts w:cs="Arial"/>
        </w:rPr>
        <w:t xml:space="preserve">oad to customers by $130 </w:t>
      </w:r>
      <w:r w:rsidR="00194A8E">
        <w:rPr>
          <w:rFonts w:cs="Arial"/>
        </w:rPr>
        <w:t>million</w:t>
      </w:r>
      <w:r w:rsidR="00796D4D">
        <w:rPr>
          <w:rFonts w:cs="Arial"/>
        </w:rPr>
        <w:t xml:space="preserve"> </w:t>
      </w:r>
      <w:r w:rsidR="00FA31E4">
        <w:rPr>
          <w:rFonts w:cs="Arial"/>
        </w:rPr>
        <w:t>per y</w:t>
      </w:r>
      <w:r w:rsidR="0059662E">
        <w:rPr>
          <w:rFonts w:cs="Arial"/>
        </w:rPr>
        <w:t>ear</w:t>
      </w:r>
      <w:r w:rsidR="00FA31E4">
        <w:rPr>
          <w:rFonts w:cs="Arial"/>
        </w:rPr>
        <w:t>.</w:t>
      </w:r>
      <w:proofErr w:type="gramEnd"/>
      <w:r w:rsidR="0059662E">
        <w:rPr>
          <w:rStyle w:val="FootnoteReference"/>
        </w:rPr>
        <w:footnoteReference w:id="2"/>
      </w:r>
      <w:r w:rsidR="0059662E">
        <w:rPr>
          <w:rFonts w:cs="Arial"/>
        </w:rPr>
        <w:t xml:space="preserve">  The cost to achieve that expected savings is $63 million</w:t>
      </w:r>
      <w:r w:rsidR="00796D4D">
        <w:rPr>
          <w:rFonts w:cs="Arial"/>
        </w:rPr>
        <w:t xml:space="preserve"> per </w:t>
      </w:r>
      <w:r w:rsidR="0059662E">
        <w:rPr>
          <w:rFonts w:cs="Arial"/>
        </w:rPr>
        <w:t>year</w:t>
      </w:r>
      <w:r w:rsidR="00FA31E4">
        <w:rPr>
          <w:rFonts w:cs="Arial"/>
        </w:rPr>
        <w:t>,</w:t>
      </w:r>
      <w:r w:rsidR="0059662E">
        <w:rPr>
          <w:rStyle w:val="FootnoteReference"/>
        </w:rPr>
        <w:footnoteReference w:id="3"/>
      </w:r>
      <w:r w:rsidR="0059662E">
        <w:rPr>
          <w:rFonts w:cs="Arial"/>
        </w:rPr>
        <w:t xml:space="preserve"> for a net benefit to customers of $67 million</w:t>
      </w:r>
      <w:r w:rsidR="00FA31E4">
        <w:rPr>
          <w:rFonts w:cs="Arial"/>
        </w:rPr>
        <w:t xml:space="preserve"> per </w:t>
      </w:r>
      <w:r w:rsidR="0059662E">
        <w:rPr>
          <w:rFonts w:cs="Arial"/>
        </w:rPr>
        <w:t>year. Risk</w:t>
      </w:r>
      <w:r w:rsidR="00796D4D">
        <w:rPr>
          <w:rStyle w:val="FootnoteReference"/>
        </w:rPr>
        <w:footnoteReference w:id="4"/>
      </w:r>
      <w:r w:rsidR="0059662E">
        <w:rPr>
          <w:rFonts w:cs="Arial"/>
        </w:rPr>
        <w:t xml:space="preserve"> reduction to customers is dramatic. That $67 million</w:t>
      </w:r>
      <w:r w:rsidR="00FA31E4">
        <w:rPr>
          <w:rFonts w:cs="Arial"/>
        </w:rPr>
        <w:t xml:space="preserve"> per </w:t>
      </w:r>
      <w:r w:rsidR="0059662E">
        <w:rPr>
          <w:rFonts w:cs="Arial"/>
        </w:rPr>
        <w:t>year cost reduces the risk to customers by $1.3 billion</w:t>
      </w:r>
      <w:r w:rsidR="00FA31E4">
        <w:rPr>
          <w:rFonts w:cs="Arial"/>
        </w:rPr>
        <w:t xml:space="preserve"> per </w:t>
      </w:r>
      <w:r w:rsidR="0059662E">
        <w:rPr>
          <w:rFonts w:cs="Arial"/>
        </w:rPr>
        <w:t>year</w:t>
      </w:r>
      <w:r w:rsidR="00FA31E4">
        <w:rPr>
          <w:rFonts w:cs="Arial"/>
        </w:rPr>
        <w:t>.</w:t>
      </w:r>
      <w:r w:rsidR="0059662E">
        <w:rPr>
          <w:rStyle w:val="FootnoteReference"/>
        </w:rPr>
        <w:footnoteReference w:id="5"/>
      </w:r>
      <w:r w:rsidR="0059662E">
        <w:rPr>
          <w:rFonts w:cs="Arial"/>
        </w:rPr>
        <w:t xml:space="preserve"> </w:t>
      </w:r>
      <w:r>
        <w:t>Additional discussion is included in Chapter 2</w:t>
      </w:r>
      <w:r w:rsidR="00A50878">
        <w:t>, Resource Plan Decisions,</w:t>
      </w:r>
      <w:r>
        <w:t xml:space="preserve"> and </w:t>
      </w:r>
      <w:r w:rsidR="00A50878">
        <w:t xml:space="preserve">Chapter </w:t>
      </w:r>
      <w:r>
        <w:t>6</w:t>
      </w:r>
      <w:r w:rsidR="00A50878">
        <w:t>, Electric Analysis</w:t>
      </w:r>
      <w:r>
        <w:t xml:space="preserve">.  </w:t>
      </w:r>
    </w:p>
    <w:p w14:paraId="498FE0B3" w14:textId="77777777" w:rsidR="0059662E" w:rsidRDefault="0059662E" w:rsidP="0059662E">
      <w:pPr>
        <w:pStyle w:val="IRPsanstext"/>
      </w:pPr>
    </w:p>
    <w:p w14:paraId="2FAC0FF1" w14:textId="77777777" w:rsidR="0059662E" w:rsidRPr="00386D51" w:rsidRDefault="0059662E" w:rsidP="00386D51">
      <w:pPr>
        <w:pStyle w:val="IRPsanstext"/>
        <w:spacing w:after="120"/>
        <w:jc w:val="center"/>
        <w:rPr>
          <w:i/>
        </w:rPr>
      </w:pPr>
      <w:r w:rsidRPr="00386D51">
        <w:rPr>
          <w:i/>
        </w:rPr>
        <w:t>Figure 1-</w:t>
      </w:r>
      <w:r w:rsidR="005A64C6" w:rsidRPr="00386D51">
        <w:rPr>
          <w:i/>
        </w:rPr>
        <w:t>1</w:t>
      </w:r>
      <w:r w:rsidRPr="00386D51">
        <w:rPr>
          <w:i/>
        </w:rPr>
        <w:t>: Comparison of Old and New Electric Capacity Planning Standard</w:t>
      </w:r>
    </w:p>
    <w:tbl>
      <w:tblPr>
        <w:tblW w:w="8565" w:type="dxa"/>
        <w:tblInd w:w="93" w:type="dxa"/>
        <w:tblLayout w:type="fixed"/>
        <w:tblLook w:val="04A0" w:firstRow="1" w:lastRow="0" w:firstColumn="1" w:lastColumn="0" w:noHBand="0" w:noVBand="1"/>
      </w:tblPr>
      <w:tblGrid>
        <w:gridCol w:w="327"/>
        <w:gridCol w:w="2478"/>
        <w:gridCol w:w="768"/>
        <w:gridCol w:w="885"/>
        <w:gridCol w:w="1317"/>
        <w:gridCol w:w="1350"/>
        <w:gridCol w:w="1440"/>
      </w:tblGrid>
      <w:tr w:rsidR="0016262C" w:rsidRPr="0059662E" w14:paraId="725610A9" w14:textId="77777777" w:rsidTr="00F53066">
        <w:trPr>
          <w:trHeight w:val="219"/>
        </w:trPr>
        <w:tc>
          <w:tcPr>
            <w:tcW w:w="327" w:type="dxa"/>
            <w:tcBorders>
              <w:top w:val="single" w:sz="4" w:space="0" w:color="auto"/>
              <w:left w:val="single" w:sz="4" w:space="0" w:color="auto"/>
              <w:bottom w:val="nil"/>
              <w:right w:val="single" w:sz="4" w:space="0" w:color="auto"/>
            </w:tcBorders>
            <w:shd w:val="clear" w:color="auto" w:fill="156570"/>
          </w:tcPr>
          <w:p w14:paraId="76EC4D04" w14:textId="77777777" w:rsidR="0016262C" w:rsidRPr="00386D51" w:rsidRDefault="0016262C" w:rsidP="0059662E">
            <w:pPr>
              <w:rPr>
                <w:rFonts w:ascii="Arial" w:eastAsia="Times New Roman" w:hAnsi="Arial"/>
                <w:color w:val="FFFFFF" w:themeColor="background1"/>
                <w:sz w:val="20"/>
                <w:szCs w:val="22"/>
                <w:lang w:eastAsia="en-US"/>
              </w:rPr>
            </w:pPr>
          </w:p>
        </w:tc>
        <w:tc>
          <w:tcPr>
            <w:tcW w:w="2478" w:type="dxa"/>
            <w:tcBorders>
              <w:top w:val="single" w:sz="4" w:space="0" w:color="auto"/>
              <w:left w:val="single" w:sz="4" w:space="0" w:color="auto"/>
              <w:bottom w:val="nil"/>
              <w:right w:val="single" w:sz="4" w:space="0" w:color="auto"/>
            </w:tcBorders>
            <w:shd w:val="clear" w:color="auto" w:fill="156570"/>
            <w:noWrap/>
            <w:vAlign w:val="bottom"/>
          </w:tcPr>
          <w:p w14:paraId="625382B2" w14:textId="77777777" w:rsidR="0016262C" w:rsidRPr="00386D51" w:rsidRDefault="0016262C" w:rsidP="0059662E">
            <w:pPr>
              <w:rPr>
                <w:rFonts w:ascii="Arial" w:eastAsia="Times New Roman" w:hAnsi="Arial"/>
                <w:color w:val="FFFFFF" w:themeColor="background1"/>
                <w:sz w:val="20"/>
                <w:szCs w:val="22"/>
                <w:lang w:eastAsia="en-US"/>
              </w:rPr>
            </w:pPr>
          </w:p>
        </w:tc>
        <w:tc>
          <w:tcPr>
            <w:tcW w:w="1653" w:type="dxa"/>
            <w:gridSpan w:val="2"/>
            <w:tcBorders>
              <w:top w:val="single" w:sz="8" w:space="0" w:color="auto"/>
              <w:left w:val="single" w:sz="4" w:space="0" w:color="auto"/>
              <w:bottom w:val="nil"/>
              <w:right w:val="single" w:sz="8" w:space="0" w:color="000000"/>
            </w:tcBorders>
            <w:shd w:val="clear" w:color="auto" w:fill="156570"/>
            <w:noWrap/>
            <w:vAlign w:val="bottom"/>
          </w:tcPr>
          <w:p w14:paraId="38C9C466" w14:textId="77777777" w:rsidR="0016262C" w:rsidRPr="00386D51" w:rsidRDefault="0016262C" w:rsidP="0059662E">
            <w:pPr>
              <w:jc w:val="center"/>
              <w:rPr>
                <w:rFonts w:ascii="Arial" w:eastAsia="Times New Roman" w:hAnsi="Arial"/>
                <w:b/>
                <w:bCs/>
                <w:color w:val="FFFFFF" w:themeColor="background1"/>
                <w:sz w:val="20"/>
                <w:szCs w:val="22"/>
                <w:lang w:eastAsia="en-US"/>
              </w:rPr>
            </w:pPr>
            <w:r w:rsidRPr="00386D51">
              <w:rPr>
                <w:rFonts w:ascii="Arial" w:eastAsia="Times New Roman" w:hAnsi="Arial"/>
                <w:b/>
                <w:bCs/>
                <w:color w:val="FFFFFF" w:themeColor="background1"/>
                <w:sz w:val="20"/>
                <w:szCs w:val="22"/>
                <w:lang w:eastAsia="en-US"/>
              </w:rPr>
              <w:t>Reliability Metric</w:t>
            </w:r>
          </w:p>
        </w:tc>
        <w:tc>
          <w:tcPr>
            <w:tcW w:w="1317" w:type="dxa"/>
            <w:vMerge w:val="restart"/>
            <w:tcBorders>
              <w:top w:val="single" w:sz="8" w:space="0" w:color="auto"/>
              <w:left w:val="single" w:sz="8" w:space="0" w:color="auto"/>
              <w:bottom w:val="nil"/>
              <w:right w:val="single" w:sz="8" w:space="0" w:color="auto"/>
            </w:tcBorders>
            <w:shd w:val="clear" w:color="auto" w:fill="156570"/>
            <w:vAlign w:val="bottom"/>
          </w:tcPr>
          <w:p w14:paraId="2F805FD0" w14:textId="77777777" w:rsidR="0016262C" w:rsidRPr="00386D51" w:rsidRDefault="0016262C" w:rsidP="0059662E">
            <w:pPr>
              <w:jc w:val="center"/>
              <w:rPr>
                <w:rFonts w:ascii="Arial" w:eastAsia="Times New Roman" w:hAnsi="Arial"/>
                <w:b/>
                <w:bCs/>
                <w:color w:val="FFFFFF" w:themeColor="background1"/>
                <w:sz w:val="20"/>
                <w:szCs w:val="22"/>
                <w:lang w:eastAsia="en-US"/>
              </w:rPr>
            </w:pPr>
            <w:r w:rsidRPr="00386D51">
              <w:rPr>
                <w:rFonts w:ascii="Arial" w:eastAsia="Times New Roman" w:hAnsi="Arial"/>
                <w:b/>
                <w:bCs/>
                <w:color w:val="FFFFFF" w:themeColor="background1"/>
                <w:sz w:val="20"/>
                <w:szCs w:val="22"/>
                <w:lang w:eastAsia="en-US"/>
              </w:rPr>
              <w:t>2021 Capacity (Surplus)/</w:t>
            </w:r>
            <w:r w:rsidR="00386D51">
              <w:rPr>
                <w:rFonts w:ascii="Arial" w:eastAsia="Times New Roman" w:hAnsi="Arial"/>
                <w:b/>
                <w:bCs/>
                <w:color w:val="FFFFFF" w:themeColor="background1"/>
                <w:sz w:val="20"/>
                <w:szCs w:val="22"/>
                <w:lang w:eastAsia="en-US"/>
              </w:rPr>
              <w:t xml:space="preserve"> </w:t>
            </w:r>
            <w:r w:rsidRPr="00386D51">
              <w:rPr>
                <w:rFonts w:ascii="Arial" w:eastAsia="Times New Roman" w:hAnsi="Arial"/>
                <w:b/>
                <w:bCs/>
                <w:color w:val="FFFFFF" w:themeColor="background1"/>
                <w:sz w:val="20"/>
                <w:szCs w:val="22"/>
                <w:lang w:eastAsia="en-US"/>
              </w:rPr>
              <w:t>Need after DSR (MW)</w:t>
            </w:r>
          </w:p>
        </w:tc>
        <w:tc>
          <w:tcPr>
            <w:tcW w:w="2790" w:type="dxa"/>
            <w:gridSpan w:val="2"/>
            <w:tcBorders>
              <w:top w:val="single" w:sz="8" w:space="0" w:color="auto"/>
              <w:left w:val="nil"/>
              <w:bottom w:val="nil"/>
              <w:right w:val="single" w:sz="8" w:space="0" w:color="000000"/>
            </w:tcBorders>
            <w:shd w:val="clear" w:color="auto" w:fill="156570"/>
            <w:noWrap/>
            <w:vAlign w:val="bottom"/>
          </w:tcPr>
          <w:p w14:paraId="6AE87179" w14:textId="77777777" w:rsidR="0016262C" w:rsidRPr="00386D51" w:rsidRDefault="0016262C" w:rsidP="0059662E">
            <w:pPr>
              <w:jc w:val="center"/>
              <w:rPr>
                <w:rFonts w:ascii="Arial" w:eastAsia="Times New Roman" w:hAnsi="Arial"/>
                <w:b/>
                <w:bCs/>
                <w:color w:val="FFFFFF" w:themeColor="background1"/>
                <w:sz w:val="20"/>
                <w:szCs w:val="22"/>
                <w:lang w:eastAsia="en-US"/>
              </w:rPr>
            </w:pPr>
            <w:r w:rsidRPr="00386D51">
              <w:rPr>
                <w:rFonts w:ascii="Arial" w:eastAsia="Times New Roman" w:hAnsi="Arial"/>
                <w:b/>
                <w:bCs/>
                <w:color w:val="FFFFFF" w:themeColor="background1"/>
                <w:sz w:val="20"/>
                <w:szCs w:val="22"/>
                <w:lang w:eastAsia="en-US"/>
              </w:rPr>
              <w:t>Customer Value of Lost Load</w:t>
            </w:r>
          </w:p>
        </w:tc>
      </w:tr>
      <w:tr w:rsidR="00502F86" w:rsidRPr="0059662E" w14:paraId="78AC50F5" w14:textId="77777777" w:rsidTr="00F53066">
        <w:trPr>
          <w:trHeight w:val="439"/>
        </w:trPr>
        <w:tc>
          <w:tcPr>
            <w:tcW w:w="327" w:type="dxa"/>
            <w:tcBorders>
              <w:top w:val="nil"/>
              <w:left w:val="single" w:sz="4" w:space="0" w:color="auto"/>
              <w:bottom w:val="single" w:sz="4" w:space="0" w:color="auto"/>
              <w:right w:val="single" w:sz="4" w:space="0" w:color="auto"/>
            </w:tcBorders>
            <w:shd w:val="clear" w:color="auto" w:fill="156570"/>
          </w:tcPr>
          <w:p w14:paraId="6ACA1E33" w14:textId="77777777" w:rsidR="0016262C" w:rsidRPr="00386D51" w:rsidRDefault="0016262C" w:rsidP="0059662E">
            <w:pPr>
              <w:rPr>
                <w:rFonts w:ascii="Arial" w:eastAsia="Times New Roman" w:hAnsi="Arial"/>
                <w:color w:val="FFFFFF" w:themeColor="background1"/>
                <w:sz w:val="20"/>
                <w:szCs w:val="22"/>
                <w:lang w:eastAsia="en-US"/>
              </w:rPr>
            </w:pPr>
          </w:p>
        </w:tc>
        <w:tc>
          <w:tcPr>
            <w:tcW w:w="2478" w:type="dxa"/>
            <w:tcBorders>
              <w:top w:val="nil"/>
              <w:left w:val="single" w:sz="4" w:space="0" w:color="auto"/>
              <w:bottom w:val="single" w:sz="4" w:space="0" w:color="auto"/>
              <w:right w:val="single" w:sz="4" w:space="0" w:color="auto"/>
            </w:tcBorders>
            <w:shd w:val="clear" w:color="auto" w:fill="156570"/>
            <w:noWrap/>
            <w:vAlign w:val="bottom"/>
          </w:tcPr>
          <w:p w14:paraId="66F57FA3" w14:textId="77777777" w:rsidR="0016262C" w:rsidRPr="00386D51" w:rsidRDefault="0016262C" w:rsidP="0059662E">
            <w:pPr>
              <w:rPr>
                <w:rFonts w:ascii="Arial" w:eastAsia="Times New Roman" w:hAnsi="Arial"/>
                <w:color w:val="FFFFFF" w:themeColor="background1"/>
                <w:sz w:val="20"/>
                <w:szCs w:val="22"/>
                <w:lang w:eastAsia="en-US"/>
              </w:rPr>
            </w:pPr>
          </w:p>
        </w:tc>
        <w:tc>
          <w:tcPr>
            <w:tcW w:w="768" w:type="dxa"/>
            <w:tcBorders>
              <w:top w:val="single" w:sz="4" w:space="0" w:color="auto"/>
              <w:left w:val="single" w:sz="4" w:space="0" w:color="auto"/>
              <w:bottom w:val="single" w:sz="4" w:space="0" w:color="auto"/>
              <w:right w:val="single" w:sz="4" w:space="0" w:color="auto"/>
            </w:tcBorders>
            <w:shd w:val="clear" w:color="auto" w:fill="156570"/>
            <w:noWrap/>
            <w:vAlign w:val="center"/>
          </w:tcPr>
          <w:p w14:paraId="732E8CD1" w14:textId="77777777" w:rsidR="0016262C" w:rsidRPr="00386D51" w:rsidRDefault="0016262C" w:rsidP="0059662E">
            <w:pPr>
              <w:jc w:val="center"/>
              <w:rPr>
                <w:rFonts w:ascii="Arial" w:eastAsia="Times New Roman" w:hAnsi="Arial"/>
                <w:color w:val="FFFFFF" w:themeColor="background1"/>
                <w:sz w:val="20"/>
                <w:szCs w:val="22"/>
                <w:lang w:eastAsia="en-US"/>
              </w:rPr>
            </w:pPr>
            <w:r w:rsidRPr="00386D51">
              <w:rPr>
                <w:rFonts w:ascii="Arial" w:eastAsia="Times New Roman" w:hAnsi="Arial"/>
                <w:color w:val="FFFFFF" w:themeColor="background1"/>
                <w:sz w:val="20"/>
                <w:szCs w:val="22"/>
                <w:lang w:eastAsia="en-US"/>
              </w:rPr>
              <w:t>LOLP</w:t>
            </w:r>
          </w:p>
        </w:tc>
        <w:tc>
          <w:tcPr>
            <w:tcW w:w="885" w:type="dxa"/>
            <w:tcBorders>
              <w:top w:val="single" w:sz="4" w:space="0" w:color="auto"/>
              <w:left w:val="nil"/>
              <w:bottom w:val="single" w:sz="4" w:space="0" w:color="auto"/>
              <w:right w:val="single" w:sz="8" w:space="0" w:color="auto"/>
            </w:tcBorders>
            <w:shd w:val="clear" w:color="auto" w:fill="156570"/>
            <w:vAlign w:val="center"/>
          </w:tcPr>
          <w:p w14:paraId="5BDD30C0" w14:textId="77777777" w:rsidR="0016262C" w:rsidRPr="00386D51" w:rsidRDefault="0016262C" w:rsidP="0059662E">
            <w:pPr>
              <w:jc w:val="center"/>
              <w:rPr>
                <w:rFonts w:ascii="Arial" w:eastAsia="Times New Roman" w:hAnsi="Arial"/>
                <w:color w:val="FFFFFF" w:themeColor="background1"/>
                <w:sz w:val="20"/>
                <w:szCs w:val="22"/>
                <w:lang w:eastAsia="en-US"/>
              </w:rPr>
            </w:pPr>
            <w:r w:rsidRPr="00386D51">
              <w:rPr>
                <w:rFonts w:ascii="Arial" w:eastAsia="Times New Roman" w:hAnsi="Arial"/>
                <w:color w:val="FFFFFF" w:themeColor="background1"/>
                <w:sz w:val="20"/>
                <w:szCs w:val="22"/>
                <w:lang w:eastAsia="en-US"/>
              </w:rPr>
              <w:t>EUE (MWh)</w:t>
            </w:r>
          </w:p>
        </w:tc>
        <w:tc>
          <w:tcPr>
            <w:tcW w:w="1317" w:type="dxa"/>
            <w:vMerge/>
            <w:tcBorders>
              <w:top w:val="single" w:sz="8" w:space="0" w:color="auto"/>
              <w:left w:val="single" w:sz="8" w:space="0" w:color="auto"/>
              <w:bottom w:val="nil"/>
              <w:right w:val="single" w:sz="8" w:space="0" w:color="auto"/>
            </w:tcBorders>
            <w:shd w:val="clear" w:color="auto" w:fill="156570"/>
            <w:vAlign w:val="center"/>
          </w:tcPr>
          <w:p w14:paraId="4FA41548" w14:textId="77777777" w:rsidR="0016262C" w:rsidRPr="00386D51" w:rsidRDefault="0016262C" w:rsidP="0059662E">
            <w:pPr>
              <w:rPr>
                <w:rFonts w:ascii="Arial" w:eastAsia="Times New Roman" w:hAnsi="Arial"/>
                <w:b/>
                <w:bCs/>
                <w:color w:val="FFFFFF" w:themeColor="background1"/>
                <w:sz w:val="20"/>
                <w:szCs w:val="22"/>
                <w:lang w:eastAsia="en-US"/>
              </w:rPr>
            </w:pPr>
          </w:p>
        </w:tc>
        <w:tc>
          <w:tcPr>
            <w:tcW w:w="1350" w:type="dxa"/>
            <w:tcBorders>
              <w:top w:val="single" w:sz="4" w:space="0" w:color="auto"/>
              <w:left w:val="nil"/>
              <w:bottom w:val="single" w:sz="4" w:space="0" w:color="auto"/>
              <w:right w:val="single" w:sz="4" w:space="0" w:color="auto"/>
            </w:tcBorders>
            <w:shd w:val="clear" w:color="auto" w:fill="156570"/>
            <w:vAlign w:val="center"/>
          </w:tcPr>
          <w:p w14:paraId="64D15BB2" w14:textId="77777777" w:rsidR="0016262C" w:rsidRPr="00386D51" w:rsidRDefault="0016262C" w:rsidP="0059662E">
            <w:pPr>
              <w:jc w:val="center"/>
              <w:rPr>
                <w:rFonts w:ascii="Arial" w:eastAsia="Times New Roman" w:hAnsi="Arial"/>
                <w:color w:val="FFFFFF" w:themeColor="background1"/>
                <w:sz w:val="20"/>
                <w:szCs w:val="22"/>
                <w:lang w:eastAsia="en-US"/>
              </w:rPr>
            </w:pPr>
            <w:r w:rsidRPr="00386D51">
              <w:rPr>
                <w:rFonts w:ascii="Arial" w:eastAsia="Times New Roman" w:hAnsi="Arial"/>
                <w:color w:val="FFFFFF" w:themeColor="background1"/>
                <w:sz w:val="20"/>
                <w:szCs w:val="22"/>
                <w:lang w:eastAsia="en-US"/>
              </w:rPr>
              <w:t>Expected ($million/yr)</w:t>
            </w:r>
          </w:p>
        </w:tc>
        <w:tc>
          <w:tcPr>
            <w:tcW w:w="1440" w:type="dxa"/>
            <w:tcBorders>
              <w:top w:val="single" w:sz="4" w:space="0" w:color="auto"/>
              <w:left w:val="nil"/>
              <w:bottom w:val="single" w:sz="4" w:space="0" w:color="auto"/>
              <w:right w:val="single" w:sz="8" w:space="0" w:color="auto"/>
            </w:tcBorders>
            <w:shd w:val="clear" w:color="auto" w:fill="156570"/>
            <w:vAlign w:val="center"/>
          </w:tcPr>
          <w:p w14:paraId="4EB7B51F" w14:textId="77777777" w:rsidR="0016262C" w:rsidRPr="00386D51" w:rsidRDefault="0016262C" w:rsidP="0059662E">
            <w:pPr>
              <w:jc w:val="center"/>
              <w:rPr>
                <w:rFonts w:ascii="Arial" w:eastAsia="Times New Roman" w:hAnsi="Arial"/>
                <w:color w:val="FFFFFF" w:themeColor="background1"/>
                <w:sz w:val="20"/>
                <w:szCs w:val="22"/>
                <w:lang w:eastAsia="en-US"/>
              </w:rPr>
            </w:pPr>
            <w:r w:rsidRPr="00386D51">
              <w:rPr>
                <w:rFonts w:ascii="Arial" w:eastAsia="Times New Roman" w:hAnsi="Arial"/>
                <w:color w:val="FFFFFF" w:themeColor="background1"/>
                <w:sz w:val="20"/>
                <w:szCs w:val="22"/>
                <w:lang w:eastAsia="en-US"/>
              </w:rPr>
              <w:t>Risk-TailVar90 ($million/yr)</w:t>
            </w:r>
          </w:p>
        </w:tc>
      </w:tr>
      <w:tr w:rsidR="0016262C" w:rsidRPr="0059662E" w14:paraId="4107BB8B" w14:textId="77777777" w:rsidTr="00F53066">
        <w:trPr>
          <w:trHeight w:val="219"/>
        </w:trPr>
        <w:tc>
          <w:tcPr>
            <w:tcW w:w="327" w:type="dxa"/>
            <w:tcBorders>
              <w:top w:val="single" w:sz="4" w:space="0" w:color="auto"/>
              <w:left w:val="single" w:sz="4" w:space="0" w:color="auto"/>
              <w:bottom w:val="single" w:sz="4" w:space="0" w:color="auto"/>
              <w:right w:val="single" w:sz="8" w:space="0" w:color="auto"/>
            </w:tcBorders>
            <w:vAlign w:val="center"/>
          </w:tcPr>
          <w:p w14:paraId="05AABA06" w14:textId="77777777" w:rsidR="0016262C" w:rsidRPr="0016262C" w:rsidRDefault="0016262C" w:rsidP="0059662E">
            <w:pPr>
              <w:rPr>
                <w:rFonts w:ascii="Arial" w:eastAsia="Times New Roman" w:hAnsi="Arial"/>
                <w:color w:val="000000"/>
                <w:sz w:val="20"/>
                <w:szCs w:val="22"/>
                <w:lang w:eastAsia="en-US"/>
              </w:rPr>
            </w:pPr>
            <w:r w:rsidRPr="0016262C">
              <w:rPr>
                <w:rFonts w:ascii="Arial" w:eastAsia="Times New Roman" w:hAnsi="Arial"/>
                <w:color w:val="000000"/>
                <w:sz w:val="20"/>
                <w:szCs w:val="22"/>
                <w:lang w:eastAsia="en-US"/>
              </w:rPr>
              <w:t>1</w:t>
            </w:r>
          </w:p>
        </w:tc>
        <w:tc>
          <w:tcPr>
            <w:tcW w:w="2478" w:type="dxa"/>
            <w:tcBorders>
              <w:top w:val="single" w:sz="4" w:space="0" w:color="auto"/>
              <w:left w:val="single" w:sz="8" w:space="0" w:color="auto"/>
              <w:bottom w:val="single" w:sz="4" w:space="0" w:color="auto"/>
              <w:right w:val="single" w:sz="8" w:space="0" w:color="auto"/>
            </w:tcBorders>
            <w:shd w:val="clear" w:color="auto" w:fill="auto"/>
            <w:noWrap/>
            <w:vAlign w:val="bottom"/>
          </w:tcPr>
          <w:p w14:paraId="01AF24C4" w14:textId="77777777" w:rsidR="0016262C" w:rsidRPr="0016262C" w:rsidRDefault="0016262C" w:rsidP="0059662E">
            <w:pPr>
              <w:rPr>
                <w:rFonts w:ascii="Arial" w:eastAsia="Times New Roman" w:hAnsi="Arial"/>
                <w:color w:val="000000"/>
                <w:sz w:val="20"/>
                <w:szCs w:val="22"/>
                <w:lang w:eastAsia="en-US"/>
              </w:rPr>
            </w:pPr>
            <w:r w:rsidRPr="0016262C">
              <w:rPr>
                <w:rFonts w:ascii="Arial" w:eastAsia="Times New Roman" w:hAnsi="Arial"/>
                <w:color w:val="000000"/>
                <w:sz w:val="20"/>
                <w:szCs w:val="22"/>
                <w:lang w:eastAsia="en-US"/>
              </w:rPr>
              <w:t>2013 Planning Standard</w:t>
            </w:r>
          </w:p>
          <w:p w14:paraId="3722299A" w14:textId="77777777" w:rsidR="0016262C" w:rsidRPr="0016262C" w:rsidRDefault="0016262C" w:rsidP="0059662E">
            <w:pPr>
              <w:rPr>
                <w:rFonts w:ascii="Arial" w:eastAsia="Times New Roman" w:hAnsi="Arial"/>
                <w:color w:val="000000"/>
                <w:sz w:val="20"/>
                <w:szCs w:val="22"/>
                <w:lang w:eastAsia="en-US"/>
              </w:rPr>
            </w:pPr>
            <w:r w:rsidRPr="0016262C">
              <w:rPr>
                <w:rFonts w:ascii="Arial" w:eastAsia="Times New Roman" w:hAnsi="Arial"/>
                <w:color w:val="000000"/>
                <w:sz w:val="20"/>
                <w:szCs w:val="22"/>
                <w:lang w:eastAsia="en-US"/>
              </w:rPr>
              <w:t>with Market Risk</w:t>
            </w:r>
          </w:p>
        </w:tc>
        <w:tc>
          <w:tcPr>
            <w:tcW w:w="768" w:type="dxa"/>
            <w:tcBorders>
              <w:top w:val="nil"/>
              <w:left w:val="nil"/>
              <w:bottom w:val="single" w:sz="4" w:space="0" w:color="auto"/>
              <w:right w:val="single" w:sz="4" w:space="0" w:color="auto"/>
            </w:tcBorders>
            <w:shd w:val="clear" w:color="auto" w:fill="auto"/>
            <w:noWrap/>
            <w:vAlign w:val="center"/>
          </w:tcPr>
          <w:p w14:paraId="34A2CDD8" w14:textId="77777777" w:rsidR="0016262C" w:rsidRPr="0016262C" w:rsidRDefault="0016262C" w:rsidP="0059662E">
            <w:pPr>
              <w:jc w:val="center"/>
              <w:rPr>
                <w:rFonts w:ascii="Arial" w:eastAsia="Times New Roman" w:hAnsi="Arial"/>
                <w:color w:val="000000"/>
                <w:sz w:val="20"/>
                <w:szCs w:val="22"/>
                <w:lang w:eastAsia="en-US"/>
              </w:rPr>
            </w:pPr>
            <w:r w:rsidRPr="0016262C">
              <w:rPr>
                <w:rFonts w:ascii="Arial" w:eastAsia="Times New Roman" w:hAnsi="Arial"/>
                <w:color w:val="000000"/>
                <w:sz w:val="20"/>
                <w:szCs w:val="22"/>
                <w:lang w:eastAsia="en-US"/>
              </w:rPr>
              <w:t>5%</w:t>
            </w:r>
          </w:p>
        </w:tc>
        <w:tc>
          <w:tcPr>
            <w:tcW w:w="885" w:type="dxa"/>
            <w:tcBorders>
              <w:top w:val="nil"/>
              <w:left w:val="nil"/>
              <w:bottom w:val="single" w:sz="4" w:space="0" w:color="auto"/>
              <w:right w:val="single" w:sz="8" w:space="0" w:color="auto"/>
            </w:tcBorders>
            <w:shd w:val="clear" w:color="auto" w:fill="auto"/>
            <w:noWrap/>
            <w:vAlign w:val="center"/>
          </w:tcPr>
          <w:p w14:paraId="64BF9A3A" w14:textId="77777777" w:rsidR="0016262C" w:rsidRPr="0016262C" w:rsidRDefault="0016262C" w:rsidP="0059662E">
            <w:pPr>
              <w:jc w:val="center"/>
              <w:rPr>
                <w:rFonts w:ascii="Arial" w:eastAsia="Times New Roman" w:hAnsi="Arial"/>
                <w:color w:val="000000"/>
                <w:sz w:val="20"/>
                <w:szCs w:val="22"/>
                <w:lang w:eastAsia="en-US"/>
              </w:rPr>
            </w:pPr>
            <w:r w:rsidRPr="0016262C">
              <w:rPr>
                <w:rFonts w:ascii="Arial" w:eastAsia="Times New Roman" w:hAnsi="Arial"/>
                <w:color w:val="000000"/>
                <w:sz w:val="20"/>
                <w:szCs w:val="22"/>
                <w:lang w:eastAsia="en-US"/>
              </w:rPr>
              <w:t>50.0</w:t>
            </w:r>
          </w:p>
        </w:tc>
        <w:tc>
          <w:tcPr>
            <w:tcW w:w="1317" w:type="dxa"/>
            <w:tcBorders>
              <w:top w:val="single" w:sz="4" w:space="0" w:color="auto"/>
              <w:left w:val="nil"/>
              <w:bottom w:val="single" w:sz="4" w:space="0" w:color="auto"/>
              <w:right w:val="single" w:sz="8" w:space="0" w:color="auto"/>
            </w:tcBorders>
            <w:shd w:val="clear" w:color="auto" w:fill="auto"/>
            <w:noWrap/>
            <w:vAlign w:val="center"/>
          </w:tcPr>
          <w:p w14:paraId="258C9D35" w14:textId="77777777" w:rsidR="0016262C" w:rsidRPr="0016262C" w:rsidRDefault="0016262C" w:rsidP="0059662E">
            <w:pPr>
              <w:jc w:val="center"/>
              <w:rPr>
                <w:rFonts w:ascii="Arial" w:eastAsia="Times New Roman" w:hAnsi="Arial"/>
                <w:color w:val="000000"/>
                <w:sz w:val="20"/>
                <w:szCs w:val="22"/>
                <w:lang w:eastAsia="en-US"/>
              </w:rPr>
            </w:pPr>
            <w:r w:rsidRPr="0016262C">
              <w:rPr>
                <w:rFonts w:ascii="Arial" w:eastAsia="Times New Roman" w:hAnsi="Arial"/>
                <w:color w:val="000000"/>
                <w:sz w:val="20"/>
                <w:szCs w:val="22"/>
                <w:lang w:eastAsia="en-US"/>
              </w:rPr>
              <w:t>(117)</w:t>
            </w:r>
          </w:p>
        </w:tc>
        <w:tc>
          <w:tcPr>
            <w:tcW w:w="1350" w:type="dxa"/>
            <w:tcBorders>
              <w:top w:val="nil"/>
              <w:left w:val="nil"/>
              <w:bottom w:val="single" w:sz="4" w:space="0" w:color="auto"/>
              <w:right w:val="single" w:sz="4" w:space="0" w:color="auto"/>
            </w:tcBorders>
            <w:shd w:val="clear" w:color="auto" w:fill="auto"/>
            <w:noWrap/>
            <w:vAlign w:val="center"/>
          </w:tcPr>
          <w:p w14:paraId="1E77B094" w14:textId="77777777" w:rsidR="0016262C" w:rsidRPr="0016262C" w:rsidRDefault="0016262C" w:rsidP="0059662E">
            <w:pPr>
              <w:jc w:val="center"/>
              <w:rPr>
                <w:rFonts w:ascii="Arial" w:eastAsia="Times New Roman" w:hAnsi="Arial"/>
                <w:color w:val="000000"/>
                <w:sz w:val="20"/>
                <w:szCs w:val="22"/>
                <w:lang w:eastAsia="en-US"/>
              </w:rPr>
            </w:pPr>
            <w:r w:rsidRPr="0016262C">
              <w:rPr>
                <w:rFonts w:ascii="Arial" w:eastAsia="Times New Roman" w:hAnsi="Arial"/>
                <w:color w:val="000000"/>
                <w:sz w:val="20"/>
                <w:szCs w:val="22"/>
                <w:lang w:eastAsia="en-US"/>
              </w:rPr>
              <w:t>169</w:t>
            </w:r>
          </w:p>
        </w:tc>
        <w:tc>
          <w:tcPr>
            <w:tcW w:w="1440" w:type="dxa"/>
            <w:tcBorders>
              <w:top w:val="nil"/>
              <w:left w:val="nil"/>
              <w:bottom w:val="single" w:sz="4" w:space="0" w:color="auto"/>
              <w:right w:val="single" w:sz="8" w:space="0" w:color="auto"/>
            </w:tcBorders>
            <w:shd w:val="clear" w:color="auto" w:fill="auto"/>
            <w:noWrap/>
            <w:vAlign w:val="center"/>
          </w:tcPr>
          <w:p w14:paraId="70BDEBB0" w14:textId="77777777" w:rsidR="0016262C" w:rsidRPr="0016262C" w:rsidRDefault="0016262C" w:rsidP="0059662E">
            <w:pPr>
              <w:jc w:val="center"/>
              <w:rPr>
                <w:rFonts w:ascii="Arial" w:eastAsia="Times New Roman" w:hAnsi="Arial"/>
                <w:color w:val="000000"/>
                <w:sz w:val="20"/>
                <w:szCs w:val="22"/>
                <w:lang w:eastAsia="en-US"/>
              </w:rPr>
            </w:pPr>
            <w:r w:rsidRPr="0016262C">
              <w:rPr>
                <w:rFonts w:ascii="Arial" w:eastAsia="Times New Roman" w:hAnsi="Arial"/>
                <w:color w:val="000000"/>
                <w:sz w:val="20"/>
                <w:szCs w:val="22"/>
                <w:lang w:eastAsia="en-US"/>
              </w:rPr>
              <w:t>1,691</w:t>
            </w:r>
          </w:p>
        </w:tc>
      </w:tr>
      <w:tr w:rsidR="0016262C" w:rsidRPr="0059662E" w14:paraId="0062FF71" w14:textId="77777777" w:rsidTr="00185307">
        <w:trPr>
          <w:trHeight w:val="448"/>
        </w:trPr>
        <w:tc>
          <w:tcPr>
            <w:tcW w:w="327" w:type="dxa"/>
            <w:tcBorders>
              <w:top w:val="nil"/>
              <w:left w:val="single" w:sz="4" w:space="0" w:color="auto"/>
              <w:bottom w:val="single" w:sz="4" w:space="0" w:color="auto"/>
              <w:right w:val="single" w:sz="8" w:space="0" w:color="auto"/>
            </w:tcBorders>
            <w:vAlign w:val="center"/>
          </w:tcPr>
          <w:p w14:paraId="60B2A008" w14:textId="77777777" w:rsidR="0016262C" w:rsidRPr="0016262C" w:rsidRDefault="0016262C" w:rsidP="00EF3F6E">
            <w:pPr>
              <w:rPr>
                <w:rFonts w:ascii="Arial" w:eastAsia="Times New Roman" w:hAnsi="Arial"/>
                <w:color w:val="000000"/>
                <w:sz w:val="20"/>
                <w:szCs w:val="22"/>
                <w:lang w:eastAsia="en-US"/>
              </w:rPr>
            </w:pPr>
            <w:r w:rsidRPr="0016262C">
              <w:rPr>
                <w:rFonts w:ascii="Arial" w:eastAsia="Times New Roman" w:hAnsi="Arial"/>
                <w:color w:val="000000"/>
                <w:sz w:val="20"/>
                <w:szCs w:val="22"/>
                <w:lang w:eastAsia="en-US"/>
              </w:rPr>
              <w:t>2</w:t>
            </w:r>
          </w:p>
        </w:tc>
        <w:tc>
          <w:tcPr>
            <w:tcW w:w="2478" w:type="dxa"/>
            <w:tcBorders>
              <w:top w:val="nil"/>
              <w:left w:val="single" w:sz="8" w:space="0" w:color="auto"/>
              <w:bottom w:val="single" w:sz="4" w:space="0" w:color="auto"/>
              <w:right w:val="single" w:sz="8" w:space="0" w:color="auto"/>
            </w:tcBorders>
            <w:shd w:val="clear" w:color="auto" w:fill="auto"/>
            <w:vAlign w:val="bottom"/>
          </w:tcPr>
          <w:p w14:paraId="3FB23942" w14:textId="77777777" w:rsidR="0016262C" w:rsidRPr="0016262C" w:rsidRDefault="0016262C" w:rsidP="00EF3F6E">
            <w:pPr>
              <w:rPr>
                <w:rFonts w:ascii="Arial" w:eastAsia="Times New Roman" w:hAnsi="Arial"/>
                <w:color w:val="000000"/>
                <w:sz w:val="20"/>
                <w:szCs w:val="22"/>
                <w:lang w:eastAsia="en-US"/>
              </w:rPr>
            </w:pPr>
            <w:r w:rsidRPr="0016262C">
              <w:rPr>
                <w:rFonts w:ascii="Arial" w:eastAsia="Times New Roman" w:hAnsi="Arial"/>
                <w:color w:val="000000"/>
                <w:sz w:val="20"/>
                <w:szCs w:val="22"/>
                <w:lang w:eastAsia="en-US"/>
              </w:rPr>
              <w:t>2015 Optimal Customer Planning Standard</w:t>
            </w:r>
          </w:p>
          <w:p w14:paraId="334B7776" w14:textId="77777777" w:rsidR="0016262C" w:rsidRPr="0016262C" w:rsidRDefault="0016262C" w:rsidP="00EF3F6E">
            <w:pPr>
              <w:rPr>
                <w:rFonts w:ascii="Arial" w:eastAsia="Times New Roman" w:hAnsi="Arial"/>
                <w:color w:val="000000"/>
                <w:sz w:val="20"/>
                <w:szCs w:val="22"/>
                <w:lang w:eastAsia="en-US"/>
              </w:rPr>
            </w:pPr>
            <w:r w:rsidRPr="0016262C">
              <w:rPr>
                <w:rFonts w:ascii="Arial" w:eastAsia="Times New Roman" w:hAnsi="Arial"/>
                <w:color w:val="000000"/>
                <w:sz w:val="20"/>
                <w:szCs w:val="22"/>
                <w:lang w:eastAsia="en-US"/>
              </w:rPr>
              <w:t>(Includes Market Risk)</w:t>
            </w:r>
          </w:p>
        </w:tc>
        <w:tc>
          <w:tcPr>
            <w:tcW w:w="768" w:type="dxa"/>
            <w:tcBorders>
              <w:top w:val="nil"/>
              <w:left w:val="nil"/>
              <w:bottom w:val="single" w:sz="4" w:space="0" w:color="auto"/>
              <w:right w:val="single" w:sz="4" w:space="0" w:color="auto"/>
            </w:tcBorders>
            <w:shd w:val="clear" w:color="auto" w:fill="auto"/>
            <w:noWrap/>
            <w:vAlign w:val="center"/>
          </w:tcPr>
          <w:p w14:paraId="7132C594" w14:textId="77777777" w:rsidR="0016262C" w:rsidRPr="0016262C" w:rsidRDefault="0016262C" w:rsidP="0059662E">
            <w:pPr>
              <w:jc w:val="center"/>
              <w:rPr>
                <w:rFonts w:ascii="Arial" w:eastAsia="Times New Roman" w:hAnsi="Arial"/>
                <w:color w:val="000000"/>
                <w:sz w:val="20"/>
                <w:szCs w:val="22"/>
                <w:lang w:eastAsia="en-US"/>
              </w:rPr>
            </w:pPr>
            <w:r w:rsidRPr="0016262C">
              <w:rPr>
                <w:rFonts w:ascii="Arial" w:eastAsia="Times New Roman" w:hAnsi="Arial"/>
                <w:color w:val="000000"/>
                <w:sz w:val="20"/>
                <w:szCs w:val="22"/>
                <w:lang w:eastAsia="en-US"/>
              </w:rPr>
              <w:t>1%</w:t>
            </w:r>
          </w:p>
        </w:tc>
        <w:tc>
          <w:tcPr>
            <w:tcW w:w="885" w:type="dxa"/>
            <w:tcBorders>
              <w:top w:val="nil"/>
              <w:left w:val="nil"/>
              <w:bottom w:val="single" w:sz="4" w:space="0" w:color="auto"/>
              <w:right w:val="single" w:sz="8" w:space="0" w:color="auto"/>
            </w:tcBorders>
            <w:shd w:val="clear" w:color="auto" w:fill="auto"/>
            <w:noWrap/>
            <w:vAlign w:val="center"/>
          </w:tcPr>
          <w:p w14:paraId="43D2A531" w14:textId="77777777" w:rsidR="0016262C" w:rsidRPr="0016262C" w:rsidRDefault="0016262C" w:rsidP="0059662E">
            <w:pPr>
              <w:jc w:val="center"/>
              <w:rPr>
                <w:rFonts w:ascii="Arial" w:eastAsia="Times New Roman" w:hAnsi="Arial"/>
                <w:color w:val="000000"/>
                <w:sz w:val="20"/>
                <w:szCs w:val="22"/>
                <w:lang w:eastAsia="en-US"/>
              </w:rPr>
            </w:pPr>
            <w:r w:rsidRPr="0016262C">
              <w:rPr>
                <w:rFonts w:ascii="Arial" w:eastAsia="Times New Roman" w:hAnsi="Arial"/>
                <w:color w:val="000000"/>
                <w:sz w:val="20"/>
                <w:szCs w:val="22"/>
                <w:lang w:eastAsia="en-US"/>
              </w:rPr>
              <w:t>10.9</w:t>
            </w:r>
          </w:p>
        </w:tc>
        <w:tc>
          <w:tcPr>
            <w:tcW w:w="1317" w:type="dxa"/>
            <w:tcBorders>
              <w:top w:val="nil"/>
              <w:left w:val="nil"/>
              <w:bottom w:val="single" w:sz="4" w:space="0" w:color="auto"/>
              <w:right w:val="single" w:sz="8" w:space="0" w:color="auto"/>
            </w:tcBorders>
            <w:shd w:val="clear" w:color="auto" w:fill="auto"/>
            <w:noWrap/>
            <w:vAlign w:val="center"/>
          </w:tcPr>
          <w:p w14:paraId="03182E55" w14:textId="77777777" w:rsidR="0016262C" w:rsidRPr="0016262C" w:rsidRDefault="0016262C" w:rsidP="0059662E">
            <w:pPr>
              <w:jc w:val="center"/>
              <w:rPr>
                <w:rFonts w:ascii="Arial" w:eastAsia="Times New Roman" w:hAnsi="Arial"/>
                <w:color w:val="000000"/>
                <w:sz w:val="20"/>
                <w:szCs w:val="22"/>
                <w:lang w:eastAsia="en-US"/>
              </w:rPr>
            </w:pPr>
            <w:r w:rsidRPr="0016262C">
              <w:rPr>
                <w:rFonts w:ascii="Arial" w:eastAsia="Times New Roman" w:hAnsi="Arial"/>
                <w:color w:val="000000"/>
                <w:sz w:val="20"/>
                <w:szCs w:val="22"/>
                <w:lang w:eastAsia="en-US"/>
              </w:rPr>
              <w:t>234</w:t>
            </w:r>
          </w:p>
        </w:tc>
        <w:tc>
          <w:tcPr>
            <w:tcW w:w="1350" w:type="dxa"/>
            <w:tcBorders>
              <w:top w:val="nil"/>
              <w:left w:val="nil"/>
              <w:bottom w:val="single" w:sz="4" w:space="0" w:color="auto"/>
              <w:right w:val="single" w:sz="4" w:space="0" w:color="auto"/>
            </w:tcBorders>
            <w:shd w:val="clear" w:color="auto" w:fill="auto"/>
            <w:noWrap/>
            <w:vAlign w:val="center"/>
          </w:tcPr>
          <w:p w14:paraId="51B62B13" w14:textId="77777777" w:rsidR="0016262C" w:rsidRPr="0016262C" w:rsidRDefault="0016262C" w:rsidP="0059662E">
            <w:pPr>
              <w:jc w:val="center"/>
              <w:rPr>
                <w:rFonts w:ascii="Arial" w:eastAsia="Times New Roman" w:hAnsi="Arial"/>
                <w:color w:val="000000"/>
                <w:sz w:val="20"/>
                <w:szCs w:val="22"/>
                <w:lang w:eastAsia="en-US"/>
              </w:rPr>
            </w:pPr>
            <w:r w:rsidRPr="0016262C">
              <w:rPr>
                <w:rFonts w:ascii="Arial" w:eastAsia="Times New Roman" w:hAnsi="Arial"/>
                <w:color w:val="000000"/>
                <w:sz w:val="20"/>
                <w:szCs w:val="22"/>
                <w:lang w:eastAsia="en-US"/>
              </w:rPr>
              <w:t>39</w:t>
            </w:r>
          </w:p>
        </w:tc>
        <w:tc>
          <w:tcPr>
            <w:tcW w:w="1440" w:type="dxa"/>
            <w:tcBorders>
              <w:top w:val="nil"/>
              <w:left w:val="nil"/>
              <w:bottom w:val="single" w:sz="4" w:space="0" w:color="auto"/>
              <w:right w:val="single" w:sz="8" w:space="0" w:color="auto"/>
            </w:tcBorders>
            <w:shd w:val="clear" w:color="auto" w:fill="auto"/>
            <w:noWrap/>
            <w:vAlign w:val="center"/>
          </w:tcPr>
          <w:p w14:paraId="549F5A96" w14:textId="77777777" w:rsidR="0016262C" w:rsidRPr="0016262C" w:rsidRDefault="0016262C" w:rsidP="0059662E">
            <w:pPr>
              <w:jc w:val="center"/>
              <w:rPr>
                <w:rFonts w:ascii="Arial" w:eastAsia="Times New Roman" w:hAnsi="Arial"/>
                <w:color w:val="000000"/>
                <w:sz w:val="20"/>
                <w:szCs w:val="22"/>
                <w:lang w:eastAsia="en-US"/>
              </w:rPr>
            </w:pPr>
            <w:r w:rsidRPr="0016262C">
              <w:rPr>
                <w:rFonts w:ascii="Arial" w:eastAsia="Times New Roman" w:hAnsi="Arial"/>
                <w:color w:val="000000"/>
                <w:sz w:val="20"/>
                <w:szCs w:val="22"/>
                <w:lang w:eastAsia="en-US"/>
              </w:rPr>
              <w:t>385</w:t>
            </w:r>
          </w:p>
        </w:tc>
      </w:tr>
      <w:tr w:rsidR="0016262C" w:rsidRPr="0059662E" w14:paraId="052E3A2D" w14:textId="77777777" w:rsidTr="00185307">
        <w:trPr>
          <w:trHeight w:val="448"/>
        </w:trPr>
        <w:tc>
          <w:tcPr>
            <w:tcW w:w="327" w:type="dxa"/>
            <w:tcBorders>
              <w:top w:val="single" w:sz="4" w:space="0" w:color="auto"/>
              <w:left w:val="single" w:sz="4" w:space="0" w:color="auto"/>
              <w:bottom w:val="single" w:sz="4" w:space="0" w:color="auto"/>
              <w:right w:val="single" w:sz="8" w:space="0" w:color="auto"/>
            </w:tcBorders>
          </w:tcPr>
          <w:p w14:paraId="70EE4872" w14:textId="77777777" w:rsidR="0016262C" w:rsidRPr="0016262C" w:rsidRDefault="0016262C" w:rsidP="008343BE">
            <w:pPr>
              <w:rPr>
                <w:rFonts w:ascii="Arial" w:eastAsia="Times New Roman" w:hAnsi="Arial"/>
                <w:color w:val="000000"/>
                <w:sz w:val="20"/>
                <w:szCs w:val="22"/>
                <w:lang w:eastAsia="en-US"/>
              </w:rPr>
            </w:pPr>
          </w:p>
        </w:tc>
        <w:tc>
          <w:tcPr>
            <w:tcW w:w="2478" w:type="dxa"/>
            <w:tcBorders>
              <w:top w:val="single" w:sz="4" w:space="0" w:color="auto"/>
              <w:left w:val="single" w:sz="8" w:space="0" w:color="auto"/>
              <w:bottom w:val="single" w:sz="4" w:space="0" w:color="auto"/>
              <w:right w:val="single" w:sz="8" w:space="0" w:color="auto"/>
            </w:tcBorders>
            <w:shd w:val="clear" w:color="auto" w:fill="auto"/>
            <w:vAlign w:val="center"/>
          </w:tcPr>
          <w:p w14:paraId="005E38AD" w14:textId="77777777" w:rsidR="0016262C" w:rsidRPr="0016262C" w:rsidRDefault="0016262C" w:rsidP="008343BE">
            <w:pPr>
              <w:rPr>
                <w:rFonts w:ascii="Arial" w:eastAsia="Times New Roman" w:hAnsi="Arial"/>
                <w:color w:val="000000"/>
                <w:sz w:val="20"/>
                <w:szCs w:val="22"/>
                <w:lang w:eastAsia="en-US"/>
              </w:rPr>
            </w:pPr>
            <w:r w:rsidRPr="0016262C">
              <w:rPr>
                <w:rFonts w:ascii="Arial" w:eastAsia="Times New Roman" w:hAnsi="Arial"/>
                <w:color w:val="000000"/>
                <w:sz w:val="20"/>
                <w:szCs w:val="22"/>
                <w:lang w:eastAsia="en-US"/>
              </w:rPr>
              <w:t>Change</w:t>
            </w:r>
          </w:p>
        </w:tc>
        <w:tc>
          <w:tcPr>
            <w:tcW w:w="768" w:type="dxa"/>
            <w:tcBorders>
              <w:top w:val="single" w:sz="4" w:space="0" w:color="auto"/>
              <w:left w:val="nil"/>
              <w:bottom w:val="single" w:sz="8" w:space="0" w:color="auto"/>
              <w:right w:val="single" w:sz="4" w:space="0" w:color="auto"/>
            </w:tcBorders>
            <w:shd w:val="clear" w:color="auto" w:fill="auto"/>
            <w:noWrap/>
            <w:vAlign w:val="center"/>
          </w:tcPr>
          <w:p w14:paraId="39B0FF11" w14:textId="77777777" w:rsidR="0016262C" w:rsidRPr="0016262C" w:rsidRDefault="0016262C" w:rsidP="0059662E">
            <w:pPr>
              <w:jc w:val="center"/>
              <w:rPr>
                <w:rFonts w:ascii="Arial" w:eastAsia="Times New Roman" w:hAnsi="Arial"/>
                <w:color w:val="000000"/>
                <w:sz w:val="20"/>
                <w:szCs w:val="22"/>
                <w:lang w:eastAsia="en-US"/>
              </w:rPr>
            </w:pPr>
          </w:p>
        </w:tc>
        <w:tc>
          <w:tcPr>
            <w:tcW w:w="885" w:type="dxa"/>
            <w:tcBorders>
              <w:top w:val="single" w:sz="4" w:space="0" w:color="auto"/>
              <w:left w:val="nil"/>
              <w:bottom w:val="single" w:sz="8" w:space="0" w:color="auto"/>
              <w:right w:val="single" w:sz="8" w:space="0" w:color="auto"/>
            </w:tcBorders>
            <w:shd w:val="clear" w:color="auto" w:fill="auto"/>
            <w:noWrap/>
            <w:vAlign w:val="center"/>
          </w:tcPr>
          <w:p w14:paraId="56360E2F" w14:textId="77777777" w:rsidR="0016262C" w:rsidRPr="0016262C" w:rsidRDefault="0016262C" w:rsidP="0059662E">
            <w:pPr>
              <w:jc w:val="center"/>
              <w:rPr>
                <w:rFonts w:ascii="Arial" w:eastAsia="Times New Roman" w:hAnsi="Arial"/>
                <w:color w:val="000000"/>
                <w:sz w:val="20"/>
                <w:szCs w:val="22"/>
                <w:lang w:eastAsia="en-US"/>
              </w:rPr>
            </w:pPr>
          </w:p>
        </w:tc>
        <w:tc>
          <w:tcPr>
            <w:tcW w:w="1317" w:type="dxa"/>
            <w:tcBorders>
              <w:top w:val="single" w:sz="4" w:space="0" w:color="auto"/>
              <w:left w:val="nil"/>
              <w:bottom w:val="single" w:sz="8" w:space="0" w:color="auto"/>
              <w:right w:val="single" w:sz="8" w:space="0" w:color="auto"/>
            </w:tcBorders>
            <w:shd w:val="clear" w:color="auto" w:fill="auto"/>
            <w:noWrap/>
            <w:vAlign w:val="center"/>
          </w:tcPr>
          <w:p w14:paraId="72CB1596" w14:textId="77777777" w:rsidR="0016262C" w:rsidRPr="0016262C" w:rsidRDefault="0016262C" w:rsidP="0059662E">
            <w:pPr>
              <w:jc w:val="center"/>
              <w:rPr>
                <w:rFonts w:ascii="Arial" w:eastAsia="Times New Roman" w:hAnsi="Arial"/>
                <w:color w:val="000000"/>
                <w:sz w:val="20"/>
                <w:szCs w:val="22"/>
                <w:lang w:eastAsia="en-US"/>
              </w:rPr>
            </w:pPr>
            <w:r w:rsidRPr="0016262C">
              <w:rPr>
                <w:rFonts w:ascii="Arial" w:eastAsia="Times New Roman" w:hAnsi="Arial"/>
                <w:color w:val="000000"/>
                <w:sz w:val="20"/>
                <w:szCs w:val="22"/>
                <w:lang w:eastAsia="en-US"/>
              </w:rPr>
              <w:t>351</w:t>
            </w:r>
          </w:p>
        </w:tc>
        <w:tc>
          <w:tcPr>
            <w:tcW w:w="1350" w:type="dxa"/>
            <w:tcBorders>
              <w:top w:val="single" w:sz="4" w:space="0" w:color="auto"/>
              <w:left w:val="nil"/>
              <w:bottom w:val="single" w:sz="8" w:space="0" w:color="auto"/>
              <w:right w:val="single" w:sz="4" w:space="0" w:color="auto"/>
            </w:tcBorders>
            <w:shd w:val="clear" w:color="auto" w:fill="auto"/>
            <w:noWrap/>
            <w:vAlign w:val="center"/>
          </w:tcPr>
          <w:p w14:paraId="740806A3" w14:textId="77777777" w:rsidR="0016262C" w:rsidRPr="0016262C" w:rsidRDefault="0016262C" w:rsidP="0059662E">
            <w:pPr>
              <w:jc w:val="center"/>
              <w:rPr>
                <w:rFonts w:ascii="Arial" w:eastAsia="Times New Roman" w:hAnsi="Arial"/>
                <w:color w:val="000000"/>
                <w:sz w:val="20"/>
                <w:szCs w:val="22"/>
                <w:lang w:eastAsia="en-US"/>
              </w:rPr>
            </w:pPr>
            <w:r w:rsidRPr="0016262C">
              <w:rPr>
                <w:rFonts w:ascii="Arial" w:eastAsia="Times New Roman" w:hAnsi="Arial"/>
                <w:color w:val="000000"/>
                <w:sz w:val="20"/>
                <w:szCs w:val="22"/>
                <w:lang w:eastAsia="en-US"/>
              </w:rPr>
              <w:t>(130)</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72F391D3" w14:textId="77777777" w:rsidR="0016262C" w:rsidRPr="0016262C" w:rsidRDefault="0016262C" w:rsidP="0059662E">
            <w:pPr>
              <w:jc w:val="center"/>
              <w:rPr>
                <w:rFonts w:ascii="Arial" w:eastAsia="Times New Roman" w:hAnsi="Arial"/>
                <w:color w:val="000000"/>
                <w:sz w:val="20"/>
                <w:szCs w:val="22"/>
                <w:lang w:eastAsia="en-US"/>
              </w:rPr>
            </w:pPr>
            <w:r w:rsidRPr="0016262C">
              <w:rPr>
                <w:rFonts w:ascii="Arial" w:eastAsia="Times New Roman" w:hAnsi="Arial"/>
                <w:color w:val="000000"/>
                <w:sz w:val="20"/>
                <w:szCs w:val="22"/>
                <w:lang w:eastAsia="en-US"/>
              </w:rPr>
              <w:t>(1,306)</w:t>
            </w:r>
          </w:p>
        </w:tc>
      </w:tr>
    </w:tbl>
    <w:p w14:paraId="597A80D3" w14:textId="77777777" w:rsidR="0059662E" w:rsidRPr="00505A09" w:rsidRDefault="0059662E" w:rsidP="0059662E">
      <w:pPr>
        <w:pStyle w:val="IRPsanstext"/>
        <w:rPr>
          <w:color w:val="3366FF"/>
        </w:rPr>
      </w:pPr>
    </w:p>
    <w:p w14:paraId="4BAD0C7F" w14:textId="77777777" w:rsidR="00304A70" w:rsidRDefault="00304A70" w:rsidP="00E04B9A">
      <w:pPr>
        <w:pStyle w:val="IRPsanstext"/>
        <w:rPr>
          <w:b/>
          <w:caps/>
        </w:rPr>
      </w:pPr>
    </w:p>
    <w:p w14:paraId="48C548EA" w14:textId="77777777" w:rsidR="00F02FEA" w:rsidRPr="004B681C" w:rsidRDefault="00F02FEA" w:rsidP="0041507A">
      <w:pPr>
        <w:pStyle w:val="IRPsanstext"/>
        <w:spacing w:line="276" w:lineRule="auto"/>
        <w:rPr>
          <w:rFonts w:ascii="Palatino" w:hAnsi="Palatino"/>
          <w:i/>
          <w:color w:val="156570"/>
          <w:sz w:val="32"/>
          <w:szCs w:val="32"/>
        </w:rPr>
      </w:pPr>
      <w:r w:rsidRPr="004B681C">
        <w:rPr>
          <w:rFonts w:ascii="Palatino" w:hAnsi="Palatino"/>
          <w:i/>
          <w:color w:val="156570"/>
          <w:sz w:val="32"/>
          <w:szCs w:val="32"/>
        </w:rPr>
        <w:lastRenderedPageBreak/>
        <w:t xml:space="preserve">Gas pipelines that serve the region are reaching capacity with consequences for both electric and gas utility customers. </w:t>
      </w:r>
    </w:p>
    <w:p w14:paraId="538B1E9C" w14:textId="77777777" w:rsidR="00F02FEA" w:rsidRDefault="00F02FEA" w:rsidP="00E04B9A">
      <w:pPr>
        <w:pStyle w:val="IRPsanstext"/>
        <w:rPr>
          <w:sz w:val="32"/>
          <w:szCs w:val="32"/>
        </w:rPr>
      </w:pPr>
    </w:p>
    <w:p w14:paraId="1B222C34" w14:textId="77777777" w:rsidR="00F02FEA" w:rsidRDefault="00A50B7F" w:rsidP="002F7464">
      <w:pPr>
        <w:pStyle w:val="IRPsanstext"/>
      </w:pPr>
      <w:r>
        <w:t>T</w:t>
      </w:r>
      <w:r w:rsidR="007F0649">
        <w:t xml:space="preserve">he region’s </w:t>
      </w:r>
      <w:r w:rsidR="002C4F6A">
        <w:t>n</w:t>
      </w:r>
      <w:r w:rsidR="002F7464" w:rsidRPr="00E04B9A">
        <w:t xml:space="preserve">atural gas markets are </w:t>
      </w:r>
      <w:r w:rsidR="007F0649">
        <w:t xml:space="preserve">also </w:t>
      </w:r>
      <w:r w:rsidR="002F7464" w:rsidRPr="00E04B9A">
        <w:t>experiencing a decline in surplus capacity as available pipeline capacity becomes more fully utilized. For decades, the Sumas market has been a reliable, liquid trading hub for PSE, but its supplies depend on the availability of upstream pipeline capacity to move gas from prod</w:t>
      </w:r>
      <w:r w:rsidR="007F0649">
        <w:t xml:space="preserve">uction areas to the market hub. In the past two years, </w:t>
      </w:r>
      <w:r w:rsidR="007F0649" w:rsidRPr="00E04B9A">
        <w:t xml:space="preserve">one of the two major pipelines that interconnect at </w:t>
      </w:r>
      <w:r w:rsidR="007F0649">
        <w:t>Sumas</w:t>
      </w:r>
      <w:r w:rsidR="007F0649" w:rsidRPr="00E04B9A">
        <w:t>, the Westcoast Pipeline, has reached its peak design capacity limits.</w:t>
      </w:r>
      <w:r w:rsidR="00505A09">
        <w:t xml:space="preserve"> </w:t>
      </w:r>
    </w:p>
    <w:p w14:paraId="09067F17" w14:textId="77777777" w:rsidR="00F02FEA" w:rsidRDefault="00F02FEA" w:rsidP="002F7464">
      <w:pPr>
        <w:pStyle w:val="IRPsanstext"/>
      </w:pPr>
    </w:p>
    <w:p w14:paraId="594651AC" w14:textId="77777777" w:rsidR="0028348E" w:rsidRPr="00BD3495" w:rsidRDefault="00BD3495" w:rsidP="002F7464">
      <w:pPr>
        <w:pStyle w:val="IRPsanstext"/>
        <w:rPr>
          <w:caps/>
        </w:rPr>
      </w:pPr>
      <w:r w:rsidRPr="00BD3495">
        <w:rPr>
          <w:b/>
          <w:caps/>
        </w:rPr>
        <w:t>Gas utility impacts</w:t>
      </w:r>
      <w:r w:rsidR="00F02FEA" w:rsidRPr="00BD3495">
        <w:rPr>
          <w:caps/>
        </w:rPr>
        <w:t xml:space="preserve"> </w:t>
      </w:r>
    </w:p>
    <w:p w14:paraId="79B815C9" w14:textId="77777777" w:rsidR="002F7464" w:rsidRDefault="00A50B7F" w:rsidP="002F7464">
      <w:pPr>
        <w:pStyle w:val="IRPsanstext"/>
      </w:pPr>
      <w:r>
        <w:t xml:space="preserve">As </w:t>
      </w:r>
      <w:r w:rsidR="008343BE">
        <w:t xml:space="preserve">a </w:t>
      </w:r>
      <w:r>
        <w:t>direct result of these conditions</w:t>
      </w:r>
      <w:r w:rsidR="007F0649">
        <w:t xml:space="preserve">, PSE’s gas utility has </w:t>
      </w:r>
      <w:r w:rsidR="002F7464" w:rsidRPr="00E04B9A">
        <w:t>increased firm pipeline capacity commitments to cover 50 percent of the</w:t>
      </w:r>
      <w:r w:rsidR="007F0649">
        <w:t xml:space="preserve"> supplies we purchase at Sumas.</w:t>
      </w:r>
      <w:r w:rsidR="002F7464" w:rsidRPr="00E04B9A">
        <w:t xml:space="preserve"> </w:t>
      </w:r>
      <w:r>
        <w:t xml:space="preserve">Also, as pipeline capacity grows scarcer, storage capability may become increasingly important. </w:t>
      </w:r>
      <w:r w:rsidR="00DB5340">
        <w:t xml:space="preserve">In the future, </w:t>
      </w:r>
      <w:r w:rsidR="002F7464" w:rsidRPr="00E04B9A">
        <w:t xml:space="preserve">PSE </w:t>
      </w:r>
      <w:r>
        <w:t>may</w:t>
      </w:r>
      <w:r w:rsidR="002F7464" w:rsidRPr="00E04B9A">
        <w:t xml:space="preserve"> need to take additional actions to ensure firm gas supplies are available at Sumas, even before considering the possibility that new, large gas consumers, such as methanol production or LNG export facilities, could increase demand for </w:t>
      </w:r>
      <w:r w:rsidR="008343BE">
        <w:t xml:space="preserve">natural </w:t>
      </w:r>
      <w:r w:rsidR="002F7464" w:rsidRPr="00E04B9A">
        <w:t xml:space="preserve">gas supplies in the region.  </w:t>
      </w:r>
    </w:p>
    <w:p w14:paraId="2628CC36" w14:textId="77777777" w:rsidR="00BD3495" w:rsidRDefault="00BD3495" w:rsidP="00E04B9A">
      <w:pPr>
        <w:pStyle w:val="IRPsanstext"/>
      </w:pPr>
    </w:p>
    <w:p w14:paraId="062F07C4" w14:textId="77777777" w:rsidR="0028348E" w:rsidRPr="00BD3495" w:rsidRDefault="00F02FEA" w:rsidP="00E04B9A">
      <w:pPr>
        <w:pStyle w:val="IRPsanstext"/>
        <w:rPr>
          <w:caps/>
        </w:rPr>
      </w:pPr>
      <w:r w:rsidRPr="00BD3495">
        <w:rPr>
          <w:b/>
          <w:caps/>
        </w:rPr>
        <w:t>Electric utility</w:t>
      </w:r>
      <w:r w:rsidR="00BD3495" w:rsidRPr="00BD3495">
        <w:rPr>
          <w:b/>
          <w:caps/>
        </w:rPr>
        <w:t xml:space="preserve"> impacts</w:t>
      </w:r>
      <w:r w:rsidRPr="00BD3495">
        <w:rPr>
          <w:b/>
          <w:caps/>
        </w:rPr>
        <w:t xml:space="preserve"> </w:t>
      </w:r>
    </w:p>
    <w:p w14:paraId="55499D01" w14:textId="77777777" w:rsidR="00505A09" w:rsidRDefault="00A50B7F" w:rsidP="00E04B9A">
      <w:pPr>
        <w:pStyle w:val="IRPsanstext"/>
      </w:pPr>
      <w:r>
        <w:t>T</w:t>
      </w:r>
      <w:r w:rsidR="00E04B9A" w:rsidRPr="00E04B9A">
        <w:t>he reliability of the electric system increasingly depends upon the relia</w:t>
      </w:r>
      <w:r>
        <w:t>bility of the gas supply system, and g</w:t>
      </w:r>
      <w:r w:rsidR="00E04B9A" w:rsidRPr="00E04B9A">
        <w:t>as-fired generation in the region will probably incr</w:t>
      </w:r>
      <w:r>
        <w:t>ease as coal plants are retired, so the</w:t>
      </w:r>
      <w:r w:rsidR="00E04B9A" w:rsidRPr="00E04B9A">
        <w:t xml:space="preserve"> dwindling </w:t>
      </w:r>
      <w:r>
        <w:t xml:space="preserve">surplus of pipeline capacity, especially at times of peak need, </w:t>
      </w:r>
      <w:r w:rsidR="004B476F">
        <w:t xml:space="preserve">also </w:t>
      </w:r>
      <w:r>
        <w:t>has</w:t>
      </w:r>
      <w:r w:rsidR="00E04B9A" w:rsidRPr="00E04B9A">
        <w:t xml:space="preserve"> direct and indirect impacts on PSE’s </w:t>
      </w:r>
      <w:r>
        <w:t xml:space="preserve">electric </w:t>
      </w:r>
      <w:r w:rsidR="00E04B9A" w:rsidRPr="00E04B9A">
        <w:t xml:space="preserve">resource strategies.  </w:t>
      </w:r>
    </w:p>
    <w:p w14:paraId="04190F0D" w14:textId="77777777" w:rsidR="002C0947" w:rsidRDefault="002C0947" w:rsidP="00E04B9A">
      <w:pPr>
        <w:pStyle w:val="IRPsanstext"/>
      </w:pPr>
    </w:p>
    <w:p w14:paraId="50631779" w14:textId="77777777" w:rsidR="00E04B9A" w:rsidRPr="00E04B9A" w:rsidRDefault="002C0947" w:rsidP="002C0947">
      <w:pPr>
        <w:pStyle w:val="IRPsanstext"/>
        <w:numPr>
          <w:ilvl w:val="0"/>
          <w:numId w:val="10"/>
        </w:numPr>
      </w:pPr>
      <w:r w:rsidRPr="00E04B9A">
        <w:t xml:space="preserve">Electric reliability assessments will need to consider the availability of upstream pipeline capacity as well as direct-connect </w:t>
      </w:r>
      <w:r w:rsidR="008343BE">
        <w:t xml:space="preserve">pipeline </w:t>
      </w:r>
      <w:r w:rsidRPr="00E04B9A">
        <w:t xml:space="preserve">capacity, especially on pipelines we know are reaching capacity limits. </w:t>
      </w:r>
    </w:p>
    <w:p w14:paraId="04886E2D" w14:textId="77777777" w:rsidR="00E04B9A" w:rsidRPr="00E04B9A" w:rsidRDefault="002C0947" w:rsidP="002C0947">
      <w:pPr>
        <w:pStyle w:val="IRPsanstext"/>
        <w:numPr>
          <w:ilvl w:val="0"/>
          <w:numId w:val="10"/>
        </w:numPr>
      </w:pPr>
      <w:r>
        <w:t xml:space="preserve">The lack of verifiable firm gas supplies </w:t>
      </w:r>
      <w:proofErr w:type="gramStart"/>
      <w:r>
        <w:t xml:space="preserve">for the </w:t>
      </w:r>
      <w:r w:rsidR="00DB5340">
        <w:t xml:space="preserve">650 </w:t>
      </w:r>
      <w:r>
        <w:t>MW Grays Harbor combined-cycle gas plant</w:t>
      </w:r>
      <w:proofErr w:type="gramEnd"/>
      <w:r>
        <w:t xml:space="preserve"> could significantly affect the </w:t>
      </w:r>
      <w:r w:rsidR="00B041E9">
        <w:t xml:space="preserve">amount </w:t>
      </w:r>
      <w:r>
        <w:t xml:space="preserve">of short-term </w:t>
      </w:r>
      <w:r w:rsidR="00B041E9">
        <w:t>wholesale</w:t>
      </w:r>
      <w:r>
        <w:t xml:space="preserve"> power </w:t>
      </w:r>
      <w:r w:rsidR="00B041E9">
        <w:t xml:space="preserve">available for </w:t>
      </w:r>
      <w:r>
        <w:t>purchase</w:t>
      </w:r>
      <w:r w:rsidR="00B041E9">
        <w:t xml:space="preserve"> by</w:t>
      </w:r>
      <w:r>
        <w:t xml:space="preserve"> PSE and other</w:t>
      </w:r>
      <w:r w:rsidR="00B041E9">
        <w:t xml:space="preserve"> regional utilities.</w:t>
      </w:r>
    </w:p>
    <w:p w14:paraId="00F77970" w14:textId="77777777" w:rsidR="002C0947" w:rsidRDefault="00E04B9A" w:rsidP="00E04B9A">
      <w:pPr>
        <w:pStyle w:val="IRPsanstext"/>
      </w:pPr>
      <w:r w:rsidRPr="00E04B9A">
        <w:t xml:space="preserve">  </w:t>
      </w:r>
    </w:p>
    <w:p w14:paraId="30FA5CEF" w14:textId="77777777" w:rsidR="00E04B9A" w:rsidRPr="00E04B9A" w:rsidRDefault="002C0947" w:rsidP="00E04B9A">
      <w:pPr>
        <w:pStyle w:val="IRPsanstext"/>
      </w:pPr>
      <w:r>
        <w:t>The convergence of</w:t>
      </w:r>
      <w:r w:rsidR="00E04B9A" w:rsidRPr="00E04B9A">
        <w:t xml:space="preserve"> natural gas and electric </w:t>
      </w:r>
      <w:r>
        <w:t>markets</w:t>
      </w:r>
      <w:r w:rsidR="00E04B9A" w:rsidRPr="00E04B9A">
        <w:t xml:space="preserve"> will continue to be an important reliability issue for both PSE and the region. </w:t>
      </w:r>
    </w:p>
    <w:p w14:paraId="0FCC0CDA" w14:textId="77777777" w:rsidR="00505A09" w:rsidRDefault="00505A09" w:rsidP="00E04B9A">
      <w:pPr>
        <w:pStyle w:val="IRPsanstext"/>
        <w:rPr>
          <w:sz w:val="32"/>
          <w:szCs w:val="32"/>
        </w:rPr>
      </w:pPr>
    </w:p>
    <w:p w14:paraId="2215C5E0" w14:textId="77777777" w:rsidR="00386D51" w:rsidRPr="00502F86" w:rsidRDefault="00620784" w:rsidP="00502F86">
      <w:pPr>
        <w:rPr>
          <w:rFonts w:ascii="Palatino" w:hAnsi="Palatino"/>
          <w:i/>
          <w:color w:val="3366FF"/>
          <w:sz w:val="32"/>
          <w:szCs w:val="32"/>
        </w:rPr>
      </w:pPr>
      <w:r>
        <w:rPr>
          <w:rFonts w:ascii="Palatino" w:hAnsi="Palatino"/>
          <w:i/>
          <w:color w:val="3366FF"/>
          <w:sz w:val="32"/>
          <w:szCs w:val="32"/>
        </w:rPr>
        <w:br w:type="page"/>
      </w:r>
    </w:p>
    <w:p w14:paraId="3854E6D3" w14:textId="77777777" w:rsidR="00E04B9A" w:rsidRPr="004B681C" w:rsidRDefault="00A50878" w:rsidP="00E04B9A">
      <w:pPr>
        <w:pStyle w:val="IRPsanstext"/>
        <w:rPr>
          <w:rFonts w:ascii="Palatino" w:hAnsi="Palatino"/>
          <w:i/>
          <w:color w:val="156570"/>
          <w:sz w:val="32"/>
          <w:szCs w:val="32"/>
        </w:rPr>
      </w:pPr>
      <w:r w:rsidRPr="004B681C">
        <w:rPr>
          <w:rFonts w:ascii="Palatino" w:hAnsi="Palatino"/>
          <w:i/>
          <w:color w:val="156570"/>
          <w:sz w:val="32"/>
          <w:szCs w:val="32"/>
        </w:rPr>
        <w:lastRenderedPageBreak/>
        <w:t>PSE continues to explore and evaluate e</w:t>
      </w:r>
      <w:r w:rsidR="00E04B9A" w:rsidRPr="004B681C">
        <w:rPr>
          <w:rFonts w:ascii="Palatino" w:hAnsi="Palatino"/>
          <w:i/>
          <w:color w:val="156570"/>
          <w:sz w:val="32"/>
          <w:szCs w:val="32"/>
        </w:rPr>
        <w:t xml:space="preserve">merging </w:t>
      </w:r>
      <w:r w:rsidRPr="004B681C">
        <w:rPr>
          <w:rFonts w:ascii="Palatino" w:hAnsi="Palatino"/>
          <w:i/>
          <w:color w:val="156570"/>
          <w:sz w:val="32"/>
          <w:szCs w:val="32"/>
        </w:rPr>
        <w:t>r</w:t>
      </w:r>
      <w:r w:rsidR="00E04B9A" w:rsidRPr="004B681C">
        <w:rPr>
          <w:rFonts w:ascii="Palatino" w:hAnsi="Palatino"/>
          <w:i/>
          <w:color w:val="156570"/>
          <w:sz w:val="32"/>
          <w:szCs w:val="32"/>
        </w:rPr>
        <w:t>esources</w:t>
      </w:r>
      <w:r w:rsidRPr="004B681C">
        <w:rPr>
          <w:rFonts w:ascii="Palatino" w:hAnsi="Palatino"/>
          <w:i/>
          <w:color w:val="156570"/>
          <w:sz w:val="32"/>
          <w:szCs w:val="32"/>
        </w:rPr>
        <w:t>.</w:t>
      </w:r>
    </w:p>
    <w:p w14:paraId="2C27F094" w14:textId="77777777" w:rsidR="00E04B9A" w:rsidRPr="00E04B9A" w:rsidRDefault="00E04B9A" w:rsidP="00E04B9A">
      <w:pPr>
        <w:pStyle w:val="IRPsanstext"/>
      </w:pPr>
    </w:p>
    <w:p w14:paraId="13451750" w14:textId="77777777" w:rsidR="00E04B9A" w:rsidRPr="00E04B9A" w:rsidRDefault="00BD3495" w:rsidP="00E04B9A">
      <w:pPr>
        <w:pStyle w:val="IRPsanstext"/>
      </w:pPr>
      <w:r>
        <w:t>As part of PSE’s ongoing commitment to the exploration and evaluation of emerging resources, t</w:t>
      </w:r>
      <w:r w:rsidR="00E04B9A" w:rsidRPr="00E04B9A">
        <w:t xml:space="preserve">his IRP includes new analyses of </w:t>
      </w:r>
      <w:r w:rsidR="0085473C">
        <w:t>rooftop solar generation (distributed solar)</w:t>
      </w:r>
      <w:r w:rsidR="00E04B9A" w:rsidRPr="00E04B9A">
        <w:t xml:space="preserve"> </w:t>
      </w:r>
      <w:r>
        <w:t xml:space="preserve">and </w:t>
      </w:r>
      <w:r w:rsidRPr="00E04B9A">
        <w:t>electric energy storage</w:t>
      </w:r>
      <w:r w:rsidR="00E04B9A" w:rsidRPr="00E04B9A">
        <w:t xml:space="preserve">.  </w:t>
      </w:r>
    </w:p>
    <w:p w14:paraId="5C9C1EB8" w14:textId="77777777" w:rsidR="00E04B9A" w:rsidRPr="00E04B9A" w:rsidRDefault="00E04B9A" w:rsidP="00E04B9A">
      <w:pPr>
        <w:pStyle w:val="IRPsanstext"/>
      </w:pPr>
    </w:p>
    <w:p w14:paraId="6C535DB2" w14:textId="77777777" w:rsidR="0028348E" w:rsidRPr="00BD3495" w:rsidRDefault="0028348E" w:rsidP="00E04B9A">
      <w:pPr>
        <w:pStyle w:val="IRPsanstext"/>
        <w:rPr>
          <w:b/>
          <w:caps/>
        </w:rPr>
      </w:pPr>
      <w:r w:rsidRPr="00BD3495">
        <w:rPr>
          <w:b/>
          <w:caps/>
        </w:rPr>
        <w:t>Solar</w:t>
      </w:r>
    </w:p>
    <w:p w14:paraId="553E623C" w14:textId="77777777" w:rsidR="00E04B9A" w:rsidRPr="008816DB" w:rsidRDefault="00582BF0" w:rsidP="00E04B9A">
      <w:pPr>
        <w:pStyle w:val="IRPsanstext"/>
      </w:pPr>
      <w:r>
        <w:t>Moving</w:t>
      </w:r>
      <w:r w:rsidR="00E04B9A" w:rsidRPr="00E04B9A">
        <w:t xml:space="preserve"> beyond the question of whether </w:t>
      </w:r>
      <w:r w:rsidR="0085473C">
        <w:t>distributed solar</w:t>
      </w:r>
      <w:r w:rsidR="00E04B9A" w:rsidRPr="00E04B9A">
        <w:t xml:space="preserve"> would be cost effective for the utility, </w:t>
      </w:r>
      <w:r>
        <w:t>we</w:t>
      </w:r>
      <w:r w:rsidR="00E04B9A" w:rsidRPr="00E04B9A">
        <w:t xml:space="preserve"> </w:t>
      </w:r>
      <w:r>
        <w:t>asked</w:t>
      </w:r>
      <w:r w:rsidR="00E04B9A" w:rsidRPr="00E04B9A">
        <w:t>: What might we need to do if our customers want PSE to integrate significant amounts of distributed solar? Specifically, we examined the impact that high penetrations of rooftop solar would have on four dist</w:t>
      </w:r>
      <w:r w:rsidR="0085473C">
        <w:t>ribution circuits, each of which serves</w:t>
      </w:r>
      <w:r w:rsidR="00E04B9A" w:rsidRPr="00E04B9A">
        <w:t xml:space="preserve"> </w:t>
      </w:r>
      <w:r w:rsidR="0085473C">
        <w:t>a different kind of customer base</w:t>
      </w:r>
      <w:r w:rsidR="00E04B9A" w:rsidRPr="00E04B9A">
        <w:t xml:space="preserve">. </w:t>
      </w:r>
      <w:r w:rsidR="00610B70">
        <w:t>Also, w</w:t>
      </w:r>
      <w:r w:rsidR="0085473C">
        <w:t xml:space="preserve">ith the help of the Cadmus Group, we </w:t>
      </w:r>
      <w:r w:rsidR="00610B70">
        <w:t>analyzed the maximum amount of rooftop solar PV that could be installed in PSE’s service territory.</w:t>
      </w:r>
      <w:r w:rsidR="0085473C">
        <w:t xml:space="preserve"> </w:t>
      </w:r>
      <w:r w:rsidR="0085473C" w:rsidRPr="008816DB">
        <w:t xml:space="preserve">Finally, </w:t>
      </w:r>
      <w:r w:rsidR="008816DB" w:rsidRPr="008816DB">
        <w:t xml:space="preserve">in a sensitivity analysis, </w:t>
      </w:r>
      <w:r w:rsidR="00BD3495" w:rsidRPr="008816DB">
        <w:t xml:space="preserve">we </w:t>
      </w:r>
      <w:r w:rsidR="0085473C" w:rsidRPr="008816DB">
        <w:t>studied</w:t>
      </w:r>
      <w:r w:rsidR="00E04B9A" w:rsidRPr="008816DB">
        <w:t xml:space="preserve"> the </w:t>
      </w:r>
      <w:r w:rsidR="008816DB" w:rsidRPr="008816DB">
        <w:t xml:space="preserve">impact to portfolio </w:t>
      </w:r>
      <w:r w:rsidR="00BD3495" w:rsidRPr="008816DB">
        <w:t xml:space="preserve">cost and emissions </w:t>
      </w:r>
      <w:r w:rsidR="00E04B9A" w:rsidRPr="008816DB">
        <w:t xml:space="preserve">of adding 300 MW of distributed solar </w:t>
      </w:r>
      <w:r w:rsidR="008816DB" w:rsidRPr="008816DB">
        <w:t>across the entire system</w:t>
      </w:r>
      <w:r w:rsidR="00BD3495" w:rsidRPr="008816DB">
        <w:t xml:space="preserve"> </w:t>
      </w:r>
      <w:r w:rsidR="008816DB" w:rsidRPr="008816DB">
        <w:t>by 2035.</w:t>
      </w:r>
      <w:r w:rsidR="004A4C85" w:rsidRPr="008816DB">
        <w:t xml:space="preserve"> </w:t>
      </w:r>
    </w:p>
    <w:p w14:paraId="554B7947" w14:textId="77777777" w:rsidR="00E04B9A" w:rsidRPr="00E04B9A" w:rsidRDefault="00E04B9A" w:rsidP="00E04B9A">
      <w:pPr>
        <w:pStyle w:val="IRPsanstext"/>
      </w:pPr>
    </w:p>
    <w:p w14:paraId="4B787EB2" w14:textId="77777777" w:rsidR="0028348E" w:rsidRPr="008816DB" w:rsidRDefault="0028348E" w:rsidP="00E04B9A">
      <w:pPr>
        <w:pStyle w:val="IRPsanstext"/>
        <w:rPr>
          <w:b/>
          <w:caps/>
        </w:rPr>
      </w:pPr>
      <w:r w:rsidRPr="008816DB">
        <w:rPr>
          <w:b/>
          <w:caps/>
        </w:rPr>
        <w:t>Electric Energy Storage</w:t>
      </w:r>
    </w:p>
    <w:p w14:paraId="68A14DB3" w14:textId="77777777" w:rsidR="008816DB" w:rsidRDefault="00610B70" w:rsidP="00E04B9A">
      <w:pPr>
        <w:pStyle w:val="IRPsanstext"/>
      </w:pPr>
      <w:r>
        <w:t>E</w:t>
      </w:r>
      <w:r w:rsidR="004A4C85">
        <w:t xml:space="preserve">lectric energy storage </w:t>
      </w:r>
      <w:r>
        <w:t>has made significant progress in recent years, and in this IRP</w:t>
      </w:r>
      <w:r w:rsidR="00E04B9A" w:rsidRPr="00E04B9A">
        <w:t xml:space="preserve"> we </w:t>
      </w:r>
      <w:r w:rsidR="00F71799">
        <w:t>studied</w:t>
      </w:r>
      <w:r>
        <w:t xml:space="preserve"> two </w:t>
      </w:r>
      <w:r w:rsidR="00F71799">
        <w:t xml:space="preserve">storage </w:t>
      </w:r>
      <w:r>
        <w:t>technologies, batteries and pumped hy</w:t>
      </w:r>
      <w:r w:rsidR="00F71799">
        <w:t>d</w:t>
      </w:r>
      <w:r w:rsidR="008816DB">
        <w:t>ro. B</w:t>
      </w:r>
      <w:r w:rsidR="00F71799">
        <w:t xml:space="preserve">atteries demonstrated significantly higher flexibility value than thermal resources when we analyzed them using </w:t>
      </w:r>
      <w:r w:rsidR="00E04B9A" w:rsidRPr="00E04B9A">
        <w:t>our sub-hourly flexibility model</w:t>
      </w:r>
      <w:r w:rsidR="008816DB">
        <w:t>. H</w:t>
      </w:r>
      <w:r w:rsidR="00E04B9A" w:rsidRPr="00E04B9A">
        <w:t xml:space="preserve">owever, the relative values were not such that batteries </w:t>
      </w:r>
      <w:r w:rsidR="00DB5340">
        <w:t>appeared cost effective</w:t>
      </w:r>
      <w:r w:rsidR="00E04B9A" w:rsidRPr="00E04B9A">
        <w:t xml:space="preserve">. </w:t>
      </w:r>
      <w:r w:rsidR="008816DB">
        <w:t>To set up the next stage of battery analysis, w</w:t>
      </w:r>
      <w:r w:rsidR="00E04B9A" w:rsidRPr="00E04B9A">
        <w:t xml:space="preserve">e included a tipping point analysis in this study </w:t>
      </w:r>
      <w:r w:rsidR="008816DB">
        <w:t>to</w:t>
      </w:r>
      <w:r w:rsidR="00E04B9A" w:rsidRPr="00E04B9A">
        <w:t xml:space="preserve"> identify what the flexibility value would need to be for batteries to be forecast as part of a least-cost portfolio. </w:t>
      </w:r>
    </w:p>
    <w:p w14:paraId="0F2EC078" w14:textId="77777777" w:rsidR="008816DB" w:rsidRDefault="008816DB" w:rsidP="00E04B9A">
      <w:pPr>
        <w:pStyle w:val="IRPsanstext"/>
      </w:pPr>
    </w:p>
    <w:p w14:paraId="0F9A796A" w14:textId="77777777" w:rsidR="00E04B9A" w:rsidRPr="00E04B9A" w:rsidRDefault="00E04B9A" w:rsidP="00E04B9A">
      <w:pPr>
        <w:pStyle w:val="IRPsanstext"/>
      </w:pPr>
      <w:r w:rsidRPr="00E04B9A">
        <w:t xml:space="preserve">PSE will focus considerable efforts in the 2017 IRP cycle to improving our flexibility analysis and monitoring emerging resource opportunities, as noted in </w:t>
      </w:r>
      <w:r w:rsidR="008816DB">
        <w:t>the Action Plans</w:t>
      </w:r>
      <w:r w:rsidRPr="00E04B9A">
        <w:t xml:space="preserve">. </w:t>
      </w:r>
    </w:p>
    <w:p w14:paraId="3430855D" w14:textId="77777777" w:rsidR="00E04B9A" w:rsidRPr="008D5025" w:rsidRDefault="00E04B9A" w:rsidP="008D5025">
      <w:pPr>
        <w:rPr>
          <w:rFonts w:ascii="Arial" w:hAnsi="Arial"/>
          <w:sz w:val="20"/>
          <w:szCs w:val="20"/>
        </w:rPr>
      </w:pPr>
    </w:p>
    <w:p w14:paraId="447920EB" w14:textId="77777777" w:rsidR="00F02FEA" w:rsidRPr="00620784" w:rsidRDefault="00F02FEA" w:rsidP="008D5025">
      <w:pPr>
        <w:pStyle w:val="IRPsanstext"/>
        <w:spacing w:line="276" w:lineRule="auto"/>
        <w:rPr>
          <w:szCs w:val="32"/>
        </w:rPr>
      </w:pPr>
    </w:p>
    <w:p w14:paraId="75F0B2EE" w14:textId="77777777" w:rsidR="00386D51" w:rsidRDefault="00386D51" w:rsidP="00502F86">
      <w:pPr>
        <w:rPr>
          <w:rFonts w:ascii="Palatino" w:hAnsi="Palatino"/>
          <w:i/>
          <w:color w:val="3366FF"/>
          <w:sz w:val="32"/>
          <w:szCs w:val="32"/>
        </w:rPr>
      </w:pPr>
      <w:r>
        <w:rPr>
          <w:rFonts w:ascii="Palatino" w:hAnsi="Palatino"/>
          <w:i/>
          <w:color w:val="3366FF"/>
          <w:sz w:val="32"/>
          <w:szCs w:val="32"/>
        </w:rPr>
        <w:br w:type="page"/>
      </w:r>
    </w:p>
    <w:p w14:paraId="2E0D5351" w14:textId="77777777" w:rsidR="00E04B9A" w:rsidRPr="004B681C" w:rsidRDefault="001A1C95" w:rsidP="008D5025">
      <w:pPr>
        <w:pStyle w:val="IRPsanstext"/>
        <w:spacing w:line="276" w:lineRule="auto"/>
        <w:rPr>
          <w:rFonts w:ascii="Palatino" w:hAnsi="Palatino"/>
          <w:i/>
          <w:color w:val="156570"/>
          <w:sz w:val="32"/>
          <w:szCs w:val="32"/>
        </w:rPr>
      </w:pPr>
      <w:r w:rsidRPr="004B681C">
        <w:rPr>
          <w:rFonts w:ascii="Palatino" w:hAnsi="Palatino"/>
          <w:i/>
          <w:color w:val="156570"/>
          <w:sz w:val="32"/>
          <w:szCs w:val="32"/>
        </w:rPr>
        <w:lastRenderedPageBreak/>
        <w:t>Overall</w:t>
      </w:r>
      <w:r w:rsidR="008343BE" w:rsidRPr="004B681C">
        <w:rPr>
          <w:rFonts w:ascii="Palatino" w:hAnsi="Palatino"/>
          <w:i/>
          <w:color w:val="156570"/>
          <w:sz w:val="32"/>
          <w:szCs w:val="32"/>
        </w:rPr>
        <w:t>, electric</w:t>
      </w:r>
      <w:r w:rsidRPr="004B681C">
        <w:rPr>
          <w:rFonts w:ascii="Palatino" w:hAnsi="Palatino"/>
          <w:i/>
          <w:color w:val="156570"/>
          <w:sz w:val="32"/>
          <w:szCs w:val="32"/>
        </w:rPr>
        <w:t xml:space="preserve"> demand growth has slowed</w:t>
      </w:r>
      <w:r w:rsidR="00031F7D" w:rsidRPr="004B681C">
        <w:rPr>
          <w:rFonts w:ascii="Palatino" w:hAnsi="Palatino"/>
          <w:i/>
          <w:color w:val="156570"/>
          <w:sz w:val="32"/>
          <w:szCs w:val="32"/>
        </w:rPr>
        <w:t xml:space="preserve">, but some areas are growing rapidly. </w:t>
      </w:r>
    </w:p>
    <w:p w14:paraId="504211D5" w14:textId="77777777" w:rsidR="00E04B9A" w:rsidRPr="00E04B9A" w:rsidRDefault="00E04B9A" w:rsidP="00E04B9A">
      <w:pPr>
        <w:pStyle w:val="IRPsanstext"/>
      </w:pPr>
    </w:p>
    <w:p w14:paraId="11B2F631" w14:textId="77777777" w:rsidR="001A1C95" w:rsidRDefault="00E04B9A" w:rsidP="00E04B9A">
      <w:pPr>
        <w:pStyle w:val="IRPsanstext"/>
      </w:pPr>
      <w:r w:rsidRPr="00E04B9A">
        <w:t>At the system level, demand growth has slowed significantly compared with the 2013 IRP Base Demand Forecast</w:t>
      </w:r>
      <w:r w:rsidR="008816DB">
        <w:t xml:space="preserve">, but </w:t>
      </w:r>
      <w:r w:rsidR="008816DB" w:rsidRPr="00E5199A">
        <w:t>some areas continue to experience rapid growth</w:t>
      </w:r>
      <w:r w:rsidR="008816DB">
        <w:t xml:space="preserve"> </w:t>
      </w:r>
      <w:r w:rsidR="008816DB" w:rsidRPr="00E5199A">
        <w:t xml:space="preserve">– particularly the Eastside </w:t>
      </w:r>
      <w:r w:rsidR="008816DB">
        <w:t>a</w:t>
      </w:r>
      <w:r w:rsidR="008816DB" w:rsidRPr="00E5199A">
        <w:t>rea of King County that includes downtown Bellevue</w:t>
      </w:r>
      <w:r w:rsidR="008816DB">
        <w:t xml:space="preserve">. </w:t>
      </w:r>
    </w:p>
    <w:p w14:paraId="199B792A" w14:textId="77777777" w:rsidR="00620784" w:rsidRDefault="00620784">
      <w:pPr>
        <w:rPr>
          <w:rFonts w:ascii="Arial" w:hAnsi="Arial"/>
          <w:sz w:val="20"/>
          <w:szCs w:val="20"/>
        </w:rPr>
      </w:pPr>
    </w:p>
    <w:p w14:paraId="7C83FF0B" w14:textId="77777777" w:rsidR="00E04B9A" w:rsidRPr="001A1C95" w:rsidRDefault="001A1C95" w:rsidP="001A1C95">
      <w:pPr>
        <w:pStyle w:val="IRPsanstext"/>
      </w:pPr>
      <w:r>
        <w:t xml:space="preserve">For </w:t>
      </w:r>
      <w:r w:rsidR="00E04B9A" w:rsidRPr="00E04B9A">
        <w:t xml:space="preserve">the 2015 IRP </w:t>
      </w:r>
      <w:r w:rsidR="00FF56E5">
        <w:t xml:space="preserve">Electric </w:t>
      </w:r>
      <w:r w:rsidR="00E04B9A" w:rsidRPr="00E04B9A">
        <w:t>Base Peak Demand Forecast</w:t>
      </w:r>
      <w:r>
        <w:t xml:space="preserve"> at the system level</w:t>
      </w:r>
      <w:r w:rsidR="00E04B9A" w:rsidRPr="00E04B9A">
        <w:t xml:space="preserve">, the </w:t>
      </w:r>
      <w:r w:rsidR="00031F7D">
        <w:t xml:space="preserve">average annual expected </w:t>
      </w:r>
      <w:r w:rsidR="00E04B9A" w:rsidRPr="00E04B9A">
        <w:t xml:space="preserve">growth rate </w:t>
      </w:r>
      <w:r w:rsidR="00031F7D">
        <w:t>for the 20-year study period has declined to 1.6 percent</w:t>
      </w:r>
      <w:r w:rsidR="00E04B9A" w:rsidRPr="00E04B9A">
        <w:t xml:space="preserve"> </w:t>
      </w:r>
      <w:r w:rsidR="00031F7D">
        <w:t>from</w:t>
      </w:r>
      <w:r w:rsidR="00E04B9A" w:rsidRPr="00E04B9A">
        <w:t xml:space="preserve"> 1.9 percent in </w:t>
      </w:r>
      <w:r w:rsidR="00031F7D">
        <w:t xml:space="preserve">the </w:t>
      </w:r>
      <w:r w:rsidR="00E04B9A" w:rsidRPr="00E04B9A">
        <w:t xml:space="preserve">2013 forecast. Similarly, the average annual growth rate for </w:t>
      </w:r>
      <w:r w:rsidR="00FF56E5">
        <w:t xml:space="preserve">electric </w:t>
      </w:r>
      <w:r w:rsidR="00E04B9A" w:rsidRPr="00E04B9A">
        <w:t xml:space="preserve">customer counts declined to 1.5 percent from 1.7 percent in the 2013 forecast. </w:t>
      </w:r>
      <w:r w:rsidR="00582BF0">
        <w:t>The</w:t>
      </w:r>
      <w:r w:rsidR="008816DB">
        <w:t>se</w:t>
      </w:r>
      <w:r w:rsidR="00582BF0">
        <w:t xml:space="preserve"> declines are</w:t>
      </w:r>
      <w:r w:rsidR="00E04B9A" w:rsidRPr="00E04B9A">
        <w:t xml:space="preserve"> driven by </w:t>
      </w:r>
      <w:r w:rsidR="00582BF0">
        <w:t xml:space="preserve">a </w:t>
      </w:r>
      <w:r w:rsidR="00E04B9A" w:rsidRPr="00E04B9A">
        <w:t>slower-than-expected recovery from the recession, lower population growth forecasts, and by significant updates to PSE’s load forecasting models. These updates were developed in response to feedback from the WUTC in its acceptance letter for the 2013 IRP.  Figure 1-</w:t>
      </w:r>
      <w:r w:rsidR="004B476F">
        <w:t>2</w:t>
      </w:r>
      <w:r w:rsidR="004B476F" w:rsidRPr="00E04B9A">
        <w:t xml:space="preserve"> </w:t>
      </w:r>
      <w:r w:rsidR="00E04B9A" w:rsidRPr="00E04B9A">
        <w:t xml:space="preserve">shows the 2013 and 2015 IRP Base Peak </w:t>
      </w:r>
      <w:r w:rsidR="004B476F">
        <w:t xml:space="preserve">Electric </w:t>
      </w:r>
      <w:r w:rsidR="00E04B9A" w:rsidRPr="00E04B9A">
        <w:t>Demand Forecasts after conservation. Peak capacity need is significantly reduced in the outer years.</w:t>
      </w:r>
    </w:p>
    <w:p w14:paraId="6EDC5170" w14:textId="77777777" w:rsidR="00E04B9A" w:rsidRPr="00E04B9A" w:rsidRDefault="00E04B9A" w:rsidP="00E04B9A">
      <w:pPr>
        <w:pStyle w:val="IRPsanstext"/>
      </w:pPr>
    </w:p>
    <w:p w14:paraId="152D2D0D" w14:textId="77777777" w:rsidR="00386D51" w:rsidRPr="00502F86" w:rsidRDefault="00386D51" w:rsidP="00502F86">
      <w:pPr>
        <w:rPr>
          <w:rFonts w:ascii="Arial" w:hAnsi="Arial"/>
          <w:i/>
          <w:sz w:val="20"/>
          <w:szCs w:val="22"/>
        </w:rPr>
      </w:pPr>
      <w:r>
        <w:br w:type="page"/>
      </w:r>
    </w:p>
    <w:p w14:paraId="01260CD7" w14:textId="77777777" w:rsidR="00E04B9A" w:rsidRPr="003E0446" w:rsidRDefault="00E04B9A" w:rsidP="008D5025">
      <w:pPr>
        <w:pStyle w:val="IRPFigureSub"/>
      </w:pPr>
      <w:r w:rsidRPr="003E0446">
        <w:lastRenderedPageBreak/>
        <w:t>Figure 1-</w:t>
      </w:r>
      <w:r w:rsidR="004B476F">
        <w:t>2</w:t>
      </w:r>
      <w:r w:rsidRPr="003E0446">
        <w:t xml:space="preserve">:  2013 IRP Base Peak </w:t>
      </w:r>
      <w:r w:rsidR="008343BE">
        <w:t xml:space="preserve">Electric </w:t>
      </w:r>
      <w:r w:rsidRPr="003E0446">
        <w:t xml:space="preserve">Demand Forecast Net of 2013 IRP DSR </w:t>
      </w:r>
    </w:p>
    <w:p w14:paraId="2BC741AA" w14:textId="77777777" w:rsidR="00E04B9A" w:rsidRPr="008D5025" w:rsidRDefault="00E04B9A" w:rsidP="008D5025">
      <w:pPr>
        <w:pStyle w:val="IRPFigureSub"/>
        <w:spacing w:after="120"/>
      </w:pPr>
      <w:proofErr w:type="gramStart"/>
      <w:r w:rsidRPr="003E0446">
        <w:t>and</w:t>
      </w:r>
      <w:proofErr w:type="gramEnd"/>
      <w:r w:rsidRPr="003E0446">
        <w:t xml:space="preserve"> 2015 IRP Base Peak </w:t>
      </w:r>
      <w:r w:rsidR="008343BE">
        <w:t xml:space="preserve">Electric </w:t>
      </w:r>
      <w:r w:rsidRPr="003E0446">
        <w:t>Demand Forecast Net of 2015 IRP DSR</w:t>
      </w:r>
    </w:p>
    <w:p w14:paraId="162EDB06" w14:textId="77777777" w:rsidR="00E04B9A" w:rsidRDefault="00E04B9A" w:rsidP="00E04B9A">
      <w:pPr>
        <w:spacing w:line="319" w:lineRule="auto"/>
        <w:rPr>
          <w:rFonts w:ascii="Arial" w:hAnsi="Arial"/>
          <w:i/>
          <w:sz w:val="32"/>
        </w:rPr>
      </w:pPr>
      <w:r>
        <w:rPr>
          <w:rFonts w:ascii="Arial" w:hAnsi="Arial"/>
          <w:i/>
          <w:noProof/>
          <w:sz w:val="32"/>
          <w:lang w:eastAsia="en-US"/>
        </w:rPr>
        <w:drawing>
          <wp:inline distT="0" distB="0" distL="0" distR="0" wp14:anchorId="73CE62E6" wp14:editId="4FB50F0F">
            <wp:extent cx="5160010" cy="409956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0010" cy="4099560"/>
                    </a:xfrm>
                    <a:prstGeom prst="rect">
                      <a:avLst/>
                    </a:prstGeom>
                    <a:noFill/>
                  </pic:spPr>
                </pic:pic>
              </a:graphicData>
            </a:graphic>
          </wp:inline>
        </w:drawing>
      </w:r>
    </w:p>
    <w:p w14:paraId="1E952001" w14:textId="77777777" w:rsidR="00E04B9A" w:rsidRDefault="00E04B9A" w:rsidP="00E04B9A">
      <w:pPr>
        <w:spacing w:line="319" w:lineRule="auto"/>
        <w:rPr>
          <w:rFonts w:ascii="Arial" w:hAnsi="Arial"/>
          <w:i/>
          <w:sz w:val="32"/>
        </w:rPr>
      </w:pPr>
    </w:p>
    <w:p w14:paraId="59F985A4" w14:textId="77777777" w:rsidR="00E04B9A" w:rsidRDefault="00582BF0" w:rsidP="008D5025">
      <w:pPr>
        <w:pStyle w:val="IRPsanstext"/>
      </w:pPr>
      <w:r>
        <w:t>While o</w:t>
      </w:r>
      <w:r w:rsidR="00E04B9A" w:rsidRPr="00E5199A">
        <w:t xml:space="preserve">verall, system-level growth after conservation will be quite low, </w:t>
      </w:r>
      <w:r w:rsidR="00505A09">
        <w:t>t</w:t>
      </w:r>
      <w:r w:rsidR="00E04B9A">
        <w:t>he map and table in Figure 1-</w:t>
      </w:r>
      <w:r w:rsidR="004B476F">
        <w:t>3</w:t>
      </w:r>
      <w:r w:rsidR="00E04B9A">
        <w:t>,</w:t>
      </w:r>
      <w:r w:rsidR="00E04B9A" w:rsidRPr="00E5199A">
        <w:t xml:space="preserve"> illustrate how </w:t>
      </w:r>
      <w:r w:rsidR="00E04B9A">
        <w:t xml:space="preserve">unevenly </w:t>
      </w:r>
      <w:r w:rsidR="00E04B9A" w:rsidRPr="00E5199A">
        <w:t xml:space="preserve">population, employment, customers and sales are distributed across PSE’s </w:t>
      </w:r>
      <w:r w:rsidR="004B476F">
        <w:t xml:space="preserve">electric </w:t>
      </w:r>
      <w:r w:rsidR="00E04B9A" w:rsidRPr="00E5199A">
        <w:t xml:space="preserve">service territory. </w:t>
      </w:r>
      <w:r w:rsidR="00E04B9A">
        <w:t>King County accounts for roughly half of the system’s customer base and electric sales today and 58 percent of employment in the service territory.</w:t>
      </w:r>
    </w:p>
    <w:p w14:paraId="5488BA68" w14:textId="77777777" w:rsidR="00E04B9A" w:rsidRPr="00E5199A" w:rsidRDefault="00E04B9A" w:rsidP="00E04B9A">
      <w:pPr>
        <w:spacing w:line="319" w:lineRule="auto"/>
        <w:rPr>
          <w:rFonts w:ascii="Arial" w:hAnsi="Arial"/>
          <w:i/>
          <w:sz w:val="20"/>
        </w:rPr>
      </w:pPr>
    </w:p>
    <w:p w14:paraId="1C64176D" w14:textId="77777777" w:rsidR="00582BF0" w:rsidRDefault="00582BF0">
      <w:pPr>
        <w:rPr>
          <w:rFonts w:ascii="Arial" w:hAnsi="Arial"/>
          <w:i/>
          <w:sz w:val="20"/>
        </w:rPr>
      </w:pPr>
      <w:r>
        <w:rPr>
          <w:rFonts w:ascii="Arial" w:hAnsi="Arial"/>
          <w:i/>
          <w:sz w:val="20"/>
        </w:rPr>
        <w:br w:type="page"/>
      </w:r>
    </w:p>
    <w:p w14:paraId="46E37CCD" w14:textId="77777777" w:rsidR="00E04B9A" w:rsidRDefault="00E04B9A" w:rsidP="008D5025">
      <w:pPr>
        <w:spacing w:line="319" w:lineRule="auto"/>
        <w:jc w:val="center"/>
        <w:rPr>
          <w:rFonts w:ascii="Arial" w:hAnsi="Arial"/>
          <w:i/>
          <w:sz w:val="20"/>
        </w:rPr>
      </w:pPr>
      <w:r w:rsidRPr="00E5199A">
        <w:rPr>
          <w:rFonts w:ascii="Arial" w:hAnsi="Arial"/>
          <w:i/>
          <w:sz w:val="20"/>
        </w:rPr>
        <w:lastRenderedPageBreak/>
        <w:t>Figure 1-</w:t>
      </w:r>
      <w:r w:rsidR="004B476F">
        <w:rPr>
          <w:rFonts w:ascii="Arial" w:hAnsi="Arial"/>
          <w:i/>
          <w:sz w:val="20"/>
        </w:rPr>
        <w:t>3</w:t>
      </w:r>
      <w:r w:rsidRPr="00E5199A">
        <w:rPr>
          <w:rFonts w:ascii="Arial" w:hAnsi="Arial"/>
          <w:i/>
          <w:sz w:val="20"/>
        </w:rPr>
        <w:t>: Distribution of Population, Employment, Customers and Sales</w:t>
      </w:r>
    </w:p>
    <w:p w14:paraId="203793E6" w14:textId="77777777" w:rsidR="00E04B9A" w:rsidRPr="003E0446" w:rsidRDefault="00E04B9A" w:rsidP="00E04B9A">
      <w:pPr>
        <w:spacing w:line="319" w:lineRule="auto"/>
        <w:jc w:val="center"/>
        <w:rPr>
          <w:rFonts w:ascii="Arial" w:hAnsi="Arial"/>
          <w:i/>
          <w:sz w:val="20"/>
        </w:rPr>
      </w:pPr>
      <w:proofErr w:type="gramStart"/>
      <w:r w:rsidRPr="00E5199A">
        <w:rPr>
          <w:rFonts w:ascii="Arial" w:hAnsi="Arial"/>
          <w:i/>
          <w:sz w:val="20"/>
        </w:rPr>
        <w:t>across</w:t>
      </w:r>
      <w:proofErr w:type="gramEnd"/>
      <w:r w:rsidRPr="00E5199A">
        <w:rPr>
          <w:rFonts w:ascii="Arial" w:hAnsi="Arial"/>
          <w:i/>
          <w:sz w:val="20"/>
        </w:rPr>
        <w:t xml:space="preserve"> PSE Electric Service Territory</w:t>
      </w:r>
    </w:p>
    <w:p w14:paraId="0F31A6B7" w14:textId="77777777" w:rsidR="008D5025" w:rsidRDefault="00E04B9A" w:rsidP="004B681C">
      <w:pPr>
        <w:spacing w:line="319" w:lineRule="auto"/>
        <w:jc w:val="center"/>
        <w:rPr>
          <w:rFonts w:ascii="Arial" w:hAnsi="Arial"/>
          <w:sz w:val="20"/>
        </w:rPr>
      </w:pPr>
      <w:r>
        <w:rPr>
          <w:rFonts w:ascii="Arial" w:hAnsi="Arial"/>
          <w:noProof/>
          <w:sz w:val="20"/>
          <w:lang w:eastAsia="en-US"/>
        </w:rPr>
        <w:drawing>
          <wp:inline distT="0" distB="0" distL="0" distR="0" wp14:anchorId="700F95E0" wp14:editId="20F5B401">
            <wp:extent cx="4539222" cy="5590540"/>
            <wp:effectExtent l="0" t="0" r="7620" b="0"/>
            <wp:docPr id="9" name="Picture 1" descr="Macintosh HD:Users:annrhodes:Desktop:PSEelectricsvcarea_ch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rhodes:Desktop:PSEelectricsvcarea_ch5.png"/>
                    <pic:cNvPicPr>
                      <a:picLocks noChangeAspect="1" noChangeArrowheads="1"/>
                    </pic:cNvPicPr>
                  </pic:nvPicPr>
                  <pic:blipFill>
                    <a:blip r:embed="rId10">
                      <a:extLst>
                        <a:ext uri="{28A0092B-C50C-407E-A947-70E740481C1C}">
                          <a14:useLocalDpi xmlns:a14="http://schemas.microsoft.com/office/drawing/2010/main" val="0"/>
                        </a:ext>
                      </a:extLst>
                    </a:blip>
                    <a:srcRect t="-2" b="6146"/>
                    <a:stretch>
                      <a:fillRect/>
                    </a:stretch>
                  </pic:blipFill>
                  <pic:spPr bwMode="auto">
                    <a:xfrm>
                      <a:off x="0" y="0"/>
                      <a:ext cx="4539222" cy="5590540"/>
                    </a:xfrm>
                    <a:prstGeom prst="rect">
                      <a:avLst/>
                    </a:prstGeom>
                    <a:noFill/>
                    <a:ln>
                      <a:noFill/>
                    </a:ln>
                  </pic:spPr>
                </pic:pic>
              </a:graphicData>
            </a:graphic>
          </wp:inline>
        </w:drawing>
      </w:r>
    </w:p>
    <w:p w14:paraId="7ED56AE1" w14:textId="77777777" w:rsidR="004B681C" w:rsidRPr="004B681C" w:rsidRDefault="004B681C" w:rsidP="004B681C">
      <w:pPr>
        <w:spacing w:line="319" w:lineRule="auto"/>
        <w:jc w:val="center"/>
        <w:rPr>
          <w:rFonts w:ascii="Arial" w:hAnsi="Arial"/>
          <w:sz w:val="12"/>
          <w:szCs w:val="12"/>
        </w:rPr>
      </w:pPr>
    </w:p>
    <w:tbl>
      <w:tblPr>
        <w:tblW w:w="8030" w:type="dxa"/>
        <w:jc w:val="center"/>
        <w:tblInd w:w="88" w:type="dxa"/>
        <w:tblLayout w:type="fixed"/>
        <w:tblLook w:val="0000" w:firstRow="0" w:lastRow="0" w:firstColumn="0" w:lastColumn="0" w:noHBand="0" w:noVBand="0"/>
      </w:tblPr>
      <w:tblGrid>
        <w:gridCol w:w="1820"/>
        <w:gridCol w:w="1440"/>
        <w:gridCol w:w="1710"/>
        <w:gridCol w:w="1440"/>
        <w:gridCol w:w="1620"/>
      </w:tblGrid>
      <w:tr w:rsidR="00E04B9A" w:rsidRPr="00EC4408" w14:paraId="2498E636" w14:textId="77777777">
        <w:trPr>
          <w:trHeight w:val="260"/>
          <w:jc w:val="center"/>
        </w:trPr>
        <w:tc>
          <w:tcPr>
            <w:tcW w:w="1820" w:type="dxa"/>
            <w:tcBorders>
              <w:top w:val="single" w:sz="4" w:space="0" w:color="auto"/>
              <w:left w:val="single" w:sz="4" w:space="0" w:color="auto"/>
              <w:bottom w:val="single" w:sz="4" w:space="0" w:color="auto"/>
              <w:right w:val="single" w:sz="4" w:space="0" w:color="auto"/>
            </w:tcBorders>
            <w:shd w:val="clear" w:color="auto" w:fill="156570"/>
            <w:noWrap/>
            <w:vAlign w:val="bottom"/>
          </w:tcPr>
          <w:p w14:paraId="5C7246FA" w14:textId="77777777" w:rsidR="00E04B9A" w:rsidRPr="008D5025" w:rsidRDefault="00E04B9A" w:rsidP="00E04B9A">
            <w:pPr>
              <w:jc w:val="center"/>
              <w:rPr>
                <w:rFonts w:ascii="Arial" w:hAnsi="Arial"/>
                <w:b/>
                <w:bCs/>
                <w:color w:val="FFFFFF"/>
                <w:sz w:val="20"/>
                <w:szCs w:val="20"/>
              </w:rPr>
            </w:pPr>
            <w:r w:rsidRPr="008D5025">
              <w:rPr>
                <w:rFonts w:ascii="Arial" w:hAnsi="Arial"/>
                <w:b/>
                <w:bCs/>
                <w:color w:val="FFFFFF"/>
                <w:sz w:val="20"/>
                <w:szCs w:val="20"/>
              </w:rPr>
              <w:t>County</w:t>
            </w:r>
          </w:p>
        </w:tc>
        <w:tc>
          <w:tcPr>
            <w:tcW w:w="1440" w:type="dxa"/>
            <w:tcBorders>
              <w:top w:val="single" w:sz="4" w:space="0" w:color="auto"/>
              <w:left w:val="single" w:sz="4" w:space="0" w:color="auto"/>
              <w:bottom w:val="single" w:sz="4" w:space="0" w:color="auto"/>
              <w:right w:val="single" w:sz="4" w:space="0" w:color="auto"/>
            </w:tcBorders>
            <w:shd w:val="clear" w:color="auto" w:fill="156570"/>
            <w:noWrap/>
            <w:vAlign w:val="bottom"/>
          </w:tcPr>
          <w:p w14:paraId="2719CDCC" w14:textId="77777777" w:rsidR="00E04B9A" w:rsidRPr="008D5025" w:rsidRDefault="00E04B9A" w:rsidP="00E04B9A">
            <w:pPr>
              <w:jc w:val="center"/>
              <w:rPr>
                <w:rFonts w:ascii="Arial" w:hAnsi="Arial"/>
                <w:b/>
                <w:bCs/>
                <w:color w:val="FFFFFF"/>
                <w:sz w:val="20"/>
                <w:szCs w:val="20"/>
              </w:rPr>
            </w:pPr>
            <w:r w:rsidRPr="008D5025">
              <w:rPr>
                <w:rFonts w:ascii="Arial" w:hAnsi="Arial"/>
                <w:b/>
                <w:bCs/>
                <w:color w:val="FFFFFF"/>
                <w:sz w:val="20"/>
                <w:szCs w:val="20"/>
              </w:rPr>
              <w:t>Population</w:t>
            </w:r>
          </w:p>
        </w:tc>
        <w:tc>
          <w:tcPr>
            <w:tcW w:w="1710" w:type="dxa"/>
            <w:tcBorders>
              <w:top w:val="single" w:sz="4" w:space="0" w:color="auto"/>
              <w:left w:val="single" w:sz="4" w:space="0" w:color="auto"/>
              <w:bottom w:val="single" w:sz="4" w:space="0" w:color="auto"/>
              <w:right w:val="single" w:sz="4" w:space="0" w:color="auto"/>
            </w:tcBorders>
            <w:shd w:val="clear" w:color="auto" w:fill="156570"/>
            <w:noWrap/>
            <w:vAlign w:val="bottom"/>
          </w:tcPr>
          <w:p w14:paraId="23F8D0F2" w14:textId="77777777" w:rsidR="00E04B9A" w:rsidRPr="008D5025" w:rsidRDefault="00E04B9A" w:rsidP="00E04B9A">
            <w:pPr>
              <w:jc w:val="center"/>
              <w:rPr>
                <w:rFonts w:ascii="Arial" w:hAnsi="Arial"/>
                <w:b/>
                <w:bCs/>
                <w:color w:val="FFFFFF"/>
                <w:sz w:val="20"/>
                <w:szCs w:val="20"/>
              </w:rPr>
            </w:pPr>
            <w:r w:rsidRPr="008D5025">
              <w:rPr>
                <w:rFonts w:ascii="Arial" w:hAnsi="Arial"/>
                <w:b/>
                <w:bCs/>
                <w:color w:val="FFFFFF"/>
                <w:sz w:val="20"/>
                <w:szCs w:val="20"/>
              </w:rPr>
              <w:t>Employment</w:t>
            </w:r>
          </w:p>
        </w:tc>
        <w:tc>
          <w:tcPr>
            <w:tcW w:w="1440" w:type="dxa"/>
            <w:tcBorders>
              <w:top w:val="single" w:sz="4" w:space="0" w:color="auto"/>
              <w:left w:val="single" w:sz="4" w:space="0" w:color="auto"/>
              <w:bottom w:val="single" w:sz="4" w:space="0" w:color="auto"/>
              <w:right w:val="single" w:sz="4" w:space="0" w:color="auto"/>
            </w:tcBorders>
            <w:shd w:val="clear" w:color="auto" w:fill="156570"/>
            <w:noWrap/>
            <w:vAlign w:val="bottom"/>
          </w:tcPr>
          <w:p w14:paraId="1B74927B" w14:textId="77777777" w:rsidR="00E04B9A" w:rsidRPr="008D5025" w:rsidRDefault="00E04B9A" w:rsidP="00E04B9A">
            <w:pPr>
              <w:jc w:val="center"/>
              <w:rPr>
                <w:rFonts w:ascii="Arial" w:hAnsi="Arial"/>
                <w:b/>
                <w:bCs/>
                <w:color w:val="FFFFFF"/>
                <w:sz w:val="20"/>
                <w:szCs w:val="20"/>
              </w:rPr>
            </w:pPr>
            <w:r w:rsidRPr="008D5025">
              <w:rPr>
                <w:rFonts w:ascii="Arial" w:hAnsi="Arial"/>
                <w:b/>
                <w:bCs/>
                <w:color w:val="FFFFFF"/>
                <w:sz w:val="20"/>
                <w:szCs w:val="20"/>
              </w:rPr>
              <w:t>Customers</w:t>
            </w:r>
          </w:p>
        </w:tc>
        <w:tc>
          <w:tcPr>
            <w:tcW w:w="1620" w:type="dxa"/>
            <w:tcBorders>
              <w:top w:val="single" w:sz="4" w:space="0" w:color="auto"/>
              <w:left w:val="single" w:sz="4" w:space="0" w:color="auto"/>
              <w:bottom w:val="single" w:sz="4" w:space="0" w:color="auto"/>
              <w:right w:val="single" w:sz="4" w:space="0" w:color="auto"/>
            </w:tcBorders>
            <w:shd w:val="clear" w:color="auto" w:fill="156570"/>
            <w:noWrap/>
            <w:vAlign w:val="bottom"/>
          </w:tcPr>
          <w:p w14:paraId="622445DC" w14:textId="77777777" w:rsidR="00E04B9A" w:rsidRPr="008D5025" w:rsidRDefault="00E04B9A" w:rsidP="00E04B9A">
            <w:pPr>
              <w:jc w:val="center"/>
              <w:rPr>
                <w:rFonts w:ascii="Arial" w:hAnsi="Arial"/>
                <w:b/>
                <w:bCs/>
                <w:color w:val="FFFFFF"/>
                <w:sz w:val="20"/>
                <w:szCs w:val="20"/>
              </w:rPr>
            </w:pPr>
            <w:r w:rsidRPr="008D5025">
              <w:rPr>
                <w:rFonts w:ascii="Arial" w:hAnsi="Arial"/>
                <w:b/>
                <w:bCs/>
                <w:color w:val="FFFFFF"/>
                <w:sz w:val="20"/>
                <w:szCs w:val="20"/>
              </w:rPr>
              <w:t>Sales</w:t>
            </w:r>
          </w:p>
        </w:tc>
      </w:tr>
      <w:tr w:rsidR="00E04B9A" w:rsidRPr="00EC4408" w14:paraId="48092465" w14:textId="77777777">
        <w:trPr>
          <w:trHeight w:val="260"/>
          <w:jc w:val="center"/>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C45E91" w14:textId="77777777" w:rsidR="00E04B9A" w:rsidRPr="008D5025" w:rsidRDefault="00E04B9A" w:rsidP="00E04B9A">
            <w:pPr>
              <w:jc w:val="center"/>
              <w:rPr>
                <w:rFonts w:ascii="Arial" w:hAnsi="Arial"/>
                <w:sz w:val="20"/>
                <w:szCs w:val="20"/>
              </w:rPr>
            </w:pPr>
            <w:r w:rsidRPr="008D5025">
              <w:rPr>
                <w:rFonts w:ascii="Arial" w:hAnsi="Arial"/>
                <w:sz w:val="20"/>
                <w:szCs w:val="20"/>
              </w:rPr>
              <w:t>King</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6C95F3" w14:textId="77777777" w:rsidR="00E04B9A" w:rsidRPr="008D5025" w:rsidRDefault="00E04B9A" w:rsidP="00E04B9A">
            <w:pPr>
              <w:jc w:val="center"/>
              <w:rPr>
                <w:rFonts w:ascii="Arial" w:hAnsi="Arial"/>
                <w:sz w:val="20"/>
                <w:szCs w:val="20"/>
              </w:rPr>
            </w:pPr>
            <w:r w:rsidRPr="008D5025">
              <w:rPr>
                <w:rFonts w:ascii="Arial" w:hAnsi="Arial"/>
                <w:sz w:val="20"/>
                <w:szCs w:val="20"/>
              </w:rPr>
              <w:t>48%</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C16ABD" w14:textId="77777777" w:rsidR="00E04B9A" w:rsidRPr="008D5025" w:rsidRDefault="00E04B9A" w:rsidP="00E04B9A">
            <w:pPr>
              <w:jc w:val="center"/>
              <w:rPr>
                <w:rFonts w:ascii="Arial" w:hAnsi="Arial"/>
                <w:sz w:val="20"/>
                <w:szCs w:val="20"/>
              </w:rPr>
            </w:pPr>
            <w:r w:rsidRPr="008D5025">
              <w:rPr>
                <w:rFonts w:ascii="Arial" w:hAnsi="Arial"/>
                <w:sz w:val="20"/>
                <w:szCs w:val="20"/>
              </w:rPr>
              <w:t>58%</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2897DF" w14:textId="77777777" w:rsidR="00E04B9A" w:rsidRPr="008D5025" w:rsidRDefault="00E04B9A" w:rsidP="00E04B9A">
            <w:pPr>
              <w:jc w:val="center"/>
              <w:rPr>
                <w:rFonts w:ascii="Arial" w:hAnsi="Arial"/>
                <w:sz w:val="20"/>
                <w:szCs w:val="20"/>
              </w:rPr>
            </w:pPr>
            <w:r w:rsidRPr="008D5025">
              <w:rPr>
                <w:rFonts w:ascii="Arial" w:hAnsi="Arial"/>
                <w:sz w:val="20"/>
                <w:szCs w:val="20"/>
              </w:rPr>
              <w:t>49%</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571D3B" w14:textId="77777777" w:rsidR="00E04B9A" w:rsidRPr="008D5025" w:rsidRDefault="00E04B9A" w:rsidP="00E04B9A">
            <w:pPr>
              <w:jc w:val="center"/>
              <w:rPr>
                <w:rFonts w:ascii="Arial" w:hAnsi="Arial"/>
                <w:sz w:val="20"/>
                <w:szCs w:val="20"/>
              </w:rPr>
            </w:pPr>
            <w:r w:rsidRPr="008D5025">
              <w:rPr>
                <w:rFonts w:ascii="Arial" w:hAnsi="Arial"/>
                <w:sz w:val="20"/>
                <w:szCs w:val="20"/>
              </w:rPr>
              <w:t>52%</w:t>
            </w:r>
          </w:p>
        </w:tc>
      </w:tr>
      <w:tr w:rsidR="00E04B9A" w:rsidRPr="00EC4408" w14:paraId="5EC5777B" w14:textId="77777777">
        <w:trPr>
          <w:trHeight w:val="260"/>
          <w:jc w:val="center"/>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C606DE" w14:textId="77777777" w:rsidR="00E04B9A" w:rsidRPr="008D5025" w:rsidRDefault="00E04B9A" w:rsidP="00E04B9A">
            <w:pPr>
              <w:jc w:val="center"/>
              <w:rPr>
                <w:rFonts w:ascii="Arial" w:hAnsi="Arial"/>
                <w:sz w:val="20"/>
                <w:szCs w:val="20"/>
              </w:rPr>
            </w:pPr>
            <w:r w:rsidRPr="008D5025">
              <w:rPr>
                <w:rFonts w:ascii="Arial" w:hAnsi="Arial"/>
                <w:sz w:val="20"/>
                <w:szCs w:val="20"/>
              </w:rPr>
              <w:t>Thurston</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0233C3" w14:textId="77777777" w:rsidR="00E04B9A" w:rsidRPr="008D5025" w:rsidRDefault="00E04B9A" w:rsidP="00E04B9A">
            <w:pPr>
              <w:jc w:val="center"/>
              <w:rPr>
                <w:rFonts w:ascii="Arial" w:hAnsi="Arial"/>
                <w:sz w:val="20"/>
                <w:szCs w:val="20"/>
              </w:rPr>
            </w:pPr>
            <w:r w:rsidRPr="008D5025">
              <w:rPr>
                <w:rFonts w:ascii="Arial" w:hAnsi="Arial"/>
                <w:sz w:val="20"/>
                <w:szCs w:val="20"/>
              </w:rPr>
              <w:t>10%</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8893C4" w14:textId="77777777" w:rsidR="00E04B9A" w:rsidRPr="008D5025" w:rsidRDefault="00E04B9A" w:rsidP="00E04B9A">
            <w:pPr>
              <w:jc w:val="center"/>
              <w:rPr>
                <w:rFonts w:ascii="Arial" w:hAnsi="Arial"/>
                <w:sz w:val="20"/>
                <w:szCs w:val="20"/>
              </w:rPr>
            </w:pPr>
            <w:r w:rsidRPr="008D5025">
              <w:rPr>
                <w:rFonts w:ascii="Arial" w:hAnsi="Arial"/>
                <w:sz w:val="20"/>
                <w:szCs w:val="20"/>
              </w:rPr>
              <w:t>9%</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99641A" w14:textId="77777777" w:rsidR="00E04B9A" w:rsidRPr="008D5025" w:rsidRDefault="00E04B9A" w:rsidP="00E04B9A">
            <w:pPr>
              <w:jc w:val="center"/>
              <w:rPr>
                <w:rFonts w:ascii="Arial" w:hAnsi="Arial"/>
                <w:sz w:val="20"/>
                <w:szCs w:val="20"/>
              </w:rPr>
            </w:pPr>
            <w:r w:rsidRPr="008D5025">
              <w:rPr>
                <w:rFonts w:ascii="Arial" w:hAnsi="Arial"/>
                <w:sz w:val="20"/>
                <w:szCs w:val="20"/>
              </w:rPr>
              <w:t>11%</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A1FF22" w14:textId="77777777" w:rsidR="00E04B9A" w:rsidRPr="008D5025" w:rsidRDefault="00E04B9A" w:rsidP="00E04B9A">
            <w:pPr>
              <w:jc w:val="center"/>
              <w:rPr>
                <w:rFonts w:ascii="Arial" w:hAnsi="Arial"/>
                <w:sz w:val="20"/>
                <w:szCs w:val="20"/>
              </w:rPr>
            </w:pPr>
            <w:r w:rsidRPr="008D5025">
              <w:rPr>
                <w:rFonts w:ascii="Arial" w:hAnsi="Arial"/>
                <w:sz w:val="20"/>
                <w:szCs w:val="20"/>
              </w:rPr>
              <w:t>11%</w:t>
            </w:r>
          </w:p>
        </w:tc>
      </w:tr>
      <w:tr w:rsidR="00E04B9A" w:rsidRPr="00EC4408" w14:paraId="5FDD20D8" w14:textId="77777777">
        <w:trPr>
          <w:trHeight w:val="260"/>
          <w:jc w:val="center"/>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858DC0" w14:textId="77777777" w:rsidR="00E04B9A" w:rsidRPr="008D5025" w:rsidRDefault="00E04B9A" w:rsidP="00E04B9A">
            <w:pPr>
              <w:jc w:val="center"/>
              <w:rPr>
                <w:rFonts w:ascii="Arial" w:hAnsi="Arial"/>
                <w:sz w:val="20"/>
                <w:szCs w:val="20"/>
              </w:rPr>
            </w:pPr>
            <w:r w:rsidRPr="008D5025">
              <w:rPr>
                <w:rFonts w:ascii="Arial" w:hAnsi="Arial"/>
                <w:sz w:val="20"/>
                <w:szCs w:val="20"/>
              </w:rPr>
              <w:t>Pierce</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9BDBAA" w14:textId="77777777" w:rsidR="00E04B9A" w:rsidRPr="008D5025" w:rsidRDefault="00E04B9A" w:rsidP="00E04B9A">
            <w:pPr>
              <w:jc w:val="center"/>
              <w:rPr>
                <w:rFonts w:ascii="Arial" w:hAnsi="Arial"/>
                <w:sz w:val="20"/>
                <w:szCs w:val="20"/>
              </w:rPr>
            </w:pPr>
            <w:r w:rsidRPr="008D5025">
              <w:rPr>
                <w:rFonts w:ascii="Arial" w:hAnsi="Arial"/>
                <w:sz w:val="20"/>
                <w:szCs w:val="20"/>
              </w:rPr>
              <w:t>15%</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46C539" w14:textId="77777777" w:rsidR="00E04B9A" w:rsidRPr="008D5025" w:rsidRDefault="00E04B9A" w:rsidP="00E04B9A">
            <w:pPr>
              <w:jc w:val="center"/>
              <w:rPr>
                <w:rFonts w:ascii="Arial" w:hAnsi="Arial"/>
                <w:sz w:val="20"/>
                <w:szCs w:val="20"/>
              </w:rPr>
            </w:pPr>
            <w:r w:rsidRPr="008D5025">
              <w:rPr>
                <w:rFonts w:ascii="Arial" w:hAnsi="Arial"/>
                <w:sz w:val="20"/>
                <w:szCs w:val="20"/>
              </w:rPr>
              <w:t>10%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090BF3" w14:textId="77777777" w:rsidR="00E04B9A" w:rsidRPr="008D5025" w:rsidRDefault="00E04B9A" w:rsidP="00E04B9A">
            <w:pPr>
              <w:jc w:val="center"/>
              <w:rPr>
                <w:rFonts w:ascii="Arial" w:hAnsi="Arial"/>
                <w:sz w:val="20"/>
                <w:szCs w:val="20"/>
              </w:rPr>
            </w:pPr>
            <w:r w:rsidRPr="008D5025">
              <w:rPr>
                <w:rFonts w:ascii="Arial" w:hAnsi="Arial"/>
                <w:sz w:val="20"/>
                <w:szCs w:val="20"/>
              </w:rPr>
              <w:t>10%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1C4704" w14:textId="77777777" w:rsidR="00E04B9A" w:rsidRPr="008D5025" w:rsidRDefault="00E04B9A" w:rsidP="00E04B9A">
            <w:pPr>
              <w:jc w:val="center"/>
              <w:rPr>
                <w:rFonts w:ascii="Arial" w:hAnsi="Arial"/>
                <w:sz w:val="20"/>
                <w:szCs w:val="20"/>
              </w:rPr>
            </w:pPr>
            <w:r w:rsidRPr="008D5025">
              <w:rPr>
                <w:rFonts w:ascii="Arial" w:hAnsi="Arial"/>
                <w:sz w:val="20"/>
                <w:szCs w:val="20"/>
              </w:rPr>
              <w:t>9%</w:t>
            </w:r>
          </w:p>
        </w:tc>
      </w:tr>
      <w:tr w:rsidR="00E04B9A" w:rsidRPr="00EC4408" w14:paraId="792710DD" w14:textId="77777777">
        <w:trPr>
          <w:trHeight w:val="260"/>
          <w:jc w:val="center"/>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41E7BE" w14:textId="77777777" w:rsidR="00E04B9A" w:rsidRPr="008D5025" w:rsidRDefault="00E04B9A" w:rsidP="00E04B9A">
            <w:pPr>
              <w:jc w:val="center"/>
              <w:rPr>
                <w:rFonts w:ascii="Arial" w:hAnsi="Arial"/>
                <w:sz w:val="20"/>
                <w:szCs w:val="20"/>
              </w:rPr>
            </w:pPr>
            <w:r w:rsidRPr="008D5025">
              <w:rPr>
                <w:rFonts w:ascii="Arial" w:hAnsi="Arial"/>
                <w:sz w:val="20"/>
                <w:szCs w:val="20"/>
              </w:rPr>
              <w:t>Kitsap</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6445BC" w14:textId="77777777" w:rsidR="00E04B9A" w:rsidRPr="008D5025" w:rsidRDefault="00E04B9A" w:rsidP="00E04B9A">
            <w:pPr>
              <w:jc w:val="center"/>
              <w:rPr>
                <w:rFonts w:ascii="Arial" w:hAnsi="Arial"/>
                <w:sz w:val="20"/>
                <w:szCs w:val="20"/>
              </w:rPr>
            </w:pPr>
            <w:r w:rsidRPr="008D5025">
              <w:rPr>
                <w:rFonts w:ascii="Arial" w:hAnsi="Arial"/>
                <w:sz w:val="20"/>
                <w:szCs w:val="20"/>
              </w:rPr>
              <w:t>10%</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D3EB60" w14:textId="77777777" w:rsidR="00E04B9A" w:rsidRPr="008D5025" w:rsidRDefault="00E04B9A" w:rsidP="00E04B9A">
            <w:pPr>
              <w:jc w:val="center"/>
              <w:rPr>
                <w:rFonts w:ascii="Arial" w:hAnsi="Arial"/>
                <w:sz w:val="20"/>
                <w:szCs w:val="20"/>
              </w:rPr>
            </w:pPr>
            <w:r w:rsidRPr="008D5025">
              <w:rPr>
                <w:rFonts w:ascii="Arial" w:hAnsi="Arial"/>
                <w:sz w:val="20"/>
                <w:szCs w:val="20"/>
              </w:rPr>
              <w:t>8%</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F9B6EA" w14:textId="77777777" w:rsidR="00E04B9A" w:rsidRPr="008D5025" w:rsidRDefault="00E04B9A" w:rsidP="00E04B9A">
            <w:pPr>
              <w:jc w:val="center"/>
              <w:rPr>
                <w:rFonts w:ascii="Arial" w:hAnsi="Arial"/>
                <w:sz w:val="20"/>
                <w:szCs w:val="20"/>
              </w:rPr>
            </w:pPr>
            <w:r w:rsidRPr="008D5025">
              <w:rPr>
                <w:rFonts w:ascii="Arial" w:hAnsi="Arial"/>
                <w:sz w:val="20"/>
                <w:szCs w:val="20"/>
              </w:rPr>
              <w:t>11%</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EAFE35" w14:textId="77777777" w:rsidR="00E04B9A" w:rsidRPr="008D5025" w:rsidRDefault="00E04B9A" w:rsidP="00E04B9A">
            <w:pPr>
              <w:jc w:val="center"/>
              <w:rPr>
                <w:rFonts w:ascii="Arial" w:hAnsi="Arial"/>
                <w:sz w:val="20"/>
                <w:szCs w:val="20"/>
              </w:rPr>
            </w:pPr>
            <w:r w:rsidRPr="008D5025">
              <w:rPr>
                <w:rFonts w:ascii="Arial" w:hAnsi="Arial"/>
                <w:sz w:val="20"/>
                <w:szCs w:val="20"/>
              </w:rPr>
              <w:t>9%</w:t>
            </w:r>
          </w:p>
        </w:tc>
      </w:tr>
      <w:tr w:rsidR="00E04B9A" w:rsidRPr="00EC4408" w14:paraId="5561CA7E" w14:textId="77777777">
        <w:trPr>
          <w:trHeight w:val="260"/>
          <w:jc w:val="center"/>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BEF7C7" w14:textId="77777777" w:rsidR="00E04B9A" w:rsidRPr="008D5025" w:rsidRDefault="00E04B9A" w:rsidP="00E04B9A">
            <w:pPr>
              <w:jc w:val="center"/>
              <w:rPr>
                <w:rFonts w:ascii="Arial" w:hAnsi="Arial"/>
                <w:sz w:val="20"/>
                <w:szCs w:val="20"/>
              </w:rPr>
            </w:pPr>
            <w:r w:rsidRPr="008D5025">
              <w:rPr>
                <w:rFonts w:ascii="Arial" w:hAnsi="Arial"/>
                <w:sz w:val="20"/>
                <w:szCs w:val="20"/>
              </w:rPr>
              <w:t>Whatcom</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34731F" w14:textId="77777777" w:rsidR="00E04B9A" w:rsidRPr="008D5025" w:rsidRDefault="00E04B9A" w:rsidP="00E04B9A">
            <w:pPr>
              <w:jc w:val="center"/>
              <w:rPr>
                <w:rFonts w:ascii="Arial" w:hAnsi="Arial"/>
                <w:sz w:val="20"/>
                <w:szCs w:val="20"/>
              </w:rPr>
            </w:pPr>
            <w:r w:rsidRPr="008D5025">
              <w:rPr>
                <w:rFonts w:ascii="Arial" w:hAnsi="Arial"/>
                <w:sz w:val="20"/>
                <w:szCs w:val="20"/>
              </w:rPr>
              <w:t>8%</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314054" w14:textId="77777777" w:rsidR="00E04B9A" w:rsidRPr="008D5025" w:rsidRDefault="00E04B9A" w:rsidP="00E04B9A">
            <w:pPr>
              <w:jc w:val="center"/>
              <w:rPr>
                <w:rFonts w:ascii="Arial" w:hAnsi="Arial"/>
                <w:sz w:val="20"/>
                <w:szCs w:val="20"/>
              </w:rPr>
            </w:pPr>
            <w:r w:rsidRPr="008D5025">
              <w:rPr>
                <w:rFonts w:ascii="Arial" w:hAnsi="Arial"/>
                <w:sz w:val="20"/>
                <w:szCs w:val="20"/>
              </w:rPr>
              <w:t>8%</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7DCF14" w14:textId="77777777" w:rsidR="00E04B9A" w:rsidRPr="008D5025" w:rsidRDefault="00E04B9A" w:rsidP="00E04B9A">
            <w:pPr>
              <w:jc w:val="center"/>
              <w:rPr>
                <w:rFonts w:ascii="Arial" w:hAnsi="Arial"/>
                <w:sz w:val="20"/>
                <w:szCs w:val="20"/>
              </w:rPr>
            </w:pPr>
            <w:r w:rsidRPr="008D5025">
              <w:rPr>
                <w:rFonts w:ascii="Arial" w:hAnsi="Arial"/>
                <w:sz w:val="20"/>
                <w:szCs w:val="20"/>
              </w:rPr>
              <w:t>9%</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7DEFB6" w14:textId="77777777" w:rsidR="00E04B9A" w:rsidRPr="008D5025" w:rsidRDefault="00E04B9A" w:rsidP="00E04B9A">
            <w:pPr>
              <w:jc w:val="center"/>
              <w:rPr>
                <w:rFonts w:ascii="Arial" w:hAnsi="Arial"/>
                <w:sz w:val="20"/>
                <w:szCs w:val="20"/>
              </w:rPr>
            </w:pPr>
            <w:r w:rsidRPr="008D5025">
              <w:rPr>
                <w:rFonts w:ascii="Arial" w:hAnsi="Arial"/>
                <w:sz w:val="20"/>
                <w:szCs w:val="20"/>
              </w:rPr>
              <w:t>9%</w:t>
            </w:r>
          </w:p>
        </w:tc>
      </w:tr>
      <w:tr w:rsidR="00E04B9A" w:rsidRPr="00EC4408" w14:paraId="6D4E7EC3" w14:textId="77777777">
        <w:trPr>
          <w:trHeight w:val="260"/>
          <w:jc w:val="center"/>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A23884" w14:textId="77777777" w:rsidR="00E04B9A" w:rsidRPr="008D5025" w:rsidRDefault="00E04B9A" w:rsidP="00E04B9A">
            <w:pPr>
              <w:jc w:val="center"/>
              <w:rPr>
                <w:rFonts w:ascii="Arial" w:hAnsi="Arial"/>
                <w:sz w:val="20"/>
                <w:szCs w:val="20"/>
              </w:rPr>
            </w:pPr>
            <w:r w:rsidRPr="008D5025">
              <w:rPr>
                <w:rFonts w:ascii="Arial" w:hAnsi="Arial"/>
                <w:sz w:val="20"/>
                <w:szCs w:val="20"/>
              </w:rPr>
              <w:t>Skagit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5ED348" w14:textId="77777777" w:rsidR="00E04B9A" w:rsidRPr="008D5025" w:rsidRDefault="00E04B9A" w:rsidP="00E04B9A">
            <w:pPr>
              <w:jc w:val="center"/>
              <w:rPr>
                <w:rFonts w:ascii="Arial" w:hAnsi="Arial"/>
                <w:sz w:val="20"/>
                <w:szCs w:val="20"/>
              </w:rPr>
            </w:pPr>
            <w:r w:rsidRPr="008D5025">
              <w:rPr>
                <w:rFonts w:ascii="Arial" w:hAnsi="Arial"/>
                <w:sz w:val="20"/>
                <w:szCs w:val="20"/>
              </w:rPr>
              <w:t>5%</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DC34E4" w14:textId="77777777" w:rsidR="00E04B9A" w:rsidRPr="008D5025" w:rsidRDefault="00E04B9A" w:rsidP="00E04B9A">
            <w:pPr>
              <w:jc w:val="center"/>
              <w:rPr>
                <w:rFonts w:ascii="Arial" w:hAnsi="Arial"/>
                <w:sz w:val="20"/>
                <w:szCs w:val="20"/>
              </w:rPr>
            </w:pPr>
            <w:r w:rsidRPr="008D5025">
              <w:rPr>
                <w:rFonts w:ascii="Arial" w:hAnsi="Arial"/>
                <w:sz w:val="20"/>
                <w:szCs w:val="20"/>
              </w:rPr>
              <w:t>4%</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E5F076" w14:textId="77777777" w:rsidR="00E04B9A" w:rsidRPr="008D5025" w:rsidRDefault="00E04B9A" w:rsidP="00E04B9A">
            <w:pPr>
              <w:jc w:val="center"/>
              <w:rPr>
                <w:rFonts w:ascii="Arial" w:hAnsi="Arial"/>
                <w:sz w:val="20"/>
                <w:szCs w:val="20"/>
              </w:rPr>
            </w:pPr>
            <w:r w:rsidRPr="008D5025">
              <w:rPr>
                <w:rFonts w:ascii="Arial" w:hAnsi="Arial"/>
                <w:sz w:val="20"/>
                <w:szCs w:val="20"/>
              </w:rPr>
              <w:t>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46AC57" w14:textId="77777777" w:rsidR="00E04B9A" w:rsidRPr="008D5025" w:rsidRDefault="00E04B9A" w:rsidP="00E04B9A">
            <w:pPr>
              <w:jc w:val="center"/>
              <w:rPr>
                <w:rFonts w:ascii="Arial" w:hAnsi="Arial"/>
                <w:sz w:val="20"/>
                <w:szCs w:val="20"/>
              </w:rPr>
            </w:pPr>
            <w:r w:rsidRPr="008D5025">
              <w:rPr>
                <w:rFonts w:ascii="Arial" w:hAnsi="Arial"/>
                <w:sz w:val="20"/>
                <w:szCs w:val="20"/>
              </w:rPr>
              <w:t>7%</w:t>
            </w:r>
          </w:p>
        </w:tc>
      </w:tr>
      <w:tr w:rsidR="00E04B9A" w:rsidRPr="00EC4408" w14:paraId="3E76256C" w14:textId="77777777">
        <w:trPr>
          <w:trHeight w:val="260"/>
          <w:jc w:val="center"/>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61F419" w14:textId="77777777" w:rsidR="00E04B9A" w:rsidRPr="008D5025" w:rsidRDefault="00E04B9A" w:rsidP="00E04B9A">
            <w:pPr>
              <w:jc w:val="center"/>
              <w:rPr>
                <w:rFonts w:ascii="Arial" w:hAnsi="Arial"/>
                <w:sz w:val="20"/>
                <w:szCs w:val="20"/>
              </w:rPr>
            </w:pPr>
            <w:r w:rsidRPr="008D5025">
              <w:rPr>
                <w:rFonts w:ascii="Arial" w:hAnsi="Arial"/>
                <w:sz w:val="20"/>
                <w:szCs w:val="20"/>
              </w:rPr>
              <w:t>Island</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DE6DA1" w14:textId="77777777" w:rsidR="00E04B9A" w:rsidRPr="008D5025" w:rsidRDefault="00E04B9A" w:rsidP="00E04B9A">
            <w:pPr>
              <w:jc w:val="center"/>
              <w:rPr>
                <w:rFonts w:ascii="Arial" w:hAnsi="Arial"/>
                <w:sz w:val="20"/>
                <w:szCs w:val="20"/>
              </w:rPr>
            </w:pPr>
            <w:r w:rsidRPr="008D5025">
              <w:rPr>
                <w:rFonts w:ascii="Arial" w:hAnsi="Arial"/>
                <w:sz w:val="20"/>
                <w:szCs w:val="20"/>
              </w:rPr>
              <w:t>3%</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20676C" w14:textId="77777777" w:rsidR="00E04B9A" w:rsidRPr="008D5025" w:rsidRDefault="00E04B9A" w:rsidP="00E04B9A">
            <w:pPr>
              <w:jc w:val="center"/>
              <w:rPr>
                <w:rFonts w:ascii="Arial" w:hAnsi="Arial"/>
                <w:sz w:val="20"/>
                <w:szCs w:val="20"/>
              </w:rPr>
            </w:pPr>
            <w:r w:rsidRPr="008D5025">
              <w:rPr>
                <w:rFonts w:ascii="Arial" w:hAnsi="Arial"/>
                <w:sz w:val="20"/>
                <w:szCs w:val="20"/>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2C5AFA" w14:textId="77777777" w:rsidR="00E04B9A" w:rsidRPr="008D5025" w:rsidRDefault="00E04B9A" w:rsidP="00E04B9A">
            <w:pPr>
              <w:jc w:val="center"/>
              <w:rPr>
                <w:rFonts w:ascii="Arial" w:hAnsi="Arial"/>
                <w:sz w:val="20"/>
                <w:szCs w:val="20"/>
              </w:rPr>
            </w:pPr>
            <w:r w:rsidRPr="008D5025">
              <w:rPr>
                <w:rFonts w:ascii="Arial" w:hAnsi="Arial"/>
                <w:sz w:val="20"/>
                <w:szCs w:val="20"/>
              </w:rPr>
              <w:t>3%</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AAD9E7" w14:textId="77777777" w:rsidR="00E04B9A" w:rsidRPr="008D5025" w:rsidRDefault="00E04B9A" w:rsidP="00E04B9A">
            <w:pPr>
              <w:jc w:val="center"/>
              <w:rPr>
                <w:rFonts w:ascii="Arial" w:hAnsi="Arial"/>
                <w:sz w:val="20"/>
                <w:szCs w:val="20"/>
              </w:rPr>
            </w:pPr>
            <w:r w:rsidRPr="008D5025">
              <w:rPr>
                <w:rFonts w:ascii="Arial" w:hAnsi="Arial"/>
                <w:sz w:val="20"/>
                <w:szCs w:val="20"/>
              </w:rPr>
              <w:t>2%</w:t>
            </w:r>
          </w:p>
        </w:tc>
      </w:tr>
      <w:tr w:rsidR="00E04B9A" w:rsidRPr="009C0BDA" w14:paraId="5F9B9FEC" w14:textId="77777777">
        <w:trPr>
          <w:trHeight w:val="260"/>
          <w:jc w:val="center"/>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866F8C" w14:textId="77777777" w:rsidR="00E04B9A" w:rsidRPr="008D5025" w:rsidRDefault="00E04B9A" w:rsidP="00E04B9A">
            <w:pPr>
              <w:jc w:val="center"/>
              <w:rPr>
                <w:rFonts w:ascii="Arial" w:hAnsi="Arial"/>
                <w:sz w:val="20"/>
                <w:szCs w:val="20"/>
              </w:rPr>
            </w:pPr>
            <w:r w:rsidRPr="008D5025">
              <w:rPr>
                <w:rFonts w:ascii="Arial" w:hAnsi="Arial"/>
                <w:sz w:val="20"/>
                <w:szCs w:val="20"/>
              </w:rPr>
              <w:t>Kittitas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721EC9" w14:textId="77777777" w:rsidR="00E04B9A" w:rsidRPr="008D5025" w:rsidRDefault="00E04B9A" w:rsidP="00E04B9A">
            <w:pPr>
              <w:jc w:val="center"/>
              <w:rPr>
                <w:rFonts w:ascii="Arial" w:hAnsi="Arial"/>
                <w:sz w:val="20"/>
                <w:szCs w:val="20"/>
              </w:rPr>
            </w:pPr>
            <w:r w:rsidRPr="008D5025">
              <w:rPr>
                <w:rFonts w:ascii="Arial" w:hAnsi="Arial"/>
                <w:sz w:val="20"/>
                <w:szCs w:val="20"/>
              </w:rPr>
              <w:t>2%</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13BF17" w14:textId="77777777" w:rsidR="00E04B9A" w:rsidRPr="008D5025" w:rsidRDefault="00E04B9A" w:rsidP="00E04B9A">
            <w:pPr>
              <w:jc w:val="center"/>
              <w:rPr>
                <w:rFonts w:ascii="Arial" w:hAnsi="Arial"/>
                <w:sz w:val="20"/>
                <w:szCs w:val="20"/>
              </w:rPr>
            </w:pPr>
            <w:r w:rsidRPr="008D5025">
              <w:rPr>
                <w:rFonts w:ascii="Arial" w:hAnsi="Arial"/>
                <w:sz w:val="20"/>
                <w:szCs w:val="20"/>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96A66E" w14:textId="77777777" w:rsidR="00E04B9A" w:rsidRPr="008D5025" w:rsidRDefault="00E04B9A" w:rsidP="00E04B9A">
            <w:pPr>
              <w:jc w:val="center"/>
              <w:rPr>
                <w:rFonts w:ascii="Arial" w:hAnsi="Arial"/>
                <w:sz w:val="20"/>
                <w:szCs w:val="20"/>
              </w:rPr>
            </w:pPr>
            <w:r w:rsidRPr="008D5025">
              <w:rPr>
                <w:rFonts w:ascii="Arial" w:hAnsi="Arial"/>
                <w:sz w:val="20"/>
                <w:szCs w:val="20"/>
              </w:rPr>
              <w:t>1%</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7B91F8" w14:textId="77777777" w:rsidR="00E04B9A" w:rsidRPr="008D5025" w:rsidRDefault="00E04B9A" w:rsidP="00E04B9A">
            <w:pPr>
              <w:jc w:val="center"/>
              <w:rPr>
                <w:rFonts w:ascii="Arial" w:hAnsi="Arial"/>
                <w:sz w:val="20"/>
                <w:szCs w:val="20"/>
              </w:rPr>
            </w:pPr>
            <w:r w:rsidRPr="008D5025">
              <w:rPr>
                <w:rFonts w:ascii="Arial" w:hAnsi="Arial"/>
                <w:sz w:val="20"/>
                <w:szCs w:val="20"/>
              </w:rPr>
              <w:t>1%</w:t>
            </w:r>
          </w:p>
        </w:tc>
      </w:tr>
      <w:tr w:rsidR="00E04B9A" w:rsidRPr="009C0BDA" w14:paraId="452C7CBF" w14:textId="77777777">
        <w:trPr>
          <w:trHeight w:val="260"/>
          <w:jc w:val="center"/>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530FDA" w14:textId="77777777" w:rsidR="00E04B9A" w:rsidRPr="008D5025" w:rsidRDefault="00E04B9A" w:rsidP="00E04B9A">
            <w:pPr>
              <w:jc w:val="center"/>
              <w:rPr>
                <w:rFonts w:ascii="Arial" w:hAnsi="Arial"/>
                <w:sz w:val="20"/>
                <w:szCs w:val="20"/>
              </w:rPr>
            </w:pPr>
            <w:r w:rsidRPr="008D5025">
              <w:rPr>
                <w:rFonts w:ascii="Arial" w:hAnsi="Arial"/>
                <w:sz w:val="20"/>
                <w:szCs w:val="20"/>
              </w:rPr>
              <w:t>Eastside Area</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940659" w14:textId="77777777" w:rsidR="00E04B9A" w:rsidRPr="008D5025" w:rsidRDefault="00E04B9A" w:rsidP="00E04B9A">
            <w:pPr>
              <w:jc w:val="center"/>
              <w:rPr>
                <w:rFonts w:ascii="Arial" w:hAnsi="Arial"/>
                <w:sz w:val="20"/>
                <w:szCs w:val="20"/>
              </w:rPr>
            </w:pPr>
            <w:r w:rsidRPr="008D5025">
              <w:rPr>
                <w:rFonts w:ascii="Arial" w:hAnsi="Arial"/>
                <w:sz w:val="20"/>
                <w:szCs w:val="20"/>
              </w:rPr>
              <w:t>9%</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C44A63" w14:textId="77777777" w:rsidR="00E04B9A" w:rsidRPr="008D5025" w:rsidRDefault="00E04B9A" w:rsidP="00E04B9A">
            <w:pPr>
              <w:jc w:val="center"/>
              <w:rPr>
                <w:rFonts w:ascii="Arial" w:hAnsi="Arial"/>
                <w:sz w:val="20"/>
                <w:szCs w:val="20"/>
              </w:rPr>
            </w:pPr>
            <w:r w:rsidRPr="008D5025">
              <w:rPr>
                <w:rFonts w:ascii="Arial" w:hAnsi="Arial"/>
                <w:sz w:val="20"/>
                <w:szCs w:val="20"/>
              </w:rPr>
              <w:t>19%</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66B1CC" w14:textId="77777777" w:rsidR="00E04B9A" w:rsidRPr="008D5025" w:rsidRDefault="00E04B9A" w:rsidP="00E04B9A">
            <w:pPr>
              <w:jc w:val="center"/>
              <w:rPr>
                <w:rFonts w:ascii="Arial" w:hAnsi="Arial"/>
                <w:sz w:val="20"/>
                <w:szCs w:val="20"/>
              </w:rPr>
            </w:pPr>
            <w:r w:rsidRPr="008D5025">
              <w:rPr>
                <w:rFonts w:ascii="Arial" w:hAnsi="Arial"/>
                <w:sz w:val="20"/>
                <w:szCs w:val="20"/>
              </w:rPr>
              <w:t>10%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BFC66F" w14:textId="77777777" w:rsidR="00E04B9A" w:rsidRPr="008D5025" w:rsidRDefault="00E04B9A" w:rsidP="00E04B9A">
            <w:pPr>
              <w:jc w:val="center"/>
              <w:rPr>
                <w:rFonts w:ascii="Arial" w:hAnsi="Arial"/>
                <w:sz w:val="20"/>
                <w:szCs w:val="20"/>
              </w:rPr>
            </w:pPr>
            <w:r w:rsidRPr="008D5025">
              <w:rPr>
                <w:rFonts w:ascii="Arial" w:hAnsi="Arial"/>
                <w:sz w:val="20"/>
                <w:szCs w:val="20"/>
              </w:rPr>
              <w:t>14%</w:t>
            </w:r>
          </w:p>
        </w:tc>
      </w:tr>
    </w:tbl>
    <w:p w14:paraId="56BA7EDB" w14:textId="77777777" w:rsidR="00E04B9A" w:rsidRDefault="00E04B9A" w:rsidP="008D5025">
      <w:pPr>
        <w:pStyle w:val="IRPsanstext"/>
      </w:pPr>
      <w:r w:rsidRPr="00E5199A">
        <w:lastRenderedPageBreak/>
        <w:t xml:space="preserve">Growth is concentrated in </w:t>
      </w:r>
      <w:r>
        <w:t>the</w:t>
      </w:r>
      <w:r w:rsidRPr="00E5199A">
        <w:t xml:space="preserve"> Eastside area. </w:t>
      </w:r>
      <w:r w:rsidR="00FF56E5">
        <w:t xml:space="preserve">The </w:t>
      </w:r>
      <w:r>
        <w:t>Eastside’s</w:t>
      </w:r>
      <w:r w:rsidRPr="00E5199A">
        <w:t xml:space="preserve"> average </w:t>
      </w:r>
      <w:r>
        <w:t xml:space="preserve">annual peak demand </w:t>
      </w:r>
      <w:r w:rsidRPr="00E5199A">
        <w:t xml:space="preserve">growth rate of about 2.5 percent from 2014 </w:t>
      </w:r>
      <w:r>
        <w:t>to</w:t>
      </w:r>
      <w:r w:rsidRPr="00E5199A">
        <w:t xml:space="preserve"> 2031 is significantly higher than the 1.6 percent </w:t>
      </w:r>
      <w:r>
        <w:t>growth rate</w:t>
      </w:r>
      <w:r w:rsidRPr="00E5199A">
        <w:t xml:space="preserve"> in the system-level forecast.  </w:t>
      </w:r>
    </w:p>
    <w:p w14:paraId="4BA17EBC" w14:textId="77777777" w:rsidR="00E04B9A" w:rsidRDefault="00E04B9A" w:rsidP="008D5025">
      <w:pPr>
        <w:pStyle w:val="IRPsanstext"/>
      </w:pPr>
    </w:p>
    <w:p w14:paraId="0D87D0B6" w14:textId="77777777" w:rsidR="00E04B9A" w:rsidRPr="00E5199A" w:rsidRDefault="00E04B9A" w:rsidP="008D5025">
      <w:pPr>
        <w:pStyle w:val="IRPsanstext"/>
      </w:pPr>
      <w:r w:rsidRPr="00E5199A">
        <w:t>The IRP provides inputs to the local infrastructure planning process, including information on conservation and distributed resources</w:t>
      </w:r>
      <w:r>
        <w:t>;</w:t>
      </w:r>
      <w:r w:rsidRPr="00E5199A">
        <w:t xml:space="preserve"> </w:t>
      </w:r>
      <w:r>
        <w:t>h</w:t>
      </w:r>
      <w:r w:rsidRPr="00E5199A">
        <w:t xml:space="preserve">owever, the </w:t>
      </w:r>
      <w:r w:rsidR="003A2DB9">
        <w:t xml:space="preserve">planning </w:t>
      </w:r>
      <w:r w:rsidRPr="00E5199A">
        <w:t xml:space="preserve">process for </w:t>
      </w:r>
      <w:r w:rsidR="003A2DB9">
        <w:t xml:space="preserve">addressing local </w:t>
      </w:r>
      <w:r w:rsidRPr="00E5199A">
        <w:t xml:space="preserve">distribution and transmission </w:t>
      </w:r>
      <w:r w:rsidR="003A2DB9">
        <w:t xml:space="preserve">needs </w:t>
      </w:r>
      <w:r w:rsidR="005517A2">
        <w:t xml:space="preserve">focuses on the specific engineering, siting, and permitting details of specific challenges, and </w:t>
      </w:r>
      <w:r w:rsidR="00326042">
        <w:t xml:space="preserve">is appropriately </w:t>
      </w:r>
      <w:r w:rsidR="005517A2">
        <w:t xml:space="preserve">separate from </w:t>
      </w:r>
      <w:r w:rsidR="00505A09">
        <w:t>the IRP’</w:t>
      </w:r>
      <w:r w:rsidR="003A2DB9">
        <w:t xml:space="preserve">s high-level generic </w:t>
      </w:r>
      <w:r w:rsidR="005517A2">
        <w:t xml:space="preserve">resource and system-wide </w:t>
      </w:r>
      <w:r w:rsidR="003A2DB9">
        <w:t xml:space="preserve">viewpoint. </w:t>
      </w:r>
    </w:p>
    <w:p w14:paraId="2E5E8480" w14:textId="77777777" w:rsidR="00E04B9A" w:rsidRPr="00E12DF9" w:rsidRDefault="00E04B9A" w:rsidP="00E04B9A">
      <w:pPr>
        <w:spacing w:line="319" w:lineRule="auto"/>
        <w:rPr>
          <w:rFonts w:ascii="Arial" w:hAnsi="Arial"/>
          <w:sz w:val="22"/>
        </w:rPr>
      </w:pPr>
    </w:p>
    <w:p w14:paraId="7B0DE6AE" w14:textId="77777777" w:rsidR="00E04B9A" w:rsidRPr="00E12DF9" w:rsidRDefault="00E04B9A" w:rsidP="00E04B9A">
      <w:pPr>
        <w:spacing w:line="319" w:lineRule="auto"/>
        <w:rPr>
          <w:rFonts w:ascii="Arial" w:hAnsi="Arial"/>
          <w:sz w:val="22"/>
        </w:rPr>
      </w:pPr>
    </w:p>
    <w:p w14:paraId="5F57ACA7" w14:textId="77777777" w:rsidR="00E04B9A" w:rsidRPr="00E12DF9" w:rsidRDefault="00E04B9A" w:rsidP="00E04B9A">
      <w:pPr>
        <w:pStyle w:val="IRPsanstext"/>
        <w:spacing w:line="319" w:lineRule="auto"/>
        <w:rPr>
          <w:sz w:val="24"/>
        </w:rPr>
      </w:pPr>
    </w:p>
    <w:p w14:paraId="41875DDB" w14:textId="77777777" w:rsidR="00E04B9A" w:rsidRPr="00E12DF9" w:rsidRDefault="00E04B9A" w:rsidP="00E04B9A">
      <w:pPr>
        <w:pStyle w:val="IRPsanstext"/>
        <w:spacing w:line="319" w:lineRule="auto"/>
        <w:rPr>
          <w:sz w:val="24"/>
        </w:rPr>
      </w:pPr>
    </w:p>
    <w:p w14:paraId="01287693" w14:textId="77777777" w:rsidR="00E04B9A" w:rsidRPr="00A50878" w:rsidRDefault="00E04B9A" w:rsidP="00E04B9A">
      <w:pPr>
        <w:spacing w:line="319" w:lineRule="auto"/>
        <w:rPr>
          <w:rFonts w:ascii="Arial" w:hAnsi="Arial"/>
          <w:b/>
          <w:caps/>
          <w:sz w:val="40"/>
          <w:szCs w:val="40"/>
        </w:rPr>
      </w:pPr>
      <w:r>
        <w:rPr>
          <w:rFonts w:ascii="Arial" w:hAnsi="Arial"/>
          <w:b/>
          <w:caps/>
          <w:sz w:val="40"/>
          <w:szCs w:val="40"/>
        </w:rPr>
        <w:br w:type="page"/>
      </w:r>
      <w:r w:rsidRPr="001457F5">
        <w:rPr>
          <w:rFonts w:ascii="Arial" w:hAnsi="Arial"/>
          <w:b/>
          <w:caps/>
          <w:color w:val="156570"/>
          <w:sz w:val="32"/>
          <w:szCs w:val="32"/>
        </w:rPr>
        <w:lastRenderedPageBreak/>
        <w:t>Action PlanS</w:t>
      </w:r>
    </w:p>
    <w:p w14:paraId="08599AFB" w14:textId="77777777" w:rsidR="00E04B9A" w:rsidRPr="00E12DF9" w:rsidRDefault="00E04B9A" w:rsidP="001457F5">
      <w:pPr>
        <w:pStyle w:val="IRPsanstext"/>
      </w:pPr>
    </w:p>
    <w:p w14:paraId="709B3DCA" w14:textId="77777777" w:rsidR="00E04B9A" w:rsidRPr="00E12DF9" w:rsidRDefault="00E04B9A" w:rsidP="001457F5">
      <w:pPr>
        <w:pStyle w:val="IRPsanstext"/>
        <w:rPr>
          <w:sz w:val="32"/>
          <w:szCs w:val="32"/>
        </w:rPr>
      </w:pPr>
      <w:r>
        <w:rPr>
          <w:sz w:val="32"/>
          <w:szCs w:val="32"/>
        </w:rPr>
        <w:t>Action</w:t>
      </w:r>
      <w:r w:rsidRPr="00E12DF9">
        <w:rPr>
          <w:sz w:val="32"/>
          <w:szCs w:val="32"/>
        </w:rPr>
        <w:t xml:space="preserve"> Plans vs. Resource </w:t>
      </w:r>
      <w:r w:rsidR="00742851">
        <w:rPr>
          <w:sz w:val="32"/>
          <w:szCs w:val="32"/>
        </w:rPr>
        <w:t xml:space="preserve">Plan </w:t>
      </w:r>
      <w:r w:rsidRPr="00E12DF9">
        <w:rPr>
          <w:sz w:val="32"/>
          <w:szCs w:val="32"/>
        </w:rPr>
        <w:t>Forecasts</w:t>
      </w:r>
    </w:p>
    <w:p w14:paraId="0E9E52FA" w14:textId="77777777" w:rsidR="00E04B9A" w:rsidRPr="00E12DF9" w:rsidRDefault="00E04B9A" w:rsidP="001457F5">
      <w:pPr>
        <w:pStyle w:val="IRPsanstext"/>
      </w:pPr>
    </w:p>
    <w:p w14:paraId="6AE201EE" w14:textId="77777777" w:rsidR="00E04B9A" w:rsidRPr="00E5199A" w:rsidRDefault="00E04B9A" w:rsidP="001457F5">
      <w:pPr>
        <w:pStyle w:val="IRPsanstext"/>
      </w:pPr>
      <w:r w:rsidRPr="00E5199A">
        <w:t>In recent years, the IRP has attracted more attention from policy makers, the public, and advocacy groups. Many tend to assume the resource plans produced by the IRP analysis are the plan that PSE intends to execute against</w:t>
      </w:r>
      <w:r w:rsidR="00742851">
        <w:t>.  T</w:t>
      </w:r>
      <w:r w:rsidRPr="00E5199A">
        <w:t xml:space="preserve">his is not </w:t>
      </w:r>
      <w:r w:rsidR="003A2DB9">
        <w:t>the case</w:t>
      </w:r>
      <w:r w:rsidRPr="00E5199A">
        <w:t xml:space="preserve">. The resource plans are more accurately understood as forecasts of resource additions that look like they will be cost effective in the future, given what we know about the future today. What we learn from this forecasting exercise determines the Action Plan, and this is “the plan” that PSE will execute against. </w:t>
      </w:r>
    </w:p>
    <w:p w14:paraId="7B7101BE" w14:textId="77777777" w:rsidR="00E04B9A" w:rsidRPr="00E5199A" w:rsidRDefault="00E04B9A" w:rsidP="001457F5">
      <w:pPr>
        <w:pStyle w:val="IRPsanstext"/>
      </w:pPr>
    </w:p>
    <w:p w14:paraId="395CC0A6" w14:textId="77777777" w:rsidR="00E04B9A" w:rsidRPr="00E5199A" w:rsidRDefault="00E04B9A" w:rsidP="001457F5">
      <w:pPr>
        <w:pStyle w:val="IRPsanstext"/>
      </w:pPr>
      <w:r w:rsidRPr="00E5199A">
        <w:t xml:space="preserve">The following discussion presents the </w:t>
      </w:r>
      <w:r w:rsidR="00742851">
        <w:t>A</w:t>
      </w:r>
      <w:r w:rsidR="00742851" w:rsidRPr="00E5199A">
        <w:t xml:space="preserve">ction </w:t>
      </w:r>
      <w:r w:rsidR="00742851">
        <w:t>P</w:t>
      </w:r>
      <w:r w:rsidR="00742851" w:rsidRPr="00E5199A">
        <w:t xml:space="preserve">lans </w:t>
      </w:r>
      <w:r w:rsidRPr="00E5199A">
        <w:t xml:space="preserve">first, followed by the electric and gas sales resource plan forecasts. </w:t>
      </w:r>
    </w:p>
    <w:p w14:paraId="36576610" w14:textId="77777777" w:rsidR="00E04B9A" w:rsidRPr="00E12DF9" w:rsidRDefault="00E04B9A" w:rsidP="001457F5">
      <w:pPr>
        <w:pStyle w:val="IRPsanstext"/>
      </w:pPr>
    </w:p>
    <w:p w14:paraId="51F351C6" w14:textId="77777777" w:rsidR="00E04B9A" w:rsidRPr="000D4D43" w:rsidRDefault="00E04B9A" w:rsidP="001457F5">
      <w:pPr>
        <w:pStyle w:val="IRPsanstext"/>
        <w:rPr>
          <w:sz w:val="36"/>
        </w:rPr>
      </w:pPr>
      <w:r w:rsidRPr="000D4D43">
        <w:rPr>
          <w:sz w:val="36"/>
        </w:rPr>
        <w:t>Electric Action Plan</w:t>
      </w:r>
    </w:p>
    <w:p w14:paraId="7E94EA39" w14:textId="77777777" w:rsidR="00E04B9A" w:rsidRPr="00E12DF9" w:rsidRDefault="00E04B9A" w:rsidP="001457F5">
      <w:pPr>
        <w:pStyle w:val="IRPsanstext"/>
      </w:pPr>
    </w:p>
    <w:p w14:paraId="31EA8FFC" w14:textId="77777777" w:rsidR="00E04B9A" w:rsidRPr="00E5199A" w:rsidRDefault="00E04B9A" w:rsidP="001457F5">
      <w:pPr>
        <w:pStyle w:val="IRPsanstext"/>
        <w:rPr>
          <w:b/>
        </w:rPr>
      </w:pPr>
      <w:r w:rsidRPr="00E5199A">
        <w:rPr>
          <w:b/>
        </w:rPr>
        <w:t xml:space="preserve">1. Acquire energy efficiency. </w:t>
      </w:r>
    </w:p>
    <w:p w14:paraId="0EA27304" w14:textId="77777777" w:rsidR="00E04B9A" w:rsidRPr="00E5199A" w:rsidRDefault="00E04B9A" w:rsidP="001457F5">
      <w:pPr>
        <w:pStyle w:val="IRPsanstext"/>
      </w:pPr>
      <w:r w:rsidRPr="000D74C1">
        <w:t>Develop 2-year targets and implement programs that will put us on a path to achieve an additional 4</w:t>
      </w:r>
      <w:r w:rsidR="00A5719A">
        <w:t>11</w:t>
      </w:r>
      <w:r w:rsidRPr="000D74C1">
        <w:t xml:space="preserve"> MW of energy efficiency by 2021.</w:t>
      </w:r>
      <w:r w:rsidRPr="00E5199A">
        <w:t xml:space="preserve"> </w:t>
      </w:r>
    </w:p>
    <w:p w14:paraId="09232A56" w14:textId="77777777" w:rsidR="00E04B9A" w:rsidRPr="00E5199A" w:rsidRDefault="00E04B9A" w:rsidP="001457F5">
      <w:pPr>
        <w:pStyle w:val="IRPsanstext"/>
      </w:pPr>
    </w:p>
    <w:p w14:paraId="251BDC77" w14:textId="77777777" w:rsidR="00E04B9A" w:rsidRPr="00E5199A" w:rsidRDefault="00E04B9A" w:rsidP="001457F5">
      <w:pPr>
        <w:pStyle w:val="IRPsanstext"/>
        <w:rPr>
          <w:b/>
        </w:rPr>
      </w:pPr>
      <w:r w:rsidRPr="00E5199A">
        <w:rPr>
          <w:b/>
        </w:rPr>
        <w:t xml:space="preserve">2. Acquire demand-response. </w:t>
      </w:r>
    </w:p>
    <w:p w14:paraId="38E5960D" w14:textId="77777777" w:rsidR="00E04B9A" w:rsidRPr="00E5199A" w:rsidRDefault="00E04B9A" w:rsidP="001457F5">
      <w:pPr>
        <w:pStyle w:val="IRPsanstext"/>
      </w:pPr>
      <w:r w:rsidRPr="00E5199A">
        <w:t>Develop and implement a demand-response acquisition process and issue a</w:t>
      </w:r>
      <w:r w:rsidR="00742851">
        <w:t xml:space="preserve"> Request for Proposal (</w:t>
      </w:r>
      <w:r w:rsidRPr="00E5199A">
        <w:t>RFP</w:t>
      </w:r>
      <w:r w:rsidR="00742851">
        <w:t>)</w:t>
      </w:r>
      <w:r w:rsidRPr="00E5199A">
        <w:t>. The analysis supports addition of demand-response by 2021, but these programs don’t fit existing energy efficiency or supply-side resource models.</w:t>
      </w:r>
    </w:p>
    <w:p w14:paraId="5ABA3BE0" w14:textId="77777777" w:rsidR="00E04B9A" w:rsidRPr="00E5199A" w:rsidRDefault="00E04B9A" w:rsidP="001457F5">
      <w:pPr>
        <w:pStyle w:val="IRPsanstext"/>
      </w:pPr>
    </w:p>
    <w:p w14:paraId="3597E155" w14:textId="77777777" w:rsidR="00E04B9A" w:rsidRPr="00E5199A" w:rsidRDefault="00E04B9A" w:rsidP="001457F5">
      <w:pPr>
        <w:pStyle w:val="IRPsanstext"/>
        <w:rPr>
          <w:b/>
        </w:rPr>
      </w:pPr>
      <w:r>
        <w:rPr>
          <w:b/>
        </w:rPr>
        <w:t>3. Supply-side r</w:t>
      </w:r>
      <w:r w:rsidRPr="00E5199A">
        <w:rPr>
          <w:b/>
        </w:rPr>
        <w:t xml:space="preserve">esources: </w:t>
      </w:r>
      <w:r>
        <w:rPr>
          <w:b/>
        </w:rPr>
        <w:t xml:space="preserve">Clarify before </w:t>
      </w:r>
      <w:r w:rsidR="00DB5340">
        <w:rPr>
          <w:b/>
        </w:rPr>
        <w:t xml:space="preserve">issuing </w:t>
      </w:r>
      <w:r w:rsidRPr="00E5199A">
        <w:rPr>
          <w:b/>
        </w:rPr>
        <w:t>an all-source RFP.</w:t>
      </w:r>
    </w:p>
    <w:p w14:paraId="1EAC555E" w14:textId="77777777" w:rsidR="00A50878" w:rsidRDefault="004F04C0" w:rsidP="001457F5">
      <w:pPr>
        <w:pStyle w:val="IRPsanstext"/>
      </w:pPr>
      <w:r>
        <w:t>E</w:t>
      </w:r>
      <w:r w:rsidRPr="00E5199A">
        <w:t xml:space="preserve">nergy </w:t>
      </w:r>
      <w:r w:rsidR="00E04B9A" w:rsidRPr="00E5199A">
        <w:t xml:space="preserve">efficiency and demand-response additions appear sufficient to meet incremental capacity need until 2021 and </w:t>
      </w:r>
      <w:r w:rsidR="00742851">
        <w:t>additional renewables are not needed until 2023</w:t>
      </w:r>
      <w:r>
        <w:t xml:space="preserve">.  PSE </w:t>
      </w:r>
      <w:r w:rsidR="00DB5340">
        <w:t xml:space="preserve">intends </w:t>
      </w:r>
      <w:r>
        <w:t>to issue an all-source RFP</w:t>
      </w:r>
      <w:r w:rsidR="00255EF3">
        <w:rPr>
          <w:rStyle w:val="FootnoteReference"/>
        </w:rPr>
        <w:footnoteReference w:id="6"/>
      </w:r>
      <w:r>
        <w:t xml:space="preserve"> in 2016</w:t>
      </w:r>
      <w:r w:rsidR="00DB5340">
        <w:t xml:space="preserve">, subject to an update to </w:t>
      </w:r>
      <w:r>
        <w:t>resource needs</w:t>
      </w:r>
      <w:r w:rsidR="00A50878">
        <w:t>,</w:t>
      </w:r>
      <w:r w:rsidR="00C5223D">
        <w:t xml:space="preserve"> </w:t>
      </w:r>
      <w:r>
        <w:t xml:space="preserve">most likely in early </w:t>
      </w:r>
      <w:r w:rsidR="00EA26D0">
        <w:t xml:space="preserve">summer </w:t>
      </w:r>
      <w:r>
        <w:t>of 2016</w:t>
      </w:r>
      <w:r w:rsidR="00A50878">
        <w:t>.</w:t>
      </w:r>
      <w:r w:rsidR="00EF3F6E">
        <w:rPr>
          <w:rStyle w:val="FootnoteReference"/>
        </w:rPr>
        <w:footnoteReference w:id="7"/>
      </w:r>
      <w:r>
        <w:t xml:space="preserve"> This postponement will provide time to incorporate an updated regional adequacy assessment into our resource need, which is scheduled to be completed by the NPCC in the second quarter of </w:t>
      </w:r>
      <w:r w:rsidR="00C5223D">
        <w:t>2016</w:t>
      </w:r>
      <w:r>
        <w:t xml:space="preserve">.  </w:t>
      </w:r>
    </w:p>
    <w:p w14:paraId="5453C8AB" w14:textId="77777777" w:rsidR="00A50878" w:rsidRDefault="00A50878" w:rsidP="001457F5">
      <w:pPr>
        <w:pStyle w:val="IRPsanstext"/>
      </w:pPr>
    </w:p>
    <w:p w14:paraId="2D4639F0" w14:textId="77777777" w:rsidR="00E04B9A" w:rsidRPr="00E5199A" w:rsidRDefault="004F04C0" w:rsidP="001457F5">
      <w:pPr>
        <w:pStyle w:val="IRPsanstext"/>
      </w:pPr>
      <w:r>
        <w:lastRenderedPageBreak/>
        <w:t xml:space="preserve">There are indications from the NPCC that updates to some key assumptions from their </w:t>
      </w:r>
      <w:r w:rsidR="00C5223D">
        <w:t xml:space="preserve">draft </w:t>
      </w:r>
      <w:r>
        <w:t>7</w:t>
      </w:r>
      <w:r w:rsidRPr="00A50878">
        <w:t>th</w:t>
      </w:r>
      <w:r>
        <w:t xml:space="preserve"> Power Plan may impact the regional adequacy. Therefore, </w:t>
      </w:r>
      <w:r w:rsidR="00E04B9A" w:rsidRPr="00E5199A">
        <w:t xml:space="preserve">it makes sense </w:t>
      </w:r>
      <w:r w:rsidR="00255EF3">
        <w:t xml:space="preserve">to </w:t>
      </w:r>
      <w:r w:rsidR="00E04B9A" w:rsidRPr="00E5199A">
        <w:t xml:space="preserve">further </w:t>
      </w:r>
      <w:r>
        <w:t xml:space="preserve">refine our resource needs </w:t>
      </w:r>
      <w:r w:rsidR="00E04B9A" w:rsidRPr="00E5199A">
        <w:t xml:space="preserve">before embarking on this costly and complicated process. </w:t>
      </w:r>
      <w:r w:rsidR="00742851">
        <w:t xml:space="preserve">The all-source RFP will include a </w:t>
      </w:r>
      <w:r>
        <w:t>process</w:t>
      </w:r>
      <w:r w:rsidR="00742851">
        <w:t xml:space="preserve"> to aggregate smaller kinds of resources, such as distributed resources, </w:t>
      </w:r>
      <w:r w:rsidR="002351B1">
        <w:t>combined heat and power</w:t>
      </w:r>
      <w:r w:rsidR="00742851">
        <w:t>, etc., along-side traditional utility-scale resources.</w:t>
      </w:r>
    </w:p>
    <w:p w14:paraId="7A2982A7" w14:textId="77777777" w:rsidR="00E04B9A" w:rsidRPr="00E5199A" w:rsidRDefault="00E04B9A" w:rsidP="002351B1">
      <w:pPr>
        <w:pStyle w:val="IRPsanstext"/>
      </w:pPr>
      <w:r w:rsidRPr="00E5199A">
        <w:t xml:space="preserve"> </w:t>
      </w:r>
    </w:p>
    <w:p w14:paraId="25863209" w14:textId="77777777" w:rsidR="00E04B9A" w:rsidRPr="00E5199A" w:rsidRDefault="00E04B9A" w:rsidP="001457F5">
      <w:pPr>
        <w:pStyle w:val="IRPsanstext"/>
        <w:rPr>
          <w:b/>
        </w:rPr>
      </w:pPr>
      <w:r w:rsidRPr="00E5199A">
        <w:rPr>
          <w:b/>
        </w:rPr>
        <w:t>4. Improve analytical capabilities.</w:t>
      </w:r>
    </w:p>
    <w:p w14:paraId="283A565E" w14:textId="77777777" w:rsidR="003A2DB9" w:rsidRDefault="00E04B9A" w:rsidP="001457F5">
      <w:pPr>
        <w:pStyle w:val="IRPsanstext"/>
      </w:pPr>
      <w:r w:rsidRPr="00E5199A">
        <w:t xml:space="preserve">With this IRP, PSE made two major improvements to its analytical capabilities. We </w:t>
      </w:r>
      <w:r w:rsidR="003A2DB9">
        <w:t>applied a benefit/cost analysis focused on</w:t>
      </w:r>
      <w:r w:rsidRPr="00E5199A">
        <w:t xml:space="preserve"> </w:t>
      </w:r>
      <w:r w:rsidR="003A2DB9">
        <w:t xml:space="preserve">the cost </w:t>
      </w:r>
      <w:r w:rsidRPr="00E5199A">
        <w:t>to customers</w:t>
      </w:r>
      <w:r w:rsidR="003A2DB9">
        <w:t xml:space="preserve"> of potential outages to update the </w:t>
      </w:r>
      <w:r w:rsidR="00C5223D">
        <w:t xml:space="preserve">electric </w:t>
      </w:r>
      <w:r w:rsidR="003A2DB9">
        <w:t>planning standard</w:t>
      </w:r>
      <w:r w:rsidRPr="00E5199A">
        <w:t xml:space="preserve">, and we developed a framework for translating regional resource adequacy to its impact on PSE’s </w:t>
      </w:r>
      <w:r w:rsidR="00255EF3">
        <w:t xml:space="preserve">electric </w:t>
      </w:r>
      <w:r w:rsidRPr="00E5199A">
        <w:t xml:space="preserve">system and customers. </w:t>
      </w:r>
      <w:r w:rsidR="003A2DB9">
        <w:t>We also analyzed whether back</w:t>
      </w:r>
      <w:r>
        <w:t xml:space="preserve">up fuel for our existing peaking units is sufficient to meet reliability needs without firm pipeline capacity. </w:t>
      </w:r>
    </w:p>
    <w:p w14:paraId="6110187B" w14:textId="77777777" w:rsidR="003A2DB9" w:rsidRDefault="003A2DB9" w:rsidP="001457F5">
      <w:pPr>
        <w:pStyle w:val="IRPsanstext"/>
      </w:pPr>
    </w:p>
    <w:p w14:paraId="418819B3" w14:textId="77777777" w:rsidR="00E04B9A" w:rsidRDefault="00E04B9A" w:rsidP="001457F5">
      <w:pPr>
        <w:pStyle w:val="IRPsanstext"/>
      </w:pPr>
      <w:r w:rsidRPr="00E5199A">
        <w:t>The next important area of focus will be intrahour flexibility</w:t>
      </w:r>
      <w:r w:rsidR="00EA737C">
        <w:t xml:space="preserve"> for the electric portfolio</w:t>
      </w:r>
      <w:r w:rsidRPr="00E5199A">
        <w:t xml:space="preserve">.  Analysis in this IRP demonstrated that initial estimates of intrahour flexibility values could significantly affect the least-cost mix of resources and </w:t>
      </w:r>
      <w:r>
        <w:t>possibly</w:t>
      </w:r>
      <w:r w:rsidRPr="00E5199A">
        <w:t xml:space="preserve"> add reciprocating engines to the portfolio. Specifically, in the 2017 IRP planning cycle, we will:  </w:t>
      </w:r>
    </w:p>
    <w:p w14:paraId="1D4EBAE7" w14:textId="77777777" w:rsidR="00E04B9A" w:rsidRPr="00E5199A" w:rsidRDefault="00E04B9A" w:rsidP="001457F5">
      <w:pPr>
        <w:pStyle w:val="IRPsanstext"/>
      </w:pPr>
    </w:p>
    <w:p w14:paraId="7064DF58" w14:textId="77777777" w:rsidR="00E04B9A" w:rsidRPr="00E5199A" w:rsidRDefault="00E04B9A" w:rsidP="001457F5">
      <w:pPr>
        <w:pStyle w:val="IRPsanstext"/>
        <w:numPr>
          <w:ilvl w:val="0"/>
          <w:numId w:val="6"/>
        </w:numPr>
      </w:pPr>
      <w:r w:rsidRPr="00E5199A">
        <w:t>Define specific elements of intrahour flexibility that need to be valued and prioritize them according to their potential to impact future resource decisions.</w:t>
      </w:r>
    </w:p>
    <w:p w14:paraId="68D93258" w14:textId="77777777" w:rsidR="00E04B9A" w:rsidRPr="00E5199A" w:rsidRDefault="00E04B9A" w:rsidP="001457F5">
      <w:pPr>
        <w:pStyle w:val="IRPsanstext"/>
        <w:numPr>
          <w:ilvl w:val="0"/>
          <w:numId w:val="6"/>
        </w:numPr>
      </w:pPr>
      <w:r w:rsidRPr="00E5199A">
        <w:t xml:space="preserve">Refine existing </w:t>
      </w:r>
      <w:r w:rsidR="00EA737C">
        <w:t xml:space="preserve">or develop new </w:t>
      </w:r>
      <w:r w:rsidRPr="00E5199A">
        <w:t xml:space="preserve">analytical frameworks to estimate, from a portfolio perspective, the value that different </w:t>
      </w:r>
      <w:r w:rsidR="00EA737C">
        <w:t>types</w:t>
      </w:r>
      <w:r w:rsidR="00EA737C" w:rsidRPr="00E5199A">
        <w:t xml:space="preserve"> </w:t>
      </w:r>
      <w:r w:rsidRPr="00E5199A">
        <w:t>of resources can provide for each element of flexibility.</w:t>
      </w:r>
    </w:p>
    <w:p w14:paraId="6F6D5214" w14:textId="77777777" w:rsidR="00EA737C" w:rsidRPr="00E5199A" w:rsidRDefault="00E04B9A" w:rsidP="001457F5">
      <w:pPr>
        <w:pStyle w:val="IRPsanstext"/>
        <w:numPr>
          <w:ilvl w:val="0"/>
          <w:numId w:val="6"/>
        </w:numPr>
      </w:pPr>
      <w:r w:rsidRPr="00E5199A">
        <w:t xml:space="preserve">Ensure that frameworks reasonably address energy storage technologies, including batteries, pumped hydro, kinetic storage and others. </w:t>
      </w:r>
    </w:p>
    <w:p w14:paraId="4FF2A99F" w14:textId="77777777" w:rsidR="00E04B9A" w:rsidRPr="00E5199A" w:rsidRDefault="00E04B9A" w:rsidP="001457F5">
      <w:pPr>
        <w:pStyle w:val="IRPsanstext"/>
      </w:pPr>
    </w:p>
    <w:p w14:paraId="2B622961" w14:textId="77777777" w:rsidR="00E04B9A" w:rsidRPr="00E5199A" w:rsidRDefault="00E04B9A" w:rsidP="001457F5">
      <w:pPr>
        <w:pStyle w:val="IRPsanstext"/>
        <w:rPr>
          <w:b/>
        </w:rPr>
      </w:pPr>
      <w:r w:rsidRPr="00E5199A">
        <w:rPr>
          <w:b/>
        </w:rPr>
        <w:t xml:space="preserve">5. Actively investigate emerging resources. </w:t>
      </w:r>
    </w:p>
    <w:p w14:paraId="6FDA484D" w14:textId="77777777" w:rsidR="00E04B9A" w:rsidRPr="00E5199A" w:rsidRDefault="00E04B9A" w:rsidP="001457F5">
      <w:pPr>
        <w:pStyle w:val="IRPsanstext"/>
      </w:pPr>
      <w:r w:rsidRPr="00E5199A">
        <w:t>For batteries, continue to explore potential applications and demonstration projects; for solar, update market penetration studies and continue study of system planning implications; for electric powered vehicles, continue load research.</w:t>
      </w:r>
      <w:r w:rsidR="00347AE1">
        <w:t xml:space="preserve"> Continue to explore the possibilities provided by new emerging resources.</w:t>
      </w:r>
    </w:p>
    <w:p w14:paraId="2414988D" w14:textId="77777777" w:rsidR="00E04B9A" w:rsidRPr="00E5199A" w:rsidRDefault="00E04B9A" w:rsidP="001457F5">
      <w:pPr>
        <w:pStyle w:val="IRPsanstext"/>
        <w:rPr>
          <w:b/>
        </w:rPr>
      </w:pPr>
    </w:p>
    <w:p w14:paraId="452D2653" w14:textId="77777777" w:rsidR="00E04B9A" w:rsidRPr="00E5199A" w:rsidRDefault="00E04B9A" w:rsidP="001457F5">
      <w:pPr>
        <w:pStyle w:val="IRPsanstext"/>
        <w:rPr>
          <w:b/>
        </w:rPr>
      </w:pPr>
      <w:r>
        <w:rPr>
          <w:b/>
        </w:rPr>
        <w:t>6</w:t>
      </w:r>
      <w:r w:rsidRPr="00E5199A">
        <w:rPr>
          <w:b/>
        </w:rPr>
        <w:t>. Participate in the California Energy Imbalance Market (EIM).</w:t>
      </w:r>
    </w:p>
    <w:p w14:paraId="70241478" w14:textId="77777777" w:rsidR="00E04B9A" w:rsidRPr="00E5199A" w:rsidRDefault="00E04B9A" w:rsidP="001457F5">
      <w:pPr>
        <w:pStyle w:val="IRPsanstext"/>
      </w:pPr>
      <w:r w:rsidRPr="00E5199A">
        <w:t xml:space="preserve">PSE has committed to joining the California EIM. This market </w:t>
      </w:r>
      <w:r w:rsidR="00C5223D">
        <w:t xml:space="preserve">will </w:t>
      </w:r>
      <w:r w:rsidRPr="00E5199A">
        <w:t xml:space="preserve">allow PSE to purchase sub-hourly flexibility </w:t>
      </w:r>
      <w:r w:rsidR="006F7CE7">
        <w:t>at 15</w:t>
      </w:r>
      <w:r w:rsidR="00C5223D">
        <w:t>-</w:t>
      </w:r>
      <w:r w:rsidR="006F7CE7">
        <w:t xml:space="preserve"> and</w:t>
      </w:r>
      <w:r w:rsidR="006F7CE7" w:rsidRPr="00E5199A">
        <w:t xml:space="preserve"> </w:t>
      </w:r>
      <w:r w:rsidRPr="00E5199A">
        <w:t>5-minute increments from other EIM participants to meet our flexibility needs when market prices are cheaper than us</w:t>
      </w:r>
      <w:r>
        <w:t>ing our own resources</w:t>
      </w:r>
      <w:r w:rsidRPr="00E5199A">
        <w:t xml:space="preserve">. </w:t>
      </w:r>
      <w:r>
        <w:t>This</w:t>
      </w:r>
      <w:r w:rsidRPr="00E5199A">
        <w:t xml:space="preserve"> will also allow PSE </w:t>
      </w:r>
      <w:r w:rsidR="00347AE1">
        <w:t xml:space="preserve">the opportunity </w:t>
      </w:r>
      <w:r w:rsidRPr="00E5199A">
        <w:t xml:space="preserve">to sell flexibility to other EIM participants when </w:t>
      </w:r>
      <w:r>
        <w:t>we have</w:t>
      </w:r>
      <w:r w:rsidRPr="00E5199A">
        <w:t xml:space="preserve"> surplus flexibility. The benefits of lower costs on the one hand and net revenue from EIM sales on the other will reduce power costs to our customers.</w:t>
      </w:r>
    </w:p>
    <w:p w14:paraId="33322306" w14:textId="77777777" w:rsidR="00E04B9A" w:rsidRPr="00910C9F" w:rsidRDefault="00E04B9A" w:rsidP="001457F5">
      <w:pPr>
        <w:pStyle w:val="IRPsanstext"/>
        <w:rPr>
          <w:sz w:val="36"/>
        </w:rPr>
      </w:pPr>
      <w:r w:rsidRPr="00910C9F">
        <w:rPr>
          <w:sz w:val="36"/>
        </w:rPr>
        <w:lastRenderedPageBreak/>
        <w:t xml:space="preserve">Gas </w:t>
      </w:r>
      <w:r w:rsidR="001B21C3">
        <w:rPr>
          <w:sz w:val="36"/>
        </w:rPr>
        <w:t>Sales</w:t>
      </w:r>
      <w:r w:rsidR="001B21C3" w:rsidRPr="00910C9F">
        <w:rPr>
          <w:sz w:val="36"/>
        </w:rPr>
        <w:t xml:space="preserve"> </w:t>
      </w:r>
      <w:r w:rsidRPr="00910C9F">
        <w:rPr>
          <w:sz w:val="36"/>
        </w:rPr>
        <w:t>Action Plan</w:t>
      </w:r>
    </w:p>
    <w:p w14:paraId="25767885" w14:textId="77777777" w:rsidR="00E04B9A" w:rsidRPr="00E12DF9" w:rsidRDefault="00E04B9A" w:rsidP="001457F5">
      <w:pPr>
        <w:pStyle w:val="IRPsanstext"/>
        <w:rPr>
          <w:u w:val="single"/>
        </w:rPr>
      </w:pPr>
    </w:p>
    <w:p w14:paraId="4CFA49E7" w14:textId="77777777" w:rsidR="00E04B9A" w:rsidRPr="00E5199A" w:rsidRDefault="00E04B9A" w:rsidP="001457F5">
      <w:pPr>
        <w:pStyle w:val="IRPsanstext"/>
        <w:rPr>
          <w:b/>
        </w:rPr>
      </w:pPr>
      <w:r w:rsidRPr="00E5199A">
        <w:rPr>
          <w:b/>
        </w:rPr>
        <w:t xml:space="preserve">1. Acquire energy efficiency.  </w:t>
      </w:r>
    </w:p>
    <w:p w14:paraId="38F1F69D" w14:textId="77777777" w:rsidR="00E04B9A" w:rsidRPr="00E5199A" w:rsidRDefault="00E04B9A" w:rsidP="001457F5">
      <w:pPr>
        <w:pStyle w:val="IRPsanstext"/>
      </w:pPr>
      <w:r w:rsidRPr="00E5199A">
        <w:t>Develop 2-year targets and implement programs to acquire conservation, using the IRP as a starting point for goal-setting.</w:t>
      </w:r>
    </w:p>
    <w:p w14:paraId="358EBAC1" w14:textId="77777777" w:rsidR="00E04B9A" w:rsidRPr="00E5199A" w:rsidRDefault="00E04B9A" w:rsidP="001457F5">
      <w:pPr>
        <w:pStyle w:val="IRPsanstext"/>
        <w:rPr>
          <w:u w:val="single"/>
        </w:rPr>
      </w:pPr>
    </w:p>
    <w:p w14:paraId="3F9F5029" w14:textId="77777777" w:rsidR="00E04B9A" w:rsidRPr="00E5199A" w:rsidRDefault="00E04B9A" w:rsidP="001457F5">
      <w:pPr>
        <w:pStyle w:val="IRPsanstext"/>
        <w:rPr>
          <w:b/>
        </w:rPr>
      </w:pPr>
      <w:r w:rsidRPr="00E5199A">
        <w:rPr>
          <w:b/>
        </w:rPr>
        <w:t xml:space="preserve">2. Develop </w:t>
      </w:r>
      <w:r>
        <w:rPr>
          <w:b/>
        </w:rPr>
        <w:t xml:space="preserve">the </w:t>
      </w:r>
      <w:r w:rsidR="00347AE1">
        <w:rPr>
          <w:b/>
        </w:rPr>
        <w:t>PSE</w:t>
      </w:r>
      <w:r w:rsidR="00347AE1" w:rsidRPr="00E5199A">
        <w:rPr>
          <w:b/>
        </w:rPr>
        <w:t xml:space="preserve"> </w:t>
      </w:r>
      <w:r w:rsidRPr="00E5199A">
        <w:rPr>
          <w:b/>
        </w:rPr>
        <w:t>LNG project.</w:t>
      </w:r>
    </w:p>
    <w:p w14:paraId="5DD30AC3" w14:textId="77777777" w:rsidR="00E04B9A" w:rsidRPr="00E5199A" w:rsidRDefault="00E04B9A" w:rsidP="001457F5">
      <w:pPr>
        <w:pStyle w:val="IRPsanstext"/>
      </w:pPr>
      <w:r w:rsidRPr="00E5199A">
        <w:t xml:space="preserve">Continue work to develop an LNG facility for serving </w:t>
      </w:r>
      <w:r w:rsidR="00547D16">
        <w:t xml:space="preserve">both </w:t>
      </w:r>
      <w:r w:rsidR="00EA26D0">
        <w:t xml:space="preserve">the peak needs of gas customers and </w:t>
      </w:r>
      <w:r w:rsidR="00547D16">
        <w:t xml:space="preserve">the </w:t>
      </w:r>
      <w:r w:rsidRPr="00E5199A">
        <w:t xml:space="preserve">transportation markets at the Port of Tacoma. </w:t>
      </w:r>
    </w:p>
    <w:p w14:paraId="0450BAD4" w14:textId="77777777" w:rsidR="00E04B9A" w:rsidRPr="00E5199A" w:rsidRDefault="00E04B9A" w:rsidP="001457F5">
      <w:pPr>
        <w:pStyle w:val="IRPsanstext"/>
        <w:rPr>
          <w:u w:val="single"/>
        </w:rPr>
      </w:pPr>
    </w:p>
    <w:p w14:paraId="281BFE48" w14:textId="77777777" w:rsidR="00E04B9A" w:rsidRPr="00E5199A" w:rsidRDefault="00E04B9A" w:rsidP="001457F5">
      <w:pPr>
        <w:pStyle w:val="IRPsanstext"/>
        <w:rPr>
          <w:b/>
        </w:rPr>
      </w:pPr>
      <w:r w:rsidRPr="00E5199A">
        <w:rPr>
          <w:b/>
        </w:rPr>
        <w:t xml:space="preserve">3. Begin upgrades to </w:t>
      </w:r>
      <w:r w:rsidR="00347AE1">
        <w:rPr>
          <w:b/>
        </w:rPr>
        <w:t>Swarr</w:t>
      </w:r>
      <w:r w:rsidRPr="00E5199A">
        <w:rPr>
          <w:b/>
        </w:rPr>
        <w:t>.</w:t>
      </w:r>
    </w:p>
    <w:p w14:paraId="54F6CA86" w14:textId="77777777" w:rsidR="00E04B9A" w:rsidRPr="00E5199A" w:rsidRDefault="00E04B9A" w:rsidP="001457F5">
      <w:pPr>
        <w:pStyle w:val="IRPsanstext"/>
      </w:pPr>
      <w:r w:rsidRPr="00E5199A">
        <w:t xml:space="preserve">Implement plans to ensure </w:t>
      </w:r>
      <w:r>
        <w:t xml:space="preserve">that </w:t>
      </w:r>
      <w:r w:rsidRPr="00E5199A">
        <w:t xml:space="preserve">the full upgraded capacity of the </w:t>
      </w:r>
      <w:r w:rsidR="00347AE1">
        <w:t>Swarr</w:t>
      </w:r>
      <w:r w:rsidR="00347AE1" w:rsidRPr="00E5199A">
        <w:t xml:space="preserve"> </w:t>
      </w:r>
      <w:r w:rsidRPr="00E5199A">
        <w:t>propane-air facility is available by the 2016/17 or 2017/18 heating season.</w:t>
      </w:r>
    </w:p>
    <w:p w14:paraId="1AC463A1" w14:textId="77777777" w:rsidR="00E04B9A" w:rsidRPr="00E5199A" w:rsidRDefault="00E04B9A" w:rsidP="001457F5">
      <w:pPr>
        <w:pStyle w:val="IRPsanstext"/>
        <w:rPr>
          <w:u w:val="single"/>
        </w:rPr>
      </w:pPr>
    </w:p>
    <w:p w14:paraId="7B2ECF02" w14:textId="77777777" w:rsidR="00E04B9A" w:rsidRPr="00E5199A" w:rsidRDefault="00E04B9A" w:rsidP="001457F5">
      <w:pPr>
        <w:pStyle w:val="IRPsanstext"/>
      </w:pPr>
      <w:r w:rsidRPr="00E5199A">
        <w:rPr>
          <w:b/>
        </w:rPr>
        <w:t xml:space="preserve">4. Improve analysis on basin risk.  </w:t>
      </w:r>
      <w:r w:rsidRPr="00E5199A">
        <w:t xml:space="preserve">Acquiring long-term pipeline capacity to one supply basin entails risk, as the relationship between gas prices in different supply basins is uncertain and changes over time. Resources that do not rely on making a long-term commitment to one supply basin reduce risk. Such resources </w:t>
      </w:r>
      <w:r w:rsidR="00347AE1">
        <w:t xml:space="preserve">may </w:t>
      </w:r>
      <w:r w:rsidRPr="00E5199A">
        <w:t>include conservation, on-system storage and market-area storage. These resources avoid placing a bet on which basin-plus-transport</w:t>
      </w:r>
      <w:r w:rsidR="00547D16">
        <w:t>ation</w:t>
      </w:r>
      <w:r w:rsidRPr="00E5199A">
        <w:t xml:space="preserve"> cost will be </w:t>
      </w:r>
      <w:r w:rsidR="00347AE1">
        <w:t>lowest cost</w:t>
      </w:r>
      <w:r w:rsidR="00347AE1" w:rsidRPr="00E5199A">
        <w:t xml:space="preserve"> </w:t>
      </w:r>
      <w:r w:rsidRPr="00E5199A">
        <w:t>in the long run. PSE will refine its analysis of this risk, and work with other gas utilities on ways to improve its ability to analyze this issue</w:t>
      </w:r>
      <w:r w:rsidR="00547D16">
        <w:t>,</w:t>
      </w:r>
      <w:r w:rsidRPr="00E5199A">
        <w:t xml:space="preserve"> in the 2017 IRP.</w:t>
      </w:r>
    </w:p>
    <w:p w14:paraId="4DC8706B" w14:textId="77777777" w:rsidR="00E04B9A" w:rsidRPr="00E5199A" w:rsidRDefault="00E04B9A" w:rsidP="001457F5">
      <w:pPr>
        <w:pStyle w:val="IRPsanstext"/>
        <w:rPr>
          <w:strike/>
        </w:rPr>
      </w:pPr>
    </w:p>
    <w:p w14:paraId="1D8D99E8" w14:textId="77777777" w:rsidR="00E04B9A" w:rsidRDefault="00E04B9A" w:rsidP="00A50878">
      <w:pPr>
        <w:pStyle w:val="IRPsecthead1serif"/>
      </w:pPr>
      <w:r w:rsidRPr="00161307">
        <w:t>Gas-Electric Convergence</w:t>
      </w:r>
      <w:r w:rsidR="00A50878">
        <w:t xml:space="preserve"> Action Plan</w:t>
      </w:r>
    </w:p>
    <w:p w14:paraId="5C56155F" w14:textId="77777777" w:rsidR="001457F5" w:rsidRPr="00161307" w:rsidRDefault="001457F5" w:rsidP="001457F5">
      <w:pPr>
        <w:pStyle w:val="IRPsanstext"/>
        <w:rPr>
          <w:b/>
          <w:caps/>
        </w:rPr>
      </w:pPr>
    </w:p>
    <w:p w14:paraId="6D7ED146" w14:textId="77777777" w:rsidR="00C87C22" w:rsidRDefault="00A50878" w:rsidP="00A50878">
      <w:pPr>
        <w:pStyle w:val="IRPsanstext"/>
      </w:pPr>
      <w:r w:rsidRPr="00A50878">
        <w:rPr>
          <w:b/>
        </w:rPr>
        <w:t>1. Non-firm gas supplies for PSE’s portfolio.</w:t>
      </w:r>
      <w:r w:rsidR="00347AE1">
        <w:t xml:space="preserve"> </w:t>
      </w:r>
    </w:p>
    <w:p w14:paraId="352F5C9F" w14:textId="77777777" w:rsidR="00E04B9A" w:rsidRDefault="00E04B9A" w:rsidP="00A50878">
      <w:pPr>
        <w:pStyle w:val="IRPsanstext"/>
      </w:pPr>
      <w:r w:rsidRPr="00E5199A">
        <w:t>Continue monitoring sufficiency of non-firm gas versus backup fuel as PSE begins operating in the California EIM; as regional natural gas demand grows; and as interstate pipelines become more fully utilized.</w:t>
      </w:r>
    </w:p>
    <w:p w14:paraId="750112B4" w14:textId="77777777" w:rsidR="00A50878" w:rsidRDefault="00A50878">
      <w:pPr>
        <w:pStyle w:val="IRPsanstext"/>
        <w:ind w:left="360"/>
      </w:pPr>
    </w:p>
    <w:p w14:paraId="45378684" w14:textId="77777777" w:rsidR="00C87C22" w:rsidRDefault="00A50878" w:rsidP="00A50878">
      <w:pPr>
        <w:pStyle w:val="IRPsanstext"/>
      </w:pPr>
      <w:r w:rsidRPr="00A50878">
        <w:rPr>
          <w:b/>
        </w:rPr>
        <w:t>2. Non-firm gas supplies for regional adequacy.</w:t>
      </w:r>
      <w:r w:rsidR="00547D16">
        <w:t xml:space="preserve"> </w:t>
      </w:r>
    </w:p>
    <w:p w14:paraId="7E304AFE" w14:textId="77777777" w:rsidR="00547D16" w:rsidRDefault="00547D16" w:rsidP="00A50878">
      <w:pPr>
        <w:pStyle w:val="IRPsanstext"/>
      </w:pPr>
      <w:r w:rsidRPr="001457F5">
        <w:t xml:space="preserve">Work with others in various industry forums on developing resource adequacy criteria for natural gas </w:t>
      </w:r>
      <w:r>
        <w:t xml:space="preserve">generating </w:t>
      </w:r>
      <w:r w:rsidRPr="001457F5">
        <w:t>plants that do</w:t>
      </w:r>
      <w:r>
        <w:t xml:space="preserve"> not have verifiable fuel supply.</w:t>
      </w:r>
    </w:p>
    <w:p w14:paraId="1DB9F8B2" w14:textId="77777777" w:rsidR="00547D16" w:rsidRDefault="00547D16">
      <w:pPr>
        <w:rPr>
          <w:rFonts w:ascii="Arial" w:hAnsi="Arial" w:cs="Arial"/>
          <w:b/>
          <w:color w:val="006C71"/>
          <w:sz w:val="32"/>
          <w:szCs w:val="32"/>
        </w:rPr>
      </w:pPr>
      <w:r>
        <w:t xml:space="preserve"> </w:t>
      </w:r>
      <w:r>
        <w:br w:type="page"/>
      </w:r>
    </w:p>
    <w:p w14:paraId="02869969" w14:textId="77777777" w:rsidR="001457F5" w:rsidRPr="001457F5" w:rsidRDefault="001457F5" w:rsidP="001457F5">
      <w:pPr>
        <w:pStyle w:val="IRPsecthead2sans"/>
      </w:pPr>
      <w:r w:rsidRPr="001457F5">
        <w:lastRenderedPageBreak/>
        <w:t>ELECTRIC RESOURCE PLAN FORECAST</w:t>
      </w:r>
    </w:p>
    <w:p w14:paraId="00B81555" w14:textId="77777777" w:rsidR="001457F5" w:rsidRDefault="001457F5" w:rsidP="001457F5">
      <w:pPr>
        <w:pStyle w:val="IRPsanstext"/>
      </w:pPr>
    </w:p>
    <w:p w14:paraId="31171C99" w14:textId="77777777" w:rsidR="00E04B9A" w:rsidRPr="001457F5" w:rsidRDefault="00E04B9A" w:rsidP="001457F5">
      <w:pPr>
        <w:pStyle w:val="IRPsanstext"/>
        <w:rPr>
          <w:sz w:val="32"/>
          <w:szCs w:val="32"/>
        </w:rPr>
      </w:pPr>
      <w:r w:rsidRPr="001457F5">
        <w:rPr>
          <w:sz w:val="32"/>
          <w:szCs w:val="32"/>
        </w:rPr>
        <w:t>Electric Resource Need</w:t>
      </w:r>
    </w:p>
    <w:p w14:paraId="5EB0E554" w14:textId="77777777" w:rsidR="001457F5" w:rsidRDefault="001457F5" w:rsidP="001457F5">
      <w:pPr>
        <w:pStyle w:val="IRPsanstext"/>
      </w:pPr>
    </w:p>
    <w:p w14:paraId="435AA6B6" w14:textId="77777777" w:rsidR="00E04B9A" w:rsidRDefault="00E04B9A" w:rsidP="001457F5">
      <w:pPr>
        <w:pStyle w:val="IRPsanstext"/>
      </w:pPr>
      <w:r w:rsidRPr="00D46869">
        <w:t xml:space="preserve">PSE must meet the physical needs of our customers reliably. For resource planning purposes, those physical needs are simplified and expressed in terms of peak hour capacity and energy. Operating reserves are included in physical needs; these are required by contract with the Northwest Power Pool and by the North American Electric Reliability Corporation (NERC) to ensure total system reliability. In addition to meeting customers’ physical needs, Washington state law (RCW 19.285) also requires utilities to acquire specified amounts of renewable resources or equivalent renewable energy credits (RECs). There are details in the law such that complying with RCW 19.285 may not directly correspond to meeting reliability needs, so this is expressed as a separate category of resource need. </w:t>
      </w:r>
    </w:p>
    <w:p w14:paraId="07BA7886" w14:textId="77777777" w:rsidR="00E04B9A" w:rsidRDefault="00E04B9A" w:rsidP="001457F5">
      <w:pPr>
        <w:pStyle w:val="IRPsanstext"/>
      </w:pPr>
    </w:p>
    <w:p w14:paraId="17AE6F72" w14:textId="77777777" w:rsidR="00E04B9A" w:rsidRPr="00331955" w:rsidRDefault="00E04B9A" w:rsidP="001457F5">
      <w:pPr>
        <w:pStyle w:val="IRPsanstext"/>
        <w:numPr>
          <w:ilvl w:val="0"/>
          <w:numId w:val="8"/>
        </w:numPr>
      </w:pPr>
      <w:r w:rsidRPr="00331955">
        <w:t xml:space="preserve">Figure 1-4 presents </w:t>
      </w:r>
      <w:proofErr w:type="gramStart"/>
      <w:r w:rsidRPr="00331955">
        <w:t>electric peak</w:t>
      </w:r>
      <w:proofErr w:type="gramEnd"/>
      <w:r w:rsidRPr="00331955">
        <w:t xml:space="preserve"> hour capacity need.</w:t>
      </w:r>
    </w:p>
    <w:p w14:paraId="19F615D3" w14:textId="77777777" w:rsidR="00E04B9A" w:rsidRPr="00331955" w:rsidRDefault="00E04B9A" w:rsidP="001457F5">
      <w:pPr>
        <w:pStyle w:val="IRPsanstext"/>
        <w:numPr>
          <w:ilvl w:val="0"/>
          <w:numId w:val="8"/>
        </w:numPr>
      </w:pPr>
      <w:r w:rsidRPr="00331955">
        <w:t>Figure 1-5 presents the electric energy need (the annual energy position for the 2015 Base Scenario).</w:t>
      </w:r>
    </w:p>
    <w:p w14:paraId="10AFF5FB" w14:textId="77777777" w:rsidR="00E04B9A" w:rsidRPr="00DC14A0" w:rsidRDefault="00E04B9A" w:rsidP="001457F5">
      <w:pPr>
        <w:pStyle w:val="IRPsanstext"/>
        <w:numPr>
          <w:ilvl w:val="0"/>
          <w:numId w:val="8"/>
        </w:numPr>
      </w:pPr>
      <w:r w:rsidRPr="00331955">
        <w:t xml:space="preserve">Figure 1-6 presents </w:t>
      </w:r>
      <w:r w:rsidR="000452C5">
        <w:t xml:space="preserve">PSE’s </w:t>
      </w:r>
      <w:r w:rsidRPr="00331955">
        <w:t xml:space="preserve">renewable energy </w:t>
      </w:r>
      <w:r w:rsidR="00347AE1">
        <w:t xml:space="preserve">credit </w:t>
      </w:r>
      <w:r w:rsidRPr="00331955">
        <w:t xml:space="preserve">need. </w:t>
      </w:r>
    </w:p>
    <w:p w14:paraId="497C45BF" w14:textId="77777777" w:rsidR="00E04B9A" w:rsidRPr="00D46869" w:rsidRDefault="00E04B9A" w:rsidP="001457F5">
      <w:pPr>
        <w:pStyle w:val="IRPsanstext"/>
      </w:pPr>
    </w:p>
    <w:p w14:paraId="3F8C86A1" w14:textId="77777777" w:rsidR="001457F5" w:rsidRDefault="00E04B9A" w:rsidP="00E04B9A">
      <w:pPr>
        <w:spacing w:line="319" w:lineRule="auto"/>
        <w:rPr>
          <w:rFonts w:ascii="Arial" w:hAnsi="Arial"/>
          <w:b/>
          <w:sz w:val="28"/>
          <w:szCs w:val="20"/>
        </w:rPr>
      </w:pPr>
      <w:r>
        <w:rPr>
          <w:rFonts w:ascii="Arial" w:hAnsi="Arial"/>
          <w:b/>
          <w:sz w:val="28"/>
          <w:szCs w:val="20"/>
        </w:rPr>
        <w:br w:type="page"/>
      </w:r>
    </w:p>
    <w:p w14:paraId="0D15AAF4" w14:textId="77777777" w:rsidR="00E04B9A" w:rsidRPr="00D46869" w:rsidRDefault="00E04B9A" w:rsidP="001457F5">
      <w:pPr>
        <w:pStyle w:val="IRPsanstext"/>
      </w:pPr>
      <w:proofErr w:type="gramStart"/>
      <w:r w:rsidRPr="001457F5">
        <w:rPr>
          <w:b/>
          <w:color w:val="156570"/>
          <w:sz w:val="28"/>
        </w:rPr>
        <w:lastRenderedPageBreak/>
        <w:t>Electric Peak Hour Capacity Need.</w:t>
      </w:r>
      <w:proofErr w:type="gramEnd"/>
      <w:r w:rsidRPr="00D46869">
        <w:rPr>
          <w:b/>
          <w:sz w:val="28"/>
        </w:rPr>
        <w:t xml:space="preserve"> </w:t>
      </w:r>
      <w:r>
        <w:t>Figure 1-4</w:t>
      </w:r>
      <w:r w:rsidRPr="00D46869">
        <w:t xml:space="preserve"> compares the existing resources available to meet peak</w:t>
      </w:r>
      <w:r>
        <w:t xml:space="preserve"> </w:t>
      </w:r>
      <w:r w:rsidRPr="00D46869">
        <w:t>hour capacity</w:t>
      </w:r>
      <w:r w:rsidRPr="00D46869">
        <w:rPr>
          <w:vertAlign w:val="superscript"/>
        </w:rPr>
        <w:footnoteReference w:id="8"/>
      </w:r>
      <w:r w:rsidRPr="00D46869">
        <w:t xml:space="preserve"> with the projected need over the planning horizon. The company’s electric resource outlook </w:t>
      </w:r>
      <w:r w:rsidR="00194A8E">
        <w:t xml:space="preserve">in the Base Scenario </w:t>
      </w:r>
      <w:r w:rsidRPr="00D46869">
        <w:t xml:space="preserve">indicates the </w:t>
      </w:r>
      <w:r w:rsidR="00233A45">
        <w:t xml:space="preserve">initial </w:t>
      </w:r>
      <w:r w:rsidRPr="00D46869">
        <w:t xml:space="preserve">need for an additional </w:t>
      </w:r>
      <w:r w:rsidR="00194A8E">
        <w:t>275</w:t>
      </w:r>
      <w:r w:rsidR="00F7099E">
        <w:t xml:space="preserve"> </w:t>
      </w:r>
      <w:r w:rsidRPr="00D46869">
        <w:t>MW of peak hour capacity by 20</w:t>
      </w:r>
      <w:r>
        <w:t>21</w:t>
      </w:r>
      <w:r w:rsidR="00A50878">
        <w:t>.</w:t>
      </w:r>
      <w:r w:rsidR="00E53B9F">
        <w:rPr>
          <w:rStyle w:val="FootnoteReference"/>
        </w:rPr>
        <w:footnoteReference w:id="9"/>
      </w:r>
      <w:r>
        <w:t xml:space="preserve"> </w:t>
      </w:r>
      <w:r w:rsidRPr="00D46869">
        <w:t xml:space="preserve">This </w:t>
      </w:r>
      <w:r>
        <w:t xml:space="preserve">picture </w:t>
      </w:r>
      <w:r w:rsidRPr="00D46869">
        <w:t>includes the resources required to meet peak hour customer demand events</w:t>
      </w:r>
      <w:r>
        <w:t xml:space="preserve"> and</w:t>
      </w:r>
      <w:r w:rsidRPr="00D46869">
        <w:t xml:space="preserve"> the planning margin and operating reserves that must be maintained to achieve </w:t>
      </w:r>
      <w:r>
        <w:t>the</w:t>
      </w:r>
      <w:r w:rsidRPr="00D46869">
        <w:t xml:space="preserve"> </w:t>
      </w:r>
      <w:r w:rsidR="00A5719A">
        <w:t>2015 Optimal P</w:t>
      </w:r>
      <w:r w:rsidR="00A5719A" w:rsidRPr="00D46869">
        <w:t xml:space="preserve">lanning </w:t>
      </w:r>
      <w:r w:rsidR="00A5719A">
        <w:t>S</w:t>
      </w:r>
      <w:r w:rsidR="00A5719A" w:rsidRPr="00D46869">
        <w:t>tandard</w:t>
      </w:r>
      <w:r>
        <w:t>. It also incorporates</w:t>
      </w:r>
      <w:r w:rsidRPr="00D46869">
        <w:t xml:space="preserve"> an adjustment to the peak capacity contribution of </w:t>
      </w:r>
      <w:r>
        <w:t xml:space="preserve">wholesale </w:t>
      </w:r>
      <w:r w:rsidRPr="00D46869">
        <w:t>market</w:t>
      </w:r>
      <w:r>
        <w:t xml:space="preserve"> purchases</w:t>
      </w:r>
      <w:r w:rsidRPr="00D46869">
        <w:t>.</w:t>
      </w:r>
      <w:r w:rsidRPr="00D46869">
        <w:rPr>
          <w:vertAlign w:val="superscript"/>
        </w:rPr>
        <w:footnoteReference w:id="10"/>
      </w:r>
      <w:r w:rsidRPr="00D46869">
        <w:t xml:space="preserve"> </w:t>
      </w:r>
      <w:r w:rsidR="000452C5">
        <w:t>T</w:t>
      </w:r>
      <w:r w:rsidRPr="00D46869">
        <w:t xml:space="preserve">he important role demand-side resources play in moderating the need to add supply-side resources in the future </w:t>
      </w:r>
      <w:r w:rsidR="00A50878">
        <w:t>can be seen</w:t>
      </w:r>
      <w:r w:rsidR="000452C5">
        <w:t xml:space="preserve"> in </w:t>
      </w:r>
      <w:r w:rsidR="00A50878">
        <w:t xml:space="preserve">the peak load lines in </w:t>
      </w:r>
      <w:r w:rsidR="000452C5">
        <w:t>Figure 1-4</w:t>
      </w:r>
      <w:r w:rsidR="00A50878">
        <w:t>;</w:t>
      </w:r>
      <w:r w:rsidR="000452C5">
        <w:t xml:space="preserve"> the lower line includes the benefit of DSR while the upper line does not.</w:t>
      </w:r>
    </w:p>
    <w:p w14:paraId="134C0BAA" w14:textId="77777777" w:rsidR="00E04B9A" w:rsidRPr="00D46869" w:rsidRDefault="00E04B9A" w:rsidP="001457F5">
      <w:pPr>
        <w:pStyle w:val="IRPFigureSub"/>
      </w:pPr>
    </w:p>
    <w:p w14:paraId="67683500" w14:textId="77777777" w:rsidR="00E04B9A" w:rsidRPr="00D46869" w:rsidRDefault="00E04B9A" w:rsidP="001457F5">
      <w:pPr>
        <w:pStyle w:val="IRPFigureSub"/>
        <w:rPr>
          <w:szCs w:val="20"/>
        </w:rPr>
      </w:pPr>
      <w:r>
        <w:rPr>
          <w:szCs w:val="20"/>
        </w:rPr>
        <w:t>Figure 1-4</w:t>
      </w:r>
      <w:r w:rsidRPr="00D46869">
        <w:rPr>
          <w:szCs w:val="20"/>
        </w:rPr>
        <w:t>: Electric Peak Hour Capacity Resource Need</w:t>
      </w:r>
    </w:p>
    <w:p w14:paraId="23C61C57" w14:textId="77777777" w:rsidR="00E04B9A" w:rsidRPr="00502F86" w:rsidRDefault="008672AD" w:rsidP="00502F86">
      <w:pPr>
        <w:pStyle w:val="IRPFigureSub"/>
        <w:spacing w:after="120"/>
        <w:rPr>
          <w:szCs w:val="20"/>
        </w:rPr>
      </w:pPr>
      <w:r>
        <w:rPr>
          <w:szCs w:val="20"/>
        </w:rPr>
        <w:t>(</w:t>
      </w:r>
      <w:r w:rsidR="00E04B9A" w:rsidRPr="00D46869">
        <w:rPr>
          <w:szCs w:val="20"/>
        </w:rPr>
        <w:t>Projected peak hour need and effective capacity of existing resources</w:t>
      </w:r>
      <w:r>
        <w:rPr>
          <w:szCs w:val="20"/>
        </w:rPr>
        <w:t>)</w:t>
      </w:r>
    </w:p>
    <w:p w14:paraId="0239F932" w14:textId="77777777" w:rsidR="00E04B9A" w:rsidRPr="00D46869" w:rsidRDefault="008672AD" w:rsidP="00E04B9A">
      <w:pPr>
        <w:spacing w:line="319" w:lineRule="auto"/>
        <w:rPr>
          <w:rFonts w:ascii="Arial" w:hAnsi="Arial"/>
          <w:sz w:val="22"/>
        </w:rPr>
      </w:pPr>
      <w:r w:rsidRPr="00B61897" w:rsidDel="00174490">
        <w:rPr>
          <w:noProof/>
          <w:lang w:eastAsia="en-US"/>
        </w:rPr>
        <w:drawing>
          <wp:inline distT="0" distB="0" distL="0" distR="0" wp14:anchorId="0D074722" wp14:editId="6B40A2BD">
            <wp:extent cx="5080635" cy="3703503"/>
            <wp:effectExtent l="0" t="0" r="0" b="508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81319" cy="3704002"/>
                    </a:xfrm>
                    <a:prstGeom prst="rect">
                      <a:avLst/>
                    </a:prstGeom>
                    <a:noFill/>
                    <a:ln>
                      <a:noFill/>
                    </a:ln>
                  </pic:spPr>
                </pic:pic>
              </a:graphicData>
            </a:graphic>
          </wp:inline>
        </w:drawing>
      </w:r>
    </w:p>
    <w:p w14:paraId="432EFDDB" w14:textId="3B70C47C" w:rsidR="00E04B9A" w:rsidRPr="00D46869" w:rsidRDefault="00E04B9A" w:rsidP="0091247B">
      <w:pPr>
        <w:spacing w:line="319" w:lineRule="auto"/>
      </w:pPr>
      <w:r>
        <w:rPr>
          <w:rFonts w:ascii="Arial" w:hAnsi="Arial"/>
          <w:b/>
          <w:sz w:val="28"/>
          <w:szCs w:val="20"/>
        </w:rPr>
        <w:br w:type="page"/>
      </w:r>
      <w:proofErr w:type="gramStart"/>
      <w:r w:rsidRPr="007A75BB">
        <w:rPr>
          <w:b/>
          <w:color w:val="156570"/>
          <w:sz w:val="28"/>
        </w:rPr>
        <w:lastRenderedPageBreak/>
        <w:t>Electric Energy Need.</w:t>
      </w:r>
      <w:proofErr w:type="gramEnd"/>
      <w:r w:rsidRPr="00D46869">
        <w:t xml:space="preserve"> Peak hour capacity is an important aspect of PSE’s ability to adequately meet the physical needs of our customers. However, our customers require reliable, economic electric serv</w:t>
      </w:r>
      <w:r>
        <w:t>ice during all hours. Figure 1-5</w:t>
      </w:r>
      <w:r w:rsidRPr="00D46869">
        <w:t xml:space="preserve"> compares the company’s annual forecast of energy sales to retail electric customers with expected generation for the year by resource type.</w:t>
      </w:r>
      <w:r w:rsidRPr="00D46869">
        <w:rPr>
          <w:vertAlign w:val="superscript"/>
        </w:rPr>
        <w:footnoteReference w:id="11"/>
      </w:r>
      <w:r w:rsidRPr="00D46869">
        <w:t xml:space="preserve"> This “</w:t>
      </w:r>
      <w:r>
        <w:t>e</w:t>
      </w:r>
      <w:r w:rsidRPr="00D46869">
        <w:t xml:space="preserve">nergy </w:t>
      </w:r>
      <w:r>
        <w:t>p</w:t>
      </w:r>
      <w:r w:rsidRPr="00D46869">
        <w:t>osition” reflects the most economical dispatch of our electric resource portfolio based on expected market conditions</w:t>
      </w:r>
      <w:r w:rsidR="007A67F9">
        <w:t>;</w:t>
      </w:r>
      <w:r w:rsidRPr="00D46869">
        <w:t xml:space="preserve"> it is not a physical need. </w:t>
      </w:r>
      <w:r>
        <w:t xml:space="preserve">PSE could generate significantly more energy than needed to meet our load on a monthly or annual basis, but </w:t>
      </w:r>
      <w:r w:rsidR="000452C5">
        <w:t>will</w:t>
      </w:r>
      <w:r>
        <w:t xml:space="preserve"> purchase energy in the wholesale market </w:t>
      </w:r>
      <w:r w:rsidR="000452C5">
        <w:t xml:space="preserve">when it is more cost effective than </w:t>
      </w:r>
      <w:r>
        <w:t>run</w:t>
      </w:r>
      <w:r w:rsidR="000452C5">
        <w:t>ning</w:t>
      </w:r>
      <w:r>
        <w:t xml:space="preserve"> our thermal resources.</w:t>
      </w:r>
      <w:r w:rsidRPr="00D46869">
        <w:t xml:space="preserve"> Load forecasts in this chart are aggregated to an annual basis.</w:t>
      </w:r>
      <w:r>
        <w:t xml:space="preserve"> </w:t>
      </w:r>
      <w:r w:rsidRPr="00D46869">
        <w:br/>
      </w:r>
    </w:p>
    <w:p w14:paraId="7CCDA398" w14:textId="77777777" w:rsidR="00E04B9A" w:rsidRPr="007A75BB" w:rsidRDefault="00E04B9A" w:rsidP="007A75BB">
      <w:pPr>
        <w:pStyle w:val="IRPFigureSub"/>
        <w:spacing w:after="120"/>
      </w:pPr>
      <w:r w:rsidRPr="00161307">
        <w:t xml:space="preserve">Figure 1-5: Annual Energy Position for 2015 IRP </w:t>
      </w:r>
      <w:r w:rsidR="008A407C">
        <w:rPr>
          <w:rFonts w:cs="Arial"/>
        </w:rPr>
        <w:t xml:space="preserve">Resource Plan in the </w:t>
      </w:r>
      <w:r w:rsidR="008A407C" w:rsidRPr="00B956D8">
        <w:rPr>
          <w:rFonts w:cs="Arial"/>
        </w:rPr>
        <w:t>Base Scenario</w:t>
      </w:r>
    </w:p>
    <w:p w14:paraId="780A0875" w14:textId="77777777" w:rsidR="00E04B9A" w:rsidRPr="00D46869" w:rsidRDefault="00E04B9A" w:rsidP="00E04B9A">
      <w:pPr>
        <w:spacing w:line="319" w:lineRule="auto"/>
        <w:jc w:val="center"/>
        <w:rPr>
          <w:rFonts w:ascii="Arial" w:hAnsi="Arial"/>
          <w:i/>
          <w:sz w:val="22"/>
          <w:szCs w:val="20"/>
        </w:rPr>
      </w:pPr>
      <w:r w:rsidRPr="00D46869">
        <w:rPr>
          <w:rFonts w:ascii="Arial" w:hAnsi="Arial"/>
          <w:i/>
          <w:sz w:val="22"/>
          <w:szCs w:val="20"/>
        </w:rPr>
        <w:t xml:space="preserve"> </w:t>
      </w:r>
    </w:p>
    <w:p w14:paraId="33F375A7" w14:textId="0FC0A72F" w:rsidR="00E04B9A" w:rsidRPr="00D46869" w:rsidRDefault="0091247B" w:rsidP="00E04B9A">
      <w:pPr>
        <w:spacing w:line="319" w:lineRule="auto"/>
        <w:rPr>
          <w:rFonts w:ascii="Arial" w:hAnsi="Arial"/>
          <w:sz w:val="22"/>
        </w:rPr>
      </w:pPr>
      <w:r>
        <w:rPr>
          <w:rFonts w:ascii="Arial" w:hAnsi="Arial"/>
          <w:noProof/>
          <w:sz w:val="22"/>
          <w:lang w:eastAsia="en-US"/>
        </w:rPr>
        <w:drawing>
          <wp:inline distT="0" distB="0" distL="0" distR="0" wp14:anchorId="6F3DB04B" wp14:editId="6515C738">
            <wp:extent cx="5419725" cy="3929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7636" cy="3927906"/>
                    </a:xfrm>
                    <a:prstGeom prst="rect">
                      <a:avLst/>
                    </a:prstGeom>
                    <a:noFill/>
                  </pic:spPr>
                </pic:pic>
              </a:graphicData>
            </a:graphic>
          </wp:inline>
        </w:drawing>
      </w:r>
    </w:p>
    <w:p w14:paraId="1DF558F8" w14:textId="77777777" w:rsidR="00E04B9A" w:rsidRPr="00D46869" w:rsidRDefault="00E04B9A" w:rsidP="00E04B9A">
      <w:pPr>
        <w:spacing w:line="319" w:lineRule="auto"/>
        <w:rPr>
          <w:rFonts w:ascii="Arial" w:hAnsi="Arial"/>
          <w:b/>
          <w:sz w:val="28"/>
          <w:szCs w:val="28"/>
        </w:rPr>
      </w:pPr>
    </w:p>
    <w:p w14:paraId="331DEE69" w14:textId="77777777" w:rsidR="00E04B9A" w:rsidRPr="00C87C22" w:rsidRDefault="00E04B9A" w:rsidP="00C87C22">
      <w:pPr>
        <w:pStyle w:val="IRPsanstext"/>
        <w:rPr>
          <w:b/>
          <w:sz w:val="28"/>
        </w:rPr>
      </w:pPr>
      <w:proofErr w:type="gramStart"/>
      <w:r w:rsidRPr="007A75BB">
        <w:rPr>
          <w:b/>
          <w:color w:val="156570"/>
          <w:sz w:val="28"/>
          <w:szCs w:val="28"/>
        </w:rPr>
        <w:lastRenderedPageBreak/>
        <w:t xml:space="preserve">Renewable </w:t>
      </w:r>
      <w:r w:rsidR="003A2DB9">
        <w:rPr>
          <w:b/>
          <w:color w:val="156570"/>
          <w:sz w:val="28"/>
          <w:szCs w:val="28"/>
        </w:rPr>
        <w:t>Need</w:t>
      </w:r>
      <w:r w:rsidRPr="007A75BB">
        <w:rPr>
          <w:b/>
          <w:color w:val="156570"/>
          <w:sz w:val="28"/>
          <w:szCs w:val="28"/>
        </w:rPr>
        <w:t>.</w:t>
      </w:r>
      <w:proofErr w:type="gramEnd"/>
      <w:r w:rsidRPr="00D46869">
        <w:t xml:space="preserve"> In addition to reliably meeting the physical needs of our customers, RCW 19.285 – </w:t>
      </w:r>
      <w:r w:rsidR="008672AD">
        <w:t xml:space="preserve">the </w:t>
      </w:r>
      <w:r w:rsidRPr="00D46869">
        <w:t xml:space="preserve">Washington State Energy Independence Act – establishes </w:t>
      </w:r>
      <w:r>
        <w:t>3</w:t>
      </w:r>
      <w:r w:rsidRPr="00D46869">
        <w:t xml:space="preserve"> specific targets for qualifying renewable energy. These are commonly referred to as the state’s renewable portfolio standard. Sufficient “qualifying renewable energy” must equal at least 3 percent of retail sales in 2012, 9 percent in 2016, an</w:t>
      </w:r>
      <w:r>
        <w:t>d 15 percent in 2020. Figure 1-6</w:t>
      </w:r>
      <w:r w:rsidRPr="00D46869">
        <w:t xml:space="preserve"> compares existing qualifying renewable resources with this annual target, and shows that PSE has acquired enough eligible renewable resources and RECs to meet the requirements of the law through 20</w:t>
      </w:r>
      <w:r w:rsidRPr="00847046">
        <w:t>22</w:t>
      </w:r>
      <w:r w:rsidRPr="00D46869">
        <w:t>. By 2</w:t>
      </w:r>
      <w:r>
        <w:t>023, PSE will need just over 1</w:t>
      </w:r>
      <w:r w:rsidRPr="00D46869">
        <w:t>00 MW of additional wind resources.</w:t>
      </w:r>
    </w:p>
    <w:p w14:paraId="1E4FFC07" w14:textId="77777777" w:rsidR="00E04B9A" w:rsidRPr="00D46869" w:rsidRDefault="00E04B9A" w:rsidP="007A75BB">
      <w:pPr>
        <w:pStyle w:val="IRPsanstext"/>
      </w:pPr>
    </w:p>
    <w:p w14:paraId="7D844FC3" w14:textId="77777777" w:rsidR="00E04B9A" w:rsidRDefault="00E04B9A" w:rsidP="00B21DAB">
      <w:pPr>
        <w:pStyle w:val="IRPsanstext"/>
      </w:pPr>
      <w:r w:rsidRPr="00D46869">
        <w:t xml:space="preserve">Qualifying renewable energy is expressed in annual qualifying renewable energy credits (RECs) rather than </w:t>
      </w:r>
      <w:r w:rsidR="000B29C6">
        <w:t>m</w:t>
      </w:r>
      <w:r w:rsidR="000B29C6" w:rsidRPr="00D46869">
        <w:t xml:space="preserve">egawatt </w:t>
      </w:r>
      <w:r w:rsidRPr="00D46869">
        <w:t xml:space="preserve">hours, because the state law incorporates multipliers that apply in some cases. For example, </w:t>
      </w:r>
      <w:r w:rsidR="00164097">
        <w:t xml:space="preserve">generation from </w:t>
      </w:r>
      <w:r w:rsidRPr="00D46869">
        <w:t xml:space="preserve">PSE’s Lower Snake River </w:t>
      </w:r>
      <w:r w:rsidR="00164097">
        <w:t xml:space="preserve">wind </w:t>
      </w:r>
      <w:r w:rsidRPr="00D46869">
        <w:t>project receives a 1.2 REC multiplier, because qualifying apprentice labor was used in construction. Thus the project is expected to generate approximately 900,000 MWh per year of electricity, but would contribute about 1,080,000 equivalent RECs toward meeting the renewable energy target. Note this is a long-term compliance view. PSE has sold surplus RECs to various counterparties in excess of those needed for compliance and will continue to do so as appropriate to minimize costs to customers.</w:t>
      </w:r>
    </w:p>
    <w:p w14:paraId="57F4E705" w14:textId="77777777" w:rsidR="008672AD" w:rsidRPr="00D46869" w:rsidRDefault="008672AD" w:rsidP="00B21DAB">
      <w:pPr>
        <w:pStyle w:val="IRPsanstext"/>
      </w:pPr>
    </w:p>
    <w:p w14:paraId="694F9C55" w14:textId="77777777" w:rsidR="00E04B9A" w:rsidRPr="00D46869" w:rsidRDefault="00E04B9A" w:rsidP="007A75BB">
      <w:pPr>
        <w:pStyle w:val="IRPFigureSub"/>
      </w:pPr>
      <w:r>
        <w:t>Figure 1-6</w:t>
      </w:r>
      <w:r w:rsidRPr="00D46869">
        <w:t>: Renewable Resource/REC Need</w:t>
      </w:r>
    </w:p>
    <w:p w14:paraId="2E2D49D6" w14:textId="77777777" w:rsidR="00E04B9A" w:rsidRPr="00F523AA" w:rsidRDefault="00502F86" w:rsidP="00F523AA">
      <w:pPr>
        <w:pStyle w:val="IRPsanstext"/>
        <w:rPr>
          <w:i/>
          <w:sz w:val="32"/>
          <w:szCs w:val="32"/>
        </w:rPr>
      </w:pPr>
      <w:r>
        <w:rPr>
          <w:noProof/>
          <w:lang w:eastAsia="en-US"/>
        </w:rPr>
        <w:drawing>
          <wp:anchor distT="0" distB="0" distL="114300" distR="114300" simplePos="0" relativeHeight="251663360" behindDoc="0" locked="0" layoutInCell="1" allowOverlap="1" wp14:anchorId="316A7DDA" wp14:editId="5D6AEB56">
            <wp:simplePos x="0" y="0"/>
            <wp:positionH relativeFrom="column">
              <wp:posOffset>128905</wp:posOffset>
            </wp:positionH>
            <wp:positionV relativeFrom="paragraph">
              <wp:posOffset>86360</wp:posOffset>
            </wp:positionV>
            <wp:extent cx="5066030" cy="3672205"/>
            <wp:effectExtent l="0" t="0" r="0" b="10795"/>
            <wp:wrapTopAndBottom/>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66030" cy="3672205"/>
                    </a:xfrm>
                    <a:prstGeom prst="rect">
                      <a:avLst/>
                    </a:prstGeom>
                    <a:noFill/>
                    <a:ln>
                      <a:noFill/>
                    </a:ln>
                  </pic:spPr>
                </pic:pic>
              </a:graphicData>
            </a:graphic>
          </wp:anchor>
        </w:drawing>
      </w:r>
      <w:r w:rsidR="00E04B9A" w:rsidRPr="00D46869">
        <w:rPr>
          <w:b/>
          <w:bCs/>
          <w:i/>
          <w:color w:val="006A71"/>
          <w:sz w:val="28"/>
          <w:szCs w:val="40"/>
        </w:rPr>
        <w:br w:type="page"/>
      </w:r>
      <w:r w:rsidR="00E04B9A" w:rsidRPr="00F523AA">
        <w:rPr>
          <w:sz w:val="32"/>
          <w:szCs w:val="32"/>
        </w:rPr>
        <w:lastRenderedPageBreak/>
        <w:t xml:space="preserve">Electric Portfolio </w:t>
      </w:r>
      <w:r w:rsidR="00164097">
        <w:rPr>
          <w:sz w:val="32"/>
          <w:szCs w:val="32"/>
        </w:rPr>
        <w:t xml:space="preserve">Resource </w:t>
      </w:r>
      <w:r w:rsidR="00E04B9A" w:rsidRPr="00F523AA">
        <w:rPr>
          <w:sz w:val="32"/>
          <w:szCs w:val="32"/>
        </w:rPr>
        <w:t>Additions Forecast</w:t>
      </w:r>
    </w:p>
    <w:p w14:paraId="1A76723B" w14:textId="77777777" w:rsidR="00E04B9A" w:rsidRDefault="00E04B9A" w:rsidP="005A0A3C">
      <w:pPr>
        <w:pStyle w:val="IRPsanstext"/>
      </w:pPr>
    </w:p>
    <w:p w14:paraId="4D0912F5" w14:textId="77777777" w:rsidR="00E04B9A" w:rsidRPr="00E5199A" w:rsidRDefault="00E04B9A" w:rsidP="005A0A3C">
      <w:pPr>
        <w:pStyle w:val="IRPsanstext"/>
      </w:pPr>
      <w:r w:rsidRPr="00E5199A">
        <w:t xml:space="preserve">As explained above, the lowest reasonable cost portfolio </w:t>
      </w:r>
      <w:r>
        <w:t xml:space="preserve">produced by the IRP analysis </w:t>
      </w:r>
      <w:r w:rsidR="005A64C6">
        <w:t xml:space="preserve">is not an action plan, rather, it </w:t>
      </w:r>
      <w:r>
        <w:t>is</w:t>
      </w:r>
      <w:r w:rsidRPr="00E5199A">
        <w:t xml:space="preserve"> better understood as a forecast of resource additions PSE would find cost effective in the future, given what we know about resource and market trends today. It incorporates significant unce</w:t>
      </w:r>
      <w:r>
        <w:t xml:space="preserve">rtainty in several dimensions. </w:t>
      </w:r>
    </w:p>
    <w:p w14:paraId="70290C74" w14:textId="77777777" w:rsidR="00E04B9A" w:rsidRPr="00E5199A" w:rsidRDefault="00E04B9A" w:rsidP="005A0A3C">
      <w:pPr>
        <w:pStyle w:val="IRPsanstext"/>
      </w:pPr>
    </w:p>
    <w:p w14:paraId="71CFBAF8" w14:textId="77777777" w:rsidR="00E04B9A" w:rsidRPr="00D46869" w:rsidRDefault="00E04B9A" w:rsidP="005A0A3C">
      <w:pPr>
        <w:pStyle w:val="IRPsanstext"/>
        <w:rPr>
          <w:b/>
          <w:i/>
        </w:rPr>
      </w:pPr>
      <w:r>
        <w:t>Figure 1-7</w:t>
      </w:r>
      <w:r w:rsidRPr="00D46869">
        <w:t xml:space="preserve"> summarizes the forecast for additions to the electric resource portfolio in terms of peak hour capacity over the next 20 years. This forecast is the “integrated resource planning solution.”</w:t>
      </w:r>
      <w:r w:rsidRPr="00D46869">
        <w:rPr>
          <w:vertAlign w:val="superscript"/>
        </w:rPr>
        <w:footnoteReference w:id="12"/>
      </w:r>
      <w:r w:rsidRPr="00D46869">
        <w:t xml:space="preserve"> It reflects the lowest reasonable cost portfolio of resources that meets the projec</w:t>
      </w:r>
      <w:r>
        <w:t>ted capacity, energy</w:t>
      </w:r>
      <w:r w:rsidRPr="00D46869">
        <w:t xml:space="preserve"> and renewable resource needs described above. </w:t>
      </w:r>
      <w:r>
        <w:t>Generally, t</w:t>
      </w:r>
      <w:r w:rsidRPr="00D46869">
        <w:t xml:space="preserve">his resource </w:t>
      </w:r>
      <w:r>
        <w:t>strategy</w:t>
      </w:r>
      <w:r w:rsidRPr="00D46869">
        <w:t xml:space="preserve"> is similar to prior IRPs: </w:t>
      </w:r>
      <w:r w:rsidR="00164097">
        <w:t xml:space="preserve">it </w:t>
      </w:r>
      <w:r w:rsidRPr="00D46869">
        <w:t>accelerate</w:t>
      </w:r>
      <w:r>
        <w:t>s</w:t>
      </w:r>
      <w:r w:rsidRPr="00D46869">
        <w:t xml:space="preserve"> acquisition of energy conservation, acquire</w:t>
      </w:r>
      <w:r>
        <w:t>s</w:t>
      </w:r>
      <w:r w:rsidRPr="00D46869">
        <w:t xml:space="preserve"> renewable resources to meet requirements of RCW 19.285, and </w:t>
      </w:r>
      <w:r>
        <w:t xml:space="preserve">forecasts that </w:t>
      </w:r>
      <w:r w:rsidRPr="00D46869">
        <w:t xml:space="preserve">natural gas plants </w:t>
      </w:r>
      <w:r>
        <w:t xml:space="preserve">are </w:t>
      </w:r>
      <w:r w:rsidRPr="00D46869">
        <w:t xml:space="preserve">cost effective for </w:t>
      </w:r>
      <w:r>
        <w:t xml:space="preserve">meeting remaining </w:t>
      </w:r>
      <w:r w:rsidRPr="00D46869">
        <w:t>needs</w:t>
      </w:r>
      <w:r>
        <w:t xml:space="preserve">. </w:t>
      </w:r>
      <w:r w:rsidRPr="00D46869">
        <w:t>There is one difference in this IRP</w:t>
      </w:r>
      <w:r w:rsidR="00EA26D0">
        <w:t>: t</w:t>
      </w:r>
      <w:r w:rsidRPr="00D46869">
        <w:t>he mix of gas</w:t>
      </w:r>
      <w:r>
        <w:t xml:space="preserve"> plants.</w:t>
      </w:r>
      <w:r w:rsidRPr="00D46869">
        <w:t xml:space="preserve"> In this IRP, we find a combination of peakers and combined cycle plants are </w:t>
      </w:r>
      <w:r>
        <w:t>the most</w:t>
      </w:r>
      <w:r w:rsidRPr="00D46869">
        <w:t xml:space="preserve"> reasonable balance of cost and risk.    </w:t>
      </w:r>
    </w:p>
    <w:p w14:paraId="4944AD9C" w14:textId="77777777" w:rsidR="00E04B9A" w:rsidRPr="00D46869" w:rsidRDefault="00E04B9A" w:rsidP="00E04B9A">
      <w:pPr>
        <w:spacing w:line="319" w:lineRule="auto"/>
        <w:rPr>
          <w:rFonts w:ascii="Arial" w:hAnsi="Arial"/>
          <w:sz w:val="20"/>
          <w:szCs w:val="20"/>
        </w:rPr>
      </w:pPr>
    </w:p>
    <w:p w14:paraId="6AC51AB4" w14:textId="77777777" w:rsidR="00E04B9A" w:rsidRPr="00F523AA" w:rsidRDefault="00E04B9A" w:rsidP="00F523AA">
      <w:pPr>
        <w:spacing w:after="120" w:line="319" w:lineRule="auto"/>
        <w:jc w:val="center"/>
        <w:rPr>
          <w:rFonts w:ascii="Arial" w:hAnsi="Arial"/>
          <w:i/>
          <w:sz w:val="22"/>
          <w:szCs w:val="20"/>
        </w:rPr>
      </w:pPr>
      <w:r>
        <w:rPr>
          <w:rFonts w:ascii="Arial" w:hAnsi="Arial"/>
          <w:i/>
          <w:sz w:val="22"/>
          <w:szCs w:val="20"/>
        </w:rPr>
        <w:t>Figure 1-7</w:t>
      </w:r>
      <w:r w:rsidRPr="00D46869">
        <w:rPr>
          <w:rFonts w:ascii="Arial" w:hAnsi="Arial"/>
          <w:i/>
          <w:sz w:val="22"/>
          <w:szCs w:val="20"/>
        </w:rPr>
        <w:t xml:space="preserve">: Electric Resource Plan </w:t>
      </w:r>
      <w:r w:rsidRPr="008D164E">
        <w:rPr>
          <w:rFonts w:ascii="Arial" w:hAnsi="Arial"/>
          <w:i/>
          <w:sz w:val="22"/>
          <w:szCs w:val="20"/>
        </w:rPr>
        <w:t>Forecast</w:t>
      </w:r>
      <w:r w:rsidRPr="00D46869">
        <w:rPr>
          <w:rFonts w:ascii="Arial" w:hAnsi="Arial"/>
          <w:i/>
          <w:sz w:val="22"/>
          <w:szCs w:val="20"/>
        </w:rPr>
        <w:t xml:space="preserve">, </w:t>
      </w:r>
      <w:r>
        <w:rPr>
          <w:rFonts w:ascii="Arial" w:hAnsi="Arial"/>
          <w:i/>
          <w:sz w:val="22"/>
          <w:szCs w:val="20"/>
        </w:rPr>
        <w:br/>
      </w:r>
      <w:r w:rsidRPr="00D46869">
        <w:rPr>
          <w:rFonts w:ascii="Arial" w:hAnsi="Arial"/>
          <w:i/>
          <w:sz w:val="22"/>
          <w:szCs w:val="20"/>
        </w:rPr>
        <w:t xml:space="preserve">Cumulative Nameplate Capacity of Resource Additions </w:t>
      </w:r>
    </w:p>
    <w:tbl>
      <w:tblPr>
        <w:tblW w:w="8550" w:type="dxa"/>
        <w:tblInd w:w="108" w:type="dxa"/>
        <w:tblBorders>
          <w:top w:val="single" w:sz="8" w:space="0" w:color="auto"/>
          <w:left w:val="single" w:sz="8" w:space="0" w:color="auto"/>
          <w:bottom w:val="single" w:sz="8" w:space="0" w:color="auto"/>
          <w:right w:val="single" w:sz="8" w:space="0" w:color="auto"/>
        </w:tblBorders>
        <w:tblLayout w:type="fixed"/>
        <w:tblLook w:val="01E0" w:firstRow="1" w:lastRow="1" w:firstColumn="1" w:lastColumn="1" w:noHBand="0" w:noVBand="0"/>
      </w:tblPr>
      <w:tblGrid>
        <w:gridCol w:w="3060"/>
        <w:gridCol w:w="930"/>
        <w:gridCol w:w="1680"/>
        <w:gridCol w:w="930"/>
        <w:gridCol w:w="1950"/>
      </w:tblGrid>
      <w:tr w:rsidR="00502F86" w:rsidRPr="00D46869" w14:paraId="75051D9A" w14:textId="77777777">
        <w:trPr>
          <w:trHeight w:hRule="exact" w:val="360"/>
        </w:trPr>
        <w:tc>
          <w:tcPr>
            <w:tcW w:w="3060" w:type="dxa"/>
            <w:tcBorders>
              <w:top w:val="single" w:sz="8" w:space="0" w:color="auto"/>
            </w:tcBorders>
            <w:shd w:val="clear" w:color="auto" w:fill="006C71"/>
            <w:vAlign w:val="center"/>
          </w:tcPr>
          <w:p w14:paraId="269E4DD9" w14:textId="77777777" w:rsidR="00E04B9A" w:rsidRPr="00D46869" w:rsidRDefault="00E04B9A" w:rsidP="00E04B9A">
            <w:pPr>
              <w:widowControl w:val="0"/>
              <w:spacing w:line="319" w:lineRule="auto"/>
              <w:rPr>
                <w:rFonts w:ascii="Arial" w:hAnsi="Arial" w:cs="Arial"/>
                <w:b/>
                <w:bCs/>
                <w:color w:val="FFFFFF"/>
              </w:rPr>
            </w:pPr>
          </w:p>
        </w:tc>
        <w:tc>
          <w:tcPr>
            <w:tcW w:w="930" w:type="dxa"/>
            <w:tcBorders>
              <w:top w:val="single" w:sz="8" w:space="0" w:color="auto"/>
            </w:tcBorders>
            <w:shd w:val="clear" w:color="auto" w:fill="006C71"/>
            <w:vAlign w:val="center"/>
          </w:tcPr>
          <w:p w14:paraId="221D4B63" w14:textId="77777777" w:rsidR="00E04B9A" w:rsidRPr="00D46869" w:rsidRDefault="00E04B9A" w:rsidP="00E04B9A">
            <w:pPr>
              <w:widowControl w:val="0"/>
              <w:spacing w:line="319" w:lineRule="auto"/>
              <w:jc w:val="center"/>
              <w:rPr>
                <w:rFonts w:ascii="Arial" w:hAnsi="Arial" w:cs="Arial"/>
                <w:b/>
                <w:bCs/>
                <w:color w:val="FFFFFF"/>
              </w:rPr>
            </w:pPr>
            <w:r w:rsidRPr="00D46869">
              <w:rPr>
                <w:rFonts w:ascii="Arial" w:hAnsi="Arial" w:cs="Arial"/>
                <w:b/>
                <w:bCs/>
                <w:color w:val="FFFFFF"/>
              </w:rPr>
              <w:t>2021</w:t>
            </w:r>
          </w:p>
        </w:tc>
        <w:tc>
          <w:tcPr>
            <w:tcW w:w="1680" w:type="dxa"/>
            <w:tcBorders>
              <w:top w:val="single" w:sz="8" w:space="0" w:color="auto"/>
            </w:tcBorders>
            <w:shd w:val="clear" w:color="auto" w:fill="006C71"/>
            <w:vAlign w:val="center"/>
          </w:tcPr>
          <w:p w14:paraId="58E1C85D" w14:textId="77777777" w:rsidR="00E04B9A" w:rsidRPr="00D46869" w:rsidRDefault="00E04B9A" w:rsidP="00E04B9A">
            <w:pPr>
              <w:widowControl w:val="0"/>
              <w:spacing w:line="319" w:lineRule="auto"/>
              <w:jc w:val="center"/>
              <w:rPr>
                <w:rFonts w:ascii="Arial" w:hAnsi="Arial" w:cs="Arial"/>
                <w:b/>
                <w:bCs/>
                <w:color w:val="FFFFFF"/>
              </w:rPr>
            </w:pPr>
            <w:r w:rsidRPr="00D46869">
              <w:rPr>
                <w:rFonts w:ascii="Arial" w:hAnsi="Arial" w:cs="Arial"/>
                <w:b/>
                <w:bCs/>
                <w:color w:val="FFFFFF"/>
              </w:rPr>
              <w:t>202</w:t>
            </w:r>
            <w:r w:rsidR="00F12CA8">
              <w:rPr>
                <w:rFonts w:ascii="Arial" w:hAnsi="Arial" w:cs="Arial"/>
                <w:b/>
                <w:bCs/>
                <w:color w:val="FFFFFF"/>
              </w:rPr>
              <w:t>6</w:t>
            </w:r>
          </w:p>
        </w:tc>
        <w:tc>
          <w:tcPr>
            <w:tcW w:w="930" w:type="dxa"/>
            <w:tcBorders>
              <w:top w:val="single" w:sz="8" w:space="0" w:color="auto"/>
            </w:tcBorders>
            <w:shd w:val="clear" w:color="auto" w:fill="006C71"/>
            <w:vAlign w:val="center"/>
          </w:tcPr>
          <w:p w14:paraId="68D088DA" w14:textId="77777777" w:rsidR="00E04B9A" w:rsidRPr="00D46869" w:rsidRDefault="00E04B9A" w:rsidP="00F12CA8">
            <w:pPr>
              <w:widowControl w:val="0"/>
              <w:tabs>
                <w:tab w:val="left" w:pos="414"/>
              </w:tabs>
              <w:spacing w:line="319" w:lineRule="auto"/>
              <w:jc w:val="center"/>
              <w:rPr>
                <w:rFonts w:ascii="Arial" w:hAnsi="Arial" w:cs="Arial"/>
                <w:b/>
                <w:bCs/>
                <w:color w:val="FFFFFF"/>
              </w:rPr>
            </w:pPr>
            <w:r w:rsidRPr="00D46869">
              <w:rPr>
                <w:rFonts w:ascii="Arial" w:hAnsi="Arial" w:cs="Arial"/>
                <w:b/>
                <w:bCs/>
                <w:color w:val="FFFFFF"/>
              </w:rPr>
              <w:t>2030</w:t>
            </w:r>
          </w:p>
        </w:tc>
        <w:tc>
          <w:tcPr>
            <w:tcW w:w="1950" w:type="dxa"/>
            <w:tcBorders>
              <w:top w:val="single" w:sz="8" w:space="0" w:color="auto"/>
            </w:tcBorders>
            <w:shd w:val="clear" w:color="auto" w:fill="006C71"/>
            <w:vAlign w:val="center"/>
          </w:tcPr>
          <w:p w14:paraId="231EF0B5" w14:textId="77777777" w:rsidR="00E04B9A" w:rsidRPr="00D46869" w:rsidRDefault="00E04B9A" w:rsidP="00E04B9A">
            <w:pPr>
              <w:widowControl w:val="0"/>
              <w:spacing w:line="319" w:lineRule="auto"/>
              <w:jc w:val="center"/>
              <w:rPr>
                <w:rFonts w:ascii="Arial" w:hAnsi="Arial" w:cs="Arial"/>
                <w:b/>
                <w:bCs/>
                <w:color w:val="FFFFFF"/>
              </w:rPr>
            </w:pPr>
            <w:r w:rsidRPr="00D46869">
              <w:rPr>
                <w:rFonts w:ascii="Arial" w:hAnsi="Arial" w:cs="Arial"/>
                <w:b/>
                <w:bCs/>
                <w:color w:val="FFFFFF"/>
              </w:rPr>
              <w:t>203</w:t>
            </w:r>
            <w:r>
              <w:rPr>
                <w:rFonts w:ascii="Arial" w:hAnsi="Arial" w:cs="Arial"/>
                <w:b/>
                <w:bCs/>
                <w:color w:val="FFFFFF"/>
              </w:rPr>
              <w:t>5</w:t>
            </w:r>
          </w:p>
        </w:tc>
      </w:tr>
      <w:tr w:rsidR="00502F86" w:rsidRPr="00D46869" w14:paraId="27613C81" w14:textId="77777777">
        <w:trPr>
          <w:trHeight w:hRule="exact" w:val="86"/>
        </w:trPr>
        <w:tc>
          <w:tcPr>
            <w:tcW w:w="3060" w:type="dxa"/>
            <w:shd w:val="clear" w:color="auto" w:fill="C0C0AA"/>
            <w:vAlign w:val="center"/>
          </w:tcPr>
          <w:p w14:paraId="604D9295" w14:textId="77777777" w:rsidR="00E04B9A" w:rsidRPr="00D46869" w:rsidRDefault="00E04B9A" w:rsidP="00E04B9A">
            <w:pPr>
              <w:widowControl w:val="0"/>
              <w:spacing w:line="319" w:lineRule="auto"/>
              <w:rPr>
                <w:rFonts w:ascii="Arial" w:hAnsi="Arial" w:cs="Arial"/>
                <w:b/>
                <w:bCs/>
              </w:rPr>
            </w:pPr>
          </w:p>
        </w:tc>
        <w:tc>
          <w:tcPr>
            <w:tcW w:w="930" w:type="dxa"/>
            <w:shd w:val="clear" w:color="auto" w:fill="C0C0AA"/>
            <w:vAlign w:val="center"/>
          </w:tcPr>
          <w:p w14:paraId="1AFD3EDD" w14:textId="77777777" w:rsidR="00E04B9A" w:rsidRPr="00D46869" w:rsidRDefault="00E04B9A" w:rsidP="00E04B9A">
            <w:pPr>
              <w:widowControl w:val="0"/>
              <w:spacing w:line="319" w:lineRule="auto"/>
              <w:jc w:val="center"/>
              <w:rPr>
                <w:rFonts w:ascii="Arial" w:hAnsi="Arial" w:cs="Arial"/>
              </w:rPr>
            </w:pPr>
          </w:p>
        </w:tc>
        <w:tc>
          <w:tcPr>
            <w:tcW w:w="1680" w:type="dxa"/>
            <w:shd w:val="clear" w:color="auto" w:fill="C0C0AA"/>
            <w:vAlign w:val="center"/>
          </w:tcPr>
          <w:p w14:paraId="00616ADF" w14:textId="77777777" w:rsidR="00E04B9A" w:rsidRPr="00D46869" w:rsidRDefault="00E04B9A" w:rsidP="00E04B9A">
            <w:pPr>
              <w:widowControl w:val="0"/>
              <w:spacing w:line="319" w:lineRule="auto"/>
              <w:jc w:val="center"/>
              <w:rPr>
                <w:rFonts w:ascii="Arial" w:hAnsi="Arial" w:cs="Arial"/>
              </w:rPr>
            </w:pPr>
          </w:p>
        </w:tc>
        <w:tc>
          <w:tcPr>
            <w:tcW w:w="930" w:type="dxa"/>
            <w:shd w:val="clear" w:color="auto" w:fill="C0C0AA"/>
            <w:vAlign w:val="center"/>
          </w:tcPr>
          <w:p w14:paraId="344DA489" w14:textId="77777777" w:rsidR="00E04B9A" w:rsidRPr="00D46869" w:rsidRDefault="00E04B9A" w:rsidP="00E04B9A">
            <w:pPr>
              <w:widowControl w:val="0"/>
              <w:spacing w:line="319" w:lineRule="auto"/>
              <w:jc w:val="center"/>
              <w:rPr>
                <w:rFonts w:ascii="Arial" w:hAnsi="Arial" w:cs="Arial"/>
              </w:rPr>
            </w:pPr>
          </w:p>
        </w:tc>
        <w:tc>
          <w:tcPr>
            <w:tcW w:w="1950" w:type="dxa"/>
            <w:shd w:val="clear" w:color="auto" w:fill="C0C0AA"/>
            <w:vAlign w:val="center"/>
          </w:tcPr>
          <w:p w14:paraId="21ADE61A" w14:textId="77777777" w:rsidR="00E04B9A" w:rsidRPr="00D46869" w:rsidRDefault="00E04B9A" w:rsidP="00E04B9A">
            <w:pPr>
              <w:widowControl w:val="0"/>
              <w:spacing w:line="319" w:lineRule="auto"/>
              <w:jc w:val="center"/>
              <w:rPr>
                <w:rFonts w:ascii="Arial" w:hAnsi="Arial" w:cs="Arial"/>
              </w:rPr>
            </w:pPr>
          </w:p>
        </w:tc>
      </w:tr>
      <w:tr w:rsidR="00502F86" w:rsidRPr="00D46869" w14:paraId="33E3C1C7" w14:textId="77777777">
        <w:trPr>
          <w:trHeight w:hRule="exact" w:val="331"/>
        </w:trPr>
        <w:tc>
          <w:tcPr>
            <w:tcW w:w="3060" w:type="dxa"/>
            <w:shd w:val="clear" w:color="auto" w:fill="EEECE1"/>
            <w:vAlign w:val="center"/>
          </w:tcPr>
          <w:p w14:paraId="585AD829" w14:textId="77777777" w:rsidR="00E04B9A" w:rsidRPr="007B0AC0" w:rsidRDefault="00E04B9A" w:rsidP="00E04B9A">
            <w:pPr>
              <w:widowControl w:val="0"/>
              <w:spacing w:line="319" w:lineRule="auto"/>
              <w:rPr>
                <w:rFonts w:ascii="Arial" w:hAnsi="Arial" w:cs="Arial"/>
                <w:bCs/>
                <w:sz w:val="20"/>
                <w:szCs w:val="20"/>
              </w:rPr>
            </w:pPr>
            <w:r w:rsidRPr="007B0AC0">
              <w:rPr>
                <w:rFonts w:ascii="Arial" w:hAnsi="Arial" w:cs="Arial"/>
                <w:bCs/>
                <w:sz w:val="20"/>
                <w:szCs w:val="20"/>
              </w:rPr>
              <w:t>Conservation (MW)</w:t>
            </w:r>
          </w:p>
        </w:tc>
        <w:tc>
          <w:tcPr>
            <w:tcW w:w="930" w:type="dxa"/>
            <w:vAlign w:val="center"/>
          </w:tcPr>
          <w:p w14:paraId="302378AF" w14:textId="77777777" w:rsidR="00E04B9A" w:rsidRPr="00194A8E" w:rsidRDefault="00E04B9A" w:rsidP="00E04B9A">
            <w:pPr>
              <w:widowControl w:val="0"/>
              <w:spacing w:line="319" w:lineRule="auto"/>
              <w:jc w:val="center"/>
              <w:rPr>
                <w:rFonts w:ascii="Arial" w:hAnsi="Arial" w:cs="Arial"/>
                <w:sz w:val="20"/>
                <w:szCs w:val="20"/>
              </w:rPr>
            </w:pPr>
            <w:r w:rsidRPr="00194A8E">
              <w:rPr>
                <w:rFonts w:ascii="Arial" w:hAnsi="Arial" w:cs="Arial"/>
                <w:sz w:val="20"/>
                <w:szCs w:val="20"/>
              </w:rPr>
              <w:t>411</w:t>
            </w:r>
          </w:p>
        </w:tc>
        <w:tc>
          <w:tcPr>
            <w:tcW w:w="1680" w:type="dxa"/>
            <w:vAlign w:val="center"/>
          </w:tcPr>
          <w:p w14:paraId="5BD9989B" w14:textId="77777777" w:rsidR="00E04B9A" w:rsidRPr="00194A8E" w:rsidRDefault="00F12CA8" w:rsidP="00F12CA8">
            <w:pPr>
              <w:widowControl w:val="0"/>
              <w:spacing w:line="319" w:lineRule="auto"/>
              <w:jc w:val="center"/>
              <w:rPr>
                <w:rFonts w:ascii="Arial" w:hAnsi="Arial" w:cs="Arial"/>
                <w:sz w:val="20"/>
                <w:szCs w:val="20"/>
              </w:rPr>
            </w:pPr>
            <w:r w:rsidRPr="00194A8E">
              <w:rPr>
                <w:rFonts w:ascii="Arial" w:hAnsi="Arial" w:cs="Arial"/>
                <w:sz w:val="20"/>
                <w:szCs w:val="20"/>
              </w:rPr>
              <w:t>6</w:t>
            </w:r>
            <w:r>
              <w:rPr>
                <w:rFonts w:ascii="Arial" w:hAnsi="Arial" w:cs="Arial"/>
                <w:sz w:val="20"/>
                <w:szCs w:val="20"/>
              </w:rPr>
              <w:t>69</w:t>
            </w:r>
          </w:p>
        </w:tc>
        <w:tc>
          <w:tcPr>
            <w:tcW w:w="930" w:type="dxa"/>
            <w:vAlign w:val="center"/>
          </w:tcPr>
          <w:p w14:paraId="45C053A4" w14:textId="77777777" w:rsidR="00E04B9A" w:rsidRPr="00194A8E" w:rsidRDefault="00F12CA8" w:rsidP="00E04B9A">
            <w:pPr>
              <w:widowControl w:val="0"/>
              <w:spacing w:line="319" w:lineRule="auto"/>
              <w:jc w:val="center"/>
              <w:rPr>
                <w:rFonts w:ascii="Arial" w:hAnsi="Arial" w:cs="Arial"/>
                <w:sz w:val="20"/>
                <w:szCs w:val="20"/>
              </w:rPr>
            </w:pPr>
            <w:r>
              <w:rPr>
                <w:rFonts w:ascii="Arial" w:hAnsi="Arial" w:cs="Arial"/>
                <w:sz w:val="20"/>
                <w:szCs w:val="20"/>
              </w:rPr>
              <w:t>770</w:t>
            </w:r>
          </w:p>
        </w:tc>
        <w:tc>
          <w:tcPr>
            <w:tcW w:w="1950" w:type="dxa"/>
            <w:vAlign w:val="center"/>
          </w:tcPr>
          <w:p w14:paraId="7E55928A" w14:textId="77777777" w:rsidR="00E04B9A" w:rsidRPr="00194A8E" w:rsidRDefault="00E04B9A" w:rsidP="00E04B9A">
            <w:pPr>
              <w:widowControl w:val="0"/>
              <w:spacing w:line="319" w:lineRule="auto"/>
              <w:jc w:val="center"/>
              <w:rPr>
                <w:rFonts w:ascii="Arial" w:hAnsi="Arial" w:cs="Arial"/>
                <w:sz w:val="20"/>
                <w:szCs w:val="20"/>
              </w:rPr>
            </w:pPr>
            <w:r w:rsidRPr="00194A8E">
              <w:rPr>
                <w:rFonts w:ascii="Arial" w:hAnsi="Arial" w:cs="Arial"/>
                <w:sz w:val="20"/>
                <w:szCs w:val="20"/>
              </w:rPr>
              <w:t>906</w:t>
            </w:r>
          </w:p>
        </w:tc>
      </w:tr>
      <w:tr w:rsidR="00502F86" w:rsidRPr="00D46869" w14:paraId="6C20BF02" w14:textId="77777777">
        <w:trPr>
          <w:trHeight w:hRule="exact" w:val="331"/>
        </w:trPr>
        <w:tc>
          <w:tcPr>
            <w:tcW w:w="3060" w:type="dxa"/>
            <w:shd w:val="clear" w:color="auto" w:fill="EEECE1"/>
            <w:vAlign w:val="center"/>
          </w:tcPr>
          <w:p w14:paraId="438DBCB2" w14:textId="77777777" w:rsidR="00E04B9A" w:rsidRPr="007B0AC0" w:rsidRDefault="00E04B9A" w:rsidP="00E04B9A">
            <w:pPr>
              <w:widowControl w:val="0"/>
              <w:spacing w:line="319" w:lineRule="auto"/>
              <w:rPr>
                <w:rFonts w:ascii="Arial" w:hAnsi="Arial" w:cs="Arial"/>
                <w:bCs/>
                <w:sz w:val="20"/>
                <w:szCs w:val="20"/>
              </w:rPr>
            </w:pPr>
            <w:r w:rsidRPr="007B0AC0">
              <w:rPr>
                <w:rFonts w:ascii="Arial" w:hAnsi="Arial" w:cs="Arial"/>
                <w:bCs/>
                <w:sz w:val="20"/>
                <w:szCs w:val="20"/>
              </w:rPr>
              <w:t>Demand Response (MW)</w:t>
            </w:r>
          </w:p>
        </w:tc>
        <w:tc>
          <w:tcPr>
            <w:tcW w:w="930" w:type="dxa"/>
            <w:vAlign w:val="center"/>
          </w:tcPr>
          <w:p w14:paraId="2F8CC47E" w14:textId="77777777" w:rsidR="00E04B9A" w:rsidRPr="00194A8E" w:rsidRDefault="00F12CA8" w:rsidP="00E04B9A">
            <w:pPr>
              <w:widowControl w:val="0"/>
              <w:spacing w:line="319" w:lineRule="auto"/>
              <w:jc w:val="center"/>
              <w:rPr>
                <w:rFonts w:ascii="Arial" w:hAnsi="Arial" w:cs="Arial"/>
                <w:sz w:val="20"/>
                <w:szCs w:val="20"/>
              </w:rPr>
            </w:pPr>
            <w:r>
              <w:rPr>
                <w:rFonts w:ascii="Arial" w:hAnsi="Arial" w:cs="Arial"/>
                <w:sz w:val="20"/>
                <w:szCs w:val="20"/>
              </w:rPr>
              <w:t>121</w:t>
            </w:r>
          </w:p>
        </w:tc>
        <w:tc>
          <w:tcPr>
            <w:tcW w:w="1680" w:type="dxa"/>
            <w:vAlign w:val="center"/>
          </w:tcPr>
          <w:p w14:paraId="465AE8B8" w14:textId="77777777" w:rsidR="00E04B9A" w:rsidRPr="00194A8E" w:rsidRDefault="00F12CA8" w:rsidP="00E04B9A">
            <w:pPr>
              <w:widowControl w:val="0"/>
              <w:spacing w:line="319" w:lineRule="auto"/>
              <w:jc w:val="center"/>
              <w:rPr>
                <w:rFonts w:ascii="Arial" w:hAnsi="Arial" w:cs="Arial"/>
                <w:sz w:val="20"/>
                <w:szCs w:val="20"/>
              </w:rPr>
            </w:pPr>
            <w:r>
              <w:rPr>
                <w:rFonts w:ascii="Arial" w:hAnsi="Arial" w:cs="Arial"/>
                <w:sz w:val="20"/>
                <w:szCs w:val="20"/>
              </w:rPr>
              <w:t>130</w:t>
            </w:r>
          </w:p>
        </w:tc>
        <w:tc>
          <w:tcPr>
            <w:tcW w:w="930" w:type="dxa"/>
            <w:vAlign w:val="center"/>
          </w:tcPr>
          <w:p w14:paraId="289EB79B" w14:textId="77777777" w:rsidR="00E04B9A" w:rsidRPr="00194A8E" w:rsidRDefault="00F12CA8" w:rsidP="00E04B9A">
            <w:pPr>
              <w:widowControl w:val="0"/>
              <w:spacing w:line="319" w:lineRule="auto"/>
              <w:jc w:val="center"/>
              <w:rPr>
                <w:rFonts w:ascii="Arial" w:hAnsi="Arial" w:cs="Arial"/>
                <w:sz w:val="20"/>
                <w:szCs w:val="20"/>
              </w:rPr>
            </w:pPr>
            <w:r>
              <w:rPr>
                <w:rFonts w:ascii="Arial" w:hAnsi="Arial" w:cs="Arial"/>
                <w:sz w:val="20"/>
                <w:szCs w:val="20"/>
              </w:rPr>
              <w:t>138</w:t>
            </w:r>
          </w:p>
        </w:tc>
        <w:tc>
          <w:tcPr>
            <w:tcW w:w="1950" w:type="dxa"/>
            <w:vAlign w:val="center"/>
          </w:tcPr>
          <w:p w14:paraId="6BF68A33" w14:textId="77777777" w:rsidR="00E04B9A" w:rsidRPr="00194A8E" w:rsidRDefault="00F12CA8" w:rsidP="00E04B9A">
            <w:pPr>
              <w:widowControl w:val="0"/>
              <w:spacing w:line="319" w:lineRule="auto"/>
              <w:jc w:val="center"/>
              <w:rPr>
                <w:rFonts w:ascii="Arial" w:hAnsi="Arial" w:cs="Arial"/>
                <w:sz w:val="20"/>
                <w:szCs w:val="20"/>
              </w:rPr>
            </w:pPr>
            <w:r>
              <w:rPr>
                <w:rFonts w:ascii="Arial" w:hAnsi="Arial" w:cs="Arial"/>
                <w:sz w:val="20"/>
                <w:szCs w:val="20"/>
              </w:rPr>
              <w:t>148</w:t>
            </w:r>
          </w:p>
        </w:tc>
      </w:tr>
      <w:tr w:rsidR="00502F86" w:rsidRPr="00D46869" w14:paraId="7D79BBBF" w14:textId="77777777">
        <w:trPr>
          <w:trHeight w:hRule="exact" w:val="331"/>
        </w:trPr>
        <w:tc>
          <w:tcPr>
            <w:tcW w:w="3060" w:type="dxa"/>
            <w:shd w:val="clear" w:color="auto" w:fill="EEECE1"/>
            <w:vAlign w:val="center"/>
          </w:tcPr>
          <w:p w14:paraId="3F4CB2ED" w14:textId="77777777" w:rsidR="00E04B9A" w:rsidRPr="007B0AC0" w:rsidRDefault="00E04B9A" w:rsidP="00E04B9A">
            <w:pPr>
              <w:widowControl w:val="0"/>
              <w:spacing w:line="319" w:lineRule="auto"/>
              <w:rPr>
                <w:rFonts w:ascii="Arial" w:hAnsi="Arial" w:cs="Arial"/>
                <w:bCs/>
                <w:sz w:val="20"/>
                <w:szCs w:val="20"/>
              </w:rPr>
            </w:pPr>
            <w:r w:rsidRPr="007B0AC0">
              <w:rPr>
                <w:rFonts w:ascii="Arial" w:hAnsi="Arial" w:cs="Arial"/>
                <w:bCs/>
                <w:sz w:val="20"/>
                <w:szCs w:val="20"/>
              </w:rPr>
              <w:t>Wind (MW)</w:t>
            </w:r>
          </w:p>
        </w:tc>
        <w:tc>
          <w:tcPr>
            <w:tcW w:w="930" w:type="dxa"/>
            <w:vAlign w:val="center"/>
          </w:tcPr>
          <w:p w14:paraId="7C790A08" w14:textId="77777777" w:rsidR="00E04B9A" w:rsidRPr="00194A8E" w:rsidRDefault="00E04B9A" w:rsidP="00E04B9A">
            <w:pPr>
              <w:widowControl w:val="0"/>
              <w:spacing w:line="319" w:lineRule="auto"/>
              <w:jc w:val="center"/>
              <w:rPr>
                <w:rFonts w:ascii="Arial" w:hAnsi="Arial" w:cs="Arial"/>
                <w:sz w:val="20"/>
                <w:szCs w:val="20"/>
              </w:rPr>
            </w:pPr>
            <w:r w:rsidRPr="00194A8E">
              <w:rPr>
                <w:rFonts w:ascii="Arial" w:hAnsi="Arial" w:cs="Arial"/>
                <w:sz w:val="20"/>
                <w:szCs w:val="20"/>
              </w:rPr>
              <w:t>-</w:t>
            </w:r>
          </w:p>
        </w:tc>
        <w:tc>
          <w:tcPr>
            <w:tcW w:w="1680" w:type="dxa"/>
            <w:vAlign w:val="center"/>
          </w:tcPr>
          <w:p w14:paraId="4A82D03D" w14:textId="77777777" w:rsidR="00E04B9A" w:rsidRPr="00194A8E" w:rsidRDefault="00E04B9A" w:rsidP="00E04B9A">
            <w:pPr>
              <w:widowControl w:val="0"/>
              <w:spacing w:line="319" w:lineRule="auto"/>
              <w:jc w:val="center"/>
              <w:rPr>
                <w:rFonts w:ascii="Arial" w:hAnsi="Arial" w:cs="Arial"/>
                <w:sz w:val="20"/>
                <w:szCs w:val="20"/>
              </w:rPr>
            </w:pPr>
            <w:r w:rsidRPr="00194A8E">
              <w:rPr>
                <w:rFonts w:ascii="Arial" w:hAnsi="Arial" w:cs="Arial"/>
                <w:sz w:val="20"/>
                <w:szCs w:val="20"/>
              </w:rPr>
              <w:t>206</w:t>
            </w:r>
          </w:p>
        </w:tc>
        <w:tc>
          <w:tcPr>
            <w:tcW w:w="930" w:type="dxa"/>
            <w:vAlign w:val="center"/>
          </w:tcPr>
          <w:p w14:paraId="177B8D67" w14:textId="77777777" w:rsidR="00E04B9A" w:rsidRPr="00194A8E" w:rsidRDefault="00E04B9A" w:rsidP="00E04B9A">
            <w:pPr>
              <w:widowControl w:val="0"/>
              <w:spacing w:line="319" w:lineRule="auto"/>
              <w:jc w:val="center"/>
              <w:rPr>
                <w:rFonts w:ascii="Arial" w:hAnsi="Arial" w:cs="Arial"/>
                <w:sz w:val="20"/>
                <w:szCs w:val="20"/>
              </w:rPr>
            </w:pPr>
            <w:r w:rsidRPr="00194A8E">
              <w:rPr>
                <w:rFonts w:ascii="Arial" w:hAnsi="Arial" w:cs="Arial"/>
                <w:sz w:val="20"/>
                <w:szCs w:val="20"/>
              </w:rPr>
              <w:t>337</w:t>
            </w:r>
          </w:p>
        </w:tc>
        <w:tc>
          <w:tcPr>
            <w:tcW w:w="1950" w:type="dxa"/>
            <w:vAlign w:val="center"/>
          </w:tcPr>
          <w:p w14:paraId="79EC68B4" w14:textId="77777777" w:rsidR="00E04B9A" w:rsidRPr="00194A8E" w:rsidRDefault="00E04B9A" w:rsidP="00E04B9A">
            <w:pPr>
              <w:widowControl w:val="0"/>
              <w:spacing w:line="319" w:lineRule="auto"/>
              <w:jc w:val="center"/>
              <w:rPr>
                <w:rFonts w:ascii="Arial" w:hAnsi="Arial" w:cs="Arial"/>
                <w:sz w:val="20"/>
                <w:szCs w:val="20"/>
              </w:rPr>
            </w:pPr>
            <w:r w:rsidRPr="00194A8E">
              <w:rPr>
                <w:rFonts w:ascii="Arial" w:hAnsi="Arial" w:cs="Arial"/>
                <w:sz w:val="20"/>
                <w:szCs w:val="20"/>
              </w:rPr>
              <w:t>337</w:t>
            </w:r>
          </w:p>
        </w:tc>
      </w:tr>
      <w:tr w:rsidR="00502F86" w:rsidRPr="00D46869" w14:paraId="5CAEFE51" w14:textId="77777777">
        <w:trPr>
          <w:trHeight w:hRule="exact" w:val="331"/>
        </w:trPr>
        <w:tc>
          <w:tcPr>
            <w:tcW w:w="3060" w:type="dxa"/>
            <w:shd w:val="clear" w:color="auto" w:fill="EEECE1"/>
            <w:vAlign w:val="center"/>
          </w:tcPr>
          <w:p w14:paraId="4224800E" w14:textId="77777777" w:rsidR="00E04B9A" w:rsidRPr="007B0AC0" w:rsidRDefault="00E04B9A" w:rsidP="00E04B9A">
            <w:pPr>
              <w:widowControl w:val="0"/>
              <w:spacing w:line="319" w:lineRule="auto"/>
              <w:rPr>
                <w:rFonts w:ascii="Arial" w:hAnsi="Arial" w:cs="Arial"/>
                <w:bCs/>
                <w:sz w:val="20"/>
                <w:szCs w:val="20"/>
              </w:rPr>
            </w:pPr>
            <w:r w:rsidRPr="007B0AC0">
              <w:rPr>
                <w:rFonts w:ascii="Arial" w:hAnsi="Arial" w:cs="Arial"/>
                <w:bCs/>
                <w:sz w:val="20"/>
                <w:szCs w:val="20"/>
              </w:rPr>
              <w:t>Combined Cycle Gas (MW)</w:t>
            </w:r>
          </w:p>
        </w:tc>
        <w:tc>
          <w:tcPr>
            <w:tcW w:w="930" w:type="dxa"/>
            <w:vAlign w:val="center"/>
          </w:tcPr>
          <w:p w14:paraId="0D5161B2" w14:textId="77777777" w:rsidR="00E04B9A" w:rsidRPr="00194A8E" w:rsidRDefault="00F12CA8" w:rsidP="00E04B9A">
            <w:pPr>
              <w:widowControl w:val="0"/>
              <w:spacing w:line="319" w:lineRule="auto"/>
              <w:jc w:val="center"/>
              <w:rPr>
                <w:rFonts w:ascii="Arial" w:hAnsi="Arial" w:cs="Arial"/>
                <w:sz w:val="20"/>
                <w:szCs w:val="20"/>
              </w:rPr>
            </w:pPr>
            <w:r>
              <w:rPr>
                <w:rFonts w:ascii="Arial" w:hAnsi="Arial" w:cs="Arial"/>
                <w:sz w:val="20"/>
                <w:szCs w:val="20"/>
              </w:rPr>
              <w:t>-</w:t>
            </w:r>
          </w:p>
        </w:tc>
        <w:tc>
          <w:tcPr>
            <w:tcW w:w="1680" w:type="dxa"/>
            <w:vAlign w:val="center"/>
          </w:tcPr>
          <w:p w14:paraId="061D9D85" w14:textId="77777777" w:rsidR="00E04B9A" w:rsidRPr="00194A8E" w:rsidRDefault="00F12CA8" w:rsidP="00E04B9A">
            <w:pPr>
              <w:widowControl w:val="0"/>
              <w:spacing w:line="319" w:lineRule="auto"/>
              <w:jc w:val="center"/>
              <w:rPr>
                <w:rFonts w:ascii="Arial" w:hAnsi="Arial" w:cs="Arial"/>
                <w:sz w:val="20"/>
                <w:szCs w:val="20"/>
              </w:rPr>
            </w:pPr>
            <w:r>
              <w:rPr>
                <w:rFonts w:ascii="Arial" w:hAnsi="Arial" w:cs="Arial"/>
                <w:sz w:val="20"/>
                <w:szCs w:val="20"/>
              </w:rPr>
              <w:t>577</w:t>
            </w:r>
          </w:p>
        </w:tc>
        <w:tc>
          <w:tcPr>
            <w:tcW w:w="930" w:type="dxa"/>
            <w:vAlign w:val="center"/>
          </w:tcPr>
          <w:p w14:paraId="39309F1B" w14:textId="77777777" w:rsidR="00E04B9A" w:rsidRPr="00194A8E" w:rsidRDefault="00F12CA8" w:rsidP="00E04B9A">
            <w:pPr>
              <w:widowControl w:val="0"/>
              <w:spacing w:line="319" w:lineRule="auto"/>
              <w:jc w:val="center"/>
              <w:rPr>
                <w:rFonts w:ascii="Arial" w:hAnsi="Arial" w:cs="Arial"/>
                <w:sz w:val="20"/>
                <w:szCs w:val="20"/>
              </w:rPr>
            </w:pPr>
            <w:r>
              <w:rPr>
                <w:rFonts w:ascii="Arial" w:hAnsi="Arial" w:cs="Arial"/>
                <w:sz w:val="20"/>
                <w:szCs w:val="20"/>
              </w:rPr>
              <w:t>577</w:t>
            </w:r>
          </w:p>
        </w:tc>
        <w:tc>
          <w:tcPr>
            <w:tcW w:w="1950" w:type="dxa"/>
            <w:vAlign w:val="center"/>
          </w:tcPr>
          <w:p w14:paraId="19549398" w14:textId="77777777" w:rsidR="00E04B9A" w:rsidRPr="00194A8E" w:rsidRDefault="00F12CA8" w:rsidP="00E04B9A">
            <w:pPr>
              <w:widowControl w:val="0"/>
              <w:spacing w:line="319" w:lineRule="auto"/>
              <w:jc w:val="center"/>
              <w:rPr>
                <w:rFonts w:ascii="Arial" w:hAnsi="Arial" w:cs="Arial"/>
                <w:sz w:val="20"/>
                <w:szCs w:val="20"/>
              </w:rPr>
            </w:pPr>
            <w:r>
              <w:rPr>
                <w:rFonts w:ascii="Arial" w:hAnsi="Arial" w:cs="Arial"/>
                <w:sz w:val="20"/>
                <w:szCs w:val="20"/>
              </w:rPr>
              <w:t>805</w:t>
            </w:r>
          </w:p>
        </w:tc>
      </w:tr>
      <w:tr w:rsidR="00502F86" w:rsidRPr="00D46869" w14:paraId="12B86DA2" w14:textId="77777777">
        <w:trPr>
          <w:trHeight w:hRule="exact" w:val="331"/>
        </w:trPr>
        <w:tc>
          <w:tcPr>
            <w:tcW w:w="3060" w:type="dxa"/>
            <w:shd w:val="clear" w:color="auto" w:fill="EEECE1"/>
            <w:vAlign w:val="center"/>
          </w:tcPr>
          <w:p w14:paraId="405F49EF" w14:textId="77777777" w:rsidR="00E04B9A" w:rsidRPr="007B0AC0" w:rsidRDefault="00E04B9A" w:rsidP="00E04B9A">
            <w:pPr>
              <w:widowControl w:val="0"/>
              <w:spacing w:line="319" w:lineRule="auto"/>
              <w:rPr>
                <w:rFonts w:ascii="Arial" w:hAnsi="Arial" w:cs="Arial"/>
                <w:bCs/>
                <w:sz w:val="20"/>
                <w:szCs w:val="20"/>
              </w:rPr>
            </w:pPr>
            <w:r w:rsidRPr="007B0AC0">
              <w:rPr>
                <w:rFonts w:ascii="Arial" w:hAnsi="Arial" w:cs="Arial"/>
                <w:bCs/>
                <w:sz w:val="20"/>
                <w:szCs w:val="20"/>
              </w:rPr>
              <w:t>Peaker/CT Dual Fuel (MW)</w:t>
            </w:r>
          </w:p>
        </w:tc>
        <w:tc>
          <w:tcPr>
            <w:tcW w:w="930" w:type="dxa"/>
            <w:vAlign w:val="center"/>
          </w:tcPr>
          <w:p w14:paraId="22A42DDE" w14:textId="77777777" w:rsidR="00E04B9A" w:rsidRPr="00194A8E" w:rsidRDefault="00F12CA8" w:rsidP="00E04B9A">
            <w:pPr>
              <w:widowControl w:val="0"/>
              <w:spacing w:line="319" w:lineRule="auto"/>
              <w:jc w:val="center"/>
              <w:rPr>
                <w:rFonts w:ascii="Arial" w:hAnsi="Arial" w:cs="Arial"/>
                <w:sz w:val="20"/>
                <w:szCs w:val="20"/>
              </w:rPr>
            </w:pPr>
            <w:r>
              <w:rPr>
                <w:rFonts w:ascii="Arial" w:hAnsi="Arial" w:cs="Arial"/>
                <w:sz w:val="20"/>
                <w:szCs w:val="20"/>
              </w:rPr>
              <w:t>277</w:t>
            </w:r>
          </w:p>
        </w:tc>
        <w:tc>
          <w:tcPr>
            <w:tcW w:w="1680" w:type="dxa"/>
            <w:vAlign w:val="center"/>
          </w:tcPr>
          <w:p w14:paraId="0F806189" w14:textId="77777777" w:rsidR="00E04B9A" w:rsidRPr="00194A8E" w:rsidRDefault="00F12CA8" w:rsidP="00E04B9A">
            <w:pPr>
              <w:widowControl w:val="0"/>
              <w:spacing w:line="319" w:lineRule="auto"/>
              <w:jc w:val="center"/>
              <w:rPr>
                <w:rFonts w:ascii="Arial" w:hAnsi="Arial" w:cs="Arial"/>
                <w:sz w:val="20"/>
                <w:szCs w:val="20"/>
              </w:rPr>
            </w:pPr>
            <w:r>
              <w:rPr>
                <w:rFonts w:ascii="Arial" w:hAnsi="Arial" w:cs="Arial"/>
                <w:sz w:val="20"/>
                <w:szCs w:val="20"/>
              </w:rPr>
              <w:t>403</w:t>
            </w:r>
          </w:p>
        </w:tc>
        <w:tc>
          <w:tcPr>
            <w:tcW w:w="930" w:type="dxa"/>
            <w:vAlign w:val="center"/>
          </w:tcPr>
          <w:p w14:paraId="4B2A8DF9" w14:textId="77777777" w:rsidR="00E04B9A" w:rsidRPr="00194A8E" w:rsidRDefault="00F12CA8" w:rsidP="00E04B9A">
            <w:pPr>
              <w:widowControl w:val="0"/>
              <w:spacing w:line="319" w:lineRule="auto"/>
              <w:jc w:val="center"/>
              <w:rPr>
                <w:rFonts w:ascii="Arial" w:hAnsi="Arial" w:cs="Arial"/>
                <w:sz w:val="20"/>
                <w:szCs w:val="20"/>
              </w:rPr>
            </w:pPr>
            <w:r>
              <w:rPr>
                <w:rFonts w:ascii="Arial" w:hAnsi="Arial" w:cs="Arial"/>
                <w:sz w:val="20"/>
                <w:szCs w:val="20"/>
              </w:rPr>
              <w:t>609</w:t>
            </w:r>
          </w:p>
        </w:tc>
        <w:tc>
          <w:tcPr>
            <w:tcW w:w="1950" w:type="dxa"/>
            <w:vAlign w:val="center"/>
          </w:tcPr>
          <w:p w14:paraId="3A95750E" w14:textId="77777777" w:rsidR="00E04B9A" w:rsidRPr="00194A8E" w:rsidRDefault="00F12CA8" w:rsidP="00E04B9A">
            <w:pPr>
              <w:widowControl w:val="0"/>
              <w:spacing w:line="319" w:lineRule="auto"/>
              <w:jc w:val="center"/>
              <w:rPr>
                <w:rFonts w:ascii="Arial" w:hAnsi="Arial" w:cs="Arial"/>
                <w:sz w:val="20"/>
                <w:szCs w:val="20"/>
              </w:rPr>
            </w:pPr>
            <w:r>
              <w:rPr>
                <w:rFonts w:ascii="Arial" w:hAnsi="Arial" w:cs="Arial"/>
                <w:sz w:val="20"/>
                <w:szCs w:val="20"/>
              </w:rPr>
              <w:t>609</w:t>
            </w:r>
          </w:p>
        </w:tc>
      </w:tr>
    </w:tbl>
    <w:p w14:paraId="4852A7A2" w14:textId="77777777" w:rsidR="00F523AA" w:rsidRDefault="00F523AA" w:rsidP="00E04B9A">
      <w:pPr>
        <w:spacing w:beforeAutospacing="1" w:afterAutospacing="1" w:line="319" w:lineRule="auto"/>
        <w:rPr>
          <w:rFonts w:ascii="Arial" w:hAnsi="Arial"/>
          <w:b/>
          <w:sz w:val="28"/>
          <w:szCs w:val="20"/>
        </w:rPr>
      </w:pPr>
    </w:p>
    <w:p w14:paraId="25F5CC24" w14:textId="77777777" w:rsidR="00F523AA" w:rsidRDefault="00F523AA">
      <w:pPr>
        <w:rPr>
          <w:rFonts w:ascii="Arial" w:hAnsi="Arial"/>
          <w:b/>
          <w:color w:val="3366FF"/>
          <w:sz w:val="28"/>
          <w:szCs w:val="20"/>
        </w:rPr>
      </w:pPr>
      <w:r>
        <w:rPr>
          <w:rFonts w:ascii="Arial" w:hAnsi="Arial"/>
          <w:b/>
          <w:color w:val="3366FF"/>
          <w:sz w:val="28"/>
          <w:szCs w:val="20"/>
        </w:rPr>
        <w:br w:type="page"/>
      </w:r>
    </w:p>
    <w:p w14:paraId="61A55632" w14:textId="77777777" w:rsidR="00E04B9A" w:rsidRPr="00D46869" w:rsidRDefault="00164097" w:rsidP="00F523AA">
      <w:pPr>
        <w:pStyle w:val="IRPsanstext"/>
      </w:pPr>
      <w:r>
        <w:rPr>
          <w:b/>
          <w:color w:val="156570"/>
          <w:sz w:val="28"/>
        </w:rPr>
        <w:lastRenderedPageBreak/>
        <w:t>Demand-Side</w:t>
      </w:r>
      <w:r w:rsidR="00E04B9A" w:rsidRPr="00F523AA">
        <w:rPr>
          <w:b/>
          <w:color w:val="156570"/>
          <w:sz w:val="28"/>
        </w:rPr>
        <w:t xml:space="preserve"> Resources</w:t>
      </w:r>
      <w:r>
        <w:rPr>
          <w:b/>
          <w:color w:val="156570"/>
          <w:sz w:val="28"/>
        </w:rPr>
        <w:t>:</w:t>
      </w:r>
      <w:r w:rsidR="00E04B9A" w:rsidRPr="00F523AA">
        <w:rPr>
          <w:b/>
          <w:color w:val="156570"/>
          <w:sz w:val="28"/>
        </w:rPr>
        <w:t xml:space="preserve"> Energy Efficiency.</w:t>
      </w:r>
      <w:r w:rsidR="00E04B9A" w:rsidRPr="00D46869">
        <w:t xml:space="preserve"> This plan – like prior plans – includes acquiring conservation to levels such that much of what is available will be acquired. That is, significant changes in avoided cost had little impact on how much could be acquired cost effectively. PSE’s analysis indicates that although current market power prices are low, accelerating acquisition of DSR continues to be a least-cost strategy.</w:t>
      </w:r>
    </w:p>
    <w:p w14:paraId="1EE8A331" w14:textId="77777777" w:rsidR="00F523AA" w:rsidRDefault="00F523AA" w:rsidP="00F523AA">
      <w:pPr>
        <w:pStyle w:val="IRPsanstext"/>
        <w:rPr>
          <w:b/>
          <w:color w:val="3366FF"/>
          <w:sz w:val="28"/>
          <w:szCs w:val="28"/>
        </w:rPr>
      </w:pPr>
    </w:p>
    <w:p w14:paraId="5DC95F46" w14:textId="77777777" w:rsidR="00E04B9A" w:rsidRPr="00D46869" w:rsidRDefault="00164097" w:rsidP="00F523AA">
      <w:pPr>
        <w:pStyle w:val="IRPsanstext"/>
      </w:pPr>
      <w:r>
        <w:rPr>
          <w:b/>
          <w:color w:val="156570"/>
          <w:sz w:val="28"/>
          <w:szCs w:val="28"/>
        </w:rPr>
        <w:t xml:space="preserve">Demand-Side Resources: </w:t>
      </w:r>
      <w:r w:rsidR="00E04B9A" w:rsidRPr="00F523AA">
        <w:rPr>
          <w:b/>
          <w:color w:val="156570"/>
          <w:sz w:val="28"/>
          <w:szCs w:val="28"/>
        </w:rPr>
        <w:t>Demand-response</w:t>
      </w:r>
      <w:r w:rsidR="00E04B9A" w:rsidRPr="00F523AA">
        <w:rPr>
          <w:color w:val="156570"/>
          <w:sz w:val="28"/>
        </w:rPr>
        <w:t>.</w:t>
      </w:r>
      <w:r w:rsidR="00E04B9A" w:rsidRPr="00D46869">
        <w:t xml:space="preserve"> In this IRP, we are seeing a significant </w:t>
      </w:r>
      <w:r w:rsidR="00E04B9A">
        <w:t>increase</w:t>
      </w:r>
      <w:r w:rsidR="00E04B9A" w:rsidRPr="00D46869">
        <w:t xml:space="preserve"> in the amoun</w:t>
      </w:r>
      <w:r w:rsidR="00E04B9A">
        <w:t xml:space="preserve">t of demand-response programs. </w:t>
      </w:r>
      <w:r w:rsidR="00E04B9A" w:rsidRPr="00D46869">
        <w:t>These include direct residential load control programs and voluntary interruptible rate schedule programs for commercial and industrial customers.</w:t>
      </w:r>
    </w:p>
    <w:p w14:paraId="1158DD6B" w14:textId="77777777" w:rsidR="00F523AA" w:rsidRDefault="00F523AA" w:rsidP="00F523AA">
      <w:pPr>
        <w:pStyle w:val="IRPsanstext"/>
        <w:rPr>
          <w:b/>
          <w:color w:val="3366FF"/>
          <w:sz w:val="28"/>
        </w:rPr>
      </w:pPr>
    </w:p>
    <w:p w14:paraId="1933154F" w14:textId="77777777" w:rsidR="00E04B9A" w:rsidRPr="00D46869" w:rsidRDefault="00E04B9A" w:rsidP="00F523AA">
      <w:pPr>
        <w:pStyle w:val="IRPsanstext"/>
        <w:rPr>
          <w:u w:val="single"/>
        </w:rPr>
      </w:pPr>
      <w:proofErr w:type="gramStart"/>
      <w:r w:rsidRPr="00F523AA">
        <w:rPr>
          <w:b/>
          <w:color w:val="156570"/>
          <w:sz w:val="28"/>
        </w:rPr>
        <w:t>Renewable Resources.</w:t>
      </w:r>
      <w:proofErr w:type="gramEnd"/>
      <w:r w:rsidRPr="00D46869">
        <w:t xml:space="preserve"> Timing of renewable resource additions is driven by requirements of RCW 19.285. PSE’s analysis shows that while additional wind is not a least-cost resource, we anticipate remaining comfortably below the </w:t>
      </w:r>
      <w:r w:rsidR="00A5719A">
        <w:t xml:space="preserve">four percent </w:t>
      </w:r>
      <w:r w:rsidRPr="00D46869">
        <w:t xml:space="preserve">revenue requirement </w:t>
      </w:r>
      <w:r w:rsidR="003B4FCC">
        <w:t>cap</w:t>
      </w:r>
      <w:r w:rsidRPr="00D46869">
        <w:t>. PSE has acquired enough eligible renewable resources and RECs to meet the requirements of the law through 20</w:t>
      </w:r>
      <w:r w:rsidRPr="008D164E">
        <w:t>22</w:t>
      </w:r>
      <w:r w:rsidRPr="00D46869">
        <w:t xml:space="preserve">. </w:t>
      </w:r>
    </w:p>
    <w:p w14:paraId="57C53D75" w14:textId="77777777" w:rsidR="00F523AA" w:rsidRDefault="00F523AA" w:rsidP="00F523AA">
      <w:pPr>
        <w:pStyle w:val="IRPsanstext"/>
        <w:rPr>
          <w:b/>
          <w:color w:val="3366FF"/>
          <w:sz w:val="28"/>
        </w:rPr>
      </w:pPr>
    </w:p>
    <w:p w14:paraId="44D38F77" w14:textId="77777777" w:rsidR="00E04B9A" w:rsidRPr="00D46869" w:rsidRDefault="00E04B9A" w:rsidP="00F523AA">
      <w:pPr>
        <w:pStyle w:val="IRPsanstext"/>
        <w:rPr>
          <w:b/>
          <w:bCs/>
          <w:color w:val="006A71"/>
          <w:sz w:val="28"/>
          <w:szCs w:val="28"/>
        </w:rPr>
      </w:pPr>
      <w:r w:rsidRPr="00F523AA">
        <w:rPr>
          <w:b/>
          <w:color w:val="156570"/>
          <w:sz w:val="28"/>
        </w:rPr>
        <w:t>Peakers vs. Combined-cycle Plants: It depends . . .</w:t>
      </w:r>
      <w:r w:rsidRPr="00D46869">
        <w:rPr>
          <w:b/>
          <w:sz w:val="28"/>
        </w:rPr>
        <w:t xml:space="preserve"> </w:t>
      </w:r>
      <w:r w:rsidRPr="00D46869">
        <w:t xml:space="preserve">In all future scenarios, gas-fired plants appear to be </w:t>
      </w:r>
      <w:r>
        <w:t xml:space="preserve">the </w:t>
      </w:r>
      <w:r w:rsidRPr="00D46869">
        <w:t>most cost</w:t>
      </w:r>
      <w:r>
        <w:t>-</w:t>
      </w:r>
      <w:r w:rsidRPr="00D46869">
        <w:t xml:space="preserve">effective supply-side resource for meeting our customers capacity and energy needs – at least until technology changes. </w:t>
      </w:r>
      <w:r>
        <w:t>T</w:t>
      </w:r>
      <w:r w:rsidRPr="00D46869">
        <w:t xml:space="preserve">his </w:t>
      </w:r>
      <w:r w:rsidR="00164097">
        <w:t>IRP</w:t>
      </w:r>
      <w:r>
        <w:t xml:space="preserve"> forecasted</w:t>
      </w:r>
      <w:r w:rsidRPr="00D46869">
        <w:t xml:space="preserve"> that peakers were more cost effective</w:t>
      </w:r>
      <w:r>
        <w:t xml:space="preserve"> in some scenarios, and </w:t>
      </w:r>
      <w:r w:rsidR="003B4FCC">
        <w:t>combined</w:t>
      </w:r>
      <w:r w:rsidR="008672AD">
        <w:t>-</w:t>
      </w:r>
      <w:r w:rsidR="003B4FCC">
        <w:t>cycle combustion turbine (</w:t>
      </w:r>
      <w:r w:rsidRPr="00D46869">
        <w:t>CCCT</w:t>
      </w:r>
      <w:r w:rsidR="003B4FCC">
        <w:t>)</w:t>
      </w:r>
      <w:r w:rsidRPr="00D46869">
        <w:t xml:space="preserve"> plants </w:t>
      </w:r>
      <w:r>
        <w:t>were</w:t>
      </w:r>
      <w:r w:rsidRPr="00D46869">
        <w:t xml:space="preserve"> </w:t>
      </w:r>
      <w:r>
        <w:t>more cost effective in others. T</w:t>
      </w:r>
      <w:r w:rsidRPr="00D46869">
        <w:t>o a large extent</w:t>
      </w:r>
      <w:r>
        <w:t>, this depended</w:t>
      </w:r>
      <w:r w:rsidRPr="00D46869">
        <w:t xml:space="preserve"> on whether sufficient </w:t>
      </w:r>
      <w:r>
        <w:t>backup</w:t>
      </w:r>
      <w:r w:rsidRPr="00D46869">
        <w:t xml:space="preserve"> fuel </w:t>
      </w:r>
      <w:r>
        <w:t>could</w:t>
      </w:r>
      <w:r w:rsidRPr="00D46869">
        <w:t xml:space="preserve"> be permitted for peakers and how carbon regulations might affect operation o</w:t>
      </w:r>
      <w:r>
        <w:t xml:space="preserve">f CCCT plants across the WECC. </w:t>
      </w:r>
      <w:r w:rsidRPr="00D46869">
        <w:t xml:space="preserve">Given this uncertainty, we adopted a strategy </w:t>
      </w:r>
      <w:r>
        <w:t>that</w:t>
      </w:r>
      <w:r w:rsidRPr="00D46869">
        <w:t xml:space="preserve"> include</w:t>
      </w:r>
      <w:r>
        <w:t>s</w:t>
      </w:r>
      <w:r w:rsidRPr="00D46869">
        <w:t xml:space="preserve"> both </w:t>
      </w:r>
      <w:r>
        <w:t xml:space="preserve">types of plants. </w:t>
      </w:r>
      <w:r w:rsidRPr="00D46869">
        <w:t>This mixed approach reduces expected c</w:t>
      </w:r>
      <w:r>
        <w:t>ost and risk relative to an all-</w:t>
      </w:r>
      <w:r w:rsidRPr="00D46869">
        <w:t>CT portfolio</w:t>
      </w:r>
      <w:r>
        <w:t>,</w:t>
      </w:r>
      <w:r w:rsidRPr="00D46869">
        <w:t xml:space="preserve"> which appeared </w:t>
      </w:r>
      <w:r>
        <w:t xml:space="preserve">to be </w:t>
      </w:r>
      <w:r w:rsidRPr="00D46869">
        <w:t xml:space="preserve">cost effective in the 2013 IRP. </w:t>
      </w:r>
      <w:r w:rsidRPr="00D46869">
        <w:br/>
      </w:r>
    </w:p>
    <w:p w14:paraId="03339988" w14:textId="77777777" w:rsidR="00502F86" w:rsidRDefault="00502F86">
      <w:pPr>
        <w:rPr>
          <w:rFonts w:ascii="Arial" w:hAnsi="Arial"/>
          <w:sz w:val="32"/>
          <w:szCs w:val="20"/>
        </w:rPr>
      </w:pPr>
      <w:r>
        <w:rPr>
          <w:sz w:val="32"/>
        </w:rPr>
        <w:br w:type="page"/>
      </w:r>
    </w:p>
    <w:p w14:paraId="6D95ACF4" w14:textId="77777777" w:rsidR="00E04B9A" w:rsidRPr="00D46869" w:rsidRDefault="00E04B9A" w:rsidP="00F523AA">
      <w:pPr>
        <w:pStyle w:val="IRPsanstext"/>
        <w:rPr>
          <w:color w:val="006A71"/>
          <w:sz w:val="32"/>
          <w:szCs w:val="40"/>
        </w:rPr>
      </w:pPr>
      <w:r w:rsidRPr="00D46869">
        <w:rPr>
          <w:sz w:val="32"/>
        </w:rPr>
        <w:lastRenderedPageBreak/>
        <w:t xml:space="preserve">Costs and Carbon Emissions </w:t>
      </w:r>
    </w:p>
    <w:p w14:paraId="2218EF7A" w14:textId="77777777" w:rsidR="00F523AA" w:rsidRDefault="00F523AA" w:rsidP="00F523AA">
      <w:pPr>
        <w:pStyle w:val="IRPsanstext"/>
        <w:rPr>
          <w:b/>
          <w:color w:val="3366FF"/>
          <w:sz w:val="28"/>
        </w:rPr>
      </w:pPr>
    </w:p>
    <w:p w14:paraId="31A7D5D7" w14:textId="77777777" w:rsidR="00E04B9A" w:rsidRPr="00D46869" w:rsidRDefault="00E04B9A" w:rsidP="00F523AA">
      <w:pPr>
        <w:pStyle w:val="IRPsanstext"/>
      </w:pPr>
      <w:proofErr w:type="gramStart"/>
      <w:r w:rsidRPr="00F523AA">
        <w:rPr>
          <w:b/>
          <w:color w:val="156570"/>
          <w:sz w:val="28"/>
        </w:rPr>
        <w:t>Portfolio Costs.</w:t>
      </w:r>
      <w:proofErr w:type="gramEnd"/>
      <w:r w:rsidRPr="00D46869">
        <w:t xml:space="preserve"> The long-term outlook for incremental portfolio costs has been dynamic across IRP planning cycles since 2003, driven by changing expectations about natural gas prices and costs associated with carbon regulation. Conservation, gas-fired generation and wind have been the primary resource alternatives since 2005. Figure 1-</w:t>
      </w:r>
      <w:r>
        <w:t>8</w:t>
      </w:r>
      <w:r w:rsidRPr="00D46869">
        <w:t xml:space="preserve"> illustrates how incremental portfolio costs have changed over time, along with the context for the range of costs examined in this IRP. Note that in this IRP, carbon cost</w:t>
      </w:r>
      <w:r>
        <w:t xml:space="preserve">s are included in the IRP Base </w:t>
      </w:r>
      <w:r w:rsidRPr="00D46869">
        <w:t xml:space="preserve">Scenario assumptions. </w:t>
      </w:r>
      <w:r w:rsidR="00802333">
        <w:t xml:space="preserve">However, gas prices dropped significantly causing portfolio costs to go down. </w:t>
      </w:r>
    </w:p>
    <w:p w14:paraId="0EC36DA1" w14:textId="77777777" w:rsidR="007B0AC0" w:rsidRDefault="007B0AC0" w:rsidP="00502F86">
      <w:pPr>
        <w:spacing w:line="319" w:lineRule="auto"/>
        <w:rPr>
          <w:rFonts w:ascii="Arial" w:hAnsi="Arial"/>
          <w:i/>
          <w:sz w:val="22"/>
          <w:szCs w:val="20"/>
        </w:rPr>
      </w:pPr>
    </w:p>
    <w:p w14:paraId="7A5168C4" w14:textId="77777777" w:rsidR="00E04B9A" w:rsidRPr="00D46869" w:rsidRDefault="00E04B9A" w:rsidP="00E04B9A">
      <w:pPr>
        <w:spacing w:line="319" w:lineRule="auto"/>
        <w:jc w:val="center"/>
        <w:rPr>
          <w:rFonts w:ascii="Arial" w:hAnsi="Arial"/>
          <w:i/>
          <w:sz w:val="22"/>
          <w:szCs w:val="20"/>
          <w:highlight w:val="lightGray"/>
        </w:rPr>
      </w:pPr>
      <w:r>
        <w:rPr>
          <w:rFonts w:ascii="Arial" w:hAnsi="Arial"/>
          <w:i/>
          <w:sz w:val="22"/>
          <w:szCs w:val="20"/>
        </w:rPr>
        <w:t>Figure 1-8</w:t>
      </w:r>
      <w:r w:rsidRPr="00D46869">
        <w:rPr>
          <w:rFonts w:ascii="Arial" w:hAnsi="Arial"/>
          <w:i/>
          <w:sz w:val="22"/>
          <w:szCs w:val="20"/>
        </w:rPr>
        <w:t xml:space="preserve">: Incremental Portfolio Costs Over Time  </w:t>
      </w:r>
      <w:r w:rsidRPr="00D46869">
        <w:rPr>
          <w:rFonts w:ascii="Arial" w:hAnsi="Arial"/>
          <w:i/>
          <w:sz w:val="22"/>
          <w:szCs w:val="20"/>
        </w:rPr>
        <w:br/>
      </w:r>
    </w:p>
    <w:p w14:paraId="202D18A6" w14:textId="77777777" w:rsidR="00E04B9A" w:rsidRPr="00D46869" w:rsidRDefault="00B61897" w:rsidP="00E04B9A">
      <w:pPr>
        <w:spacing w:line="319" w:lineRule="auto"/>
        <w:jc w:val="center"/>
        <w:rPr>
          <w:rFonts w:ascii="Arial" w:hAnsi="Arial"/>
          <w:i/>
          <w:sz w:val="22"/>
          <w:szCs w:val="20"/>
          <w:highlight w:val="lightGray"/>
        </w:rPr>
      </w:pPr>
      <w:r w:rsidRPr="00B61897">
        <w:rPr>
          <w:noProof/>
          <w:lang w:eastAsia="en-US"/>
        </w:rPr>
        <w:drawing>
          <wp:inline distT="0" distB="0" distL="0" distR="0" wp14:anchorId="69D32598" wp14:editId="645632E0">
            <wp:extent cx="5486400" cy="3713453"/>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3713453"/>
                    </a:xfrm>
                    <a:prstGeom prst="rect">
                      <a:avLst/>
                    </a:prstGeom>
                    <a:noFill/>
                    <a:ln>
                      <a:noFill/>
                    </a:ln>
                  </pic:spPr>
                </pic:pic>
              </a:graphicData>
            </a:graphic>
          </wp:inline>
        </w:drawing>
      </w:r>
    </w:p>
    <w:p w14:paraId="7D174C14" w14:textId="77777777" w:rsidR="00E04B9A" w:rsidRDefault="00E04B9A" w:rsidP="007B0AC0">
      <w:pPr>
        <w:pStyle w:val="IRPsanstext"/>
      </w:pPr>
    </w:p>
    <w:p w14:paraId="01CE88D1" w14:textId="77777777" w:rsidR="00502F86" w:rsidRDefault="00502F86">
      <w:pPr>
        <w:rPr>
          <w:rFonts w:ascii="Arial" w:hAnsi="Arial"/>
          <w:b/>
          <w:color w:val="156570"/>
          <w:sz w:val="28"/>
          <w:szCs w:val="28"/>
        </w:rPr>
      </w:pPr>
      <w:r>
        <w:rPr>
          <w:b/>
          <w:color w:val="156570"/>
          <w:sz w:val="28"/>
          <w:szCs w:val="28"/>
        </w:rPr>
        <w:br w:type="page"/>
      </w:r>
    </w:p>
    <w:p w14:paraId="6B635C9E" w14:textId="77777777" w:rsidR="00E04B9A" w:rsidRPr="00D46869" w:rsidRDefault="00E04B9A" w:rsidP="007B0AC0">
      <w:pPr>
        <w:pStyle w:val="IRPsanstext"/>
        <w:rPr>
          <w:i/>
        </w:rPr>
      </w:pPr>
      <w:r w:rsidRPr="007B0AC0">
        <w:rPr>
          <w:b/>
          <w:color w:val="156570"/>
          <w:sz w:val="28"/>
          <w:szCs w:val="28"/>
        </w:rPr>
        <w:lastRenderedPageBreak/>
        <w:t>Carbon Emissions Associated with Electric Service.</w:t>
      </w:r>
      <w:r w:rsidRPr="00D46869">
        <w:t xml:space="preserve"> A number of Washington state laws address carbon emissions. RCW 70.235 adopts a state goal for reducing emissions. RCW </w:t>
      </w:r>
      <w:r>
        <w:t>80.80</w:t>
      </w:r>
      <w:r w:rsidRPr="00D46869">
        <w:t xml:space="preserve"> sets an emissions performance standard (EPS) that prevents utilities from entering into long-term</w:t>
      </w:r>
      <w:r>
        <w:t xml:space="preserve"> financial commitments for base</w:t>
      </w:r>
      <w:r w:rsidRPr="00D46869">
        <w:t>load electric generation unless the generation source complies with the greenhouse gas emissions performance standard set by the state, effectively banning purchases from additional coal plants or older gas CCCT plants. In 2011, the legislature amended the EPS to achieve permanent reduction of certain CO</w:t>
      </w:r>
      <w:r w:rsidRPr="00D46869">
        <w:rPr>
          <w:vertAlign w:val="subscript"/>
        </w:rPr>
        <w:t>2</w:t>
      </w:r>
      <w:r w:rsidRPr="00D46869">
        <w:t xml:space="preserve"> emissions by retiring the TransAlta coal plant in Centralia, Wash</w:t>
      </w:r>
      <w:r w:rsidR="00EA26D0">
        <w:t>ington</w:t>
      </w:r>
      <w:r w:rsidRPr="00D46869">
        <w:t xml:space="preserve">. Utilities are allowed to enter into long-term contracts for “coal transition power” from TransAlta, and TransAlta will shut down one generating </w:t>
      </w:r>
      <w:r w:rsidR="00EA26D0">
        <w:t>unit</w:t>
      </w:r>
      <w:r w:rsidR="00EA26D0" w:rsidRPr="00D46869">
        <w:t xml:space="preserve"> </w:t>
      </w:r>
      <w:r w:rsidRPr="00D46869">
        <w:t>at the Centralia coal plant by the end of 2020 and the other by the end of 2025. TransAlta also will provide financial assistance for local economic development and clean energy. RCW 19.285, the Energy Independence Act, requires electric utilities to reach certain targets for renewable resources and acquire all cost-effective achievable conservation.  Meanwhile, according to WAC 480-100-238, “Each electric utility regulated by the commission has the responsibility to meet its system demand with a least cost mix of energy supply resources and conservation.”</w:t>
      </w:r>
    </w:p>
    <w:p w14:paraId="5DE4F70F" w14:textId="77777777" w:rsidR="007B0AC0" w:rsidRDefault="007B0AC0">
      <w:pPr>
        <w:rPr>
          <w:rFonts w:ascii="Arial" w:hAnsi="Arial"/>
          <w:sz w:val="20"/>
          <w:szCs w:val="20"/>
        </w:rPr>
      </w:pPr>
    </w:p>
    <w:p w14:paraId="33E6ED51" w14:textId="77777777" w:rsidR="00E04B9A" w:rsidRPr="00D46869" w:rsidRDefault="00E04B9A" w:rsidP="007B0AC0">
      <w:pPr>
        <w:pStyle w:val="IRPsanstext"/>
      </w:pPr>
      <w:r w:rsidRPr="00D46869">
        <w:t>The combined impact of these laws, rules and policies on PSE’s CO</w:t>
      </w:r>
      <w:r w:rsidRPr="00D46869">
        <w:rPr>
          <w:vertAlign w:val="subscript"/>
        </w:rPr>
        <w:t>2</w:t>
      </w:r>
      <w:r w:rsidRPr="00D46869">
        <w:t xml:space="preserve"> emissions from electric o</w:t>
      </w:r>
      <w:r>
        <w:t>perations is shown in Figure 1-9</w:t>
      </w:r>
      <w:r w:rsidRPr="00D46869">
        <w:t>. The initial ramp-up in CO</w:t>
      </w:r>
      <w:r w:rsidRPr="00D46869">
        <w:rPr>
          <w:vertAlign w:val="subscript"/>
        </w:rPr>
        <w:t>2</w:t>
      </w:r>
      <w:r w:rsidRPr="00D46869">
        <w:t xml:space="preserve"> emissions followed by a reduction </w:t>
      </w:r>
      <w:r w:rsidR="00802333">
        <w:t xml:space="preserve">in the Low </w:t>
      </w:r>
      <w:r w:rsidR="008672AD">
        <w:t>S</w:t>
      </w:r>
      <w:r w:rsidR="003B4FCC">
        <w:t xml:space="preserve">cenario </w:t>
      </w:r>
      <w:r w:rsidRPr="00D46869">
        <w:t>is due to PSE’s coal transition power agreement with TransAlta</w:t>
      </w:r>
      <w:r w:rsidR="00164097">
        <w:t xml:space="preserve"> that expires in </w:t>
      </w:r>
      <w:r w:rsidR="00843EB0">
        <w:t>2025</w:t>
      </w:r>
      <w:r w:rsidRPr="00D46869">
        <w:t xml:space="preserve">; ultimately, this contributes to the retirement of the </w:t>
      </w:r>
      <w:r w:rsidR="00B041E9">
        <w:t xml:space="preserve">1,460 </w:t>
      </w:r>
      <w:r w:rsidRPr="00D46869">
        <w:t xml:space="preserve">MW </w:t>
      </w:r>
      <w:r w:rsidR="00164097">
        <w:t xml:space="preserve">Centralia coal </w:t>
      </w:r>
      <w:r w:rsidRPr="00D46869">
        <w:t xml:space="preserve">plant and a permanent reduction of emissions. </w:t>
      </w:r>
      <w:r w:rsidR="00802333">
        <w:t xml:space="preserve">The Base </w:t>
      </w:r>
      <w:r w:rsidR="008672AD">
        <w:t>S</w:t>
      </w:r>
      <w:r w:rsidR="00802333">
        <w:t>cenario emissions remain flat across the 20</w:t>
      </w:r>
      <w:r w:rsidR="00B041E9">
        <w:t xml:space="preserve"> year</w:t>
      </w:r>
      <w:r w:rsidR="00802333">
        <w:t xml:space="preserve"> time horizon. Due to the high CO</w:t>
      </w:r>
      <w:r w:rsidR="00802333" w:rsidRPr="006B4224">
        <w:rPr>
          <w:vertAlign w:val="subscript"/>
        </w:rPr>
        <w:t>2</w:t>
      </w:r>
      <w:r w:rsidR="00802333">
        <w:t xml:space="preserve"> price modeled in the </w:t>
      </w:r>
      <w:r w:rsidR="008672AD">
        <w:t>B</w:t>
      </w:r>
      <w:r w:rsidR="00802333">
        <w:t xml:space="preserve">ase </w:t>
      </w:r>
      <w:r w:rsidR="008672AD">
        <w:t>S</w:t>
      </w:r>
      <w:r w:rsidR="00802333">
        <w:t>cenario, the Centralia coal plant is reduced to a 20</w:t>
      </w:r>
      <w:r w:rsidR="003B4FCC">
        <w:t xml:space="preserve"> percent</w:t>
      </w:r>
      <w:r w:rsidR="00802333">
        <w:t xml:space="preserve"> capacity factor and most of the contract is being supplied by market.  The contract is then replaced by a CCCT plant in 2026, so the emissions </w:t>
      </w:r>
      <w:r w:rsidR="000B29C6">
        <w:t>of</w:t>
      </w:r>
      <w:r w:rsidR="00802333">
        <w:t xml:space="preserve"> the contract </w:t>
      </w:r>
      <w:r w:rsidR="000B29C6">
        <w:t xml:space="preserve">offset </w:t>
      </w:r>
      <w:r w:rsidR="00802333">
        <w:t xml:space="preserve">the </w:t>
      </w:r>
      <w:r w:rsidR="000B29C6">
        <w:t xml:space="preserve">emissions </w:t>
      </w:r>
      <w:r w:rsidR="00802333">
        <w:t xml:space="preserve">of the </w:t>
      </w:r>
      <w:r w:rsidR="000B29C6">
        <w:t>CCCT</w:t>
      </w:r>
      <w:r w:rsidR="00802333">
        <w:t xml:space="preserve">. </w:t>
      </w:r>
      <w:r w:rsidR="00FD7893">
        <w:t xml:space="preserve">The </w:t>
      </w:r>
      <w:r w:rsidR="003B4FCC">
        <w:t xml:space="preserve">High </w:t>
      </w:r>
      <w:r w:rsidR="008672AD">
        <w:t>S</w:t>
      </w:r>
      <w:r w:rsidR="00FD7893">
        <w:t>cenario emissions dropped in 2020 from the impact of the high CO</w:t>
      </w:r>
      <w:r w:rsidR="00FD7893" w:rsidRPr="008672AD">
        <w:rPr>
          <w:vertAlign w:val="subscript"/>
        </w:rPr>
        <w:t>2</w:t>
      </w:r>
      <w:r w:rsidR="00FD7893">
        <w:t xml:space="preserve"> price that starts in 2020. </w:t>
      </w:r>
      <w:r w:rsidRPr="00D46869">
        <w:t>The chart also shows a significant reduction in emissions from acquisition of al</w:t>
      </w:r>
      <w:r>
        <w:t xml:space="preserve">l cost-effective conservation. </w:t>
      </w:r>
      <w:r w:rsidRPr="00D46869">
        <w:t xml:space="preserve">By </w:t>
      </w:r>
      <w:r w:rsidRPr="008D164E">
        <w:t>203</w:t>
      </w:r>
      <w:r w:rsidR="00FD7893">
        <w:t>5</w:t>
      </w:r>
      <w:r w:rsidRPr="008D164E">
        <w:t>, the cumulative CO</w:t>
      </w:r>
      <w:r w:rsidRPr="008D164E">
        <w:rPr>
          <w:vertAlign w:val="subscript"/>
        </w:rPr>
        <w:t>2</w:t>
      </w:r>
      <w:r w:rsidRPr="008D164E">
        <w:t xml:space="preserve"> savings </w:t>
      </w:r>
      <w:r w:rsidR="00B61897">
        <w:t xml:space="preserve">over the 20-year time horizon </w:t>
      </w:r>
      <w:r w:rsidRPr="008D164E">
        <w:t xml:space="preserve">from conservation is approximately </w:t>
      </w:r>
      <w:r w:rsidR="00B61897">
        <w:t>16.11</w:t>
      </w:r>
      <w:r w:rsidRPr="008D164E">
        <w:t xml:space="preserve"> million tons. </w:t>
      </w:r>
    </w:p>
    <w:p w14:paraId="3D2B015C" w14:textId="77777777" w:rsidR="00E04B9A" w:rsidRPr="00D46869" w:rsidRDefault="00E04B9A" w:rsidP="007B0AC0">
      <w:pPr>
        <w:pStyle w:val="IRPsanstext"/>
        <w:rPr>
          <w:i/>
          <w:sz w:val="22"/>
        </w:rPr>
      </w:pPr>
    </w:p>
    <w:p w14:paraId="35E00475" w14:textId="77777777" w:rsidR="00502F86" w:rsidRDefault="00502F86">
      <w:pPr>
        <w:rPr>
          <w:rFonts w:ascii="Arial" w:hAnsi="Arial"/>
          <w:i/>
          <w:sz w:val="22"/>
          <w:szCs w:val="20"/>
        </w:rPr>
      </w:pPr>
      <w:r>
        <w:rPr>
          <w:rFonts w:ascii="Arial" w:hAnsi="Arial"/>
          <w:i/>
          <w:sz w:val="22"/>
          <w:szCs w:val="20"/>
        </w:rPr>
        <w:br w:type="page"/>
      </w:r>
    </w:p>
    <w:p w14:paraId="6E17D4C4" w14:textId="77777777" w:rsidR="00E04B9A" w:rsidRPr="00D46869" w:rsidRDefault="00E04B9A" w:rsidP="00E04B9A">
      <w:pPr>
        <w:spacing w:line="319" w:lineRule="auto"/>
        <w:jc w:val="center"/>
        <w:rPr>
          <w:rFonts w:ascii="Arial" w:hAnsi="Arial"/>
          <w:i/>
          <w:sz w:val="22"/>
          <w:szCs w:val="20"/>
        </w:rPr>
      </w:pPr>
      <w:r>
        <w:rPr>
          <w:rFonts w:ascii="Arial" w:hAnsi="Arial"/>
          <w:i/>
          <w:sz w:val="22"/>
          <w:szCs w:val="20"/>
        </w:rPr>
        <w:lastRenderedPageBreak/>
        <w:t>Figure 1-9</w:t>
      </w:r>
      <w:r w:rsidRPr="00D46869">
        <w:rPr>
          <w:rFonts w:ascii="Arial" w:hAnsi="Arial"/>
          <w:i/>
          <w:sz w:val="22"/>
          <w:szCs w:val="20"/>
        </w:rPr>
        <w:t xml:space="preserve">: Projected Annual Total </w:t>
      </w:r>
      <w:r>
        <w:rPr>
          <w:rFonts w:ascii="Arial" w:hAnsi="Arial"/>
          <w:i/>
          <w:sz w:val="22"/>
          <w:szCs w:val="20"/>
        </w:rPr>
        <w:t xml:space="preserve">PSE </w:t>
      </w:r>
      <w:r w:rsidRPr="00D46869">
        <w:rPr>
          <w:rFonts w:ascii="Arial" w:hAnsi="Arial"/>
          <w:i/>
          <w:sz w:val="22"/>
          <w:szCs w:val="20"/>
        </w:rPr>
        <w:t>Portfolio CO</w:t>
      </w:r>
      <w:r w:rsidRPr="00D46869">
        <w:rPr>
          <w:rFonts w:ascii="Arial" w:hAnsi="Arial"/>
          <w:i/>
          <w:sz w:val="22"/>
          <w:szCs w:val="20"/>
          <w:vertAlign w:val="subscript"/>
        </w:rPr>
        <w:t>2</w:t>
      </w:r>
      <w:r w:rsidRPr="00D46869">
        <w:rPr>
          <w:rFonts w:ascii="Arial" w:hAnsi="Arial"/>
          <w:i/>
          <w:sz w:val="22"/>
          <w:szCs w:val="20"/>
        </w:rPr>
        <w:t xml:space="preserve"> Emissions </w:t>
      </w:r>
    </w:p>
    <w:p w14:paraId="234A625C" w14:textId="77777777" w:rsidR="00E04B9A" w:rsidRPr="007B0AC0" w:rsidRDefault="00E04B9A" w:rsidP="007B0AC0">
      <w:pPr>
        <w:spacing w:after="120" w:line="319" w:lineRule="auto"/>
        <w:jc w:val="center"/>
        <w:rPr>
          <w:rFonts w:ascii="Arial" w:hAnsi="Arial"/>
          <w:i/>
          <w:sz w:val="22"/>
          <w:szCs w:val="20"/>
        </w:rPr>
      </w:pPr>
      <w:proofErr w:type="gramStart"/>
      <w:r w:rsidRPr="00D46869">
        <w:rPr>
          <w:rFonts w:ascii="Arial" w:hAnsi="Arial"/>
          <w:i/>
          <w:sz w:val="22"/>
          <w:szCs w:val="20"/>
        </w:rPr>
        <w:t>and</w:t>
      </w:r>
      <w:proofErr w:type="gramEnd"/>
      <w:r w:rsidRPr="00D46869">
        <w:rPr>
          <w:rFonts w:ascii="Arial" w:hAnsi="Arial"/>
          <w:i/>
          <w:sz w:val="22"/>
          <w:szCs w:val="20"/>
        </w:rPr>
        <w:t xml:space="preserve"> Savings from</w:t>
      </w:r>
      <w:r>
        <w:rPr>
          <w:rFonts w:ascii="Arial" w:hAnsi="Arial"/>
          <w:i/>
          <w:sz w:val="22"/>
          <w:szCs w:val="20"/>
        </w:rPr>
        <w:t xml:space="preserve"> Conservation</w:t>
      </w:r>
      <w:r w:rsidRPr="00D46869">
        <w:rPr>
          <w:rFonts w:ascii="Arial" w:hAnsi="Arial"/>
          <w:i/>
          <w:sz w:val="22"/>
          <w:szCs w:val="20"/>
        </w:rPr>
        <w:t xml:space="preserve"> </w:t>
      </w:r>
    </w:p>
    <w:p w14:paraId="77AC2056" w14:textId="77777777" w:rsidR="00E04B9A" w:rsidRPr="00D46869" w:rsidRDefault="00802333" w:rsidP="00E04B9A">
      <w:pPr>
        <w:spacing w:line="319" w:lineRule="auto"/>
        <w:rPr>
          <w:rFonts w:ascii="Arial" w:hAnsi="Arial"/>
          <w:b/>
          <w:bCs/>
          <w:iCs/>
          <w:color w:val="757563"/>
          <w:sz w:val="36"/>
          <w:szCs w:val="32"/>
          <w:highlight w:val="lightGray"/>
        </w:rPr>
      </w:pPr>
      <w:r w:rsidRPr="00802333">
        <w:rPr>
          <w:noProof/>
          <w:lang w:eastAsia="en-US"/>
        </w:rPr>
        <w:drawing>
          <wp:inline distT="0" distB="0" distL="0" distR="0" wp14:anchorId="59EAA27A" wp14:editId="1967F9C4">
            <wp:extent cx="5486400" cy="39693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3969312"/>
                    </a:xfrm>
                    <a:prstGeom prst="rect">
                      <a:avLst/>
                    </a:prstGeom>
                    <a:noFill/>
                    <a:ln>
                      <a:noFill/>
                    </a:ln>
                  </pic:spPr>
                </pic:pic>
              </a:graphicData>
            </a:graphic>
          </wp:inline>
        </w:drawing>
      </w:r>
    </w:p>
    <w:p w14:paraId="216176EF" w14:textId="77777777" w:rsidR="00E04B9A" w:rsidRDefault="00E04B9A" w:rsidP="00E04B9A">
      <w:pPr>
        <w:spacing w:line="320" w:lineRule="exact"/>
        <w:rPr>
          <w:rFonts w:ascii="Arial" w:hAnsi="Arial"/>
          <w:sz w:val="20"/>
          <w:szCs w:val="20"/>
        </w:rPr>
      </w:pPr>
    </w:p>
    <w:p w14:paraId="331C73AF" w14:textId="77777777" w:rsidR="002F1580" w:rsidRDefault="002F1580">
      <w:pPr>
        <w:rPr>
          <w:rFonts w:ascii="Arial" w:hAnsi="Arial"/>
          <w:sz w:val="20"/>
          <w:szCs w:val="20"/>
        </w:rPr>
      </w:pPr>
      <w:r>
        <w:br w:type="page"/>
      </w:r>
    </w:p>
    <w:p w14:paraId="658ED7A4" w14:textId="77777777" w:rsidR="00E04B9A" w:rsidRPr="00D46869" w:rsidRDefault="00E04B9A" w:rsidP="007B0AC0">
      <w:pPr>
        <w:pStyle w:val="IRPsanstext"/>
      </w:pPr>
      <w:r w:rsidRPr="00D46869">
        <w:lastRenderedPageBreak/>
        <w:t xml:space="preserve">The forecast of PSE’s total portfolio emissions may be of interest to policy makers, but PSE’s direct Washington emissions may have a more significant impact on the state. Emissions generated within the </w:t>
      </w:r>
      <w:r>
        <w:t xml:space="preserve">state will </w:t>
      </w:r>
      <w:r w:rsidR="00843EB0">
        <w:t>be impacted by</w:t>
      </w:r>
      <w:r>
        <w:t xml:space="preserve"> Washington’s</w:t>
      </w:r>
      <w:r w:rsidRPr="00D46869">
        <w:t xml:space="preserve"> implementation plan for </w:t>
      </w:r>
      <w:r>
        <w:t>the EPA’s Clean Power Plan</w:t>
      </w:r>
      <w:r>
        <w:rPr>
          <w:rStyle w:val="FootnoteReference"/>
        </w:rPr>
        <w:footnoteReference w:id="13"/>
      </w:r>
      <w:r w:rsidRPr="00D46869">
        <w:t xml:space="preserve"> and </w:t>
      </w:r>
      <w:r>
        <w:t xml:space="preserve">also </w:t>
      </w:r>
      <w:r w:rsidRPr="00D46869">
        <w:t xml:space="preserve">the alternatives </w:t>
      </w:r>
      <w:r>
        <w:t>developed by</w:t>
      </w:r>
      <w:r w:rsidRPr="00D46869">
        <w:t xml:space="preserve"> policy makers to achieve the state’s emission reduction go</w:t>
      </w:r>
      <w:r>
        <w:t>als under RCW 70.235.  Figure 1-10</w:t>
      </w:r>
      <w:r w:rsidRPr="00D46869">
        <w:t xml:space="preserve"> shows in-state emissions forecast </w:t>
      </w:r>
      <w:r w:rsidR="009A2833">
        <w:t xml:space="preserve">for </w:t>
      </w:r>
      <w:r>
        <w:t xml:space="preserve">PSE’s plants in Washington </w:t>
      </w:r>
      <w:proofErr w:type="gramStart"/>
      <w:r w:rsidR="002F1580">
        <w:t>s</w:t>
      </w:r>
      <w:r>
        <w:t>tate</w:t>
      </w:r>
      <w:proofErr w:type="gramEnd"/>
      <w:r>
        <w:t>, separating emissions from existing plants and new plants from the resource plan. This shows increasing emissions in Washington State associated with adding new, efficient combined cycle plants</w:t>
      </w:r>
      <w:r w:rsidRPr="00D46869">
        <w:t>.</w:t>
      </w:r>
    </w:p>
    <w:p w14:paraId="33F38AF7" w14:textId="77777777" w:rsidR="00E04B9A" w:rsidRDefault="00E04B9A" w:rsidP="00E04B9A">
      <w:pPr>
        <w:spacing w:line="320" w:lineRule="exact"/>
        <w:rPr>
          <w:rFonts w:ascii="Arial" w:hAnsi="Arial"/>
          <w:i/>
          <w:sz w:val="20"/>
          <w:szCs w:val="20"/>
        </w:rPr>
      </w:pPr>
    </w:p>
    <w:p w14:paraId="2126FE26" w14:textId="77777777" w:rsidR="00E04B9A" w:rsidRPr="007B0AC0" w:rsidRDefault="00E04B9A" w:rsidP="007B0AC0">
      <w:pPr>
        <w:spacing w:after="120" w:line="320" w:lineRule="exact"/>
        <w:jc w:val="center"/>
        <w:rPr>
          <w:rFonts w:ascii="Arial" w:hAnsi="Arial"/>
          <w:i/>
          <w:color w:val="FF0000"/>
          <w:sz w:val="20"/>
          <w:szCs w:val="20"/>
        </w:rPr>
      </w:pPr>
      <w:r>
        <w:rPr>
          <w:rFonts w:ascii="Arial" w:hAnsi="Arial"/>
          <w:i/>
          <w:sz w:val="20"/>
          <w:szCs w:val="20"/>
        </w:rPr>
        <w:t>Figure 1-10</w:t>
      </w:r>
      <w:r w:rsidRPr="003C0071">
        <w:rPr>
          <w:rFonts w:ascii="Arial" w:hAnsi="Arial"/>
          <w:i/>
          <w:sz w:val="20"/>
          <w:szCs w:val="20"/>
        </w:rPr>
        <w:t xml:space="preserve">: </w:t>
      </w:r>
      <w:r>
        <w:rPr>
          <w:rFonts w:ascii="Arial" w:hAnsi="Arial"/>
          <w:i/>
          <w:sz w:val="20"/>
          <w:szCs w:val="20"/>
        </w:rPr>
        <w:t>Forecast of PSE’s Washington Direct-Generation CO</w:t>
      </w:r>
      <w:r w:rsidRPr="00F140ED">
        <w:rPr>
          <w:rFonts w:ascii="Arial Italic" w:hAnsi="Arial Italic"/>
          <w:i/>
          <w:sz w:val="20"/>
          <w:szCs w:val="20"/>
          <w:vertAlign w:val="subscript"/>
        </w:rPr>
        <w:t>2</w:t>
      </w:r>
      <w:r>
        <w:rPr>
          <w:rFonts w:ascii="Arial" w:hAnsi="Arial"/>
          <w:i/>
          <w:sz w:val="20"/>
          <w:szCs w:val="20"/>
        </w:rPr>
        <w:t xml:space="preserve"> Emissions</w:t>
      </w:r>
    </w:p>
    <w:p w14:paraId="6FF0B82A" w14:textId="77777777" w:rsidR="00E04B9A" w:rsidRPr="00D46869" w:rsidRDefault="00D8527D" w:rsidP="00E04B9A">
      <w:pPr>
        <w:spacing w:line="319" w:lineRule="auto"/>
        <w:rPr>
          <w:rFonts w:ascii="Arial" w:hAnsi="Arial"/>
          <w:b/>
          <w:bCs/>
          <w:iCs/>
          <w:color w:val="757563"/>
          <w:sz w:val="36"/>
          <w:szCs w:val="32"/>
          <w:highlight w:val="lightGray"/>
        </w:rPr>
      </w:pPr>
      <w:r w:rsidRPr="00D8527D">
        <w:rPr>
          <w:noProof/>
          <w:lang w:eastAsia="en-US"/>
        </w:rPr>
        <w:drawing>
          <wp:inline distT="0" distB="0" distL="0" distR="0" wp14:anchorId="44E586B4" wp14:editId="346D9191">
            <wp:extent cx="5486400" cy="396641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3966411"/>
                    </a:xfrm>
                    <a:prstGeom prst="rect">
                      <a:avLst/>
                    </a:prstGeom>
                    <a:noFill/>
                    <a:ln>
                      <a:noFill/>
                    </a:ln>
                  </pic:spPr>
                </pic:pic>
              </a:graphicData>
            </a:graphic>
          </wp:inline>
        </w:drawing>
      </w:r>
    </w:p>
    <w:p w14:paraId="00D62497" w14:textId="77777777" w:rsidR="007B0AC0" w:rsidRPr="00502F86" w:rsidRDefault="007B0AC0" w:rsidP="00502F86">
      <w:pPr>
        <w:rPr>
          <w:rFonts w:ascii="Arial" w:hAnsi="Arial"/>
          <w:b/>
          <w:bCs/>
          <w:iCs/>
          <w:color w:val="757563"/>
          <w:sz w:val="36"/>
          <w:szCs w:val="32"/>
        </w:rPr>
      </w:pPr>
      <w:r>
        <w:rPr>
          <w:rFonts w:ascii="Arial" w:hAnsi="Arial"/>
          <w:b/>
          <w:bCs/>
          <w:iCs/>
          <w:color w:val="757563"/>
          <w:sz w:val="36"/>
          <w:szCs w:val="32"/>
        </w:rPr>
        <w:br w:type="page"/>
      </w:r>
    </w:p>
    <w:p w14:paraId="324655C0" w14:textId="77777777" w:rsidR="00E04B9A" w:rsidRPr="007B0AC0" w:rsidRDefault="00E04B9A" w:rsidP="007B0AC0">
      <w:pPr>
        <w:pStyle w:val="IRPsecthead2sans"/>
      </w:pPr>
      <w:r w:rsidRPr="007B0AC0">
        <w:lastRenderedPageBreak/>
        <w:t>GAS SALES RESOURCE PLAN FORECAST</w:t>
      </w:r>
    </w:p>
    <w:p w14:paraId="4F5476A0" w14:textId="77777777" w:rsidR="00E04B9A" w:rsidRPr="00D46869" w:rsidRDefault="00E04B9A" w:rsidP="007B0AC0">
      <w:pPr>
        <w:pStyle w:val="IRPsanstext"/>
      </w:pPr>
    </w:p>
    <w:p w14:paraId="7657AF3A" w14:textId="77777777" w:rsidR="00E04B9A" w:rsidRDefault="00E04B9A" w:rsidP="007B0AC0">
      <w:pPr>
        <w:pStyle w:val="IRPsanstext"/>
      </w:pPr>
      <w:r w:rsidRPr="00D46869">
        <w:t xml:space="preserve">PSE develops a separate integrated resource plan to address the needs of more than </w:t>
      </w:r>
      <w:r w:rsidR="00FF56E5" w:rsidRPr="00D46869">
        <w:t>7</w:t>
      </w:r>
      <w:r w:rsidR="00FF56E5">
        <w:t>9</w:t>
      </w:r>
      <w:r w:rsidR="00FF56E5" w:rsidRPr="00D46869">
        <w:t>0</w:t>
      </w:r>
      <w:r w:rsidRPr="00D46869">
        <w:t>,000 retail gas sales customers.</w:t>
      </w:r>
      <w:r>
        <w:t xml:space="preserve"> T</w:t>
      </w:r>
      <w:r w:rsidRPr="00D46869">
        <w:t xml:space="preserve">his plan is developed in accordance with WAC 480-90-238, the IRP rule for gas utilities. (See Chapter </w:t>
      </w:r>
      <w:r w:rsidR="00164097">
        <w:t xml:space="preserve">7 for PSE’s gas sales analysis and Chapter </w:t>
      </w:r>
      <w:r w:rsidRPr="00D46869">
        <w:t xml:space="preserve">6 for PSE’s analysis of gas for power need.)  </w:t>
      </w:r>
    </w:p>
    <w:p w14:paraId="1CEA372A" w14:textId="77777777" w:rsidR="007B0AC0" w:rsidRPr="00D46869" w:rsidRDefault="007B0AC0" w:rsidP="007B0AC0">
      <w:pPr>
        <w:pStyle w:val="IRPsanstext"/>
      </w:pPr>
    </w:p>
    <w:p w14:paraId="6052F9BB" w14:textId="77777777" w:rsidR="00E04B9A" w:rsidRDefault="00E04B9A" w:rsidP="007B0AC0">
      <w:pPr>
        <w:pStyle w:val="IRPsanstext"/>
        <w:rPr>
          <w:sz w:val="32"/>
        </w:rPr>
      </w:pPr>
      <w:r w:rsidRPr="00D46869">
        <w:rPr>
          <w:sz w:val="32"/>
        </w:rPr>
        <w:t>Gas Sales Resource Need</w:t>
      </w:r>
    </w:p>
    <w:p w14:paraId="6A4372F7" w14:textId="77777777" w:rsidR="007B0AC0" w:rsidRPr="00D46869" w:rsidRDefault="007B0AC0" w:rsidP="007B0AC0">
      <w:pPr>
        <w:pStyle w:val="IRPsanstext"/>
        <w:rPr>
          <w:sz w:val="32"/>
        </w:rPr>
      </w:pPr>
    </w:p>
    <w:p w14:paraId="389E6D7C" w14:textId="77777777" w:rsidR="00E04B9A" w:rsidRPr="00D46869" w:rsidRDefault="00E04B9A" w:rsidP="007B0AC0">
      <w:pPr>
        <w:pStyle w:val="IRPsanstext"/>
      </w:pPr>
      <w:r w:rsidRPr="00D46869">
        <w:t xml:space="preserve">Gas sales resource need is driven by design peak day demand. The current design standard ensures that supply is planned to meet firm loads on a 13-degree design peak day, which corresponds to a 52 </w:t>
      </w:r>
      <w:proofErr w:type="gramStart"/>
      <w:r w:rsidRPr="00D46869">
        <w:t>Heating</w:t>
      </w:r>
      <w:proofErr w:type="gramEnd"/>
      <w:r w:rsidRPr="00D46869">
        <w:t xml:space="preserve"> Degree Day (HDD). Like electric service, gas service must be reliable every day, but design peak drives the need </w:t>
      </w:r>
      <w:r>
        <w:t>to acquire resources. Figure 1-11</w:t>
      </w:r>
      <w:r w:rsidRPr="00D46869">
        <w:t xml:space="preserve"> illustrates the load-resource balance for </w:t>
      </w:r>
      <w:r>
        <w:t xml:space="preserve">the </w:t>
      </w:r>
      <w:r w:rsidRPr="00D46869">
        <w:t xml:space="preserve">gas sales portfolio. The chart demonstrates a need for resources beginning in the winter of </w:t>
      </w:r>
      <w:r>
        <w:t>2016/17</w:t>
      </w:r>
      <w:r w:rsidRPr="00D46869">
        <w:t xml:space="preserve">.     </w:t>
      </w:r>
    </w:p>
    <w:p w14:paraId="30DAFC46" w14:textId="77777777" w:rsidR="00E04B9A" w:rsidRPr="00D46869" w:rsidRDefault="00E04B9A" w:rsidP="00E04B9A">
      <w:pPr>
        <w:spacing w:line="319" w:lineRule="auto"/>
        <w:rPr>
          <w:rFonts w:ascii="Arial" w:hAnsi="Arial"/>
          <w:sz w:val="20"/>
          <w:szCs w:val="20"/>
        </w:rPr>
      </w:pPr>
    </w:p>
    <w:p w14:paraId="5C0CD52E" w14:textId="77777777" w:rsidR="00E04B9A" w:rsidRPr="00464CDF" w:rsidRDefault="00E04B9A" w:rsidP="007B0AC0">
      <w:pPr>
        <w:spacing w:after="120" w:line="320" w:lineRule="exact"/>
        <w:jc w:val="center"/>
        <w:rPr>
          <w:rFonts w:ascii="Arial" w:hAnsi="Arial"/>
          <w:i/>
          <w:sz w:val="20"/>
          <w:szCs w:val="20"/>
        </w:rPr>
      </w:pPr>
      <w:r>
        <w:rPr>
          <w:rFonts w:ascii="Arial" w:hAnsi="Arial"/>
          <w:i/>
          <w:sz w:val="20"/>
          <w:szCs w:val="20"/>
        </w:rPr>
        <w:t>Figure 1-11</w:t>
      </w:r>
      <w:r w:rsidRPr="00D46869">
        <w:rPr>
          <w:rFonts w:ascii="Arial" w:hAnsi="Arial"/>
          <w:i/>
          <w:sz w:val="20"/>
          <w:szCs w:val="20"/>
        </w:rPr>
        <w:t>: Gas Sales Design Peak Day Resource Need</w:t>
      </w:r>
    </w:p>
    <w:p w14:paraId="735B380C" w14:textId="77777777" w:rsidR="00E04B9A" w:rsidRPr="00D46869" w:rsidRDefault="00E04B9A" w:rsidP="00E04B9A">
      <w:pPr>
        <w:spacing w:line="319" w:lineRule="auto"/>
        <w:rPr>
          <w:rFonts w:ascii="Arial" w:hAnsi="Arial"/>
          <w:sz w:val="22"/>
        </w:rPr>
      </w:pPr>
      <w:r>
        <w:rPr>
          <w:noProof/>
          <w:lang w:eastAsia="en-US"/>
        </w:rPr>
        <w:drawing>
          <wp:inline distT="0" distB="0" distL="0" distR="0" wp14:anchorId="6A7629E9" wp14:editId="5232BF5D">
            <wp:extent cx="5414838" cy="3782969"/>
            <wp:effectExtent l="0" t="0" r="0" b="8255"/>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12069" cy="3781035"/>
                    </a:xfrm>
                    <a:prstGeom prst="rect">
                      <a:avLst/>
                    </a:prstGeom>
                    <a:noFill/>
                    <a:ln>
                      <a:noFill/>
                    </a:ln>
                  </pic:spPr>
                </pic:pic>
              </a:graphicData>
            </a:graphic>
          </wp:inline>
        </w:drawing>
      </w:r>
    </w:p>
    <w:p w14:paraId="0D822B9C" w14:textId="77777777" w:rsidR="00E04B9A" w:rsidRPr="00D46869" w:rsidRDefault="00E04B9A" w:rsidP="00E04B9A">
      <w:pPr>
        <w:spacing w:line="319" w:lineRule="auto"/>
        <w:rPr>
          <w:rFonts w:ascii="Arial" w:hAnsi="Arial"/>
          <w:sz w:val="22"/>
        </w:rPr>
      </w:pPr>
    </w:p>
    <w:p w14:paraId="55CFADE7" w14:textId="77777777" w:rsidR="00913829" w:rsidRDefault="00913829" w:rsidP="007B0AC0">
      <w:pPr>
        <w:pStyle w:val="IRPsanstext"/>
        <w:rPr>
          <w:sz w:val="32"/>
          <w:szCs w:val="32"/>
        </w:rPr>
      </w:pPr>
    </w:p>
    <w:p w14:paraId="1B4F5388" w14:textId="77777777" w:rsidR="00E04B9A" w:rsidRPr="007B0AC0" w:rsidRDefault="00E04B9A" w:rsidP="007B0AC0">
      <w:pPr>
        <w:pStyle w:val="IRPsanstext"/>
        <w:rPr>
          <w:sz w:val="32"/>
          <w:szCs w:val="32"/>
        </w:rPr>
      </w:pPr>
      <w:r w:rsidRPr="007B0AC0">
        <w:rPr>
          <w:sz w:val="32"/>
          <w:szCs w:val="32"/>
        </w:rPr>
        <w:lastRenderedPageBreak/>
        <w:t xml:space="preserve">Gas </w:t>
      </w:r>
      <w:r w:rsidR="001B21C3">
        <w:rPr>
          <w:sz w:val="32"/>
          <w:szCs w:val="32"/>
        </w:rPr>
        <w:t xml:space="preserve">Sales </w:t>
      </w:r>
      <w:r w:rsidRPr="007B0AC0">
        <w:rPr>
          <w:sz w:val="32"/>
          <w:szCs w:val="32"/>
        </w:rPr>
        <w:t>Resource Additions Forecast</w:t>
      </w:r>
    </w:p>
    <w:p w14:paraId="4D444F5D" w14:textId="77777777" w:rsidR="007B0AC0" w:rsidRPr="00D46869" w:rsidRDefault="007B0AC0" w:rsidP="007B0AC0">
      <w:pPr>
        <w:pStyle w:val="IRPsanstext"/>
      </w:pPr>
    </w:p>
    <w:p w14:paraId="50A57D26" w14:textId="77777777" w:rsidR="00E04B9A" w:rsidRPr="00D46869" w:rsidRDefault="00E04B9A" w:rsidP="007B0AC0">
      <w:pPr>
        <w:pStyle w:val="IRPsanstext"/>
        <w:rPr>
          <w:b/>
          <w:i/>
        </w:rPr>
      </w:pPr>
      <w:r>
        <w:t>Figure 1-12</w:t>
      </w:r>
      <w:r w:rsidRPr="00D46869">
        <w:t xml:space="preserve"> summarizes the gas resource plan additions PSE </w:t>
      </w:r>
      <w:r>
        <w:t>forecasts</w:t>
      </w:r>
      <w:r w:rsidRPr="00D46869">
        <w:t xml:space="preserve"> </w:t>
      </w:r>
      <w:r>
        <w:t>to</w:t>
      </w:r>
      <w:r w:rsidRPr="00D46869">
        <w:t xml:space="preserve"> </w:t>
      </w:r>
      <w:r>
        <w:t>be cost effective in the future</w:t>
      </w:r>
      <w:r w:rsidRPr="00D46869">
        <w:t xml:space="preserve"> in terms of peak day capacity</w:t>
      </w:r>
      <w:r>
        <w:t xml:space="preserve"> and</w:t>
      </w:r>
      <w:r w:rsidRPr="00D46869">
        <w:t xml:space="preserve"> in MDth per day. As with the electric resource plan, this is the “integrated resource planning solution.” It combines the amount of demand-side resources that are cost effective with supply-side resources in order to minimize the cost of meeting projected need. </w:t>
      </w:r>
      <w:r>
        <w:t>Again</w:t>
      </w:r>
      <w:r w:rsidRPr="00D46869">
        <w:t xml:space="preserve">, this is not PSE’s </w:t>
      </w:r>
      <w:r w:rsidR="007A67F9">
        <w:t>action</w:t>
      </w:r>
      <w:r w:rsidRPr="00D46869">
        <w:t xml:space="preserve"> plan</w:t>
      </w:r>
      <w:r>
        <w:t xml:space="preserve"> – it is a forecast of resource additions that look like they will be</w:t>
      </w:r>
      <w:r w:rsidRPr="00D46869">
        <w:t xml:space="preserve"> cost effective </w:t>
      </w:r>
      <w:r>
        <w:t>in</w:t>
      </w:r>
      <w:r w:rsidRPr="00D46869">
        <w:t xml:space="preserve"> the future</w:t>
      </w:r>
      <w:r>
        <w:t>, given what we know about resource trends and market trends today</w:t>
      </w:r>
      <w:r w:rsidRPr="00D46869">
        <w:t>.</w:t>
      </w:r>
    </w:p>
    <w:p w14:paraId="77BEF6E3" w14:textId="77777777" w:rsidR="00E04B9A" w:rsidRPr="00D46869" w:rsidRDefault="00E04B9A" w:rsidP="007B0AC0">
      <w:pPr>
        <w:pStyle w:val="IRPsanstext"/>
        <w:rPr>
          <w:i/>
          <w:sz w:val="22"/>
        </w:rPr>
      </w:pPr>
    </w:p>
    <w:p w14:paraId="74126BBB" w14:textId="77777777" w:rsidR="00E04B9A" w:rsidRPr="00CD6120" w:rsidRDefault="00E04B9A" w:rsidP="007B0AC0">
      <w:pPr>
        <w:pStyle w:val="IRPFigureSub"/>
      </w:pPr>
      <w:r w:rsidRPr="00CD6120">
        <w:t xml:space="preserve">Figure 1-12: Gas Resource Plan Forecast, </w:t>
      </w:r>
    </w:p>
    <w:p w14:paraId="01BBDC26" w14:textId="77777777" w:rsidR="00194A8E" w:rsidRPr="00194A8E" w:rsidRDefault="00E04B9A" w:rsidP="00194A8E">
      <w:pPr>
        <w:pStyle w:val="IRPFigureSub"/>
        <w:spacing w:after="120"/>
      </w:pPr>
      <w:r w:rsidRPr="00CD6120">
        <w:t>Cumulative Additions in MDth/Day of Capacity</w:t>
      </w:r>
    </w:p>
    <w:p w14:paraId="1EF950FC" w14:textId="0292BDDC" w:rsidR="00194A8E" w:rsidRDefault="00C76E44">
      <w:pPr>
        <w:rPr>
          <w:rFonts w:ascii="Arial" w:hAnsi="Arial"/>
          <w:sz w:val="20"/>
          <w:szCs w:val="20"/>
        </w:rPr>
      </w:pPr>
      <w:r w:rsidRPr="00C76E44">
        <w:drawing>
          <wp:inline distT="0" distB="0" distL="0" distR="0" wp14:anchorId="46643BD6" wp14:editId="62596485">
            <wp:extent cx="5305425" cy="23649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5425" cy="2364918"/>
                    </a:xfrm>
                    <a:prstGeom prst="rect">
                      <a:avLst/>
                    </a:prstGeom>
                    <a:noFill/>
                    <a:ln>
                      <a:noFill/>
                    </a:ln>
                  </pic:spPr>
                </pic:pic>
              </a:graphicData>
            </a:graphic>
          </wp:inline>
        </w:drawing>
      </w:r>
    </w:p>
    <w:p w14:paraId="5DA48959" w14:textId="77777777" w:rsidR="00194A8E" w:rsidRDefault="00194A8E">
      <w:pPr>
        <w:rPr>
          <w:rFonts w:ascii="Arial" w:hAnsi="Arial"/>
          <w:sz w:val="20"/>
          <w:szCs w:val="20"/>
        </w:rPr>
      </w:pPr>
    </w:p>
    <w:p w14:paraId="0C35F5D9" w14:textId="77777777" w:rsidR="007640EB" w:rsidRDefault="007640EB" w:rsidP="007469BB">
      <w:pPr>
        <w:pStyle w:val="IRPsanstext"/>
        <w:rPr>
          <w:b/>
          <w:color w:val="156570"/>
          <w:sz w:val="28"/>
        </w:rPr>
      </w:pPr>
    </w:p>
    <w:p w14:paraId="0D25497F" w14:textId="77777777" w:rsidR="007469BB" w:rsidRDefault="0012632A" w:rsidP="007469BB">
      <w:pPr>
        <w:pStyle w:val="IRPsanstext"/>
      </w:pPr>
      <w:r>
        <w:rPr>
          <w:b/>
          <w:color w:val="156570"/>
          <w:sz w:val="28"/>
        </w:rPr>
        <w:t>Demand-side Resources (DSR)</w:t>
      </w:r>
      <w:r w:rsidRPr="007B0AC0">
        <w:rPr>
          <w:b/>
          <w:color w:val="156570"/>
          <w:sz w:val="28"/>
        </w:rPr>
        <w:t>.</w:t>
      </w:r>
      <w:r w:rsidRPr="00D46869">
        <w:t xml:space="preserve"> </w:t>
      </w:r>
      <w:r w:rsidR="00A354A8">
        <w:t>A</w:t>
      </w:r>
      <w:r w:rsidR="00E04B9A">
        <w:t xml:space="preserve">nalysis </w:t>
      </w:r>
      <w:r>
        <w:t xml:space="preserve">in this IRP </w:t>
      </w:r>
      <w:r w:rsidR="00E04B9A">
        <w:t xml:space="preserve">applies a 10-year ramp rate for acquisition of DSR measures. Analysis of 10- and 20-year ramp rates in prior IRPs has consistently found the 10-year rate to be more cost effective. </w:t>
      </w:r>
      <w:r w:rsidR="007469BB" w:rsidRPr="005923AC">
        <w:t>Ten years is chosen because it aligns with the amount of savings that can practically be acquired at the program implementation level.</w:t>
      </w:r>
    </w:p>
    <w:p w14:paraId="6A81416F" w14:textId="77777777" w:rsidR="007B0AC0" w:rsidRDefault="007B0AC0" w:rsidP="007B0AC0">
      <w:pPr>
        <w:pStyle w:val="IRPsanstext"/>
        <w:rPr>
          <w:b/>
          <w:bCs/>
          <w:color w:val="006A71"/>
          <w:sz w:val="28"/>
          <w:szCs w:val="40"/>
        </w:rPr>
      </w:pPr>
    </w:p>
    <w:p w14:paraId="7BB83748" w14:textId="77777777" w:rsidR="00502F86" w:rsidRDefault="00502F86">
      <w:pPr>
        <w:rPr>
          <w:rFonts w:ascii="Arial" w:hAnsi="Arial"/>
          <w:b/>
          <w:color w:val="156570"/>
          <w:sz w:val="28"/>
          <w:szCs w:val="20"/>
        </w:rPr>
      </w:pPr>
      <w:bookmarkStart w:id="0" w:name="_GoBack"/>
      <w:bookmarkEnd w:id="0"/>
      <w:r>
        <w:rPr>
          <w:b/>
          <w:color w:val="156570"/>
          <w:sz w:val="28"/>
        </w:rPr>
        <w:br w:type="page"/>
      </w:r>
    </w:p>
    <w:p w14:paraId="652DBDF0" w14:textId="77777777" w:rsidR="00E04B9A" w:rsidRPr="007B0AC0" w:rsidRDefault="007469BB" w:rsidP="007B0AC0">
      <w:pPr>
        <w:pStyle w:val="IRPsanstext"/>
      </w:pPr>
      <w:proofErr w:type="gramStart"/>
      <w:r>
        <w:rPr>
          <w:b/>
          <w:color w:val="156570"/>
          <w:sz w:val="28"/>
        </w:rPr>
        <w:lastRenderedPageBreak/>
        <w:t xml:space="preserve">PSE </w:t>
      </w:r>
      <w:r w:rsidR="00E04B9A" w:rsidRPr="007B0AC0">
        <w:rPr>
          <w:b/>
          <w:color w:val="156570"/>
          <w:sz w:val="28"/>
        </w:rPr>
        <w:t>LNG Project.</w:t>
      </w:r>
      <w:proofErr w:type="gramEnd"/>
      <w:r w:rsidR="00E04B9A" w:rsidRPr="00D46869">
        <w:t xml:space="preserve"> PSE is in the early stages of developing a liquefied natural gas (LNG) project to provide peak day supply</w:t>
      </w:r>
      <w:r>
        <w:t xml:space="preserve"> to PSE’s gas customers</w:t>
      </w:r>
      <w:r w:rsidR="00E04B9A" w:rsidRPr="00D46869">
        <w:t xml:space="preserve"> as part of a larger LNG project that would support the needs of emerging transportation markets. Converting local maritime traffic and truck transport to natural gas fuel will significantly improve local air quality and reduce greenhouse gas emissions. If such a multi-purpose project is constructed, this IRP finds the project’s capacity to provide peaking supplies would be cost effective for our gas customers.</w:t>
      </w:r>
    </w:p>
    <w:p w14:paraId="26DC98E6" w14:textId="77777777" w:rsidR="007B0AC0" w:rsidRDefault="007B0AC0" w:rsidP="007B0AC0">
      <w:pPr>
        <w:pStyle w:val="IRPsanstext"/>
        <w:rPr>
          <w:b/>
          <w:color w:val="3366FF"/>
          <w:sz w:val="28"/>
        </w:rPr>
      </w:pPr>
    </w:p>
    <w:p w14:paraId="77E27AEE" w14:textId="77777777" w:rsidR="007469BB" w:rsidRDefault="00E04B9A" w:rsidP="007B0AC0">
      <w:pPr>
        <w:pStyle w:val="IRPsanstext"/>
      </w:pPr>
      <w:r w:rsidRPr="007B0AC0">
        <w:rPr>
          <w:b/>
          <w:color w:val="156570"/>
          <w:sz w:val="28"/>
        </w:rPr>
        <w:t>Swarr Upgrade.</w:t>
      </w:r>
      <w:r w:rsidRPr="00D46869">
        <w:t xml:space="preserve"> This IRP finds that </w:t>
      </w:r>
      <w:r w:rsidR="007469BB">
        <w:t>upgrading</w:t>
      </w:r>
      <w:r w:rsidR="007469BB" w:rsidRPr="00D46869">
        <w:t xml:space="preserve"> </w:t>
      </w:r>
      <w:r w:rsidRPr="00D46869">
        <w:t xml:space="preserve">the Swarr LP-Air facility </w:t>
      </w:r>
      <w:r w:rsidR="007469BB" w:rsidRPr="00891D84">
        <w:t xml:space="preserve">environmental safety and reliability systems and </w:t>
      </w:r>
      <w:r w:rsidR="009A2833">
        <w:t>returning the Swarr</w:t>
      </w:r>
      <w:r w:rsidR="007469BB" w:rsidRPr="00891D84">
        <w:t xml:space="preserve"> production capacity </w:t>
      </w:r>
      <w:r w:rsidRPr="00D46869">
        <w:t>to its original 30 MDth per day capability may be a cost</w:t>
      </w:r>
      <w:r>
        <w:t>-</w:t>
      </w:r>
      <w:r w:rsidRPr="00D46869">
        <w:t xml:space="preserve">effective resource. Swarr is a propane-air injection facility on PSE’s gas distribution system that operates as a needle-peaking facility. Propane and air are combined in a prescribed ratio to ensure the mixture injected into the distribution system maintains the same heat content as natural gas. </w:t>
      </w:r>
      <w:r w:rsidR="007469BB">
        <w:t xml:space="preserve">Preliminary work necessary to </w:t>
      </w:r>
      <w:r w:rsidR="00B21DAB">
        <w:t xml:space="preserve">upgrade </w:t>
      </w:r>
      <w:r w:rsidR="007469BB">
        <w:t>Swarr</w:t>
      </w:r>
      <w:r w:rsidR="007469BB" w:rsidRPr="00CE01CA">
        <w:t xml:space="preserve"> </w:t>
      </w:r>
      <w:r w:rsidR="007469BB">
        <w:t>is under way.</w:t>
      </w:r>
    </w:p>
    <w:p w14:paraId="4692F253" w14:textId="77777777" w:rsidR="007B0AC0" w:rsidRDefault="007B0AC0" w:rsidP="007B0AC0">
      <w:pPr>
        <w:pStyle w:val="IRPsanstext"/>
        <w:rPr>
          <w:b/>
          <w:color w:val="3366FF"/>
          <w:sz w:val="28"/>
        </w:rPr>
      </w:pPr>
    </w:p>
    <w:p w14:paraId="0E67295B" w14:textId="77777777" w:rsidR="00E04B9A" w:rsidRPr="00D46869" w:rsidRDefault="00E04B9A" w:rsidP="007B0AC0">
      <w:pPr>
        <w:pStyle w:val="IRPsanstext"/>
      </w:pPr>
      <w:proofErr w:type="gramStart"/>
      <w:r w:rsidRPr="007B0AC0">
        <w:rPr>
          <w:b/>
          <w:color w:val="156570"/>
          <w:sz w:val="28"/>
        </w:rPr>
        <w:t>Northwest Pipeline/Westcoast Expansion.</w:t>
      </w:r>
      <w:proofErr w:type="gramEnd"/>
      <w:r w:rsidRPr="00D46869">
        <w:t xml:space="preserve"> Additional transportation capacity from the producing </w:t>
      </w:r>
      <w:r>
        <w:t>regions in British Columbia</w:t>
      </w:r>
      <w:r w:rsidRPr="00D46869">
        <w:t xml:space="preserve"> at Station 2 south to PSE’s system </w:t>
      </w:r>
      <w:r w:rsidR="007469BB">
        <w:t xml:space="preserve">on the Westcoast pipeline </w:t>
      </w:r>
      <w:r>
        <w:t>is</w:t>
      </w:r>
      <w:r w:rsidRPr="00D46869">
        <w:t xml:space="preserve"> also </w:t>
      </w:r>
      <w:r>
        <w:t>forecast</w:t>
      </w:r>
      <w:r w:rsidR="003E17FF">
        <w:t xml:space="preserve"> as cost effective beginning in 2022 based on lower projected pipeline costs than the alternatives.  </w:t>
      </w:r>
    </w:p>
    <w:p w14:paraId="26AA3B50" w14:textId="77777777" w:rsidR="007B0AC0" w:rsidRDefault="007B0AC0" w:rsidP="007B0AC0">
      <w:pPr>
        <w:pStyle w:val="IRPsanstext"/>
        <w:rPr>
          <w:b/>
          <w:color w:val="3366FF"/>
          <w:sz w:val="28"/>
        </w:rPr>
      </w:pPr>
    </w:p>
    <w:p w14:paraId="6BB228D4" w14:textId="77777777" w:rsidR="003E17FF" w:rsidRDefault="003E17FF" w:rsidP="003E17FF">
      <w:pPr>
        <w:pStyle w:val="IRPsanstext"/>
      </w:pPr>
      <w:r w:rsidRPr="00893189">
        <w:rPr>
          <w:b/>
          <w:color w:val="006C71"/>
          <w:sz w:val="28"/>
        </w:rPr>
        <w:t>Mist Storage Expansion.</w:t>
      </w:r>
      <w:r w:rsidRPr="00105028">
        <w:rPr>
          <w:sz w:val="18"/>
        </w:rPr>
        <w:t xml:space="preserve"> </w:t>
      </w:r>
      <w:r>
        <w:rPr>
          <w:sz w:val="18"/>
        </w:rPr>
        <w:t xml:space="preserve"> </w:t>
      </w:r>
      <w:r w:rsidRPr="007F71CB">
        <w:t xml:space="preserve">The Mist storage expansion is selected in most scenarios starting in 2026-27. </w:t>
      </w:r>
      <w:r>
        <w:t>This result means that PSE will continue to consider pursuing acquiring storage capacity at Mist, keeping in mind that Mist expansion is</w:t>
      </w:r>
      <w:r w:rsidRPr="008A1B61">
        <w:t xml:space="preserve"> dependent on expansion of NWP from Sumas to </w:t>
      </w:r>
      <w:r>
        <w:t xml:space="preserve">the </w:t>
      </w:r>
      <w:r w:rsidRPr="008A1B61">
        <w:t>Portland area.</w:t>
      </w:r>
    </w:p>
    <w:p w14:paraId="2CD532C5" w14:textId="77777777" w:rsidR="003E17FF" w:rsidRDefault="003E17FF" w:rsidP="003E17FF">
      <w:pPr>
        <w:pStyle w:val="IRPsanstext"/>
      </w:pPr>
      <w:r w:rsidRPr="007F71CB">
        <w:tab/>
      </w:r>
    </w:p>
    <w:p w14:paraId="0A097CD2" w14:textId="77777777" w:rsidR="00E04B9A" w:rsidRPr="00D46869" w:rsidRDefault="00E04B9A" w:rsidP="007B0AC0">
      <w:pPr>
        <w:pStyle w:val="IRPsanstext"/>
      </w:pPr>
      <w:r w:rsidRPr="007B0AC0">
        <w:rPr>
          <w:b/>
          <w:color w:val="156570"/>
          <w:sz w:val="28"/>
        </w:rPr>
        <w:t>Cross Cascades Expansion.</w:t>
      </w:r>
      <w:r w:rsidRPr="00D46869">
        <w:t xml:space="preserve">  </w:t>
      </w:r>
      <w:r w:rsidR="003E17FF">
        <w:t xml:space="preserve">The analysis in this IRP indicated that in the later years of the planning horizon, a Cross Cascades expansion coupled with existing or new upstream pipeline to </w:t>
      </w:r>
      <w:r w:rsidR="00FB044D">
        <w:t xml:space="preserve">the liquid </w:t>
      </w:r>
      <w:r w:rsidR="003E17FF">
        <w:t xml:space="preserve">AECO or Malin gas hubs could be a cost-effective option for our gas customers.  PSE will continue to </w:t>
      </w:r>
      <w:r w:rsidR="00FB044D">
        <w:t>consider these pipeline expansion options as they become more tangible and analyze their potential benefit for our customers as cost-effective resources.</w:t>
      </w:r>
      <w:r w:rsidR="003E17FF">
        <w:t xml:space="preserve">  </w:t>
      </w:r>
    </w:p>
    <w:p w14:paraId="2906422E" w14:textId="77777777" w:rsidR="00E04B9A" w:rsidRDefault="00E04B9A" w:rsidP="007B0AC0">
      <w:pPr>
        <w:pStyle w:val="IRPsanstext"/>
        <w:rPr>
          <w:b/>
          <w:caps/>
          <w:sz w:val="36"/>
        </w:rPr>
      </w:pPr>
      <w:r w:rsidRPr="00D46869">
        <w:br/>
      </w:r>
    </w:p>
    <w:p w14:paraId="7025B9E5" w14:textId="77777777" w:rsidR="009A39E6" w:rsidRDefault="00E04B9A" w:rsidP="00E04B9A">
      <w:pPr>
        <w:spacing w:line="319" w:lineRule="auto"/>
        <w:rPr>
          <w:rFonts w:ascii="Arial" w:hAnsi="Arial"/>
          <w:b/>
          <w:caps/>
          <w:sz w:val="36"/>
          <w:szCs w:val="20"/>
        </w:rPr>
      </w:pPr>
      <w:r>
        <w:rPr>
          <w:rFonts w:ascii="Arial" w:hAnsi="Arial"/>
          <w:b/>
          <w:caps/>
          <w:sz w:val="36"/>
          <w:szCs w:val="20"/>
        </w:rPr>
        <w:br w:type="page"/>
      </w:r>
    </w:p>
    <w:p w14:paraId="72598890" w14:textId="77777777" w:rsidR="00E04B9A" w:rsidRPr="009A39E6" w:rsidRDefault="00E04B9A" w:rsidP="00E04B9A">
      <w:pPr>
        <w:spacing w:line="319" w:lineRule="auto"/>
        <w:rPr>
          <w:rFonts w:ascii="Arial" w:hAnsi="Arial"/>
          <w:b/>
          <w:caps/>
          <w:color w:val="156570"/>
          <w:sz w:val="32"/>
          <w:szCs w:val="32"/>
        </w:rPr>
      </w:pPr>
      <w:r w:rsidRPr="009A39E6">
        <w:rPr>
          <w:rFonts w:ascii="Arial" w:hAnsi="Arial"/>
          <w:b/>
          <w:caps/>
          <w:color w:val="156570"/>
          <w:sz w:val="32"/>
          <w:szCs w:val="32"/>
        </w:rPr>
        <w:lastRenderedPageBreak/>
        <w:t>The IRP and the Resource Acquisition Process</w:t>
      </w:r>
    </w:p>
    <w:p w14:paraId="6FD8FE9C" w14:textId="77777777" w:rsidR="00E04B9A" w:rsidRPr="00D46869" w:rsidRDefault="00E04B9A" w:rsidP="009A39E6">
      <w:pPr>
        <w:pStyle w:val="IRPsanstext"/>
      </w:pPr>
    </w:p>
    <w:p w14:paraId="72ACA213" w14:textId="77777777" w:rsidR="00E04B9A" w:rsidRPr="00D46869" w:rsidRDefault="00E04B9A" w:rsidP="009A39E6">
      <w:pPr>
        <w:pStyle w:val="IRPsanstext"/>
        <w:rPr>
          <w:rFonts w:cs="Arial"/>
          <w:b/>
          <w:bCs/>
          <w:color w:val="757563"/>
          <w:sz w:val="40"/>
          <w:szCs w:val="40"/>
        </w:rPr>
      </w:pPr>
      <w:r w:rsidRPr="00D46869">
        <w:t>The IRP is not a substitute for the resource-specific analysis done to support specific acquisitions, though one of its primary purposes is to inform the acquisition process. The action plans presented here help PSE focus on key decision-points it may face during the next 20 years so that we can be prepared to meet needs in a timely fashion.</w:t>
      </w:r>
    </w:p>
    <w:p w14:paraId="63D2B966" w14:textId="77777777" w:rsidR="00E04B9A" w:rsidRPr="00D46869" w:rsidRDefault="00E04B9A" w:rsidP="009A39E6">
      <w:pPr>
        <w:pStyle w:val="IRPsanstext"/>
      </w:pPr>
    </w:p>
    <w:p w14:paraId="261F59B2" w14:textId="77777777" w:rsidR="00E04B9A" w:rsidRPr="00D46869" w:rsidRDefault="00E04B9A" w:rsidP="009A39E6">
      <w:pPr>
        <w:pStyle w:val="IRPsanstext"/>
      </w:pPr>
      <w:r w:rsidRPr="00D46869">
        <w:t>Figure 1-</w:t>
      </w:r>
      <w:r>
        <w:t>13</w:t>
      </w:r>
      <w:r w:rsidRPr="00D46869">
        <w:t xml:space="preserve"> illustrates the relationship between the IRP and activities related to resource acquisitions. Specifically, the chart shows how the IRP directly informs other acquisition and decision processes. In Washington, the formal RFP processes for demand-side and supply-side resources are just one source of information for making acquisition decisions. Market opportunities outside the RFP and self-build (or PSE demand-side resource programs) must also be considered when making prudent resource acquisition decisions. Figure 1-</w:t>
      </w:r>
      <w:r>
        <w:t>13</w:t>
      </w:r>
      <w:r w:rsidRPr="00D46869">
        <w:t xml:space="preserve"> also illustrates that information from the IRP also provides information to the local infrastructure planning process.  </w:t>
      </w:r>
    </w:p>
    <w:p w14:paraId="1BC0BAC3" w14:textId="77777777" w:rsidR="00E04B9A" w:rsidRPr="00D46869" w:rsidRDefault="00E04B9A" w:rsidP="009A39E6">
      <w:pPr>
        <w:pStyle w:val="IRPsanstext"/>
      </w:pPr>
    </w:p>
    <w:p w14:paraId="4BC98E0D" w14:textId="77777777" w:rsidR="00E04B9A" w:rsidRPr="00E57D21" w:rsidRDefault="00E04B9A" w:rsidP="009A39E6">
      <w:pPr>
        <w:pStyle w:val="IRPFigureSub"/>
      </w:pPr>
      <w:r w:rsidRPr="00E57D21">
        <w:t>Figure 1-</w:t>
      </w:r>
      <w:r>
        <w:t>13</w:t>
      </w:r>
      <w:r w:rsidRPr="00E57D21">
        <w:t>: Relationship of IRP to Resource Decision Processes</w:t>
      </w:r>
    </w:p>
    <w:p w14:paraId="0E5B5FF1" w14:textId="77777777" w:rsidR="00E04B9A" w:rsidRPr="00D46869" w:rsidRDefault="00E04B9A" w:rsidP="00E04B9A">
      <w:pPr>
        <w:spacing w:line="319" w:lineRule="auto"/>
        <w:rPr>
          <w:rFonts w:ascii="Arial" w:hAnsi="Arial"/>
          <w:sz w:val="20"/>
          <w:szCs w:val="20"/>
        </w:rPr>
      </w:pPr>
    </w:p>
    <w:p w14:paraId="627C6482" w14:textId="77777777" w:rsidR="00E04B9A" w:rsidRPr="00D46869" w:rsidRDefault="00E04B9A" w:rsidP="00E04B9A">
      <w:pPr>
        <w:spacing w:line="319" w:lineRule="auto"/>
        <w:rPr>
          <w:rFonts w:ascii="Arial" w:hAnsi="Arial"/>
          <w:sz w:val="20"/>
          <w:szCs w:val="20"/>
        </w:rPr>
      </w:pPr>
    </w:p>
    <w:p w14:paraId="5928C5C3" w14:textId="77777777" w:rsidR="00E04B9A" w:rsidRPr="00D46869" w:rsidRDefault="006976A0" w:rsidP="00E04B9A">
      <w:pPr>
        <w:spacing w:line="319" w:lineRule="auto"/>
        <w:rPr>
          <w:rFonts w:ascii="Arial" w:hAnsi="Arial"/>
          <w:sz w:val="20"/>
          <w:szCs w:val="20"/>
        </w:rPr>
      </w:pPr>
      <w:r>
        <w:object w:dxaOrig="14754" w:dyaOrig="7835" w14:anchorId="49D2E6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29.5pt" o:ole="">
            <v:imagedata r:id="rId19" o:title=""/>
          </v:shape>
          <o:OLEObject Type="Embed" ProgID="Visio.Drawing.11" ShapeID="_x0000_i1025" DrawAspect="Content" ObjectID="_1509448955" r:id="rId20"/>
        </w:object>
      </w:r>
    </w:p>
    <w:p w14:paraId="0C37B152" w14:textId="77777777" w:rsidR="00E04B9A" w:rsidRPr="00D46869" w:rsidRDefault="00E04B9A" w:rsidP="00E04B9A">
      <w:pPr>
        <w:spacing w:line="319" w:lineRule="auto"/>
        <w:rPr>
          <w:rFonts w:ascii="Arial" w:hAnsi="Arial"/>
          <w:sz w:val="22"/>
        </w:rPr>
      </w:pPr>
    </w:p>
    <w:sectPr w:rsidR="00E04B9A" w:rsidRPr="00D46869" w:rsidSect="000E4936">
      <w:headerReference w:type="default" r:id="rId21"/>
      <w:footerReference w:type="default" r:id="rId22"/>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0132A6" w14:textId="77777777" w:rsidR="00F34276" w:rsidRDefault="00F34276" w:rsidP="00601E72">
      <w:r>
        <w:separator/>
      </w:r>
    </w:p>
  </w:endnote>
  <w:endnote w:type="continuationSeparator" w:id="0">
    <w:p w14:paraId="6CA4556F" w14:textId="77777777" w:rsidR="00F34276" w:rsidRDefault="00F34276" w:rsidP="00601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Italic">
    <w:panose1 w:val="020B0604020202090204"/>
    <w:charset w:val="00"/>
    <w:family w:val="auto"/>
    <w:pitch w:val="variable"/>
    <w:sig w:usb0="E0000AFF" w:usb1="00007843" w:usb2="0000000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6BBB27" w14:textId="77777777" w:rsidR="00643810" w:rsidRPr="00A075A9" w:rsidRDefault="00643810" w:rsidP="0020632A">
    <w:pPr>
      <w:pStyle w:val="Footer"/>
      <w:framePr w:wrap="around" w:vAnchor="text" w:hAnchor="margin" w:xAlign="center" w:y="1"/>
      <w:rPr>
        <w:rStyle w:val="PageNumber"/>
      </w:rPr>
    </w:pPr>
    <w:r>
      <w:rPr>
        <w:rStyle w:val="PageNumber"/>
        <w:rFonts w:ascii="Palatino" w:hAnsi="Palatino"/>
        <w:i/>
        <w:sz w:val="20"/>
        <w:szCs w:val="20"/>
      </w:rPr>
      <w:t xml:space="preserve">1 </w:t>
    </w:r>
    <w:r w:rsidRPr="00A075A9">
      <w:rPr>
        <w:rStyle w:val="PageNumber"/>
        <w:rFonts w:ascii="Palatino" w:hAnsi="Palatino"/>
        <w:i/>
        <w:sz w:val="20"/>
        <w:szCs w:val="20"/>
      </w:rPr>
      <w:t xml:space="preserve">- </w:t>
    </w:r>
    <w:r w:rsidR="00B30692" w:rsidRPr="00A075A9">
      <w:rPr>
        <w:rStyle w:val="PageNumber"/>
        <w:rFonts w:ascii="Palatino" w:hAnsi="Palatino"/>
        <w:i/>
        <w:sz w:val="20"/>
        <w:szCs w:val="20"/>
      </w:rPr>
      <w:fldChar w:fldCharType="begin"/>
    </w:r>
    <w:r w:rsidRPr="00A075A9">
      <w:rPr>
        <w:rStyle w:val="PageNumber"/>
        <w:rFonts w:ascii="Palatino" w:hAnsi="Palatino"/>
        <w:i/>
        <w:sz w:val="20"/>
        <w:szCs w:val="20"/>
      </w:rPr>
      <w:instrText xml:space="preserve">PAGE  </w:instrText>
    </w:r>
    <w:r w:rsidR="00B30692" w:rsidRPr="00A075A9">
      <w:rPr>
        <w:rStyle w:val="PageNumber"/>
        <w:rFonts w:ascii="Palatino" w:hAnsi="Palatino"/>
        <w:i/>
        <w:sz w:val="20"/>
        <w:szCs w:val="20"/>
      </w:rPr>
      <w:fldChar w:fldCharType="separate"/>
    </w:r>
    <w:r w:rsidR="00C52FDB">
      <w:rPr>
        <w:rStyle w:val="PageNumber"/>
        <w:rFonts w:ascii="Palatino" w:hAnsi="Palatino"/>
        <w:i/>
        <w:noProof/>
        <w:sz w:val="20"/>
        <w:szCs w:val="20"/>
      </w:rPr>
      <w:t>17</w:t>
    </w:r>
    <w:r w:rsidR="00B30692" w:rsidRPr="00A075A9">
      <w:rPr>
        <w:rStyle w:val="PageNumber"/>
        <w:rFonts w:ascii="Palatino" w:hAnsi="Palatino"/>
        <w:i/>
        <w:sz w:val="20"/>
        <w:szCs w:val="20"/>
      </w:rPr>
      <w:fldChar w:fldCharType="end"/>
    </w:r>
  </w:p>
  <w:p w14:paraId="4DF7C44C" w14:textId="77777777" w:rsidR="00643810" w:rsidRDefault="00DA3F26" w:rsidP="0020632A">
    <w:pPr>
      <w:pStyle w:val="Footer"/>
      <w:jc w:val="center"/>
      <w:rPr>
        <w:rFonts w:ascii="Palatino" w:hAnsi="Palatino"/>
      </w:rPr>
    </w:pPr>
    <w:r>
      <w:rPr>
        <w:rFonts w:ascii="Palatino" w:hAnsi="Palatino"/>
        <w:noProof/>
        <w:lang w:eastAsia="en-US"/>
      </w:rPr>
      <mc:AlternateContent>
        <mc:Choice Requires="wps">
          <w:drawing>
            <wp:anchor distT="0" distB="0" distL="114300" distR="114300" simplePos="0" relativeHeight="251661312" behindDoc="0" locked="0" layoutInCell="1" allowOverlap="1" wp14:anchorId="546B2C9C" wp14:editId="2E9B39E2">
              <wp:simplePos x="0" y="0"/>
              <wp:positionH relativeFrom="column">
                <wp:posOffset>4280535</wp:posOffset>
              </wp:positionH>
              <wp:positionV relativeFrom="paragraph">
                <wp:posOffset>-118745</wp:posOffset>
              </wp:positionV>
              <wp:extent cx="1143000" cy="342900"/>
              <wp:effectExtent l="0" t="0" r="0" b="0"/>
              <wp:wrapThrough wrapText="bothSides">
                <wp:wrapPolygon edited="0">
                  <wp:start x="480" y="1600"/>
                  <wp:lineTo x="480" y="17600"/>
                  <wp:lineTo x="20640" y="17600"/>
                  <wp:lineTo x="20640" y="1600"/>
                  <wp:lineTo x="480" y="1600"/>
                </wp:wrapPolygon>
              </wp:wrapThrough>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040D3126" w14:textId="77777777" w:rsidR="00643810" w:rsidRPr="00386D51" w:rsidRDefault="00643810" w:rsidP="00913829">
                          <w:pPr>
                            <w:jc w:val="right"/>
                            <w:rPr>
                              <w:rFonts w:ascii="Palatino" w:hAnsi="Palatino"/>
                              <w:i/>
                              <w:color w:val="156570"/>
                              <w:sz w:val="20"/>
                              <w:szCs w:val="20"/>
                            </w:rPr>
                          </w:pPr>
                          <w:r w:rsidRPr="00386D51">
                            <w:rPr>
                              <w:rFonts w:ascii="Palatino" w:eastAsiaTheme="minorEastAsia" w:hAnsi="Palatino" w:cs="Arial"/>
                              <w:i/>
                              <w:color w:val="156570"/>
                              <w:sz w:val="20"/>
                              <w:szCs w:val="20"/>
                            </w:rPr>
                            <w:t xml:space="preserve">2015 PSE IRP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30" o:spid="_x0000_s1028" type="#_x0000_t202" style="position:absolute;left:0;text-align:left;margin-left:337.05pt;margin-top:-9.3pt;width:90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" filled="f" stroked="f">
              <v:textbox inset=",7.2pt,,7.2pt">
                <w:txbxContent>
                  <w:p w14:paraId="040D3126" w14:textId="77777777" w:rsidR="00643810" w:rsidRPr="00386D51" w:rsidRDefault="00643810" w:rsidP="00913829">
                    <w:pPr>
                      <w:jc w:val="right"/>
                      <w:rPr>
                        <w:rFonts w:ascii="Palatino" w:hAnsi="Palatino"/>
                        <w:i/>
                        <w:color w:val="156570"/>
                        <w:sz w:val="20"/>
                        <w:szCs w:val="20"/>
                      </w:rPr>
                    </w:pPr>
                    <w:r w:rsidRPr="00386D51">
                      <w:rPr>
                        <w:rFonts w:ascii="Palatino" w:eastAsiaTheme="minorEastAsia" w:hAnsi="Palatino" w:cs="Arial"/>
                        <w:i/>
                        <w:color w:val="156570"/>
                        <w:sz w:val="20"/>
                        <w:szCs w:val="20"/>
                      </w:rPr>
                      <w:t xml:space="preserve">2015 PSE IRP </w:t>
                    </w:r>
                  </w:p>
                </w:txbxContent>
              </v:textbox>
              <w10:wrap type="through"/>
            </v:shape>
          </w:pict>
        </mc:Fallback>
      </mc:AlternateContent>
    </w:r>
  </w:p>
  <w:p w14:paraId="35327E7D" w14:textId="77777777" w:rsidR="00643810" w:rsidRPr="0020632A" w:rsidRDefault="00643810" w:rsidP="0020632A">
    <w:pPr>
      <w:pStyle w:val="Footer"/>
      <w:jc w:val="center"/>
      <w:rPr>
        <w:rFonts w:ascii="Palatino" w:hAnsi="Palatin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DA18A0" w14:textId="77777777" w:rsidR="00F34276" w:rsidRDefault="00F34276" w:rsidP="00601E72">
      <w:r>
        <w:separator/>
      </w:r>
    </w:p>
  </w:footnote>
  <w:footnote w:type="continuationSeparator" w:id="0">
    <w:p w14:paraId="0F243C8E" w14:textId="77777777" w:rsidR="00F34276" w:rsidRDefault="00F34276" w:rsidP="00601E72">
      <w:r>
        <w:continuationSeparator/>
      </w:r>
    </w:p>
  </w:footnote>
  <w:footnote w:id="1">
    <w:p w14:paraId="14086B72" w14:textId="77777777" w:rsidR="00643810" w:rsidRPr="00BD3495" w:rsidRDefault="00643810" w:rsidP="00BD3495">
      <w:pPr>
        <w:pStyle w:val="IRPfooter"/>
        <w:rPr>
          <w:sz w:val="20"/>
        </w:rPr>
      </w:pPr>
      <w:r w:rsidRPr="00BD3495">
        <w:rPr>
          <w:rStyle w:val="FootnoteReference"/>
          <w:sz w:val="20"/>
          <w:vertAlign w:val="baseline"/>
        </w:rPr>
        <w:footnoteRef/>
      </w:r>
      <w:r>
        <w:rPr>
          <w:sz w:val="20"/>
        </w:rPr>
        <w:t xml:space="preserve"> / The NPCC, PNUCC and BPA regional resource adequacy studies used in the preparation of this IRP analysis are available in Appendix F.</w:t>
      </w:r>
    </w:p>
  </w:footnote>
  <w:footnote w:id="2">
    <w:p w14:paraId="220EADD0" w14:textId="77777777" w:rsidR="00643810" w:rsidRPr="00B21DAB" w:rsidRDefault="00643810" w:rsidP="00FA31E4">
      <w:pPr>
        <w:pStyle w:val="IRPfooter"/>
        <w:rPr>
          <w:sz w:val="18"/>
          <w:szCs w:val="18"/>
        </w:rPr>
      </w:pPr>
      <w:r w:rsidRPr="00B21DAB">
        <w:rPr>
          <w:rStyle w:val="FootnoteReference"/>
          <w:sz w:val="18"/>
          <w:szCs w:val="18"/>
          <w:vertAlign w:val="baseline"/>
        </w:rPr>
        <w:footnoteRef/>
      </w:r>
      <w:r w:rsidRPr="00B21DAB">
        <w:rPr>
          <w:sz w:val="18"/>
          <w:szCs w:val="18"/>
        </w:rPr>
        <w:t xml:space="preserve"> / From Figure 1-</w:t>
      </w:r>
      <w:r>
        <w:rPr>
          <w:sz w:val="18"/>
          <w:szCs w:val="18"/>
        </w:rPr>
        <w:t>1.</w:t>
      </w:r>
      <w:r w:rsidRPr="00B21DAB">
        <w:rPr>
          <w:sz w:val="18"/>
          <w:szCs w:val="18"/>
        </w:rPr>
        <w:t xml:space="preserve"> </w:t>
      </w:r>
      <w:r>
        <w:rPr>
          <w:sz w:val="18"/>
          <w:szCs w:val="18"/>
        </w:rPr>
        <w:t>This</w:t>
      </w:r>
      <w:r w:rsidRPr="00B21DAB">
        <w:rPr>
          <w:sz w:val="18"/>
          <w:szCs w:val="18"/>
        </w:rPr>
        <w:t xml:space="preserve"> is calculated by comparing the Expected Customer </w:t>
      </w:r>
      <w:r>
        <w:rPr>
          <w:sz w:val="18"/>
          <w:szCs w:val="18"/>
        </w:rPr>
        <w:t xml:space="preserve">Value of Lost Load (VOLL) in line 1(2013 Planning </w:t>
      </w:r>
      <w:r w:rsidRPr="00B21DAB">
        <w:rPr>
          <w:sz w:val="18"/>
          <w:szCs w:val="18"/>
        </w:rPr>
        <w:t xml:space="preserve">Standard </w:t>
      </w:r>
      <w:r>
        <w:rPr>
          <w:sz w:val="18"/>
          <w:szCs w:val="18"/>
        </w:rPr>
        <w:t>with</w:t>
      </w:r>
      <w:r w:rsidRPr="00B21DAB">
        <w:rPr>
          <w:sz w:val="18"/>
          <w:szCs w:val="18"/>
        </w:rPr>
        <w:t xml:space="preserve"> Market Risk</w:t>
      </w:r>
      <w:r>
        <w:rPr>
          <w:sz w:val="18"/>
          <w:szCs w:val="18"/>
        </w:rPr>
        <w:t>) with</w:t>
      </w:r>
      <w:r w:rsidRPr="00B21DAB">
        <w:rPr>
          <w:sz w:val="18"/>
          <w:szCs w:val="18"/>
        </w:rPr>
        <w:t xml:space="preserve"> the Expected </w:t>
      </w:r>
      <w:r>
        <w:rPr>
          <w:sz w:val="18"/>
          <w:szCs w:val="18"/>
        </w:rPr>
        <w:t>VOLL in line 2</w:t>
      </w:r>
      <w:r w:rsidRPr="00B21DAB">
        <w:rPr>
          <w:sz w:val="18"/>
          <w:szCs w:val="18"/>
        </w:rPr>
        <w:t xml:space="preserve"> </w:t>
      </w:r>
      <w:r>
        <w:rPr>
          <w:sz w:val="18"/>
          <w:szCs w:val="18"/>
        </w:rPr>
        <w:t xml:space="preserve">(2015 </w:t>
      </w:r>
      <w:r w:rsidRPr="00B21DAB">
        <w:rPr>
          <w:sz w:val="18"/>
          <w:szCs w:val="18"/>
        </w:rPr>
        <w:t>Optimal Planning Standard</w:t>
      </w:r>
      <w:r>
        <w:rPr>
          <w:sz w:val="18"/>
          <w:szCs w:val="18"/>
        </w:rPr>
        <w:t>)</w:t>
      </w:r>
      <w:r w:rsidRPr="00B21DAB">
        <w:rPr>
          <w:sz w:val="18"/>
          <w:szCs w:val="18"/>
        </w:rPr>
        <w:t xml:space="preserve">:  </w:t>
      </w:r>
      <w:r w:rsidRPr="00B21DAB">
        <w:rPr>
          <w:rFonts w:cs="Arial"/>
          <w:sz w:val="18"/>
          <w:szCs w:val="18"/>
        </w:rPr>
        <w:t>$169 million - $39 mil</w:t>
      </w:r>
      <w:r>
        <w:rPr>
          <w:rFonts w:cs="Arial"/>
          <w:sz w:val="18"/>
          <w:szCs w:val="18"/>
        </w:rPr>
        <w:t>lion</w:t>
      </w:r>
      <w:r w:rsidRPr="00B21DAB">
        <w:rPr>
          <w:rFonts w:cs="Arial"/>
          <w:sz w:val="18"/>
          <w:szCs w:val="18"/>
        </w:rPr>
        <w:t xml:space="preserve"> =</w:t>
      </w:r>
      <w:r>
        <w:rPr>
          <w:rFonts w:cs="Arial"/>
          <w:sz w:val="18"/>
          <w:szCs w:val="18"/>
        </w:rPr>
        <w:t xml:space="preserve"> </w:t>
      </w:r>
      <w:r w:rsidRPr="00B21DAB">
        <w:rPr>
          <w:rFonts w:cs="Arial"/>
          <w:sz w:val="18"/>
          <w:szCs w:val="18"/>
        </w:rPr>
        <w:t>$130 million.</w:t>
      </w:r>
    </w:p>
  </w:footnote>
  <w:footnote w:id="3">
    <w:p w14:paraId="282EBD49" w14:textId="77777777" w:rsidR="00643810" w:rsidRPr="00B21DAB" w:rsidRDefault="00643810" w:rsidP="00FA31E4">
      <w:pPr>
        <w:pStyle w:val="IRPfooter"/>
        <w:rPr>
          <w:sz w:val="18"/>
          <w:szCs w:val="18"/>
        </w:rPr>
      </w:pPr>
      <w:r w:rsidRPr="00B21DAB">
        <w:rPr>
          <w:rStyle w:val="FootnoteReference"/>
          <w:sz w:val="18"/>
          <w:szCs w:val="18"/>
          <w:vertAlign w:val="baseline"/>
        </w:rPr>
        <w:footnoteRef/>
      </w:r>
      <w:r w:rsidRPr="00B21DAB">
        <w:rPr>
          <w:sz w:val="18"/>
          <w:szCs w:val="18"/>
        </w:rPr>
        <w:t xml:space="preserve"> </w:t>
      </w:r>
      <w:proofErr w:type="gramStart"/>
      <w:r w:rsidRPr="004073CB">
        <w:rPr>
          <w:sz w:val="18"/>
          <w:szCs w:val="18"/>
        </w:rPr>
        <w:t>/  This</w:t>
      </w:r>
      <w:proofErr w:type="gramEnd"/>
      <w:r w:rsidRPr="004073CB">
        <w:rPr>
          <w:sz w:val="18"/>
          <w:szCs w:val="18"/>
        </w:rPr>
        <w:t xml:space="preserve"> value is derived by first calculating the difference between</w:t>
      </w:r>
      <w:r>
        <w:rPr>
          <w:sz w:val="18"/>
          <w:szCs w:val="18"/>
        </w:rPr>
        <w:t xml:space="preserve"> the surplus of 117 MW in line 1</w:t>
      </w:r>
      <w:r w:rsidRPr="004073CB">
        <w:rPr>
          <w:sz w:val="18"/>
          <w:szCs w:val="18"/>
        </w:rPr>
        <w:t xml:space="preserve"> (2013 Planning Standard </w:t>
      </w:r>
      <w:r>
        <w:rPr>
          <w:sz w:val="18"/>
          <w:szCs w:val="18"/>
        </w:rPr>
        <w:t>with</w:t>
      </w:r>
      <w:r w:rsidRPr="004073CB">
        <w:rPr>
          <w:sz w:val="18"/>
          <w:szCs w:val="18"/>
        </w:rPr>
        <w:t xml:space="preserve"> Market Risk) and the ne</w:t>
      </w:r>
      <w:r>
        <w:rPr>
          <w:sz w:val="18"/>
          <w:szCs w:val="18"/>
        </w:rPr>
        <w:t>ed (deficit) of 234 MW in line 2</w:t>
      </w:r>
      <w:r w:rsidRPr="004073CB">
        <w:rPr>
          <w:sz w:val="18"/>
          <w:szCs w:val="18"/>
        </w:rPr>
        <w:t xml:space="preserve"> (2015 Optimal Planning Standard). This value is then multiplied by the levelized cost of a peaker, estimated from the portfolio model at $</w:t>
      </w:r>
      <w:r>
        <w:rPr>
          <w:sz w:val="18"/>
          <w:szCs w:val="18"/>
        </w:rPr>
        <w:t>0.</w:t>
      </w:r>
      <w:r w:rsidRPr="004073CB">
        <w:rPr>
          <w:sz w:val="18"/>
          <w:szCs w:val="18"/>
        </w:rPr>
        <w:t xml:space="preserve">18 </w:t>
      </w:r>
      <w:r w:rsidR="001B098F">
        <w:rPr>
          <w:sz w:val="18"/>
          <w:szCs w:val="18"/>
        </w:rPr>
        <w:t xml:space="preserve">million </w:t>
      </w:r>
      <w:r w:rsidRPr="004073CB">
        <w:rPr>
          <w:sz w:val="18"/>
          <w:szCs w:val="18"/>
        </w:rPr>
        <w:t>per MW per year.  So: 234 MW – (-117 MW) = 351 MW. Then: 351 MW * $0.18</w:t>
      </w:r>
      <w:r w:rsidR="001B098F" w:rsidRPr="001B098F">
        <w:rPr>
          <w:sz w:val="18"/>
          <w:szCs w:val="18"/>
        </w:rPr>
        <w:t xml:space="preserve"> </w:t>
      </w:r>
      <w:r w:rsidR="001B098F">
        <w:rPr>
          <w:sz w:val="18"/>
          <w:szCs w:val="18"/>
        </w:rPr>
        <w:t xml:space="preserve">million </w:t>
      </w:r>
      <w:r w:rsidR="001B098F" w:rsidRPr="004073CB">
        <w:rPr>
          <w:sz w:val="18"/>
          <w:szCs w:val="18"/>
        </w:rPr>
        <w:t>per MW per year</w:t>
      </w:r>
      <w:r w:rsidR="001B098F" w:rsidRPr="004073CB" w:rsidDel="001B098F">
        <w:rPr>
          <w:sz w:val="18"/>
          <w:szCs w:val="18"/>
        </w:rPr>
        <w:t xml:space="preserve"> </w:t>
      </w:r>
      <w:r w:rsidRPr="004073CB">
        <w:rPr>
          <w:sz w:val="18"/>
          <w:szCs w:val="18"/>
        </w:rPr>
        <w:t>= $63 million</w:t>
      </w:r>
      <w:r w:rsidR="00185307">
        <w:rPr>
          <w:sz w:val="18"/>
          <w:szCs w:val="18"/>
        </w:rPr>
        <w:t xml:space="preserve"> per </w:t>
      </w:r>
      <w:r w:rsidRPr="004073CB">
        <w:rPr>
          <w:sz w:val="18"/>
          <w:szCs w:val="18"/>
        </w:rPr>
        <w:t xml:space="preserve">year.  </w:t>
      </w:r>
    </w:p>
  </w:footnote>
  <w:footnote w:id="4">
    <w:p w14:paraId="24206041" w14:textId="77777777" w:rsidR="00643810" w:rsidRPr="00B21DAB" w:rsidRDefault="00643810" w:rsidP="00B21DAB">
      <w:pPr>
        <w:pStyle w:val="IRPfooter"/>
        <w:rPr>
          <w:rStyle w:val="FootnoteReference"/>
          <w:rFonts w:ascii="Times New Roman" w:hAnsi="Times New Roman"/>
          <w:i w:val="0"/>
        </w:rPr>
      </w:pPr>
      <w:r w:rsidRPr="00B21DAB">
        <w:rPr>
          <w:rStyle w:val="FootnoteReference"/>
          <w:sz w:val="18"/>
          <w:szCs w:val="18"/>
          <w:vertAlign w:val="baseline"/>
        </w:rPr>
        <w:footnoteRef/>
      </w:r>
      <w:r w:rsidRPr="00B21DAB">
        <w:rPr>
          <w:rStyle w:val="FootnoteReference"/>
          <w:sz w:val="18"/>
          <w:szCs w:val="18"/>
          <w:vertAlign w:val="baseline"/>
        </w:rPr>
        <w:t xml:space="preserve"> /Risk here is defined as TailVar90, which is the mean of the worst 10</w:t>
      </w:r>
      <w:r>
        <w:rPr>
          <w:sz w:val="18"/>
          <w:szCs w:val="18"/>
        </w:rPr>
        <w:t xml:space="preserve"> percent</w:t>
      </w:r>
      <w:r w:rsidRPr="00B21DAB">
        <w:rPr>
          <w:rStyle w:val="FootnoteReference"/>
          <w:sz w:val="18"/>
          <w:szCs w:val="18"/>
          <w:vertAlign w:val="baseline"/>
        </w:rPr>
        <w:t xml:space="preserve"> of cases.  It is a good risk metric, because it measures how bad conditions </w:t>
      </w:r>
      <w:r>
        <w:rPr>
          <w:rStyle w:val="FootnoteReference"/>
          <w:sz w:val="18"/>
          <w:szCs w:val="18"/>
          <w:vertAlign w:val="baseline"/>
        </w:rPr>
        <w:t>c</w:t>
      </w:r>
      <w:r w:rsidRPr="00B21DAB">
        <w:rPr>
          <w:rStyle w:val="FootnoteReference"/>
          <w:sz w:val="18"/>
          <w:szCs w:val="18"/>
          <w:vertAlign w:val="baseline"/>
        </w:rPr>
        <w:t xml:space="preserve">ould be, in the event we find ourselves in </w:t>
      </w:r>
      <w:r>
        <w:rPr>
          <w:rStyle w:val="FootnoteReference"/>
          <w:sz w:val="18"/>
          <w:szCs w:val="18"/>
          <w:vertAlign w:val="baseline"/>
        </w:rPr>
        <w:t>extreme</w:t>
      </w:r>
      <w:r w:rsidRPr="00B21DAB">
        <w:rPr>
          <w:rStyle w:val="FootnoteReference"/>
          <w:sz w:val="18"/>
          <w:szCs w:val="18"/>
          <w:vertAlign w:val="baseline"/>
        </w:rPr>
        <w:t xml:space="preserve"> conditions. We use TailVar90 as the risk metric in both this planning standard analysis </w:t>
      </w:r>
      <w:r>
        <w:rPr>
          <w:rStyle w:val="FootnoteReference"/>
          <w:sz w:val="18"/>
          <w:szCs w:val="18"/>
          <w:vertAlign w:val="baseline"/>
        </w:rPr>
        <w:t>and</w:t>
      </w:r>
      <w:r w:rsidRPr="00B21DAB">
        <w:rPr>
          <w:rStyle w:val="FootnoteReference"/>
          <w:sz w:val="18"/>
          <w:szCs w:val="18"/>
          <w:vertAlign w:val="baseline"/>
        </w:rPr>
        <w:t xml:space="preserve"> the portfolio analysis.  </w:t>
      </w:r>
    </w:p>
  </w:footnote>
  <w:footnote w:id="5">
    <w:p w14:paraId="09196313" w14:textId="77777777" w:rsidR="00643810" w:rsidRPr="00861E42" w:rsidRDefault="00643810" w:rsidP="00FE6E78">
      <w:pPr>
        <w:pStyle w:val="FootnoteText"/>
        <w:rPr>
          <w:rFonts w:ascii="Palatino" w:hAnsi="Palatino"/>
          <w:i/>
          <w:sz w:val="20"/>
        </w:rPr>
      </w:pPr>
      <w:r w:rsidRPr="00C87C22">
        <w:rPr>
          <w:rStyle w:val="FootnoteReference"/>
          <w:rFonts w:ascii="Palatino" w:hAnsi="Palatino"/>
          <w:sz w:val="18"/>
          <w:szCs w:val="18"/>
          <w:vertAlign w:val="baseline"/>
        </w:rPr>
        <w:footnoteRef/>
      </w:r>
      <w:r w:rsidRPr="00C87C22">
        <w:rPr>
          <w:rFonts w:ascii="Palatino" w:hAnsi="Palatino"/>
          <w:sz w:val="18"/>
          <w:szCs w:val="18"/>
        </w:rPr>
        <w:t xml:space="preserve"> </w:t>
      </w:r>
      <w:r w:rsidRPr="00B21DAB">
        <w:rPr>
          <w:sz w:val="18"/>
          <w:szCs w:val="18"/>
        </w:rPr>
        <w:t xml:space="preserve">/ </w:t>
      </w:r>
      <w:r w:rsidRPr="004073CB">
        <w:rPr>
          <w:rFonts w:ascii="Palatino" w:hAnsi="Palatino"/>
          <w:i/>
          <w:sz w:val="18"/>
          <w:szCs w:val="18"/>
        </w:rPr>
        <w:t>/ $1,691 million</w:t>
      </w:r>
      <w:r>
        <w:rPr>
          <w:rFonts w:ascii="Palatino" w:hAnsi="Palatino"/>
          <w:i/>
          <w:sz w:val="18"/>
          <w:szCs w:val="18"/>
        </w:rPr>
        <w:t xml:space="preserve"> (line 1)</w:t>
      </w:r>
      <w:r w:rsidRPr="004073CB">
        <w:rPr>
          <w:rFonts w:ascii="Palatino" w:hAnsi="Palatino"/>
          <w:i/>
          <w:sz w:val="18"/>
          <w:szCs w:val="18"/>
        </w:rPr>
        <w:t xml:space="preserve"> - $385 million</w:t>
      </w:r>
      <w:r>
        <w:rPr>
          <w:rFonts w:ascii="Palatino" w:hAnsi="Palatino"/>
          <w:i/>
          <w:sz w:val="18"/>
          <w:szCs w:val="18"/>
        </w:rPr>
        <w:t xml:space="preserve"> (line 2</w:t>
      </w:r>
      <w:proofErr w:type="gramStart"/>
      <w:r>
        <w:rPr>
          <w:rFonts w:ascii="Palatino" w:hAnsi="Palatino"/>
          <w:i/>
          <w:sz w:val="18"/>
          <w:szCs w:val="18"/>
        </w:rPr>
        <w:t xml:space="preserve">) </w:t>
      </w:r>
      <w:r w:rsidRPr="004073CB">
        <w:rPr>
          <w:rFonts w:ascii="Palatino" w:hAnsi="Palatino"/>
          <w:i/>
          <w:sz w:val="18"/>
          <w:szCs w:val="18"/>
        </w:rPr>
        <w:t xml:space="preserve"> =</w:t>
      </w:r>
      <w:proofErr w:type="gramEnd"/>
      <w:r w:rsidRPr="004073CB">
        <w:rPr>
          <w:rFonts w:ascii="Palatino" w:hAnsi="Palatino"/>
          <w:i/>
          <w:sz w:val="18"/>
          <w:szCs w:val="18"/>
        </w:rPr>
        <w:t xml:space="preserve"> $1,306 million</w:t>
      </w:r>
      <w:r>
        <w:rPr>
          <w:rFonts w:ascii="Palatino" w:hAnsi="Palatino"/>
          <w:i/>
          <w:sz w:val="18"/>
          <w:szCs w:val="18"/>
        </w:rPr>
        <w:t>.</w:t>
      </w:r>
    </w:p>
    <w:p w14:paraId="2DFA91FE" w14:textId="77777777" w:rsidR="00643810" w:rsidRPr="00FA31E4" w:rsidRDefault="00643810" w:rsidP="00FA31E4">
      <w:pPr>
        <w:pStyle w:val="IRPfooter"/>
        <w:rPr>
          <w:sz w:val="20"/>
        </w:rPr>
      </w:pPr>
    </w:p>
  </w:footnote>
  <w:footnote w:id="6">
    <w:p w14:paraId="00BF78B2" w14:textId="77777777" w:rsidR="00643810" w:rsidRPr="00C5223D" w:rsidRDefault="00643810">
      <w:pPr>
        <w:pStyle w:val="FootnoteText"/>
        <w:rPr>
          <w:sz w:val="18"/>
          <w:szCs w:val="18"/>
        </w:rPr>
      </w:pPr>
      <w:r w:rsidRPr="00F764C0">
        <w:rPr>
          <w:rFonts w:ascii="Palatino" w:eastAsia="MS Mincho" w:hAnsi="Palatino"/>
          <w:i/>
          <w:sz w:val="18"/>
          <w:szCs w:val="18"/>
          <w:lang w:eastAsia="ja-JP"/>
        </w:rPr>
        <w:footnoteRef/>
      </w:r>
      <w:r>
        <w:rPr>
          <w:rFonts w:ascii="Palatino" w:eastAsia="MS Mincho" w:hAnsi="Palatino"/>
          <w:i/>
          <w:sz w:val="18"/>
          <w:szCs w:val="18"/>
          <w:lang w:eastAsia="ja-JP"/>
        </w:rPr>
        <w:t>/</w:t>
      </w:r>
      <w:r w:rsidRPr="00F764C0">
        <w:rPr>
          <w:rFonts w:ascii="Palatino" w:eastAsia="MS Mincho" w:hAnsi="Palatino"/>
          <w:i/>
          <w:sz w:val="18"/>
          <w:szCs w:val="18"/>
          <w:lang w:eastAsia="ja-JP"/>
        </w:rPr>
        <w:t xml:space="preserve"> Chapter 3, Planning Environment</w:t>
      </w:r>
      <w:r>
        <w:rPr>
          <w:rFonts w:ascii="Palatino" w:eastAsia="MS Mincho" w:hAnsi="Palatino"/>
          <w:i/>
          <w:sz w:val="18"/>
          <w:szCs w:val="18"/>
          <w:lang w:eastAsia="ja-JP"/>
        </w:rPr>
        <w:t>,</w:t>
      </w:r>
      <w:r w:rsidRPr="00F764C0">
        <w:rPr>
          <w:rFonts w:ascii="Palatino" w:eastAsia="MS Mincho" w:hAnsi="Palatino"/>
          <w:i/>
          <w:sz w:val="18"/>
          <w:szCs w:val="18"/>
          <w:lang w:eastAsia="ja-JP"/>
        </w:rPr>
        <w:t xml:space="preserve"> </w:t>
      </w:r>
      <w:r>
        <w:rPr>
          <w:rFonts w:ascii="Palatino" w:eastAsia="MS Mincho" w:hAnsi="Palatino"/>
          <w:i/>
          <w:sz w:val="18"/>
          <w:szCs w:val="18"/>
          <w:lang w:eastAsia="ja-JP"/>
        </w:rPr>
        <w:t>describes</w:t>
      </w:r>
      <w:r w:rsidRPr="00F764C0">
        <w:rPr>
          <w:rFonts w:ascii="Palatino" w:eastAsia="MS Mincho" w:hAnsi="Palatino"/>
          <w:i/>
          <w:sz w:val="18"/>
          <w:szCs w:val="18"/>
          <w:lang w:eastAsia="ja-JP"/>
        </w:rPr>
        <w:t xml:space="preserve"> the resource acquisition process.</w:t>
      </w:r>
    </w:p>
  </w:footnote>
  <w:footnote w:id="7">
    <w:p w14:paraId="4C85F9B6" w14:textId="77777777" w:rsidR="00643810" w:rsidRPr="00C5223D" w:rsidRDefault="00643810" w:rsidP="00EF3F6E">
      <w:pPr>
        <w:pStyle w:val="IRPfooter"/>
        <w:rPr>
          <w:sz w:val="18"/>
          <w:szCs w:val="18"/>
        </w:rPr>
      </w:pPr>
      <w:r>
        <w:rPr>
          <w:sz w:val="18"/>
          <w:szCs w:val="18"/>
        </w:rPr>
        <w:t xml:space="preserve">7/ </w:t>
      </w:r>
      <w:r w:rsidRPr="00F764C0">
        <w:rPr>
          <w:sz w:val="18"/>
          <w:szCs w:val="18"/>
        </w:rPr>
        <w:t>In late August, 2015, the Northwest Power and Conservation Council (NPCC) signaled that draft results in its 7th Power Plan appear to contradict its May 2015 finding that the region needs to add approximately 1,150 MW of generation capacity by 2021 to avoid deficit conditions. Changes in the status of regional resource adequacy as a result of further study in 2016 may cause PSE to adjust the magnitude of its resource need, and we will continue to work with others in the region on this assessment.</w:t>
      </w:r>
    </w:p>
    <w:p w14:paraId="4AC9AC09" w14:textId="77777777" w:rsidR="00643810" w:rsidRDefault="00643810">
      <w:pPr>
        <w:pStyle w:val="FootnoteText"/>
      </w:pPr>
    </w:p>
  </w:footnote>
  <w:footnote w:id="8">
    <w:p w14:paraId="35D9B04F" w14:textId="77777777" w:rsidR="00643810" w:rsidRPr="007A75BB" w:rsidRDefault="00643810" w:rsidP="001457F5">
      <w:pPr>
        <w:pStyle w:val="IRPfooter"/>
        <w:rPr>
          <w:sz w:val="18"/>
          <w:szCs w:val="18"/>
        </w:rPr>
      </w:pPr>
      <w:r w:rsidRPr="007A75BB">
        <w:rPr>
          <w:rStyle w:val="FootnoteReference"/>
          <w:sz w:val="18"/>
          <w:szCs w:val="18"/>
          <w:vertAlign w:val="baseline"/>
        </w:rPr>
        <w:footnoteRef/>
      </w:r>
      <w:r w:rsidRPr="007A75BB">
        <w:rPr>
          <w:sz w:val="18"/>
          <w:szCs w:val="18"/>
        </w:rPr>
        <w:t xml:space="preserve"> / Resource capacities illustrated here reflect the contribution to peak, not nameplate capacity, so PSE’s approximate </w:t>
      </w:r>
      <w:r>
        <w:rPr>
          <w:sz w:val="18"/>
          <w:szCs w:val="18"/>
        </w:rPr>
        <w:t>823</w:t>
      </w:r>
      <w:r w:rsidRPr="007A75BB">
        <w:rPr>
          <w:sz w:val="18"/>
          <w:szCs w:val="18"/>
        </w:rPr>
        <w:t xml:space="preserve"> MW of owned and contracted wind appear very small on this chart. Refer to Chapter 6, Electric Analysis</w:t>
      </w:r>
      <w:r>
        <w:rPr>
          <w:sz w:val="18"/>
          <w:szCs w:val="18"/>
        </w:rPr>
        <w:t>,</w:t>
      </w:r>
      <w:r w:rsidRPr="007A75BB">
        <w:rPr>
          <w:sz w:val="18"/>
          <w:szCs w:val="18"/>
        </w:rPr>
        <w:t xml:space="preserve"> for how peak capacity contributions were assessed. </w:t>
      </w:r>
    </w:p>
  </w:footnote>
  <w:footnote w:id="9">
    <w:p w14:paraId="7B4D94C5" w14:textId="77777777" w:rsidR="00643810" w:rsidRDefault="00643810">
      <w:pPr>
        <w:pStyle w:val="FootnoteText"/>
      </w:pPr>
      <w:r w:rsidRPr="008672AD">
        <w:rPr>
          <w:rStyle w:val="FootnoteReference"/>
          <w:rFonts w:ascii="Palatino" w:hAnsi="Palatino"/>
          <w:sz w:val="18"/>
          <w:vertAlign w:val="baseline"/>
        </w:rPr>
        <w:footnoteRef/>
      </w:r>
      <w:r w:rsidRPr="008672AD">
        <w:rPr>
          <w:rFonts w:ascii="Palatino" w:hAnsi="Palatino"/>
          <w:sz w:val="18"/>
        </w:rPr>
        <w:t xml:space="preserve"> /</w:t>
      </w:r>
      <w:r>
        <w:t xml:space="preserve"> </w:t>
      </w:r>
      <w:r w:rsidRPr="00F764C0">
        <w:rPr>
          <w:rFonts w:ascii="Palatino Linotype" w:hAnsi="Palatino Linotype"/>
          <w:i/>
          <w:sz w:val="18"/>
          <w:szCs w:val="18"/>
        </w:rPr>
        <w:t>The</w:t>
      </w:r>
      <w:r>
        <w:rPr>
          <w:rFonts w:ascii="Palatino Linotype" w:hAnsi="Palatino Linotype"/>
          <w:i/>
          <w:sz w:val="18"/>
          <w:szCs w:val="18"/>
        </w:rPr>
        <w:t xml:space="preserve"> 275 MW in Figure 1-4 shows a small difference from the 234 MW shown above in Figure 1-1. This 41 MW difference is because the analysis to establish the planning standard shown in Figure 1-1 was based on estimated conservation, versus final 2015 IRP conservation savings that came in slightly lower, along with slight differences in applying operating reserves in the deterministic and stochastic analyses, and the transmission availability impact of carrying those reserves at Mid-C. </w:t>
      </w:r>
    </w:p>
  </w:footnote>
  <w:footnote w:id="10">
    <w:p w14:paraId="6A51541B" w14:textId="77777777" w:rsidR="00643810" w:rsidRPr="007A75BB" w:rsidRDefault="00643810" w:rsidP="001457F5">
      <w:pPr>
        <w:pStyle w:val="IRPfooter"/>
        <w:rPr>
          <w:sz w:val="18"/>
          <w:szCs w:val="18"/>
        </w:rPr>
      </w:pPr>
      <w:r w:rsidRPr="007A75BB">
        <w:rPr>
          <w:rStyle w:val="FootnoteReference"/>
          <w:sz w:val="18"/>
          <w:szCs w:val="18"/>
          <w:vertAlign w:val="baseline"/>
        </w:rPr>
        <w:footnoteRef/>
      </w:r>
      <w:r w:rsidRPr="007A75BB">
        <w:rPr>
          <w:sz w:val="18"/>
          <w:szCs w:val="18"/>
        </w:rPr>
        <w:t xml:space="preserve"> / Chapter 6, Electric Analysis, includes a description of electric planning standards.</w:t>
      </w:r>
    </w:p>
  </w:footnote>
  <w:footnote w:id="11">
    <w:p w14:paraId="4D148A77" w14:textId="77777777" w:rsidR="00643810" w:rsidRPr="007A75BB" w:rsidRDefault="00643810" w:rsidP="001457F5">
      <w:pPr>
        <w:pStyle w:val="IRPfooter"/>
        <w:rPr>
          <w:sz w:val="18"/>
          <w:szCs w:val="18"/>
        </w:rPr>
      </w:pPr>
      <w:r w:rsidRPr="007A75BB">
        <w:rPr>
          <w:rStyle w:val="FootnoteReference"/>
          <w:sz w:val="18"/>
          <w:szCs w:val="18"/>
          <w:vertAlign w:val="baseline"/>
        </w:rPr>
        <w:footnoteRef/>
      </w:r>
      <w:r w:rsidRPr="007A75BB">
        <w:rPr>
          <w:sz w:val="18"/>
          <w:szCs w:val="18"/>
        </w:rPr>
        <w:t xml:space="preserve"> / Wind in this chart shows more prominently than in the capacity need chart, because this reflects the expected annual generation of wind, not just what can be relied upon to meet peak capacity needs.</w:t>
      </w:r>
    </w:p>
  </w:footnote>
  <w:footnote w:id="12">
    <w:p w14:paraId="2810DE55" w14:textId="77777777" w:rsidR="00643810" w:rsidRPr="007A75BB" w:rsidRDefault="00643810" w:rsidP="001457F5">
      <w:pPr>
        <w:pStyle w:val="IRPfooter"/>
        <w:rPr>
          <w:sz w:val="18"/>
          <w:szCs w:val="18"/>
        </w:rPr>
      </w:pPr>
      <w:r w:rsidRPr="007A75BB">
        <w:rPr>
          <w:rStyle w:val="FootnoteReference"/>
          <w:sz w:val="18"/>
          <w:szCs w:val="18"/>
          <w:vertAlign w:val="baseline"/>
        </w:rPr>
        <w:footnoteRef/>
      </w:r>
      <w:r w:rsidRPr="007A75BB">
        <w:rPr>
          <w:sz w:val="18"/>
          <w:szCs w:val="18"/>
        </w:rPr>
        <w:t xml:space="preserve"> / Chapter 2 includes a detailed explanation of the reasoning that supports each element of the resource plan.</w:t>
      </w:r>
    </w:p>
  </w:footnote>
  <w:footnote w:id="13">
    <w:p w14:paraId="2A2E3A52" w14:textId="77777777" w:rsidR="00643810" w:rsidRPr="007A75BB" w:rsidRDefault="00643810" w:rsidP="001457F5">
      <w:pPr>
        <w:pStyle w:val="IRPfooter"/>
        <w:rPr>
          <w:sz w:val="18"/>
          <w:szCs w:val="18"/>
        </w:rPr>
      </w:pPr>
      <w:r w:rsidRPr="007A75BB">
        <w:rPr>
          <w:rStyle w:val="FootnoteReference"/>
          <w:sz w:val="18"/>
          <w:szCs w:val="18"/>
          <w:vertAlign w:val="baseline"/>
        </w:rPr>
        <w:footnoteRef/>
      </w:r>
      <w:r w:rsidRPr="007A75BB">
        <w:rPr>
          <w:sz w:val="18"/>
          <w:szCs w:val="18"/>
        </w:rPr>
        <w:t xml:space="preserve"> / Section 111(d) of the Clean Air Act, often referred to as “111(d).”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8A3CA" w14:textId="77777777" w:rsidR="00643810" w:rsidRDefault="00DA3F26">
    <w:pPr>
      <w:pStyle w:val="Header"/>
    </w:pPr>
    <w:r>
      <w:rPr>
        <w:noProof/>
        <w:lang w:eastAsia="en-US"/>
      </w:rPr>
      <mc:AlternateContent>
        <mc:Choice Requires="wps">
          <w:drawing>
            <wp:anchor distT="0" distB="0" distL="114300" distR="114300" simplePos="0" relativeHeight="251659264" behindDoc="0" locked="0" layoutInCell="1" allowOverlap="1" wp14:anchorId="6C72CE33" wp14:editId="0B5D74AA">
              <wp:simplePos x="0" y="0"/>
              <wp:positionH relativeFrom="column">
                <wp:posOffset>51435</wp:posOffset>
              </wp:positionH>
              <wp:positionV relativeFrom="paragraph">
                <wp:posOffset>2540</wp:posOffset>
              </wp:positionV>
              <wp:extent cx="4343400" cy="457200"/>
              <wp:effectExtent l="0" t="0" r="0" b="0"/>
              <wp:wrapThrough wrapText="bothSides">
                <wp:wrapPolygon edited="0">
                  <wp:start x="126" y="1200"/>
                  <wp:lineTo x="126" y="19200"/>
                  <wp:lineTo x="21347" y="19200"/>
                  <wp:lineTo x="21347" y="1200"/>
                  <wp:lineTo x="126" y="1200"/>
                </wp:wrapPolygon>
              </wp:wrapThrough>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6B0E7" w14:textId="77777777" w:rsidR="00643810" w:rsidRPr="00C04720" w:rsidRDefault="00643810" w:rsidP="00BC31F5">
                          <w:pPr>
                            <w:pStyle w:val="irpsubsanstext16"/>
                          </w:pPr>
                          <w:r w:rsidRPr="00C04720">
                            <w:t xml:space="preserve">Chapter </w:t>
                          </w:r>
                          <w:r>
                            <w:t>1: Executive Summary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 o:spid="_x0000_s1027" type="#_x0000_t202" style="position:absolute;margin-left:4.05pt;margin-top:.2pt;width:342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" filled="f" stroked="f">
              <v:textbox inset=",7.2pt,,7.2pt">
                <w:txbxContent>
                  <w:p w14:paraId="63B6B0E7" w14:textId="77777777" w:rsidR="00643810" w:rsidRPr="00C04720" w:rsidRDefault="00643810" w:rsidP="00BC31F5">
                    <w:pPr>
                      <w:pStyle w:val="irpsubsanstext16"/>
                    </w:pPr>
                    <w:r w:rsidRPr="00C04720">
                      <w:t xml:space="preserve">Chapter </w:t>
                    </w:r>
                    <w:r>
                      <w:t>1: Executive Summary</w:t>
                    </w:r>
                  </w:p>
                </w:txbxContent>
              </v:textbox>
              <w10:wrap type="through"/>
            </v:shape>
          </w:pict>
        </mc:Fallback>
      </mc:AlternateContent>
    </w:r>
    <w:r w:rsidR="00643810">
      <w:rPr>
        <w:noProof/>
        <w:lang w:eastAsia="en-US"/>
      </w:rPr>
      <w:drawing>
        <wp:inline distT="0" distB="0" distL="0" distR="0" wp14:anchorId="1B51543C" wp14:editId="1A19374C">
          <wp:extent cx="5418455" cy="451538"/>
          <wp:effectExtent l="0" t="0" r="0" b="5715"/>
          <wp:docPr id="2" name="Picture 2" descr="Macintosh HD:Users:annrhodes:Documents:01 RHODES-D-SIGNS:PSE_IRP2015:Title bands:title_greydkt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annrhodes:Documents:01 RHODES-D-SIGNS:PSE_IRP2015:Title bands:title_greydkte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8455" cy="451538"/>
                  </a:xfrm>
                  <a:prstGeom prst="rect">
                    <a:avLst/>
                  </a:prstGeom>
                  <a:noFill/>
                  <a:ln>
                    <a:noFill/>
                  </a:ln>
                </pic:spPr>
              </pic:pic>
            </a:graphicData>
          </a:graphic>
        </wp:inline>
      </w:drawing>
    </w:r>
  </w:p>
  <w:p w14:paraId="77705CD0" w14:textId="77777777" w:rsidR="00502F86" w:rsidRPr="00502F86" w:rsidRDefault="00502F86">
    <w:pPr>
      <w:pStyle w:val="Head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40F5F"/>
    <w:multiLevelType w:val="hybridMultilevel"/>
    <w:tmpl w:val="B134CCC0"/>
    <w:lvl w:ilvl="0" w:tplc="25D0F712">
      <w:start w:val="1"/>
      <w:numFmt w:val="bullet"/>
      <w:lvlText w:val=""/>
      <w:lvlJc w:val="left"/>
      <w:pPr>
        <w:ind w:left="576"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
    <w:nsid w:val="1F6B1669"/>
    <w:multiLevelType w:val="hybridMultilevel"/>
    <w:tmpl w:val="023E57D8"/>
    <w:lvl w:ilvl="0" w:tplc="C65ACF4A">
      <w:start w:val="1"/>
      <w:numFmt w:val="bullet"/>
      <w:pStyle w:val="IRP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2">
    <w:nsid w:val="23F3656A"/>
    <w:multiLevelType w:val="hybridMultilevel"/>
    <w:tmpl w:val="C0609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A76EB7"/>
    <w:multiLevelType w:val="hybridMultilevel"/>
    <w:tmpl w:val="820468A8"/>
    <w:lvl w:ilvl="0" w:tplc="3FA2A3CA">
      <w:start w:val="1"/>
      <w:numFmt w:val="bullet"/>
      <w:lvlText w:val=""/>
      <w:lvlJc w:val="left"/>
      <w:pPr>
        <w:tabs>
          <w:tab w:val="num" w:pos="360"/>
        </w:tabs>
        <w:ind w:left="360"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3B4F99"/>
    <w:multiLevelType w:val="hybridMultilevel"/>
    <w:tmpl w:val="2A8A46A0"/>
    <w:lvl w:ilvl="0" w:tplc="D4FA3972">
      <w:start w:val="1"/>
      <w:numFmt w:val="bullet"/>
      <w:lvlText w:val=""/>
      <w:lvlJc w:val="left"/>
      <w:pPr>
        <w:ind w:left="648" w:hanging="288"/>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8B93639"/>
    <w:multiLevelType w:val="hybridMultilevel"/>
    <w:tmpl w:val="EF483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8F20462"/>
    <w:multiLevelType w:val="hybridMultilevel"/>
    <w:tmpl w:val="A2843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027096D"/>
    <w:multiLevelType w:val="hybridMultilevel"/>
    <w:tmpl w:val="9BE65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7296E06"/>
    <w:multiLevelType w:val="hybridMultilevel"/>
    <w:tmpl w:val="757A4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5E0766D"/>
    <w:multiLevelType w:val="hybridMultilevel"/>
    <w:tmpl w:val="0BB81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2"/>
  </w:num>
  <w:num w:numId="4">
    <w:abstractNumId w:val="7"/>
  </w:num>
  <w:num w:numId="5">
    <w:abstractNumId w:val="0"/>
  </w:num>
  <w:num w:numId="6">
    <w:abstractNumId w:val="5"/>
  </w:num>
  <w:num w:numId="7">
    <w:abstractNumId w:val="9"/>
  </w:num>
  <w:num w:numId="8">
    <w:abstractNumId w:val="6"/>
  </w:num>
  <w:num w:numId="9">
    <w:abstractNumId w:val="4"/>
  </w:num>
  <w:num w:numId="10">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E72"/>
    <w:rsid w:val="000048F7"/>
    <w:rsid w:val="00022AE1"/>
    <w:rsid w:val="00031F7D"/>
    <w:rsid w:val="00045148"/>
    <w:rsid w:val="000452C5"/>
    <w:rsid w:val="00060171"/>
    <w:rsid w:val="00061941"/>
    <w:rsid w:val="00063B52"/>
    <w:rsid w:val="000811E5"/>
    <w:rsid w:val="000B29C6"/>
    <w:rsid w:val="000B4121"/>
    <w:rsid w:val="000B713C"/>
    <w:rsid w:val="000B7150"/>
    <w:rsid w:val="000D3DFF"/>
    <w:rsid w:val="000D74C1"/>
    <w:rsid w:val="000E4936"/>
    <w:rsid w:val="000E6293"/>
    <w:rsid w:val="000F29DE"/>
    <w:rsid w:val="000F320C"/>
    <w:rsid w:val="0012632A"/>
    <w:rsid w:val="001457F5"/>
    <w:rsid w:val="00155762"/>
    <w:rsid w:val="0016262C"/>
    <w:rsid w:val="00164097"/>
    <w:rsid w:val="00174490"/>
    <w:rsid w:val="00177EEE"/>
    <w:rsid w:val="00185307"/>
    <w:rsid w:val="00194A8E"/>
    <w:rsid w:val="001A1C95"/>
    <w:rsid w:val="001B098F"/>
    <w:rsid w:val="001B21C3"/>
    <w:rsid w:val="001B5F2B"/>
    <w:rsid w:val="001C6E84"/>
    <w:rsid w:val="001D052C"/>
    <w:rsid w:val="001D4E32"/>
    <w:rsid w:val="001D628F"/>
    <w:rsid w:val="001D7FD4"/>
    <w:rsid w:val="001F05BB"/>
    <w:rsid w:val="0020632A"/>
    <w:rsid w:val="00212CA1"/>
    <w:rsid w:val="00233A45"/>
    <w:rsid w:val="00234579"/>
    <w:rsid w:val="00234649"/>
    <w:rsid w:val="002351B1"/>
    <w:rsid w:val="00255AA2"/>
    <w:rsid w:val="00255D45"/>
    <w:rsid w:val="00255EF3"/>
    <w:rsid w:val="00261C33"/>
    <w:rsid w:val="00261F11"/>
    <w:rsid w:val="002818CC"/>
    <w:rsid w:val="0028348E"/>
    <w:rsid w:val="00293A4E"/>
    <w:rsid w:val="002B1B56"/>
    <w:rsid w:val="002C0947"/>
    <w:rsid w:val="002C1ECE"/>
    <w:rsid w:val="002C251A"/>
    <w:rsid w:val="002C29C9"/>
    <w:rsid w:val="002C41B7"/>
    <w:rsid w:val="002C4F6A"/>
    <w:rsid w:val="002F1580"/>
    <w:rsid w:val="002F5666"/>
    <w:rsid w:val="002F7464"/>
    <w:rsid w:val="002F77B4"/>
    <w:rsid w:val="00304A70"/>
    <w:rsid w:val="00307C88"/>
    <w:rsid w:val="00326042"/>
    <w:rsid w:val="003300EE"/>
    <w:rsid w:val="00347AE1"/>
    <w:rsid w:val="00380699"/>
    <w:rsid w:val="00382146"/>
    <w:rsid w:val="00386D51"/>
    <w:rsid w:val="00397EFC"/>
    <w:rsid w:val="003A0016"/>
    <w:rsid w:val="003A2DB9"/>
    <w:rsid w:val="003B4FCC"/>
    <w:rsid w:val="003E17FF"/>
    <w:rsid w:val="003E7037"/>
    <w:rsid w:val="003F1A53"/>
    <w:rsid w:val="0041507A"/>
    <w:rsid w:val="00427D40"/>
    <w:rsid w:val="004343AE"/>
    <w:rsid w:val="00435F05"/>
    <w:rsid w:val="00440047"/>
    <w:rsid w:val="00445061"/>
    <w:rsid w:val="00487764"/>
    <w:rsid w:val="004A41CE"/>
    <w:rsid w:val="004A4C85"/>
    <w:rsid w:val="004B476F"/>
    <w:rsid w:val="004B681C"/>
    <w:rsid w:val="004C668B"/>
    <w:rsid w:val="004D0808"/>
    <w:rsid w:val="004F04C0"/>
    <w:rsid w:val="00502F86"/>
    <w:rsid w:val="00505A09"/>
    <w:rsid w:val="005145BF"/>
    <w:rsid w:val="00521E04"/>
    <w:rsid w:val="00547D16"/>
    <w:rsid w:val="005517A2"/>
    <w:rsid w:val="00555205"/>
    <w:rsid w:val="005603CE"/>
    <w:rsid w:val="00571E09"/>
    <w:rsid w:val="005753C5"/>
    <w:rsid w:val="00582BF0"/>
    <w:rsid w:val="00587BB5"/>
    <w:rsid w:val="0059662E"/>
    <w:rsid w:val="005A0A3C"/>
    <w:rsid w:val="005A64C6"/>
    <w:rsid w:val="005B05E2"/>
    <w:rsid w:val="005C3452"/>
    <w:rsid w:val="005F721A"/>
    <w:rsid w:val="00601E72"/>
    <w:rsid w:val="00610B70"/>
    <w:rsid w:val="00615718"/>
    <w:rsid w:val="00620784"/>
    <w:rsid w:val="0063113C"/>
    <w:rsid w:val="00640CF0"/>
    <w:rsid w:val="00643810"/>
    <w:rsid w:val="00646715"/>
    <w:rsid w:val="00653F4C"/>
    <w:rsid w:val="00670EF9"/>
    <w:rsid w:val="00671563"/>
    <w:rsid w:val="00674AD7"/>
    <w:rsid w:val="006766F4"/>
    <w:rsid w:val="00681421"/>
    <w:rsid w:val="0068280F"/>
    <w:rsid w:val="00694DA4"/>
    <w:rsid w:val="006976A0"/>
    <w:rsid w:val="006B4224"/>
    <w:rsid w:val="006B4801"/>
    <w:rsid w:val="006D4575"/>
    <w:rsid w:val="006F2468"/>
    <w:rsid w:val="006F7CE7"/>
    <w:rsid w:val="00713242"/>
    <w:rsid w:val="007247D3"/>
    <w:rsid w:val="00742851"/>
    <w:rsid w:val="007469BB"/>
    <w:rsid w:val="007477FF"/>
    <w:rsid w:val="007640EB"/>
    <w:rsid w:val="00766C30"/>
    <w:rsid w:val="00777A84"/>
    <w:rsid w:val="00785A65"/>
    <w:rsid w:val="00796D4D"/>
    <w:rsid w:val="007A67F9"/>
    <w:rsid w:val="007A75BB"/>
    <w:rsid w:val="007B0AC0"/>
    <w:rsid w:val="007D0ECE"/>
    <w:rsid w:val="007E49E8"/>
    <w:rsid w:val="007F0649"/>
    <w:rsid w:val="007F2800"/>
    <w:rsid w:val="00802333"/>
    <w:rsid w:val="00807A5E"/>
    <w:rsid w:val="008139F0"/>
    <w:rsid w:val="00816B3B"/>
    <w:rsid w:val="008343BE"/>
    <w:rsid w:val="00843EB0"/>
    <w:rsid w:val="008507B6"/>
    <w:rsid w:val="0085473C"/>
    <w:rsid w:val="008672AD"/>
    <w:rsid w:val="008705D8"/>
    <w:rsid w:val="008816DB"/>
    <w:rsid w:val="00882098"/>
    <w:rsid w:val="00890504"/>
    <w:rsid w:val="008A407C"/>
    <w:rsid w:val="008C2A3D"/>
    <w:rsid w:val="008C2C75"/>
    <w:rsid w:val="008D10CC"/>
    <w:rsid w:val="008D302A"/>
    <w:rsid w:val="008D5025"/>
    <w:rsid w:val="008F3D71"/>
    <w:rsid w:val="00906A0A"/>
    <w:rsid w:val="0091247B"/>
    <w:rsid w:val="00913829"/>
    <w:rsid w:val="00915258"/>
    <w:rsid w:val="00935C7F"/>
    <w:rsid w:val="00960EF2"/>
    <w:rsid w:val="00996855"/>
    <w:rsid w:val="009A2833"/>
    <w:rsid w:val="009A39E6"/>
    <w:rsid w:val="009C0BDA"/>
    <w:rsid w:val="00A073EC"/>
    <w:rsid w:val="00A075A9"/>
    <w:rsid w:val="00A157B1"/>
    <w:rsid w:val="00A354A8"/>
    <w:rsid w:val="00A42E9D"/>
    <w:rsid w:val="00A47D61"/>
    <w:rsid w:val="00A50878"/>
    <w:rsid w:val="00A50B7F"/>
    <w:rsid w:val="00A5719A"/>
    <w:rsid w:val="00A75AB8"/>
    <w:rsid w:val="00A93038"/>
    <w:rsid w:val="00A972C8"/>
    <w:rsid w:val="00AE6946"/>
    <w:rsid w:val="00AF5116"/>
    <w:rsid w:val="00AF5574"/>
    <w:rsid w:val="00B041E9"/>
    <w:rsid w:val="00B12366"/>
    <w:rsid w:val="00B21DAB"/>
    <w:rsid w:val="00B30692"/>
    <w:rsid w:val="00B321A7"/>
    <w:rsid w:val="00B61897"/>
    <w:rsid w:val="00B72944"/>
    <w:rsid w:val="00B74864"/>
    <w:rsid w:val="00B82F6C"/>
    <w:rsid w:val="00BC31F5"/>
    <w:rsid w:val="00BD3495"/>
    <w:rsid w:val="00BF45F8"/>
    <w:rsid w:val="00C04720"/>
    <w:rsid w:val="00C12FBA"/>
    <w:rsid w:val="00C16423"/>
    <w:rsid w:val="00C5223D"/>
    <w:rsid w:val="00C52FDB"/>
    <w:rsid w:val="00C76E44"/>
    <w:rsid w:val="00C87C22"/>
    <w:rsid w:val="00C936AA"/>
    <w:rsid w:val="00CA1290"/>
    <w:rsid w:val="00CD72DE"/>
    <w:rsid w:val="00CD78F5"/>
    <w:rsid w:val="00CE194A"/>
    <w:rsid w:val="00D00413"/>
    <w:rsid w:val="00D27F55"/>
    <w:rsid w:val="00D510B2"/>
    <w:rsid w:val="00D8527D"/>
    <w:rsid w:val="00DA3F26"/>
    <w:rsid w:val="00DB5340"/>
    <w:rsid w:val="00DC0D6B"/>
    <w:rsid w:val="00DC16C8"/>
    <w:rsid w:val="00DD346A"/>
    <w:rsid w:val="00DD698B"/>
    <w:rsid w:val="00E04B9A"/>
    <w:rsid w:val="00E11FE6"/>
    <w:rsid w:val="00E16024"/>
    <w:rsid w:val="00E51DDB"/>
    <w:rsid w:val="00E52BCA"/>
    <w:rsid w:val="00E53B9F"/>
    <w:rsid w:val="00E62204"/>
    <w:rsid w:val="00E72663"/>
    <w:rsid w:val="00E75DBC"/>
    <w:rsid w:val="00E87BB5"/>
    <w:rsid w:val="00E9378E"/>
    <w:rsid w:val="00E96667"/>
    <w:rsid w:val="00EA10A4"/>
    <w:rsid w:val="00EA26D0"/>
    <w:rsid w:val="00EA737C"/>
    <w:rsid w:val="00EC4408"/>
    <w:rsid w:val="00ED056D"/>
    <w:rsid w:val="00EE616F"/>
    <w:rsid w:val="00EF1203"/>
    <w:rsid w:val="00EF3F6E"/>
    <w:rsid w:val="00F02FEA"/>
    <w:rsid w:val="00F0406E"/>
    <w:rsid w:val="00F12CA8"/>
    <w:rsid w:val="00F133C9"/>
    <w:rsid w:val="00F27914"/>
    <w:rsid w:val="00F34276"/>
    <w:rsid w:val="00F35EE8"/>
    <w:rsid w:val="00F523AA"/>
    <w:rsid w:val="00F53066"/>
    <w:rsid w:val="00F70501"/>
    <w:rsid w:val="00F7099E"/>
    <w:rsid w:val="00F71799"/>
    <w:rsid w:val="00F764C0"/>
    <w:rsid w:val="00F76A40"/>
    <w:rsid w:val="00FA31E4"/>
    <w:rsid w:val="00FB044D"/>
    <w:rsid w:val="00FD7893"/>
    <w:rsid w:val="00FE6E78"/>
    <w:rsid w:val="00FF55E1"/>
    <w:rsid w:val="00FF56E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oNotEmbedSmartTags/>
  <w:decimalSymbol w:val="."/>
  <w:listSeparator w:val=","/>
  <w14:docId w14:val="4B38B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E72"/>
    <w:rPr>
      <w:rFonts w:eastAsia="MS Mincho"/>
    </w:rPr>
  </w:style>
  <w:style w:type="paragraph" w:styleId="Heading1">
    <w:name w:val="heading 1"/>
    <w:basedOn w:val="Normal"/>
    <w:next w:val="Normal"/>
    <w:link w:val="Heading1Char"/>
    <w:uiPriority w:val="1"/>
    <w:qFormat/>
    <w:rsid w:val="001D4E3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qFormat/>
    <w:rsid w:val="00234579"/>
    <w:pPr>
      <w:keepNext/>
      <w:keepLines/>
      <w:spacing w:before="200" w:line="276" w:lineRule="auto"/>
      <w:outlineLvl w:val="1"/>
    </w:pPr>
    <w:rPr>
      <w:rFonts w:ascii="Garamond" w:eastAsia="Times New Roman" w:hAnsi="Garamond"/>
      <w:b/>
      <w:bCs/>
      <w:color w:val="4F81BD"/>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601E72"/>
    <w:rPr>
      <w:rFonts w:ascii="Lucida Grande" w:hAnsi="Lucida Grande" w:cs="Lucida Grande"/>
      <w:sz w:val="18"/>
      <w:szCs w:val="18"/>
    </w:rPr>
  </w:style>
  <w:style w:type="character" w:customStyle="1" w:styleId="BalloonTextChar">
    <w:name w:val="Balloon Text Char"/>
    <w:basedOn w:val="DefaultParagraphFont"/>
    <w:uiPriority w:val="99"/>
    <w:semiHidden/>
    <w:rsid w:val="00CB1DEA"/>
    <w:rPr>
      <w:rFonts w:ascii="Lucida Grande" w:hAnsi="Lucida Grande" w:cs="Lucida Grande"/>
      <w:sz w:val="18"/>
      <w:szCs w:val="18"/>
    </w:rPr>
  </w:style>
  <w:style w:type="character" w:customStyle="1" w:styleId="BalloonTextChar0">
    <w:name w:val="Balloon Text Char"/>
    <w:basedOn w:val="DefaultParagraphFont"/>
    <w:uiPriority w:val="99"/>
    <w:semiHidden/>
    <w:rsid w:val="00CB1DEA"/>
    <w:rPr>
      <w:rFonts w:ascii="Lucida Grande" w:hAnsi="Lucida Grande" w:cs="Lucida Grande"/>
      <w:sz w:val="18"/>
      <w:szCs w:val="18"/>
    </w:rPr>
  </w:style>
  <w:style w:type="character" w:customStyle="1" w:styleId="BalloonTextChar2">
    <w:name w:val="Balloon Text Char"/>
    <w:basedOn w:val="DefaultParagraphFont"/>
    <w:uiPriority w:val="99"/>
    <w:semiHidden/>
    <w:rsid w:val="00D0150A"/>
    <w:rPr>
      <w:rFonts w:ascii="Lucida Grande" w:hAnsi="Lucida Grande" w:cs="Lucida Grande"/>
      <w:sz w:val="18"/>
      <w:szCs w:val="18"/>
    </w:rPr>
  </w:style>
  <w:style w:type="character" w:customStyle="1" w:styleId="BalloonTextChar3">
    <w:name w:val="Balloon Text Char"/>
    <w:basedOn w:val="DefaultParagraphFont"/>
    <w:uiPriority w:val="99"/>
    <w:semiHidden/>
    <w:rsid w:val="00D0150A"/>
    <w:rPr>
      <w:rFonts w:ascii="Lucida Grande" w:hAnsi="Lucida Grande" w:cs="Lucida Grande"/>
      <w:sz w:val="18"/>
      <w:szCs w:val="18"/>
    </w:rPr>
  </w:style>
  <w:style w:type="character" w:customStyle="1" w:styleId="BalloonTextChar4">
    <w:name w:val="Balloon Text Char"/>
    <w:basedOn w:val="DefaultParagraphFont"/>
    <w:uiPriority w:val="99"/>
    <w:semiHidden/>
    <w:rsid w:val="004E2EDC"/>
    <w:rPr>
      <w:rFonts w:ascii="Lucida Grande" w:hAnsi="Lucida Grande"/>
      <w:sz w:val="18"/>
      <w:szCs w:val="18"/>
    </w:rPr>
  </w:style>
  <w:style w:type="character" w:customStyle="1" w:styleId="Heading1Char">
    <w:name w:val="Heading 1 Char"/>
    <w:basedOn w:val="DefaultParagraphFont"/>
    <w:link w:val="Heading1"/>
    <w:rsid w:val="001D4E32"/>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234579"/>
    <w:rPr>
      <w:rFonts w:ascii="Garamond" w:eastAsia="Times New Roman" w:hAnsi="Garamond"/>
      <w:b/>
      <w:bCs/>
      <w:color w:val="4F81BD"/>
      <w:sz w:val="26"/>
      <w:szCs w:val="26"/>
      <w:lang w:eastAsia="en-US"/>
    </w:rPr>
  </w:style>
  <w:style w:type="paragraph" w:customStyle="1" w:styleId="IRPsanstext">
    <w:name w:val="IRPsanstext"/>
    <w:basedOn w:val="Normal"/>
    <w:link w:val="IRPsanstextChar1"/>
    <w:rsid w:val="005B05E2"/>
    <w:pPr>
      <w:spacing w:line="320" w:lineRule="exact"/>
    </w:pPr>
    <w:rPr>
      <w:rFonts w:ascii="Arial" w:hAnsi="Arial"/>
      <w:sz w:val="20"/>
      <w:szCs w:val="20"/>
    </w:rPr>
  </w:style>
  <w:style w:type="character" w:customStyle="1" w:styleId="IRPsanstextChar1">
    <w:name w:val="IRPsanstext Char1"/>
    <w:link w:val="IRPsanstext"/>
    <w:locked/>
    <w:rsid w:val="005B05E2"/>
    <w:rPr>
      <w:rFonts w:ascii="Arial" w:eastAsia="MS Mincho" w:hAnsi="Arial"/>
      <w:sz w:val="20"/>
      <w:szCs w:val="20"/>
    </w:rPr>
  </w:style>
  <w:style w:type="paragraph" w:customStyle="1" w:styleId="IRPsecthead1serif">
    <w:name w:val="IRPsecthead1serif"/>
    <w:basedOn w:val="Normal"/>
    <w:rsid w:val="00F133C9"/>
    <w:rPr>
      <w:rFonts w:ascii="Arial" w:hAnsi="Arial" w:cs="Arial"/>
      <w:color w:val="000000"/>
      <w:sz w:val="32"/>
      <w:szCs w:val="32"/>
    </w:rPr>
  </w:style>
  <w:style w:type="paragraph" w:customStyle="1" w:styleId="IRPsecthead2sans">
    <w:name w:val="IRPsecthead2sans"/>
    <w:basedOn w:val="IRPsecthead1serif"/>
    <w:rsid w:val="00601E72"/>
    <w:rPr>
      <w:b/>
      <w:color w:val="006C71"/>
    </w:rPr>
  </w:style>
  <w:style w:type="paragraph" w:customStyle="1" w:styleId="IRPseriftextbig">
    <w:name w:val="IRPseriftextbig"/>
    <w:basedOn w:val="Normal"/>
    <w:uiPriority w:val="99"/>
    <w:rsid w:val="00601E72"/>
    <w:pPr>
      <w:spacing w:line="360" w:lineRule="auto"/>
    </w:pPr>
    <w:rPr>
      <w:rFonts w:ascii="Palatino" w:hAnsi="Palatino"/>
      <w:i/>
      <w:sz w:val="28"/>
      <w:szCs w:val="28"/>
    </w:rPr>
  </w:style>
  <w:style w:type="paragraph" w:customStyle="1" w:styleId="IRPtitl">
    <w:name w:val="IRPtitl"/>
    <w:basedOn w:val="Normal"/>
    <w:rsid w:val="00555205"/>
    <w:pPr>
      <w:ind w:left="576" w:hanging="576"/>
    </w:pPr>
    <w:rPr>
      <w:rFonts w:ascii="Arial" w:hAnsi="Arial" w:cs="Arial"/>
      <w:color w:val="156570"/>
      <w:sz w:val="32"/>
      <w:szCs w:val="32"/>
    </w:rPr>
  </w:style>
  <w:style w:type="paragraph" w:customStyle="1" w:styleId="IRPsub1">
    <w:name w:val="IRPsub1"/>
    <w:basedOn w:val="Normal"/>
    <w:rsid w:val="00601E72"/>
    <w:pPr>
      <w:spacing w:before="40" w:after="40"/>
    </w:pPr>
    <w:rPr>
      <w:rFonts w:ascii="Arial" w:hAnsi="Arial"/>
      <w:i/>
      <w:color w:val="FFFFFF" w:themeColor="background1"/>
      <w:sz w:val="22"/>
      <w:szCs w:val="22"/>
    </w:rPr>
  </w:style>
  <w:style w:type="paragraph" w:styleId="Header">
    <w:name w:val="header"/>
    <w:basedOn w:val="Normal"/>
    <w:link w:val="HeaderChar"/>
    <w:uiPriority w:val="99"/>
    <w:unhideWhenUsed/>
    <w:rsid w:val="00601E72"/>
    <w:pPr>
      <w:tabs>
        <w:tab w:val="center" w:pos="4320"/>
        <w:tab w:val="right" w:pos="8640"/>
      </w:tabs>
    </w:pPr>
  </w:style>
  <w:style w:type="character" w:customStyle="1" w:styleId="HeaderChar">
    <w:name w:val="Header Char"/>
    <w:basedOn w:val="DefaultParagraphFont"/>
    <w:link w:val="Header"/>
    <w:uiPriority w:val="99"/>
    <w:rsid w:val="00601E72"/>
    <w:rPr>
      <w:rFonts w:eastAsia="MS Mincho"/>
    </w:rPr>
  </w:style>
  <w:style w:type="paragraph" w:styleId="Footer">
    <w:name w:val="footer"/>
    <w:basedOn w:val="Normal"/>
    <w:link w:val="FooterChar"/>
    <w:uiPriority w:val="99"/>
    <w:unhideWhenUsed/>
    <w:rsid w:val="00601E72"/>
    <w:pPr>
      <w:tabs>
        <w:tab w:val="center" w:pos="4320"/>
        <w:tab w:val="right" w:pos="8640"/>
      </w:tabs>
    </w:pPr>
  </w:style>
  <w:style w:type="character" w:customStyle="1" w:styleId="FooterChar">
    <w:name w:val="Footer Char"/>
    <w:basedOn w:val="DefaultParagraphFont"/>
    <w:link w:val="Footer"/>
    <w:uiPriority w:val="99"/>
    <w:rsid w:val="00601E72"/>
    <w:rPr>
      <w:rFonts w:eastAsia="MS Mincho"/>
    </w:rPr>
  </w:style>
  <w:style w:type="character" w:customStyle="1" w:styleId="BalloonTextChar1">
    <w:name w:val="Balloon Text Char1"/>
    <w:basedOn w:val="DefaultParagraphFont"/>
    <w:link w:val="BalloonText"/>
    <w:uiPriority w:val="99"/>
    <w:semiHidden/>
    <w:rsid w:val="00601E72"/>
    <w:rPr>
      <w:rFonts w:ascii="Lucida Grande" w:eastAsia="MS Mincho" w:hAnsi="Lucida Grande" w:cs="Lucida Grande"/>
      <w:sz w:val="18"/>
      <w:szCs w:val="18"/>
    </w:rPr>
  </w:style>
  <w:style w:type="paragraph" w:customStyle="1" w:styleId="irpsubsanstext16">
    <w:name w:val="irpsub_sanstext16"/>
    <w:basedOn w:val="Normal"/>
    <w:next w:val="Normal"/>
    <w:autoRedefine/>
    <w:rsid w:val="00BC31F5"/>
    <w:pPr>
      <w:spacing w:after="120"/>
    </w:pPr>
    <w:rPr>
      <w:rFonts w:ascii="Arial" w:eastAsia="Times New Roman" w:hAnsi="Arial" w:cs="Arial"/>
      <w:bCs/>
      <w:iCs/>
      <w:color w:val="FFFFFF" w:themeColor="background1"/>
      <w:sz w:val="28"/>
      <w:szCs w:val="28"/>
      <w:lang w:eastAsia="en-US"/>
    </w:rPr>
  </w:style>
  <w:style w:type="paragraph" w:customStyle="1" w:styleId="IRPFigureSub">
    <w:name w:val="IRPFigureSub"/>
    <w:basedOn w:val="IRPsanstext"/>
    <w:link w:val="IRPFigureSubChar"/>
    <w:qFormat/>
    <w:rsid w:val="00B12366"/>
    <w:pPr>
      <w:jc w:val="center"/>
    </w:pPr>
    <w:rPr>
      <w:i/>
      <w:szCs w:val="22"/>
    </w:rPr>
  </w:style>
  <w:style w:type="character" w:customStyle="1" w:styleId="IRPFigureSubChar">
    <w:name w:val="IRPFigureSub Char"/>
    <w:link w:val="IRPFigureSub"/>
    <w:rsid w:val="00B12366"/>
    <w:rPr>
      <w:rFonts w:ascii="Arial" w:eastAsia="MS Mincho" w:hAnsi="Arial"/>
      <w:i/>
      <w:szCs w:val="22"/>
    </w:rPr>
  </w:style>
  <w:style w:type="paragraph" w:customStyle="1" w:styleId="IRPbullet">
    <w:name w:val="IRPbullet"/>
    <w:basedOn w:val="Normal"/>
    <w:rsid w:val="00B12366"/>
    <w:pPr>
      <w:numPr>
        <w:numId w:val="1"/>
      </w:numPr>
      <w:spacing w:beforeAutospacing="1" w:afterAutospacing="1" w:line="360" w:lineRule="auto"/>
    </w:pPr>
    <w:rPr>
      <w:rFonts w:ascii="Arial" w:hAnsi="Arial"/>
    </w:rPr>
  </w:style>
  <w:style w:type="paragraph" w:customStyle="1" w:styleId="IRPfooter">
    <w:name w:val="IRPfooter"/>
    <w:basedOn w:val="Footer"/>
    <w:uiPriority w:val="99"/>
    <w:rsid w:val="00B12366"/>
    <w:rPr>
      <w:rFonts w:ascii="Palatino" w:hAnsi="Palatino"/>
      <w:i/>
    </w:rPr>
  </w:style>
  <w:style w:type="paragraph" w:customStyle="1" w:styleId="IRPtitle">
    <w:name w:val="IRPtitle"/>
    <w:basedOn w:val="Normal"/>
    <w:rsid w:val="00B12366"/>
    <w:pPr>
      <w:ind w:left="576" w:hanging="576"/>
    </w:pPr>
    <w:rPr>
      <w:rFonts w:ascii="Palatino" w:hAnsi="Palatino"/>
      <w:sz w:val="40"/>
    </w:rPr>
  </w:style>
  <w:style w:type="character" w:styleId="FootnoteReference">
    <w:name w:val="footnote reference"/>
    <w:basedOn w:val="DefaultParagraphFont"/>
    <w:uiPriority w:val="99"/>
    <w:rsid w:val="00B12366"/>
    <w:rPr>
      <w:rFonts w:cs="Times New Roman"/>
      <w:vertAlign w:val="superscript"/>
    </w:rPr>
  </w:style>
  <w:style w:type="character" w:styleId="PageNumber">
    <w:name w:val="page number"/>
    <w:basedOn w:val="DefaultParagraphFont"/>
    <w:uiPriority w:val="99"/>
    <w:rsid w:val="0020632A"/>
    <w:rPr>
      <w:rFonts w:cs="Times New Roman"/>
    </w:rPr>
  </w:style>
  <w:style w:type="paragraph" w:styleId="FootnoteText">
    <w:name w:val="footnote text"/>
    <w:basedOn w:val="Normal"/>
    <w:link w:val="FootnoteTextChar"/>
    <w:uiPriority w:val="99"/>
    <w:rsid w:val="00C12FBA"/>
    <w:rPr>
      <w:rFonts w:ascii="Garamond" w:eastAsia="Garamond" w:hAnsi="Garamond"/>
      <w:lang w:eastAsia="en-US"/>
    </w:rPr>
  </w:style>
  <w:style w:type="character" w:customStyle="1" w:styleId="FootnoteTextChar">
    <w:name w:val="Footnote Text Char"/>
    <w:basedOn w:val="DefaultParagraphFont"/>
    <w:link w:val="FootnoteText"/>
    <w:uiPriority w:val="99"/>
    <w:rsid w:val="00C12FBA"/>
    <w:rPr>
      <w:rFonts w:ascii="Garamond" w:eastAsia="Garamond" w:hAnsi="Garamond"/>
      <w:lang w:eastAsia="en-US"/>
    </w:rPr>
  </w:style>
  <w:style w:type="character" w:styleId="IntenseEmphasis">
    <w:name w:val="Intense Emphasis"/>
    <w:uiPriority w:val="21"/>
    <w:qFormat/>
    <w:rsid w:val="00234579"/>
    <w:rPr>
      <w:b/>
      <w:bCs/>
      <w:i/>
      <w:iCs/>
      <w:color w:val="4F81BD"/>
    </w:rPr>
  </w:style>
  <w:style w:type="paragraph" w:styleId="Subtitle">
    <w:name w:val="Subtitle"/>
    <w:basedOn w:val="Normal"/>
    <w:next w:val="Normal"/>
    <w:link w:val="SubtitleChar"/>
    <w:uiPriority w:val="11"/>
    <w:qFormat/>
    <w:rsid w:val="00555205"/>
    <w:pPr>
      <w:numPr>
        <w:ilvl w:val="1"/>
      </w:numPr>
      <w:spacing w:after="200" w:line="276" w:lineRule="auto"/>
    </w:pPr>
    <w:rPr>
      <w:rFonts w:ascii="Garamond" w:eastAsia="Times New Roman" w:hAnsi="Garamond"/>
      <w:i/>
      <w:iCs/>
      <w:color w:val="4F81BD"/>
      <w:spacing w:val="15"/>
      <w:lang w:eastAsia="en-US"/>
    </w:rPr>
  </w:style>
  <w:style w:type="character" w:customStyle="1" w:styleId="SubtitleChar">
    <w:name w:val="Subtitle Char"/>
    <w:basedOn w:val="DefaultParagraphFont"/>
    <w:link w:val="Subtitle"/>
    <w:uiPriority w:val="11"/>
    <w:rsid w:val="00555205"/>
    <w:rPr>
      <w:rFonts w:ascii="Garamond" w:eastAsia="Times New Roman" w:hAnsi="Garamond"/>
      <w:i/>
      <w:iCs/>
      <w:color w:val="4F81BD"/>
      <w:spacing w:val="15"/>
      <w:sz w:val="24"/>
      <w:szCs w:val="24"/>
      <w:lang w:eastAsia="en-US"/>
    </w:rPr>
  </w:style>
  <w:style w:type="paragraph" w:customStyle="1" w:styleId="Highhead">
    <w:name w:val="Highhead"/>
    <w:basedOn w:val="IRPtitle"/>
    <w:rsid w:val="005B05E2"/>
    <w:rPr>
      <w:i/>
      <w:color w:val="008000"/>
      <w:sz w:val="32"/>
      <w:szCs w:val="40"/>
    </w:rPr>
  </w:style>
  <w:style w:type="paragraph" w:customStyle="1" w:styleId="IRPseriftext">
    <w:name w:val="IRPseriftext"/>
    <w:basedOn w:val="Normal"/>
    <w:rsid w:val="00307C88"/>
    <w:pPr>
      <w:spacing w:line="320" w:lineRule="exact"/>
      <w:ind w:left="720"/>
    </w:pPr>
    <w:rPr>
      <w:rFonts w:ascii="Palatino" w:hAnsi="Palatino"/>
      <w:i/>
    </w:rPr>
  </w:style>
  <w:style w:type="character" w:styleId="CommentReference">
    <w:name w:val="annotation reference"/>
    <w:uiPriority w:val="99"/>
    <w:semiHidden/>
    <w:rsid w:val="00307C88"/>
    <w:rPr>
      <w:sz w:val="16"/>
      <w:szCs w:val="16"/>
    </w:rPr>
  </w:style>
  <w:style w:type="paragraph" w:styleId="CommentText">
    <w:name w:val="annotation text"/>
    <w:basedOn w:val="Normal"/>
    <w:link w:val="CommentTextChar"/>
    <w:uiPriority w:val="99"/>
    <w:semiHidden/>
    <w:rsid w:val="00307C88"/>
  </w:style>
  <w:style w:type="character" w:customStyle="1" w:styleId="CommentTextChar">
    <w:name w:val="Comment Text Char"/>
    <w:basedOn w:val="DefaultParagraphFont"/>
    <w:link w:val="CommentText"/>
    <w:uiPriority w:val="99"/>
    <w:semiHidden/>
    <w:rsid w:val="00307C88"/>
    <w:rPr>
      <w:rFonts w:eastAsia="MS Mincho"/>
    </w:rPr>
  </w:style>
  <w:style w:type="paragraph" w:customStyle="1" w:styleId="IRPfiguresub0">
    <w:name w:val="IRPfiguresub"/>
    <w:basedOn w:val="BodyText"/>
    <w:rsid w:val="004D0808"/>
    <w:pPr>
      <w:spacing w:beforeAutospacing="1" w:after="0" w:afterAutospacing="1"/>
    </w:pPr>
    <w:rPr>
      <w:rFonts w:ascii="Arial" w:eastAsia="Times New Roman" w:hAnsi="Arial"/>
      <w:b/>
      <w:sz w:val="20"/>
    </w:rPr>
  </w:style>
  <w:style w:type="paragraph" w:styleId="BodyText">
    <w:name w:val="Body Text"/>
    <w:basedOn w:val="Normal"/>
    <w:link w:val="BodyTextChar"/>
    <w:uiPriority w:val="1"/>
    <w:unhideWhenUsed/>
    <w:qFormat/>
    <w:rsid w:val="004D0808"/>
    <w:pPr>
      <w:spacing w:after="120"/>
    </w:pPr>
  </w:style>
  <w:style w:type="character" w:customStyle="1" w:styleId="BodyTextChar">
    <w:name w:val="Body Text Char"/>
    <w:basedOn w:val="DefaultParagraphFont"/>
    <w:link w:val="BodyText"/>
    <w:uiPriority w:val="99"/>
    <w:semiHidden/>
    <w:rsid w:val="004D0808"/>
    <w:rPr>
      <w:rFonts w:eastAsia="MS Mincho"/>
    </w:rPr>
  </w:style>
  <w:style w:type="paragraph" w:styleId="ListParagraph">
    <w:name w:val="List Paragraph"/>
    <w:basedOn w:val="Normal"/>
    <w:uiPriority w:val="34"/>
    <w:qFormat/>
    <w:rsid w:val="00674AD7"/>
    <w:pPr>
      <w:widowControl w:val="0"/>
    </w:pPr>
    <w:rPr>
      <w:rFonts w:asciiTheme="minorHAnsi" w:eastAsiaTheme="minorHAnsi" w:hAnsiTheme="minorHAnsi" w:cstheme="minorBidi"/>
      <w:sz w:val="22"/>
      <w:szCs w:val="22"/>
      <w:lang w:eastAsia="en-US"/>
    </w:rPr>
  </w:style>
  <w:style w:type="paragraph" w:customStyle="1" w:styleId="TableParagraph">
    <w:name w:val="Table Paragraph"/>
    <w:basedOn w:val="Normal"/>
    <w:uiPriority w:val="1"/>
    <w:qFormat/>
    <w:rsid w:val="00674AD7"/>
    <w:pPr>
      <w:widowControl w:val="0"/>
    </w:pPr>
    <w:rPr>
      <w:rFonts w:asciiTheme="minorHAnsi" w:eastAsiaTheme="minorHAnsi" w:hAnsiTheme="minorHAnsi" w:cstheme="minorBidi"/>
      <w:sz w:val="22"/>
      <w:szCs w:val="22"/>
      <w:lang w:eastAsia="en-US"/>
    </w:rPr>
  </w:style>
  <w:style w:type="character" w:customStyle="1" w:styleId="CommentSubjectChar">
    <w:name w:val="Comment Subject Char"/>
    <w:basedOn w:val="CommentTextChar"/>
    <w:link w:val="CommentSubject"/>
    <w:uiPriority w:val="99"/>
    <w:semiHidden/>
    <w:rsid w:val="00674AD7"/>
    <w:rPr>
      <w:rFonts w:asciiTheme="minorHAnsi" w:eastAsiaTheme="minorHAnsi" w:hAnsiTheme="minorHAnsi" w:cstheme="minorBidi"/>
      <w:b/>
      <w:bCs/>
      <w:sz w:val="20"/>
      <w:szCs w:val="20"/>
      <w:lang w:eastAsia="en-US"/>
    </w:rPr>
  </w:style>
  <w:style w:type="paragraph" w:styleId="CommentSubject">
    <w:name w:val="annotation subject"/>
    <w:basedOn w:val="CommentText"/>
    <w:next w:val="CommentText"/>
    <w:link w:val="CommentSubjectChar"/>
    <w:uiPriority w:val="99"/>
    <w:semiHidden/>
    <w:unhideWhenUsed/>
    <w:rsid w:val="00674AD7"/>
    <w:pPr>
      <w:widowControl w:val="0"/>
    </w:pPr>
    <w:rPr>
      <w:rFonts w:asciiTheme="minorHAnsi" w:eastAsiaTheme="minorHAnsi" w:hAnsiTheme="minorHAnsi" w:cstheme="minorBidi"/>
      <w:b/>
      <w:bCs/>
      <w:sz w:val="20"/>
      <w:szCs w:val="20"/>
      <w:lang w:eastAsia="en-US"/>
    </w:rPr>
  </w:style>
  <w:style w:type="paragraph" w:styleId="Revision">
    <w:name w:val="Revision"/>
    <w:hidden/>
    <w:rsid w:val="00674AD7"/>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E72"/>
    <w:rPr>
      <w:rFonts w:eastAsia="MS Mincho"/>
    </w:rPr>
  </w:style>
  <w:style w:type="paragraph" w:styleId="Heading1">
    <w:name w:val="heading 1"/>
    <w:basedOn w:val="Normal"/>
    <w:next w:val="Normal"/>
    <w:link w:val="Heading1Char"/>
    <w:uiPriority w:val="1"/>
    <w:qFormat/>
    <w:rsid w:val="001D4E3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qFormat/>
    <w:rsid w:val="00234579"/>
    <w:pPr>
      <w:keepNext/>
      <w:keepLines/>
      <w:spacing w:before="200" w:line="276" w:lineRule="auto"/>
      <w:outlineLvl w:val="1"/>
    </w:pPr>
    <w:rPr>
      <w:rFonts w:ascii="Garamond" w:eastAsia="Times New Roman" w:hAnsi="Garamond"/>
      <w:b/>
      <w:bCs/>
      <w:color w:val="4F81BD"/>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601E72"/>
    <w:rPr>
      <w:rFonts w:ascii="Lucida Grande" w:hAnsi="Lucida Grande" w:cs="Lucida Grande"/>
      <w:sz w:val="18"/>
      <w:szCs w:val="18"/>
    </w:rPr>
  </w:style>
  <w:style w:type="character" w:customStyle="1" w:styleId="BalloonTextChar">
    <w:name w:val="Balloon Text Char"/>
    <w:basedOn w:val="DefaultParagraphFont"/>
    <w:uiPriority w:val="99"/>
    <w:semiHidden/>
    <w:rsid w:val="00CB1DEA"/>
    <w:rPr>
      <w:rFonts w:ascii="Lucida Grande" w:hAnsi="Lucida Grande" w:cs="Lucida Grande"/>
      <w:sz w:val="18"/>
      <w:szCs w:val="18"/>
    </w:rPr>
  </w:style>
  <w:style w:type="character" w:customStyle="1" w:styleId="BalloonTextChar0">
    <w:name w:val="Balloon Text Char"/>
    <w:basedOn w:val="DefaultParagraphFont"/>
    <w:uiPriority w:val="99"/>
    <w:semiHidden/>
    <w:rsid w:val="00CB1DEA"/>
    <w:rPr>
      <w:rFonts w:ascii="Lucida Grande" w:hAnsi="Lucida Grande" w:cs="Lucida Grande"/>
      <w:sz w:val="18"/>
      <w:szCs w:val="18"/>
    </w:rPr>
  </w:style>
  <w:style w:type="character" w:customStyle="1" w:styleId="BalloonTextChar2">
    <w:name w:val="Balloon Text Char"/>
    <w:basedOn w:val="DefaultParagraphFont"/>
    <w:uiPriority w:val="99"/>
    <w:semiHidden/>
    <w:rsid w:val="00D0150A"/>
    <w:rPr>
      <w:rFonts w:ascii="Lucida Grande" w:hAnsi="Lucida Grande" w:cs="Lucida Grande"/>
      <w:sz w:val="18"/>
      <w:szCs w:val="18"/>
    </w:rPr>
  </w:style>
  <w:style w:type="character" w:customStyle="1" w:styleId="BalloonTextChar3">
    <w:name w:val="Balloon Text Char"/>
    <w:basedOn w:val="DefaultParagraphFont"/>
    <w:uiPriority w:val="99"/>
    <w:semiHidden/>
    <w:rsid w:val="00D0150A"/>
    <w:rPr>
      <w:rFonts w:ascii="Lucida Grande" w:hAnsi="Lucida Grande" w:cs="Lucida Grande"/>
      <w:sz w:val="18"/>
      <w:szCs w:val="18"/>
    </w:rPr>
  </w:style>
  <w:style w:type="character" w:customStyle="1" w:styleId="BalloonTextChar4">
    <w:name w:val="Balloon Text Char"/>
    <w:basedOn w:val="DefaultParagraphFont"/>
    <w:uiPriority w:val="99"/>
    <w:semiHidden/>
    <w:rsid w:val="004E2EDC"/>
    <w:rPr>
      <w:rFonts w:ascii="Lucida Grande" w:hAnsi="Lucida Grande"/>
      <w:sz w:val="18"/>
      <w:szCs w:val="18"/>
    </w:rPr>
  </w:style>
  <w:style w:type="character" w:customStyle="1" w:styleId="Heading1Char">
    <w:name w:val="Heading 1 Char"/>
    <w:basedOn w:val="DefaultParagraphFont"/>
    <w:link w:val="Heading1"/>
    <w:rsid w:val="001D4E32"/>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234579"/>
    <w:rPr>
      <w:rFonts w:ascii="Garamond" w:eastAsia="Times New Roman" w:hAnsi="Garamond"/>
      <w:b/>
      <w:bCs/>
      <w:color w:val="4F81BD"/>
      <w:sz w:val="26"/>
      <w:szCs w:val="26"/>
      <w:lang w:eastAsia="en-US"/>
    </w:rPr>
  </w:style>
  <w:style w:type="paragraph" w:customStyle="1" w:styleId="IRPsanstext">
    <w:name w:val="IRPsanstext"/>
    <w:basedOn w:val="Normal"/>
    <w:link w:val="IRPsanstextChar1"/>
    <w:rsid w:val="005B05E2"/>
    <w:pPr>
      <w:spacing w:line="320" w:lineRule="exact"/>
    </w:pPr>
    <w:rPr>
      <w:rFonts w:ascii="Arial" w:hAnsi="Arial"/>
      <w:sz w:val="20"/>
      <w:szCs w:val="20"/>
    </w:rPr>
  </w:style>
  <w:style w:type="character" w:customStyle="1" w:styleId="IRPsanstextChar1">
    <w:name w:val="IRPsanstext Char1"/>
    <w:link w:val="IRPsanstext"/>
    <w:locked/>
    <w:rsid w:val="005B05E2"/>
    <w:rPr>
      <w:rFonts w:ascii="Arial" w:eastAsia="MS Mincho" w:hAnsi="Arial"/>
      <w:sz w:val="20"/>
      <w:szCs w:val="20"/>
    </w:rPr>
  </w:style>
  <w:style w:type="paragraph" w:customStyle="1" w:styleId="IRPsecthead1serif">
    <w:name w:val="IRPsecthead1serif"/>
    <w:basedOn w:val="Normal"/>
    <w:rsid w:val="00F133C9"/>
    <w:rPr>
      <w:rFonts w:ascii="Arial" w:hAnsi="Arial" w:cs="Arial"/>
      <w:color w:val="000000"/>
      <w:sz w:val="32"/>
      <w:szCs w:val="32"/>
    </w:rPr>
  </w:style>
  <w:style w:type="paragraph" w:customStyle="1" w:styleId="IRPsecthead2sans">
    <w:name w:val="IRPsecthead2sans"/>
    <w:basedOn w:val="IRPsecthead1serif"/>
    <w:rsid w:val="00601E72"/>
    <w:rPr>
      <w:b/>
      <w:color w:val="006C71"/>
    </w:rPr>
  </w:style>
  <w:style w:type="paragraph" w:customStyle="1" w:styleId="IRPseriftextbig">
    <w:name w:val="IRPseriftextbig"/>
    <w:basedOn w:val="Normal"/>
    <w:uiPriority w:val="99"/>
    <w:rsid w:val="00601E72"/>
    <w:pPr>
      <w:spacing w:line="360" w:lineRule="auto"/>
    </w:pPr>
    <w:rPr>
      <w:rFonts w:ascii="Palatino" w:hAnsi="Palatino"/>
      <w:i/>
      <w:sz w:val="28"/>
      <w:szCs w:val="28"/>
    </w:rPr>
  </w:style>
  <w:style w:type="paragraph" w:customStyle="1" w:styleId="IRPtitl">
    <w:name w:val="IRPtitl"/>
    <w:basedOn w:val="Normal"/>
    <w:rsid w:val="00555205"/>
    <w:pPr>
      <w:ind w:left="576" w:hanging="576"/>
    </w:pPr>
    <w:rPr>
      <w:rFonts w:ascii="Arial" w:hAnsi="Arial" w:cs="Arial"/>
      <w:color w:val="156570"/>
      <w:sz w:val="32"/>
      <w:szCs w:val="32"/>
    </w:rPr>
  </w:style>
  <w:style w:type="paragraph" w:customStyle="1" w:styleId="IRPsub1">
    <w:name w:val="IRPsub1"/>
    <w:basedOn w:val="Normal"/>
    <w:rsid w:val="00601E72"/>
    <w:pPr>
      <w:spacing w:before="40" w:after="40"/>
    </w:pPr>
    <w:rPr>
      <w:rFonts w:ascii="Arial" w:hAnsi="Arial"/>
      <w:i/>
      <w:color w:val="FFFFFF" w:themeColor="background1"/>
      <w:sz w:val="22"/>
      <w:szCs w:val="22"/>
    </w:rPr>
  </w:style>
  <w:style w:type="paragraph" w:styleId="Header">
    <w:name w:val="header"/>
    <w:basedOn w:val="Normal"/>
    <w:link w:val="HeaderChar"/>
    <w:uiPriority w:val="99"/>
    <w:unhideWhenUsed/>
    <w:rsid w:val="00601E72"/>
    <w:pPr>
      <w:tabs>
        <w:tab w:val="center" w:pos="4320"/>
        <w:tab w:val="right" w:pos="8640"/>
      </w:tabs>
    </w:pPr>
  </w:style>
  <w:style w:type="character" w:customStyle="1" w:styleId="HeaderChar">
    <w:name w:val="Header Char"/>
    <w:basedOn w:val="DefaultParagraphFont"/>
    <w:link w:val="Header"/>
    <w:uiPriority w:val="99"/>
    <w:rsid w:val="00601E72"/>
    <w:rPr>
      <w:rFonts w:eastAsia="MS Mincho"/>
    </w:rPr>
  </w:style>
  <w:style w:type="paragraph" w:styleId="Footer">
    <w:name w:val="footer"/>
    <w:basedOn w:val="Normal"/>
    <w:link w:val="FooterChar"/>
    <w:uiPriority w:val="99"/>
    <w:unhideWhenUsed/>
    <w:rsid w:val="00601E72"/>
    <w:pPr>
      <w:tabs>
        <w:tab w:val="center" w:pos="4320"/>
        <w:tab w:val="right" w:pos="8640"/>
      </w:tabs>
    </w:pPr>
  </w:style>
  <w:style w:type="character" w:customStyle="1" w:styleId="FooterChar">
    <w:name w:val="Footer Char"/>
    <w:basedOn w:val="DefaultParagraphFont"/>
    <w:link w:val="Footer"/>
    <w:uiPriority w:val="99"/>
    <w:rsid w:val="00601E72"/>
    <w:rPr>
      <w:rFonts w:eastAsia="MS Mincho"/>
    </w:rPr>
  </w:style>
  <w:style w:type="character" w:customStyle="1" w:styleId="BalloonTextChar1">
    <w:name w:val="Balloon Text Char1"/>
    <w:basedOn w:val="DefaultParagraphFont"/>
    <w:link w:val="BalloonText"/>
    <w:uiPriority w:val="99"/>
    <w:semiHidden/>
    <w:rsid w:val="00601E72"/>
    <w:rPr>
      <w:rFonts w:ascii="Lucida Grande" w:eastAsia="MS Mincho" w:hAnsi="Lucida Grande" w:cs="Lucida Grande"/>
      <w:sz w:val="18"/>
      <w:szCs w:val="18"/>
    </w:rPr>
  </w:style>
  <w:style w:type="paragraph" w:customStyle="1" w:styleId="irpsubsanstext16">
    <w:name w:val="irpsub_sanstext16"/>
    <w:basedOn w:val="Normal"/>
    <w:next w:val="Normal"/>
    <w:autoRedefine/>
    <w:rsid w:val="00BC31F5"/>
    <w:pPr>
      <w:spacing w:after="120"/>
    </w:pPr>
    <w:rPr>
      <w:rFonts w:ascii="Arial" w:eastAsia="Times New Roman" w:hAnsi="Arial" w:cs="Arial"/>
      <w:bCs/>
      <w:iCs/>
      <w:color w:val="FFFFFF" w:themeColor="background1"/>
      <w:sz w:val="28"/>
      <w:szCs w:val="28"/>
      <w:lang w:eastAsia="en-US"/>
    </w:rPr>
  </w:style>
  <w:style w:type="paragraph" w:customStyle="1" w:styleId="IRPFigureSub">
    <w:name w:val="IRPFigureSub"/>
    <w:basedOn w:val="IRPsanstext"/>
    <w:link w:val="IRPFigureSubChar"/>
    <w:qFormat/>
    <w:rsid w:val="00B12366"/>
    <w:pPr>
      <w:jc w:val="center"/>
    </w:pPr>
    <w:rPr>
      <w:i/>
      <w:szCs w:val="22"/>
    </w:rPr>
  </w:style>
  <w:style w:type="character" w:customStyle="1" w:styleId="IRPFigureSubChar">
    <w:name w:val="IRPFigureSub Char"/>
    <w:link w:val="IRPFigureSub"/>
    <w:rsid w:val="00B12366"/>
    <w:rPr>
      <w:rFonts w:ascii="Arial" w:eastAsia="MS Mincho" w:hAnsi="Arial"/>
      <w:i/>
      <w:szCs w:val="22"/>
    </w:rPr>
  </w:style>
  <w:style w:type="paragraph" w:customStyle="1" w:styleId="IRPbullet">
    <w:name w:val="IRPbullet"/>
    <w:basedOn w:val="Normal"/>
    <w:rsid w:val="00B12366"/>
    <w:pPr>
      <w:numPr>
        <w:numId w:val="1"/>
      </w:numPr>
      <w:spacing w:beforeAutospacing="1" w:afterAutospacing="1" w:line="360" w:lineRule="auto"/>
    </w:pPr>
    <w:rPr>
      <w:rFonts w:ascii="Arial" w:hAnsi="Arial"/>
    </w:rPr>
  </w:style>
  <w:style w:type="paragraph" w:customStyle="1" w:styleId="IRPfooter">
    <w:name w:val="IRPfooter"/>
    <w:basedOn w:val="Footer"/>
    <w:uiPriority w:val="99"/>
    <w:rsid w:val="00B12366"/>
    <w:rPr>
      <w:rFonts w:ascii="Palatino" w:hAnsi="Palatino"/>
      <w:i/>
    </w:rPr>
  </w:style>
  <w:style w:type="paragraph" w:customStyle="1" w:styleId="IRPtitle">
    <w:name w:val="IRPtitle"/>
    <w:basedOn w:val="Normal"/>
    <w:rsid w:val="00B12366"/>
    <w:pPr>
      <w:ind w:left="576" w:hanging="576"/>
    </w:pPr>
    <w:rPr>
      <w:rFonts w:ascii="Palatino" w:hAnsi="Palatino"/>
      <w:sz w:val="40"/>
    </w:rPr>
  </w:style>
  <w:style w:type="character" w:styleId="FootnoteReference">
    <w:name w:val="footnote reference"/>
    <w:basedOn w:val="DefaultParagraphFont"/>
    <w:uiPriority w:val="99"/>
    <w:rsid w:val="00B12366"/>
    <w:rPr>
      <w:rFonts w:cs="Times New Roman"/>
      <w:vertAlign w:val="superscript"/>
    </w:rPr>
  </w:style>
  <w:style w:type="character" w:styleId="PageNumber">
    <w:name w:val="page number"/>
    <w:basedOn w:val="DefaultParagraphFont"/>
    <w:uiPriority w:val="99"/>
    <w:rsid w:val="0020632A"/>
    <w:rPr>
      <w:rFonts w:cs="Times New Roman"/>
    </w:rPr>
  </w:style>
  <w:style w:type="paragraph" w:styleId="FootnoteText">
    <w:name w:val="footnote text"/>
    <w:basedOn w:val="Normal"/>
    <w:link w:val="FootnoteTextChar"/>
    <w:uiPriority w:val="99"/>
    <w:rsid w:val="00C12FBA"/>
    <w:rPr>
      <w:rFonts w:ascii="Garamond" w:eastAsia="Garamond" w:hAnsi="Garamond"/>
      <w:lang w:eastAsia="en-US"/>
    </w:rPr>
  </w:style>
  <w:style w:type="character" w:customStyle="1" w:styleId="FootnoteTextChar">
    <w:name w:val="Footnote Text Char"/>
    <w:basedOn w:val="DefaultParagraphFont"/>
    <w:link w:val="FootnoteText"/>
    <w:uiPriority w:val="99"/>
    <w:rsid w:val="00C12FBA"/>
    <w:rPr>
      <w:rFonts w:ascii="Garamond" w:eastAsia="Garamond" w:hAnsi="Garamond"/>
      <w:lang w:eastAsia="en-US"/>
    </w:rPr>
  </w:style>
  <w:style w:type="character" w:styleId="IntenseEmphasis">
    <w:name w:val="Intense Emphasis"/>
    <w:uiPriority w:val="21"/>
    <w:qFormat/>
    <w:rsid w:val="00234579"/>
    <w:rPr>
      <w:b/>
      <w:bCs/>
      <w:i/>
      <w:iCs/>
      <w:color w:val="4F81BD"/>
    </w:rPr>
  </w:style>
  <w:style w:type="paragraph" w:styleId="Subtitle">
    <w:name w:val="Subtitle"/>
    <w:basedOn w:val="Normal"/>
    <w:next w:val="Normal"/>
    <w:link w:val="SubtitleChar"/>
    <w:uiPriority w:val="11"/>
    <w:qFormat/>
    <w:rsid w:val="00555205"/>
    <w:pPr>
      <w:numPr>
        <w:ilvl w:val="1"/>
      </w:numPr>
      <w:spacing w:after="200" w:line="276" w:lineRule="auto"/>
    </w:pPr>
    <w:rPr>
      <w:rFonts w:ascii="Garamond" w:eastAsia="Times New Roman" w:hAnsi="Garamond"/>
      <w:i/>
      <w:iCs/>
      <w:color w:val="4F81BD"/>
      <w:spacing w:val="15"/>
      <w:lang w:eastAsia="en-US"/>
    </w:rPr>
  </w:style>
  <w:style w:type="character" w:customStyle="1" w:styleId="SubtitleChar">
    <w:name w:val="Subtitle Char"/>
    <w:basedOn w:val="DefaultParagraphFont"/>
    <w:link w:val="Subtitle"/>
    <w:uiPriority w:val="11"/>
    <w:rsid w:val="00555205"/>
    <w:rPr>
      <w:rFonts w:ascii="Garamond" w:eastAsia="Times New Roman" w:hAnsi="Garamond"/>
      <w:i/>
      <w:iCs/>
      <w:color w:val="4F81BD"/>
      <w:spacing w:val="15"/>
      <w:sz w:val="24"/>
      <w:szCs w:val="24"/>
      <w:lang w:eastAsia="en-US"/>
    </w:rPr>
  </w:style>
  <w:style w:type="paragraph" w:customStyle="1" w:styleId="Highhead">
    <w:name w:val="Highhead"/>
    <w:basedOn w:val="IRPtitle"/>
    <w:rsid w:val="005B05E2"/>
    <w:rPr>
      <w:i/>
      <w:color w:val="008000"/>
      <w:sz w:val="32"/>
      <w:szCs w:val="40"/>
    </w:rPr>
  </w:style>
  <w:style w:type="paragraph" w:customStyle="1" w:styleId="IRPseriftext">
    <w:name w:val="IRPseriftext"/>
    <w:basedOn w:val="Normal"/>
    <w:rsid w:val="00307C88"/>
    <w:pPr>
      <w:spacing w:line="320" w:lineRule="exact"/>
      <w:ind w:left="720"/>
    </w:pPr>
    <w:rPr>
      <w:rFonts w:ascii="Palatino" w:hAnsi="Palatino"/>
      <w:i/>
    </w:rPr>
  </w:style>
  <w:style w:type="character" w:styleId="CommentReference">
    <w:name w:val="annotation reference"/>
    <w:uiPriority w:val="99"/>
    <w:semiHidden/>
    <w:rsid w:val="00307C88"/>
    <w:rPr>
      <w:sz w:val="16"/>
      <w:szCs w:val="16"/>
    </w:rPr>
  </w:style>
  <w:style w:type="paragraph" w:styleId="CommentText">
    <w:name w:val="annotation text"/>
    <w:basedOn w:val="Normal"/>
    <w:link w:val="CommentTextChar"/>
    <w:uiPriority w:val="99"/>
    <w:semiHidden/>
    <w:rsid w:val="00307C88"/>
  </w:style>
  <w:style w:type="character" w:customStyle="1" w:styleId="CommentTextChar">
    <w:name w:val="Comment Text Char"/>
    <w:basedOn w:val="DefaultParagraphFont"/>
    <w:link w:val="CommentText"/>
    <w:uiPriority w:val="99"/>
    <w:semiHidden/>
    <w:rsid w:val="00307C88"/>
    <w:rPr>
      <w:rFonts w:eastAsia="MS Mincho"/>
    </w:rPr>
  </w:style>
  <w:style w:type="paragraph" w:customStyle="1" w:styleId="IRPfiguresub0">
    <w:name w:val="IRPfiguresub"/>
    <w:basedOn w:val="BodyText"/>
    <w:rsid w:val="004D0808"/>
    <w:pPr>
      <w:spacing w:beforeAutospacing="1" w:after="0" w:afterAutospacing="1"/>
    </w:pPr>
    <w:rPr>
      <w:rFonts w:ascii="Arial" w:eastAsia="Times New Roman" w:hAnsi="Arial"/>
      <w:b/>
      <w:sz w:val="20"/>
    </w:rPr>
  </w:style>
  <w:style w:type="paragraph" w:styleId="BodyText">
    <w:name w:val="Body Text"/>
    <w:basedOn w:val="Normal"/>
    <w:link w:val="BodyTextChar"/>
    <w:uiPriority w:val="1"/>
    <w:unhideWhenUsed/>
    <w:qFormat/>
    <w:rsid w:val="004D0808"/>
    <w:pPr>
      <w:spacing w:after="120"/>
    </w:pPr>
  </w:style>
  <w:style w:type="character" w:customStyle="1" w:styleId="BodyTextChar">
    <w:name w:val="Body Text Char"/>
    <w:basedOn w:val="DefaultParagraphFont"/>
    <w:link w:val="BodyText"/>
    <w:uiPriority w:val="99"/>
    <w:semiHidden/>
    <w:rsid w:val="004D0808"/>
    <w:rPr>
      <w:rFonts w:eastAsia="MS Mincho"/>
    </w:rPr>
  </w:style>
  <w:style w:type="paragraph" w:styleId="ListParagraph">
    <w:name w:val="List Paragraph"/>
    <w:basedOn w:val="Normal"/>
    <w:uiPriority w:val="34"/>
    <w:qFormat/>
    <w:rsid w:val="00674AD7"/>
    <w:pPr>
      <w:widowControl w:val="0"/>
    </w:pPr>
    <w:rPr>
      <w:rFonts w:asciiTheme="minorHAnsi" w:eastAsiaTheme="minorHAnsi" w:hAnsiTheme="minorHAnsi" w:cstheme="minorBidi"/>
      <w:sz w:val="22"/>
      <w:szCs w:val="22"/>
      <w:lang w:eastAsia="en-US"/>
    </w:rPr>
  </w:style>
  <w:style w:type="paragraph" w:customStyle="1" w:styleId="TableParagraph">
    <w:name w:val="Table Paragraph"/>
    <w:basedOn w:val="Normal"/>
    <w:uiPriority w:val="1"/>
    <w:qFormat/>
    <w:rsid w:val="00674AD7"/>
    <w:pPr>
      <w:widowControl w:val="0"/>
    </w:pPr>
    <w:rPr>
      <w:rFonts w:asciiTheme="minorHAnsi" w:eastAsiaTheme="minorHAnsi" w:hAnsiTheme="minorHAnsi" w:cstheme="minorBidi"/>
      <w:sz w:val="22"/>
      <w:szCs w:val="22"/>
      <w:lang w:eastAsia="en-US"/>
    </w:rPr>
  </w:style>
  <w:style w:type="character" w:customStyle="1" w:styleId="CommentSubjectChar">
    <w:name w:val="Comment Subject Char"/>
    <w:basedOn w:val="CommentTextChar"/>
    <w:link w:val="CommentSubject"/>
    <w:uiPriority w:val="99"/>
    <w:semiHidden/>
    <w:rsid w:val="00674AD7"/>
    <w:rPr>
      <w:rFonts w:asciiTheme="minorHAnsi" w:eastAsiaTheme="minorHAnsi" w:hAnsiTheme="minorHAnsi" w:cstheme="minorBidi"/>
      <w:b/>
      <w:bCs/>
      <w:sz w:val="20"/>
      <w:szCs w:val="20"/>
      <w:lang w:eastAsia="en-US"/>
    </w:rPr>
  </w:style>
  <w:style w:type="paragraph" w:styleId="CommentSubject">
    <w:name w:val="annotation subject"/>
    <w:basedOn w:val="CommentText"/>
    <w:next w:val="CommentText"/>
    <w:link w:val="CommentSubjectChar"/>
    <w:uiPriority w:val="99"/>
    <w:semiHidden/>
    <w:unhideWhenUsed/>
    <w:rsid w:val="00674AD7"/>
    <w:pPr>
      <w:widowControl w:val="0"/>
    </w:pPr>
    <w:rPr>
      <w:rFonts w:asciiTheme="minorHAnsi" w:eastAsiaTheme="minorHAnsi" w:hAnsiTheme="minorHAnsi" w:cstheme="minorBidi"/>
      <w:b/>
      <w:bCs/>
      <w:sz w:val="20"/>
      <w:szCs w:val="20"/>
      <w:lang w:eastAsia="en-US"/>
    </w:rPr>
  </w:style>
  <w:style w:type="paragraph" w:styleId="Revision">
    <w:name w:val="Revision"/>
    <w:hidden/>
    <w:rsid w:val="00674AD7"/>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68781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ntTable" Target="fontTable.xml"/><Relationship Id="rId28" Type="http://schemas.openxmlformats.org/officeDocument/2006/relationships/customXml" Target="../customXml/item5.xml"/><Relationship Id="rId10" Type="http://schemas.openxmlformats.org/officeDocument/2006/relationships/image" Target="media/image2.png"/><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footer" Target="footer1.xml"/><Relationship Id="rId27"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Plan</DocumentSetType>
    <IsConfidential xmlns="dc463f71-b30c-4ab2-9473-d307f9d35888">false</IsConfidential>
    <AgendaOrder xmlns="dc463f71-b30c-4ab2-9473-d307f9d35888">false</AgendaOrder>
    <CaseType xmlns="dc463f71-b30c-4ab2-9473-d307f9d35888">Staff Investigation</CaseType>
    <IndustryCode xmlns="dc463f71-b30c-4ab2-9473-d307f9d35888">150</IndustryCode>
    <CaseStatus xmlns="dc463f71-b30c-4ab2-9473-d307f9d35888">Closed</CaseStatus>
    <OpenedDate xmlns="dc463f71-b30c-4ab2-9473-d307f9d35888">2014-05-29T07:00:00+00:00</OpenedDate>
    <Date1 xmlns="dc463f71-b30c-4ab2-9473-d307f9d35888">2015-11-25T08:00:00+00:00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141169</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CD7830C01A199B4B9669B9266D9E57D0" ma:contentTypeVersion="175" ma:contentTypeDescription="" ma:contentTypeScope="" ma:versionID="267235b268ef2103aa72b6bb0c12b36a">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d9af5a78cd4b1f642e3ede5db40f3279"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9C5ABE-155D-4738-82BF-F2B6D45D5B82}"/>
</file>

<file path=customXml/itemProps2.xml><?xml version="1.0" encoding="utf-8"?>
<ds:datastoreItem xmlns:ds="http://schemas.openxmlformats.org/officeDocument/2006/customXml" ds:itemID="{339884C5-646F-4809-A110-9FFABC3B331E}"/>
</file>

<file path=customXml/itemProps3.xml><?xml version="1.0" encoding="utf-8"?>
<ds:datastoreItem xmlns:ds="http://schemas.openxmlformats.org/officeDocument/2006/customXml" ds:itemID="{E5042168-4FEE-4407-998E-683319CBDF5B}"/>
</file>

<file path=customXml/itemProps4.xml><?xml version="1.0" encoding="utf-8"?>
<ds:datastoreItem xmlns:ds="http://schemas.openxmlformats.org/officeDocument/2006/customXml" ds:itemID="{9A4EFA50-19CA-4FA2-8350-12FF58B20CE4}"/>
</file>

<file path=customXml/itemProps5.xml><?xml version="1.0" encoding="utf-8"?>
<ds:datastoreItem xmlns:ds="http://schemas.openxmlformats.org/officeDocument/2006/customXml" ds:itemID="{AF87A4C4-E46A-4929-9992-CB207AEB9ECC}"/>
</file>

<file path=docProps/app.xml><?xml version="1.0" encoding="utf-8"?>
<Properties xmlns="http://schemas.openxmlformats.org/officeDocument/2006/extended-properties" xmlns:vt="http://schemas.openxmlformats.org/officeDocument/2006/docPropsVTypes">
  <Template>Normal.dotm</Template>
  <TotalTime>26</TotalTime>
  <Pages>26</Pages>
  <Words>5194</Words>
  <Characters>29612</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Puget Sound Energy</Company>
  <LinksUpToDate>false</LinksUpToDate>
  <CharactersWithSpaces>34737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Rhodes User</dc:creator>
  <cp:lastModifiedBy>Kacee Chandler</cp:lastModifiedBy>
  <cp:revision>5</cp:revision>
  <cp:lastPrinted>2015-11-02T23:20:00Z</cp:lastPrinted>
  <dcterms:created xsi:type="dcterms:W3CDTF">2015-11-19T22:10:00Z</dcterms:created>
  <dcterms:modified xsi:type="dcterms:W3CDTF">2015-11-19T22:36:00Z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-1769915516</vt:i4>
  </property>
  <property fmtid="{D5CDD505-2E9C-101B-9397-08002B2CF9AE}" pid="3" name="ContentTypeId">
    <vt:lpwstr>0x0101006E56B4D1795A2E4DB2F0B01679ED314A00CD7830C01A199B4B9669B9266D9E57D0</vt:lpwstr>
  </property>
  <property fmtid="{D5CDD505-2E9C-101B-9397-08002B2CF9AE}" pid="4" name="_docset_NoMedatataSyncRequired">
    <vt:lpwstr>False</vt:lpwstr>
  </property>
</Properties>
</file>