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1BCD0" w14:textId="6D1C584C" w:rsidR="00C90859" w:rsidRPr="00774BAE" w:rsidRDefault="00F232EE" w:rsidP="00E91EEF">
      <w:pPr>
        <w:spacing w:after="280"/>
        <w:rPr>
          <w:sz w:val="24"/>
          <w:szCs w:val="24"/>
        </w:rPr>
      </w:pPr>
      <w:bookmarkStart w:id="0" w:name="_GoBack"/>
      <w:bookmarkEnd w:id="0"/>
      <w:r w:rsidRPr="00774BAE">
        <w:rPr>
          <w:sz w:val="24"/>
          <w:szCs w:val="24"/>
        </w:rPr>
        <w:t>NW Natural’s 2014 Integrated Resource Plan (IRP)</w:t>
      </w:r>
      <w:r w:rsidR="00D6572F" w:rsidRPr="00774BAE">
        <w:rPr>
          <w:sz w:val="24"/>
          <w:szCs w:val="24"/>
        </w:rPr>
        <w:t xml:space="preserve"> included</w:t>
      </w:r>
      <w:r w:rsidR="002E556C" w:rsidRPr="00774BAE">
        <w:rPr>
          <w:sz w:val="24"/>
          <w:szCs w:val="24"/>
        </w:rPr>
        <w:t xml:space="preserve"> as Action Item 2.3a</w:t>
      </w:r>
      <w:r w:rsidR="00D6572F" w:rsidRPr="00774BAE">
        <w:rPr>
          <w:sz w:val="24"/>
          <w:szCs w:val="24"/>
        </w:rPr>
        <w:t xml:space="preserve"> the Company’s commitment to </w:t>
      </w:r>
      <w:r w:rsidR="004F0D3D" w:rsidRPr="00774BAE">
        <w:rPr>
          <w:sz w:val="24"/>
          <w:szCs w:val="24"/>
        </w:rPr>
        <w:t>completing</w:t>
      </w:r>
      <w:r w:rsidR="005C5FBB" w:rsidRPr="00774BAE">
        <w:rPr>
          <w:sz w:val="24"/>
          <w:szCs w:val="24"/>
        </w:rPr>
        <w:t xml:space="preserve"> an ana</w:t>
      </w:r>
      <w:r w:rsidR="004D0CDE" w:rsidRPr="00774BAE">
        <w:rPr>
          <w:sz w:val="24"/>
          <w:szCs w:val="24"/>
        </w:rPr>
        <w:t>lysis of a North Mist E</w:t>
      </w:r>
      <w:r w:rsidR="004361EF" w:rsidRPr="00774BAE">
        <w:rPr>
          <w:sz w:val="24"/>
          <w:szCs w:val="24"/>
        </w:rPr>
        <w:t>xpansion;</w:t>
      </w:r>
      <w:r w:rsidR="005C5FBB" w:rsidRPr="00774BAE">
        <w:rPr>
          <w:sz w:val="24"/>
          <w:szCs w:val="24"/>
        </w:rPr>
        <w:t xml:space="preserve"> refining cost estimates and quantifying the value of the project’s</w:t>
      </w:r>
      <w:r w:rsidR="00D6572F" w:rsidRPr="00774BAE">
        <w:rPr>
          <w:sz w:val="24"/>
          <w:szCs w:val="24"/>
        </w:rPr>
        <w:t xml:space="preserve"> optionality created by </w:t>
      </w:r>
      <w:r w:rsidR="004361EF" w:rsidRPr="00774BAE">
        <w:rPr>
          <w:sz w:val="24"/>
          <w:szCs w:val="24"/>
        </w:rPr>
        <w:t xml:space="preserve">a near-term </w:t>
      </w:r>
      <w:r w:rsidR="00D6572F" w:rsidRPr="00774BAE">
        <w:rPr>
          <w:sz w:val="24"/>
          <w:szCs w:val="24"/>
        </w:rPr>
        <w:t xml:space="preserve">upsizing </w:t>
      </w:r>
      <w:r w:rsidR="004361EF" w:rsidRPr="00774BAE">
        <w:rPr>
          <w:sz w:val="24"/>
          <w:szCs w:val="24"/>
        </w:rPr>
        <w:t xml:space="preserve">of </w:t>
      </w:r>
      <w:r w:rsidR="00D6572F" w:rsidRPr="00774BAE">
        <w:rPr>
          <w:sz w:val="24"/>
          <w:szCs w:val="24"/>
        </w:rPr>
        <w:t>a n</w:t>
      </w:r>
      <w:r w:rsidR="00044FA4" w:rsidRPr="00774BAE">
        <w:rPr>
          <w:sz w:val="24"/>
          <w:szCs w:val="24"/>
        </w:rPr>
        <w:t xml:space="preserve">ew takeaway pipeline associated with a </w:t>
      </w:r>
      <w:r w:rsidR="004361EF" w:rsidRPr="00774BAE">
        <w:rPr>
          <w:sz w:val="24"/>
          <w:szCs w:val="24"/>
        </w:rPr>
        <w:t>prospective</w:t>
      </w:r>
      <w:r w:rsidR="00D6572F" w:rsidRPr="00774BAE">
        <w:rPr>
          <w:sz w:val="24"/>
          <w:szCs w:val="24"/>
        </w:rPr>
        <w:t xml:space="preserve"> North Mist</w:t>
      </w:r>
      <w:r w:rsidR="004361EF" w:rsidRPr="00774BAE">
        <w:rPr>
          <w:sz w:val="24"/>
          <w:szCs w:val="24"/>
        </w:rPr>
        <w:t xml:space="preserve"> reservoir </w:t>
      </w:r>
      <w:r w:rsidR="005E0A56" w:rsidRPr="00774BAE">
        <w:rPr>
          <w:sz w:val="24"/>
          <w:szCs w:val="24"/>
        </w:rPr>
        <w:t>versus developing incremental takeaway capacity at some future date</w:t>
      </w:r>
      <w:r w:rsidR="004361EF" w:rsidRPr="00774BAE">
        <w:rPr>
          <w:sz w:val="24"/>
          <w:szCs w:val="24"/>
        </w:rPr>
        <w:t xml:space="preserve">; and </w:t>
      </w:r>
      <w:r w:rsidR="005C5FBB" w:rsidRPr="00774BAE">
        <w:rPr>
          <w:sz w:val="24"/>
          <w:szCs w:val="24"/>
        </w:rPr>
        <w:t>research</w:t>
      </w:r>
      <w:r w:rsidR="004361EF" w:rsidRPr="00774BAE">
        <w:rPr>
          <w:sz w:val="24"/>
          <w:szCs w:val="24"/>
        </w:rPr>
        <w:t>ing</w:t>
      </w:r>
      <w:r w:rsidR="005C5FBB" w:rsidRPr="00774BAE">
        <w:rPr>
          <w:sz w:val="24"/>
          <w:szCs w:val="24"/>
        </w:rPr>
        <w:t xml:space="preserve"> </w:t>
      </w:r>
      <w:r w:rsidR="00D6572F" w:rsidRPr="00774BAE">
        <w:rPr>
          <w:sz w:val="24"/>
          <w:szCs w:val="24"/>
        </w:rPr>
        <w:t>applicability of the Company’s Hinshaw Exemption to this project.</w:t>
      </w:r>
      <w:r w:rsidR="00C3368F" w:rsidRPr="00774BAE">
        <w:rPr>
          <w:rStyle w:val="FootnoteReference"/>
          <w:sz w:val="24"/>
          <w:szCs w:val="24"/>
        </w:rPr>
        <w:footnoteReference w:id="2"/>
      </w:r>
      <w:r w:rsidR="00D6572F" w:rsidRPr="00774BAE">
        <w:rPr>
          <w:sz w:val="24"/>
          <w:szCs w:val="24"/>
        </w:rPr>
        <w:t xml:space="preserve"> </w:t>
      </w:r>
      <w:r w:rsidR="00BA2637" w:rsidRPr="00774BAE">
        <w:rPr>
          <w:sz w:val="24"/>
          <w:szCs w:val="24"/>
        </w:rPr>
        <w:t>NW Natural</w:t>
      </w:r>
      <w:r w:rsidRPr="00774BAE">
        <w:rPr>
          <w:sz w:val="24"/>
          <w:szCs w:val="24"/>
        </w:rPr>
        <w:t xml:space="preserve"> c</w:t>
      </w:r>
      <w:r w:rsidR="001D144D" w:rsidRPr="00774BAE">
        <w:rPr>
          <w:sz w:val="24"/>
          <w:szCs w:val="24"/>
        </w:rPr>
        <w:t>ommitted</w:t>
      </w:r>
      <w:r w:rsidRPr="00774BAE">
        <w:rPr>
          <w:sz w:val="24"/>
          <w:szCs w:val="24"/>
        </w:rPr>
        <w:t xml:space="preserve"> to submit</w:t>
      </w:r>
      <w:r w:rsidR="00B45A32" w:rsidRPr="00774BAE">
        <w:rPr>
          <w:sz w:val="24"/>
          <w:szCs w:val="24"/>
        </w:rPr>
        <w:t>t</w:t>
      </w:r>
      <w:r w:rsidR="001D144D" w:rsidRPr="00774BAE">
        <w:rPr>
          <w:sz w:val="24"/>
          <w:szCs w:val="24"/>
        </w:rPr>
        <w:t>ing</w:t>
      </w:r>
      <w:r w:rsidRPr="00774BAE">
        <w:rPr>
          <w:sz w:val="24"/>
          <w:szCs w:val="24"/>
        </w:rPr>
        <w:t xml:space="preserve"> this analysis for</w:t>
      </w:r>
      <w:r w:rsidR="00D716CE" w:rsidRPr="00774BAE">
        <w:rPr>
          <w:sz w:val="24"/>
          <w:szCs w:val="24"/>
        </w:rPr>
        <w:t xml:space="preserve"> review by</w:t>
      </w:r>
      <w:r w:rsidR="004F0D3D" w:rsidRPr="00774BAE">
        <w:rPr>
          <w:sz w:val="24"/>
          <w:szCs w:val="24"/>
        </w:rPr>
        <w:t xml:space="preserve"> the</w:t>
      </w:r>
      <w:r w:rsidRPr="00774BAE">
        <w:rPr>
          <w:sz w:val="24"/>
          <w:szCs w:val="24"/>
        </w:rPr>
        <w:t xml:space="preserve"> </w:t>
      </w:r>
      <w:r w:rsidR="00DD6F1A" w:rsidRPr="00774BAE">
        <w:rPr>
          <w:sz w:val="24"/>
          <w:szCs w:val="24"/>
        </w:rPr>
        <w:t xml:space="preserve">Public Utility </w:t>
      </w:r>
      <w:r w:rsidRPr="00774BAE">
        <w:rPr>
          <w:sz w:val="24"/>
          <w:szCs w:val="24"/>
        </w:rPr>
        <w:t>Commi</w:t>
      </w:r>
      <w:r w:rsidR="004F0D3D" w:rsidRPr="00774BAE">
        <w:rPr>
          <w:sz w:val="24"/>
          <w:szCs w:val="24"/>
        </w:rPr>
        <w:t>ssion</w:t>
      </w:r>
      <w:r w:rsidR="00DD6F1A" w:rsidRPr="00774BAE">
        <w:rPr>
          <w:sz w:val="24"/>
          <w:szCs w:val="24"/>
        </w:rPr>
        <w:t xml:space="preserve"> of Oregon</w:t>
      </w:r>
      <w:r w:rsidR="004F0D3D" w:rsidRPr="00774BAE">
        <w:rPr>
          <w:sz w:val="24"/>
          <w:szCs w:val="24"/>
        </w:rPr>
        <w:t xml:space="preserve"> </w:t>
      </w:r>
      <w:r w:rsidR="00D716CE" w:rsidRPr="00774BAE">
        <w:rPr>
          <w:sz w:val="24"/>
          <w:szCs w:val="24"/>
        </w:rPr>
        <w:t xml:space="preserve">and the </w:t>
      </w:r>
      <w:r w:rsidR="00AC3980" w:rsidRPr="00774BAE">
        <w:rPr>
          <w:sz w:val="24"/>
          <w:szCs w:val="24"/>
        </w:rPr>
        <w:t>Washington Utilities</w:t>
      </w:r>
      <w:r w:rsidR="00D716CE" w:rsidRPr="00774BAE">
        <w:rPr>
          <w:sz w:val="24"/>
          <w:szCs w:val="24"/>
        </w:rPr>
        <w:t xml:space="preserve"> and Transportation Commission</w:t>
      </w:r>
      <w:r w:rsidR="004F0D3D" w:rsidRPr="00774BAE">
        <w:rPr>
          <w:sz w:val="24"/>
          <w:szCs w:val="24"/>
        </w:rPr>
        <w:t xml:space="preserve"> by May 2015. This</w:t>
      </w:r>
      <w:r w:rsidRPr="00774BAE">
        <w:rPr>
          <w:sz w:val="24"/>
          <w:szCs w:val="24"/>
        </w:rPr>
        <w:t xml:space="preserve"> filing fulfills the Company’s</w:t>
      </w:r>
      <w:r w:rsidR="00D6572F" w:rsidRPr="00774BAE">
        <w:rPr>
          <w:sz w:val="24"/>
          <w:szCs w:val="24"/>
        </w:rPr>
        <w:t xml:space="preserve"> commitment</w:t>
      </w:r>
      <w:r w:rsidR="00956BE9" w:rsidRPr="00774BAE">
        <w:rPr>
          <w:sz w:val="24"/>
          <w:szCs w:val="24"/>
        </w:rPr>
        <w:t>s</w:t>
      </w:r>
      <w:r w:rsidRPr="00774BAE">
        <w:rPr>
          <w:sz w:val="24"/>
          <w:szCs w:val="24"/>
        </w:rPr>
        <w:t xml:space="preserve"> regarding </w:t>
      </w:r>
      <w:r w:rsidR="00BA2637" w:rsidRPr="00774BAE">
        <w:rPr>
          <w:sz w:val="24"/>
          <w:szCs w:val="24"/>
        </w:rPr>
        <w:t xml:space="preserve">completion of an </w:t>
      </w:r>
      <w:r w:rsidRPr="00774BAE">
        <w:rPr>
          <w:sz w:val="24"/>
          <w:szCs w:val="24"/>
        </w:rPr>
        <w:t xml:space="preserve">analysis </w:t>
      </w:r>
      <w:r w:rsidR="001D144D" w:rsidRPr="00774BAE">
        <w:rPr>
          <w:sz w:val="24"/>
          <w:szCs w:val="24"/>
        </w:rPr>
        <w:t xml:space="preserve">of </w:t>
      </w:r>
      <w:r w:rsidR="004D0CDE" w:rsidRPr="00774BAE">
        <w:rPr>
          <w:sz w:val="24"/>
          <w:szCs w:val="24"/>
        </w:rPr>
        <w:t>a North Mist E</w:t>
      </w:r>
      <w:r w:rsidRPr="00774BAE">
        <w:rPr>
          <w:sz w:val="24"/>
          <w:szCs w:val="24"/>
        </w:rPr>
        <w:t xml:space="preserve">xpansion within </w:t>
      </w:r>
      <w:r w:rsidR="001D144D" w:rsidRPr="00774BAE">
        <w:rPr>
          <w:sz w:val="24"/>
          <w:szCs w:val="24"/>
        </w:rPr>
        <w:t xml:space="preserve">the context of </w:t>
      </w:r>
      <w:r w:rsidRPr="00774BAE">
        <w:rPr>
          <w:sz w:val="24"/>
          <w:szCs w:val="24"/>
        </w:rPr>
        <w:t>the 2014 IRP</w:t>
      </w:r>
      <w:r w:rsidR="00D6572F" w:rsidRPr="00774BAE">
        <w:rPr>
          <w:sz w:val="24"/>
          <w:szCs w:val="24"/>
        </w:rPr>
        <w:t>.</w:t>
      </w:r>
      <w:r w:rsidR="0006702C" w:rsidRPr="00774BAE">
        <w:rPr>
          <w:sz w:val="24"/>
          <w:szCs w:val="24"/>
        </w:rPr>
        <w:t xml:space="preserve"> </w:t>
      </w:r>
    </w:p>
    <w:p w14:paraId="58E1BCD1" w14:textId="77777777" w:rsidR="00F232EE" w:rsidRPr="00774BAE" w:rsidRDefault="00F232EE" w:rsidP="00E91EEF">
      <w:pPr>
        <w:spacing w:after="120"/>
        <w:rPr>
          <w:b/>
          <w:sz w:val="24"/>
          <w:szCs w:val="24"/>
        </w:rPr>
      </w:pPr>
      <w:r w:rsidRPr="00774BAE">
        <w:rPr>
          <w:b/>
          <w:sz w:val="24"/>
          <w:szCs w:val="24"/>
        </w:rPr>
        <w:t>Executive Summary</w:t>
      </w:r>
    </w:p>
    <w:p w14:paraId="58E1BCD2" w14:textId="306C1EA3" w:rsidR="00AE60D5" w:rsidRPr="00774BAE" w:rsidRDefault="00AE60D5" w:rsidP="00E91EEF">
      <w:pPr>
        <w:spacing w:after="280"/>
        <w:rPr>
          <w:sz w:val="24"/>
          <w:szCs w:val="24"/>
        </w:rPr>
      </w:pPr>
      <w:r w:rsidRPr="00774BAE">
        <w:rPr>
          <w:sz w:val="24"/>
          <w:szCs w:val="24"/>
        </w:rPr>
        <w:t xml:space="preserve">NW Natural’s analysis of potential optionality </w:t>
      </w:r>
      <w:r w:rsidR="001D144D" w:rsidRPr="00774BAE">
        <w:rPr>
          <w:sz w:val="24"/>
          <w:szCs w:val="24"/>
        </w:rPr>
        <w:t xml:space="preserve">value </w:t>
      </w:r>
      <w:r w:rsidR="00E559AB" w:rsidRPr="00774BAE">
        <w:rPr>
          <w:sz w:val="24"/>
          <w:szCs w:val="24"/>
        </w:rPr>
        <w:t xml:space="preserve">associated with upsizing </w:t>
      </w:r>
      <w:r w:rsidRPr="00774BAE">
        <w:rPr>
          <w:sz w:val="24"/>
          <w:szCs w:val="24"/>
        </w:rPr>
        <w:t xml:space="preserve">a new </w:t>
      </w:r>
      <w:r w:rsidR="00B92D17" w:rsidRPr="00774BAE">
        <w:rPr>
          <w:sz w:val="24"/>
          <w:szCs w:val="24"/>
        </w:rPr>
        <w:t>northbound</w:t>
      </w:r>
      <w:r w:rsidR="00774B3D" w:rsidRPr="00774BAE">
        <w:rPr>
          <w:rStyle w:val="FootnoteReference"/>
          <w:sz w:val="24"/>
          <w:szCs w:val="24"/>
        </w:rPr>
        <w:footnoteReference w:id="3"/>
      </w:r>
      <w:r w:rsidR="00B92D17" w:rsidRPr="00774BAE">
        <w:rPr>
          <w:sz w:val="24"/>
          <w:szCs w:val="24"/>
        </w:rPr>
        <w:t xml:space="preserve"> </w:t>
      </w:r>
      <w:r w:rsidRPr="00774BAE">
        <w:rPr>
          <w:sz w:val="24"/>
          <w:szCs w:val="24"/>
        </w:rPr>
        <w:t>pipeline</w:t>
      </w:r>
      <w:r w:rsidR="000E7B09" w:rsidRPr="00774BAE">
        <w:rPr>
          <w:sz w:val="24"/>
          <w:szCs w:val="24"/>
        </w:rPr>
        <w:t xml:space="preserve"> to be</w:t>
      </w:r>
      <w:r w:rsidR="00AA30B2" w:rsidRPr="00774BAE">
        <w:rPr>
          <w:sz w:val="24"/>
          <w:szCs w:val="24"/>
        </w:rPr>
        <w:t xml:space="preserve"> built for a non-Core</w:t>
      </w:r>
      <w:r w:rsidR="008D7F5C" w:rsidRPr="00774BAE">
        <w:rPr>
          <w:rStyle w:val="FootnoteReference"/>
          <w:sz w:val="24"/>
          <w:szCs w:val="24"/>
        </w:rPr>
        <w:footnoteReference w:id="4"/>
      </w:r>
      <w:r w:rsidR="00412969" w:rsidRPr="00774BAE">
        <w:rPr>
          <w:sz w:val="24"/>
          <w:szCs w:val="24"/>
        </w:rPr>
        <w:t xml:space="preserve"> customer’s use considers</w:t>
      </w:r>
      <w:r w:rsidR="00AA30B2" w:rsidRPr="00774BAE">
        <w:rPr>
          <w:sz w:val="24"/>
          <w:szCs w:val="24"/>
        </w:rPr>
        <w:t xml:space="preserve"> three alternative configurations of takeaway p</w:t>
      </w:r>
      <w:r w:rsidR="00412969" w:rsidRPr="00774BAE">
        <w:rPr>
          <w:sz w:val="24"/>
          <w:szCs w:val="24"/>
        </w:rPr>
        <w:t>ipelines. Each alternative</w:t>
      </w:r>
      <w:r w:rsidR="00312C5F" w:rsidRPr="00774BAE">
        <w:rPr>
          <w:sz w:val="24"/>
          <w:szCs w:val="24"/>
        </w:rPr>
        <w:t xml:space="preserve"> ha</w:t>
      </w:r>
      <w:r w:rsidR="00412969" w:rsidRPr="00774BAE">
        <w:rPr>
          <w:sz w:val="24"/>
          <w:szCs w:val="24"/>
        </w:rPr>
        <w:t>s capacity to deliver to NW Natural’s distribution system on a peak day 100 </w:t>
      </w:r>
      <w:r w:rsidR="000E7B09" w:rsidRPr="00774BAE">
        <w:rPr>
          <w:sz w:val="24"/>
          <w:szCs w:val="24"/>
        </w:rPr>
        <w:t>thousand Dekatherms per day (100 MDT/day)</w:t>
      </w:r>
      <w:r w:rsidR="00E559AB" w:rsidRPr="00774BAE">
        <w:rPr>
          <w:rStyle w:val="FootnoteReference"/>
          <w:sz w:val="24"/>
          <w:szCs w:val="24"/>
        </w:rPr>
        <w:footnoteReference w:id="5"/>
      </w:r>
      <w:r w:rsidR="000E7B09" w:rsidRPr="00774BAE">
        <w:rPr>
          <w:sz w:val="24"/>
          <w:szCs w:val="24"/>
        </w:rPr>
        <w:t xml:space="preserve"> of natural gas from underground </w:t>
      </w:r>
      <w:r w:rsidR="004F7AEA" w:rsidRPr="00774BAE">
        <w:rPr>
          <w:sz w:val="24"/>
          <w:szCs w:val="24"/>
        </w:rPr>
        <w:t xml:space="preserve">storage at a </w:t>
      </w:r>
      <w:r w:rsidR="000E7B09" w:rsidRPr="00774BAE">
        <w:rPr>
          <w:sz w:val="24"/>
          <w:szCs w:val="24"/>
        </w:rPr>
        <w:t>new North Mist reservoir.</w:t>
      </w:r>
    </w:p>
    <w:p w14:paraId="58E1BCD3" w14:textId="6930A658" w:rsidR="00AA30B2" w:rsidRPr="00774BAE" w:rsidRDefault="00AA30B2" w:rsidP="00E91EEF">
      <w:pPr>
        <w:spacing w:after="280"/>
        <w:rPr>
          <w:sz w:val="24"/>
          <w:szCs w:val="24"/>
        </w:rPr>
      </w:pPr>
      <w:r w:rsidRPr="00774BAE">
        <w:rPr>
          <w:sz w:val="24"/>
          <w:szCs w:val="24"/>
        </w:rPr>
        <w:t xml:space="preserve">Alternative 1 includes shared use of </w:t>
      </w:r>
      <w:r w:rsidR="00BA2637" w:rsidRPr="00774BAE">
        <w:rPr>
          <w:sz w:val="24"/>
          <w:szCs w:val="24"/>
        </w:rPr>
        <w:t>a</w:t>
      </w:r>
      <w:r w:rsidRPr="00774BAE">
        <w:rPr>
          <w:sz w:val="24"/>
          <w:szCs w:val="24"/>
        </w:rPr>
        <w:t xml:space="preserve"> new </w:t>
      </w:r>
      <w:r w:rsidR="00B92D17" w:rsidRPr="00774BAE">
        <w:rPr>
          <w:sz w:val="24"/>
          <w:szCs w:val="24"/>
        </w:rPr>
        <w:t xml:space="preserve">northbound </w:t>
      </w:r>
      <w:r w:rsidRPr="00774BAE">
        <w:rPr>
          <w:sz w:val="24"/>
          <w:szCs w:val="24"/>
        </w:rPr>
        <w:t>pipeline, the Kelso–Beaver</w:t>
      </w:r>
      <w:r w:rsidR="00B92D17" w:rsidRPr="00774BAE">
        <w:rPr>
          <w:sz w:val="24"/>
          <w:szCs w:val="24"/>
        </w:rPr>
        <w:t xml:space="preserve"> Pipeline (KB </w:t>
      </w:r>
      <w:r w:rsidR="000E7B09" w:rsidRPr="00774BAE">
        <w:rPr>
          <w:sz w:val="24"/>
          <w:szCs w:val="24"/>
        </w:rPr>
        <w:t xml:space="preserve">Pipeline), and </w:t>
      </w:r>
      <w:r w:rsidR="00BA2637" w:rsidRPr="00774BAE">
        <w:rPr>
          <w:sz w:val="24"/>
          <w:szCs w:val="24"/>
        </w:rPr>
        <w:t xml:space="preserve">interconnecting with </w:t>
      </w:r>
      <w:r w:rsidR="000E7B09" w:rsidRPr="00774BAE">
        <w:rPr>
          <w:sz w:val="24"/>
          <w:szCs w:val="24"/>
        </w:rPr>
        <w:t>Northwest Pipeline (NWP)</w:t>
      </w:r>
      <w:r w:rsidR="00BA2637" w:rsidRPr="00774BAE">
        <w:rPr>
          <w:sz w:val="24"/>
          <w:szCs w:val="24"/>
        </w:rPr>
        <w:t xml:space="preserve"> in the vicinity of Kelso, Washington</w:t>
      </w:r>
      <w:r w:rsidR="00F07F68">
        <w:rPr>
          <w:sz w:val="24"/>
          <w:szCs w:val="24"/>
        </w:rPr>
        <w:t>,</w:t>
      </w:r>
      <w:r w:rsidRPr="00774BAE">
        <w:rPr>
          <w:sz w:val="24"/>
          <w:szCs w:val="24"/>
        </w:rPr>
        <w:t xml:space="preserve"> for transmission back to NW Natural’s system.</w:t>
      </w:r>
      <w:r w:rsidR="00B92D17" w:rsidRPr="00774BAE">
        <w:rPr>
          <w:sz w:val="24"/>
          <w:szCs w:val="24"/>
        </w:rPr>
        <w:t xml:space="preserve"> The 2014 </w:t>
      </w:r>
      <w:r w:rsidR="00412969" w:rsidRPr="00774BAE">
        <w:rPr>
          <w:sz w:val="24"/>
          <w:szCs w:val="24"/>
        </w:rPr>
        <w:t xml:space="preserve">IRP included this configuration of North </w:t>
      </w:r>
      <w:r w:rsidR="004361EF" w:rsidRPr="00774BAE">
        <w:rPr>
          <w:sz w:val="24"/>
          <w:szCs w:val="24"/>
        </w:rPr>
        <w:t>Mist</w:t>
      </w:r>
      <w:r w:rsidR="00774B3D" w:rsidRPr="00774BAE">
        <w:rPr>
          <w:sz w:val="24"/>
          <w:szCs w:val="24"/>
        </w:rPr>
        <w:t xml:space="preserve"> takeaway</w:t>
      </w:r>
      <w:r w:rsidR="00D25296" w:rsidRPr="00774BAE">
        <w:rPr>
          <w:sz w:val="24"/>
          <w:szCs w:val="24"/>
        </w:rPr>
        <w:t xml:space="preserve"> </w:t>
      </w:r>
      <w:r w:rsidR="00AF1EC0" w:rsidRPr="00774BAE">
        <w:rPr>
          <w:sz w:val="24"/>
          <w:szCs w:val="24"/>
        </w:rPr>
        <w:t>as a future supply resource</w:t>
      </w:r>
      <w:r w:rsidR="00B353B1" w:rsidRPr="00774BAE">
        <w:rPr>
          <w:sz w:val="24"/>
          <w:szCs w:val="24"/>
        </w:rPr>
        <w:t xml:space="preserve"> in all least cost </w:t>
      </w:r>
      <w:r w:rsidR="00E26969" w:rsidRPr="00774BAE">
        <w:rPr>
          <w:sz w:val="24"/>
          <w:szCs w:val="24"/>
        </w:rPr>
        <w:t xml:space="preserve">resource </w:t>
      </w:r>
      <w:r w:rsidR="00B353B1" w:rsidRPr="00774BAE">
        <w:rPr>
          <w:sz w:val="24"/>
          <w:szCs w:val="24"/>
        </w:rPr>
        <w:t>portfolios</w:t>
      </w:r>
      <w:r w:rsidR="00D25296" w:rsidRPr="00774BAE">
        <w:rPr>
          <w:sz w:val="24"/>
          <w:szCs w:val="24"/>
        </w:rPr>
        <w:t>.</w:t>
      </w:r>
      <w:r w:rsidR="00D25296" w:rsidRPr="00774BAE">
        <w:rPr>
          <w:rStyle w:val="FootnoteReference"/>
          <w:sz w:val="24"/>
          <w:szCs w:val="24"/>
        </w:rPr>
        <w:footnoteReference w:id="6"/>
      </w:r>
      <w:r w:rsidR="00774B3D" w:rsidRPr="00774BAE">
        <w:rPr>
          <w:sz w:val="24"/>
          <w:szCs w:val="24"/>
        </w:rPr>
        <w:t xml:space="preserve"> A</w:t>
      </w:r>
      <w:r w:rsidR="00675110" w:rsidRPr="00774BAE">
        <w:rPr>
          <w:sz w:val="24"/>
          <w:szCs w:val="24"/>
        </w:rPr>
        <w:t>lternative</w:t>
      </w:r>
      <w:r w:rsidR="00774B3D" w:rsidRPr="00774BAE">
        <w:rPr>
          <w:sz w:val="24"/>
          <w:szCs w:val="24"/>
        </w:rPr>
        <w:t xml:space="preserve"> 1</w:t>
      </w:r>
      <w:r w:rsidR="00675110" w:rsidRPr="00774BAE">
        <w:rPr>
          <w:sz w:val="24"/>
          <w:szCs w:val="24"/>
        </w:rPr>
        <w:t xml:space="preserve"> is also identified</w:t>
      </w:r>
      <w:r w:rsidR="00BC02EB" w:rsidRPr="00774BAE">
        <w:rPr>
          <w:sz w:val="24"/>
          <w:szCs w:val="24"/>
        </w:rPr>
        <w:t xml:space="preserve"> in this filing as the “Shared Northbound Takeaway” alternative.</w:t>
      </w:r>
    </w:p>
    <w:p w14:paraId="58E1BCD4" w14:textId="77777777" w:rsidR="00AA30B2" w:rsidRPr="00774BAE" w:rsidRDefault="00AA30B2" w:rsidP="00E91EEF">
      <w:pPr>
        <w:spacing w:after="280"/>
        <w:ind w:left="-90"/>
        <w:rPr>
          <w:sz w:val="24"/>
          <w:szCs w:val="24"/>
        </w:rPr>
      </w:pPr>
      <w:r w:rsidRPr="00774BAE">
        <w:rPr>
          <w:sz w:val="24"/>
          <w:szCs w:val="24"/>
        </w:rPr>
        <w:lastRenderedPageBreak/>
        <w:t>Alternative 2 uses the existing South Mist Pipeline (SMP) and South Mist Pipeline Extension (SMPE and, together, SMP/SMPE), interconnecting with NWP’s Grants Pass lateral in the vicinity of Molalla, Oregon, and transmission by NWP to NW Natural’s system.</w:t>
      </w:r>
      <w:r w:rsidRPr="00774BAE">
        <w:rPr>
          <w:rStyle w:val="FootnoteReference"/>
          <w:sz w:val="24"/>
          <w:szCs w:val="24"/>
        </w:rPr>
        <w:footnoteReference w:id="7"/>
      </w:r>
      <w:r w:rsidR="005F1657" w:rsidRPr="00774BAE">
        <w:rPr>
          <w:sz w:val="24"/>
          <w:szCs w:val="24"/>
        </w:rPr>
        <w:t xml:space="preserve"> A</w:t>
      </w:r>
      <w:r w:rsidR="00675110" w:rsidRPr="00774BAE">
        <w:rPr>
          <w:sz w:val="24"/>
          <w:szCs w:val="24"/>
        </w:rPr>
        <w:t>lternative</w:t>
      </w:r>
      <w:r w:rsidR="005F1657" w:rsidRPr="00774BAE">
        <w:rPr>
          <w:sz w:val="24"/>
          <w:szCs w:val="24"/>
        </w:rPr>
        <w:t xml:space="preserve"> 2</w:t>
      </w:r>
      <w:r w:rsidR="00675110" w:rsidRPr="00774BAE">
        <w:rPr>
          <w:sz w:val="24"/>
          <w:szCs w:val="24"/>
        </w:rPr>
        <w:t xml:space="preserve"> is also identified</w:t>
      </w:r>
      <w:r w:rsidR="00BC02EB" w:rsidRPr="00774BAE">
        <w:rPr>
          <w:sz w:val="24"/>
          <w:szCs w:val="24"/>
        </w:rPr>
        <w:t xml:space="preserve"> in this filing as the “Southbound Takeaway” alternative.</w:t>
      </w:r>
    </w:p>
    <w:p w14:paraId="58E1BCD5" w14:textId="387B7100" w:rsidR="00585BBF" w:rsidRPr="00774BAE" w:rsidRDefault="00585BBF" w:rsidP="00E91EEF">
      <w:pPr>
        <w:spacing w:after="280"/>
        <w:rPr>
          <w:sz w:val="24"/>
          <w:szCs w:val="24"/>
        </w:rPr>
      </w:pPr>
      <w:r w:rsidRPr="00774BAE">
        <w:rPr>
          <w:sz w:val="24"/>
          <w:szCs w:val="24"/>
        </w:rPr>
        <w:t>Al</w:t>
      </w:r>
      <w:r w:rsidR="00774B3D" w:rsidRPr="00774BAE">
        <w:rPr>
          <w:sz w:val="24"/>
          <w:szCs w:val="24"/>
        </w:rPr>
        <w:t>ternative 3 is a hybrid configuration</w:t>
      </w:r>
      <w:r w:rsidR="001D0F9E" w:rsidRPr="00774BAE">
        <w:rPr>
          <w:sz w:val="24"/>
          <w:szCs w:val="24"/>
        </w:rPr>
        <w:t xml:space="preserve"> of takeaway pipelines</w:t>
      </w:r>
      <w:r w:rsidRPr="00774BAE">
        <w:rPr>
          <w:sz w:val="24"/>
          <w:szCs w:val="24"/>
        </w:rPr>
        <w:t xml:space="preserve">, </w:t>
      </w:r>
      <w:r w:rsidR="00774B3D" w:rsidRPr="00774BAE">
        <w:rPr>
          <w:sz w:val="24"/>
          <w:szCs w:val="24"/>
        </w:rPr>
        <w:t>with gas flowing north</w:t>
      </w:r>
      <w:r w:rsidR="00D25296" w:rsidRPr="00774BAE">
        <w:rPr>
          <w:sz w:val="24"/>
          <w:szCs w:val="24"/>
        </w:rPr>
        <w:t xml:space="preserve"> </w:t>
      </w:r>
      <w:r w:rsidRPr="00774BAE">
        <w:rPr>
          <w:sz w:val="24"/>
          <w:szCs w:val="24"/>
        </w:rPr>
        <w:t xml:space="preserve">using the existing North Mist Pipeline (NMP), </w:t>
      </w:r>
      <w:r w:rsidR="00774B3D" w:rsidRPr="00774BAE">
        <w:rPr>
          <w:sz w:val="24"/>
          <w:szCs w:val="24"/>
        </w:rPr>
        <w:t xml:space="preserve">the existing </w:t>
      </w:r>
      <w:r w:rsidRPr="00774BAE">
        <w:rPr>
          <w:sz w:val="24"/>
          <w:szCs w:val="24"/>
        </w:rPr>
        <w:t xml:space="preserve">North Coast Feeder (NCF), </w:t>
      </w:r>
      <w:r w:rsidR="00D25296" w:rsidRPr="00774BAE">
        <w:rPr>
          <w:sz w:val="24"/>
          <w:szCs w:val="24"/>
        </w:rPr>
        <w:t>and onto NWP at the Deer Island gate</w:t>
      </w:r>
      <w:r w:rsidR="001D0F9E" w:rsidRPr="00774BAE">
        <w:rPr>
          <w:sz w:val="24"/>
          <w:szCs w:val="24"/>
        </w:rPr>
        <w:t xml:space="preserve"> </w:t>
      </w:r>
      <w:r w:rsidR="00F07F68">
        <w:rPr>
          <w:sz w:val="24"/>
          <w:szCs w:val="24"/>
        </w:rPr>
        <w:t>station</w:t>
      </w:r>
      <w:r w:rsidR="001D0F9E" w:rsidRPr="00774BAE">
        <w:rPr>
          <w:sz w:val="24"/>
          <w:szCs w:val="24"/>
        </w:rPr>
        <w:t xml:space="preserve"> for transmission by NWP to NW Natural’s system</w:t>
      </w:r>
      <w:r w:rsidR="00D25296" w:rsidRPr="00774BAE">
        <w:rPr>
          <w:sz w:val="24"/>
          <w:szCs w:val="24"/>
        </w:rPr>
        <w:t xml:space="preserve"> a</w:t>
      </w:r>
      <w:r w:rsidR="000E7B09" w:rsidRPr="00774BAE">
        <w:rPr>
          <w:sz w:val="24"/>
          <w:szCs w:val="24"/>
        </w:rPr>
        <w:t xml:space="preserve">nd </w:t>
      </w:r>
      <w:r w:rsidR="00774B3D" w:rsidRPr="00774BAE">
        <w:rPr>
          <w:sz w:val="24"/>
          <w:szCs w:val="24"/>
        </w:rPr>
        <w:t>flowing south</w:t>
      </w:r>
      <w:r w:rsidR="000E7B09" w:rsidRPr="00774BAE">
        <w:rPr>
          <w:sz w:val="24"/>
          <w:szCs w:val="24"/>
        </w:rPr>
        <w:t xml:space="preserve"> using SMP/SMPE and NWP as described in Alternative 2</w:t>
      </w:r>
      <w:r w:rsidR="00D25296" w:rsidRPr="00774BAE">
        <w:rPr>
          <w:sz w:val="24"/>
          <w:szCs w:val="24"/>
        </w:rPr>
        <w:t xml:space="preserve">. Given </w:t>
      </w:r>
      <w:r w:rsidR="001D144D" w:rsidRPr="00774BAE">
        <w:rPr>
          <w:sz w:val="24"/>
          <w:szCs w:val="24"/>
        </w:rPr>
        <w:t xml:space="preserve">the </w:t>
      </w:r>
      <w:r w:rsidR="00D25296" w:rsidRPr="00774BAE">
        <w:rPr>
          <w:sz w:val="24"/>
          <w:szCs w:val="24"/>
        </w:rPr>
        <w:t>limitations of the existing infrastructure in the northbound path</w:t>
      </w:r>
      <w:r w:rsidR="000E7B09" w:rsidRPr="00774BAE">
        <w:rPr>
          <w:sz w:val="24"/>
          <w:szCs w:val="24"/>
        </w:rPr>
        <w:t xml:space="preserve"> (N</w:t>
      </w:r>
      <w:r w:rsidR="00B513E2" w:rsidRPr="00774BAE">
        <w:rPr>
          <w:sz w:val="24"/>
          <w:szCs w:val="24"/>
        </w:rPr>
        <w:t>M</w:t>
      </w:r>
      <w:r w:rsidR="000E7B09" w:rsidRPr="00774BAE">
        <w:rPr>
          <w:sz w:val="24"/>
          <w:szCs w:val="24"/>
        </w:rPr>
        <w:t>P, NCF, and at the Deer Island gate</w:t>
      </w:r>
      <w:r w:rsidR="007D2657">
        <w:rPr>
          <w:sz w:val="24"/>
          <w:szCs w:val="24"/>
        </w:rPr>
        <w:t xml:space="preserve"> station</w:t>
      </w:r>
      <w:r w:rsidR="000E7B09" w:rsidRPr="00774BAE">
        <w:rPr>
          <w:sz w:val="24"/>
          <w:szCs w:val="24"/>
        </w:rPr>
        <w:t xml:space="preserve">), </w:t>
      </w:r>
      <w:r w:rsidR="005F1657" w:rsidRPr="00774BAE">
        <w:rPr>
          <w:sz w:val="24"/>
          <w:szCs w:val="24"/>
        </w:rPr>
        <w:t xml:space="preserve">full development of Alternative 3 is constrained to </w:t>
      </w:r>
      <w:r w:rsidR="000E7B09" w:rsidRPr="00774BAE">
        <w:rPr>
          <w:sz w:val="24"/>
          <w:szCs w:val="24"/>
        </w:rPr>
        <w:t>a maximum</w:t>
      </w:r>
      <w:r w:rsidR="005F1657" w:rsidRPr="00774BAE">
        <w:rPr>
          <w:sz w:val="24"/>
          <w:szCs w:val="24"/>
        </w:rPr>
        <w:t xml:space="preserve"> 50 MDT/day of gas flowing</w:t>
      </w:r>
      <w:r w:rsidR="00D25296" w:rsidRPr="00774BAE">
        <w:rPr>
          <w:sz w:val="24"/>
          <w:szCs w:val="24"/>
        </w:rPr>
        <w:t xml:space="preserve"> northbound</w:t>
      </w:r>
      <w:r w:rsidR="00044FA4" w:rsidRPr="00774BAE">
        <w:rPr>
          <w:sz w:val="24"/>
          <w:szCs w:val="24"/>
        </w:rPr>
        <w:t xml:space="preserve"> on a design</w:t>
      </w:r>
      <w:r w:rsidR="000E7B09" w:rsidRPr="00774BAE">
        <w:rPr>
          <w:sz w:val="24"/>
          <w:szCs w:val="24"/>
        </w:rPr>
        <w:t xml:space="preserve"> day</w:t>
      </w:r>
      <w:r w:rsidR="005F1657" w:rsidRPr="00774BAE">
        <w:rPr>
          <w:sz w:val="24"/>
          <w:szCs w:val="24"/>
        </w:rPr>
        <w:t>, with</w:t>
      </w:r>
      <w:r w:rsidR="00D25296" w:rsidRPr="00774BAE">
        <w:rPr>
          <w:sz w:val="24"/>
          <w:szCs w:val="24"/>
        </w:rPr>
        <w:t xml:space="preserve"> </w:t>
      </w:r>
      <w:r w:rsidR="005F1657" w:rsidRPr="00774BAE">
        <w:rPr>
          <w:sz w:val="24"/>
          <w:szCs w:val="24"/>
        </w:rPr>
        <w:t>the remaining 50 MDT/day flowing</w:t>
      </w:r>
      <w:r w:rsidR="00D25296" w:rsidRPr="00774BAE">
        <w:rPr>
          <w:sz w:val="24"/>
          <w:szCs w:val="24"/>
        </w:rPr>
        <w:t xml:space="preserve"> southbound from North Mist.</w:t>
      </w:r>
      <w:r w:rsidR="005F1657" w:rsidRPr="00774BAE">
        <w:rPr>
          <w:sz w:val="24"/>
          <w:szCs w:val="24"/>
        </w:rPr>
        <w:t xml:space="preserve"> </w:t>
      </w:r>
      <w:r w:rsidR="004F7AEA" w:rsidRPr="00774BAE">
        <w:rPr>
          <w:sz w:val="24"/>
          <w:szCs w:val="24"/>
        </w:rPr>
        <w:t xml:space="preserve">A key feature of Alternative 3 is that the southbound </w:t>
      </w:r>
      <w:r w:rsidR="004A50F7" w:rsidRPr="00774BAE">
        <w:rPr>
          <w:sz w:val="24"/>
          <w:szCs w:val="24"/>
        </w:rPr>
        <w:t xml:space="preserve">takeaway </w:t>
      </w:r>
      <w:r w:rsidR="004F7AEA" w:rsidRPr="00774BAE">
        <w:rPr>
          <w:sz w:val="24"/>
          <w:szCs w:val="24"/>
        </w:rPr>
        <w:t xml:space="preserve">capacity does not have to be developed at the same time the northbound </w:t>
      </w:r>
      <w:r w:rsidR="004A50F7" w:rsidRPr="00774BAE">
        <w:rPr>
          <w:sz w:val="24"/>
          <w:szCs w:val="24"/>
        </w:rPr>
        <w:t xml:space="preserve">takeaway </w:t>
      </w:r>
      <w:r w:rsidR="004F7AEA" w:rsidRPr="00774BAE">
        <w:rPr>
          <w:sz w:val="24"/>
          <w:szCs w:val="24"/>
        </w:rPr>
        <w:t xml:space="preserve">capacity is developed. </w:t>
      </w:r>
      <w:r w:rsidR="005F1657" w:rsidRPr="00774BAE">
        <w:rPr>
          <w:sz w:val="24"/>
          <w:szCs w:val="24"/>
        </w:rPr>
        <w:t>A</w:t>
      </w:r>
      <w:r w:rsidR="00675110" w:rsidRPr="00774BAE">
        <w:rPr>
          <w:sz w:val="24"/>
          <w:szCs w:val="24"/>
        </w:rPr>
        <w:t xml:space="preserve">lternative </w:t>
      </w:r>
      <w:r w:rsidR="005F1657" w:rsidRPr="00774BAE">
        <w:rPr>
          <w:sz w:val="24"/>
          <w:szCs w:val="24"/>
        </w:rPr>
        <w:t xml:space="preserve">3 </w:t>
      </w:r>
      <w:r w:rsidR="00675110" w:rsidRPr="00774BAE">
        <w:rPr>
          <w:sz w:val="24"/>
          <w:szCs w:val="24"/>
        </w:rPr>
        <w:t>is also identified</w:t>
      </w:r>
      <w:r w:rsidR="00BC02EB" w:rsidRPr="00774BAE">
        <w:rPr>
          <w:sz w:val="24"/>
          <w:szCs w:val="24"/>
        </w:rPr>
        <w:t xml:space="preserve"> in this filing as the “Hybrid Takeaway” alternative.</w:t>
      </w:r>
    </w:p>
    <w:p w14:paraId="58E1BCD6" w14:textId="4C01AEF2" w:rsidR="00D25296" w:rsidRPr="00774BAE" w:rsidRDefault="00D25296" w:rsidP="00E91EEF">
      <w:pPr>
        <w:spacing w:after="280"/>
        <w:ind w:right="720"/>
        <w:rPr>
          <w:sz w:val="24"/>
          <w:szCs w:val="24"/>
        </w:rPr>
      </w:pPr>
      <w:r w:rsidRPr="00774BAE">
        <w:rPr>
          <w:sz w:val="24"/>
          <w:szCs w:val="24"/>
        </w:rPr>
        <w:t>Each alternative has its own set of required incremental</w:t>
      </w:r>
      <w:r w:rsidR="004C7FCE" w:rsidRPr="00774BAE">
        <w:rPr>
          <w:sz w:val="24"/>
          <w:szCs w:val="24"/>
        </w:rPr>
        <w:t xml:space="preserve"> investments for new infrastructure</w:t>
      </w:r>
      <w:r w:rsidR="00FA47EA" w:rsidRPr="00774BAE">
        <w:rPr>
          <w:sz w:val="24"/>
          <w:szCs w:val="24"/>
        </w:rPr>
        <w:t>, with only Alternative 1 requiring</w:t>
      </w:r>
      <w:r w:rsidR="000E7B09" w:rsidRPr="00774BAE">
        <w:rPr>
          <w:sz w:val="24"/>
          <w:szCs w:val="24"/>
        </w:rPr>
        <w:t xml:space="preserve"> near-term</w:t>
      </w:r>
      <w:r w:rsidRPr="00774BAE">
        <w:rPr>
          <w:sz w:val="24"/>
          <w:szCs w:val="24"/>
        </w:rPr>
        <w:t xml:space="preserve"> investment</w:t>
      </w:r>
      <w:r w:rsidR="00044FA4" w:rsidRPr="00774BAE">
        <w:rPr>
          <w:sz w:val="24"/>
          <w:szCs w:val="24"/>
        </w:rPr>
        <w:t>; i.e., several years</w:t>
      </w:r>
      <w:r w:rsidRPr="00774BAE">
        <w:rPr>
          <w:sz w:val="24"/>
          <w:szCs w:val="24"/>
        </w:rPr>
        <w:t xml:space="preserve"> prior to </w:t>
      </w:r>
      <w:r w:rsidR="000E7B09" w:rsidRPr="00774BAE">
        <w:rPr>
          <w:sz w:val="24"/>
          <w:szCs w:val="24"/>
        </w:rPr>
        <w:t xml:space="preserve">the time </w:t>
      </w:r>
      <w:r w:rsidRPr="00774BAE">
        <w:rPr>
          <w:sz w:val="24"/>
          <w:szCs w:val="24"/>
        </w:rPr>
        <w:t xml:space="preserve">when the capacity is </w:t>
      </w:r>
      <w:r w:rsidR="004F7AEA" w:rsidRPr="00774BAE">
        <w:rPr>
          <w:sz w:val="24"/>
          <w:szCs w:val="24"/>
        </w:rPr>
        <w:t>expected to be needed for</w:t>
      </w:r>
      <w:r w:rsidRPr="00774BAE">
        <w:rPr>
          <w:sz w:val="24"/>
          <w:szCs w:val="24"/>
        </w:rPr>
        <w:t xml:space="preserve"> Core customers</w:t>
      </w:r>
      <w:r w:rsidR="004A50F7" w:rsidRPr="00774BAE">
        <w:rPr>
          <w:sz w:val="24"/>
          <w:szCs w:val="24"/>
        </w:rPr>
        <w:t xml:space="preserve"> based on the design day load forecast in the 2014 IRP</w:t>
      </w:r>
      <w:r w:rsidRPr="00774BAE">
        <w:rPr>
          <w:sz w:val="24"/>
          <w:szCs w:val="24"/>
        </w:rPr>
        <w:t>.</w:t>
      </w:r>
    </w:p>
    <w:p w14:paraId="58E1BCD7" w14:textId="58051B79" w:rsidR="00E80417" w:rsidRPr="00774BAE" w:rsidRDefault="00D25296" w:rsidP="00E91EEF">
      <w:pPr>
        <w:spacing w:after="280"/>
        <w:ind w:right="720"/>
        <w:rPr>
          <w:sz w:val="24"/>
          <w:szCs w:val="24"/>
        </w:rPr>
      </w:pPr>
      <w:r w:rsidRPr="00774BAE">
        <w:rPr>
          <w:sz w:val="24"/>
          <w:szCs w:val="24"/>
        </w:rPr>
        <w:t>NW Natural’s analysis</w:t>
      </w:r>
      <w:r w:rsidR="001D144D" w:rsidRPr="00774BAE">
        <w:rPr>
          <w:sz w:val="24"/>
          <w:szCs w:val="24"/>
        </w:rPr>
        <w:t>, based on recent cost estimates,</w:t>
      </w:r>
      <w:r w:rsidRPr="00774BAE">
        <w:rPr>
          <w:sz w:val="24"/>
          <w:szCs w:val="24"/>
        </w:rPr>
        <w:t xml:space="preserve"> </w:t>
      </w:r>
      <w:r w:rsidR="006061DE">
        <w:rPr>
          <w:sz w:val="24"/>
          <w:szCs w:val="24"/>
        </w:rPr>
        <w:t xml:space="preserve">shows that </w:t>
      </w:r>
      <w:r w:rsidR="006061DE" w:rsidRPr="00774BAE">
        <w:rPr>
          <w:sz w:val="24"/>
          <w:szCs w:val="24"/>
        </w:rPr>
        <w:t>upsizing the new northbound pipeline in Alternative 1 for future shared use</w:t>
      </w:r>
      <w:r w:rsidR="006061DE">
        <w:rPr>
          <w:sz w:val="24"/>
          <w:szCs w:val="24"/>
        </w:rPr>
        <w:t xml:space="preserve"> ha</w:t>
      </w:r>
      <w:r w:rsidRPr="00774BAE">
        <w:rPr>
          <w:sz w:val="24"/>
          <w:szCs w:val="24"/>
        </w:rPr>
        <w:t>s no optionality value</w:t>
      </w:r>
      <w:r w:rsidR="001D144D" w:rsidRPr="00774BAE">
        <w:rPr>
          <w:sz w:val="24"/>
          <w:szCs w:val="24"/>
        </w:rPr>
        <w:t xml:space="preserve"> for Core customers</w:t>
      </w:r>
      <w:r w:rsidR="006061DE">
        <w:rPr>
          <w:sz w:val="24"/>
          <w:szCs w:val="24"/>
        </w:rPr>
        <w:t>.</w:t>
      </w:r>
      <w:r w:rsidR="001D144D" w:rsidRPr="00774BAE">
        <w:rPr>
          <w:sz w:val="24"/>
          <w:szCs w:val="24"/>
        </w:rPr>
        <w:t xml:space="preserve"> The hybrid Alternative 3 is lower co</w:t>
      </w:r>
      <w:r w:rsidR="005F1657" w:rsidRPr="00774BAE">
        <w:rPr>
          <w:sz w:val="24"/>
          <w:szCs w:val="24"/>
        </w:rPr>
        <w:t>st than Alternative</w:t>
      </w:r>
      <w:r w:rsidR="00044FA4" w:rsidRPr="00774BAE">
        <w:rPr>
          <w:sz w:val="24"/>
          <w:szCs w:val="24"/>
        </w:rPr>
        <w:t>s</w:t>
      </w:r>
      <w:r w:rsidR="005F1657" w:rsidRPr="00774BAE">
        <w:rPr>
          <w:sz w:val="24"/>
          <w:szCs w:val="24"/>
        </w:rPr>
        <w:t xml:space="preserve"> 1</w:t>
      </w:r>
      <w:r w:rsidR="00044FA4" w:rsidRPr="00774BAE">
        <w:rPr>
          <w:sz w:val="24"/>
          <w:szCs w:val="24"/>
        </w:rPr>
        <w:t xml:space="preserve"> </w:t>
      </w:r>
      <w:r w:rsidR="00F833A1" w:rsidRPr="00774BAE">
        <w:rPr>
          <w:sz w:val="24"/>
          <w:szCs w:val="24"/>
        </w:rPr>
        <w:t>and 2</w:t>
      </w:r>
      <w:r w:rsidR="005F1657" w:rsidRPr="00774BAE">
        <w:rPr>
          <w:sz w:val="24"/>
          <w:szCs w:val="24"/>
        </w:rPr>
        <w:t xml:space="preserve"> in every</w:t>
      </w:r>
      <w:r w:rsidR="001D144D" w:rsidRPr="00774BAE">
        <w:rPr>
          <w:sz w:val="24"/>
          <w:szCs w:val="24"/>
        </w:rPr>
        <w:t xml:space="preserve"> combination of the</w:t>
      </w:r>
      <w:r w:rsidR="002E2BDE" w:rsidRPr="00774BAE">
        <w:rPr>
          <w:sz w:val="24"/>
          <w:szCs w:val="24"/>
        </w:rPr>
        <w:t xml:space="preserve"> </w:t>
      </w:r>
      <w:r w:rsidR="00726C7E">
        <w:rPr>
          <w:sz w:val="24"/>
          <w:szCs w:val="24"/>
        </w:rPr>
        <w:t xml:space="preserve">five </w:t>
      </w:r>
      <w:r w:rsidR="002E2BDE" w:rsidRPr="00774BAE">
        <w:rPr>
          <w:sz w:val="24"/>
          <w:szCs w:val="24"/>
        </w:rPr>
        <w:t>future</w:t>
      </w:r>
      <w:r w:rsidR="00C65026" w:rsidRPr="00774BAE">
        <w:rPr>
          <w:sz w:val="24"/>
          <w:szCs w:val="24"/>
        </w:rPr>
        <w:t xml:space="preserve"> supply resource scenarios</w:t>
      </w:r>
      <w:r w:rsidR="005F1657" w:rsidRPr="00774BAE">
        <w:rPr>
          <w:sz w:val="24"/>
          <w:szCs w:val="24"/>
        </w:rPr>
        <w:t xml:space="preserve"> </w:t>
      </w:r>
      <w:r w:rsidR="002E2BDE" w:rsidRPr="00774BAE">
        <w:rPr>
          <w:sz w:val="24"/>
          <w:szCs w:val="24"/>
        </w:rPr>
        <w:t>and the three</w:t>
      </w:r>
      <w:r w:rsidR="001D144D" w:rsidRPr="00774BAE">
        <w:rPr>
          <w:sz w:val="24"/>
          <w:szCs w:val="24"/>
        </w:rPr>
        <w:t xml:space="preserve"> sensitivities regarding future </w:t>
      </w:r>
      <w:r w:rsidR="004A50F7" w:rsidRPr="00774BAE">
        <w:rPr>
          <w:sz w:val="24"/>
          <w:szCs w:val="24"/>
        </w:rPr>
        <w:t xml:space="preserve">design day </w:t>
      </w:r>
      <w:r w:rsidR="001D144D" w:rsidRPr="00774BAE">
        <w:rPr>
          <w:sz w:val="24"/>
          <w:szCs w:val="24"/>
        </w:rPr>
        <w:t>loads</w:t>
      </w:r>
      <w:r w:rsidR="00C005A7" w:rsidRPr="00774BAE">
        <w:rPr>
          <w:sz w:val="24"/>
          <w:szCs w:val="24"/>
        </w:rPr>
        <w:t xml:space="preserve"> analyz</w:t>
      </w:r>
      <w:r w:rsidR="005F1657" w:rsidRPr="00774BAE">
        <w:rPr>
          <w:sz w:val="24"/>
          <w:szCs w:val="24"/>
        </w:rPr>
        <w:t>ed in the 2014 IRP</w:t>
      </w:r>
      <w:r w:rsidR="001D144D" w:rsidRPr="00774BAE">
        <w:rPr>
          <w:sz w:val="24"/>
          <w:szCs w:val="24"/>
        </w:rPr>
        <w:t>.</w:t>
      </w:r>
    </w:p>
    <w:p w14:paraId="58E1BCD8" w14:textId="77777777" w:rsidR="00AE60D5" w:rsidRPr="00774BAE" w:rsidRDefault="00AE60D5" w:rsidP="00E91EEF">
      <w:pPr>
        <w:spacing w:after="120"/>
        <w:rPr>
          <w:b/>
          <w:sz w:val="24"/>
          <w:szCs w:val="24"/>
        </w:rPr>
      </w:pPr>
      <w:r w:rsidRPr="00774BAE">
        <w:rPr>
          <w:b/>
          <w:sz w:val="24"/>
          <w:szCs w:val="24"/>
        </w:rPr>
        <w:t xml:space="preserve">North Mist Expansion in </w:t>
      </w:r>
      <w:r w:rsidR="00AF1EC0" w:rsidRPr="00774BAE">
        <w:rPr>
          <w:b/>
          <w:sz w:val="24"/>
          <w:szCs w:val="24"/>
        </w:rPr>
        <w:t xml:space="preserve">the </w:t>
      </w:r>
      <w:r w:rsidRPr="00774BAE">
        <w:rPr>
          <w:b/>
          <w:sz w:val="24"/>
          <w:szCs w:val="24"/>
        </w:rPr>
        <w:t>2014 IRP</w:t>
      </w:r>
    </w:p>
    <w:p w14:paraId="58E1BCD9" w14:textId="02180E01" w:rsidR="00AC0624" w:rsidRPr="00774BAE" w:rsidRDefault="00AC0624" w:rsidP="00E91EEF">
      <w:pPr>
        <w:spacing w:after="280"/>
        <w:rPr>
          <w:sz w:val="24"/>
          <w:szCs w:val="24"/>
        </w:rPr>
      </w:pPr>
      <w:r w:rsidRPr="00774BAE">
        <w:rPr>
          <w:sz w:val="24"/>
          <w:szCs w:val="24"/>
        </w:rPr>
        <w:t>NW Natural’s 2014 IRP concluded that its existing resource base would, in the Base Case</w:t>
      </w:r>
      <w:r w:rsidR="004A50F7" w:rsidRPr="00774BAE">
        <w:rPr>
          <w:sz w:val="24"/>
          <w:szCs w:val="24"/>
        </w:rPr>
        <w:t xml:space="preserve"> design day</w:t>
      </w:r>
      <w:r w:rsidRPr="00774BAE">
        <w:rPr>
          <w:sz w:val="24"/>
          <w:szCs w:val="24"/>
        </w:rPr>
        <w:t xml:space="preserve"> load sensitivity, be unable to meet forecasted design day demand throughout the 20-year planning horizon.</w:t>
      </w:r>
      <w:r w:rsidRPr="00774BAE">
        <w:rPr>
          <w:rStyle w:val="FootnoteReference"/>
          <w:sz w:val="24"/>
          <w:szCs w:val="24"/>
        </w:rPr>
        <w:footnoteReference w:id="8"/>
      </w:r>
      <w:r w:rsidRPr="00774BAE">
        <w:rPr>
          <w:sz w:val="24"/>
          <w:szCs w:val="24"/>
        </w:rPr>
        <w:t xml:space="preserve"> NW Natural developed multiple scenarios regarding future availability of prospective supply resources, and the least cost portfolio of supply resources for each scenario included the Company’s recalling from interstate storage service the remaining portion of </w:t>
      </w:r>
      <w:r w:rsidRPr="00774BAE">
        <w:rPr>
          <w:sz w:val="24"/>
          <w:szCs w:val="24"/>
        </w:rPr>
        <w:lastRenderedPageBreak/>
        <w:t>currently existing Mist pipeline takeaway capacity and associated Mist sto</w:t>
      </w:r>
      <w:r w:rsidR="00044FA4" w:rsidRPr="00774BAE">
        <w:rPr>
          <w:sz w:val="24"/>
          <w:szCs w:val="24"/>
        </w:rPr>
        <w:t>rage capacity</w:t>
      </w:r>
      <w:r w:rsidRPr="00774BAE">
        <w:rPr>
          <w:sz w:val="24"/>
          <w:szCs w:val="24"/>
        </w:rPr>
        <w:t xml:space="preserve"> to use for delivering gas to Core customers.</w:t>
      </w:r>
      <w:r w:rsidRPr="00774BAE">
        <w:rPr>
          <w:rStyle w:val="FootnoteReference"/>
          <w:sz w:val="24"/>
          <w:szCs w:val="24"/>
        </w:rPr>
        <w:footnoteReference w:id="9"/>
      </w:r>
      <w:r w:rsidRPr="00774BAE">
        <w:rPr>
          <w:sz w:val="24"/>
          <w:szCs w:val="24"/>
        </w:rPr>
        <w:t xml:space="preserve"> NW Natural refers to this future supply resource as Mist Recall.</w:t>
      </w:r>
    </w:p>
    <w:p w14:paraId="58E1BCDA" w14:textId="3EC3B3A3" w:rsidR="006C6EBE" w:rsidRDefault="00044FA4" w:rsidP="00E91EEF">
      <w:pPr>
        <w:spacing w:after="280"/>
        <w:rPr>
          <w:sz w:val="24"/>
          <w:szCs w:val="24"/>
        </w:rPr>
      </w:pPr>
      <w:r w:rsidRPr="00774BAE">
        <w:rPr>
          <w:sz w:val="24"/>
          <w:szCs w:val="24"/>
        </w:rPr>
        <w:t>The resource scenarios</w:t>
      </w:r>
      <w:r w:rsidR="006C6EBE" w:rsidRPr="00774BAE">
        <w:rPr>
          <w:sz w:val="24"/>
          <w:szCs w:val="24"/>
        </w:rPr>
        <w:t xml:space="preserve"> in the 2014 </w:t>
      </w:r>
      <w:r w:rsidR="00FC30F3" w:rsidRPr="00774BAE">
        <w:rPr>
          <w:sz w:val="24"/>
          <w:szCs w:val="24"/>
        </w:rPr>
        <w:t>IRP differ</w:t>
      </w:r>
      <w:r w:rsidR="003D2AFB" w:rsidRPr="00774BAE">
        <w:rPr>
          <w:sz w:val="24"/>
          <w:szCs w:val="24"/>
        </w:rPr>
        <w:t xml:space="preserve"> by which</w:t>
      </w:r>
      <w:r w:rsidR="00FC30F3" w:rsidRPr="00774BAE">
        <w:rPr>
          <w:sz w:val="24"/>
          <w:szCs w:val="24"/>
        </w:rPr>
        <w:t xml:space="preserve"> new resources were</w:t>
      </w:r>
      <w:r w:rsidR="006C6EBE" w:rsidRPr="00774BAE">
        <w:rPr>
          <w:sz w:val="24"/>
          <w:szCs w:val="24"/>
        </w:rPr>
        <w:t xml:space="preserve"> assumed to be available. Table 1</w:t>
      </w:r>
      <w:r w:rsidR="00FC30F3" w:rsidRPr="00774BAE">
        <w:rPr>
          <w:sz w:val="24"/>
          <w:szCs w:val="24"/>
        </w:rPr>
        <w:t xml:space="preserve"> </w:t>
      </w:r>
      <w:r w:rsidR="00E80417" w:rsidRPr="00774BAE">
        <w:rPr>
          <w:sz w:val="24"/>
          <w:szCs w:val="24"/>
        </w:rPr>
        <w:t>includes</w:t>
      </w:r>
      <w:r w:rsidR="00FC30F3" w:rsidRPr="00774BAE">
        <w:rPr>
          <w:sz w:val="24"/>
          <w:szCs w:val="24"/>
        </w:rPr>
        <w:t xml:space="preserve"> the available future resources for each of</w:t>
      </w:r>
      <w:r w:rsidR="006C6EBE" w:rsidRPr="00774BAE">
        <w:rPr>
          <w:sz w:val="24"/>
          <w:szCs w:val="24"/>
        </w:rPr>
        <w:t xml:space="preserve"> </w:t>
      </w:r>
      <w:r w:rsidR="00FC30F3" w:rsidRPr="00774BAE">
        <w:rPr>
          <w:sz w:val="24"/>
          <w:szCs w:val="24"/>
        </w:rPr>
        <w:t xml:space="preserve">the </w:t>
      </w:r>
      <w:r w:rsidR="006C6EBE" w:rsidRPr="00774BAE">
        <w:rPr>
          <w:sz w:val="24"/>
          <w:szCs w:val="24"/>
        </w:rPr>
        <w:t>five resource scenarios used in the 2014 IRP.</w:t>
      </w:r>
      <w:r w:rsidR="00264EA9">
        <w:rPr>
          <w:rStyle w:val="FootnoteReference"/>
          <w:sz w:val="24"/>
          <w:szCs w:val="24"/>
        </w:rPr>
        <w:footnoteReference w:id="10"/>
      </w:r>
    </w:p>
    <w:p w14:paraId="4553E6A2" w14:textId="77777777" w:rsidR="00BC4E87" w:rsidRPr="00774BAE" w:rsidRDefault="00BC4E87" w:rsidP="00E91EEF">
      <w:pPr>
        <w:spacing w:after="280"/>
        <w:rPr>
          <w:sz w:val="24"/>
          <w:szCs w:val="24"/>
        </w:rPr>
      </w:pPr>
    </w:p>
    <w:p w14:paraId="58E1BCDB" w14:textId="77777777" w:rsidR="006C6EBE" w:rsidRPr="00774BAE" w:rsidRDefault="006C6EBE" w:rsidP="00E91EEF">
      <w:pPr>
        <w:keepNext/>
        <w:spacing w:after="120"/>
        <w:rPr>
          <w:b/>
          <w:sz w:val="24"/>
          <w:szCs w:val="24"/>
        </w:rPr>
      </w:pPr>
      <w:r w:rsidRPr="00774BAE">
        <w:rPr>
          <w:b/>
          <w:sz w:val="24"/>
          <w:szCs w:val="24"/>
        </w:rPr>
        <w:t>Table 1 – Available Prospective Pipeline and Storage Resources</w:t>
      </w:r>
      <w:r w:rsidR="0073108E" w:rsidRPr="00774BAE">
        <w:rPr>
          <w:rStyle w:val="FootnoteReference"/>
          <w:sz w:val="24"/>
          <w:szCs w:val="24"/>
        </w:rPr>
        <w:footnoteReference w:id="11"/>
      </w:r>
      <w:r w:rsidRPr="00774BAE">
        <w:rPr>
          <w:b/>
          <w:sz w:val="24"/>
          <w:szCs w:val="24"/>
        </w:rPr>
        <w:t xml:space="preserve"> by Resource Scenario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720"/>
        <w:gridCol w:w="720"/>
        <w:gridCol w:w="720"/>
        <w:gridCol w:w="720"/>
      </w:tblGrid>
      <w:tr w:rsidR="006C6EBE" w:rsidRPr="00F87888" w14:paraId="58E1BCDE" w14:textId="77777777" w:rsidTr="006D178D">
        <w:trPr>
          <w:trHeight w:val="288"/>
          <w:jc w:val="center"/>
        </w:trPr>
        <w:tc>
          <w:tcPr>
            <w:tcW w:w="4320" w:type="dxa"/>
            <w:vAlign w:val="bottom"/>
          </w:tcPr>
          <w:p w14:paraId="58E1BCDC" w14:textId="77777777" w:rsidR="006C6EBE" w:rsidRPr="00F87888" w:rsidRDefault="006C6EBE" w:rsidP="004F2C75">
            <w:pPr>
              <w:keepNext/>
              <w:spacing w:after="260"/>
            </w:pPr>
          </w:p>
        </w:tc>
        <w:tc>
          <w:tcPr>
            <w:tcW w:w="3600" w:type="dxa"/>
            <w:gridSpan w:val="5"/>
            <w:vAlign w:val="bottom"/>
          </w:tcPr>
          <w:p w14:paraId="58E1BCDD" w14:textId="77777777" w:rsidR="006C6EBE" w:rsidRPr="00F87888" w:rsidRDefault="006C6EBE" w:rsidP="004F2C75">
            <w:pPr>
              <w:keepNext/>
              <w:spacing w:after="260"/>
              <w:jc w:val="center"/>
            </w:pPr>
            <w:r w:rsidRPr="00F87888">
              <w:t>Resource Availability by Scenario</w:t>
            </w:r>
          </w:p>
        </w:tc>
      </w:tr>
      <w:tr w:rsidR="006C6EBE" w:rsidRPr="00F87888" w14:paraId="58E1BCE5" w14:textId="77777777" w:rsidTr="006D178D">
        <w:trPr>
          <w:trHeight w:val="288"/>
          <w:jc w:val="center"/>
        </w:trPr>
        <w:tc>
          <w:tcPr>
            <w:tcW w:w="4320" w:type="dxa"/>
            <w:vAlign w:val="bottom"/>
          </w:tcPr>
          <w:p w14:paraId="58E1BCDF" w14:textId="77777777" w:rsidR="006C6EBE" w:rsidRPr="00F87888" w:rsidRDefault="006C6EBE" w:rsidP="004F2C75">
            <w:pPr>
              <w:keepNext/>
              <w:spacing w:after="260"/>
            </w:pPr>
            <w:r w:rsidRPr="00F87888">
              <w:t>Supply Resource</w:t>
            </w:r>
          </w:p>
        </w:tc>
        <w:tc>
          <w:tcPr>
            <w:tcW w:w="720" w:type="dxa"/>
            <w:vAlign w:val="bottom"/>
          </w:tcPr>
          <w:p w14:paraId="58E1BCE0" w14:textId="77777777" w:rsidR="006C6EBE" w:rsidRPr="00F87888" w:rsidRDefault="006C6EBE" w:rsidP="004F2C75">
            <w:pPr>
              <w:keepNext/>
              <w:spacing w:after="260"/>
              <w:jc w:val="center"/>
            </w:pPr>
            <w:r w:rsidRPr="00F87888">
              <w:t>A1</w:t>
            </w:r>
          </w:p>
        </w:tc>
        <w:tc>
          <w:tcPr>
            <w:tcW w:w="720" w:type="dxa"/>
            <w:vAlign w:val="bottom"/>
          </w:tcPr>
          <w:p w14:paraId="58E1BCE1" w14:textId="77777777" w:rsidR="006C6EBE" w:rsidRPr="00F87888" w:rsidRDefault="006C6EBE" w:rsidP="004F2C75">
            <w:pPr>
              <w:keepNext/>
              <w:spacing w:after="260"/>
              <w:jc w:val="center"/>
            </w:pPr>
            <w:r w:rsidRPr="00F87888">
              <w:t>A2</w:t>
            </w:r>
          </w:p>
        </w:tc>
        <w:tc>
          <w:tcPr>
            <w:tcW w:w="720" w:type="dxa"/>
            <w:vAlign w:val="bottom"/>
          </w:tcPr>
          <w:p w14:paraId="58E1BCE2" w14:textId="77777777" w:rsidR="006C6EBE" w:rsidRPr="00F87888" w:rsidRDefault="006C6EBE" w:rsidP="004F2C75">
            <w:pPr>
              <w:keepNext/>
              <w:spacing w:after="260"/>
              <w:jc w:val="center"/>
            </w:pPr>
            <w:r w:rsidRPr="00F87888">
              <w:t>A3</w:t>
            </w:r>
          </w:p>
        </w:tc>
        <w:tc>
          <w:tcPr>
            <w:tcW w:w="720" w:type="dxa"/>
            <w:vAlign w:val="bottom"/>
          </w:tcPr>
          <w:p w14:paraId="58E1BCE3" w14:textId="77777777" w:rsidR="006C6EBE" w:rsidRPr="00F87888" w:rsidRDefault="006C6EBE" w:rsidP="004F2C75">
            <w:pPr>
              <w:keepNext/>
              <w:spacing w:after="260"/>
              <w:jc w:val="center"/>
            </w:pPr>
            <w:r w:rsidRPr="00F87888">
              <w:t>B1</w:t>
            </w:r>
          </w:p>
        </w:tc>
        <w:tc>
          <w:tcPr>
            <w:tcW w:w="720" w:type="dxa"/>
            <w:vAlign w:val="bottom"/>
          </w:tcPr>
          <w:p w14:paraId="58E1BCE4" w14:textId="77777777" w:rsidR="006C6EBE" w:rsidRPr="00F87888" w:rsidRDefault="006C6EBE" w:rsidP="004F2C75">
            <w:pPr>
              <w:keepNext/>
              <w:spacing w:after="260"/>
              <w:jc w:val="center"/>
            </w:pPr>
            <w:r w:rsidRPr="00F87888">
              <w:t>B2</w:t>
            </w:r>
          </w:p>
        </w:tc>
      </w:tr>
      <w:tr w:rsidR="006C6EBE" w:rsidRPr="00F87888" w14:paraId="58E1BCEC" w14:textId="77777777" w:rsidTr="006D178D">
        <w:trPr>
          <w:trHeight w:val="288"/>
          <w:jc w:val="center"/>
        </w:trPr>
        <w:tc>
          <w:tcPr>
            <w:tcW w:w="4320" w:type="dxa"/>
            <w:vAlign w:val="bottom"/>
          </w:tcPr>
          <w:p w14:paraId="58E1BCE6" w14:textId="77777777" w:rsidR="006C6EBE" w:rsidRPr="00F87888" w:rsidRDefault="006C6EBE" w:rsidP="004F2C75">
            <w:pPr>
              <w:keepNext/>
              <w:spacing w:after="260"/>
            </w:pPr>
            <w:r w:rsidRPr="00F87888">
              <w:t>Trail West</w:t>
            </w:r>
            <w:r w:rsidRPr="00F87888">
              <w:rPr>
                <w:rStyle w:val="FootnoteReference"/>
              </w:rPr>
              <w:footnoteReference w:id="12"/>
            </w:r>
          </w:p>
        </w:tc>
        <w:tc>
          <w:tcPr>
            <w:tcW w:w="720" w:type="dxa"/>
            <w:vAlign w:val="bottom"/>
          </w:tcPr>
          <w:p w14:paraId="58E1BCE7" w14:textId="77777777" w:rsidR="006C6EBE" w:rsidRPr="00F87888" w:rsidRDefault="006C6EBE" w:rsidP="004F2C75">
            <w:pPr>
              <w:keepNext/>
              <w:spacing w:after="260"/>
              <w:jc w:val="center"/>
            </w:pPr>
          </w:p>
        </w:tc>
        <w:tc>
          <w:tcPr>
            <w:tcW w:w="720" w:type="dxa"/>
            <w:vAlign w:val="bottom"/>
          </w:tcPr>
          <w:p w14:paraId="58E1BCE8" w14:textId="77777777" w:rsidR="006C6EBE" w:rsidRPr="00F87888" w:rsidRDefault="006C6EBE" w:rsidP="004F2C75">
            <w:pPr>
              <w:keepNext/>
              <w:spacing w:after="260"/>
              <w:jc w:val="center"/>
            </w:pPr>
            <w:r w:rsidRPr="00F87888">
              <w:t>X</w:t>
            </w:r>
          </w:p>
        </w:tc>
        <w:tc>
          <w:tcPr>
            <w:tcW w:w="720" w:type="dxa"/>
            <w:vAlign w:val="bottom"/>
          </w:tcPr>
          <w:p w14:paraId="58E1BCE9" w14:textId="77777777" w:rsidR="006C6EBE" w:rsidRPr="00F87888" w:rsidRDefault="006C6EBE" w:rsidP="004F2C75">
            <w:pPr>
              <w:keepNext/>
              <w:spacing w:after="260"/>
              <w:jc w:val="center"/>
            </w:pPr>
          </w:p>
        </w:tc>
        <w:tc>
          <w:tcPr>
            <w:tcW w:w="720" w:type="dxa"/>
            <w:vAlign w:val="bottom"/>
          </w:tcPr>
          <w:p w14:paraId="58E1BCEA" w14:textId="77777777" w:rsidR="006C6EBE" w:rsidRPr="00F87888" w:rsidRDefault="006C6EBE" w:rsidP="004F2C75">
            <w:pPr>
              <w:keepNext/>
              <w:spacing w:after="260"/>
              <w:jc w:val="center"/>
            </w:pPr>
            <w:r w:rsidRPr="00F87888">
              <w:t>X</w:t>
            </w:r>
          </w:p>
        </w:tc>
        <w:tc>
          <w:tcPr>
            <w:tcW w:w="720" w:type="dxa"/>
            <w:vAlign w:val="bottom"/>
          </w:tcPr>
          <w:p w14:paraId="58E1BCEB" w14:textId="77777777" w:rsidR="006C6EBE" w:rsidRPr="00F87888" w:rsidRDefault="006C6EBE" w:rsidP="004F2C75">
            <w:pPr>
              <w:keepNext/>
              <w:spacing w:after="260"/>
              <w:jc w:val="center"/>
            </w:pPr>
            <w:r w:rsidRPr="00F87888">
              <w:t>X</w:t>
            </w:r>
          </w:p>
        </w:tc>
      </w:tr>
      <w:tr w:rsidR="006C6EBE" w:rsidRPr="00F87888" w14:paraId="58E1BCF3" w14:textId="77777777" w:rsidTr="006D178D">
        <w:trPr>
          <w:trHeight w:val="288"/>
          <w:jc w:val="center"/>
        </w:trPr>
        <w:tc>
          <w:tcPr>
            <w:tcW w:w="4320" w:type="dxa"/>
            <w:vAlign w:val="bottom"/>
          </w:tcPr>
          <w:p w14:paraId="58E1BCED" w14:textId="77777777" w:rsidR="006C6EBE" w:rsidRPr="00F87888" w:rsidRDefault="006C6EBE" w:rsidP="004F2C75">
            <w:pPr>
              <w:keepNext/>
              <w:spacing w:after="260"/>
            </w:pPr>
            <w:r w:rsidRPr="00F87888">
              <w:t>Pacific Connector (Jordan Cove LNG export)</w:t>
            </w:r>
          </w:p>
        </w:tc>
        <w:tc>
          <w:tcPr>
            <w:tcW w:w="720" w:type="dxa"/>
            <w:vAlign w:val="bottom"/>
          </w:tcPr>
          <w:p w14:paraId="58E1BCEE" w14:textId="77777777" w:rsidR="006C6EBE" w:rsidRPr="00F87888" w:rsidRDefault="006C6EBE" w:rsidP="004F2C75">
            <w:pPr>
              <w:keepNext/>
              <w:spacing w:after="260"/>
              <w:jc w:val="center"/>
            </w:pPr>
          </w:p>
        </w:tc>
        <w:tc>
          <w:tcPr>
            <w:tcW w:w="720" w:type="dxa"/>
            <w:vAlign w:val="bottom"/>
          </w:tcPr>
          <w:p w14:paraId="58E1BCEF" w14:textId="77777777" w:rsidR="006C6EBE" w:rsidRPr="00F87888" w:rsidRDefault="006C6EBE" w:rsidP="004F2C75">
            <w:pPr>
              <w:keepNext/>
              <w:spacing w:after="260"/>
              <w:jc w:val="center"/>
            </w:pPr>
          </w:p>
        </w:tc>
        <w:tc>
          <w:tcPr>
            <w:tcW w:w="720" w:type="dxa"/>
            <w:vAlign w:val="bottom"/>
          </w:tcPr>
          <w:p w14:paraId="58E1BCF0" w14:textId="77777777" w:rsidR="006C6EBE" w:rsidRPr="00F87888" w:rsidRDefault="006C6EBE" w:rsidP="004F2C75">
            <w:pPr>
              <w:keepNext/>
              <w:spacing w:after="260"/>
              <w:jc w:val="center"/>
            </w:pPr>
          </w:p>
        </w:tc>
        <w:tc>
          <w:tcPr>
            <w:tcW w:w="720" w:type="dxa"/>
            <w:vAlign w:val="bottom"/>
          </w:tcPr>
          <w:p w14:paraId="58E1BCF1" w14:textId="77777777" w:rsidR="006C6EBE" w:rsidRPr="00F87888" w:rsidRDefault="006C6EBE" w:rsidP="004F2C75">
            <w:pPr>
              <w:keepNext/>
              <w:spacing w:after="260"/>
              <w:jc w:val="center"/>
            </w:pPr>
          </w:p>
        </w:tc>
        <w:tc>
          <w:tcPr>
            <w:tcW w:w="720" w:type="dxa"/>
            <w:vAlign w:val="bottom"/>
          </w:tcPr>
          <w:p w14:paraId="58E1BCF2" w14:textId="77777777" w:rsidR="006C6EBE" w:rsidRPr="00F87888" w:rsidRDefault="006C6EBE" w:rsidP="004F2C75">
            <w:pPr>
              <w:keepNext/>
              <w:spacing w:after="260"/>
              <w:jc w:val="center"/>
            </w:pPr>
            <w:r w:rsidRPr="00F87888">
              <w:t>X</w:t>
            </w:r>
          </w:p>
        </w:tc>
      </w:tr>
      <w:tr w:rsidR="006C6EBE" w:rsidRPr="00F87888" w14:paraId="58E1BCFA" w14:textId="77777777" w:rsidTr="006D178D">
        <w:trPr>
          <w:trHeight w:val="288"/>
          <w:jc w:val="center"/>
        </w:trPr>
        <w:tc>
          <w:tcPr>
            <w:tcW w:w="4320" w:type="dxa"/>
            <w:vAlign w:val="bottom"/>
          </w:tcPr>
          <w:p w14:paraId="58E1BCF4" w14:textId="77777777" w:rsidR="006C6EBE" w:rsidRPr="00F87888" w:rsidRDefault="006C6EBE" w:rsidP="004F2C75">
            <w:pPr>
              <w:keepNext/>
              <w:spacing w:after="260"/>
            </w:pPr>
            <w:r w:rsidRPr="00F87888">
              <w:t>Washington Expansion (Oregon LNG export)</w:t>
            </w:r>
          </w:p>
        </w:tc>
        <w:tc>
          <w:tcPr>
            <w:tcW w:w="720" w:type="dxa"/>
            <w:vAlign w:val="bottom"/>
          </w:tcPr>
          <w:p w14:paraId="58E1BCF5" w14:textId="77777777" w:rsidR="006C6EBE" w:rsidRPr="00F87888" w:rsidRDefault="006C6EBE" w:rsidP="004F2C75">
            <w:pPr>
              <w:keepNext/>
              <w:spacing w:after="260"/>
              <w:jc w:val="center"/>
            </w:pPr>
          </w:p>
        </w:tc>
        <w:tc>
          <w:tcPr>
            <w:tcW w:w="720" w:type="dxa"/>
            <w:vAlign w:val="bottom"/>
          </w:tcPr>
          <w:p w14:paraId="58E1BCF6" w14:textId="77777777" w:rsidR="006C6EBE" w:rsidRPr="00F87888" w:rsidRDefault="006C6EBE" w:rsidP="004F2C75">
            <w:pPr>
              <w:keepNext/>
              <w:spacing w:after="260"/>
              <w:jc w:val="center"/>
            </w:pPr>
          </w:p>
        </w:tc>
        <w:tc>
          <w:tcPr>
            <w:tcW w:w="720" w:type="dxa"/>
            <w:vAlign w:val="bottom"/>
          </w:tcPr>
          <w:p w14:paraId="58E1BCF7" w14:textId="77777777" w:rsidR="006C6EBE" w:rsidRPr="00F87888" w:rsidRDefault="006C6EBE" w:rsidP="004F2C75">
            <w:pPr>
              <w:keepNext/>
              <w:spacing w:after="260"/>
              <w:jc w:val="center"/>
            </w:pPr>
          </w:p>
        </w:tc>
        <w:tc>
          <w:tcPr>
            <w:tcW w:w="720" w:type="dxa"/>
            <w:vAlign w:val="bottom"/>
          </w:tcPr>
          <w:p w14:paraId="58E1BCF8" w14:textId="77777777" w:rsidR="006C6EBE" w:rsidRPr="00F87888" w:rsidRDefault="006C6EBE" w:rsidP="004F2C75">
            <w:pPr>
              <w:keepNext/>
              <w:spacing w:after="260"/>
              <w:jc w:val="center"/>
            </w:pPr>
            <w:r w:rsidRPr="00F87888">
              <w:t>X</w:t>
            </w:r>
          </w:p>
        </w:tc>
        <w:tc>
          <w:tcPr>
            <w:tcW w:w="720" w:type="dxa"/>
            <w:vAlign w:val="bottom"/>
          </w:tcPr>
          <w:p w14:paraId="58E1BCF9" w14:textId="77777777" w:rsidR="006C6EBE" w:rsidRPr="00F87888" w:rsidRDefault="006C6EBE" w:rsidP="004F2C75">
            <w:pPr>
              <w:keepNext/>
              <w:spacing w:after="260"/>
              <w:jc w:val="center"/>
            </w:pPr>
          </w:p>
        </w:tc>
      </w:tr>
      <w:tr w:rsidR="006C6EBE" w:rsidRPr="00F87888" w14:paraId="58E1BD01" w14:textId="77777777" w:rsidTr="006D178D">
        <w:trPr>
          <w:trHeight w:val="288"/>
          <w:jc w:val="center"/>
        </w:trPr>
        <w:tc>
          <w:tcPr>
            <w:tcW w:w="4320" w:type="dxa"/>
            <w:vAlign w:val="bottom"/>
          </w:tcPr>
          <w:p w14:paraId="58E1BCFB" w14:textId="77777777" w:rsidR="006C6EBE" w:rsidRPr="00F87888" w:rsidRDefault="006C6EBE" w:rsidP="004F2C75">
            <w:pPr>
              <w:keepNext/>
              <w:spacing w:after="260"/>
            </w:pPr>
            <w:r w:rsidRPr="00F87888">
              <w:t>Sumas Expansion (Regional)</w:t>
            </w:r>
          </w:p>
        </w:tc>
        <w:tc>
          <w:tcPr>
            <w:tcW w:w="720" w:type="dxa"/>
            <w:vAlign w:val="bottom"/>
          </w:tcPr>
          <w:p w14:paraId="58E1BCFC" w14:textId="77777777" w:rsidR="006C6EBE" w:rsidRPr="00F87888" w:rsidRDefault="006C6EBE" w:rsidP="004F2C75">
            <w:pPr>
              <w:keepNext/>
              <w:spacing w:after="260"/>
              <w:jc w:val="center"/>
            </w:pPr>
          </w:p>
        </w:tc>
        <w:tc>
          <w:tcPr>
            <w:tcW w:w="720" w:type="dxa"/>
            <w:vAlign w:val="bottom"/>
          </w:tcPr>
          <w:p w14:paraId="58E1BCFD" w14:textId="77777777" w:rsidR="006C6EBE" w:rsidRPr="00F87888" w:rsidRDefault="006C6EBE" w:rsidP="004F2C75">
            <w:pPr>
              <w:keepNext/>
              <w:spacing w:after="260"/>
              <w:jc w:val="center"/>
            </w:pPr>
            <w:r w:rsidRPr="00F87888">
              <w:t>X</w:t>
            </w:r>
          </w:p>
        </w:tc>
        <w:tc>
          <w:tcPr>
            <w:tcW w:w="720" w:type="dxa"/>
            <w:vAlign w:val="bottom"/>
          </w:tcPr>
          <w:p w14:paraId="58E1BCFE" w14:textId="77777777" w:rsidR="006C6EBE" w:rsidRPr="00F87888" w:rsidRDefault="006C6EBE" w:rsidP="004F2C75">
            <w:pPr>
              <w:keepNext/>
              <w:spacing w:after="260"/>
              <w:jc w:val="center"/>
            </w:pPr>
            <w:r w:rsidRPr="00F87888">
              <w:t>X</w:t>
            </w:r>
          </w:p>
        </w:tc>
        <w:tc>
          <w:tcPr>
            <w:tcW w:w="720" w:type="dxa"/>
            <w:vAlign w:val="bottom"/>
          </w:tcPr>
          <w:p w14:paraId="58E1BCFF" w14:textId="77777777" w:rsidR="006C6EBE" w:rsidRPr="00F87888" w:rsidRDefault="006C6EBE" w:rsidP="004F2C75">
            <w:pPr>
              <w:keepNext/>
              <w:spacing w:after="260"/>
              <w:jc w:val="center"/>
            </w:pPr>
          </w:p>
        </w:tc>
        <w:tc>
          <w:tcPr>
            <w:tcW w:w="720" w:type="dxa"/>
            <w:vAlign w:val="bottom"/>
          </w:tcPr>
          <w:p w14:paraId="58E1BD00" w14:textId="77777777" w:rsidR="006C6EBE" w:rsidRPr="00F87888" w:rsidRDefault="006C6EBE" w:rsidP="004F2C75">
            <w:pPr>
              <w:keepNext/>
              <w:spacing w:after="260"/>
              <w:jc w:val="center"/>
            </w:pPr>
          </w:p>
        </w:tc>
      </w:tr>
      <w:tr w:rsidR="006C6EBE" w:rsidRPr="00F87888" w14:paraId="58E1BD08" w14:textId="77777777" w:rsidTr="006D178D">
        <w:trPr>
          <w:trHeight w:val="288"/>
          <w:jc w:val="center"/>
        </w:trPr>
        <w:tc>
          <w:tcPr>
            <w:tcW w:w="4320" w:type="dxa"/>
            <w:vAlign w:val="bottom"/>
          </w:tcPr>
          <w:p w14:paraId="58E1BD02" w14:textId="77777777" w:rsidR="006C6EBE" w:rsidRPr="00F87888" w:rsidRDefault="006C6EBE" w:rsidP="004F2C75">
            <w:pPr>
              <w:keepNext/>
              <w:spacing w:after="260"/>
            </w:pPr>
            <w:r w:rsidRPr="00F87888">
              <w:t>Sumas Expansion (Local)</w:t>
            </w:r>
          </w:p>
        </w:tc>
        <w:tc>
          <w:tcPr>
            <w:tcW w:w="720" w:type="dxa"/>
            <w:vAlign w:val="bottom"/>
          </w:tcPr>
          <w:p w14:paraId="58E1BD03" w14:textId="77777777" w:rsidR="006C6EBE" w:rsidRPr="00F87888" w:rsidRDefault="006C6EBE" w:rsidP="004F2C75">
            <w:pPr>
              <w:keepNext/>
              <w:spacing w:after="260"/>
              <w:jc w:val="center"/>
            </w:pPr>
            <w:r w:rsidRPr="00F87888">
              <w:t>X</w:t>
            </w:r>
          </w:p>
        </w:tc>
        <w:tc>
          <w:tcPr>
            <w:tcW w:w="720" w:type="dxa"/>
            <w:vAlign w:val="bottom"/>
          </w:tcPr>
          <w:p w14:paraId="58E1BD04" w14:textId="77777777" w:rsidR="006C6EBE" w:rsidRPr="00F87888" w:rsidRDefault="006C6EBE" w:rsidP="004F2C75">
            <w:pPr>
              <w:keepNext/>
              <w:spacing w:after="260"/>
              <w:jc w:val="center"/>
            </w:pPr>
            <w:r w:rsidRPr="00F87888">
              <w:t>X</w:t>
            </w:r>
          </w:p>
        </w:tc>
        <w:tc>
          <w:tcPr>
            <w:tcW w:w="720" w:type="dxa"/>
            <w:vAlign w:val="bottom"/>
          </w:tcPr>
          <w:p w14:paraId="58E1BD05" w14:textId="77777777" w:rsidR="006C6EBE" w:rsidRPr="00F87888" w:rsidRDefault="006C6EBE" w:rsidP="004F2C75">
            <w:pPr>
              <w:keepNext/>
              <w:spacing w:after="260"/>
              <w:jc w:val="center"/>
            </w:pPr>
            <w:r w:rsidRPr="00F87888">
              <w:t>X</w:t>
            </w:r>
          </w:p>
        </w:tc>
        <w:tc>
          <w:tcPr>
            <w:tcW w:w="720" w:type="dxa"/>
            <w:vAlign w:val="bottom"/>
          </w:tcPr>
          <w:p w14:paraId="58E1BD06" w14:textId="77777777" w:rsidR="006C6EBE" w:rsidRPr="00F87888" w:rsidRDefault="006C6EBE" w:rsidP="004F2C75">
            <w:pPr>
              <w:keepNext/>
              <w:spacing w:after="260"/>
              <w:jc w:val="center"/>
            </w:pPr>
            <w:r w:rsidRPr="00F87888">
              <w:t>X</w:t>
            </w:r>
          </w:p>
        </w:tc>
        <w:tc>
          <w:tcPr>
            <w:tcW w:w="720" w:type="dxa"/>
            <w:vAlign w:val="bottom"/>
          </w:tcPr>
          <w:p w14:paraId="58E1BD07" w14:textId="77777777" w:rsidR="006C6EBE" w:rsidRPr="00F87888" w:rsidRDefault="006C6EBE" w:rsidP="004F2C75">
            <w:pPr>
              <w:keepNext/>
              <w:spacing w:after="260"/>
              <w:jc w:val="center"/>
            </w:pPr>
            <w:r w:rsidRPr="00F87888">
              <w:t>X</w:t>
            </w:r>
          </w:p>
        </w:tc>
      </w:tr>
      <w:tr w:rsidR="006C6EBE" w:rsidRPr="00F87888" w14:paraId="58E1BD0F" w14:textId="77777777" w:rsidTr="006D178D">
        <w:trPr>
          <w:trHeight w:val="288"/>
          <w:jc w:val="center"/>
        </w:trPr>
        <w:tc>
          <w:tcPr>
            <w:tcW w:w="4320" w:type="dxa"/>
            <w:vAlign w:val="bottom"/>
          </w:tcPr>
          <w:p w14:paraId="58E1BD09" w14:textId="77777777" w:rsidR="006C6EBE" w:rsidRPr="00F87888" w:rsidRDefault="006C6EBE" w:rsidP="004F2C75">
            <w:pPr>
              <w:keepNext/>
              <w:spacing w:after="260"/>
            </w:pPr>
            <w:r w:rsidRPr="00F87888">
              <w:t>Mist Recall</w:t>
            </w:r>
          </w:p>
        </w:tc>
        <w:tc>
          <w:tcPr>
            <w:tcW w:w="720" w:type="dxa"/>
            <w:vAlign w:val="bottom"/>
          </w:tcPr>
          <w:p w14:paraId="58E1BD0A" w14:textId="77777777" w:rsidR="006C6EBE" w:rsidRPr="00F87888" w:rsidRDefault="006C6EBE" w:rsidP="004F2C75">
            <w:pPr>
              <w:keepNext/>
              <w:spacing w:after="260"/>
              <w:jc w:val="center"/>
            </w:pPr>
            <w:r w:rsidRPr="00F87888">
              <w:t>X</w:t>
            </w:r>
          </w:p>
        </w:tc>
        <w:tc>
          <w:tcPr>
            <w:tcW w:w="720" w:type="dxa"/>
            <w:vAlign w:val="bottom"/>
          </w:tcPr>
          <w:p w14:paraId="58E1BD0B" w14:textId="77777777" w:rsidR="006C6EBE" w:rsidRPr="00F87888" w:rsidRDefault="006C6EBE" w:rsidP="004F2C75">
            <w:pPr>
              <w:keepNext/>
              <w:spacing w:after="260"/>
              <w:jc w:val="center"/>
            </w:pPr>
            <w:r w:rsidRPr="00F87888">
              <w:t>X</w:t>
            </w:r>
          </w:p>
        </w:tc>
        <w:tc>
          <w:tcPr>
            <w:tcW w:w="720" w:type="dxa"/>
            <w:vAlign w:val="bottom"/>
          </w:tcPr>
          <w:p w14:paraId="58E1BD0C" w14:textId="77777777" w:rsidR="006C6EBE" w:rsidRPr="00F87888" w:rsidRDefault="006C6EBE" w:rsidP="004F2C75">
            <w:pPr>
              <w:keepNext/>
              <w:spacing w:after="260"/>
              <w:jc w:val="center"/>
            </w:pPr>
            <w:r w:rsidRPr="00F87888">
              <w:t>X</w:t>
            </w:r>
          </w:p>
        </w:tc>
        <w:tc>
          <w:tcPr>
            <w:tcW w:w="720" w:type="dxa"/>
            <w:vAlign w:val="bottom"/>
          </w:tcPr>
          <w:p w14:paraId="58E1BD0D" w14:textId="77777777" w:rsidR="006C6EBE" w:rsidRPr="00F87888" w:rsidRDefault="006C6EBE" w:rsidP="004F2C75">
            <w:pPr>
              <w:keepNext/>
              <w:spacing w:after="260"/>
              <w:jc w:val="center"/>
            </w:pPr>
            <w:r w:rsidRPr="00F87888">
              <w:t>X</w:t>
            </w:r>
          </w:p>
        </w:tc>
        <w:tc>
          <w:tcPr>
            <w:tcW w:w="720" w:type="dxa"/>
            <w:vAlign w:val="bottom"/>
          </w:tcPr>
          <w:p w14:paraId="58E1BD0E" w14:textId="77777777" w:rsidR="006C6EBE" w:rsidRPr="00F87888" w:rsidRDefault="006C6EBE" w:rsidP="004F2C75">
            <w:pPr>
              <w:keepNext/>
              <w:spacing w:after="260"/>
              <w:jc w:val="center"/>
            </w:pPr>
            <w:r w:rsidRPr="00F87888">
              <w:t>X</w:t>
            </w:r>
          </w:p>
        </w:tc>
      </w:tr>
      <w:tr w:rsidR="006C6EBE" w:rsidRPr="00F87888" w14:paraId="58E1BD16" w14:textId="77777777" w:rsidTr="006D178D">
        <w:trPr>
          <w:trHeight w:val="288"/>
          <w:jc w:val="center"/>
        </w:trPr>
        <w:tc>
          <w:tcPr>
            <w:tcW w:w="4320" w:type="dxa"/>
            <w:vAlign w:val="bottom"/>
          </w:tcPr>
          <w:p w14:paraId="58E1BD10" w14:textId="77777777" w:rsidR="006C6EBE" w:rsidRPr="00F87888" w:rsidRDefault="006C6EBE" w:rsidP="004F2C75">
            <w:pPr>
              <w:widowControl w:val="0"/>
              <w:spacing w:after="260"/>
            </w:pPr>
            <w:r w:rsidRPr="00F87888">
              <w:t>North Mist Expansion</w:t>
            </w:r>
          </w:p>
        </w:tc>
        <w:tc>
          <w:tcPr>
            <w:tcW w:w="720" w:type="dxa"/>
            <w:vAlign w:val="bottom"/>
          </w:tcPr>
          <w:p w14:paraId="58E1BD11" w14:textId="77777777" w:rsidR="006C6EBE" w:rsidRPr="00F87888" w:rsidRDefault="006C6EBE" w:rsidP="004F2C75">
            <w:pPr>
              <w:widowControl w:val="0"/>
              <w:spacing w:after="260"/>
              <w:jc w:val="center"/>
            </w:pPr>
            <w:r w:rsidRPr="00F87888">
              <w:t>X</w:t>
            </w:r>
          </w:p>
        </w:tc>
        <w:tc>
          <w:tcPr>
            <w:tcW w:w="720" w:type="dxa"/>
            <w:vAlign w:val="bottom"/>
          </w:tcPr>
          <w:p w14:paraId="58E1BD12" w14:textId="77777777" w:rsidR="006C6EBE" w:rsidRPr="00F87888" w:rsidRDefault="006C6EBE" w:rsidP="004F2C75">
            <w:pPr>
              <w:widowControl w:val="0"/>
              <w:spacing w:after="260"/>
              <w:jc w:val="center"/>
            </w:pPr>
            <w:r w:rsidRPr="00F87888">
              <w:t>X</w:t>
            </w:r>
          </w:p>
        </w:tc>
        <w:tc>
          <w:tcPr>
            <w:tcW w:w="720" w:type="dxa"/>
            <w:vAlign w:val="bottom"/>
          </w:tcPr>
          <w:p w14:paraId="58E1BD13" w14:textId="77777777" w:rsidR="006C6EBE" w:rsidRPr="00F87888" w:rsidRDefault="006C6EBE" w:rsidP="004F2C75">
            <w:pPr>
              <w:widowControl w:val="0"/>
              <w:spacing w:after="260"/>
              <w:jc w:val="center"/>
            </w:pPr>
            <w:r w:rsidRPr="00F87888">
              <w:t>X</w:t>
            </w:r>
          </w:p>
        </w:tc>
        <w:tc>
          <w:tcPr>
            <w:tcW w:w="720" w:type="dxa"/>
            <w:vAlign w:val="bottom"/>
          </w:tcPr>
          <w:p w14:paraId="58E1BD14" w14:textId="77777777" w:rsidR="006C6EBE" w:rsidRPr="00F87888" w:rsidRDefault="006C6EBE" w:rsidP="004F2C75">
            <w:pPr>
              <w:widowControl w:val="0"/>
              <w:spacing w:after="260"/>
              <w:jc w:val="center"/>
            </w:pPr>
            <w:r w:rsidRPr="00F87888">
              <w:t>X</w:t>
            </w:r>
          </w:p>
        </w:tc>
        <w:tc>
          <w:tcPr>
            <w:tcW w:w="720" w:type="dxa"/>
            <w:vAlign w:val="bottom"/>
          </w:tcPr>
          <w:p w14:paraId="58E1BD15" w14:textId="77777777" w:rsidR="006C6EBE" w:rsidRPr="00F87888" w:rsidRDefault="006C6EBE" w:rsidP="004F2C75">
            <w:pPr>
              <w:widowControl w:val="0"/>
              <w:spacing w:after="260"/>
              <w:jc w:val="center"/>
            </w:pPr>
            <w:r w:rsidRPr="00F87888">
              <w:t>X</w:t>
            </w:r>
          </w:p>
        </w:tc>
      </w:tr>
      <w:tr w:rsidR="00A41F38" w:rsidRPr="00F87888" w14:paraId="58E1BD1D" w14:textId="77777777" w:rsidTr="006D178D">
        <w:trPr>
          <w:trHeight w:val="288"/>
          <w:jc w:val="center"/>
        </w:trPr>
        <w:tc>
          <w:tcPr>
            <w:tcW w:w="4320" w:type="dxa"/>
            <w:vAlign w:val="bottom"/>
          </w:tcPr>
          <w:p w14:paraId="58E1BD17" w14:textId="77777777" w:rsidR="00A41F38" w:rsidRPr="00F87888" w:rsidRDefault="00A41F38" w:rsidP="004F2C75">
            <w:pPr>
              <w:widowControl w:val="0"/>
              <w:spacing w:after="260"/>
            </w:pPr>
            <w:r w:rsidRPr="00F87888">
              <w:t>Clark County LNG</w:t>
            </w:r>
          </w:p>
        </w:tc>
        <w:tc>
          <w:tcPr>
            <w:tcW w:w="720" w:type="dxa"/>
            <w:vAlign w:val="bottom"/>
          </w:tcPr>
          <w:p w14:paraId="58E1BD18" w14:textId="77777777" w:rsidR="00A41F38" w:rsidRPr="00F87888" w:rsidRDefault="00A41F38" w:rsidP="004F2C75">
            <w:pPr>
              <w:widowControl w:val="0"/>
              <w:spacing w:after="260"/>
              <w:jc w:val="center"/>
            </w:pPr>
            <w:r w:rsidRPr="00F87888">
              <w:t>X</w:t>
            </w:r>
          </w:p>
        </w:tc>
        <w:tc>
          <w:tcPr>
            <w:tcW w:w="720" w:type="dxa"/>
            <w:vAlign w:val="bottom"/>
          </w:tcPr>
          <w:p w14:paraId="58E1BD19" w14:textId="77777777" w:rsidR="00A41F38" w:rsidRPr="00F87888" w:rsidRDefault="00A41F38" w:rsidP="004F2C75">
            <w:pPr>
              <w:widowControl w:val="0"/>
              <w:spacing w:after="260"/>
              <w:jc w:val="center"/>
            </w:pPr>
            <w:r w:rsidRPr="00F87888">
              <w:t>X</w:t>
            </w:r>
          </w:p>
        </w:tc>
        <w:tc>
          <w:tcPr>
            <w:tcW w:w="720" w:type="dxa"/>
            <w:vAlign w:val="bottom"/>
          </w:tcPr>
          <w:p w14:paraId="58E1BD1A" w14:textId="77777777" w:rsidR="00A41F38" w:rsidRPr="00F87888" w:rsidRDefault="00A41F38" w:rsidP="004F2C75">
            <w:pPr>
              <w:widowControl w:val="0"/>
              <w:spacing w:after="260"/>
              <w:jc w:val="center"/>
            </w:pPr>
            <w:r w:rsidRPr="00F87888">
              <w:t>X</w:t>
            </w:r>
          </w:p>
        </w:tc>
        <w:tc>
          <w:tcPr>
            <w:tcW w:w="720" w:type="dxa"/>
            <w:vAlign w:val="bottom"/>
          </w:tcPr>
          <w:p w14:paraId="58E1BD1B" w14:textId="77777777" w:rsidR="00A41F38" w:rsidRPr="00F87888" w:rsidRDefault="00A41F38" w:rsidP="004F2C75">
            <w:pPr>
              <w:widowControl w:val="0"/>
              <w:spacing w:after="260"/>
              <w:jc w:val="center"/>
            </w:pPr>
            <w:r w:rsidRPr="00F87888">
              <w:t>X</w:t>
            </w:r>
          </w:p>
        </w:tc>
        <w:tc>
          <w:tcPr>
            <w:tcW w:w="720" w:type="dxa"/>
            <w:vAlign w:val="bottom"/>
          </w:tcPr>
          <w:p w14:paraId="58E1BD1C" w14:textId="77777777" w:rsidR="00A41F38" w:rsidRPr="00F87888" w:rsidRDefault="00A41F38" w:rsidP="004F2C75">
            <w:pPr>
              <w:widowControl w:val="0"/>
              <w:spacing w:after="260"/>
              <w:jc w:val="center"/>
            </w:pPr>
            <w:r w:rsidRPr="00F87888">
              <w:t>X</w:t>
            </w:r>
          </w:p>
        </w:tc>
      </w:tr>
      <w:tr w:rsidR="00A41F38" w:rsidRPr="00F87888" w14:paraId="58E1BD24" w14:textId="77777777" w:rsidTr="006D178D">
        <w:trPr>
          <w:trHeight w:val="288"/>
          <w:jc w:val="center"/>
        </w:trPr>
        <w:tc>
          <w:tcPr>
            <w:tcW w:w="4320" w:type="dxa"/>
            <w:vAlign w:val="bottom"/>
          </w:tcPr>
          <w:p w14:paraId="58E1BD1E" w14:textId="77777777" w:rsidR="00A41F38" w:rsidRPr="00F87888" w:rsidRDefault="00A41F38" w:rsidP="004F2C75">
            <w:pPr>
              <w:widowControl w:val="0"/>
              <w:spacing w:after="260"/>
            </w:pPr>
            <w:r w:rsidRPr="00F87888">
              <w:t>Others</w:t>
            </w:r>
          </w:p>
        </w:tc>
        <w:tc>
          <w:tcPr>
            <w:tcW w:w="720" w:type="dxa"/>
            <w:vAlign w:val="bottom"/>
          </w:tcPr>
          <w:p w14:paraId="58E1BD1F" w14:textId="77777777" w:rsidR="00A41F38" w:rsidRPr="00F87888" w:rsidRDefault="00A41F38" w:rsidP="004F2C75">
            <w:pPr>
              <w:widowControl w:val="0"/>
              <w:spacing w:after="260"/>
              <w:jc w:val="center"/>
            </w:pPr>
            <w:r w:rsidRPr="00F87888">
              <w:t>X</w:t>
            </w:r>
          </w:p>
        </w:tc>
        <w:tc>
          <w:tcPr>
            <w:tcW w:w="720" w:type="dxa"/>
            <w:vAlign w:val="bottom"/>
          </w:tcPr>
          <w:p w14:paraId="58E1BD20" w14:textId="77777777" w:rsidR="00A41F38" w:rsidRPr="00F87888" w:rsidRDefault="00A41F38" w:rsidP="004F2C75">
            <w:pPr>
              <w:widowControl w:val="0"/>
              <w:spacing w:after="260"/>
              <w:jc w:val="center"/>
            </w:pPr>
            <w:r w:rsidRPr="00F87888">
              <w:t>X</w:t>
            </w:r>
          </w:p>
        </w:tc>
        <w:tc>
          <w:tcPr>
            <w:tcW w:w="720" w:type="dxa"/>
            <w:vAlign w:val="bottom"/>
          </w:tcPr>
          <w:p w14:paraId="58E1BD21" w14:textId="77777777" w:rsidR="00A41F38" w:rsidRPr="00F87888" w:rsidRDefault="00A41F38" w:rsidP="004F2C75">
            <w:pPr>
              <w:widowControl w:val="0"/>
              <w:spacing w:after="260"/>
              <w:jc w:val="center"/>
            </w:pPr>
            <w:r w:rsidRPr="00F87888">
              <w:t>X</w:t>
            </w:r>
          </w:p>
        </w:tc>
        <w:tc>
          <w:tcPr>
            <w:tcW w:w="720" w:type="dxa"/>
            <w:vAlign w:val="bottom"/>
          </w:tcPr>
          <w:p w14:paraId="58E1BD22" w14:textId="77777777" w:rsidR="00A41F38" w:rsidRPr="00F87888" w:rsidRDefault="00A41F38" w:rsidP="004F2C75">
            <w:pPr>
              <w:widowControl w:val="0"/>
              <w:spacing w:after="260"/>
              <w:jc w:val="center"/>
            </w:pPr>
            <w:r w:rsidRPr="00F87888">
              <w:t>X</w:t>
            </w:r>
          </w:p>
        </w:tc>
        <w:tc>
          <w:tcPr>
            <w:tcW w:w="720" w:type="dxa"/>
            <w:vAlign w:val="bottom"/>
          </w:tcPr>
          <w:p w14:paraId="58E1BD23" w14:textId="77777777" w:rsidR="00A41F38" w:rsidRPr="00F87888" w:rsidRDefault="00A41F38" w:rsidP="004F2C75">
            <w:pPr>
              <w:widowControl w:val="0"/>
              <w:spacing w:after="260"/>
              <w:jc w:val="center"/>
            </w:pPr>
            <w:r w:rsidRPr="00F87888">
              <w:t>X</w:t>
            </w:r>
          </w:p>
        </w:tc>
      </w:tr>
    </w:tbl>
    <w:p w14:paraId="58E1BD25" w14:textId="77777777" w:rsidR="006C6EBE" w:rsidRDefault="006C6EBE" w:rsidP="004F2C75">
      <w:pPr>
        <w:spacing w:after="260"/>
      </w:pPr>
    </w:p>
    <w:p w14:paraId="58E1BD26" w14:textId="4BD99F66" w:rsidR="00FC30F3" w:rsidRPr="00774BAE" w:rsidRDefault="00FC30F3" w:rsidP="00E91EEF">
      <w:pPr>
        <w:spacing w:after="280"/>
        <w:rPr>
          <w:sz w:val="24"/>
          <w:szCs w:val="24"/>
        </w:rPr>
      </w:pPr>
      <w:r w:rsidRPr="00774BAE">
        <w:rPr>
          <w:sz w:val="24"/>
          <w:szCs w:val="24"/>
        </w:rPr>
        <w:lastRenderedPageBreak/>
        <w:t>Each future scenario examined in the 2014 IRP</w:t>
      </w:r>
      <w:r w:rsidRPr="00774BAE">
        <w:rPr>
          <w:rStyle w:val="FootnoteReference"/>
          <w:sz w:val="24"/>
          <w:szCs w:val="24"/>
        </w:rPr>
        <w:footnoteReference w:id="13"/>
      </w:r>
      <w:r w:rsidRPr="00774BAE">
        <w:rPr>
          <w:sz w:val="24"/>
          <w:szCs w:val="24"/>
        </w:rPr>
        <w:t xml:space="preserve"> included as a </w:t>
      </w:r>
      <w:r w:rsidR="00F93E46">
        <w:rPr>
          <w:sz w:val="24"/>
          <w:szCs w:val="24"/>
        </w:rPr>
        <w:t xml:space="preserve">potential </w:t>
      </w:r>
      <w:r w:rsidRPr="00774BAE">
        <w:rPr>
          <w:sz w:val="24"/>
          <w:szCs w:val="24"/>
        </w:rPr>
        <w:t>future supply resource a new storage reservoir, compression</w:t>
      </w:r>
      <w:r w:rsidR="00726C7E">
        <w:rPr>
          <w:sz w:val="24"/>
          <w:szCs w:val="24"/>
        </w:rPr>
        <w:t>,</w:t>
      </w:r>
      <w:r w:rsidRPr="00774BAE">
        <w:rPr>
          <w:sz w:val="24"/>
          <w:szCs w:val="24"/>
        </w:rPr>
        <w:t xml:space="preserve"> and pipeline facilities originating from the general area of NW Natural’s existing Mist storage field. The 2014 IRP refers to this future supply resource as North Mist or the North Mist Expansion. The 2014 IRP recognized that, with exhaustion of all available Mist </w:t>
      </w:r>
      <w:r w:rsidR="005D6EBF">
        <w:rPr>
          <w:sz w:val="24"/>
          <w:szCs w:val="24"/>
        </w:rPr>
        <w:t>R</w:t>
      </w:r>
      <w:r w:rsidRPr="00774BAE">
        <w:rPr>
          <w:sz w:val="24"/>
          <w:szCs w:val="24"/>
        </w:rPr>
        <w:t xml:space="preserve">ecall, the existing takeaway pipelines from Mist will be at their respective maximum capacities and therefore a North Mist Expansion of storage and related facilities </w:t>
      </w:r>
      <w:r w:rsidR="00F93E46">
        <w:rPr>
          <w:sz w:val="24"/>
          <w:szCs w:val="24"/>
        </w:rPr>
        <w:t xml:space="preserve">would </w:t>
      </w:r>
      <w:r w:rsidRPr="00774BAE">
        <w:rPr>
          <w:sz w:val="24"/>
          <w:szCs w:val="24"/>
        </w:rPr>
        <w:t>require incremental investment for new takeaway pipeline capacity.</w:t>
      </w:r>
      <w:r w:rsidRPr="00774BAE">
        <w:rPr>
          <w:rStyle w:val="FootnoteReference"/>
          <w:sz w:val="24"/>
          <w:szCs w:val="24"/>
        </w:rPr>
        <w:footnoteReference w:id="14"/>
      </w:r>
    </w:p>
    <w:p w14:paraId="58E1BD27" w14:textId="41D585A3" w:rsidR="00FC30F3" w:rsidRPr="00774BAE" w:rsidRDefault="00FC30F3" w:rsidP="00E91EEF">
      <w:pPr>
        <w:spacing w:after="280"/>
        <w:rPr>
          <w:sz w:val="24"/>
          <w:szCs w:val="24"/>
        </w:rPr>
      </w:pPr>
      <w:r w:rsidRPr="00774BAE">
        <w:rPr>
          <w:sz w:val="24"/>
          <w:szCs w:val="24"/>
        </w:rPr>
        <w:t>NW Natural, while preparing the 2014 IRP, developed a proposal combining expansion of Mist storage and a new northbound transmission facility to meet the needs of a prospective non-Core customer.</w:t>
      </w:r>
      <w:r w:rsidRPr="00774BAE">
        <w:rPr>
          <w:rStyle w:val="FootnoteReference"/>
          <w:sz w:val="24"/>
          <w:szCs w:val="24"/>
        </w:rPr>
        <w:footnoteReference w:id="15"/>
      </w:r>
      <w:r w:rsidRPr="00774BAE">
        <w:rPr>
          <w:sz w:val="24"/>
          <w:szCs w:val="24"/>
        </w:rPr>
        <w:t xml:space="preserve"> Recognizing the economies of scale, NW Natural developed cost estimates for upsizing the new pipeline, with the incremental capacity </w:t>
      </w:r>
      <w:r w:rsidR="00D07261">
        <w:rPr>
          <w:sz w:val="24"/>
          <w:szCs w:val="24"/>
        </w:rPr>
        <w:t xml:space="preserve">reserved </w:t>
      </w:r>
      <w:r w:rsidRPr="00774BAE">
        <w:rPr>
          <w:sz w:val="24"/>
          <w:szCs w:val="24"/>
        </w:rPr>
        <w:t xml:space="preserve">for future Core customer use, as well as cost estimates associated with developing a new reservoir and related facilities </w:t>
      </w:r>
      <w:r w:rsidR="00D07261">
        <w:rPr>
          <w:sz w:val="24"/>
          <w:szCs w:val="24"/>
        </w:rPr>
        <w:t>to fill that incremental pipeline capacity</w:t>
      </w:r>
      <w:r w:rsidRPr="00774BAE">
        <w:rPr>
          <w:sz w:val="24"/>
          <w:szCs w:val="24"/>
        </w:rPr>
        <w:t xml:space="preserve">. The 2014 IRP referred to this </w:t>
      </w:r>
      <w:r w:rsidR="00D07261">
        <w:rPr>
          <w:sz w:val="24"/>
          <w:szCs w:val="24"/>
        </w:rPr>
        <w:t xml:space="preserve">collective incremental </w:t>
      </w:r>
      <w:r w:rsidRPr="00774BAE">
        <w:rPr>
          <w:sz w:val="24"/>
          <w:szCs w:val="24"/>
        </w:rPr>
        <w:t>resource as North Mist or North Mist Expansion.</w:t>
      </w:r>
    </w:p>
    <w:p w14:paraId="58E1BD28" w14:textId="76C4D9D4" w:rsidR="00454ED8" w:rsidRPr="00774BAE" w:rsidRDefault="00A23A0F" w:rsidP="00E91EEF">
      <w:pPr>
        <w:spacing w:after="280"/>
        <w:rPr>
          <w:sz w:val="24"/>
          <w:szCs w:val="24"/>
        </w:rPr>
      </w:pPr>
      <w:r w:rsidRPr="00774BAE">
        <w:rPr>
          <w:sz w:val="24"/>
          <w:szCs w:val="24"/>
        </w:rPr>
        <w:t>North Mist is a prospective Mist expansion project</w:t>
      </w:r>
      <w:r w:rsidR="008C7582" w:rsidRPr="00774BAE">
        <w:rPr>
          <w:sz w:val="24"/>
          <w:szCs w:val="24"/>
        </w:rPr>
        <w:t xml:space="preserve"> for Core customer use</w:t>
      </w:r>
      <w:r w:rsidRPr="00774BAE">
        <w:rPr>
          <w:sz w:val="24"/>
          <w:szCs w:val="24"/>
        </w:rPr>
        <w:t xml:space="preserve"> con</w:t>
      </w:r>
      <w:r w:rsidR="008D7F5C" w:rsidRPr="00774BAE">
        <w:rPr>
          <w:sz w:val="24"/>
          <w:szCs w:val="24"/>
        </w:rPr>
        <w:t xml:space="preserve">sisting of </w:t>
      </w:r>
      <w:r w:rsidR="008D5680" w:rsidRPr="00774BAE">
        <w:rPr>
          <w:sz w:val="24"/>
          <w:szCs w:val="24"/>
        </w:rPr>
        <w:t>1</w:t>
      </w:r>
      <w:r w:rsidRPr="00774BAE">
        <w:rPr>
          <w:sz w:val="24"/>
          <w:szCs w:val="24"/>
        </w:rPr>
        <w:t>0</w:t>
      </w:r>
      <w:r w:rsidR="00C81356" w:rsidRPr="00774BAE">
        <w:rPr>
          <w:sz w:val="24"/>
          <w:szCs w:val="24"/>
        </w:rPr>
        <w:t>0 </w:t>
      </w:r>
      <w:r w:rsidR="008D7F5C" w:rsidRPr="00774BAE">
        <w:rPr>
          <w:sz w:val="24"/>
          <w:szCs w:val="24"/>
        </w:rPr>
        <w:t>MDT/day</w:t>
      </w:r>
      <w:r w:rsidRPr="00774BAE">
        <w:rPr>
          <w:sz w:val="24"/>
          <w:szCs w:val="24"/>
        </w:rPr>
        <w:t xml:space="preserve"> of maximum delivery capacity coupled with a maxi</w:t>
      </w:r>
      <w:r w:rsidR="008D5680" w:rsidRPr="00774BAE">
        <w:rPr>
          <w:sz w:val="24"/>
          <w:szCs w:val="24"/>
        </w:rPr>
        <w:t>mum storage capacity of 2.0 </w:t>
      </w:r>
      <w:r w:rsidRPr="00774BAE">
        <w:rPr>
          <w:sz w:val="24"/>
          <w:szCs w:val="24"/>
        </w:rPr>
        <w:t>billion cubic feet (Bcf)</w:t>
      </w:r>
      <w:r w:rsidR="008D7F5C" w:rsidRPr="00774BAE">
        <w:rPr>
          <w:sz w:val="24"/>
          <w:szCs w:val="24"/>
        </w:rPr>
        <w:t>.</w:t>
      </w:r>
      <w:r w:rsidR="00FC30F3" w:rsidRPr="00774BAE">
        <w:rPr>
          <w:sz w:val="24"/>
          <w:szCs w:val="24"/>
        </w:rPr>
        <w:t xml:space="preserve"> As analyzed in the 2014 IRP, components of </w:t>
      </w:r>
      <w:r w:rsidR="00454ED8" w:rsidRPr="00774BAE">
        <w:rPr>
          <w:sz w:val="24"/>
          <w:szCs w:val="24"/>
        </w:rPr>
        <w:t>North Mist</w:t>
      </w:r>
      <w:r w:rsidR="00FC30F3" w:rsidRPr="00774BAE">
        <w:rPr>
          <w:sz w:val="24"/>
          <w:szCs w:val="24"/>
        </w:rPr>
        <w:t xml:space="preserve"> include</w:t>
      </w:r>
      <w:r w:rsidR="00E61B67" w:rsidRPr="00774BAE">
        <w:rPr>
          <w:sz w:val="24"/>
          <w:szCs w:val="24"/>
        </w:rPr>
        <w:t>d</w:t>
      </w:r>
      <w:r w:rsidR="00454ED8" w:rsidRPr="00774BAE">
        <w:rPr>
          <w:sz w:val="24"/>
          <w:szCs w:val="24"/>
        </w:rPr>
        <w:t xml:space="preserve"> a new </w:t>
      </w:r>
      <w:r w:rsidR="00D07261">
        <w:rPr>
          <w:sz w:val="24"/>
          <w:szCs w:val="24"/>
        </w:rPr>
        <w:t xml:space="preserve">underground </w:t>
      </w:r>
      <w:r w:rsidR="00454ED8" w:rsidRPr="00774BAE">
        <w:rPr>
          <w:sz w:val="24"/>
          <w:szCs w:val="24"/>
        </w:rPr>
        <w:t xml:space="preserve">reservoir; </w:t>
      </w:r>
      <w:r w:rsidR="00D07261">
        <w:rPr>
          <w:sz w:val="24"/>
          <w:szCs w:val="24"/>
        </w:rPr>
        <w:t>pipeline, compression</w:t>
      </w:r>
      <w:r w:rsidR="005D6EBF">
        <w:rPr>
          <w:sz w:val="24"/>
          <w:szCs w:val="24"/>
        </w:rPr>
        <w:t>,</w:t>
      </w:r>
      <w:r w:rsidR="00D07261">
        <w:rPr>
          <w:sz w:val="24"/>
          <w:szCs w:val="24"/>
        </w:rPr>
        <w:t xml:space="preserve"> and related</w:t>
      </w:r>
      <w:r w:rsidR="00454ED8" w:rsidRPr="00774BAE">
        <w:rPr>
          <w:sz w:val="24"/>
          <w:szCs w:val="24"/>
        </w:rPr>
        <w:t xml:space="preserve"> facilities to transport gas from the new reservoir over a shared new northbound pipeline to a new interconnection </w:t>
      </w:r>
      <w:r w:rsidR="00C61FA3" w:rsidRPr="00774BAE">
        <w:rPr>
          <w:sz w:val="24"/>
          <w:szCs w:val="24"/>
        </w:rPr>
        <w:t xml:space="preserve">with the </w:t>
      </w:r>
      <w:r w:rsidR="00FC30F3" w:rsidRPr="00774BAE">
        <w:rPr>
          <w:sz w:val="24"/>
          <w:szCs w:val="24"/>
        </w:rPr>
        <w:t>KB </w:t>
      </w:r>
      <w:r w:rsidR="00454ED8" w:rsidRPr="00774BAE">
        <w:rPr>
          <w:sz w:val="24"/>
          <w:szCs w:val="24"/>
        </w:rPr>
        <w:t>Pipel</w:t>
      </w:r>
      <w:r w:rsidR="00C61FA3" w:rsidRPr="00774BAE">
        <w:rPr>
          <w:sz w:val="24"/>
          <w:szCs w:val="24"/>
        </w:rPr>
        <w:t>ine</w:t>
      </w:r>
      <w:r w:rsidR="00FC30F3" w:rsidRPr="00774BAE">
        <w:rPr>
          <w:sz w:val="24"/>
          <w:szCs w:val="24"/>
        </w:rPr>
        <w:t>; transportation over the KB </w:t>
      </w:r>
      <w:r w:rsidR="00454ED8" w:rsidRPr="00774BAE">
        <w:rPr>
          <w:sz w:val="24"/>
          <w:szCs w:val="24"/>
        </w:rPr>
        <w:t xml:space="preserve">Pipeline </w:t>
      </w:r>
      <w:r w:rsidR="007B50E7" w:rsidRPr="00774BAE">
        <w:rPr>
          <w:sz w:val="24"/>
          <w:szCs w:val="24"/>
        </w:rPr>
        <w:t>to NWP</w:t>
      </w:r>
      <w:r w:rsidR="00D07261">
        <w:rPr>
          <w:sz w:val="24"/>
          <w:szCs w:val="24"/>
        </w:rPr>
        <w:t xml:space="preserve">, which also will require new </w:t>
      </w:r>
      <w:r w:rsidR="00454ED8" w:rsidRPr="00774BAE">
        <w:rPr>
          <w:sz w:val="24"/>
          <w:szCs w:val="24"/>
        </w:rPr>
        <w:t>compression</w:t>
      </w:r>
      <w:r w:rsidR="00D07261">
        <w:rPr>
          <w:sz w:val="24"/>
          <w:szCs w:val="24"/>
        </w:rPr>
        <w:t xml:space="preserve"> and related facilities</w:t>
      </w:r>
      <w:r w:rsidR="00454ED8" w:rsidRPr="00774BAE">
        <w:rPr>
          <w:sz w:val="24"/>
          <w:szCs w:val="24"/>
        </w:rPr>
        <w:t>; and t</w:t>
      </w:r>
      <w:r w:rsidR="004F7AEA" w:rsidRPr="00774BAE">
        <w:rPr>
          <w:sz w:val="24"/>
          <w:szCs w:val="24"/>
        </w:rPr>
        <w:t>ransportation by NWP back to NW </w:t>
      </w:r>
      <w:r w:rsidR="00454ED8" w:rsidRPr="00774BAE">
        <w:rPr>
          <w:sz w:val="24"/>
          <w:szCs w:val="24"/>
        </w:rPr>
        <w:t xml:space="preserve">Natural’s </w:t>
      </w:r>
      <w:r w:rsidR="00C61FA3" w:rsidRPr="00774BAE">
        <w:rPr>
          <w:sz w:val="24"/>
          <w:szCs w:val="24"/>
        </w:rPr>
        <w:t xml:space="preserve">distribution </w:t>
      </w:r>
      <w:r w:rsidR="00454ED8" w:rsidRPr="00774BAE">
        <w:rPr>
          <w:sz w:val="24"/>
          <w:szCs w:val="24"/>
        </w:rPr>
        <w:t>system. The 2014 IRP used estimated tariff rates for transportation of gas for Core customers over KB Pipeline and on NWP.</w:t>
      </w:r>
    </w:p>
    <w:p w14:paraId="58E1BD29" w14:textId="42DBAAA1" w:rsidR="00A36DEA" w:rsidRPr="00774BAE" w:rsidRDefault="00A92CE6" w:rsidP="00E91EEF">
      <w:pPr>
        <w:spacing w:after="280"/>
        <w:rPr>
          <w:sz w:val="24"/>
          <w:szCs w:val="24"/>
        </w:rPr>
      </w:pPr>
      <w:r w:rsidRPr="00774BAE">
        <w:rPr>
          <w:sz w:val="24"/>
          <w:szCs w:val="24"/>
        </w:rPr>
        <w:t xml:space="preserve">The 2014 IRP identified that </w:t>
      </w:r>
      <w:r w:rsidR="00C434CC">
        <w:rPr>
          <w:sz w:val="24"/>
          <w:szCs w:val="24"/>
        </w:rPr>
        <w:t xml:space="preserve">the </w:t>
      </w:r>
      <w:r w:rsidR="009322A4" w:rsidRPr="00774BAE">
        <w:rPr>
          <w:sz w:val="24"/>
          <w:szCs w:val="24"/>
        </w:rPr>
        <w:t xml:space="preserve">composition of </w:t>
      </w:r>
      <w:r w:rsidRPr="00774BAE">
        <w:rPr>
          <w:sz w:val="24"/>
          <w:szCs w:val="24"/>
        </w:rPr>
        <w:t xml:space="preserve">the least cost portfolio of future supply resources is contingent upon </w:t>
      </w:r>
      <w:r w:rsidR="00C434CC">
        <w:rPr>
          <w:sz w:val="24"/>
          <w:szCs w:val="24"/>
        </w:rPr>
        <w:t xml:space="preserve">the availability of certain </w:t>
      </w:r>
      <w:r w:rsidR="00C61FA3" w:rsidRPr="00774BAE">
        <w:rPr>
          <w:sz w:val="24"/>
          <w:szCs w:val="24"/>
        </w:rPr>
        <w:t xml:space="preserve">future resources </w:t>
      </w:r>
      <w:r w:rsidR="00C434CC">
        <w:rPr>
          <w:sz w:val="24"/>
          <w:szCs w:val="24"/>
        </w:rPr>
        <w:t xml:space="preserve">that </w:t>
      </w:r>
      <w:r w:rsidR="00C61FA3" w:rsidRPr="00774BAE">
        <w:rPr>
          <w:sz w:val="24"/>
          <w:szCs w:val="24"/>
        </w:rPr>
        <w:t>are</w:t>
      </w:r>
      <w:r w:rsidRPr="00774BAE">
        <w:rPr>
          <w:sz w:val="24"/>
          <w:szCs w:val="24"/>
        </w:rPr>
        <w:t xml:space="preserve"> </w:t>
      </w:r>
      <w:r w:rsidR="00C434CC">
        <w:rPr>
          <w:sz w:val="24"/>
          <w:szCs w:val="24"/>
        </w:rPr>
        <w:t>outside NW</w:t>
      </w:r>
      <w:r w:rsidR="00D16506">
        <w:rPr>
          <w:sz w:val="24"/>
          <w:szCs w:val="24"/>
        </w:rPr>
        <w:t> </w:t>
      </w:r>
      <w:r w:rsidR="00C434CC">
        <w:rPr>
          <w:sz w:val="24"/>
          <w:szCs w:val="24"/>
        </w:rPr>
        <w:t>Natural’s control</w:t>
      </w:r>
      <w:r w:rsidRPr="00774BAE">
        <w:rPr>
          <w:sz w:val="24"/>
          <w:szCs w:val="24"/>
        </w:rPr>
        <w:t>.</w:t>
      </w:r>
      <w:r w:rsidRPr="00774BAE">
        <w:rPr>
          <w:rStyle w:val="FootnoteReference"/>
          <w:sz w:val="24"/>
          <w:szCs w:val="24"/>
        </w:rPr>
        <w:footnoteReference w:id="16"/>
      </w:r>
      <w:r w:rsidRPr="00774BAE">
        <w:rPr>
          <w:sz w:val="24"/>
          <w:szCs w:val="24"/>
        </w:rPr>
        <w:t xml:space="preserve"> </w:t>
      </w:r>
      <w:r w:rsidR="008D7F5C" w:rsidRPr="00774BAE">
        <w:rPr>
          <w:sz w:val="24"/>
          <w:szCs w:val="24"/>
        </w:rPr>
        <w:t>North Mist is</w:t>
      </w:r>
      <w:r w:rsidR="00A23A0F" w:rsidRPr="00774BAE">
        <w:rPr>
          <w:sz w:val="24"/>
          <w:szCs w:val="24"/>
        </w:rPr>
        <w:t xml:space="preserve"> a future supply</w:t>
      </w:r>
      <w:r w:rsidR="008D7F5C" w:rsidRPr="00774BAE">
        <w:rPr>
          <w:sz w:val="24"/>
          <w:szCs w:val="24"/>
        </w:rPr>
        <w:t xml:space="preserve"> resource option</w:t>
      </w:r>
      <w:r w:rsidR="00F232EE" w:rsidRPr="00774BAE">
        <w:rPr>
          <w:sz w:val="24"/>
          <w:szCs w:val="24"/>
        </w:rPr>
        <w:t xml:space="preserve"> </w:t>
      </w:r>
      <w:r w:rsidR="00FB5676" w:rsidRPr="00774BAE">
        <w:rPr>
          <w:sz w:val="24"/>
          <w:szCs w:val="24"/>
        </w:rPr>
        <w:t xml:space="preserve">that appears at this time to be largely </w:t>
      </w:r>
      <w:r w:rsidR="00F232EE" w:rsidRPr="00774BAE">
        <w:rPr>
          <w:sz w:val="24"/>
          <w:szCs w:val="24"/>
        </w:rPr>
        <w:t>withi</w:t>
      </w:r>
      <w:r w:rsidR="008D7F5C" w:rsidRPr="00774BAE">
        <w:rPr>
          <w:sz w:val="24"/>
          <w:szCs w:val="24"/>
        </w:rPr>
        <w:t>n the Company’s control, as</w:t>
      </w:r>
      <w:r w:rsidR="00F232EE" w:rsidRPr="00774BAE">
        <w:rPr>
          <w:sz w:val="24"/>
          <w:szCs w:val="24"/>
        </w:rPr>
        <w:t xml:space="preserve"> it does not depend </w:t>
      </w:r>
      <w:r w:rsidR="008D7F5C" w:rsidRPr="00774BAE">
        <w:rPr>
          <w:sz w:val="24"/>
          <w:szCs w:val="24"/>
        </w:rPr>
        <w:t>up</w:t>
      </w:r>
      <w:r w:rsidR="00F232EE" w:rsidRPr="00774BAE">
        <w:rPr>
          <w:sz w:val="24"/>
          <w:szCs w:val="24"/>
        </w:rPr>
        <w:t xml:space="preserve">on the </w:t>
      </w:r>
      <w:r w:rsidR="00EE7C9E" w:rsidRPr="00774BAE">
        <w:rPr>
          <w:sz w:val="24"/>
          <w:szCs w:val="24"/>
        </w:rPr>
        <w:t xml:space="preserve">uncertain </w:t>
      </w:r>
      <w:r w:rsidR="00F232EE" w:rsidRPr="00774BAE">
        <w:rPr>
          <w:sz w:val="24"/>
          <w:szCs w:val="24"/>
        </w:rPr>
        <w:t xml:space="preserve">development of a new pipeline </w:t>
      </w:r>
      <w:r w:rsidR="00EE7C9E" w:rsidRPr="00774BAE">
        <w:rPr>
          <w:sz w:val="24"/>
          <w:szCs w:val="24"/>
        </w:rPr>
        <w:t>by other parties</w:t>
      </w:r>
      <w:r w:rsidR="009322A4" w:rsidRPr="00774BAE">
        <w:rPr>
          <w:sz w:val="24"/>
          <w:szCs w:val="24"/>
        </w:rPr>
        <w:t xml:space="preserve">. </w:t>
      </w:r>
      <w:r w:rsidR="0093335E" w:rsidRPr="00774BAE">
        <w:rPr>
          <w:sz w:val="24"/>
          <w:szCs w:val="24"/>
        </w:rPr>
        <w:t>Each future resource scenario analyzed in the 2014 IRP</w:t>
      </w:r>
      <w:r w:rsidR="00EF0C1C" w:rsidRPr="00774BAE">
        <w:rPr>
          <w:sz w:val="24"/>
          <w:szCs w:val="24"/>
        </w:rPr>
        <w:t xml:space="preserve"> included North Mist as a future supply resource option</w:t>
      </w:r>
      <w:r w:rsidR="00C434CC">
        <w:rPr>
          <w:sz w:val="24"/>
          <w:szCs w:val="24"/>
        </w:rPr>
        <w:t>,</w:t>
      </w:r>
      <w:r w:rsidR="004F7AEA" w:rsidRPr="00774BAE">
        <w:rPr>
          <w:sz w:val="24"/>
          <w:szCs w:val="24"/>
        </w:rPr>
        <w:t xml:space="preserve"> and </w:t>
      </w:r>
      <w:r w:rsidR="00C434CC">
        <w:rPr>
          <w:sz w:val="24"/>
          <w:szCs w:val="24"/>
        </w:rPr>
        <w:t>the analysis indicated</w:t>
      </w:r>
      <w:r w:rsidR="00DD632C" w:rsidRPr="00774BAE">
        <w:rPr>
          <w:sz w:val="24"/>
          <w:szCs w:val="24"/>
        </w:rPr>
        <w:t xml:space="preserve"> </w:t>
      </w:r>
      <w:r w:rsidR="00EF0C1C" w:rsidRPr="00774BAE">
        <w:rPr>
          <w:sz w:val="24"/>
          <w:szCs w:val="24"/>
        </w:rPr>
        <w:t>that</w:t>
      </w:r>
      <w:r w:rsidR="002064DA" w:rsidRPr="00774BAE">
        <w:rPr>
          <w:sz w:val="24"/>
          <w:szCs w:val="24"/>
        </w:rPr>
        <w:t xml:space="preserve"> North Mist Expansion </w:t>
      </w:r>
      <w:r w:rsidR="00C434CC">
        <w:rPr>
          <w:sz w:val="24"/>
          <w:szCs w:val="24"/>
        </w:rPr>
        <w:t xml:space="preserve">would be </w:t>
      </w:r>
      <w:r w:rsidR="002064DA" w:rsidRPr="00774BAE">
        <w:rPr>
          <w:sz w:val="24"/>
          <w:szCs w:val="24"/>
        </w:rPr>
        <w:t>a component</w:t>
      </w:r>
      <w:r w:rsidR="00EF0C1C" w:rsidRPr="00774BAE">
        <w:rPr>
          <w:sz w:val="24"/>
          <w:szCs w:val="24"/>
        </w:rPr>
        <w:t xml:space="preserve"> of each least cost resource portfolio irrespective of which future </w:t>
      </w:r>
      <w:r w:rsidR="00C434CC">
        <w:rPr>
          <w:sz w:val="24"/>
          <w:szCs w:val="24"/>
        </w:rPr>
        <w:t>scenario unfolded</w:t>
      </w:r>
      <w:r w:rsidR="00523DBF">
        <w:rPr>
          <w:sz w:val="24"/>
          <w:szCs w:val="24"/>
        </w:rPr>
        <w:t>—</w:t>
      </w:r>
      <w:r w:rsidR="00C434CC">
        <w:rPr>
          <w:sz w:val="24"/>
          <w:szCs w:val="24"/>
        </w:rPr>
        <w:t>only its timing changed</w:t>
      </w:r>
      <w:r w:rsidR="00EF0C1C" w:rsidRPr="00774BAE">
        <w:rPr>
          <w:sz w:val="24"/>
          <w:szCs w:val="24"/>
        </w:rPr>
        <w:t>.</w:t>
      </w:r>
      <w:r w:rsidR="00EF0C1C" w:rsidRPr="00774BAE">
        <w:rPr>
          <w:rStyle w:val="FootnoteReference"/>
          <w:sz w:val="24"/>
          <w:szCs w:val="24"/>
        </w:rPr>
        <w:footnoteReference w:id="17"/>
      </w:r>
    </w:p>
    <w:p w14:paraId="58E1BD2A" w14:textId="77777777" w:rsidR="008E10BE" w:rsidRPr="00774BAE" w:rsidRDefault="008E10BE" w:rsidP="00E91EEF">
      <w:pPr>
        <w:spacing w:after="120"/>
        <w:rPr>
          <w:b/>
          <w:sz w:val="24"/>
          <w:szCs w:val="24"/>
        </w:rPr>
      </w:pPr>
      <w:r w:rsidRPr="00774BAE">
        <w:rPr>
          <w:b/>
          <w:sz w:val="24"/>
          <w:szCs w:val="24"/>
        </w:rPr>
        <w:t>North Mist Expansion – Analysis Subsequent to the 2014 IRP</w:t>
      </w:r>
    </w:p>
    <w:p w14:paraId="58E1BD2B" w14:textId="0F764D41" w:rsidR="00BB2910" w:rsidRDefault="00BB2910" w:rsidP="00E91EEF">
      <w:pPr>
        <w:spacing w:after="280"/>
        <w:rPr>
          <w:sz w:val="24"/>
          <w:szCs w:val="24"/>
        </w:rPr>
      </w:pPr>
      <w:r w:rsidRPr="00774BAE">
        <w:rPr>
          <w:sz w:val="24"/>
          <w:szCs w:val="24"/>
        </w:rPr>
        <w:t>T</w:t>
      </w:r>
      <w:r w:rsidR="00C41D73" w:rsidRPr="00774BAE">
        <w:rPr>
          <w:sz w:val="24"/>
          <w:szCs w:val="24"/>
        </w:rPr>
        <w:t>able 2</w:t>
      </w:r>
      <w:r w:rsidR="004B4DD6" w:rsidRPr="00774BAE">
        <w:rPr>
          <w:sz w:val="24"/>
          <w:szCs w:val="24"/>
        </w:rPr>
        <w:t xml:space="preserve"> </w:t>
      </w:r>
      <w:r w:rsidR="00C41D73" w:rsidRPr="00774BAE">
        <w:rPr>
          <w:sz w:val="24"/>
          <w:szCs w:val="24"/>
        </w:rPr>
        <w:t>indicate</w:t>
      </w:r>
      <w:r w:rsidR="007D29E4" w:rsidRPr="00774BAE">
        <w:rPr>
          <w:sz w:val="24"/>
          <w:szCs w:val="24"/>
        </w:rPr>
        <w:t>s t</w:t>
      </w:r>
      <w:r w:rsidRPr="00774BAE">
        <w:rPr>
          <w:sz w:val="24"/>
          <w:szCs w:val="24"/>
        </w:rPr>
        <w:t xml:space="preserve">he year North Mist is </w:t>
      </w:r>
      <w:r w:rsidR="00D1092D" w:rsidRPr="00774BAE">
        <w:rPr>
          <w:sz w:val="24"/>
          <w:szCs w:val="24"/>
        </w:rPr>
        <w:t xml:space="preserve">first </w:t>
      </w:r>
      <w:r w:rsidRPr="00774BAE">
        <w:rPr>
          <w:sz w:val="24"/>
          <w:szCs w:val="24"/>
        </w:rPr>
        <w:t>needed</w:t>
      </w:r>
      <w:r w:rsidR="00F6259E">
        <w:rPr>
          <w:rStyle w:val="FootnoteReference"/>
          <w:sz w:val="24"/>
          <w:szCs w:val="24"/>
        </w:rPr>
        <w:footnoteReference w:id="18"/>
      </w:r>
      <w:r w:rsidR="000F2411" w:rsidRPr="000F2411">
        <w:rPr>
          <w:sz w:val="24"/>
          <w:szCs w:val="24"/>
          <w:vertAlign w:val="superscript"/>
        </w:rPr>
        <w:t>,</w:t>
      </w:r>
      <w:r w:rsidR="00F3267F">
        <w:rPr>
          <w:sz w:val="24"/>
          <w:szCs w:val="24"/>
          <w:vertAlign w:val="superscript"/>
        </w:rPr>
        <w:t xml:space="preserve"> </w:t>
      </w:r>
      <w:r w:rsidR="000F2411">
        <w:rPr>
          <w:rStyle w:val="FootnoteReference"/>
          <w:sz w:val="24"/>
          <w:szCs w:val="24"/>
        </w:rPr>
        <w:footnoteReference w:id="19"/>
      </w:r>
      <w:r w:rsidRPr="00774BAE">
        <w:rPr>
          <w:sz w:val="24"/>
          <w:szCs w:val="24"/>
        </w:rPr>
        <w:t xml:space="preserve"> in each combination of future resource scena</w:t>
      </w:r>
      <w:r w:rsidR="00C41D73" w:rsidRPr="00774BAE">
        <w:rPr>
          <w:sz w:val="24"/>
          <w:szCs w:val="24"/>
        </w:rPr>
        <w:t>rio and load growth sensitivity analyz</w:t>
      </w:r>
      <w:r w:rsidR="007D29E4" w:rsidRPr="00774BAE">
        <w:rPr>
          <w:sz w:val="24"/>
          <w:szCs w:val="24"/>
        </w:rPr>
        <w:t>ed in the 2014 IRP</w:t>
      </w:r>
      <w:r w:rsidRPr="00774BAE">
        <w:rPr>
          <w:sz w:val="24"/>
          <w:szCs w:val="24"/>
        </w:rPr>
        <w:t>.</w:t>
      </w:r>
    </w:p>
    <w:p w14:paraId="46F3BBBE" w14:textId="77777777" w:rsidR="00BC4E87" w:rsidRPr="00774BAE" w:rsidRDefault="00BC4E87" w:rsidP="00E91EEF">
      <w:pPr>
        <w:spacing w:after="280"/>
        <w:rPr>
          <w:sz w:val="24"/>
          <w:szCs w:val="24"/>
        </w:rPr>
      </w:pPr>
    </w:p>
    <w:p w14:paraId="0583B21D" w14:textId="77777777" w:rsidR="00BC4E87" w:rsidRPr="00774BAE" w:rsidRDefault="00BC4E87" w:rsidP="00BC4E87">
      <w:pPr>
        <w:keepNext/>
        <w:spacing w:after="120"/>
        <w:rPr>
          <w:b/>
          <w:sz w:val="24"/>
          <w:szCs w:val="24"/>
        </w:rPr>
      </w:pPr>
      <w:r w:rsidRPr="00774BAE">
        <w:rPr>
          <w:b/>
          <w:sz w:val="24"/>
          <w:szCs w:val="24"/>
        </w:rPr>
        <w:t>Table 2 – Timing of Need for North Mist Expansion by Resource Scenario and Load Growth Sensitivity</w:t>
      </w:r>
    </w:p>
    <w:tbl>
      <w:tblPr>
        <w:tblW w:w="8319" w:type="dxa"/>
        <w:jc w:val="center"/>
        <w:tblLook w:val="04A0" w:firstRow="1" w:lastRow="0" w:firstColumn="1" w:lastColumn="0" w:noHBand="0" w:noVBand="1"/>
      </w:tblPr>
      <w:tblGrid>
        <w:gridCol w:w="2736"/>
        <w:gridCol w:w="1728"/>
        <w:gridCol w:w="1728"/>
        <w:gridCol w:w="1728"/>
        <w:gridCol w:w="399"/>
      </w:tblGrid>
      <w:tr w:rsidR="00BC4E87" w:rsidRPr="00F87888" w14:paraId="60282C19" w14:textId="77777777" w:rsidTr="00B56905">
        <w:trPr>
          <w:trHeight w:val="144"/>
          <w:jc w:val="center"/>
        </w:trPr>
        <w:tc>
          <w:tcPr>
            <w:tcW w:w="2736" w:type="dxa"/>
            <w:tcBorders>
              <w:top w:val="nil"/>
              <w:left w:val="nil"/>
              <w:bottom w:val="nil"/>
              <w:right w:val="nil"/>
            </w:tcBorders>
            <w:shd w:val="clear" w:color="auto" w:fill="auto"/>
            <w:noWrap/>
            <w:hideMark/>
          </w:tcPr>
          <w:p w14:paraId="2854C06E" w14:textId="77777777" w:rsidR="00BC4E87" w:rsidRPr="00F87888" w:rsidRDefault="00BC4E87" w:rsidP="00B56905">
            <w:pPr>
              <w:keepNext/>
              <w:spacing w:after="260" w:line="240" w:lineRule="auto"/>
              <w:rPr>
                <w:rFonts w:ascii="Calibri" w:eastAsia="Times New Roman" w:hAnsi="Calibri" w:cs="Times New Roman"/>
                <w:color w:val="000000"/>
              </w:rPr>
            </w:pPr>
          </w:p>
        </w:tc>
        <w:tc>
          <w:tcPr>
            <w:tcW w:w="5583" w:type="dxa"/>
            <w:gridSpan w:val="4"/>
            <w:tcBorders>
              <w:top w:val="nil"/>
              <w:left w:val="nil"/>
              <w:bottom w:val="nil"/>
              <w:right w:val="nil"/>
            </w:tcBorders>
            <w:shd w:val="clear" w:color="auto" w:fill="auto"/>
            <w:vAlign w:val="bottom"/>
            <w:hideMark/>
          </w:tcPr>
          <w:p w14:paraId="5666FC49" w14:textId="77777777" w:rsidR="00BC4E87" w:rsidRPr="00F87888" w:rsidRDefault="00BC4E87" w:rsidP="00B56905">
            <w:pPr>
              <w:keepNext/>
              <w:spacing w:after="260" w:line="240" w:lineRule="auto"/>
              <w:ind w:left="686" w:right="-1734"/>
              <w:rPr>
                <w:rFonts w:ascii="Calibri" w:eastAsia="Times New Roman" w:hAnsi="Calibri" w:cs="Times New Roman"/>
                <w:color w:val="000000"/>
              </w:rPr>
            </w:pPr>
            <w:r>
              <w:rPr>
                <w:rFonts w:ascii="Calibri" w:eastAsia="Times New Roman" w:hAnsi="Calibri" w:cs="Times New Roman"/>
                <w:color w:val="000000"/>
              </w:rPr>
              <w:t xml:space="preserve">Year </w:t>
            </w:r>
            <w:r w:rsidRPr="00F87888">
              <w:rPr>
                <w:rFonts w:ascii="Calibri" w:eastAsia="Times New Roman" w:hAnsi="Calibri" w:cs="Times New Roman"/>
                <w:color w:val="000000"/>
              </w:rPr>
              <w:t>North Mist Expansion Needed for Core</w:t>
            </w:r>
          </w:p>
          <w:p w14:paraId="47E9672E" w14:textId="77777777" w:rsidR="00BC4E87" w:rsidRPr="00F87888" w:rsidRDefault="00BC4E87" w:rsidP="00B56905">
            <w:pPr>
              <w:keepNext/>
              <w:spacing w:after="260" w:line="240" w:lineRule="auto"/>
              <w:ind w:left="1226" w:right="-1734"/>
              <w:rPr>
                <w:rFonts w:ascii="Calibri" w:eastAsia="Times New Roman" w:hAnsi="Calibri" w:cs="Times New Roman"/>
                <w:color w:val="000000"/>
              </w:rPr>
            </w:pPr>
            <w:r>
              <w:rPr>
                <w:rFonts w:ascii="Calibri" w:eastAsia="Times New Roman" w:hAnsi="Calibri" w:cs="Times New Roman"/>
                <w:color w:val="000000"/>
              </w:rPr>
              <w:t xml:space="preserve">by </w:t>
            </w:r>
            <w:r w:rsidRPr="00F87888">
              <w:rPr>
                <w:rFonts w:ascii="Calibri" w:eastAsia="Times New Roman" w:hAnsi="Calibri" w:cs="Times New Roman"/>
                <w:color w:val="000000"/>
              </w:rPr>
              <w:t xml:space="preserve">Load </w:t>
            </w:r>
            <w:r>
              <w:rPr>
                <w:rFonts w:ascii="Calibri" w:eastAsia="Times New Roman" w:hAnsi="Calibri" w:cs="Times New Roman"/>
                <w:color w:val="000000"/>
              </w:rPr>
              <w:t>Growth Sensitivity</w:t>
            </w:r>
          </w:p>
        </w:tc>
      </w:tr>
      <w:tr w:rsidR="00BC4E87" w:rsidRPr="00F87888" w14:paraId="0BA0C288" w14:textId="77777777" w:rsidTr="00B56905">
        <w:trPr>
          <w:gridAfter w:val="1"/>
          <w:wAfter w:w="399" w:type="dxa"/>
          <w:trHeight w:val="576"/>
          <w:jc w:val="center"/>
        </w:trPr>
        <w:tc>
          <w:tcPr>
            <w:tcW w:w="2736" w:type="dxa"/>
            <w:tcBorders>
              <w:top w:val="nil"/>
              <w:left w:val="nil"/>
              <w:bottom w:val="nil"/>
              <w:right w:val="nil"/>
            </w:tcBorders>
            <w:shd w:val="clear" w:color="auto" w:fill="auto"/>
            <w:vAlign w:val="bottom"/>
            <w:hideMark/>
          </w:tcPr>
          <w:p w14:paraId="00309380"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2014 IRP Resource Scenario</w:t>
            </w:r>
          </w:p>
        </w:tc>
        <w:tc>
          <w:tcPr>
            <w:tcW w:w="1728" w:type="dxa"/>
            <w:tcBorders>
              <w:top w:val="nil"/>
              <w:left w:val="nil"/>
              <w:bottom w:val="nil"/>
              <w:right w:val="nil"/>
            </w:tcBorders>
            <w:shd w:val="clear" w:color="auto" w:fill="auto"/>
            <w:vAlign w:val="bottom"/>
            <w:hideMark/>
          </w:tcPr>
          <w:p w14:paraId="629755DD"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Base Case</w:t>
            </w:r>
          </w:p>
        </w:tc>
        <w:tc>
          <w:tcPr>
            <w:tcW w:w="1728" w:type="dxa"/>
            <w:tcBorders>
              <w:top w:val="nil"/>
              <w:left w:val="nil"/>
              <w:bottom w:val="nil"/>
              <w:right w:val="nil"/>
            </w:tcBorders>
            <w:shd w:val="clear" w:color="auto" w:fill="auto"/>
            <w:noWrap/>
            <w:vAlign w:val="bottom"/>
            <w:hideMark/>
          </w:tcPr>
          <w:p w14:paraId="62C5DA3F"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High Load</w:t>
            </w:r>
          </w:p>
        </w:tc>
        <w:tc>
          <w:tcPr>
            <w:tcW w:w="1728" w:type="dxa"/>
            <w:tcBorders>
              <w:top w:val="nil"/>
              <w:left w:val="nil"/>
              <w:bottom w:val="nil"/>
              <w:right w:val="nil"/>
            </w:tcBorders>
            <w:shd w:val="clear" w:color="auto" w:fill="auto"/>
            <w:noWrap/>
            <w:vAlign w:val="bottom"/>
            <w:hideMark/>
          </w:tcPr>
          <w:p w14:paraId="5B529EBE"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Low Load</w:t>
            </w:r>
          </w:p>
        </w:tc>
      </w:tr>
      <w:tr w:rsidR="00BC4E87" w:rsidRPr="00F87888" w14:paraId="67A9FC67" w14:textId="77777777" w:rsidTr="00B56905">
        <w:trPr>
          <w:gridAfter w:val="1"/>
          <w:wAfter w:w="399" w:type="dxa"/>
          <w:trHeight w:val="300"/>
          <w:jc w:val="center"/>
        </w:trPr>
        <w:tc>
          <w:tcPr>
            <w:tcW w:w="2736" w:type="dxa"/>
            <w:tcBorders>
              <w:top w:val="nil"/>
              <w:left w:val="nil"/>
              <w:bottom w:val="nil"/>
              <w:right w:val="nil"/>
            </w:tcBorders>
            <w:shd w:val="clear" w:color="auto" w:fill="auto"/>
            <w:noWrap/>
            <w:hideMark/>
          </w:tcPr>
          <w:p w14:paraId="31539746" w14:textId="77777777" w:rsidR="00BC4E87" w:rsidRPr="00F87888" w:rsidRDefault="00BC4E87" w:rsidP="00B56905">
            <w:pPr>
              <w:keepNext/>
              <w:spacing w:after="260" w:line="240" w:lineRule="auto"/>
              <w:jc w:val="center"/>
              <w:rPr>
                <w:rFonts w:ascii="Calibri" w:eastAsia="Times New Roman" w:hAnsi="Calibri" w:cs="Times New Roman"/>
                <w:color w:val="000000"/>
              </w:rPr>
            </w:pPr>
          </w:p>
        </w:tc>
        <w:tc>
          <w:tcPr>
            <w:tcW w:w="1728" w:type="dxa"/>
            <w:tcBorders>
              <w:top w:val="nil"/>
              <w:left w:val="nil"/>
              <w:bottom w:val="nil"/>
              <w:right w:val="nil"/>
            </w:tcBorders>
            <w:shd w:val="clear" w:color="auto" w:fill="auto"/>
            <w:noWrap/>
            <w:hideMark/>
          </w:tcPr>
          <w:p w14:paraId="6EDF3749" w14:textId="77777777" w:rsidR="00BC4E87" w:rsidRPr="00F87888" w:rsidRDefault="00BC4E87" w:rsidP="00B56905">
            <w:pPr>
              <w:keepNext/>
              <w:spacing w:after="260" w:line="240" w:lineRule="auto"/>
              <w:rPr>
                <w:rFonts w:ascii="Calibri" w:eastAsia="Times New Roman" w:hAnsi="Calibri" w:cs="Times New Roman"/>
                <w:color w:val="000000"/>
              </w:rPr>
            </w:pPr>
          </w:p>
        </w:tc>
        <w:tc>
          <w:tcPr>
            <w:tcW w:w="1728" w:type="dxa"/>
            <w:tcBorders>
              <w:top w:val="nil"/>
              <w:left w:val="nil"/>
              <w:bottom w:val="nil"/>
              <w:right w:val="nil"/>
            </w:tcBorders>
            <w:shd w:val="clear" w:color="auto" w:fill="auto"/>
            <w:noWrap/>
            <w:hideMark/>
          </w:tcPr>
          <w:p w14:paraId="0458EA14" w14:textId="77777777" w:rsidR="00BC4E87" w:rsidRPr="00F87888" w:rsidRDefault="00BC4E87" w:rsidP="00B56905">
            <w:pPr>
              <w:keepNext/>
              <w:spacing w:after="260" w:line="240" w:lineRule="auto"/>
              <w:jc w:val="center"/>
              <w:rPr>
                <w:rFonts w:ascii="Calibri" w:eastAsia="Times New Roman" w:hAnsi="Calibri" w:cs="Times New Roman"/>
                <w:color w:val="000000"/>
              </w:rPr>
            </w:pPr>
          </w:p>
        </w:tc>
        <w:tc>
          <w:tcPr>
            <w:tcW w:w="1728" w:type="dxa"/>
            <w:tcBorders>
              <w:top w:val="nil"/>
              <w:left w:val="nil"/>
              <w:bottom w:val="nil"/>
              <w:right w:val="nil"/>
            </w:tcBorders>
            <w:shd w:val="clear" w:color="auto" w:fill="auto"/>
            <w:noWrap/>
            <w:hideMark/>
          </w:tcPr>
          <w:p w14:paraId="6218ACCC" w14:textId="77777777" w:rsidR="00BC4E87" w:rsidRPr="00F87888" w:rsidRDefault="00BC4E87" w:rsidP="00B56905">
            <w:pPr>
              <w:keepNext/>
              <w:spacing w:after="260" w:line="240" w:lineRule="auto"/>
              <w:jc w:val="center"/>
              <w:rPr>
                <w:rFonts w:ascii="Calibri" w:eastAsia="Times New Roman" w:hAnsi="Calibri" w:cs="Times New Roman"/>
                <w:color w:val="000000"/>
              </w:rPr>
            </w:pPr>
          </w:p>
        </w:tc>
      </w:tr>
      <w:tr w:rsidR="00BC4E87" w:rsidRPr="00F87888" w14:paraId="2B357E6E" w14:textId="77777777" w:rsidTr="00B56905">
        <w:trPr>
          <w:gridAfter w:val="1"/>
          <w:wAfter w:w="399" w:type="dxa"/>
          <w:trHeight w:val="600"/>
          <w:jc w:val="center"/>
        </w:trPr>
        <w:tc>
          <w:tcPr>
            <w:tcW w:w="2736" w:type="dxa"/>
            <w:tcBorders>
              <w:top w:val="nil"/>
              <w:left w:val="nil"/>
              <w:bottom w:val="nil"/>
              <w:right w:val="nil"/>
            </w:tcBorders>
            <w:shd w:val="clear" w:color="auto" w:fill="auto"/>
            <w:noWrap/>
            <w:hideMark/>
          </w:tcPr>
          <w:p w14:paraId="7F44E3A4"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A1</w:t>
            </w:r>
          </w:p>
        </w:tc>
        <w:tc>
          <w:tcPr>
            <w:tcW w:w="1728" w:type="dxa"/>
            <w:tcBorders>
              <w:top w:val="nil"/>
              <w:left w:val="nil"/>
              <w:bottom w:val="nil"/>
              <w:right w:val="nil"/>
            </w:tcBorders>
            <w:shd w:val="clear" w:color="auto" w:fill="auto"/>
            <w:noWrap/>
            <w:hideMark/>
          </w:tcPr>
          <w:p w14:paraId="10DDFDD2"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2024</w:t>
            </w:r>
          </w:p>
        </w:tc>
        <w:tc>
          <w:tcPr>
            <w:tcW w:w="1728" w:type="dxa"/>
            <w:tcBorders>
              <w:top w:val="nil"/>
              <w:left w:val="nil"/>
              <w:bottom w:val="nil"/>
              <w:right w:val="nil"/>
            </w:tcBorders>
            <w:shd w:val="clear" w:color="auto" w:fill="auto"/>
            <w:noWrap/>
            <w:hideMark/>
          </w:tcPr>
          <w:p w14:paraId="2F5F22B4"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2022</w:t>
            </w:r>
          </w:p>
        </w:tc>
        <w:tc>
          <w:tcPr>
            <w:tcW w:w="1728" w:type="dxa"/>
            <w:tcBorders>
              <w:top w:val="nil"/>
              <w:left w:val="nil"/>
              <w:bottom w:val="nil"/>
              <w:right w:val="nil"/>
            </w:tcBorders>
            <w:shd w:val="clear" w:color="auto" w:fill="auto"/>
            <w:noWrap/>
            <w:hideMark/>
          </w:tcPr>
          <w:p w14:paraId="6FC31CD1"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2030</w:t>
            </w:r>
          </w:p>
        </w:tc>
      </w:tr>
      <w:tr w:rsidR="00BC4E87" w:rsidRPr="00F87888" w14:paraId="6A29D88C" w14:textId="77777777" w:rsidTr="00B56905">
        <w:trPr>
          <w:gridAfter w:val="1"/>
          <w:wAfter w:w="399" w:type="dxa"/>
          <w:trHeight w:val="600"/>
          <w:jc w:val="center"/>
        </w:trPr>
        <w:tc>
          <w:tcPr>
            <w:tcW w:w="2736" w:type="dxa"/>
            <w:tcBorders>
              <w:top w:val="nil"/>
              <w:left w:val="nil"/>
              <w:bottom w:val="nil"/>
              <w:right w:val="nil"/>
            </w:tcBorders>
            <w:shd w:val="clear" w:color="auto" w:fill="auto"/>
            <w:noWrap/>
            <w:hideMark/>
          </w:tcPr>
          <w:p w14:paraId="3E400938"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A2</w:t>
            </w:r>
          </w:p>
        </w:tc>
        <w:tc>
          <w:tcPr>
            <w:tcW w:w="1728" w:type="dxa"/>
            <w:tcBorders>
              <w:top w:val="nil"/>
              <w:left w:val="nil"/>
              <w:bottom w:val="nil"/>
              <w:right w:val="nil"/>
            </w:tcBorders>
            <w:shd w:val="clear" w:color="auto" w:fill="auto"/>
            <w:noWrap/>
            <w:hideMark/>
          </w:tcPr>
          <w:p w14:paraId="39AE7938"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2030</w:t>
            </w:r>
          </w:p>
        </w:tc>
        <w:tc>
          <w:tcPr>
            <w:tcW w:w="1728" w:type="dxa"/>
            <w:tcBorders>
              <w:top w:val="nil"/>
              <w:left w:val="nil"/>
              <w:bottom w:val="nil"/>
              <w:right w:val="nil"/>
            </w:tcBorders>
            <w:shd w:val="clear" w:color="auto" w:fill="auto"/>
            <w:noWrap/>
            <w:hideMark/>
          </w:tcPr>
          <w:p w14:paraId="756D24F2"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2028</w:t>
            </w:r>
          </w:p>
        </w:tc>
        <w:tc>
          <w:tcPr>
            <w:tcW w:w="1728" w:type="dxa"/>
            <w:tcBorders>
              <w:top w:val="nil"/>
              <w:left w:val="nil"/>
              <w:bottom w:val="nil"/>
              <w:right w:val="nil"/>
            </w:tcBorders>
            <w:shd w:val="clear" w:color="auto" w:fill="auto"/>
            <w:noWrap/>
            <w:hideMark/>
          </w:tcPr>
          <w:p w14:paraId="772F3C51"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2036</w:t>
            </w:r>
          </w:p>
        </w:tc>
      </w:tr>
      <w:tr w:rsidR="00BC4E87" w:rsidRPr="00F87888" w14:paraId="1E2F613E" w14:textId="77777777" w:rsidTr="00B56905">
        <w:trPr>
          <w:gridAfter w:val="1"/>
          <w:wAfter w:w="399" w:type="dxa"/>
          <w:trHeight w:val="600"/>
          <w:jc w:val="center"/>
        </w:trPr>
        <w:tc>
          <w:tcPr>
            <w:tcW w:w="2736" w:type="dxa"/>
            <w:tcBorders>
              <w:top w:val="nil"/>
              <w:left w:val="nil"/>
              <w:bottom w:val="nil"/>
              <w:right w:val="nil"/>
            </w:tcBorders>
            <w:shd w:val="clear" w:color="auto" w:fill="auto"/>
            <w:noWrap/>
            <w:hideMark/>
          </w:tcPr>
          <w:p w14:paraId="62656D11"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A3</w:t>
            </w:r>
          </w:p>
        </w:tc>
        <w:tc>
          <w:tcPr>
            <w:tcW w:w="1728" w:type="dxa"/>
            <w:tcBorders>
              <w:top w:val="nil"/>
              <w:left w:val="nil"/>
              <w:bottom w:val="nil"/>
              <w:right w:val="nil"/>
            </w:tcBorders>
            <w:shd w:val="clear" w:color="auto" w:fill="auto"/>
            <w:noWrap/>
            <w:hideMark/>
          </w:tcPr>
          <w:p w14:paraId="681608D4"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2024</w:t>
            </w:r>
          </w:p>
        </w:tc>
        <w:tc>
          <w:tcPr>
            <w:tcW w:w="1728" w:type="dxa"/>
            <w:tcBorders>
              <w:top w:val="nil"/>
              <w:left w:val="nil"/>
              <w:bottom w:val="nil"/>
              <w:right w:val="nil"/>
            </w:tcBorders>
            <w:shd w:val="clear" w:color="auto" w:fill="auto"/>
            <w:noWrap/>
            <w:hideMark/>
          </w:tcPr>
          <w:p w14:paraId="305D9D2F"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2022</w:t>
            </w:r>
          </w:p>
        </w:tc>
        <w:tc>
          <w:tcPr>
            <w:tcW w:w="1728" w:type="dxa"/>
            <w:tcBorders>
              <w:top w:val="nil"/>
              <w:left w:val="nil"/>
              <w:bottom w:val="nil"/>
              <w:right w:val="nil"/>
            </w:tcBorders>
            <w:shd w:val="clear" w:color="auto" w:fill="auto"/>
            <w:noWrap/>
            <w:hideMark/>
          </w:tcPr>
          <w:p w14:paraId="1263EAB2"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2030</w:t>
            </w:r>
          </w:p>
        </w:tc>
      </w:tr>
      <w:tr w:rsidR="00BC4E87" w:rsidRPr="00F87888" w14:paraId="0EF91D75" w14:textId="77777777" w:rsidTr="00B56905">
        <w:trPr>
          <w:gridAfter w:val="1"/>
          <w:wAfter w:w="399" w:type="dxa"/>
          <w:trHeight w:val="600"/>
          <w:jc w:val="center"/>
        </w:trPr>
        <w:tc>
          <w:tcPr>
            <w:tcW w:w="2736" w:type="dxa"/>
            <w:tcBorders>
              <w:top w:val="nil"/>
              <w:left w:val="nil"/>
              <w:bottom w:val="nil"/>
              <w:right w:val="nil"/>
            </w:tcBorders>
            <w:shd w:val="clear" w:color="auto" w:fill="auto"/>
            <w:noWrap/>
            <w:hideMark/>
          </w:tcPr>
          <w:p w14:paraId="1AB2524E"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B1</w:t>
            </w:r>
          </w:p>
        </w:tc>
        <w:tc>
          <w:tcPr>
            <w:tcW w:w="1728" w:type="dxa"/>
            <w:tcBorders>
              <w:top w:val="nil"/>
              <w:left w:val="nil"/>
              <w:bottom w:val="nil"/>
              <w:right w:val="nil"/>
            </w:tcBorders>
            <w:shd w:val="clear" w:color="auto" w:fill="auto"/>
            <w:noWrap/>
            <w:hideMark/>
          </w:tcPr>
          <w:p w14:paraId="460C3874"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2030</w:t>
            </w:r>
          </w:p>
        </w:tc>
        <w:tc>
          <w:tcPr>
            <w:tcW w:w="1728" w:type="dxa"/>
            <w:tcBorders>
              <w:top w:val="nil"/>
              <w:left w:val="nil"/>
              <w:bottom w:val="nil"/>
              <w:right w:val="nil"/>
            </w:tcBorders>
            <w:shd w:val="clear" w:color="auto" w:fill="auto"/>
            <w:noWrap/>
            <w:hideMark/>
          </w:tcPr>
          <w:p w14:paraId="5DDE83DE"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2028</w:t>
            </w:r>
          </w:p>
        </w:tc>
        <w:tc>
          <w:tcPr>
            <w:tcW w:w="1728" w:type="dxa"/>
            <w:tcBorders>
              <w:top w:val="nil"/>
              <w:left w:val="nil"/>
              <w:bottom w:val="nil"/>
              <w:right w:val="nil"/>
            </w:tcBorders>
            <w:shd w:val="clear" w:color="auto" w:fill="auto"/>
            <w:noWrap/>
            <w:hideMark/>
          </w:tcPr>
          <w:p w14:paraId="3C75D1A9" w14:textId="77777777" w:rsidR="00BC4E87" w:rsidRPr="00F87888" w:rsidRDefault="00BC4E87" w:rsidP="00B56905">
            <w:pPr>
              <w:keepNext/>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2036</w:t>
            </w:r>
          </w:p>
        </w:tc>
      </w:tr>
      <w:tr w:rsidR="00BC4E87" w:rsidRPr="00F87888" w14:paraId="63328B87" w14:textId="77777777" w:rsidTr="00B56905">
        <w:trPr>
          <w:gridAfter w:val="1"/>
          <w:wAfter w:w="399" w:type="dxa"/>
          <w:trHeight w:val="600"/>
          <w:jc w:val="center"/>
        </w:trPr>
        <w:tc>
          <w:tcPr>
            <w:tcW w:w="2736" w:type="dxa"/>
            <w:tcBorders>
              <w:top w:val="nil"/>
              <w:left w:val="nil"/>
              <w:bottom w:val="nil"/>
              <w:right w:val="nil"/>
            </w:tcBorders>
            <w:shd w:val="clear" w:color="auto" w:fill="auto"/>
            <w:noWrap/>
            <w:hideMark/>
          </w:tcPr>
          <w:p w14:paraId="05EBDBE9" w14:textId="77777777" w:rsidR="00BC4E87" w:rsidRPr="00F87888" w:rsidRDefault="00BC4E87" w:rsidP="00B56905">
            <w:pPr>
              <w:widowControl w:val="0"/>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B2</w:t>
            </w:r>
          </w:p>
        </w:tc>
        <w:tc>
          <w:tcPr>
            <w:tcW w:w="1728" w:type="dxa"/>
            <w:tcBorders>
              <w:top w:val="nil"/>
              <w:left w:val="nil"/>
              <w:bottom w:val="nil"/>
              <w:right w:val="nil"/>
            </w:tcBorders>
            <w:shd w:val="clear" w:color="auto" w:fill="auto"/>
            <w:noWrap/>
            <w:hideMark/>
          </w:tcPr>
          <w:p w14:paraId="44603B48" w14:textId="77777777" w:rsidR="00BC4E87" w:rsidRPr="00F87888" w:rsidRDefault="00BC4E87" w:rsidP="00B56905">
            <w:pPr>
              <w:widowControl w:val="0"/>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2030</w:t>
            </w:r>
          </w:p>
        </w:tc>
        <w:tc>
          <w:tcPr>
            <w:tcW w:w="1728" w:type="dxa"/>
            <w:tcBorders>
              <w:top w:val="nil"/>
              <w:left w:val="nil"/>
              <w:bottom w:val="nil"/>
              <w:right w:val="nil"/>
            </w:tcBorders>
            <w:shd w:val="clear" w:color="auto" w:fill="auto"/>
            <w:noWrap/>
            <w:hideMark/>
          </w:tcPr>
          <w:p w14:paraId="3ACF177E" w14:textId="77777777" w:rsidR="00BC4E87" w:rsidRPr="00F87888" w:rsidRDefault="00BC4E87" w:rsidP="00B56905">
            <w:pPr>
              <w:widowControl w:val="0"/>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2028</w:t>
            </w:r>
          </w:p>
        </w:tc>
        <w:tc>
          <w:tcPr>
            <w:tcW w:w="1728" w:type="dxa"/>
            <w:tcBorders>
              <w:top w:val="nil"/>
              <w:left w:val="nil"/>
              <w:bottom w:val="nil"/>
              <w:right w:val="nil"/>
            </w:tcBorders>
            <w:shd w:val="clear" w:color="auto" w:fill="auto"/>
            <w:noWrap/>
            <w:hideMark/>
          </w:tcPr>
          <w:p w14:paraId="35C50A8D" w14:textId="77777777" w:rsidR="00BC4E87" w:rsidRPr="00F87888" w:rsidRDefault="00BC4E87" w:rsidP="00B56905">
            <w:pPr>
              <w:widowControl w:val="0"/>
              <w:spacing w:after="260" w:line="240" w:lineRule="auto"/>
              <w:jc w:val="center"/>
              <w:rPr>
                <w:rFonts w:ascii="Calibri" w:eastAsia="Times New Roman" w:hAnsi="Calibri" w:cs="Times New Roman"/>
                <w:color w:val="000000"/>
              </w:rPr>
            </w:pPr>
            <w:r w:rsidRPr="00F87888">
              <w:rPr>
                <w:rFonts w:ascii="Calibri" w:eastAsia="Times New Roman" w:hAnsi="Calibri" w:cs="Times New Roman"/>
                <w:color w:val="000000"/>
              </w:rPr>
              <w:t>2036</w:t>
            </w:r>
          </w:p>
        </w:tc>
      </w:tr>
    </w:tbl>
    <w:p w14:paraId="750033BA" w14:textId="77777777" w:rsidR="00BC4E87" w:rsidRDefault="00BC4E87" w:rsidP="00E91EEF">
      <w:pPr>
        <w:spacing w:after="280"/>
        <w:rPr>
          <w:sz w:val="24"/>
          <w:szCs w:val="24"/>
        </w:rPr>
      </w:pPr>
    </w:p>
    <w:p w14:paraId="597F580C" w14:textId="3C457630" w:rsidR="004B4DD6" w:rsidRPr="00774BAE" w:rsidRDefault="004B4DD6" w:rsidP="00E91EEF">
      <w:pPr>
        <w:spacing w:after="280"/>
        <w:rPr>
          <w:sz w:val="24"/>
          <w:szCs w:val="24"/>
        </w:rPr>
      </w:pPr>
      <w:r w:rsidRPr="00774BAE">
        <w:rPr>
          <w:sz w:val="24"/>
          <w:szCs w:val="24"/>
        </w:rPr>
        <w:t xml:space="preserve">A key feature of a North Mist Expansion―as described above and included in every least cost portfolio in the 2014 IRP—is that building a </w:t>
      </w:r>
      <w:r w:rsidRPr="00774BAE">
        <w:rPr>
          <w:i/>
          <w:sz w:val="24"/>
          <w:szCs w:val="24"/>
        </w:rPr>
        <w:t>second</w:t>
      </w:r>
      <w:r w:rsidRPr="00774BAE">
        <w:rPr>
          <w:sz w:val="24"/>
          <w:szCs w:val="24"/>
        </w:rPr>
        <w:t xml:space="preserve"> new takeaway pipeline, one exclusively used to meet future needs of Core customers and with construction optimally timed to be available to serve these needs, requires a greater investment than does upsizing the first new pipeline for shared use. This is due in part to the economies of scale that can be realized with upsizing the new pipeline for future shared use.</w:t>
      </w:r>
    </w:p>
    <w:p w14:paraId="58E1BD56" w14:textId="404F8D7D" w:rsidR="00B40308" w:rsidRPr="00774BAE" w:rsidRDefault="00205DD8" w:rsidP="00E91EEF">
      <w:pPr>
        <w:spacing w:after="280"/>
        <w:rPr>
          <w:sz w:val="24"/>
          <w:szCs w:val="24"/>
        </w:rPr>
      </w:pPr>
      <w:r w:rsidRPr="00774BAE">
        <w:rPr>
          <w:sz w:val="24"/>
          <w:szCs w:val="24"/>
        </w:rPr>
        <w:t>There</w:t>
      </w:r>
      <w:r w:rsidR="00AF1EC0" w:rsidRPr="00774BAE">
        <w:rPr>
          <w:sz w:val="24"/>
          <w:szCs w:val="24"/>
        </w:rPr>
        <w:t xml:space="preserve"> are two other relevant</w:t>
      </w:r>
      <w:r w:rsidR="0055000F" w:rsidRPr="00774BAE">
        <w:rPr>
          <w:sz w:val="24"/>
          <w:szCs w:val="24"/>
        </w:rPr>
        <w:t xml:space="preserve"> features</w:t>
      </w:r>
      <w:r w:rsidR="00FB5676" w:rsidRPr="00774BAE">
        <w:rPr>
          <w:sz w:val="24"/>
          <w:szCs w:val="24"/>
        </w:rPr>
        <w:t xml:space="preserve"> associated with </w:t>
      </w:r>
      <w:r w:rsidR="0055000F" w:rsidRPr="00774BAE">
        <w:rPr>
          <w:sz w:val="24"/>
          <w:szCs w:val="24"/>
        </w:rPr>
        <w:t xml:space="preserve">a </w:t>
      </w:r>
      <w:r w:rsidR="00FB5676" w:rsidRPr="00774BAE">
        <w:rPr>
          <w:sz w:val="24"/>
          <w:szCs w:val="24"/>
        </w:rPr>
        <w:t>North Mist</w:t>
      </w:r>
      <w:r w:rsidR="004D0CDE" w:rsidRPr="00774BAE">
        <w:rPr>
          <w:sz w:val="24"/>
          <w:szCs w:val="24"/>
        </w:rPr>
        <w:t xml:space="preserve"> E</w:t>
      </w:r>
      <w:r w:rsidR="0055000F" w:rsidRPr="00774BAE">
        <w:rPr>
          <w:sz w:val="24"/>
          <w:szCs w:val="24"/>
        </w:rPr>
        <w:t>xpansion</w:t>
      </w:r>
      <w:r w:rsidR="00954C99" w:rsidRPr="00774BAE">
        <w:rPr>
          <w:sz w:val="24"/>
          <w:szCs w:val="24"/>
        </w:rPr>
        <w:t xml:space="preserve">. First, </w:t>
      </w:r>
      <w:r w:rsidR="00B40308" w:rsidRPr="00774BAE">
        <w:rPr>
          <w:sz w:val="24"/>
          <w:szCs w:val="24"/>
        </w:rPr>
        <w:t xml:space="preserve">as indicated </w:t>
      </w:r>
      <w:r w:rsidR="00B93F8D">
        <w:rPr>
          <w:sz w:val="24"/>
          <w:szCs w:val="24"/>
        </w:rPr>
        <w:t>in Table 2</w:t>
      </w:r>
      <w:r w:rsidR="00B40308" w:rsidRPr="00774BAE">
        <w:rPr>
          <w:sz w:val="24"/>
          <w:szCs w:val="24"/>
        </w:rPr>
        <w:t xml:space="preserve">, the timing of need by Core customers for North Mist as a future supply resource is uncertain and depends </w:t>
      </w:r>
      <w:r w:rsidR="00C07D6A" w:rsidRPr="00774BAE">
        <w:rPr>
          <w:sz w:val="24"/>
          <w:szCs w:val="24"/>
        </w:rPr>
        <w:t>up</w:t>
      </w:r>
      <w:r w:rsidR="00DD632C" w:rsidRPr="00774BAE">
        <w:rPr>
          <w:sz w:val="24"/>
          <w:szCs w:val="24"/>
        </w:rPr>
        <w:t>on which</w:t>
      </w:r>
      <w:r w:rsidR="00B40308" w:rsidRPr="00774BAE">
        <w:rPr>
          <w:sz w:val="24"/>
          <w:szCs w:val="24"/>
        </w:rPr>
        <w:t xml:space="preserve"> resources become a</w:t>
      </w:r>
      <w:r w:rsidR="00DD632C" w:rsidRPr="00774BAE">
        <w:rPr>
          <w:sz w:val="24"/>
          <w:szCs w:val="24"/>
        </w:rPr>
        <w:t>vailable in the interim</w:t>
      </w:r>
      <w:r w:rsidR="00B40308" w:rsidRPr="00774BAE">
        <w:rPr>
          <w:sz w:val="24"/>
          <w:szCs w:val="24"/>
        </w:rPr>
        <w:t xml:space="preserve">. While each future scenario </w:t>
      </w:r>
      <w:r w:rsidR="004F33B0" w:rsidRPr="00774BAE">
        <w:rPr>
          <w:sz w:val="24"/>
          <w:szCs w:val="24"/>
        </w:rPr>
        <w:t xml:space="preserve">in the 2014 IRP </w:t>
      </w:r>
      <w:r w:rsidR="00AF1641" w:rsidRPr="00774BAE">
        <w:rPr>
          <w:sz w:val="24"/>
          <w:szCs w:val="24"/>
        </w:rPr>
        <w:t>using</w:t>
      </w:r>
      <w:r w:rsidR="00B40308" w:rsidRPr="00774BAE">
        <w:rPr>
          <w:sz w:val="24"/>
          <w:szCs w:val="24"/>
        </w:rPr>
        <w:t xml:space="preserve"> the Base Case load sensitivity included North Mist as a future supply resource in the least cost portfolio,</w:t>
      </w:r>
      <w:r w:rsidR="00B40308" w:rsidRPr="00774BAE">
        <w:rPr>
          <w:rStyle w:val="FootnoteReference"/>
          <w:sz w:val="24"/>
          <w:szCs w:val="24"/>
        </w:rPr>
        <w:footnoteReference w:id="20"/>
      </w:r>
      <w:r w:rsidR="00B40308" w:rsidRPr="00774BAE">
        <w:rPr>
          <w:sz w:val="24"/>
          <w:szCs w:val="24"/>
        </w:rPr>
        <w:t xml:space="preserve"> the timing for North Mist varied depending on wh</w:t>
      </w:r>
      <w:r w:rsidR="00221942">
        <w:rPr>
          <w:sz w:val="24"/>
          <w:szCs w:val="24"/>
        </w:rPr>
        <w:t>ich</w:t>
      </w:r>
      <w:r w:rsidR="00B40308" w:rsidRPr="00774BAE">
        <w:rPr>
          <w:sz w:val="24"/>
          <w:szCs w:val="24"/>
        </w:rPr>
        <w:t xml:space="preserve"> new pipelines are actually constructed, as shown in Table 2. </w:t>
      </w:r>
      <w:r w:rsidR="00F273ED">
        <w:rPr>
          <w:sz w:val="24"/>
          <w:szCs w:val="24"/>
        </w:rPr>
        <w:t>Beyond the use of Segmented Capacity and Mist Recall, t</w:t>
      </w:r>
      <w:r w:rsidR="00B40308" w:rsidRPr="00774BAE">
        <w:rPr>
          <w:sz w:val="24"/>
          <w:szCs w:val="24"/>
        </w:rPr>
        <w:t>he Base Case load growth sensitivity required a new supp</w:t>
      </w:r>
      <w:r w:rsidR="00A41F38" w:rsidRPr="00774BAE">
        <w:rPr>
          <w:sz w:val="24"/>
          <w:szCs w:val="24"/>
        </w:rPr>
        <w:t>ly resource in 2024, while the H</w:t>
      </w:r>
      <w:r w:rsidR="00B40308" w:rsidRPr="00774BAE">
        <w:rPr>
          <w:sz w:val="24"/>
          <w:szCs w:val="24"/>
        </w:rPr>
        <w:t xml:space="preserve">igh load growth sensitivity required a </w:t>
      </w:r>
      <w:r w:rsidR="00FC05E2" w:rsidRPr="00774BAE">
        <w:rPr>
          <w:sz w:val="24"/>
          <w:szCs w:val="24"/>
        </w:rPr>
        <w:t xml:space="preserve">new </w:t>
      </w:r>
      <w:r w:rsidR="00B40308" w:rsidRPr="00774BAE">
        <w:rPr>
          <w:sz w:val="24"/>
          <w:szCs w:val="24"/>
        </w:rPr>
        <w:t>resource in 202</w:t>
      </w:r>
      <w:r w:rsidR="00A41F38" w:rsidRPr="00774BAE">
        <w:rPr>
          <w:sz w:val="24"/>
          <w:szCs w:val="24"/>
        </w:rPr>
        <w:t>2 and the L</w:t>
      </w:r>
      <w:r w:rsidR="00B40308" w:rsidRPr="00774BAE">
        <w:rPr>
          <w:sz w:val="24"/>
          <w:szCs w:val="24"/>
        </w:rPr>
        <w:t xml:space="preserve">ow load growth sensitivity required a </w:t>
      </w:r>
      <w:r w:rsidR="00FC05E2" w:rsidRPr="00774BAE">
        <w:rPr>
          <w:sz w:val="24"/>
          <w:szCs w:val="24"/>
        </w:rPr>
        <w:t xml:space="preserve">new </w:t>
      </w:r>
      <w:r w:rsidR="00B40308" w:rsidRPr="00774BAE">
        <w:rPr>
          <w:sz w:val="24"/>
          <w:szCs w:val="24"/>
        </w:rPr>
        <w:t>resource in 2030.</w:t>
      </w:r>
      <w:r w:rsidR="00B40308" w:rsidRPr="00774BAE">
        <w:rPr>
          <w:rStyle w:val="FootnoteReference"/>
          <w:sz w:val="24"/>
          <w:szCs w:val="24"/>
        </w:rPr>
        <w:footnoteReference w:id="21"/>
      </w:r>
      <w:r w:rsidR="00A41F38" w:rsidRPr="00774BAE">
        <w:rPr>
          <w:sz w:val="24"/>
          <w:szCs w:val="24"/>
        </w:rPr>
        <w:t xml:space="preserve"> NW Natural base</w:t>
      </w:r>
      <w:r w:rsidR="00FC05E2" w:rsidRPr="00774BAE">
        <w:rPr>
          <w:sz w:val="24"/>
          <w:szCs w:val="24"/>
        </w:rPr>
        <w:t>s</w:t>
      </w:r>
      <w:r w:rsidR="00A41F38" w:rsidRPr="00774BAE">
        <w:rPr>
          <w:sz w:val="24"/>
          <w:szCs w:val="24"/>
        </w:rPr>
        <w:t xml:space="preserve"> t</w:t>
      </w:r>
      <w:r w:rsidR="00B40308" w:rsidRPr="00774BAE">
        <w:rPr>
          <w:sz w:val="24"/>
          <w:szCs w:val="24"/>
        </w:rPr>
        <w:t>he analysis pr</w:t>
      </w:r>
      <w:r w:rsidR="00A41F38" w:rsidRPr="00774BAE">
        <w:rPr>
          <w:sz w:val="24"/>
          <w:szCs w:val="24"/>
        </w:rPr>
        <w:t xml:space="preserve">esented in this filing </w:t>
      </w:r>
      <w:r w:rsidR="00B40308" w:rsidRPr="00774BAE">
        <w:rPr>
          <w:sz w:val="24"/>
          <w:szCs w:val="24"/>
        </w:rPr>
        <w:t>on the timing of need fo</w:t>
      </w:r>
      <w:r w:rsidR="006309AD" w:rsidRPr="00774BAE">
        <w:rPr>
          <w:sz w:val="24"/>
          <w:szCs w:val="24"/>
        </w:rPr>
        <w:t>r a North Mist Expansion</w:t>
      </w:r>
      <w:r w:rsidR="00C17C2E" w:rsidRPr="00774BAE">
        <w:rPr>
          <w:sz w:val="24"/>
          <w:szCs w:val="24"/>
        </w:rPr>
        <w:t>—</w:t>
      </w:r>
      <w:r w:rsidR="00B87A02" w:rsidRPr="00774BAE">
        <w:rPr>
          <w:sz w:val="24"/>
          <w:szCs w:val="24"/>
        </w:rPr>
        <w:t>for</w:t>
      </w:r>
      <w:r w:rsidR="00B40308" w:rsidRPr="00774BAE">
        <w:rPr>
          <w:sz w:val="24"/>
          <w:szCs w:val="24"/>
        </w:rPr>
        <w:t xml:space="preserve"> each </w:t>
      </w:r>
      <w:r w:rsidR="00C17C2E" w:rsidRPr="00774BAE">
        <w:rPr>
          <w:sz w:val="24"/>
          <w:szCs w:val="24"/>
        </w:rPr>
        <w:t xml:space="preserve">future </w:t>
      </w:r>
      <w:r w:rsidR="00B40308" w:rsidRPr="00774BAE">
        <w:rPr>
          <w:sz w:val="24"/>
          <w:szCs w:val="24"/>
        </w:rPr>
        <w:t>re</w:t>
      </w:r>
      <w:r w:rsidR="006309AD" w:rsidRPr="00774BAE">
        <w:rPr>
          <w:sz w:val="24"/>
          <w:szCs w:val="24"/>
        </w:rPr>
        <w:t>source scenario and relative</w:t>
      </w:r>
      <w:r w:rsidR="00B40308" w:rsidRPr="00774BAE">
        <w:rPr>
          <w:sz w:val="24"/>
          <w:szCs w:val="24"/>
        </w:rPr>
        <w:t xml:space="preserve"> t</w:t>
      </w:r>
      <w:r w:rsidR="00C17C2E" w:rsidRPr="00774BAE">
        <w:rPr>
          <w:sz w:val="24"/>
          <w:szCs w:val="24"/>
        </w:rPr>
        <w:t xml:space="preserve">o </w:t>
      </w:r>
      <w:r w:rsidR="00B87A02" w:rsidRPr="00774BAE">
        <w:rPr>
          <w:sz w:val="24"/>
          <w:szCs w:val="24"/>
        </w:rPr>
        <w:t xml:space="preserve">the timing of resource need associated with the </w:t>
      </w:r>
      <w:r w:rsidR="00B40308" w:rsidRPr="00774BAE">
        <w:rPr>
          <w:sz w:val="24"/>
          <w:szCs w:val="24"/>
        </w:rPr>
        <w:t>scenari</w:t>
      </w:r>
      <w:r w:rsidR="00C17C2E" w:rsidRPr="00774BAE">
        <w:rPr>
          <w:sz w:val="24"/>
          <w:szCs w:val="24"/>
        </w:rPr>
        <w:t>o’s Base Case load sensitivity—</w:t>
      </w:r>
      <w:r w:rsidR="006309AD" w:rsidRPr="00774BAE">
        <w:rPr>
          <w:sz w:val="24"/>
          <w:szCs w:val="24"/>
        </w:rPr>
        <w:t xml:space="preserve"> being </w:t>
      </w:r>
      <w:r w:rsidR="00B40308" w:rsidRPr="00774BAE">
        <w:rPr>
          <w:sz w:val="24"/>
          <w:szCs w:val="24"/>
        </w:rPr>
        <w:t>advanced by two years under the High load growth sensitivity and delayed for six years under the Low load growth sensitivity.</w:t>
      </w:r>
      <w:r w:rsidR="00B40308" w:rsidRPr="00774BAE">
        <w:rPr>
          <w:rStyle w:val="FootnoteReference"/>
          <w:sz w:val="24"/>
          <w:szCs w:val="24"/>
        </w:rPr>
        <w:footnoteReference w:id="22"/>
      </w:r>
      <w:r w:rsidR="00B40308" w:rsidRPr="00774BAE">
        <w:rPr>
          <w:sz w:val="24"/>
          <w:szCs w:val="24"/>
        </w:rPr>
        <w:t xml:space="preserve"> </w:t>
      </w:r>
    </w:p>
    <w:p w14:paraId="58E1BD57" w14:textId="6AC09F74" w:rsidR="00B40308" w:rsidRPr="00774BAE" w:rsidRDefault="00954C99" w:rsidP="00E91EEF">
      <w:pPr>
        <w:spacing w:after="280"/>
        <w:rPr>
          <w:sz w:val="24"/>
          <w:szCs w:val="24"/>
        </w:rPr>
      </w:pPr>
      <w:r w:rsidRPr="00774BAE">
        <w:rPr>
          <w:sz w:val="24"/>
          <w:szCs w:val="24"/>
        </w:rPr>
        <w:t>Second</w:t>
      </w:r>
      <w:r w:rsidR="00B40308" w:rsidRPr="00774BAE">
        <w:rPr>
          <w:sz w:val="24"/>
          <w:szCs w:val="24"/>
        </w:rPr>
        <w:t>,</w:t>
      </w:r>
      <w:r w:rsidR="00D01F07" w:rsidRPr="00774BAE">
        <w:rPr>
          <w:sz w:val="24"/>
          <w:szCs w:val="24"/>
        </w:rPr>
        <w:t xml:space="preserve"> </w:t>
      </w:r>
      <w:r w:rsidR="00B40308" w:rsidRPr="00774BAE">
        <w:rPr>
          <w:sz w:val="24"/>
          <w:szCs w:val="24"/>
        </w:rPr>
        <w:t xml:space="preserve">while most investments can be deferred </w:t>
      </w:r>
      <w:r w:rsidR="00E26969" w:rsidRPr="00774BAE">
        <w:rPr>
          <w:sz w:val="24"/>
          <w:szCs w:val="24"/>
        </w:rPr>
        <w:t xml:space="preserve">in their entirety </w:t>
      </w:r>
      <w:r w:rsidR="00B40308" w:rsidRPr="00774BAE">
        <w:rPr>
          <w:sz w:val="24"/>
          <w:szCs w:val="24"/>
        </w:rPr>
        <w:t>to within a few years of when the resource is forecast to be needed, the cost of upsizing the new pipeline</w:t>
      </w:r>
      <w:r w:rsidR="00E26969" w:rsidRPr="00774BAE">
        <w:rPr>
          <w:sz w:val="24"/>
          <w:szCs w:val="24"/>
        </w:rPr>
        <w:t xml:space="preserve"> for shared use</w:t>
      </w:r>
      <w:r w:rsidR="00B40308" w:rsidRPr="00774BAE">
        <w:rPr>
          <w:sz w:val="24"/>
          <w:szCs w:val="24"/>
        </w:rPr>
        <w:t xml:space="preserve"> occurs at an earlier and fixed date due to the requirements of the </w:t>
      </w:r>
      <w:r w:rsidR="00FC05E2" w:rsidRPr="00774BAE">
        <w:rPr>
          <w:sz w:val="24"/>
          <w:szCs w:val="24"/>
        </w:rPr>
        <w:t>non-Core</w:t>
      </w:r>
      <w:r w:rsidR="00B40308" w:rsidRPr="00774BAE">
        <w:rPr>
          <w:sz w:val="24"/>
          <w:szCs w:val="24"/>
        </w:rPr>
        <w:t xml:space="preserve"> customer; i.e., this pipeline can only be built once</w:t>
      </w:r>
      <w:r w:rsidR="00B40308" w:rsidRPr="00774BAE">
        <w:rPr>
          <w:rStyle w:val="FootnoteReference"/>
          <w:sz w:val="24"/>
          <w:szCs w:val="24"/>
        </w:rPr>
        <w:footnoteReference w:id="23"/>
      </w:r>
      <w:r w:rsidR="00B40308" w:rsidRPr="00774BAE">
        <w:rPr>
          <w:sz w:val="24"/>
          <w:szCs w:val="24"/>
        </w:rPr>
        <w:t xml:space="preserve"> and th</w:t>
      </w:r>
      <w:r w:rsidR="00B87A02" w:rsidRPr="00774BAE">
        <w:rPr>
          <w:sz w:val="24"/>
          <w:szCs w:val="24"/>
        </w:rPr>
        <w:t>e timing to meet the non-Core</w:t>
      </w:r>
      <w:r w:rsidR="00B40308" w:rsidRPr="00774BAE">
        <w:rPr>
          <w:sz w:val="24"/>
          <w:szCs w:val="24"/>
        </w:rPr>
        <w:t xml:space="preserve"> customer’s requirements is well in advance of the timing for Core customers in any </w:t>
      </w:r>
      <w:r w:rsidR="00A532F4" w:rsidRPr="00774BAE">
        <w:rPr>
          <w:sz w:val="24"/>
          <w:szCs w:val="24"/>
        </w:rPr>
        <w:t xml:space="preserve">combination of future resource </w:t>
      </w:r>
      <w:r w:rsidR="00B40308" w:rsidRPr="00774BAE">
        <w:rPr>
          <w:sz w:val="24"/>
          <w:szCs w:val="24"/>
        </w:rPr>
        <w:t>scenario</w:t>
      </w:r>
      <w:r w:rsidR="00A532F4" w:rsidRPr="00774BAE">
        <w:rPr>
          <w:sz w:val="24"/>
          <w:szCs w:val="24"/>
        </w:rPr>
        <w:t xml:space="preserve"> and load growth sensitivity</w:t>
      </w:r>
      <w:r w:rsidR="00B40308" w:rsidRPr="00774BAE">
        <w:rPr>
          <w:sz w:val="24"/>
          <w:szCs w:val="24"/>
        </w:rPr>
        <w:t xml:space="preserve"> examined in the 2014 IRP.</w:t>
      </w:r>
    </w:p>
    <w:p w14:paraId="58E1BD58" w14:textId="1CEC9717" w:rsidR="00480785" w:rsidRPr="00774BAE" w:rsidRDefault="00FC05E2" w:rsidP="00E91EEF">
      <w:pPr>
        <w:spacing w:after="280"/>
        <w:rPr>
          <w:sz w:val="24"/>
          <w:szCs w:val="24"/>
        </w:rPr>
      </w:pPr>
      <w:r w:rsidRPr="00774BAE">
        <w:rPr>
          <w:sz w:val="24"/>
          <w:szCs w:val="24"/>
        </w:rPr>
        <w:t>T</w:t>
      </w:r>
      <w:r w:rsidR="00077ECD" w:rsidRPr="00774BAE">
        <w:rPr>
          <w:sz w:val="24"/>
          <w:szCs w:val="24"/>
        </w:rPr>
        <w:t xml:space="preserve">his uncertainty </w:t>
      </w:r>
      <w:r w:rsidR="00CB0BF4" w:rsidRPr="00774BAE">
        <w:rPr>
          <w:sz w:val="24"/>
          <w:szCs w:val="24"/>
        </w:rPr>
        <w:t xml:space="preserve">as to </w:t>
      </w:r>
      <w:r w:rsidR="0069758F">
        <w:rPr>
          <w:sz w:val="24"/>
          <w:szCs w:val="24"/>
        </w:rPr>
        <w:t xml:space="preserve">timing </w:t>
      </w:r>
      <w:r w:rsidR="004A7D83" w:rsidRPr="00774BAE">
        <w:rPr>
          <w:sz w:val="24"/>
          <w:szCs w:val="24"/>
        </w:rPr>
        <w:t xml:space="preserve">potentially </w:t>
      </w:r>
      <w:r w:rsidR="00205DD8" w:rsidRPr="00774BAE">
        <w:rPr>
          <w:sz w:val="24"/>
          <w:szCs w:val="24"/>
        </w:rPr>
        <w:t>create</w:t>
      </w:r>
      <w:r w:rsidR="00E26969" w:rsidRPr="00774BAE">
        <w:rPr>
          <w:sz w:val="24"/>
          <w:szCs w:val="24"/>
        </w:rPr>
        <w:t>s</w:t>
      </w:r>
      <w:r w:rsidR="00077ECD" w:rsidRPr="00774BAE">
        <w:rPr>
          <w:sz w:val="24"/>
          <w:szCs w:val="24"/>
        </w:rPr>
        <w:t xml:space="preserve"> optionality associated with the North M</w:t>
      </w:r>
      <w:r w:rsidR="00786606" w:rsidRPr="00774BAE">
        <w:rPr>
          <w:sz w:val="24"/>
          <w:szCs w:val="24"/>
        </w:rPr>
        <w:t xml:space="preserve">ist Expansion. </w:t>
      </w:r>
      <w:r w:rsidR="0069758F">
        <w:rPr>
          <w:sz w:val="24"/>
          <w:szCs w:val="24"/>
        </w:rPr>
        <w:t>That is, for the cost of a</w:t>
      </w:r>
      <w:r w:rsidR="00F60214">
        <w:rPr>
          <w:sz w:val="24"/>
          <w:szCs w:val="24"/>
        </w:rPr>
        <w:t xml:space="preserve"> near-term</w:t>
      </w:r>
      <w:r w:rsidR="0069758F">
        <w:rPr>
          <w:sz w:val="24"/>
          <w:szCs w:val="24"/>
        </w:rPr>
        <w:t xml:space="preserve"> investment (the upsizing of a pipeline</w:t>
      </w:r>
      <w:r w:rsidR="009B4B03">
        <w:rPr>
          <w:sz w:val="24"/>
          <w:szCs w:val="24"/>
        </w:rPr>
        <w:t xml:space="preserve"> in Alternative 1</w:t>
      </w:r>
      <w:r w:rsidR="0069758F">
        <w:rPr>
          <w:sz w:val="24"/>
          <w:szCs w:val="24"/>
        </w:rPr>
        <w:t xml:space="preserve">), a resource is created that can be called upon </w:t>
      </w:r>
      <w:r w:rsidR="00F60214">
        <w:rPr>
          <w:sz w:val="24"/>
          <w:szCs w:val="24"/>
        </w:rPr>
        <w:t xml:space="preserve">when needed </w:t>
      </w:r>
      <w:r w:rsidR="0069758F">
        <w:rPr>
          <w:sz w:val="24"/>
          <w:szCs w:val="24"/>
        </w:rPr>
        <w:t>in the future.</w:t>
      </w:r>
      <w:r w:rsidR="00077ECD" w:rsidRPr="00774BAE">
        <w:rPr>
          <w:sz w:val="24"/>
          <w:szCs w:val="24"/>
        </w:rPr>
        <w:t xml:space="preserve"> Alternatively stated,</w:t>
      </w:r>
      <w:r w:rsidR="006C728E" w:rsidRPr="00774BAE">
        <w:rPr>
          <w:sz w:val="24"/>
          <w:szCs w:val="24"/>
        </w:rPr>
        <w:t xml:space="preserve"> the North Mist Expansion</w:t>
      </w:r>
      <w:r w:rsidR="00077ECD" w:rsidRPr="00774BAE">
        <w:rPr>
          <w:sz w:val="24"/>
          <w:szCs w:val="24"/>
        </w:rPr>
        <w:t xml:space="preserve"> resource an</w:t>
      </w:r>
      <w:r w:rsidR="00C81356" w:rsidRPr="00774BAE">
        <w:rPr>
          <w:sz w:val="24"/>
          <w:szCs w:val="24"/>
        </w:rPr>
        <w:t>alyzed in the 2014 IRP requires</w:t>
      </w:r>
      <w:r w:rsidR="00E41684" w:rsidRPr="00774BAE">
        <w:rPr>
          <w:sz w:val="24"/>
          <w:szCs w:val="24"/>
        </w:rPr>
        <w:t xml:space="preserve"> Core customers </w:t>
      </w:r>
      <w:r w:rsidR="00F15623" w:rsidRPr="00774BAE">
        <w:rPr>
          <w:sz w:val="24"/>
          <w:szCs w:val="24"/>
        </w:rPr>
        <w:t xml:space="preserve">to “purchase” an option </w:t>
      </w:r>
      <w:r w:rsidR="00077ECD" w:rsidRPr="00774BAE">
        <w:rPr>
          <w:sz w:val="24"/>
          <w:szCs w:val="24"/>
        </w:rPr>
        <w:t>in the near-</w:t>
      </w:r>
      <w:r w:rsidR="00E41684" w:rsidRPr="00774BAE">
        <w:rPr>
          <w:sz w:val="24"/>
          <w:szCs w:val="24"/>
        </w:rPr>
        <w:t>term</w:t>
      </w:r>
      <w:r w:rsidR="009B4B03">
        <w:rPr>
          <w:sz w:val="24"/>
          <w:szCs w:val="24"/>
        </w:rPr>
        <w:t>,</w:t>
      </w:r>
      <w:r w:rsidR="00E41684" w:rsidRPr="00774BAE">
        <w:rPr>
          <w:sz w:val="24"/>
          <w:szCs w:val="24"/>
        </w:rPr>
        <w:t xml:space="preserve"> which </w:t>
      </w:r>
      <w:r w:rsidR="00FB08C2" w:rsidRPr="00774BAE">
        <w:rPr>
          <w:sz w:val="24"/>
          <w:szCs w:val="24"/>
        </w:rPr>
        <w:t xml:space="preserve">NW Natural </w:t>
      </w:r>
      <w:r w:rsidR="006C728E" w:rsidRPr="00774BAE">
        <w:rPr>
          <w:sz w:val="24"/>
          <w:szCs w:val="24"/>
        </w:rPr>
        <w:t>could</w:t>
      </w:r>
      <w:r w:rsidR="00AF6124" w:rsidRPr="00774BAE">
        <w:rPr>
          <w:sz w:val="24"/>
          <w:szCs w:val="24"/>
        </w:rPr>
        <w:t xml:space="preserve"> </w:t>
      </w:r>
      <w:r w:rsidR="00E41684" w:rsidRPr="00774BAE">
        <w:rPr>
          <w:sz w:val="24"/>
          <w:szCs w:val="24"/>
        </w:rPr>
        <w:t>exercise</w:t>
      </w:r>
      <w:r w:rsidR="0055000F" w:rsidRPr="00774BAE">
        <w:rPr>
          <w:sz w:val="24"/>
          <w:szCs w:val="24"/>
        </w:rPr>
        <w:t xml:space="preserve"> </w:t>
      </w:r>
      <w:r w:rsidR="00AF6124" w:rsidRPr="00774BAE">
        <w:rPr>
          <w:sz w:val="24"/>
          <w:szCs w:val="24"/>
        </w:rPr>
        <w:t xml:space="preserve">on behalf of Core customers </w:t>
      </w:r>
      <w:r w:rsidR="00A41F38" w:rsidRPr="00774BAE">
        <w:rPr>
          <w:sz w:val="24"/>
          <w:szCs w:val="24"/>
        </w:rPr>
        <w:t>at an</w:t>
      </w:r>
      <w:r w:rsidR="00077ECD" w:rsidRPr="00774BAE">
        <w:rPr>
          <w:sz w:val="24"/>
          <w:szCs w:val="24"/>
        </w:rPr>
        <w:t xml:space="preserve"> uncertain </w:t>
      </w:r>
      <w:r w:rsidR="00205DD8" w:rsidRPr="00774BAE">
        <w:rPr>
          <w:sz w:val="24"/>
          <w:szCs w:val="24"/>
        </w:rPr>
        <w:t xml:space="preserve">future </w:t>
      </w:r>
      <w:r w:rsidR="0027380F" w:rsidRPr="00774BAE">
        <w:rPr>
          <w:sz w:val="24"/>
          <w:szCs w:val="24"/>
        </w:rPr>
        <w:t>date</w:t>
      </w:r>
      <w:r w:rsidR="00FB08C2" w:rsidRPr="00774BAE">
        <w:rPr>
          <w:sz w:val="24"/>
          <w:szCs w:val="24"/>
        </w:rPr>
        <w:t xml:space="preserve"> by making the remaini</w:t>
      </w:r>
      <w:r w:rsidR="00E762D4" w:rsidRPr="00774BAE">
        <w:rPr>
          <w:sz w:val="24"/>
          <w:szCs w:val="24"/>
        </w:rPr>
        <w:t>ng investments associated with a</w:t>
      </w:r>
      <w:r w:rsidR="00FB08C2" w:rsidRPr="00774BAE">
        <w:rPr>
          <w:sz w:val="24"/>
          <w:szCs w:val="24"/>
        </w:rPr>
        <w:t xml:space="preserve"> North Mist Expansion</w:t>
      </w:r>
      <w:r w:rsidR="00B87A02" w:rsidRPr="00774BAE">
        <w:rPr>
          <w:sz w:val="24"/>
          <w:szCs w:val="24"/>
        </w:rPr>
        <w:t xml:space="preserve"> described above as Alternative 1</w:t>
      </w:r>
      <w:r w:rsidR="00FB08C2" w:rsidRPr="00774BAE">
        <w:rPr>
          <w:sz w:val="24"/>
          <w:szCs w:val="24"/>
        </w:rPr>
        <w:t>.</w:t>
      </w:r>
      <w:r w:rsidR="001D144D" w:rsidRPr="00774BAE">
        <w:rPr>
          <w:sz w:val="24"/>
          <w:szCs w:val="24"/>
        </w:rPr>
        <w:t xml:space="preserve"> </w:t>
      </w:r>
      <w:r w:rsidR="0027380F" w:rsidRPr="00774BAE">
        <w:rPr>
          <w:sz w:val="24"/>
          <w:szCs w:val="24"/>
        </w:rPr>
        <w:t>As</w:t>
      </w:r>
      <w:r w:rsidR="00E03A51" w:rsidRPr="00774BAE">
        <w:rPr>
          <w:sz w:val="24"/>
          <w:szCs w:val="24"/>
        </w:rPr>
        <w:t xml:space="preserve"> </w:t>
      </w:r>
      <w:r w:rsidR="00B87A02" w:rsidRPr="00774BAE">
        <w:rPr>
          <w:sz w:val="24"/>
          <w:szCs w:val="24"/>
        </w:rPr>
        <w:t>North Mist is a resource included in all</w:t>
      </w:r>
      <w:r w:rsidR="0027380F" w:rsidRPr="00774BAE">
        <w:rPr>
          <w:sz w:val="24"/>
          <w:szCs w:val="24"/>
        </w:rPr>
        <w:t xml:space="preserve"> least cost portfolios of future resources in the 2014 IRP,</w:t>
      </w:r>
      <w:r w:rsidR="006B0B61" w:rsidRPr="00774BAE">
        <w:rPr>
          <w:rStyle w:val="FootnoteReference"/>
          <w:sz w:val="24"/>
          <w:szCs w:val="24"/>
        </w:rPr>
        <w:footnoteReference w:id="24"/>
      </w:r>
      <w:r w:rsidR="0027380F" w:rsidRPr="00774BAE">
        <w:rPr>
          <w:sz w:val="24"/>
          <w:szCs w:val="24"/>
        </w:rPr>
        <w:t xml:space="preserve"> the sum of </w:t>
      </w:r>
      <w:r w:rsidR="006D0CA2" w:rsidRPr="00774BAE">
        <w:rPr>
          <w:sz w:val="24"/>
          <w:szCs w:val="24"/>
        </w:rPr>
        <w:t xml:space="preserve">the </w:t>
      </w:r>
      <w:r w:rsidR="00E03A51" w:rsidRPr="00774BAE">
        <w:rPr>
          <w:sz w:val="24"/>
          <w:szCs w:val="24"/>
        </w:rPr>
        <w:t>present v</w:t>
      </w:r>
      <w:r w:rsidR="0027380F" w:rsidRPr="00774BAE">
        <w:rPr>
          <w:sz w:val="24"/>
          <w:szCs w:val="24"/>
        </w:rPr>
        <w:t>alue</w:t>
      </w:r>
      <w:r w:rsidR="006D0CA2" w:rsidRPr="00774BAE">
        <w:rPr>
          <w:sz w:val="24"/>
          <w:szCs w:val="24"/>
        </w:rPr>
        <w:t xml:space="preserve"> of revenue requirements </w:t>
      </w:r>
      <w:r w:rsidR="00CB0BF4" w:rsidRPr="00774BAE">
        <w:rPr>
          <w:sz w:val="24"/>
          <w:szCs w:val="24"/>
        </w:rPr>
        <w:t>(PVRR) of</w:t>
      </w:r>
      <w:r w:rsidR="006D0CA2" w:rsidRPr="00774BAE">
        <w:rPr>
          <w:sz w:val="24"/>
          <w:szCs w:val="24"/>
        </w:rPr>
        <w:t xml:space="preserve"> the near</w:t>
      </w:r>
      <w:r w:rsidR="00DD569C" w:rsidRPr="00774BAE">
        <w:rPr>
          <w:sz w:val="24"/>
          <w:szCs w:val="24"/>
        </w:rPr>
        <w:t xml:space="preserve">-term </w:t>
      </w:r>
      <w:r w:rsidR="00CB0BF4" w:rsidRPr="00774BAE">
        <w:rPr>
          <w:sz w:val="24"/>
          <w:szCs w:val="24"/>
        </w:rPr>
        <w:t xml:space="preserve">investment to </w:t>
      </w:r>
      <w:r w:rsidR="00DD569C" w:rsidRPr="00774BAE">
        <w:rPr>
          <w:sz w:val="24"/>
          <w:szCs w:val="24"/>
        </w:rPr>
        <w:t>upsi</w:t>
      </w:r>
      <w:r w:rsidR="00CB0BF4" w:rsidRPr="00774BAE">
        <w:rPr>
          <w:sz w:val="24"/>
          <w:szCs w:val="24"/>
        </w:rPr>
        <w:t>ze</w:t>
      </w:r>
      <w:r w:rsidR="0027380F" w:rsidRPr="00774BAE">
        <w:rPr>
          <w:sz w:val="24"/>
          <w:szCs w:val="24"/>
        </w:rPr>
        <w:t xml:space="preserve"> </w:t>
      </w:r>
      <w:r w:rsidR="00EB6B66" w:rsidRPr="00774BAE">
        <w:rPr>
          <w:sz w:val="24"/>
          <w:szCs w:val="24"/>
        </w:rPr>
        <w:t>and</w:t>
      </w:r>
      <w:r w:rsidR="0027380F" w:rsidRPr="00774BAE">
        <w:rPr>
          <w:sz w:val="24"/>
          <w:szCs w:val="24"/>
        </w:rPr>
        <w:t xml:space="preserve"> the</w:t>
      </w:r>
      <w:r w:rsidR="006B0B61" w:rsidRPr="00774BAE">
        <w:rPr>
          <w:sz w:val="24"/>
          <w:szCs w:val="24"/>
        </w:rPr>
        <w:t xml:space="preserve"> expected</w:t>
      </w:r>
      <w:r w:rsidR="0027380F" w:rsidRPr="00774BAE">
        <w:rPr>
          <w:sz w:val="24"/>
          <w:szCs w:val="24"/>
        </w:rPr>
        <w:t xml:space="preserve"> PVRR of</w:t>
      </w:r>
      <w:r w:rsidR="00DD569C" w:rsidRPr="00774BAE">
        <w:rPr>
          <w:sz w:val="24"/>
          <w:szCs w:val="24"/>
        </w:rPr>
        <w:t xml:space="preserve"> the</w:t>
      </w:r>
      <w:r w:rsidR="00385379" w:rsidRPr="00774BAE">
        <w:rPr>
          <w:sz w:val="24"/>
          <w:szCs w:val="24"/>
        </w:rPr>
        <w:t xml:space="preserve"> remaining</w:t>
      </w:r>
      <w:r w:rsidR="00566A98" w:rsidRPr="00774BAE">
        <w:rPr>
          <w:sz w:val="24"/>
          <w:szCs w:val="24"/>
        </w:rPr>
        <w:t xml:space="preserve"> Alternative 1</w:t>
      </w:r>
      <w:r w:rsidR="00EB6B66" w:rsidRPr="00774BAE">
        <w:rPr>
          <w:sz w:val="24"/>
          <w:szCs w:val="24"/>
        </w:rPr>
        <w:t xml:space="preserve"> investments,</w:t>
      </w:r>
      <w:r w:rsidR="006B0B61" w:rsidRPr="00774BAE">
        <w:rPr>
          <w:rStyle w:val="FootnoteReference"/>
          <w:sz w:val="24"/>
          <w:szCs w:val="24"/>
        </w:rPr>
        <w:footnoteReference w:id="25"/>
      </w:r>
      <w:r w:rsidR="00EB6B66" w:rsidRPr="00774BAE">
        <w:rPr>
          <w:sz w:val="24"/>
          <w:szCs w:val="24"/>
        </w:rPr>
        <w:t xml:space="preserve"> less</w:t>
      </w:r>
      <w:r w:rsidR="006D0CA2" w:rsidRPr="00774BAE">
        <w:rPr>
          <w:sz w:val="24"/>
          <w:szCs w:val="24"/>
        </w:rPr>
        <w:t xml:space="preserve"> the </w:t>
      </w:r>
      <w:r w:rsidR="006B0B61" w:rsidRPr="00774BAE">
        <w:rPr>
          <w:sz w:val="24"/>
          <w:szCs w:val="24"/>
        </w:rPr>
        <w:t xml:space="preserve">expected </w:t>
      </w:r>
      <w:r w:rsidR="006D0CA2" w:rsidRPr="00774BAE">
        <w:rPr>
          <w:sz w:val="24"/>
          <w:szCs w:val="24"/>
        </w:rPr>
        <w:t>PVRR of the next best alternative</w:t>
      </w:r>
      <w:r w:rsidR="00385379" w:rsidRPr="00774BAE">
        <w:rPr>
          <w:sz w:val="24"/>
          <w:szCs w:val="24"/>
        </w:rPr>
        <w:t xml:space="preserve"> </w:t>
      </w:r>
      <w:r w:rsidR="00566A98" w:rsidRPr="00774BAE">
        <w:rPr>
          <w:sz w:val="24"/>
          <w:szCs w:val="24"/>
        </w:rPr>
        <w:t>to a North Mist Expansion</w:t>
      </w:r>
      <w:r w:rsidR="006D0CA2" w:rsidRPr="00774BAE">
        <w:rPr>
          <w:sz w:val="24"/>
          <w:szCs w:val="24"/>
        </w:rPr>
        <w:t xml:space="preserve">, </w:t>
      </w:r>
      <w:r w:rsidR="00EB6B66" w:rsidRPr="00774BAE">
        <w:rPr>
          <w:sz w:val="24"/>
          <w:szCs w:val="24"/>
        </w:rPr>
        <w:t xml:space="preserve">establishes </w:t>
      </w:r>
      <w:r w:rsidR="006D0CA2" w:rsidRPr="00774BAE">
        <w:rPr>
          <w:sz w:val="24"/>
          <w:szCs w:val="24"/>
        </w:rPr>
        <w:t>the value of the optionality</w:t>
      </w:r>
      <w:r w:rsidR="00503E41">
        <w:rPr>
          <w:sz w:val="24"/>
          <w:szCs w:val="24"/>
        </w:rPr>
        <w:t xml:space="preserve"> </w:t>
      </w:r>
      <w:r w:rsidR="006D0CA2" w:rsidRPr="00774BAE">
        <w:rPr>
          <w:sz w:val="24"/>
          <w:szCs w:val="24"/>
        </w:rPr>
        <w:t xml:space="preserve">created by </w:t>
      </w:r>
      <w:r w:rsidR="00DD569C" w:rsidRPr="00774BAE">
        <w:rPr>
          <w:sz w:val="24"/>
          <w:szCs w:val="24"/>
        </w:rPr>
        <w:t xml:space="preserve">the near-term </w:t>
      </w:r>
      <w:r w:rsidR="006D0CA2" w:rsidRPr="00774BAE">
        <w:rPr>
          <w:sz w:val="24"/>
          <w:szCs w:val="24"/>
        </w:rPr>
        <w:t xml:space="preserve">upsizing </w:t>
      </w:r>
      <w:r w:rsidR="00DD569C" w:rsidRPr="00774BAE">
        <w:rPr>
          <w:sz w:val="24"/>
          <w:szCs w:val="24"/>
        </w:rPr>
        <w:t xml:space="preserve">of </w:t>
      </w:r>
      <w:r w:rsidR="006D0CA2" w:rsidRPr="00774BAE">
        <w:rPr>
          <w:sz w:val="24"/>
          <w:szCs w:val="24"/>
        </w:rPr>
        <w:t>the new pip</w:t>
      </w:r>
      <w:r w:rsidR="002F5C76" w:rsidRPr="00774BAE">
        <w:rPr>
          <w:sz w:val="24"/>
          <w:szCs w:val="24"/>
        </w:rPr>
        <w:t>eline</w:t>
      </w:r>
      <w:r w:rsidR="00566A98" w:rsidRPr="00774BAE">
        <w:rPr>
          <w:sz w:val="24"/>
          <w:szCs w:val="24"/>
        </w:rPr>
        <w:t xml:space="preserve"> for future shared use</w:t>
      </w:r>
      <w:r w:rsidR="00DD569C" w:rsidRPr="00774BAE">
        <w:rPr>
          <w:sz w:val="24"/>
          <w:szCs w:val="24"/>
        </w:rPr>
        <w:t>.</w:t>
      </w:r>
      <w:r w:rsidR="00503E41">
        <w:rPr>
          <w:rStyle w:val="FootnoteReference"/>
          <w:sz w:val="24"/>
          <w:szCs w:val="24"/>
        </w:rPr>
        <w:footnoteReference w:id="26"/>
      </w:r>
    </w:p>
    <w:p w14:paraId="58E1BD59" w14:textId="77777777" w:rsidR="00EB6B66" w:rsidRPr="00774BAE" w:rsidRDefault="00EB6B66" w:rsidP="00E91EEF">
      <w:pPr>
        <w:spacing w:after="280"/>
        <w:rPr>
          <w:sz w:val="24"/>
          <w:szCs w:val="24"/>
        </w:rPr>
      </w:pPr>
      <w:r w:rsidRPr="00774BAE">
        <w:rPr>
          <w:sz w:val="24"/>
          <w:szCs w:val="24"/>
        </w:rPr>
        <w:t>NW Natural’s commitment in the 2014 IRP</w:t>
      </w:r>
      <w:r w:rsidR="0073728D" w:rsidRPr="00774BAE">
        <w:rPr>
          <w:rStyle w:val="FootnoteReference"/>
          <w:sz w:val="24"/>
          <w:szCs w:val="24"/>
        </w:rPr>
        <w:footnoteReference w:id="27"/>
      </w:r>
      <w:r w:rsidRPr="00774BAE">
        <w:rPr>
          <w:sz w:val="24"/>
          <w:szCs w:val="24"/>
        </w:rPr>
        <w:t xml:space="preserve"> was to complete the analysis regarding North Mist; i.e., to refine North Mist cost estimates and to quantify the value of the project’s optionality.</w:t>
      </w:r>
      <w:r w:rsidRPr="00774BAE">
        <w:rPr>
          <w:rStyle w:val="FootnoteReference"/>
          <w:sz w:val="24"/>
          <w:szCs w:val="24"/>
        </w:rPr>
        <w:footnoteReference w:id="28"/>
      </w:r>
    </w:p>
    <w:p w14:paraId="4BD9D0FF" w14:textId="3D3C4DCF" w:rsidR="002C63C5" w:rsidRPr="00774BAE" w:rsidRDefault="00CD22B3" w:rsidP="00E91EEF">
      <w:pPr>
        <w:spacing w:after="280"/>
        <w:rPr>
          <w:sz w:val="24"/>
          <w:szCs w:val="24"/>
        </w:rPr>
      </w:pPr>
      <w:r w:rsidRPr="00774BAE">
        <w:rPr>
          <w:sz w:val="24"/>
          <w:szCs w:val="24"/>
        </w:rPr>
        <w:t>The 2014 IRP included a North Mist investment of $73.5 million (in $2013). NW Natural refined its North Mist cost estimates, and</w:t>
      </w:r>
      <w:r w:rsidR="002C63C5" w:rsidRPr="00774BAE">
        <w:rPr>
          <w:sz w:val="24"/>
          <w:szCs w:val="24"/>
        </w:rPr>
        <w:t xml:space="preserve"> now estimates</w:t>
      </w:r>
      <w:r w:rsidRPr="00774BAE">
        <w:rPr>
          <w:sz w:val="24"/>
          <w:szCs w:val="24"/>
        </w:rPr>
        <w:t xml:space="preserve"> the investment cost for Core customers at </w:t>
      </w:r>
      <w:r w:rsidR="007E4705" w:rsidRPr="00774BAE">
        <w:rPr>
          <w:sz w:val="24"/>
          <w:szCs w:val="24"/>
        </w:rPr>
        <w:t>$114 million (in $2015</w:t>
      </w:r>
      <w:r w:rsidRPr="00774BAE">
        <w:rPr>
          <w:sz w:val="24"/>
          <w:szCs w:val="24"/>
        </w:rPr>
        <w:t>) for the configuration used</w:t>
      </w:r>
      <w:r w:rsidR="00F40A47" w:rsidRPr="00774BAE">
        <w:rPr>
          <w:sz w:val="24"/>
          <w:szCs w:val="24"/>
        </w:rPr>
        <w:t xml:space="preserve"> in the 2014 IRP and identifi</w:t>
      </w:r>
      <w:r w:rsidRPr="00774BAE">
        <w:rPr>
          <w:sz w:val="24"/>
          <w:szCs w:val="24"/>
        </w:rPr>
        <w:t xml:space="preserve">ed </w:t>
      </w:r>
      <w:r w:rsidR="00F40A47" w:rsidRPr="00774BAE">
        <w:rPr>
          <w:sz w:val="24"/>
          <w:szCs w:val="24"/>
        </w:rPr>
        <w:t>in this filing as Alternative 1</w:t>
      </w:r>
      <w:r w:rsidRPr="00774BAE">
        <w:rPr>
          <w:sz w:val="24"/>
          <w:szCs w:val="24"/>
        </w:rPr>
        <w:t>.</w:t>
      </w:r>
      <w:r w:rsidR="009F67DB" w:rsidRPr="00774BAE">
        <w:rPr>
          <w:rStyle w:val="FootnoteReference"/>
          <w:sz w:val="24"/>
          <w:szCs w:val="24"/>
        </w:rPr>
        <w:footnoteReference w:id="29"/>
      </w:r>
    </w:p>
    <w:p w14:paraId="19996DCE" w14:textId="757FC208" w:rsidR="0031233C" w:rsidRPr="00774BAE" w:rsidRDefault="0031233C" w:rsidP="00E91EEF">
      <w:pPr>
        <w:spacing w:after="280"/>
        <w:rPr>
          <w:sz w:val="24"/>
          <w:szCs w:val="24"/>
        </w:rPr>
      </w:pPr>
      <w:r w:rsidRPr="00774BAE">
        <w:rPr>
          <w:sz w:val="24"/>
          <w:szCs w:val="24"/>
        </w:rPr>
        <w:t>Alternative 1 includes shared use of a new northbound pipeline, the KB Pipeline, and interconnecting with NWP in the vicinity of Kelso, Washington for transmission back to NW</w:t>
      </w:r>
      <w:r w:rsidR="007D2657">
        <w:rPr>
          <w:sz w:val="24"/>
          <w:szCs w:val="24"/>
        </w:rPr>
        <w:t> </w:t>
      </w:r>
      <w:r w:rsidRPr="00774BAE">
        <w:rPr>
          <w:sz w:val="24"/>
          <w:szCs w:val="24"/>
        </w:rPr>
        <w:t>Natural’s system. The 2014 IRP included this configuration of North Mist takeaway as a future supply resource in all least cost resource portfolios.</w:t>
      </w:r>
      <w:r w:rsidRPr="00774BAE">
        <w:rPr>
          <w:rStyle w:val="FootnoteReference"/>
          <w:sz w:val="24"/>
          <w:szCs w:val="24"/>
        </w:rPr>
        <w:footnoteReference w:id="30"/>
      </w:r>
      <w:r w:rsidRPr="00774BAE">
        <w:rPr>
          <w:sz w:val="24"/>
          <w:szCs w:val="24"/>
        </w:rPr>
        <w:t xml:space="preserve"> Alternative 1 is also identified in this filing as the “Shared Northbound Takeaway” alternative.</w:t>
      </w:r>
    </w:p>
    <w:p w14:paraId="2E162B63" w14:textId="554836F5" w:rsidR="0031233C" w:rsidRPr="00774BAE" w:rsidRDefault="0001172F" w:rsidP="006A2932">
      <w:pPr>
        <w:spacing w:after="280"/>
        <w:rPr>
          <w:sz w:val="24"/>
          <w:szCs w:val="24"/>
        </w:rPr>
      </w:pPr>
      <w:r w:rsidRPr="00774BAE">
        <w:rPr>
          <w:sz w:val="24"/>
          <w:szCs w:val="24"/>
        </w:rPr>
        <w:t>NW Natural’s analysis includes two additional configurations of takeaway pipeline(s) for a North Mist Expansion.</w:t>
      </w:r>
      <w:r w:rsidRPr="00774BAE">
        <w:rPr>
          <w:rStyle w:val="FootnoteReference"/>
          <w:sz w:val="24"/>
          <w:szCs w:val="24"/>
        </w:rPr>
        <w:footnoteReference w:id="31"/>
      </w:r>
      <w:r w:rsidRPr="00774BAE">
        <w:rPr>
          <w:sz w:val="24"/>
          <w:szCs w:val="24"/>
        </w:rPr>
        <w:t xml:space="preserve"> </w:t>
      </w:r>
      <w:r w:rsidR="0031233C" w:rsidRPr="00774BAE">
        <w:rPr>
          <w:sz w:val="24"/>
          <w:szCs w:val="24"/>
        </w:rPr>
        <w:t>Alternative 2 uses the existing South Mist Pipeline (SMP) and South Mist Pipeline Extension (SMPE and, together, SMP/SMPE), interconnecting with NWP’s Grants Pass lateral in the vicinity of Molalla, Oregon, and transmission by NWP to NW Natural’s system.</w:t>
      </w:r>
      <w:r w:rsidR="0031233C" w:rsidRPr="00774BAE">
        <w:rPr>
          <w:rStyle w:val="FootnoteReference"/>
          <w:sz w:val="24"/>
          <w:szCs w:val="24"/>
        </w:rPr>
        <w:footnoteReference w:id="32"/>
      </w:r>
      <w:r w:rsidR="0031233C" w:rsidRPr="00774BAE">
        <w:rPr>
          <w:sz w:val="24"/>
          <w:szCs w:val="24"/>
        </w:rPr>
        <w:t xml:space="preserve"> Alternative 2 is also identified in this filing as the “Southbound Takeaway” alternative.</w:t>
      </w:r>
    </w:p>
    <w:p w14:paraId="238B4D9B" w14:textId="5A8D1FEF" w:rsidR="0031233C" w:rsidRPr="00774BAE" w:rsidRDefault="0031233C" w:rsidP="00E91EEF">
      <w:pPr>
        <w:spacing w:after="280"/>
        <w:rPr>
          <w:sz w:val="24"/>
          <w:szCs w:val="24"/>
        </w:rPr>
      </w:pPr>
      <w:r w:rsidRPr="00774BAE">
        <w:rPr>
          <w:sz w:val="24"/>
          <w:szCs w:val="24"/>
        </w:rPr>
        <w:t>Alternative 3 is a hybrid configuration of takeaway pipelines, with gas flowing north using the existing North Mist Pipeline (NMP), the existing North Coast Feeder (NCF), and onto NWP at the Deer Island gate</w:t>
      </w:r>
      <w:r w:rsidR="00A41F9F">
        <w:rPr>
          <w:sz w:val="24"/>
          <w:szCs w:val="24"/>
        </w:rPr>
        <w:t xml:space="preserve"> station</w:t>
      </w:r>
      <w:r w:rsidRPr="00774BAE">
        <w:rPr>
          <w:sz w:val="24"/>
          <w:szCs w:val="24"/>
        </w:rPr>
        <w:t xml:space="preserve"> for transmission by NWP to NW Natural’s system and flowing south using SMP/SMPE and NWP as described in Alternative 2. Given the limitations of the existing infrastructure in the northbound path (NMP, NCF, and at the Deer Island gate</w:t>
      </w:r>
      <w:r w:rsidR="00A41F9F">
        <w:rPr>
          <w:sz w:val="24"/>
          <w:szCs w:val="24"/>
        </w:rPr>
        <w:t xml:space="preserve"> station</w:t>
      </w:r>
      <w:r w:rsidRPr="00774BAE">
        <w:rPr>
          <w:sz w:val="24"/>
          <w:szCs w:val="24"/>
        </w:rPr>
        <w:t>), full development of Alternative 3 is constrained to a maximum 50 MDT/day of gas flowing northbound on a design day, with the remaining 50 MDT/day flowing southbound from North Mist. A key feature of Alternative 3 is that the southbound takeaway capacity does not have to be developed at the same time the northbound takeaway capacity is developed. Alternative 3 is also identified in this filing as the “Hybrid Takeaway” alternative.</w:t>
      </w:r>
    </w:p>
    <w:p w14:paraId="58E1BD5E" w14:textId="35805A86" w:rsidR="00503716" w:rsidRPr="00774BAE" w:rsidRDefault="00503716" w:rsidP="00E91EEF">
      <w:pPr>
        <w:spacing w:after="280"/>
        <w:rPr>
          <w:sz w:val="24"/>
          <w:szCs w:val="24"/>
        </w:rPr>
      </w:pPr>
      <w:r w:rsidRPr="00774BAE">
        <w:rPr>
          <w:sz w:val="24"/>
          <w:szCs w:val="24"/>
        </w:rPr>
        <w:t xml:space="preserve">Although </w:t>
      </w:r>
      <w:r w:rsidR="005041C6" w:rsidRPr="00774BAE">
        <w:rPr>
          <w:sz w:val="24"/>
          <w:szCs w:val="24"/>
        </w:rPr>
        <w:t>investment</w:t>
      </w:r>
      <w:r w:rsidRPr="00774BAE">
        <w:rPr>
          <w:sz w:val="24"/>
          <w:szCs w:val="24"/>
        </w:rPr>
        <w:t xml:space="preserve"> </w:t>
      </w:r>
      <w:r w:rsidR="007E4705" w:rsidRPr="00774BAE">
        <w:rPr>
          <w:sz w:val="24"/>
          <w:szCs w:val="24"/>
        </w:rPr>
        <w:t xml:space="preserve">timing </w:t>
      </w:r>
      <w:r w:rsidRPr="00774BAE">
        <w:rPr>
          <w:sz w:val="24"/>
          <w:szCs w:val="24"/>
        </w:rPr>
        <w:t>differs between Alternative 2 and Alte</w:t>
      </w:r>
      <w:r w:rsidR="005E4DBE" w:rsidRPr="00774BAE">
        <w:rPr>
          <w:sz w:val="24"/>
          <w:szCs w:val="24"/>
        </w:rPr>
        <w:t>rnative 3, as the latter has investment</w:t>
      </w:r>
      <w:r w:rsidRPr="00774BAE">
        <w:rPr>
          <w:sz w:val="24"/>
          <w:szCs w:val="24"/>
        </w:rPr>
        <w:t>s</w:t>
      </w:r>
      <w:r w:rsidR="005E4DBE" w:rsidRPr="00774BAE">
        <w:rPr>
          <w:sz w:val="24"/>
          <w:szCs w:val="24"/>
        </w:rPr>
        <w:t xml:space="preserve"> at two different times</w:t>
      </w:r>
      <w:r w:rsidRPr="00774BAE">
        <w:rPr>
          <w:sz w:val="24"/>
          <w:szCs w:val="24"/>
        </w:rPr>
        <w:t>, neither</w:t>
      </w:r>
      <w:r w:rsidR="005041C6" w:rsidRPr="00774BAE">
        <w:rPr>
          <w:sz w:val="24"/>
          <w:szCs w:val="24"/>
        </w:rPr>
        <w:t xml:space="preserve"> alternative</w:t>
      </w:r>
      <w:r w:rsidRPr="00774BAE">
        <w:rPr>
          <w:sz w:val="24"/>
          <w:szCs w:val="24"/>
        </w:rPr>
        <w:t xml:space="preserve"> req</w:t>
      </w:r>
      <w:r w:rsidR="00271F13" w:rsidRPr="00774BAE">
        <w:rPr>
          <w:sz w:val="24"/>
          <w:szCs w:val="24"/>
        </w:rPr>
        <w:t>uire</w:t>
      </w:r>
      <w:r w:rsidR="00073767" w:rsidRPr="00774BAE">
        <w:rPr>
          <w:sz w:val="24"/>
          <w:szCs w:val="24"/>
        </w:rPr>
        <w:t>s</w:t>
      </w:r>
      <w:r w:rsidR="00271F13" w:rsidRPr="00774BAE">
        <w:rPr>
          <w:sz w:val="24"/>
          <w:szCs w:val="24"/>
        </w:rPr>
        <w:t xml:space="preserve"> a near-term investment such as the one</w:t>
      </w:r>
      <w:r w:rsidRPr="00774BAE">
        <w:rPr>
          <w:sz w:val="24"/>
          <w:szCs w:val="24"/>
        </w:rPr>
        <w:t xml:space="preserve"> required by Alternative 1.</w:t>
      </w:r>
      <w:r w:rsidR="005D20B2" w:rsidRPr="00774BAE">
        <w:rPr>
          <w:sz w:val="24"/>
          <w:szCs w:val="24"/>
        </w:rPr>
        <w:t xml:space="preserve"> </w:t>
      </w:r>
      <w:r w:rsidR="002C63C5" w:rsidRPr="00774BAE">
        <w:rPr>
          <w:sz w:val="24"/>
          <w:szCs w:val="24"/>
        </w:rPr>
        <w:t>Even including</w:t>
      </w:r>
      <w:r w:rsidR="007E4705" w:rsidRPr="00774BAE">
        <w:rPr>
          <w:sz w:val="24"/>
          <w:szCs w:val="24"/>
        </w:rPr>
        <w:t xml:space="preserve"> the </w:t>
      </w:r>
      <w:r w:rsidR="002C63C5" w:rsidRPr="00774BAE">
        <w:rPr>
          <w:sz w:val="24"/>
          <w:szCs w:val="24"/>
        </w:rPr>
        <w:t xml:space="preserve">extended </w:t>
      </w:r>
      <w:r w:rsidR="007E4705" w:rsidRPr="00774BAE">
        <w:rPr>
          <w:sz w:val="24"/>
          <w:szCs w:val="24"/>
        </w:rPr>
        <w:t xml:space="preserve">lead times such projects </w:t>
      </w:r>
      <w:r w:rsidR="002C63C5" w:rsidRPr="00774BAE">
        <w:rPr>
          <w:sz w:val="24"/>
          <w:szCs w:val="24"/>
        </w:rPr>
        <w:t xml:space="preserve">often </w:t>
      </w:r>
      <w:r w:rsidR="007E4705" w:rsidRPr="00774BAE">
        <w:rPr>
          <w:sz w:val="24"/>
          <w:szCs w:val="24"/>
        </w:rPr>
        <w:t>require, Alternatives 2 and 3 more closely resemble the Sumas Expansion (Local) p</w:t>
      </w:r>
      <w:r w:rsidR="00271F13" w:rsidRPr="00774BAE">
        <w:rPr>
          <w:sz w:val="24"/>
          <w:szCs w:val="24"/>
        </w:rPr>
        <w:t>ipeline resource in Table 1 in that un</w:t>
      </w:r>
      <w:r w:rsidR="007E4705" w:rsidRPr="00774BAE">
        <w:rPr>
          <w:sz w:val="24"/>
          <w:szCs w:val="24"/>
        </w:rPr>
        <w:t>certainty regarding fu</w:t>
      </w:r>
      <w:r w:rsidR="00271F13" w:rsidRPr="00774BAE">
        <w:rPr>
          <w:sz w:val="24"/>
          <w:szCs w:val="24"/>
        </w:rPr>
        <w:t>ture Core customer design day loads is likely to be reduced</w:t>
      </w:r>
      <w:r w:rsidR="007E4705" w:rsidRPr="00774BAE">
        <w:rPr>
          <w:sz w:val="24"/>
          <w:szCs w:val="24"/>
        </w:rPr>
        <w:t xml:space="preserve"> </w:t>
      </w:r>
      <w:r w:rsidR="002C63C5" w:rsidRPr="00774BAE">
        <w:rPr>
          <w:sz w:val="24"/>
          <w:szCs w:val="24"/>
        </w:rPr>
        <w:t>by the time</w:t>
      </w:r>
      <w:r w:rsidR="007E4705" w:rsidRPr="00774BAE">
        <w:rPr>
          <w:sz w:val="24"/>
          <w:szCs w:val="24"/>
        </w:rPr>
        <w:t xml:space="preserve"> any investment </w:t>
      </w:r>
      <w:r w:rsidR="002C63C5" w:rsidRPr="00774BAE">
        <w:rPr>
          <w:sz w:val="24"/>
          <w:szCs w:val="24"/>
        </w:rPr>
        <w:t>is</w:t>
      </w:r>
      <w:r w:rsidR="007E4705" w:rsidRPr="00774BAE">
        <w:rPr>
          <w:sz w:val="24"/>
          <w:szCs w:val="24"/>
        </w:rPr>
        <w:t xml:space="preserve"> required.</w:t>
      </w:r>
      <w:r w:rsidR="005571DB" w:rsidRPr="00774BAE">
        <w:rPr>
          <w:sz w:val="24"/>
          <w:szCs w:val="24"/>
        </w:rPr>
        <w:t xml:space="preserve"> </w:t>
      </w:r>
      <w:r w:rsidR="00271F13" w:rsidRPr="00774BAE">
        <w:rPr>
          <w:sz w:val="24"/>
          <w:szCs w:val="24"/>
        </w:rPr>
        <w:t xml:space="preserve">Figure 1 shows the </w:t>
      </w:r>
      <w:r w:rsidR="00C32CCF">
        <w:rPr>
          <w:sz w:val="24"/>
          <w:szCs w:val="24"/>
        </w:rPr>
        <w:t>updated</w:t>
      </w:r>
      <w:r w:rsidR="00271F13" w:rsidRPr="00774BAE">
        <w:rPr>
          <w:sz w:val="24"/>
          <w:szCs w:val="24"/>
        </w:rPr>
        <w:t xml:space="preserve"> </w:t>
      </w:r>
      <w:r w:rsidR="00704F60" w:rsidRPr="00774BAE">
        <w:rPr>
          <w:sz w:val="24"/>
          <w:szCs w:val="24"/>
        </w:rPr>
        <w:t>level of investments for each of the three alternatives.</w:t>
      </w:r>
      <w:r w:rsidR="00073767" w:rsidRPr="00774BAE">
        <w:rPr>
          <w:sz w:val="24"/>
          <w:szCs w:val="24"/>
        </w:rPr>
        <w:t xml:space="preserve"> Estimated total investment is $138.6 million for Alternative 2 and $12</w:t>
      </w:r>
      <w:r w:rsidR="00DE636C" w:rsidRPr="00774BAE">
        <w:rPr>
          <w:sz w:val="24"/>
          <w:szCs w:val="24"/>
        </w:rPr>
        <w:t>7.8</w:t>
      </w:r>
      <w:r w:rsidR="00073767" w:rsidRPr="00774BAE">
        <w:rPr>
          <w:sz w:val="24"/>
          <w:szCs w:val="24"/>
        </w:rPr>
        <w:t xml:space="preserve"> million for Alternative 3 (both in $2015).</w:t>
      </w:r>
    </w:p>
    <w:p w14:paraId="58E1BD5F" w14:textId="77777777" w:rsidR="00B03708" w:rsidRDefault="00704F60" w:rsidP="00E91EEF">
      <w:pPr>
        <w:keepNext/>
        <w:tabs>
          <w:tab w:val="left" w:pos="7050"/>
        </w:tabs>
        <w:spacing w:after="120"/>
        <w:rPr>
          <w:b/>
          <w:sz w:val="24"/>
          <w:szCs w:val="24"/>
        </w:rPr>
      </w:pPr>
      <w:r w:rsidRPr="00774BAE">
        <w:rPr>
          <w:b/>
          <w:sz w:val="24"/>
          <w:szCs w:val="24"/>
        </w:rPr>
        <w:t xml:space="preserve">Figure 1 – North Mist </w:t>
      </w:r>
      <w:r w:rsidR="00E56742" w:rsidRPr="00774BAE">
        <w:rPr>
          <w:b/>
          <w:sz w:val="24"/>
          <w:szCs w:val="24"/>
        </w:rPr>
        <w:t xml:space="preserve">Investment Levels for Core Customer </w:t>
      </w:r>
      <w:r w:rsidRPr="00774BAE">
        <w:rPr>
          <w:b/>
          <w:sz w:val="24"/>
          <w:szCs w:val="24"/>
        </w:rPr>
        <w:t>Alternatives</w:t>
      </w:r>
    </w:p>
    <w:p w14:paraId="5CCBC62C" w14:textId="1C99DDF9" w:rsidR="00FE2610" w:rsidRPr="00774BAE" w:rsidRDefault="00FE2610" w:rsidP="00264EA9">
      <w:pPr>
        <w:keepNext/>
        <w:tabs>
          <w:tab w:val="left" w:pos="7050"/>
        </w:tabs>
        <w:spacing w:after="280"/>
        <w:jc w:val="center"/>
        <w:rPr>
          <w:b/>
          <w:sz w:val="24"/>
          <w:szCs w:val="24"/>
        </w:rPr>
      </w:pPr>
      <w:r>
        <w:rPr>
          <w:noProof/>
        </w:rPr>
        <w:drawing>
          <wp:inline distT="0" distB="0" distL="0" distR="0" wp14:anchorId="55E56D27" wp14:editId="2206077D">
            <wp:extent cx="5943600" cy="41148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E1BD60" w14:textId="7CEA8F80" w:rsidR="00704F60" w:rsidRPr="00704F60" w:rsidRDefault="00704F60" w:rsidP="00264EA9">
      <w:pPr>
        <w:keepNext/>
        <w:spacing w:after="280"/>
        <w:rPr>
          <w:b/>
        </w:rPr>
      </w:pPr>
    </w:p>
    <w:p w14:paraId="58E1BD61" w14:textId="4731CA82" w:rsidR="00271F13" w:rsidRPr="00774BAE" w:rsidRDefault="004700CD" w:rsidP="00E91EEF">
      <w:pPr>
        <w:tabs>
          <w:tab w:val="left" w:pos="5220"/>
        </w:tabs>
        <w:spacing w:after="280"/>
        <w:rPr>
          <w:sz w:val="24"/>
          <w:szCs w:val="24"/>
        </w:rPr>
      </w:pPr>
      <w:r>
        <w:rPr>
          <w:sz w:val="24"/>
          <w:szCs w:val="24"/>
        </w:rPr>
        <w:t>A comparison of t</w:t>
      </w:r>
      <w:r w:rsidR="0066372D" w:rsidRPr="00774BAE">
        <w:rPr>
          <w:sz w:val="24"/>
          <w:szCs w:val="24"/>
        </w:rPr>
        <w:t>he</w:t>
      </w:r>
      <w:r w:rsidR="0095520F" w:rsidRPr="00774BAE">
        <w:rPr>
          <w:sz w:val="24"/>
          <w:szCs w:val="24"/>
        </w:rPr>
        <w:t xml:space="preserve">se </w:t>
      </w:r>
      <w:r w:rsidR="0066372D" w:rsidRPr="00774BAE">
        <w:rPr>
          <w:sz w:val="24"/>
          <w:szCs w:val="24"/>
        </w:rPr>
        <w:t>estimated</w:t>
      </w:r>
      <w:r w:rsidR="0095520F" w:rsidRPr="00774BAE">
        <w:rPr>
          <w:sz w:val="24"/>
          <w:szCs w:val="24"/>
        </w:rPr>
        <w:t xml:space="preserve"> levels of</w:t>
      </w:r>
      <w:r w:rsidR="00834D98" w:rsidRPr="00774BAE">
        <w:rPr>
          <w:sz w:val="24"/>
          <w:szCs w:val="24"/>
        </w:rPr>
        <w:t xml:space="preserve"> investment</w:t>
      </w:r>
      <w:r w:rsidR="00A11D31" w:rsidRPr="00774BAE">
        <w:rPr>
          <w:sz w:val="24"/>
          <w:szCs w:val="24"/>
        </w:rPr>
        <w:t>, which Table 3 shows in detail,</w:t>
      </w:r>
      <w:r w:rsidR="0095520F" w:rsidRPr="00774BAE">
        <w:rPr>
          <w:sz w:val="24"/>
          <w:szCs w:val="24"/>
        </w:rPr>
        <w:t xml:space="preserve"> </w:t>
      </w:r>
      <w:r w:rsidR="00834D98" w:rsidRPr="00774BAE">
        <w:rPr>
          <w:sz w:val="24"/>
          <w:szCs w:val="24"/>
        </w:rPr>
        <w:t>appear</w:t>
      </w:r>
      <w:r>
        <w:rPr>
          <w:sz w:val="24"/>
          <w:szCs w:val="24"/>
        </w:rPr>
        <w:t>s</w:t>
      </w:r>
      <w:r w:rsidR="00834D98" w:rsidRPr="00774BAE">
        <w:rPr>
          <w:sz w:val="24"/>
          <w:szCs w:val="24"/>
        </w:rPr>
        <w:t xml:space="preserve"> to indicate Alternative 1 is the least cost North Mist configuration for Core customers. However, the </w:t>
      </w:r>
      <w:r w:rsidR="0095520F" w:rsidRPr="00774BAE">
        <w:rPr>
          <w:sz w:val="24"/>
          <w:szCs w:val="24"/>
        </w:rPr>
        <w:t xml:space="preserve">relatively </w:t>
      </w:r>
      <w:r w:rsidR="00834D98" w:rsidRPr="00774BAE">
        <w:rPr>
          <w:sz w:val="24"/>
          <w:szCs w:val="24"/>
        </w:rPr>
        <w:t>near-term investment associated with upsizing the shared pipeline results in a</w:t>
      </w:r>
      <w:r w:rsidR="0095520F" w:rsidRPr="00774BAE">
        <w:rPr>
          <w:sz w:val="24"/>
          <w:szCs w:val="24"/>
        </w:rPr>
        <w:t>n estimated</w:t>
      </w:r>
      <w:r w:rsidR="00834D98" w:rsidRPr="00774BAE">
        <w:rPr>
          <w:sz w:val="24"/>
          <w:szCs w:val="24"/>
        </w:rPr>
        <w:t xml:space="preserve"> $</w:t>
      </w:r>
      <w:r w:rsidR="005935F3" w:rsidRPr="00774BAE">
        <w:rPr>
          <w:sz w:val="24"/>
          <w:szCs w:val="24"/>
        </w:rPr>
        <w:t>667 thousand annual revenue requirement beginning in 2019, regardless of when the remaining investments associated with Alternative 1 a</w:t>
      </w:r>
      <w:r w:rsidR="005E4DBE" w:rsidRPr="00774BAE">
        <w:rPr>
          <w:sz w:val="24"/>
          <w:szCs w:val="24"/>
        </w:rPr>
        <w:t>re necessary.</w:t>
      </w:r>
      <w:r w:rsidR="000F3C09" w:rsidRPr="00774BAE">
        <w:rPr>
          <w:rStyle w:val="FootnoteReference"/>
          <w:sz w:val="24"/>
          <w:szCs w:val="24"/>
        </w:rPr>
        <w:footnoteReference w:id="33"/>
      </w:r>
      <w:r w:rsidR="005E4DBE" w:rsidRPr="00774BAE">
        <w:rPr>
          <w:sz w:val="24"/>
          <w:szCs w:val="24"/>
        </w:rPr>
        <w:t xml:space="preserve"> Somewhat similar</w:t>
      </w:r>
      <w:r w:rsidR="005935F3" w:rsidRPr="00774BAE">
        <w:rPr>
          <w:sz w:val="24"/>
          <w:szCs w:val="24"/>
        </w:rPr>
        <w:t>ly, Alternative 3 has two investment ti</w:t>
      </w:r>
      <w:r w:rsidR="005E4DBE" w:rsidRPr="00774BAE">
        <w:rPr>
          <w:sz w:val="24"/>
          <w:szCs w:val="24"/>
        </w:rPr>
        <w:t xml:space="preserve">mings, as </w:t>
      </w:r>
      <w:r w:rsidR="00073767" w:rsidRPr="00774BAE">
        <w:rPr>
          <w:sz w:val="24"/>
          <w:szCs w:val="24"/>
        </w:rPr>
        <w:t>NW Natural will develop and use the northbound path</w:t>
      </w:r>
      <w:r w:rsidR="005935F3" w:rsidRPr="00774BAE">
        <w:rPr>
          <w:sz w:val="24"/>
          <w:szCs w:val="24"/>
        </w:rPr>
        <w:t xml:space="preserve"> first due to its lower incremental cost as compared with that for the southbound path.</w:t>
      </w:r>
      <w:r w:rsidR="000960F5" w:rsidRPr="00774BAE">
        <w:rPr>
          <w:sz w:val="24"/>
          <w:szCs w:val="24"/>
        </w:rPr>
        <w:t xml:space="preserve"> </w:t>
      </w:r>
      <w:r w:rsidR="0097627E" w:rsidRPr="00774BAE">
        <w:rPr>
          <w:sz w:val="24"/>
          <w:szCs w:val="24"/>
        </w:rPr>
        <w:t xml:space="preserve">Figure 2 </w:t>
      </w:r>
      <w:r w:rsidR="00B93F8D">
        <w:rPr>
          <w:sz w:val="24"/>
          <w:szCs w:val="24"/>
        </w:rPr>
        <w:t xml:space="preserve">(below) </w:t>
      </w:r>
      <w:r w:rsidR="0097627E" w:rsidRPr="00774BAE">
        <w:rPr>
          <w:sz w:val="24"/>
          <w:szCs w:val="24"/>
        </w:rPr>
        <w:t>shows t</w:t>
      </w:r>
      <w:r w:rsidR="00271F13" w:rsidRPr="00774BAE">
        <w:rPr>
          <w:sz w:val="24"/>
          <w:szCs w:val="24"/>
        </w:rPr>
        <w:t>he timing of investment for each alternative</w:t>
      </w:r>
      <w:r w:rsidR="0097627E" w:rsidRPr="00774BAE">
        <w:rPr>
          <w:sz w:val="24"/>
          <w:szCs w:val="24"/>
        </w:rPr>
        <w:t xml:space="preserve"> under the Base Case load sensitivity</w:t>
      </w:r>
      <w:r w:rsidR="00271F13" w:rsidRPr="00774BAE">
        <w:rPr>
          <w:sz w:val="24"/>
          <w:szCs w:val="24"/>
        </w:rPr>
        <w:t>.</w:t>
      </w:r>
    </w:p>
    <w:p w14:paraId="34BF2A1E" w14:textId="4B10D69B" w:rsidR="00A11D31" w:rsidRPr="002F30A3" w:rsidRDefault="00A11D31" w:rsidP="00E91EEF">
      <w:pPr>
        <w:keepNext/>
        <w:tabs>
          <w:tab w:val="left" w:pos="5220"/>
        </w:tabs>
        <w:spacing w:after="120"/>
        <w:rPr>
          <w:sz w:val="24"/>
          <w:szCs w:val="24"/>
        </w:rPr>
      </w:pPr>
      <w:r w:rsidRPr="00774BAE">
        <w:rPr>
          <w:b/>
          <w:sz w:val="24"/>
          <w:szCs w:val="24"/>
        </w:rPr>
        <w:t xml:space="preserve">Table 3 – Investment </w:t>
      </w:r>
      <w:r w:rsidR="00187F67">
        <w:rPr>
          <w:b/>
          <w:sz w:val="24"/>
          <w:szCs w:val="24"/>
        </w:rPr>
        <w:t>Detail</w:t>
      </w:r>
      <w:r w:rsidRPr="00774BAE">
        <w:rPr>
          <w:b/>
          <w:sz w:val="24"/>
          <w:szCs w:val="24"/>
        </w:rPr>
        <w:t xml:space="preserve"> for Alternatives</w:t>
      </w:r>
      <w:r w:rsidR="005B5225" w:rsidRPr="002F30A3">
        <w:rPr>
          <w:rStyle w:val="FootnoteReference"/>
          <w:sz w:val="24"/>
          <w:szCs w:val="24"/>
        </w:rPr>
        <w:footnoteReference w:id="34"/>
      </w:r>
    </w:p>
    <w:tbl>
      <w:tblPr>
        <w:tblW w:w="9384" w:type="dxa"/>
        <w:jc w:val="center"/>
        <w:tblLook w:val="04A0" w:firstRow="1" w:lastRow="0" w:firstColumn="1" w:lastColumn="0" w:noHBand="0" w:noVBand="1"/>
      </w:tblPr>
      <w:tblGrid>
        <w:gridCol w:w="5760"/>
        <w:gridCol w:w="1208"/>
        <w:gridCol w:w="1208"/>
        <w:gridCol w:w="1208"/>
      </w:tblGrid>
      <w:tr w:rsidR="00CF037E" w:rsidRPr="00E91EEF" w14:paraId="5CEBC9DF" w14:textId="1C855B3F" w:rsidTr="002D2072">
        <w:trPr>
          <w:trHeight w:val="144"/>
          <w:jc w:val="center"/>
        </w:trPr>
        <w:tc>
          <w:tcPr>
            <w:tcW w:w="5760" w:type="dxa"/>
            <w:tcBorders>
              <w:top w:val="nil"/>
              <w:left w:val="nil"/>
              <w:bottom w:val="nil"/>
              <w:right w:val="nil"/>
            </w:tcBorders>
            <w:shd w:val="clear" w:color="auto" w:fill="auto"/>
            <w:noWrap/>
            <w:vAlign w:val="bottom"/>
            <w:hideMark/>
          </w:tcPr>
          <w:p w14:paraId="5F7F1223" w14:textId="4B81046F" w:rsidR="00CF037E" w:rsidRPr="00E91EEF" w:rsidRDefault="00CF037E" w:rsidP="00953755">
            <w:pPr>
              <w:keepNext/>
              <w:rPr>
                <w:rFonts w:eastAsia="Times New Roman" w:cs="Times New Roman"/>
                <w:color w:val="000000"/>
              </w:rPr>
            </w:pPr>
          </w:p>
        </w:tc>
        <w:tc>
          <w:tcPr>
            <w:tcW w:w="3624" w:type="dxa"/>
            <w:gridSpan w:val="3"/>
            <w:tcBorders>
              <w:top w:val="nil"/>
              <w:left w:val="nil"/>
              <w:bottom w:val="nil"/>
            </w:tcBorders>
            <w:shd w:val="clear" w:color="auto" w:fill="auto"/>
            <w:noWrap/>
            <w:vAlign w:val="bottom"/>
          </w:tcPr>
          <w:p w14:paraId="430A450C" w14:textId="3109A010" w:rsidR="00CF037E" w:rsidRPr="00E91EEF" w:rsidRDefault="00CF037E" w:rsidP="005952FA">
            <w:pPr>
              <w:ind w:left="746"/>
            </w:pPr>
            <w:r w:rsidRPr="008337C2">
              <w:rPr>
                <w:rFonts w:eastAsia="Times New Roman" w:cs="Times New Roman"/>
                <w:color w:val="000000"/>
              </w:rPr>
              <w:t>Millions</w:t>
            </w:r>
            <w:r>
              <w:rPr>
                <w:rFonts w:eastAsia="Times New Roman" w:cs="Times New Roman"/>
                <w:color w:val="000000"/>
              </w:rPr>
              <w:t xml:space="preserve"> of $2015</w:t>
            </w:r>
          </w:p>
        </w:tc>
      </w:tr>
      <w:tr w:rsidR="00446044" w:rsidRPr="00E91EEF" w14:paraId="543B798A"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5CAC6160" w14:textId="3F2340CA" w:rsidR="008C1483" w:rsidRPr="00E91EEF" w:rsidRDefault="008C1483" w:rsidP="00953755">
            <w:pPr>
              <w:keepNext/>
              <w:spacing w:after="0" w:line="240" w:lineRule="auto"/>
              <w:rPr>
                <w:rFonts w:eastAsia="Times New Roman" w:cs="Times New Roman"/>
                <w:color w:val="000000"/>
              </w:rPr>
            </w:pPr>
            <w:r w:rsidRPr="00E91EEF">
              <w:rPr>
                <w:rFonts w:eastAsia="Times New Roman" w:cs="Times New Roman"/>
                <w:color w:val="000000"/>
              </w:rPr>
              <w:t>Investment Component</w:t>
            </w:r>
          </w:p>
        </w:tc>
        <w:tc>
          <w:tcPr>
            <w:tcW w:w="1208" w:type="dxa"/>
            <w:tcBorders>
              <w:top w:val="nil"/>
              <w:left w:val="nil"/>
              <w:bottom w:val="nil"/>
              <w:right w:val="nil"/>
            </w:tcBorders>
            <w:shd w:val="clear" w:color="auto" w:fill="auto"/>
            <w:noWrap/>
            <w:vAlign w:val="bottom"/>
            <w:hideMark/>
          </w:tcPr>
          <w:p w14:paraId="5C209942" w14:textId="77777777" w:rsidR="008C1483" w:rsidRPr="00E91EEF" w:rsidRDefault="008C1483" w:rsidP="00953755">
            <w:pPr>
              <w:keepNext/>
              <w:spacing w:after="0" w:line="240" w:lineRule="auto"/>
              <w:jc w:val="center"/>
              <w:rPr>
                <w:rFonts w:eastAsia="Times New Roman" w:cs="Times New Roman"/>
                <w:color w:val="000000"/>
              </w:rPr>
            </w:pPr>
            <w:r w:rsidRPr="00E91EEF">
              <w:rPr>
                <w:rFonts w:eastAsia="Times New Roman" w:cs="Times New Roman"/>
                <w:color w:val="000000"/>
              </w:rPr>
              <w:t>Alternative 1</w:t>
            </w:r>
          </w:p>
        </w:tc>
        <w:tc>
          <w:tcPr>
            <w:tcW w:w="1208" w:type="dxa"/>
            <w:tcBorders>
              <w:top w:val="nil"/>
              <w:left w:val="nil"/>
              <w:bottom w:val="nil"/>
              <w:right w:val="nil"/>
            </w:tcBorders>
            <w:shd w:val="clear" w:color="auto" w:fill="auto"/>
            <w:noWrap/>
            <w:vAlign w:val="bottom"/>
            <w:hideMark/>
          </w:tcPr>
          <w:p w14:paraId="69A45CB4" w14:textId="77777777" w:rsidR="008C1483" w:rsidRPr="00E91EEF" w:rsidRDefault="008C1483" w:rsidP="00953755">
            <w:pPr>
              <w:keepNext/>
              <w:spacing w:after="0" w:line="240" w:lineRule="auto"/>
              <w:jc w:val="center"/>
              <w:rPr>
                <w:rFonts w:eastAsia="Times New Roman" w:cs="Times New Roman"/>
                <w:color w:val="000000"/>
              </w:rPr>
            </w:pPr>
            <w:r w:rsidRPr="00E91EEF">
              <w:rPr>
                <w:rFonts w:eastAsia="Times New Roman" w:cs="Times New Roman"/>
                <w:color w:val="000000"/>
              </w:rPr>
              <w:t>Alternative 2</w:t>
            </w:r>
          </w:p>
        </w:tc>
        <w:tc>
          <w:tcPr>
            <w:tcW w:w="1208" w:type="dxa"/>
            <w:tcBorders>
              <w:top w:val="nil"/>
              <w:left w:val="nil"/>
              <w:bottom w:val="nil"/>
              <w:right w:val="nil"/>
            </w:tcBorders>
            <w:shd w:val="clear" w:color="auto" w:fill="auto"/>
            <w:noWrap/>
            <w:vAlign w:val="bottom"/>
            <w:hideMark/>
          </w:tcPr>
          <w:p w14:paraId="61855C86" w14:textId="77777777" w:rsidR="008C1483" w:rsidRPr="00E91EEF" w:rsidRDefault="008C1483" w:rsidP="00953755">
            <w:pPr>
              <w:keepNext/>
              <w:spacing w:after="0" w:line="240" w:lineRule="auto"/>
              <w:jc w:val="center"/>
              <w:rPr>
                <w:rFonts w:eastAsia="Times New Roman" w:cs="Times New Roman"/>
                <w:color w:val="000000"/>
              </w:rPr>
            </w:pPr>
            <w:r w:rsidRPr="00E91EEF">
              <w:rPr>
                <w:rFonts w:eastAsia="Times New Roman" w:cs="Times New Roman"/>
                <w:color w:val="000000"/>
              </w:rPr>
              <w:t>Alternative 3</w:t>
            </w:r>
          </w:p>
        </w:tc>
      </w:tr>
      <w:tr w:rsidR="00446044" w:rsidRPr="00E91EEF" w14:paraId="4F8EA166"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08B27C73" w14:textId="77777777" w:rsidR="008C1483" w:rsidRPr="00E91EEF" w:rsidRDefault="008C1483" w:rsidP="00953755">
            <w:pPr>
              <w:keepNext/>
              <w:spacing w:after="0" w:line="240" w:lineRule="auto"/>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425D0F09" w14:textId="77777777" w:rsidR="008C1483" w:rsidRPr="00E91EEF" w:rsidRDefault="008C1483" w:rsidP="00953755">
            <w:pPr>
              <w:keepNext/>
              <w:spacing w:after="0" w:line="240" w:lineRule="auto"/>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07169C26" w14:textId="77777777" w:rsidR="008C1483" w:rsidRPr="00E91EEF" w:rsidRDefault="008C1483" w:rsidP="00953755">
            <w:pPr>
              <w:keepNext/>
              <w:spacing w:after="0" w:line="240" w:lineRule="auto"/>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0971030C" w14:textId="77777777" w:rsidR="008C1483" w:rsidRPr="00E91EEF" w:rsidRDefault="008C1483" w:rsidP="00953755">
            <w:pPr>
              <w:keepNext/>
              <w:spacing w:after="0" w:line="240" w:lineRule="auto"/>
              <w:rPr>
                <w:rFonts w:eastAsia="Times New Roman" w:cs="Times New Roman"/>
                <w:color w:val="000000"/>
              </w:rPr>
            </w:pPr>
          </w:p>
        </w:tc>
      </w:tr>
      <w:tr w:rsidR="00446044" w:rsidRPr="00E91EEF" w14:paraId="76E99AED"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2DD2AF2E" w14:textId="0E63BDEC" w:rsidR="008C1483" w:rsidRPr="00E91EEF" w:rsidRDefault="00D60842" w:rsidP="00BC4E87">
            <w:pPr>
              <w:keepNext/>
              <w:spacing w:after="260" w:line="240" w:lineRule="auto"/>
              <w:rPr>
                <w:rFonts w:eastAsia="Times New Roman" w:cs="Times New Roman"/>
                <w:color w:val="000000"/>
              </w:rPr>
            </w:pPr>
            <w:r>
              <w:rPr>
                <w:rFonts w:eastAsia="Times New Roman" w:cs="Times New Roman"/>
                <w:color w:val="000000"/>
              </w:rPr>
              <w:t xml:space="preserve">North Mist </w:t>
            </w:r>
            <w:r w:rsidR="008C1483" w:rsidRPr="00E91EEF">
              <w:rPr>
                <w:rFonts w:eastAsia="Times New Roman" w:cs="Times New Roman"/>
                <w:color w:val="000000"/>
              </w:rPr>
              <w:t>Reservoir</w:t>
            </w:r>
          </w:p>
        </w:tc>
        <w:tc>
          <w:tcPr>
            <w:tcW w:w="1208" w:type="dxa"/>
            <w:tcBorders>
              <w:top w:val="nil"/>
              <w:left w:val="nil"/>
              <w:bottom w:val="nil"/>
              <w:right w:val="nil"/>
            </w:tcBorders>
            <w:shd w:val="clear" w:color="auto" w:fill="auto"/>
            <w:noWrap/>
            <w:vAlign w:val="bottom"/>
            <w:hideMark/>
          </w:tcPr>
          <w:p w14:paraId="06974B7C" w14:textId="77777777" w:rsidR="008C1483" w:rsidRPr="00E91EEF" w:rsidRDefault="008C1483" w:rsidP="0050260F">
            <w:pPr>
              <w:keepNext/>
              <w:tabs>
                <w:tab w:val="decimal" w:pos="534"/>
              </w:tabs>
              <w:spacing w:after="260" w:line="240" w:lineRule="auto"/>
              <w:rPr>
                <w:rFonts w:eastAsia="Times New Roman" w:cs="Times New Roman"/>
                <w:color w:val="000000"/>
              </w:rPr>
            </w:pPr>
            <w:r w:rsidRPr="00E91EEF">
              <w:rPr>
                <w:rFonts w:eastAsia="Times New Roman" w:cs="Times New Roman"/>
                <w:color w:val="000000"/>
              </w:rPr>
              <w:t xml:space="preserve">29.1 </w:t>
            </w:r>
          </w:p>
        </w:tc>
        <w:tc>
          <w:tcPr>
            <w:tcW w:w="1208" w:type="dxa"/>
            <w:tcBorders>
              <w:top w:val="nil"/>
              <w:left w:val="nil"/>
              <w:bottom w:val="nil"/>
              <w:right w:val="nil"/>
            </w:tcBorders>
            <w:shd w:val="clear" w:color="auto" w:fill="auto"/>
            <w:noWrap/>
            <w:vAlign w:val="bottom"/>
            <w:hideMark/>
          </w:tcPr>
          <w:p w14:paraId="75378A5E" w14:textId="77777777" w:rsidR="008C1483" w:rsidRPr="00E91EEF" w:rsidRDefault="008C1483" w:rsidP="0050260F">
            <w:pPr>
              <w:keepNext/>
              <w:tabs>
                <w:tab w:val="decimal" w:pos="496"/>
              </w:tabs>
              <w:spacing w:after="260" w:line="240" w:lineRule="auto"/>
              <w:rPr>
                <w:rFonts w:eastAsia="Times New Roman" w:cs="Times New Roman"/>
                <w:color w:val="000000"/>
              </w:rPr>
            </w:pPr>
            <w:r w:rsidRPr="00E91EEF">
              <w:rPr>
                <w:rFonts w:eastAsia="Times New Roman" w:cs="Times New Roman"/>
                <w:color w:val="000000"/>
              </w:rPr>
              <w:t xml:space="preserve">29.1 </w:t>
            </w:r>
          </w:p>
        </w:tc>
        <w:tc>
          <w:tcPr>
            <w:tcW w:w="1208" w:type="dxa"/>
            <w:tcBorders>
              <w:top w:val="nil"/>
              <w:left w:val="nil"/>
              <w:bottom w:val="nil"/>
              <w:right w:val="nil"/>
            </w:tcBorders>
            <w:shd w:val="clear" w:color="auto" w:fill="auto"/>
            <w:noWrap/>
            <w:vAlign w:val="bottom"/>
            <w:hideMark/>
          </w:tcPr>
          <w:p w14:paraId="6EC42C6F" w14:textId="77777777" w:rsidR="008C1483" w:rsidRPr="00E91EEF" w:rsidRDefault="008C1483" w:rsidP="0050260F">
            <w:pPr>
              <w:keepNext/>
              <w:tabs>
                <w:tab w:val="decimal" w:pos="517"/>
              </w:tabs>
              <w:spacing w:after="260" w:line="240" w:lineRule="auto"/>
              <w:rPr>
                <w:rFonts w:eastAsia="Times New Roman" w:cs="Times New Roman"/>
                <w:color w:val="000000"/>
              </w:rPr>
            </w:pPr>
            <w:r w:rsidRPr="00E91EEF">
              <w:rPr>
                <w:rFonts w:eastAsia="Times New Roman" w:cs="Times New Roman"/>
                <w:color w:val="000000"/>
              </w:rPr>
              <w:t xml:space="preserve">29.1 </w:t>
            </w:r>
          </w:p>
        </w:tc>
      </w:tr>
      <w:tr w:rsidR="00446044" w:rsidRPr="00E91EEF" w14:paraId="6FD7E1F0"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7AE978FE" w14:textId="77777777"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Pipeline: Reservoir to North Mist Compressor Station</w:t>
            </w:r>
          </w:p>
        </w:tc>
        <w:tc>
          <w:tcPr>
            <w:tcW w:w="1208" w:type="dxa"/>
            <w:tcBorders>
              <w:top w:val="nil"/>
              <w:left w:val="nil"/>
              <w:bottom w:val="nil"/>
              <w:right w:val="nil"/>
            </w:tcBorders>
            <w:shd w:val="clear" w:color="auto" w:fill="auto"/>
            <w:noWrap/>
            <w:vAlign w:val="bottom"/>
            <w:hideMark/>
          </w:tcPr>
          <w:p w14:paraId="69D3B510" w14:textId="77777777" w:rsidR="008C1483" w:rsidRPr="00E91EEF" w:rsidRDefault="008C1483" w:rsidP="0050260F">
            <w:pPr>
              <w:keepNext/>
              <w:tabs>
                <w:tab w:val="decimal" w:pos="534"/>
              </w:tabs>
              <w:spacing w:after="260" w:line="240" w:lineRule="auto"/>
              <w:rPr>
                <w:rFonts w:eastAsia="Times New Roman" w:cs="Times New Roman"/>
                <w:color w:val="000000"/>
              </w:rPr>
            </w:pPr>
            <w:r w:rsidRPr="00E91EEF">
              <w:rPr>
                <w:rFonts w:eastAsia="Times New Roman" w:cs="Times New Roman"/>
                <w:color w:val="000000"/>
              </w:rPr>
              <w:t xml:space="preserve">2.2 </w:t>
            </w:r>
          </w:p>
        </w:tc>
        <w:tc>
          <w:tcPr>
            <w:tcW w:w="1208" w:type="dxa"/>
            <w:tcBorders>
              <w:top w:val="nil"/>
              <w:left w:val="nil"/>
              <w:bottom w:val="nil"/>
              <w:right w:val="nil"/>
            </w:tcBorders>
            <w:shd w:val="clear" w:color="auto" w:fill="auto"/>
            <w:noWrap/>
            <w:vAlign w:val="bottom"/>
            <w:hideMark/>
          </w:tcPr>
          <w:p w14:paraId="79D60C56" w14:textId="77777777" w:rsidR="008C1483" w:rsidRPr="00E91EEF" w:rsidRDefault="008C1483" w:rsidP="0050260F">
            <w:pPr>
              <w:keepNext/>
              <w:tabs>
                <w:tab w:val="decimal" w:pos="496"/>
              </w:tabs>
              <w:spacing w:after="260" w:line="240" w:lineRule="auto"/>
              <w:rPr>
                <w:rFonts w:eastAsia="Times New Roman" w:cs="Times New Roman"/>
                <w:color w:val="000000"/>
              </w:rPr>
            </w:pPr>
            <w:r w:rsidRPr="00E91EEF">
              <w:rPr>
                <w:rFonts w:eastAsia="Times New Roman" w:cs="Times New Roman"/>
                <w:color w:val="000000"/>
              </w:rPr>
              <w:t xml:space="preserve">2.2 </w:t>
            </w:r>
          </w:p>
        </w:tc>
        <w:tc>
          <w:tcPr>
            <w:tcW w:w="1208" w:type="dxa"/>
            <w:tcBorders>
              <w:top w:val="nil"/>
              <w:left w:val="nil"/>
              <w:bottom w:val="nil"/>
              <w:right w:val="nil"/>
            </w:tcBorders>
            <w:shd w:val="clear" w:color="auto" w:fill="auto"/>
            <w:noWrap/>
            <w:vAlign w:val="bottom"/>
            <w:hideMark/>
          </w:tcPr>
          <w:p w14:paraId="23A4442B" w14:textId="77777777" w:rsidR="008C1483" w:rsidRPr="00E91EEF" w:rsidRDefault="008C1483" w:rsidP="0050260F">
            <w:pPr>
              <w:keepNext/>
              <w:tabs>
                <w:tab w:val="decimal" w:pos="517"/>
              </w:tabs>
              <w:spacing w:after="260" w:line="240" w:lineRule="auto"/>
              <w:rPr>
                <w:rFonts w:eastAsia="Times New Roman" w:cs="Times New Roman"/>
                <w:color w:val="000000"/>
              </w:rPr>
            </w:pPr>
            <w:r w:rsidRPr="00E91EEF">
              <w:rPr>
                <w:rFonts w:eastAsia="Times New Roman" w:cs="Times New Roman"/>
                <w:color w:val="000000"/>
              </w:rPr>
              <w:t xml:space="preserve">2.2 </w:t>
            </w:r>
          </w:p>
        </w:tc>
      </w:tr>
      <w:tr w:rsidR="00446044" w:rsidRPr="00E91EEF" w14:paraId="32BF241C"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4803967E" w14:textId="77777777"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North Mist Compressor Station</w:t>
            </w:r>
          </w:p>
        </w:tc>
        <w:tc>
          <w:tcPr>
            <w:tcW w:w="1208" w:type="dxa"/>
            <w:tcBorders>
              <w:top w:val="nil"/>
              <w:left w:val="nil"/>
              <w:bottom w:val="nil"/>
              <w:right w:val="nil"/>
            </w:tcBorders>
            <w:shd w:val="clear" w:color="auto" w:fill="auto"/>
            <w:noWrap/>
            <w:vAlign w:val="bottom"/>
            <w:hideMark/>
          </w:tcPr>
          <w:p w14:paraId="4CB1459A" w14:textId="77777777" w:rsidR="008C1483" w:rsidRPr="00E91EEF" w:rsidRDefault="008C1483" w:rsidP="0050260F">
            <w:pPr>
              <w:keepNext/>
              <w:tabs>
                <w:tab w:val="decimal" w:pos="534"/>
              </w:tabs>
              <w:spacing w:after="260" w:line="240" w:lineRule="auto"/>
              <w:rPr>
                <w:rFonts w:eastAsia="Times New Roman" w:cs="Times New Roman"/>
                <w:color w:val="000000"/>
              </w:rPr>
            </w:pPr>
            <w:r w:rsidRPr="00E91EEF">
              <w:rPr>
                <w:rFonts w:eastAsia="Times New Roman" w:cs="Times New Roman"/>
                <w:color w:val="000000"/>
              </w:rPr>
              <w:t xml:space="preserve">42.5 </w:t>
            </w:r>
          </w:p>
        </w:tc>
        <w:tc>
          <w:tcPr>
            <w:tcW w:w="1208" w:type="dxa"/>
            <w:tcBorders>
              <w:top w:val="nil"/>
              <w:left w:val="nil"/>
              <w:bottom w:val="nil"/>
              <w:right w:val="nil"/>
            </w:tcBorders>
            <w:shd w:val="clear" w:color="auto" w:fill="auto"/>
            <w:noWrap/>
            <w:vAlign w:val="bottom"/>
            <w:hideMark/>
          </w:tcPr>
          <w:p w14:paraId="47C7F904" w14:textId="77777777" w:rsidR="008C1483" w:rsidRPr="00E91EEF" w:rsidRDefault="008C1483" w:rsidP="0050260F">
            <w:pPr>
              <w:keepNext/>
              <w:tabs>
                <w:tab w:val="decimal" w:pos="496"/>
              </w:tabs>
              <w:spacing w:after="260" w:line="240" w:lineRule="auto"/>
              <w:rPr>
                <w:rFonts w:eastAsia="Times New Roman" w:cs="Times New Roman"/>
                <w:color w:val="000000"/>
              </w:rPr>
            </w:pPr>
            <w:r w:rsidRPr="00E91EEF">
              <w:rPr>
                <w:rFonts w:eastAsia="Times New Roman" w:cs="Times New Roman"/>
                <w:color w:val="000000"/>
              </w:rPr>
              <w:t xml:space="preserve">42.5 </w:t>
            </w:r>
          </w:p>
        </w:tc>
        <w:tc>
          <w:tcPr>
            <w:tcW w:w="1208" w:type="dxa"/>
            <w:tcBorders>
              <w:top w:val="nil"/>
              <w:left w:val="nil"/>
              <w:bottom w:val="nil"/>
              <w:right w:val="nil"/>
            </w:tcBorders>
            <w:shd w:val="clear" w:color="auto" w:fill="auto"/>
            <w:noWrap/>
            <w:vAlign w:val="bottom"/>
            <w:hideMark/>
          </w:tcPr>
          <w:p w14:paraId="5DA8E0A6" w14:textId="77777777" w:rsidR="008C1483" w:rsidRPr="00E91EEF" w:rsidRDefault="008C1483" w:rsidP="0050260F">
            <w:pPr>
              <w:keepNext/>
              <w:tabs>
                <w:tab w:val="decimal" w:pos="517"/>
              </w:tabs>
              <w:spacing w:after="260" w:line="240" w:lineRule="auto"/>
              <w:rPr>
                <w:rFonts w:eastAsia="Times New Roman" w:cs="Times New Roman"/>
                <w:color w:val="000000"/>
              </w:rPr>
            </w:pPr>
            <w:r w:rsidRPr="00E91EEF">
              <w:rPr>
                <w:rFonts w:eastAsia="Times New Roman" w:cs="Times New Roman"/>
                <w:color w:val="000000"/>
              </w:rPr>
              <w:t xml:space="preserve">42.5 </w:t>
            </w:r>
          </w:p>
        </w:tc>
      </w:tr>
      <w:tr w:rsidR="00446044" w:rsidRPr="00E91EEF" w14:paraId="76C117D0"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69D91DE9" w14:textId="77777777"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Pipeline: Compressor Station to Shared Northbound Pipeline</w:t>
            </w:r>
          </w:p>
        </w:tc>
        <w:tc>
          <w:tcPr>
            <w:tcW w:w="1208" w:type="dxa"/>
            <w:tcBorders>
              <w:top w:val="nil"/>
              <w:left w:val="nil"/>
              <w:bottom w:val="nil"/>
              <w:right w:val="nil"/>
            </w:tcBorders>
            <w:shd w:val="clear" w:color="auto" w:fill="auto"/>
            <w:noWrap/>
            <w:vAlign w:val="bottom"/>
            <w:hideMark/>
          </w:tcPr>
          <w:p w14:paraId="495D6862" w14:textId="77777777" w:rsidR="008C1483" w:rsidRPr="00E91EEF" w:rsidRDefault="008C1483" w:rsidP="0050260F">
            <w:pPr>
              <w:keepNext/>
              <w:tabs>
                <w:tab w:val="decimal" w:pos="534"/>
              </w:tabs>
              <w:spacing w:after="260" w:line="240" w:lineRule="auto"/>
              <w:rPr>
                <w:rFonts w:eastAsia="Times New Roman" w:cs="Times New Roman"/>
                <w:color w:val="000000"/>
              </w:rPr>
            </w:pPr>
            <w:r w:rsidRPr="00E91EEF">
              <w:rPr>
                <w:rFonts w:eastAsia="Times New Roman" w:cs="Times New Roman"/>
                <w:color w:val="000000"/>
              </w:rPr>
              <w:t xml:space="preserve">2.2 </w:t>
            </w:r>
          </w:p>
        </w:tc>
        <w:tc>
          <w:tcPr>
            <w:tcW w:w="1208" w:type="dxa"/>
            <w:tcBorders>
              <w:top w:val="nil"/>
              <w:left w:val="nil"/>
              <w:bottom w:val="nil"/>
              <w:right w:val="nil"/>
            </w:tcBorders>
            <w:shd w:val="clear" w:color="auto" w:fill="auto"/>
            <w:noWrap/>
            <w:vAlign w:val="bottom"/>
            <w:hideMark/>
          </w:tcPr>
          <w:p w14:paraId="1F7A514B" w14:textId="77777777" w:rsidR="008C1483" w:rsidRPr="00E91EEF" w:rsidRDefault="008C1483" w:rsidP="0050260F">
            <w:pPr>
              <w:keepNext/>
              <w:tabs>
                <w:tab w:val="decimal" w:pos="496"/>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328D6DFB" w14:textId="73A8C997" w:rsidR="008C1483" w:rsidRPr="00E91EEF" w:rsidRDefault="008C1483" w:rsidP="0050260F">
            <w:pPr>
              <w:keepNext/>
              <w:tabs>
                <w:tab w:val="decimal" w:pos="517"/>
              </w:tabs>
              <w:spacing w:after="260" w:line="240" w:lineRule="auto"/>
              <w:rPr>
                <w:rFonts w:eastAsia="Times New Roman" w:cs="Times New Roman"/>
                <w:color w:val="000000"/>
              </w:rPr>
            </w:pPr>
          </w:p>
        </w:tc>
      </w:tr>
      <w:tr w:rsidR="00C5600E" w:rsidRPr="00E91EEF" w14:paraId="54A302F4" w14:textId="77777777" w:rsidTr="002D2072">
        <w:trPr>
          <w:trHeight w:val="300"/>
          <w:jc w:val="center"/>
        </w:trPr>
        <w:tc>
          <w:tcPr>
            <w:tcW w:w="5760" w:type="dxa"/>
            <w:tcBorders>
              <w:top w:val="nil"/>
              <w:left w:val="nil"/>
              <w:bottom w:val="nil"/>
              <w:right w:val="nil"/>
            </w:tcBorders>
            <w:shd w:val="clear" w:color="auto" w:fill="auto"/>
            <w:noWrap/>
            <w:vAlign w:val="bottom"/>
          </w:tcPr>
          <w:p w14:paraId="783EED97" w14:textId="59568FAD" w:rsidR="00C5600E" w:rsidRPr="00E91EEF" w:rsidRDefault="00C5600E" w:rsidP="00BC4E87">
            <w:pPr>
              <w:keepNext/>
              <w:spacing w:after="260" w:line="240" w:lineRule="auto"/>
              <w:rPr>
                <w:rFonts w:eastAsia="Times New Roman" w:cs="Times New Roman"/>
                <w:color w:val="000000"/>
              </w:rPr>
            </w:pPr>
            <w:r w:rsidRPr="00E91EEF">
              <w:rPr>
                <w:rFonts w:eastAsia="Times New Roman" w:cs="Times New Roman"/>
                <w:color w:val="000000"/>
              </w:rPr>
              <w:t xml:space="preserve">Pipeline: </w:t>
            </w:r>
            <w:r>
              <w:rPr>
                <w:rFonts w:eastAsia="Times New Roman" w:cs="Times New Roman"/>
                <w:color w:val="000000"/>
              </w:rPr>
              <w:t>Compressor Station to Existing</w:t>
            </w:r>
            <w:r w:rsidRPr="00E91EEF">
              <w:rPr>
                <w:rFonts w:eastAsia="Times New Roman" w:cs="Times New Roman"/>
                <w:color w:val="000000"/>
              </w:rPr>
              <w:t xml:space="preserve"> Northbound Pipeline</w:t>
            </w:r>
          </w:p>
        </w:tc>
        <w:tc>
          <w:tcPr>
            <w:tcW w:w="1208" w:type="dxa"/>
            <w:tcBorders>
              <w:top w:val="nil"/>
              <w:left w:val="nil"/>
              <w:bottom w:val="nil"/>
              <w:right w:val="nil"/>
            </w:tcBorders>
            <w:shd w:val="clear" w:color="auto" w:fill="auto"/>
            <w:noWrap/>
            <w:vAlign w:val="bottom"/>
          </w:tcPr>
          <w:p w14:paraId="212DA395" w14:textId="77777777" w:rsidR="00C5600E" w:rsidRPr="00E91EEF" w:rsidRDefault="00C5600E" w:rsidP="0050260F">
            <w:pPr>
              <w:keepNext/>
              <w:tabs>
                <w:tab w:val="decimal" w:pos="534"/>
              </w:tabs>
              <w:spacing w:after="260" w:line="240" w:lineRule="auto"/>
              <w:rPr>
                <w:rFonts w:eastAsia="Times New Roman" w:cs="Times New Roman"/>
                <w:color w:val="000000"/>
              </w:rPr>
            </w:pPr>
          </w:p>
        </w:tc>
        <w:tc>
          <w:tcPr>
            <w:tcW w:w="1208" w:type="dxa"/>
            <w:tcBorders>
              <w:top w:val="nil"/>
              <w:left w:val="nil"/>
              <w:bottom w:val="nil"/>
              <w:right w:val="nil"/>
            </w:tcBorders>
            <w:shd w:val="clear" w:color="auto" w:fill="auto"/>
            <w:noWrap/>
            <w:vAlign w:val="bottom"/>
          </w:tcPr>
          <w:p w14:paraId="6EE949FE" w14:textId="77777777" w:rsidR="00C5600E" w:rsidRPr="00E91EEF" w:rsidRDefault="00C5600E" w:rsidP="0050260F">
            <w:pPr>
              <w:keepNext/>
              <w:tabs>
                <w:tab w:val="decimal" w:pos="496"/>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tcPr>
          <w:p w14:paraId="06C87E54" w14:textId="68D2D7CE" w:rsidR="00C5600E" w:rsidRPr="00E91EEF" w:rsidRDefault="00C5600E" w:rsidP="0050260F">
            <w:pPr>
              <w:keepNext/>
              <w:tabs>
                <w:tab w:val="decimal" w:pos="517"/>
              </w:tabs>
              <w:spacing w:after="260" w:line="240" w:lineRule="auto"/>
              <w:rPr>
                <w:rFonts w:eastAsia="Times New Roman" w:cs="Times New Roman"/>
                <w:color w:val="000000"/>
              </w:rPr>
            </w:pPr>
            <w:r>
              <w:rPr>
                <w:rFonts w:eastAsia="Times New Roman" w:cs="Times New Roman"/>
                <w:color w:val="000000"/>
              </w:rPr>
              <w:t>2.2</w:t>
            </w:r>
          </w:p>
        </w:tc>
      </w:tr>
      <w:tr w:rsidR="00446044" w:rsidRPr="00E91EEF" w14:paraId="697B60D4"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68BB7A66" w14:textId="77777777"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Northbound Shared Pipeline</w:t>
            </w:r>
          </w:p>
        </w:tc>
        <w:tc>
          <w:tcPr>
            <w:tcW w:w="1208" w:type="dxa"/>
            <w:tcBorders>
              <w:top w:val="nil"/>
              <w:left w:val="nil"/>
              <w:bottom w:val="nil"/>
              <w:right w:val="nil"/>
            </w:tcBorders>
            <w:shd w:val="clear" w:color="auto" w:fill="auto"/>
            <w:noWrap/>
            <w:vAlign w:val="bottom"/>
            <w:hideMark/>
          </w:tcPr>
          <w:p w14:paraId="7B539436" w14:textId="77777777" w:rsidR="008C1483" w:rsidRPr="00E91EEF" w:rsidRDefault="008C1483" w:rsidP="0050260F">
            <w:pPr>
              <w:keepNext/>
              <w:tabs>
                <w:tab w:val="decimal" w:pos="534"/>
              </w:tabs>
              <w:spacing w:after="260" w:line="240" w:lineRule="auto"/>
              <w:rPr>
                <w:rFonts w:eastAsia="Times New Roman" w:cs="Times New Roman"/>
                <w:color w:val="000000"/>
              </w:rPr>
            </w:pPr>
            <w:r w:rsidRPr="00E91EEF">
              <w:rPr>
                <w:rFonts w:eastAsia="Times New Roman" w:cs="Times New Roman"/>
                <w:color w:val="000000"/>
              </w:rPr>
              <w:t xml:space="preserve">22.6 </w:t>
            </w:r>
          </w:p>
        </w:tc>
        <w:tc>
          <w:tcPr>
            <w:tcW w:w="1208" w:type="dxa"/>
            <w:tcBorders>
              <w:top w:val="nil"/>
              <w:left w:val="nil"/>
              <w:bottom w:val="nil"/>
              <w:right w:val="nil"/>
            </w:tcBorders>
            <w:shd w:val="clear" w:color="auto" w:fill="auto"/>
            <w:noWrap/>
            <w:vAlign w:val="bottom"/>
            <w:hideMark/>
          </w:tcPr>
          <w:p w14:paraId="5069D0CE" w14:textId="77777777" w:rsidR="008C1483" w:rsidRPr="00E91EEF" w:rsidRDefault="008C1483" w:rsidP="0050260F">
            <w:pPr>
              <w:keepNext/>
              <w:tabs>
                <w:tab w:val="decimal" w:pos="496"/>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067C4BFA" w14:textId="77777777" w:rsidR="008C1483" w:rsidRPr="00E91EEF" w:rsidRDefault="008C1483" w:rsidP="0050260F">
            <w:pPr>
              <w:keepNext/>
              <w:tabs>
                <w:tab w:val="decimal" w:pos="517"/>
              </w:tabs>
              <w:spacing w:after="260" w:line="240" w:lineRule="auto"/>
              <w:ind w:firstLineChars="200" w:firstLine="440"/>
              <w:jc w:val="right"/>
              <w:rPr>
                <w:rFonts w:eastAsia="Times New Roman" w:cs="Times New Roman"/>
                <w:color w:val="000000"/>
              </w:rPr>
            </w:pPr>
          </w:p>
        </w:tc>
      </w:tr>
      <w:tr w:rsidR="00446044" w:rsidRPr="00E91EEF" w14:paraId="0E74B7F1"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3D3E88E5" w14:textId="77B250F4"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Interconnection: NB Shared Pipeline to KB Pipeline</w:t>
            </w:r>
          </w:p>
        </w:tc>
        <w:tc>
          <w:tcPr>
            <w:tcW w:w="1208" w:type="dxa"/>
            <w:tcBorders>
              <w:top w:val="nil"/>
              <w:left w:val="nil"/>
              <w:bottom w:val="nil"/>
              <w:right w:val="nil"/>
            </w:tcBorders>
            <w:shd w:val="clear" w:color="auto" w:fill="auto"/>
            <w:noWrap/>
            <w:vAlign w:val="bottom"/>
            <w:hideMark/>
          </w:tcPr>
          <w:p w14:paraId="231697E7" w14:textId="77777777" w:rsidR="008C1483" w:rsidRPr="00E91EEF" w:rsidRDefault="008C1483" w:rsidP="0050260F">
            <w:pPr>
              <w:keepNext/>
              <w:tabs>
                <w:tab w:val="decimal" w:pos="534"/>
              </w:tabs>
              <w:spacing w:after="260" w:line="240" w:lineRule="auto"/>
              <w:rPr>
                <w:rFonts w:eastAsia="Times New Roman" w:cs="Times New Roman"/>
                <w:color w:val="000000"/>
              </w:rPr>
            </w:pPr>
            <w:r w:rsidRPr="00E91EEF">
              <w:rPr>
                <w:rFonts w:eastAsia="Times New Roman" w:cs="Times New Roman"/>
                <w:color w:val="000000"/>
              </w:rPr>
              <w:t xml:space="preserve">7.3 </w:t>
            </w:r>
          </w:p>
        </w:tc>
        <w:tc>
          <w:tcPr>
            <w:tcW w:w="1208" w:type="dxa"/>
            <w:tcBorders>
              <w:top w:val="nil"/>
              <w:left w:val="nil"/>
              <w:bottom w:val="nil"/>
              <w:right w:val="nil"/>
            </w:tcBorders>
            <w:shd w:val="clear" w:color="auto" w:fill="auto"/>
            <w:noWrap/>
            <w:vAlign w:val="bottom"/>
            <w:hideMark/>
          </w:tcPr>
          <w:p w14:paraId="34CE432C" w14:textId="77777777" w:rsidR="008C1483" w:rsidRPr="00E91EEF" w:rsidRDefault="008C1483" w:rsidP="0050260F">
            <w:pPr>
              <w:keepNext/>
              <w:tabs>
                <w:tab w:val="decimal" w:pos="496"/>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67F3C90C" w14:textId="77777777" w:rsidR="008C1483" w:rsidRPr="00E91EEF" w:rsidRDefault="008C1483" w:rsidP="0050260F">
            <w:pPr>
              <w:keepNext/>
              <w:tabs>
                <w:tab w:val="decimal" w:pos="517"/>
              </w:tabs>
              <w:spacing w:after="260" w:line="240" w:lineRule="auto"/>
              <w:ind w:firstLineChars="200" w:firstLine="440"/>
              <w:jc w:val="right"/>
              <w:rPr>
                <w:rFonts w:eastAsia="Times New Roman" w:cs="Times New Roman"/>
                <w:color w:val="000000"/>
              </w:rPr>
            </w:pPr>
          </w:p>
        </w:tc>
      </w:tr>
      <w:tr w:rsidR="00446044" w:rsidRPr="00E91EEF" w14:paraId="50AA5563"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2EC13F37" w14:textId="77777777"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Lexington Compressor Station</w:t>
            </w:r>
          </w:p>
        </w:tc>
        <w:tc>
          <w:tcPr>
            <w:tcW w:w="1208" w:type="dxa"/>
            <w:tcBorders>
              <w:top w:val="nil"/>
              <w:left w:val="nil"/>
              <w:bottom w:val="nil"/>
              <w:right w:val="nil"/>
            </w:tcBorders>
            <w:shd w:val="clear" w:color="auto" w:fill="auto"/>
            <w:noWrap/>
            <w:vAlign w:val="bottom"/>
            <w:hideMark/>
          </w:tcPr>
          <w:p w14:paraId="46A2F054" w14:textId="77777777" w:rsidR="008C1483" w:rsidRPr="00E91EEF" w:rsidRDefault="008C1483" w:rsidP="0050260F">
            <w:pPr>
              <w:keepNext/>
              <w:tabs>
                <w:tab w:val="decimal" w:pos="534"/>
              </w:tabs>
              <w:spacing w:after="260" w:line="240" w:lineRule="auto"/>
              <w:rPr>
                <w:rFonts w:eastAsia="Times New Roman" w:cs="Times New Roman"/>
                <w:color w:val="000000"/>
              </w:rPr>
            </w:pPr>
            <w:r w:rsidRPr="00E91EEF">
              <w:rPr>
                <w:rFonts w:eastAsia="Times New Roman" w:cs="Times New Roman"/>
                <w:color w:val="000000"/>
              </w:rPr>
              <w:t xml:space="preserve">8.1 </w:t>
            </w:r>
          </w:p>
        </w:tc>
        <w:tc>
          <w:tcPr>
            <w:tcW w:w="1208" w:type="dxa"/>
            <w:tcBorders>
              <w:top w:val="nil"/>
              <w:left w:val="nil"/>
              <w:bottom w:val="nil"/>
              <w:right w:val="nil"/>
            </w:tcBorders>
            <w:shd w:val="clear" w:color="auto" w:fill="auto"/>
            <w:noWrap/>
            <w:vAlign w:val="bottom"/>
            <w:hideMark/>
          </w:tcPr>
          <w:p w14:paraId="73EAAE10" w14:textId="77777777" w:rsidR="008C1483" w:rsidRPr="00E91EEF" w:rsidRDefault="008C1483" w:rsidP="0050260F">
            <w:pPr>
              <w:keepNext/>
              <w:tabs>
                <w:tab w:val="decimal" w:pos="496"/>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0D249D11" w14:textId="77777777" w:rsidR="008C1483" w:rsidRPr="00E91EEF" w:rsidRDefault="008C1483" w:rsidP="0050260F">
            <w:pPr>
              <w:keepNext/>
              <w:tabs>
                <w:tab w:val="decimal" w:pos="517"/>
              </w:tabs>
              <w:spacing w:after="260" w:line="240" w:lineRule="auto"/>
              <w:ind w:firstLineChars="200" w:firstLine="440"/>
              <w:jc w:val="right"/>
              <w:rPr>
                <w:rFonts w:eastAsia="Times New Roman" w:cs="Times New Roman"/>
                <w:color w:val="000000"/>
              </w:rPr>
            </w:pPr>
          </w:p>
        </w:tc>
      </w:tr>
      <w:tr w:rsidR="00446044" w:rsidRPr="00E91EEF" w14:paraId="74C649B4"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319AAA5B" w14:textId="77777777"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Pipeline: Compressor Station to South Mist Pipeline</w:t>
            </w:r>
          </w:p>
        </w:tc>
        <w:tc>
          <w:tcPr>
            <w:tcW w:w="1208" w:type="dxa"/>
            <w:tcBorders>
              <w:top w:val="nil"/>
              <w:left w:val="nil"/>
              <w:bottom w:val="nil"/>
              <w:right w:val="nil"/>
            </w:tcBorders>
            <w:shd w:val="clear" w:color="auto" w:fill="auto"/>
            <w:noWrap/>
            <w:vAlign w:val="bottom"/>
            <w:hideMark/>
          </w:tcPr>
          <w:p w14:paraId="15863469" w14:textId="77777777" w:rsidR="008C1483" w:rsidRPr="00E91EEF" w:rsidRDefault="008C1483" w:rsidP="0050260F">
            <w:pPr>
              <w:keepNext/>
              <w:tabs>
                <w:tab w:val="decimal" w:pos="534"/>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58956155" w14:textId="77777777" w:rsidR="008C1483" w:rsidRPr="00E91EEF" w:rsidRDefault="008C1483" w:rsidP="0050260F">
            <w:pPr>
              <w:keepNext/>
              <w:tabs>
                <w:tab w:val="decimal" w:pos="496"/>
              </w:tabs>
              <w:spacing w:after="260" w:line="240" w:lineRule="auto"/>
              <w:rPr>
                <w:rFonts w:eastAsia="Times New Roman" w:cs="Times New Roman"/>
                <w:color w:val="000000"/>
              </w:rPr>
            </w:pPr>
            <w:r w:rsidRPr="00E91EEF">
              <w:rPr>
                <w:rFonts w:eastAsia="Times New Roman" w:cs="Times New Roman"/>
                <w:color w:val="000000"/>
              </w:rPr>
              <w:t xml:space="preserve">22.4 </w:t>
            </w:r>
          </w:p>
        </w:tc>
        <w:tc>
          <w:tcPr>
            <w:tcW w:w="1208" w:type="dxa"/>
            <w:tcBorders>
              <w:top w:val="nil"/>
              <w:left w:val="nil"/>
              <w:bottom w:val="nil"/>
              <w:right w:val="nil"/>
            </w:tcBorders>
            <w:shd w:val="clear" w:color="auto" w:fill="auto"/>
            <w:noWrap/>
            <w:vAlign w:val="bottom"/>
            <w:hideMark/>
          </w:tcPr>
          <w:p w14:paraId="75C3D4C4" w14:textId="77777777" w:rsidR="008C1483" w:rsidRPr="00E91EEF" w:rsidRDefault="008C1483" w:rsidP="0050260F">
            <w:pPr>
              <w:keepNext/>
              <w:tabs>
                <w:tab w:val="decimal" w:pos="517"/>
              </w:tabs>
              <w:spacing w:after="260" w:line="240" w:lineRule="auto"/>
              <w:rPr>
                <w:rFonts w:eastAsia="Times New Roman" w:cs="Times New Roman"/>
                <w:color w:val="000000"/>
              </w:rPr>
            </w:pPr>
            <w:r w:rsidRPr="00E91EEF">
              <w:rPr>
                <w:rFonts w:eastAsia="Times New Roman" w:cs="Times New Roman"/>
                <w:color w:val="000000"/>
              </w:rPr>
              <w:t xml:space="preserve">22.4 </w:t>
            </w:r>
          </w:p>
        </w:tc>
      </w:tr>
      <w:tr w:rsidR="00446044" w:rsidRPr="00E91EEF" w14:paraId="1348516B"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76066ACF" w14:textId="77777777"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North Plains &amp; Molalla Compressor Stations</w:t>
            </w:r>
          </w:p>
        </w:tc>
        <w:tc>
          <w:tcPr>
            <w:tcW w:w="1208" w:type="dxa"/>
            <w:tcBorders>
              <w:top w:val="nil"/>
              <w:left w:val="nil"/>
              <w:bottom w:val="nil"/>
              <w:right w:val="nil"/>
            </w:tcBorders>
            <w:shd w:val="clear" w:color="auto" w:fill="auto"/>
            <w:noWrap/>
            <w:vAlign w:val="bottom"/>
            <w:hideMark/>
          </w:tcPr>
          <w:p w14:paraId="6F3C811B" w14:textId="77777777" w:rsidR="008C1483" w:rsidRPr="00E91EEF" w:rsidRDefault="008C1483" w:rsidP="0050260F">
            <w:pPr>
              <w:keepNext/>
              <w:tabs>
                <w:tab w:val="decimal" w:pos="534"/>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7F31D706" w14:textId="77777777" w:rsidR="008C1483" w:rsidRPr="00E91EEF" w:rsidRDefault="008C1483" w:rsidP="0050260F">
            <w:pPr>
              <w:keepNext/>
              <w:tabs>
                <w:tab w:val="decimal" w:pos="496"/>
              </w:tabs>
              <w:spacing w:after="260" w:line="240" w:lineRule="auto"/>
              <w:rPr>
                <w:rFonts w:eastAsia="Times New Roman" w:cs="Times New Roman"/>
                <w:color w:val="000000"/>
              </w:rPr>
            </w:pPr>
            <w:r w:rsidRPr="00E91EEF">
              <w:rPr>
                <w:rFonts w:eastAsia="Times New Roman" w:cs="Times New Roman"/>
                <w:color w:val="000000"/>
              </w:rPr>
              <w:t xml:space="preserve">42.5 </w:t>
            </w:r>
          </w:p>
        </w:tc>
        <w:tc>
          <w:tcPr>
            <w:tcW w:w="1208" w:type="dxa"/>
            <w:tcBorders>
              <w:top w:val="nil"/>
              <w:left w:val="nil"/>
              <w:bottom w:val="nil"/>
              <w:right w:val="nil"/>
            </w:tcBorders>
            <w:shd w:val="clear" w:color="auto" w:fill="auto"/>
            <w:noWrap/>
            <w:vAlign w:val="bottom"/>
            <w:hideMark/>
          </w:tcPr>
          <w:p w14:paraId="361308E0" w14:textId="77777777" w:rsidR="008C1483" w:rsidRPr="00E91EEF" w:rsidRDefault="008C1483" w:rsidP="0050260F">
            <w:pPr>
              <w:keepNext/>
              <w:tabs>
                <w:tab w:val="decimal" w:pos="517"/>
              </w:tabs>
              <w:spacing w:after="260" w:line="240" w:lineRule="auto"/>
              <w:ind w:firstLineChars="200" w:firstLine="440"/>
              <w:jc w:val="right"/>
              <w:rPr>
                <w:rFonts w:eastAsia="Times New Roman" w:cs="Times New Roman"/>
                <w:color w:val="000000"/>
              </w:rPr>
            </w:pPr>
          </w:p>
        </w:tc>
      </w:tr>
      <w:tr w:rsidR="00446044" w:rsidRPr="00E91EEF" w14:paraId="11391D2C"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586839C1" w14:textId="77777777"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Deer Island Compressor Station</w:t>
            </w:r>
          </w:p>
        </w:tc>
        <w:tc>
          <w:tcPr>
            <w:tcW w:w="1208" w:type="dxa"/>
            <w:tcBorders>
              <w:top w:val="nil"/>
              <w:left w:val="nil"/>
              <w:bottom w:val="nil"/>
              <w:right w:val="nil"/>
            </w:tcBorders>
            <w:shd w:val="clear" w:color="auto" w:fill="auto"/>
            <w:noWrap/>
            <w:vAlign w:val="bottom"/>
            <w:hideMark/>
          </w:tcPr>
          <w:p w14:paraId="317C90AF" w14:textId="77777777" w:rsidR="008C1483" w:rsidRPr="00E91EEF" w:rsidRDefault="008C1483" w:rsidP="0050260F">
            <w:pPr>
              <w:keepNext/>
              <w:tabs>
                <w:tab w:val="decimal" w:pos="534"/>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12C74ED0" w14:textId="77777777" w:rsidR="008C1483" w:rsidRPr="00E91EEF" w:rsidRDefault="008C1483" w:rsidP="0050260F">
            <w:pPr>
              <w:keepNext/>
              <w:tabs>
                <w:tab w:val="decimal" w:pos="496"/>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03272EC0" w14:textId="77777777" w:rsidR="008C1483" w:rsidRPr="00E91EEF" w:rsidRDefault="008C1483" w:rsidP="0050260F">
            <w:pPr>
              <w:keepNext/>
              <w:tabs>
                <w:tab w:val="decimal" w:pos="517"/>
              </w:tabs>
              <w:spacing w:after="260" w:line="240" w:lineRule="auto"/>
              <w:rPr>
                <w:rFonts w:eastAsia="Times New Roman" w:cs="Times New Roman"/>
                <w:color w:val="000000"/>
              </w:rPr>
            </w:pPr>
            <w:r w:rsidRPr="00E91EEF">
              <w:rPr>
                <w:rFonts w:eastAsia="Times New Roman" w:cs="Times New Roman"/>
                <w:color w:val="000000"/>
              </w:rPr>
              <w:t xml:space="preserve">7.0 </w:t>
            </w:r>
          </w:p>
        </w:tc>
      </w:tr>
      <w:tr w:rsidR="00446044" w:rsidRPr="00E91EEF" w14:paraId="6DA6777F"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5720D4E9" w14:textId="77777777" w:rsidR="008C1483" w:rsidRPr="00E91EEF" w:rsidRDefault="008C1483" w:rsidP="00BC4E87">
            <w:pPr>
              <w:keepNext/>
              <w:spacing w:after="260" w:line="240" w:lineRule="auto"/>
              <w:rPr>
                <w:rFonts w:eastAsia="Times New Roman" w:cs="Times New Roman"/>
                <w:color w:val="000000"/>
              </w:rPr>
            </w:pPr>
            <w:r w:rsidRPr="00E91EEF">
              <w:rPr>
                <w:rFonts w:eastAsia="Times New Roman" w:cs="Times New Roman"/>
                <w:color w:val="000000"/>
              </w:rPr>
              <w:t>North Plains Compressor Station</w:t>
            </w:r>
          </w:p>
        </w:tc>
        <w:tc>
          <w:tcPr>
            <w:tcW w:w="1208" w:type="dxa"/>
            <w:tcBorders>
              <w:top w:val="nil"/>
              <w:left w:val="nil"/>
              <w:bottom w:val="nil"/>
              <w:right w:val="nil"/>
            </w:tcBorders>
            <w:shd w:val="clear" w:color="auto" w:fill="auto"/>
            <w:noWrap/>
            <w:vAlign w:val="bottom"/>
            <w:hideMark/>
          </w:tcPr>
          <w:p w14:paraId="2194DAC5" w14:textId="77777777" w:rsidR="008C1483" w:rsidRPr="00E91EEF" w:rsidRDefault="008C1483" w:rsidP="0050260F">
            <w:pPr>
              <w:keepNext/>
              <w:tabs>
                <w:tab w:val="decimal" w:pos="534"/>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66996F29" w14:textId="77777777" w:rsidR="008C1483" w:rsidRPr="00E91EEF" w:rsidRDefault="008C1483" w:rsidP="0050260F">
            <w:pPr>
              <w:keepNext/>
              <w:tabs>
                <w:tab w:val="decimal" w:pos="496"/>
              </w:tabs>
              <w:spacing w:after="260" w:line="240" w:lineRule="auto"/>
              <w:ind w:firstLineChars="200" w:firstLine="440"/>
              <w:jc w:val="right"/>
              <w:rPr>
                <w:rFonts w:eastAsia="Times New Roman" w:cs="Times New Roman"/>
                <w:color w:val="000000"/>
              </w:rPr>
            </w:pPr>
          </w:p>
        </w:tc>
        <w:tc>
          <w:tcPr>
            <w:tcW w:w="1208" w:type="dxa"/>
            <w:tcBorders>
              <w:top w:val="nil"/>
              <w:left w:val="nil"/>
              <w:bottom w:val="nil"/>
              <w:right w:val="nil"/>
            </w:tcBorders>
            <w:shd w:val="clear" w:color="auto" w:fill="auto"/>
            <w:noWrap/>
            <w:vAlign w:val="bottom"/>
            <w:hideMark/>
          </w:tcPr>
          <w:p w14:paraId="274A6F8F" w14:textId="77777777" w:rsidR="008C1483" w:rsidRPr="00E91EEF" w:rsidRDefault="008C1483" w:rsidP="0050260F">
            <w:pPr>
              <w:keepNext/>
              <w:tabs>
                <w:tab w:val="decimal" w:pos="517"/>
              </w:tabs>
              <w:spacing w:after="260" w:line="240" w:lineRule="auto"/>
              <w:rPr>
                <w:rFonts w:eastAsia="Times New Roman" w:cs="Times New Roman"/>
                <w:color w:val="000000"/>
              </w:rPr>
            </w:pPr>
            <w:r w:rsidRPr="00E91EEF">
              <w:rPr>
                <w:rFonts w:eastAsia="Times New Roman" w:cs="Times New Roman"/>
                <w:color w:val="000000"/>
              </w:rPr>
              <w:t xml:space="preserve">22.4 </w:t>
            </w:r>
          </w:p>
        </w:tc>
      </w:tr>
      <w:tr w:rsidR="00446044" w:rsidRPr="00E91EEF" w14:paraId="41BAA998" w14:textId="77777777" w:rsidTr="002D2072">
        <w:trPr>
          <w:trHeight w:val="300"/>
          <w:jc w:val="center"/>
        </w:trPr>
        <w:tc>
          <w:tcPr>
            <w:tcW w:w="5760" w:type="dxa"/>
            <w:tcBorders>
              <w:top w:val="nil"/>
              <w:left w:val="nil"/>
              <w:bottom w:val="nil"/>
              <w:right w:val="nil"/>
            </w:tcBorders>
            <w:shd w:val="clear" w:color="auto" w:fill="auto"/>
            <w:noWrap/>
            <w:vAlign w:val="bottom"/>
            <w:hideMark/>
          </w:tcPr>
          <w:p w14:paraId="35419498" w14:textId="77777777" w:rsidR="008C1483" w:rsidRPr="00E91EEF" w:rsidRDefault="008C1483" w:rsidP="005D011A">
            <w:pPr>
              <w:spacing w:after="0" w:line="240" w:lineRule="auto"/>
              <w:rPr>
                <w:rFonts w:eastAsia="Times New Roman" w:cs="Times New Roman"/>
                <w:color w:val="000000"/>
              </w:rPr>
            </w:pPr>
            <w:r w:rsidRPr="00E91EEF">
              <w:rPr>
                <w:rFonts w:eastAsia="Times New Roman" w:cs="Times New Roman"/>
                <w:color w:val="000000"/>
              </w:rPr>
              <w:t>Totals</w:t>
            </w:r>
          </w:p>
        </w:tc>
        <w:tc>
          <w:tcPr>
            <w:tcW w:w="1208" w:type="dxa"/>
            <w:tcBorders>
              <w:top w:val="nil"/>
              <w:left w:val="nil"/>
              <w:bottom w:val="nil"/>
              <w:right w:val="nil"/>
            </w:tcBorders>
            <w:shd w:val="clear" w:color="auto" w:fill="auto"/>
            <w:noWrap/>
            <w:vAlign w:val="bottom"/>
            <w:hideMark/>
          </w:tcPr>
          <w:p w14:paraId="2FEE521A" w14:textId="77777777" w:rsidR="008C1483" w:rsidRPr="00E91EEF" w:rsidRDefault="008C1483" w:rsidP="0050260F">
            <w:pPr>
              <w:tabs>
                <w:tab w:val="decimal" w:pos="534"/>
              </w:tabs>
              <w:spacing w:after="0" w:line="240" w:lineRule="auto"/>
              <w:rPr>
                <w:rFonts w:eastAsia="Times New Roman" w:cs="Times New Roman"/>
                <w:color w:val="000000"/>
              </w:rPr>
            </w:pPr>
            <w:r w:rsidRPr="00E91EEF">
              <w:rPr>
                <w:rFonts w:eastAsia="Times New Roman" w:cs="Times New Roman"/>
                <w:color w:val="000000"/>
              </w:rPr>
              <w:t xml:space="preserve">114.0 </w:t>
            </w:r>
          </w:p>
        </w:tc>
        <w:tc>
          <w:tcPr>
            <w:tcW w:w="1208" w:type="dxa"/>
            <w:tcBorders>
              <w:top w:val="nil"/>
              <w:left w:val="nil"/>
              <w:bottom w:val="nil"/>
              <w:right w:val="nil"/>
            </w:tcBorders>
            <w:shd w:val="clear" w:color="auto" w:fill="auto"/>
            <w:noWrap/>
            <w:vAlign w:val="bottom"/>
            <w:hideMark/>
          </w:tcPr>
          <w:p w14:paraId="64D082D7" w14:textId="752AB190" w:rsidR="008C1483" w:rsidRPr="00E91EEF" w:rsidRDefault="008C1483" w:rsidP="0050260F">
            <w:pPr>
              <w:tabs>
                <w:tab w:val="decimal" w:pos="496"/>
              </w:tabs>
              <w:spacing w:after="0" w:line="240" w:lineRule="auto"/>
              <w:rPr>
                <w:rFonts w:eastAsia="Times New Roman" w:cs="Times New Roman"/>
                <w:color w:val="000000"/>
              </w:rPr>
            </w:pPr>
            <w:r w:rsidRPr="00E91EEF">
              <w:rPr>
                <w:rFonts w:eastAsia="Times New Roman" w:cs="Times New Roman"/>
                <w:color w:val="000000"/>
              </w:rPr>
              <w:t xml:space="preserve">138.6 </w:t>
            </w:r>
          </w:p>
        </w:tc>
        <w:tc>
          <w:tcPr>
            <w:tcW w:w="1208" w:type="dxa"/>
            <w:tcBorders>
              <w:top w:val="nil"/>
              <w:left w:val="nil"/>
              <w:bottom w:val="nil"/>
              <w:right w:val="nil"/>
            </w:tcBorders>
            <w:shd w:val="clear" w:color="auto" w:fill="auto"/>
            <w:noWrap/>
            <w:vAlign w:val="bottom"/>
            <w:hideMark/>
          </w:tcPr>
          <w:p w14:paraId="2E385251" w14:textId="77777777" w:rsidR="008C1483" w:rsidRPr="00E91EEF" w:rsidRDefault="008C1483" w:rsidP="0050260F">
            <w:pPr>
              <w:tabs>
                <w:tab w:val="decimal" w:pos="517"/>
              </w:tabs>
              <w:spacing w:after="0" w:line="240" w:lineRule="auto"/>
              <w:rPr>
                <w:rFonts w:eastAsia="Times New Roman" w:cs="Times New Roman"/>
                <w:color w:val="000000"/>
              </w:rPr>
            </w:pPr>
            <w:r w:rsidRPr="00E91EEF">
              <w:rPr>
                <w:rFonts w:eastAsia="Times New Roman" w:cs="Times New Roman"/>
                <w:color w:val="000000"/>
              </w:rPr>
              <w:t xml:space="preserve">127.8 </w:t>
            </w:r>
          </w:p>
        </w:tc>
      </w:tr>
    </w:tbl>
    <w:p w14:paraId="3A24ECD6" w14:textId="2E5AA28B" w:rsidR="00432EF9" w:rsidRDefault="00432EF9" w:rsidP="004F2C75">
      <w:pPr>
        <w:spacing w:after="260"/>
      </w:pPr>
    </w:p>
    <w:p w14:paraId="58E1BD63" w14:textId="0DC9B6C4" w:rsidR="00271F13" w:rsidRDefault="00947D58" w:rsidP="00E91EEF">
      <w:pPr>
        <w:keepNext/>
        <w:spacing w:after="120"/>
        <w:rPr>
          <w:b/>
          <w:sz w:val="24"/>
          <w:szCs w:val="24"/>
        </w:rPr>
      </w:pPr>
      <w:r w:rsidRPr="00F87888">
        <w:rPr>
          <w:b/>
          <w:sz w:val="24"/>
          <w:szCs w:val="24"/>
        </w:rPr>
        <w:t>Figure 2 –</w:t>
      </w:r>
      <w:r w:rsidR="00E56742" w:rsidRPr="00F87888">
        <w:rPr>
          <w:b/>
          <w:sz w:val="24"/>
          <w:szCs w:val="24"/>
        </w:rPr>
        <w:t xml:space="preserve"> Investment Timing of </w:t>
      </w:r>
      <w:r w:rsidR="001D7916">
        <w:rPr>
          <w:b/>
          <w:sz w:val="24"/>
          <w:szCs w:val="24"/>
        </w:rPr>
        <w:t>Alternative North Mist Configuration</w:t>
      </w:r>
      <w:r w:rsidR="00E56742" w:rsidRPr="00F87888">
        <w:rPr>
          <w:b/>
          <w:sz w:val="24"/>
          <w:szCs w:val="24"/>
        </w:rPr>
        <w:t>s</w:t>
      </w:r>
    </w:p>
    <w:p w14:paraId="2651EC2F" w14:textId="53FEDFC3" w:rsidR="00B93F8D" w:rsidRPr="00F87888" w:rsidRDefault="001D7916" w:rsidP="00264EA9">
      <w:pPr>
        <w:keepNext/>
        <w:spacing w:after="280"/>
        <w:jc w:val="center"/>
        <w:rPr>
          <w:sz w:val="24"/>
          <w:szCs w:val="24"/>
        </w:rPr>
      </w:pPr>
      <w:r>
        <w:rPr>
          <w:noProof/>
        </w:rPr>
        <w:drawing>
          <wp:inline distT="0" distB="0" distL="0" distR="0" wp14:anchorId="73DB17ED" wp14:editId="7F8340D2">
            <wp:extent cx="5943600" cy="41148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E1BD64" w14:textId="46512E11" w:rsidR="00947D58" w:rsidRPr="00F87888" w:rsidRDefault="00947D58" w:rsidP="00264EA9">
      <w:pPr>
        <w:spacing w:after="280"/>
        <w:rPr>
          <w:sz w:val="24"/>
          <w:szCs w:val="24"/>
        </w:rPr>
      </w:pPr>
    </w:p>
    <w:p w14:paraId="09A004AA" w14:textId="77777777" w:rsidR="00187F67" w:rsidRDefault="000960F5" w:rsidP="00187F67">
      <w:pPr>
        <w:spacing w:after="280"/>
        <w:rPr>
          <w:sz w:val="24"/>
          <w:szCs w:val="24"/>
        </w:rPr>
      </w:pPr>
      <w:r w:rsidRPr="00F87888">
        <w:rPr>
          <w:sz w:val="24"/>
          <w:szCs w:val="24"/>
        </w:rPr>
        <w:t xml:space="preserve">The analysis assumes a three-year lag between </w:t>
      </w:r>
      <w:r w:rsidR="00FD3379" w:rsidRPr="00F87888">
        <w:rPr>
          <w:sz w:val="24"/>
          <w:szCs w:val="24"/>
        </w:rPr>
        <w:t>initiation of service</w:t>
      </w:r>
      <w:r w:rsidR="00073767" w:rsidRPr="00F87888">
        <w:rPr>
          <w:sz w:val="24"/>
          <w:szCs w:val="24"/>
        </w:rPr>
        <w:t xml:space="preserve"> using Alternative 3’s</w:t>
      </w:r>
      <w:r w:rsidRPr="00F87888">
        <w:rPr>
          <w:sz w:val="24"/>
          <w:szCs w:val="24"/>
        </w:rPr>
        <w:t xml:space="preserve"> northbound takeaway at a capacity of 50 MDT/day </w:t>
      </w:r>
      <w:r w:rsidR="00073767" w:rsidRPr="00F87888">
        <w:rPr>
          <w:sz w:val="24"/>
          <w:szCs w:val="24"/>
        </w:rPr>
        <w:t>and service initiation using its</w:t>
      </w:r>
      <w:r w:rsidRPr="00F87888">
        <w:rPr>
          <w:sz w:val="24"/>
          <w:szCs w:val="24"/>
        </w:rPr>
        <w:t xml:space="preserve"> southbound takeaway with capacity of another 50 MDT/day.</w:t>
      </w:r>
      <w:r w:rsidRPr="00F87888">
        <w:rPr>
          <w:rStyle w:val="FootnoteReference"/>
          <w:sz w:val="24"/>
          <w:szCs w:val="24"/>
        </w:rPr>
        <w:footnoteReference w:id="35"/>
      </w:r>
      <w:r w:rsidR="00947D58" w:rsidRPr="00F87888">
        <w:rPr>
          <w:sz w:val="24"/>
          <w:szCs w:val="24"/>
        </w:rPr>
        <w:t xml:space="preserve"> Figure 3</w:t>
      </w:r>
      <w:r w:rsidR="0095520F" w:rsidRPr="00F87888">
        <w:rPr>
          <w:sz w:val="24"/>
          <w:szCs w:val="24"/>
        </w:rPr>
        <w:t xml:space="preserve"> shows the PVRR</w:t>
      </w:r>
      <w:r w:rsidR="00704F60" w:rsidRPr="00F87888">
        <w:rPr>
          <w:sz w:val="24"/>
          <w:szCs w:val="24"/>
        </w:rPr>
        <w:t xml:space="preserve"> for Core customers over a 50-year tim</w:t>
      </w:r>
      <w:r w:rsidR="00073767" w:rsidRPr="00F87888">
        <w:rPr>
          <w:sz w:val="24"/>
          <w:szCs w:val="24"/>
        </w:rPr>
        <w:t>eframe for each alternative in resource s</w:t>
      </w:r>
      <w:r w:rsidR="00704F60" w:rsidRPr="00F87888">
        <w:rPr>
          <w:sz w:val="24"/>
          <w:szCs w:val="24"/>
        </w:rPr>
        <w:t xml:space="preserve">cenarios A1 and A3, while </w:t>
      </w:r>
      <w:r w:rsidR="00947D58" w:rsidRPr="00F87888">
        <w:rPr>
          <w:sz w:val="24"/>
          <w:szCs w:val="24"/>
        </w:rPr>
        <w:t>Figure 4</w:t>
      </w:r>
      <w:r w:rsidR="00704F60" w:rsidRPr="00F87888">
        <w:rPr>
          <w:sz w:val="24"/>
          <w:szCs w:val="24"/>
        </w:rPr>
        <w:t xml:space="preserve"> shows the </w:t>
      </w:r>
      <w:r w:rsidR="0095520F" w:rsidRPr="00F87888">
        <w:rPr>
          <w:sz w:val="24"/>
          <w:szCs w:val="24"/>
        </w:rPr>
        <w:t xml:space="preserve">PVRR </w:t>
      </w:r>
      <w:r w:rsidR="00704F60" w:rsidRPr="00F87888">
        <w:rPr>
          <w:sz w:val="24"/>
          <w:szCs w:val="24"/>
        </w:rPr>
        <w:t>for Core customers over a 50-year t</w:t>
      </w:r>
      <w:r w:rsidR="00073767" w:rsidRPr="00F87888">
        <w:rPr>
          <w:sz w:val="24"/>
          <w:szCs w:val="24"/>
        </w:rPr>
        <w:t>imeframe in resource s</w:t>
      </w:r>
      <w:r w:rsidR="00704F60" w:rsidRPr="00F87888">
        <w:rPr>
          <w:sz w:val="24"/>
          <w:szCs w:val="24"/>
        </w:rPr>
        <w:t>cenarios A1 and A3.</w:t>
      </w:r>
      <w:r w:rsidR="00187F67" w:rsidRPr="00187F67">
        <w:rPr>
          <w:sz w:val="24"/>
          <w:szCs w:val="24"/>
        </w:rPr>
        <w:t xml:space="preserve"> </w:t>
      </w:r>
    </w:p>
    <w:p w14:paraId="53887C3B" w14:textId="0A462BC4" w:rsidR="00187F67" w:rsidRPr="00F87888" w:rsidRDefault="00187F67" w:rsidP="00187F67">
      <w:pPr>
        <w:spacing w:after="280"/>
        <w:rPr>
          <w:sz w:val="24"/>
          <w:szCs w:val="24"/>
        </w:rPr>
      </w:pPr>
      <w:r w:rsidRPr="00F87888">
        <w:rPr>
          <w:sz w:val="24"/>
          <w:szCs w:val="24"/>
        </w:rPr>
        <w:t xml:space="preserve">Figures 3 and 4 show that the Alternative 3 Hybrid Takeaway is the least cost alternative in terms of Core customer PVRR in all resource scenarios and in every load sensitivity examined in the 2014 IRP. As a result of this dominance of Alternative 3, there is no need to complete a real options analysis, as no combination of subjective probabilities with respect to future resource scenarios or load growth </w:t>
      </w:r>
      <w:r>
        <w:rPr>
          <w:sz w:val="24"/>
          <w:szCs w:val="24"/>
        </w:rPr>
        <w:t xml:space="preserve">sensitivities </w:t>
      </w:r>
      <w:r w:rsidRPr="00F87888">
        <w:rPr>
          <w:sz w:val="24"/>
          <w:szCs w:val="24"/>
        </w:rPr>
        <w:t>result in either Alternative 1 or Alternative 2 having a lower PVRR than Alternative 3.</w:t>
      </w:r>
      <w:r w:rsidR="000F5B4E">
        <w:rPr>
          <w:rStyle w:val="FootnoteReference"/>
          <w:sz w:val="24"/>
          <w:szCs w:val="24"/>
        </w:rPr>
        <w:footnoteReference w:id="36"/>
      </w:r>
    </w:p>
    <w:p w14:paraId="58E1BD66" w14:textId="3C070BAB" w:rsidR="00A960EF" w:rsidRPr="00F87888" w:rsidRDefault="00947D58" w:rsidP="00E91EEF">
      <w:pPr>
        <w:keepNext/>
        <w:spacing w:after="120"/>
        <w:rPr>
          <w:b/>
          <w:sz w:val="24"/>
          <w:szCs w:val="24"/>
        </w:rPr>
      </w:pPr>
      <w:r w:rsidRPr="00F87888">
        <w:rPr>
          <w:b/>
          <w:sz w:val="24"/>
          <w:szCs w:val="24"/>
        </w:rPr>
        <w:t>Figure 3</w:t>
      </w:r>
      <w:r w:rsidR="00A960EF" w:rsidRPr="00F87888">
        <w:rPr>
          <w:b/>
          <w:sz w:val="24"/>
          <w:szCs w:val="24"/>
        </w:rPr>
        <w:t xml:space="preserve"> – Present Value of Re</w:t>
      </w:r>
      <w:r w:rsidR="00704F60" w:rsidRPr="00F87888">
        <w:rPr>
          <w:b/>
          <w:sz w:val="24"/>
          <w:szCs w:val="24"/>
        </w:rPr>
        <w:t xml:space="preserve">venue Requirements </w:t>
      </w:r>
      <w:r w:rsidR="00A960EF" w:rsidRPr="00F87888">
        <w:rPr>
          <w:b/>
          <w:sz w:val="24"/>
          <w:szCs w:val="24"/>
        </w:rPr>
        <w:t>for Resource Scenarios A1 and A3</w:t>
      </w:r>
    </w:p>
    <w:p w14:paraId="58E1BD67" w14:textId="249C450D" w:rsidR="00A960EF" w:rsidRPr="00F87888" w:rsidRDefault="00EC61D5" w:rsidP="00E91EEF">
      <w:pPr>
        <w:widowControl w:val="0"/>
        <w:spacing w:after="280"/>
        <w:jc w:val="center"/>
        <w:rPr>
          <w:sz w:val="24"/>
          <w:szCs w:val="24"/>
        </w:rPr>
      </w:pPr>
      <w:r w:rsidRPr="00F87888">
        <w:rPr>
          <w:noProof/>
          <w:sz w:val="24"/>
          <w:szCs w:val="24"/>
        </w:rPr>
        <w:drawing>
          <wp:inline distT="0" distB="0" distL="0" distR="0" wp14:anchorId="1A11C0DE" wp14:editId="488DABC1">
            <wp:extent cx="5943600" cy="41148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CAB3C6" w14:textId="77777777" w:rsidR="00840402" w:rsidRDefault="00840402" w:rsidP="00840402">
      <w:pPr>
        <w:spacing w:after="280"/>
        <w:rPr>
          <w:sz w:val="24"/>
          <w:szCs w:val="24"/>
        </w:rPr>
      </w:pPr>
    </w:p>
    <w:p w14:paraId="328F035D" w14:textId="77777777" w:rsidR="00840402" w:rsidRPr="00F87888" w:rsidRDefault="00840402" w:rsidP="00840402">
      <w:pPr>
        <w:spacing w:after="280"/>
        <w:rPr>
          <w:sz w:val="24"/>
          <w:szCs w:val="24"/>
        </w:rPr>
      </w:pPr>
      <w:r w:rsidRPr="00F87888">
        <w:rPr>
          <w:sz w:val="24"/>
          <w:szCs w:val="24"/>
        </w:rPr>
        <w:t>The analysis concludes that a decision to upsize the new northbound pipeline for shared use is unnecessary, as there is an alternative configuration of North Mist takeaway pipelines with a lower PVRR than Alternative 1’s shared new northbound takeaway pipeline.</w:t>
      </w:r>
    </w:p>
    <w:p w14:paraId="58E1BD68" w14:textId="76682C54" w:rsidR="00A960EF" w:rsidRPr="00F87888" w:rsidRDefault="00840402" w:rsidP="00E91EEF">
      <w:pPr>
        <w:spacing w:after="280"/>
        <w:rPr>
          <w:sz w:val="24"/>
          <w:szCs w:val="24"/>
        </w:rPr>
      </w:pPr>
      <w:r w:rsidRPr="00F87888">
        <w:rPr>
          <w:sz w:val="24"/>
          <w:szCs w:val="24"/>
        </w:rPr>
        <w:t>A key remaining question is how the recently updated North Mist cost estimates compare with those used in the 2014 IRP and the related question of whether the lowest cost configuration of a North Mist Expansion for Core customers retains the same order of selection in the 2014 IRP as a component of least cost resource portfolios. In other words, does another resource identified in the 2014 IRP now appear to be a lower cost resource than a North Mist Expansion?</w:t>
      </w:r>
    </w:p>
    <w:p w14:paraId="58E1BD69" w14:textId="77777777" w:rsidR="00704F60" w:rsidRDefault="00947D58" w:rsidP="00E91EEF">
      <w:pPr>
        <w:keepNext/>
        <w:spacing w:after="120"/>
        <w:rPr>
          <w:b/>
          <w:sz w:val="24"/>
          <w:szCs w:val="24"/>
        </w:rPr>
      </w:pPr>
      <w:r w:rsidRPr="00F87888">
        <w:rPr>
          <w:b/>
          <w:sz w:val="24"/>
          <w:szCs w:val="24"/>
        </w:rPr>
        <w:t>Figure 4</w:t>
      </w:r>
      <w:r w:rsidR="00704F60" w:rsidRPr="00F87888">
        <w:rPr>
          <w:b/>
          <w:sz w:val="24"/>
          <w:szCs w:val="24"/>
        </w:rPr>
        <w:t xml:space="preserve"> – Present Value of Revenue Requirements for Resource Scenarios A2, B1, and B2</w:t>
      </w:r>
    </w:p>
    <w:p w14:paraId="451F4F33" w14:textId="7D8D08F9" w:rsidR="00DA0E38" w:rsidRPr="00F87888" w:rsidRDefault="00DA0E38" w:rsidP="00264EA9">
      <w:pPr>
        <w:keepNext/>
        <w:spacing w:after="280"/>
        <w:jc w:val="center"/>
        <w:rPr>
          <w:b/>
          <w:sz w:val="24"/>
          <w:szCs w:val="24"/>
        </w:rPr>
      </w:pPr>
      <w:r>
        <w:rPr>
          <w:noProof/>
        </w:rPr>
        <w:drawing>
          <wp:inline distT="0" distB="0" distL="0" distR="0" wp14:anchorId="269E3969" wp14:editId="57814990">
            <wp:extent cx="5943600" cy="41148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E1BD6B" w14:textId="2C887AD7" w:rsidR="00A960EF" w:rsidRPr="00F87888" w:rsidRDefault="00A960EF" w:rsidP="00264EA9">
      <w:pPr>
        <w:spacing w:after="280"/>
        <w:rPr>
          <w:sz w:val="24"/>
          <w:szCs w:val="24"/>
        </w:rPr>
      </w:pPr>
    </w:p>
    <w:p w14:paraId="58E1BD6F" w14:textId="6BA70AA6" w:rsidR="006463DC" w:rsidRPr="00F87888" w:rsidRDefault="00C90859" w:rsidP="00E91EEF">
      <w:pPr>
        <w:pStyle w:val="FootnoteText"/>
        <w:spacing w:after="280"/>
        <w:rPr>
          <w:sz w:val="24"/>
          <w:szCs w:val="24"/>
        </w:rPr>
      </w:pPr>
      <w:r w:rsidRPr="00F87888">
        <w:rPr>
          <w:sz w:val="24"/>
          <w:szCs w:val="24"/>
        </w:rPr>
        <w:t xml:space="preserve">The </w:t>
      </w:r>
      <w:r w:rsidR="00741D9D" w:rsidRPr="00F87888">
        <w:rPr>
          <w:sz w:val="24"/>
          <w:szCs w:val="24"/>
        </w:rPr>
        <w:t>least cost resource portfolios</w:t>
      </w:r>
      <w:r w:rsidRPr="00F87888">
        <w:rPr>
          <w:sz w:val="24"/>
          <w:szCs w:val="24"/>
        </w:rPr>
        <w:t xml:space="preserve"> in the 2014 IRP</w:t>
      </w:r>
      <w:r w:rsidR="00741D9D" w:rsidRPr="00F87888">
        <w:rPr>
          <w:sz w:val="24"/>
          <w:szCs w:val="24"/>
        </w:rPr>
        <w:t xml:space="preserve"> included</w:t>
      </w:r>
      <w:r w:rsidR="005E12E0" w:rsidRPr="00F87888">
        <w:rPr>
          <w:sz w:val="24"/>
          <w:szCs w:val="24"/>
        </w:rPr>
        <w:t xml:space="preserve"> North Mist as the </w:t>
      </w:r>
      <w:r w:rsidRPr="00F87888">
        <w:rPr>
          <w:sz w:val="24"/>
          <w:szCs w:val="24"/>
        </w:rPr>
        <w:t>resource added</w:t>
      </w:r>
      <w:r w:rsidR="000D2C77">
        <w:rPr>
          <w:sz w:val="24"/>
          <w:szCs w:val="24"/>
        </w:rPr>
        <w:t xml:space="preserve"> after Segment</w:t>
      </w:r>
      <w:r w:rsidR="00604C82">
        <w:rPr>
          <w:sz w:val="24"/>
          <w:szCs w:val="24"/>
        </w:rPr>
        <w:t>ed</w:t>
      </w:r>
      <w:r w:rsidR="000D2C77">
        <w:rPr>
          <w:sz w:val="24"/>
          <w:szCs w:val="24"/>
        </w:rPr>
        <w:t xml:space="preserve"> Capacity and Mist Recall</w:t>
      </w:r>
      <w:r w:rsidR="005E12E0" w:rsidRPr="00F87888">
        <w:rPr>
          <w:sz w:val="24"/>
          <w:szCs w:val="24"/>
        </w:rPr>
        <w:t xml:space="preserve"> in</w:t>
      </w:r>
      <w:r w:rsidRPr="00F87888">
        <w:rPr>
          <w:sz w:val="24"/>
          <w:szCs w:val="24"/>
        </w:rPr>
        <w:t xml:space="preserve"> resource s</w:t>
      </w:r>
      <w:r w:rsidR="005E12E0" w:rsidRPr="00F87888">
        <w:rPr>
          <w:sz w:val="24"/>
          <w:szCs w:val="24"/>
        </w:rPr>
        <w:t>cenarios A1</w:t>
      </w:r>
      <w:r w:rsidR="006463DC" w:rsidRPr="00F87888">
        <w:rPr>
          <w:sz w:val="24"/>
          <w:szCs w:val="24"/>
        </w:rPr>
        <w:t xml:space="preserve"> and A3</w:t>
      </w:r>
      <w:r w:rsidR="00604C82">
        <w:rPr>
          <w:sz w:val="24"/>
          <w:szCs w:val="24"/>
        </w:rPr>
        <w:t>,</w:t>
      </w:r>
      <w:r w:rsidR="006463DC" w:rsidRPr="00F87888">
        <w:rPr>
          <w:sz w:val="24"/>
          <w:szCs w:val="24"/>
        </w:rPr>
        <w:t xml:space="preserve"> </w:t>
      </w:r>
      <w:r w:rsidR="005E12E0" w:rsidRPr="00F87888">
        <w:rPr>
          <w:sz w:val="24"/>
          <w:szCs w:val="24"/>
        </w:rPr>
        <w:t xml:space="preserve">over a </w:t>
      </w:r>
      <w:r w:rsidR="00A3050D" w:rsidRPr="00F87888">
        <w:rPr>
          <w:sz w:val="24"/>
          <w:szCs w:val="24"/>
        </w:rPr>
        <w:t xml:space="preserve">higher cost </w:t>
      </w:r>
      <w:r w:rsidR="00947D58" w:rsidRPr="00F87888">
        <w:rPr>
          <w:sz w:val="24"/>
          <w:szCs w:val="24"/>
        </w:rPr>
        <w:t xml:space="preserve">resource portfolio for each of </w:t>
      </w:r>
      <w:r w:rsidR="006463DC" w:rsidRPr="00F87888">
        <w:rPr>
          <w:sz w:val="24"/>
          <w:szCs w:val="24"/>
        </w:rPr>
        <w:t>these</w:t>
      </w:r>
      <w:r w:rsidR="00947D58" w:rsidRPr="00F87888">
        <w:rPr>
          <w:sz w:val="24"/>
          <w:szCs w:val="24"/>
        </w:rPr>
        <w:t xml:space="preserve"> scenarios</w:t>
      </w:r>
      <w:r w:rsidR="006463DC" w:rsidRPr="00F87888">
        <w:rPr>
          <w:sz w:val="24"/>
          <w:szCs w:val="24"/>
        </w:rPr>
        <w:t xml:space="preserve"> having</w:t>
      </w:r>
      <w:r w:rsidR="00947D58" w:rsidRPr="00F87888">
        <w:rPr>
          <w:sz w:val="24"/>
          <w:szCs w:val="24"/>
        </w:rPr>
        <w:t xml:space="preserve"> a prospective </w:t>
      </w:r>
      <w:r w:rsidR="005E12E0" w:rsidRPr="00F87888">
        <w:rPr>
          <w:sz w:val="24"/>
          <w:szCs w:val="24"/>
        </w:rPr>
        <w:t>Clark County LNG facility</w:t>
      </w:r>
      <w:r w:rsidR="006463DC" w:rsidRPr="00F87888">
        <w:rPr>
          <w:sz w:val="24"/>
          <w:szCs w:val="24"/>
        </w:rPr>
        <w:t xml:space="preserve"> as the resource</w:t>
      </w:r>
      <w:r w:rsidR="00604C82">
        <w:rPr>
          <w:sz w:val="24"/>
          <w:szCs w:val="24"/>
        </w:rPr>
        <w:t xml:space="preserve"> added after Segmented Capacity and Mist Recall</w:t>
      </w:r>
      <w:r w:rsidR="006463DC" w:rsidRPr="00F87888">
        <w:rPr>
          <w:sz w:val="24"/>
          <w:szCs w:val="24"/>
        </w:rPr>
        <w:t xml:space="preserve"> in each scenario. </w:t>
      </w:r>
      <w:r w:rsidR="000D2C77">
        <w:rPr>
          <w:sz w:val="24"/>
          <w:szCs w:val="24"/>
        </w:rPr>
        <w:t xml:space="preserve">After Segmented Capacity and Mist Recall, </w:t>
      </w:r>
      <w:r w:rsidR="006463DC" w:rsidRPr="00F87888">
        <w:rPr>
          <w:sz w:val="24"/>
          <w:szCs w:val="24"/>
        </w:rPr>
        <w:t xml:space="preserve">North Mist was </w:t>
      </w:r>
      <w:r w:rsidR="00604C82">
        <w:rPr>
          <w:sz w:val="24"/>
          <w:szCs w:val="24"/>
        </w:rPr>
        <w:t xml:space="preserve">the </w:t>
      </w:r>
      <w:r w:rsidR="005E12E0" w:rsidRPr="00F87888">
        <w:rPr>
          <w:sz w:val="24"/>
          <w:szCs w:val="24"/>
        </w:rPr>
        <w:t>resource</w:t>
      </w:r>
      <w:r w:rsidR="00604C82">
        <w:rPr>
          <w:sz w:val="24"/>
          <w:szCs w:val="24"/>
        </w:rPr>
        <w:t xml:space="preserve"> added</w:t>
      </w:r>
      <w:r w:rsidR="005E12E0" w:rsidRPr="00F87888">
        <w:rPr>
          <w:sz w:val="24"/>
          <w:szCs w:val="24"/>
        </w:rPr>
        <w:t xml:space="preserve"> </w:t>
      </w:r>
      <w:r w:rsidRPr="00F87888">
        <w:rPr>
          <w:sz w:val="24"/>
          <w:szCs w:val="24"/>
        </w:rPr>
        <w:t xml:space="preserve">(in 2030) </w:t>
      </w:r>
      <w:r w:rsidR="005E12E0" w:rsidRPr="00F87888">
        <w:rPr>
          <w:sz w:val="24"/>
          <w:szCs w:val="24"/>
        </w:rPr>
        <w:t xml:space="preserve">in </w:t>
      </w:r>
      <w:r w:rsidR="006463DC" w:rsidRPr="00F87888">
        <w:rPr>
          <w:sz w:val="24"/>
          <w:szCs w:val="24"/>
        </w:rPr>
        <w:t xml:space="preserve">the least cost resource portfolios in each of </w:t>
      </w:r>
      <w:r w:rsidR="00947D58" w:rsidRPr="00F87888">
        <w:rPr>
          <w:sz w:val="24"/>
          <w:szCs w:val="24"/>
        </w:rPr>
        <w:t xml:space="preserve">resource </w:t>
      </w:r>
      <w:r w:rsidRPr="00F87888">
        <w:rPr>
          <w:sz w:val="24"/>
          <w:szCs w:val="24"/>
        </w:rPr>
        <w:t>s</w:t>
      </w:r>
      <w:r w:rsidR="005E12E0" w:rsidRPr="00F87888">
        <w:rPr>
          <w:sz w:val="24"/>
          <w:szCs w:val="24"/>
        </w:rPr>
        <w:t>cenarios</w:t>
      </w:r>
      <w:r w:rsidR="00A3050D" w:rsidRPr="00F87888">
        <w:rPr>
          <w:sz w:val="24"/>
          <w:szCs w:val="24"/>
        </w:rPr>
        <w:t xml:space="preserve"> A2</w:t>
      </w:r>
      <w:r w:rsidR="004361EF" w:rsidRPr="00F87888">
        <w:rPr>
          <w:sz w:val="24"/>
          <w:szCs w:val="24"/>
        </w:rPr>
        <w:t>, B1</w:t>
      </w:r>
      <w:r w:rsidR="00A3050D" w:rsidRPr="00F87888">
        <w:rPr>
          <w:sz w:val="24"/>
          <w:szCs w:val="24"/>
        </w:rPr>
        <w:t>, and B2</w:t>
      </w:r>
      <w:r w:rsidR="00604C82">
        <w:rPr>
          <w:sz w:val="24"/>
          <w:szCs w:val="24"/>
        </w:rPr>
        <w:t>,</w:t>
      </w:r>
      <w:r w:rsidR="00A3050D" w:rsidRPr="00F87888">
        <w:rPr>
          <w:sz w:val="24"/>
          <w:szCs w:val="24"/>
        </w:rPr>
        <w:t xml:space="preserve"> </w:t>
      </w:r>
      <w:r w:rsidR="00741D9D" w:rsidRPr="00F87888">
        <w:rPr>
          <w:sz w:val="24"/>
          <w:szCs w:val="24"/>
        </w:rPr>
        <w:t xml:space="preserve">over a </w:t>
      </w:r>
      <w:r w:rsidR="00A3050D" w:rsidRPr="00F87888">
        <w:rPr>
          <w:sz w:val="24"/>
          <w:szCs w:val="24"/>
        </w:rPr>
        <w:t xml:space="preserve">higher cost </w:t>
      </w:r>
      <w:r w:rsidR="00741D9D" w:rsidRPr="00F87888">
        <w:rPr>
          <w:sz w:val="24"/>
          <w:szCs w:val="24"/>
        </w:rPr>
        <w:t>resource</w:t>
      </w:r>
      <w:r w:rsidR="004D0CDE" w:rsidRPr="00F87888">
        <w:rPr>
          <w:sz w:val="24"/>
          <w:szCs w:val="24"/>
        </w:rPr>
        <w:t xml:space="preserve"> portfolio having a North Mist E</w:t>
      </w:r>
      <w:r w:rsidR="00741D9D" w:rsidRPr="00F87888">
        <w:rPr>
          <w:sz w:val="24"/>
          <w:szCs w:val="24"/>
        </w:rPr>
        <w:t xml:space="preserve">xpansion as the </w:t>
      </w:r>
      <w:r w:rsidR="00741D9D" w:rsidRPr="00F87888">
        <w:rPr>
          <w:i/>
          <w:sz w:val="24"/>
          <w:szCs w:val="24"/>
        </w:rPr>
        <w:t>first</w:t>
      </w:r>
      <w:r w:rsidR="00741D9D" w:rsidRPr="00F87888">
        <w:rPr>
          <w:sz w:val="24"/>
          <w:szCs w:val="24"/>
        </w:rPr>
        <w:t xml:space="preserve"> choice</w:t>
      </w:r>
      <w:r w:rsidR="000D2C77">
        <w:rPr>
          <w:sz w:val="24"/>
          <w:szCs w:val="24"/>
        </w:rPr>
        <w:t xml:space="preserve"> after Segment</w:t>
      </w:r>
      <w:r w:rsidR="00604C82">
        <w:rPr>
          <w:sz w:val="24"/>
          <w:szCs w:val="24"/>
        </w:rPr>
        <w:t>ed</w:t>
      </w:r>
      <w:r w:rsidR="000D2C77">
        <w:rPr>
          <w:sz w:val="24"/>
          <w:szCs w:val="24"/>
        </w:rPr>
        <w:t xml:space="preserve"> Capacity and Mist Recall</w:t>
      </w:r>
      <w:r w:rsidR="003748FF" w:rsidRPr="00F87888">
        <w:rPr>
          <w:sz w:val="24"/>
          <w:szCs w:val="24"/>
        </w:rPr>
        <w:t>.</w:t>
      </w:r>
      <w:r w:rsidR="003748FF" w:rsidRPr="00F87888">
        <w:rPr>
          <w:rStyle w:val="FootnoteReference"/>
          <w:sz w:val="24"/>
          <w:szCs w:val="24"/>
        </w:rPr>
        <w:footnoteReference w:id="37"/>
      </w:r>
      <w:r w:rsidR="00741D9D" w:rsidRPr="00F87888">
        <w:rPr>
          <w:sz w:val="24"/>
          <w:szCs w:val="24"/>
        </w:rPr>
        <w:t xml:space="preserve"> </w:t>
      </w:r>
    </w:p>
    <w:p w14:paraId="58E1BD70" w14:textId="77777777" w:rsidR="00A960EF" w:rsidRPr="00F87888" w:rsidRDefault="00947D58" w:rsidP="00E91EEF">
      <w:pPr>
        <w:pStyle w:val="FootnoteText"/>
        <w:spacing w:after="280"/>
        <w:rPr>
          <w:sz w:val="24"/>
          <w:szCs w:val="24"/>
        </w:rPr>
      </w:pPr>
      <w:r w:rsidRPr="00F87888">
        <w:rPr>
          <w:sz w:val="24"/>
          <w:szCs w:val="24"/>
        </w:rPr>
        <w:t xml:space="preserve">The </w:t>
      </w:r>
      <w:r w:rsidR="006463DC" w:rsidRPr="00F87888">
        <w:rPr>
          <w:sz w:val="24"/>
          <w:szCs w:val="24"/>
        </w:rPr>
        <w:t>cost of achieving the first 50 MDT/day</w:t>
      </w:r>
      <w:r w:rsidR="00DE4F92" w:rsidRPr="00F87888">
        <w:rPr>
          <w:sz w:val="24"/>
          <w:szCs w:val="24"/>
        </w:rPr>
        <w:t xml:space="preserve"> of capacity</w:t>
      </w:r>
      <w:r w:rsidR="006463DC" w:rsidRPr="00F87888">
        <w:rPr>
          <w:sz w:val="24"/>
          <w:szCs w:val="24"/>
        </w:rPr>
        <w:t xml:space="preserve"> in the least cost Alternative 3 </w:t>
      </w:r>
      <w:r w:rsidR="00AE3CC3" w:rsidRPr="00F87888">
        <w:rPr>
          <w:sz w:val="24"/>
          <w:szCs w:val="24"/>
        </w:rPr>
        <w:t xml:space="preserve">is less than the cost of the 100 MDT/day North Mist capacity estimated in the 2014 IRP. </w:t>
      </w:r>
      <w:r w:rsidR="004D0CDE" w:rsidRPr="00F87888">
        <w:rPr>
          <w:sz w:val="24"/>
          <w:szCs w:val="24"/>
        </w:rPr>
        <w:t xml:space="preserve">The </w:t>
      </w:r>
      <w:r w:rsidR="00C90859" w:rsidRPr="00F87888">
        <w:rPr>
          <w:sz w:val="24"/>
          <w:szCs w:val="24"/>
        </w:rPr>
        <w:t xml:space="preserve">configuration of a </w:t>
      </w:r>
      <w:r w:rsidR="004D0CDE" w:rsidRPr="00F87888">
        <w:rPr>
          <w:sz w:val="24"/>
          <w:szCs w:val="24"/>
        </w:rPr>
        <w:t>North Mist E</w:t>
      </w:r>
      <w:r w:rsidR="00C12D7E" w:rsidRPr="00F87888">
        <w:rPr>
          <w:sz w:val="24"/>
          <w:szCs w:val="24"/>
        </w:rPr>
        <w:t>xpansion mod</w:t>
      </w:r>
      <w:r w:rsidR="00AE3CC3" w:rsidRPr="00F87888">
        <w:rPr>
          <w:sz w:val="24"/>
          <w:szCs w:val="24"/>
        </w:rPr>
        <w:t>eled in the 2014 IRP had a rate—</w:t>
      </w:r>
      <w:r w:rsidR="00C12D7E" w:rsidRPr="00F87888">
        <w:rPr>
          <w:sz w:val="24"/>
          <w:szCs w:val="24"/>
        </w:rPr>
        <w:t>including a NWP redelivery ta</w:t>
      </w:r>
      <w:r w:rsidR="00AE3CC3" w:rsidRPr="00F87888">
        <w:rPr>
          <w:sz w:val="24"/>
          <w:szCs w:val="24"/>
        </w:rPr>
        <w:t>riff of about $0.10 per Dth/day—</w:t>
      </w:r>
      <w:r w:rsidR="00C12D7E" w:rsidRPr="00F87888">
        <w:rPr>
          <w:sz w:val="24"/>
          <w:szCs w:val="24"/>
        </w:rPr>
        <w:t>of $0.34 per Dth/day</w:t>
      </w:r>
      <w:r w:rsidR="00C12D7E" w:rsidRPr="00F87888">
        <w:rPr>
          <w:rStyle w:val="FootnoteReference"/>
          <w:sz w:val="24"/>
          <w:szCs w:val="24"/>
        </w:rPr>
        <w:footnoteReference w:id="38"/>
      </w:r>
      <w:r w:rsidR="00C12D7E" w:rsidRPr="00F87888">
        <w:rPr>
          <w:sz w:val="24"/>
          <w:szCs w:val="24"/>
        </w:rPr>
        <w:t xml:space="preserve"> and the rate for the first 50 MDT/day considered in the current analysis, also including a $0.10 per Dth/day</w:t>
      </w:r>
      <w:r w:rsidR="00AE3CC3" w:rsidRPr="00F87888">
        <w:rPr>
          <w:sz w:val="24"/>
          <w:szCs w:val="24"/>
        </w:rPr>
        <w:t xml:space="preserve"> NWP redelivery tariff, is $0.32</w:t>
      </w:r>
      <w:r w:rsidR="00C12D7E" w:rsidRPr="00F87888">
        <w:rPr>
          <w:sz w:val="24"/>
          <w:szCs w:val="24"/>
        </w:rPr>
        <w:t xml:space="preserve"> per Dth/day.</w:t>
      </w:r>
      <w:r w:rsidR="00FE2E41" w:rsidRPr="00F87888">
        <w:rPr>
          <w:sz w:val="24"/>
          <w:szCs w:val="24"/>
        </w:rPr>
        <w:t xml:space="preserve"> </w:t>
      </w:r>
      <w:r w:rsidR="00AE3CC3" w:rsidRPr="00F87888">
        <w:rPr>
          <w:sz w:val="24"/>
          <w:szCs w:val="24"/>
        </w:rPr>
        <w:t xml:space="preserve">Achieving the second 50 MDT/day of North Mist capacity in Alternative 3, including a $0.10 per Dth/day NWP redelivery tariff, is $0.43 per Dth/day. </w:t>
      </w:r>
      <w:r w:rsidR="00FE2E41" w:rsidRPr="00F87888">
        <w:rPr>
          <w:sz w:val="24"/>
          <w:szCs w:val="24"/>
        </w:rPr>
        <w:t xml:space="preserve">This latter </w:t>
      </w:r>
      <w:r w:rsidR="00C90859" w:rsidRPr="00F87888">
        <w:rPr>
          <w:sz w:val="24"/>
          <w:szCs w:val="24"/>
        </w:rPr>
        <w:t xml:space="preserve">(and higher) </w:t>
      </w:r>
      <w:r w:rsidR="00FE2E41" w:rsidRPr="00F87888">
        <w:rPr>
          <w:sz w:val="24"/>
          <w:szCs w:val="24"/>
        </w:rPr>
        <w:t>value compares favorably to the next lowest cost resource indicated in Table 7.4 on page 7.12 of the 2014 IRP, which is a Clark County LNG storage facility with an estimated rate per Dth/day of $0.55.</w:t>
      </w:r>
      <w:r w:rsidR="00FE2E41" w:rsidRPr="00F87888">
        <w:rPr>
          <w:rStyle w:val="FootnoteReference"/>
          <w:sz w:val="24"/>
          <w:szCs w:val="24"/>
        </w:rPr>
        <w:footnoteReference w:id="39"/>
      </w:r>
      <w:r w:rsidR="00C66B49" w:rsidRPr="00F87888">
        <w:rPr>
          <w:sz w:val="24"/>
          <w:szCs w:val="24"/>
        </w:rPr>
        <w:t xml:space="preserve"> See Figures 3 and 4 for the PVRR of a Clark County LNG facility</w:t>
      </w:r>
      <w:r w:rsidR="00786AE4" w:rsidRPr="00F87888">
        <w:rPr>
          <w:sz w:val="24"/>
          <w:szCs w:val="24"/>
        </w:rPr>
        <w:t xml:space="preserve"> in comparison with values of PVRR for the three North Mist Expansion alternatives</w:t>
      </w:r>
      <w:r w:rsidR="00C66B49" w:rsidRPr="00F87888">
        <w:rPr>
          <w:sz w:val="24"/>
          <w:szCs w:val="24"/>
        </w:rPr>
        <w:t>.</w:t>
      </w:r>
    </w:p>
    <w:p w14:paraId="58E1BD73" w14:textId="77777777" w:rsidR="00A23FD7" w:rsidRPr="00F87888" w:rsidRDefault="00A23FD7" w:rsidP="00E91EEF">
      <w:pPr>
        <w:pStyle w:val="FootnoteText"/>
        <w:spacing w:after="120"/>
        <w:rPr>
          <w:sz w:val="24"/>
          <w:szCs w:val="24"/>
        </w:rPr>
      </w:pPr>
      <w:r w:rsidRPr="00F87888">
        <w:rPr>
          <w:b/>
          <w:sz w:val="24"/>
          <w:szCs w:val="24"/>
        </w:rPr>
        <w:t>NW Natural’s Hinshaw Exemption</w:t>
      </w:r>
    </w:p>
    <w:p w14:paraId="6775905C" w14:textId="77777777" w:rsidR="00472984" w:rsidRPr="00472984" w:rsidRDefault="00472984" w:rsidP="00472984">
      <w:pPr>
        <w:spacing w:after="280"/>
        <w:rPr>
          <w:sz w:val="24"/>
          <w:szCs w:val="24"/>
        </w:rPr>
      </w:pPr>
      <w:r w:rsidRPr="00472984">
        <w:rPr>
          <w:sz w:val="24"/>
          <w:szCs w:val="24"/>
        </w:rPr>
        <w:t>North Mist Expansion Alternatives 1 and 3 involve transmission of gas from storage in Oregon at North Mist into Washington for ultimate delivery to NW Natural’s Core customers located in Oregon and Washington.  In 2001, NW Natural received a limited-jurisdiction blanket certificate from FERC that allows it to use storage capacity at Mist that it may develop in excess of core needs to provide storage services to customers in interstate commerce (i.e., receiving gas within Oregon and returning gas which will then flow outside of Oregon) without losing its Hinshaw Exemption.</w:t>
      </w:r>
      <w:r w:rsidRPr="00472984">
        <w:rPr>
          <w:sz w:val="24"/>
          <w:szCs w:val="24"/>
          <w:vertAlign w:val="superscript"/>
        </w:rPr>
        <w:footnoteReference w:id="40"/>
      </w:r>
      <w:r w:rsidRPr="00472984">
        <w:rPr>
          <w:sz w:val="24"/>
          <w:szCs w:val="24"/>
        </w:rPr>
        <w:t xml:space="preserve">  Under the limited-jurisdiction regulations, only the Mist interstate storage </w:t>
      </w:r>
      <w:r w:rsidRPr="00472984">
        <w:rPr>
          <w:i/>
          <w:sz w:val="24"/>
          <w:szCs w:val="24"/>
        </w:rPr>
        <w:t>services</w:t>
      </w:r>
      <w:r w:rsidRPr="00472984">
        <w:rPr>
          <w:sz w:val="24"/>
          <w:szCs w:val="24"/>
        </w:rPr>
        <w:t xml:space="preserve"> are subject to FERC jurisdiction, while the construction and operation of the Mist </w:t>
      </w:r>
      <w:r w:rsidRPr="00472984">
        <w:rPr>
          <w:i/>
          <w:sz w:val="24"/>
          <w:szCs w:val="24"/>
        </w:rPr>
        <w:t>facilities</w:t>
      </w:r>
      <w:r w:rsidRPr="00472984">
        <w:rPr>
          <w:sz w:val="24"/>
          <w:szCs w:val="24"/>
        </w:rPr>
        <w:t xml:space="preserve"> (including expansions thereof) remain subject to applicable state and local regulation (EFSC, DOGAMI, etc.).  The specific service that NW Natural provides under the certificate is a bundled transportation and storage service that may only occur on NW Natural’s Oregon LDC system.  While NW Natural cannot use this limited-jurisdiction service itself to serve its core customers in Washington, it is possible that third parties may use gas from Mist to backstop natural gas sales to NW Natural that could be received in Washington and delivered to Washington customers.  </w:t>
      </w:r>
    </w:p>
    <w:p w14:paraId="24301A13" w14:textId="75230EB6" w:rsidR="00472984" w:rsidRPr="00472984" w:rsidRDefault="00472984" w:rsidP="00472984">
      <w:pPr>
        <w:spacing w:after="280"/>
        <w:rPr>
          <w:sz w:val="24"/>
          <w:szCs w:val="24"/>
        </w:rPr>
      </w:pPr>
      <w:r w:rsidRPr="00472984">
        <w:rPr>
          <w:sz w:val="24"/>
          <w:szCs w:val="24"/>
        </w:rPr>
        <w:t>For North Mist, the same rules discussed above for NW Natural’s use of Mist for its interstate and core customers would apply.    As currently contemplated in Alternative 1, the new pipeline “takeaway” from North Mist would run north to connect to the Kelso-Beaver Pipeline, an existing interstate pipeline that runs between Oregon and NWP system in Washington.  Under Alternative 3, the northbound takeaway from North Mist would utilize the existing North Mist Pipeline, the existing North Coast Feeder, and onto NWP at the Deer Island gate for transmission by NWP.</w:t>
      </w:r>
      <w:r w:rsidRPr="00472984">
        <w:rPr>
          <w:sz w:val="24"/>
          <w:szCs w:val="24"/>
          <w:vertAlign w:val="superscript"/>
        </w:rPr>
        <w:footnoteReference w:id="41"/>
      </w:r>
      <w:r w:rsidRPr="00472984">
        <w:rPr>
          <w:sz w:val="24"/>
          <w:szCs w:val="24"/>
        </w:rPr>
        <w:t xml:space="preserve">   </w:t>
      </w:r>
      <w:r>
        <w:rPr>
          <w:sz w:val="24"/>
          <w:szCs w:val="24"/>
        </w:rPr>
        <w:t xml:space="preserve">Under either alternative, </w:t>
      </w:r>
      <w:r w:rsidRPr="00472984">
        <w:rPr>
          <w:sz w:val="24"/>
          <w:szCs w:val="24"/>
        </w:rPr>
        <w:t xml:space="preserve">NW Natural could obtain a supply resource to serve core Oregon and Washington customers from a third party </w:t>
      </w:r>
      <w:r>
        <w:rPr>
          <w:sz w:val="24"/>
          <w:szCs w:val="24"/>
        </w:rPr>
        <w:t xml:space="preserve">North </w:t>
      </w:r>
      <w:r w:rsidRPr="00472984">
        <w:rPr>
          <w:sz w:val="24"/>
          <w:szCs w:val="24"/>
        </w:rPr>
        <w:t>Mist interstate storage customer using a northbound takeaway</w:t>
      </w:r>
      <w:r w:rsidR="0076743D">
        <w:rPr>
          <w:sz w:val="24"/>
          <w:szCs w:val="24"/>
        </w:rPr>
        <w:t xml:space="preserve"> to physically move the gas into</w:t>
      </w:r>
      <w:r>
        <w:rPr>
          <w:sz w:val="24"/>
          <w:szCs w:val="24"/>
        </w:rPr>
        <w:t xml:space="preserve"> Washington.</w:t>
      </w:r>
      <w:r w:rsidRPr="00472984">
        <w:rPr>
          <w:sz w:val="24"/>
          <w:szCs w:val="24"/>
        </w:rPr>
        <w:t xml:space="preserve">  By creating the availability of this storage and transportation option, it is possible that a third party could make natural gas commodity sales to NW Natural that may include gas that such third party has stored at North Mist.  Properly structured to ensure gas does not move across state lines once the gas commodity is sold to and received by NW Natural at the gas sale delivery point in a state, such a sale would avoid impact on NW Natural’s Hinshaw Exemption.  NW Natural has not explored what such an arrangement would entail, but is encouraged that an impact on the Company’s Hinshaw Exemption could potentially be avoided.</w:t>
      </w:r>
    </w:p>
    <w:p w14:paraId="6A880A89" w14:textId="77777777" w:rsidR="00F9277E" w:rsidRPr="00F87888" w:rsidRDefault="00F9277E" w:rsidP="00E91EEF">
      <w:pPr>
        <w:pStyle w:val="FootnoteText"/>
        <w:spacing w:after="120"/>
        <w:rPr>
          <w:b/>
          <w:sz w:val="24"/>
          <w:szCs w:val="24"/>
        </w:rPr>
      </w:pPr>
      <w:r w:rsidRPr="00F87888">
        <w:rPr>
          <w:b/>
          <w:sz w:val="24"/>
          <w:szCs w:val="24"/>
        </w:rPr>
        <w:t>Conclusion</w:t>
      </w:r>
    </w:p>
    <w:p w14:paraId="58E1BD76" w14:textId="47F63811" w:rsidR="00A23FD7" w:rsidRPr="00F87888" w:rsidRDefault="00F9277E" w:rsidP="00E91EEF">
      <w:pPr>
        <w:spacing w:after="280"/>
        <w:rPr>
          <w:sz w:val="24"/>
          <w:szCs w:val="24"/>
        </w:rPr>
      </w:pPr>
      <w:r w:rsidRPr="00F87888">
        <w:rPr>
          <w:sz w:val="24"/>
          <w:szCs w:val="24"/>
        </w:rPr>
        <w:t xml:space="preserve">NW Natural’s analysis shows that a North Mist Expansion using the </w:t>
      </w:r>
      <w:r w:rsidR="00DA0E38">
        <w:rPr>
          <w:sz w:val="24"/>
          <w:szCs w:val="24"/>
        </w:rPr>
        <w:t xml:space="preserve">Alternative 3 Hybrid Takeaway </w:t>
      </w:r>
      <w:r w:rsidRPr="00F87888">
        <w:rPr>
          <w:sz w:val="24"/>
          <w:szCs w:val="24"/>
        </w:rPr>
        <w:t xml:space="preserve">configuration </w:t>
      </w:r>
      <w:r w:rsidR="00B25519" w:rsidRPr="00F87888">
        <w:rPr>
          <w:sz w:val="24"/>
          <w:szCs w:val="24"/>
        </w:rPr>
        <w:t>is</w:t>
      </w:r>
      <w:r w:rsidRPr="00F87888">
        <w:rPr>
          <w:sz w:val="24"/>
          <w:szCs w:val="24"/>
        </w:rPr>
        <w:t xml:space="preserve"> least cost in terms of PVRR for Core customers when compared with the </w:t>
      </w:r>
      <w:r w:rsidR="00B25519" w:rsidRPr="00F87888">
        <w:rPr>
          <w:sz w:val="24"/>
          <w:szCs w:val="24"/>
        </w:rPr>
        <w:t xml:space="preserve">Alternative 1 </w:t>
      </w:r>
      <w:r w:rsidRPr="00F87888">
        <w:rPr>
          <w:sz w:val="24"/>
          <w:szCs w:val="24"/>
        </w:rPr>
        <w:t xml:space="preserve">configuration and </w:t>
      </w:r>
      <w:r w:rsidR="00DA0E38">
        <w:rPr>
          <w:sz w:val="24"/>
          <w:szCs w:val="24"/>
        </w:rPr>
        <w:t xml:space="preserve">with </w:t>
      </w:r>
      <w:r w:rsidRPr="00F87888">
        <w:rPr>
          <w:sz w:val="24"/>
          <w:szCs w:val="24"/>
        </w:rPr>
        <w:t>other future resource alternatives analyzed in the 2014</w:t>
      </w:r>
      <w:r w:rsidR="00D203E2">
        <w:rPr>
          <w:sz w:val="24"/>
          <w:szCs w:val="24"/>
        </w:rPr>
        <w:t> </w:t>
      </w:r>
      <w:r w:rsidRPr="00F87888">
        <w:rPr>
          <w:sz w:val="24"/>
          <w:szCs w:val="24"/>
        </w:rPr>
        <w:t>IRP. As Alternative</w:t>
      </w:r>
      <w:r w:rsidR="000C5530" w:rsidRPr="00F87888">
        <w:rPr>
          <w:sz w:val="24"/>
          <w:szCs w:val="24"/>
        </w:rPr>
        <w:t> </w:t>
      </w:r>
      <w:r w:rsidRPr="00F87888">
        <w:rPr>
          <w:sz w:val="24"/>
          <w:szCs w:val="24"/>
        </w:rPr>
        <w:t>3 has no near-term investment based on any load forecast sensitivity included in the 2014</w:t>
      </w:r>
      <w:r w:rsidR="000C5530" w:rsidRPr="00F87888">
        <w:rPr>
          <w:sz w:val="24"/>
          <w:szCs w:val="24"/>
        </w:rPr>
        <w:t> </w:t>
      </w:r>
      <w:r w:rsidRPr="00F87888">
        <w:rPr>
          <w:sz w:val="24"/>
          <w:szCs w:val="24"/>
        </w:rPr>
        <w:t>IRP, NW</w:t>
      </w:r>
      <w:r w:rsidR="001F1004" w:rsidRPr="00F87888">
        <w:rPr>
          <w:sz w:val="24"/>
          <w:szCs w:val="24"/>
        </w:rPr>
        <w:t> </w:t>
      </w:r>
      <w:r w:rsidRPr="00F87888">
        <w:rPr>
          <w:sz w:val="24"/>
          <w:szCs w:val="24"/>
        </w:rPr>
        <w:t xml:space="preserve">Natural has </w:t>
      </w:r>
      <w:r w:rsidR="000C5530" w:rsidRPr="00F87888">
        <w:rPr>
          <w:sz w:val="24"/>
          <w:szCs w:val="24"/>
        </w:rPr>
        <w:t xml:space="preserve">sufficient </w:t>
      </w:r>
      <w:r w:rsidRPr="00F87888">
        <w:rPr>
          <w:sz w:val="24"/>
          <w:szCs w:val="24"/>
        </w:rPr>
        <w:t xml:space="preserve">time in which to explore </w:t>
      </w:r>
      <w:r w:rsidR="00D6544A">
        <w:rPr>
          <w:sz w:val="24"/>
          <w:szCs w:val="24"/>
        </w:rPr>
        <w:t>other</w:t>
      </w:r>
      <w:r w:rsidRPr="00F87888">
        <w:rPr>
          <w:sz w:val="24"/>
          <w:szCs w:val="24"/>
        </w:rPr>
        <w:t xml:space="preserve"> arrangement</w:t>
      </w:r>
      <w:r w:rsidR="00D6544A">
        <w:rPr>
          <w:sz w:val="24"/>
          <w:szCs w:val="24"/>
        </w:rPr>
        <w:t>s, such as</w:t>
      </w:r>
      <w:r w:rsidRPr="00F87888">
        <w:rPr>
          <w:sz w:val="24"/>
          <w:szCs w:val="24"/>
        </w:rPr>
        <w:t xml:space="preserve"> with a third party so as to avoid impact on the Company’s Hinshaw Exemption.</w:t>
      </w:r>
    </w:p>
    <w:sectPr w:rsidR="00A23FD7" w:rsidRPr="00F87888" w:rsidSect="00077ECD">
      <w:headerReference w:type="even" r:id="rId16"/>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88D59" w14:textId="77777777" w:rsidR="00CD58FE" w:rsidRDefault="00CD58FE" w:rsidP="00C3368F">
      <w:pPr>
        <w:spacing w:after="0" w:line="240" w:lineRule="auto"/>
      </w:pPr>
      <w:r>
        <w:separator/>
      </w:r>
    </w:p>
  </w:endnote>
  <w:endnote w:type="continuationSeparator" w:id="0">
    <w:p w14:paraId="57439814" w14:textId="77777777" w:rsidR="00CD58FE" w:rsidRDefault="00CD58FE" w:rsidP="00C3368F">
      <w:pPr>
        <w:spacing w:after="0" w:line="240" w:lineRule="auto"/>
      </w:pPr>
      <w:r>
        <w:continuationSeparator/>
      </w:r>
    </w:p>
  </w:endnote>
  <w:endnote w:type="continuationNotice" w:id="1">
    <w:p w14:paraId="2118DF07" w14:textId="77777777" w:rsidR="00CD58FE" w:rsidRDefault="00CD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B4CAA" w14:textId="77777777" w:rsidR="00CD58FE" w:rsidRDefault="00CD58FE" w:rsidP="00C3368F">
      <w:pPr>
        <w:spacing w:after="0" w:line="240" w:lineRule="auto"/>
      </w:pPr>
      <w:r>
        <w:separator/>
      </w:r>
    </w:p>
  </w:footnote>
  <w:footnote w:type="continuationSeparator" w:id="0">
    <w:p w14:paraId="41F7F287" w14:textId="77777777" w:rsidR="00CD58FE" w:rsidRDefault="00CD58FE" w:rsidP="00C3368F">
      <w:pPr>
        <w:spacing w:after="0" w:line="240" w:lineRule="auto"/>
      </w:pPr>
      <w:r>
        <w:continuationSeparator/>
      </w:r>
    </w:p>
  </w:footnote>
  <w:footnote w:type="continuationNotice" w:id="1">
    <w:p w14:paraId="48AF9CAF" w14:textId="77777777" w:rsidR="00CD58FE" w:rsidRDefault="00CD58FE">
      <w:pPr>
        <w:spacing w:after="0" w:line="240" w:lineRule="auto"/>
      </w:pPr>
    </w:p>
  </w:footnote>
  <w:footnote w:id="2">
    <w:p w14:paraId="58E1BD8D" w14:textId="7777777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page 1.21 of NW Natural’s 2014 Integrated Resource Plan. The language in NW Natural’s 2014 IRP appears in the Public Utility Commission of Oregon’s Order No. 15-064 in Docket No. LC 60 as Action Plan Item 2ci.</w:t>
      </w:r>
    </w:p>
  </w:footnote>
  <w:footnote w:id="3">
    <w:p w14:paraId="58E1BD8E" w14:textId="66C8E51D" w:rsidR="00CD58FE" w:rsidRPr="00E91EEF" w:rsidRDefault="00CD58FE" w:rsidP="00774B3D">
      <w:pPr>
        <w:pStyle w:val="FootnoteText"/>
        <w:tabs>
          <w:tab w:val="left" w:pos="360"/>
        </w:tabs>
        <w:spacing w:before="80"/>
        <w:ind w:left="360" w:hanging="360"/>
      </w:pPr>
      <w:r w:rsidRPr="00E91EEF">
        <w:rPr>
          <w:rStyle w:val="FootnoteReference"/>
        </w:rPr>
        <w:footnoteRef/>
      </w:r>
      <w:r w:rsidRPr="00E91EEF">
        <w:t xml:space="preserve"> </w:t>
      </w:r>
      <w:r w:rsidRPr="00E91EEF">
        <w:tab/>
        <w:t>Incorporation of a cardinal direction (“north, “south,” and including “northbound”</w:t>
      </w:r>
      <w:r>
        <w:t xml:space="preserve"> and</w:t>
      </w:r>
      <w:r w:rsidRPr="00E91EEF">
        <w:t xml:space="preserve"> “southbound”) in describing a configuration of a North Mist takeaway pipeline is with respect to the general direction the pipeline takes from the general Mist/North Mist area.</w:t>
      </w:r>
    </w:p>
  </w:footnote>
  <w:footnote w:id="4">
    <w:p w14:paraId="58E1BD8F" w14:textId="7ADF6359"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t xml:space="preserve">The term “Core customers” as used in this document refers to NW Natural’s Firm Sales customers and the Company uses the terms Firm Sales customers and Core customers interchangeably. Core customers as used here do not include </w:t>
      </w:r>
      <w:r w:rsidR="00726C7E">
        <w:t xml:space="preserve">customers receiving service under </w:t>
      </w:r>
      <w:r w:rsidRPr="00E91EEF">
        <w:t>Oregon Rate Schedules 90/91.</w:t>
      </w:r>
    </w:p>
  </w:footnote>
  <w:footnote w:id="5">
    <w:p w14:paraId="58E1BD90" w14:textId="7296715E" w:rsidR="00CD58FE" w:rsidRPr="00E91EEF" w:rsidRDefault="00CD58FE" w:rsidP="002E1A81">
      <w:pPr>
        <w:pStyle w:val="FootnoteText"/>
        <w:tabs>
          <w:tab w:val="left" w:pos="360"/>
        </w:tabs>
        <w:spacing w:before="80"/>
        <w:ind w:left="360" w:hanging="360"/>
      </w:pPr>
      <w:r w:rsidRPr="00E91EEF">
        <w:rPr>
          <w:rStyle w:val="FootnoteReference"/>
        </w:rPr>
        <w:footnoteRef/>
      </w:r>
      <w:r w:rsidRPr="00E91EEF">
        <w:t xml:space="preserve"> </w:t>
      </w:r>
      <w:r w:rsidRPr="00E91EEF">
        <w:tab/>
        <w:t xml:space="preserve">This is the same capacity of the North Mist Expansion analyzed in the 2014 IRP. </w:t>
      </w:r>
      <w:r w:rsidRPr="00E91EEF">
        <w:rPr>
          <w:i/>
        </w:rPr>
        <w:t>See</w:t>
      </w:r>
      <w:r w:rsidRPr="00E91EEF">
        <w:t xml:space="preserve"> page 3.24 of the 2014 IRP. </w:t>
      </w:r>
    </w:p>
  </w:footnote>
  <w:footnote w:id="6">
    <w:p w14:paraId="58E1BD91" w14:textId="304539B5"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the discussion on pages 3.23 through 3.25 and Table </w:t>
      </w:r>
      <w:r>
        <w:t>1.4</w:t>
      </w:r>
      <w:r w:rsidRPr="00E91EEF">
        <w:t xml:space="preserve"> on page </w:t>
      </w:r>
      <w:r>
        <w:t>1.12</w:t>
      </w:r>
      <w:r w:rsidRPr="00E91EEF">
        <w:t xml:space="preserve"> of the 2014 IRP.</w:t>
      </w:r>
    </w:p>
  </w:footnote>
  <w:footnote w:id="7">
    <w:p w14:paraId="58E1BD92" w14:textId="7777777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t>“Transmission” here refers not only to physical transmission, but also to “transmission” by displacement; i.e., by displacement of gas that would otherwise be flowing south on the Grants Pass lateral to downstream (south of Molalla) citygates so that more gas is available at upstream (north of Molalla) citygates.</w:t>
      </w:r>
    </w:p>
  </w:footnote>
  <w:footnote w:id="8">
    <w:p w14:paraId="58E1BD93" w14:textId="77777777" w:rsidR="00CD58FE" w:rsidRPr="00E91EEF" w:rsidRDefault="00CD58FE" w:rsidP="00AC0624">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 xml:space="preserve">See </w:t>
      </w:r>
      <w:r w:rsidRPr="00E91EEF">
        <w:t>page 7.9 of the 2014 IRP.</w:t>
      </w:r>
    </w:p>
  </w:footnote>
  <w:footnote w:id="9">
    <w:p w14:paraId="58E1BD94" w14:textId="77777777" w:rsidR="00CD58FE" w:rsidRPr="00E91EEF" w:rsidRDefault="00CD58FE" w:rsidP="00AC0624">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page 7.12 of the 2014 IRP, including Table 7.3.</w:t>
      </w:r>
    </w:p>
  </w:footnote>
  <w:footnote w:id="10">
    <w:p w14:paraId="394594B0" w14:textId="0FB62E95" w:rsidR="00264EA9" w:rsidRDefault="00264EA9" w:rsidP="00264EA9">
      <w:pPr>
        <w:pStyle w:val="FootnoteText"/>
        <w:tabs>
          <w:tab w:val="left" w:pos="360"/>
        </w:tabs>
        <w:spacing w:before="80"/>
        <w:ind w:left="360" w:hanging="360"/>
      </w:pPr>
      <w:r>
        <w:rPr>
          <w:rStyle w:val="FootnoteReference"/>
        </w:rPr>
        <w:footnoteRef/>
      </w:r>
      <w:r>
        <w:t xml:space="preserve"> </w:t>
      </w:r>
      <w:r>
        <w:tab/>
        <w:t>Table 1 replicates Table 7.3 on page 7.12 of the 2014 IRP.</w:t>
      </w:r>
    </w:p>
  </w:footnote>
  <w:footnote w:id="11">
    <w:p w14:paraId="58E1BD95" w14:textId="7777777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 xml:space="preserve">See </w:t>
      </w:r>
      <w:r w:rsidRPr="00E91EEF">
        <w:t>pages 3.22 through 3.28 of the 2014 IRP for descriptions of prospective resources analyzed in the 2014 IRP.</w:t>
      </w:r>
    </w:p>
  </w:footnote>
  <w:footnote w:id="12">
    <w:p w14:paraId="58E1BD96" w14:textId="4C02F88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t>The 2014 IRP identified the prospective pipeline now known as Trail West as Cross-Cascades.</w:t>
      </w:r>
      <w:r>
        <w:t xml:space="preserve"> Note that the Trail West resource identified in this document includes NWP’s prospective NMAX service. </w:t>
      </w:r>
      <w:r w:rsidRPr="00A94131">
        <w:rPr>
          <w:i/>
        </w:rPr>
        <w:t>See</w:t>
      </w:r>
      <w:r>
        <w:t xml:space="preserve"> the discussion on pages 3.22 through 3.23 of the 2014 IRP.</w:t>
      </w:r>
    </w:p>
  </w:footnote>
  <w:footnote w:id="13">
    <w:p w14:paraId="58E1BD97" w14:textId="57BE1D6F" w:rsidR="00CD58FE" w:rsidRPr="00E91EEF" w:rsidRDefault="00CD58FE" w:rsidP="00FC30F3">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 xml:space="preserve">See </w:t>
      </w:r>
      <w:r w:rsidRPr="00E91EEF">
        <w:t>Table 1 and also 7.3 on page 7.12 of the 2014 IRP.</w:t>
      </w:r>
    </w:p>
  </w:footnote>
  <w:footnote w:id="14">
    <w:p w14:paraId="58E1BD98" w14:textId="77777777" w:rsidR="00CD58FE" w:rsidRPr="00E91EEF" w:rsidRDefault="00CD58FE" w:rsidP="00FC30F3">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page 3.24 of the 2014 IRP.</w:t>
      </w:r>
    </w:p>
  </w:footnote>
  <w:footnote w:id="15">
    <w:p w14:paraId="58E1BD99" w14:textId="1C1942F6" w:rsidR="00CD58FE" w:rsidRPr="00D16506" w:rsidRDefault="00CD58FE" w:rsidP="00FC30F3">
      <w:pPr>
        <w:pStyle w:val="FootnoteText"/>
        <w:tabs>
          <w:tab w:val="left" w:pos="360"/>
        </w:tabs>
        <w:spacing w:before="80"/>
        <w:ind w:left="360" w:hanging="360"/>
      </w:pPr>
      <w:r w:rsidRPr="00E91EEF">
        <w:rPr>
          <w:rStyle w:val="FootnoteReference"/>
        </w:rPr>
        <w:footnoteRef/>
      </w:r>
      <w:r w:rsidRPr="00E91EEF">
        <w:t xml:space="preserve"> </w:t>
      </w:r>
      <w:r w:rsidRPr="00E91EEF">
        <w:tab/>
        <w:t xml:space="preserve">This filing reads somewhat differently </w:t>
      </w:r>
      <w:r>
        <w:t>than</w:t>
      </w:r>
      <w:r w:rsidRPr="00E91EEF">
        <w:t xml:space="preserve"> the 2014 IRP as, at the time the IRP was written, the non-Core customer’s involvement was uncertain. At this time, the non-Core customer’s involvement is assumed to be certain based on </w:t>
      </w:r>
      <w:r>
        <w:t>current</w:t>
      </w:r>
      <w:r w:rsidRPr="00E91EEF">
        <w:t xml:space="preserve"> contractual realities.</w:t>
      </w:r>
    </w:p>
  </w:footnote>
  <w:footnote w:id="16">
    <w:p w14:paraId="58E1BD9A" w14:textId="7777777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page 7.14 of the 2014 IRP.</w:t>
      </w:r>
    </w:p>
  </w:footnote>
  <w:footnote w:id="17">
    <w:p w14:paraId="58E1BD9B" w14:textId="7777777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page 7.18 of the 2014 IRP. These results pertain to the Base Case load sensitivity.</w:t>
      </w:r>
    </w:p>
  </w:footnote>
  <w:footnote w:id="18">
    <w:p w14:paraId="341EE84B" w14:textId="785B25CB" w:rsidR="00CD58FE" w:rsidRDefault="00CD58FE" w:rsidP="0014494F">
      <w:pPr>
        <w:pStyle w:val="FootnoteText"/>
        <w:spacing w:before="80"/>
        <w:ind w:left="360" w:hanging="360"/>
      </w:pPr>
      <w:r>
        <w:rPr>
          <w:rStyle w:val="FootnoteReference"/>
        </w:rPr>
        <w:footnoteRef/>
      </w:r>
      <w:r>
        <w:t xml:space="preserve"> </w:t>
      </w:r>
      <w:r>
        <w:tab/>
        <w:t xml:space="preserve">The indicated years do not include any use of North Mist capacity to address issues associated with the Maximum Daily Delivery Obligation (MDDO) shortfall in NW Natural’s Vancouver (Clark County) load center, discussed on pages 3.15 through 3.17 and 7.18 through 7.19 of the 2014 IRP. Subsequent to filing the 2014 IRP, NW Natural acquired incremental MDDO from NWP; </w:t>
      </w:r>
      <w:r w:rsidRPr="006712C2">
        <w:rPr>
          <w:i/>
        </w:rPr>
        <w:t>see</w:t>
      </w:r>
      <w:r>
        <w:t xml:space="preserve"> </w:t>
      </w:r>
      <w:r w:rsidR="006712C2">
        <w:t>the</w:t>
      </w:r>
      <w:r w:rsidR="00C05B10">
        <w:t>2014 IRP Update filed</w:t>
      </w:r>
      <w:r>
        <w:t xml:space="preserve"> May 8, 2015 with the Public Utility Commission of Oregon in Docket No. LC 60. </w:t>
      </w:r>
    </w:p>
  </w:footnote>
  <w:footnote w:id="19">
    <w:p w14:paraId="15545395" w14:textId="7595C385" w:rsidR="000F2411" w:rsidRDefault="000F2411" w:rsidP="000F2411">
      <w:pPr>
        <w:pStyle w:val="FootnoteText"/>
        <w:tabs>
          <w:tab w:val="left" w:pos="360"/>
        </w:tabs>
        <w:spacing w:before="80"/>
        <w:ind w:left="360" w:hanging="360"/>
      </w:pPr>
      <w:r>
        <w:rPr>
          <w:rStyle w:val="FootnoteReference"/>
        </w:rPr>
        <w:footnoteRef/>
      </w:r>
      <w:r>
        <w:t xml:space="preserve"> </w:t>
      </w:r>
      <w:r>
        <w:tab/>
        <w:t xml:space="preserve">The current analysis assumes North Mist is not needed until </w:t>
      </w:r>
      <w:r w:rsidR="00C05B10">
        <w:t xml:space="preserve">after </w:t>
      </w:r>
      <w:r>
        <w:t>all Mist Recall is exhausted; i.</w:t>
      </w:r>
      <w:r w:rsidR="00C05B10">
        <w:t>e., in 2024 or 2030 in</w:t>
      </w:r>
      <w:r>
        <w:t xml:space="preserve"> the Base Case load sensitivity. The 2014 IRP analyzed </w:t>
      </w:r>
      <w:r w:rsidR="006712C2">
        <w:t xml:space="preserve">a </w:t>
      </w:r>
      <w:r>
        <w:t xml:space="preserve">North Mist </w:t>
      </w:r>
      <w:r w:rsidR="006712C2">
        <w:t>configuration</w:t>
      </w:r>
      <w:r>
        <w:t xml:space="preserve"> not connected with any existing NW Natural utility infrastructure, while two of the three alternative configurations </w:t>
      </w:r>
      <w:r w:rsidR="006712C2">
        <w:t xml:space="preserve">in the current analysis </w:t>
      </w:r>
      <w:r>
        <w:t xml:space="preserve">are interconnected. </w:t>
      </w:r>
      <w:r w:rsidR="00C05B10">
        <w:rPr>
          <w:i/>
        </w:rPr>
        <w:t>See</w:t>
      </w:r>
      <w:r>
        <w:t xml:space="preserve"> related discussions</w:t>
      </w:r>
      <w:r w:rsidR="00C05B10">
        <w:t xml:space="preserve"> in the 2014 IRP</w:t>
      </w:r>
      <w:r>
        <w:t xml:space="preserve"> on pages 1.10 through 1.13, 3.23 through 3.25, and especially pages 7.12 and 7.18 through 7.19.</w:t>
      </w:r>
    </w:p>
  </w:footnote>
  <w:footnote w:id="20">
    <w:p w14:paraId="58E1BD9C" w14:textId="7777777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 xml:space="preserve">See </w:t>
      </w:r>
      <w:r w:rsidRPr="00E91EEF">
        <w:t>Table 7.6 on page 7.15 of the 2014 IRP.</w:t>
      </w:r>
    </w:p>
  </w:footnote>
  <w:footnote w:id="21">
    <w:p w14:paraId="58E1BD9D" w14:textId="3EAA7FD0"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 xml:space="preserve">See </w:t>
      </w:r>
      <w:r w:rsidRPr="00E91EEF">
        <w:t xml:space="preserve">Figure 7.10 on page 7.21 and the related discussion on page 7.20 of the 2014 IRP. </w:t>
      </w:r>
      <w:r w:rsidR="00F60214" w:rsidRPr="00F60214">
        <w:rPr>
          <w:i/>
        </w:rPr>
        <w:t>See also</w:t>
      </w:r>
      <w:r w:rsidR="00F60214">
        <w:t xml:space="preserve"> the footnotes above</w:t>
      </w:r>
      <w:r w:rsidR="00221942">
        <w:t xml:space="preserve"> related to the timing of need for North Mist</w:t>
      </w:r>
      <w:r w:rsidR="00F60214">
        <w:t>.</w:t>
      </w:r>
    </w:p>
  </w:footnote>
  <w:footnote w:id="22">
    <w:p w14:paraId="58E1BD9E" w14:textId="6C2D03AC" w:rsidR="00CD58FE" w:rsidRPr="00E91EEF" w:rsidRDefault="00CD58FE" w:rsidP="00EB550C">
      <w:pPr>
        <w:tabs>
          <w:tab w:val="left" w:pos="360"/>
        </w:tabs>
        <w:spacing w:before="80" w:after="0" w:line="240" w:lineRule="auto"/>
        <w:ind w:left="360" w:hanging="360"/>
        <w:rPr>
          <w:rFonts w:ascii="Calibri" w:eastAsia="Times New Roman" w:hAnsi="Calibri" w:cs="Times New Roman"/>
          <w:color w:val="000000"/>
          <w:sz w:val="20"/>
          <w:szCs w:val="20"/>
        </w:rPr>
      </w:pPr>
      <w:r w:rsidRPr="00E91EEF">
        <w:rPr>
          <w:rStyle w:val="FootnoteReference"/>
          <w:sz w:val="20"/>
          <w:szCs w:val="20"/>
        </w:rPr>
        <w:footnoteRef/>
      </w:r>
      <w:r w:rsidRPr="00E91EEF">
        <w:rPr>
          <w:sz w:val="20"/>
          <w:szCs w:val="20"/>
        </w:rPr>
        <w:t xml:space="preserve"> </w:t>
      </w:r>
      <w:r w:rsidRPr="00E91EEF">
        <w:rPr>
          <w:sz w:val="20"/>
          <w:szCs w:val="20"/>
        </w:rPr>
        <w:tab/>
      </w:r>
      <w:r w:rsidRPr="00E91EEF">
        <w:rPr>
          <w:rFonts w:ascii="Calibri" w:eastAsia="Times New Roman" w:hAnsi="Calibri" w:cs="Times New Roman"/>
          <w:color w:val="000000"/>
          <w:sz w:val="20"/>
          <w:szCs w:val="20"/>
        </w:rPr>
        <w:t xml:space="preserve">These timings are estimated based on the 2014 IRP’s SENDOUT® results; </w:t>
      </w:r>
      <w:r w:rsidRPr="00E91EEF">
        <w:rPr>
          <w:rFonts w:ascii="Calibri" w:eastAsia="Times New Roman" w:hAnsi="Calibri" w:cs="Times New Roman"/>
          <w:i/>
          <w:color w:val="000000"/>
          <w:sz w:val="20"/>
          <w:szCs w:val="20"/>
        </w:rPr>
        <w:t>see</w:t>
      </w:r>
      <w:r w:rsidRPr="00E91EEF">
        <w:rPr>
          <w:rFonts w:ascii="Calibri" w:eastAsia="Times New Roman" w:hAnsi="Calibri" w:cs="Times New Roman"/>
          <w:color w:val="000000"/>
          <w:sz w:val="20"/>
          <w:szCs w:val="20"/>
        </w:rPr>
        <w:t xml:space="preserve"> pages 7.20 </w:t>
      </w:r>
      <w:r w:rsidR="00221942">
        <w:rPr>
          <w:rFonts w:ascii="Calibri" w:eastAsia="Times New Roman" w:hAnsi="Calibri" w:cs="Times New Roman"/>
          <w:color w:val="000000"/>
          <w:sz w:val="20"/>
          <w:szCs w:val="20"/>
        </w:rPr>
        <w:t>through</w:t>
      </w:r>
      <w:r w:rsidRPr="00E91EEF">
        <w:rPr>
          <w:rFonts w:ascii="Calibri" w:eastAsia="Times New Roman" w:hAnsi="Calibri" w:cs="Times New Roman"/>
          <w:color w:val="000000"/>
          <w:sz w:val="20"/>
          <w:szCs w:val="20"/>
        </w:rPr>
        <w:t xml:space="preserve"> 7.21 of the 2014 IRP.</w:t>
      </w:r>
    </w:p>
  </w:footnote>
  <w:footnote w:id="23">
    <w:p w14:paraId="58E1BD9F" w14:textId="44741ABE"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002F30A3">
        <w:t xml:space="preserve">A conclusion of </w:t>
      </w:r>
      <w:r w:rsidRPr="00E91EEF">
        <w:t xml:space="preserve">NW Natural’s engineering analysis </w:t>
      </w:r>
      <w:r w:rsidR="002F30A3">
        <w:t>is</w:t>
      </w:r>
      <w:r w:rsidRPr="00E91EEF">
        <w:t xml:space="preserve"> that, as alternatives to upsizing the new northbound pipeline when built, neither future looping of the new pipeline nor adding compression to a non-upsized pipeline in the future are feasible means by which to achieve </w:t>
      </w:r>
      <w:r w:rsidR="00221942">
        <w:t xml:space="preserve">materially </w:t>
      </w:r>
      <w:r w:rsidRPr="00E91EEF">
        <w:t>higher throughput.</w:t>
      </w:r>
    </w:p>
  </w:footnote>
  <w:footnote w:id="24">
    <w:p w14:paraId="58E1BDA0" w14:textId="5B47FD2A" w:rsidR="00CD58FE" w:rsidRPr="00E91EEF" w:rsidRDefault="00CD58FE" w:rsidP="006B0B61">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e.g., Table 7.6 on page 7.15 of the 2014 IRP.</w:t>
      </w:r>
    </w:p>
  </w:footnote>
  <w:footnote w:id="25">
    <w:p w14:paraId="58E1BDA1" w14:textId="52640CEB" w:rsidR="00CD58FE" w:rsidRPr="00E91EEF" w:rsidRDefault="00CD58FE" w:rsidP="006B0B61">
      <w:pPr>
        <w:pStyle w:val="FootnoteText"/>
        <w:tabs>
          <w:tab w:val="left" w:pos="360"/>
        </w:tabs>
        <w:spacing w:before="80"/>
        <w:ind w:left="360" w:hanging="360"/>
      </w:pPr>
      <w:r w:rsidRPr="00E91EEF">
        <w:rPr>
          <w:rStyle w:val="FootnoteReference"/>
        </w:rPr>
        <w:footnoteRef/>
      </w:r>
      <w:r w:rsidRPr="00E91EEF">
        <w:t xml:space="preserve"> </w:t>
      </w:r>
      <w:r w:rsidRPr="00E91EEF">
        <w:tab/>
        <w:t xml:space="preserve">Expected PVRR values must be used as the level of PVRR values depends on the time </w:t>
      </w:r>
      <w:r w:rsidR="000B2DAA">
        <w:t xml:space="preserve">North Mist </w:t>
      </w:r>
      <w:r w:rsidRPr="00E91EEF">
        <w:t>service</w:t>
      </w:r>
      <w:r w:rsidR="000B2DAA">
        <w:t xml:space="preserve"> for Core customers</w:t>
      </w:r>
      <w:r w:rsidRPr="00E91EEF">
        <w:t xml:space="preserve"> is initiated, which is uncertain. See the following discussion regarding the expected date when North Mist is needed</w:t>
      </w:r>
      <w:r w:rsidR="000B2DAA">
        <w:t xml:space="preserve"> to provide service for Core customers</w:t>
      </w:r>
      <w:r w:rsidRPr="00E91EEF">
        <w:t>.</w:t>
      </w:r>
    </w:p>
  </w:footnote>
  <w:footnote w:id="26">
    <w:p w14:paraId="69149796" w14:textId="26D2D55C" w:rsidR="00503E41" w:rsidRDefault="00503E41" w:rsidP="00171F16">
      <w:pPr>
        <w:pStyle w:val="FootnoteText"/>
        <w:tabs>
          <w:tab w:val="left" w:pos="360"/>
        </w:tabs>
        <w:spacing w:before="80"/>
        <w:ind w:left="360" w:hanging="360"/>
      </w:pPr>
      <w:r>
        <w:rPr>
          <w:rStyle w:val="FootnoteReference"/>
        </w:rPr>
        <w:footnoteRef/>
      </w:r>
      <w:r>
        <w:t xml:space="preserve"> </w:t>
      </w:r>
      <w:r>
        <w:tab/>
        <w:t xml:space="preserve">This statement is from a perspective of risk neutrality on the part of </w:t>
      </w:r>
      <w:r w:rsidR="00171F16">
        <w:t xml:space="preserve">decision makers; i.e., choices </w:t>
      </w:r>
      <w:r w:rsidR="00DF6507">
        <w:t xml:space="preserve">are </w:t>
      </w:r>
      <w:r w:rsidR="00171F16">
        <w:t>made on the basis of expected values.</w:t>
      </w:r>
    </w:p>
  </w:footnote>
  <w:footnote w:id="27">
    <w:p w14:paraId="58E1BDA2" w14:textId="7777777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Action Item 2.3a on page 1.21 of the 2014 IRP.</w:t>
      </w:r>
    </w:p>
  </w:footnote>
  <w:footnote w:id="28">
    <w:p w14:paraId="58E1BDA3" w14:textId="00891648"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t xml:space="preserve">NW Natural also committed to researching the applicability of the Company’s Hinshaw exemption with respect to North Mist. The Company discusses </w:t>
      </w:r>
      <w:r w:rsidR="007D2657">
        <w:t>its</w:t>
      </w:r>
      <w:r w:rsidRPr="00E91EEF">
        <w:t xml:space="preserve"> Hinshaw </w:t>
      </w:r>
      <w:r w:rsidR="007D2657">
        <w:t>E</w:t>
      </w:r>
      <w:r w:rsidRPr="00E91EEF">
        <w:t>xemption later in this filing.</w:t>
      </w:r>
    </w:p>
  </w:footnote>
  <w:footnote w:id="29">
    <w:p w14:paraId="59DFDCEF" w14:textId="771CA0AF" w:rsidR="00CD58FE" w:rsidRPr="00E91EEF" w:rsidRDefault="00CD58FE" w:rsidP="009F67DB">
      <w:pPr>
        <w:pStyle w:val="FootnoteText"/>
        <w:tabs>
          <w:tab w:val="left" w:pos="360"/>
        </w:tabs>
        <w:spacing w:before="80"/>
        <w:ind w:left="360" w:hanging="360"/>
      </w:pPr>
      <w:r w:rsidRPr="00E91EEF">
        <w:rPr>
          <w:rStyle w:val="FootnoteReference"/>
        </w:rPr>
        <w:footnoteRef/>
      </w:r>
      <w:r w:rsidRPr="00E91EEF">
        <w:t xml:space="preserve"> </w:t>
      </w:r>
      <w:r w:rsidRPr="00E91EEF">
        <w:tab/>
        <w:t>This estimate includes $38.0 million for that portion of the shared facilities allocated to Core customers at service initiation on the basis of respective capacities: 100 MDT/day for Core customers and 120 MDT/day for the non-Core customer. However, the revenue requirement associated with the</w:t>
      </w:r>
      <w:r w:rsidRPr="00E91EEF">
        <w:rPr>
          <w:i/>
        </w:rPr>
        <w:t xml:space="preserve"> incremental</w:t>
      </w:r>
      <w:r w:rsidRPr="00E91EEF">
        <w:t xml:space="preserve"> cost for upsizing the shared pipeline in Alternative 1 is attributed to Core customers prior to service initiation. Shared facilities include not only the new northbound pipeline, but also an interconnection with the KB Pipeline and a Lexington </w:t>
      </w:r>
      <w:r w:rsidR="004700CD">
        <w:t>c</w:t>
      </w:r>
      <w:r w:rsidRPr="00E91EEF">
        <w:t xml:space="preserve">ompressor </w:t>
      </w:r>
      <w:r w:rsidR="004700CD">
        <w:t>s</w:t>
      </w:r>
      <w:r w:rsidRPr="00E91EEF">
        <w:t>tation.</w:t>
      </w:r>
    </w:p>
  </w:footnote>
  <w:footnote w:id="30">
    <w:p w14:paraId="322D0894" w14:textId="219F545E" w:rsidR="00CD58FE" w:rsidRPr="00E91EEF" w:rsidRDefault="00CD58FE" w:rsidP="0031233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the discussion on pages</w:t>
      </w:r>
      <w:r>
        <w:t xml:space="preserve"> 3.23 through 3.25 and Table 1.4 on page 1.12</w:t>
      </w:r>
      <w:r w:rsidRPr="00E91EEF">
        <w:t xml:space="preserve"> of the 2014 IRP.</w:t>
      </w:r>
    </w:p>
  </w:footnote>
  <w:footnote w:id="31">
    <w:p w14:paraId="4BB65479" w14:textId="77777777" w:rsidR="00CD58FE" w:rsidRPr="00E91EEF" w:rsidRDefault="00CD58FE" w:rsidP="0001172F">
      <w:pPr>
        <w:pStyle w:val="FootnoteText"/>
        <w:tabs>
          <w:tab w:val="left" w:pos="360"/>
        </w:tabs>
        <w:spacing w:before="80"/>
        <w:ind w:left="360" w:hanging="360"/>
      </w:pPr>
      <w:r w:rsidRPr="00E91EEF">
        <w:rPr>
          <w:rStyle w:val="FootnoteReference"/>
        </w:rPr>
        <w:footnoteRef/>
      </w:r>
      <w:r w:rsidRPr="00E91EEF">
        <w:t xml:space="preserve"> </w:t>
      </w:r>
      <w:r w:rsidRPr="00E91EEF">
        <w:tab/>
        <w:t xml:space="preserve">The 2014 IRP foreshadowed the possibility of this approach; </w:t>
      </w:r>
      <w:r w:rsidRPr="00E91EEF">
        <w:rPr>
          <w:i/>
        </w:rPr>
        <w:t>see</w:t>
      </w:r>
      <w:r w:rsidRPr="00E91EEF">
        <w:t xml:space="preserve"> the discussion on pages 7.18 and 7.19 of the 2014 IRP.</w:t>
      </w:r>
    </w:p>
  </w:footnote>
  <w:footnote w:id="32">
    <w:p w14:paraId="04AEE45F" w14:textId="712DCDE6" w:rsidR="00CD58FE" w:rsidRPr="00E91EEF" w:rsidRDefault="00CD58FE" w:rsidP="0031233C">
      <w:pPr>
        <w:pStyle w:val="FootnoteText"/>
        <w:tabs>
          <w:tab w:val="left" w:pos="360"/>
        </w:tabs>
        <w:spacing w:before="80"/>
        <w:ind w:left="360" w:hanging="360"/>
      </w:pPr>
      <w:r w:rsidRPr="00E91EEF">
        <w:rPr>
          <w:rStyle w:val="FootnoteReference"/>
        </w:rPr>
        <w:footnoteRef/>
      </w:r>
      <w:r w:rsidRPr="00E91EEF">
        <w:t xml:space="preserve"> </w:t>
      </w:r>
      <w:r w:rsidRPr="00E91EEF">
        <w:tab/>
        <w:t xml:space="preserve">“Transmission” </w:t>
      </w:r>
      <w:r w:rsidR="002D2072">
        <w:t xml:space="preserve">as used </w:t>
      </w:r>
      <w:r w:rsidRPr="00E91EEF">
        <w:t>here refers not only to physical transmission, but also to “transmission” by displacement; i.e., by displacement of gas that would otherwise be flowing south on the Grants Pass lateral to downstream (south of Molalla) citygates so that more gas is available at upstream (north of Molalla) citygates.</w:t>
      </w:r>
    </w:p>
  </w:footnote>
  <w:footnote w:id="33">
    <w:p w14:paraId="6EF1948E" w14:textId="4560AE7D" w:rsidR="00CD58FE" w:rsidRPr="00E91EEF" w:rsidRDefault="00CD58FE" w:rsidP="009060E5">
      <w:pPr>
        <w:pStyle w:val="FootnoteText"/>
        <w:tabs>
          <w:tab w:val="left" w:pos="360"/>
        </w:tabs>
        <w:spacing w:before="80"/>
        <w:ind w:left="360" w:hanging="360"/>
      </w:pPr>
      <w:r w:rsidRPr="00E91EEF">
        <w:rPr>
          <w:rStyle w:val="FootnoteReference"/>
        </w:rPr>
        <w:footnoteRef/>
      </w:r>
      <w:r w:rsidRPr="00E91EEF">
        <w:t xml:space="preserve"> </w:t>
      </w:r>
      <w:r w:rsidRPr="00E91EEF">
        <w:tab/>
        <w:t xml:space="preserve">With respect to revenue requirements associated with the new northbound pipeline to be shared, </w:t>
      </w:r>
      <w:r w:rsidR="00503E41">
        <w:t xml:space="preserve">the analysis assumes </w:t>
      </w:r>
      <w:r w:rsidRPr="00E91EEF">
        <w:t xml:space="preserve">Core customers pay the revenue requirement associated with upsizing until service is initiated for these customers. Beginning at service initiation for Core customers, these customers pay the share of revenue requirement for the new and upsized shared northbound pipeline associated with the respective capacities. </w:t>
      </w:r>
      <w:r w:rsidRPr="00E91EEF">
        <w:rPr>
          <w:i/>
        </w:rPr>
        <w:t>See also</w:t>
      </w:r>
      <w:r w:rsidRPr="00E91EEF">
        <w:t xml:space="preserve"> the related footnote above.</w:t>
      </w:r>
    </w:p>
  </w:footnote>
  <w:footnote w:id="34">
    <w:p w14:paraId="6005DD9C" w14:textId="674244BB" w:rsidR="005B5225" w:rsidRPr="005B5225" w:rsidRDefault="005B5225" w:rsidP="005B5225">
      <w:pPr>
        <w:tabs>
          <w:tab w:val="left" w:pos="360"/>
        </w:tabs>
        <w:spacing w:before="80" w:after="0"/>
        <w:ind w:left="360" w:hanging="360"/>
        <w:rPr>
          <w:bCs/>
          <w:color w:val="1F497D"/>
          <w:sz w:val="20"/>
          <w:szCs w:val="20"/>
        </w:rPr>
      </w:pPr>
      <w:r w:rsidRPr="005B5225">
        <w:rPr>
          <w:rStyle w:val="FootnoteReference"/>
          <w:color w:val="000000" w:themeColor="text1"/>
          <w:sz w:val="20"/>
          <w:szCs w:val="20"/>
        </w:rPr>
        <w:footnoteRef/>
      </w:r>
      <w:r w:rsidRPr="005B5225">
        <w:rPr>
          <w:color w:val="000000" w:themeColor="text1"/>
          <w:sz w:val="20"/>
          <w:szCs w:val="20"/>
        </w:rPr>
        <w:t xml:space="preserve"> </w:t>
      </w:r>
      <w:r w:rsidRPr="005B5225">
        <w:rPr>
          <w:color w:val="000000" w:themeColor="text1"/>
          <w:sz w:val="20"/>
          <w:szCs w:val="20"/>
        </w:rPr>
        <w:tab/>
      </w:r>
      <w:r w:rsidRPr="005B5225">
        <w:rPr>
          <w:bCs/>
          <w:color w:val="000000" w:themeColor="text1"/>
          <w:sz w:val="20"/>
          <w:szCs w:val="20"/>
        </w:rPr>
        <w:t>Two estimated costs associated with Alternative 3 equal an estimated cost in Alternative 1 (pipeline from the North Mist compressor station to a northbound pipeline) or an estimated cost in Alternative 2 (pipeline from the North Mist compressor station to South Mist Pipeline), even though the Alternative 3 component in each case requires only a 50 MDT/day capacity versus a 100 MDT/day capacity for the respective components in Alternatives 1 and 2. This results from preliminary engineering analysis and final designs might incorporate smaller diameter pipe, potentially resulting in somewhat lower cost pipelines in Alternative 3. Note that lower costs associated with Alternative 3, all else being equal, serve to reinforce this alternative’s dominance over the other alternatives included in this analysis.</w:t>
      </w:r>
    </w:p>
  </w:footnote>
  <w:footnote w:id="35">
    <w:p w14:paraId="58E1BDAA" w14:textId="7777777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t xml:space="preserve">NW Natural bases this assumption on the three year lag between 2024, when the Firm Sales Base Case load requires an additional resource (in resource scenarios A1 and A3) and 2027, when Firm Sales load has increased by approximately the 50 MDT/day capacity of the Alternative 3 northbound takeaway facilities. </w:t>
      </w:r>
      <w:r w:rsidRPr="00E91EEF">
        <w:rPr>
          <w:i/>
        </w:rPr>
        <w:t xml:space="preserve">See </w:t>
      </w:r>
      <w:r w:rsidRPr="00E91EEF">
        <w:t>Appendix 2.19 on page 2A</w:t>
      </w:r>
      <w:r w:rsidRPr="00E91EEF">
        <w:noBreakHyphen/>
        <w:t>19 of the 2014 IRP.</w:t>
      </w:r>
    </w:p>
  </w:footnote>
  <w:footnote w:id="36">
    <w:p w14:paraId="4109B760" w14:textId="65BDDBDA" w:rsidR="000F5B4E" w:rsidRDefault="000F5B4E" w:rsidP="008130FC">
      <w:pPr>
        <w:pStyle w:val="FootnoteText"/>
        <w:tabs>
          <w:tab w:val="left" w:pos="360"/>
        </w:tabs>
        <w:spacing w:before="80"/>
        <w:ind w:left="360" w:hanging="360"/>
      </w:pPr>
      <w:r>
        <w:rPr>
          <w:rStyle w:val="FootnoteReference"/>
        </w:rPr>
        <w:footnoteRef/>
      </w:r>
      <w:r>
        <w:t xml:space="preserve"> </w:t>
      </w:r>
      <w:r w:rsidR="008130FC">
        <w:tab/>
      </w:r>
      <w:r>
        <w:t>There may be risks</w:t>
      </w:r>
      <w:r w:rsidR="008130FC">
        <w:t xml:space="preserve"> in some circumstances</w:t>
      </w:r>
      <w:r>
        <w:t xml:space="preserve"> that are not incorporated when selecting between alternatives on the basis of estimated least cost (</w:t>
      </w:r>
      <w:r w:rsidR="008130FC">
        <w:t>estimated</w:t>
      </w:r>
      <w:r>
        <w:t xml:space="preserve"> lowest PVRR). NW Natural has no reason to believe this pertains to the cost estimates </w:t>
      </w:r>
      <w:r w:rsidR="008130FC">
        <w:t>associated with</w:t>
      </w:r>
      <w:r>
        <w:t xml:space="preserve"> the alternatives considered here.</w:t>
      </w:r>
    </w:p>
  </w:footnote>
  <w:footnote w:id="37">
    <w:p w14:paraId="58E1BDAB" w14:textId="76F733AE"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Table 7.6 of the 2014 IRP on page 7.15.</w:t>
      </w:r>
      <w:r w:rsidR="00E8248F">
        <w:t xml:space="preserve"> These results assume the Base Case load </w:t>
      </w:r>
      <w:r w:rsidR="00EC5410">
        <w:t>sensitivity</w:t>
      </w:r>
    </w:p>
  </w:footnote>
  <w:footnote w:id="38">
    <w:p w14:paraId="58E1BDAC" w14:textId="77777777" w:rsidR="00CD58FE" w:rsidRPr="00E91EEF" w:rsidRDefault="00CD58FE" w:rsidP="00EB550C">
      <w:pPr>
        <w:pStyle w:val="FootnoteText"/>
        <w:tabs>
          <w:tab w:val="left" w:pos="360"/>
        </w:tabs>
        <w:spacing w:before="80"/>
        <w:ind w:left="360" w:hanging="360"/>
      </w:pPr>
      <w:r w:rsidRPr="00E91EEF">
        <w:rPr>
          <w:rStyle w:val="FootnoteReference"/>
        </w:rPr>
        <w:footnoteRef/>
      </w:r>
      <w:r w:rsidRPr="00E91EEF">
        <w:t xml:space="preserve"> </w:t>
      </w:r>
      <w:r w:rsidRPr="00E91EEF">
        <w:tab/>
      </w:r>
      <w:r w:rsidRPr="00E91EEF">
        <w:rPr>
          <w:i/>
        </w:rPr>
        <w:t>See</w:t>
      </w:r>
      <w:r w:rsidRPr="00E91EEF">
        <w:t xml:space="preserve"> Table 7.4 of the 2014 IRP on page 7.12.Note that values in the Increment column of Table 7.4 refer to the level by which the 2014 IRP assumed a resource could be incremented. The North Mist Expansion analyzed in the 2014 IRP, as documented on page 3.24, had the same 100 MDT/day capacity as the three alternative configurations of a North Mist Expansion discussed in this filing.</w:t>
      </w:r>
    </w:p>
  </w:footnote>
  <w:footnote w:id="39">
    <w:p w14:paraId="58E1BDAD" w14:textId="77777777" w:rsidR="00CD58FE" w:rsidRPr="00E91EEF" w:rsidRDefault="00CD58FE" w:rsidP="00FE2E41">
      <w:pPr>
        <w:pStyle w:val="FootnoteText"/>
        <w:tabs>
          <w:tab w:val="left" w:pos="360"/>
        </w:tabs>
        <w:spacing w:before="80"/>
        <w:ind w:left="360" w:hanging="360"/>
      </w:pPr>
      <w:r w:rsidRPr="00E91EEF">
        <w:rPr>
          <w:rStyle w:val="FootnoteReference"/>
        </w:rPr>
        <w:footnoteRef/>
      </w:r>
      <w:r w:rsidRPr="00E91EEF">
        <w:t xml:space="preserve"> </w:t>
      </w:r>
      <w:r w:rsidRPr="00E91EEF">
        <w:tab/>
        <w:t>NW Natural acknowledges the imprecision potentially resulting from comparing cost estimates recently updated with those made some time ago.</w:t>
      </w:r>
    </w:p>
  </w:footnote>
  <w:footnote w:id="40">
    <w:p w14:paraId="64652005" w14:textId="18BC1215" w:rsidR="00472984" w:rsidRPr="00AE0DD9" w:rsidRDefault="00472984" w:rsidP="00AA2047">
      <w:pPr>
        <w:pStyle w:val="FootnoteText"/>
        <w:tabs>
          <w:tab w:val="left" w:pos="360"/>
        </w:tabs>
        <w:spacing w:before="80"/>
        <w:ind w:left="360" w:hanging="360"/>
        <w:rPr>
          <w:rFonts w:cstheme="minorHAnsi"/>
        </w:rPr>
      </w:pPr>
      <w:r>
        <w:rPr>
          <w:rStyle w:val="FootnoteReference"/>
        </w:rPr>
        <w:footnoteRef/>
      </w:r>
      <w:r>
        <w:t xml:space="preserve"> </w:t>
      </w:r>
      <w:r w:rsidR="00AA2047">
        <w:tab/>
      </w:r>
      <w:r w:rsidRPr="00AE0DD9">
        <w:rPr>
          <w:rFonts w:eastAsia="Times New Roman" w:cstheme="minorHAnsi"/>
          <w:i/>
        </w:rPr>
        <w:t>Northwest Natural Gas Company</w:t>
      </w:r>
      <w:r w:rsidRPr="00AE0DD9">
        <w:rPr>
          <w:rFonts w:eastAsia="Times New Roman" w:cstheme="minorHAnsi"/>
        </w:rPr>
        <w:t xml:space="preserve">, 95 FERC ¶ 61,242 (2001); </w:t>
      </w:r>
      <w:r w:rsidRPr="00AE0DD9">
        <w:rPr>
          <w:rFonts w:eastAsia="Times New Roman" w:cstheme="minorHAnsi"/>
          <w:i/>
        </w:rPr>
        <w:t>See also</w:t>
      </w:r>
      <w:r w:rsidRPr="00AE0DD9">
        <w:rPr>
          <w:rFonts w:eastAsia="Times New Roman" w:cstheme="minorHAnsi"/>
        </w:rPr>
        <w:t>, 18 C.F.R. § 284.224.</w:t>
      </w:r>
    </w:p>
  </w:footnote>
  <w:footnote w:id="41">
    <w:p w14:paraId="168A46D8" w14:textId="77777777" w:rsidR="00472984" w:rsidRDefault="00472984" w:rsidP="00472984">
      <w:pPr>
        <w:pStyle w:val="FootnoteText"/>
      </w:pPr>
      <w:r>
        <w:rPr>
          <w:rStyle w:val="FootnoteReference"/>
        </w:rPr>
        <w:footnoteRef/>
      </w:r>
      <w:r>
        <w:t xml:space="preserve"> Under this hybrid approach, using the South Mist Pipeline for the southbound takeaway to deliver gas to core Oregon customers would not impact the Hinshaw Exemption.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1BD83" w14:textId="77777777" w:rsidR="00CD58FE" w:rsidRDefault="00CD58FE">
    <w:pPr>
      <w:pStyle w:val="Header"/>
    </w:pPr>
    <w:r>
      <w:t>North Mist Analysis – 2014 IRP</w:t>
    </w:r>
  </w:p>
  <w:p w14:paraId="58E1BD84" w14:textId="77777777" w:rsidR="00CD58FE" w:rsidRDefault="00CD58FE">
    <w:pPr>
      <w:pStyle w:val="Header"/>
    </w:pPr>
    <w:r>
      <w:t xml:space="preserve">Page </w:t>
    </w:r>
    <w:sdt>
      <w:sdtPr>
        <w:id w:val="-8418538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8E1BD85" w14:textId="77777777" w:rsidR="00CD58FE" w:rsidRDefault="00CD5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1BD86" w14:textId="1C9224F0" w:rsidR="00CD58FE" w:rsidRDefault="001C5276">
    <w:pPr>
      <w:pStyle w:val="Header"/>
    </w:pPr>
    <w:r>
      <w:t>UG-131473</w:t>
    </w:r>
    <w:r w:rsidR="007C7E04">
      <w:t xml:space="preserve"> – 2014 IRP - North Mist Analysis</w:t>
    </w:r>
  </w:p>
  <w:p w14:paraId="58E1BD87" w14:textId="04095D0C" w:rsidR="00CD58FE" w:rsidRDefault="00CD58FE">
    <w:pPr>
      <w:pStyle w:val="Header"/>
    </w:pPr>
    <w:r>
      <w:t xml:space="preserve">Page </w:t>
    </w:r>
    <w:sdt>
      <w:sdtPr>
        <w:id w:val="6502607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31F30">
          <w:rPr>
            <w:noProof/>
          </w:rPr>
          <w:t>2</w:t>
        </w:r>
        <w:r>
          <w:rPr>
            <w:noProof/>
          </w:rPr>
          <w:fldChar w:fldCharType="end"/>
        </w:r>
        <w:r w:rsidR="007C7E04">
          <w:rPr>
            <w:noProof/>
          </w:rPr>
          <w:t xml:space="preserve"> of 15</w:t>
        </w:r>
      </w:sdtContent>
    </w:sdt>
  </w:p>
  <w:p w14:paraId="58E1BD88" w14:textId="77777777" w:rsidR="00CD58FE" w:rsidRPr="00310487" w:rsidRDefault="00CD58FE" w:rsidP="00310487">
    <w:pPr>
      <w:pStyle w:val="Header"/>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1BD89" w14:textId="43519584" w:rsidR="00CD58FE" w:rsidRPr="00310487" w:rsidRDefault="00CD58FE" w:rsidP="00077ECD">
    <w:pPr>
      <w:pStyle w:val="Header"/>
      <w:jc w:val="center"/>
      <w:rPr>
        <w:b/>
        <w:sz w:val="28"/>
        <w:szCs w:val="28"/>
      </w:rPr>
    </w:pPr>
    <w:r w:rsidRPr="00310487">
      <w:rPr>
        <w:b/>
        <w:sz w:val="28"/>
        <w:szCs w:val="28"/>
      </w:rPr>
      <w:t>North Mist Analysis</w:t>
    </w:r>
  </w:p>
  <w:p w14:paraId="58E1BD8A" w14:textId="6E8504F6" w:rsidR="00CD58FE" w:rsidRPr="00310487" w:rsidRDefault="007C7E04" w:rsidP="00077ECD">
    <w:pPr>
      <w:pStyle w:val="Header"/>
      <w:jc w:val="center"/>
      <w:rPr>
        <w:b/>
        <w:sz w:val="28"/>
        <w:szCs w:val="28"/>
      </w:rPr>
    </w:pPr>
    <w:r>
      <w:rPr>
        <w:b/>
        <w:sz w:val="28"/>
        <w:szCs w:val="28"/>
      </w:rPr>
      <w:t xml:space="preserve">NW Natural’s </w:t>
    </w:r>
    <w:r w:rsidR="00CD58FE" w:rsidRPr="00310487">
      <w:rPr>
        <w:b/>
        <w:sz w:val="28"/>
        <w:szCs w:val="28"/>
      </w:rPr>
      <w:t>2014 I</w:t>
    </w:r>
    <w:r>
      <w:rPr>
        <w:b/>
        <w:sz w:val="28"/>
        <w:szCs w:val="28"/>
      </w:rPr>
      <w:t xml:space="preserve">ntegrated </w:t>
    </w:r>
    <w:r w:rsidR="00CD58FE" w:rsidRPr="00310487">
      <w:rPr>
        <w:b/>
        <w:sz w:val="28"/>
        <w:szCs w:val="28"/>
      </w:rPr>
      <w:t>R</w:t>
    </w:r>
    <w:r>
      <w:rPr>
        <w:b/>
        <w:sz w:val="28"/>
        <w:szCs w:val="28"/>
      </w:rPr>
      <w:t xml:space="preserve">esource </w:t>
    </w:r>
    <w:r w:rsidR="00CD58FE" w:rsidRPr="00310487">
      <w:rPr>
        <w:b/>
        <w:sz w:val="28"/>
        <w:szCs w:val="28"/>
      </w:rPr>
      <w:t>P</w:t>
    </w:r>
    <w:r>
      <w:rPr>
        <w:b/>
        <w:sz w:val="28"/>
        <w:szCs w:val="28"/>
      </w:rPr>
      <w:t>lan</w:t>
    </w:r>
  </w:p>
  <w:p w14:paraId="58E1BD8B" w14:textId="41056D3E" w:rsidR="00CD58FE" w:rsidRDefault="00CD58FE" w:rsidP="00077ECD">
    <w:pPr>
      <w:pStyle w:val="Header"/>
      <w:jc w:val="center"/>
      <w:rPr>
        <w:b/>
        <w:sz w:val="28"/>
        <w:szCs w:val="28"/>
      </w:rPr>
    </w:pPr>
    <w:r w:rsidRPr="00310487">
      <w:rPr>
        <w:b/>
        <w:sz w:val="28"/>
        <w:szCs w:val="28"/>
      </w:rPr>
      <w:t xml:space="preserve">May </w:t>
    </w:r>
    <w:r w:rsidR="009E566E">
      <w:rPr>
        <w:b/>
        <w:sz w:val="28"/>
        <w:szCs w:val="28"/>
      </w:rPr>
      <w:t xml:space="preserve">29, </w:t>
    </w:r>
    <w:r w:rsidRPr="00310487">
      <w:rPr>
        <w:b/>
        <w:sz w:val="28"/>
        <w:szCs w:val="28"/>
      </w:rPr>
      <w:t>2015</w:t>
    </w:r>
  </w:p>
  <w:p w14:paraId="58E1BD8C" w14:textId="77777777" w:rsidR="00CD58FE" w:rsidRDefault="00CD58FE">
    <w:pPr>
      <w:pStyle w:val="Header"/>
    </w:pPr>
  </w:p>
  <w:p w14:paraId="6C564B71" w14:textId="77777777" w:rsidR="00CD58FE" w:rsidRDefault="00CD5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8198E"/>
    <w:multiLevelType w:val="hybridMultilevel"/>
    <w:tmpl w:val="2E86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2F"/>
    <w:rsid w:val="000046C4"/>
    <w:rsid w:val="0001172F"/>
    <w:rsid w:val="000430F6"/>
    <w:rsid w:val="00044FA4"/>
    <w:rsid w:val="00047D96"/>
    <w:rsid w:val="00060F93"/>
    <w:rsid w:val="00062933"/>
    <w:rsid w:val="0006702C"/>
    <w:rsid w:val="00073767"/>
    <w:rsid w:val="00076581"/>
    <w:rsid w:val="00077ECD"/>
    <w:rsid w:val="000862B8"/>
    <w:rsid w:val="00094066"/>
    <w:rsid w:val="000960F5"/>
    <w:rsid w:val="000A3EA0"/>
    <w:rsid w:val="000B2DAA"/>
    <w:rsid w:val="000C5530"/>
    <w:rsid w:val="000D2C77"/>
    <w:rsid w:val="000E3A66"/>
    <w:rsid w:val="000E7B09"/>
    <w:rsid w:val="000F2411"/>
    <w:rsid w:val="000F3211"/>
    <w:rsid w:val="000F3C09"/>
    <w:rsid w:val="000F4E6B"/>
    <w:rsid w:val="000F5B4E"/>
    <w:rsid w:val="00120889"/>
    <w:rsid w:val="00124EBF"/>
    <w:rsid w:val="0013794B"/>
    <w:rsid w:val="0014494F"/>
    <w:rsid w:val="0015753A"/>
    <w:rsid w:val="001621CA"/>
    <w:rsid w:val="00171F16"/>
    <w:rsid w:val="00187F67"/>
    <w:rsid w:val="001970FB"/>
    <w:rsid w:val="001A7B4B"/>
    <w:rsid w:val="001B2D0C"/>
    <w:rsid w:val="001C206A"/>
    <w:rsid w:val="001C5276"/>
    <w:rsid w:val="001C6EBA"/>
    <w:rsid w:val="001D0F9E"/>
    <w:rsid w:val="001D144D"/>
    <w:rsid w:val="001D70F7"/>
    <w:rsid w:val="001D7916"/>
    <w:rsid w:val="001E771F"/>
    <w:rsid w:val="001F1004"/>
    <w:rsid w:val="001F71A6"/>
    <w:rsid w:val="002003A7"/>
    <w:rsid w:val="00205DD8"/>
    <w:rsid w:val="002064DA"/>
    <w:rsid w:val="00221942"/>
    <w:rsid w:val="0022485D"/>
    <w:rsid w:val="002339DC"/>
    <w:rsid w:val="00252462"/>
    <w:rsid w:val="00253185"/>
    <w:rsid w:val="00263080"/>
    <w:rsid w:val="00264EA9"/>
    <w:rsid w:val="00271F13"/>
    <w:rsid w:val="0027380F"/>
    <w:rsid w:val="002903BE"/>
    <w:rsid w:val="0029565F"/>
    <w:rsid w:val="002C63C5"/>
    <w:rsid w:val="002D2072"/>
    <w:rsid w:val="002D6FF6"/>
    <w:rsid w:val="002E1A81"/>
    <w:rsid w:val="002E2BDE"/>
    <w:rsid w:val="002E556C"/>
    <w:rsid w:val="002E68AC"/>
    <w:rsid w:val="002F30A3"/>
    <w:rsid w:val="002F5C76"/>
    <w:rsid w:val="00310487"/>
    <w:rsid w:val="0031233C"/>
    <w:rsid w:val="00312C5F"/>
    <w:rsid w:val="00320541"/>
    <w:rsid w:val="003461EC"/>
    <w:rsid w:val="003748FF"/>
    <w:rsid w:val="00385379"/>
    <w:rsid w:val="003977E5"/>
    <w:rsid w:val="003D2AFB"/>
    <w:rsid w:val="003F1E0A"/>
    <w:rsid w:val="00412969"/>
    <w:rsid w:val="004131E5"/>
    <w:rsid w:val="0041733B"/>
    <w:rsid w:val="004235E8"/>
    <w:rsid w:val="00432D45"/>
    <w:rsid w:val="00432EF9"/>
    <w:rsid w:val="004361EF"/>
    <w:rsid w:val="00440696"/>
    <w:rsid w:val="00446044"/>
    <w:rsid w:val="0045258E"/>
    <w:rsid w:val="00454ED8"/>
    <w:rsid w:val="00457B3A"/>
    <w:rsid w:val="004648F1"/>
    <w:rsid w:val="004700CD"/>
    <w:rsid w:val="00472984"/>
    <w:rsid w:val="00475BB8"/>
    <w:rsid w:val="00477113"/>
    <w:rsid w:val="00480408"/>
    <w:rsid w:val="00480785"/>
    <w:rsid w:val="004829C7"/>
    <w:rsid w:val="004A50F7"/>
    <w:rsid w:val="004A7D83"/>
    <w:rsid w:val="004B03B0"/>
    <w:rsid w:val="004B0E42"/>
    <w:rsid w:val="004B11C2"/>
    <w:rsid w:val="004B4DD6"/>
    <w:rsid w:val="004C7FCE"/>
    <w:rsid w:val="004D0CDE"/>
    <w:rsid w:val="004F0D3D"/>
    <w:rsid w:val="004F2C75"/>
    <w:rsid w:val="004F33B0"/>
    <w:rsid w:val="004F7AEA"/>
    <w:rsid w:val="0050260F"/>
    <w:rsid w:val="00503716"/>
    <w:rsid w:val="00503E41"/>
    <w:rsid w:val="005041C6"/>
    <w:rsid w:val="00507726"/>
    <w:rsid w:val="00512B33"/>
    <w:rsid w:val="00523DBF"/>
    <w:rsid w:val="005414E5"/>
    <w:rsid w:val="0055000F"/>
    <w:rsid w:val="005571DB"/>
    <w:rsid w:val="00563A5D"/>
    <w:rsid w:val="00566A98"/>
    <w:rsid w:val="00585BBF"/>
    <w:rsid w:val="005932FB"/>
    <w:rsid w:val="005935F3"/>
    <w:rsid w:val="005952FA"/>
    <w:rsid w:val="005B1D8D"/>
    <w:rsid w:val="005B1E6A"/>
    <w:rsid w:val="005B5225"/>
    <w:rsid w:val="005B7D7F"/>
    <w:rsid w:val="005C5FBB"/>
    <w:rsid w:val="005C6E6E"/>
    <w:rsid w:val="005D011A"/>
    <w:rsid w:val="005D20B2"/>
    <w:rsid w:val="005D2DF9"/>
    <w:rsid w:val="005D6EBF"/>
    <w:rsid w:val="005E0A56"/>
    <w:rsid w:val="005E12E0"/>
    <w:rsid w:val="005E4DBE"/>
    <w:rsid w:val="005F1657"/>
    <w:rsid w:val="005F6018"/>
    <w:rsid w:val="006044CC"/>
    <w:rsid w:val="00604C82"/>
    <w:rsid w:val="006061DE"/>
    <w:rsid w:val="006202B5"/>
    <w:rsid w:val="006309AD"/>
    <w:rsid w:val="00630EF5"/>
    <w:rsid w:val="00633275"/>
    <w:rsid w:val="0064452C"/>
    <w:rsid w:val="00645DE0"/>
    <w:rsid w:val="006463DC"/>
    <w:rsid w:val="0066372D"/>
    <w:rsid w:val="00667EA5"/>
    <w:rsid w:val="006712C2"/>
    <w:rsid w:val="00675110"/>
    <w:rsid w:val="00676AF0"/>
    <w:rsid w:val="00677B5A"/>
    <w:rsid w:val="0069568B"/>
    <w:rsid w:val="0069758F"/>
    <w:rsid w:val="006A2932"/>
    <w:rsid w:val="006A7994"/>
    <w:rsid w:val="006B0B61"/>
    <w:rsid w:val="006C324B"/>
    <w:rsid w:val="006C6469"/>
    <w:rsid w:val="006C6EBE"/>
    <w:rsid w:val="006C728E"/>
    <w:rsid w:val="006D0CA2"/>
    <w:rsid w:val="006D178D"/>
    <w:rsid w:val="006F0072"/>
    <w:rsid w:val="006F1AC6"/>
    <w:rsid w:val="00702E7C"/>
    <w:rsid w:val="00704F60"/>
    <w:rsid w:val="00707B1F"/>
    <w:rsid w:val="00712C24"/>
    <w:rsid w:val="00725811"/>
    <w:rsid w:val="00726C7E"/>
    <w:rsid w:val="0073108E"/>
    <w:rsid w:val="0073728D"/>
    <w:rsid w:val="00741D9D"/>
    <w:rsid w:val="00764631"/>
    <w:rsid w:val="00765030"/>
    <w:rsid w:val="0076743D"/>
    <w:rsid w:val="00774B3D"/>
    <w:rsid w:val="00774BAE"/>
    <w:rsid w:val="00786606"/>
    <w:rsid w:val="00786AE4"/>
    <w:rsid w:val="00787A58"/>
    <w:rsid w:val="007B1BE1"/>
    <w:rsid w:val="007B50E7"/>
    <w:rsid w:val="007B7721"/>
    <w:rsid w:val="007C6E0C"/>
    <w:rsid w:val="007C7E04"/>
    <w:rsid w:val="007D2657"/>
    <w:rsid w:val="007D29E4"/>
    <w:rsid w:val="007D37C7"/>
    <w:rsid w:val="007E4705"/>
    <w:rsid w:val="008013BE"/>
    <w:rsid w:val="00804D9F"/>
    <w:rsid w:val="00810496"/>
    <w:rsid w:val="008128D0"/>
    <w:rsid w:val="008130FC"/>
    <w:rsid w:val="00813409"/>
    <w:rsid w:val="00822656"/>
    <w:rsid w:val="00826E95"/>
    <w:rsid w:val="00826F0A"/>
    <w:rsid w:val="00834D98"/>
    <w:rsid w:val="00840402"/>
    <w:rsid w:val="00872006"/>
    <w:rsid w:val="00885956"/>
    <w:rsid w:val="008900A4"/>
    <w:rsid w:val="00896EF4"/>
    <w:rsid w:val="008A0EBF"/>
    <w:rsid w:val="008A583C"/>
    <w:rsid w:val="008B6315"/>
    <w:rsid w:val="008C1483"/>
    <w:rsid w:val="008C7582"/>
    <w:rsid w:val="008D5680"/>
    <w:rsid w:val="008D7F5C"/>
    <w:rsid w:val="008E10BE"/>
    <w:rsid w:val="00901E77"/>
    <w:rsid w:val="009060E5"/>
    <w:rsid w:val="00916D09"/>
    <w:rsid w:val="009271CE"/>
    <w:rsid w:val="009322A4"/>
    <w:rsid w:val="0093335E"/>
    <w:rsid w:val="00947D58"/>
    <w:rsid w:val="009529A1"/>
    <w:rsid w:val="00953755"/>
    <w:rsid w:val="00954C99"/>
    <w:rsid w:val="0095520F"/>
    <w:rsid w:val="00956BE9"/>
    <w:rsid w:val="0096119F"/>
    <w:rsid w:val="00972E15"/>
    <w:rsid w:val="0097627E"/>
    <w:rsid w:val="00983BBD"/>
    <w:rsid w:val="009B4B03"/>
    <w:rsid w:val="009B6234"/>
    <w:rsid w:val="009C0AD8"/>
    <w:rsid w:val="009D5A12"/>
    <w:rsid w:val="009D5C16"/>
    <w:rsid w:val="009E566E"/>
    <w:rsid w:val="009F0905"/>
    <w:rsid w:val="009F5A2E"/>
    <w:rsid w:val="009F67DB"/>
    <w:rsid w:val="00A07762"/>
    <w:rsid w:val="00A11D31"/>
    <w:rsid w:val="00A13120"/>
    <w:rsid w:val="00A132F0"/>
    <w:rsid w:val="00A23A0F"/>
    <w:rsid w:val="00A23FD7"/>
    <w:rsid w:val="00A30479"/>
    <w:rsid w:val="00A3050D"/>
    <w:rsid w:val="00A31F30"/>
    <w:rsid w:val="00A36DEA"/>
    <w:rsid w:val="00A41F38"/>
    <w:rsid w:val="00A41F9F"/>
    <w:rsid w:val="00A532F4"/>
    <w:rsid w:val="00A55A51"/>
    <w:rsid w:val="00A60716"/>
    <w:rsid w:val="00A87F02"/>
    <w:rsid w:val="00A91FD5"/>
    <w:rsid w:val="00A92CE6"/>
    <w:rsid w:val="00A94131"/>
    <w:rsid w:val="00A960EF"/>
    <w:rsid w:val="00AA0D42"/>
    <w:rsid w:val="00AA2047"/>
    <w:rsid w:val="00AA30B2"/>
    <w:rsid w:val="00AB3824"/>
    <w:rsid w:val="00AC0624"/>
    <w:rsid w:val="00AC3980"/>
    <w:rsid w:val="00AC67D3"/>
    <w:rsid w:val="00AD074E"/>
    <w:rsid w:val="00AE3CC3"/>
    <w:rsid w:val="00AE60D5"/>
    <w:rsid w:val="00AF00F8"/>
    <w:rsid w:val="00AF1641"/>
    <w:rsid w:val="00AF1EC0"/>
    <w:rsid w:val="00AF6124"/>
    <w:rsid w:val="00B03708"/>
    <w:rsid w:val="00B25519"/>
    <w:rsid w:val="00B353B1"/>
    <w:rsid w:val="00B40308"/>
    <w:rsid w:val="00B45A32"/>
    <w:rsid w:val="00B513E2"/>
    <w:rsid w:val="00B85AE7"/>
    <w:rsid w:val="00B86EBF"/>
    <w:rsid w:val="00B87A02"/>
    <w:rsid w:val="00B92D17"/>
    <w:rsid w:val="00B93F8D"/>
    <w:rsid w:val="00BA2637"/>
    <w:rsid w:val="00BA72CD"/>
    <w:rsid w:val="00BB2910"/>
    <w:rsid w:val="00BC02EB"/>
    <w:rsid w:val="00BC4E87"/>
    <w:rsid w:val="00BD585C"/>
    <w:rsid w:val="00BE403E"/>
    <w:rsid w:val="00BF47D4"/>
    <w:rsid w:val="00C005A7"/>
    <w:rsid w:val="00C05B10"/>
    <w:rsid w:val="00C0749E"/>
    <w:rsid w:val="00C07D6A"/>
    <w:rsid w:val="00C12D7E"/>
    <w:rsid w:val="00C17C2E"/>
    <w:rsid w:val="00C22652"/>
    <w:rsid w:val="00C32CCF"/>
    <w:rsid w:val="00C3368F"/>
    <w:rsid w:val="00C41B71"/>
    <w:rsid w:val="00C41D73"/>
    <w:rsid w:val="00C434CC"/>
    <w:rsid w:val="00C5600E"/>
    <w:rsid w:val="00C57FA5"/>
    <w:rsid w:val="00C61FA3"/>
    <w:rsid w:val="00C65026"/>
    <w:rsid w:val="00C66B49"/>
    <w:rsid w:val="00C73463"/>
    <w:rsid w:val="00C740DE"/>
    <w:rsid w:val="00C81356"/>
    <w:rsid w:val="00C90859"/>
    <w:rsid w:val="00C96F5C"/>
    <w:rsid w:val="00CB0BF4"/>
    <w:rsid w:val="00CC0581"/>
    <w:rsid w:val="00CC457E"/>
    <w:rsid w:val="00CC6922"/>
    <w:rsid w:val="00CD22B3"/>
    <w:rsid w:val="00CD58FE"/>
    <w:rsid w:val="00CE12DD"/>
    <w:rsid w:val="00CF037E"/>
    <w:rsid w:val="00CF2A47"/>
    <w:rsid w:val="00D01F07"/>
    <w:rsid w:val="00D07261"/>
    <w:rsid w:val="00D1092D"/>
    <w:rsid w:val="00D15574"/>
    <w:rsid w:val="00D16506"/>
    <w:rsid w:val="00D203E2"/>
    <w:rsid w:val="00D2513B"/>
    <w:rsid w:val="00D25296"/>
    <w:rsid w:val="00D3404B"/>
    <w:rsid w:val="00D40559"/>
    <w:rsid w:val="00D467EE"/>
    <w:rsid w:val="00D55F14"/>
    <w:rsid w:val="00D60842"/>
    <w:rsid w:val="00D6544A"/>
    <w:rsid w:val="00D6572F"/>
    <w:rsid w:val="00D715B0"/>
    <w:rsid w:val="00D716CE"/>
    <w:rsid w:val="00D734B3"/>
    <w:rsid w:val="00D747F5"/>
    <w:rsid w:val="00D929D4"/>
    <w:rsid w:val="00D93DD1"/>
    <w:rsid w:val="00D94224"/>
    <w:rsid w:val="00D95038"/>
    <w:rsid w:val="00D96CDB"/>
    <w:rsid w:val="00D97A57"/>
    <w:rsid w:val="00DA0E38"/>
    <w:rsid w:val="00DC42A6"/>
    <w:rsid w:val="00DD569C"/>
    <w:rsid w:val="00DD632C"/>
    <w:rsid w:val="00DD6F1A"/>
    <w:rsid w:val="00DE3013"/>
    <w:rsid w:val="00DE4F92"/>
    <w:rsid w:val="00DE636C"/>
    <w:rsid w:val="00DF6507"/>
    <w:rsid w:val="00E00833"/>
    <w:rsid w:val="00E030E5"/>
    <w:rsid w:val="00E03A51"/>
    <w:rsid w:val="00E04E30"/>
    <w:rsid w:val="00E12561"/>
    <w:rsid w:val="00E2241E"/>
    <w:rsid w:val="00E26969"/>
    <w:rsid w:val="00E41684"/>
    <w:rsid w:val="00E559AB"/>
    <w:rsid w:val="00E56742"/>
    <w:rsid w:val="00E61B67"/>
    <w:rsid w:val="00E67875"/>
    <w:rsid w:val="00E762D4"/>
    <w:rsid w:val="00E80417"/>
    <w:rsid w:val="00E8248F"/>
    <w:rsid w:val="00E91EEF"/>
    <w:rsid w:val="00E96001"/>
    <w:rsid w:val="00EB00B1"/>
    <w:rsid w:val="00EB15DA"/>
    <w:rsid w:val="00EB550C"/>
    <w:rsid w:val="00EB6B66"/>
    <w:rsid w:val="00EB72F3"/>
    <w:rsid w:val="00EC5410"/>
    <w:rsid w:val="00EC61D5"/>
    <w:rsid w:val="00EC7436"/>
    <w:rsid w:val="00ED0317"/>
    <w:rsid w:val="00EE7C9E"/>
    <w:rsid w:val="00EF0C1C"/>
    <w:rsid w:val="00F07F68"/>
    <w:rsid w:val="00F15623"/>
    <w:rsid w:val="00F232EE"/>
    <w:rsid w:val="00F273ED"/>
    <w:rsid w:val="00F27B5D"/>
    <w:rsid w:val="00F30FDF"/>
    <w:rsid w:val="00F3267F"/>
    <w:rsid w:val="00F35655"/>
    <w:rsid w:val="00F40655"/>
    <w:rsid w:val="00F40A47"/>
    <w:rsid w:val="00F466DB"/>
    <w:rsid w:val="00F55A5C"/>
    <w:rsid w:val="00F60214"/>
    <w:rsid w:val="00F6259E"/>
    <w:rsid w:val="00F820DD"/>
    <w:rsid w:val="00F833A1"/>
    <w:rsid w:val="00F834DC"/>
    <w:rsid w:val="00F83866"/>
    <w:rsid w:val="00F87888"/>
    <w:rsid w:val="00F9277E"/>
    <w:rsid w:val="00F93E46"/>
    <w:rsid w:val="00FA47EA"/>
    <w:rsid w:val="00FA4F82"/>
    <w:rsid w:val="00FB08C2"/>
    <w:rsid w:val="00FB5676"/>
    <w:rsid w:val="00FC05E2"/>
    <w:rsid w:val="00FC30F3"/>
    <w:rsid w:val="00FD0F7B"/>
    <w:rsid w:val="00FD3379"/>
    <w:rsid w:val="00FD6B02"/>
    <w:rsid w:val="00FE0541"/>
    <w:rsid w:val="00FE2610"/>
    <w:rsid w:val="00FE2E41"/>
    <w:rsid w:val="00FF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E1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368F"/>
    <w:pPr>
      <w:spacing w:after="0" w:line="240" w:lineRule="auto"/>
    </w:pPr>
    <w:rPr>
      <w:sz w:val="20"/>
      <w:szCs w:val="20"/>
    </w:rPr>
  </w:style>
  <w:style w:type="character" w:customStyle="1" w:styleId="FootnoteTextChar">
    <w:name w:val="Footnote Text Char"/>
    <w:basedOn w:val="DefaultParagraphFont"/>
    <w:link w:val="FootnoteText"/>
    <w:uiPriority w:val="99"/>
    <w:rsid w:val="00C3368F"/>
    <w:rPr>
      <w:sz w:val="20"/>
      <w:szCs w:val="20"/>
    </w:rPr>
  </w:style>
  <w:style w:type="character" w:styleId="FootnoteReference">
    <w:name w:val="footnote reference"/>
    <w:aliases w:val="o,fr,Style 13,Style 12,Style 15,Style 17,Style 9,o1,fr1,o2,fr2,o3,fr3,Style 18,(NECG) Footnote Reference,Style 20,Style 7,Style 8,Style 19"/>
    <w:basedOn w:val="DefaultParagraphFont"/>
    <w:unhideWhenUsed/>
    <w:rsid w:val="00C3368F"/>
    <w:rPr>
      <w:vertAlign w:val="superscript"/>
    </w:rPr>
  </w:style>
  <w:style w:type="paragraph" w:styleId="Header">
    <w:name w:val="header"/>
    <w:basedOn w:val="Normal"/>
    <w:link w:val="HeaderChar"/>
    <w:uiPriority w:val="99"/>
    <w:unhideWhenUsed/>
    <w:rsid w:val="00310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487"/>
  </w:style>
  <w:style w:type="paragraph" w:styleId="Footer">
    <w:name w:val="footer"/>
    <w:basedOn w:val="Normal"/>
    <w:link w:val="FooterChar"/>
    <w:uiPriority w:val="99"/>
    <w:unhideWhenUsed/>
    <w:rsid w:val="00310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487"/>
  </w:style>
  <w:style w:type="paragraph" w:styleId="ListParagraph">
    <w:name w:val="List Paragraph"/>
    <w:basedOn w:val="Normal"/>
    <w:uiPriority w:val="34"/>
    <w:qFormat/>
    <w:rsid w:val="00AF6124"/>
    <w:pPr>
      <w:ind w:left="720"/>
      <w:contextualSpacing/>
    </w:pPr>
  </w:style>
  <w:style w:type="table" w:styleId="TableGrid">
    <w:name w:val="Table Grid"/>
    <w:basedOn w:val="TableNormal"/>
    <w:uiPriority w:val="59"/>
    <w:rsid w:val="00480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0EF"/>
    <w:rPr>
      <w:rFonts w:ascii="Tahoma" w:hAnsi="Tahoma" w:cs="Tahoma"/>
      <w:sz w:val="16"/>
      <w:szCs w:val="16"/>
    </w:rPr>
  </w:style>
  <w:style w:type="character" w:styleId="CommentReference">
    <w:name w:val="annotation reference"/>
    <w:basedOn w:val="DefaultParagraphFont"/>
    <w:uiPriority w:val="99"/>
    <w:semiHidden/>
    <w:unhideWhenUsed/>
    <w:rsid w:val="00725811"/>
    <w:rPr>
      <w:sz w:val="16"/>
      <w:szCs w:val="16"/>
    </w:rPr>
  </w:style>
  <w:style w:type="paragraph" w:styleId="CommentText">
    <w:name w:val="annotation text"/>
    <w:basedOn w:val="Normal"/>
    <w:link w:val="CommentTextChar"/>
    <w:uiPriority w:val="99"/>
    <w:semiHidden/>
    <w:unhideWhenUsed/>
    <w:rsid w:val="00725811"/>
    <w:pPr>
      <w:spacing w:line="240" w:lineRule="auto"/>
    </w:pPr>
    <w:rPr>
      <w:sz w:val="20"/>
      <w:szCs w:val="20"/>
    </w:rPr>
  </w:style>
  <w:style w:type="character" w:customStyle="1" w:styleId="CommentTextChar">
    <w:name w:val="Comment Text Char"/>
    <w:basedOn w:val="DefaultParagraphFont"/>
    <w:link w:val="CommentText"/>
    <w:uiPriority w:val="99"/>
    <w:semiHidden/>
    <w:rsid w:val="00725811"/>
    <w:rPr>
      <w:sz w:val="20"/>
      <w:szCs w:val="20"/>
    </w:rPr>
  </w:style>
  <w:style w:type="paragraph" w:styleId="CommentSubject">
    <w:name w:val="annotation subject"/>
    <w:basedOn w:val="CommentText"/>
    <w:next w:val="CommentText"/>
    <w:link w:val="CommentSubjectChar"/>
    <w:uiPriority w:val="99"/>
    <w:semiHidden/>
    <w:unhideWhenUsed/>
    <w:rsid w:val="00725811"/>
    <w:rPr>
      <w:b/>
      <w:bCs/>
    </w:rPr>
  </w:style>
  <w:style w:type="character" w:customStyle="1" w:styleId="CommentSubjectChar">
    <w:name w:val="Comment Subject Char"/>
    <w:basedOn w:val="CommentTextChar"/>
    <w:link w:val="CommentSubject"/>
    <w:uiPriority w:val="99"/>
    <w:semiHidden/>
    <w:rsid w:val="007258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368F"/>
    <w:pPr>
      <w:spacing w:after="0" w:line="240" w:lineRule="auto"/>
    </w:pPr>
    <w:rPr>
      <w:sz w:val="20"/>
      <w:szCs w:val="20"/>
    </w:rPr>
  </w:style>
  <w:style w:type="character" w:customStyle="1" w:styleId="FootnoteTextChar">
    <w:name w:val="Footnote Text Char"/>
    <w:basedOn w:val="DefaultParagraphFont"/>
    <w:link w:val="FootnoteText"/>
    <w:uiPriority w:val="99"/>
    <w:rsid w:val="00C3368F"/>
    <w:rPr>
      <w:sz w:val="20"/>
      <w:szCs w:val="20"/>
    </w:rPr>
  </w:style>
  <w:style w:type="character" w:styleId="FootnoteReference">
    <w:name w:val="footnote reference"/>
    <w:aliases w:val="o,fr,Style 13,Style 12,Style 15,Style 17,Style 9,o1,fr1,o2,fr2,o3,fr3,Style 18,(NECG) Footnote Reference,Style 20,Style 7,Style 8,Style 19"/>
    <w:basedOn w:val="DefaultParagraphFont"/>
    <w:unhideWhenUsed/>
    <w:rsid w:val="00C3368F"/>
    <w:rPr>
      <w:vertAlign w:val="superscript"/>
    </w:rPr>
  </w:style>
  <w:style w:type="paragraph" w:styleId="Header">
    <w:name w:val="header"/>
    <w:basedOn w:val="Normal"/>
    <w:link w:val="HeaderChar"/>
    <w:uiPriority w:val="99"/>
    <w:unhideWhenUsed/>
    <w:rsid w:val="00310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487"/>
  </w:style>
  <w:style w:type="paragraph" w:styleId="Footer">
    <w:name w:val="footer"/>
    <w:basedOn w:val="Normal"/>
    <w:link w:val="FooterChar"/>
    <w:uiPriority w:val="99"/>
    <w:unhideWhenUsed/>
    <w:rsid w:val="00310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487"/>
  </w:style>
  <w:style w:type="paragraph" w:styleId="ListParagraph">
    <w:name w:val="List Paragraph"/>
    <w:basedOn w:val="Normal"/>
    <w:uiPriority w:val="34"/>
    <w:qFormat/>
    <w:rsid w:val="00AF6124"/>
    <w:pPr>
      <w:ind w:left="720"/>
      <w:contextualSpacing/>
    </w:pPr>
  </w:style>
  <w:style w:type="table" w:styleId="TableGrid">
    <w:name w:val="Table Grid"/>
    <w:basedOn w:val="TableNormal"/>
    <w:uiPriority w:val="59"/>
    <w:rsid w:val="00480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0EF"/>
    <w:rPr>
      <w:rFonts w:ascii="Tahoma" w:hAnsi="Tahoma" w:cs="Tahoma"/>
      <w:sz w:val="16"/>
      <w:szCs w:val="16"/>
    </w:rPr>
  </w:style>
  <w:style w:type="character" w:styleId="CommentReference">
    <w:name w:val="annotation reference"/>
    <w:basedOn w:val="DefaultParagraphFont"/>
    <w:uiPriority w:val="99"/>
    <w:semiHidden/>
    <w:unhideWhenUsed/>
    <w:rsid w:val="00725811"/>
    <w:rPr>
      <w:sz w:val="16"/>
      <w:szCs w:val="16"/>
    </w:rPr>
  </w:style>
  <w:style w:type="paragraph" w:styleId="CommentText">
    <w:name w:val="annotation text"/>
    <w:basedOn w:val="Normal"/>
    <w:link w:val="CommentTextChar"/>
    <w:uiPriority w:val="99"/>
    <w:semiHidden/>
    <w:unhideWhenUsed/>
    <w:rsid w:val="00725811"/>
    <w:pPr>
      <w:spacing w:line="240" w:lineRule="auto"/>
    </w:pPr>
    <w:rPr>
      <w:sz w:val="20"/>
      <w:szCs w:val="20"/>
    </w:rPr>
  </w:style>
  <w:style w:type="character" w:customStyle="1" w:styleId="CommentTextChar">
    <w:name w:val="Comment Text Char"/>
    <w:basedOn w:val="DefaultParagraphFont"/>
    <w:link w:val="CommentText"/>
    <w:uiPriority w:val="99"/>
    <w:semiHidden/>
    <w:rsid w:val="00725811"/>
    <w:rPr>
      <w:sz w:val="20"/>
      <w:szCs w:val="20"/>
    </w:rPr>
  </w:style>
  <w:style w:type="paragraph" w:styleId="CommentSubject">
    <w:name w:val="annotation subject"/>
    <w:basedOn w:val="CommentText"/>
    <w:next w:val="CommentText"/>
    <w:link w:val="CommentSubjectChar"/>
    <w:uiPriority w:val="99"/>
    <w:semiHidden/>
    <w:unhideWhenUsed/>
    <w:rsid w:val="00725811"/>
    <w:rPr>
      <w:b/>
      <w:bCs/>
    </w:rPr>
  </w:style>
  <w:style w:type="character" w:customStyle="1" w:styleId="CommentSubjectChar">
    <w:name w:val="Comment Subject Char"/>
    <w:basedOn w:val="CommentTextChar"/>
    <w:link w:val="CommentSubject"/>
    <w:uiPriority w:val="99"/>
    <w:semiHidden/>
    <w:rsid w:val="007258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32">
      <w:bodyDiv w:val="1"/>
      <w:marLeft w:val="0"/>
      <w:marRight w:val="0"/>
      <w:marTop w:val="0"/>
      <w:marBottom w:val="0"/>
      <w:divBdr>
        <w:top w:val="none" w:sz="0" w:space="0" w:color="auto"/>
        <w:left w:val="none" w:sz="0" w:space="0" w:color="auto"/>
        <w:bottom w:val="none" w:sz="0" w:space="0" w:color="auto"/>
        <w:right w:val="none" w:sz="0" w:space="0" w:color="auto"/>
      </w:divBdr>
    </w:div>
    <w:div w:id="56708742">
      <w:bodyDiv w:val="1"/>
      <w:marLeft w:val="0"/>
      <w:marRight w:val="0"/>
      <w:marTop w:val="0"/>
      <w:marBottom w:val="0"/>
      <w:divBdr>
        <w:top w:val="none" w:sz="0" w:space="0" w:color="auto"/>
        <w:left w:val="none" w:sz="0" w:space="0" w:color="auto"/>
        <w:bottom w:val="none" w:sz="0" w:space="0" w:color="auto"/>
        <w:right w:val="none" w:sz="0" w:space="0" w:color="auto"/>
      </w:divBdr>
    </w:div>
    <w:div w:id="250509920">
      <w:bodyDiv w:val="1"/>
      <w:marLeft w:val="0"/>
      <w:marRight w:val="0"/>
      <w:marTop w:val="0"/>
      <w:marBottom w:val="0"/>
      <w:divBdr>
        <w:top w:val="none" w:sz="0" w:space="0" w:color="auto"/>
        <w:left w:val="none" w:sz="0" w:space="0" w:color="auto"/>
        <w:bottom w:val="none" w:sz="0" w:space="0" w:color="auto"/>
        <w:right w:val="none" w:sz="0" w:space="0" w:color="auto"/>
      </w:divBdr>
    </w:div>
    <w:div w:id="337125314">
      <w:bodyDiv w:val="1"/>
      <w:marLeft w:val="0"/>
      <w:marRight w:val="0"/>
      <w:marTop w:val="0"/>
      <w:marBottom w:val="0"/>
      <w:divBdr>
        <w:top w:val="none" w:sz="0" w:space="0" w:color="auto"/>
        <w:left w:val="none" w:sz="0" w:space="0" w:color="auto"/>
        <w:bottom w:val="none" w:sz="0" w:space="0" w:color="auto"/>
        <w:right w:val="none" w:sz="0" w:space="0" w:color="auto"/>
      </w:divBdr>
    </w:div>
    <w:div w:id="412971449">
      <w:bodyDiv w:val="1"/>
      <w:marLeft w:val="0"/>
      <w:marRight w:val="0"/>
      <w:marTop w:val="0"/>
      <w:marBottom w:val="0"/>
      <w:divBdr>
        <w:top w:val="none" w:sz="0" w:space="0" w:color="auto"/>
        <w:left w:val="none" w:sz="0" w:space="0" w:color="auto"/>
        <w:bottom w:val="none" w:sz="0" w:space="0" w:color="auto"/>
        <w:right w:val="none" w:sz="0" w:space="0" w:color="auto"/>
      </w:divBdr>
    </w:div>
    <w:div w:id="474109831">
      <w:bodyDiv w:val="1"/>
      <w:marLeft w:val="0"/>
      <w:marRight w:val="0"/>
      <w:marTop w:val="0"/>
      <w:marBottom w:val="0"/>
      <w:divBdr>
        <w:top w:val="none" w:sz="0" w:space="0" w:color="auto"/>
        <w:left w:val="none" w:sz="0" w:space="0" w:color="auto"/>
        <w:bottom w:val="none" w:sz="0" w:space="0" w:color="auto"/>
        <w:right w:val="none" w:sz="0" w:space="0" w:color="auto"/>
      </w:divBdr>
    </w:div>
    <w:div w:id="1099986241">
      <w:bodyDiv w:val="1"/>
      <w:marLeft w:val="0"/>
      <w:marRight w:val="0"/>
      <w:marTop w:val="0"/>
      <w:marBottom w:val="0"/>
      <w:divBdr>
        <w:top w:val="none" w:sz="0" w:space="0" w:color="auto"/>
        <w:left w:val="none" w:sz="0" w:space="0" w:color="auto"/>
        <w:bottom w:val="none" w:sz="0" w:space="0" w:color="auto"/>
        <w:right w:val="none" w:sz="0" w:space="0" w:color="auto"/>
      </w:divBdr>
    </w:div>
    <w:div w:id="17878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gasco.com\share\users\szs\North%20Mist%20Expansion%20(post%20140201)\May%202015%20Filing\NM%20Real%20Options%201505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asco.com\share\users\szs\North%20Mist%20Expansion%20(post%20140201)\May%202015%20Filing\NM%20Real%20Options%201505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asco.com\share\users\szs\North%20Mist%20Expansion%20(post%20140201)\May%202015%20Filing\NM%20Real%20Options%201505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asco.com\share\users\szs\North%20Mist%20Expansion%20(post%20140201)\May%202015%20Filing\NM%20Real%20Options%201505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North Mist Investment Level</a:t>
            </a:r>
            <a:r>
              <a:rPr lang="en-US" sz="1400" baseline="0"/>
              <a:t> of</a:t>
            </a:r>
            <a:r>
              <a:rPr lang="en-US" sz="1400"/>
              <a:t> Alternative Configurations</a:t>
            </a:r>
          </a:p>
        </c:rich>
      </c:tx>
      <c:overlay val="0"/>
    </c:title>
    <c:autoTitleDeleted val="0"/>
    <c:plotArea>
      <c:layout/>
      <c:barChart>
        <c:barDir val="col"/>
        <c:grouping val="clustered"/>
        <c:varyColors val="0"/>
        <c:ser>
          <c:idx val="0"/>
          <c:order val="0"/>
          <c:invertIfNegative val="0"/>
          <c:cat>
            <c:strRef>
              <c:f>Investments!$B$105:$B$107</c:f>
              <c:strCache>
                <c:ptCount val="3"/>
                <c:pt idx="0">
                  <c:v>Shared Northbound Takeaway
Alternative 1</c:v>
                </c:pt>
                <c:pt idx="1">
                  <c:v>Southbound Takeaway
Alternative 2</c:v>
                </c:pt>
                <c:pt idx="2">
                  <c:v>Hybrid Takeaway
Alternative 3</c:v>
                </c:pt>
              </c:strCache>
            </c:strRef>
          </c:cat>
          <c:val>
            <c:numRef>
              <c:f>Investments!$C$105:$C$107</c:f>
              <c:numCache>
                <c:formatCode>#,##0.0_);\(#,##0.0\)</c:formatCode>
                <c:ptCount val="3"/>
                <c:pt idx="0">
                  <c:v>114.03061425061426</c:v>
                </c:pt>
                <c:pt idx="1">
                  <c:v>138.64540540540543</c:v>
                </c:pt>
                <c:pt idx="2">
                  <c:v>127.79975675675676</c:v>
                </c:pt>
              </c:numCache>
            </c:numRef>
          </c:val>
        </c:ser>
        <c:dLbls>
          <c:showLegendKey val="0"/>
          <c:showVal val="0"/>
          <c:showCatName val="0"/>
          <c:showSerName val="0"/>
          <c:showPercent val="0"/>
          <c:showBubbleSize val="0"/>
        </c:dLbls>
        <c:gapWidth val="150"/>
        <c:axId val="80008704"/>
        <c:axId val="80010240"/>
      </c:barChart>
      <c:catAx>
        <c:axId val="80008704"/>
        <c:scaling>
          <c:orientation val="minMax"/>
        </c:scaling>
        <c:delete val="0"/>
        <c:axPos val="b"/>
        <c:numFmt formatCode="General" sourceLinked="1"/>
        <c:majorTickMark val="out"/>
        <c:minorTickMark val="none"/>
        <c:tickLblPos val="nextTo"/>
        <c:crossAx val="80010240"/>
        <c:crosses val="autoZero"/>
        <c:auto val="1"/>
        <c:lblAlgn val="ctr"/>
        <c:lblOffset val="100"/>
        <c:noMultiLvlLbl val="0"/>
      </c:catAx>
      <c:valAx>
        <c:axId val="80010240"/>
        <c:scaling>
          <c:orientation val="minMax"/>
        </c:scaling>
        <c:delete val="0"/>
        <c:axPos val="l"/>
        <c:majorGridlines/>
        <c:title>
          <c:tx>
            <c:rich>
              <a:bodyPr rot="-5400000" vert="horz"/>
              <a:lstStyle/>
              <a:p>
                <a:pPr>
                  <a:defRPr/>
                </a:pPr>
                <a:r>
                  <a:rPr lang="en-US"/>
                  <a:t>Millions of $2015</a:t>
                </a:r>
              </a:p>
            </c:rich>
          </c:tx>
          <c:overlay val="0"/>
        </c:title>
        <c:numFmt formatCode="#,##0_);\(#,##0\)" sourceLinked="0"/>
        <c:majorTickMark val="out"/>
        <c:minorTickMark val="none"/>
        <c:tickLblPos val="nextTo"/>
        <c:crossAx val="800087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Investment Timing of Alternative</a:t>
            </a:r>
            <a:r>
              <a:rPr lang="en-US" sz="1400" baseline="0"/>
              <a:t> North Mist Configurations</a:t>
            </a:r>
            <a:endParaRPr lang="en-US" sz="1400"/>
          </a:p>
          <a:p>
            <a:pPr>
              <a:defRPr/>
            </a:pPr>
            <a:r>
              <a:rPr lang="en-US" sz="1400"/>
              <a:t>Base</a:t>
            </a:r>
            <a:r>
              <a:rPr lang="en-US" sz="1400" baseline="0"/>
              <a:t> Case Load Sensitivity for All 2014 IRP Resource Scenarios</a:t>
            </a:r>
            <a:endParaRPr lang="en-US" sz="1400"/>
          </a:p>
        </c:rich>
      </c:tx>
      <c:overlay val="0"/>
    </c:title>
    <c:autoTitleDeleted val="0"/>
    <c:plotArea>
      <c:layout/>
      <c:barChart>
        <c:barDir val="col"/>
        <c:grouping val="clustered"/>
        <c:varyColors val="0"/>
        <c:ser>
          <c:idx val="0"/>
          <c:order val="0"/>
          <c:tx>
            <c:strRef>
              <c:f>Investments!$C$111</c:f>
              <c:strCache>
                <c:ptCount val="1"/>
                <c:pt idx="0">
                  <c:v>Shared Northbound Takeaway (A1 &amp; A3)</c:v>
                </c:pt>
              </c:strCache>
            </c:strRef>
          </c:tx>
          <c:invertIfNegative val="0"/>
          <c:cat>
            <c:numRef>
              <c:f>Investments!$B$112:$B$126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Investments!$C$112:$C$126</c:f>
              <c:numCache>
                <c:formatCode>General</c:formatCode>
                <c:ptCount val="15"/>
                <c:pt idx="0" formatCode="#,##0.0_);\(#,##0.0\)">
                  <c:v>37.999262899262895</c:v>
                </c:pt>
                <c:pt idx="5" formatCode="#,##0.0_);\(#,##0.0\)">
                  <c:v>76.031351351351361</c:v>
                </c:pt>
              </c:numCache>
            </c:numRef>
          </c:val>
        </c:ser>
        <c:ser>
          <c:idx val="1"/>
          <c:order val="1"/>
          <c:tx>
            <c:strRef>
              <c:f>Investments!$D$111</c:f>
              <c:strCache>
                <c:ptCount val="1"/>
                <c:pt idx="0">
                  <c:v>Shared Northbound Takeaway (A2, B1 &amp; B2)</c:v>
                </c:pt>
              </c:strCache>
            </c:strRef>
          </c:tx>
          <c:invertIfNegative val="0"/>
          <c:cat>
            <c:numRef>
              <c:f>Investments!$B$112:$B$126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Investments!$D$112:$D$126</c:f>
              <c:numCache>
                <c:formatCode>General</c:formatCode>
                <c:ptCount val="15"/>
                <c:pt idx="0" formatCode="#,##0.0_);\(#,##0.0\)">
                  <c:v>37.999262899262895</c:v>
                </c:pt>
                <c:pt idx="11" formatCode="#,##0.0_);\(#,##0.0\)">
                  <c:v>76.031351351351361</c:v>
                </c:pt>
              </c:numCache>
            </c:numRef>
          </c:val>
        </c:ser>
        <c:ser>
          <c:idx val="2"/>
          <c:order val="2"/>
          <c:tx>
            <c:strRef>
              <c:f>Investments!$E$111</c:f>
              <c:strCache>
                <c:ptCount val="1"/>
                <c:pt idx="0">
                  <c:v>Southbound Takeaway (A1 &amp; A3)</c:v>
                </c:pt>
              </c:strCache>
            </c:strRef>
          </c:tx>
          <c:invertIfNegative val="0"/>
          <c:cat>
            <c:numRef>
              <c:f>Investments!$B$112:$B$126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Investments!$E$112:$E$126</c:f>
              <c:numCache>
                <c:formatCode>General</c:formatCode>
                <c:ptCount val="15"/>
                <c:pt idx="5" formatCode="#,##0.0_);\(#,##0.0\)">
                  <c:v>138.64540540540543</c:v>
                </c:pt>
              </c:numCache>
            </c:numRef>
          </c:val>
        </c:ser>
        <c:ser>
          <c:idx val="3"/>
          <c:order val="3"/>
          <c:tx>
            <c:strRef>
              <c:f>Investments!$F$111</c:f>
              <c:strCache>
                <c:ptCount val="1"/>
                <c:pt idx="0">
                  <c:v>Southbound Takeaway (A2, B1 &amp; B2)</c:v>
                </c:pt>
              </c:strCache>
            </c:strRef>
          </c:tx>
          <c:invertIfNegative val="0"/>
          <c:cat>
            <c:numRef>
              <c:f>Investments!$B$112:$B$126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Investments!$F$112:$F$126</c:f>
              <c:numCache>
                <c:formatCode>General</c:formatCode>
                <c:ptCount val="15"/>
                <c:pt idx="11" formatCode="#,##0.0_);\(#,##0.0\)">
                  <c:v>138.64540540540543</c:v>
                </c:pt>
              </c:numCache>
            </c:numRef>
          </c:val>
        </c:ser>
        <c:ser>
          <c:idx val="4"/>
          <c:order val="4"/>
          <c:tx>
            <c:strRef>
              <c:f>Investments!$G$111</c:f>
              <c:strCache>
                <c:ptCount val="1"/>
                <c:pt idx="0">
                  <c:v>Hybrid Takeaway (A1 &amp; A3)</c:v>
                </c:pt>
              </c:strCache>
            </c:strRef>
          </c:tx>
          <c:invertIfNegative val="0"/>
          <c:cat>
            <c:numRef>
              <c:f>Investments!$B$112:$B$126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Investments!$G$112:$G$126</c:f>
              <c:numCache>
                <c:formatCode>General</c:formatCode>
                <c:ptCount val="15"/>
                <c:pt idx="5" formatCode="#,##0.0_);\(#,##0.0\)">
                  <c:v>83.075432432432436</c:v>
                </c:pt>
                <c:pt idx="8" formatCode="#,##0.0_);\(#,##0.0\)">
                  <c:v>44.724324324324328</c:v>
                </c:pt>
              </c:numCache>
            </c:numRef>
          </c:val>
        </c:ser>
        <c:ser>
          <c:idx val="5"/>
          <c:order val="5"/>
          <c:tx>
            <c:strRef>
              <c:f>Investments!$H$111</c:f>
              <c:strCache>
                <c:ptCount val="1"/>
                <c:pt idx="0">
                  <c:v>Hybrid Takeaway (A2, B1 &amp; B2)</c:v>
                </c:pt>
              </c:strCache>
            </c:strRef>
          </c:tx>
          <c:invertIfNegative val="0"/>
          <c:cat>
            <c:numRef>
              <c:f>Investments!$B$112:$B$126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Investments!$H$112:$H$126</c:f>
              <c:numCache>
                <c:formatCode>General</c:formatCode>
                <c:ptCount val="15"/>
                <c:pt idx="11" formatCode="#,##0.0_);\(#,##0.0\)">
                  <c:v>83.075432432432436</c:v>
                </c:pt>
                <c:pt idx="14" formatCode="#,##0.0_);\(#,##0.0\)">
                  <c:v>44.724324324324328</c:v>
                </c:pt>
              </c:numCache>
            </c:numRef>
          </c:val>
        </c:ser>
        <c:dLbls>
          <c:showLegendKey val="0"/>
          <c:showVal val="0"/>
          <c:showCatName val="0"/>
          <c:showSerName val="0"/>
          <c:showPercent val="0"/>
          <c:showBubbleSize val="0"/>
        </c:dLbls>
        <c:gapWidth val="0"/>
        <c:axId val="23983232"/>
        <c:axId val="23984768"/>
      </c:barChart>
      <c:catAx>
        <c:axId val="23983232"/>
        <c:scaling>
          <c:orientation val="minMax"/>
        </c:scaling>
        <c:delete val="0"/>
        <c:axPos val="b"/>
        <c:numFmt formatCode="General" sourceLinked="1"/>
        <c:majorTickMark val="out"/>
        <c:minorTickMark val="none"/>
        <c:tickLblPos val="nextTo"/>
        <c:crossAx val="23984768"/>
        <c:crosses val="autoZero"/>
        <c:auto val="1"/>
        <c:lblAlgn val="ctr"/>
        <c:lblOffset val="100"/>
        <c:noMultiLvlLbl val="0"/>
      </c:catAx>
      <c:valAx>
        <c:axId val="23984768"/>
        <c:scaling>
          <c:orientation val="minMax"/>
        </c:scaling>
        <c:delete val="0"/>
        <c:axPos val="l"/>
        <c:majorGridlines/>
        <c:title>
          <c:tx>
            <c:rich>
              <a:bodyPr rot="-5400000" vert="horz"/>
              <a:lstStyle/>
              <a:p>
                <a:pPr>
                  <a:defRPr/>
                </a:pPr>
                <a:r>
                  <a:rPr lang="en-US"/>
                  <a:t>Millions of $2015</a:t>
                </a:r>
              </a:p>
            </c:rich>
          </c:tx>
          <c:overlay val="0"/>
        </c:title>
        <c:numFmt formatCode="#,##0_);\(#,##0\)" sourceLinked="0"/>
        <c:majorTickMark val="out"/>
        <c:minorTickMark val="none"/>
        <c:tickLblPos val="nextTo"/>
        <c:crossAx val="2398323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Present Value of Revenue Requirements</a:t>
            </a:r>
          </a:p>
          <a:p>
            <a:pPr>
              <a:defRPr/>
            </a:pPr>
            <a:r>
              <a:rPr lang="en-US" sz="1400"/>
              <a:t>for Core Customers</a:t>
            </a:r>
          </a:p>
          <a:p>
            <a:pPr>
              <a:defRPr/>
            </a:pPr>
            <a:r>
              <a:rPr lang="en-US" sz="1400"/>
              <a:t>Resource</a:t>
            </a:r>
            <a:r>
              <a:rPr lang="en-US" sz="1400" baseline="0"/>
              <a:t> </a:t>
            </a:r>
            <a:r>
              <a:rPr lang="en-US" sz="1400"/>
              <a:t>Scenarios A1 and A3</a:t>
            </a:r>
          </a:p>
        </c:rich>
      </c:tx>
      <c:overlay val="0"/>
    </c:title>
    <c:autoTitleDeleted val="0"/>
    <c:plotArea>
      <c:layout/>
      <c:barChart>
        <c:barDir val="col"/>
        <c:grouping val="clustered"/>
        <c:varyColors val="0"/>
        <c:ser>
          <c:idx val="0"/>
          <c:order val="0"/>
          <c:tx>
            <c:strRef>
              <c:f>'PVRR Summary (charts 2)'!$B$54</c:f>
              <c:strCache>
                <c:ptCount val="1"/>
                <c:pt idx="0">
                  <c:v>Shared Northbound Takeaway</c:v>
                </c:pt>
              </c:strCache>
            </c:strRef>
          </c:tx>
          <c:invertIfNegative val="0"/>
          <c:cat>
            <c:strRef>
              <c:f>('PVRR Summary (charts 2)'!$A$54,'PVRR Summary (charts 2)'!$A$58,'PVRR Summary (charts 2)'!$A$62)</c:f>
              <c:strCache>
                <c:ptCount val="3"/>
                <c:pt idx="0">
                  <c:v>Base Case</c:v>
                </c:pt>
                <c:pt idx="1">
                  <c:v>High Load</c:v>
                </c:pt>
                <c:pt idx="2">
                  <c:v>Low Load</c:v>
                </c:pt>
              </c:strCache>
            </c:strRef>
          </c:cat>
          <c:val>
            <c:numRef>
              <c:f>('PVRR Summary (charts 2)'!$H$40,'PVRR Summary (charts 2)'!$H$44,'PVRR Summary (charts 2)'!$H$48)</c:f>
              <c:numCache>
                <c:formatCode>0.0</c:formatCode>
                <c:ptCount val="3"/>
                <c:pt idx="0">
                  <c:v>201.70357389020654</c:v>
                </c:pt>
                <c:pt idx="1">
                  <c:v>223.00870681546684</c:v>
                </c:pt>
                <c:pt idx="2">
                  <c:v>148.13054599997</c:v>
                </c:pt>
              </c:numCache>
            </c:numRef>
          </c:val>
        </c:ser>
        <c:ser>
          <c:idx val="1"/>
          <c:order val="1"/>
          <c:tx>
            <c:strRef>
              <c:f>'PVRR Summary (charts 2)'!$B$55</c:f>
              <c:strCache>
                <c:ptCount val="1"/>
                <c:pt idx="0">
                  <c:v>Southbound Takeaway</c:v>
                </c:pt>
              </c:strCache>
            </c:strRef>
          </c:tx>
          <c:invertIfNegative val="0"/>
          <c:cat>
            <c:strRef>
              <c:f>('PVRR Summary (charts 2)'!$A$54,'PVRR Summary (charts 2)'!$A$58,'PVRR Summary (charts 2)'!$A$62)</c:f>
              <c:strCache>
                <c:ptCount val="3"/>
                <c:pt idx="0">
                  <c:v>Base Case</c:v>
                </c:pt>
                <c:pt idx="1">
                  <c:v>High Load</c:v>
                </c:pt>
                <c:pt idx="2">
                  <c:v>Low Load</c:v>
                </c:pt>
              </c:strCache>
            </c:strRef>
          </c:cat>
          <c:val>
            <c:numRef>
              <c:f>('PVRR Summary (charts 2)'!$H$41,'PVRR Summary (charts 2)'!$H$45,'PVRR Summary (charts 2)'!$H$49)</c:f>
              <c:numCache>
                <c:formatCode>0.0</c:formatCode>
                <c:ptCount val="3"/>
                <c:pt idx="0">
                  <c:v>216.44387144796309</c:v>
                </c:pt>
                <c:pt idx="1">
                  <c:v>240.5766959969109</c:v>
                </c:pt>
                <c:pt idx="2">
                  <c:v>155.76044425854226</c:v>
                </c:pt>
              </c:numCache>
            </c:numRef>
          </c:val>
        </c:ser>
        <c:ser>
          <c:idx val="2"/>
          <c:order val="2"/>
          <c:tx>
            <c:strRef>
              <c:f>'PVRR Summary (charts 2)'!$B$56</c:f>
              <c:strCache>
                <c:ptCount val="1"/>
                <c:pt idx="0">
                  <c:v>Hybrid Takeaway</c:v>
                </c:pt>
              </c:strCache>
            </c:strRef>
          </c:tx>
          <c:invertIfNegative val="0"/>
          <c:cat>
            <c:strRef>
              <c:f>('PVRR Summary (charts 2)'!$A$54,'PVRR Summary (charts 2)'!$A$58,'PVRR Summary (charts 2)'!$A$62)</c:f>
              <c:strCache>
                <c:ptCount val="3"/>
                <c:pt idx="0">
                  <c:v>Base Case</c:v>
                </c:pt>
                <c:pt idx="1">
                  <c:v>High Load</c:v>
                </c:pt>
                <c:pt idx="2">
                  <c:v>Low Load</c:v>
                </c:pt>
              </c:strCache>
            </c:strRef>
          </c:cat>
          <c:val>
            <c:numRef>
              <c:f>('PVRR Summary (charts 2)'!$H$42,'PVRR Summary (charts 2)'!$H$46,'PVRR Summary (charts 2)'!$H$50)</c:f>
              <c:numCache>
                <c:formatCode>0.0</c:formatCode>
                <c:ptCount val="3"/>
                <c:pt idx="0">
                  <c:v>194.10099103884042</c:v>
                </c:pt>
                <c:pt idx="1">
                  <c:v>215.8910484485165</c:v>
                </c:pt>
                <c:pt idx="2">
                  <c:v>139.30859160000094</c:v>
                </c:pt>
              </c:numCache>
            </c:numRef>
          </c:val>
        </c:ser>
        <c:ser>
          <c:idx val="3"/>
          <c:order val="3"/>
          <c:tx>
            <c:v>Clark County LNG</c:v>
          </c:tx>
          <c:invertIfNegative val="0"/>
          <c:val>
            <c:numRef>
              <c:f>('PVRR Summary (charts 2)'!$H$43,'PVRR Summary (charts 2)'!$H$47,'PVRR Summary (charts 2)'!$H$51)</c:f>
              <c:numCache>
                <c:formatCode>0.0</c:formatCode>
                <c:ptCount val="3"/>
                <c:pt idx="0">
                  <c:v>295.35486887462855</c:v>
                </c:pt>
                <c:pt idx="1">
                  <c:v>328.28602641928813</c:v>
                </c:pt>
                <c:pt idx="2">
                  <c:v>212.54750842366067</c:v>
                </c:pt>
              </c:numCache>
            </c:numRef>
          </c:val>
        </c:ser>
        <c:dLbls>
          <c:showLegendKey val="0"/>
          <c:showVal val="0"/>
          <c:showCatName val="0"/>
          <c:showSerName val="0"/>
          <c:showPercent val="0"/>
          <c:showBubbleSize val="0"/>
        </c:dLbls>
        <c:gapWidth val="150"/>
        <c:axId val="80303616"/>
        <c:axId val="80305152"/>
      </c:barChart>
      <c:catAx>
        <c:axId val="80303616"/>
        <c:scaling>
          <c:orientation val="minMax"/>
        </c:scaling>
        <c:delete val="0"/>
        <c:axPos val="b"/>
        <c:majorTickMark val="out"/>
        <c:minorTickMark val="none"/>
        <c:tickLblPos val="nextTo"/>
        <c:crossAx val="80305152"/>
        <c:crosses val="autoZero"/>
        <c:auto val="1"/>
        <c:lblAlgn val="ctr"/>
        <c:lblOffset val="100"/>
        <c:noMultiLvlLbl val="0"/>
      </c:catAx>
      <c:valAx>
        <c:axId val="80305152"/>
        <c:scaling>
          <c:orientation val="minMax"/>
          <c:max val="340"/>
        </c:scaling>
        <c:delete val="0"/>
        <c:axPos val="l"/>
        <c:majorGridlines/>
        <c:title>
          <c:tx>
            <c:rich>
              <a:bodyPr rot="-5400000" vert="horz"/>
              <a:lstStyle/>
              <a:p>
                <a:pPr>
                  <a:defRPr/>
                </a:pPr>
                <a:r>
                  <a:rPr lang="en-US"/>
                  <a:t>Millions of $2015</a:t>
                </a:r>
              </a:p>
            </c:rich>
          </c:tx>
          <c:overlay val="0"/>
        </c:title>
        <c:numFmt formatCode="0" sourceLinked="0"/>
        <c:majorTickMark val="out"/>
        <c:minorTickMark val="none"/>
        <c:tickLblPos val="nextTo"/>
        <c:crossAx val="8030361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Present Value of Revenue Requirements</a:t>
            </a:r>
          </a:p>
          <a:p>
            <a:pPr>
              <a:defRPr/>
            </a:pPr>
            <a:r>
              <a:rPr lang="en-US" sz="1400"/>
              <a:t>for Core Customers</a:t>
            </a:r>
          </a:p>
          <a:p>
            <a:pPr>
              <a:defRPr/>
            </a:pPr>
            <a:r>
              <a:rPr lang="en-US" sz="1400"/>
              <a:t>Resource</a:t>
            </a:r>
            <a:r>
              <a:rPr lang="en-US" sz="1400" baseline="0"/>
              <a:t> </a:t>
            </a:r>
            <a:r>
              <a:rPr lang="en-US" sz="1400"/>
              <a:t>Scenarios A2,</a:t>
            </a:r>
            <a:r>
              <a:rPr lang="en-US" sz="1400" baseline="0"/>
              <a:t> B1 and B2</a:t>
            </a:r>
            <a:endParaRPr lang="en-US" sz="1400"/>
          </a:p>
        </c:rich>
      </c:tx>
      <c:overlay val="0"/>
    </c:title>
    <c:autoTitleDeleted val="0"/>
    <c:plotArea>
      <c:layout/>
      <c:barChart>
        <c:barDir val="col"/>
        <c:grouping val="clustered"/>
        <c:varyColors val="0"/>
        <c:ser>
          <c:idx val="0"/>
          <c:order val="0"/>
          <c:tx>
            <c:strRef>
              <c:f>'PVRR Summary (charts 2)'!$B$54</c:f>
              <c:strCache>
                <c:ptCount val="1"/>
                <c:pt idx="0">
                  <c:v>Shared Northbound Takeaway</c:v>
                </c:pt>
              </c:strCache>
            </c:strRef>
          </c:tx>
          <c:invertIfNegative val="0"/>
          <c:cat>
            <c:strRef>
              <c:f>('PVRR Summary (charts 2)'!$A$54,'PVRR Summary (charts 2)'!$A$58,'PVRR Summary (charts 2)'!$A$62)</c:f>
              <c:strCache>
                <c:ptCount val="3"/>
                <c:pt idx="0">
                  <c:v>Base Case</c:v>
                </c:pt>
                <c:pt idx="1">
                  <c:v>High Load</c:v>
                </c:pt>
                <c:pt idx="2">
                  <c:v>Low Load</c:v>
                </c:pt>
              </c:strCache>
            </c:strRef>
          </c:cat>
          <c:val>
            <c:numRef>
              <c:f>('PVRR Summary (charts 2)'!$H$54,'PVRR Summary (charts 2)'!$H$58,'PVRR Summary (charts 2)'!$H$62)</c:f>
              <c:numCache>
                <c:formatCode>0.0</c:formatCode>
                <c:ptCount val="3"/>
                <c:pt idx="0">
                  <c:v>148.13054599997</c:v>
                </c:pt>
                <c:pt idx="1">
                  <c:v>164.41425672549718</c:v>
                </c:pt>
                <c:pt idx="2">
                  <c:v>107.18418382914813</c:v>
                </c:pt>
              </c:numCache>
            </c:numRef>
          </c:val>
        </c:ser>
        <c:ser>
          <c:idx val="1"/>
          <c:order val="1"/>
          <c:tx>
            <c:strRef>
              <c:f>'PVRR Summary (charts 2)'!$B$55</c:f>
              <c:strCache>
                <c:ptCount val="1"/>
                <c:pt idx="0">
                  <c:v>Southbound Takeaway</c:v>
                </c:pt>
              </c:strCache>
            </c:strRef>
          </c:tx>
          <c:invertIfNegative val="0"/>
          <c:cat>
            <c:strRef>
              <c:f>('PVRR Summary (charts 2)'!$A$54,'PVRR Summary (charts 2)'!$A$58,'PVRR Summary (charts 2)'!$A$62)</c:f>
              <c:strCache>
                <c:ptCount val="3"/>
                <c:pt idx="0">
                  <c:v>Base Case</c:v>
                </c:pt>
                <c:pt idx="1">
                  <c:v>High Load</c:v>
                </c:pt>
                <c:pt idx="2">
                  <c:v>Low Load</c:v>
                </c:pt>
              </c:strCache>
            </c:strRef>
          </c:cat>
          <c:val>
            <c:numRef>
              <c:f>('PVRR Summary (charts 2)'!$H$55,'PVRR Summary (charts 2)'!$H$59,'PVRR Summary (charts 2)'!$H$63)</c:f>
              <c:numCache>
                <c:formatCode>0.0</c:formatCode>
                <c:ptCount val="3"/>
                <c:pt idx="0">
                  <c:v>155.76044425854226</c:v>
                </c:pt>
                <c:pt idx="1">
                  <c:v>174.20538592229701</c:v>
                </c:pt>
                <c:pt idx="2">
                  <c:v>109.37953794584226</c:v>
                </c:pt>
              </c:numCache>
            </c:numRef>
          </c:val>
        </c:ser>
        <c:ser>
          <c:idx val="2"/>
          <c:order val="2"/>
          <c:tx>
            <c:strRef>
              <c:f>'PVRR Summary (charts 2)'!$B$56</c:f>
              <c:strCache>
                <c:ptCount val="1"/>
                <c:pt idx="0">
                  <c:v>Hybrid Takeaway</c:v>
                </c:pt>
              </c:strCache>
            </c:strRef>
          </c:tx>
          <c:invertIfNegative val="0"/>
          <c:cat>
            <c:strRef>
              <c:f>('PVRR Summary (charts 2)'!$A$54,'PVRR Summary (charts 2)'!$A$58,'PVRR Summary (charts 2)'!$A$62)</c:f>
              <c:strCache>
                <c:ptCount val="3"/>
                <c:pt idx="0">
                  <c:v>Base Case</c:v>
                </c:pt>
                <c:pt idx="1">
                  <c:v>High Load</c:v>
                </c:pt>
                <c:pt idx="2">
                  <c:v>Low Load</c:v>
                </c:pt>
              </c:strCache>
            </c:strRef>
          </c:cat>
          <c:val>
            <c:numRef>
              <c:f>('PVRR Summary (charts 2)'!$H$56,'PVRR Summary (charts 2)'!$H$60,'PVRR Summary (charts 2)'!$H$64)</c:f>
              <c:numCache>
                <c:formatCode>0.0</c:formatCode>
                <c:ptCount val="3"/>
                <c:pt idx="0">
                  <c:v>139.30859160000094</c:v>
                </c:pt>
                <c:pt idx="1">
                  <c:v>155.96293460722538</c:v>
                </c:pt>
                <c:pt idx="2">
                  <c:v>97.430252443443067</c:v>
                </c:pt>
              </c:numCache>
            </c:numRef>
          </c:val>
        </c:ser>
        <c:ser>
          <c:idx val="3"/>
          <c:order val="3"/>
          <c:tx>
            <c:v>Clark County LNG</c:v>
          </c:tx>
          <c:invertIfNegative val="0"/>
          <c:val>
            <c:numRef>
              <c:f>('PVRR Summary (charts 2)'!$H$57,'PVRR Summary (charts 2)'!$H$61,'PVRR Summary (charts 2)'!$H$65)</c:f>
              <c:numCache>
                <c:formatCode>0.0</c:formatCode>
                <c:ptCount val="3"/>
                <c:pt idx="0">
                  <c:v>212.54750842366067</c:v>
                </c:pt>
                <c:pt idx="1">
                  <c:v>237.71709761116603</c:v>
                </c:pt>
                <c:pt idx="2">
                  <c:v>149.25707469305084</c:v>
                </c:pt>
              </c:numCache>
            </c:numRef>
          </c:val>
        </c:ser>
        <c:dLbls>
          <c:showLegendKey val="0"/>
          <c:showVal val="0"/>
          <c:showCatName val="0"/>
          <c:showSerName val="0"/>
          <c:showPercent val="0"/>
          <c:showBubbleSize val="0"/>
        </c:dLbls>
        <c:gapWidth val="150"/>
        <c:axId val="82122624"/>
        <c:axId val="82124160"/>
      </c:barChart>
      <c:catAx>
        <c:axId val="82122624"/>
        <c:scaling>
          <c:orientation val="minMax"/>
        </c:scaling>
        <c:delete val="0"/>
        <c:axPos val="b"/>
        <c:majorTickMark val="out"/>
        <c:minorTickMark val="none"/>
        <c:tickLblPos val="nextTo"/>
        <c:crossAx val="82124160"/>
        <c:crosses val="autoZero"/>
        <c:auto val="1"/>
        <c:lblAlgn val="ctr"/>
        <c:lblOffset val="100"/>
        <c:noMultiLvlLbl val="0"/>
      </c:catAx>
      <c:valAx>
        <c:axId val="82124160"/>
        <c:scaling>
          <c:orientation val="minMax"/>
          <c:max val="340"/>
        </c:scaling>
        <c:delete val="0"/>
        <c:axPos val="l"/>
        <c:majorGridlines/>
        <c:title>
          <c:tx>
            <c:rich>
              <a:bodyPr rot="-5400000" vert="horz"/>
              <a:lstStyle/>
              <a:p>
                <a:pPr>
                  <a:defRPr/>
                </a:pPr>
                <a:r>
                  <a:rPr lang="en-US"/>
                  <a:t>Millions of</a:t>
                </a:r>
                <a:r>
                  <a:rPr lang="en-US" baseline="0"/>
                  <a:t> $2015</a:t>
                </a:r>
                <a:endParaRPr lang="en-US"/>
              </a:p>
            </c:rich>
          </c:tx>
          <c:overlay val="0"/>
        </c:title>
        <c:numFmt formatCode="0" sourceLinked="0"/>
        <c:majorTickMark val="out"/>
        <c:minorTickMark val="none"/>
        <c:tickLblPos val="nextTo"/>
        <c:crossAx val="821226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9340CF18034548BCFD1F22DBE393D0" ma:contentTypeVersion="135" ma:contentTypeDescription="" ma:contentTypeScope="" ma:versionID="63f092230608ebbf49c1a095b9187c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2013-08-12T07:00:00+00:00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131473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3B590-6CDA-4480-8756-38AB9C89F333}"/>
</file>

<file path=customXml/itemProps2.xml><?xml version="1.0" encoding="utf-8"?>
<ds:datastoreItem xmlns:ds="http://schemas.openxmlformats.org/officeDocument/2006/customXml" ds:itemID="{6CA0B38B-AD30-4D8B-B8A2-17BB2F8A465F}"/>
</file>

<file path=customXml/itemProps3.xml><?xml version="1.0" encoding="utf-8"?>
<ds:datastoreItem xmlns:ds="http://schemas.openxmlformats.org/officeDocument/2006/customXml" ds:itemID="{F620CB2A-5CC8-4335-AF38-18B1D09F77B2}"/>
</file>

<file path=customXml/itemProps4.xml><?xml version="1.0" encoding="utf-8"?>
<ds:datastoreItem xmlns:ds="http://schemas.openxmlformats.org/officeDocument/2006/customXml" ds:itemID="{C4A2620E-EB67-4840-831B-90FB1DCAC802}"/>
</file>

<file path=customXml/itemProps5.xml><?xml version="1.0" encoding="utf-8"?>
<ds:datastoreItem xmlns:ds="http://schemas.openxmlformats.org/officeDocument/2006/customXml" ds:itemID="{4338DC6D-AF66-423F-ACD6-71FD1E21482F}"/>
</file>

<file path=docProps/app.xml><?xml version="1.0" encoding="utf-8"?>
<Properties xmlns="http://schemas.openxmlformats.org/officeDocument/2006/extended-properties" xmlns:vt="http://schemas.openxmlformats.org/officeDocument/2006/docPropsVTypes">
  <Template>Normal.dotm</Template>
  <TotalTime>0</TotalTime>
  <Pages>15</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23158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 Steve</dc:creator>
  <cp:lastModifiedBy>Seagondollar, Shannon L.</cp:lastModifiedBy>
  <cp:revision>2</cp:revision>
  <cp:lastPrinted>2015-05-28T16:27:00Z</cp:lastPrinted>
  <dcterms:created xsi:type="dcterms:W3CDTF">2015-05-29T21:04:00Z</dcterms:created>
  <dcterms:modified xsi:type="dcterms:W3CDTF">2015-05-29T21:04:00Z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0x0101006E56B4D1795A2E4DB2F0B01679ED314A00719340CF18034548BCFD1F22DBE393D0</vt:lpwstr>
  </property>
  <property fmtid="{D5CDD505-2E9C-101B-9397-08002B2CF9AE}" pid="3" name="_docset_NoMedatataSyncRequired">
    <vt:lpwstr>False</vt:lpwstr>
  </property>
</Properties>
</file>