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E5" w:rsidRPr="00892A0D" w:rsidRDefault="005711E5">
      <w:pPr>
        <w:pStyle w:val="BodyText"/>
        <w:rPr>
          <w:b/>
          <w:bCs/>
          <w:sz w:val="25"/>
          <w:szCs w:val="25"/>
        </w:rPr>
      </w:pPr>
      <w:bookmarkStart w:id="0" w:name="_GoBack"/>
      <w:bookmarkEnd w:id="0"/>
      <w:r w:rsidRPr="00892A0D">
        <w:rPr>
          <w:b/>
          <w:bCs/>
          <w:sz w:val="25"/>
          <w:szCs w:val="25"/>
        </w:rPr>
        <w:t>BEFORE THE WASHINGTON</w:t>
      </w:r>
    </w:p>
    <w:p w:rsidR="005711E5" w:rsidRPr="00892A0D" w:rsidRDefault="005711E5">
      <w:pPr>
        <w:pStyle w:val="BodyText"/>
        <w:rPr>
          <w:b/>
          <w:bCs/>
          <w:sz w:val="25"/>
          <w:szCs w:val="25"/>
        </w:rPr>
      </w:pPr>
      <w:r w:rsidRPr="00892A0D">
        <w:rPr>
          <w:b/>
          <w:bCs/>
          <w:sz w:val="25"/>
          <w:szCs w:val="25"/>
        </w:rPr>
        <w:t>UTILITIES AND TRANSPORTATION COMMISSION</w:t>
      </w:r>
    </w:p>
    <w:p w:rsidR="00DC39A1" w:rsidRDefault="00DC39A1">
      <w:pPr>
        <w:pStyle w:val="BodyText"/>
        <w:rPr>
          <w:sz w:val="25"/>
          <w:szCs w:val="25"/>
        </w:rPr>
      </w:pPr>
    </w:p>
    <w:p w:rsidR="00892A0D" w:rsidRDefault="00892A0D">
      <w:pPr>
        <w:pStyle w:val="BodyText"/>
        <w:rPr>
          <w:sz w:val="25"/>
          <w:szCs w:val="25"/>
        </w:rPr>
      </w:pPr>
    </w:p>
    <w:tbl>
      <w:tblPr>
        <w:tblStyle w:val="TableGrid"/>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248"/>
      </w:tblGrid>
      <w:tr w:rsidR="00892A0D" w:rsidTr="00892A0D">
        <w:tc>
          <w:tcPr>
            <w:tcW w:w="4248" w:type="dxa"/>
          </w:tcPr>
          <w:p w:rsidR="00892A0D" w:rsidRDefault="00892A0D" w:rsidP="00892A0D">
            <w:pPr>
              <w:pStyle w:val="BodyText"/>
              <w:jc w:val="left"/>
              <w:rPr>
                <w:sz w:val="25"/>
                <w:szCs w:val="25"/>
              </w:rPr>
            </w:pPr>
            <w:r>
              <w:rPr>
                <w:sz w:val="25"/>
                <w:szCs w:val="25"/>
              </w:rPr>
              <w:t>WASHINGTON UTILITIES AND TRANSPORTATION COMMISSION,</w:t>
            </w:r>
          </w:p>
          <w:p w:rsidR="00892A0D" w:rsidRDefault="00892A0D" w:rsidP="00892A0D">
            <w:pPr>
              <w:pStyle w:val="BodyText"/>
              <w:jc w:val="left"/>
              <w:rPr>
                <w:sz w:val="25"/>
                <w:szCs w:val="25"/>
              </w:rPr>
            </w:pPr>
          </w:p>
          <w:p w:rsidR="00892A0D" w:rsidRDefault="00892A0D" w:rsidP="00892A0D">
            <w:pPr>
              <w:pStyle w:val="BodyText"/>
              <w:tabs>
                <w:tab w:val="left" w:pos="2174"/>
              </w:tabs>
              <w:jc w:val="left"/>
              <w:rPr>
                <w:sz w:val="25"/>
                <w:szCs w:val="25"/>
              </w:rPr>
            </w:pPr>
            <w:r>
              <w:rPr>
                <w:sz w:val="25"/>
                <w:szCs w:val="25"/>
              </w:rPr>
              <w:tab/>
              <w:t>Complainant,</w:t>
            </w:r>
          </w:p>
          <w:p w:rsidR="00892A0D" w:rsidRDefault="00892A0D"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v.</w:t>
            </w:r>
          </w:p>
          <w:p w:rsidR="00892A0D" w:rsidRDefault="00892A0D"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SANDY POINT IMPROVEMENT COMPANY,</w:t>
            </w:r>
          </w:p>
          <w:p w:rsidR="00892A0D" w:rsidRDefault="00892A0D"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ab/>
              <w:t>Respondent.</w:t>
            </w:r>
          </w:p>
          <w:p w:rsidR="000A30D2" w:rsidRDefault="000A30D2" w:rsidP="00892A0D">
            <w:pPr>
              <w:pStyle w:val="BodyText"/>
              <w:tabs>
                <w:tab w:val="left" w:pos="2174"/>
              </w:tabs>
              <w:jc w:val="left"/>
              <w:rPr>
                <w:sz w:val="25"/>
                <w:szCs w:val="25"/>
              </w:rPr>
            </w:pPr>
          </w:p>
          <w:p w:rsidR="00892A0D" w:rsidRDefault="00892A0D" w:rsidP="00892A0D">
            <w:pPr>
              <w:pStyle w:val="BodyText"/>
              <w:tabs>
                <w:tab w:val="left" w:pos="2174"/>
              </w:tabs>
              <w:jc w:val="left"/>
              <w:rPr>
                <w:sz w:val="25"/>
                <w:szCs w:val="25"/>
              </w:rPr>
            </w:pPr>
            <w:r>
              <w:rPr>
                <w:sz w:val="25"/>
                <w:szCs w:val="25"/>
              </w:rPr>
              <w:t>. . . . . . . . . . . . . . . . . . . . . . . . . . . . . . . .</w:t>
            </w:r>
          </w:p>
        </w:tc>
        <w:tc>
          <w:tcPr>
            <w:tcW w:w="450" w:type="dxa"/>
          </w:tcPr>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892A0D">
            <w:pPr>
              <w:pStyle w:val="BodyText"/>
              <w:jc w:val="left"/>
              <w:rPr>
                <w:sz w:val="25"/>
                <w:szCs w:val="25"/>
              </w:rPr>
            </w:pPr>
            <w:r>
              <w:rPr>
                <w:sz w:val="25"/>
                <w:szCs w:val="25"/>
              </w:rPr>
              <w:t>)</w:t>
            </w:r>
          </w:p>
          <w:p w:rsidR="00892A0D" w:rsidRDefault="00892A0D" w:rsidP="001C5C92">
            <w:pPr>
              <w:pStyle w:val="BodyText"/>
              <w:jc w:val="left"/>
              <w:rPr>
                <w:sz w:val="25"/>
                <w:szCs w:val="25"/>
              </w:rPr>
            </w:pPr>
            <w:r>
              <w:rPr>
                <w:sz w:val="25"/>
                <w:szCs w:val="25"/>
              </w:rPr>
              <w:t>)</w:t>
            </w:r>
          </w:p>
          <w:p w:rsidR="000A30D2" w:rsidRDefault="000A30D2" w:rsidP="001C5C92">
            <w:pPr>
              <w:pStyle w:val="BodyText"/>
              <w:jc w:val="left"/>
              <w:rPr>
                <w:sz w:val="25"/>
                <w:szCs w:val="25"/>
              </w:rPr>
            </w:pPr>
            <w:r>
              <w:rPr>
                <w:sz w:val="25"/>
                <w:szCs w:val="25"/>
              </w:rPr>
              <w:t>)</w:t>
            </w:r>
          </w:p>
        </w:tc>
        <w:tc>
          <w:tcPr>
            <w:tcW w:w="4248" w:type="dxa"/>
          </w:tcPr>
          <w:p w:rsidR="00892A0D" w:rsidRDefault="00892A0D" w:rsidP="00892A0D">
            <w:pPr>
              <w:pStyle w:val="BodyText"/>
              <w:jc w:val="left"/>
              <w:rPr>
                <w:sz w:val="25"/>
                <w:szCs w:val="25"/>
              </w:rPr>
            </w:pPr>
            <w:r>
              <w:rPr>
                <w:sz w:val="25"/>
                <w:szCs w:val="25"/>
              </w:rPr>
              <w:t>DOCKET UW-121408</w:t>
            </w:r>
          </w:p>
          <w:p w:rsidR="00892A0D" w:rsidRDefault="00892A0D" w:rsidP="00892A0D">
            <w:pPr>
              <w:pStyle w:val="BodyText"/>
              <w:jc w:val="left"/>
              <w:rPr>
                <w:sz w:val="25"/>
                <w:szCs w:val="25"/>
              </w:rPr>
            </w:pPr>
          </w:p>
          <w:p w:rsidR="00892A0D" w:rsidRDefault="00892A0D" w:rsidP="00892A0D">
            <w:pPr>
              <w:pStyle w:val="BodyText"/>
              <w:jc w:val="left"/>
              <w:rPr>
                <w:sz w:val="25"/>
                <w:szCs w:val="25"/>
              </w:rPr>
            </w:pPr>
          </w:p>
          <w:p w:rsidR="00892A0D" w:rsidRDefault="00892A0D" w:rsidP="00892A0D">
            <w:pPr>
              <w:pStyle w:val="BodyText"/>
              <w:jc w:val="left"/>
              <w:rPr>
                <w:sz w:val="25"/>
                <w:szCs w:val="25"/>
              </w:rPr>
            </w:pPr>
            <w:r>
              <w:rPr>
                <w:sz w:val="25"/>
                <w:szCs w:val="25"/>
              </w:rPr>
              <w:t>ORDER 0</w:t>
            </w:r>
            <w:r w:rsidR="006D2993">
              <w:rPr>
                <w:sz w:val="25"/>
                <w:szCs w:val="25"/>
              </w:rPr>
              <w:t>2</w:t>
            </w:r>
          </w:p>
          <w:p w:rsidR="00892A0D" w:rsidRDefault="00892A0D" w:rsidP="00892A0D">
            <w:pPr>
              <w:pStyle w:val="BodyText"/>
              <w:jc w:val="left"/>
              <w:rPr>
                <w:sz w:val="25"/>
                <w:szCs w:val="25"/>
              </w:rPr>
            </w:pPr>
          </w:p>
          <w:p w:rsidR="00CC64FE" w:rsidRDefault="00CC64FE" w:rsidP="00892A0D">
            <w:pPr>
              <w:pStyle w:val="BodyText"/>
              <w:jc w:val="left"/>
              <w:rPr>
                <w:sz w:val="25"/>
                <w:szCs w:val="25"/>
              </w:rPr>
            </w:pPr>
          </w:p>
          <w:p w:rsidR="006D2993" w:rsidRPr="006D2993" w:rsidRDefault="006D2993" w:rsidP="006D2993">
            <w:pPr>
              <w:spacing w:line="264" w:lineRule="auto"/>
              <w:rPr>
                <w:sz w:val="25"/>
                <w:szCs w:val="25"/>
              </w:rPr>
            </w:pPr>
            <w:r w:rsidRPr="006D2993">
              <w:rPr>
                <w:sz w:val="25"/>
                <w:szCs w:val="25"/>
              </w:rPr>
              <w:t>PREHEARING CONFERENCE ORDER</w:t>
            </w:r>
          </w:p>
          <w:p w:rsidR="006D2993" w:rsidRPr="006D2993" w:rsidRDefault="006D2993" w:rsidP="006D2993">
            <w:pPr>
              <w:spacing w:line="264" w:lineRule="auto"/>
              <w:rPr>
                <w:b/>
                <w:sz w:val="25"/>
                <w:szCs w:val="25"/>
              </w:rPr>
            </w:pPr>
          </w:p>
          <w:p w:rsidR="00892A0D" w:rsidRDefault="00892A0D">
            <w:pPr>
              <w:pStyle w:val="BodyText"/>
              <w:jc w:val="left"/>
              <w:rPr>
                <w:sz w:val="25"/>
                <w:szCs w:val="25"/>
              </w:rPr>
            </w:pPr>
          </w:p>
        </w:tc>
      </w:tr>
    </w:tbl>
    <w:p w:rsidR="005711E5" w:rsidRPr="00892A0D" w:rsidRDefault="005711E5">
      <w:pPr>
        <w:pStyle w:val="Header"/>
        <w:tabs>
          <w:tab w:val="clear" w:pos="4320"/>
          <w:tab w:val="clear" w:pos="8640"/>
        </w:tabs>
        <w:rPr>
          <w:sz w:val="25"/>
          <w:szCs w:val="25"/>
        </w:rPr>
        <w:sectPr w:rsidR="005711E5" w:rsidRPr="00892A0D">
          <w:headerReference w:type="default" r:id="rId9"/>
          <w:headerReference w:type="first" r:id="rId10"/>
          <w:pgSz w:w="12240" w:h="15840"/>
          <w:pgMar w:top="1440" w:right="1440" w:bottom="1440" w:left="2160" w:header="720" w:footer="720" w:gutter="0"/>
          <w:cols w:space="720"/>
          <w:titlePg/>
          <w:docGrid w:linePitch="360"/>
        </w:sectPr>
      </w:pPr>
    </w:p>
    <w:p w:rsidR="00434B19" w:rsidRDefault="00434B19" w:rsidP="00892A0D">
      <w:pPr>
        <w:rPr>
          <w:sz w:val="25"/>
          <w:szCs w:val="25"/>
        </w:rPr>
      </w:pPr>
    </w:p>
    <w:p w:rsidR="001C5C92" w:rsidRPr="00892A0D" w:rsidRDefault="001C5C92" w:rsidP="00892A0D">
      <w:pPr>
        <w:rPr>
          <w:sz w:val="25"/>
          <w:szCs w:val="25"/>
        </w:rPr>
      </w:pPr>
    </w:p>
    <w:p w:rsidR="004059E6" w:rsidRDefault="004059E6" w:rsidP="004059E6">
      <w:pPr>
        <w:numPr>
          <w:ilvl w:val="0"/>
          <w:numId w:val="2"/>
        </w:numPr>
        <w:spacing w:line="288" w:lineRule="auto"/>
        <w:rPr>
          <w:sz w:val="25"/>
          <w:szCs w:val="25"/>
        </w:rPr>
      </w:pPr>
      <w:r w:rsidRPr="004059E6">
        <w:rPr>
          <w:b/>
          <w:sz w:val="25"/>
          <w:szCs w:val="25"/>
        </w:rPr>
        <w:t xml:space="preserve">NATURE OF PROCEEDING:  </w:t>
      </w:r>
      <w:r>
        <w:rPr>
          <w:sz w:val="25"/>
          <w:szCs w:val="25"/>
        </w:rPr>
        <w:t>O</w:t>
      </w:r>
      <w:r w:rsidRPr="00CB7F45">
        <w:rPr>
          <w:sz w:val="25"/>
          <w:szCs w:val="25"/>
        </w:rPr>
        <w:t xml:space="preserve">n </w:t>
      </w:r>
      <w:r>
        <w:rPr>
          <w:sz w:val="25"/>
          <w:szCs w:val="25"/>
        </w:rPr>
        <w:t>November 21, 2012, the Washington Utilities and Transportation Commission (</w:t>
      </w:r>
      <w:r>
        <w:rPr>
          <w:bCs/>
          <w:sz w:val="25"/>
          <w:szCs w:val="25"/>
        </w:rPr>
        <w:t xml:space="preserve">Commission) entered Order 01 in this docket </w:t>
      </w:r>
      <w:r w:rsidRPr="003D50DD">
        <w:rPr>
          <w:bCs/>
          <w:sz w:val="25"/>
          <w:szCs w:val="25"/>
        </w:rPr>
        <w:t xml:space="preserve">initiating </w:t>
      </w:r>
      <w:r>
        <w:rPr>
          <w:bCs/>
          <w:sz w:val="25"/>
          <w:szCs w:val="25"/>
        </w:rPr>
        <w:t xml:space="preserve">a </w:t>
      </w:r>
      <w:r w:rsidRPr="003D50DD">
        <w:rPr>
          <w:bCs/>
          <w:sz w:val="25"/>
          <w:szCs w:val="25"/>
        </w:rPr>
        <w:t xml:space="preserve">special proceeding under </w:t>
      </w:r>
      <w:r>
        <w:rPr>
          <w:bCs/>
          <w:sz w:val="25"/>
          <w:szCs w:val="25"/>
        </w:rPr>
        <w:t>RCW</w:t>
      </w:r>
      <w:r w:rsidRPr="003D50DD">
        <w:rPr>
          <w:bCs/>
          <w:sz w:val="25"/>
          <w:szCs w:val="25"/>
        </w:rPr>
        <w:t xml:space="preserve"> 80.04.015</w:t>
      </w:r>
      <w:r w:rsidRPr="003D50DD">
        <w:rPr>
          <w:sz w:val="25"/>
          <w:szCs w:val="25"/>
        </w:rPr>
        <w:t xml:space="preserve"> </w:t>
      </w:r>
      <w:r w:rsidRPr="003D50DD">
        <w:rPr>
          <w:bCs/>
          <w:sz w:val="25"/>
          <w:szCs w:val="25"/>
        </w:rPr>
        <w:t>to determine whether Sandy Point Improvement Company (Sandy Point or Company) is subject to Commission regulation under Chapter 80.28 RCW and is performing any act requiring approval of the Commission without securing such approval.</w:t>
      </w:r>
      <w:r>
        <w:rPr>
          <w:bCs/>
          <w:sz w:val="25"/>
          <w:szCs w:val="25"/>
        </w:rPr>
        <w:t xml:space="preserve">  Assuming jurisdiction, Order 01 sets forth the Commission’s </w:t>
      </w:r>
      <w:r w:rsidR="004B7A43">
        <w:rPr>
          <w:bCs/>
          <w:sz w:val="25"/>
          <w:szCs w:val="25"/>
        </w:rPr>
        <w:t>C</w:t>
      </w:r>
      <w:r>
        <w:rPr>
          <w:bCs/>
          <w:sz w:val="25"/>
          <w:szCs w:val="25"/>
        </w:rPr>
        <w:t>omplaint</w:t>
      </w:r>
      <w:r w:rsidRPr="003D50DD">
        <w:rPr>
          <w:bCs/>
          <w:sz w:val="25"/>
          <w:szCs w:val="25"/>
        </w:rPr>
        <w:t xml:space="preserve"> against </w:t>
      </w:r>
      <w:r>
        <w:rPr>
          <w:bCs/>
          <w:sz w:val="25"/>
          <w:szCs w:val="25"/>
        </w:rPr>
        <w:t xml:space="preserve">the Company’s </w:t>
      </w:r>
      <w:r w:rsidRPr="003D50DD">
        <w:rPr>
          <w:bCs/>
          <w:sz w:val="25"/>
          <w:szCs w:val="25"/>
        </w:rPr>
        <w:t>rates and charges</w:t>
      </w:r>
      <w:r>
        <w:rPr>
          <w:bCs/>
          <w:sz w:val="25"/>
          <w:szCs w:val="25"/>
        </w:rPr>
        <w:t xml:space="preserve"> </w:t>
      </w:r>
      <w:r w:rsidRPr="003D50DD">
        <w:rPr>
          <w:bCs/>
          <w:sz w:val="25"/>
          <w:szCs w:val="25"/>
        </w:rPr>
        <w:t>alleg</w:t>
      </w:r>
      <w:r>
        <w:rPr>
          <w:bCs/>
          <w:sz w:val="25"/>
          <w:szCs w:val="25"/>
        </w:rPr>
        <w:t>ing</w:t>
      </w:r>
      <w:r w:rsidRPr="003D50DD">
        <w:rPr>
          <w:bCs/>
          <w:sz w:val="25"/>
          <w:szCs w:val="25"/>
        </w:rPr>
        <w:t xml:space="preserve"> that </w:t>
      </w:r>
      <w:r>
        <w:rPr>
          <w:bCs/>
          <w:sz w:val="25"/>
          <w:szCs w:val="25"/>
        </w:rPr>
        <w:t xml:space="preserve">they are </w:t>
      </w:r>
      <w:r w:rsidRPr="003D50DD">
        <w:rPr>
          <w:bCs/>
          <w:sz w:val="25"/>
          <w:szCs w:val="25"/>
        </w:rPr>
        <w:t xml:space="preserve">unfair, unjust and unreasonable, or unreasonably discriminatory or unduly preferential, or are in </w:t>
      </w:r>
      <w:r>
        <w:rPr>
          <w:bCs/>
          <w:sz w:val="25"/>
          <w:szCs w:val="25"/>
        </w:rPr>
        <w:t>some</w:t>
      </w:r>
      <w:r w:rsidRPr="003D50DD">
        <w:rPr>
          <w:bCs/>
          <w:sz w:val="25"/>
          <w:szCs w:val="25"/>
        </w:rPr>
        <w:t xml:space="preserve"> other way in violation of the</w:t>
      </w:r>
      <w:r>
        <w:rPr>
          <w:bCs/>
          <w:sz w:val="25"/>
          <w:szCs w:val="25"/>
        </w:rPr>
        <w:t xml:space="preserve"> governing </w:t>
      </w:r>
      <w:r w:rsidRPr="003D50DD">
        <w:rPr>
          <w:bCs/>
          <w:sz w:val="25"/>
          <w:szCs w:val="25"/>
        </w:rPr>
        <w:t>provisions of law.</w:t>
      </w:r>
      <w:r>
        <w:rPr>
          <w:bCs/>
          <w:sz w:val="25"/>
          <w:szCs w:val="25"/>
        </w:rPr>
        <w:t xml:space="preserve">  The </w:t>
      </w:r>
      <w:r w:rsidR="004B7A43">
        <w:rPr>
          <w:bCs/>
          <w:sz w:val="25"/>
          <w:szCs w:val="25"/>
        </w:rPr>
        <w:t>C</w:t>
      </w:r>
      <w:r>
        <w:rPr>
          <w:bCs/>
          <w:sz w:val="25"/>
          <w:szCs w:val="25"/>
        </w:rPr>
        <w:t xml:space="preserve">omplaint proposes </w:t>
      </w:r>
      <w:r w:rsidRPr="003D50DD">
        <w:rPr>
          <w:bCs/>
          <w:sz w:val="25"/>
          <w:szCs w:val="25"/>
        </w:rPr>
        <w:t xml:space="preserve">penalties </w:t>
      </w:r>
      <w:r>
        <w:rPr>
          <w:bCs/>
          <w:sz w:val="25"/>
          <w:szCs w:val="25"/>
        </w:rPr>
        <w:t xml:space="preserve">for </w:t>
      </w:r>
      <w:r>
        <w:rPr>
          <w:sz w:val="25"/>
          <w:szCs w:val="25"/>
        </w:rPr>
        <w:t>Sandy Point’s failure to file a tariff once the Company became subject to the Commission’s jurisdiction.</w:t>
      </w:r>
    </w:p>
    <w:p w:rsidR="004059E6" w:rsidRDefault="004059E6" w:rsidP="004059E6">
      <w:pPr>
        <w:spacing w:line="288" w:lineRule="auto"/>
        <w:rPr>
          <w:sz w:val="25"/>
          <w:szCs w:val="25"/>
        </w:rPr>
      </w:pPr>
    </w:p>
    <w:p w:rsidR="00A81DE4" w:rsidRDefault="004059E6" w:rsidP="004059E6">
      <w:pPr>
        <w:numPr>
          <w:ilvl w:val="0"/>
          <w:numId w:val="2"/>
        </w:numPr>
        <w:spacing w:line="288" w:lineRule="auto"/>
        <w:rPr>
          <w:sz w:val="25"/>
          <w:szCs w:val="25"/>
        </w:rPr>
      </w:pPr>
      <w:r w:rsidRPr="004059E6">
        <w:rPr>
          <w:b/>
          <w:sz w:val="25"/>
          <w:szCs w:val="25"/>
        </w:rPr>
        <w:t>CONFERENCE</w:t>
      </w:r>
      <w:r w:rsidRPr="004059E6">
        <w:rPr>
          <w:b/>
          <w:bCs/>
          <w:sz w:val="25"/>
          <w:szCs w:val="25"/>
        </w:rPr>
        <w:t>/PRESIDING OFFICER.</w:t>
      </w:r>
      <w:r w:rsidRPr="004059E6">
        <w:rPr>
          <w:sz w:val="25"/>
          <w:szCs w:val="25"/>
        </w:rPr>
        <w:t xml:space="preserve">  The Commission convened a prehearing conference in this proceeding at </w:t>
      </w:r>
      <w:r w:rsidRPr="004059E6">
        <w:rPr>
          <w:bCs/>
          <w:sz w:val="25"/>
          <w:szCs w:val="25"/>
        </w:rPr>
        <w:t>Olympia</w:t>
      </w:r>
      <w:r w:rsidRPr="004059E6">
        <w:rPr>
          <w:sz w:val="25"/>
          <w:szCs w:val="25"/>
        </w:rPr>
        <w:t xml:space="preserve">, Washington on </w:t>
      </w:r>
      <w:r>
        <w:rPr>
          <w:sz w:val="25"/>
          <w:szCs w:val="25"/>
        </w:rPr>
        <w:t>January 14, 2013,</w:t>
      </w:r>
      <w:r w:rsidRPr="004059E6">
        <w:rPr>
          <w:sz w:val="25"/>
          <w:szCs w:val="25"/>
        </w:rPr>
        <w:t xml:space="preserve"> before Administrative Law Judge</w:t>
      </w:r>
      <w:r>
        <w:rPr>
          <w:sz w:val="25"/>
          <w:szCs w:val="25"/>
        </w:rPr>
        <w:t>s Stephany A. Watson and</w:t>
      </w:r>
      <w:r w:rsidRPr="004059E6">
        <w:rPr>
          <w:sz w:val="25"/>
          <w:szCs w:val="25"/>
        </w:rPr>
        <w:t xml:space="preserve"> Dennis J. Moss, whom the Commission appoints as </w:t>
      </w:r>
      <w:r>
        <w:rPr>
          <w:sz w:val="25"/>
          <w:szCs w:val="25"/>
        </w:rPr>
        <w:t>co-</w:t>
      </w:r>
      <w:r w:rsidRPr="004059E6">
        <w:rPr>
          <w:sz w:val="25"/>
          <w:szCs w:val="25"/>
        </w:rPr>
        <w:t>presiding officer</w:t>
      </w:r>
      <w:r>
        <w:rPr>
          <w:sz w:val="25"/>
          <w:szCs w:val="25"/>
        </w:rPr>
        <w:t>s</w:t>
      </w:r>
      <w:r w:rsidRPr="004059E6">
        <w:rPr>
          <w:sz w:val="25"/>
          <w:szCs w:val="25"/>
        </w:rPr>
        <w:t xml:space="preserve"> in this proceeding.</w:t>
      </w:r>
    </w:p>
    <w:p w:rsidR="004059E6" w:rsidRDefault="004059E6" w:rsidP="004059E6">
      <w:pPr>
        <w:pStyle w:val="ListParagraph"/>
        <w:rPr>
          <w:sz w:val="25"/>
          <w:szCs w:val="25"/>
        </w:rPr>
      </w:pPr>
    </w:p>
    <w:p w:rsidR="00DB0F86" w:rsidRPr="0046177B" w:rsidRDefault="004059E6" w:rsidP="00021A5E">
      <w:pPr>
        <w:numPr>
          <w:ilvl w:val="0"/>
          <w:numId w:val="2"/>
        </w:numPr>
        <w:spacing w:line="288" w:lineRule="auto"/>
        <w:rPr>
          <w:sz w:val="25"/>
          <w:szCs w:val="25"/>
        </w:rPr>
      </w:pPr>
      <w:r w:rsidRPr="004059E6">
        <w:rPr>
          <w:b/>
          <w:sz w:val="25"/>
          <w:szCs w:val="25"/>
        </w:rPr>
        <w:t>PARTY</w:t>
      </w:r>
      <w:r w:rsidRPr="004059E6">
        <w:rPr>
          <w:b/>
          <w:bCs/>
          <w:sz w:val="25"/>
          <w:szCs w:val="25"/>
        </w:rPr>
        <w:t xml:space="preserve"> REPRESENTATIVES:</w:t>
      </w:r>
      <w:r w:rsidRPr="004059E6">
        <w:rPr>
          <w:sz w:val="25"/>
          <w:szCs w:val="25"/>
        </w:rPr>
        <w:t xml:space="preserve">  </w:t>
      </w:r>
      <w:r w:rsidR="006D2993">
        <w:rPr>
          <w:sz w:val="25"/>
          <w:szCs w:val="25"/>
        </w:rPr>
        <w:t>Respondent Sandy Point is represented by Joseph A. Rehberger, Cascadia Law Grou</w:t>
      </w:r>
      <w:r w:rsidR="00F342D5">
        <w:rPr>
          <w:sz w:val="25"/>
          <w:szCs w:val="25"/>
        </w:rPr>
        <w:t xml:space="preserve">p, </w:t>
      </w:r>
      <w:r w:rsidR="00B132CB">
        <w:rPr>
          <w:sz w:val="25"/>
          <w:szCs w:val="25"/>
        </w:rPr>
        <w:t>Olympia</w:t>
      </w:r>
      <w:r w:rsidR="00F342D5">
        <w:rPr>
          <w:sz w:val="25"/>
          <w:szCs w:val="25"/>
        </w:rPr>
        <w:t xml:space="preserve">, Washington.  Donald T. </w:t>
      </w:r>
      <w:r w:rsidR="006D2993">
        <w:rPr>
          <w:sz w:val="25"/>
          <w:szCs w:val="25"/>
        </w:rPr>
        <w:t>Trotter, Senior Assistant Attorney General,</w:t>
      </w:r>
      <w:r w:rsidR="00073CA1">
        <w:rPr>
          <w:sz w:val="25"/>
          <w:szCs w:val="25"/>
        </w:rPr>
        <w:t xml:space="preserve"> </w:t>
      </w:r>
      <w:r w:rsidR="006D2993">
        <w:rPr>
          <w:sz w:val="25"/>
          <w:szCs w:val="25"/>
        </w:rPr>
        <w:t xml:space="preserve">represents the Commission’s regulatory staff (Commission </w:t>
      </w:r>
      <w:r w:rsidR="006D2993">
        <w:rPr>
          <w:sz w:val="25"/>
          <w:szCs w:val="25"/>
        </w:rPr>
        <w:lastRenderedPageBreak/>
        <w:t>Staff or Staff).</w:t>
      </w:r>
      <w:r w:rsidR="006D2993">
        <w:rPr>
          <w:rStyle w:val="FootnoteReference"/>
          <w:sz w:val="25"/>
          <w:szCs w:val="25"/>
        </w:rPr>
        <w:footnoteReference w:id="1"/>
      </w:r>
      <w:r w:rsidR="00DB0F86">
        <w:rPr>
          <w:sz w:val="25"/>
          <w:szCs w:val="25"/>
        </w:rPr>
        <w:t xml:space="preserve">  </w:t>
      </w:r>
      <w:r w:rsidR="00DB0F86" w:rsidRPr="0046177B">
        <w:rPr>
          <w:sz w:val="25"/>
          <w:szCs w:val="25"/>
        </w:rPr>
        <w:t>Contact information provided at the conference for the parties’ representatives is attached as Appendix A to this order.</w:t>
      </w:r>
    </w:p>
    <w:p w:rsidR="004059E6" w:rsidRDefault="004059E6" w:rsidP="004059E6">
      <w:pPr>
        <w:pStyle w:val="ListParagraph"/>
        <w:rPr>
          <w:sz w:val="25"/>
          <w:szCs w:val="25"/>
        </w:rPr>
      </w:pPr>
    </w:p>
    <w:p w:rsidR="004059E6" w:rsidRDefault="004059E6" w:rsidP="004059E6">
      <w:pPr>
        <w:numPr>
          <w:ilvl w:val="0"/>
          <w:numId w:val="2"/>
        </w:numPr>
        <w:spacing w:line="288" w:lineRule="auto"/>
        <w:rPr>
          <w:sz w:val="25"/>
          <w:szCs w:val="25"/>
        </w:rPr>
      </w:pPr>
      <w:r w:rsidRPr="004059E6">
        <w:rPr>
          <w:b/>
          <w:sz w:val="25"/>
          <w:szCs w:val="25"/>
        </w:rPr>
        <w:t>PETITIONS</w:t>
      </w:r>
      <w:r w:rsidRPr="004059E6">
        <w:rPr>
          <w:b/>
          <w:bCs/>
          <w:sz w:val="25"/>
          <w:szCs w:val="25"/>
        </w:rPr>
        <w:t xml:space="preserve"> FOR INTERVENTION.</w:t>
      </w:r>
      <w:r w:rsidRPr="004059E6">
        <w:rPr>
          <w:sz w:val="25"/>
          <w:szCs w:val="25"/>
        </w:rPr>
        <w:t xml:space="preserve">  </w:t>
      </w:r>
      <w:r w:rsidR="00B132CB">
        <w:rPr>
          <w:sz w:val="25"/>
          <w:szCs w:val="25"/>
        </w:rPr>
        <w:t>Stephen L. Lockwood, a Sandy Point customer, appeared at the prehearing conference and petitioned for intervention.</w:t>
      </w:r>
      <w:r w:rsidR="008C3602">
        <w:rPr>
          <w:sz w:val="25"/>
          <w:szCs w:val="25"/>
        </w:rPr>
        <w:t xml:space="preserve">  The Commission provisionally granted Mr. Lockwood’s petition on the basis that, as a Sandy Point customer, he has a substantial interest in the aspects of this matter concerning rates and charges.  His participation may contribute positively to the development of the record on these issues in the second phase of this case, if the Commission determines as a threshold matter that it has jurisdiction over Sandy Point.</w:t>
      </w:r>
    </w:p>
    <w:p w:rsidR="004059E6" w:rsidRDefault="004059E6" w:rsidP="004059E6">
      <w:pPr>
        <w:pStyle w:val="ListParagraph"/>
        <w:rPr>
          <w:sz w:val="25"/>
          <w:szCs w:val="25"/>
        </w:rPr>
      </w:pPr>
    </w:p>
    <w:p w:rsidR="004059E6" w:rsidRDefault="00A912B3" w:rsidP="004059E6">
      <w:pPr>
        <w:numPr>
          <w:ilvl w:val="0"/>
          <w:numId w:val="2"/>
        </w:numPr>
        <w:spacing w:line="288" w:lineRule="auto"/>
        <w:rPr>
          <w:sz w:val="25"/>
          <w:szCs w:val="25"/>
        </w:rPr>
      </w:pPr>
      <w:r>
        <w:rPr>
          <w:b/>
          <w:sz w:val="25"/>
          <w:szCs w:val="25"/>
        </w:rPr>
        <w:t xml:space="preserve">ANSWER AND </w:t>
      </w:r>
      <w:r w:rsidR="004059E6" w:rsidRPr="004059E6">
        <w:rPr>
          <w:b/>
          <w:sz w:val="25"/>
          <w:szCs w:val="25"/>
        </w:rPr>
        <w:t>MOTION</w:t>
      </w:r>
      <w:r w:rsidR="006D2993">
        <w:rPr>
          <w:b/>
          <w:sz w:val="25"/>
          <w:szCs w:val="25"/>
        </w:rPr>
        <w:t xml:space="preserve"> TO BIFURCATE AND FOR STAY.</w:t>
      </w:r>
      <w:r w:rsidR="006D2993">
        <w:rPr>
          <w:sz w:val="25"/>
          <w:szCs w:val="25"/>
        </w:rPr>
        <w:t xml:space="preserve">  </w:t>
      </w:r>
      <w:r>
        <w:rPr>
          <w:sz w:val="25"/>
          <w:szCs w:val="25"/>
        </w:rPr>
        <w:t xml:space="preserve">On December 7, 2012, Sandy Point filed an Answer.  </w:t>
      </w:r>
      <w:r w:rsidR="006D2993">
        <w:rPr>
          <w:sz w:val="25"/>
          <w:szCs w:val="25"/>
        </w:rPr>
        <w:t xml:space="preserve">On January 4, 2013, Sandy Point filed </w:t>
      </w:r>
      <w:r>
        <w:rPr>
          <w:sz w:val="25"/>
          <w:szCs w:val="25"/>
        </w:rPr>
        <w:t>a</w:t>
      </w:r>
      <w:r w:rsidR="006D2993">
        <w:rPr>
          <w:sz w:val="25"/>
          <w:szCs w:val="25"/>
        </w:rPr>
        <w:t xml:space="preserve"> Motion to Bifurcate and for Stay.</w:t>
      </w:r>
      <w:r w:rsidR="00343481">
        <w:rPr>
          <w:sz w:val="25"/>
          <w:szCs w:val="25"/>
        </w:rPr>
        <w:t xml:space="preserve">  On January 11, 2013, Commission Staff filed a Response to Sandy Point’s Motion to Bifurcate and for Stay.</w:t>
      </w:r>
    </w:p>
    <w:p w:rsidR="00343481" w:rsidRDefault="00343481" w:rsidP="000E75B5">
      <w:pPr>
        <w:pStyle w:val="ListParagraph"/>
        <w:rPr>
          <w:sz w:val="25"/>
          <w:szCs w:val="25"/>
        </w:rPr>
      </w:pPr>
    </w:p>
    <w:p w:rsidR="00343481" w:rsidRPr="004059E6" w:rsidRDefault="00343481" w:rsidP="004059E6">
      <w:pPr>
        <w:numPr>
          <w:ilvl w:val="0"/>
          <w:numId w:val="2"/>
        </w:numPr>
        <w:spacing w:line="288" w:lineRule="auto"/>
        <w:rPr>
          <w:sz w:val="25"/>
          <w:szCs w:val="25"/>
        </w:rPr>
      </w:pPr>
      <w:r>
        <w:rPr>
          <w:sz w:val="25"/>
          <w:szCs w:val="25"/>
        </w:rPr>
        <w:t>The Commission grants Sandy Point’s Motion, which Staff does not oppose</w:t>
      </w:r>
      <w:r w:rsidR="008C3602">
        <w:rPr>
          <w:sz w:val="25"/>
          <w:szCs w:val="25"/>
        </w:rPr>
        <w:t xml:space="preserve">, </w:t>
      </w:r>
      <w:r w:rsidR="00245E9C">
        <w:rPr>
          <w:sz w:val="25"/>
          <w:szCs w:val="25"/>
        </w:rPr>
        <w:t>and will entertain cross Motions for Summary Determination to</w:t>
      </w:r>
      <w:r w:rsidR="008C3602">
        <w:rPr>
          <w:sz w:val="25"/>
          <w:szCs w:val="25"/>
        </w:rPr>
        <w:t xml:space="preserve"> determine whether it has jurisdiction over Sandy Point.  If so, a second prehearing conference will be convened to establish further process</w:t>
      </w:r>
      <w:r>
        <w:rPr>
          <w:sz w:val="25"/>
          <w:szCs w:val="25"/>
        </w:rPr>
        <w:t>.</w:t>
      </w:r>
    </w:p>
    <w:p w:rsidR="004059E6" w:rsidRDefault="004059E6" w:rsidP="004059E6">
      <w:pPr>
        <w:pStyle w:val="ListParagraph"/>
        <w:rPr>
          <w:sz w:val="25"/>
          <w:szCs w:val="25"/>
        </w:rPr>
      </w:pPr>
    </w:p>
    <w:p w:rsidR="004059E6" w:rsidRDefault="004059E6" w:rsidP="004059E6">
      <w:pPr>
        <w:numPr>
          <w:ilvl w:val="0"/>
          <w:numId w:val="2"/>
        </w:numPr>
        <w:spacing w:line="288" w:lineRule="auto"/>
        <w:rPr>
          <w:sz w:val="25"/>
          <w:szCs w:val="25"/>
        </w:rPr>
      </w:pPr>
      <w:r w:rsidRPr="004059E6">
        <w:rPr>
          <w:b/>
          <w:sz w:val="25"/>
          <w:szCs w:val="25"/>
        </w:rPr>
        <w:t>DISCOVERY</w:t>
      </w:r>
      <w:r w:rsidRPr="004059E6">
        <w:rPr>
          <w:b/>
          <w:bCs/>
          <w:sz w:val="25"/>
          <w:szCs w:val="25"/>
        </w:rPr>
        <w:t xml:space="preserve">.  </w:t>
      </w:r>
      <w:r w:rsidRPr="004059E6">
        <w:rPr>
          <w:sz w:val="25"/>
          <w:szCs w:val="25"/>
        </w:rPr>
        <w:t xml:space="preserve">Discovery will be conducted under the Commission’s discovery rules, WAC 480-07-400 – 425.  </w:t>
      </w:r>
    </w:p>
    <w:p w:rsidR="004059E6" w:rsidRDefault="004059E6" w:rsidP="004059E6">
      <w:pPr>
        <w:pStyle w:val="ListParagraph"/>
        <w:rPr>
          <w:sz w:val="25"/>
          <w:szCs w:val="25"/>
        </w:rPr>
      </w:pPr>
    </w:p>
    <w:p w:rsidR="004059E6" w:rsidRPr="007F70C5" w:rsidRDefault="004059E6" w:rsidP="00427395">
      <w:pPr>
        <w:numPr>
          <w:ilvl w:val="0"/>
          <w:numId w:val="2"/>
        </w:numPr>
        <w:spacing w:line="264" w:lineRule="auto"/>
        <w:rPr>
          <w:color w:val="000000"/>
          <w:sz w:val="25"/>
          <w:szCs w:val="25"/>
        </w:rPr>
      </w:pPr>
      <w:r w:rsidRPr="007F70C5">
        <w:rPr>
          <w:b/>
          <w:sz w:val="25"/>
          <w:szCs w:val="25"/>
        </w:rPr>
        <w:t>PROCEDURAL</w:t>
      </w:r>
      <w:r w:rsidRPr="007F70C5">
        <w:rPr>
          <w:b/>
          <w:bCs/>
          <w:sz w:val="25"/>
          <w:szCs w:val="25"/>
        </w:rPr>
        <w:t xml:space="preserve"> SCHEDULE.</w:t>
      </w:r>
      <w:r w:rsidRPr="007F70C5">
        <w:rPr>
          <w:sz w:val="25"/>
          <w:szCs w:val="25"/>
        </w:rPr>
        <w:t xml:space="preserve">  The Commission adopts the</w:t>
      </w:r>
      <w:r w:rsidR="008C3602">
        <w:rPr>
          <w:sz w:val="25"/>
          <w:szCs w:val="25"/>
        </w:rPr>
        <w:t xml:space="preserve"> preliminary</w:t>
      </w:r>
      <w:r w:rsidRPr="007F70C5">
        <w:rPr>
          <w:sz w:val="25"/>
          <w:szCs w:val="25"/>
        </w:rPr>
        <w:t xml:space="preserve"> procedural schedule set forth in Appendix </w:t>
      </w:r>
      <w:r w:rsidR="00DB0F86">
        <w:rPr>
          <w:sz w:val="25"/>
          <w:szCs w:val="25"/>
        </w:rPr>
        <w:t>B</w:t>
      </w:r>
      <w:r w:rsidRPr="007F70C5">
        <w:rPr>
          <w:sz w:val="25"/>
          <w:szCs w:val="25"/>
        </w:rPr>
        <w:t xml:space="preserve"> to this Order. </w:t>
      </w:r>
    </w:p>
    <w:p w:rsidR="004059E6" w:rsidRPr="00427395" w:rsidRDefault="004059E6" w:rsidP="00427395">
      <w:pPr>
        <w:spacing w:line="264" w:lineRule="auto"/>
        <w:rPr>
          <w:color w:val="000000"/>
          <w:sz w:val="25"/>
          <w:szCs w:val="25"/>
        </w:rPr>
      </w:pPr>
    </w:p>
    <w:p w:rsidR="004059E6" w:rsidRPr="00DC26B5" w:rsidRDefault="004059E6" w:rsidP="00427395">
      <w:pPr>
        <w:numPr>
          <w:ilvl w:val="0"/>
          <w:numId w:val="2"/>
        </w:numPr>
        <w:spacing w:line="264" w:lineRule="auto"/>
        <w:rPr>
          <w:sz w:val="25"/>
          <w:szCs w:val="25"/>
        </w:rPr>
      </w:pPr>
      <w:r w:rsidRPr="00DC26B5">
        <w:rPr>
          <w:b/>
          <w:sz w:val="25"/>
          <w:szCs w:val="25"/>
        </w:rPr>
        <w:t>DOCUMENT</w:t>
      </w:r>
      <w:r w:rsidRPr="00DC26B5">
        <w:rPr>
          <w:b/>
          <w:bCs/>
          <w:sz w:val="25"/>
          <w:szCs w:val="25"/>
        </w:rPr>
        <w:t xml:space="preserve"> PREPARATION AND FILING REQUIREMENTS.</w:t>
      </w:r>
      <w:r w:rsidRPr="00DC26B5">
        <w:rPr>
          <w:sz w:val="25"/>
          <w:szCs w:val="25"/>
        </w:rPr>
        <w:t xml:space="preserve">  Parties must file the original plus </w:t>
      </w:r>
      <w:r w:rsidR="006B3662" w:rsidRPr="006B3662">
        <w:rPr>
          <w:b/>
          <w:sz w:val="25"/>
          <w:szCs w:val="25"/>
        </w:rPr>
        <w:t xml:space="preserve">four (4) </w:t>
      </w:r>
      <w:r w:rsidRPr="00DC26B5">
        <w:rPr>
          <w:sz w:val="25"/>
          <w:szCs w:val="25"/>
        </w:rPr>
        <w:t xml:space="preserve">copies of the unredacted versions of all pleadings, motions, briefs, and other prefiled materials.  Parties must also file the original and one copy of any redacted version(s).  These materials must conform to the format and publication guidelines in WAC 480-07-395 and WAC 480-07-460.  The Commission prefers that </w:t>
      </w:r>
      <w:r w:rsidRPr="00DC26B5">
        <w:rPr>
          <w:sz w:val="25"/>
          <w:szCs w:val="25"/>
        </w:rPr>
        <w:lastRenderedPageBreak/>
        <w:t xml:space="preserve">materials be three-hole punched with </w:t>
      </w:r>
      <w:r w:rsidRPr="00DC26B5">
        <w:rPr>
          <w:i/>
          <w:iCs/>
          <w:sz w:val="25"/>
          <w:szCs w:val="25"/>
        </w:rPr>
        <w:t>oversized</w:t>
      </w:r>
      <w:r w:rsidRPr="00DC26B5">
        <w:rPr>
          <w:sz w:val="25"/>
          <w:szCs w:val="25"/>
        </w:rPr>
        <w:t xml:space="preserve"> holes to allow easy handling.  The Commission may require a party to refile any document that fails to conform to these standards.  </w:t>
      </w:r>
    </w:p>
    <w:p w:rsidR="004059E6" w:rsidRPr="00DA5DBB" w:rsidRDefault="004059E6" w:rsidP="004059E6">
      <w:pPr>
        <w:spacing w:line="264" w:lineRule="auto"/>
        <w:rPr>
          <w:sz w:val="25"/>
          <w:szCs w:val="25"/>
        </w:rPr>
      </w:pPr>
    </w:p>
    <w:p w:rsidR="004059E6" w:rsidRPr="00DA5DBB" w:rsidRDefault="004059E6" w:rsidP="00427395">
      <w:pPr>
        <w:numPr>
          <w:ilvl w:val="0"/>
          <w:numId w:val="2"/>
        </w:numPr>
        <w:spacing w:line="264" w:lineRule="auto"/>
        <w:rPr>
          <w:sz w:val="25"/>
          <w:szCs w:val="25"/>
        </w:rPr>
      </w:pPr>
      <w:r w:rsidRPr="00DA5DBB">
        <w:rPr>
          <w:sz w:val="25"/>
          <w:szCs w:val="25"/>
        </w:rPr>
        <w:t xml:space="preserve">All filings must be mailed or delivered to the Executive </w:t>
      </w:r>
      <w:r>
        <w:rPr>
          <w:sz w:val="25"/>
          <w:szCs w:val="25"/>
        </w:rPr>
        <w:t xml:space="preserve">Director and </w:t>
      </w:r>
      <w:r w:rsidRPr="00DA5DBB">
        <w:rPr>
          <w:sz w:val="25"/>
          <w:szCs w:val="25"/>
        </w:rPr>
        <w:t xml:space="preserve">Secretary, Washington </w:t>
      </w:r>
      <w:r w:rsidRPr="00471A92">
        <w:rPr>
          <w:sz w:val="25"/>
          <w:szCs w:val="25"/>
        </w:rPr>
        <w:t>Utilities</w:t>
      </w:r>
      <w:r w:rsidRPr="00DA5DBB">
        <w:rPr>
          <w:sz w:val="25"/>
          <w:szCs w:val="25"/>
        </w:rPr>
        <w:t xml:space="preserve"> and Transportation Commission, P.O. Box 47250, 1300 S. Evergreen Park Drive S.W.</w:t>
      </w:r>
      <w:r>
        <w:rPr>
          <w:sz w:val="25"/>
          <w:szCs w:val="25"/>
        </w:rPr>
        <w:t xml:space="preserve">, </w:t>
      </w:r>
      <w:r w:rsidRPr="00DA5DBB">
        <w:rPr>
          <w:sz w:val="25"/>
          <w:szCs w:val="25"/>
        </w:rPr>
        <w:t>Olympia, Washington 98504-7250.  Both the post office box and street address are required to expedite deliveries by the U.S. Postal Service.</w:t>
      </w:r>
    </w:p>
    <w:p w:rsidR="004059E6" w:rsidRPr="00DA5DBB" w:rsidRDefault="004059E6" w:rsidP="004059E6">
      <w:pPr>
        <w:spacing w:line="264" w:lineRule="auto"/>
        <w:rPr>
          <w:sz w:val="25"/>
          <w:szCs w:val="25"/>
        </w:rPr>
      </w:pPr>
    </w:p>
    <w:p w:rsidR="004059E6" w:rsidRPr="006E4A01" w:rsidRDefault="004059E6" w:rsidP="00427395">
      <w:pPr>
        <w:numPr>
          <w:ilvl w:val="0"/>
          <w:numId w:val="2"/>
        </w:numPr>
        <w:spacing w:line="264" w:lineRule="auto"/>
        <w:rPr>
          <w:sz w:val="25"/>
          <w:szCs w:val="25"/>
        </w:rPr>
      </w:pPr>
      <w:r w:rsidRPr="006E4A01">
        <w:rPr>
          <w:sz w:val="25"/>
          <w:szCs w:val="25"/>
        </w:rPr>
        <w:t>An electronic copy of all filings must be provided through the Commission’s Web Portal (</w:t>
      </w:r>
      <w:hyperlink r:id="rId11" w:history="1">
        <w:r w:rsidRPr="00BF45A0">
          <w:rPr>
            <w:rStyle w:val="Hyperlink"/>
            <w:sz w:val="25"/>
            <w:szCs w:val="25"/>
          </w:rPr>
          <w:t>www.utc.wa.gov/e-filing</w:t>
        </w:r>
      </w:hyperlink>
      <w:r>
        <w:rPr>
          <w:sz w:val="25"/>
          <w:szCs w:val="25"/>
        </w:rPr>
        <w:t>)</w:t>
      </w:r>
      <w:r w:rsidRPr="006E4A01">
        <w:rPr>
          <w:sz w:val="25"/>
          <w:szCs w:val="25"/>
        </w:rPr>
        <w:t xml:space="preserve"> or by e-mail delivery to </w:t>
      </w:r>
      <w:r>
        <w:rPr>
          <w:sz w:val="25"/>
          <w:szCs w:val="25"/>
        </w:rPr>
        <w:t>(</w:t>
      </w:r>
      <w:hyperlink r:id="rId12" w:history="1">
        <w:r w:rsidRPr="00BF45A0">
          <w:rPr>
            <w:rStyle w:val="Hyperlink"/>
            <w:sz w:val="25"/>
            <w:szCs w:val="25"/>
          </w:rPr>
          <w:t>records@utc.wa.gov</w:t>
        </w:r>
      </w:hyperlink>
      <w:r>
        <w:rPr>
          <w:sz w:val="25"/>
          <w:szCs w:val="25"/>
          <w:u w:val="single"/>
        </w:rPr>
        <w:t>)</w:t>
      </w:r>
      <w:r w:rsidRPr="006E4A01">
        <w:rPr>
          <w:sz w:val="25"/>
          <w:szCs w:val="25"/>
        </w:rPr>
        <w:t xml:space="preserve">.  </w:t>
      </w:r>
      <w:r w:rsidRPr="00471A92">
        <w:rPr>
          <w:sz w:val="25"/>
          <w:szCs w:val="25"/>
        </w:rPr>
        <w:t>Alternatively</w:t>
      </w:r>
      <w:r w:rsidRPr="006E4A01">
        <w:rPr>
          <w:sz w:val="25"/>
          <w:szCs w:val="25"/>
        </w:rPr>
        <w:t>, parties may furnish an electronic copy by delivering with each filing a 3.5-inch IBM-formatted high-density diskette or CD including the filed document(s).  Parties must furnish electronic copies in MS Word 6.0 (or later) supplemented by a separate file in .pdf (Adobe Acrobat) format.  Parties must follow WAC 480-07-140(5) in organizing and identifying electronic files.</w:t>
      </w:r>
    </w:p>
    <w:p w:rsidR="004059E6" w:rsidRPr="00DA5DBB" w:rsidRDefault="004059E6" w:rsidP="004059E6">
      <w:pPr>
        <w:pStyle w:val="Header"/>
        <w:tabs>
          <w:tab w:val="clear" w:pos="4320"/>
          <w:tab w:val="clear" w:pos="8640"/>
        </w:tabs>
        <w:spacing w:line="264" w:lineRule="auto"/>
        <w:rPr>
          <w:sz w:val="25"/>
          <w:szCs w:val="25"/>
        </w:rPr>
      </w:pPr>
    </w:p>
    <w:p w:rsidR="004059E6" w:rsidRPr="00EF001D" w:rsidRDefault="004059E6" w:rsidP="00427395">
      <w:pPr>
        <w:numPr>
          <w:ilvl w:val="0"/>
          <w:numId w:val="2"/>
        </w:numPr>
        <w:spacing w:line="264" w:lineRule="auto"/>
        <w:rPr>
          <w:sz w:val="25"/>
          <w:szCs w:val="25"/>
        </w:rPr>
      </w:pPr>
      <w:r w:rsidRPr="00DA5DBB">
        <w:rPr>
          <w:b/>
          <w:bCs/>
          <w:sz w:val="25"/>
          <w:szCs w:val="25"/>
        </w:rPr>
        <w:t>ELECTRONIC SUBMISSION OF DOCUMENTS.</w:t>
      </w:r>
      <w:r w:rsidRPr="00DA5DBB">
        <w:rPr>
          <w:sz w:val="25"/>
          <w:szCs w:val="25"/>
        </w:rPr>
        <w:t xml:space="preserve">  </w:t>
      </w:r>
      <w:r>
        <w:rPr>
          <w:sz w:val="25"/>
          <w:szCs w:val="25"/>
        </w:rPr>
        <w:t>T</w:t>
      </w:r>
      <w:r w:rsidRPr="00DA5DBB">
        <w:rPr>
          <w:sz w:val="25"/>
          <w:szCs w:val="25"/>
        </w:rPr>
        <w:t xml:space="preserve">he </w:t>
      </w:r>
      <w:r>
        <w:rPr>
          <w:sz w:val="25"/>
          <w:szCs w:val="25"/>
        </w:rPr>
        <w:t>Commission grants</w:t>
      </w:r>
      <w:r w:rsidRPr="00DA5DBB">
        <w:rPr>
          <w:sz w:val="25"/>
          <w:szCs w:val="25"/>
        </w:rPr>
        <w:t xml:space="preserve"> a one-day extension of the paper-filing requirement under WAC 480-07-145(6), allowing electronic submission of documents with the Commission on the deadline</w:t>
      </w:r>
      <w:r>
        <w:rPr>
          <w:sz w:val="25"/>
          <w:szCs w:val="25"/>
        </w:rPr>
        <w:t>s established by the procedural schedule</w:t>
      </w:r>
      <w:r w:rsidRPr="00DA5DBB">
        <w:rPr>
          <w:sz w:val="25"/>
          <w:szCs w:val="25"/>
        </w:rPr>
        <w:t xml:space="preserve">.  Parties must submit documents </w:t>
      </w:r>
      <w:r w:rsidRPr="00DA5DBB">
        <w:rPr>
          <w:bCs/>
          <w:sz w:val="25"/>
          <w:szCs w:val="25"/>
        </w:rPr>
        <w:t xml:space="preserve">through the </w:t>
      </w:r>
      <w:r w:rsidRPr="00471A92">
        <w:rPr>
          <w:sz w:val="25"/>
          <w:szCs w:val="25"/>
        </w:rPr>
        <w:t>Commission’s</w:t>
      </w:r>
      <w:r w:rsidRPr="00471A92">
        <w:rPr>
          <w:bCs/>
          <w:sz w:val="25"/>
          <w:szCs w:val="25"/>
        </w:rPr>
        <w:t xml:space="preserve"> </w:t>
      </w:r>
      <w:r w:rsidRPr="00DA5DBB">
        <w:rPr>
          <w:bCs/>
          <w:sz w:val="25"/>
          <w:szCs w:val="25"/>
        </w:rPr>
        <w:t>Web Portal (</w:t>
      </w:r>
      <w:hyperlink r:id="rId13" w:history="1">
        <w:r w:rsidRPr="00BF45A0">
          <w:rPr>
            <w:rStyle w:val="Hyperlink"/>
            <w:bCs/>
            <w:sz w:val="25"/>
            <w:szCs w:val="25"/>
          </w:rPr>
          <w:t>www.utc.wa.gov/e-filing</w:t>
        </w:r>
      </w:hyperlink>
      <w:r w:rsidRPr="00DA5DBB">
        <w:rPr>
          <w:bCs/>
          <w:sz w:val="25"/>
          <w:szCs w:val="25"/>
        </w:rPr>
        <w:t>) or</w:t>
      </w:r>
      <w:r w:rsidRPr="00DA5DBB">
        <w:rPr>
          <w:sz w:val="25"/>
          <w:szCs w:val="25"/>
        </w:rPr>
        <w:t xml:space="preserve"> by e-mail to </w:t>
      </w:r>
      <w:r>
        <w:rPr>
          <w:sz w:val="25"/>
          <w:szCs w:val="25"/>
        </w:rPr>
        <w:t>(</w:t>
      </w:r>
      <w:hyperlink r:id="rId14" w:history="1">
        <w:r w:rsidRPr="00BF45A0">
          <w:rPr>
            <w:rStyle w:val="Hyperlink"/>
            <w:sz w:val="25"/>
            <w:szCs w:val="25"/>
          </w:rPr>
          <w:t>records@utc.wa.gov</w:t>
        </w:r>
      </w:hyperlink>
      <w:r>
        <w:rPr>
          <w:sz w:val="25"/>
          <w:szCs w:val="25"/>
        </w:rPr>
        <w:t>)</w:t>
      </w:r>
      <w:r w:rsidRPr="00DA5DBB">
        <w:rPr>
          <w:sz w:val="25"/>
          <w:szCs w:val="25"/>
        </w:rPr>
        <w:t xml:space="preserve">, and file an original, plus </w:t>
      </w:r>
      <w:r w:rsidR="006B3662" w:rsidRPr="006B3662">
        <w:rPr>
          <w:b/>
          <w:sz w:val="25"/>
          <w:szCs w:val="25"/>
        </w:rPr>
        <w:t>four (4)</w:t>
      </w:r>
      <w:r>
        <w:rPr>
          <w:sz w:val="25"/>
          <w:szCs w:val="25"/>
        </w:rPr>
        <w:t xml:space="preserve"> </w:t>
      </w:r>
      <w:r w:rsidRPr="00DA5DBB">
        <w:rPr>
          <w:sz w:val="25"/>
          <w:szCs w:val="25"/>
        </w:rPr>
        <w:t>paper copies, of the documents with the Commission by the following business day.</w:t>
      </w:r>
      <w:r w:rsidRPr="00DA5DBB">
        <w:rPr>
          <w:b/>
          <w:bCs/>
          <w:sz w:val="25"/>
          <w:szCs w:val="25"/>
        </w:rPr>
        <w:t xml:space="preserve">  </w:t>
      </w:r>
      <w:r w:rsidRPr="00DA5DBB">
        <w:rPr>
          <w:bCs/>
          <w:sz w:val="25"/>
          <w:szCs w:val="25"/>
        </w:rPr>
        <w:t xml:space="preserve">Parties must provide courtesy copies of their electronic submissions to </w:t>
      </w:r>
      <w:r w:rsidR="00585DDF">
        <w:rPr>
          <w:bCs/>
          <w:sz w:val="25"/>
          <w:szCs w:val="25"/>
        </w:rPr>
        <w:t>J</w:t>
      </w:r>
      <w:r w:rsidRPr="00DA5DBB">
        <w:rPr>
          <w:bCs/>
          <w:sz w:val="25"/>
          <w:szCs w:val="25"/>
        </w:rPr>
        <w:t xml:space="preserve">udge </w:t>
      </w:r>
      <w:r w:rsidR="00585DDF">
        <w:rPr>
          <w:bCs/>
          <w:sz w:val="25"/>
          <w:szCs w:val="25"/>
        </w:rPr>
        <w:t xml:space="preserve">Moss and Judge Watson </w:t>
      </w:r>
      <w:r w:rsidRPr="00DA5DBB">
        <w:rPr>
          <w:bCs/>
          <w:sz w:val="25"/>
          <w:szCs w:val="25"/>
        </w:rPr>
        <w:t xml:space="preserve">and </w:t>
      </w:r>
      <w:r w:rsidR="00585DDF">
        <w:rPr>
          <w:bCs/>
          <w:sz w:val="25"/>
          <w:szCs w:val="25"/>
        </w:rPr>
        <w:t xml:space="preserve">to </w:t>
      </w:r>
      <w:r w:rsidRPr="00DA5DBB">
        <w:rPr>
          <w:bCs/>
          <w:sz w:val="25"/>
          <w:szCs w:val="25"/>
        </w:rPr>
        <w:t>the parties to the proceeding.</w:t>
      </w:r>
      <w:r w:rsidR="0092713B">
        <w:rPr>
          <w:bCs/>
          <w:sz w:val="25"/>
          <w:szCs w:val="25"/>
        </w:rPr>
        <w:t xml:space="preserve">  Parties may agree to waive the requirement to serve paper copies of all documents on each other and may serve such copies electronically if they memorialize such agreement by letter</w:t>
      </w:r>
      <w:r w:rsidR="00C27E41">
        <w:rPr>
          <w:bCs/>
          <w:sz w:val="25"/>
          <w:szCs w:val="25"/>
        </w:rPr>
        <w:t xml:space="preserve"> </w:t>
      </w:r>
      <w:r w:rsidR="00624601">
        <w:rPr>
          <w:bCs/>
          <w:sz w:val="25"/>
          <w:szCs w:val="25"/>
        </w:rPr>
        <w:t xml:space="preserve">and provide a </w:t>
      </w:r>
      <w:r w:rsidR="00C27E41">
        <w:rPr>
          <w:bCs/>
          <w:sz w:val="25"/>
          <w:szCs w:val="25"/>
        </w:rPr>
        <w:t>courtesy cop</w:t>
      </w:r>
      <w:r w:rsidR="00624601">
        <w:rPr>
          <w:bCs/>
          <w:sz w:val="25"/>
          <w:szCs w:val="25"/>
        </w:rPr>
        <w:t>y of the letter</w:t>
      </w:r>
      <w:r w:rsidR="00C27E41">
        <w:rPr>
          <w:bCs/>
          <w:sz w:val="25"/>
          <w:szCs w:val="25"/>
        </w:rPr>
        <w:t xml:space="preserve"> to the Commission.</w:t>
      </w:r>
    </w:p>
    <w:p w:rsidR="004059E6" w:rsidRDefault="004059E6" w:rsidP="004059E6">
      <w:pPr>
        <w:pStyle w:val="ListParagraph"/>
        <w:spacing w:line="264" w:lineRule="auto"/>
        <w:rPr>
          <w:bCs/>
          <w:sz w:val="25"/>
          <w:szCs w:val="25"/>
        </w:rPr>
      </w:pPr>
    </w:p>
    <w:p w:rsidR="004059E6" w:rsidRPr="00DA5DBB" w:rsidRDefault="004059E6" w:rsidP="00427395">
      <w:pPr>
        <w:numPr>
          <w:ilvl w:val="0"/>
          <w:numId w:val="2"/>
        </w:numPr>
        <w:spacing w:line="264" w:lineRule="auto"/>
        <w:rPr>
          <w:sz w:val="25"/>
          <w:szCs w:val="25"/>
        </w:rPr>
      </w:pPr>
      <w:r>
        <w:rPr>
          <w:bCs/>
          <w:sz w:val="25"/>
          <w:szCs w:val="25"/>
        </w:rPr>
        <w:t xml:space="preserve">The Commission requires parties to submit documents in adjudicative proceedings no later than 2:00 p.m. on the deadline date to give Records Center personnel adequate time to post and distribute them.  </w:t>
      </w:r>
    </w:p>
    <w:p w:rsidR="004059E6" w:rsidRPr="00DA5DBB" w:rsidRDefault="004059E6" w:rsidP="004059E6">
      <w:pPr>
        <w:spacing w:line="264" w:lineRule="auto"/>
        <w:rPr>
          <w:sz w:val="25"/>
          <w:szCs w:val="25"/>
        </w:rPr>
      </w:pPr>
    </w:p>
    <w:p w:rsidR="004059E6" w:rsidRPr="00344815" w:rsidRDefault="004059E6" w:rsidP="00427395">
      <w:pPr>
        <w:numPr>
          <w:ilvl w:val="0"/>
          <w:numId w:val="2"/>
        </w:numPr>
        <w:spacing w:line="264" w:lineRule="auto"/>
        <w:rPr>
          <w:sz w:val="25"/>
          <w:szCs w:val="25"/>
        </w:rPr>
      </w:pPr>
      <w:r w:rsidRPr="00344815">
        <w:rPr>
          <w:b/>
          <w:bCs/>
          <w:sz w:val="25"/>
          <w:szCs w:val="25"/>
        </w:rPr>
        <w:t>ALTERNATE DISPUTE RESOLUTION</w:t>
      </w:r>
      <w:r w:rsidRPr="00344815">
        <w:rPr>
          <w:sz w:val="25"/>
          <w:szCs w:val="25"/>
        </w:rPr>
        <w:t>.  The Commission supports the informal settlement of matters before it.  Parties are encouraged to consider means of resolving disputes informally.  The Commission ha</w:t>
      </w:r>
      <w:r w:rsidR="00E50DC4">
        <w:rPr>
          <w:sz w:val="25"/>
          <w:szCs w:val="25"/>
        </w:rPr>
        <w:t>s</w:t>
      </w:r>
      <w:r w:rsidRPr="00344815">
        <w:rPr>
          <w:sz w:val="25"/>
          <w:szCs w:val="25"/>
        </w:rPr>
        <w:t xml:space="preserve"> </w:t>
      </w:r>
      <w:r w:rsidR="00E50DC4">
        <w:rPr>
          <w:sz w:val="25"/>
          <w:szCs w:val="25"/>
        </w:rPr>
        <w:t xml:space="preserve">a </w:t>
      </w:r>
      <w:r w:rsidRPr="00344815">
        <w:rPr>
          <w:sz w:val="25"/>
          <w:szCs w:val="25"/>
        </w:rPr>
        <w:t>limited ability to provide dispute resolution services; if you wish to explore those services, please call the Director, Administrative Law Division, at 360-664-1355.</w:t>
      </w:r>
    </w:p>
    <w:p w:rsidR="004059E6" w:rsidRPr="00DA5DBB" w:rsidRDefault="004059E6" w:rsidP="004059E6">
      <w:pPr>
        <w:pStyle w:val="Header"/>
        <w:tabs>
          <w:tab w:val="clear" w:pos="4320"/>
          <w:tab w:val="clear" w:pos="8640"/>
        </w:tabs>
        <w:spacing w:line="264" w:lineRule="auto"/>
        <w:rPr>
          <w:sz w:val="25"/>
          <w:szCs w:val="25"/>
        </w:rPr>
      </w:pPr>
    </w:p>
    <w:p w:rsidR="004059E6" w:rsidRPr="00DA5DBB" w:rsidRDefault="004059E6" w:rsidP="00427395">
      <w:pPr>
        <w:numPr>
          <w:ilvl w:val="0"/>
          <w:numId w:val="2"/>
        </w:numPr>
        <w:spacing w:line="264" w:lineRule="auto"/>
        <w:rPr>
          <w:sz w:val="25"/>
          <w:szCs w:val="25"/>
        </w:rPr>
      </w:pPr>
      <w:r w:rsidRPr="00DA5DBB">
        <w:rPr>
          <w:b/>
          <w:sz w:val="25"/>
          <w:szCs w:val="25"/>
        </w:rPr>
        <w:t>NOTICE TO PARTIES:  A party who objects to any portion of this Order must file a written objection within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rsidR="004059E6" w:rsidRPr="00DA5DBB" w:rsidRDefault="004059E6" w:rsidP="00405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p>
    <w:p w:rsidR="004059E6" w:rsidRPr="00DA5DBB" w:rsidRDefault="004059E6" w:rsidP="004059E6">
      <w:pPr>
        <w:spacing w:line="288" w:lineRule="auto"/>
        <w:rPr>
          <w:sz w:val="25"/>
          <w:szCs w:val="25"/>
        </w:rPr>
      </w:pPr>
      <w:r w:rsidRPr="00DA5DBB">
        <w:rPr>
          <w:sz w:val="25"/>
          <w:szCs w:val="25"/>
        </w:rPr>
        <w:t xml:space="preserve">Dated at Olympia, Washington, and effective </w:t>
      </w:r>
      <w:r w:rsidR="000E75B5">
        <w:rPr>
          <w:sz w:val="25"/>
          <w:szCs w:val="25"/>
        </w:rPr>
        <w:t>January 15</w:t>
      </w:r>
      <w:r w:rsidR="00024CD1">
        <w:rPr>
          <w:sz w:val="25"/>
          <w:szCs w:val="25"/>
        </w:rPr>
        <w:t>, 2013</w:t>
      </w:r>
      <w:r w:rsidRPr="00DA5DBB">
        <w:rPr>
          <w:sz w:val="25"/>
          <w:szCs w:val="25"/>
        </w:rPr>
        <w:t>.</w:t>
      </w:r>
    </w:p>
    <w:p w:rsidR="004059E6" w:rsidRPr="00DA5DBB" w:rsidRDefault="004059E6" w:rsidP="004059E6">
      <w:pPr>
        <w:pStyle w:val="Header"/>
        <w:tabs>
          <w:tab w:val="clear" w:pos="4320"/>
          <w:tab w:val="clear" w:pos="8640"/>
        </w:tabs>
        <w:spacing w:line="288" w:lineRule="auto"/>
        <w:rPr>
          <w:sz w:val="25"/>
          <w:szCs w:val="25"/>
        </w:rPr>
      </w:pPr>
    </w:p>
    <w:p w:rsidR="004059E6" w:rsidRPr="00DA5DBB" w:rsidRDefault="004059E6" w:rsidP="004059E6">
      <w:pPr>
        <w:spacing w:line="288" w:lineRule="auto"/>
        <w:jc w:val="center"/>
        <w:rPr>
          <w:sz w:val="25"/>
          <w:szCs w:val="25"/>
        </w:rPr>
      </w:pPr>
      <w:r w:rsidRPr="00DA5DBB">
        <w:rPr>
          <w:sz w:val="25"/>
          <w:szCs w:val="25"/>
        </w:rPr>
        <w:t>WASHINGTON UTILITIES AND TRANSPORTATION COMMISSION</w:t>
      </w:r>
    </w:p>
    <w:p w:rsidR="004059E6" w:rsidRPr="00DA5DBB" w:rsidRDefault="004059E6" w:rsidP="004059E6">
      <w:pPr>
        <w:spacing w:line="288" w:lineRule="auto"/>
        <w:rPr>
          <w:sz w:val="25"/>
          <w:szCs w:val="25"/>
        </w:rPr>
      </w:pPr>
    </w:p>
    <w:p w:rsidR="004059E6" w:rsidRDefault="004059E6" w:rsidP="004059E6">
      <w:pPr>
        <w:spacing w:line="288" w:lineRule="auto"/>
        <w:rPr>
          <w:sz w:val="25"/>
          <w:szCs w:val="25"/>
        </w:rPr>
      </w:pPr>
    </w:p>
    <w:p w:rsidR="00024CD1" w:rsidRDefault="00024CD1" w:rsidP="004059E6">
      <w:pPr>
        <w:spacing w:line="288" w:lineRule="auto"/>
        <w:rPr>
          <w:sz w:val="25"/>
          <w:szCs w:val="25"/>
        </w:rPr>
      </w:pPr>
    </w:p>
    <w:p w:rsidR="00024CD1" w:rsidRPr="00024CD1" w:rsidRDefault="00024CD1" w:rsidP="00024CD1">
      <w:pPr>
        <w:spacing w:line="288" w:lineRule="auto"/>
        <w:ind w:left="3600" w:firstLine="720"/>
        <w:rPr>
          <w:sz w:val="25"/>
          <w:szCs w:val="25"/>
        </w:rPr>
      </w:pPr>
      <w:r w:rsidRPr="00024CD1">
        <w:rPr>
          <w:sz w:val="25"/>
          <w:szCs w:val="25"/>
        </w:rPr>
        <w:t>STEPHANY A. WATSON</w:t>
      </w:r>
    </w:p>
    <w:p w:rsidR="00024CD1" w:rsidRPr="00024CD1" w:rsidRDefault="00024CD1" w:rsidP="00024CD1">
      <w:pPr>
        <w:spacing w:line="288" w:lineRule="auto"/>
        <w:rPr>
          <w:sz w:val="25"/>
          <w:szCs w:val="25"/>
        </w:rPr>
      </w:pP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r>
      <w:r w:rsidRPr="00024CD1">
        <w:rPr>
          <w:sz w:val="25"/>
          <w:szCs w:val="25"/>
        </w:rPr>
        <w:tab/>
        <w:t>Administrative Law Judge</w:t>
      </w:r>
    </w:p>
    <w:p w:rsidR="00024CD1" w:rsidRPr="00DA5DBB" w:rsidRDefault="00024CD1" w:rsidP="004059E6">
      <w:pPr>
        <w:spacing w:line="288" w:lineRule="auto"/>
        <w:rPr>
          <w:sz w:val="25"/>
          <w:szCs w:val="25"/>
        </w:rPr>
      </w:pPr>
    </w:p>
    <w:p w:rsidR="00024CD1" w:rsidRDefault="004059E6" w:rsidP="004059E6">
      <w:pPr>
        <w:spacing w:line="288"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p>
    <w:p w:rsidR="00024CD1" w:rsidRDefault="00024CD1">
      <w:pPr>
        <w:rPr>
          <w:sz w:val="25"/>
          <w:szCs w:val="25"/>
        </w:rPr>
      </w:pPr>
      <w:r>
        <w:rPr>
          <w:sz w:val="25"/>
          <w:szCs w:val="25"/>
        </w:rPr>
        <w:br w:type="page"/>
      </w:r>
    </w:p>
    <w:p w:rsidR="00024CD1" w:rsidRPr="00024CD1" w:rsidRDefault="00024CD1" w:rsidP="00024CD1">
      <w:pPr>
        <w:spacing w:line="288" w:lineRule="auto"/>
        <w:rPr>
          <w:sz w:val="25"/>
          <w:szCs w:val="25"/>
        </w:rPr>
      </w:pPr>
    </w:p>
    <w:tbl>
      <w:tblPr>
        <w:tblW w:w="10980"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2988"/>
        <w:gridCol w:w="1620"/>
        <w:gridCol w:w="1800"/>
        <w:gridCol w:w="3060"/>
      </w:tblGrid>
      <w:tr w:rsidR="00024CD1" w:rsidRPr="00024CD1" w:rsidTr="00024CD1">
        <w:trPr>
          <w:cantSplit/>
          <w:trHeight w:val="585"/>
        </w:trPr>
        <w:tc>
          <w:tcPr>
            <w:tcW w:w="10980" w:type="dxa"/>
            <w:gridSpan w:val="5"/>
            <w:tcBorders>
              <w:top w:val="thinThickSmallGap" w:sz="24" w:space="0" w:color="auto"/>
              <w:left w:val="thinThickSmallGap" w:sz="24" w:space="0" w:color="auto"/>
              <w:bottom w:val="thinThickSmallGap" w:sz="24" w:space="0" w:color="auto"/>
              <w:right w:val="thickThinSmallGap" w:sz="24" w:space="0" w:color="auto"/>
            </w:tcBorders>
          </w:tcPr>
          <w:p w:rsidR="00024CD1" w:rsidRPr="00024CD1" w:rsidRDefault="00024CD1" w:rsidP="00DB0F86">
            <w:pPr>
              <w:keepNext/>
              <w:spacing w:before="240" w:after="60" w:line="288" w:lineRule="auto"/>
              <w:jc w:val="center"/>
              <w:outlineLvl w:val="2"/>
              <w:rPr>
                <w:rFonts w:cs="Arial"/>
                <w:b/>
                <w:bCs/>
                <w:sz w:val="25"/>
                <w:szCs w:val="25"/>
              </w:rPr>
            </w:pPr>
            <w:r w:rsidRPr="00024CD1">
              <w:rPr>
                <w:rFonts w:cs="Arial"/>
                <w:b/>
                <w:bCs/>
                <w:sz w:val="25"/>
                <w:szCs w:val="25"/>
              </w:rPr>
              <w:t xml:space="preserve">APPENDIX </w:t>
            </w:r>
            <w:r w:rsidR="00DB0F86">
              <w:rPr>
                <w:rFonts w:cs="Arial"/>
                <w:b/>
                <w:bCs/>
                <w:sz w:val="25"/>
                <w:szCs w:val="25"/>
              </w:rPr>
              <w:t>A</w:t>
            </w:r>
          </w:p>
        </w:tc>
      </w:tr>
      <w:tr w:rsidR="00024CD1" w:rsidRPr="00024CD1" w:rsidTr="00024CD1">
        <w:trPr>
          <w:cantSplit/>
          <w:trHeight w:val="747"/>
        </w:trPr>
        <w:tc>
          <w:tcPr>
            <w:tcW w:w="10980" w:type="dxa"/>
            <w:gridSpan w:val="5"/>
            <w:tcBorders>
              <w:top w:val="thinThickSmallGap" w:sz="24" w:space="0" w:color="auto"/>
              <w:left w:val="thinThickSmallGap" w:sz="24" w:space="0" w:color="auto"/>
              <w:bottom w:val="thinThickThinSmallGap" w:sz="24" w:space="0" w:color="auto"/>
              <w:right w:val="thickThinSmallGap" w:sz="24" w:space="0" w:color="auto"/>
            </w:tcBorders>
          </w:tcPr>
          <w:p w:rsidR="00024CD1" w:rsidRPr="00024CD1" w:rsidRDefault="00024CD1" w:rsidP="00024CD1">
            <w:pPr>
              <w:keepNext/>
              <w:spacing w:before="240" w:after="60"/>
              <w:jc w:val="center"/>
              <w:outlineLvl w:val="2"/>
              <w:rPr>
                <w:rFonts w:cs="Arial"/>
                <w:b/>
                <w:bCs/>
                <w:sz w:val="25"/>
                <w:szCs w:val="25"/>
              </w:rPr>
            </w:pPr>
            <w:r w:rsidRPr="00024CD1">
              <w:rPr>
                <w:rFonts w:cs="Arial"/>
                <w:b/>
                <w:bCs/>
                <w:sz w:val="25"/>
                <w:szCs w:val="25"/>
              </w:rPr>
              <w:t>PARTIES’ REPRESENTATIVES</w:t>
            </w:r>
          </w:p>
          <w:p w:rsidR="00024CD1" w:rsidRPr="00024CD1" w:rsidRDefault="00024CD1" w:rsidP="00024CD1">
            <w:pPr>
              <w:jc w:val="center"/>
              <w:rPr>
                <w:b/>
                <w:sz w:val="25"/>
                <w:szCs w:val="25"/>
              </w:rPr>
            </w:pPr>
            <w:r w:rsidRPr="00024CD1">
              <w:rPr>
                <w:b/>
                <w:sz w:val="25"/>
                <w:szCs w:val="25"/>
              </w:rPr>
              <w:t xml:space="preserve">DOCKET </w:t>
            </w:r>
            <w:r>
              <w:rPr>
                <w:b/>
                <w:sz w:val="25"/>
                <w:szCs w:val="25"/>
              </w:rPr>
              <w:t>UW-121408</w:t>
            </w:r>
          </w:p>
        </w:tc>
      </w:tr>
      <w:tr w:rsidR="00024CD1" w:rsidRPr="00024CD1" w:rsidTr="00024CD1">
        <w:tc>
          <w:tcPr>
            <w:tcW w:w="1512" w:type="dxa"/>
            <w:tcBorders>
              <w:top w:val="thinThickSmallGap" w:sz="24" w:space="0" w:color="auto"/>
              <w:left w:val="thinThickSmallGap" w:sz="24" w:space="0" w:color="auto"/>
            </w:tcBorders>
            <w:shd w:val="clear" w:color="auto" w:fill="F3F3F3"/>
          </w:tcPr>
          <w:p w:rsidR="00024CD1" w:rsidRPr="00024CD1" w:rsidRDefault="00024CD1" w:rsidP="00024CD1">
            <w:pPr>
              <w:spacing w:line="288" w:lineRule="auto"/>
              <w:rPr>
                <w:b/>
                <w:sz w:val="26"/>
                <w:szCs w:val="25"/>
              </w:rPr>
            </w:pPr>
            <w:r w:rsidRPr="00024CD1">
              <w:rPr>
                <w:b/>
                <w:sz w:val="26"/>
                <w:szCs w:val="25"/>
              </w:rPr>
              <w:t>PARTY</w:t>
            </w:r>
          </w:p>
        </w:tc>
        <w:tc>
          <w:tcPr>
            <w:tcW w:w="2988" w:type="dxa"/>
            <w:tcBorders>
              <w:top w:val="thinThickThinSmallGap" w:sz="24" w:space="0" w:color="auto"/>
            </w:tcBorders>
            <w:shd w:val="clear" w:color="auto" w:fill="F3F3F3"/>
          </w:tcPr>
          <w:p w:rsidR="00024CD1" w:rsidRPr="00024CD1" w:rsidRDefault="00024CD1" w:rsidP="00024CD1">
            <w:pPr>
              <w:spacing w:line="288" w:lineRule="auto"/>
              <w:rPr>
                <w:b/>
                <w:sz w:val="25"/>
                <w:szCs w:val="25"/>
              </w:rPr>
            </w:pPr>
            <w:r w:rsidRPr="00024CD1">
              <w:rPr>
                <w:b/>
                <w:sz w:val="25"/>
                <w:szCs w:val="25"/>
              </w:rPr>
              <w:t>REPRESENTATIVE</w:t>
            </w:r>
          </w:p>
        </w:tc>
        <w:tc>
          <w:tcPr>
            <w:tcW w:w="1620" w:type="dxa"/>
            <w:tcBorders>
              <w:top w:val="thinThickThinSmallGap" w:sz="24" w:space="0" w:color="auto"/>
            </w:tcBorders>
            <w:shd w:val="clear" w:color="auto" w:fill="F3F3F3"/>
          </w:tcPr>
          <w:p w:rsidR="00024CD1" w:rsidRPr="00024CD1" w:rsidRDefault="00024CD1" w:rsidP="00024CD1">
            <w:pPr>
              <w:spacing w:line="288" w:lineRule="auto"/>
              <w:rPr>
                <w:b/>
                <w:sz w:val="25"/>
                <w:szCs w:val="25"/>
              </w:rPr>
            </w:pPr>
            <w:r w:rsidRPr="00024CD1">
              <w:rPr>
                <w:b/>
                <w:sz w:val="25"/>
                <w:szCs w:val="25"/>
              </w:rPr>
              <w:t>PHONE</w:t>
            </w:r>
          </w:p>
        </w:tc>
        <w:tc>
          <w:tcPr>
            <w:tcW w:w="1800" w:type="dxa"/>
            <w:tcBorders>
              <w:top w:val="thinThickThinSmallGap" w:sz="24" w:space="0" w:color="auto"/>
            </w:tcBorders>
            <w:shd w:val="clear" w:color="auto" w:fill="F3F3F3"/>
          </w:tcPr>
          <w:p w:rsidR="00024CD1" w:rsidRPr="00024CD1" w:rsidRDefault="00024CD1" w:rsidP="00024CD1">
            <w:pPr>
              <w:spacing w:line="288" w:lineRule="auto"/>
              <w:rPr>
                <w:b/>
                <w:sz w:val="25"/>
                <w:szCs w:val="25"/>
              </w:rPr>
            </w:pPr>
            <w:r w:rsidRPr="00024CD1">
              <w:rPr>
                <w:b/>
                <w:sz w:val="25"/>
                <w:szCs w:val="25"/>
              </w:rPr>
              <w:t>FACSIMILE</w:t>
            </w:r>
          </w:p>
        </w:tc>
        <w:tc>
          <w:tcPr>
            <w:tcW w:w="3060" w:type="dxa"/>
            <w:tcBorders>
              <w:top w:val="thinThickThinSmallGap" w:sz="24" w:space="0" w:color="auto"/>
              <w:bottom w:val="single" w:sz="4" w:space="0" w:color="auto"/>
              <w:right w:val="thickThinSmallGap" w:sz="24" w:space="0" w:color="auto"/>
            </w:tcBorders>
            <w:shd w:val="clear" w:color="auto" w:fill="F3F3F3"/>
          </w:tcPr>
          <w:p w:rsidR="00024CD1" w:rsidRPr="00024CD1" w:rsidRDefault="00024CD1" w:rsidP="00024CD1">
            <w:pPr>
              <w:spacing w:line="288" w:lineRule="auto"/>
              <w:rPr>
                <w:b/>
                <w:sz w:val="25"/>
                <w:szCs w:val="25"/>
              </w:rPr>
            </w:pPr>
            <w:r w:rsidRPr="00024CD1">
              <w:rPr>
                <w:b/>
                <w:sz w:val="25"/>
                <w:szCs w:val="25"/>
              </w:rPr>
              <w:t>E-MAIL</w:t>
            </w:r>
          </w:p>
        </w:tc>
      </w:tr>
      <w:tr w:rsidR="0072596C" w:rsidRPr="00024CD1" w:rsidTr="00024CD1">
        <w:trPr>
          <w:trHeight w:val="908"/>
        </w:trPr>
        <w:tc>
          <w:tcPr>
            <w:tcW w:w="1512" w:type="dxa"/>
            <w:vMerge w:val="restart"/>
            <w:tcBorders>
              <w:left w:val="thinThickSmallGap" w:sz="24" w:space="0" w:color="auto"/>
            </w:tcBorders>
          </w:tcPr>
          <w:p w:rsidR="0072596C" w:rsidRPr="00077947" w:rsidRDefault="0072596C" w:rsidP="00024CD1">
            <w:pPr>
              <w:spacing w:line="288" w:lineRule="auto"/>
              <w:rPr>
                <w:b/>
                <w:sz w:val="21"/>
                <w:szCs w:val="21"/>
              </w:rPr>
            </w:pPr>
            <w:r w:rsidRPr="00077947">
              <w:rPr>
                <w:b/>
                <w:sz w:val="21"/>
                <w:szCs w:val="21"/>
              </w:rPr>
              <w:t>Sandy Point Improvement Company</w:t>
            </w:r>
          </w:p>
        </w:tc>
        <w:tc>
          <w:tcPr>
            <w:tcW w:w="2988" w:type="dxa"/>
          </w:tcPr>
          <w:p w:rsidR="0072596C" w:rsidRDefault="0072596C" w:rsidP="006D2993">
            <w:pPr>
              <w:rPr>
                <w:bCs/>
                <w:sz w:val="21"/>
                <w:szCs w:val="21"/>
              </w:rPr>
            </w:pPr>
            <w:r>
              <w:rPr>
                <w:bCs/>
                <w:sz w:val="21"/>
                <w:szCs w:val="21"/>
              </w:rPr>
              <w:t>4460 Decatur Drive</w:t>
            </w:r>
          </w:p>
          <w:p w:rsidR="0072596C" w:rsidRPr="00077947" w:rsidRDefault="0072596C" w:rsidP="006D2993">
            <w:pPr>
              <w:rPr>
                <w:bCs/>
                <w:sz w:val="21"/>
                <w:szCs w:val="21"/>
              </w:rPr>
            </w:pPr>
            <w:r>
              <w:rPr>
                <w:bCs/>
                <w:sz w:val="21"/>
                <w:szCs w:val="21"/>
              </w:rPr>
              <w:t>Ferndale, WA  98248</w:t>
            </w:r>
          </w:p>
        </w:tc>
        <w:tc>
          <w:tcPr>
            <w:tcW w:w="1620" w:type="dxa"/>
          </w:tcPr>
          <w:p w:rsidR="0072596C" w:rsidRPr="00077947" w:rsidRDefault="0072596C" w:rsidP="00024CD1">
            <w:pPr>
              <w:spacing w:line="288" w:lineRule="auto"/>
              <w:rPr>
                <w:bCs/>
                <w:sz w:val="21"/>
                <w:szCs w:val="21"/>
              </w:rPr>
            </w:pPr>
          </w:p>
        </w:tc>
        <w:tc>
          <w:tcPr>
            <w:tcW w:w="1800" w:type="dxa"/>
          </w:tcPr>
          <w:p w:rsidR="0072596C" w:rsidRPr="00077947" w:rsidRDefault="0072596C" w:rsidP="00024CD1">
            <w:pPr>
              <w:spacing w:line="288" w:lineRule="auto"/>
              <w:rPr>
                <w:bCs/>
                <w:sz w:val="21"/>
                <w:szCs w:val="21"/>
              </w:rPr>
            </w:pPr>
          </w:p>
        </w:tc>
        <w:tc>
          <w:tcPr>
            <w:tcW w:w="3060" w:type="dxa"/>
            <w:tcBorders>
              <w:right w:val="thickThinSmallGap" w:sz="24" w:space="0" w:color="auto"/>
            </w:tcBorders>
          </w:tcPr>
          <w:p w:rsidR="0072596C" w:rsidRPr="00077947" w:rsidRDefault="0072596C" w:rsidP="00024CD1">
            <w:pPr>
              <w:spacing w:line="288" w:lineRule="auto"/>
              <w:rPr>
                <w:b/>
                <w:sz w:val="21"/>
                <w:szCs w:val="21"/>
              </w:rPr>
            </w:pPr>
          </w:p>
        </w:tc>
      </w:tr>
      <w:tr w:rsidR="0072596C" w:rsidRPr="00024CD1" w:rsidTr="00024CD1">
        <w:trPr>
          <w:trHeight w:val="908"/>
        </w:trPr>
        <w:tc>
          <w:tcPr>
            <w:tcW w:w="1512" w:type="dxa"/>
            <w:vMerge/>
            <w:tcBorders>
              <w:left w:val="thinThickSmallGap" w:sz="24" w:space="0" w:color="auto"/>
            </w:tcBorders>
          </w:tcPr>
          <w:p w:rsidR="0072596C" w:rsidRPr="00077947" w:rsidRDefault="0072596C" w:rsidP="00024CD1">
            <w:pPr>
              <w:spacing w:line="288" w:lineRule="auto"/>
              <w:rPr>
                <w:b/>
                <w:sz w:val="21"/>
                <w:szCs w:val="21"/>
              </w:rPr>
            </w:pPr>
          </w:p>
        </w:tc>
        <w:tc>
          <w:tcPr>
            <w:tcW w:w="2988" w:type="dxa"/>
          </w:tcPr>
          <w:p w:rsidR="0072596C" w:rsidRPr="00077947" w:rsidRDefault="0072596C" w:rsidP="0072596C">
            <w:pPr>
              <w:rPr>
                <w:bCs/>
                <w:sz w:val="21"/>
                <w:szCs w:val="21"/>
              </w:rPr>
            </w:pPr>
            <w:r w:rsidRPr="00077947">
              <w:rPr>
                <w:bCs/>
                <w:sz w:val="21"/>
                <w:szCs w:val="21"/>
              </w:rPr>
              <w:t>Joseph A. Rehberger</w:t>
            </w:r>
          </w:p>
          <w:p w:rsidR="0072596C" w:rsidRPr="00077947" w:rsidRDefault="0072596C" w:rsidP="0072596C">
            <w:pPr>
              <w:rPr>
                <w:bCs/>
                <w:sz w:val="21"/>
                <w:szCs w:val="21"/>
              </w:rPr>
            </w:pPr>
            <w:r w:rsidRPr="00077947">
              <w:rPr>
                <w:bCs/>
                <w:sz w:val="21"/>
                <w:szCs w:val="21"/>
              </w:rPr>
              <w:t>Cascadia Law Group</w:t>
            </w:r>
            <w:r w:rsidR="00073CA1">
              <w:rPr>
                <w:bCs/>
                <w:sz w:val="21"/>
                <w:szCs w:val="21"/>
              </w:rPr>
              <w:t xml:space="preserve"> PLLC</w:t>
            </w:r>
          </w:p>
          <w:p w:rsidR="0072596C" w:rsidRPr="00077947" w:rsidRDefault="0072596C" w:rsidP="0072596C">
            <w:pPr>
              <w:rPr>
                <w:bCs/>
                <w:sz w:val="21"/>
                <w:szCs w:val="21"/>
              </w:rPr>
            </w:pPr>
            <w:r w:rsidRPr="00077947">
              <w:rPr>
                <w:bCs/>
                <w:sz w:val="21"/>
                <w:szCs w:val="21"/>
              </w:rPr>
              <w:t>606 Columbia Street NW</w:t>
            </w:r>
          </w:p>
          <w:p w:rsidR="0072596C" w:rsidRPr="00077947" w:rsidRDefault="0072596C" w:rsidP="0072596C">
            <w:pPr>
              <w:rPr>
                <w:bCs/>
                <w:sz w:val="21"/>
                <w:szCs w:val="21"/>
              </w:rPr>
            </w:pPr>
            <w:r w:rsidRPr="00077947">
              <w:rPr>
                <w:bCs/>
                <w:sz w:val="21"/>
                <w:szCs w:val="21"/>
              </w:rPr>
              <w:t>Suite 212</w:t>
            </w:r>
          </w:p>
          <w:p w:rsidR="0072596C" w:rsidRDefault="0072596C" w:rsidP="0072596C">
            <w:pPr>
              <w:rPr>
                <w:bCs/>
                <w:sz w:val="21"/>
                <w:szCs w:val="21"/>
              </w:rPr>
            </w:pPr>
            <w:r w:rsidRPr="00077947">
              <w:rPr>
                <w:bCs/>
                <w:sz w:val="21"/>
                <w:szCs w:val="21"/>
              </w:rPr>
              <w:t>Olympia, WA 98501</w:t>
            </w:r>
          </w:p>
          <w:p w:rsidR="00DB0F86" w:rsidRPr="00077947" w:rsidRDefault="00DB0F86" w:rsidP="0072596C">
            <w:pPr>
              <w:rPr>
                <w:bCs/>
                <w:sz w:val="21"/>
                <w:szCs w:val="21"/>
              </w:rPr>
            </w:pPr>
          </w:p>
        </w:tc>
        <w:tc>
          <w:tcPr>
            <w:tcW w:w="1620" w:type="dxa"/>
          </w:tcPr>
          <w:p w:rsidR="0072596C" w:rsidRPr="00077947" w:rsidRDefault="0072596C" w:rsidP="00024CD1">
            <w:pPr>
              <w:spacing w:line="288" w:lineRule="auto"/>
              <w:rPr>
                <w:bCs/>
                <w:sz w:val="21"/>
                <w:szCs w:val="21"/>
              </w:rPr>
            </w:pPr>
            <w:r w:rsidRPr="00077947">
              <w:rPr>
                <w:bCs/>
                <w:sz w:val="21"/>
                <w:szCs w:val="21"/>
              </w:rPr>
              <w:t>360-786-5062</w:t>
            </w:r>
          </w:p>
        </w:tc>
        <w:tc>
          <w:tcPr>
            <w:tcW w:w="1800" w:type="dxa"/>
          </w:tcPr>
          <w:p w:rsidR="0072596C" w:rsidRPr="00077947" w:rsidRDefault="0072596C" w:rsidP="00024CD1">
            <w:pPr>
              <w:spacing w:line="288" w:lineRule="auto"/>
              <w:rPr>
                <w:bCs/>
                <w:sz w:val="21"/>
                <w:szCs w:val="21"/>
              </w:rPr>
            </w:pPr>
            <w:r w:rsidRPr="00077947">
              <w:rPr>
                <w:bCs/>
                <w:sz w:val="21"/>
                <w:szCs w:val="21"/>
              </w:rPr>
              <w:t>360-786-1835</w:t>
            </w:r>
          </w:p>
        </w:tc>
        <w:tc>
          <w:tcPr>
            <w:tcW w:w="3060" w:type="dxa"/>
            <w:tcBorders>
              <w:right w:val="thickThinSmallGap" w:sz="24" w:space="0" w:color="auto"/>
            </w:tcBorders>
          </w:tcPr>
          <w:p w:rsidR="0072596C" w:rsidRDefault="0072596C" w:rsidP="00024CD1">
            <w:pPr>
              <w:spacing w:line="288" w:lineRule="auto"/>
            </w:pPr>
            <w:hyperlink r:id="rId15" w:history="1">
              <w:r w:rsidRPr="00077947">
                <w:rPr>
                  <w:rStyle w:val="Hyperlink"/>
                  <w:b/>
                  <w:sz w:val="21"/>
                  <w:szCs w:val="21"/>
                </w:rPr>
                <w:t>jrehberger@cascadialaw.com</w:t>
              </w:r>
            </w:hyperlink>
          </w:p>
        </w:tc>
      </w:tr>
      <w:tr w:rsidR="00024CD1" w:rsidRPr="00024CD1" w:rsidTr="006D2993">
        <w:tc>
          <w:tcPr>
            <w:tcW w:w="1512" w:type="dxa"/>
            <w:tcBorders>
              <w:left w:val="thinThickSmallGap" w:sz="24" w:space="0" w:color="auto"/>
            </w:tcBorders>
          </w:tcPr>
          <w:p w:rsidR="00024CD1" w:rsidRPr="00077947" w:rsidRDefault="00024CD1" w:rsidP="00024CD1">
            <w:pPr>
              <w:spacing w:line="288" w:lineRule="auto"/>
              <w:rPr>
                <w:b/>
                <w:sz w:val="21"/>
                <w:szCs w:val="21"/>
              </w:rPr>
            </w:pPr>
            <w:r w:rsidRPr="00077947">
              <w:rPr>
                <w:b/>
                <w:sz w:val="21"/>
                <w:szCs w:val="21"/>
              </w:rPr>
              <w:t>Commission Staff</w:t>
            </w:r>
          </w:p>
        </w:tc>
        <w:tc>
          <w:tcPr>
            <w:tcW w:w="2988" w:type="dxa"/>
          </w:tcPr>
          <w:p w:rsidR="00024CD1" w:rsidRPr="00077947" w:rsidRDefault="00024CD1" w:rsidP="00024CD1">
            <w:pPr>
              <w:rPr>
                <w:bCs/>
                <w:sz w:val="21"/>
                <w:szCs w:val="21"/>
              </w:rPr>
            </w:pPr>
            <w:r w:rsidRPr="00077947">
              <w:rPr>
                <w:bCs/>
                <w:sz w:val="21"/>
                <w:szCs w:val="21"/>
              </w:rPr>
              <w:t xml:space="preserve">Donald </w:t>
            </w:r>
            <w:r w:rsidR="00F342D5" w:rsidRPr="00077947">
              <w:rPr>
                <w:bCs/>
                <w:sz w:val="21"/>
                <w:szCs w:val="21"/>
              </w:rPr>
              <w:t xml:space="preserve">T. </w:t>
            </w:r>
            <w:r w:rsidRPr="00077947">
              <w:rPr>
                <w:bCs/>
                <w:sz w:val="21"/>
                <w:szCs w:val="21"/>
              </w:rPr>
              <w:t>Trotter</w:t>
            </w:r>
          </w:p>
          <w:p w:rsidR="00024CD1" w:rsidRPr="00077947" w:rsidRDefault="00024CD1" w:rsidP="00024CD1">
            <w:pPr>
              <w:rPr>
                <w:bCs/>
                <w:sz w:val="21"/>
                <w:szCs w:val="21"/>
              </w:rPr>
            </w:pPr>
            <w:r w:rsidRPr="00077947">
              <w:rPr>
                <w:bCs/>
                <w:sz w:val="21"/>
                <w:szCs w:val="21"/>
              </w:rPr>
              <w:t>Senior Assistant Attorney General</w:t>
            </w:r>
          </w:p>
          <w:p w:rsidR="00024CD1" w:rsidRPr="00077947" w:rsidRDefault="00024CD1" w:rsidP="00024CD1">
            <w:pPr>
              <w:rPr>
                <w:bCs/>
                <w:sz w:val="21"/>
                <w:szCs w:val="21"/>
              </w:rPr>
            </w:pPr>
            <w:r w:rsidRPr="00077947">
              <w:rPr>
                <w:bCs/>
                <w:sz w:val="21"/>
                <w:szCs w:val="21"/>
              </w:rPr>
              <w:t>1400 S. Evergreen Park Dr. SW</w:t>
            </w:r>
          </w:p>
          <w:p w:rsidR="00024CD1" w:rsidRPr="00077947" w:rsidRDefault="00024CD1" w:rsidP="00024CD1">
            <w:pPr>
              <w:rPr>
                <w:bCs/>
                <w:sz w:val="21"/>
                <w:szCs w:val="21"/>
              </w:rPr>
            </w:pPr>
            <w:r w:rsidRPr="00077947">
              <w:rPr>
                <w:bCs/>
                <w:sz w:val="21"/>
                <w:szCs w:val="21"/>
              </w:rPr>
              <w:t>P.O. Box 40128</w:t>
            </w:r>
          </w:p>
          <w:p w:rsidR="00024CD1" w:rsidRDefault="00024CD1" w:rsidP="00024CD1">
            <w:pPr>
              <w:rPr>
                <w:bCs/>
                <w:sz w:val="21"/>
                <w:szCs w:val="21"/>
              </w:rPr>
            </w:pPr>
            <w:r w:rsidRPr="00077947">
              <w:rPr>
                <w:bCs/>
                <w:sz w:val="21"/>
                <w:szCs w:val="21"/>
              </w:rPr>
              <w:t>Olympia, WA 98504-0128</w:t>
            </w:r>
          </w:p>
          <w:p w:rsidR="00DB0F86" w:rsidRPr="00077947" w:rsidRDefault="00DB0F86" w:rsidP="00024CD1">
            <w:pPr>
              <w:rPr>
                <w:sz w:val="21"/>
                <w:szCs w:val="21"/>
              </w:rPr>
            </w:pPr>
          </w:p>
        </w:tc>
        <w:tc>
          <w:tcPr>
            <w:tcW w:w="1620" w:type="dxa"/>
          </w:tcPr>
          <w:p w:rsidR="00024CD1" w:rsidRPr="00077947" w:rsidRDefault="00024CD1" w:rsidP="00024CD1">
            <w:pPr>
              <w:spacing w:line="288" w:lineRule="auto"/>
              <w:rPr>
                <w:bCs/>
                <w:sz w:val="21"/>
                <w:szCs w:val="21"/>
              </w:rPr>
            </w:pPr>
            <w:r w:rsidRPr="00077947">
              <w:rPr>
                <w:bCs/>
                <w:sz w:val="21"/>
                <w:szCs w:val="21"/>
              </w:rPr>
              <w:t>360-664-1189</w:t>
            </w:r>
          </w:p>
          <w:p w:rsidR="00024CD1" w:rsidRPr="00077947" w:rsidRDefault="00024CD1" w:rsidP="00024CD1">
            <w:pPr>
              <w:spacing w:line="288" w:lineRule="auto"/>
              <w:rPr>
                <w:sz w:val="21"/>
                <w:szCs w:val="21"/>
              </w:rPr>
            </w:pPr>
          </w:p>
        </w:tc>
        <w:tc>
          <w:tcPr>
            <w:tcW w:w="1800" w:type="dxa"/>
          </w:tcPr>
          <w:p w:rsidR="00024CD1" w:rsidRPr="00077947" w:rsidRDefault="00024CD1" w:rsidP="00024CD1">
            <w:pPr>
              <w:spacing w:line="288" w:lineRule="auto"/>
              <w:rPr>
                <w:sz w:val="21"/>
                <w:szCs w:val="21"/>
              </w:rPr>
            </w:pPr>
            <w:r w:rsidRPr="00077947">
              <w:rPr>
                <w:bCs/>
                <w:sz w:val="21"/>
                <w:szCs w:val="21"/>
              </w:rPr>
              <w:t>360-586-5522</w:t>
            </w:r>
          </w:p>
        </w:tc>
        <w:tc>
          <w:tcPr>
            <w:tcW w:w="3060" w:type="dxa"/>
            <w:tcBorders>
              <w:top w:val="single" w:sz="4" w:space="0" w:color="auto"/>
              <w:bottom w:val="single" w:sz="4" w:space="0" w:color="auto"/>
              <w:right w:val="thickThinSmallGap" w:sz="24" w:space="0" w:color="auto"/>
            </w:tcBorders>
          </w:tcPr>
          <w:p w:rsidR="00024CD1" w:rsidRPr="00077947" w:rsidRDefault="00B231F1" w:rsidP="00024CD1">
            <w:pPr>
              <w:spacing w:line="288" w:lineRule="auto"/>
              <w:rPr>
                <w:b/>
                <w:bCs/>
                <w:color w:val="0000FF"/>
                <w:sz w:val="21"/>
                <w:szCs w:val="21"/>
                <w:u w:val="single"/>
                <w:lang w:val="fr-FR"/>
              </w:rPr>
            </w:pPr>
            <w:hyperlink r:id="rId16" w:history="1">
              <w:r w:rsidR="00024CD1" w:rsidRPr="00077947">
                <w:rPr>
                  <w:rStyle w:val="Hyperlink"/>
                  <w:b/>
                  <w:bCs/>
                  <w:sz w:val="21"/>
                  <w:szCs w:val="21"/>
                  <w:lang w:val="fr-FR"/>
                </w:rPr>
                <w:t>dtrotter@utc.wa.gov</w:t>
              </w:r>
            </w:hyperlink>
          </w:p>
          <w:p w:rsidR="00024CD1" w:rsidRPr="00077947" w:rsidRDefault="00024CD1" w:rsidP="00024CD1">
            <w:pPr>
              <w:spacing w:line="288" w:lineRule="auto"/>
              <w:rPr>
                <w:b/>
                <w:sz w:val="21"/>
                <w:szCs w:val="21"/>
              </w:rPr>
            </w:pPr>
          </w:p>
        </w:tc>
      </w:tr>
      <w:tr w:rsidR="006D2993" w:rsidRPr="00024CD1" w:rsidTr="00024CD1">
        <w:tc>
          <w:tcPr>
            <w:tcW w:w="1512" w:type="dxa"/>
            <w:tcBorders>
              <w:left w:val="thinThickSmallGap" w:sz="24" w:space="0" w:color="auto"/>
              <w:bottom w:val="thickThinSmallGap" w:sz="24" w:space="0" w:color="auto"/>
            </w:tcBorders>
          </w:tcPr>
          <w:p w:rsidR="006D2993" w:rsidRPr="00077947" w:rsidRDefault="00077947" w:rsidP="00024CD1">
            <w:pPr>
              <w:spacing w:line="288" w:lineRule="auto"/>
              <w:rPr>
                <w:b/>
                <w:sz w:val="21"/>
                <w:szCs w:val="21"/>
              </w:rPr>
            </w:pPr>
            <w:r>
              <w:rPr>
                <w:b/>
                <w:sz w:val="21"/>
                <w:szCs w:val="21"/>
              </w:rPr>
              <w:t xml:space="preserve">Stephen L. </w:t>
            </w:r>
            <w:r w:rsidR="008C3602" w:rsidRPr="00077947">
              <w:rPr>
                <w:b/>
                <w:sz w:val="21"/>
                <w:szCs w:val="21"/>
              </w:rPr>
              <w:t>Lockwood</w:t>
            </w:r>
          </w:p>
          <w:p w:rsidR="006D2993" w:rsidRPr="00077947" w:rsidRDefault="006D2993" w:rsidP="00024CD1">
            <w:pPr>
              <w:spacing w:line="288" w:lineRule="auto"/>
              <w:rPr>
                <w:b/>
                <w:sz w:val="21"/>
                <w:szCs w:val="21"/>
              </w:rPr>
            </w:pPr>
          </w:p>
          <w:p w:rsidR="006D2993" w:rsidRPr="00077947" w:rsidRDefault="006D2993" w:rsidP="00024CD1">
            <w:pPr>
              <w:spacing w:line="288" w:lineRule="auto"/>
              <w:rPr>
                <w:b/>
                <w:sz w:val="21"/>
                <w:szCs w:val="21"/>
              </w:rPr>
            </w:pPr>
          </w:p>
          <w:p w:rsidR="006D2993" w:rsidRPr="00077947" w:rsidRDefault="006D2993" w:rsidP="00024CD1">
            <w:pPr>
              <w:spacing w:line="288" w:lineRule="auto"/>
              <w:rPr>
                <w:b/>
                <w:sz w:val="21"/>
                <w:szCs w:val="21"/>
              </w:rPr>
            </w:pPr>
          </w:p>
          <w:p w:rsidR="006D2993" w:rsidRPr="00077947" w:rsidRDefault="006D2993" w:rsidP="00024CD1">
            <w:pPr>
              <w:spacing w:line="288" w:lineRule="auto"/>
              <w:rPr>
                <w:b/>
                <w:sz w:val="21"/>
                <w:szCs w:val="21"/>
              </w:rPr>
            </w:pPr>
          </w:p>
          <w:p w:rsidR="006D2993" w:rsidRPr="00077947" w:rsidRDefault="006D2993" w:rsidP="00024CD1">
            <w:pPr>
              <w:spacing w:line="288" w:lineRule="auto"/>
              <w:rPr>
                <w:b/>
                <w:sz w:val="21"/>
                <w:szCs w:val="21"/>
              </w:rPr>
            </w:pPr>
          </w:p>
        </w:tc>
        <w:tc>
          <w:tcPr>
            <w:tcW w:w="2988" w:type="dxa"/>
            <w:tcBorders>
              <w:bottom w:val="thickThinSmallGap" w:sz="24" w:space="0" w:color="auto"/>
            </w:tcBorders>
          </w:tcPr>
          <w:p w:rsidR="00AF6C67" w:rsidRPr="00077947" w:rsidRDefault="00FC630D" w:rsidP="002458F0">
            <w:pPr>
              <w:rPr>
                <w:sz w:val="21"/>
                <w:szCs w:val="21"/>
              </w:rPr>
            </w:pPr>
            <w:r w:rsidRPr="00077947">
              <w:rPr>
                <w:sz w:val="21"/>
                <w:szCs w:val="21"/>
              </w:rPr>
              <w:t>4097 Puffin Road</w:t>
            </w:r>
          </w:p>
          <w:p w:rsidR="006D2993" w:rsidRPr="00077947" w:rsidRDefault="00FC630D" w:rsidP="002458F0">
            <w:pPr>
              <w:rPr>
                <w:bCs/>
                <w:sz w:val="21"/>
                <w:szCs w:val="21"/>
              </w:rPr>
            </w:pPr>
            <w:r w:rsidRPr="00077947">
              <w:rPr>
                <w:sz w:val="21"/>
                <w:szCs w:val="21"/>
              </w:rPr>
              <w:t>Ferndale, WA 98248</w:t>
            </w:r>
          </w:p>
        </w:tc>
        <w:tc>
          <w:tcPr>
            <w:tcW w:w="1620" w:type="dxa"/>
            <w:tcBorders>
              <w:bottom w:val="thickThinSmallGap" w:sz="24" w:space="0" w:color="auto"/>
            </w:tcBorders>
          </w:tcPr>
          <w:p w:rsidR="006D2993" w:rsidRPr="00077947" w:rsidRDefault="00427395" w:rsidP="00024CD1">
            <w:pPr>
              <w:spacing w:line="288" w:lineRule="auto"/>
              <w:rPr>
                <w:bCs/>
                <w:sz w:val="21"/>
                <w:szCs w:val="21"/>
              </w:rPr>
            </w:pPr>
            <w:r w:rsidRPr="00077947">
              <w:rPr>
                <w:bCs/>
                <w:sz w:val="21"/>
                <w:szCs w:val="21"/>
              </w:rPr>
              <w:t>360-303-7523</w:t>
            </w:r>
          </w:p>
        </w:tc>
        <w:tc>
          <w:tcPr>
            <w:tcW w:w="1800" w:type="dxa"/>
            <w:tcBorders>
              <w:bottom w:val="thickThinSmallGap" w:sz="24" w:space="0" w:color="auto"/>
            </w:tcBorders>
          </w:tcPr>
          <w:p w:rsidR="006D2993" w:rsidRPr="00077947" w:rsidRDefault="006D2993" w:rsidP="00024CD1">
            <w:pPr>
              <w:spacing w:line="288" w:lineRule="auto"/>
              <w:rPr>
                <w:bCs/>
                <w:sz w:val="21"/>
                <w:szCs w:val="21"/>
              </w:rPr>
            </w:pPr>
          </w:p>
        </w:tc>
        <w:tc>
          <w:tcPr>
            <w:tcW w:w="3060" w:type="dxa"/>
            <w:tcBorders>
              <w:top w:val="single" w:sz="4" w:space="0" w:color="auto"/>
              <w:bottom w:val="thickThinSmallGap" w:sz="24" w:space="0" w:color="auto"/>
              <w:right w:val="thickThinSmallGap" w:sz="24" w:space="0" w:color="auto"/>
            </w:tcBorders>
          </w:tcPr>
          <w:p w:rsidR="006D2993" w:rsidRPr="00077947" w:rsidRDefault="00FC630D" w:rsidP="00024CD1">
            <w:pPr>
              <w:spacing w:line="288" w:lineRule="auto"/>
              <w:rPr>
                <w:b/>
                <w:bCs/>
                <w:color w:val="0000FF"/>
                <w:sz w:val="21"/>
                <w:szCs w:val="21"/>
                <w:u w:val="single"/>
                <w:lang w:val="fr-FR"/>
              </w:rPr>
            </w:pPr>
            <w:r w:rsidRPr="00077947">
              <w:rPr>
                <w:b/>
                <w:bCs/>
                <w:color w:val="0000FF"/>
                <w:sz w:val="21"/>
                <w:szCs w:val="21"/>
                <w:u w:val="single"/>
                <w:lang w:val="fr-FR"/>
              </w:rPr>
              <w:t>stevelockwood@comcast.net</w:t>
            </w:r>
          </w:p>
        </w:tc>
      </w:tr>
    </w:tbl>
    <w:p w:rsidR="00DB0F86" w:rsidRDefault="00DB0F86" w:rsidP="00024CD1">
      <w:pPr>
        <w:rPr>
          <w:sz w:val="26"/>
          <w:szCs w:val="26"/>
        </w:rPr>
      </w:pPr>
    </w:p>
    <w:p w:rsidR="00DB0F86" w:rsidRDefault="00DB0F86">
      <w:pPr>
        <w:rPr>
          <w:sz w:val="26"/>
          <w:szCs w:val="26"/>
        </w:rPr>
      </w:pPr>
      <w:r>
        <w:rPr>
          <w:sz w:val="26"/>
          <w:szCs w:val="26"/>
        </w:rPr>
        <w:br w:type="page"/>
      </w:r>
    </w:p>
    <w:p w:rsidR="00DB0F86" w:rsidRPr="00024CD1" w:rsidRDefault="00DB0F86" w:rsidP="00DB0F86">
      <w:pPr>
        <w:spacing w:line="288" w:lineRule="auto"/>
        <w:jc w:val="center"/>
        <w:rPr>
          <w:b/>
          <w:bCs/>
          <w:sz w:val="25"/>
          <w:szCs w:val="25"/>
        </w:rPr>
      </w:pPr>
      <w:r w:rsidRPr="00024CD1">
        <w:rPr>
          <w:b/>
          <w:bCs/>
          <w:sz w:val="25"/>
          <w:szCs w:val="25"/>
        </w:rPr>
        <w:lastRenderedPageBreak/>
        <w:t xml:space="preserve">APPENDIX </w:t>
      </w:r>
      <w:r>
        <w:rPr>
          <w:b/>
          <w:bCs/>
          <w:sz w:val="25"/>
          <w:szCs w:val="25"/>
        </w:rPr>
        <w:t>B</w:t>
      </w:r>
    </w:p>
    <w:p w:rsidR="00DB0F86" w:rsidRPr="00024CD1" w:rsidRDefault="00DB0F86" w:rsidP="00DB0F86">
      <w:pPr>
        <w:keepNext/>
        <w:spacing w:before="240" w:after="60" w:line="288" w:lineRule="auto"/>
        <w:jc w:val="center"/>
        <w:outlineLvl w:val="2"/>
        <w:rPr>
          <w:rFonts w:cs="Arial"/>
          <w:b/>
          <w:bCs/>
          <w:sz w:val="25"/>
          <w:szCs w:val="25"/>
        </w:rPr>
      </w:pPr>
      <w:r w:rsidRPr="00024CD1">
        <w:rPr>
          <w:rFonts w:cs="Arial"/>
          <w:b/>
          <w:bCs/>
          <w:sz w:val="25"/>
          <w:szCs w:val="25"/>
        </w:rPr>
        <w:t>PROCEDURAL SCHEDULE</w:t>
      </w:r>
    </w:p>
    <w:p w:rsidR="00DB0F86" w:rsidRPr="00024CD1" w:rsidRDefault="00DB0F86" w:rsidP="00DB0F86">
      <w:pPr>
        <w:spacing w:line="288" w:lineRule="auto"/>
        <w:jc w:val="center"/>
        <w:rPr>
          <w:b/>
          <w:bCs/>
          <w:sz w:val="25"/>
          <w:szCs w:val="25"/>
        </w:rPr>
      </w:pPr>
      <w:r w:rsidRPr="00024CD1">
        <w:rPr>
          <w:b/>
          <w:bCs/>
          <w:sz w:val="25"/>
          <w:szCs w:val="25"/>
        </w:rPr>
        <w:t xml:space="preserve">DOCKET </w:t>
      </w:r>
      <w:r>
        <w:rPr>
          <w:b/>
          <w:bCs/>
          <w:sz w:val="25"/>
          <w:szCs w:val="25"/>
        </w:rPr>
        <w:t>UW-121408</w:t>
      </w:r>
    </w:p>
    <w:tbl>
      <w:tblPr>
        <w:tblW w:w="0" w:type="auto"/>
        <w:tblInd w:w="406" w:type="dxa"/>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518"/>
        <w:gridCol w:w="3690"/>
      </w:tblGrid>
      <w:tr w:rsidR="00DB0F86" w:rsidRPr="00024CD1" w:rsidTr="00DB6732">
        <w:trPr>
          <w:cantSplit/>
        </w:trPr>
        <w:tc>
          <w:tcPr>
            <w:tcW w:w="4518" w:type="dxa"/>
            <w:shd w:val="clear" w:color="auto" w:fill="D9D9D9"/>
          </w:tcPr>
          <w:p w:rsidR="00DB0F86" w:rsidRPr="00024CD1" w:rsidRDefault="00DB0F86" w:rsidP="00DB6732">
            <w:pPr>
              <w:keepNext/>
              <w:spacing w:before="240" w:after="60" w:line="288" w:lineRule="auto"/>
              <w:jc w:val="center"/>
              <w:outlineLvl w:val="1"/>
              <w:rPr>
                <w:b/>
                <w:bCs/>
                <w:iCs/>
                <w:sz w:val="28"/>
                <w:szCs w:val="28"/>
              </w:rPr>
            </w:pPr>
            <w:r w:rsidRPr="00024CD1">
              <w:rPr>
                <w:b/>
                <w:bCs/>
                <w:iCs/>
                <w:sz w:val="28"/>
                <w:szCs w:val="28"/>
              </w:rPr>
              <w:t>EVENT</w:t>
            </w:r>
          </w:p>
        </w:tc>
        <w:tc>
          <w:tcPr>
            <w:tcW w:w="3690" w:type="dxa"/>
            <w:tcBorders>
              <w:right w:val="thickThinSmallGap" w:sz="24" w:space="0" w:color="auto"/>
            </w:tcBorders>
            <w:shd w:val="clear" w:color="auto" w:fill="D9D9D9"/>
          </w:tcPr>
          <w:p w:rsidR="00DB0F86" w:rsidRPr="00024CD1" w:rsidRDefault="00DB0F86" w:rsidP="00DB6732">
            <w:pPr>
              <w:keepNext/>
              <w:spacing w:before="240" w:after="60" w:line="288" w:lineRule="auto"/>
              <w:jc w:val="center"/>
              <w:outlineLvl w:val="1"/>
              <w:rPr>
                <w:b/>
                <w:bCs/>
                <w:iCs/>
                <w:sz w:val="28"/>
                <w:szCs w:val="28"/>
              </w:rPr>
            </w:pPr>
            <w:r w:rsidRPr="00024CD1">
              <w:rPr>
                <w:b/>
                <w:bCs/>
                <w:iCs/>
                <w:sz w:val="28"/>
                <w:szCs w:val="28"/>
              </w:rPr>
              <w:t>DATE</w:t>
            </w:r>
          </w:p>
        </w:tc>
      </w:tr>
      <w:tr w:rsidR="00DB0F86" w:rsidRPr="00024CD1" w:rsidTr="00DB6732">
        <w:trPr>
          <w:cantSplit/>
          <w:trHeight w:val="738"/>
        </w:trPr>
        <w:tc>
          <w:tcPr>
            <w:tcW w:w="4518" w:type="dxa"/>
          </w:tcPr>
          <w:p w:rsidR="00DB0F86" w:rsidRPr="00024CD1" w:rsidRDefault="00DB0F86" w:rsidP="00DB6732">
            <w:pPr>
              <w:spacing w:line="288" w:lineRule="auto"/>
              <w:rPr>
                <w:sz w:val="25"/>
                <w:szCs w:val="25"/>
              </w:rPr>
            </w:pPr>
            <w:r w:rsidRPr="00024CD1">
              <w:rPr>
                <w:sz w:val="25"/>
                <w:szCs w:val="25"/>
              </w:rPr>
              <w:t>Prehearing Conference</w:t>
            </w:r>
          </w:p>
        </w:tc>
        <w:tc>
          <w:tcPr>
            <w:tcW w:w="3690" w:type="dxa"/>
            <w:tcBorders>
              <w:right w:val="thickThinSmallGap" w:sz="24" w:space="0" w:color="auto"/>
            </w:tcBorders>
          </w:tcPr>
          <w:p w:rsidR="00DB0F86" w:rsidRPr="00024CD1" w:rsidRDefault="00DB0F86" w:rsidP="00DB6732">
            <w:pPr>
              <w:spacing w:line="288" w:lineRule="auto"/>
              <w:rPr>
                <w:sz w:val="25"/>
                <w:szCs w:val="25"/>
              </w:rPr>
            </w:pPr>
            <w:r>
              <w:rPr>
                <w:sz w:val="25"/>
                <w:szCs w:val="25"/>
              </w:rPr>
              <w:t>January 14, 2013</w:t>
            </w:r>
          </w:p>
        </w:tc>
      </w:tr>
      <w:tr w:rsidR="00DB0F86" w:rsidRPr="00024CD1" w:rsidTr="00DB6732">
        <w:trPr>
          <w:cantSplit/>
          <w:trHeight w:val="738"/>
        </w:trPr>
        <w:tc>
          <w:tcPr>
            <w:tcW w:w="4518" w:type="dxa"/>
          </w:tcPr>
          <w:p w:rsidR="00DB0F86" w:rsidRPr="00024CD1" w:rsidRDefault="00DB0F86" w:rsidP="00DB6732">
            <w:pPr>
              <w:spacing w:line="288" w:lineRule="auto"/>
              <w:rPr>
                <w:sz w:val="25"/>
                <w:szCs w:val="25"/>
              </w:rPr>
            </w:pPr>
            <w:r w:rsidRPr="00024CD1">
              <w:rPr>
                <w:sz w:val="25"/>
                <w:szCs w:val="25"/>
              </w:rPr>
              <w:t>Issues Discussion/Settlement Conference (parties only)</w:t>
            </w:r>
          </w:p>
        </w:tc>
        <w:tc>
          <w:tcPr>
            <w:tcW w:w="3690" w:type="dxa"/>
            <w:tcBorders>
              <w:right w:val="thickThinSmallGap" w:sz="24" w:space="0" w:color="auto"/>
            </w:tcBorders>
          </w:tcPr>
          <w:p w:rsidR="00DB0F86" w:rsidRPr="00024CD1" w:rsidRDefault="00DB0F86" w:rsidP="00DB6732">
            <w:pPr>
              <w:spacing w:line="288" w:lineRule="auto"/>
              <w:rPr>
                <w:sz w:val="25"/>
                <w:szCs w:val="25"/>
              </w:rPr>
            </w:pPr>
            <w:r>
              <w:rPr>
                <w:sz w:val="25"/>
                <w:szCs w:val="25"/>
              </w:rPr>
              <w:t>March 11, 2013</w:t>
            </w:r>
          </w:p>
        </w:tc>
      </w:tr>
      <w:tr w:rsidR="00DB0F86" w:rsidRPr="00024CD1" w:rsidTr="00DB6732">
        <w:trPr>
          <w:cantSplit/>
          <w:trHeight w:val="738"/>
        </w:trPr>
        <w:tc>
          <w:tcPr>
            <w:tcW w:w="4518" w:type="dxa"/>
          </w:tcPr>
          <w:p w:rsidR="00DB0F86" w:rsidRPr="00024CD1" w:rsidRDefault="00DB0F86" w:rsidP="00DB6732">
            <w:pPr>
              <w:spacing w:line="288" w:lineRule="auto"/>
              <w:rPr>
                <w:sz w:val="25"/>
                <w:szCs w:val="25"/>
              </w:rPr>
            </w:pPr>
            <w:r>
              <w:rPr>
                <w:sz w:val="25"/>
                <w:szCs w:val="25"/>
              </w:rPr>
              <w:t>Status Report</w:t>
            </w:r>
          </w:p>
        </w:tc>
        <w:tc>
          <w:tcPr>
            <w:tcW w:w="3690" w:type="dxa"/>
            <w:tcBorders>
              <w:right w:val="thickThinSmallGap" w:sz="24" w:space="0" w:color="auto"/>
            </w:tcBorders>
          </w:tcPr>
          <w:p w:rsidR="00DB0F86" w:rsidRPr="00024CD1" w:rsidRDefault="00DB0F86" w:rsidP="00DB6732">
            <w:pPr>
              <w:spacing w:line="288" w:lineRule="auto"/>
              <w:rPr>
                <w:sz w:val="25"/>
                <w:szCs w:val="25"/>
              </w:rPr>
            </w:pPr>
            <w:r>
              <w:rPr>
                <w:sz w:val="25"/>
                <w:szCs w:val="25"/>
              </w:rPr>
              <w:t>March 20, 2013</w:t>
            </w:r>
          </w:p>
        </w:tc>
      </w:tr>
      <w:tr w:rsidR="00DB0F86" w:rsidRPr="00024CD1" w:rsidTr="00DB6732">
        <w:trPr>
          <w:cantSplit/>
          <w:trHeight w:val="738"/>
        </w:trPr>
        <w:tc>
          <w:tcPr>
            <w:tcW w:w="4518" w:type="dxa"/>
          </w:tcPr>
          <w:p w:rsidR="00DB0F86" w:rsidRPr="00024CD1" w:rsidRDefault="00DB0F86" w:rsidP="00DB6732">
            <w:pPr>
              <w:spacing w:line="288" w:lineRule="auto"/>
              <w:rPr>
                <w:sz w:val="25"/>
                <w:szCs w:val="25"/>
              </w:rPr>
            </w:pPr>
            <w:r>
              <w:rPr>
                <w:sz w:val="25"/>
                <w:szCs w:val="25"/>
              </w:rPr>
              <w:t>Close of Discovery</w:t>
            </w:r>
          </w:p>
        </w:tc>
        <w:tc>
          <w:tcPr>
            <w:tcW w:w="3690" w:type="dxa"/>
            <w:tcBorders>
              <w:right w:val="thickThinSmallGap" w:sz="24" w:space="0" w:color="auto"/>
            </w:tcBorders>
          </w:tcPr>
          <w:p w:rsidR="00DB0F86" w:rsidRPr="00024CD1" w:rsidRDefault="00DB0F86" w:rsidP="00DB6732">
            <w:pPr>
              <w:spacing w:line="288" w:lineRule="auto"/>
              <w:rPr>
                <w:sz w:val="25"/>
                <w:szCs w:val="25"/>
              </w:rPr>
            </w:pPr>
            <w:r>
              <w:rPr>
                <w:sz w:val="25"/>
                <w:szCs w:val="25"/>
              </w:rPr>
              <w:t>April 22, 2013</w:t>
            </w:r>
          </w:p>
        </w:tc>
      </w:tr>
      <w:tr w:rsidR="00DB0F86" w:rsidRPr="00024CD1" w:rsidTr="00DB6732">
        <w:trPr>
          <w:cantSplit/>
          <w:trHeight w:val="780"/>
        </w:trPr>
        <w:tc>
          <w:tcPr>
            <w:tcW w:w="4518" w:type="dxa"/>
          </w:tcPr>
          <w:p w:rsidR="00DB0F86" w:rsidRPr="00024CD1" w:rsidRDefault="00DB0F86" w:rsidP="00DB6732">
            <w:pPr>
              <w:spacing w:line="288" w:lineRule="auto"/>
              <w:rPr>
                <w:sz w:val="25"/>
                <w:szCs w:val="25"/>
              </w:rPr>
            </w:pPr>
            <w:r>
              <w:rPr>
                <w:sz w:val="25"/>
                <w:szCs w:val="25"/>
              </w:rPr>
              <w:t>Cross Motions for Summary Determination</w:t>
            </w:r>
          </w:p>
        </w:tc>
        <w:tc>
          <w:tcPr>
            <w:tcW w:w="3690" w:type="dxa"/>
            <w:tcBorders>
              <w:right w:val="thickThinSmallGap" w:sz="24" w:space="0" w:color="auto"/>
            </w:tcBorders>
          </w:tcPr>
          <w:p w:rsidR="00DB0F86" w:rsidRPr="00024CD1" w:rsidRDefault="00DB0F86" w:rsidP="00DB6732">
            <w:pPr>
              <w:spacing w:line="288" w:lineRule="auto"/>
              <w:rPr>
                <w:sz w:val="25"/>
                <w:szCs w:val="25"/>
              </w:rPr>
            </w:pPr>
            <w:r>
              <w:rPr>
                <w:sz w:val="25"/>
                <w:szCs w:val="25"/>
              </w:rPr>
              <w:t>May 6, 2013</w:t>
            </w:r>
          </w:p>
        </w:tc>
      </w:tr>
      <w:tr w:rsidR="00DB0F86" w:rsidRPr="00024CD1" w:rsidTr="00DB6732">
        <w:trPr>
          <w:cantSplit/>
          <w:trHeight w:val="780"/>
        </w:trPr>
        <w:tc>
          <w:tcPr>
            <w:tcW w:w="4518" w:type="dxa"/>
            <w:tcBorders>
              <w:bottom w:val="thickThinSmallGap" w:sz="24" w:space="0" w:color="auto"/>
            </w:tcBorders>
          </w:tcPr>
          <w:p w:rsidR="00DB0F86" w:rsidRDefault="00DB0F86" w:rsidP="00DB6732">
            <w:pPr>
              <w:spacing w:line="288" w:lineRule="auto"/>
              <w:rPr>
                <w:sz w:val="25"/>
                <w:szCs w:val="25"/>
              </w:rPr>
            </w:pPr>
            <w:r>
              <w:rPr>
                <w:sz w:val="25"/>
                <w:szCs w:val="25"/>
              </w:rPr>
              <w:t>Answers to Cross Motions for Summary Determination</w:t>
            </w:r>
          </w:p>
        </w:tc>
        <w:tc>
          <w:tcPr>
            <w:tcW w:w="3690" w:type="dxa"/>
            <w:tcBorders>
              <w:bottom w:val="thickThinSmallGap" w:sz="24" w:space="0" w:color="auto"/>
              <w:right w:val="thickThinSmallGap" w:sz="24" w:space="0" w:color="auto"/>
            </w:tcBorders>
          </w:tcPr>
          <w:p w:rsidR="00DB0F86" w:rsidRDefault="00DB0F86" w:rsidP="00DB6732">
            <w:pPr>
              <w:spacing w:line="288" w:lineRule="auto"/>
              <w:rPr>
                <w:sz w:val="25"/>
                <w:szCs w:val="25"/>
              </w:rPr>
            </w:pPr>
            <w:r>
              <w:rPr>
                <w:sz w:val="25"/>
                <w:szCs w:val="25"/>
              </w:rPr>
              <w:t>May 20, 2013</w:t>
            </w:r>
          </w:p>
        </w:tc>
      </w:tr>
    </w:tbl>
    <w:p w:rsidR="00024CD1" w:rsidRPr="00024CD1" w:rsidRDefault="00024CD1" w:rsidP="00024CD1">
      <w:pPr>
        <w:rPr>
          <w:sz w:val="26"/>
          <w:szCs w:val="26"/>
        </w:rPr>
      </w:pPr>
    </w:p>
    <w:sectPr w:rsidR="00024CD1" w:rsidRPr="00024CD1" w:rsidSect="00CC64FE">
      <w:headerReference w:type="default" r:id="rId17"/>
      <w:type w:val="continuous"/>
      <w:pgSz w:w="12240" w:h="15840"/>
      <w:pgMar w:top="1440" w:right="1440" w:bottom="1440" w:left="2160" w:header="1440" w:footer="720" w:gutter="0"/>
      <w:cols w:space="0" w:equalWidth="0">
        <w:col w:w="9000"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0C1" w:rsidRDefault="007C30C1">
      <w:r>
        <w:separator/>
      </w:r>
    </w:p>
  </w:endnote>
  <w:endnote w:type="continuationSeparator" w:id="0">
    <w:p w:rsidR="007C30C1" w:rsidRDefault="007C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0C1" w:rsidRDefault="007C30C1">
      <w:r>
        <w:separator/>
      </w:r>
    </w:p>
  </w:footnote>
  <w:footnote w:type="continuationSeparator" w:id="0">
    <w:p w:rsidR="007C30C1" w:rsidRDefault="007C30C1">
      <w:r>
        <w:continuationSeparator/>
      </w:r>
    </w:p>
  </w:footnote>
  <w:footnote w:id="1">
    <w:p w:rsidR="00161DE2" w:rsidRPr="0072596C" w:rsidRDefault="00161DE2">
      <w:pPr>
        <w:pStyle w:val="FootnoteText"/>
        <w:rPr>
          <w:sz w:val="22"/>
          <w:szCs w:val="22"/>
        </w:rPr>
      </w:pPr>
      <w:r w:rsidRPr="0072596C">
        <w:rPr>
          <w:rStyle w:val="FootnoteReference"/>
          <w:sz w:val="22"/>
          <w:szCs w:val="22"/>
        </w:rPr>
        <w:footnoteRef/>
      </w:r>
      <w:r w:rsidRPr="0072596C">
        <w:rPr>
          <w:sz w:val="22"/>
          <w:szCs w:val="22"/>
        </w:rPr>
        <w:t xml:space="preserve"> In </w:t>
      </w:r>
      <w:r w:rsidRPr="0072596C">
        <w:rPr>
          <w:iCs/>
          <w:sz w:val="22"/>
          <w:szCs w:val="22"/>
        </w:rPr>
        <w:t xml:space="preserve">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72596C">
        <w:rPr>
          <w:i/>
          <w:iCs/>
          <w:sz w:val="22"/>
          <w:szCs w:val="22"/>
        </w:rPr>
        <w:t>See</w:t>
      </w:r>
      <w:r w:rsidRPr="0072596C">
        <w:rPr>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DE2" w:rsidRDefault="00161DE2">
    <w:pPr>
      <w:pStyle w:val="Header"/>
    </w:pPr>
    <w:r>
      <w:t>DOCKET NO</w:t>
    </w:r>
    <w:r>
      <w:rPr>
        <w:b/>
        <w:bCs/>
      </w:rPr>
      <w:t xml:space="preserve">. </w:t>
    </w:r>
    <w:r>
      <w:t>UW-</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DE2" w:rsidRPr="001A3D52" w:rsidRDefault="00161DE2" w:rsidP="00C6151D">
    <w:pPr>
      <w:pStyle w:val="Header"/>
      <w:tabs>
        <w:tab w:val="clear" w:pos="4320"/>
        <w:tab w:val="clear" w:pos="8640"/>
        <w:tab w:val="right" w:pos="8470"/>
      </w:tabs>
      <w:rPr>
        <w:b/>
        <w:bCs/>
        <w:sz w:val="20"/>
      </w:rPr>
    </w:pPr>
    <w:r>
      <w:rPr>
        <w:rFonts w:ascii="Palatino Linotype" w:hAnsi="Palatino Linotype"/>
        <w:b/>
        <w:bCs/>
        <w:sz w:val="20"/>
      </w:rPr>
      <w:tab/>
    </w:r>
    <w:r w:rsidR="001A3D52" w:rsidRPr="001A3D52">
      <w:rPr>
        <w:b/>
        <w:bCs/>
        <w:sz w:val="20"/>
      </w:rPr>
      <w:t>[Service Date January 15, 2013]</w:t>
    </w:r>
    <w:r w:rsidRPr="001A3D52">
      <w:rPr>
        <w:b/>
        <w:bCs/>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DE2" w:rsidRPr="00F523EC" w:rsidRDefault="00161DE2">
    <w:pPr>
      <w:pStyle w:val="Header"/>
      <w:rPr>
        <w:rStyle w:val="PageNumber"/>
        <w:b/>
        <w:bCs/>
        <w:sz w:val="20"/>
      </w:rPr>
    </w:pPr>
    <w:r w:rsidRPr="00F523EC">
      <w:rPr>
        <w:b/>
        <w:bCs/>
        <w:sz w:val="20"/>
      </w:rPr>
      <w:t>DOCKET UW-121408</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B231F1">
      <w:rPr>
        <w:rStyle w:val="PageNumber"/>
        <w:b/>
        <w:bCs/>
        <w:noProof/>
        <w:sz w:val="20"/>
      </w:rPr>
      <w:t>2</w:t>
    </w:r>
    <w:r w:rsidRPr="00F523EC">
      <w:rPr>
        <w:rStyle w:val="PageNumber"/>
        <w:b/>
        <w:bCs/>
        <w:sz w:val="20"/>
      </w:rPr>
      <w:fldChar w:fldCharType="end"/>
    </w:r>
  </w:p>
  <w:p w:rsidR="00161DE2" w:rsidRPr="00F523EC" w:rsidRDefault="00161DE2">
    <w:pPr>
      <w:pStyle w:val="Header"/>
      <w:rPr>
        <w:rStyle w:val="PageNumber"/>
        <w:b/>
        <w:bCs/>
        <w:sz w:val="20"/>
      </w:rPr>
    </w:pPr>
    <w:r w:rsidRPr="00F523EC">
      <w:rPr>
        <w:rStyle w:val="PageNumber"/>
        <w:b/>
        <w:bCs/>
        <w:sz w:val="20"/>
      </w:rPr>
      <w:t>ORDER 0</w:t>
    </w:r>
    <w:r>
      <w:rPr>
        <w:rStyle w:val="PageNumber"/>
        <w:b/>
        <w:bCs/>
        <w:sz w:val="20"/>
      </w:rPr>
      <w:t>2</w:t>
    </w:r>
  </w:p>
  <w:p w:rsidR="00161DE2" w:rsidRPr="00F523EC" w:rsidRDefault="00161DE2">
    <w:pPr>
      <w:pStyle w:val="Header"/>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1B"/>
    <w:rsid w:val="00021A5E"/>
    <w:rsid w:val="00024CD1"/>
    <w:rsid w:val="000477A6"/>
    <w:rsid w:val="00073CA1"/>
    <w:rsid w:val="00077947"/>
    <w:rsid w:val="00083556"/>
    <w:rsid w:val="000A30D2"/>
    <w:rsid w:val="000A5CAE"/>
    <w:rsid w:val="000B13ED"/>
    <w:rsid w:val="000C200E"/>
    <w:rsid w:val="000C468E"/>
    <w:rsid w:val="000D5F40"/>
    <w:rsid w:val="000D6A1B"/>
    <w:rsid w:val="000E75B5"/>
    <w:rsid w:val="000F1D22"/>
    <w:rsid w:val="000F45EC"/>
    <w:rsid w:val="0012336B"/>
    <w:rsid w:val="00161DE2"/>
    <w:rsid w:val="0017428F"/>
    <w:rsid w:val="00177BFE"/>
    <w:rsid w:val="001851E1"/>
    <w:rsid w:val="001A3D52"/>
    <w:rsid w:val="001C5C92"/>
    <w:rsid w:val="002458F0"/>
    <w:rsid w:val="00245E9C"/>
    <w:rsid w:val="0026515A"/>
    <w:rsid w:val="00343481"/>
    <w:rsid w:val="003E7566"/>
    <w:rsid w:val="004059E6"/>
    <w:rsid w:val="00427395"/>
    <w:rsid w:val="00434B19"/>
    <w:rsid w:val="004B7A43"/>
    <w:rsid w:val="004F0ABB"/>
    <w:rsid w:val="0052470A"/>
    <w:rsid w:val="00533D33"/>
    <w:rsid w:val="00535C63"/>
    <w:rsid w:val="005711E5"/>
    <w:rsid w:val="00576CE9"/>
    <w:rsid w:val="00585DDF"/>
    <w:rsid w:val="005872A3"/>
    <w:rsid w:val="00590813"/>
    <w:rsid w:val="00624601"/>
    <w:rsid w:val="0067482D"/>
    <w:rsid w:val="00687C38"/>
    <w:rsid w:val="006B008C"/>
    <w:rsid w:val="006B3662"/>
    <w:rsid w:val="006C3612"/>
    <w:rsid w:val="006D2993"/>
    <w:rsid w:val="0072596C"/>
    <w:rsid w:val="007C30C1"/>
    <w:rsid w:val="00841C4C"/>
    <w:rsid w:val="00871AF0"/>
    <w:rsid w:val="00892A0D"/>
    <w:rsid w:val="008B0AC8"/>
    <w:rsid w:val="008C3602"/>
    <w:rsid w:val="00923999"/>
    <w:rsid w:val="0092713B"/>
    <w:rsid w:val="00965F84"/>
    <w:rsid w:val="00972457"/>
    <w:rsid w:val="00973B3C"/>
    <w:rsid w:val="009766F2"/>
    <w:rsid w:val="009B0D06"/>
    <w:rsid w:val="009F53BE"/>
    <w:rsid w:val="00A11DD7"/>
    <w:rsid w:val="00A1514B"/>
    <w:rsid w:val="00A3253B"/>
    <w:rsid w:val="00A64AED"/>
    <w:rsid w:val="00A81DE4"/>
    <w:rsid w:val="00A84830"/>
    <w:rsid w:val="00A8530D"/>
    <w:rsid w:val="00A912B3"/>
    <w:rsid w:val="00AE1F2C"/>
    <w:rsid w:val="00AE2198"/>
    <w:rsid w:val="00AF6C67"/>
    <w:rsid w:val="00B132CB"/>
    <w:rsid w:val="00B154B4"/>
    <w:rsid w:val="00B231F1"/>
    <w:rsid w:val="00B42B7C"/>
    <w:rsid w:val="00BA4E78"/>
    <w:rsid w:val="00BC1B21"/>
    <w:rsid w:val="00BF481F"/>
    <w:rsid w:val="00C27E41"/>
    <w:rsid w:val="00C35593"/>
    <w:rsid w:val="00C6151D"/>
    <w:rsid w:val="00C81123"/>
    <w:rsid w:val="00CC64FE"/>
    <w:rsid w:val="00CD3241"/>
    <w:rsid w:val="00CE551A"/>
    <w:rsid w:val="00D47014"/>
    <w:rsid w:val="00D55305"/>
    <w:rsid w:val="00DB0F86"/>
    <w:rsid w:val="00DC39A1"/>
    <w:rsid w:val="00DC5382"/>
    <w:rsid w:val="00DD0DE6"/>
    <w:rsid w:val="00E50DC4"/>
    <w:rsid w:val="00E61EF1"/>
    <w:rsid w:val="00E6570A"/>
    <w:rsid w:val="00E720B0"/>
    <w:rsid w:val="00E93208"/>
    <w:rsid w:val="00EE31EA"/>
    <w:rsid w:val="00EE5CE7"/>
    <w:rsid w:val="00EF45DF"/>
    <w:rsid w:val="00EF50B4"/>
    <w:rsid w:val="00F01266"/>
    <w:rsid w:val="00F24673"/>
    <w:rsid w:val="00F342D5"/>
    <w:rsid w:val="00F523EC"/>
    <w:rsid w:val="00F7532D"/>
    <w:rsid w:val="00FC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c.wa.gov/e-filing"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ords@utc.w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trotter@utc.wa.gov"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e-filing" TargetMode="External"/><Relationship Id="rId5" Type="http://schemas.openxmlformats.org/officeDocument/2006/relationships/settings" Target="settings.xml"/><Relationship Id="rId15" Type="http://schemas.openxmlformats.org/officeDocument/2006/relationships/hyperlink" Target="mailto:jrehberger@cascadialaw.com" TargetMode="Externa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cor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2012-08-28T07:00:00+00:00</OpenedDate>
    <Date1 xmlns="dc463f71-b30c-4ab2-9473-d307f9d35888">2013-01-15T08:00:00+00:00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121408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77078EBEA22A4783D04DECA4775E3A" ma:contentTypeVersion="139" ma:contentTypeDescription="" ma:contentTypeScope="" ma:versionID="1d9a8c01d8d13f56086b67bd9aec7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A87AA-73B6-480D-90DE-267C0CF6FD8D}"/>
</file>

<file path=customXml/itemProps2.xml><?xml version="1.0" encoding="utf-8"?>
<ds:datastoreItem xmlns:ds="http://schemas.openxmlformats.org/officeDocument/2006/customXml" ds:itemID="{F949BD71-B932-4966-A493-4FFCD56DBBE7}"/>
</file>

<file path=customXml/itemProps3.xml><?xml version="1.0" encoding="utf-8"?>
<ds:datastoreItem xmlns:ds="http://schemas.openxmlformats.org/officeDocument/2006/customXml" ds:itemID="{76797B43-40E9-409E-B98A-ECFB9B66DE1B}"/>
</file>

<file path=customXml/itemProps4.xml><?xml version="1.0" encoding="utf-8"?>
<ds:datastoreItem xmlns:ds="http://schemas.openxmlformats.org/officeDocument/2006/customXml" ds:itemID="{FB80A15A-B861-4B49-B90A-E17FC6B8DDCF}"/>
</file>

<file path=customXml/itemProps5.xml><?xml version="1.0" encoding="utf-8"?>
<ds:datastoreItem xmlns:ds="http://schemas.openxmlformats.org/officeDocument/2006/customXml" ds:itemID="{5FB1C0C0-7C31-47B3-BFFC-85A1AE47675A}"/>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6841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2013-01-15T19:34:00Z</dcterms:created>
  <dcterms:modified xsi:type="dcterms:W3CDTF">2013-01-15T22:01:00Z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0x0101006E56B4D1795A2E4DB2F0B01679ED314A00EE77078EBEA22A4783D04DECA4775E3A</vt:lpwstr>
  </property>
  <property fmtid="{D5CDD505-2E9C-101B-9397-08002B2CF9AE}" pid="3" name="_docset_NoMedatataSyncRequired">
    <vt:lpwstr>False</vt:lpwstr>
  </property>
</Properties>
</file>