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2964"/>
        <w:gridCol w:w="10291"/>
      </w:tblGrid>
      <w:tr w:rsidR="0020726B" w:rsidRPr="007977C3" w:rsidTr="004C2024">
        <w:tc>
          <w:tcPr>
            <w:tcW w:w="13255" w:type="dxa"/>
            <w:gridSpan w:val="2"/>
            <w:tcBorders>
              <w:bottom w:val="single" w:sz="4" w:space="0" w:color="auto"/>
            </w:tcBorders>
          </w:tcPr>
          <w:p w:rsidR="00F171DD" w:rsidRPr="007977C3" w:rsidRDefault="00F171DD" w:rsidP="00F171DD">
            <w:pPr>
              <w:pStyle w:val="BodyText3"/>
              <w:suppressAutoHyphens w:val="0"/>
              <w:spacing w:line="264" w:lineRule="auto"/>
              <w:rPr>
                <w:sz w:val="24"/>
              </w:rPr>
            </w:pPr>
          </w:p>
          <w:p w:rsidR="00F171DD" w:rsidRPr="005B2593" w:rsidRDefault="00F171DD" w:rsidP="00F171DD">
            <w:pPr>
              <w:pStyle w:val="BodyText3"/>
              <w:suppressAutoHyphens w:val="0"/>
              <w:spacing w:line="264" w:lineRule="auto"/>
              <w:jc w:val="center"/>
              <w:rPr>
                <w:b/>
                <w:sz w:val="24"/>
              </w:rPr>
            </w:pPr>
            <w:r w:rsidRPr="005B2593">
              <w:rPr>
                <w:b/>
                <w:sz w:val="24"/>
              </w:rPr>
              <w:t>Commission Inquiry</w:t>
            </w:r>
          </w:p>
          <w:p w:rsidR="00F171DD" w:rsidRPr="007977C3" w:rsidRDefault="00F171DD" w:rsidP="00F171DD">
            <w:pPr>
              <w:pStyle w:val="BodyText3"/>
              <w:suppressAutoHyphens w:val="0"/>
              <w:spacing w:line="264" w:lineRule="auto"/>
              <w:jc w:val="center"/>
              <w:rPr>
                <w:sz w:val="24"/>
              </w:rPr>
            </w:pPr>
          </w:p>
          <w:p w:rsidR="00F171DD" w:rsidRPr="007977C3" w:rsidRDefault="00F171DD" w:rsidP="00F171DD">
            <w:pPr>
              <w:pStyle w:val="BodyText3"/>
              <w:suppressAutoHyphens w:val="0"/>
              <w:spacing w:line="264" w:lineRule="auto"/>
              <w:rPr>
                <w:sz w:val="24"/>
              </w:rPr>
            </w:pPr>
            <w:r w:rsidRPr="007977C3">
              <w:rPr>
                <w:sz w:val="24"/>
              </w:rPr>
              <w:t xml:space="preserve">The inquiry will focus on the need for rules, both substantive and procedural, addressing the issue of lost revenue due to conservation for both gas and electric utilities.  </w:t>
            </w:r>
          </w:p>
          <w:p w:rsidR="00F171DD" w:rsidRPr="007977C3" w:rsidRDefault="00F171DD" w:rsidP="00F171DD">
            <w:pPr>
              <w:pStyle w:val="BodyText3"/>
              <w:suppressAutoHyphens w:val="0"/>
              <w:spacing w:line="264" w:lineRule="auto"/>
              <w:rPr>
                <w:sz w:val="24"/>
              </w:rPr>
            </w:pPr>
          </w:p>
          <w:p w:rsidR="00F171DD" w:rsidRPr="007977C3" w:rsidRDefault="00F171DD" w:rsidP="00F171DD">
            <w:pPr>
              <w:rPr>
                <w:rFonts w:ascii="Times New Roman" w:hAnsi="Times New Roman"/>
              </w:rPr>
            </w:pPr>
            <w:r w:rsidRPr="007977C3">
              <w:rPr>
                <w:rFonts w:ascii="Times New Roman" w:hAnsi="Times New Roman"/>
              </w:rPr>
              <w:t>The Commission will examine, with the participation and assistance of the utilities, representatives of ratepayers, and other stakeholders, the following topics, among others:</w:t>
            </w:r>
          </w:p>
          <w:p w:rsidR="00F171DD" w:rsidRPr="007977C3" w:rsidRDefault="00F171DD" w:rsidP="00F171DD">
            <w:pPr>
              <w:rPr>
                <w:rFonts w:ascii="Times New Roman" w:hAnsi="Times New Roman"/>
              </w:rPr>
            </w:pPr>
          </w:p>
          <w:p w:rsidR="00F171DD" w:rsidRPr="007977C3" w:rsidRDefault="00F171DD" w:rsidP="00F171DD">
            <w:pPr>
              <w:numPr>
                <w:ilvl w:val="0"/>
                <w:numId w:val="22"/>
              </w:numPr>
              <w:rPr>
                <w:rFonts w:ascii="Times New Roman" w:hAnsi="Times New Roman"/>
              </w:rPr>
            </w:pPr>
            <w:r w:rsidRPr="007977C3">
              <w:rPr>
                <w:rFonts w:ascii="Times New Roman" w:hAnsi="Times New Roman"/>
              </w:rPr>
              <w:t>The various mechanisms available for addressing declines in revenues due to conservation and the pros and cons of each;</w:t>
            </w:r>
          </w:p>
          <w:p w:rsidR="00F171DD" w:rsidRPr="007977C3" w:rsidRDefault="00F171DD" w:rsidP="00F171DD">
            <w:pPr>
              <w:numPr>
                <w:ilvl w:val="0"/>
                <w:numId w:val="22"/>
              </w:numPr>
              <w:rPr>
                <w:rFonts w:ascii="Times New Roman" w:hAnsi="Times New Roman"/>
              </w:rPr>
            </w:pPr>
            <w:r w:rsidRPr="007977C3">
              <w:rPr>
                <w:rFonts w:ascii="Times New Roman" w:hAnsi="Times New Roman"/>
              </w:rPr>
              <w:t xml:space="preserve">The various mechanisms for providing an incentive for utility-sponsored conservation programs and the pros and cons of each; </w:t>
            </w:r>
          </w:p>
          <w:p w:rsidR="00F171DD" w:rsidRPr="007977C3" w:rsidRDefault="00F171DD" w:rsidP="00F171DD">
            <w:pPr>
              <w:numPr>
                <w:ilvl w:val="0"/>
                <w:numId w:val="22"/>
              </w:numPr>
              <w:rPr>
                <w:rFonts w:ascii="Times New Roman" w:hAnsi="Times New Roman"/>
              </w:rPr>
            </w:pPr>
            <w:r w:rsidRPr="007977C3">
              <w:rPr>
                <w:rFonts w:ascii="Times New Roman" w:hAnsi="Times New Roman"/>
              </w:rPr>
              <w:t>How such mechanisms may affect the conservation achieved by the various utility programs;</w:t>
            </w:r>
          </w:p>
          <w:p w:rsidR="00F171DD" w:rsidRPr="007977C3" w:rsidRDefault="00F171DD" w:rsidP="00F171DD">
            <w:pPr>
              <w:numPr>
                <w:ilvl w:val="0"/>
                <w:numId w:val="22"/>
              </w:numPr>
              <w:rPr>
                <w:rFonts w:ascii="Times New Roman" w:hAnsi="Times New Roman"/>
              </w:rPr>
            </w:pPr>
            <w:r w:rsidRPr="007977C3">
              <w:rPr>
                <w:rFonts w:ascii="Times New Roman" w:hAnsi="Times New Roman"/>
              </w:rPr>
              <w:t>How the conservation achieved can best be evaluated, measured, and verified;</w:t>
            </w:r>
          </w:p>
          <w:p w:rsidR="00F171DD" w:rsidRPr="007977C3" w:rsidRDefault="00F171DD" w:rsidP="00F171DD">
            <w:pPr>
              <w:numPr>
                <w:ilvl w:val="0"/>
                <w:numId w:val="22"/>
              </w:numPr>
              <w:spacing w:line="264" w:lineRule="auto"/>
              <w:rPr>
                <w:rFonts w:ascii="Times New Roman" w:hAnsi="Times New Roman"/>
              </w:rPr>
            </w:pPr>
            <w:r w:rsidRPr="007977C3">
              <w:rPr>
                <w:rFonts w:ascii="Times New Roman" w:hAnsi="Times New Roman"/>
              </w:rPr>
              <w:t>The impact of lost revenue recovery mechanisms and conservation incentives on utility rates; and</w:t>
            </w:r>
          </w:p>
          <w:p w:rsidR="00F171DD" w:rsidRPr="007977C3" w:rsidRDefault="00F171DD" w:rsidP="00F171DD">
            <w:pPr>
              <w:numPr>
                <w:ilvl w:val="0"/>
                <w:numId w:val="22"/>
              </w:numPr>
              <w:spacing w:line="264" w:lineRule="auto"/>
              <w:rPr>
                <w:rFonts w:ascii="Times New Roman" w:hAnsi="Times New Roman"/>
              </w:rPr>
            </w:pPr>
            <w:r w:rsidRPr="007977C3">
              <w:rPr>
                <w:rFonts w:ascii="Times New Roman" w:hAnsi="Times New Roman"/>
              </w:rPr>
              <w:t xml:space="preserve">The need for rules or other statements of policy given existing requirements in law, rule, and Commission practice for utilities to achieve conservation.  </w:t>
            </w:r>
          </w:p>
          <w:p w:rsidR="0020726B" w:rsidRPr="007977C3" w:rsidRDefault="0020726B" w:rsidP="00F171DD">
            <w:pPr>
              <w:spacing w:line="264" w:lineRule="auto"/>
              <w:ind w:left="720"/>
              <w:rPr>
                <w:rFonts w:ascii="Times New Roman" w:hAnsi="Times New Roman"/>
                <w:b/>
              </w:rPr>
            </w:pPr>
          </w:p>
        </w:tc>
      </w:tr>
      <w:tr w:rsidR="00B20F74" w:rsidRPr="007977C3" w:rsidTr="004C2024">
        <w:tc>
          <w:tcPr>
            <w:tcW w:w="2964" w:type="dxa"/>
            <w:shd w:val="pct10" w:color="auto" w:fill="auto"/>
          </w:tcPr>
          <w:p w:rsidR="00B20F74" w:rsidRPr="007977C3" w:rsidRDefault="00F171DD" w:rsidP="001D78DA">
            <w:pPr>
              <w:jc w:val="center"/>
              <w:rPr>
                <w:rFonts w:ascii="Times New Roman" w:hAnsi="Times New Roman"/>
                <w:b/>
              </w:rPr>
            </w:pPr>
            <w:r w:rsidRPr="007977C3">
              <w:rPr>
                <w:rFonts w:ascii="Times New Roman" w:hAnsi="Times New Roman"/>
                <w:b/>
              </w:rPr>
              <w:t>Party</w:t>
            </w:r>
          </w:p>
        </w:tc>
        <w:tc>
          <w:tcPr>
            <w:tcW w:w="10291" w:type="dxa"/>
            <w:shd w:val="pct10" w:color="auto" w:fill="auto"/>
          </w:tcPr>
          <w:p w:rsidR="006751A1" w:rsidRPr="007977C3" w:rsidRDefault="00F171DD" w:rsidP="00F171DD">
            <w:pPr>
              <w:jc w:val="center"/>
              <w:rPr>
                <w:rFonts w:ascii="Times New Roman" w:hAnsi="Times New Roman"/>
                <w:b/>
              </w:rPr>
            </w:pPr>
            <w:r w:rsidRPr="007977C3">
              <w:rPr>
                <w:rFonts w:ascii="Times New Roman" w:hAnsi="Times New Roman"/>
                <w:b/>
              </w:rPr>
              <w:t>STATEMENT OF ISSUES</w:t>
            </w:r>
          </w:p>
        </w:tc>
      </w:tr>
      <w:tr w:rsidR="006751A1" w:rsidRPr="007977C3" w:rsidTr="004C2024">
        <w:tc>
          <w:tcPr>
            <w:tcW w:w="2964" w:type="dxa"/>
            <w:tcBorders>
              <w:bottom w:val="single" w:sz="4" w:space="0" w:color="auto"/>
            </w:tcBorders>
          </w:tcPr>
          <w:p w:rsidR="006751A1" w:rsidRPr="0063133F" w:rsidRDefault="00F171DD" w:rsidP="0063133F">
            <w:pPr>
              <w:rPr>
                <w:rFonts w:ascii="Times New Roman" w:hAnsi="Times New Roman"/>
                <w:b/>
              </w:rPr>
            </w:pPr>
            <w:r w:rsidRPr="0063133F">
              <w:rPr>
                <w:rFonts w:ascii="Times New Roman" w:hAnsi="Times New Roman"/>
                <w:b/>
              </w:rPr>
              <w:t>Puget Sound Energy</w:t>
            </w:r>
          </w:p>
        </w:tc>
        <w:tc>
          <w:tcPr>
            <w:tcW w:w="10291" w:type="dxa"/>
            <w:tcBorders>
              <w:bottom w:val="single" w:sz="4" w:space="0" w:color="auto"/>
            </w:tcBorders>
          </w:tcPr>
          <w:p w:rsidR="00F171DD" w:rsidRPr="0063133F" w:rsidRDefault="00F171DD" w:rsidP="005B2593">
            <w:pPr>
              <w:numPr>
                <w:ilvl w:val="0"/>
                <w:numId w:val="23"/>
              </w:numPr>
              <w:autoSpaceDE w:val="0"/>
              <w:autoSpaceDN w:val="0"/>
              <w:adjustRightInd w:val="0"/>
              <w:ind w:left="456"/>
              <w:rPr>
                <w:rFonts w:ascii="Times New Roman" w:hAnsi="Times New Roman"/>
              </w:rPr>
            </w:pPr>
            <w:r w:rsidRPr="0063133F">
              <w:rPr>
                <w:rFonts w:ascii="Times New Roman" w:hAnsi="Times New Roman"/>
              </w:rPr>
              <w:t>Is it in customers' interest to remove the financial motivation for utilities to sell</w:t>
            </w:r>
            <w:r w:rsidR="0063133F" w:rsidRPr="0063133F">
              <w:rPr>
                <w:rFonts w:ascii="Times New Roman" w:hAnsi="Times New Roman"/>
              </w:rPr>
              <w:t xml:space="preserve"> </w:t>
            </w:r>
            <w:r w:rsidRPr="0063133F">
              <w:rPr>
                <w:rFonts w:ascii="Times New Roman" w:hAnsi="Times New Roman"/>
              </w:rPr>
              <w:t>as much energy as possible so that barriers to maximum conservation savings are</w:t>
            </w:r>
            <w:r w:rsidR="0063133F">
              <w:rPr>
                <w:rFonts w:ascii="Times New Roman" w:hAnsi="Times New Roman"/>
              </w:rPr>
              <w:t xml:space="preserve"> </w:t>
            </w:r>
            <w:r w:rsidRPr="0063133F">
              <w:rPr>
                <w:rFonts w:ascii="Times New Roman" w:hAnsi="Times New Roman"/>
              </w:rPr>
              <w:t>removed and customer bills are aligned with allowed utility costs?</w:t>
            </w:r>
          </w:p>
          <w:p w:rsidR="00F171DD" w:rsidRPr="007977C3" w:rsidRDefault="00F171DD" w:rsidP="00F171DD">
            <w:pPr>
              <w:autoSpaceDE w:val="0"/>
              <w:autoSpaceDN w:val="0"/>
              <w:adjustRightInd w:val="0"/>
              <w:ind w:left="726"/>
              <w:rPr>
                <w:rFonts w:ascii="Times New Roman" w:hAnsi="Times New Roman"/>
              </w:rPr>
            </w:pPr>
          </w:p>
          <w:p w:rsidR="00F171DD" w:rsidRPr="007977C3" w:rsidRDefault="00F171DD" w:rsidP="005B2593">
            <w:pPr>
              <w:numPr>
                <w:ilvl w:val="0"/>
                <w:numId w:val="23"/>
              </w:numPr>
              <w:autoSpaceDE w:val="0"/>
              <w:autoSpaceDN w:val="0"/>
              <w:adjustRightInd w:val="0"/>
              <w:ind w:left="456"/>
              <w:rPr>
                <w:rFonts w:ascii="Times New Roman" w:hAnsi="Times New Roman"/>
              </w:rPr>
            </w:pPr>
            <w:r w:rsidRPr="007977C3">
              <w:rPr>
                <w:rFonts w:ascii="Times New Roman" w:hAnsi="Times New Roman"/>
              </w:rPr>
              <w:t xml:space="preserve">How should regulatory mechanisms consider the distribution of all the benefits from </w:t>
            </w:r>
            <w:proofErr w:type="gramStart"/>
            <w:r w:rsidRPr="007977C3">
              <w:rPr>
                <w:rFonts w:ascii="Times New Roman" w:hAnsi="Times New Roman"/>
              </w:rPr>
              <w:t>conservation.</w:t>
            </w:r>
            <w:proofErr w:type="gramEnd"/>
          </w:p>
          <w:p w:rsidR="00F171DD" w:rsidRPr="007977C3" w:rsidRDefault="00F171DD" w:rsidP="00F171DD">
            <w:pPr>
              <w:autoSpaceDE w:val="0"/>
              <w:autoSpaceDN w:val="0"/>
              <w:adjustRightInd w:val="0"/>
              <w:ind w:left="720"/>
              <w:rPr>
                <w:rFonts w:ascii="Times New Roman" w:hAnsi="Times New Roman"/>
              </w:rPr>
            </w:pPr>
          </w:p>
          <w:p w:rsidR="00F171DD" w:rsidRPr="0063133F" w:rsidRDefault="00F171DD" w:rsidP="005B2593">
            <w:pPr>
              <w:numPr>
                <w:ilvl w:val="0"/>
                <w:numId w:val="23"/>
              </w:numPr>
              <w:autoSpaceDE w:val="0"/>
              <w:autoSpaceDN w:val="0"/>
              <w:adjustRightInd w:val="0"/>
              <w:ind w:left="456"/>
              <w:rPr>
                <w:rFonts w:ascii="Times New Roman" w:hAnsi="Times New Roman"/>
              </w:rPr>
            </w:pPr>
            <w:r w:rsidRPr="0063133F">
              <w:rPr>
                <w:rFonts w:ascii="Times New Roman" w:hAnsi="Times New Roman"/>
              </w:rPr>
              <w:t>What are the major components necessary for determining a utility's unrecovered</w:t>
            </w:r>
            <w:r w:rsidR="0063133F">
              <w:rPr>
                <w:rFonts w:ascii="Times New Roman" w:hAnsi="Times New Roman"/>
              </w:rPr>
              <w:t xml:space="preserve"> </w:t>
            </w:r>
            <w:r w:rsidRPr="0063133F">
              <w:rPr>
                <w:rFonts w:ascii="Times New Roman" w:hAnsi="Times New Roman"/>
              </w:rPr>
              <w:t>fixed costs due to conservation?</w:t>
            </w:r>
          </w:p>
          <w:p w:rsidR="00F171DD" w:rsidRPr="007977C3" w:rsidRDefault="00F171DD" w:rsidP="00F171DD">
            <w:pPr>
              <w:autoSpaceDE w:val="0"/>
              <w:autoSpaceDN w:val="0"/>
              <w:adjustRightInd w:val="0"/>
              <w:ind w:left="726"/>
              <w:rPr>
                <w:rFonts w:ascii="Times New Roman" w:hAnsi="Times New Roman"/>
              </w:rPr>
            </w:pPr>
          </w:p>
          <w:p w:rsidR="00F171DD" w:rsidRPr="00D44765" w:rsidRDefault="00F171DD" w:rsidP="005B2593">
            <w:pPr>
              <w:numPr>
                <w:ilvl w:val="0"/>
                <w:numId w:val="23"/>
              </w:numPr>
              <w:autoSpaceDE w:val="0"/>
              <w:autoSpaceDN w:val="0"/>
              <w:adjustRightInd w:val="0"/>
              <w:ind w:left="456"/>
              <w:rPr>
                <w:b/>
              </w:rPr>
            </w:pPr>
            <w:r w:rsidRPr="007977C3">
              <w:rPr>
                <w:rFonts w:ascii="Times New Roman" w:hAnsi="Times New Roman"/>
              </w:rPr>
              <w:t xml:space="preserve">Should a general methodology for calculating unrecovered fixed costs due </w:t>
            </w:r>
            <w:proofErr w:type="spellStart"/>
            <w:r w:rsidRPr="007977C3">
              <w:rPr>
                <w:rFonts w:ascii="Times New Roman" w:hAnsi="Times New Roman"/>
              </w:rPr>
              <w:t>to</w:t>
            </w:r>
            <w:r w:rsidRPr="0063133F">
              <w:t>conservation</w:t>
            </w:r>
            <w:proofErr w:type="spellEnd"/>
            <w:r w:rsidRPr="0063133F">
              <w:t xml:space="preserve"> be established?</w:t>
            </w:r>
          </w:p>
          <w:p w:rsidR="00F171DD" w:rsidRPr="007977C3" w:rsidRDefault="00F171DD" w:rsidP="004C2024">
            <w:pPr>
              <w:pStyle w:val="BodyText3"/>
              <w:suppressAutoHyphens w:val="0"/>
              <w:spacing w:line="264" w:lineRule="auto"/>
              <w:rPr>
                <w:b/>
                <w:sz w:val="24"/>
              </w:rPr>
            </w:pPr>
          </w:p>
        </w:tc>
      </w:tr>
    </w:tbl>
    <w:p w:rsidR="005C1D4E" w:rsidRDefault="005C1D4E">
      <w:pPr>
        <w:rPr>
          <w:rFonts w:ascii="Times New Roman" w:hAnsi="Times New Roman"/>
        </w:rPr>
      </w:pPr>
    </w:p>
    <w:p w:rsidR="005C1D4E" w:rsidRDefault="005C1D4E">
      <w:pPr>
        <w:rPr>
          <w:rFonts w:ascii="Times New Roman" w:hAnsi="Times New Roman"/>
        </w:rPr>
      </w:pPr>
      <w:r>
        <w:rPr>
          <w:rFonts w:ascii="Times New Roman" w:hAnsi="Times New Roman"/>
        </w:rPr>
        <w:br w:type="page"/>
      </w:r>
    </w:p>
    <w:p w:rsidR="004C2024" w:rsidRPr="007977C3" w:rsidRDefault="004C2024">
      <w:pPr>
        <w:rPr>
          <w:rFonts w:ascii="Times New Roman" w:hAnsi="Times New Roman"/>
        </w:rPr>
      </w:pP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2964"/>
        <w:gridCol w:w="10291"/>
      </w:tblGrid>
      <w:tr w:rsidR="004C2024" w:rsidRPr="007977C3" w:rsidTr="00C65401">
        <w:trPr>
          <w:tblHeader/>
        </w:trPr>
        <w:tc>
          <w:tcPr>
            <w:tcW w:w="2964" w:type="dxa"/>
            <w:shd w:val="pct10" w:color="auto" w:fill="auto"/>
          </w:tcPr>
          <w:p w:rsidR="004C2024" w:rsidRPr="007977C3" w:rsidRDefault="00423BF8" w:rsidP="00423BF8">
            <w:pPr>
              <w:jc w:val="center"/>
              <w:rPr>
                <w:rFonts w:ascii="Times New Roman" w:hAnsi="Times New Roman"/>
                <w:i/>
              </w:rPr>
            </w:pPr>
            <w:r>
              <w:rPr>
                <w:rFonts w:ascii="Times New Roman" w:hAnsi="Times New Roman"/>
                <w:b/>
              </w:rPr>
              <w:t>Party</w:t>
            </w:r>
          </w:p>
        </w:tc>
        <w:tc>
          <w:tcPr>
            <w:tcW w:w="10291" w:type="dxa"/>
            <w:shd w:val="pct10" w:color="auto" w:fill="auto"/>
          </w:tcPr>
          <w:p w:rsidR="004C2024" w:rsidRPr="007977C3" w:rsidRDefault="004C2024" w:rsidP="004C2024">
            <w:pPr>
              <w:pStyle w:val="BodyText3"/>
              <w:suppressAutoHyphens w:val="0"/>
              <w:spacing w:line="264" w:lineRule="auto"/>
              <w:jc w:val="center"/>
              <w:rPr>
                <w:sz w:val="24"/>
              </w:rPr>
            </w:pPr>
            <w:r w:rsidRPr="007977C3">
              <w:rPr>
                <w:b/>
                <w:sz w:val="24"/>
              </w:rPr>
              <w:t>COMMENTS</w:t>
            </w:r>
          </w:p>
        </w:tc>
      </w:tr>
      <w:tr w:rsidR="00122AF5" w:rsidRPr="007977C3" w:rsidTr="004C2024">
        <w:tc>
          <w:tcPr>
            <w:tcW w:w="2964" w:type="dxa"/>
          </w:tcPr>
          <w:p w:rsidR="00122AF5" w:rsidRPr="00122AF5" w:rsidRDefault="00122AF5" w:rsidP="0057507D">
            <w:pPr>
              <w:rPr>
                <w:rFonts w:ascii="Times New Roman" w:hAnsi="Times New Roman"/>
                <w:b/>
              </w:rPr>
            </w:pPr>
            <w:proofErr w:type="spellStart"/>
            <w:r w:rsidRPr="00122AF5">
              <w:rPr>
                <w:rFonts w:ascii="Times New Roman" w:hAnsi="Times New Roman"/>
                <w:b/>
              </w:rPr>
              <w:t>Avista</w:t>
            </w:r>
            <w:proofErr w:type="spellEnd"/>
            <w:r w:rsidRPr="00122AF5">
              <w:rPr>
                <w:rFonts w:ascii="Times New Roman" w:hAnsi="Times New Roman"/>
                <w:b/>
              </w:rPr>
              <w:t xml:space="preserve"> Utilities</w:t>
            </w:r>
          </w:p>
        </w:tc>
        <w:tc>
          <w:tcPr>
            <w:tcW w:w="10291" w:type="dxa"/>
          </w:tcPr>
          <w:p w:rsidR="00122AF5" w:rsidRPr="004B7D2E" w:rsidRDefault="00122AF5" w:rsidP="005B2593">
            <w:pPr>
              <w:pStyle w:val="ListParagraph"/>
              <w:numPr>
                <w:ilvl w:val="0"/>
                <w:numId w:val="41"/>
              </w:numPr>
              <w:ind w:left="456"/>
              <w:rPr>
                <w:rFonts w:ascii="Times New Roman" w:hAnsi="Times New Roman"/>
              </w:rPr>
            </w:pPr>
            <w:r w:rsidRPr="004B7D2E">
              <w:rPr>
                <w:rFonts w:ascii="Times New Roman" w:hAnsi="Times New Roman"/>
              </w:rPr>
              <w:t>The definition of lost margins and “found” margins related to energy efficiency, and how to measure them.</w:t>
            </w:r>
          </w:p>
          <w:p w:rsidR="00122AF5" w:rsidRDefault="00122AF5" w:rsidP="00122AF5">
            <w:pPr>
              <w:rPr>
                <w:rFonts w:ascii="Times New Roman" w:hAnsi="Times New Roman"/>
              </w:rPr>
            </w:pPr>
          </w:p>
          <w:p w:rsidR="00122AF5" w:rsidRPr="004B7D2E" w:rsidRDefault="00122AF5" w:rsidP="005B2593">
            <w:pPr>
              <w:pStyle w:val="ListParagraph"/>
              <w:numPr>
                <w:ilvl w:val="0"/>
                <w:numId w:val="41"/>
              </w:numPr>
              <w:ind w:left="456"/>
              <w:rPr>
                <w:rFonts w:ascii="Times New Roman" w:hAnsi="Times New Roman"/>
              </w:rPr>
            </w:pPr>
            <w:r w:rsidRPr="004B7D2E">
              <w:rPr>
                <w:rFonts w:ascii="Times New Roman" w:hAnsi="Times New Roman"/>
              </w:rPr>
              <w:t>Identification of the specific disincentives to investment in energy efficiency.</w:t>
            </w:r>
          </w:p>
          <w:p w:rsidR="00122AF5" w:rsidRDefault="00122AF5" w:rsidP="00122AF5">
            <w:pPr>
              <w:rPr>
                <w:rFonts w:ascii="Times New Roman" w:hAnsi="Times New Roman"/>
              </w:rPr>
            </w:pPr>
          </w:p>
          <w:p w:rsidR="00122AF5" w:rsidRPr="004B7D2E" w:rsidRDefault="00122AF5" w:rsidP="005B2593">
            <w:pPr>
              <w:pStyle w:val="ListParagraph"/>
              <w:numPr>
                <w:ilvl w:val="0"/>
                <w:numId w:val="41"/>
              </w:numPr>
              <w:ind w:left="456"/>
              <w:rPr>
                <w:rFonts w:ascii="Times New Roman" w:hAnsi="Times New Roman"/>
              </w:rPr>
            </w:pPr>
            <w:r w:rsidRPr="004B7D2E">
              <w:rPr>
                <w:rFonts w:ascii="Times New Roman" w:hAnsi="Times New Roman"/>
              </w:rPr>
              <w:t xml:space="preserve">Clarity of the difference between </w:t>
            </w:r>
            <w:r w:rsidRPr="004B7D2E">
              <w:rPr>
                <w:rFonts w:ascii="Times New Roman" w:hAnsi="Times New Roman"/>
                <w:u w:val="single"/>
              </w:rPr>
              <w:t>mechanisms to recover costs</w:t>
            </w:r>
            <w:r w:rsidRPr="004B7D2E">
              <w:rPr>
                <w:rFonts w:ascii="Times New Roman" w:hAnsi="Times New Roman"/>
              </w:rPr>
              <w:t xml:space="preserve">, including lost margins, associated with energy efficiency, and </w:t>
            </w:r>
            <w:r w:rsidRPr="004B7D2E">
              <w:rPr>
                <w:rFonts w:ascii="Times New Roman" w:hAnsi="Times New Roman"/>
                <w:u w:val="single"/>
              </w:rPr>
              <w:t>incentive mechanisms</w:t>
            </w:r>
            <w:r w:rsidRPr="004B7D2E">
              <w:rPr>
                <w:rFonts w:ascii="Times New Roman" w:hAnsi="Times New Roman"/>
              </w:rPr>
              <w:t>.</w:t>
            </w:r>
          </w:p>
          <w:p w:rsidR="00122AF5" w:rsidRDefault="00122AF5" w:rsidP="00122AF5">
            <w:pPr>
              <w:rPr>
                <w:rFonts w:ascii="Times New Roman" w:hAnsi="Times New Roman"/>
              </w:rPr>
            </w:pPr>
          </w:p>
          <w:p w:rsidR="00122AF5" w:rsidRPr="004B7D2E" w:rsidRDefault="00122AF5" w:rsidP="005B2593">
            <w:pPr>
              <w:pStyle w:val="ListParagraph"/>
              <w:numPr>
                <w:ilvl w:val="0"/>
                <w:numId w:val="41"/>
              </w:numPr>
              <w:ind w:left="456"/>
              <w:rPr>
                <w:rFonts w:ascii="Times New Roman" w:hAnsi="Times New Roman"/>
              </w:rPr>
            </w:pPr>
            <w:r w:rsidRPr="004B7D2E">
              <w:rPr>
                <w:rFonts w:ascii="Times New Roman" w:hAnsi="Times New Roman"/>
              </w:rPr>
              <w:t>Alignment of ratemaking practices with the requirements of the Energy Independence Act (I-937).</w:t>
            </w:r>
          </w:p>
          <w:p w:rsidR="00122AF5" w:rsidRDefault="00122AF5" w:rsidP="00122AF5">
            <w:pPr>
              <w:rPr>
                <w:rFonts w:ascii="Times New Roman" w:hAnsi="Times New Roman"/>
              </w:rPr>
            </w:pPr>
          </w:p>
          <w:p w:rsidR="00122AF5" w:rsidRPr="004B7D2E" w:rsidRDefault="00122AF5" w:rsidP="005B2593">
            <w:pPr>
              <w:pStyle w:val="ListParagraph"/>
              <w:numPr>
                <w:ilvl w:val="0"/>
                <w:numId w:val="41"/>
              </w:numPr>
              <w:ind w:left="456"/>
              <w:rPr>
                <w:rFonts w:ascii="Times New Roman" w:hAnsi="Times New Roman"/>
              </w:rPr>
            </w:pPr>
            <w:r w:rsidRPr="004B7D2E">
              <w:rPr>
                <w:rFonts w:ascii="Times New Roman" w:hAnsi="Times New Roman"/>
              </w:rPr>
              <w:t xml:space="preserve">The distinction between cost recovery for all prudently incurred costs related </w:t>
            </w:r>
            <w:r w:rsidR="004B7D2E" w:rsidRPr="004B7D2E">
              <w:rPr>
                <w:rFonts w:ascii="Times New Roman" w:hAnsi="Times New Roman"/>
              </w:rPr>
              <w:t>to energy efficiency, versus cost recovery contingent upon achieving certain levels of energy efficiency, e.g., recovery of prudently incurred costs, including, lost margins, should not be conditioned upon achieving a certain level of energy efficiency.</w:t>
            </w:r>
          </w:p>
          <w:p w:rsidR="004B7D2E" w:rsidRDefault="004B7D2E" w:rsidP="00122AF5">
            <w:pPr>
              <w:rPr>
                <w:rFonts w:ascii="Times New Roman" w:hAnsi="Times New Roman"/>
              </w:rPr>
            </w:pPr>
          </w:p>
          <w:p w:rsidR="004B7D2E" w:rsidRPr="004B7D2E" w:rsidRDefault="004B7D2E" w:rsidP="005B2593">
            <w:pPr>
              <w:pStyle w:val="ListParagraph"/>
              <w:numPr>
                <w:ilvl w:val="0"/>
                <w:numId w:val="41"/>
              </w:numPr>
              <w:ind w:left="456"/>
              <w:rPr>
                <w:rFonts w:ascii="Times New Roman" w:hAnsi="Times New Roman"/>
              </w:rPr>
            </w:pPr>
            <w:r w:rsidRPr="004B7D2E">
              <w:rPr>
                <w:rFonts w:ascii="Times New Roman" w:hAnsi="Times New Roman"/>
              </w:rPr>
              <w:t>A “level playing field” for investment in efficiency, as compared to investments in other utility plant and equipment, e.g., the attractiveness of the investment in energy efficiency for the Company and its investors should be comparable to that of investments in other utility facilities.</w:t>
            </w:r>
          </w:p>
          <w:p w:rsidR="004B7D2E" w:rsidRDefault="004B7D2E" w:rsidP="00122AF5">
            <w:pPr>
              <w:rPr>
                <w:rFonts w:ascii="Times New Roman" w:hAnsi="Times New Roman"/>
              </w:rPr>
            </w:pPr>
          </w:p>
          <w:p w:rsidR="004B7D2E" w:rsidRPr="004B7D2E" w:rsidRDefault="004B7D2E" w:rsidP="005B2593">
            <w:pPr>
              <w:pStyle w:val="ListParagraph"/>
              <w:numPr>
                <w:ilvl w:val="0"/>
                <w:numId w:val="41"/>
              </w:numPr>
              <w:ind w:left="456"/>
              <w:rPr>
                <w:rFonts w:ascii="Times New Roman" w:hAnsi="Times New Roman"/>
              </w:rPr>
            </w:pPr>
            <w:r w:rsidRPr="004B7D2E">
              <w:rPr>
                <w:rFonts w:ascii="Times New Roman" w:hAnsi="Times New Roman"/>
              </w:rPr>
              <w:t>Lost margin recovery for energy efficiency savings in the Company’s service area related to regional energy efficiency efforts and other programs to raise customer awareness of energy efficiency supported by the Company, in addition to lost margin recovery for specific programmatic measure directly funded through incentives to customers.</w:t>
            </w:r>
          </w:p>
          <w:p w:rsidR="004B7D2E" w:rsidRDefault="004B7D2E" w:rsidP="00122AF5">
            <w:pPr>
              <w:rPr>
                <w:rFonts w:ascii="Times New Roman" w:hAnsi="Times New Roman"/>
              </w:rPr>
            </w:pPr>
          </w:p>
          <w:p w:rsidR="004B7D2E" w:rsidRPr="004B7D2E" w:rsidRDefault="004B7D2E" w:rsidP="005B2593">
            <w:pPr>
              <w:pStyle w:val="ListParagraph"/>
              <w:numPr>
                <w:ilvl w:val="0"/>
                <w:numId w:val="41"/>
              </w:numPr>
              <w:ind w:left="456"/>
              <w:rPr>
                <w:rFonts w:ascii="Times New Roman" w:hAnsi="Times New Roman"/>
              </w:rPr>
            </w:pPr>
            <w:r w:rsidRPr="004B7D2E">
              <w:rPr>
                <w:rFonts w:ascii="Times New Roman" w:hAnsi="Times New Roman"/>
              </w:rPr>
              <w:t>Processes, timelines and administrative efficiency for various cost recovery and incentive mechanisms.</w:t>
            </w:r>
          </w:p>
          <w:p w:rsidR="004B7D2E" w:rsidRDefault="004B7D2E" w:rsidP="00122AF5">
            <w:pPr>
              <w:rPr>
                <w:rFonts w:ascii="Times New Roman" w:hAnsi="Times New Roman"/>
              </w:rPr>
            </w:pPr>
          </w:p>
          <w:p w:rsidR="004B7D2E" w:rsidRPr="004B7D2E" w:rsidRDefault="004B7D2E" w:rsidP="005B2593">
            <w:pPr>
              <w:pStyle w:val="ListParagraph"/>
              <w:numPr>
                <w:ilvl w:val="0"/>
                <w:numId w:val="41"/>
              </w:numPr>
              <w:ind w:left="456"/>
              <w:rPr>
                <w:rFonts w:ascii="Times New Roman" w:hAnsi="Times New Roman"/>
                <w:szCs w:val="24"/>
              </w:rPr>
            </w:pPr>
            <w:r w:rsidRPr="004B7D2E">
              <w:rPr>
                <w:rFonts w:ascii="Times New Roman" w:hAnsi="Times New Roman"/>
              </w:rPr>
              <w:t xml:space="preserve">To the extent that energy efficiency expenditure </w:t>
            </w:r>
            <w:proofErr w:type="gramStart"/>
            <w:r w:rsidRPr="004B7D2E">
              <w:rPr>
                <w:rFonts w:ascii="Times New Roman" w:hAnsi="Times New Roman"/>
              </w:rPr>
              <w:t>vary</w:t>
            </w:r>
            <w:proofErr w:type="gramEnd"/>
            <w:r w:rsidRPr="004B7D2E">
              <w:rPr>
                <w:rFonts w:ascii="Times New Roman" w:hAnsi="Times New Roman"/>
              </w:rPr>
              <w:t xml:space="preserve"> from tariff rider collections, should the utility be allowed to accrue interest on any such differences.</w:t>
            </w:r>
          </w:p>
          <w:p w:rsidR="00122AF5" w:rsidRPr="00122AF5" w:rsidRDefault="00122AF5" w:rsidP="00122AF5">
            <w:pPr>
              <w:ind w:left="360"/>
              <w:rPr>
                <w:rFonts w:ascii="Times New Roman" w:hAnsi="Times New Roman"/>
              </w:rPr>
            </w:pPr>
          </w:p>
        </w:tc>
      </w:tr>
    </w:tbl>
    <w:p w:rsidR="005C1D4E" w:rsidRDefault="005C1D4E"/>
    <w:p w:rsidR="005C1D4E" w:rsidRDefault="005C1D4E">
      <w:r>
        <w:br w:type="page"/>
      </w:r>
    </w:p>
    <w:p w:rsidR="005C1D4E" w:rsidRDefault="005C1D4E"/>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BF"/>
      </w:tblPr>
      <w:tblGrid>
        <w:gridCol w:w="2964"/>
        <w:gridCol w:w="10291"/>
      </w:tblGrid>
      <w:tr w:rsidR="005C1D4E" w:rsidRPr="007977C3" w:rsidTr="005C1D4E">
        <w:tc>
          <w:tcPr>
            <w:tcW w:w="2964" w:type="dxa"/>
            <w:shd w:val="pct12" w:color="auto" w:fill="auto"/>
          </w:tcPr>
          <w:p w:rsidR="005C1D4E" w:rsidRPr="007977C3" w:rsidRDefault="005C1D4E" w:rsidP="00C876F5">
            <w:pPr>
              <w:jc w:val="center"/>
              <w:rPr>
                <w:rFonts w:ascii="Times New Roman" w:hAnsi="Times New Roman"/>
                <w:i/>
              </w:rPr>
            </w:pPr>
            <w:r>
              <w:rPr>
                <w:rFonts w:ascii="Times New Roman" w:hAnsi="Times New Roman"/>
                <w:b/>
              </w:rPr>
              <w:t>Party</w:t>
            </w:r>
          </w:p>
        </w:tc>
        <w:tc>
          <w:tcPr>
            <w:tcW w:w="10291" w:type="dxa"/>
            <w:shd w:val="pct12" w:color="auto" w:fill="auto"/>
          </w:tcPr>
          <w:p w:rsidR="005C1D4E" w:rsidRPr="007977C3" w:rsidRDefault="005C1D4E" w:rsidP="00C876F5">
            <w:pPr>
              <w:pStyle w:val="BodyText3"/>
              <w:suppressAutoHyphens w:val="0"/>
              <w:spacing w:line="264" w:lineRule="auto"/>
              <w:jc w:val="center"/>
              <w:rPr>
                <w:sz w:val="24"/>
              </w:rPr>
            </w:pPr>
            <w:r w:rsidRPr="007977C3">
              <w:rPr>
                <w:b/>
                <w:sz w:val="24"/>
              </w:rPr>
              <w:t>COMMENTS</w:t>
            </w:r>
          </w:p>
        </w:tc>
      </w:tr>
      <w:tr w:rsidR="00B20F74" w:rsidRPr="007977C3" w:rsidTr="004C2024">
        <w:tc>
          <w:tcPr>
            <w:tcW w:w="2964" w:type="dxa"/>
          </w:tcPr>
          <w:p w:rsidR="00B20F74" w:rsidRPr="0063133F" w:rsidRDefault="00E365B7" w:rsidP="0057507D">
            <w:pPr>
              <w:rPr>
                <w:rFonts w:ascii="Times New Roman" w:hAnsi="Times New Roman"/>
                <w:b/>
              </w:rPr>
            </w:pPr>
            <w:r w:rsidRPr="0063133F">
              <w:rPr>
                <w:rFonts w:ascii="Times New Roman" w:hAnsi="Times New Roman"/>
                <w:b/>
              </w:rPr>
              <w:t>PacifiCorp</w:t>
            </w:r>
          </w:p>
        </w:tc>
        <w:tc>
          <w:tcPr>
            <w:tcW w:w="10291" w:type="dxa"/>
          </w:tcPr>
          <w:p w:rsidR="00E365B7" w:rsidRDefault="00E365B7" w:rsidP="005B2593">
            <w:pPr>
              <w:pStyle w:val="ListParagraph"/>
              <w:numPr>
                <w:ilvl w:val="0"/>
                <w:numId w:val="24"/>
              </w:numPr>
              <w:ind w:left="456"/>
              <w:rPr>
                <w:rFonts w:ascii="Times New Roman" w:hAnsi="Times New Roman"/>
                <w:szCs w:val="24"/>
              </w:rPr>
            </w:pPr>
            <w:r w:rsidRPr="007977C3">
              <w:rPr>
                <w:rFonts w:ascii="Times New Roman" w:hAnsi="Times New Roman"/>
                <w:szCs w:val="24"/>
              </w:rPr>
              <w:t>The relationship between conservation incentives and conservation targets established under I-937.</w:t>
            </w:r>
          </w:p>
          <w:p w:rsidR="008C3FB7" w:rsidRPr="007977C3" w:rsidRDefault="008C3FB7" w:rsidP="008C3FB7">
            <w:pPr>
              <w:pStyle w:val="ListParagraph"/>
              <w:ind w:left="1080"/>
              <w:rPr>
                <w:rFonts w:ascii="Times New Roman" w:hAnsi="Times New Roman"/>
                <w:szCs w:val="24"/>
              </w:rPr>
            </w:pPr>
          </w:p>
          <w:p w:rsidR="00E365B7" w:rsidRDefault="00E365B7" w:rsidP="005B2593">
            <w:pPr>
              <w:pStyle w:val="ListParagraph"/>
              <w:numPr>
                <w:ilvl w:val="0"/>
                <w:numId w:val="24"/>
              </w:numPr>
              <w:ind w:left="456"/>
              <w:rPr>
                <w:rFonts w:ascii="Times New Roman" w:hAnsi="Times New Roman"/>
                <w:szCs w:val="24"/>
              </w:rPr>
            </w:pPr>
            <w:r w:rsidRPr="007977C3">
              <w:rPr>
                <w:rFonts w:ascii="Times New Roman" w:hAnsi="Times New Roman"/>
                <w:szCs w:val="24"/>
              </w:rPr>
              <w:t>The different impacts conservation has on electric and gas utility operations and how to set appropriate incentives for each.</w:t>
            </w:r>
          </w:p>
          <w:p w:rsidR="008C3FB7" w:rsidRPr="008C3FB7" w:rsidRDefault="008C3FB7" w:rsidP="008C3FB7">
            <w:pPr>
              <w:pStyle w:val="ListParagraph"/>
              <w:rPr>
                <w:rFonts w:ascii="Times New Roman" w:hAnsi="Times New Roman"/>
                <w:szCs w:val="24"/>
              </w:rPr>
            </w:pPr>
          </w:p>
          <w:p w:rsidR="00E365B7" w:rsidRDefault="00E365B7" w:rsidP="005B2593">
            <w:pPr>
              <w:pStyle w:val="ListParagraph"/>
              <w:numPr>
                <w:ilvl w:val="0"/>
                <w:numId w:val="24"/>
              </w:numPr>
              <w:ind w:left="456"/>
              <w:rPr>
                <w:rFonts w:ascii="Times New Roman" w:hAnsi="Times New Roman"/>
                <w:szCs w:val="24"/>
              </w:rPr>
            </w:pPr>
            <w:r w:rsidRPr="007977C3">
              <w:rPr>
                <w:rFonts w:ascii="Times New Roman" w:hAnsi="Times New Roman"/>
                <w:szCs w:val="24"/>
              </w:rPr>
              <w:t xml:space="preserve">What are the implications of using historical test year loads in rate cases to set future rates?  </w:t>
            </w:r>
          </w:p>
          <w:p w:rsidR="008C3FB7" w:rsidRPr="008C3FB7" w:rsidRDefault="008C3FB7" w:rsidP="008C3FB7">
            <w:pPr>
              <w:pStyle w:val="ListParagraph"/>
              <w:rPr>
                <w:rFonts w:ascii="Times New Roman" w:hAnsi="Times New Roman"/>
                <w:szCs w:val="24"/>
              </w:rPr>
            </w:pPr>
          </w:p>
          <w:p w:rsidR="00E365B7" w:rsidRPr="007977C3" w:rsidRDefault="00E365B7" w:rsidP="005B2593">
            <w:pPr>
              <w:pStyle w:val="ListParagraph"/>
              <w:numPr>
                <w:ilvl w:val="0"/>
                <w:numId w:val="24"/>
              </w:numPr>
              <w:ind w:left="456"/>
              <w:rPr>
                <w:rFonts w:ascii="Times New Roman" w:hAnsi="Times New Roman"/>
                <w:szCs w:val="24"/>
              </w:rPr>
            </w:pPr>
            <w:r w:rsidRPr="007977C3">
              <w:rPr>
                <w:rFonts w:ascii="Times New Roman" w:hAnsi="Times New Roman"/>
                <w:szCs w:val="24"/>
              </w:rPr>
              <w:t>What are the ramifications of fixed utility costs being recovered through volumetric energy charges? How can a proper balance be struck?</w:t>
            </w:r>
          </w:p>
          <w:p w:rsidR="00E365B7" w:rsidRPr="007977C3" w:rsidRDefault="00E365B7" w:rsidP="00E365B7">
            <w:pPr>
              <w:ind w:firstLine="360"/>
              <w:rPr>
                <w:rFonts w:ascii="Times New Roman" w:hAnsi="Times New Roman"/>
              </w:rPr>
            </w:pPr>
          </w:p>
          <w:p w:rsidR="00B20F74" w:rsidRPr="007977C3" w:rsidRDefault="00B20F74" w:rsidP="00E365B7">
            <w:pPr>
              <w:pStyle w:val="BodyText3"/>
              <w:suppressAutoHyphens w:val="0"/>
              <w:spacing w:line="264" w:lineRule="auto"/>
              <w:rPr>
                <w:sz w:val="24"/>
              </w:rPr>
            </w:pPr>
          </w:p>
        </w:tc>
      </w:tr>
      <w:tr w:rsidR="00B20F74" w:rsidRPr="007977C3" w:rsidTr="004C2024">
        <w:tc>
          <w:tcPr>
            <w:tcW w:w="2964" w:type="dxa"/>
          </w:tcPr>
          <w:p w:rsidR="00B20F74" w:rsidRPr="0063133F" w:rsidRDefault="00E365B7" w:rsidP="0057507D">
            <w:pPr>
              <w:rPr>
                <w:rFonts w:ascii="Times New Roman" w:hAnsi="Times New Roman"/>
                <w:b/>
              </w:rPr>
            </w:pPr>
            <w:r w:rsidRPr="0063133F">
              <w:rPr>
                <w:rFonts w:ascii="Times New Roman" w:hAnsi="Times New Roman"/>
                <w:b/>
              </w:rPr>
              <w:t>Cascade Natural Gas Corp.</w:t>
            </w:r>
          </w:p>
        </w:tc>
        <w:tc>
          <w:tcPr>
            <w:tcW w:w="10291" w:type="dxa"/>
          </w:tcPr>
          <w:p w:rsidR="00B20F74" w:rsidRDefault="00E365B7" w:rsidP="005B2593">
            <w:pPr>
              <w:pStyle w:val="BodyText3"/>
              <w:numPr>
                <w:ilvl w:val="0"/>
                <w:numId w:val="25"/>
              </w:numPr>
              <w:suppressAutoHyphens w:val="0"/>
              <w:spacing w:line="264" w:lineRule="auto"/>
              <w:ind w:left="456"/>
              <w:rPr>
                <w:sz w:val="24"/>
              </w:rPr>
            </w:pPr>
            <w:r w:rsidRPr="007977C3">
              <w:rPr>
                <w:sz w:val="24"/>
              </w:rPr>
              <w:t>What are the impacts of caps and limitations on recovery mechanisms and at what point do such limitations mitigate a utility’s incentive to promote conservation.</w:t>
            </w:r>
          </w:p>
          <w:p w:rsidR="008C3FB7" w:rsidRPr="007977C3" w:rsidRDefault="008C3FB7" w:rsidP="008C3FB7">
            <w:pPr>
              <w:pStyle w:val="BodyText3"/>
              <w:suppressAutoHyphens w:val="0"/>
              <w:spacing w:line="264" w:lineRule="auto"/>
              <w:ind w:left="720"/>
              <w:rPr>
                <w:sz w:val="24"/>
              </w:rPr>
            </w:pPr>
          </w:p>
          <w:p w:rsidR="00E365B7" w:rsidRDefault="00E365B7" w:rsidP="005B2593">
            <w:pPr>
              <w:pStyle w:val="BodyText3"/>
              <w:numPr>
                <w:ilvl w:val="0"/>
                <w:numId w:val="25"/>
              </w:numPr>
              <w:suppressAutoHyphens w:val="0"/>
              <w:spacing w:line="264" w:lineRule="auto"/>
              <w:ind w:left="456"/>
              <w:rPr>
                <w:sz w:val="24"/>
              </w:rPr>
            </w:pPr>
            <w:r w:rsidRPr="007977C3">
              <w:rPr>
                <w:sz w:val="24"/>
              </w:rPr>
              <w:t>Should mechanism standards and guidelines apply universally to all Washington utilities or should they be adaptable to individual utility needs retaining best practices from mechanisms already in existence?</w:t>
            </w:r>
          </w:p>
          <w:p w:rsidR="008C3FB7" w:rsidRDefault="008C3FB7" w:rsidP="008C3FB7">
            <w:pPr>
              <w:pStyle w:val="ListParagraph"/>
            </w:pPr>
          </w:p>
          <w:p w:rsidR="00E365B7" w:rsidRDefault="00E365B7" w:rsidP="005B2593">
            <w:pPr>
              <w:pStyle w:val="BodyText3"/>
              <w:numPr>
                <w:ilvl w:val="0"/>
                <w:numId w:val="25"/>
              </w:numPr>
              <w:suppressAutoHyphens w:val="0"/>
              <w:spacing w:line="264" w:lineRule="auto"/>
              <w:ind w:left="456"/>
              <w:rPr>
                <w:sz w:val="24"/>
              </w:rPr>
            </w:pPr>
            <w:r w:rsidRPr="007977C3">
              <w:rPr>
                <w:sz w:val="24"/>
              </w:rPr>
              <w:t xml:space="preserve">Should recovery mechanisms include </w:t>
            </w:r>
            <w:r w:rsidR="00625DA1" w:rsidRPr="007977C3">
              <w:rPr>
                <w:sz w:val="24"/>
              </w:rPr>
              <w:t>rate</w:t>
            </w:r>
            <w:r w:rsidRPr="007977C3">
              <w:rPr>
                <w:sz w:val="24"/>
              </w:rPr>
              <w:t xml:space="preserve"> adjustments on an individual customer basis based on customer usage history or based on the entire customer class?</w:t>
            </w:r>
          </w:p>
          <w:p w:rsidR="008C3FB7" w:rsidRDefault="008C3FB7" w:rsidP="008C3FB7">
            <w:pPr>
              <w:pStyle w:val="ListParagraph"/>
            </w:pPr>
          </w:p>
          <w:p w:rsidR="00E365B7" w:rsidRPr="007977C3" w:rsidRDefault="00E365B7" w:rsidP="005B2593">
            <w:pPr>
              <w:pStyle w:val="BodyText3"/>
              <w:numPr>
                <w:ilvl w:val="0"/>
                <w:numId w:val="25"/>
              </w:numPr>
              <w:suppressAutoHyphens w:val="0"/>
              <w:spacing w:line="264" w:lineRule="auto"/>
              <w:ind w:left="456"/>
              <w:rPr>
                <w:sz w:val="24"/>
              </w:rPr>
            </w:pPr>
            <w:r w:rsidRPr="007977C3">
              <w:rPr>
                <w:sz w:val="24"/>
              </w:rPr>
              <w:t xml:space="preserve">Should the WUTC consider system limitations </w:t>
            </w:r>
            <w:r w:rsidR="00625DA1" w:rsidRPr="007977C3">
              <w:rPr>
                <w:sz w:val="24"/>
              </w:rPr>
              <w:t>associated</w:t>
            </w:r>
            <w:r w:rsidRPr="007977C3">
              <w:rPr>
                <w:sz w:val="24"/>
              </w:rPr>
              <w:t xml:space="preserve"> with certain decoupling programs when developing new regulation and standards.</w:t>
            </w:r>
          </w:p>
          <w:p w:rsidR="00625DA1" w:rsidRPr="008C3FB7" w:rsidRDefault="00625DA1" w:rsidP="008C3FB7">
            <w:pPr>
              <w:pStyle w:val="BodyText3"/>
              <w:suppressAutoHyphens w:val="0"/>
              <w:spacing w:line="264" w:lineRule="auto"/>
              <w:ind w:left="720"/>
              <w:rPr>
                <w:sz w:val="24"/>
              </w:rPr>
            </w:pPr>
          </w:p>
          <w:p w:rsidR="00E365B7" w:rsidRPr="007977C3" w:rsidRDefault="00E365B7" w:rsidP="00E365B7">
            <w:pPr>
              <w:pStyle w:val="BodyText3"/>
              <w:suppressAutoHyphens w:val="0"/>
              <w:spacing w:line="264" w:lineRule="auto"/>
              <w:rPr>
                <w:sz w:val="24"/>
              </w:rPr>
            </w:pPr>
          </w:p>
        </w:tc>
      </w:tr>
    </w:tbl>
    <w:p w:rsidR="00936FD8" w:rsidRPr="007977C3" w:rsidRDefault="001F6F19" w:rsidP="00936FD8">
      <w:pPr>
        <w:rPr>
          <w:rFonts w:ascii="Times New Roman" w:hAnsi="Times New Roman"/>
          <w:b/>
        </w:rPr>
      </w:pPr>
      <w:r w:rsidRPr="007977C3">
        <w:rPr>
          <w:rFonts w:ascii="Times New Roman" w:hAnsi="Times New Roman"/>
          <w:b/>
        </w:rPr>
        <w:br w:type="page"/>
      </w:r>
    </w:p>
    <w:p w:rsidR="00936FD8" w:rsidRPr="007977C3" w:rsidRDefault="00936FD8" w:rsidP="00936FD8">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4"/>
        <w:gridCol w:w="10444"/>
      </w:tblGrid>
      <w:tr w:rsidR="000E54E1" w:rsidRPr="007977C3" w:rsidTr="004C2024">
        <w:tc>
          <w:tcPr>
            <w:tcW w:w="2804" w:type="dxa"/>
            <w:shd w:val="pct10" w:color="auto" w:fill="auto"/>
          </w:tcPr>
          <w:p w:rsidR="000E54E1" w:rsidRPr="007977C3" w:rsidRDefault="00423BF8" w:rsidP="00423BF8">
            <w:pPr>
              <w:jc w:val="center"/>
              <w:rPr>
                <w:rFonts w:ascii="Times New Roman" w:hAnsi="Times New Roman"/>
                <w:b/>
              </w:rPr>
            </w:pPr>
            <w:r>
              <w:rPr>
                <w:rFonts w:ascii="Times New Roman" w:hAnsi="Times New Roman"/>
                <w:b/>
              </w:rPr>
              <w:t>Party</w:t>
            </w:r>
          </w:p>
        </w:tc>
        <w:tc>
          <w:tcPr>
            <w:tcW w:w="10444" w:type="dxa"/>
            <w:shd w:val="pct10" w:color="auto" w:fill="auto"/>
          </w:tcPr>
          <w:p w:rsidR="000E54E1" w:rsidRPr="007977C3" w:rsidRDefault="000E54E1" w:rsidP="00704BFE">
            <w:pPr>
              <w:jc w:val="center"/>
              <w:rPr>
                <w:rFonts w:ascii="Times New Roman" w:hAnsi="Times New Roman"/>
                <w:b/>
              </w:rPr>
            </w:pPr>
            <w:r w:rsidRPr="007977C3">
              <w:rPr>
                <w:rFonts w:ascii="Times New Roman" w:hAnsi="Times New Roman"/>
                <w:b/>
              </w:rPr>
              <w:t>COMMENTS</w:t>
            </w:r>
          </w:p>
        </w:tc>
      </w:tr>
      <w:tr w:rsidR="000E54E1" w:rsidRPr="007977C3" w:rsidTr="004C2024">
        <w:tc>
          <w:tcPr>
            <w:tcW w:w="2804" w:type="dxa"/>
          </w:tcPr>
          <w:p w:rsidR="000E54E1" w:rsidRPr="0063133F" w:rsidRDefault="00625DA1" w:rsidP="002B560C">
            <w:pPr>
              <w:pStyle w:val="BodyText3"/>
              <w:suppressAutoHyphens w:val="0"/>
              <w:spacing w:line="264" w:lineRule="auto"/>
              <w:rPr>
                <w:b/>
                <w:sz w:val="24"/>
              </w:rPr>
            </w:pPr>
            <w:r w:rsidRPr="0063133F">
              <w:rPr>
                <w:b/>
                <w:sz w:val="24"/>
              </w:rPr>
              <w:t xml:space="preserve">Northwest Natural </w:t>
            </w:r>
          </w:p>
          <w:p w:rsidR="000E54E1" w:rsidRPr="007977C3" w:rsidRDefault="000E54E1" w:rsidP="002B560C">
            <w:pPr>
              <w:rPr>
                <w:rFonts w:ascii="Times New Roman" w:hAnsi="Times New Roman"/>
              </w:rPr>
            </w:pPr>
          </w:p>
        </w:tc>
        <w:tc>
          <w:tcPr>
            <w:tcW w:w="10444" w:type="dxa"/>
          </w:tcPr>
          <w:p w:rsidR="001E5F16" w:rsidRPr="007977C3" w:rsidRDefault="001E5F16" w:rsidP="008C3FB7">
            <w:pPr>
              <w:rPr>
                <w:rFonts w:ascii="Times New Roman" w:hAnsi="Times New Roman"/>
              </w:rPr>
            </w:pPr>
            <w:r w:rsidRPr="007977C3">
              <w:rPr>
                <w:rFonts w:ascii="Times New Roman" w:hAnsi="Times New Roman"/>
              </w:rPr>
              <w:t>The Company identifies the following issues other than conservation that it believes should be considered:</w:t>
            </w:r>
          </w:p>
          <w:p w:rsidR="001E5F16" w:rsidRPr="007977C3" w:rsidRDefault="001E5F16" w:rsidP="001E5F16">
            <w:pPr>
              <w:ind w:firstLine="720"/>
              <w:rPr>
                <w:rFonts w:ascii="Times New Roman" w:hAnsi="Times New Roman"/>
              </w:rPr>
            </w:pPr>
          </w:p>
          <w:p w:rsidR="001E5F16" w:rsidRDefault="001E5F16" w:rsidP="005B2593">
            <w:pPr>
              <w:numPr>
                <w:ilvl w:val="0"/>
                <w:numId w:val="26"/>
              </w:numPr>
              <w:ind w:left="436"/>
              <w:rPr>
                <w:rFonts w:ascii="Times New Roman" w:hAnsi="Times New Roman"/>
              </w:rPr>
            </w:pPr>
            <w:r w:rsidRPr="007977C3">
              <w:rPr>
                <w:rFonts w:ascii="Times New Roman" w:hAnsi="Times New Roman"/>
                <w:u w:val="single"/>
              </w:rPr>
              <w:t>Weathe</w:t>
            </w:r>
            <w:r w:rsidRPr="007977C3">
              <w:rPr>
                <w:rFonts w:ascii="Times New Roman" w:hAnsi="Times New Roman"/>
              </w:rPr>
              <w:t xml:space="preserve">r – Customers use less gas when weather is unseasonably warm.  Conversely, a utility collects more revenue when weather is unusually cold and customers are using more gas to heat their homes. </w:t>
            </w:r>
          </w:p>
          <w:p w:rsidR="008C3FB7" w:rsidRPr="007977C3" w:rsidRDefault="008C3FB7" w:rsidP="008C3FB7">
            <w:pPr>
              <w:ind w:left="720"/>
              <w:rPr>
                <w:rFonts w:ascii="Times New Roman" w:hAnsi="Times New Roman"/>
              </w:rPr>
            </w:pPr>
          </w:p>
          <w:p w:rsidR="001E5F16" w:rsidRDefault="001E5F16" w:rsidP="005B2593">
            <w:pPr>
              <w:numPr>
                <w:ilvl w:val="0"/>
                <w:numId w:val="26"/>
              </w:numPr>
              <w:ind w:left="436"/>
              <w:rPr>
                <w:rFonts w:ascii="Times New Roman" w:hAnsi="Times New Roman"/>
              </w:rPr>
            </w:pPr>
            <w:r w:rsidRPr="007977C3">
              <w:rPr>
                <w:rFonts w:ascii="Times New Roman" w:hAnsi="Times New Roman"/>
                <w:u w:val="single"/>
              </w:rPr>
              <w:t>Elasticity</w:t>
            </w:r>
            <w:r w:rsidRPr="007977C3">
              <w:rPr>
                <w:rFonts w:ascii="Times New Roman" w:hAnsi="Times New Roman"/>
              </w:rPr>
              <w:t xml:space="preserve"> – Customers use less as gas prices increase. </w:t>
            </w:r>
          </w:p>
          <w:p w:rsidR="008C3FB7" w:rsidRDefault="008C3FB7" w:rsidP="008C3FB7">
            <w:pPr>
              <w:pStyle w:val="ListParagraph"/>
              <w:rPr>
                <w:rFonts w:ascii="Times New Roman" w:hAnsi="Times New Roman"/>
              </w:rPr>
            </w:pPr>
          </w:p>
          <w:p w:rsidR="001E5F16" w:rsidRPr="007977C3" w:rsidRDefault="001E5F16" w:rsidP="005B2593">
            <w:pPr>
              <w:numPr>
                <w:ilvl w:val="0"/>
                <w:numId w:val="26"/>
              </w:numPr>
              <w:ind w:left="436"/>
              <w:rPr>
                <w:rFonts w:ascii="Times New Roman" w:hAnsi="Times New Roman"/>
              </w:rPr>
            </w:pPr>
            <w:r w:rsidRPr="007977C3">
              <w:rPr>
                <w:rFonts w:ascii="Times New Roman" w:hAnsi="Times New Roman"/>
                <w:u w:val="single"/>
              </w:rPr>
              <w:t>General trend of reduced natural gas usage</w:t>
            </w:r>
            <w:r w:rsidRPr="007977C3">
              <w:rPr>
                <w:rFonts w:ascii="Times New Roman" w:hAnsi="Times New Roman"/>
              </w:rPr>
              <w:t xml:space="preserve"> – The AGA reports, “</w:t>
            </w:r>
            <w:r w:rsidRPr="007977C3">
              <w:rPr>
                <w:rFonts w:ascii="Times New Roman" w:hAnsi="Times New Roman"/>
                <w:bCs/>
              </w:rPr>
              <w:t>Natural Gas use per customer has decreased by about 1 percent per year for the last 38 years, which means that the average residential customer today uses 39 percent less than they did 38 years ago.”</w:t>
            </w:r>
            <w:r w:rsidRPr="007977C3">
              <w:rPr>
                <w:rStyle w:val="FootnoteReference"/>
                <w:rFonts w:ascii="Times New Roman" w:hAnsi="Times New Roman"/>
                <w:bCs/>
              </w:rPr>
              <w:footnoteReference w:id="1"/>
            </w:r>
            <w:r w:rsidRPr="007977C3">
              <w:rPr>
                <w:rFonts w:ascii="Times New Roman" w:hAnsi="Times New Roman"/>
                <w:bCs/>
              </w:rPr>
              <w:t xml:space="preserve">  This trend, which is not clearly attributable to any one reason identified above, requires regulatory consideration.    </w:t>
            </w:r>
          </w:p>
          <w:p w:rsidR="001E5F16" w:rsidRPr="007977C3" w:rsidRDefault="001E5F16" w:rsidP="001E5F16">
            <w:pPr>
              <w:ind w:firstLine="720"/>
              <w:rPr>
                <w:rFonts w:ascii="Times New Roman" w:hAnsi="Times New Roman"/>
              </w:rPr>
            </w:pPr>
          </w:p>
          <w:p w:rsidR="000E54E1" w:rsidRPr="007977C3" w:rsidRDefault="000E54E1" w:rsidP="00625DA1">
            <w:pPr>
              <w:pStyle w:val="BodyText3"/>
              <w:suppressAutoHyphens w:val="0"/>
              <w:spacing w:line="264" w:lineRule="auto"/>
              <w:rPr>
                <w:b/>
                <w:sz w:val="24"/>
              </w:rPr>
            </w:pPr>
          </w:p>
        </w:tc>
      </w:tr>
      <w:tr w:rsidR="000E54E1" w:rsidRPr="007977C3" w:rsidTr="004C2024">
        <w:tc>
          <w:tcPr>
            <w:tcW w:w="2804" w:type="dxa"/>
          </w:tcPr>
          <w:p w:rsidR="000E54E1" w:rsidRPr="0063133F" w:rsidRDefault="001E5F16" w:rsidP="001E5F16">
            <w:pPr>
              <w:pStyle w:val="BodyText3"/>
              <w:suppressAutoHyphens w:val="0"/>
              <w:spacing w:line="264" w:lineRule="auto"/>
              <w:rPr>
                <w:b/>
                <w:sz w:val="24"/>
              </w:rPr>
            </w:pPr>
            <w:r w:rsidRPr="0063133F">
              <w:rPr>
                <w:b/>
                <w:sz w:val="24"/>
              </w:rPr>
              <w:t>Public Counsel</w:t>
            </w:r>
          </w:p>
        </w:tc>
        <w:tc>
          <w:tcPr>
            <w:tcW w:w="10444" w:type="dxa"/>
          </w:tcPr>
          <w:p w:rsidR="001E5F16" w:rsidRPr="007977C3" w:rsidRDefault="001E5F16" w:rsidP="001E5F16">
            <w:pPr>
              <w:spacing w:line="480" w:lineRule="auto"/>
              <w:rPr>
                <w:rFonts w:ascii="Times New Roman" w:hAnsi="Times New Roman"/>
                <w:b/>
                <w:u w:val="single"/>
              </w:rPr>
            </w:pPr>
            <w:r w:rsidRPr="007977C3">
              <w:rPr>
                <w:rFonts w:ascii="Times New Roman" w:hAnsi="Times New Roman"/>
                <w:b/>
                <w:u w:val="single"/>
              </w:rPr>
              <w:t>Need for Incentives</w:t>
            </w:r>
          </w:p>
          <w:p w:rsidR="001E5F16" w:rsidRPr="007977C3" w:rsidRDefault="001E5F16" w:rsidP="005B2593">
            <w:pPr>
              <w:numPr>
                <w:ilvl w:val="0"/>
                <w:numId w:val="27"/>
              </w:numPr>
              <w:spacing w:line="480" w:lineRule="auto"/>
              <w:ind w:left="436"/>
              <w:rPr>
                <w:rFonts w:ascii="Times New Roman" w:hAnsi="Times New Roman"/>
              </w:rPr>
            </w:pPr>
            <w:r w:rsidRPr="007977C3">
              <w:rPr>
                <w:rFonts w:ascii="Times New Roman" w:hAnsi="Times New Roman"/>
              </w:rPr>
              <w:t>Are additional incentive or decoupling/lost margin mechanisms necessary, given that:</w:t>
            </w:r>
          </w:p>
          <w:p w:rsidR="001E5F16" w:rsidRPr="007977C3" w:rsidRDefault="001E5F16" w:rsidP="005B2593">
            <w:pPr>
              <w:numPr>
                <w:ilvl w:val="0"/>
                <w:numId w:val="28"/>
              </w:numPr>
              <w:ind w:left="796"/>
              <w:rPr>
                <w:rFonts w:ascii="Times New Roman" w:hAnsi="Times New Roman"/>
              </w:rPr>
            </w:pPr>
            <w:r w:rsidRPr="007977C3">
              <w:rPr>
                <w:rFonts w:ascii="Times New Roman" w:hAnsi="Times New Roman"/>
              </w:rPr>
              <w:t>Regulated utilities are required by law to acquire “least cost” resources and to pursue all achievable cost-effective conservation or be subject to financial penalties?</w:t>
            </w:r>
          </w:p>
          <w:p w:rsidR="001E5F16" w:rsidRPr="007977C3" w:rsidRDefault="001E5F16" w:rsidP="005B2593">
            <w:pPr>
              <w:numPr>
                <w:ilvl w:val="0"/>
                <w:numId w:val="28"/>
              </w:numPr>
              <w:ind w:left="796"/>
              <w:rPr>
                <w:rFonts w:ascii="Times New Roman" w:hAnsi="Times New Roman"/>
              </w:rPr>
            </w:pPr>
            <w:r w:rsidRPr="007977C3">
              <w:rPr>
                <w:rFonts w:ascii="Times New Roman" w:hAnsi="Times New Roman"/>
              </w:rPr>
              <w:t>Acquisition of “least cost” resources is by definition economically advantageous and prudent for a regulated utility.</w:t>
            </w:r>
          </w:p>
          <w:p w:rsidR="001E5F16" w:rsidRPr="007977C3" w:rsidRDefault="001E5F16" w:rsidP="005B2593">
            <w:pPr>
              <w:numPr>
                <w:ilvl w:val="0"/>
                <w:numId w:val="28"/>
              </w:numPr>
              <w:ind w:left="796"/>
              <w:rPr>
                <w:rFonts w:ascii="Times New Roman" w:hAnsi="Times New Roman"/>
              </w:rPr>
            </w:pPr>
            <w:r w:rsidRPr="007977C3">
              <w:rPr>
                <w:rFonts w:ascii="Times New Roman" w:hAnsi="Times New Roman"/>
              </w:rPr>
              <w:t>Washington regulated utilities have established and pursued successful conservation programs without the existence of incentive programs or decoupling.</w:t>
            </w:r>
          </w:p>
          <w:p w:rsidR="001E5F16" w:rsidRDefault="001E5F16" w:rsidP="005B2593">
            <w:pPr>
              <w:numPr>
                <w:ilvl w:val="0"/>
                <w:numId w:val="28"/>
              </w:numPr>
              <w:ind w:left="796"/>
              <w:rPr>
                <w:rFonts w:ascii="Times New Roman" w:hAnsi="Times New Roman"/>
              </w:rPr>
            </w:pPr>
            <w:r w:rsidRPr="007977C3">
              <w:rPr>
                <w:rFonts w:ascii="Times New Roman" w:hAnsi="Times New Roman"/>
              </w:rPr>
              <w:t>Although per-customer usage has seen some declines due to conservation, the economy, and other factors, total company sales and revenues are not declining and are flat or increasing due to load growth.</w:t>
            </w:r>
          </w:p>
          <w:p w:rsidR="008C3FB7" w:rsidRDefault="008C3FB7" w:rsidP="008C3FB7">
            <w:pPr>
              <w:pStyle w:val="ListParagraph"/>
              <w:rPr>
                <w:rFonts w:ascii="Times New Roman" w:hAnsi="Times New Roman"/>
              </w:rPr>
            </w:pPr>
          </w:p>
          <w:p w:rsidR="000E54E1" w:rsidRPr="007977C3" w:rsidRDefault="000E54E1" w:rsidP="008C3FB7">
            <w:pPr>
              <w:rPr>
                <w:rFonts w:ascii="Times New Roman" w:hAnsi="Times New Roman"/>
                <w:b/>
              </w:rPr>
            </w:pPr>
          </w:p>
        </w:tc>
      </w:tr>
    </w:tbl>
    <w:p w:rsidR="00C876F5" w:rsidRDefault="00C876F5"/>
    <w:p w:rsidR="00C876F5" w:rsidRDefault="00C876F5"/>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4"/>
        <w:gridCol w:w="10444"/>
      </w:tblGrid>
      <w:tr w:rsidR="00C876F5" w:rsidRPr="007977C3" w:rsidTr="00C876F5">
        <w:tc>
          <w:tcPr>
            <w:tcW w:w="2804" w:type="dxa"/>
            <w:shd w:val="pct12" w:color="auto" w:fill="auto"/>
          </w:tcPr>
          <w:p w:rsidR="00C876F5" w:rsidRPr="007977C3" w:rsidRDefault="00C876F5" w:rsidP="00C876F5">
            <w:pPr>
              <w:jc w:val="center"/>
              <w:rPr>
                <w:rFonts w:ascii="Times New Roman" w:hAnsi="Times New Roman"/>
                <w:b/>
              </w:rPr>
            </w:pPr>
            <w:r>
              <w:rPr>
                <w:rFonts w:ascii="Times New Roman" w:hAnsi="Times New Roman"/>
                <w:b/>
              </w:rPr>
              <w:t>Party</w:t>
            </w:r>
          </w:p>
        </w:tc>
        <w:tc>
          <w:tcPr>
            <w:tcW w:w="10444" w:type="dxa"/>
            <w:shd w:val="pct12" w:color="auto" w:fill="auto"/>
          </w:tcPr>
          <w:p w:rsidR="00C876F5" w:rsidRPr="007977C3" w:rsidRDefault="00C876F5" w:rsidP="00C876F5">
            <w:pPr>
              <w:jc w:val="center"/>
              <w:rPr>
                <w:rFonts w:ascii="Times New Roman" w:hAnsi="Times New Roman"/>
                <w:b/>
              </w:rPr>
            </w:pPr>
            <w:r w:rsidRPr="007977C3">
              <w:rPr>
                <w:rFonts w:ascii="Times New Roman" w:hAnsi="Times New Roman"/>
                <w:b/>
              </w:rPr>
              <w:t>COMMENTS</w:t>
            </w:r>
          </w:p>
        </w:tc>
      </w:tr>
      <w:tr w:rsidR="000C6A85" w:rsidRPr="007977C3" w:rsidTr="00C876F5">
        <w:tc>
          <w:tcPr>
            <w:tcW w:w="2804" w:type="dxa"/>
            <w:tcBorders>
              <w:bottom w:val="single" w:sz="4" w:space="0" w:color="auto"/>
            </w:tcBorders>
          </w:tcPr>
          <w:p w:rsidR="000C6A85" w:rsidRPr="0063133F" w:rsidRDefault="00681B3D" w:rsidP="001E5F16">
            <w:pPr>
              <w:pStyle w:val="BodyText3"/>
              <w:suppressAutoHyphens w:val="0"/>
              <w:spacing w:line="264" w:lineRule="auto"/>
              <w:rPr>
                <w:b/>
                <w:sz w:val="24"/>
              </w:rPr>
            </w:pPr>
            <w:r w:rsidRPr="0063133F">
              <w:rPr>
                <w:b/>
                <w:sz w:val="24"/>
              </w:rPr>
              <w:t>Public Counsel</w:t>
            </w:r>
            <w:r w:rsidR="00E56997">
              <w:rPr>
                <w:b/>
                <w:sz w:val="24"/>
              </w:rPr>
              <w:t xml:space="preserve"> </w:t>
            </w:r>
            <w:r w:rsidR="00E56997" w:rsidRPr="00E56997">
              <w:rPr>
                <w:b/>
                <w:i/>
                <w:sz w:val="24"/>
              </w:rPr>
              <w:t>(Continued)</w:t>
            </w:r>
          </w:p>
        </w:tc>
        <w:tc>
          <w:tcPr>
            <w:tcW w:w="10444" w:type="dxa"/>
            <w:tcBorders>
              <w:bottom w:val="single" w:sz="4" w:space="0" w:color="auto"/>
            </w:tcBorders>
          </w:tcPr>
          <w:p w:rsidR="000C6A85" w:rsidRPr="007977C3" w:rsidRDefault="000C6A85" w:rsidP="000C6A85">
            <w:pPr>
              <w:spacing w:line="480" w:lineRule="auto"/>
              <w:rPr>
                <w:rFonts w:ascii="Times New Roman" w:hAnsi="Times New Roman"/>
                <w:b/>
                <w:u w:val="single"/>
              </w:rPr>
            </w:pPr>
            <w:r w:rsidRPr="007977C3">
              <w:rPr>
                <w:rFonts w:ascii="Times New Roman" w:hAnsi="Times New Roman"/>
                <w:b/>
                <w:u w:val="single"/>
              </w:rPr>
              <w:t>Mechanism Characteristics</w:t>
            </w:r>
          </w:p>
          <w:p w:rsidR="000C6A85" w:rsidRDefault="000C6A85" w:rsidP="00C876F5">
            <w:pPr>
              <w:numPr>
                <w:ilvl w:val="0"/>
                <w:numId w:val="27"/>
              </w:numPr>
              <w:ind w:left="436"/>
              <w:rPr>
                <w:rFonts w:ascii="Times New Roman" w:hAnsi="Times New Roman"/>
              </w:rPr>
            </w:pPr>
            <w:r w:rsidRPr="007977C3">
              <w:rPr>
                <w:rFonts w:ascii="Times New Roman" w:hAnsi="Times New Roman"/>
              </w:rPr>
              <w:t>What are the distinctions between incentive mechanisms and anti-disincentive mechanisms (lost margin/decoupling)?</w:t>
            </w:r>
          </w:p>
          <w:p w:rsidR="000C6A85" w:rsidRPr="007977C3" w:rsidRDefault="000C6A85" w:rsidP="000C6A85">
            <w:pPr>
              <w:ind w:left="720"/>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In the event such mechanisms are approved for use, should a utility be permitted to recover additional revenues under both an incentive mechanism and a lost margin/decoupling mechanism simultaneously?</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Are disincentives to pursue conservation created for customers by the adoption of utility incentive programs or lost margin/decoupling mechanisms?</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What is the precise magnitude of the lost margin problem being experienced by regulated utilities as a result of their own conservation programs?</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If lost margin can be accurately calculated, should any revenue recovery allowed under an incentive or lost margin/recovery mechanism be limited to the amount of actual lost margins due to the utility’s own programs? (</w:t>
            </w:r>
            <w:proofErr w:type="gramStart"/>
            <w:r w:rsidRPr="007977C3">
              <w:rPr>
                <w:rFonts w:ascii="Times New Roman" w:hAnsi="Times New Roman"/>
              </w:rPr>
              <w:t>i.e</w:t>
            </w:r>
            <w:proofErr w:type="gramEnd"/>
            <w:r w:rsidRPr="007977C3">
              <w:rPr>
                <w:rFonts w:ascii="Times New Roman" w:hAnsi="Times New Roman"/>
              </w:rPr>
              <w:t>. exclude recovery for general economic factors, exogenous effects not caused by utility programs).</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 xml:space="preserve">Should incentive or lost margin/decoupling mechanisms include an “earnings test” to prevent recovery of excessive amounts from customers with resulting </w:t>
            </w:r>
            <w:proofErr w:type="spellStart"/>
            <w:r w:rsidRPr="007977C3">
              <w:rPr>
                <w:rFonts w:ascii="Times New Roman" w:hAnsi="Times New Roman"/>
              </w:rPr>
              <w:t>overearning</w:t>
            </w:r>
            <w:proofErr w:type="spellEnd"/>
            <w:r w:rsidRPr="007977C3">
              <w:rPr>
                <w:rFonts w:ascii="Times New Roman" w:hAnsi="Times New Roman"/>
              </w:rPr>
              <w:t xml:space="preserve"> by the utility?</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Should adoption of an incentive or lost margin/decoupling mechanism require a downward adjustment in the utility company’s return on equity to reflect the reduced risk to the company?</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How should DSM targets be defined for purposes of an incentive mechanism?</w:t>
            </w:r>
          </w:p>
          <w:p w:rsidR="000C6A85" w:rsidRDefault="000C6A85" w:rsidP="000C6A85">
            <w:pPr>
              <w:pStyle w:val="ListParagraph"/>
              <w:rPr>
                <w:rFonts w:ascii="Times New Roman" w:hAnsi="Times New Roman"/>
              </w:rPr>
            </w:pPr>
          </w:p>
          <w:p w:rsidR="000C6A85" w:rsidRDefault="000C6A85" w:rsidP="00C876F5">
            <w:pPr>
              <w:numPr>
                <w:ilvl w:val="0"/>
                <w:numId w:val="27"/>
              </w:numPr>
              <w:ind w:left="436"/>
              <w:rPr>
                <w:rFonts w:ascii="Times New Roman" w:hAnsi="Times New Roman"/>
              </w:rPr>
            </w:pPr>
            <w:r w:rsidRPr="007977C3">
              <w:rPr>
                <w:rFonts w:ascii="Times New Roman" w:hAnsi="Times New Roman"/>
              </w:rPr>
              <w:t>Should DSM targets be specifically tied to approved I-937 targets or to some other goal?</w:t>
            </w:r>
          </w:p>
          <w:p w:rsidR="000C6A85" w:rsidRDefault="000C6A85" w:rsidP="000C6A85">
            <w:pPr>
              <w:pStyle w:val="ListParagraph"/>
              <w:rPr>
                <w:rFonts w:ascii="Times New Roman" w:hAnsi="Times New Roman"/>
              </w:rPr>
            </w:pPr>
          </w:p>
          <w:p w:rsidR="000C6A85" w:rsidRPr="007977C3" w:rsidRDefault="000C6A85" w:rsidP="00C876F5">
            <w:pPr>
              <w:numPr>
                <w:ilvl w:val="0"/>
                <w:numId w:val="27"/>
              </w:numPr>
              <w:ind w:left="436"/>
              <w:rPr>
                <w:rFonts w:ascii="Times New Roman" w:hAnsi="Times New Roman"/>
                <w:b/>
                <w:u w:val="single"/>
              </w:rPr>
            </w:pPr>
            <w:r w:rsidRPr="007977C3">
              <w:rPr>
                <w:rFonts w:ascii="Times New Roman" w:hAnsi="Times New Roman"/>
              </w:rPr>
              <w:t>Should a lost margin/decoupling mechanism include a “DSM test” to be met as a prerequisite to a utility receiving funds from ratepayers under the mechanism?</w:t>
            </w:r>
          </w:p>
        </w:tc>
      </w:tr>
      <w:tr w:rsidR="00C876F5" w:rsidRPr="007977C3" w:rsidTr="00C876F5">
        <w:tc>
          <w:tcPr>
            <w:tcW w:w="2804" w:type="dxa"/>
            <w:shd w:val="pct12" w:color="auto" w:fill="auto"/>
          </w:tcPr>
          <w:p w:rsidR="00C876F5" w:rsidRPr="007977C3" w:rsidRDefault="00C876F5" w:rsidP="00C876F5">
            <w:pPr>
              <w:jc w:val="center"/>
              <w:rPr>
                <w:rFonts w:ascii="Times New Roman" w:hAnsi="Times New Roman"/>
                <w:b/>
              </w:rPr>
            </w:pPr>
            <w:r>
              <w:rPr>
                <w:rFonts w:ascii="Times New Roman" w:hAnsi="Times New Roman"/>
                <w:b/>
              </w:rPr>
              <w:lastRenderedPageBreak/>
              <w:t>Party</w:t>
            </w:r>
          </w:p>
        </w:tc>
        <w:tc>
          <w:tcPr>
            <w:tcW w:w="10444" w:type="dxa"/>
            <w:shd w:val="pct12" w:color="auto" w:fill="auto"/>
          </w:tcPr>
          <w:p w:rsidR="00C876F5" w:rsidRPr="007977C3" w:rsidRDefault="00C876F5" w:rsidP="00C876F5">
            <w:pPr>
              <w:jc w:val="center"/>
              <w:rPr>
                <w:rFonts w:ascii="Times New Roman" w:hAnsi="Times New Roman"/>
                <w:b/>
              </w:rPr>
            </w:pPr>
            <w:r w:rsidRPr="007977C3">
              <w:rPr>
                <w:rFonts w:ascii="Times New Roman" w:hAnsi="Times New Roman"/>
                <w:b/>
              </w:rPr>
              <w:t>COMMENTS</w:t>
            </w:r>
          </w:p>
        </w:tc>
      </w:tr>
      <w:tr w:rsidR="00C876F5" w:rsidRPr="007977C3" w:rsidTr="004C2024">
        <w:tc>
          <w:tcPr>
            <w:tcW w:w="2804" w:type="dxa"/>
          </w:tcPr>
          <w:p w:rsidR="00C876F5" w:rsidRPr="0063133F" w:rsidRDefault="00681B3D" w:rsidP="001E5F16">
            <w:pPr>
              <w:pStyle w:val="BodyText3"/>
              <w:suppressAutoHyphens w:val="0"/>
              <w:spacing w:line="264" w:lineRule="auto"/>
              <w:rPr>
                <w:b/>
                <w:sz w:val="24"/>
              </w:rPr>
            </w:pPr>
            <w:r w:rsidRPr="0063133F">
              <w:rPr>
                <w:b/>
                <w:sz w:val="24"/>
              </w:rPr>
              <w:t>Public Counsel</w:t>
            </w:r>
            <w:r w:rsidR="00E56997">
              <w:rPr>
                <w:b/>
                <w:sz w:val="24"/>
              </w:rPr>
              <w:t xml:space="preserve"> </w:t>
            </w:r>
            <w:r w:rsidR="00E56997" w:rsidRPr="00E56997">
              <w:rPr>
                <w:b/>
                <w:i/>
                <w:sz w:val="24"/>
              </w:rPr>
              <w:t>(Continued)</w:t>
            </w:r>
          </w:p>
        </w:tc>
        <w:tc>
          <w:tcPr>
            <w:tcW w:w="10444" w:type="dxa"/>
          </w:tcPr>
          <w:p w:rsidR="00681B3D" w:rsidRPr="007977C3" w:rsidRDefault="00681B3D" w:rsidP="00681B3D">
            <w:pPr>
              <w:spacing w:line="480" w:lineRule="auto"/>
              <w:rPr>
                <w:rFonts w:ascii="Times New Roman" w:hAnsi="Times New Roman"/>
                <w:b/>
                <w:u w:val="single"/>
              </w:rPr>
            </w:pPr>
            <w:r w:rsidRPr="007977C3">
              <w:rPr>
                <w:rFonts w:ascii="Times New Roman" w:hAnsi="Times New Roman"/>
                <w:b/>
                <w:u w:val="single"/>
              </w:rPr>
              <w:t>Mechanism Characteristics</w:t>
            </w:r>
          </w:p>
          <w:p w:rsidR="00C876F5" w:rsidRDefault="00C876F5" w:rsidP="00C876F5">
            <w:pPr>
              <w:numPr>
                <w:ilvl w:val="0"/>
                <w:numId w:val="27"/>
              </w:numPr>
              <w:ind w:left="436"/>
              <w:rPr>
                <w:rFonts w:ascii="Times New Roman" w:hAnsi="Times New Roman"/>
              </w:rPr>
            </w:pPr>
            <w:r w:rsidRPr="007977C3">
              <w:rPr>
                <w:rFonts w:ascii="Times New Roman" w:hAnsi="Times New Roman"/>
              </w:rPr>
              <w:t>In an incentive mechanism, should a utility receive payments only for exceeding an established target or should incentives be paid where the utility only meets the pre-set target?</w:t>
            </w:r>
          </w:p>
          <w:p w:rsidR="00C876F5" w:rsidRDefault="00C876F5" w:rsidP="00C876F5">
            <w:pPr>
              <w:pStyle w:val="ListParagraph"/>
              <w:rPr>
                <w:rFonts w:ascii="Times New Roman" w:hAnsi="Times New Roman"/>
              </w:rPr>
            </w:pPr>
          </w:p>
          <w:p w:rsidR="00C876F5" w:rsidRDefault="00C876F5" w:rsidP="00C876F5">
            <w:pPr>
              <w:numPr>
                <w:ilvl w:val="0"/>
                <w:numId w:val="27"/>
              </w:numPr>
              <w:ind w:left="436"/>
              <w:rPr>
                <w:rFonts w:ascii="Times New Roman" w:hAnsi="Times New Roman"/>
              </w:rPr>
            </w:pPr>
            <w:r w:rsidRPr="007977C3">
              <w:rPr>
                <w:rFonts w:ascii="Times New Roman" w:hAnsi="Times New Roman"/>
              </w:rPr>
              <w:t>Should payment responsibility for incentives or lost margin/decoupling mechanisms be spread over all customer classes?</w:t>
            </w:r>
          </w:p>
          <w:p w:rsidR="00C876F5" w:rsidRDefault="00C876F5" w:rsidP="00C876F5">
            <w:pPr>
              <w:pStyle w:val="ListParagraph"/>
              <w:rPr>
                <w:rFonts w:ascii="Times New Roman" w:hAnsi="Times New Roman"/>
              </w:rPr>
            </w:pPr>
          </w:p>
          <w:p w:rsidR="00C876F5" w:rsidRPr="007977C3" w:rsidRDefault="00C876F5" w:rsidP="00C876F5">
            <w:pPr>
              <w:numPr>
                <w:ilvl w:val="0"/>
                <w:numId w:val="27"/>
              </w:numPr>
              <w:ind w:left="436"/>
              <w:rPr>
                <w:rFonts w:ascii="Times New Roman" w:hAnsi="Times New Roman"/>
              </w:rPr>
            </w:pPr>
            <w:r w:rsidRPr="007977C3">
              <w:rPr>
                <w:rFonts w:ascii="Times New Roman" w:hAnsi="Times New Roman"/>
              </w:rPr>
              <w:t>Should payments for incentives or lost margin/decoupling be listed separately on customer bills as surcharge with accompanying explanatory notice?</w:t>
            </w:r>
          </w:p>
          <w:p w:rsidR="00C876F5" w:rsidRPr="007977C3" w:rsidRDefault="00C876F5" w:rsidP="00C876F5">
            <w:pPr>
              <w:ind w:left="360"/>
              <w:rPr>
                <w:rFonts w:ascii="Times New Roman" w:hAnsi="Times New Roman"/>
              </w:rPr>
            </w:pPr>
          </w:p>
          <w:p w:rsidR="00C876F5" w:rsidRDefault="00C876F5" w:rsidP="00C876F5">
            <w:pPr>
              <w:rPr>
                <w:rFonts w:ascii="Times New Roman" w:hAnsi="Times New Roman"/>
                <w:b/>
                <w:u w:val="single"/>
              </w:rPr>
            </w:pPr>
            <w:r w:rsidRPr="007977C3">
              <w:rPr>
                <w:rFonts w:ascii="Times New Roman" w:hAnsi="Times New Roman"/>
                <w:b/>
                <w:u w:val="single"/>
              </w:rPr>
              <w:t>Evaluation of Savings Claims</w:t>
            </w:r>
          </w:p>
          <w:p w:rsidR="00C876F5" w:rsidRPr="007977C3" w:rsidRDefault="00C876F5" w:rsidP="00C876F5">
            <w:pPr>
              <w:rPr>
                <w:rFonts w:ascii="Times New Roman" w:hAnsi="Times New Roman"/>
                <w:b/>
                <w:u w:val="single"/>
              </w:rPr>
            </w:pPr>
          </w:p>
          <w:p w:rsidR="00C876F5" w:rsidRDefault="00C876F5" w:rsidP="00C876F5">
            <w:pPr>
              <w:numPr>
                <w:ilvl w:val="0"/>
                <w:numId w:val="27"/>
              </w:numPr>
              <w:ind w:left="436"/>
              <w:rPr>
                <w:rFonts w:ascii="Times New Roman" w:hAnsi="Times New Roman"/>
              </w:rPr>
            </w:pPr>
            <w:r w:rsidRPr="007977C3">
              <w:rPr>
                <w:rFonts w:ascii="Times New Roman" w:hAnsi="Times New Roman"/>
              </w:rPr>
              <w:t>How should savings claims made by utilities in connection with incentive or lost margin/decoupling payments be evaluated, measured, and verified?</w:t>
            </w:r>
          </w:p>
          <w:p w:rsidR="00C876F5" w:rsidRPr="007977C3" w:rsidRDefault="00C876F5" w:rsidP="00C876F5">
            <w:pPr>
              <w:ind w:left="720"/>
              <w:rPr>
                <w:rFonts w:ascii="Times New Roman" w:hAnsi="Times New Roman"/>
              </w:rPr>
            </w:pPr>
          </w:p>
          <w:p w:rsidR="00C876F5" w:rsidRDefault="00C876F5" w:rsidP="00C876F5">
            <w:pPr>
              <w:numPr>
                <w:ilvl w:val="0"/>
                <w:numId w:val="27"/>
              </w:numPr>
              <w:ind w:left="436"/>
              <w:rPr>
                <w:rFonts w:ascii="Times New Roman" w:hAnsi="Times New Roman"/>
              </w:rPr>
            </w:pPr>
            <w:r w:rsidRPr="007977C3">
              <w:rPr>
                <w:rFonts w:ascii="Times New Roman" w:hAnsi="Times New Roman"/>
              </w:rPr>
              <w:t>Should establishment of an approved EM&amp;V program be a prerequisite to approval of an incentive or lost margin/decoupling mechanism for a utility?</w:t>
            </w:r>
          </w:p>
          <w:p w:rsidR="00C876F5" w:rsidRDefault="00C876F5" w:rsidP="00C876F5">
            <w:pPr>
              <w:pStyle w:val="ListParagraph"/>
              <w:rPr>
                <w:rFonts w:ascii="Times New Roman" w:hAnsi="Times New Roman"/>
              </w:rPr>
            </w:pPr>
          </w:p>
          <w:p w:rsidR="00C876F5" w:rsidRPr="007977C3" w:rsidRDefault="00C876F5" w:rsidP="00C876F5">
            <w:pPr>
              <w:numPr>
                <w:ilvl w:val="0"/>
                <w:numId w:val="27"/>
              </w:numPr>
              <w:ind w:left="436"/>
              <w:rPr>
                <w:rFonts w:ascii="Times New Roman" w:hAnsi="Times New Roman"/>
              </w:rPr>
            </w:pPr>
            <w:r w:rsidRPr="007977C3">
              <w:rPr>
                <w:rFonts w:ascii="Times New Roman" w:hAnsi="Times New Roman"/>
              </w:rPr>
              <w:t>Should Washington state establish (via UTC rule or legislation) an independent third party entity with oversight of EM&amp;V, with authority to (1) establish EM&amp;V protocols and requirements and (2) conduct actual EM&amp;V of utility savings claims (either directly, or using technical consultants under contract, for example)</w:t>
            </w:r>
          </w:p>
          <w:p w:rsidR="00C876F5" w:rsidRPr="007977C3" w:rsidRDefault="00C876F5" w:rsidP="00C876F5">
            <w:pPr>
              <w:pStyle w:val="ListParagraph"/>
              <w:rPr>
                <w:rFonts w:ascii="Times New Roman" w:hAnsi="Times New Roman"/>
                <w:szCs w:val="24"/>
              </w:rPr>
            </w:pPr>
          </w:p>
          <w:p w:rsidR="00C876F5" w:rsidRDefault="00C876F5" w:rsidP="00C876F5">
            <w:pPr>
              <w:rPr>
                <w:rFonts w:ascii="Times New Roman" w:hAnsi="Times New Roman"/>
                <w:b/>
                <w:u w:val="single"/>
              </w:rPr>
            </w:pPr>
            <w:r w:rsidRPr="007977C3">
              <w:rPr>
                <w:rFonts w:ascii="Times New Roman" w:hAnsi="Times New Roman"/>
                <w:b/>
                <w:u w:val="single"/>
              </w:rPr>
              <w:t>Alternatives to Incentive and Lost Margin/Decoupling Mechanisms</w:t>
            </w:r>
          </w:p>
          <w:p w:rsidR="00C876F5" w:rsidRPr="007977C3" w:rsidRDefault="00C876F5" w:rsidP="00C876F5">
            <w:pPr>
              <w:rPr>
                <w:rFonts w:ascii="Times New Roman" w:hAnsi="Times New Roman"/>
                <w:b/>
                <w:u w:val="single"/>
              </w:rPr>
            </w:pPr>
          </w:p>
          <w:p w:rsidR="00C876F5" w:rsidRPr="007977C3" w:rsidRDefault="00C876F5" w:rsidP="00C876F5">
            <w:pPr>
              <w:numPr>
                <w:ilvl w:val="0"/>
                <w:numId w:val="27"/>
              </w:numPr>
              <w:ind w:left="436"/>
              <w:rPr>
                <w:rFonts w:ascii="Times New Roman" w:hAnsi="Times New Roman"/>
              </w:rPr>
            </w:pPr>
            <w:r w:rsidRPr="007977C3">
              <w:rPr>
                <w:rFonts w:ascii="Times New Roman" w:hAnsi="Times New Roman"/>
              </w:rPr>
              <w:t>Should Washington establish an Energy Trust of Oregon (ETO) type of entity to deliver energy efficiency programs in the state?</w:t>
            </w:r>
          </w:p>
          <w:p w:rsidR="00C876F5" w:rsidRPr="007977C3" w:rsidRDefault="00C876F5" w:rsidP="000C6A85">
            <w:pPr>
              <w:spacing w:line="480" w:lineRule="auto"/>
              <w:rPr>
                <w:rFonts w:ascii="Times New Roman" w:hAnsi="Times New Roman"/>
                <w:b/>
                <w:u w:val="single"/>
              </w:rPr>
            </w:pPr>
          </w:p>
        </w:tc>
      </w:tr>
    </w:tbl>
    <w:p w:rsidR="004C2024" w:rsidRPr="007977C3" w:rsidRDefault="004C2024" w:rsidP="00936FD8">
      <w:pPr>
        <w:rPr>
          <w:rFonts w:ascii="Times New Roman" w:hAnsi="Times New Roman"/>
        </w:rPr>
      </w:pPr>
    </w:p>
    <w:p w:rsidR="00936FD8" w:rsidRPr="007977C3" w:rsidRDefault="004C2024" w:rsidP="00936FD8">
      <w:pPr>
        <w:rPr>
          <w:rFonts w:ascii="Times New Roman" w:hAnsi="Times New Roman"/>
        </w:rPr>
      </w:pPr>
      <w:r w:rsidRPr="007977C3">
        <w:rPr>
          <w:rFonts w:ascii="Times New Roman" w:hAnsi="Times New Roman"/>
        </w:rPr>
        <w:br w:type="page"/>
      </w:r>
    </w:p>
    <w:p w:rsidR="008F0804" w:rsidRPr="007977C3" w:rsidRDefault="008F0804" w:rsidP="008F0804">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0E54E1" w:rsidRPr="007977C3" w:rsidTr="004C2024">
        <w:tc>
          <w:tcPr>
            <w:tcW w:w="2988" w:type="dxa"/>
            <w:shd w:val="pct10" w:color="auto" w:fill="auto"/>
          </w:tcPr>
          <w:p w:rsidR="000E54E1" w:rsidRPr="007977C3" w:rsidRDefault="00423BF8" w:rsidP="006751A1">
            <w:pPr>
              <w:jc w:val="center"/>
              <w:rPr>
                <w:rFonts w:ascii="Times New Roman" w:hAnsi="Times New Roman"/>
                <w:b/>
              </w:rPr>
            </w:pPr>
            <w:r>
              <w:rPr>
                <w:rFonts w:ascii="Times New Roman" w:hAnsi="Times New Roman"/>
                <w:b/>
              </w:rPr>
              <w:t>Party</w:t>
            </w:r>
          </w:p>
        </w:tc>
        <w:tc>
          <w:tcPr>
            <w:tcW w:w="10260" w:type="dxa"/>
            <w:shd w:val="pct10" w:color="auto" w:fill="auto"/>
          </w:tcPr>
          <w:p w:rsidR="000E54E1" w:rsidRPr="007977C3" w:rsidRDefault="000E54E1" w:rsidP="00704BFE">
            <w:pPr>
              <w:jc w:val="center"/>
              <w:rPr>
                <w:rFonts w:ascii="Times New Roman" w:hAnsi="Times New Roman"/>
                <w:b/>
              </w:rPr>
            </w:pPr>
            <w:r w:rsidRPr="007977C3">
              <w:rPr>
                <w:rFonts w:ascii="Times New Roman" w:hAnsi="Times New Roman"/>
                <w:b/>
              </w:rPr>
              <w:t>COMMENTS</w:t>
            </w:r>
          </w:p>
        </w:tc>
      </w:tr>
      <w:tr w:rsidR="000E54E1" w:rsidRPr="007977C3" w:rsidTr="00907E2C">
        <w:tc>
          <w:tcPr>
            <w:tcW w:w="2988" w:type="dxa"/>
            <w:tcBorders>
              <w:bottom w:val="single" w:sz="4" w:space="0" w:color="auto"/>
            </w:tcBorders>
          </w:tcPr>
          <w:p w:rsidR="000E54E1" w:rsidRPr="0063133F" w:rsidRDefault="0069146A" w:rsidP="00681B3D">
            <w:pPr>
              <w:rPr>
                <w:rFonts w:ascii="Times New Roman" w:hAnsi="Times New Roman"/>
                <w:b/>
              </w:rPr>
            </w:pPr>
            <w:r w:rsidRPr="0063133F">
              <w:rPr>
                <w:rFonts w:ascii="Times New Roman" w:hAnsi="Times New Roman"/>
                <w:b/>
              </w:rPr>
              <w:t>Ind</w:t>
            </w:r>
            <w:r w:rsidR="008C3FB7" w:rsidRPr="0063133F">
              <w:rPr>
                <w:rFonts w:ascii="Times New Roman" w:hAnsi="Times New Roman"/>
                <w:b/>
              </w:rPr>
              <w:t>ustrial Customers of Northwest U</w:t>
            </w:r>
            <w:r w:rsidRPr="0063133F">
              <w:rPr>
                <w:rFonts w:ascii="Times New Roman" w:hAnsi="Times New Roman"/>
                <w:b/>
              </w:rPr>
              <w:t>t</w:t>
            </w:r>
            <w:r w:rsidR="008C3FB7" w:rsidRPr="0063133F">
              <w:rPr>
                <w:rFonts w:ascii="Times New Roman" w:hAnsi="Times New Roman"/>
                <w:b/>
              </w:rPr>
              <w:t>i</w:t>
            </w:r>
            <w:r w:rsidRPr="0063133F">
              <w:rPr>
                <w:rFonts w:ascii="Times New Roman" w:hAnsi="Times New Roman"/>
                <w:b/>
              </w:rPr>
              <w:t>l</w:t>
            </w:r>
            <w:r w:rsidR="008C3FB7" w:rsidRPr="0063133F">
              <w:rPr>
                <w:rFonts w:ascii="Times New Roman" w:hAnsi="Times New Roman"/>
                <w:b/>
              </w:rPr>
              <w:t>i</w:t>
            </w:r>
            <w:r w:rsidRPr="0063133F">
              <w:rPr>
                <w:rFonts w:ascii="Times New Roman" w:hAnsi="Times New Roman"/>
                <w:b/>
              </w:rPr>
              <w:t>ties</w:t>
            </w:r>
          </w:p>
        </w:tc>
        <w:tc>
          <w:tcPr>
            <w:tcW w:w="10260" w:type="dxa"/>
            <w:tcBorders>
              <w:bottom w:val="single" w:sz="4" w:space="0" w:color="auto"/>
            </w:tcBorders>
          </w:tcPr>
          <w:p w:rsidR="0069146A" w:rsidRPr="007977C3" w:rsidRDefault="0069146A" w:rsidP="008C3FB7">
            <w:pPr>
              <w:rPr>
                <w:rFonts w:ascii="Times New Roman" w:hAnsi="Times New Roman"/>
              </w:rPr>
            </w:pPr>
            <w:r w:rsidRPr="007977C3">
              <w:rPr>
                <w:rFonts w:ascii="Times New Roman" w:hAnsi="Times New Roman"/>
              </w:rPr>
              <w:t>The two broad issues the WUTC is considering are:  (1) Do utilities have a disincentive in acquiring all cost-effective conservation and, if so, how should it be addressed in a way that is fair to both the utility and its customers; and (2) Even if there is no disincentive, do utilities need an additional financial incentive to acquire cost-effective conservation and, if so, what incentive is fair to both the utilities and customers?  The following are additional issues that should be considered in the context of resolving these broader issues:</w:t>
            </w:r>
          </w:p>
          <w:p w:rsidR="0069146A" w:rsidRPr="007977C3" w:rsidRDefault="0069146A" w:rsidP="0069146A">
            <w:pPr>
              <w:ind w:left="360"/>
              <w:rPr>
                <w:rFonts w:ascii="Times New Roman" w:hAnsi="Times New Roman"/>
              </w:rPr>
            </w:pPr>
          </w:p>
          <w:p w:rsidR="0069146A" w:rsidRPr="007977C3" w:rsidRDefault="0069146A" w:rsidP="005B2593">
            <w:pPr>
              <w:pStyle w:val="ListParagraph"/>
              <w:numPr>
                <w:ilvl w:val="0"/>
                <w:numId w:val="31"/>
              </w:numPr>
              <w:ind w:left="432"/>
              <w:rPr>
                <w:rFonts w:ascii="Times New Roman" w:hAnsi="Times New Roman"/>
                <w:szCs w:val="24"/>
              </w:rPr>
            </w:pPr>
            <w:r w:rsidRPr="007977C3">
              <w:rPr>
                <w:rFonts w:ascii="Times New Roman" w:hAnsi="Times New Roman"/>
                <w:szCs w:val="24"/>
              </w:rPr>
              <w:t xml:space="preserve">Does the I-937 </w:t>
            </w:r>
            <w:r w:rsidRPr="007977C3">
              <w:rPr>
                <w:rFonts w:ascii="Times New Roman" w:hAnsi="Times New Roman"/>
                <w:i/>
                <w:szCs w:val="24"/>
              </w:rPr>
              <w:t>mandate</w:t>
            </w:r>
            <w:r w:rsidRPr="007977C3">
              <w:rPr>
                <w:rFonts w:ascii="Times New Roman" w:hAnsi="Times New Roman"/>
                <w:szCs w:val="24"/>
              </w:rPr>
              <w:t xml:space="preserve"> that electric utilities determine and acquire all cost-effective conservation eliminate or override any “disincentive” or need for a further “incentive” since this voter approved initiative does not contain any incentives to compensate the electric utilities for this mandated conservation?</w:t>
            </w:r>
          </w:p>
          <w:p w:rsidR="0069146A" w:rsidRPr="007977C3" w:rsidRDefault="0069146A" w:rsidP="0069146A">
            <w:pPr>
              <w:ind w:left="720" w:hanging="360"/>
              <w:rPr>
                <w:rFonts w:ascii="Times New Roman" w:hAnsi="Times New Roman"/>
              </w:rPr>
            </w:pPr>
          </w:p>
          <w:p w:rsidR="0069146A" w:rsidRPr="007977C3" w:rsidRDefault="0069146A" w:rsidP="005B2593">
            <w:pPr>
              <w:pStyle w:val="ListParagraph"/>
              <w:numPr>
                <w:ilvl w:val="0"/>
                <w:numId w:val="31"/>
              </w:numPr>
              <w:ind w:left="432"/>
              <w:rPr>
                <w:rFonts w:ascii="Times New Roman" w:hAnsi="Times New Roman"/>
                <w:szCs w:val="24"/>
              </w:rPr>
            </w:pPr>
            <w:r w:rsidRPr="007977C3">
              <w:rPr>
                <w:rFonts w:ascii="Times New Roman" w:hAnsi="Times New Roman"/>
                <w:szCs w:val="24"/>
              </w:rPr>
              <w:t>Are there unique differences that warrant different treatment between electric and gas utilities?</w:t>
            </w:r>
          </w:p>
          <w:p w:rsidR="0069146A" w:rsidRPr="008C3FB7" w:rsidRDefault="0069146A" w:rsidP="008C3FB7">
            <w:pPr>
              <w:pStyle w:val="ListParagraph"/>
              <w:rPr>
                <w:rFonts w:ascii="Times New Roman" w:hAnsi="Times New Roman"/>
                <w:szCs w:val="24"/>
              </w:rPr>
            </w:pPr>
          </w:p>
          <w:p w:rsidR="0069146A" w:rsidRPr="007977C3" w:rsidRDefault="0069146A" w:rsidP="005B2593">
            <w:pPr>
              <w:pStyle w:val="ListParagraph"/>
              <w:numPr>
                <w:ilvl w:val="0"/>
                <w:numId w:val="31"/>
              </w:numPr>
              <w:ind w:left="432"/>
              <w:rPr>
                <w:rFonts w:ascii="Times New Roman" w:hAnsi="Times New Roman"/>
                <w:szCs w:val="24"/>
              </w:rPr>
            </w:pPr>
            <w:r w:rsidRPr="007977C3">
              <w:rPr>
                <w:rFonts w:ascii="Times New Roman" w:hAnsi="Times New Roman"/>
                <w:szCs w:val="24"/>
              </w:rPr>
              <w:t xml:space="preserve">Assuming “lost revenues” are a disincentive that must be addressed, how are “lost revenues” measured?  How “big” of an issue is this, and what would be the potential rate impact?  </w:t>
            </w:r>
          </w:p>
          <w:p w:rsidR="0069146A" w:rsidRPr="007977C3" w:rsidRDefault="0069146A" w:rsidP="0069146A">
            <w:pPr>
              <w:ind w:left="720" w:hanging="360"/>
              <w:rPr>
                <w:rFonts w:ascii="Times New Roman" w:hAnsi="Times New Roman"/>
              </w:rPr>
            </w:pP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 xml:space="preserve">Only losses </w:t>
            </w:r>
            <w:r w:rsidRPr="007977C3">
              <w:rPr>
                <w:rFonts w:ascii="Times New Roman" w:hAnsi="Times New Roman"/>
                <w:i/>
              </w:rPr>
              <w:t>directly</w:t>
            </w:r>
            <w:r w:rsidRPr="007977C3">
              <w:rPr>
                <w:rFonts w:ascii="Times New Roman" w:hAnsi="Times New Roman"/>
              </w:rPr>
              <w:t xml:space="preserve"> as a result of utility programs (not codes and appliance standards) should be measured.</w:t>
            </w: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 xml:space="preserve">How </w:t>
            </w:r>
            <w:proofErr w:type="gramStart"/>
            <w:r w:rsidRPr="007977C3">
              <w:rPr>
                <w:rFonts w:ascii="Times New Roman" w:hAnsi="Times New Roman"/>
              </w:rPr>
              <w:t>are such losses</w:t>
            </w:r>
            <w:proofErr w:type="gramEnd"/>
            <w:r w:rsidRPr="007977C3">
              <w:rPr>
                <w:rFonts w:ascii="Times New Roman" w:hAnsi="Times New Roman"/>
              </w:rPr>
              <w:t xml:space="preserve"> objectively measured and verified; also, does conservation in one area stimulate customer behavior that increases usage in another area?</w:t>
            </w: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Losses should be adjusted for new customers, for weather, for usage per customer, and other factors (all complicated calculations).</w:t>
            </w: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Losses should be deemed zero if actual loads exceed forecast loads.</w:t>
            </w: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If an incentive is adopted, it should not be 100% recovery but subject to a percentage sharing with customers.</w:t>
            </w:r>
          </w:p>
          <w:p w:rsidR="0069146A" w:rsidRPr="007977C3" w:rsidRDefault="0069146A" w:rsidP="005C1D4E">
            <w:pPr>
              <w:numPr>
                <w:ilvl w:val="0"/>
                <w:numId w:val="30"/>
              </w:numPr>
              <w:tabs>
                <w:tab w:val="clear" w:pos="1440"/>
                <w:tab w:val="num" w:pos="792"/>
              </w:tabs>
              <w:ind w:left="792"/>
              <w:rPr>
                <w:rFonts w:ascii="Times New Roman" w:hAnsi="Times New Roman"/>
              </w:rPr>
            </w:pPr>
            <w:r w:rsidRPr="007977C3">
              <w:rPr>
                <w:rFonts w:ascii="Times New Roman" w:hAnsi="Times New Roman"/>
              </w:rPr>
              <w:t>How do you ensure that load reduction associated with economic or other non-conservation reasons is isolated and not counted as conservation related load reduction?</w:t>
            </w:r>
          </w:p>
          <w:p w:rsidR="0069146A" w:rsidRPr="007977C3" w:rsidRDefault="0069146A" w:rsidP="0069146A">
            <w:pPr>
              <w:ind w:left="360"/>
              <w:rPr>
                <w:rFonts w:ascii="Times New Roman" w:hAnsi="Times New Roman"/>
              </w:rPr>
            </w:pPr>
          </w:p>
          <w:p w:rsidR="0069146A" w:rsidRPr="007977C3" w:rsidRDefault="0069146A" w:rsidP="005B2593">
            <w:pPr>
              <w:pStyle w:val="ListParagraph"/>
              <w:numPr>
                <w:ilvl w:val="0"/>
                <w:numId w:val="31"/>
              </w:numPr>
              <w:ind w:left="432"/>
              <w:rPr>
                <w:rFonts w:ascii="Times New Roman" w:hAnsi="Times New Roman"/>
                <w:szCs w:val="24"/>
              </w:rPr>
            </w:pPr>
            <w:r w:rsidRPr="007977C3">
              <w:rPr>
                <w:rFonts w:ascii="Times New Roman" w:hAnsi="Times New Roman"/>
                <w:szCs w:val="24"/>
              </w:rPr>
              <w:t>Should any conservation incentive be offset by a reduced ROE since risk is being reduced to utilities and shifted to customers?</w:t>
            </w:r>
          </w:p>
          <w:p w:rsidR="000E54E1" w:rsidRPr="00907E2C" w:rsidRDefault="000E54E1" w:rsidP="00907E2C">
            <w:pPr>
              <w:ind w:left="72"/>
              <w:rPr>
                <w:b/>
              </w:rPr>
            </w:pPr>
          </w:p>
        </w:tc>
      </w:tr>
      <w:tr w:rsidR="00907E2C" w:rsidRPr="007977C3" w:rsidTr="00907E2C">
        <w:tc>
          <w:tcPr>
            <w:tcW w:w="2988" w:type="dxa"/>
            <w:shd w:val="pct12" w:color="auto" w:fill="auto"/>
          </w:tcPr>
          <w:p w:rsidR="00907E2C" w:rsidRPr="007977C3" w:rsidRDefault="00907E2C" w:rsidP="00907E2C">
            <w:pPr>
              <w:jc w:val="center"/>
              <w:rPr>
                <w:rFonts w:ascii="Times New Roman" w:hAnsi="Times New Roman"/>
                <w:b/>
              </w:rPr>
            </w:pPr>
            <w:r>
              <w:rPr>
                <w:rFonts w:ascii="Times New Roman" w:hAnsi="Times New Roman"/>
                <w:b/>
              </w:rPr>
              <w:lastRenderedPageBreak/>
              <w:t>Party</w:t>
            </w:r>
          </w:p>
        </w:tc>
        <w:tc>
          <w:tcPr>
            <w:tcW w:w="10260" w:type="dxa"/>
            <w:shd w:val="pct12" w:color="auto" w:fill="auto"/>
          </w:tcPr>
          <w:p w:rsidR="00907E2C" w:rsidRPr="007977C3" w:rsidRDefault="00907E2C" w:rsidP="00907E2C">
            <w:pPr>
              <w:jc w:val="center"/>
              <w:rPr>
                <w:rFonts w:ascii="Times New Roman" w:hAnsi="Times New Roman"/>
                <w:b/>
              </w:rPr>
            </w:pPr>
            <w:r w:rsidRPr="007977C3">
              <w:rPr>
                <w:rFonts w:ascii="Times New Roman" w:hAnsi="Times New Roman"/>
                <w:b/>
              </w:rPr>
              <w:t>COMMENTS</w:t>
            </w:r>
          </w:p>
        </w:tc>
      </w:tr>
      <w:tr w:rsidR="00907E2C" w:rsidRPr="007977C3" w:rsidTr="004C2024">
        <w:tc>
          <w:tcPr>
            <w:tcW w:w="2988" w:type="dxa"/>
          </w:tcPr>
          <w:p w:rsidR="00907E2C" w:rsidRPr="0063133F" w:rsidRDefault="00681B3D" w:rsidP="00681B3D">
            <w:pPr>
              <w:rPr>
                <w:rFonts w:ascii="Times New Roman" w:hAnsi="Times New Roman"/>
                <w:b/>
              </w:rPr>
            </w:pPr>
            <w:r w:rsidRPr="0063133F">
              <w:rPr>
                <w:rFonts w:ascii="Times New Roman" w:hAnsi="Times New Roman"/>
                <w:b/>
              </w:rPr>
              <w:t>Industrial Customers of Northwest Utilities</w:t>
            </w:r>
            <w:r w:rsidR="00E56997">
              <w:rPr>
                <w:rFonts w:ascii="Times New Roman" w:hAnsi="Times New Roman"/>
                <w:b/>
              </w:rPr>
              <w:t xml:space="preserve"> </w:t>
            </w:r>
            <w:r w:rsidR="00E56997" w:rsidRPr="00E56997">
              <w:rPr>
                <w:b/>
                <w:i/>
              </w:rPr>
              <w:t>(Continued)</w:t>
            </w:r>
          </w:p>
        </w:tc>
        <w:tc>
          <w:tcPr>
            <w:tcW w:w="10260" w:type="dxa"/>
          </w:tcPr>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Is any incentive necessary or appropriate for achieving conservation up to the electric utility’s I-937 targets since these are already mandated by law?  (If the target is a range, to the upper bound of the range?)</w:t>
            </w:r>
          </w:p>
          <w:p w:rsidR="00907E2C" w:rsidRPr="007977C3" w:rsidRDefault="00907E2C" w:rsidP="00907E2C">
            <w:pPr>
              <w:rPr>
                <w:rFonts w:ascii="Times New Roman" w:hAnsi="Times New Roman"/>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Is an incentive appropriate for electric utilities to achieve conservation in excess of its two-year I-937 targets?  (Is this “non-cost effective” conservation or just earlier acquisition of cost-effective conservation within the ten year target?  How do we assure that I-937 targets are not underestimating achievable cost-effective conservation?)</w:t>
            </w:r>
          </w:p>
          <w:p w:rsidR="00907E2C" w:rsidRPr="007977C3" w:rsidRDefault="00907E2C" w:rsidP="00907E2C">
            <w:pPr>
              <w:rPr>
                <w:rFonts w:ascii="Times New Roman" w:hAnsi="Times New Roman"/>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 xml:space="preserve">If an incentive is appropriate, how should it be structured and implemented?  </w:t>
            </w:r>
          </w:p>
          <w:p w:rsidR="00907E2C" w:rsidRPr="007977C3" w:rsidRDefault="00907E2C" w:rsidP="00907E2C">
            <w:pPr>
              <w:rPr>
                <w:rFonts w:ascii="Times New Roman" w:hAnsi="Times New Roman"/>
              </w:rPr>
            </w:pPr>
          </w:p>
          <w:p w:rsidR="00907E2C" w:rsidRPr="007977C3" w:rsidRDefault="00907E2C" w:rsidP="00907E2C">
            <w:pPr>
              <w:pStyle w:val="ListParagraph"/>
              <w:numPr>
                <w:ilvl w:val="1"/>
                <w:numId w:val="32"/>
              </w:numPr>
              <w:ind w:left="792"/>
              <w:rPr>
                <w:rFonts w:ascii="Times New Roman" w:hAnsi="Times New Roman"/>
                <w:szCs w:val="24"/>
              </w:rPr>
            </w:pPr>
            <w:r w:rsidRPr="007977C3">
              <w:rPr>
                <w:rFonts w:ascii="Times New Roman" w:hAnsi="Times New Roman"/>
                <w:szCs w:val="24"/>
              </w:rPr>
              <w:t>Given the recent rash of electric rate increases in a poor economy, can customers afford a rate increase associated with a utility “incentive” at this time?</w:t>
            </w:r>
          </w:p>
          <w:p w:rsidR="00907E2C" w:rsidRPr="007977C3" w:rsidRDefault="00907E2C" w:rsidP="00907E2C">
            <w:pPr>
              <w:ind w:left="1080"/>
              <w:rPr>
                <w:rFonts w:ascii="Times New Roman" w:hAnsi="Times New Roman"/>
              </w:rPr>
            </w:pPr>
          </w:p>
          <w:p w:rsidR="00907E2C" w:rsidRPr="007977C3" w:rsidRDefault="00907E2C" w:rsidP="00907E2C">
            <w:pPr>
              <w:pStyle w:val="ListParagraph"/>
              <w:numPr>
                <w:ilvl w:val="1"/>
                <w:numId w:val="32"/>
              </w:numPr>
              <w:ind w:left="792"/>
              <w:rPr>
                <w:rFonts w:ascii="Times New Roman" w:hAnsi="Times New Roman"/>
                <w:szCs w:val="24"/>
              </w:rPr>
            </w:pPr>
            <w:r w:rsidRPr="007977C3">
              <w:rPr>
                <w:rFonts w:ascii="Times New Roman" w:hAnsi="Times New Roman"/>
                <w:szCs w:val="24"/>
              </w:rPr>
              <w:t>Does the incentive approach provide a double rate-related hit for customers, in that the customers pay for all costs related to the conservation program and then they also pay to make the utility whole for lost revenue?  Is this fair?</w:t>
            </w:r>
          </w:p>
          <w:p w:rsidR="00907E2C" w:rsidRPr="007977C3" w:rsidRDefault="00907E2C" w:rsidP="00907E2C">
            <w:pPr>
              <w:ind w:left="720" w:hanging="360"/>
              <w:rPr>
                <w:rFonts w:ascii="Times New Roman" w:hAnsi="Times New Roman"/>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Should large customers (over 1MW) be treated differently than residential/commercial customers with regard to “lost revenues” recovery and/or incentives?</w:t>
            </w:r>
          </w:p>
          <w:p w:rsidR="00907E2C" w:rsidRPr="007977C3" w:rsidRDefault="00907E2C" w:rsidP="00907E2C">
            <w:pPr>
              <w:ind w:left="720" w:hanging="360"/>
              <w:rPr>
                <w:rFonts w:ascii="Times New Roman" w:hAnsi="Times New Roman"/>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Are there any factual changes that justify a departure from the Commission’s conclusion that all three (electric) IOUs are meeting or exceeding NPCC targets and that there is no evidence of a “disincentive” for conservation? Is there any evidence that a direct incentive may lead to superior performance?</w:t>
            </w:r>
          </w:p>
          <w:p w:rsidR="00907E2C" w:rsidRPr="007977C3" w:rsidRDefault="00907E2C" w:rsidP="00907E2C">
            <w:pPr>
              <w:pStyle w:val="ListParagraph"/>
              <w:rPr>
                <w:rFonts w:ascii="Times New Roman" w:hAnsi="Times New Roman"/>
                <w:szCs w:val="24"/>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How does the conservation “incentive” fit with the regulatory compact?  Are we seeking to guarantee a level of profit for the utilities?</w:t>
            </w:r>
          </w:p>
          <w:p w:rsidR="00907E2C" w:rsidRPr="007977C3" w:rsidRDefault="00907E2C" w:rsidP="00907E2C">
            <w:pPr>
              <w:rPr>
                <w:rFonts w:ascii="Times New Roman" w:hAnsi="Times New Roman"/>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Are there better mechanisms for promoting conservation than utility incentives?</w:t>
            </w:r>
          </w:p>
          <w:p w:rsidR="00907E2C" w:rsidRPr="007977C3" w:rsidRDefault="00907E2C" w:rsidP="00907E2C">
            <w:pPr>
              <w:pStyle w:val="ListParagraph"/>
              <w:ind w:left="1080"/>
              <w:rPr>
                <w:rFonts w:ascii="Times New Roman" w:hAnsi="Times New Roman"/>
                <w:szCs w:val="24"/>
              </w:rPr>
            </w:pPr>
          </w:p>
          <w:p w:rsidR="00907E2C" w:rsidRPr="007977C3" w:rsidRDefault="00907E2C" w:rsidP="00907E2C">
            <w:pPr>
              <w:pStyle w:val="ListParagraph"/>
              <w:numPr>
                <w:ilvl w:val="0"/>
                <w:numId w:val="31"/>
              </w:numPr>
              <w:ind w:left="432"/>
              <w:rPr>
                <w:rFonts w:ascii="Times New Roman" w:hAnsi="Times New Roman"/>
                <w:szCs w:val="24"/>
              </w:rPr>
            </w:pPr>
            <w:r w:rsidRPr="007977C3">
              <w:rPr>
                <w:rFonts w:ascii="Times New Roman" w:hAnsi="Times New Roman"/>
                <w:szCs w:val="24"/>
              </w:rPr>
              <w:t>Should the incentive costs, if adopted, only apply to the generation portion of the utility costs?</w:t>
            </w:r>
          </w:p>
          <w:p w:rsidR="00907E2C" w:rsidRPr="007977C3" w:rsidRDefault="00907E2C" w:rsidP="008C3FB7">
            <w:pPr>
              <w:rPr>
                <w:rFonts w:ascii="Times New Roman" w:hAnsi="Times New Roman"/>
              </w:rPr>
            </w:pPr>
          </w:p>
        </w:tc>
      </w:tr>
    </w:tbl>
    <w:p w:rsidR="004C2024" w:rsidRPr="007977C3" w:rsidRDefault="004C2024">
      <w:pPr>
        <w:rPr>
          <w:rFonts w:ascii="Times New Roman" w:hAnsi="Times New Roman"/>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4C2024" w:rsidRPr="007977C3" w:rsidTr="004C2024">
        <w:tc>
          <w:tcPr>
            <w:tcW w:w="2988" w:type="dxa"/>
            <w:shd w:val="pct10" w:color="auto" w:fill="auto"/>
          </w:tcPr>
          <w:p w:rsidR="004C2024" w:rsidRPr="00423BF8" w:rsidRDefault="004C2024" w:rsidP="00423BF8">
            <w:pPr>
              <w:pStyle w:val="BodyText3"/>
              <w:suppressAutoHyphens w:val="0"/>
              <w:spacing w:line="264" w:lineRule="auto"/>
              <w:jc w:val="center"/>
              <w:rPr>
                <w:b/>
                <w:i/>
                <w:sz w:val="24"/>
              </w:rPr>
            </w:pPr>
            <w:r w:rsidRPr="007977C3">
              <w:rPr>
                <w:sz w:val="24"/>
              </w:rPr>
              <w:br w:type="page"/>
            </w:r>
            <w:r w:rsidR="00423BF8" w:rsidRPr="00423BF8">
              <w:rPr>
                <w:b/>
                <w:sz w:val="24"/>
              </w:rPr>
              <w:t>Party</w:t>
            </w:r>
          </w:p>
        </w:tc>
        <w:tc>
          <w:tcPr>
            <w:tcW w:w="10260" w:type="dxa"/>
            <w:shd w:val="pct10" w:color="auto" w:fill="auto"/>
          </w:tcPr>
          <w:p w:rsidR="004C2024" w:rsidRPr="007977C3" w:rsidRDefault="004C2024" w:rsidP="004C2024">
            <w:pPr>
              <w:pStyle w:val="BodyText3"/>
              <w:suppressAutoHyphens w:val="0"/>
              <w:spacing w:line="264" w:lineRule="auto"/>
              <w:jc w:val="center"/>
              <w:rPr>
                <w:sz w:val="24"/>
              </w:rPr>
            </w:pPr>
            <w:r w:rsidRPr="007977C3">
              <w:rPr>
                <w:b/>
                <w:sz w:val="24"/>
              </w:rPr>
              <w:t>COMMENTS</w:t>
            </w:r>
          </w:p>
        </w:tc>
      </w:tr>
      <w:tr w:rsidR="000E54E1" w:rsidRPr="007977C3" w:rsidTr="00907E2C">
        <w:tc>
          <w:tcPr>
            <w:tcW w:w="2988" w:type="dxa"/>
            <w:tcBorders>
              <w:bottom w:val="single" w:sz="4" w:space="0" w:color="auto"/>
            </w:tcBorders>
          </w:tcPr>
          <w:p w:rsidR="000E54E1" w:rsidRPr="0063133F" w:rsidRDefault="0069146A" w:rsidP="0069146A">
            <w:pPr>
              <w:pStyle w:val="BodyText3"/>
              <w:suppressAutoHyphens w:val="0"/>
              <w:spacing w:line="264" w:lineRule="auto"/>
              <w:rPr>
                <w:b/>
                <w:sz w:val="24"/>
              </w:rPr>
            </w:pPr>
            <w:r w:rsidRPr="0063133F">
              <w:rPr>
                <w:b/>
                <w:sz w:val="24"/>
              </w:rPr>
              <w:t>Northwest Industrial gas Users</w:t>
            </w:r>
            <w:r w:rsidR="00E56997">
              <w:rPr>
                <w:b/>
                <w:sz w:val="24"/>
              </w:rPr>
              <w:t xml:space="preserve"> </w:t>
            </w:r>
          </w:p>
        </w:tc>
        <w:tc>
          <w:tcPr>
            <w:tcW w:w="10260" w:type="dxa"/>
            <w:tcBorders>
              <w:bottom w:val="single" w:sz="4" w:space="0" w:color="auto"/>
            </w:tcBorders>
          </w:tcPr>
          <w:p w:rsidR="00646556" w:rsidRPr="00207144" w:rsidRDefault="00646556" w:rsidP="005C1D4E">
            <w:pPr>
              <w:pStyle w:val="ListParagraph"/>
              <w:numPr>
                <w:ilvl w:val="0"/>
                <w:numId w:val="36"/>
              </w:numPr>
              <w:ind w:left="432"/>
              <w:rPr>
                <w:rFonts w:ascii="Times New Roman" w:hAnsi="Times New Roman"/>
                <w:color w:val="000000"/>
              </w:rPr>
            </w:pPr>
            <w:r w:rsidRPr="00207144">
              <w:rPr>
                <w:rFonts w:ascii="Times New Roman" w:hAnsi="Times New Roman"/>
                <w:color w:val="000000"/>
              </w:rPr>
              <w:t>Is there any need for the Commission to engage in proposed rulemaking applicable to natural gas utilities addressing the issue of lost revenue due to conservation or conservation incentives given the Commission’s existing authority to implement appropriate decoupling or other incentive structures to advance conservation through appropriate case by case determinations?</w:t>
            </w:r>
          </w:p>
          <w:p w:rsidR="00646556" w:rsidRPr="007977C3" w:rsidRDefault="00646556" w:rsidP="00646556">
            <w:pPr>
              <w:jc w:val="both"/>
              <w:rPr>
                <w:rFonts w:ascii="Times New Roman" w:hAnsi="Times New Roman"/>
                <w:color w:val="000000"/>
              </w:rPr>
            </w:pPr>
          </w:p>
          <w:p w:rsidR="00646556" w:rsidRPr="007977C3" w:rsidRDefault="00646556" w:rsidP="005C1D4E">
            <w:pPr>
              <w:pStyle w:val="ListParagraph"/>
              <w:numPr>
                <w:ilvl w:val="0"/>
                <w:numId w:val="36"/>
              </w:numPr>
              <w:ind w:left="432"/>
              <w:rPr>
                <w:rFonts w:ascii="Times New Roman" w:hAnsi="Times New Roman"/>
                <w:color w:val="000000"/>
              </w:rPr>
            </w:pPr>
            <w:r w:rsidRPr="007977C3">
              <w:rPr>
                <w:rFonts w:ascii="Times New Roman" w:hAnsi="Times New Roman"/>
                <w:color w:val="000000"/>
              </w:rPr>
              <w:t xml:space="preserve">Should the Commission if it goes forward with any proposed rulemaking applicable to natural gas utilities bifurcate this docket into two separate dockets or processes, one applicable to electric utilities and one applicable to gas utilities, given the significantly different industry structures between natural gas and electricity (the natural gas commodity is unbundled), greenhouse gas considerations, and differing legal considerations (e.g., I-937 applies only to electric utilities)?  </w:t>
            </w:r>
          </w:p>
          <w:p w:rsidR="00646556" w:rsidRPr="007977C3" w:rsidRDefault="00646556" w:rsidP="00207144">
            <w:pPr>
              <w:pStyle w:val="ListParagraph"/>
              <w:jc w:val="both"/>
              <w:rPr>
                <w:rFonts w:ascii="Times New Roman" w:hAnsi="Times New Roman"/>
                <w:color w:val="000000"/>
              </w:rPr>
            </w:pPr>
          </w:p>
          <w:p w:rsidR="00646556" w:rsidRPr="007977C3" w:rsidRDefault="00646556" w:rsidP="005C1D4E">
            <w:pPr>
              <w:pStyle w:val="ListParagraph"/>
              <w:numPr>
                <w:ilvl w:val="0"/>
                <w:numId w:val="36"/>
              </w:numPr>
              <w:ind w:left="432"/>
              <w:rPr>
                <w:rFonts w:ascii="Times New Roman" w:hAnsi="Times New Roman"/>
                <w:color w:val="000000"/>
              </w:rPr>
            </w:pPr>
            <w:r w:rsidRPr="007977C3">
              <w:rPr>
                <w:rFonts w:ascii="Times New Roman" w:hAnsi="Times New Roman"/>
                <w:color w:val="000000"/>
              </w:rPr>
              <w:t>Is this docket premature for natural gas given that neither the Commission nor the parties has yet had the benefit of the study of the Cascade Natural Gas Company three-year pilot approved in Docket UG-060256?  This pilot is still underway, having started in the fall of 2007 with a study due later this year.</w:t>
            </w:r>
          </w:p>
          <w:p w:rsidR="00646556" w:rsidRPr="007977C3" w:rsidRDefault="00646556" w:rsidP="00207144">
            <w:pPr>
              <w:pStyle w:val="ListParagraph"/>
              <w:jc w:val="both"/>
              <w:rPr>
                <w:rFonts w:ascii="Times New Roman" w:hAnsi="Times New Roman"/>
                <w:color w:val="000000"/>
              </w:rPr>
            </w:pPr>
          </w:p>
          <w:p w:rsidR="00646556" w:rsidRPr="007977C3" w:rsidRDefault="00646556" w:rsidP="005C1D4E">
            <w:pPr>
              <w:pStyle w:val="ListParagraph"/>
              <w:numPr>
                <w:ilvl w:val="0"/>
                <w:numId w:val="36"/>
              </w:numPr>
              <w:ind w:left="432"/>
              <w:rPr>
                <w:rFonts w:ascii="Times New Roman" w:hAnsi="Times New Roman"/>
                <w:color w:val="000000"/>
              </w:rPr>
            </w:pPr>
            <w:r w:rsidRPr="007977C3">
              <w:rPr>
                <w:rFonts w:ascii="Times New Roman" w:hAnsi="Times New Roman"/>
                <w:color w:val="000000"/>
              </w:rPr>
              <w:t>In addition to consideration of appropriately structured natural gas decoupling tracking mechanisms, lost margin recovery or incentive payments in conservation program surcharges, should the Commission  consider straight fixed variable or modified fixed variable natural gas rate design in this inquiry for natural gas sales customers  (i.e.,  the increased full or partial recovery of a natural gas utility’s costs in its fixed charges for its sales customers), or are those issues better and more appropriately addressed in the context of each individual natural gas general rate case proceeding?</w:t>
            </w:r>
          </w:p>
          <w:p w:rsidR="00646556" w:rsidRPr="007977C3" w:rsidRDefault="00646556" w:rsidP="00207144">
            <w:pPr>
              <w:pStyle w:val="ListParagraph"/>
              <w:jc w:val="both"/>
              <w:rPr>
                <w:rFonts w:ascii="Times New Roman" w:hAnsi="Times New Roman"/>
                <w:color w:val="000000"/>
              </w:rPr>
            </w:pPr>
          </w:p>
          <w:p w:rsidR="00646556" w:rsidRPr="007977C3" w:rsidRDefault="00646556" w:rsidP="005C1D4E">
            <w:pPr>
              <w:pStyle w:val="ListParagraph"/>
              <w:numPr>
                <w:ilvl w:val="0"/>
                <w:numId w:val="36"/>
              </w:numPr>
              <w:ind w:left="432"/>
              <w:rPr>
                <w:rFonts w:ascii="Times New Roman" w:hAnsi="Times New Roman"/>
                <w:color w:val="000000"/>
              </w:rPr>
            </w:pPr>
            <w:r w:rsidRPr="007977C3">
              <w:rPr>
                <w:rFonts w:ascii="Times New Roman" w:hAnsi="Times New Roman"/>
                <w:color w:val="000000"/>
              </w:rPr>
              <w:t>How do the various mechanisms for addressing declines in revenue due to conservation or conservation incentives address customers’ concerns about reduced utility risk justifying reductions on authorized returns on equity which are built into rates?</w:t>
            </w:r>
          </w:p>
          <w:p w:rsidR="00646556" w:rsidRPr="007977C3" w:rsidRDefault="00646556" w:rsidP="00207144">
            <w:pPr>
              <w:pStyle w:val="ListParagraph"/>
              <w:jc w:val="both"/>
              <w:rPr>
                <w:rFonts w:ascii="Times New Roman" w:hAnsi="Times New Roman"/>
                <w:color w:val="000000"/>
              </w:rPr>
            </w:pPr>
          </w:p>
          <w:p w:rsidR="00646556" w:rsidRPr="007977C3" w:rsidRDefault="00646556" w:rsidP="005C1D4E">
            <w:pPr>
              <w:pStyle w:val="ListParagraph"/>
              <w:numPr>
                <w:ilvl w:val="0"/>
                <w:numId w:val="36"/>
              </w:numPr>
              <w:ind w:left="432"/>
              <w:rPr>
                <w:rFonts w:ascii="Times New Roman" w:hAnsi="Times New Roman"/>
                <w:color w:val="000000"/>
              </w:rPr>
            </w:pPr>
            <w:r w:rsidRPr="007977C3">
              <w:rPr>
                <w:rFonts w:ascii="Times New Roman" w:hAnsi="Times New Roman"/>
                <w:color w:val="000000"/>
              </w:rPr>
              <w:t>How do the various mechanisms for addressing declines in revenue due to conservation  address appropriate limitations on the scope of any allowed decoupling (as for example limiting the scope to residential and commercial natural gas sales customers) so as to not protect utility revenues from economic changes not having to do with utility conservation?</w:t>
            </w:r>
          </w:p>
          <w:p w:rsidR="000E54E1" w:rsidRPr="00907E2C" w:rsidRDefault="000E54E1" w:rsidP="00907E2C">
            <w:pPr>
              <w:ind w:left="72"/>
              <w:rPr>
                <w:b/>
              </w:rPr>
            </w:pPr>
          </w:p>
        </w:tc>
      </w:tr>
      <w:tr w:rsidR="00907E2C" w:rsidRPr="007977C3" w:rsidTr="00907E2C">
        <w:tc>
          <w:tcPr>
            <w:tcW w:w="2988" w:type="dxa"/>
            <w:tcBorders>
              <w:bottom w:val="single" w:sz="4" w:space="0" w:color="auto"/>
            </w:tcBorders>
            <w:shd w:val="pct12" w:color="auto" w:fill="auto"/>
          </w:tcPr>
          <w:p w:rsidR="00907E2C" w:rsidRPr="00423BF8" w:rsidRDefault="00907E2C" w:rsidP="00907E2C">
            <w:pPr>
              <w:pStyle w:val="BodyText3"/>
              <w:suppressAutoHyphens w:val="0"/>
              <w:spacing w:line="264" w:lineRule="auto"/>
              <w:jc w:val="center"/>
              <w:rPr>
                <w:b/>
                <w:i/>
                <w:sz w:val="24"/>
              </w:rPr>
            </w:pPr>
            <w:r w:rsidRPr="007977C3">
              <w:rPr>
                <w:sz w:val="24"/>
              </w:rPr>
              <w:lastRenderedPageBreak/>
              <w:br w:type="page"/>
            </w:r>
            <w:r w:rsidRPr="00423BF8">
              <w:rPr>
                <w:b/>
                <w:sz w:val="24"/>
              </w:rPr>
              <w:t>Party</w:t>
            </w:r>
          </w:p>
        </w:tc>
        <w:tc>
          <w:tcPr>
            <w:tcW w:w="10260" w:type="dxa"/>
            <w:tcBorders>
              <w:bottom w:val="single" w:sz="4" w:space="0" w:color="auto"/>
            </w:tcBorders>
            <w:shd w:val="pct12" w:color="auto" w:fill="auto"/>
          </w:tcPr>
          <w:p w:rsidR="00907E2C" w:rsidRPr="007977C3" w:rsidRDefault="00907E2C" w:rsidP="00907E2C">
            <w:pPr>
              <w:pStyle w:val="BodyText3"/>
              <w:suppressAutoHyphens w:val="0"/>
              <w:spacing w:line="264" w:lineRule="auto"/>
              <w:jc w:val="center"/>
              <w:rPr>
                <w:sz w:val="24"/>
              </w:rPr>
            </w:pPr>
            <w:r w:rsidRPr="007977C3">
              <w:rPr>
                <w:b/>
                <w:sz w:val="24"/>
              </w:rPr>
              <w:t>COMMENTS</w:t>
            </w:r>
          </w:p>
        </w:tc>
      </w:tr>
      <w:tr w:rsidR="00907E2C" w:rsidRPr="007977C3" w:rsidTr="006A7A6E">
        <w:tc>
          <w:tcPr>
            <w:tcW w:w="2988" w:type="dxa"/>
            <w:tcBorders>
              <w:bottom w:val="single" w:sz="4" w:space="0" w:color="auto"/>
            </w:tcBorders>
          </w:tcPr>
          <w:p w:rsidR="00907E2C" w:rsidRPr="0063133F" w:rsidRDefault="00681B3D" w:rsidP="0069146A">
            <w:pPr>
              <w:pStyle w:val="BodyText3"/>
              <w:suppressAutoHyphens w:val="0"/>
              <w:spacing w:line="264" w:lineRule="auto"/>
              <w:rPr>
                <w:b/>
                <w:sz w:val="24"/>
              </w:rPr>
            </w:pPr>
            <w:r w:rsidRPr="0063133F">
              <w:rPr>
                <w:b/>
                <w:sz w:val="24"/>
              </w:rPr>
              <w:t>Northwest Industrial gas Users</w:t>
            </w:r>
            <w:r w:rsidR="00E56997">
              <w:rPr>
                <w:b/>
                <w:sz w:val="24"/>
              </w:rPr>
              <w:t xml:space="preserve"> </w:t>
            </w:r>
            <w:r w:rsidR="00E56997" w:rsidRPr="00E56997">
              <w:rPr>
                <w:b/>
                <w:i/>
                <w:sz w:val="24"/>
              </w:rPr>
              <w:t>(Continued)</w:t>
            </w:r>
          </w:p>
        </w:tc>
        <w:tc>
          <w:tcPr>
            <w:tcW w:w="10260" w:type="dxa"/>
            <w:tcBorders>
              <w:bottom w:val="single" w:sz="4" w:space="0" w:color="auto"/>
            </w:tcBorders>
          </w:tcPr>
          <w:p w:rsidR="00907E2C" w:rsidRPr="007977C3" w:rsidRDefault="00907E2C" w:rsidP="00907E2C">
            <w:pPr>
              <w:pStyle w:val="ListParagraph"/>
              <w:numPr>
                <w:ilvl w:val="0"/>
                <w:numId w:val="36"/>
              </w:numPr>
              <w:ind w:left="432"/>
              <w:rPr>
                <w:rFonts w:ascii="Times New Roman" w:hAnsi="Times New Roman"/>
                <w:color w:val="000000"/>
              </w:rPr>
            </w:pPr>
            <w:r w:rsidRPr="007977C3">
              <w:rPr>
                <w:rFonts w:ascii="Times New Roman" w:hAnsi="Times New Roman"/>
                <w:color w:val="000000"/>
              </w:rPr>
              <w:t>Do the various mechanisms addressing declines in revenue due to conservation or conservation incentives appropriately not impact transportation customers of natural gas utilities who buy their own natural gas commodity and do not have any cost relationship to the natural gas utility’s commodity purchases or conservation efforts for their sales customers?</w:t>
            </w:r>
          </w:p>
          <w:p w:rsidR="00907E2C" w:rsidRPr="007977C3" w:rsidRDefault="00907E2C" w:rsidP="00907E2C">
            <w:pPr>
              <w:pStyle w:val="ListParagraph"/>
              <w:jc w:val="both"/>
              <w:rPr>
                <w:rFonts w:ascii="Times New Roman" w:hAnsi="Times New Roman"/>
                <w:color w:val="000000"/>
              </w:rPr>
            </w:pPr>
          </w:p>
          <w:p w:rsidR="00907E2C" w:rsidRPr="007977C3" w:rsidRDefault="00907E2C" w:rsidP="00907E2C">
            <w:pPr>
              <w:pStyle w:val="ListParagraph"/>
              <w:numPr>
                <w:ilvl w:val="0"/>
                <w:numId w:val="36"/>
              </w:numPr>
              <w:ind w:left="432"/>
              <w:rPr>
                <w:rFonts w:ascii="Times New Roman" w:hAnsi="Times New Roman"/>
                <w:color w:val="000000"/>
              </w:rPr>
            </w:pPr>
            <w:r w:rsidRPr="007977C3">
              <w:rPr>
                <w:rFonts w:ascii="Times New Roman" w:hAnsi="Times New Roman"/>
                <w:color w:val="000000"/>
              </w:rPr>
              <w:t>How do the various mechanisms for addressing declines in revenue due to conservation or conservation incentives address the potential for excessive earnings by the natural gas utility?</w:t>
            </w:r>
          </w:p>
          <w:p w:rsidR="00907E2C" w:rsidRPr="007977C3" w:rsidRDefault="00907E2C" w:rsidP="00907E2C">
            <w:pPr>
              <w:pStyle w:val="ListParagraph"/>
              <w:jc w:val="both"/>
              <w:rPr>
                <w:rFonts w:ascii="Times New Roman" w:hAnsi="Times New Roman"/>
                <w:color w:val="000000"/>
              </w:rPr>
            </w:pPr>
          </w:p>
          <w:p w:rsidR="00907E2C" w:rsidRDefault="00907E2C" w:rsidP="00907E2C">
            <w:pPr>
              <w:pStyle w:val="ListParagraph"/>
              <w:numPr>
                <w:ilvl w:val="0"/>
                <w:numId w:val="36"/>
              </w:numPr>
              <w:ind w:left="432"/>
              <w:rPr>
                <w:rFonts w:ascii="Times New Roman" w:hAnsi="Times New Roman"/>
                <w:color w:val="000000"/>
              </w:rPr>
            </w:pPr>
            <w:r w:rsidRPr="007977C3">
              <w:rPr>
                <w:rFonts w:ascii="Times New Roman" w:hAnsi="Times New Roman"/>
                <w:color w:val="000000"/>
              </w:rPr>
              <w:t>How does the promotion of direct use of natural gas fit in the context of overall efficiency in this inquiry?</w:t>
            </w:r>
          </w:p>
          <w:p w:rsidR="00907E2C" w:rsidRPr="00907E2C" w:rsidRDefault="00907E2C" w:rsidP="00907E2C">
            <w:pPr>
              <w:ind w:left="72"/>
              <w:rPr>
                <w:rFonts w:ascii="Times New Roman" w:hAnsi="Times New Roman"/>
                <w:color w:val="000000"/>
              </w:rPr>
            </w:pPr>
          </w:p>
        </w:tc>
      </w:tr>
      <w:tr w:rsidR="006A7A6E" w:rsidRPr="007977C3" w:rsidTr="006A7A6E">
        <w:tc>
          <w:tcPr>
            <w:tcW w:w="2988" w:type="dxa"/>
            <w:shd w:val="pct10" w:color="auto" w:fill="auto"/>
          </w:tcPr>
          <w:p w:rsidR="006A7A6E" w:rsidRPr="00423BF8" w:rsidRDefault="00423BF8" w:rsidP="00423BF8">
            <w:pPr>
              <w:pStyle w:val="BodyText3"/>
              <w:suppressAutoHyphens w:val="0"/>
              <w:spacing w:line="264" w:lineRule="auto"/>
              <w:ind w:left="360"/>
              <w:jc w:val="center"/>
              <w:rPr>
                <w:b/>
                <w:sz w:val="24"/>
              </w:rPr>
            </w:pPr>
            <w:r w:rsidRPr="00423BF8">
              <w:rPr>
                <w:b/>
                <w:sz w:val="24"/>
              </w:rPr>
              <w:t>Party</w:t>
            </w:r>
          </w:p>
        </w:tc>
        <w:tc>
          <w:tcPr>
            <w:tcW w:w="10260" w:type="dxa"/>
            <w:shd w:val="pct10" w:color="auto" w:fill="auto"/>
          </w:tcPr>
          <w:p w:rsidR="006A7A6E" w:rsidRPr="007977C3" w:rsidRDefault="006A7A6E" w:rsidP="006A7A6E">
            <w:pPr>
              <w:pStyle w:val="BodyText3"/>
              <w:suppressAutoHyphens w:val="0"/>
              <w:spacing w:line="264" w:lineRule="auto"/>
              <w:jc w:val="center"/>
              <w:rPr>
                <w:sz w:val="24"/>
              </w:rPr>
            </w:pPr>
            <w:r w:rsidRPr="007977C3">
              <w:rPr>
                <w:b/>
                <w:sz w:val="24"/>
              </w:rPr>
              <w:t>COMMENTS</w:t>
            </w:r>
          </w:p>
        </w:tc>
      </w:tr>
      <w:tr w:rsidR="000E54E1" w:rsidRPr="007977C3" w:rsidTr="00907E2C">
        <w:tc>
          <w:tcPr>
            <w:tcW w:w="2988" w:type="dxa"/>
            <w:tcBorders>
              <w:bottom w:val="single" w:sz="4" w:space="0" w:color="auto"/>
            </w:tcBorders>
          </w:tcPr>
          <w:p w:rsidR="000E54E1" w:rsidRPr="0063133F" w:rsidRDefault="003C2600" w:rsidP="006A7A6E">
            <w:pPr>
              <w:pStyle w:val="BodyText3"/>
              <w:suppressAutoHyphens w:val="0"/>
              <w:spacing w:line="264" w:lineRule="auto"/>
              <w:rPr>
                <w:b/>
                <w:sz w:val="24"/>
              </w:rPr>
            </w:pPr>
            <w:r w:rsidRPr="0063133F">
              <w:rPr>
                <w:b/>
                <w:sz w:val="24"/>
              </w:rPr>
              <w:t>The Energy Project</w:t>
            </w:r>
          </w:p>
        </w:tc>
        <w:tc>
          <w:tcPr>
            <w:tcW w:w="10260" w:type="dxa"/>
            <w:tcBorders>
              <w:bottom w:val="single" w:sz="4" w:space="0" w:color="auto"/>
            </w:tcBorders>
          </w:tcPr>
          <w:p w:rsidR="003C2600" w:rsidRPr="008C3FB7" w:rsidRDefault="003C2600" w:rsidP="005C1D4E">
            <w:pPr>
              <w:pStyle w:val="ListParagraph"/>
              <w:numPr>
                <w:ilvl w:val="0"/>
                <w:numId w:val="35"/>
              </w:numPr>
              <w:tabs>
                <w:tab w:val="clear" w:pos="930"/>
                <w:tab w:val="num" w:pos="432"/>
                <w:tab w:val="left" w:pos="4320"/>
                <w:tab w:val="left" w:pos="5040"/>
              </w:tabs>
              <w:ind w:left="432"/>
              <w:rPr>
                <w:rFonts w:ascii="Times New Roman" w:hAnsi="Times New Roman"/>
              </w:rPr>
            </w:pPr>
            <w:r w:rsidRPr="008C3FB7">
              <w:rPr>
                <w:rFonts w:ascii="Times New Roman" w:hAnsi="Times New Roman"/>
              </w:rPr>
              <w:t>Transparency:  how direct and easily understood is any mechanism to incent a utility or remove their disincentive to invest in energy efficiency?  Can one or how can one realistically evaluate the need to compensate a utility for the decline in revenues due to energy efficiency programs in isolation from the many other factors evaluated in a general rate case to determine whether a utility is earning an adequate return on their investment?</w:t>
            </w:r>
          </w:p>
          <w:p w:rsidR="003C2600" w:rsidRPr="007977C3" w:rsidRDefault="003C2600" w:rsidP="003C2600">
            <w:pPr>
              <w:tabs>
                <w:tab w:val="left" w:pos="4320"/>
                <w:tab w:val="left" w:pos="5040"/>
              </w:tabs>
              <w:rPr>
                <w:rFonts w:ascii="Times New Roman" w:hAnsi="Times New Roman"/>
              </w:rPr>
            </w:pPr>
          </w:p>
          <w:p w:rsidR="003C2600" w:rsidRPr="00207144" w:rsidRDefault="003C2600" w:rsidP="005C1D4E">
            <w:pPr>
              <w:pStyle w:val="ListParagraph"/>
              <w:numPr>
                <w:ilvl w:val="0"/>
                <w:numId w:val="35"/>
              </w:numPr>
              <w:tabs>
                <w:tab w:val="clear" w:pos="930"/>
                <w:tab w:val="num" w:pos="432"/>
                <w:tab w:val="left" w:pos="4320"/>
                <w:tab w:val="left" w:pos="5040"/>
              </w:tabs>
              <w:ind w:left="432"/>
              <w:rPr>
                <w:rFonts w:ascii="Times New Roman" w:hAnsi="Times New Roman"/>
              </w:rPr>
            </w:pPr>
            <w:r w:rsidRPr="00207144">
              <w:rPr>
                <w:rFonts w:ascii="Times New Roman" w:hAnsi="Times New Roman"/>
              </w:rPr>
              <w:t>Magnitude: Is the level of compensation provided commensurate with the effort and performance of the utility?</w:t>
            </w:r>
          </w:p>
          <w:p w:rsidR="003C2600" w:rsidRPr="007977C3" w:rsidRDefault="003C2600" w:rsidP="00207144">
            <w:pPr>
              <w:pStyle w:val="ListParagraph"/>
              <w:tabs>
                <w:tab w:val="left" w:pos="4320"/>
                <w:tab w:val="left" w:pos="5040"/>
              </w:tabs>
              <w:rPr>
                <w:rFonts w:ascii="Times New Roman" w:hAnsi="Times New Roman"/>
              </w:rPr>
            </w:pPr>
          </w:p>
          <w:p w:rsidR="003C2600" w:rsidRPr="00207144" w:rsidRDefault="003C2600" w:rsidP="005C1D4E">
            <w:pPr>
              <w:pStyle w:val="ListParagraph"/>
              <w:numPr>
                <w:ilvl w:val="0"/>
                <w:numId w:val="35"/>
              </w:numPr>
              <w:tabs>
                <w:tab w:val="clear" w:pos="930"/>
                <w:tab w:val="num" w:pos="432"/>
                <w:tab w:val="left" w:pos="4320"/>
                <w:tab w:val="left" w:pos="5040"/>
              </w:tabs>
              <w:ind w:left="432"/>
              <w:rPr>
                <w:rFonts w:ascii="Times New Roman" w:hAnsi="Times New Roman"/>
              </w:rPr>
            </w:pPr>
            <w:r w:rsidRPr="00207144">
              <w:rPr>
                <w:rFonts w:ascii="Times New Roman" w:hAnsi="Times New Roman"/>
              </w:rPr>
              <w:t>Equity: How does one compensate for the disproportionate bill impacts such mechanisms are likely to have for low-income customers, particularly since they are far less likely to be able to participate directly in energy efficiency benefits.</w:t>
            </w:r>
          </w:p>
          <w:p w:rsidR="003C2600" w:rsidRPr="007977C3" w:rsidRDefault="003C2600" w:rsidP="00207144">
            <w:pPr>
              <w:pStyle w:val="ListParagraph"/>
              <w:tabs>
                <w:tab w:val="left" w:pos="4320"/>
                <w:tab w:val="left" w:pos="5040"/>
              </w:tabs>
              <w:rPr>
                <w:rFonts w:ascii="Times New Roman" w:hAnsi="Times New Roman"/>
              </w:rPr>
            </w:pPr>
          </w:p>
          <w:p w:rsidR="003C2600" w:rsidRPr="00207144" w:rsidRDefault="003C2600" w:rsidP="005C1D4E">
            <w:pPr>
              <w:pStyle w:val="ListParagraph"/>
              <w:numPr>
                <w:ilvl w:val="0"/>
                <w:numId w:val="35"/>
              </w:numPr>
              <w:tabs>
                <w:tab w:val="clear" w:pos="930"/>
                <w:tab w:val="num" w:pos="432"/>
                <w:tab w:val="left" w:pos="4320"/>
                <w:tab w:val="left" w:pos="5040"/>
              </w:tabs>
              <w:ind w:left="432"/>
              <w:rPr>
                <w:rFonts w:ascii="Times New Roman" w:hAnsi="Times New Roman"/>
              </w:rPr>
            </w:pPr>
            <w:r w:rsidRPr="00207144">
              <w:rPr>
                <w:rFonts w:ascii="Times New Roman" w:hAnsi="Times New Roman"/>
              </w:rPr>
              <w:t>Symmetry: Can an incentive mechanism for DSM or a disincentive removal mechanism ever sufficiently adjust the imbalance created by a return on investment for supply side investments?  If not, what is adequate, particularly considering #5 below?  Can a mechanism that addresses the utility’s disincentive for conservation adequately neutralize their profit motive to increase sales regardless?  Does reducing the utility’s disincentive for conservation result in a commensurate increase in the end user’s disincentive to invest in conservation?</w:t>
            </w:r>
          </w:p>
          <w:p w:rsidR="003C2600" w:rsidRPr="007977C3" w:rsidRDefault="003C2600" w:rsidP="00207144">
            <w:pPr>
              <w:pStyle w:val="ListParagraph"/>
              <w:tabs>
                <w:tab w:val="left" w:pos="4320"/>
                <w:tab w:val="left" w:pos="5040"/>
              </w:tabs>
              <w:rPr>
                <w:rFonts w:ascii="Times New Roman" w:hAnsi="Times New Roman"/>
              </w:rPr>
            </w:pPr>
          </w:p>
          <w:p w:rsidR="00D41E1F" w:rsidRPr="00907E2C" w:rsidRDefault="00D41E1F" w:rsidP="00907E2C">
            <w:pPr>
              <w:tabs>
                <w:tab w:val="num" w:pos="432"/>
                <w:tab w:val="left" w:pos="4320"/>
                <w:tab w:val="left" w:pos="5040"/>
              </w:tabs>
              <w:ind w:left="72"/>
              <w:rPr>
                <w:b/>
              </w:rPr>
            </w:pPr>
          </w:p>
        </w:tc>
      </w:tr>
      <w:tr w:rsidR="00907E2C" w:rsidRPr="007977C3" w:rsidTr="00907E2C">
        <w:tc>
          <w:tcPr>
            <w:tcW w:w="2988" w:type="dxa"/>
            <w:shd w:val="pct12" w:color="auto" w:fill="auto"/>
          </w:tcPr>
          <w:p w:rsidR="00907E2C" w:rsidRPr="00423BF8" w:rsidRDefault="00907E2C" w:rsidP="00907E2C">
            <w:pPr>
              <w:pStyle w:val="BodyText3"/>
              <w:suppressAutoHyphens w:val="0"/>
              <w:spacing w:line="264" w:lineRule="auto"/>
              <w:ind w:left="360"/>
              <w:jc w:val="center"/>
              <w:rPr>
                <w:b/>
                <w:sz w:val="24"/>
              </w:rPr>
            </w:pPr>
            <w:r w:rsidRPr="00423BF8">
              <w:rPr>
                <w:b/>
                <w:sz w:val="24"/>
              </w:rPr>
              <w:lastRenderedPageBreak/>
              <w:t>Party</w:t>
            </w:r>
          </w:p>
        </w:tc>
        <w:tc>
          <w:tcPr>
            <w:tcW w:w="10260" w:type="dxa"/>
            <w:shd w:val="pct12" w:color="auto" w:fill="auto"/>
          </w:tcPr>
          <w:p w:rsidR="00907E2C" w:rsidRPr="007977C3" w:rsidRDefault="00907E2C" w:rsidP="00907E2C">
            <w:pPr>
              <w:pStyle w:val="BodyText3"/>
              <w:suppressAutoHyphens w:val="0"/>
              <w:spacing w:line="264" w:lineRule="auto"/>
              <w:jc w:val="center"/>
              <w:rPr>
                <w:sz w:val="24"/>
              </w:rPr>
            </w:pPr>
            <w:r w:rsidRPr="007977C3">
              <w:rPr>
                <w:b/>
                <w:sz w:val="24"/>
              </w:rPr>
              <w:t>COMMENTS</w:t>
            </w:r>
          </w:p>
        </w:tc>
      </w:tr>
      <w:tr w:rsidR="00907E2C" w:rsidRPr="007977C3" w:rsidTr="004C2024">
        <w:tc>
          <w:tcPr>
            <w:tcW w:w="2988" w:type="dxa"/>
          </w:tcPr>
          <w:p w:rsidR="00907E2C" w:rsidRPr="0063133F" w:rsidRDefault="00681B3D" w:rsidP="006A7A6E">
            <w:pPr>
              <w:pStyle w:val="BodyText3"/>
              <w:suppressAutoHyphens w:val="0"/>
              <w:spacing w:line="264" w:lineRule="auto"/>
              <w:rPr>
                <w:b/>
                <w:sz w:val="24"/>
              </w:rPr>
            </w:pPr>
            <w:r w:rsidRPr="0063133F">
              <w:rPr>
                <w:b/>
                <w:sz w:val="24"/>
              </w:rPr>
              <w:t>The Energy Project</w:t>
            </w:r>
            <w:r w:rsidR="00E56997">
              <w:rPr>
                <w:b/>
                <w:sz w:val="24"/>
              </w:rPr>
              <w:t xml:space="preserve"> </w:t>
            </w:r>
            <w:r w:rsidR="00E56997" w:rsidRPr="00E56997">
              <w:rPr>
                <w:b/>
                <w:i/>
                <w:sz w:val="24"/>
              </w:rPr>
              <w:t>(Continued)</w:t>
            </w:r>
          </w:p>
        </w:tc>
        <w:tc>
          <w:tcPr>
            <w:tcW w:w="10260" w:type="dxa"/>
          </w:tcPr>
          <w:p w:rsidR="00907E2C" w:rsidRPr="00207144" w:rsidRDefault="00907E2C" w:rsidP="00907E2C">
            <w:pPr>
              <w:pStyle w:val="ListParagraph"/>
              <w:numPr>
                <w:ilvl w:val="0"/>
                <w:numId w:val="35"/>
              </w:numPr>
              <w:tabs>
                <w:tab w:val="clear" w:pos="930"/>
                <w:tab w:val="num" w:pos="432"/>
                <w:tab w:val="left" w:pos="4320"/>
                <w:tab w:val="left" w:pos="5040"/>
              </w:tabs>
              <w:ind w:left="432"/>
              <w:rPr>
                <w:rFonts w:ascii="Times New Roman" w:hAnsi="Times New Roman"/>
              </w:rPr>
            </w:pPr>
            <w:r w:rsidRPr="00207144">
              <w:rPr>
                <w:rFonts w:ascii="Times New Roman" w:hAnsi="Times New Roman"/>
              </w:rPr>
              <w:t>Context: Do the directive that a utility provide service at the least cost to customers and/or the requirement from I-937 that a utility capture all cost-effective energy conservation obviate the need to further motivate utility efforts?  (At least somewhat rhetorical, as experience seems to indicate that it does not.)</w:t>
            </w:r>
          </w:p>
          <w:p w:rsidR="00907E2C" w:rsidRPr="007977C3" w:rsidRDefault="00907E2C" w:rsidP="00907E2C">
            <w:pPr>
              <w:tabs>
                <w:tab w:val="left" w:pos="4320"/>
                <w:tab w:val="left" w:pos="5040"/>
              </w:tabs>
              <w:rPr>
                <w:rFonts w:ascii="Times New Roman" w:hAnsi="Times New Roman"/>
              </w:rPr>
            </w:pPr>
          </w:p>
          <w:p w:rsidR="00907E2C" w:rsidRPr="007977C3" w:rsidRDefault="00907E2C" w:rsidP="00907E2C">
            <w:pPr>
              <w:pStyle w:val="ListParagraph"/>
              <w:numPr>
                <w:ilvl w:val="0"/>
                <w:numId w:val="35"/>
              </w:numPr>
              <w:tabs>
                <w:tab w:val="clear" w:pos="930"/>
                <w:tab w:val="num" w:pos="432"/>
                <w:tab w:val="left" w:pos="4320"/>
                <w:tab w:val="left" w:pos="5040"/>
              </w:tabs>
              <w:ind w:left="432"/>
              <w:rPr>
                <w:rFonts w:ascii="Times New Roman" w:hAnsi="Times New Roman"/>
                <w:szCs w:val="24"/>
              </w:rPr>
            </w:pPr>
            <w:r w:rsidRPr="007977C3">
              <w:rPr>
                <w:rFonts w:ascii="Times New Roman" w:hAnsi="Times New Roman"/>
                <w:szCs w:val="24"/>
              </w:rPr>
              <w:t xml:space="preserve">Risk: </w:t>
            </w:r>
            <w:r w:rsidRPr="00207144">
              <w:rPr>
                <w:rFonts w:ascii="Times New Roman" w:hAnsi="Times New Roman"/>
              </w:rPr>
              <w:t>What</w:t>
            </w:r>
            <w:r w:rsidRPr="007977C3">
              <w:rPr>
                <w:rFonts w:ascii="Times New Roman" w:hAnsi="Times New Roman"/>
                <w:szCs w:val="24"/>
              </w:rPr>
              <w:t xml:space="preserve"> impact does the mechanism have on the utility’s risk profile and how is that adjusted for with regard to rate of return?</w:t>
            </w:r>
          </w:p>
          <w:p w:rsidR="00907E2C" w:rsidRPr="00907E2C" w:rsidRDefault="00907E2C" w:rsidP="00907E2C">
            <w:pPr>
              <w:tabs>
                <w:tab w:val="num" w:pos="432"/>
                <w:tab w:val="left" w:pos="4320"/>
                <w:tab w:val="left" w:pos="5040"/>
              </w:tabs>
              <w:ind w:left="72"/>
              <w:rPr>
                <w:rFonts w:ascii="Times New Roman" w:hAnsi="Times New Roman"/>
              </w:rPr>
            </w:pPr>
          </w:p>
        </w:tc>
      </w:tr>
      <w:tr w:rsidR="000E54E1" w:rsidRPr="007977C3" w:rsidTr="004C2024">
        <w:tc>
          <w:tcPr>
            <w:tcW w:w="2988" w:type="dxa"/>
          </w:tcPr>
          <w:p w:rsidR="000E54E1" w:rsidRPr="0063133F" w:rsidRDefault="009662E5" w:rsidP="00930EA4">
            <w:pPr>
              <w:rPr>
                <w:rFonts w:ascii="Times New Roman" w:hAnsi="Times New Roman"/>
                <w:b/>
              </w:rPr>
            </w:pPr>
            <w:r w:rsidRPr="0063133F">
              <w:rPr>
                <w:rFonts w:ascii="Times New Roman" w:hAnsi="Times New Roman"/>
                <w:b/>
              </w:rPr>
              <w:t>Northwest Energy Coalition</w:t>
            </w:r>
          </w:p>
        </w:tc>
        <w:tc>
          <w:tcPr>
            <w:tcW w:w="10260" w:type="dxa"/>
          </w:tcPr>
          <w:p w:rsidR="000E54E1" w:rsidRPr="007977C3" w:rsidRDefault="003C2600" w:rsidP="00207144">
            <w:pPr>
              <w:autoSpaceDE w:val="0"/>
              <w:autoSpaceDN w:val="0"/>
              <w:adjustRightInd w:val="0"/>
            </w:pPr>
            <w:r w:rsidRPr="007977C3">
              <w:rPr>
                <w:rFonts w:ascii="Times New Roman" w:hAnsi="Times New Roman"/>
              </w:rPr>
              <w:t>We recommend ensuring that any discussion of the impact of revenue recovery</w:t>
            </w:r>
            <w:r w:rsidR="00207144">
              <w:rPr>
                <w:rFonts w:ascii="Times New Roman" w:hAnsi="Times New Roman"/>
              </w:rPr>
              <w:t xml:space="preserve"> </w:t>
            </w:r>
            <w:r w:rsidRPr="007977C3">
              <w:rPr>
                <w:rFonts w:ascii="Times New Roman" w:hAnsi="Times New Roman"/>
              </w:rPr>
              <w:t>mechanisms and conservation incentives on utility rates and bills specifically</w:t>
            </w:r>
            <w:r w:rsidR="00207144">
              <w:rPr>
                <w:rFonts w:ascii="Times New Roman" w:hAnsi="Times New Roman"/>
              </w:rPr>
              <w:t xml:space="preserve"> </w:t>
            </w:r>
            <w:r w:rsidRPr="007977C3">
              <w:rPr>
                <w:rFonts w:ascii="Times New Roman" w:hAnsi="Times New Roman"/>
              </w:rPr>
              <w:t>addresses positive and/or negative impacts on low-income households. Low-income</w:t>
            </w:r>
            <w:r w:rsidR="00207144">
              <w:rPr>
                <w:rFonts w:ascii="Times New Roman" w:hAnsi="Times New Roman"/>
              </w:rPr>
              <w:t xml:space="preserve"> </w:t>
            </w:r>
            <w:r w:rsidRPr="007977C3">
              <w:t>households must be able to access utility services they can afford.</w:t>
            </w:r>
          </w:p>
          <w:p w:rsidR="009662E5" w:rsidRPr="007977C3" w:rsidRDefault="009662E5" w:rsidP="003C2600">
            <w:pPr>
              <w:pStyle w:val="BodyText3"/>
              <w:suppressAutoHyphens w:val="0"/>
              <w:spacing w:line="264" w:lineRule="auto"/>
              <w:rPr>
                <w:sz w:val="24"/>
              </w:rPr>
            </w:pPr>
          </w:p>
          <w:p w:rsidR="009662E5" w:rsidRDefault="009662E5" w:rsidP="009662E5">
            <w:pPr>
              <w:autoSpaceDE w:val="0"/>
              <w:autoSpaceDN w:val="0"/>
              <w:adjustRightInd w:val="0"/>
              <w:rPr>
                <w:rFonts w:ascii="Times New Roman" w:hAnsi="Times New Roman"/>
                <w:b/>
                <w:bCs/>
              </w:rPr>
            </w:pPr>
            <w:r w:rsidRPr="007977C3">
              <w:rPr>
                <w:rFonts w:ascii="Times New Roman" w:hAnsi="Times New Roman"/>
                <w:b/>
                <w:bCs/>
              </w:rPr>
              <w:t>General Principles for Energy Efficiency Policy Package</w:t>
            </w:r>
          </w:p>
          <w:p w:rsidR="00681B3D" w:rsidRPr="007977C3" w:rsidRDefault="00681B3D" w:rsidP="009662E5">
            <w:pPr>
              <w:autoSpaceDE w:val="0"/>
              <w:autoSpaceDN w:val="0"/>
              <w:adjustRightInd w:val="0"/>
              <w:rPr>
                <w:rFonts w:ascii="Times New Roman" w:hAnsi="Times New Roman"/>
                <w:b/>
                <w:bCs/>
              </w:rPr>
            </w:pPr>
          </w:p>
          <w:p w:rsidR="009662E5" w:rsidRPr="00207144" w:rsidRDefault="009662E5" w:rsidP="005C1D4E">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Aggressive energy efficiency targets should be a key component of any policy</w:t>
            </w:r>
            <w:r w:rsidR="00207144" w:rsidRPr="00207144">
              <w:rPr>
                <w:rFonts w:ascii="Times New Roman" w:hAnsi="Times New Roman"/>
              </w:rPr>
              <w:t xml:space="preserve"> </w:t>
            </w:r>
            <w:r w:rsidRPr="00207144">
              <w:rPr>
                <w:rFonts w:ascii="Times New Roman" w:hAnsi="Times New Roman"/>
              </w:rPr>
              <w:t>package addressing energy efficiency.</w:t>
            </w:r>
          </w:p>
          <w:p w:rsidR="00207144" w:rsidRPr="007977C3" w:rsidRDefault="00207144" w:rsidP="009662E5">
            <w:pPr>
              <w:autoSpaceDE w:val="0"/>
              <w:autoSpaceDN w:val="0"/>
              <w:adjustRightInd w:val="0"/>
              <w:rPr>
                <w:rFonts w:ascii="Times New Roman" w:hAnsi="Times New Roman"/>
              </w:rPr>
            </w:pPr>
          </w:p>
          <w:p w:rsidR="009662E5" w:rsidRPr="00207144" w:rsidRDefault="009662E5" w:rsidP="005C1D4E">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Utility incentives and disincentives should be aligned with the overarching goal of</w:t>
            </w:r>
            <w:r w:rsidR="00207144" w:rsidRPr="00207144">
              <w:rPr>
                <w:rFonts w:ascii="Times New Roman" w:hAnsi="Times New Roman"/>
              </w:rPr>
              <w:t xml:space="preserve"> </w:t>
            </w:r>
            <w:r w:rsidRPr="00207144">
              <w:rPr>
                <w:rFonts w:ascii="Times New Roman" w:hAnsi="Times New Roman"/>
              </w:rPr>
              <w:t>promoting acquisition of all cost-effective energy efficiency.</w:t>
            </w:r>
          </w:p>
          <w:p w:rsidR="00207144" w:rsidRPr="007977C3" w:rsidRDefault="00207144" w:rsidP="009662E5">
            <w:pPr>
              <w:autoSpaceDE w:val="0"/>
              <w:autoSpaceDN w:val="0"/>
              <w:adjustRightInd w:val="0"/>
              <w:rPr>
                <w:rFonts w:ascii="Times New Roman" w:hAnsi="Times New Roman"/>
              </w:rPr>
            </w:pPr>
          </w:p>
          <w:p w:rsidR="009662E5" w:rsidRPr="00207144" w:rsidRDefault="009662E5" w:rsidP="005C1D4E">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Utility disincentives for effective energy efficiency (such as regulatory</w:t>
            </w:r>
            <w:r w:rsidR="00207144" w:rsidRPr="00207144">
              <w:rPr>
                <w:rFonts w:ascii="Times New Roman" w:hAnsi="Times New Roman"/>
              </w:rPr>
              <w:t xml:space="preserve"> </w:t>
            </w:r>
            <w:r w:rsidRPr="00207144">
              <w:rPr>
                <w:rFonts w:ascii="Times New Roman" w:hAnsi="Times New Roman"/>
              </w:rPr>
              <w:t>incentives that reward increased sales and penalize sales below accepted</w:t>
            </w:r>
            <w:r w:rsidR="00207144" w:rsidRPr="00207144">
              <w:rPr>
                <w:rFonts w:ascii="Times New Roman" w:hAnsi="Times New Roman"/>
              </w:rPr>
              <w:t xml:space="preserve"> </w:t>
            </w:r>
            <w:r w:rsidRPr="00207144">
              <w:rPr>
                <w:rFonts w:ascii="Times New Roman" w:hAnsi="Times New Roman"/>
              </w:rPr>
              <w:t>levels, i.e., throughput incentive) should be addressed.</w:t>
            </w:r>
          </w:p>
          <w:p w:rsidR="00207144" w:rsidRDefault="00207144" w:rsidP="009662E5">
            <w:pPr>
              <w:autoSpaceDE w:val="0"/>
              <w:autoSpaceDN w:val="0"/>
              <w:adjustRightInd w:val="0"/>
              <w:rPr>
                <w:rFonts w:ascii="Times New Roman" w:hAnsi="Times New Roman"/>
              </w:rPr>
            </w:pPr>
          </w:p>
          <w:p w:rsidR="009662E5" w:rsidRPr="00207144" w:rsidRDefault="009662E5" w:rsidP="005C1D4E">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Utility incentives for energy efficiency investments and performance</w:t>
            </w:r>
            <w:r w:rsidR="00207144" w:rsidRPr="00207144">
              <w:rPr>
                <w:rFonts w:ascii="Times New Roman" w:hAnsi="Times New Roman"/>
              </w:rPr>
              <w:t xml:space="preserve"> </w:t>
            </w:r>
            <w:r w:rsidRPr="00207144">
              <w:rPr>
                <w:rFonts w:ascii="Times New Roman" w:hAnsi="Times New Roman"/>
              </w:rPr>
              <w:t>should be considered to help even the playing field with the incentives that</w:t>
            </w:r>
            <w:r w:rsidR="00207144" w:rsidRPr="00207144">
              <w:rPr>
                <w:rFonts w:ascii="Times New Roman" w:hAnsi="Times New Roman"/>
              </w:rPr>
              <w:t xml:space="preserve"> </w:t>
            </w:r>
            <w:r w:rsidRPr="00207144">
              <w:rPr>
                <w:rFonts w:ascii="Times New Roman" w:hAnsi="Times New Roman"/>
              </w:rPr>
              <w:t>may exist for supply-side investments.</w:t>
            </w:r>
          </w:p>
          <w:p w:rsidR="00207144" w:rsidRDefault="00207144" w:rsidP="009662E5">
            <w:pPr>
              <w:autoSpaceDE w:val="0"/>
              <w:autoSpaceDN w:val="0"/>
              <w:adjustRightInd w:val="0"/>
              <w:rPr>
                <w:rFonts w:ascii="Times New Roman" w:hAnsi="Times New Roman"/>
              </w:rPr>
            </w:pPr>
          </w:p>
          <w:p w:rsidR="009662E5" w:rsidRPr="00207144" w:rsidRDefault="009662E5" w:rsidP="005C1D4E">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Utilities should have timely cost recovery for prudent and cost-effective energy</w:t>
            </w:r>
            <w:r w:rsidR="00207144" w:rsidRPr="00207144">
              <w:rPr>
                <w:rFonts w:ascii="Times New Roman" w:hAnsi="Times New Roman"/>
              </w:rPr>
              <w:t xml:space="preserve"> </w:t>
            </w:r>
            <w:r w:rsidRPr="00207144">
              <w:rPr>
                <w:rFonts w:ascii="Times New Roman" w:hAnsi="Times New Roman"/>
              </w:rPr>
              <w:t>efficiency expenditures, including addressing the delay in cost recovery from</w:t>
            </w:r>
            <w:r w:rsidR="00207144" w:rsidRPr="00207144">
              <w:rPr>
                <w:rFonts w:ascii="Times New Roman" w:hAnsi="Times New Roman"/>
              </w:rPr>
              <w:t xml:space="preserve"> </w:t>
            </w:r>
            <w:r w:rsidRPr="00207144">
              <w:rPr>
                <w:rFonts w:ascii="Times New Roman" w:hAnsi="Times New Roman"/>
              </w:rPr>
              <w:t>increased energy efficiency program efforts.</w:t>
            </w:r>
          </w:p>
          <w:p w:rsidR="00633D7E" w:rsidRPr="00633D7E" w:rsidRDefault="00633D7E" w:rsidP="00633D7E">
            <w:pPr>
              <w:autoSpaceDE w:val="0"/>
              <w:autoSpaceDN w:val="0"/>
              <w:adjustRightInd w:val="0"/>
              <w:ind w:left="72"/>
              <w:rPr>
                <w:b/>
              </w:rPr>
            </w:pPr>
          </w:p>
        </w:tc>
      </w:tr>
    </w:tbl>
    <w:p w:rsidR="00633D7E" w:rsidRDefault="00633D7E"/>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633D7E" w:rsidRPr="007977C3" w:rsidTr="00633D7E">
        <w:tc>
          <w:tcPr>
            <w:tcW w:w="2988" w:type="dxa"/>
            <w:shd w:val="pct12" w:color="auto" w:fill="auto"/>
          </w:tcPr>
          <w:p w:rsidR="00633D7E" w:rsidRPr="00423BF8" w:rsidRDefault="00633D7E" w:rsidP="00633D7E">
            <w:pPr>
              <w:pStyle w:val="BodyText3"/>
              <w:suppressAutoHyphens w:val="0"/>
              <w:spacing w:line="264" w:lineRule="auto"/>
              <w:ind w:left="360"/>
              <w:jc w:val="center"/>
              <w:rPr>
                <w:b/>
                <w:sz w:val="24"/>
              </w:rPr>
            </w:pPr>
            <w:r w:rsidRPr="00423BF8">
              <w:rPr>
                <w:b/>
                <w:sz w:val="24"/>
              </w:rPr>
              <w:t>Party</w:t>
            </w:r>
          </w:p>
        </w:tc>
        <w:tc>
          <w:tcPr>
            <w:tcW w:w="10260" w:type="dxa"/>
            <w:shd w:val="pct12" w:color="auto" w:fill="auto"/>
          </w:tcPr>
          <w:p w:rsidR="00633D7E" w:rsidRPr="007977C3" w:rsidRDefault="00633D7E" w:rsidP="00633D7E">
            <w:pPr>
              <w:pStyle w:val="BodyText3"/>
              <w:suppressAutoHyphens w:val="0"/>
              <w:spacing w:line="264" w:lineRule="auto"/>
              <w:jc w:val="center"/>
              <w:rPr>
                <w:sz w:val="24"/>
              </w:rPr>
            </w:pPr>
            <w:r w:rsidRPr="007977C3">
              <w:rPr>
                <w:b/>
                <w:sz w:val="24"/>
              </w:rPr>
              <w:t>COMMENTS</w:t>
            </w:r>
          </w:p>
        </w:tc>
      </w:tr>
      <w:tr w:rsidR="00907E2C" w:rsidRPr="007977C3" w:rsidTr="00633D7E">
        <w:tc>
          <w:tcPr>
            <w:tcW w:w="2988" w:type="dxa"/>
            <w:tcBorders>
              <w:bottom w:val="single" w:sz="4" w:space="0" w:color="auto"/>
            </w:tcBorders>
          </w:tcPr>
          <w:p w:rsidR="00907E2C" w:rsidRPr="0063133F" w:rsidRDefault="00681B3D" w:rsidP="00930EA4">
            <w:pPr>
              <w:rPr>
                <w:rFonts w:ascii="Times New Roman" w:hAnsi="Times New Roman"/>
                <w:b/>
              </w:rPr>
            </w:pPr>
            <w:r w:rsidRPr="0063133F">
              <w:rPr>
                <w:rFonts w:ascii="Times New Roman" w:hAnsi="Times New Roman"/>
                <w:b/>
              </w:rPr>
              <w:t>Northwest Energy Coalition</w:t>
            </w:r>
            <w:r w:rsidR="00E56997">
              <w:rPr>
                <w:rFonts w:ascii="Times New Roman" w:hAnsi="Times New Roman"/>
                <w:b/>
              </w:rPr>
              <w:t xml:space="preserve"> </w:t>
            </w:r>
            <w:r w:rsidR="00E56997" w:rsidRPr="00E56997">
              <w:rPr>
                <w:b/>
                <w:i/>
              </w:rPr>
              <w:t>(Continued)</w:t>
            </w:r>
          </w:p>
        </w:tc>
        <w:tc>
          <w:tcPr>
            <w:tcW w:w="10260" w:type="dxa"/>
            <w:tcBorders>
              <w:bottom w:val="single" w:sz="4" w:space="0" w:color="auto"/>
            </w:tcBorders>
          </w:tcPr>
          <w:p w:rsidR="00681B3D" w:rsidRDefault="00681B3D" w:rsidP="00681B3D">
            <w:pPr>
              <w:autoSpaceDE w:val="0"/>
              <w:autoSpaceDN w:val="0"/>
              <w:adjustRightInd w:val="0"/>
              <w:rPr>
                <w:rFonts w:ascii="Times New Roman" w:hAnsi="Times New Roman"/>
                <w:b/>
                <w:bCs/>
              </w:rPr>
            </w:pPr>
            <w:r w:rsidRPr="007977C3">
              <w:rPr>
                <w:rFonts w:ascii="Times New Roman" w:hAnsi="Times New Roman"/>
                <w:b/>
                <w:bCs/>
              </w:rPr>
              <w:t>General Principles for Energy Efficiency Policy Package</w:t>
            </w:r>
          </w:p>
          <w:p w:rsidR="00681B3D" w:rsidRPr="00681B3D" w:rsidRDefault="00681B3D" w:rsidP="00681B3D">
            <w:pPr>
              <w:autoSpaceDE w:val="0"/>
              <w:autoSpaceDN w:val="0"/>
              <w:adjustRightInd w:val="0"/>
              <w:rPr>
                <w:rFonts w:ascii="Times New Roman" w:hAnsi="Times New Roman"/>
              </w:rPr>
            </w:pPr>
          </w:p>
          <w:p w:rsidR="00907E2C" w:rsidRPr="00207144" w:rsidRDefault="00907E2C" w:rsidP="00907E2C">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Consumers should receive the substantial majority of the net economic benefits (the difference between the benefits of the measure and its cost) of energy efficiency investments.</w:t>
            </w:r>
          </w:p>
          <w:p w:rsidR="00907E2C" w:rsidRPr="007977C3" w:rsidRDefault="00907E2C" w:rsidP="00907E2C">
            <w:pPr>
              <w:autoSpaceDE w:val="0"/>
              <w:autoSpaceDN w:val="0"/>
              <w:adjustRightInd w:val="0"/>
              <w:rPr>
                <w:rFonts w:ascii="Times New Roman" w:hAnsi="Times New Roman"/>
              </w:rPr>
            </w:pPr>
          </w:p>
          <w:p w:rsidR="00907E2C" w:rsidRPr="00207144" w:rsidRDefault="00907E2C" w:rsidP="00907E2C">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 xml:space="preserve">Cost effectiveness should include energy and non-energy benefits. Energy benefits include, but are not limited to: reduced generation costs, avoided losses, distribution and transmission costs, </w:t>
            </w:r>
            <w:proofErr w:type="gramStart"/>
            <w:r w:rsidRPr="00207144">
              <w:rPr>
                <w:rFonts w:ascii="Times New Roman" w:hAnsi="Times New Roman"/>
              </w:rPr>
              <w:t>taking</w:t>
            </w:r>
            <w:proofErr w:type="gramEnd"/>
            <w:r w:rsidRPr="00207144">
              <w:rPr>
                <w:rFonts w:ascii="Times New Roman" w:hAnsi="Times New Roman"/>
              </w:rPr>
              <w:t xml:space="preserve"> account of load shape, load factor, peak demand and </w:t>
            </w:r>
            <w:proofErr w:type="spellStart"/>
            <w:r w:rsidRPr="00207144">
              <w:rPr>
                <w:rFonts w:ascii="Times New Roman" w:hAnsi="Times New Roman"/>
              </w:rPr>
              <w:t>locational</w:t>
            </w:r>
            <w:proofErr w:type="spellEnd"/>
            <w:r w:rsidRPr="00207144">
              <w:rPr>
                <w:rFonts w:ascii="Times New Roman" w:hAnsi="Times New Roman"/>
              </w:rPr>
              <w:t xml:space="preserve"> benefits. Non-energy benefits may include, but are not limited to: reduced environmental damage, reduced water and other resources, health and safety benefits, and economic development.</w:t>
            </w:r>
          </w:p>
          <w:p w:rsidR="00907E2C" w:rsidRPr="007977C3" w:rsidRDefault="00907E2C" w:rsidP="00907E2C">
            <w:pPr>
              <w:autoSpaceDE w:val="0"/>
              <w:autoSpaceDN w:val="0"/>
              <w:adjustRightInd w:val="0"/>
              <w:rPr>
                <w:rFonts w:ascii="Times New Roman" w:hAnsi="Times New Roman"/>
              </w:rPr>
            </w:pPr>
          </w:p>
          <w:p w:rsidR="00907E2C" w:rsidRPr="00207144" w:rsidRDefault="00907E2C" w:rsidP="00907E2C">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Any mechanism that is found to significantly increase or decrease shareholder risk should consider including an appropriate increase or decrease in the allowed shareholder return.</w:t>
            </w:r>
          </w:p>
          <w:p w:rsidR="00907E2C" w:rsidRPr="007977C3" w:rsidRDefault="00907E2C" w:rsidP="00907E2C">
            <w:pPr>
              <w:autoSpaceDE w:val="0"/>
              <w:autoSpaceDN w:val="0"/>
              <w:adjustRightInd w:val="0"/>
              <w:rPr>
                <w:rFonts w:ascii="Times New Roman" w:hAnsi="Times New Roman"/>
              </w:rPr>
            </w:pPr>
          </w:p>
          <w:p w:rsidR="00907E2C" w:rsidRDefault="00907E2C" w:rsidP="00907E2C">
            <w:pPr>
              <w:pStyle w:val="ListParagraph"/>
              <w:numPr>
                <w:ilvl w:val="0"/>
                <w:numId w:val="37"/>
              </w:numPr>
              <w:autoSpaceDE w:val="0"/>
              <w:autoSpaceDN w:val="0"/>
              <w:adjustRightInd w:val="0"/>
              <w:ind w:left="432"/>
              <w:rPr>
                <w:rFonts w:ascii="Times New Roman" w:hAnsi="Times New Roman"/>
              </w:rPr>
            </w:pPr>
            <w:r w:rsidRPr="00207144">
              <w:rPr>
                <w:rFonts w:ascii="Times New Roman" w:hAnsi="Times New Roman"/>
              </w:rPr>
              <w:t>Creation of an incentive mechanism or a disincentive removal mechanism should include detailed analysis of the positive and/or negative impacts of that mechanism on low-income consumers; analysis indicating an "average" condition for residential consumers is not sufficient. Implementing such a mechanism should not increase the difficulty for low-income households to access utility services they can afford.</w:t>
            </w:r>
          </w:p>
          <w:p w:rsidR="00BF4221" w:rsidRPr="00BF4221" w:rsidRDefault="00BF4221" w:rsidP="00BF4221">
            <w:pPr>
              <w:pStyle w:val="ListParagraph"/>
              <w:rPr>
                <w:rFonts w:ascii="Times New Roman" w:hAnsi="Times New Roman"/>
              </w:rPr>
            </w:pPr>
          </w:p>
          <w:p w:rsidR="00BF4221" w:rsidRDefault="00BF4221" w:rsidP="00907E2C">
            <w:pPr>
              <w:pStyle w:val="ListParagraph"/>
              <w:numPr>
                <w:ilvl w:val="0"/>
                <w:numId w:val="37"/>
              </w:numPr>
              <w:autoSpaceDE w:val="0"/>
              <w:autoSpaceDN w:val="0"/>
              <w:adjustRightInd w:val="0"/>
              <w:ind w:left="432"/>
              <w:rPr>
                <w:rFonts w:ascii="Times New Roman" w:hAnsi="Times New Roman"/>
              </w:rPr>
            </w:pPr>
            <w:r>
              <w:rPr>
                <w:rFonts w:ascii="Times New Roman" w:hAnsi="Times New Roman"/>
              </w:rPr>
              <w:t>Increases in energy efficiency program budgets for low-income consumers should be at least roughly proportional to the increases in funding for energy efficiency programs for other residential consumers, assuming there is unaddressed need.</w:t>
            </w:r>
          </w:p>
          <w:p w:rsidR="00BF4221" w:rsidRPr="00BF4221" w:rsidRDefault="00BF4221" w:rsidP="00BF4221">
            <w:pPr>
              <w:pStyle w:val="ListParagraph"/>
              <w:rPr>
                <w:rFonts w:ascii="Times New Roman" w:hAnsi="Times New Roman"/>
              </w:rPr>
            </w:pPr>
          </w:p>
          <w:p w:rsidR="00BF4221" w:rsidRPr="00207144" w:rsidRDefault="00BF4221" w:rsidP="00907E2C">
            <w:pPr>
              <w:pStyle w:val="ListParagraph"/>
              <w:numPr>
                <w:ilvl w:val="0"/>
                <w:numId w:val="37"/>
              </w:numPr>
              <w:autoSpaceDE w:val="0"/>
              <w:autoSpaceDN w:val="0"/>
              <w:adjustRightInd w:val="0"/>
              <w:ind w:left="432"/>
              <w:rPr>
                <w:rFonts w:ascii="Times New Roman" w:hAnsi="Times New Roman"/>
              </w:rPr>
            </w:pPr>
            <w:r>
              <w:rPr>
                <w:rFonts w:ascii="Times New Roman" w:hAnsi="Times New Roman"/>
              </w:rPr>
              <w:t xml:space="preserve">An independent </w:t>
            </w:r>
            <w:r w:rsidRPr="00207144">
              <w:rPr>
                <w:rFonts w:ascii="Times New Roman" w:hAnsi="Times New Roman"/>
              </w:rPr>
              <w:t>evaluation should be conducted to examine the effectiveness of an incentive mechanism or a disincentive removal mechanism.</w:t>
            </w:r>
          </w:p>
          <w:p w:rsidR="00633D7E" w:rsidRPr="007977C3" w:rsidRDefault="00633D7E" w:rsidP="00633D7E">
            <w:pPr>
              <w:autoSpaceDE w:val="0"/>
              <w:autoSpaceDN w:val="0"/>
              <w:adjustRightInd w:val="0"/>
              <w:rPr>
                <w:rFonts w:ascii="Times New Roman" w:hAnsi="Times New Roman"/>
              </w:rPr>
            </w:pPr>
          </w:p>
          <w:p w:rsidR="00633D7E" w:rsidRPr="00633D7E" w:rsidRDefault="00633D7E" w:rsidP="00633D7E">
            <w:pPr>
              <w:autoSpaceDE w:val="0"/>
              <w:autoSpaceDN w:val="0"/>
              <w:adjustRightInd w:val="0"/>
              <w:ind w:left="72"/>
              <w:rPr>
                <w:rFonts w:ascii="Times New Roman" w:hAnsi="Times New Roman"/>
              </w:rPr>
            </w:pPr>
          </w:p>
        </w:tc>
      </w:tr>
    </w:tbl>
    <w:p w:rsidR="00681B3D" w:rsidRDefault="00681B3D"/>
    <w:p w:rsidR="00681B3D" w:rsidRDefault="00681B3D">
      <w:r>
        <w:br w:type="page"/>
      </w:r>
    </w:p>
    <w:p w:rsidR="00681B3D" w:rsidRDefault="00681B3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633D7E" w:rsidRPr="007977C3" w:rsidTr="00633D7E">
        <w:tc>
          <w:tcPr>
            <w:tcW w:w="2988" w:type="dxa"/>
            <w:shd w:val="pct12" w:color="auto" w:fill="auto"/>
          </w:tcPr>
          <w:p w:rsidR="00633D7E" w:rsidRPr="00423BF8" w:rsidRDefault="00633D7E" w:rsidP="00633D7E">
            <w:pPr>
              <w:pStyle w:val="BodyText3"/>
              <w:suppressAutoHyphens w:val="0"/>
              <w:spacing w:line="264" w:lineRule="auto"/>
              <w:ind w:left="360"/>
              <w:jc w:val="center"/>
              <w:rPr>
                <w:b/>
                <w:sz w:val="24"/>
              </w:rPr>
            </w:pPr>
            <w:r w:rsidRPr="00423BF8">
              <w:rPr>
                <w:b/>
                <w:sz w:val="24"/>
              </w:rPr>
              <w:t>Party</w:t>
            </w:r>
          </w:p>
        </w:tc>
        <w:tc>
          <w:tcPr>
            <w:tcW w:w="10260" w:type="dxa"/>
            <w:shd w:val="pct12" w:color="auto" w:fill="auto"/>
          </w:tcPr>
          <w:p w:rsidR="00633D7E" w:rsidRPr="007977C3" w:rsidRDefault="00633D7E" w:rsidP="00633D7E">
            <w:pPr>
              <w:pStyle w:val="BodyText3"/>
              <w:suppressAutoHyphens w:val="0"/>
              <w:spacing w:line="264" w:lineRule="auto"/>
              <w:jc w:val="center"/>
              <w:rPr>
                <w:sz w:val="24"/>
              </w:rPr>
            </w:pPr>
            <w:r w:rsidRPr="007977C3">
              <w:rPr>
                <w:b/>
                <w:sz w:val="24"/>
              </w:rPr>
              <w:t>COMMENTS</w:t>
            </w:r>
          </w:p>
        </w:tc>
      </w:tr>
      <w:tr w:rsidR="00633D7E" w:rsidRPr="007977C3" w:rsidTr="00633D7E">
        <w:tc>
          <w:tcPr>
            <w:tcW w:w="2988" w:type="dxa"/>
            <w:tcBorders>
              <w:bottom w:val="single" w:sz="4" w:space="0" w:color="auto"/>
            </w:tcBorders>
          </w:tcPr>
          <w:p w:rsidR="00633D7E" w:rsidRPr="0063133F" w:rsidRDefault="00681B3D" w:rsidP="00930EA4">
            <w:pPr>
              <w:rPr>
                <w:rFonts w:ascii="Times New Roman" w:hAnsi="Times New Roman"/>
                <w:b/>
              </w:rPr>
            </w:pPr>
            <w:r w:rsidRPr="0063133F">
              <w:rPr>
                <w:rFonts w:ascii="Times New Roman" w:hAnsi="Times New Roman"/>
                <w:b/>
              </w:rPr>
              <w:t>Northwest Energy Coalition</w:t>
            </w:r>
            <w:r w:rsidR="00E56997">
              <w:rPr>
                <w:rFonts w:ascii="Times New Roman" w:hAnsi="Times New Roman"/>
                <w:b/>
              </w:rPr>
              <w:t xml:space="preserve"> </w:t>
            </w:r>
            <w:r w:rsidR="00E56997" w:rsidRPr="00E56997">
              <w:rPr>
                <w:b/>
                <w:i/>
              </w:rPr>
              <w:t>(Continued)</w:t>
            </w:r>
          </w:p>
        </w:tc>
        <w:tc>
          <w:tcPr>
            <w:tcW w:w="10260" w:type="dxa"/>
            <w:tcBorders>
              <w:bottom w:val="single" w:sz="4" w:space="0" w:color="auto"/>
            </w:tcBorders>
          </w:tcPr>
          <w:p w:rsidR="00681B3D" w:rsidRPr="007977C3" w:rsidRDefault="00681B3D" w:rsidP="00681B3D">
            <w:pPr>
              <w:autoSpaceDE w:val="0"/>
              <w:autoSpaceDN w:val="0"/>
              <w:adjustRightInd w:val="0"/>
              <w:rPr>
                <w:rFonts w:ascii="Times New Roman" w:hAnsi="Times New Roman"/>
                <w:b/>
                <w:bCs/>
              </w:rPr>
            </w:pPr>
            <w:r w:rsidRPr="007977C3">
              <w:rPr>
                <w:rFonts w:ascii="Times New Roman" w:hAnsi="Times New Roman"/>
                <w:b/>
                <w:bCs/>
              </w:rPr>
              <w:t>Principles for Addressing Disincentives to Energy Efficiency (Throughput</w:t>
            </w:r>
          </w:p>
          <w:p w:rsidR="00681B3D" w:rsidRPr="007977C3" w:rsidRDefault="00681B3D" w:rsidP="00681B3D">
            <w:pPr>
              <w:autoSpaceDE w:val="0"/>
              <w:autoSpaceDN w:val="0"/>
              <w:adjustRightInd w:val="0"/>
              <w:rPr>
                <w:rFonts w:ascii="Times New Roman" w:hAnsi="Times New Roman"/>
                <w:b/>
                <w:bCs/>
              </w:rPr>
            </w:pPr>
            <w:r w:rsidRPr="007977C3">
              <w:rPr>
                <w:rFonts w:ascii="Times New Roman" w:hAnsi="Times New Roman"/>
                <w:b/>
                <w:bCs/>
              </w:rPr>
              <w:t>Incentive)</w:t>
            </w:r>
          </w:p>
          <w:p w:rsidR="00681B3D" w:rsidRDefault="00681B3D" w:rsidP="00681B3D">
            <w:pPr>
              <w:autoSpaceDE w:val="0"/>
              <w:autoSpaceDN w:val="0"/>
              <w:adjustRightInd w:val="0"/>
              <w:rPr>
                <w:rFonts w:ascii="Times New Roman" w:hAnsi="Times New Roman"/>
              </w:rPr>
            </w:pPr>
          </w:p>
          <w:p w:rsidR="00681B3D" w:rsidRPr="00207144" w:rsidRDefault="00681B3D"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Any mechanism should be linked to a commitment from the utility to pursue significant energy efficiency savings.</w:t>
            </w:r>
          </w:p>
          <w:p w:rsidR="00681B3D" w:rsidRPr="00681B3D" w:rsidRDefault="00681B3D" w:rsidP="00681B3D">
            <w:pPr>
              <w:autoSpaceDE w:val="0"/>
              <w:autoSpaceDN w:val="0"/>
              <w:adjustRightInd w:val="0"/>
              <w:ind w:left="72"/>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As it removes the disincentive to decrease sales, any mechanism should also reduce the incentive to maximize sales as a way to increase profit.</w:t>
            </w:r>
          </w:p>
          <w:p w:rsidR="00633D7E" w:rsidRPr="007977C3" w:rsidRDefault="00633D7E" w:rsidP="00633D7E">
            <w:pPr>
              <w:autoSpaceDE w:val="0"/>
              <w:autoSpaceDN w:val="0"/>
              <w:adjustRightInd w:val="0"/>
              <w:rPr>
                <w:rFonts w:ascii="Times New Roman" w:hAnsi="Times New Roman"/>
              </w:rPr>
            </w:pPr>
          </w:p>
          <w:p w:rsidR="00633D7E"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Utilities should not be disadvantaged by energy efficiency achievements regardless of whether they are accomplished through end-use consumer programs, codes, standards or markets.</w:t>
            </w:r>
          </w:p>
          <w:p w:rsidR="00633D7E" w:rsidRPr="00633D7E" w:rsidRDefault="00633D7E" w:rsidP="00633D7E">
            <w:pPr>
              <w:autoSpaceDE w:val="0"/>
              <w:autoSpaceDN w:val="0"/>
              <w:adjustRightInd w:val="0"/>
              <w:ind w:left="72"/>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 xml:space="preserve">Master metering and straight fixed variable rate design </w:t>
            </w:r>
            <w:proofErr w:type="gramStart"/>
            <w:r w:rsidRPr="00207144">
              <w:rPr>
                <w:rFonts w:ascii="Times New Roman" w:hAnsi="Times New Roman"/>
              </w:rPr>
              <w:t>are</w:t>
            </w:r>
            <w:proofErr w:type="gramEnd"/>
            <w:r w:rsidRPr="00207144">
              <w:rPr>
                <w:rFonts w:ascii="Times New Roman" w:hAnsi="Times New Roman"/>
              </w:rPr>
              <w:t xml:space="preserve"> not acceptable solutions if they create a disincentive to consumer investment in energy efficiency.</w:t>
            </w:r>
          </w:p>
          <w:p w:rsidR="00633D7E" w:rsidRPr="007977C3"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Any mechanism should not erode a utility’s incentive to control costs or to improve operational efficiency.</w:t>
            </w:r>
          </w:p>
          <w:p w:rsidR="00633D7E" w:rsidRPr="007977C3"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The mechanism should not result in an unwarranted shift in costs between customer classes or to low-income consumers.</w:t>
            </w:r>
          </w:p>
          <w:p w:rsidR="00633D7E" w:rsidRPr="007977C3"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The mechanism should be designed to limit excess year-to-year fluctuations in rates.</w:t>
            </w:r>
          </w:p>
          <w:p w:rsidR="00633D7E" w:rsidRPr="007977C3"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5"/>
              </w:numPr>
              <w:autoSpaceDE w:val="0"/>
              <w:autoSpaceDN w:val="0"/>
              <w:adjustRightInd w:val="0"/>
              <w:ind w:left="432"/>
              <w:rPr>
                <w:rFonts w:ascii="Times New Roman" w:hAnsi="Times New Roman"/>
              </w:rPr>
            </w:pPr>
            <w:r w:rsidRPr="00207144">
              <w:rPr>
                <w:rFonts w:ascii="Times New Roman" w:hAnsi="Times New Roman"/>
              </w:rPr>
              <w:t>Once in place, the mechanism should strive to be understandable and impose low administrative cost for the regulatory agency, the utility and public interest advocates.</w:t>
            </w:r>
          </w:p>
          <w:p w:rsidR="00633D7E" w:rsidRPr="00681B3D" w:rsidRDefault="00633D7E" w:rsidP="00681B3D">
            <w:pPr>
              <w:autoSpaceDE w:val="0"/>
              <w:autoSpaceDN w:val="0"/>
              <w:adjustRightInd w:val="0"/>
              <w:ind w:left="72"/>
              <w:rPr>
                <w:rFonts w:ascii="Times New Roman" w:hAnsi="Times New Roman"/>
              </w:rPr>
            </w:pPr>
          </w:p>
        </w:tc>
      </w:tr>
    </w:tbl>
    <w:p w:rsidR="00681B3D" w:rsidRDefault="00681B3D"/>
    <w:p w:rsidR="00681B3D" w:rsidRDefault="00681B3D">
      <w:r>
        <w:br w:type="page"/>
      </w:r>
    </w:p>
    <w:p w:rsidR="00681B3D" w:rsidRDefault="00681B3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633D7E" w:rsidRPr="007977C3" w:rsidTr="00633D7E">
        <w:tc>
          <w:tcPr>
            <w:tcW w:w="2988" w:type="dxa"/>
            <w:shd w:val="pct12" w:color="auto" w:fill="auto"/>
          </w:tcPr>
          <w:p w:rsidR="00633D7E" w:rsidRPr="00423BF8" w:rsidRDefault="00633D7E" w:rsidP="00633D7E">
            <w:pPr>
              <w:pStyle w:val="BodyText3"/>
              <w:suppressAutoHyphens w:val="0"/>
              <w:spacing w:line="264" w:lineRule="auto"/>
              <w:ind w:left="360"/>
              <w:jc w:val="center"/>
              <w:rPr>
                <w:b/>
                <w:sz w:val="24"/>
              </w:rPr>
            </w:pPr>
            <w:r w:rsidRPr="00423BF8">
              <w:rPr>
                <w:b/>
                <w:sz w:val="24"/>
              </w:rPr>
              <w:t>Party</w:t>
            </w:r>
          </w:p>
        </w:tc>
        <w:tc>
          <w:tcPr>
            <w:tcW w:w="10260" w:type="dxa"/>
            <w:shd w:val="pct12" w:color="auto" w:fill="auto"/>
          </w:tcPr>
          <w:p w:rsidR="00633D7E" w:rsidRPr="007977C3" w:rsidRDefault="00633D7E" w:rsidP="00633D7E">
            <w:pPr>
              <w:pStyle w:val="BodyText3"/>
              <w:suppressAutoHyphens w:val="0"/>
              <w:spacing w:line="264" w:lineRule="auto"/>
              <w:jc w:val="center"/>
              <w:rPr>
                <w:sz w:val="24"/>
              </w:rPr>
            </w:pPr>
            <w:r w:rsidRPr="007977C3">
              <w:rPr>
                <w:b/>
                <w:sz w:val="24"/>
              </w:rPr>
              <w:t>COMMENTS</w:t>
            </w:r>
          </w:p>
        </w:tc>
      </w:tr>
      <w:tr w:rsidR="00633D7E" w:rsidRPr="007977C3" w:rsidTr="004C2024">
        <w:tc>
          <w:tcPr>
            <w:tcW w:w="2988" w:type="dxa"/>
          </w:tcPr>
          <w:p w:rsidR="00633D7E" w:rsidRPr="0063133F" w:rsidRDefault="00681B3D" w:rsidP="00930EA4">
            <w:pPr>
              <w:rPr>
                <w:rFonts w:ascii="Times New Roman" w:hAnsi="Times New Roman"/>
                <w:b/>
              </w:rPr>
            </w:pPr>
            <w:r w:rsidRPr="0063133F">
              <w:rPr>
                <w:rFonts w:ascii="Times New Roman" w:hAnsi="Times New Roman"/>
                <w:b/>
              </w:rPr>
              <w:t>Northwest Energy Coalition</w:t>
            </w:r>
            <w:r w:rsidR="00E56997">
              <w:rPr>
                <w:rFonts w:ascii="Times New Roman" w:hAnsi="Times New Roman"/>
                <w:b/>
              </w:rPr>
              <w:t xml:space="preserve"> </w:t>
            </w:r>
            <w:r w:rsidR="00E56997" w:rsidRPr="00E56997">
              <w:rPr>
                <w:b/>
                <w:i/>
              </w:rPr>
              <w:t>(Continued)</w:t>
            </w:r>
          </w:p>
        </w:tc>
        <w:tc>
          <w:tcPr>
            <w:tcW w:w="10260" w:type="dxa"/>
          </w:tcPr>
          <w:p w:rsidR="00681B3D" w:rsidRDefault="00681B3D" w:rsidP="00681B3D">
            <w:pPr>
              <w:autoSpaceDE w:val="0"/>
              <w:autoSpaceDN w:val="0"/>
              <w:adjustRightInd w:val="0"/>
              <w:rPr>
                <w:rFonts w:ascii="Times New Roman" w:hAnsi="Times New Roman"/>
                <w:b/>
                <w:bCs/>
              </w:rPr>
            </w:pPr>
            <w:r w:rsidRPr="007977C3">
              <w:rPr>
                <w:rFonts w:ascii="Times New Roman" w:hAnsi="Times New Roman"/>
                <w:b/>
                <w:bCs/>
              </w:rPr>
              <w:t>Principles Providing Incentives for Energy Efficiency</w:t>
            </w:r>
          </w:p>
          <w:p w:rsidR="00681B3D" w:rsidRDefault="00681B3D" w:rsidP="00681B3D">
            <w:pPr>
              <w:autoSpaceDE w:val="0"/>
              <w:autoSpaceDN w:val="0"/>
              <w:adjustRightInd w:val="0"/>
              <w:ind w:left="72"/>
              <w:rPr>
                <w:rFonts w:ascii="Times New Roman" w:hAnsi="Times New Roman"/>
              </w:rPr>
            </w:pPr>
          </w:p>
          <w:p w:rsidR="00681B3D" w:rsidRPr="00207144" w:rsidRDefault="00681B3D"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The best resource mix for consumers should also be the most profitable path for utilities.</w:t>
            </w:r>
          </w:p>
          <w:p w:rsidR="00681B3D" w:rsidRPr="007977C3" w:rsidRDefault="00681B3D" w:rsidP="00681B3D">
            <w:pPr>
              <w:autoSpaceDE w:val="0"/>
              <w:autoSpaceDN w:val="0"/>
              <w:adjustRightInd w:val="0"/>
              <w:rPr>
                <w:rFonts w:ascii="Times New Roman" w:hAnsi="Times New Roman"/>
              </w:rPr>
            </w:pPr>
          </w:p>
          <w:p w:rsidR="00681B3D" w:rsidRPr="00207144" w:rsidRDefault="00681B3D"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Utilities should have a timely earnings opportunity, in which earnings are directly linked to efficiency program performance.</w:t>
            </w:r>
          </w:p>
          <w:p w:rsidR="00681B3D" w:rsidRPr="007977C3" w:rsidRDefault="00681B3D" w:rsidP="00681B3D">
            <w:pPr>
              <w:autoSpaceDE w:val="0"/>
              <w:autoSpaceDN w:val="0"/>
              <w:adjustRightInd w:val="0"/>
              <w:rPr>
                <w:rFonts w:ascii="Times New Roman" w:hAnsi="Times New Roman"/>
              </w:rPr>
            </w:pPr>
          </w:p>
          <w:p w:rsidR="00681B3D" w:rsidRPr="00207144" w:rsidRDefault="00681B3D"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The incentive mechanism should ensure that the substantial majority of benefits of energy efficiency are received by consumers and should be set no higher than is required to induce the sustained investments needed.</w:t>
            </w:r>
          </w:p>
          <w:p w:rsidR="00681B3D" w:rsidRPr="007977C3" w:rsidRDefault="00681B3D" w:rsidP="00681B3D">
            <w:pPr>
              <w:autoSpaceDE w:val="0"/>
              <w:autoSpaceDN w:val="0"/>
              <w:adjustRightInd w:val="0"/>
              <w:rPr>
                <w:rFonts w:ascii="Times New Roman" w:hAnsi="Times New Roman"/>
              </w:rPr>
            </w:pPr>
          </w:p>
          <w:p w:rsidR="00681B3D" w:rsidRPr="00207144" w:rsidRDefault="00681B3D"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Incentives should reward superior performance.</w:t>
            </w:r>
          </w:p>
          <w:p w:rsidR="00681B3D" w:rsidRPr="00681B3D" w:rsidRDefault="00681B3D" w:rsidP="00681B3D">
            <w:pPr>
              <w:autoSpaceDE w:val="0"/>
              <w:autoSpaceDN w:val="0"/>
              <w:adjustRightInd w:val="0"/>
              <w:ind w:left="72"/>
              <w:rPr>
                <w:rFonts w:ascii="Times New Roman" w:hAnsi="Times New Roman"/>
              </w:rPr>
            </w:pPr>
          </w:p>
          <w:p w:rsidR="00633D7E" w:rsidRPr="00207144" w:rsidRDefault="00633D7E"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Incentives should be designed to reward achievement of results equitably throughout all sectors to which the incentive applies, not just within a single sector.</w:t>
            </w:r>
          </w:p>
          <w:p w:rsidR="00633D7E"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Incentive rate design should avoid creating large changes in earnings from small changes in savings levels.</w:t>
            </w:r>
          </w:p>
          <w:p w:rsidR="00633D7E" w:rsidRPr="007977C3" w:rsidRDefault="00633D7E" w:rsidP="00633D7E">
            <w:pPr>
              <w:autoSpaceDE w:val="0"/>
              <w:autoSpaceDN w:val="0"/>
              <w:adjustRightInd w:val="0"/>
              <w:rPr>
                <w:rFonts w:ascii="Times New Roman" w:hAnsi="Times New Roman"/>
              </w:rPr>
            </w:pPr>
          </w:p>
          <w:p w:rsidR="00633D7E" w:rsidRPr="00207144" w:rsidRDefault="00633D7E"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Performance metrics should focus on energy savings, economic savings, and carbon savings.</w:t>
            </w:r>
          </w:p>
          <w:p w:rsidR="00633D7E" w:rsidRDefault="00633D7E" w:rsidP="00633D7E">
            <w:pPr>
              <w:autoSpaceDE w:val="0"/>
              <w:autoSpaceDN w:val="0"/>
              <w:adjustRightInd w:val="0"/>
              <w:ind w:left="72"/>
              <w:rPr>
                <w:rFonts w:ascii="Times New Roman" w:hAnsi="Times New Roman"/>
              </w:rPr>
            </w:pPr>
          </w:p>
          <w:p w:rsidR="00633D7E" w:rsidRPr="00207144" w:rsidRDefault="00633D7E" w:rsidP="00681B3D">
            <w:pPr>
              <w:pStyle w:val="ListParagraph"/>
              <w:numPr>
                <w:ilvl w:val="0"/>
                <w:numId w:val="46"/>
              </w:numPr>
              <w:autoSpaceDE w:val="0"/>
              <w:autoSpaceDN w:val="0"/>
              <w:adjustRightInd w:val="0"/>
              <w:ind w:left="432"/>
              <w:rPr>
                <w:rFonts w:ascii="Times New Roman" w:hAnsi="Times New Roman"/>
              </w:rPr>
            </w:pPr>
            <w:r w:rsidRPr="00207144">
              <w:rPr>
                <w:rFonts w:ascii="Times New Roman" w:hAnsi="Times New Roman"/>
              </w:rPr>
              <w:t>Additional indicators should be considered as performance metrics or as thresholds for receiving incentives, such as market transformation, hard-to-reach sectors, cost minimization, and maximizing cost-effectiveness and net benefits.</w:t>
            </w:r>
          </w:p>
          <w:p w:rsidR="00633D7E" w:rsidRPr="00633D7E" w:rsidRDefault="00633D7E" w:rsidP="00633D7E">
            <w:pPr>
              <w:autoSpaceDE w:val="0"/>
              <w:autoSpaceDN w:val="0"/>
              <w:adjustRightInd w:val="0"/>
              <w:rPr>
                <w:rFonts w:ascii="Times New Roman" w:hAnsi="Times New Roman"/>
                <w:bCs/>
              </w:rPr>
            </w:pPr>
          </w:p>
          <w:p w:rsidR="00633D7E" w:rsidRPr="00681B3D" w:rsidRDefault="00633D7E" w:rsidP="00681B3D">
            <w:pPr>
              <w:autoSpaceDE w:val="0"/>
              <w:autoSpaceDN w:val="0"/>
              <w:adjustRightInd w:val="0"/>
              <w:ind w:left="72"/>
              <w:rPr>
                <w:rFonts w:ascii="Times New Roman" w:hAnsi="Times New Roman"/>
              </w:rPr>
            </w:pPr>
          </w:p>
        </w:tc>
      </w:tr>
    </w:tbl>
    <w:p w:rsidR="00681B3D" w:rsidRDefault="00681B3D"/>
    <w:p w:rsidR="00681B3D" w:rsidRDefault="00681B3D">
      <w:r>
        <w:br w:type="page"/>
      </w:r>
    </w:p>
    <w:p w:rsidR="00681B3D" w:rsidRDefault="00681B3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88"/>
        <w:gridCol w:w="10260"/>
      </w:tblGrid>
      <w:tr w:rsidR="00681B3D" w:rsidRPr="007977C3" w:rsidTr="00681B3D">
        <w:tc>
          <w:tcPr>
            <w:tcW w:w="2988" w:type="dxa"/>
            <w:shd w:val="pct12" w:color="auto" w:fill="auto"/>
          </w:tcPr>
          <w:p w:rsidR="00681B3D" w:rsidRPr="00423BF8" w:rsidRDefault="00681B3D" w:rsidP="00681B3D">
            <w:pPr>
              <w:pStyle w:val="BodyText3"/>
              <w:suppressAutoHyphens w:val="0"/>
              <w:spacing w:line="264" w:lineRule="auto"/>
              <w:ind w:left="360"/>
              <w:jc w:val="center"/>
              <w:rPr>
                <w:b/>
                <w:sz w:val="24"/>
              </w:rPr>
            </w:pPr>
            <w:r w:rsidRPr="00423BF8">
              <w:rPr>
                <w:b/>
                <w:sz w:val="24"/>
              </w:rPr>
              <w:t>Party</w:t>
            </w:r>
          </w:p>
        </w:tc>
        <w:tc>
          <w:tcPr>
            <w:tcW w:w="10260" w:type="dxa"/>
            <w:shd w:val="pct12" w:color="auto" w:fill="auto"/>
          </w:tcPr>
          <w:p w:rsidR="00681B3D" w:rsidRPr="007977C3" w:rsidRDefault="00681B3D" w:rsidP="00681B3D">
            <w:pPr>
              <w:pStyle w:val="BodyText3"/>
              <w:suppressAutoHyphens w:val="0"/>
              <w:spacing w:line="264" w:lineRule="auto"/>
              <w:jc w:val="center"/>
              <w:rPr>
                <w:sz w:val="24"/>
              </w:rPr>
            </w:pPr>
            <w:r w:rsidRPr="007977C3">
              <w:rPr>
                <w:b/>
                <w:sz w:val="24"/>
              </w:rPr>
              <w:t>COMMENTS</w:t>
            </w:r>
          </w:p>
        </w:tc>
      </w:tr>
      <w:tr w:rsidR="00681B3D" w:rsidRPr="007977C3" w:rsidTr="004C2024">
        <w:tc>
          <w:tcPr>
            <w:tcW w:w="2988" w:type="dxa"/>
          </w:tcPr>
          <w:p w:rsidR="00681B3D" w:rsidRPr="0063133F" w:rsidRDefault="00681B3D" w:rsidP="00930EA4">
            <w:pPr>
              <w:rPr>
                <w:rFonts w:ascii="Times New Roman" w:hAnsi="Times New Roman"/>
                <w:b/>
              </w:rPr>
            </w:pPr>
            <w:r w:rsidRPr="0063133F">
              <w:rPr>
                <w:rFonts w:ascii="Times New Roman" w:hAnsi="Times New Roman"/>
                <w:b/>
              </w:rPr>
              <w:t>Northwest Energy Coalition</w:t>
            </w:r>
            <w:r w:rsidR="00E56997">
              <w:rPr>
                <w:rFonts w:ascii="Times New Roman" w:hAnsi="Times New Roman"/>
                <w:b/>
              </w:rPr>
              <w:t xml:space="preserve"> </w:t>
            </w:r>
            <w:r w:rsidR="00E56997" w:rsidRPr="00E56997">
              <w:rPr>
                <w:b/>
                <w:i/>
              </w:rPr>
              <w:t>(Continued)</w:t>
            </w:r>
          </w:p>
        </w:tc>
        <w:tc>
          <w:tcPr>
            <w:tcW w:w="10260" w:type="dxa"/>
          </w:tcPr>
          <w:p w:rsidR="00681B3D" w:rsidRDefault="00681B3D" w:rsidP="00681B3D">
            <w:pPr>
              <w:autoSpaceDE w:val="0"/>
              <w:autoSpaceDN w:val="0"/>
              <w:adjustRightInd w:val="0"/>
              <w:rPr>
                <w:rFonts w:ascii="Times New Roman" w:hAnsi="Times New Roman"/>
                <w:b/>
                <w:bCs/>
              </w:rPr>
            </w:pPr>
            <w:r w:rsidRPr="007977C3">
              <w:rPr>
                <w:rFonts w:ascii="Times New Roman" w:hAnsi="Times New Roman"/>
                <w:b/>
                <w:bCs/>
              </w:rPr>
              <w:t>Principles for Addressing Rate Design</w:t>
            </w:r>
          </w:p>
          <w:p w:rsidR="00681B3D" w:rsidRPr="007977C3" w:rsidRDefault="00681B3D" w:rsidP="00681B3D">
            <w:pPr>
              <w:autoSpaceDE w:val="0"/>
              <w:autoSpaceDN w:val="0"/>
              <w:adjustRightInd w:val="0"/>
              <w:rPr>
                <w:rFonts w:ascii="Times New Roman" w:hAnsi="Times New Roman"/>
                <w:b/>
                <w:bCs/>
              </w:rPr>
            </w:pPr>
          </w:p>
          <w:p w:rsidR="00681B3D" w:rsidRPr="00207144" w:rsidRDefault="00681B3D" w:rsidP="00681B3D">
            <w:pPr>
              <w:pStyle w:val="ListParagraph"/>
              <w:numPr>
                <w:ilvl w:val="0"/>
                <w:numId w:val="47"/>
              </w:numPr>
              <w:autoSpaceDE w:val="0"/>
              <w:autoSpaceDN w:val="0"/>
              <w:adjustRightInd w:val="0"/>
              <w:ind w:left="432"/>
              <w:rPr>
                <w:rFonts w:ascii="Times New Roman" w:hAnsi="Times New Roman"/>
              </w:rPr>
            </w:pPr>
            <w:r w:rsidRPr="00207144">
              <w:rPr>
                <w:rFonts w:ascii="Times New Roman" w:hAnsi="Times New Roman"/>
              </w:rPr>
              <w:t>Retail rates should be designed to provide efficient price signals to consumers.</w:t>
            </w:r>
          </w:p>
          <w:p w:rsidR="00681B3D" w:rsidRPr="007977C3" w:rsidRDefault="00681B3D" w:rsidP="00681B3D">
            <w:pPr>
              <w:autoSpaceDE w:val="0"/>
              <w:autoSpaceDN w:val="0"/>
              <w:adjustRightInd w:val="0"/>
              <w:rPr>
                <w:rFonts w:ascii="Times New Roman" w:hAnsi="Times New Roman"/>
              </w:rPr>
            </w:pPr>
          </w:p>
          <w:p w:rsidR="00681B3D" w:rsidRPr="00207144" w:rsidRDefault="00681B3D" w:rsidP="00681B3D">
            <w:pPr>
              <w:pStyle w:val="ListParagraph"/>
              <w:numPr>
                <w:ilvl w:val="0"/>
                <w:numId w:val="47"/>
              </w:numPr>
              <w:autoSpaceDE w:val="0"/>
              <w:autoSpaceDN w:val="0"/>
              <w:adjustRightInd w:val="0"/>
              <w:ind w:left="432"/>
              <w:rPr>
                <w:rFonts w:ascii="Times New Roman" w:hAnsi="Times New Roman"/>
              </w:rPr>
            </w:pPr>
            <w:r w:rsidRPr="00207144">
              <w:rPr>
                <w:rFonts w:ascii="Times New Roman" w:hAnsi="Times New Roman"/>
              </w:rPr>
              <w:t>End-block rates should align the rates for incremental usage with long-run incremental costs, including production, transmission, distribution, administrative, and environmental costs.</w:t>
            </w:r>
          </w:p>
          <w:p w:rsidR="00681B3D" w:rsidRDefault="00681B3D" w:rsidP="00681B3D">
            <w:pPr>
              <w:autoSpaceDE w:val="0"/>
              <w:autoSpaceDN w:val="0"/>
              <w:adjustRightInd w:val="0"/>
              <w:rPr>
                <w:rFonts w:ascii="Times New Roman" w:hAnsi="Times New Roman"/>
              </w:rPr>
            </w:pPr>
          </w:p>
          <w:p w:rsidR="00681B3D" w:rsidRDefault="00681B3D" w:rsidP="00681B3D">
            <w:pPr>
              <w:pStyle w:val="ListParagraph"/>
              <w:numPr>
                <w:ilvl w:val="0"/>
                <w:numId w:val="47"/>
              </w:numPr>
              <w:autoSpaceDE w:val="0"/>
              <w:autoSpaceDN w:val="0"/>
              <w:adjustRightInd w:val="0"/>
              <w:ind w:left="432"/>
              <w:rPr>
                <w:rFonts w:ascii="Times New Roman" w:hAnsi="Times New Roman"/>
              </w:rPr>
            </w:pPr>
            <w:r>
              <w:rPr>
                <w:rFonts w:ascii="Times New Roman" w:hAnsi="Times New Roman"/>
              </w:rPr>
              <w:t>Time-varying rates should not be implemented in a manner that creates severe hardships for consumers.</w:t>
            </w:r>
          </w:p>
          <w:p w:rsidR="00681B3D" w:rsidRPr="00207144" w:rsidRDefault="00681B3D" w:rsidP="00681B3D">
            <w:pPr>
              <w:autoSpaceDE w:val="0"/>
              <w:autoSpaceDN w:val="0"/>
              <w:adjustRightInd w:val="0"/>
              <w:ind w:left="72"/>
            </w:pPr>
          </w:p>
        </w:tc>
      </w:tr>
      <w:tr w:rsidR="000E54E1" w:rsidRPr="007977C3" w:rsidTr="004C2024">
        <w:tc>
          <w:tcPr>
            <w:tcW w:w="2988" w:type="dxa"/>
          </w:tcPr>
          <w:p w:rsidR="000E54E1" w:rsidRPr="0063133F" w:rsidRDefault="009662E5" w:rsidP="00930EA4">
            <w:pPr>
              <w:rPr>
                <w:rFonts w:ascii="Times New Roman" w:hAnsi="Times New Roman"/>
                <w:b/>
              </w:rPr>
            </w:pPr>
            <w:r w:rsidRPr="0063133F">
              <w:rPr>
                <w:rFonts w:ascii="Times New Roman" w:hAnsi="Times New Roman"/>
                <w:b/>
              </w:rPr>
              <w:t>Cost Management Services, Inc.</w:t>
            </w:r>
          </w:p>
        </w:tc>
        <w:tc>
          <w:tcPr>
            <w:tcW w:w="10260" w:type="dxa"/>
          </w:tcPr>
          <w:p w:rsidR="000E54E1" w:rsidRDefault="00A24577" w:rsidP="005C1D4E">
            <w:pPr>
              <w:pStyle w:val="BodyText3"/>
              <w:numPr>
                <w:ilvl w:val="6"/>
                <w:numId w:val="32"/>
              </w:numPr>
              <w:suppressAutoHyphens w:val="0"/>
              <w:spacing w:line="264" w:lineRule="auto"/>
              <w:ind w:left="432"/>
              <w:rPr>
                <w:sz w:val="24"/>
              </w:rPr>
            </w:pPr>
            <w:r w:rsidRPr="00207144">
              <w:rPr>
                <w:sz w:val="24"/>
              </w:rPr>
              <w:t>Remove the requirement that a customer who has received a conservation-grant and subsequently becomes an electric-transmission or gas-transport customer only must immediately pay back the grant.</w:t>
            </w:r>
          </w:p>
          <w:p w:rsidR="00207144" w:rsidRPr="00207144" w:rsidRDefault="00207144" w:rsidP="00207144">
            <w:pPr>
              <w:pStyle w:val="BodyText3"/>
              <w:suppressAutoHyphens w:val="0"/>
              <w:spacing w:line="264" w:lineRule="auto"/>
              <w:ind w:left="720"/>
              <w:rPr>
                <w:sz w:val="24"/>
              </w:rPr>
            </w:pPr>
          </w:p>
          <w:p w:rsidR="00A24577" w:rsidRDefault="00A24577" w:rsidP="005C1D4E">
            <w:pPr>
              <w:pStyle w:val="BodyText3"/>
              <w:numPr>
                <w:ilvl w:val="6"/>
                <w:numId w:val="32"/>
              </w:numPr>
              <w:suppressAutoHyphens w:val="0"/>
              <w:spacing w:line="264" w:lineRule="auto"/>
              <w:ind w:left="432"/>
              <w:rPr>
                <w:sz w:val="24"/>
              </w:rPr>
            </w:pPr>
            <w:r w:rsidRPr="00207144">
              <w:rPr>
                <w:sz w:val="24"/>
              </w:rPr>
              <w:t xml:space="preserve">It may be the case that building developers can receive </w:t>
            </w:r>
            <w:r w:rsidR="00952949" w:rsidRPr="00207144">
              <w:rPr>
                <w:sz w:val="24"/>
              </w:rPr>
              <w:t>conservation</w:t>
            </w:r>
            <w:r w:rsidRPr="00207144">
              <w:rPr>
                <w:sz w:val="24"/>
              </w:rPr>
              <w:t>-grants</w:t>
            </w:r>
            <w:r w:rsidR="00952949" w:rsidRPr="00207144">
              <w:rPr>
                <w:sz w:val="24"/>
              </w:rPr>
              <w:t xml:space="preserve"> while their tenet is a customer of the utility. The ability of the tenet to elect not to be a core customer under such circumstances further exacerbates the undue discrimination to customers who, having received a grant, face the threat of having that grant converted into a loan upon election of non-core service. </w:t>
            </w:r>
          </w:p>
          <w:p w:rsidR="00207144" w:rsidRDefault="00207144" w:rsidP="00207144">
            <w:pPr>
              <w:pStyle w:val="ListParagraph"/>
            </w:pPr>
          </w:p>
          <w:p w:rsidR="00A24577" w:rsidRPr="004970DD" w:rsidRDefault="00952949" w:rsidP="00681B3D">
            <w:pPr>
              <w:pStyle w:val="BodyText3"/>
              <w:numPr>
                <w:ilvl w:val="6"/>
                <w:numId w:val="32"/>
              </w:numPr>
              <w:suppressAutoHyphens w:val="0"/>
              <w:spacing w:line="264" w:lineRule="auto"/>
              <w:ind w:left="432"/>
              <w:rPr>
                <w:b/>
                <w:sz w:val="24"/>
              </w:rPr>
            </w:pPr>
            <w:r w:rsidRPr="00207144">
              <w:rPr>
                <w:sz w:val="24"/>
              </w:rPr>
              <w:t>CMS questions the wisdom of providing grants for new construction. W</w:t>
            </w:r>
            <w:r w:rsidR="00451704" w:rsidRPr="00207144">
              <w:rPr>
                <w:sz w:val="24"/>
              </w:rPr>
              <w:t>e believe the grant should be limited to funding replacements or retrofits at existing buildings.</w:t>
            </w:r>
          </w:p>
          <w:p w:rsidR="004970DD" w:rsidRPr="007977C3" w:rsidRDefault="004970DD" w:rsidP="004970DD">
            <w:pPr>
              <w:pStyle w:val="BodyText3"/>
              <w:suppressAutoHyphens w:val="0"/>
              <w:spacing w:line="264" w:lineRule="auto"/>
              <w:ind w:left="72"/>
              <w:rPr>
                <w:b/>
                <w:sz w:val="24"/>
              </w:rPr>
            </w:pPr>
          </w:p>
        </w:tc>
      </w:tr>
      <w:tr w:rsidR="000E54E1" w:rsidRPr="007977C3" w:rsidTr="004C2024">
        <w:tc>
          <w:tcPr>
            <w:tcW w:w="2988" w:type="dxa"/>
          </w:tcPr>
          <w:p w:rsidR="000E54E1" w:rsidRPr="0063133F" w:rsidRDefault="009871A8" w:rsidP="0063133F">
            <w:pPr>
              <w:rPr>
                <w:rFonts w:ascii="Times New Roman" w:hAnsi="Times New Roman"/>
                <w:b/>
              </w:rPr>
            </w:pPr>
            <w:r w:rsidRPr="0063133F">
              <w:rPr>
                <w:rFonts w:ascii="Times New Roman" w:hAnsi="Times New Roman"/>
                <w:b/>
              </w:rPr>
              <w:t>Department of Ecology</w:t>
            </w:r>
          </w:p>
        </w:tc>
        <w:tc>
          <w:tcPr>
            <w:tcW w:w="10260" w:type="dxa"/>
          </w:tcPr>
          <w:p w:rsidR="000E54E1" w:rsidRDefault="009871A8" w:rsidP="005C1D4E">
            <w:pPr>
              <w:pStyle w:val="BodyText3"/>
              <w:suppressAutoHyphens w:val="0"/>
              <w:spacing w:line="264" w:lineRule="auto"/>
              <w:ind w:left="72"/>
              <w:rPr>
                <w:sz w:val="24"/>
              </w:rPr>
            </w:pPr>
            <w:r w:rsidRPr="0063133F">
              <w:rPr>
                <w:sz w:val="24"/>
              </w:rPr>
              <w:t>How would removing the linkage between the number of kilowatt hours sold and financial returns for utilities impact the state’s ability to meet its  statutory greenhouse (GHG) emission reduction limits (</w:t>
            </w:r>
            <w:hyperlink r:id="rId8" w:history="1">
              <w:r w:rsidRPr="0063133F">
                <w:rPr>
                  <w:rStyle w:val="Hyperlink"/>
                  <w:color w:val="auto"/>
                  <w:sz w:val="24"/>
                </w:rPr>
                <w:t>RCW 70.235.020</w:t>
              </w:r>
            </w:hyperlink>
            <w:r w:rsidRPr="0063133F">
              <w:rPr>
                <w:sz w:val="24"/>
              </w:rPr>
              <w:t>)</w:t>
            </w:r>
          </w:p>
          <w:p w:rsidR="004970DD" w:rsidRPr="0063133F" w:rsidRDefault="004970DD" w:rsidP="005C1D4E">
            <w:pPr>
              <w:pStyle w:val="BodyText3"/>
              <w:suppressAutoHyphens w:val="0"/>
              <w:spacing w:line="264" w:lineRule="auto"/>
              <w:ind w:left="72"/>
              <w:rPr>
                <w:b/>
                <w:sz w:val="24"/>
              </w:rPr>
            </w:pPr>
          </w:p>
        </w:tc>
      </w:tr>
    </w:tbl>
    <w:p w:rsidR="008F0804" w:rsidRPr="007977C3" w:rsidRDefault="008F0804" w:rsidP="008F0804">
      <w:pPr>
        <w:rPr>
          <w:rFonts w:ascii="Times New Roman" w:hAnsi="Times New Roman"/>
        </w:rPr>
      </w:pPr>
    </w:p>
    <w:p w:rsidR="004348DF" w:rsidRPr="007977C3" w:rsidRDefault="004348DF" w:rsidP="009871A8">
      <w:pPr>
        <w:rPr>
          <w:rFonts w:ascii="Times New Roman" w:hAnsi="Times New Roman"/>
        </w:rPr>
      </w:pPr>
    </w:p>
    <w:sectPr w:rsidR="004348DF" w:rsidRPr="007977C3" w:rsidSect="006A7A6E">
      <w:headerReference w:type="default" r:id="rId9"/>
      <w:footerReference w:type="default" r:id="rId10"/>
      <w:pgSz w:w="15840" w:h="12240" w:orient="landscape"/>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7D" w:rsidRDefault="008C057D">
      <w:r>
        <w:separator/>
      </w:r>
    </w:p>
  </w:endnote>
  <w:endnote w:type="continuationSeparator" w:id="0">
    <w:p w:rsidR="008C057D" w:rsidRDefault="008C0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7D" w:rsidRPr="00A20B64" w:rsidRDefault="008C057D" w:rsidP="00A20B64">
    <w:pPr>
      <w:pStyle w:val="Footer"/>
      <w:jc w:val="center"/>
      <w:rPr>
        <w:b/>
      </w:rPr>
    </w:pPr>
    <w:r w:rsidRPr="00A20B64">
      <w:rPr>
        <w:b/>
      </w:rPr>
      <w:t xml:space="preserve">Page </w:t>
    </w:r>
    <w:r w:rsidR="00E86C15" w:rsidRPr="00A20B64">
      <w:rPr>
        <w:rStyle w:val="PageNumber"/>
        <w:b/>
      </w:rPr>
      <w:fldChar w:fldCharType="begin"/>
    </w:r>
    <w:r w:rsidRPr="00A20B64">
      <w:rPr>
        <w:rStyle w:val="PageNumber"/>
        <w:b/>
      </w:rPr>
      <w:instrText xml:space="preserve"> PAGE </w:instrText>
    </w:r>
    <w:r w:rsidR="00E86C15" w:rsidRPr="00A20B64">
      <w:rPr>
        <w:rStyle w:val="PageNumber"/>
        <w:b/>
      </w:rPr>
      <w:fldChar w:fldCharType="separate"/>
    </w:r>
    <w:r w:rsidR="00E56997">
      <w:rPr>
        <w:rStyle w:val="PageNumber"/>
        <w:b/>
        <w:noProof/>
      </w:rPr>
      <w:t>15</w:t>
    </w:r>
    <w:r w:rsidR="00E86C15" w:rsidRPr="00A20B64">
      <w:rPr>
        <w:rStyle w:val="PageNumber"/>
        <w:b/>
      </w:rPr>
      <w:fldChar w:fldCharType="end"/>
    </w:r>
    <w:r w:rsidRPr="00A20B64">
      <w:rPr>
        <w:rStyle w:val="PageNumber"/>
        <w:b/>
      </w:rPr>
      <w:t xml:space="preserve"> of </w:t>
    </w:r>
    <w:r w:rsidR="00E86C15" w:rsidRPr="00A20B64">
      <w:rPr>
        <w:rStyle w:val="PageNumber"/>
        <w:b/>
      </w:rPr>
      <w:fldChar w:fldCharType="begin"/>
    </w:r>
    <w:r w:rsidRPr="00A20B64">
      <w:rPr>
        <w:rStyle w:val="PageNumber"/>
        <w:b/>
      </w:rPr>
      <w:instrText xml:space="preserve"> NUMPAGES </w:instrText>
    </w:r>
    <w:r w:rsidR="00E86C15" w:rsidRPr="00A20B64">
      <w:rPr>
        <w:rStyle w:val="PageNumber"/>
        <w:b/>
      </w:rPr>
      <w:fldChar w:fldCharType="separate"/>
    </w:r>
    <w:r w:rsidR="00E56997">
      <w:rPr>
        <w:rStyle w:val="PageNumber"/>
        <w:b/>
        <w:noProof/>
      </w:rPr>
      <w:t>15</w:t>
    </w:r>
    <w:r w:rsidR="00E86C15" w:rsidRPr="00A20B64">
      <w:rPr>
        <w:rStyle w:val="PageNumber"/>
        <w:b/>
      </w:rPr>
      <w:fldChar w:fldCharType="end"/>
    </w:r>
    <w:r>
      <w:rPr>
        <w:rStyle w:val="PageNumber"/>
        <w:b/>
      </w:rPr>
      <w:t xml:space="preserve">  (</w:t>
    </w:r>
    <w:r w:rsidR="00E86C15">
      <w:rPr>
        <w:rStyle w:val="PageNumber"/>
        <w:b/>
      </w:rPr>
      <w:fldChar w:fldCharType="begin"/>
    </w:r>
    <w:r>
      <w:rPr>
        <w:rStyle w:val="PageNumber"/>
        <w:b/>
      </w:rPr>
      <w:instrText xml:space="preserve"> DATE \@ "M/d/yyyy" </w:instrText>
    </w:r>
    <w:r w:rsidR="00E86C15">
      <w:rPr>
        <w:rStyle w:val="PageNumber"/>
        <w:b/>
      </w:rPr>
      <w:fldChar w:fldCharType="separate"/>
    </w:r>
    <w:r w:rsidR="00E56997">
      <w:rPr>
        <w:rStyle w:val="PageNumber"/>
        <w:b/>
        <w:noProof/>
      </w:rPr>
      <w:t>5/3/2010</w:t>
    </w:r>
    <w:r w:rsidR="00E86C15">
      <w:rPr>
        <w:rStyle w:val="PageNumber"/>
        <w:b/>
      </w:rPr>
      <w:fldChar w:fldCharType="end"/>
    </w:r>
    <w:r>
      <w:rPr>
        <w:rStyle w:val="PageNumber"/>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7D" w:rsidRDefault="008C057D">
      <w:r>
        <w:separator/>
      </w:r>
    </w:p>
  </w:footnote>
  <w:footnote w:type="continuationSeparator" w:id="0">
    <w:p w:rsidR="008C057D" w:rsidRDefault="008C057D">
      <w:r>
        <w:continuationSeparator/>
      </w:r>
    </w:p>
  </w:footnote>
  <w:footnote w:id="1">
    <w:p w:rsidR="008C057D" w:rsidRPr="00D04BBB" w:rsidRDefault="008C057D" w:rsidP="001E5F16">
      <w:pPr>
        <w:pStyle w:val="FootnoteText"/>
        <w:ind w:left="180" w:hanging="180"/>
        <w:rPr>
          <w:i/>
        </w:rPr>
      </w:pPr>
      <w:r>
        <w:rPr>
          <w:rStyle w:val="FootnoteReference"/>
        </w:rPr>
        <w:footnoteRef/>
      </w:r>
      <w:r>
        <w:t xml:space="preserve"> </w:t>
      </w:r>
      <w:r>
        <w:rPr>
          <w:i/>
        </w:rPr>
        <w:t xml:space="preserve">See </w:t>
      </w:r>
      <w:r w:rsidRPr="003623DD">
        <w:rPr>
          <w:i/>
        </w:rPr>
        <w:t>http://www.aga.org/Legislative/RatesRegulatoryIssues/ratesregpolicy/Issues/energyefficiency/</w:t>
      </w:r>
      <w:r w:rsidRPr="00D04BBB">
        <w:rPr>
          <w:i/>
        </w:rPr>
        <w:t>NaturalGasUtilitiesandTheirCustomers.htm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7D" w:rsidRPr="005B2593" w:rsidRDefault="008C057D" w:rsidP="005B2593">
    <w:pPr>
      <w:pStyle w:val="Header"/>
      <w:jc w:val="center"/>
      <w:rPr>
        <w:rFonts w:ascii="Times New Roman" w:hAnsi="Times New Roman"/>
        <w:b/>
        <w:sz w:val="25"/>
        <w:szCs w:val="25"/>
      </w:rPr>
    </w:pPr>
    <w:r w:rsidRPr="005B2593">
      <w:rPr>
        <w:rFonts w:ascii="Times New Roman" w:hAnsi="Times New Roman"/>
        <w:b/>
        <w:sz w:val="25"/>
        <w:szCs w:val="25"/>
      </w:rPr>
      <w:t>STATEMENT OF ISSUES SUMMARY</w:t>
    </w:r>
  </w:p>
  <w:p w:rsidR="008C057D" w:rsidRDefault="008C057D" w:rsidP="005B2593">
    <w:pPr>
      <w:pStyle w:val="Header"/>
      <w:jc w:val="center"/>
      <w:rPr>
        <w:rFonts w:ascii="Times New Roman" w:hAnsi="Times New Roman"/>
        <w:b/>
        <w:sz w:val="25"/>
        <w:szCs w:val="25"/>
      </w:rPr>
    </w:pPr>
    <w:r w:rsidRPr="005B2593">
      <w:rPr>
        <w:rFonts w:ascii="Times New Roman" w:hAnsi="Times New Roman"/>
        <w:b/>
        <w:sz w:val="25"/>
        <w:szCs w:val="25"/>
      </w:rPr>
      <w:t>Conservation Incentive Rulemaking – Docket U-100522</w:t>
    </w:r>
  </w:p>
  <w:p w:rsidR="008C057D" w:rsidRPr="005B2593" w:rsidRDefault="008C057D" w:rsidP="005B2593">
    <w:pPr>
      <w:pStyle w:val="Header"/>
      <w:jc w:val="center"/>
      <w:rPr>
        <w:rFonts w:ascii="Times New Roman" w:hAnsi="Times New Roman"/>
        <w:b/>
        <w:sz w:val="25"/>
        <w:szCs w:val="2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00007"/>
    <w:multiLevelType w:val="hybridMultilevel"/>
    <w:tmpl w:val="80F0F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586A1C"/>
    <w:multiLevelType w:val="hybridMultilevel"/>
    <w:tmpl w:val="067AC2C2"/>
    <w:lvl w:ilvl="0" w:tplc="530C4BC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56640"/>
    <w:multiLevelType w:val="hybridMultilevel"/>
    <w:tmpl w:val="B7C0B52E"/>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797918"/>
    <w:multiLevelType w:val="hybridMultilevel"/>
    <w:tmpl w:val="38B04220"/>
    <w:lvl w:ilvl="0" w:tplc="482AFB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61651"/>
    <w:multiLevelType w:val="hybridMultilevel"/>
    <w:tmpl w:val="6922B610"/>
    <w:lvl w:ilvl="0" w:tplc="F72014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64834"/>
    <w:multiLevelType w:val="hybridMultilevel"/>
    <w:tmpl w:val="0194DA7A"/>
    <w:lvl w:ilvl="0" w:tplc="15888730">
      <w:start w:val="1"/>
      <w:numFmt w:val="decimal"/>
      <w:lvlText w:val="%1."/>
      <w:lvlJc w:val="left"/>
      <w:pPr>
        <w:ind w:left="1080" w:hanging="360"/>
      </w:pPr>
      <w:rPr>
        <w:rFonts w:ascii="Times" w:eastAsia="Times" w:hAnsi="Times"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D0A62"/>
    <w:multiLevelType w:val="hybridMultilevel"/>
    <w:tmpl w:val="128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A7704"/>
    <w:multiLevelType w:val="hybridMultilevel"/>
    <w:tmpl w:val="41DE4C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BC38BC"/>
    <w:multiLevelType w:val="hybridMultilevel"/>
    <w:tmpl w:val="0DA0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60595"/>
    <w:multiLevelType w:val="hybridMultilevel"/>
    <w:tmpl w:val="976EEBD6"/>
    <w:lvl w:ilvl="0" w:tplc="F50A17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341FC"/>
    <w:multiLevelType w:val="hybridMultilevel"/>
    <w:tmpl w:val="70AC040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4E80F0F"/>
    <w:multiLevelType w:val="hybridMultilevel"/>
    <w:tmpl w:val="497CA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751FFF"/>
    <w:multiLevelType w:val="hybridMultilevel"/>
    <w:tmpl w:val="1354BF2C"/>
    <w:lvl w:ilvl="0" w:tplc="2AD0FB6C">
      <w:start w:val="1"/>
      <w:numFmt w:val="decimal"/>
      <w:lvlText w:val="%1."/>
      <w:lvlJc w:val="left"/>
      <w:pPr>
        <w:ind w:left="720" w:hanging="360"/>
      </w:pPr>
      <w:rPr>
        <w:rFonts w:ascii="Palatino Linotype" w:hAnsi="Palatino Linotype" w:hint="default"/>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3BE4BE7"/>
    <w:multiLevelType w:val="hybridMultilevel"/>
    <w:tmpl w:val="C67AA892"/>
    <w:lvl w:ilvl="0" w:tplc="615A39F4">
      <w:start w:val="1"/>
      <w:numFmt w:val="decimal"/>
      <w:lvlText w:val="%1."/>
      <w:lvlJc w:val="left"/>
      <w:pPr>
        <w:ind w:left="720" w:hanging="360"/>
      </w:pPr>
      <w:rPr>
        <w:rFonts w:ascii="Palatino Linotype" w:hAnsi="Palatino Linotype" w:hint="default"/>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33B4A"/>
    <w:multiLevelType w:val="hybridMultilevel"/>
    <w:tmpl w:val="69B60B2A"/>
    <w:lvl w:ilvl="0" w:tplc="2300FAE4">
      <w:start w:val="1"/>
      <w:numFmt w:val="decimal"/>
      <w:lvlText w:val="%1."/>
      <w:lvlJc w:val="left"/>
      <w:pPr>
        <w:tabs>
          <w:tab w:val="num" w:pos="930"/>
        </w:tabs>
        <w:ind w:left="930" w:hanging="360"/>
      </w:pPr>
      <w:rPr>
        <w:rFonts w:ascii="Times New Roman" w:hAnsi="Times New Roman"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7C42514"/>
    <w:multiLevelType w:val="hybridMultilevel"/>
    <w:tmpl w:val="394479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9B50761"/>
    <w:multiLevelType w:val="hybridMultilevel"/>
    <w:tmpl w:val="9EF4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B473C"/>
    <w:multiLevelType w:val="hybridMultilevel"/>
    <w:tmpl w:val="81D0AA80"/>
    <w:lvl w:ilvl="0" w:tplc="6F104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C3B27"/>
    <w:multiLevelType w:val="hybridMultilevel"/>
    <w:tmpl w:val="1732276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D8071E"/>
    <w:multiLevelType w:val="hybridMultilevel"/>
    <w:tmpl w:val="38B04220"/>
    <w:lvl w:ilvl="0" w:tplc="482AFB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81F4A"/>
    <w:multiLevelType w:val="hybridMultilevel"/>
    <w:tmpl w:val="D83282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F12C6"/>
    <w:multiLevelType w:val="hybridMultilevel"/>
    <w:tmpl w:val="C73A939A"/>
    <w:lvl w:ilvl="0" w:tplc="2300FAE4">
      <w:start w:val="1"/>
      <w:numFmt w:val="decimal"/>
      <w:lvlText w:val="%1."/>
      <w:lvlJc w:val="left"/>
      <w:pPr>
        <w:tabs>
          <w:tab w:val="num" w:pos="1080"/>
        </w:tabs>
        <w:ind w:left="1080" w:hanging="360"/>
      </w:pPr>
      <w:rPr>
        <w:rFonts w:ascii="Times New Roman" w:hAnsi="Times New Roman"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7F3693"/>
    <w:multiLevelType w:val="hybridMultilevel"/>
    <w:tmpl w:val="1F9A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D439B"/>
    <w:multiLevelType w:val="hybridMultilevel"/>
    <w:tmpl w:val="B2A283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56E228D"/>
    <w:multiLevelType w:val="multilevel"/>
    <w:tmpl w:val="60AE5E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A9C5356"/>
    <w:multiLevelType w:val="hybridMultilevel"/>
    <w:tmpl w:val="A6EC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A33C4"/>
    <w:multiLevelType w:val="hybridMultilevel"/>
    <w:tmpl w:val="55D2C97A"/>
    <w:lvl w:ilvl="0" w:tplc="7A84AA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16031"/>
    <w:multiLevelType w:val="hybridMultilevel"/>
    <w:tmpl w:val="1F9A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E43FC"/>
    <w:multiLevelType w:val="hybridMultilevel"/>
    <w:tmpl w:val="3A8E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2F51A00"/>
    <w:multiLevelType w:val="hybridMultilevel"/>
    <w:tmpl w:val="579C9734"/>
    <w:lvl w:ilvl="0" w:tplc="2300FAE4">
      <w:start w:val="1"/>
      <w:numFmt w:val="decimal"/>
      <w:lvlText w:val="%1."/>
      <w:lvlJc w:val="left"/>
      <w:pPr>
        <w:tabs>
          <w:tab w:val="num" w:pos="390"/>
        </w:tabs>
        <w:ind w:left="390" w:hanging="360"/>
      </w:pPr>
      <w:rPr>
        <w:rFonts w:ascii="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977323"/>
    <w:multiLevelType w:val="hybridMultilevel"/>
    <w:tmpl w:val="BB343280"/>
    <w:lvl w:ilvl="0" w:tplc="83E2D4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nsid w:val="69470E58"/>
    <w:multiLevelType w:val="hybridMultilevel"/>
    <w:tmpl w:val="9FA64616"/>
    <w:lvl w:ilvl="0" w:tplc="08E6AE4A">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EE1BDC"/>
    <w:multiLevelType w:val="hybridMultilevel"/>
    <w:tmpl w:val="1F9A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C428CE"/>
    <w:multiLevelType w:val="hybridMultilevel"/>
    <w:tmpl w:val="9E8C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20966"/>
    <w:multiLevelType w:val="hybridMultilevel"/>
    <w:tmpl w:val="9EF4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814AAA"/>
    <w:multiLevelType w:val="hybridMultilevel"/>
    <w:tmpl w:val="1626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5F5981"/>
    <w:multiLevelType w:val="hybridMultilevel"/>
    <w:tmpl w:val="C1987038"/>
    <w:lvl w:ilvl="0" w:tplc="178E2092">
      <w:start w:val="1"/>
      <w:numFmt w:val="decimal"/>
      <w:lvlText w:val="%1."/>
      <w:lvlJc w:val="left"/>
      <w:pPr>
        <w:ind w:left="405" w:hanging="360"/>
      </w:pPr>
      <w:rPr>
        <w:rFonts w:ascii="Palatino Linotype" w:hAnsi="Palatino Linotype" w:hint="default"/>
        <w:i/>
        <w:sz w:val="25"/>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5">
    <w:nsid w:val="78860983"/>
    <w:multiLevelType w:val="hybridMultilevel"/>
    <w:tmpl w:val="F25A18C8"/>
    <w:lvl w:ilvl="0" w:tplc="C0D2C3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6">
    <w:nsid w:val="7D7072B2"/>
    <w:multiLevelType w:val="hybridMultilevel"/>
    <w:tmpl w:val="324265BA"/>
    <w:lvl w:ilvl="0" w:tplc="5010F310">
      <w:start w:val="1"/>
      <w:numFmt w:val="decimal"/>
      <w:lvlText w:val="%1."/>
      <w:lvlJc w:val="left"/>
      <w:pPr>
        <w:ind w:left="720" w:hanging="360"/>
      </w:pPr>
      <w:rPr>
        <w:rFonts w:ascii="Palatino Linotype" w:hAnsi="Palatino Linotype" w:hint="default"/>
        <w:b w:val="0"/>
        <w:i/>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7"/>
  </w:num>
  <w:num w:numId="3">
    <w:abstractNumId w:val="34"/>
  </w:num>
  <w:num w:numId="4">
    <w:abstractNumId w:val="25"/>
  </w:num>
  <w:num w:numId="5">
    <w:abstractNumId w:val="35"/>
  </w:num>
  <w:num w:numId="6">
    <w:abstractNumId w:val="18"/>
  </w:num>
  <w:num w:numId="7">
    <w:abstractNumId w:val="36"/>
  </w:num>
  <w:num w:numId="8">
    <w:abstractNumId w:val="16"/>
  </w:num>
  <w:num w:numId="9">
    <w:abstractNumId w:val="15"/>
  </w:num>
  <w:num w:numId="10">
    <w:abstractNumId w:val="0"/>
  </w:num>
  <w:num w:numId="11">
    <w:abstractNumId w:val="1"/>
  </w:num>
  <w:num w:numId="12">
    <w:abstractNumId w:val="29"/>
  </w:num>
  <w:num w:numId="13">
    <w:abstractNumId w:val="14"/>
  </w:num>
  <w:num w:numId="14">
    <w:abstractNumId w:val="13"/>
  </w:num>
  <w:num w:numId="15">
    <w:abstractNumId w:val="20"/>
  </w:num>
  <w:num w:numId="16">
    <w:abstractNumId w:val="32"/>
  </w:num>
  <w:num w:numId="17">
    <w:abstractNumId w:val="43"/>
  </w:num>
  <w:num w:numId="18">
    <w:abstractNumId w:val="11"/>
  </w:num>
  <w:num w:numId="19">
    <w:abstractNumId w:val="45"/>
  </w:num>
  <w:num w:numId="20">
    <w:abstractNumId w:val="46"/>
  </w:num>
  <w:num w:numId="21">
    <w:abstractNumId w:val="44"/>
  </w:num>
  <w:num w:numId="22">
    <w:abstractNumId w:val="8"/>
  </w:num>
  <w:num w:numId="23">
    <w:abstractNumId w:val="6"/>
  </w:num>
  <w:num w:numId="24">
    <w:abstractNumId w:val="7"/>
  </w:num>
  <w:num w:numId="25">
    <w:abstractNumId w:val="38"/>
  </w:num>
  <w:num w:numId="26">
    <w:abstractNumId w:val="26"/>
  </w:num>
  <w:num w:numId="27">
    <w:abstractNumId w:val="12"/>
  </w:num>
  <w:num w:numId="28">
    <w:abstractNumId w:val="10"/>
  </w:num>
  <w:num w:numId="29">
    <w:abstractNumId w:val="28"/>
  </w:num>
  <w:num w:numId="30">
    <w:abstractNumId w:val="2"/>
  </w:num>
  <w:num w:numId="31">
    <w:abstractNumId w:val="4"/>
  </w:num>
  <w:num w:numId="32">
    <w:abstractNumId w:val="30"/>
  </w:num>
  <w:num w:numId="33">
    <w:abstractNumId w:val="3"/>
  </w:num>
  <w:num w:numId="34">
    <w:abstractNumId w:val="41"/>
  </w:num>
  <w:num w:numId="35">
    <w:abstractNumId w:val="19"/>
  </w:num>
  <w:num w:numId="36">
    <w:abstractNumId w:val="37"/>
  </w:num>
  <w:num w:numId="37">
    <w:abstractNumId w:val="23"/>
  </w:num>
  <w:num w:numId="38">
    <w:abstractNumId w:val="9"/>
  </w:num>
  <w:num w:numId="39">
    <w:abstractNumId w:val="40"/>
  </w:num>
  <w:num w:numId="40">
    <w:abstractNumId w:val="42"/>
  </w:num>
  <w:num w:numId="41">
    <w:abstractNumId w:val="31"/>
  </w:num>
  <w:num w:numId="42">
    <w:abstractNumId w:val="22"/>
  </w:num>
  <w:num w:numId="43">
    <w:abstractNumId w:val="24"/>
  </w:num>
  <w:num w:numId="44">
    <w:abstractNumId w:val="27"/>
  </w:num>
  <w:num w:numId="45">
    <w:abstractNumId w:val="5"/>
  </w:num>
  <w:num w:numId="46">
    <w:abstractNumId w:val="33"/>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9070D"/>
    <w:rsid w:val="00001580"/>
    <w:rsid w:val="00006059"/>
    <w:rsid w:val="00011B33"/>
    <w:rsid w:val="00023364"/>
    <w:rsid w:val="00056314"/>
    <w:rsid w:val="00057C7D"/>
    <w:rsid w:val="00060AEF"/>
    <w:rsid w:val="0006118D"/>
    <w:rsid w:val="00066FEC"/>
    <w:rsid w:val="00081998"/>
    <w:rsid w:val="000904B7"/>
    <w:rsid w:val="000A06BB"/>
    <w:rsid w:val="000B058F"/>
    <w:rsid w:val="000B5AAF"/>
    <w:rsid w:val="000B7B43"/>
    <w:rsid w:val="000C6A85"/>
    <w:rsid w:val="000D4340"/>
    <w:rsid w:val="000E1844"/>
    <w:rsid w:val="000E1E8F"/>
    <w:rsid w:val="000E2243"/>
    <w:rsid w:val="000E54E1"/>
    <w:rsid w:val="000E5521"/>
    <w:rsid w:val="00111121"/>
    <w:rsid w:val="00122AF5"/>
    <w:rsid w:val="00123875"/>
    <w:rsid w:val="00134BD3"/>
    <w:rsid w:val="0014141D"/>
    <w:rsid w:val="00142DFD"/>
    <w:rsid w:val="00150745"/>
    <w:rsid w:val="00154493"/>
    <w:rsid w:val="001C1812"/>
    <w:rsid w:val="001D4D6A"/>
    <w:rsid w:val="001D5D31"/>
    <w:rsid w:val="001D78DA"/>
    <w:rsid w:val="001E1DCD"/>
    <w:rsid w:val="001E5F16"/>
    <w:rsid w:val="001F6F19"/>
    <w:rsid w:val="00207144"/>
    <w:rsid w:val="0020726B"/>
    <w:rsid w:val="0021059C"/>
    <w:rsid w:val="002170D2"/>
    <w:rsid w:val="00220F45"/>
    <w:rsid w:val="00225934"/>
    <w:rsid w:val="00226A60"/>
    <w:rsid w:val="00232AA1"/>
    <w:rsid w:val="00266EC4"/>
    <w:rsid w:val="0027158F"/>
    <w:rsid w:val="002839B1"/>
    <w:rsid w:val="002906C6"/>
    <w:rsid w:val="0029070D"/>
    <w:rsid w:val="002A1306"/>
    <w:rsid w:val="002A1907"/>
    <w:rsid w:val="002B30AF"/>
    <w:rsid w:val="002B3396"/>
    <w:rsid w:val="002B560C"/>
    <w:rsid w:val="002E22BE"/>
    <w:rsid w:val="002E4B39"/>
    <w:rsid w:val="002E66F0"/>
    <w:rsid w:val="002F0F1C"/>
    <w:rsid w:val="002F4714"/>
    <w:rsid w:val="00307B2D"/>
    <w:rsid w:val="003333B1"/>
    <w:rsid w:val="00360AA6"/>
    <w:rsid w:val="00363FBF"/>
    <w:rsid w:val="00376EEB"/>
    <w:rsid w:val="003866B7"/>
    <w:rsid w:val="0038672F"/>
    <w:rsid w:val="00386B75"/>
    <w:rsid w:val="003A426A"/>
    <w:rsid w:val="003B72FB"/>
    <w:rsid w:val="003B7F57"/>
    <w:rsid w:val="003C2600"/>
    <w:rsid w:val="003C6016"/>
    <w:rsid w:val="003D46D4"/>
    <w:rsid w:val="003D5186"/>
    <w:rsid w:val="003D6EAB"/>
    <w:rsid w:val="003F0D84"/>
    <w:rsid w:val="003F2617"/>
    <w:rsid w:val="003F45EE"/>
    <w:rsid w:val="003F7875"/>
    <w:rsid w:val="00410D3E"/>
    <w:rsid w:val="004148E0"/>
    <w:rsid w:val="00417F17"/>
    <w:rsid w:val="00423BF8"/>
    <w:rsid w:val="004348DF"/>
    <w:rsid w:val="00434B8A"/>
    <w:rsid w:val="00445FA4"/>
    <w:rsid w:val="00451704"/>
    <w:rsid w:val="004528F0"/>
    <w:rsid w:val="004575A9"/>
    <w:rsid w:val="00481661"/>
    <w:rsid w:val="00487377"/>
    <w:rsid w:val="004970DD"/>
    <w:rsid w:val="004A0E87"/>
    <w:rsid w:val="004A2439"/>
    <w:rsid w:val="004B190A"/>
    <w:rsid w:val="004B7D2E"/>
    <w:rsid w:val="004C2024"/>
    <w:rsid w:val="004E305F"/>
    <w:rsid w:val="004F2034"/>
    <w:rsid w:val="004F3017"/>
    <w:rsid w:val="00512559"/>
    <w:rsid w:val="005170B0"/>
    <w:rsid w:val="00517676"/>
    <w:rsid w:val="00522B9A"/>
    <w:rsid w:val="005317F0"/>
    <w:rsid w:val="00544E8A"/>
    <w:rsid w:val="00550326"/>
    <w:rsid w:val="00567286"/>
    <w:rsid w:val="0057507D"/>
    <w:rsid w:val="0058274D"/>
    <w:rsid w:val="00582A7D"/>
    <w:rsid w:val="0058656E"/>
    <w:rsid w:val="0058785F"/>
    <w:rsid w:val="005B2593"/>
    <w:rsid w:val="005B2DA4"/>
    <w:rsid w:val="005C1783"/>
    <w:rsid w:val="005C1D4E"/>
    <w:rsid w:val="005D0243"/>
    <w:rsid w:val="005D2D2F"/>
    <w:rsid w:val="005D3122"/>
    <w:rsid w:val="005E2EF9"/>
    <w:rsid w:val="005E3AEC"/>
    <w:rsid w:val="005F67DE"/>
    <w:rsid w:val="00607AE7"/>
    <w:rsid w:val="00625DA1"/>
    <w:rsid w:val="0063133F"/>
    <w:rsid w:val="00633D7E"/>
    <w:rsid w:val="00641FA5"/>
    <w:rsid w:val="006421CF"/>
    <w:rsid w:val="00646556"/>
    <w:rsid w:val="00650B58"/>
    <w:rsid w:val="00651723"/>
    <w:rsid w:val="00662A88"/>
    <w:rsid w:val="006751A1"/>
    <w:rsid w:val="006802AC"/>
    <w:rsid w:val="00681B3D"/>
    <w:rsid w:val="0069146A"/>
    <w:rsid w:val="006A7A6E"/>
    <w:rsid w:val="006B13AA"/>
    <w:rsid w:val="006C62C6"/>
    <w:rsid w:val="006F0AB7"/>
    <w:rsid w:val="00701DD0"/>
    <w:rsid w:val="00704BFE"/>
    <w:rsid w:val="007167D5"/>
    <w:rsid w:val="00727B90"/>
    <w:rsid w:val="00734012"/>
    <w:rsid w:val="007370CB"/>
    <w:rsid w:val="00745A71"/>
    <w:rsid w:val="00750004"/>
    <w:rsid w:val="0076358A"/>
    <w:rsid w:val="00775ACE"/>
    <w:rsid w:val="00781356"/>
    <w:rsid w:val="0079319E"/>
    <w:rsid w:val="007977C3"/>
    <w:rsid w:val="007A37B7"/>
    <w:rsid w:val="007A4DD1"/>
    <w:rsid w:val="007A5EA0"/>
    <w:rsid w:val="007B702C"/>
    <w:rsid w:val="007C3501"/>
    <w:rsid w:val="007C6E64"/>
    <w:rsid w:val="007E4E4F"/>
    <w:rsid w:val="007F264B"/>
    <w:rsid w:val="007F5DC1"/>
    <w:rsid w:val="007F61F3"/>
    <w:rsid w:val="00807F86"/>
    <w:rsid w:val="00812047"/>
    <w:rsid w:val="008128CD"/>
    <w:rsid w:val="00833752"/>
    <w:rsid w:val="00871F41"/>
    <w:rsid w:val="008815FA"/>
    <w:rsid w:val="0089480A"/>
    <w:rsid w:val="008C057D"/>
    <w:rsid w:val="008C3FB7"/>
    <w:rsid w:val="008C6193"/>
    <w:rsid w:val="008F0688"/>
    <w:rsid w:val="008F0804"/>
    <w:rsid w:val="008F1F9D"/>
    <w:rsid w:val="008F7D82"/>
    <w:rsid w:val="00904D38"/>
    <w:rsid w:val="00907E2C"/>
    <w:rsid w:val="00907F40"/>
    <w:rsid w:val="00920228"/>
    <w:rsid w:val="00927411"/>
    <w:rsid w:val="00930EA4"/>
    <w:rsid w:val="00936FD8"/>
    <w:rsid w:val="009502BF"/>
    <w:rsid w:val="00952949"/>
    <w:rsid w:val="00954EC3"/>
    <w:rsid w:val="009662E5"/>
    <w:rsid w:val="009851A1"/>
    <w:rsid w:val="009871A8"/>
    <w:rsid w:val="009903A5"/>
    <w:rsid w:val="00993D98"/>
    <w:rsid w:val="009B489F"/>
    <w:rsid w:val="009B4E42"/>
    <w:rsid w:val="009B5AA5"/>
    <w:rsid w:val="009D43AF"/>
    <w:rsid w:val="00A07778"/>
    <w:rsid w:val="00A20B64"/>
    <w:rsid w:val="00A24577"/>
    <w:rsid w:val="00A30675"/>
    <w:rsid w:val="00A34086"/>
    <w:rsid w:val="00A53E3E"/>
    <w:rsid w:val="00A83AED"/>
    <w:rsid w:val="00A975CC"/>
    <w:rsid w:val="00AA19FB"/>
    <w:rsid w:val="00AA4D5E"/>
    <w:rsid w:val="00AB561C"/>
    <w:rsid w:val="00AD6278"/>
    <w:rsid w:val="00B050B5"/>
    <w:rsid w:val="00B169E0"/>
    <w:rsid w:val="00B17EAF"/>
    <w:rsid w:val="00B20F74"/>
    <w:rsid w:val="00B315AB"/>
    <w:rsid w:val="00B37AA6"/>
    <w:rsid w:val="00B4242E"/>
    <w:rsid w:val="00B815E9"/>
    <w:rsid w:val="00BA729E"/>
    <w:rsid w:val="00BC0BCE"/>
    <w:rsid w:val="00BF4221"/>
    <w:rsid w:val="00C13689"/>
    <w:rsid w:val="00C46735"/>
    <w:rsid w:val="00C56324"/>
    <w:rsid w:val="00C65401"/>
    <w:rsid w:val="00C65C73"/>
    <w:rsid w:val="00C757E9"/>
    <w:rsid w:val="00C87635"/>
    <w:rsid w:val="00C876F5"/>
    <w:rsid w:val="00C87A22"/>
    <w:rsid w:val="00C9568A"/>
    <w:rsid w:val="00CB0986"/>
    <w:rsid w:val="00CB1A98"/>
    <w:rsid w:val="00CC25EB"/>
    <w:rsid w:val="00CC7862"/>
    <w:rsid w:val="00CD166A"/>
    <w:rsid w:val="00CD6D08"/>
    <w:rsid w:val="00D047AF"/>
    <w:rsid w:val="00D06B60"/>
    <w:rsid w:val="00D12770"/>
    <w:rsid w:val="00D20F1D"/>
    <w:rsid w:val="00D25980"/>
    <w:rsid w:val="00D3022C"/>
    <w:rsid w:val="00D32429"/>
    <w:rsid w:val="00D33F60"/>
    <w:rsid w:val="00D41E1F"/>
    <w:rsid w:val="00D44765"/>
    <w:rsid w:val="00D55CF7"/>
    <w:rsid w:val="00D6222A"/>
    <w:rsid w:val="00D812C7"/>
    <w:rsid w:val="00D81876"/>
    <w:rsid w:val="00D82E51"/>
    <w:rsid w:val="00D85A74"/>
    <w:rsid w:val="00D913E1"/>
    <w:rsid w:val="00DA7EC1"/>
    <w:rsid w:val="00DB0726"/>
    <w:rsid w:val="00DD198D"/>
    <w:rsid w:val="00DD62A5"/>
    <w:rsid w:val="00DD7BAF"/>
    <w:rsid w:val="00DD7C9A"/>
    <w:rsid w:val="00DE0E7D"/>
    <w:rsid w:val="00DE2CB4"/>
    <w:rsid w:val="00DE38FF"/>
    <w:rsid w:val="00DE4157"/>
    <w:rsid w:val="00DF1F72"/>
    <w:rsid w:val="00E161DB"/>
    <w:rsid w:val="00E2321D"/>
    <w:rsid w:val="00E26C2B"/>
    <w:rsid w:val="00E3024C"/>
    <w:rsid w:val="00E3030D"/>
    <w:rsid w:val="00E365B7"/>
    <w:rsid w:val="00E4032A"/>
    <w:rsid w:val="00E520F7"/>
    <w:rsid w:val="00E56997"/>
    <w:rsid w:val="00E57D83"/>
    <w:rsid w:val="00E607FB"/>
    <w:rsid w:val="00E67089"/>
    <w:rsid w:val="00E765C1"/>
    <w:rsid w:val="00E86C15"/>
    <w:rsid w:val="00E94FF3"/>
    <w:rsid w:val="00EA2B20"/>
    <w:rsid w:val="00EA3774"/>
    <w:rsid w:val="00EB0694"/>
    <w:rsid w:val="00EB6574"/>
    <w:rsid w:val="00ED179F"/>
    <w:rsid w:val="00EE2714"/>
    <w:rsid w:val="00F02DAD"/>
    <w:rsid w:val="00F171DD"/>
    <w:rsid w:val="00F2500B"/>
    <w:rsid w:val="00F33402"/>
    <w:rsid w:val="00F409BA"/>
    <w:rsid w:val="00F67959"/>
    <w:rsid w:val="00F75D83"/>
    <w:rsid w:val="00F76A02"/>
    <w:rsid w:val="00F91F33"/>
    <w:rsid w:val="00F9256A"/>
    <w:rsid w:val="00F92ACB"/>
    <w:rsid w:val="00FA192A"/>
    <w:rsid w:val="00FC5D81"/>
    <w:rsid w:val="00FD3ABA"/>
    <w:rsid w:val="00FE3DEB"/>
    <w:rsid w:val="00FE5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7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0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odyCharCharCharCharCharChar">
    <w:name w:val="AutoNum Body Char Char Char Char Char Char"/>
    <w:basedOn w:val="Normal"/>
    <w:link w:val="AutoNumBodyCharCharCharCharCharCharChar"/>
    <w:autoRedefine/>
    <w:rsid w:val="000E5521"/>
    <w:pPr>
      <w:widowControl w:val="0"/>
      <w:tabs>
        <w:tab w:val="num" w:pos="720"/>
      </w:tabs>
    </w:pPr>
    <w:rPr>
      <w:rFonts w:ascii="Times New Roman" w:hAnsi="Times New Roman"/>
    </w:rPr>
  </w:style>
  <w:style w:type="character" w:customStyle="1" w:styleId="AutoNumBodyCharCharCharCharCharCharChar">
    <w:name w:val="AutoNum Body Char Char Char Char Char Char Char"/>
    <w:basedOn w:val="DefaultParagraphFont"/>
    <w:link w:val="AutoNumBodyCharCharCharCharCharChar"/>
    <w:rsid w:val="000E5521"/>
    <w:rPr>
      <w:sz w:val="24"/>
      <w:szCs w:val="24"/>
      <w:lang w:val="en-US" w:eastAsia="en-US" w:bidi="ar-SA"/>
    </w:rPr>
  </w:style>
  <w:style w:type="paragraph" w:styleId="Header">
    <w:name w:val="header"/>
    <w:basedOn w:val="Normal"/>
    <w:link w:val="HeaderChar"/>
    <w:uiPriority w:val="99"/>
    <w:rsid w:val="00A20B64"/>
    <w:pPr>
      <w:tabs>
        <w:tab w:val="center" w:pos="4320"/>
        <w:tab w:val="right" w:pos="8640"/>
      </w:tabs>
    </w:pPr>
  </w:style>
  <w:style w:type="paragraph" w:styleId="Footer">
    <w:name w:val="footer"/>
    <w:basedOn w:val="Normal"/>
    <w:rsid w:val="00A20B64"/>
    <w:pPr>
      <w:tabs>
        <w:tab w:val="center" w:pos="4320"/>
        <w:tab w:val="right" w:pos="8640"/>
      </w:tabs>
    </w:pPr>
  </w:style>
  <w:style w:type="character" w:styleId="PageNumber">
    <w:name w:val="page number"/>
    <w:basedOn w:val="DefaultParagraphFont"/>
    <w:rsid w:val="00A20B64"/>
  </w:style>
  <w:style w:type="paragraph" w:styleId="BalloonText">
    <w:name w:val="Balloon Text"/>
    <w:basedOn w:val="Normal"/>
    <w:link w:val="BalloonTextChar"/>
    <w:rsid w:val="00812047"/>
    <w:rPr>
      <w:rFonts w:ascii="Tahoma" w:hAnsi="Tahoma" w:cs="Tahoma"/>
      <w:sz w:val="16"/>
      <w:szCs w:val="16"/>
    </w:rPr>
  </w:style>
  <w:style w:type="character" w:customStyle="1" w:styleId="BalloonTextChar">
    <w:name w:val="Balloon Text Char"/>
    <w:basedOn w:val="DefaultParagraphFont"/>
    <w:link w:val="BalloonText"/>
    <w:rsid w:val="00812047"/>
    <w:rPr>
      <w:rFonts w:ascii="Tahoma" w:hAnsi="Tahoma" w:cs="Tahoma"/>
      <w:sz w:val="16"/>
      <w:szCs w:val="16"/>
    </w:rPr>
  </w:style>
  <w:style w:type="paragraph" w:styleId="BodyText3">
    <w:name w:val="Body Text 3"/>
    <w:basedOn w:val="Normal"/>
    <w:link w:val="BodyText3Char"/>
    <w:rsid w:val="001D78DA"/>
    <w:pPr>
      <w:suppressAutoHyphens/>
      <w:spacing w:line="240" w:lineRule="atLeast"/>
    </w:pPr>
    <w:rPr>
      <w:rFonts w:ascii="Times New Roman" w:hAnsi="Times New Roman"/>
      <w:sz w:val="20"/>
    </w:rPr>
  </w:style>
  <w:style w:type="character" w:customStyle="1" w:styleId="BodyText3Char">
    <w:name w:val="Body Text 3 Char"/>
    <w:basedOn w:val="DefaultParagraphFont"/>
    <w:link w:val="BodyText3"/>
    <w:rsid w:val="001D78DA"/>
    <w:rPr>
      <w:szCs w:val="24"/>
    </w:rPr>
  </w:style>
  <w:style w:type="paragraph" w:styleId="HTMLPreformatted">
    <w:name w:val="HTML Preformatted"/>
    <w:basedOn w:val="Normal"/>
    <w:link w:val="HTMLPreformattedChar"/>
    <w:rsid w:val="0072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27B90"/>
    <w:rPr>
      <w:rFonts w:ascii="Courier New" w:hAnsi="Courier New" w:cs="Courier New"/>
    </w:rPr>
  </w:style>
  <w:style w:type="paragraph" w:styleId="FootnoteText">
    <w:name w:val="footnote text"/>
    <w:basedOn w:val="Normal"/>
    <w:link w:val="FootnoteTextChar"/>
    <w:rsid w:val="00B815E9"/>
    <w:pPr>
      <w:widowControl w:val="0"/>
      <w:autoSpaceDE w:val="0"/>
      <w:autoSpaceDN w:val="0"/>
      <w:adjustRightInd w:val="0"/>
    </w:pPr>
    <w:rPr>
      <w:rFonts w:ascii="Times New Roman" w:hAnsi="Times New Roman"/>
      <w:sz w:val="20"/>
      <w:szCs w:val="20"/>
    </w:rPr>
  </w:style>
  <w:style w:type="character" w:customStyle="1" w:styleId="FootnoteTextChar">
    <w:name w:val="Footnote Text Char"/>
    <w:basedOn w:val="DefaultParagraphFont"/>
    <w:link w:val="FootnoteText"/>
    <w:rsid w:val="00B815E9"/>
  </w:style>
  <w:style w:type="character" w:styleId="FootnoteReference">
    <w:name w:val="footnote reference"/>
    <w:basedOn w:val="DefaultParagraphFont"/>
    <w:rsid w:val="00B815E9"/>
    <w:rPr>
      <w:vertAlign w:val="superscript"/>
    </w:rPr>
  </w:style>
  <w:style w:type="paragraph" w:styleId="Revision">
    <w:name w:val="Revision"/>
    <w:hidden/>
    <w:uiPriority w:val="99"/>
    <w:semiHidden/>
    <w:rsid w:val="00E3024C"/>
    <w:rPr>
      <w:rFonts w:ascii="Palatino Linotype" w:hAnsi="Palatino Linotype"/>
      <w:sz w:val="24"/>
      <w:szCs w:val="24"/>
    </w:rPr>
  </w:style>
  <w:style w:type="paragraph" w:styleId="ListParagraph">
    <w:name w:val="List Paragraph"/>
    <w:basedOn w:val="Normal"/>
    <w:uiPriority w:val="34"/>
    <w:qFormat/>
    <w:rsid w:val="00E365B7"/>
    <w:pPr>
      <w:ind w:left="720"/>
      <w:contextualSpacing/>
    </w:pPr>
    <w:rPr>
      <w:rFonts w:ascii="Times" w:eastAsia="Times" w:hAnsi="Times"/>
      <w:szCs w:val="20"/>
    </w:rPr>
  </w:style>
  <w:style w:type="character" w:styleId="Hyperlink">
    <w:name w:val="Hyperlink"/>
    <w:basedOn w:val="DefaultParagraphFont"/>
    <w:uiPriority w:val="99"/>
    <w:unhideWhenUsed/>
    <w:rsid w:val="009871A8"/>
    <w:rPr>
      <w:color w:val="0000FF"/>
      <w:u w:val="single"/>
    </w:rPr>
  </w:style>
  <w:style w:type="character" w:customStyle="1" w:styleId="HeaderChar">
    <w:name w:val="Header Char"/>
    <w:basedOn w:val="DefaultParagraphFont"/>
    <w:link w:val="Header"/>
    <w:uiPriority w:val="99"/>
    <w:rsid w:val="005B2593"/>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70.235.02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2010-05-03T07:00:00+00:00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B4770E3-8DA6-4A63-9FE7-C8548FAAB9FC}"/>
</file>

<file path=customXml/itemProps2.xml><?xml version="1.0" encoding="utf-8"?>
<ds:datastoreItem xmlns:ds="http://schemas.openxmlformats.org/officeDocument/2006/customXml" ds:itemID="{B2DBF1ED-B737-4AFA-A0FD-A7CC92444CAF}"/>
</file>

<file path=customXml/itemProps3.xml><?xml version="1.0" encoding="utf-8"?>
<ds:datastoreItem xmlns:ds="http://schemas.openxmlformats.org/officeDocument/2006/customXml" ds:itemID="{71B69984-92A6-48BB-8663-63399091147C}"/>
</file>

<file path=customXml/itemProps4.xml><?xml version="1.0" encoding="utf-8"?>
<ds:datastoreItem xmlns:ds="http://schemas.openxmlformats.org/officeDocument/2006/customXml" ds:itemID="{D4311450-586C-48C6-A6A6-02D6DC595FFF}"/>
</file>

<file path=customXml/itemProps5.xml><?xml version="1.0" encoding="utf-8"?>
<ds:datastoreItem xmlns:ds="http://schemas.openxmlformats.org/officeDocument/2006/customXml" ds:itemID="{997278D0-DA33-46C0-9A7C-00C652D84377}"/>
</file>

<file path=docProps/app.xml><?xml version="1.0" encoding="utf-8"?>
<Properties xmlns="http://schemas.openxmlformats.org/officeDocument/2006/extended-properties" xmlns:vt="http://schemas.openxmlformats.org/officeDocument/2006/docPropsVTypes">
  <Template>Normal.dotm</Template>
  <TotalTime>42</TotalTime>
  <Pages>15</Pages>
  <Words>3714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COMMENTS</vt:lpstr>
    </vt:vector>
  </TitlesOfParts>
  <Company>WUTC</Company>
  <LinksUpToDate>false</LinksUpToDate>
  <CharactersWithSpaces>25066</CharactersWithSpaces>
  <SharedDoc>false</SharedDoc>
  <HLinks>
    <vt:vector size="6" baseType="variant">
      <vt:variant>
        <vt:i4>3997748</vt:i4>
      </vt:variant>
      <vt:variant>
        <vt:i4>0</vt:i4>
      </vt:variant>
      <vt:variant>
        <vt:i4>0</vt:i4>
      </vt:variant>
      <vt:variant>
        <vt:i4>5</vt:i4>
      </vt:variant>
      <vt:variant>
        <vt:lpwstr>http://apps.leg.wa.gov/RCW/default.aspx?cite=70.235.020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dc:title>
  <dc:subject/>
  <dc:creator>Right Systems Inc</dc:creator>
  <cp:keywords/>
  <dc:description/>
  <cp:lastModifiedBy>Kippi Walker</cp:lastModifiedBy>
  <cp:revision>5</cp:revision>
  <cp:lastPrinted>2010-05-03T16:25:00Z</cp:lastPrinted>
  <dcterms:created xsi:type="dcterms:W3CDTF">2010-05-03T15:46:00Z</dcterms:created>
  <dcterms:modified xsi:type="dcterms:W3CDTF">2010-05-03T16:31:00Z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