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6F" w:rsidRDefault="000F376F" w:rsidP="00355ACD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4090" cy="1344304"/>
            <wp:effectExtent l="19050" t="0" r="2860" b="0"/>
            <wp:docPr id="1" name="Picture 0" descr="logo_wutc_6-23-2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utc_6-23-2010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358" cy="134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76F" w:rsidRDefault="000F376F" w:rsidP="00355ACD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376F" w:rsidRDefault="000F376F" w:rsidP="00355ACD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4EDA" w:rsidRPr="009F185B" w:rsidRDefault="0021519D" w:rsidP="00355ACD">
      <w:pPr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 xml:space="preserve">June </w:t>
      </w:r>
      <w:r w:rsidR="000F376F">
        <w:rPr>
          <w:rFonts w:ascii="Times New Roman" w:hAnsi="Times New Roman" w:cs="Times New Roman"/>
          <w:sz w:val="24"/>
          <w:szCs w:val="24"/>
        </w:rPr>
        <w:t>23</w:t>
      </w:r>
      <w:r w:rsidR="0092308B" w:rsidRPr="009F185B">
        <w:rPr>
          <w:rFonts w:ascii="Times New Roman" w:hAnsi="Times New Roman" w:cs="Times New Roman"/>
          <w:sz w:val="24"/>
          <w:szCs w:val="24"/>
        </w:rPr>
        <w:t>, 2010</w:t>
      </w:r>
    </w:p>
    <w:p w:rsidR="0092308B" w:rsidRDefault="0092308B" w:rsidP="007424F4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5ACD" w:rsidRPr="009F185B" w:rsidRDefault="00355ACD" w:rsidP="007424F4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376F" w:rsidRPr="009F185B" w:rsidRDefault="0092308B" w:rsidP="000F376F">
      <w:pPr>
        <w:spacing w:line="264" w:lineRule="auto"/>
        <w:ind w:left="1080"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>TO:</w:t>
      </w:r>
      <w:r w:rsidR="000F376F">
        <w:rPr>
          <w:rFonts w:ascii="Times New Roman" w:hAnsi="Times New Roman" w:cs="Times New Roman"/>
          <w:sz w:val="24"/>
          <w:szCs w:val="24"/>
        </w:rPr>
        <w:tab/>
      </w:r>
      <w:r w:rsidRPr="009F185B">
        <w:rPr>
          <w:rFonts w:ascii="Times New Roman" w:hAnsi="Times New Roman" w:cs="Times New Roman"/>
          <w:sz w:val="24"/>
          <w:szCs w:val="24"/>
        </w:rPr>
        <w:tab/>
      </w:r>
      <w:r w:rsidR="000F376F">
        <w:rPr>
          <w:rFonts w:ascii="Times New Roman" w:hAnsi="Times New Roman" w:cs="Times New Roman"/>
          <w:sz w:val="24"/>
          <w:szCs w:val="24"/>
        </w:rPr>
        <w:t>Docket UT-100148 Rulemaking File</w:t>
      </w:r>
    </w:p>
    <w:p w:rsidR="0092308B" w:rsidRPr="009F185B" w:rsidRDefault="0092308B" w:rsidP="007424F4">
      <w:pPr>
        <w:spacing w:line="264" w:lineRule="auto"/>
        <w:ind w:left="1080" w:hanging="1080"/>
        <w:contextualSpacing/>
        <w:rPr>
          <w:rFonts w:ascii="Times New Roman" w:hAnsi="Times New Roman" w:cs="Times New Roman"/>
          <w:sz w:val="24"/>
          <w:szCs w:val="24"/>
        </w:rPr>
      </w:pPr>
    </w:p>
    <w:p w:rsidR="000F376F" w:rsidRDefault="0092308B" w:rsidP="004D5D49">
      <w:pPr>
        <w:spacing w:line="264" w:lineRule="auto"/>
        <w:ind w:left="1080"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>FROM:</w:t>
      </w:r>
      <w:r w:rsidRPr="009F185B">
        <w:rPr>
          <w:rFonts w:ascii="Times New Roman" w:hAnsi="Times New Roman" w:cs="Times New Roman"/>
          <w:sz w:val="24"/>
          <w:szCs w:val="24"/>
        </w:rPr>
        <w:tab/>
      </w:r>
      <w:r w:rsidR="000F376F">
        <w:rPr>
          <w:rFonts w:ascii="Times New Roman" w:hAnsi="Times New Roman" w:cs="Times New Roman"/>
          <w:sz w:val="24"/>
          <w:szCs w:val="24"/>
        </w:rPr>
        <w:tab/>
      </w:r>
      <w:r w:rsidR="00EA74FE" w:rsidRPr="009F185B">
        <w:rPr>
          <w:rFonts w:ascii="Times New Roman" w:hAnsi="Times New Roman" w:cs="Times New Roman"/>
          <w:sz w:val="24"/>
          <w:szCs w:val="24"/>
        </w:rPr>
        <w:t xml:space="preserve">Rulemaking Team </w:t>
      </w:r>
      <w:r w:rsidR="000F376F">
        <w:rPr>
          <w:rFonts w:ascii="Times New Roman" w:hAnsi="Times New Roman" w:cs="Times New Roman"/>
          <w:sz w:val="24"/>
          <w:szCs w:val="24"/>
        </w:rPr>
        <w:t>Members</w:t>
      </w:r>
    </w:p>
    <w:p w:rsidR="007C4764" w:rsidRPr="000F376F" w:rsidRDefault="000F376F" w:rsidP="000F376F">
      <w:pPr>
        <w:spacing w:line="264" w:lineRule="auto"/>
        <w:ind w:left="1080" w:firstLine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F376F">
        <w:rPr>
          <w:rFonts w:ascii="Times New Roman" w:hAnsi="Times New Roman" w:cs="Times New Roman"/>
          <w:i/>
          <w:sz w:val="24"/>
          <w:szCs w:val="24"/>
        </w:rPr>
        <w:t>T</w:t>
      </w:r>
      <w:r w:rsidR="007C4764" w:rsidRPr="000F376F">
        <w:rPr>
          <w:rFonts w:ascii="Times New Roman" w:hAnsi="Times New Roman" w:cs="Times New Roman"/>
          <w:i/>
          <w:sz w:val="24"/>
          <w:szCs w:val="24"/>
        </w:rPr>
        <w:t>im Zawislak, Sharyn Bate, Jing Liu, John Cupp, and Patricia Clark</w:t>
      </w:r>
    </w:p>
    <w:p w:rsidR="004D5D49" w:rsidRPr="009F185B" w:rsidRDefault="004D5D49" w:rsidP="007424F4">
      <w:pPr>
        <w:spacing w:line="264" w:lineRule="auto"/>
        <w:ind w:left="1080" w:hanging="1080"/>
        <w:contextualSpacing/>
        <w:rPr>
          <w:rFonts w:ascii="Times New Roman" w:hAnsi="Times New Roman" w:cs="Times New Roman"/>
          <w:sz w:val="24"/>
          <w:szCs w:val="24"/>
        </w:rPr>
      </w:pPr>
    </w:p>
    <w:p w:rsidR="000F376F" w:rsidRDefault="000F376F" w:rsidP="000F376F">
      <w:pPr>
        <w:tabs>
          <w:tab w:val="left" w:pos="1080"/>
        </w:tabs>
        <w:spacing w:line="264" w:lineRule="auto"/>
        <w:ind w:left="1170" w:hanging="117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</w:t>
      </w:r>
      <w:r w:rsidR="007424F4" w:rsidRPr="009F18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 Adoption Hearing</w:t>
      </w:r>
    </w:p>
    <w:p w:rsidR="0092308B" w:rsidRPr="000F376F" w:rsidRDefault="000F376F" w:rsidP="000F376F">
      <w:pPr>
        <w:tabs>
          <w:tab w:val="left" w:pos="1080"/>
        </w:tabs>
        <w:spacing w:line="264" w:lineRule="auto"/>
        <w:ind w:left="1170" w:hanging="117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F376F">
        <w:rPr>
          <w:rFonts w:ascii="Times New Roman" w:hAnsi="Times New Roman" w:cs="Times New Roman"/>
          <w:i/>
          <w:sz w:val="24"/>
          <w:szCs w:val="24"/>
        </w:rPr>
        <w:t>f</w:t>
      </w:r>
      <w:r w:rsidR="00A53110" w:rsidRPr="009F185B">
        <w:rPr>
          <w:rFonts w:ascii="Times New Roman" w:hAnsi="Times New Roman" w:cs="Times New Roman"/>
          <w:i/>
          <w:sz w:val="24"/>
          <w:szCs w:val="24"/>
        </w:rPr>
        <w:t>or</w:t>
      </w:r>
      <w:proofErr w:type="gramEnd"/>
      <w:r w:rsidR="004D5D49" w:rsidRPr="009F185B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="007424F4" w:rsidRPr="009F185B">
        <w:rPr>
          <w:rFonts w:ascii="Times New Roman" w:hAnsi="Times New Roman" w:cs="Times New Roman"/>
          <w:i/>
          <w:sz w:val="24"/>
          <w:szCs w:val="24"/>
        </w:rPr>
        <w:t xml:space="preserve"> Prepaid Calling Card Services </w:t>
      </w:r>
      <w:r w:rsidR="00A53110" w:rsidRPr="009F185B">
        <w:rPr>
          <w:rFonts w:ascii="Times New Roman" w:hAnsi="Times New Roman" w:cs="Times New Roman"/>
          <w:i/>
          <w:sz w:val="24"/>
          <w:szCs w:val="24"/>
        </w:rPr>
        <w:t>Rulemaking</w:t>
      </w:r>
      <w:r w:rsidR="00A53110" w:rsidRPr="009F185B">
        <w:rPr>
          <w:rFonts w:ascii="Times New Roman" w:hAnsi="Times New Roman" w:cs="Times New Roman"/>
          <w:sz w:val="24"/>
          <w:szCs w:val="24"/>
        </w:rPr>
        <w:t xml:space="preserve"> (</w:t>
      </w:r>
      <w:r w:rsidR="00694050" w:rsidRPr="009F185B">
        <w:rPr>
          <w:rFonts w:ascii="Times New Roman" w:hAnsi="Times New Roman" w:cs="Times New Roman"/>
          <w:i/>
          <w:sz w:val="24"/>
          <w:szCs w:val="24"/>
        </w:rPr>
        <w:t>WAC 480-120-264)</w:t>
      </w:r>
    </w:p>
    <w:p w:rsidR="004D5D49" w:rsidRPr="009F185B" w:rsidRDefault="004D5D49" w:rsidP="007424F4">
      <w:pPr>
        <w:spacing w:line="264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7424F4" w:rsidRPr="009F185B" w:rsidRDefault="007424F4" w:rsidP="007424F4">
      <w:pPr>
        <w:spacing w:line="264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424F4" w:rsidRPr="009F185B" w:rsidRDefault="007424F4" w:rsidP="007424F4">
      <w:pPr>
        <w:spacing w:line="264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6E4DF3" w:rsidRPr="009F185B" w:rsidRDefault="006E4DF3" w:rsidP="007424F4">
      <w:pPr>
        <w:spacing w:line="264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56CA" w:rsidRPr="009F185B" w:rsidRDefault="005556CA" w:rsidP="007424F4">
      <w:pPr>
        <w:spacing w:line="264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85B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  <w:r w:rsidR="002913E5" w:rsidRPr="009F18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06BCB" w:rsidRPr="009F185B" w:rsidRDefault="00806BCB" w:rsidP="007424F4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353D" w:rsidRPr="009F185B" w:rsidRDefault="00BC2CF9" w:rsidP="007424F4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 xml:space="preserve">The </w:t>
      </w:r>
      <w:r w:rsidR="006A494A" w:rsidRPr="009F185B">
        <w:rPr>
          <w:rFonts w:ascii="Times New Roman" w:hAnsi="Times New Roman" w:cs="Times New Roman"/>
          <w:sz w:val="24"/>
          <w:szCs w:val="24"/>
        </w:rPr>
        <w:t xml:space="preserve">UT-100148 </w:t>
      </w:r>
      <w:r w:rsidRPr="009F185B">
        <w:rPr>
          <w:rFonts w:ascii="Times New Roman" w:hAnsi="Times New Roman" w:cs="Times New Roman"/>
          <w:sz w:val="24"/>
          <w:szCs w:val="24"/>
        </w:rPr>
        <w:t>rulemaking team recommends th</w:t>
      </w:r>
      <w:r w:rsidR="006A494A" w:rsidRPr="009F185B">
        <w:rPr>
          <w:rFonts w:ascii="Times New Roman" w:hAnsi="Times New Roman" w:cs="Times New Roman"/>
          <w:sz w:val="24"/>
          <w:szCs w:val="24"/>
        </w:rPr>
        <w:t>at the</w:t>
      </w:r>
      <w:r w:rsidRPr="009F185B">
        <w:rPr>
          <w:rFonts w:ascii="Times New Roman" w:hAnsi="Times New Roman" w:cs="Times New Roman"/>
          <w:sz w:val="24"/>
          <w:szCs w:val="24"/>
        </w:rPr>
        <w:t xml:space="preserve"> </w:t>
      </w:r>
      <w:r w:rsidR="008B3A5D">
        <w:rPr>
          <w:rFonts w:ascii="Times New Roman" w:hAnsi="Times New Roman" w:cs="Times New Roman"/>
          <w:sz w:val="24"/>
          <w:szCs w:val="24"/>
        </w:rPr>
        <w:t>proposed rule</w:t>
      </w:r>
      <w:r w:rsidR="001966EF" w:rsidRPr="009F185B">
        <w:rPr>
          <w:rFonts w:ascii="Times New Roman" w:hAnsi="Times New Roman" w:cs="Times New Roman"/>
          <w:sz w:val="24"/>
          <w:szCs w:val="24"/>
        </w:rPr>
        <w:t xml:space="preserve"> </w:t>
      </w:r>
      <w:r w:rsidRPr="009F185B">
        <w:rPr>
          <w:rFonts w:ascii="Times New Roman" w:hAnsi="Times New Roman" w:cs="Times New Roman"/>
          <w:sz w:val="24"/>
          <w:szCs w:val="24"/>
        </w:rPr>
        <w:t>language</w:t>
      </w:r>
      <w:r w:rsidR="006A494A" w:rsidRPr="009F185B">
        <w:rPr>
          <w:rFonts w:ascii="Times New Roman" w:hAnsi="Times New Roman" w:cs="Times New Roman"/>
          <w:sz w:val="24"/>
          <w:szCs w:val="24"/>
        </w:rPr>
        <w:t xml:space="preserve"> in Attachment 1 </w:t>
      </w:r>
      <w:r w:rsidRPr="009F185B">
        <w:rPr>
          <w:rFonts w:ascii="Times New Roman" w:hAnsi="Times New Roman" w:cs="Times New Roman"/>
          <w:sz w:val="24"/>
          <w:szCs w:val="24"/>
        </w:rPr>
        <w:t>be</w:t>
      </w:r>
      <w:r w:rsidR="00F8353D" w:rsidRPr="009F185B">
        <w:rPr>
          <w:rFonts w:ascii="Times New Roman" w:hAnsi="Times New Roman" w:cs="Times New Roman"/>
          <w:sz w:val="24"/>
          <w:szCs w:val="24"/>
        </w:rPr>
        <w:t xml:space="preserve"> discussed, approved, and adopted</w:t>
      </w:r>
      <w:r w:rsidR="008B3A5D">
        <w:rPr>
          <w:rFonts w:ascii="Times New Roman" w:hAnsi="Times New Roman" w:cs="Times New Roman"/>
          <w:sz w:val="24"/>
          <w:szCs w:val="24"/>
        </w:rPr>
        <w:t xml:space="preserve"> </w:t>
      </w:r>
      <w:r w:rsidR="00B1504E">
        <w:rPr>
          <w:rFonts w:ascii="Times New Roman" w:hAnsi="Times New Roman" w:cs="Times New Roman"/>
          <w:sz w:val="24"/>
          <w:szCs w:val="24"/>
        </w:rPr>
        <w:t>(</w:t>
      </w:r>
      <w:r w:rsidR="000253D6">
        <w:rPr>
          <w:rFonts w:ascii="Times New Roman" w:hAnsi="Times New Roman" w:cs="Times New Roman"/>
          <w:sz w:val="24"/>
          <w:szCs w:val="24"/>
        </w:rPr>
        <w:t>as clarif</w:t>
      </w:r>
      <w:r w:rsidR="008B3A5D">
        <w:rPr>
          <w:rFonts w:ascii="Times New Roman" w:hAnsi="Times New Roman" w:cs="Times New Roman"/>
          <w:sz w:val="24"/>
          <w:szCs w:val="24"/>
        </w:rPr>
        <w:t xml:space="preserve">ied </w:t>
      </w:r>
      <w:r w:rsidR="00B1504E">
        <w:rPr>
          <w:rFonts w:ascii="Times New Roman" w:hAnsi="Times New Roman" w:cs="Times New Roman"/>
          <w:sz w:val="24"/>
          <w:szCs w:val="24"/>
        </w:rPr>
        <w:t>by</w:t>
      </w:r>
      <w:r w:rsidR="008B3A5D">
        <w:rPr>
          <w:rFonts w:ascii="Times New Roman" w:hAnsi="Times New Roman" w:cs="Times New Roman"/>
          <w:sz w:val="24"/>
          <w:szCs w:val="24"/>
        </w:rPr>
        <w:t xml:space="preserve"> the </w:t>
      </w:r>
      <w:r w:rsidR="000253D6">
        <w:rPr>
          <w:rFonts w:ascii="Times New Roman" w:hAnsi="Times New Roman" w:cs="Times New Roman"/>
          <w:sz w:val="24"/>
          <w:szCs w:val="24"/>
        </w:rPr>
        <w:t>consensus</w:t>
      </w:r>
      <w:r w:rsidR="008B3A5D">
        <w:rPr>
          <w:rFonts w:ascii="Times New Roman" w:hAnsi="Times New Roman" w:cs="Times New Roman"/>
          <w:sz w:val="24"/>
          <w:szCs w:val="24"/>
        </w:rPr>
        <w:t xml:space="preserve"> </w:t>
      </w:r>
      <w:r w:rsidR="00B1504E">
        <w:rPr>
          <w:rFonts w:ascii="Times New Roman" w:hAnsi="Times New Roman" w:cs="Times New Roman"/>
          <w:sz w:val="24"/>
          <w:szCs w:val="24"/>
        </w:rPr>
        <w:t xml:space="preserve">rule </w:t>
      </w:r>
      <w:r w:rsidR="008B3A5D">
        <w:rPr>
          <w:rFonts w:ascii="Times New Roman" w:hAnsi="Times New Roman" w:cs="Times New Roman"/>
          <w:sz w:val="24"/>
          <w:szCs w:val="24"/>
        </w:rPr>
        <w:t>language included</w:t>
      </w:r>
      <w:r w:rsidR="00B1504E">
        <w:rPr>
          <w:rFonts w:ascii="Times New Roman" w:hAnsi="Times New Roman" w:cs="Times New Roman"/>
          <w:sz w:val="24"/>
          <w:szCs w:val="24"/>
        </w:rPr>
        <w:t xml:space="preserve"> in Attachment 3)</w:t>
      </w:r>
      <w:r w:rsidR="00F8353D" w:rsidRPr="009F185B">
        <w:rPr>
          <w:rFonts w:ascii="Times New Roman" w:hAnsi="Times New Roman" w:cs="Times New Roman"/>
          <w:sz w:val="24"/>
          <w:szCs w:val="24"/>
        </w:rPr>
        <w:t xml:space="preserve"> at the Adoption Hearing scheduled for June 28, 2010</w:t>
      </w:r>
      <w:r w:rsidR="00F37FD5" w:rsidRPr="009F185B">
        <w:rPr>
          <w:rFonts w:ascii="Times New Roman" w:hAnsi="Times New Roman" w:cs="Times New Roman"/>
          <w:sz w:val="24"/>
          <w:szCs w:val="24"/>
        </w:rPr>
        <w:t>.</w:t>
      </w:r>
    </w:p>
    <w:p w:rsidR="00F8353D" w:rsidRPr="009F185B" w:rsidRDefault="00F8353D" w:rsidP="007424F4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4DF3" w:rsidRPr="009F185B" w:rsidRDefault="00C213FC" w:rsidP="007424F4">
      <w:pPr>
        <w:spacing w:line="264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85B">
        <w:rPr>
          <w:rFonts w:ascii="Times New Roman" w:hAnsi="Times New Roman" w:cs="Times New Roman"/>
          <w:sz w:val="24"/>
          <w:szCs w:val="24"/>
        </w:rPr>
        <w:t xml:space="preserve">The </w:t>
      </w:r>
      <w:r w:rsidR="000253D6">
        <w:rPr>
          <w:rFonts w:ascii="Times New Roman" w:hAnsi="Times New Roman" w:cs="Times New Roman"/>
          <w:sz w:val="24"/>
          <w:szCs w:val="24"/>
        </w:rPr>
        <w:t>consensus rule</w:t>
      </w:r>
      <w:r w:rsidRPr="009F185B">
        <w:rPr>
          <w:rFonts w:ascii="Times New Roman" w:hAnsi="Times New Roman" w:cs="Times New Roman"/>
          <w:sz w:val="24"/>
          <w:szCs w:val="24"/>
        </w:rPr>
        <w:t xml:space="preserve"> language </w:t>
      </w:r>
      <w:r w:rsidR="00F8353D" w:rsidRPr="009F185B">
        <w:rPr>
          <w:rFonts w:ascii="Times New Roman" w:hAnsi="Times New Roman" w:cs="Times New Roman"/>
          <w:sz w:val="24"/>
          <w:szCs w:val="24"/>
        </w:rPr>
        <w:t>addresses</w:t>
      </w:r>
      <w:r w:rsidRPr="009F185B">
        <w:rPr>
          <w:rFonts w:ascii="Times New Roman" w:hAnsi="Times New Roman" w:cs="Times New Roman"/>
          <w:sz w:val="24"/>
          <w:szCs w:val="24"/>
        </w:rPr>
        <w:t xml:space="preserve"> the </w:t>
      </w:r>
      <w:r w:rsidR="00F8353D" w:rsidRPr="009F185B">
        <w:rPr>
          <w:rFonts w:ascii="Times New Roman" w:hAnsi="Times New Roman" w:cs="Times New Roman"/>
          <w:sz w:val="24"/>
          <w:szCs w:val="24"/>
        </w:rPr>
        <w:t>more recent comments made</w:t>
      </w:r>
      <w:r w:rsidRPr="009F185B">
        <w:rPr>
          <w:rFonts w:ascii="Times New Roman" w:hAnsi="Times New Roman" w:cs="Times New Roman"/>
          <w:sz w:val="24"/>
          <w:szCs w:val="24"/>
        </w:rPr>
        <w:t xml:space="preserve"> by Verizon</w:t>
      </w:r>
      <w:r w:rsidR="00F8353D" w:rsidRPr="009F185B">
        <w:rPr>
          <w:rFonts w:ascii="Times New Roman" w:hAnsi="Times New Roman" w:cs="Times New Roman"/>
          <w:sz w:val="24"/>
          <w:szCs w:val="24"/>
        </w:rPr>
        <w:t xml:space="preserve">-MCI and AT&amp;T, </w:t>
      </w:r>
      <w:r w:rsidR="00B1504E">
        <w:rPr>
          <w:rFonts w:ascii="Times New Roman" w:hAnsi="Times New Roman" w:cs="Times New Roman"/>
          <w:sz w:val="24"/>
          <w:szCs w:val="24"/>
        </w:rPr>
        <w:t xml:space="preserve">which were </w:t>
      </w:r>
      <w:r w:rsidR="00F8353D" w:rsidRPr="009F185B">
        <w:rPr>
          <w:rFonts w:ascii="Times New Roman" w:hAnsi="Times New Roman" w:cs="Times New Roman"/>
          <w:sz w:val="24"/>
          <w:szCs w:val="24"/>
        </w:rPr>
        <w:t>received on June 7, 2010.</w:t>
      </w:r>
    </w:p>
    <w:p w:rsidR="008A7E16" w:rsidRDefault="008A7E16" w:rsidP="007424F4">
      <w:pPr>
        <w:spacing w:line="264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504E" w:rsidRPr="009F185B" w:rsidRDefault="00B1504E" w:rsidP="007424F4">
      <w:pPr>
        <w:spacing w:line="264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24A9" w:rsidRPr="009F185B" w:rsidRDefault="00CC1717" w:rsidP="007424F4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  <w:r w:rsidRPr="009F185B">
        <w:rPr>
          <w:rFonts w:ascii="Times New Roman" w:hAnsi="Times New Roman" w:cs="Times New Roman"/>
          <w:sz w:val="24"/>
          <w:szCs w:val="24"/>
        </w:rPr>
        <w:t>:</w:t>
      </w:r>
    </w:p>
    <w:p w:rsidR="00806BCB" w:rsidRPr="009F185B" w:rsidRDefault="00806BCB" w:rsidP="007424F4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38DE" w:rsidRPr="009F185B" w:rsidRDefault="00B1504E" w:rsidP="002913E5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22960" w:rsidRPr="009F185B">
        <w:rPr>
          <w:rFonts w:ascii="Times New Roman" w:hAnsi="Times New Roman" w:cs="Times New Roman"/>
          <w:sz w:val="24"/>
          <w:szCs w:val="24"/>
        </w:rPr>
        <w:t xml:space="preserve">his rulemaking began in December 2009 when State Representative Hudgins </w:t>
      </w:r>
      <w:r w:rsidR="00E724A9" w:rsidRPr="009F185B">
        <w:rPr>
          <w:rFonts w:ascii="Times New Roman" w:hAnsi="Times New Roman" w:cs="Times New Roman"/>
          <w:sz w:val="24"/>
          <w:szCs w:val="24"/>
        </w:rPr>
        <w:t>request</w:t>
      </w:r>
      <w:r w:rsidR="00022960" w:rsidRPr="009F185B">
        <w:rPr>
          <w:rFonts w:ascii="Times New Roman" w:hAnsi="Times New Roman" w:cs="Times New Roman"/>
          <w:sz w:val="24"/>
          <w:szCs w:val="24"/>
        </w:rPr>
        <w:t>ed</w:t>
      </w:r>
      <w:r w:rsidR="00E724A9" w:rsidRPr="009F185B">
        <w:rPr>
          <w:rFonts w:ascii="Times New Roman" w:hAnsi="Times New Roman" w:cs="Times New Roman"/>
          <w:sz w:val="24"/>
          <w:szCs w:val="24"/>
        </w:rPr>
        <w:t xml:space="preserve"> that the UTC </w:t>
      </w:r>
      <w:r w:rsidR="006338DE" w:rsidRPr="009F185B">
        <w:rPr>
          <w:rFonts w:ascii="Times New Roman" w:hAnsi="Times New Roman" w:cs="Times New Roman"/>
          <w:sz w:val="24"/>
          <w:szCs w:val="24"/>
        </w:rPr>
        <w:t xml:space="preserve">consider </w:t>
      </w:r>
      <w:r w:rsidR="00E724A9" w:rsidRPr="009F185B">
        <w:rPr>
          <w:rFonts w:ascii="Times New Roman" w:hAnsi="Times New Roman" w:cs="Times New Roman"/>
          <w:sz w:val="24"/>
          <w:szCs w:val="24"/>
        </w:rPr>
        <w:t>updat</w:t>
      </w:r>
      <w:r w:rsidR="006338DE" w:rsidRPr="009F185B">
        <w:rPr>
          <w:rFonts w:ascii="Times New Roman" w:hAnsi="Times New Roman" w:cs="Times New Roman"/>
          <w:sz w:val="24"/>
          <w:szCs w:val="24"/>
        </w:rPr>
        <w:t>ing</w:t>
      </w:r>
      <w:r w:rsidR="00E724A9" w:rsidRPr="009F185B">
        <w:rPr>
          <w:rFonts w:ascii="Times New Roman" w:hAnsi="Times New Roman" w:cs="Times New Roman"/>
          <w:sz w:val="24"/>
          <w:szCs w:val="24"/>
        </w:rPr>
        <w:t xml:space="preserve"> its </w:t>
      </w:r>
      <w:r w:rsidR="00A53110" w:rsidRPr="009F185B">
        <w:rPr>
          <w:rFonts w:ascii="Times New Roman" w:hAnsi="Times New Roman" w:cs="Times New Roman"/>
          <w:sz w:val="24"/>
          <w:szCs w:val="24"/>
        </w:rPr>
        <w:t>rules governing</w:t>
      </w:r>
      <w:r w:rsidR="00E724A9" w:rsidRPr="009F185B">
        <w:rPr>
          <w:rFonts w:ascii="Times New Roman" w:hAnsi="Times New Roman" w:cs="Times New Roman"/>
          <w:sz w:val="24"/>
          <w:szCs w:val="24"/>
        </w:rPr>
        <w:t xml:space="preserve"> prepaid calling providers</w:t>
      </w:r>
      <w:r w:rsidR="00022960" w:rsidRPr="009F185B">
        <w:rPr>
          <w:rFonts w:ascii="Times New Roman" w:hAnsi="Times New Roman" w:cs="Times New Roman"/>
          <w:sz w:val="24"/>
          <w:szCs w:val="24"/>
        </w:rPr>
        <w:t xml:space="preserve"> in order </w:t>
      </w:r>
      <w:r w:rsidR="00A53110" w:rsidRPr="009F185B">
        <w:rPr>
          <w:rFonts w:ascii="Times New Roman" w:hAnsi="Times New Roman" w:cs="Times New Roman"/>
          <w:sz w:val="24"/>
          <w:szCs w:val="24"/>
        </w:rPr>
        <w:t>to disclose rates,</w:t>
      </w:r>
      <w:r w:rsidR="00022960" w:rsidRPr="009F185B">
        <w:rPr>
          <w:rFonts w:ascii="Times New Roman" w:hAnsi="Times New Roman" w:cs="Times New Roman"/>
          <w:sz w:val="24"/>
          <w:szCs w:val="24"/>
        </w:rPr>
        <w:t xml:space="preserve"> </w:t>
      </w:r>
      <w:r w:rsidR="00A53110" w:rsidRPr="009F185B">
        <w:rPr>
          <w:rFonts w:ascii="Times New Roman" w:hAnsi="Times New Roman" w:cs="Times New Roman"/>
          <w:sz w:val="24"/>
          <w:szCs w:val="24"/>
        </w:rPr>
        <w:t xml:space="preserve">terms, and conditions in the language </w:t>
      </w:r>
      <w:r w:rsidR="00022960" w:rsidRPr="009F185B">
        <w:rPr>
          <w:rFonts w:ascii="Times New Roman" w:hAnsi="Times New Roman" w:cs="Times New Roman"/>
          <w:sz w:val="24"/>
          <w:szCs w:val="24"/>
        </w:rPr>
        <w:t>a</w:t>
      </w:r>
      <w:r w:rsidR="00A53110" w:rsidRPr="009F185B">
        <w:rPr>
          <w:rFonts w:ascii="Times New Roman" w:hAnsi="Times New Roman" w:cs="Times New Roman"/>
          <w:sz w:val="24"/>
          <w:szCs w:val="24"/>
        </w:rPr>
        <w:t xml:space="preserve">s advertised and to disclose </w:t>
      </w:r>
      <w:r w:rsidR="00022960" w:rsidRPr="009F185B">
        <w:rPr>
          <w:rFonts w:ascii="Times New Roman" w:hAnsi="Times New Roman" w:cs="Times New Roman"/>
          <w:sz w:val="24"/>
          <w:szCs w:val="24"/>
        </w:rPr>
        <w:t xml:space="preserve">the number of minutes </w:t>
      </w:r>
      <w:r w:rsidR="00A53110" w:rsidRPr="009F185B">
        <w:rPr>
          <w:rFonts w:ascii="Times New Roman" w:hAnsi="Times New Roman" w:cs="Times New Roman"/>
          <w:sz w:val="24"/>
          <w:szCs w:val="24"/>
        </w:rPr>
        <w:t>on the card or packaging</w:t>
      </w:r>
      <w:r w:rsidR="00022960" w:rsidRPr="009F185B">
        <w:rPr>
          <w:rFonts w:ascii="Times New Roman" w:hAnsi="Times New Roman" w:cs="Times New Roman"/>
          <w:sz w:val="24"/>
          <w:szCs w:val="24"/>
        </w:rPr>
        <w:t>.</w:t>
      </w:r>
    </w:p>
    <w:p w:rsidR="006C3506" w:rsidRPr="009F185B" w:rsidRDefault="006C3506" w:rsidP="007424F4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2960" w:rsidRPr="009F185B" w:rsidRDefault="00022960" w:rsidP="007424F4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 xml:space="preserve">The </w:t>
      </w:r>
      <w:r w:rsidR="00B1504E">
        <w:rPr>
          <w:rFonts w:ascii="Times New Roman" w:hAnsi="Times New Roman" w:cs="Times New Roman"/>
          <w:sz w:val="24"/>
          <w:szCs w:val="24"/>
        </w:rPr>
        <w:t xml:space="preserve">subsequent </w:t>
      </w:r>
      <w:r w:rsidRPr="009F185B">
        <w:rPr>
          <w:rFonts w:ascii="Times New Roman" w:hAnsi="Times New Roman" w:cs="Times New Roman"/>
          <w:sz w:val="24"/>
          <w:szCs w:val="24"/>
        </w:rPr>
        <w:t xml:space="preserve">timeline of events </w:t>
      </w:r>
      <w:r w:rsidR="00B1504E">
        <w:rPr>
          <w:rFonts w:ascii="Times New Roman" w:hAnsi="Times New Roman" w:cs="Times New Roman"/>
          <w:sz w:val="24"/>
          <w:szCs w:val="24"/>
        </w:rPr>
        <w:t xml:space="preserve">includes the </w:t>
      </w:r>
      <w:r w:rsidRPr="009F185B">
        <w:rPr>
          <w:rFonts w:ascii="Times New Roman" w:hAnsi="Times New Roman" w:cs="Times New Roman"/>
          <w:sz w:val="24"/>
          <w:szCs w:val="24"/>
        </w:rPr>
        <w:t>follow</w:t>
      </w:r>
      <w:r w:rsidR="00B1504E">
        <w:rPr>
          <w:rFonts w:ascii="Times New Roman" w:hAnsi="Times New Roman" w:cs="Times New Roman"/>
          <w:sz w:val="24"/>
          <w:szCs w:val="24"/>
        </w:rPr>
        <w:t>ing</w:t>
      </w:r>
      <w:r w:rsidRPr="009F185B">
        <w:rPr>
          <w:rFonts w:ascii="Times New Roman" w:hAnsi="Times New Roman" w:cs="Times New Roman"/>
          <w:sz w:val="24"/>
          <w:szCs w:val="24"/>
        </w:rPr>
        <w:t>:</w:t>
      </w:r>
    </w:p>
    <w:p w:rsidR="00022960" w:rsidRPr="009F185B" w:rsidRDefault="00F37FD5" w:rsidP="007424F4">
      <w:pPr>
        <w:pStyle w:val="ListParagraph"/>
        <w:numPr>
          <w:ilvl w:val="0"/>
          <w:numId w:val="3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>February 17, 2010, the Commission filed a</w:t>
      </w:r>
      <w:r w:rsidR="00EA74FE" w:rsidRPr="009F185B">
        <w:rPr>
          <w:rFonts w:ascii="Times New Roman" w:hAnsi="Times New Roman" w:cs="Times New Roman"/>
          <w:sz w:val="24"/>
          <w:szCs w:val="24"/>
        </w:rPr>
        <w:t xml:space="preserve"> </w:t>
      </w:r>
      <w:r w:rsidRPr="009F185B">
        <w:rPr>
          <w:rFonts w:ascii="Times New Roman" w:hAnsi="Times New Roman" w:cs="Times New Roman"/>
          <w:sz w:val="24"/>
          <w:szCs w:val="24"/>
        </w:rPr>
        <w:t>CR-101</w:t>
      </w:r>
      <w:r w:rsidR="00022960" w:rsidRPr="009F185B">
        <w:rPr>
          <w:rFonts w:ascii="Times New Roman" w:hAnsi="Times New Roman" w:cs="Times New Roman"/>
          <w:sz w:val="24"/>
          <w:szCs w:val="24"/>
        </w:rPr>
        <w:t xml:space="preserve">, </w:t>
      </w:r>
      <w:r w:rsidR="007C4764" w:rsidRPr="009F185B">
        <w:rPr>
          <w:rFonts w:ascii="Times New Roman" w:hAnsi="Times New Roman" w:cs="Times New Roman"/>
          <w:sz w:val="24"/>
          <w:szCs w:val="24"/>
        </w:rPr>
        <w:t>“Notice of Inquiry</w:t>
      </w:r>
      <w:r w:rsidR="00022960" w:rsidRPr="009F185B">
        <w:rPr>
          <w:rFonts w:ascii="Times New Roman" w:hAnsi="Times New Roman" w:cs="Times New Roman"/>
          <w:sz w:val="24"/>
          <w:szCs w:val="24"/>
        </w:rPr>
        <w:t>.</w:t>
      </w:r>
      <w:r w:rsidR="007C4764" w:rsidRPr="009F185B">
        <w:rPr>
          <w:rFonts w:ascii="Times New Roman" w:hAnsi="Times New Roman" w:cs="Times New Roman"/>
          <w:sz w:val="24"/>
          <w:szCs w:val="24"/>
        </w:rPr>
        <w:t>”</w:t>
      </w:r>
    </w:p>
    <w:p w:rsidR="00F37FD5" w:rsidRPr="009F185B" w:rsidRDefault="00F37FD5" w:rsidP="007424F4">
      <w:pPr>
        <w:pStyle w:val="ListParagraph"/>
        <w:numPr>
          <w:ilvl w:val="0"/>
          <w:numId w:val="3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 xml:space="preserve">March 22, 2010, </w:t>
      </w:r>
      <w:r w:rsidR="007C4764" w:rsidRPr="009F185B">
        <w:rPr>
          <w:rFonts w:ascii="Times New Roman" w:hAnsi="Times New Roman" w:cs="Times New Roman"/>
          <w:sz w:val="24"/>
          <w:szCs w:val="24"/>
        </w:rPr>
        <w:t xml:space="preserve">Comments were filed by </w:t>
      </w:r>
      <w:r w:rsidR="00C213FC" w:rsidRPr="009F185B">
        <w:rPr>
          <w:rFonts w:ascii="Times New Roman" w:hAnsi="Times New Roman" w:cs="Times New Roman"/>
          <w:sz w:val="24"/>
          <w:szCs w:val="24"/>
        </w:rPr>
        <w:t>Verizon</w:t>
      </w:r>
      <w:r w:rsidR="00022960" w:rsidRPr="009F185B">
        <w:rPr>
          <w:rFonts w:ascii="Times New Roman" w:hAnsi="Times New Roman" w:cs="Times New Roman"/>
          <w:sz w:val="24"/>
          <w:szCs w:val="24"/>
        </w:rPr>
        <w:t>-MCI</w:t>
      </w:r>
      <w:r w:rsidR="00C213FC" w:rsidRPr="009F185B">
        <w:rPr>
          <w:rFonts w:ascii="Times New Roman" w:hAnsi="Times New Roman" w:cs="Times New Roman"/>
          <w:sz w:val="24"/>
          <w:szCs w:val="24"/>
        </w:rPr>
        <w:t>, AT&amp;T</w:t>
      </w:r>
      <w:r w:rsidR="007C4764" w:rsidRPr="009F185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7C4764" w:rsidRPr="009F185B">
        <w:rPr>
          <w:rFonts w:ascii="Times New Roman" w:hAnsi="Times New Roman" w:cs="Times New Roman"/>
          <w:sz w:val="24"/>
          <w:szCs w:val="24"/>
        </w:rPr>
        <w:t>Paracom</w:t>
      </w:r>
      <w:proofErr w:type="spellEnd"/>
      <w:r w:rsidR="00022960" w:rsidRPr="009F185B">
        <w:rPr>
          <w:rFonts w:ascii="Times New Roman" w:hAnsi="Times New Roman" w:cs="Times New Roman"/>
          <w:sz w:val="24"/>
          <w:szCs w:val="24"/>
        </w:rPr>
        <w:t>.</w:t>
      </w:r>
    </w:p>
    <w:p w:rsidR="00022960" w:rsidRPr="009F185B" w:rsidRDefault="00022960" w:rsidP="007424F4">
      <w:pPr>
        <w:pStyle w:val="ListParagraph"/>
        <w:numPr>
          <w:ilvl w:val="0"/>
          <w:numId w:val="3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>May 5, 2010, the Commission filed a CR-102, “Notice of Proposed Rulemaking.”</w:t>
      </w:r>
    </w:p>
    <w:p w:rsidR="007C4764" w:rsidRPr="009F185B" w:rsidRDefault="007C4764" w:rsidP="007424F4">
      <w:pPr>
        <w:pStyle w:val="ListParagraph"/>
        <w:numPr>
          <w:ilvl w:val="0"/>
          <w:numId w:val="3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>June 7, 2010, Additional comments were received from Verizon-MCI and AT&amp;T.</w:t>
      </w:r>
    </w:p>
    <w:p w:rsidR="002553FA" w:rsidRPr="009F185B" w:rsidRDefault="00B818E4" w:rsidP="002553FA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lastRenderedPageBreak/>
        <w:t xml:space="preserve">The proposed rule (CR-102) language is included with this memo as </w:t>
      </w:r>
      <w:r w:rsidRPr="009F185B">
        <w:rPr>
          <w:rFonts w:ascii="Times New Roman" w:hAnsi="Times New Roman" w:cs="Times New Roman"/>
          <w:i/>
          <w:sz w:val="24"/>
          <w:szCs w:val="24"/>
        </w:rPr>
        <w:t>Attachment 1</w:t>
      </w:r>
      <w:r w:rsidRPr="009F185B">
        <w:rPr>
          <w:rFonts w:ascii="Times New Roman" w:hAnsi="Times New Roman" w:cs="Times New Roman"/>
          <w:sz w:val="24"/>
          <w:szCs w:val="24"/>
        </w:rPr>
        <w:t>.</w:t>
      </w:r>
    </w:p>
    <w:p w:rsidR="00E5443A" w:rsidRPr="009F185B" w:rsidRDefault="00E5443A" w:rsidP="002553FA">
      <w:pPr>
        <w:spacing w:line="264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443A" w:rsidRPr="009F185B" w:rsidRDefault="00E5443A" w:rsidP="002553FA">
      <w:pPr>
        <w:spacing w:line="264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3FA" w:rsidRPr="009F185B" w:rsidRDefault="002553FA" w:rsidP="002553FA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b/>
          <w:sz w:val="24"/>
          <w:szCs w:val="24"/>
          <w:u w:val="single"/>
        </w:rPr>
        <w:t>ISSUES</w:t>
      </w:r>
      <w:r w:rsidRPr="009F185B">
        <w:rPr>
          <w:rFonts w:ascii="Times New Roman" w:hAnsi="Times New Roman" w:cs="Times New Roman"/>
          <w:sz w:val="24"/>
          <w:szCs w:val="24"/>
        </w:rPr>
        <w:t>:</w:t>
      </w:r>
    </w:p>
    <w:p w:rsidR="002553FA" w:rsidRPr="009F185B" w:rsidRDefault="002553FA" w:rsidP="002553FA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18E4" w:rsidRPr="009F185B" w:rsidRDefault="002553FA" w:rsidP="00B818E4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>The comments received on June 7, 2010,</w:t>
      </w:r>
      <w:r w:rsidR="00B818E4" w:rsidRPr="009F185B">
        <w:rPr>
          <w:rFonts w:ascii="Times New Roman" w:hAnsi="Times New Roman" w:cs="Times New Roman"/>
          <w:sz w:val="24"/>
          <w:szCs w:val="24"/>
        </w:rPr>
        <w:t xml:space="preserve"> have been summarized in matrix form which is included as </w:t>
      </w:r>
      <w:r w:rsidR="00B818E4" w:rsidRPr="009F185B">
        <w:rPr>
          <w:rFonts w:ascii="Times New Roman" w:hAnsi="Times New Roman" w:cs="Times New Roman"/>
          <w:i/>
          <w:sz w:val="24"/>
          <w:szCs w:val="24"/>
        </w:rPr>
        <w:t>Attachment 2</w:t>
      </w:r>
      <w:r w:rsidR="00B818E4" w:rsidRPr="009F185B">
        <w:rPr>
          <w:rFonts w:ascii="Times New Roman" w:hAnsi="Times New Roman" w:cs="Times New Roman"/>
          <w:sz w:val="24"/>
          <w:szCs w:val="24"/>
        </w:rPr>
        <w:t>.</w:t>
      </w:r>
      <w:r w:rsidRPr="009F185B">
        <w:rPr>
          <w:rFonts w:ascii="Times New Roman" w:hAnsi="Times New Roman" w:cs="Times New Roman"/>
          <w:sz w:val="24"/>
          <w:szCs w:val="24"/>
        </w:rPr>
        <w:t xml:space="preserve"> </w:t>
      </w:r>
      <w:r w:rsidR="00B818E4" w:rsidRPr="009F185B">
        <w:rPr>
          <w:rFonts w:ascii="Times New Roman" w:hAnsi="Times New Roman" w:cs="Times New Roman"/>
          <w:sz w:val="24"/>
          <w:szCs w:val="24"/>
        </w:rPr>
        <w:t>The parties identified two main issues:</w:t>
      </w:r>
    </w:p>
    <w:p w:rsidR="00B818E4" w:rsidRPr="009F185B" w:rsidRDefault="00B818E4" w:rsidP="00B818E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>T</w:t>
      </w:r>
      <w:r w:rsidR="002553FA" w:rsidRPr="009F185B">
        <w:rPr>
          <w:rFonts w:ascii="Times New Roman" w:hAnsi="Times New Roman" w:cs="Times New Roman"/>
          <w:sz w:val="24"/>
          <w:szCs w:val="24"/>
        </w:rPr>
        <w:t>he effective disclosure of international prepaid calling rates and minutes</w:t>
      </w:r>
      <w:r w:rsidRPr="009F185B">
        <w:rPr>
          <w:rFonts w:ascii="Times New Roman" w:hAnsi="Times New Roman" w:cs="Times New Roman"/>
          <w:sz w:val="24"/>
          <w:szCs w:val="24"/>
        </w:rPr>
        <w:t>.</w:t>
      </w:r>
    </w:p>
    <w:p w:rsidR="00B818E4" w:rsidRPr="009F185B" w:rsidRDefault="00B818E4" w:rsidP="00B818E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53FA" w:rsidRPr="009F185B" w:rsidRDefault="00B818E4" w:rsidP="00B818E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>T</w:t>
      </w:r>
      <w:r w:rsidR="002553FA" w:rsidRPr="009F185B">
        <w:rPr>
          <w:rFonts w:ascii="Times New Roman" w:hAnsi="Times New Roman" w:cs="Times New Roman"/>
          <w:sz w:val="24"/>
          <w:szCs w:val="24"/>
        </w:rPr>
        <w:t>he need for clarification regarding whether the rule applies only to a pre</w:t>
      </w:r>
      <w:r w:rsidR="000874C3" w:rsidRPr="009F185B">
        <w:rPr>
          <w:rFonts w:ascii="Times New Roman" w:hAnsi="Times New Roman" w:cs="Times New Roman"/>
          <w:sz w:val="24"/>
          <w:szCs w:val="24"/>
        </w:rPr>
        <w:t xml:space="preserve">paid calling “card,” or, to </w:t>
      </w:r>
      <w:proofErr w:type="gramStart"/>
      <w:r w:rsidR="002553FA" w:rsidRPr="009F185B">
        <w:rPr>
          <w:rFonts w:ascii="Times New Roman" w:hAnsi="Times New Roman" w:cs="Times New Roman"/>
          <w:sz w:val="24"/>
          <w:szCs w:val="24"/>
        </w:rPr>
        <w:t>regulated</w:t>
      </w:r>
      <w:proofErr w:type="gramEnd"/>
      <w:r w:rsidR="002553FA" w:rsidRPr="009F185B">
        <w:rPr>
          <w:rFonts w:ascii="Times New Roman" w:hAnsi="Times New Roman" w:cs="Times New Roman"/>
          <w:sz w:val="24"/>
          <w:szCs w:val="24"/>
        </w:rPr>
        <w:t xml:space="preserve"> tele</w:t>
      </w:r>
      <w:r w:rsidRPr="009F185B">
        <w:rPr>
          <w:rFonts w:ascii="Times New Roman" w:hAnsi="Times New Roman" w:cs="Times New Roman"/>
          <w:sz w:val="24"/>
          <w:szCs w:val="24"/>
        </w:rPr>
        <w:t>communications prepaid “service</w:t>
      </w:r>
      <w:r w:rsidR="002553FA" w:rsidRPr="009F185B">
        <w:rPr>
          <w:rFonts w:ascii="Times New Roman" w:hAnsi="Times New Roman" w:cs="Times New Roman"/>
          <w:sz w:val="24"/>
          <w:szCs w:val="24"/>
        </w:rPr>
        <w:t>”</w:t>
      </w:r>
      <w:r w:rsidRPr="009F185B">
        <w:rPr>
          <w:rFonts w:ascii="Times New Roman" w:hAnsi="Times New Roman" w:cs="Times New Roman"/>
          <w:sz w:val="24"/>
          <w:szCs w:val="24"/>
        </w:rPr>
        <w:t xml:space="preserve"> in general.</w:t>
      </w:r>
    </w:p>
    <w:p w:rsidR="002553FA" w:rsidRPr="009F185B" w:rsidRDefault="002553FA" w:rsidP="00B818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443A" w:rsidRPr="009F185B" w:rsidRDefault="002553FA" w:rsidP="002553FA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 xml:space="preserve">Although the </w:t>
      </w:r>
      <w:proofErr w:type="spellStart"/>
      <w:r w:rsidRPr="009F185B">
        <w:rPr>
          <w:rFonts w:ascii="Times New Roman" w:hAnsi="Times New Roman" w:cs="Times New Roman"/>
          <w:sz w:val="24"/>
          <w:szCs w:val="24"/>
        </w:rPr>
        <w:t>commenters</w:t>
      </w:r>
      <w:proofErr w:type="spellEnd"/>
      <w:r w:rsidRPr="009F185B">
        <w:rPr>
          <w:rFonts w:ascii="Times New Roman" w:hAnsi="Times New Roman" w:cs="Times New Roman"/>
          <w:sz w:val="24"/>
          <w:szCs w:val="24"/>
        </w:rPr>
        <w:t xml:space="preserve"> </w:t>
      </w:r>
      <w:r w:rsidR="003E429B" w:rsidRPr="009F185B">
        <w:rPr>
          <w:rFonts w:ascii="Times New Roman" w:hAnsi="Times New Roman" w:cs="Times New Roman"/>
          <w:sz w:val="24"/>
          <w:szCs w:val="24"/>
        </w:rPr>
        <w:t xml:space="preserve">both </w:t>
      </w:r>
      <w:r w:rsidR="00AE7556" w:rsidRPr="009F185B">
        <w:rPr>
          <w:rFonts w:ascii="Times New Roman" w:hAnsi="Times New Roman" w:cs="Times New Roman"/>
          <w:sz w:val="24"/>
          <w:szCs w:val="24"/>
        </w:rPr>
        <w:t xml:space="preserve">had </w:t>
      </w:r>
      <w:r w:rsidRPr="009F185B">
        <w:rPr>
          <w:rFonts w:ascii="Times New Roman" w:hAnsi="Times New Roman" w:cs="Times New Roman"/>
          <w:sz w:val="24"/>
          <w:szCs w:val="24"/>
        </w:rPr>
        <w:t>similar issues</w:t>
      </w:r>
      <w:r w:rsidR="00E5443A" w:rsidRPr="009F185B">
        <w:rPr>
          <w:rFonts w:ascii="Times New Roman" w:hAnsi="Times New Roman" w:cs="Times New Roman"/>
          <w:sz w:val="24"/>
          <w:szCs w:val="24"/>
        </w:rPr>
        <w:t xml:space="preserve"> with regard to</w:t>
      </w:r>
      <w:r w:rsidR="003E429B" w:rsidRPr="009F185B">
        <w:rPr>
          <w:rFonts w:ascii="Times New Roman" w:hAnsi="Times New Roman" w:cs="Times New Roman"/>
          <w:sz w:val="24"/>
          <w:szCs w:val="24"/>
        </w:rPr>
        <w:t xml:space="preserve"> a)</w:t>
      </w:r>
      <w:r w:rsidR="00E5443A" w:rsidRPr="009F185B">
        <w:rPr>
          <w:rFonts w:ascii="Times New Roman" w:hAnsi="Times New Roman" w:cs="Times New Roman"/>
          <w:sz w:val="24"/>
          <w:szCs w:val="24"/>
        </w:rPr>
        <w:t xml:space="preserve"> </w:t>
      </w:r>
      <w:r w:rsidR="003E429B" w:rsidRPr="009F185B">
        <w:rPr>
          <w:rFonts w:ascii="Times New Roman" w:hAnsi="Times New Roman" w:cs="Times New Roman"/>
          <w:sz w:val="24"/>
          <w:szCs w:val="24"/>
        </w:rPr>
        <w:t xml:space="preserve">disclosure of </w:t>
      </w:r>
      <w:r w:rsidR="00E5443A" w:rsidRPr="009F185B">
        <w:rPr>
          <w:rFonts w:ascii="Times New Roman" w:hAnsi="Times New Roman" w:cs="Times New Roman"/>
          <w:sz w:val="24"/>
          <w:szCs w:val="24"/>
        </w:rPr>
        <w:t>international rates</w:t>
      </w:r>
      <w:r w:rsidRPr="009F185B">
        <w:rPr>
          <w:rFonts w:ascii="Times New Roman" w:hAnsi="Times New Roman" w:cs="Times New Roman"/>
          <w:sz w:val="24"/>
          <w:szCs w:val="24"/>
        </w:rPr>
        <w:t>, their proposed solutions were not unanimous</w:t>
      </w:r>
      <w:r w:rsidR="00AE7556" w:rsidRPr="009F185B">
        <w:rPr>
          <w:rFonts w:ascii="Times New Roman" w:hAnsi="Times New Roman" w:cs="Times New Roman"/>
          <w:sz w:val="24"/>
          <w:szCs w:val="24"/>
        </w:rPr>
        <w:t>.</w:t>
      </w:r>
      <w:r w:rsidR="00E5443A" w:rsidRPr="009F185B">
        <w:rPr>
          <w:rFonts w:ascii="Times New Roman" w:hAnsi="Times New Roman" w:cs="Times New Roman"/>
          <w:sz w:val="24"/>
          <w:szCs w:val="24"/>
        </w:rPr>
        <w:t xml:space="preserve"> </w:t>
      </w:r>
      <w:r w:rsidR="00AE7556" w:rsidRPr="009F185B">
        <w:rPr>
          <w:rFonts w:ascii="Times New Roman" w:hAnsi="Times New Roman" w:cs="Times New Roman"/>
          <w:sz w:val="24"/>
          <w:szCs w:val="24"/>
        </w:rPr>
        <w:t>Staf</w:t>
      </w:r>
      <w:r w:rsidR="000874C3" w:rsidRPr="009F185B">
        <w:rPr>
          <w:rFonts w:ascii="Times New Roman" w:hAnsi="Times New Roman" w:cs="Times New Roman"/>
          <w:sz w:val="24"/>
          <w:szCs w:val="24"/>
        </w:rPr>
        <w:t>f has</w:t>
      </w:r>
      <w:r w:rsidR="00E5443A" w:rsidRPr="009F185B">
        <w:rPr>
          <w:rFonts w:ascii="Times New Roman" w:hAnsi="Times New Roman" w:cs="Times New Roman"/>
          <w:sz w:val="24"/>
          <w:szCs w:val="24"/>
        </w:rPr>
        <w:t xml:space="preserve"> therefore</w:t>
      </w:r>
      <w:r w:rsidR="000874C3" w:rsidRPr="009F185B">
        <w:rPr>
          <w:rFonts w:ascii="Times New Roman" w:hAnsi="Times New Roman" w:cs="Times New Roman"/>
          <w:sz w:val="24"/>
          <w:szCs w:val="24"/>
        </w:rPr>
        <w:t xml:space="preserve"> developed a </w:t>
      </w:r>
      <w:r w:rsidR="00E5443A" w:rsidRPr="009F185B">
        <w:rPr>
          <w:rFonts w:ascii="Times New Roman" w:hAnsi="Times New Roman" w:cs="Times New Roman"/>
          <w:sz w:val="24"/>
          <w:szCs w:val="24"/>
        </w:rPr>
        <w:t xml:space="preserve">consensus </w:t>
      </w:r>
      <w:r w:rsidR="000874C3" w:rsidRPr="009F185B">
        <w:rPr>
          <w:rFonts w:ascii="Times New Roman" w:hAnsi="Times New Roman" w:cs="Times New Roman"/>
          <w:sz w:val="24"/>
          <w:szCs w:val="24"/>
        </w:rPr>
        <w:t>solution</w:t>
      </w:r>
      <w:r w:rsidR="00E5443A" w:rsidRPr="009F185B">
        <w:rPr>
          <w:rFonts w:ascii="Times New Roman" w:hAnsi="Times New Roman" w:cs="Times New Roman"/>
          <w:sz w:val="24"/>
          <w:szCs w:val="24"/>
        </w:rPr>
        <w:t xml:space="preserve"> that</w:t>
      </w:r>
      <w:r w:rsidR="00AE7556" w:rsidRPr="009F185B">
        <w:rPr>
          <w:rFonts w:ascii="Times New Roman" w:hAnsi="Times New Roman" w:cs="Times New Roman"/>
          <w:sz w:val="24"/>
          <w:szCs w:val="24"/>
        </w:rPr>
        <w:t xml:space="preserve"> is consistent with </w:t>
      </w:r>
      <w:r w:rsidR="003E429B" w:rsidRPr="009F185B">
        <w:rPr>
          <w:rFonts w:ascii="Times New Roman" w:hAnsi="Times New Roman" w:cs="Times New Roman"/>
          <w:sz w:val="24"/>
          <w:szCs w:val="24"/>
        </w:rPr>
        <w:t>both</w:t>
      </w:r>
      <w:r w:rsidR="00AE7556" w:rsidRPr="009F1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556" w:rsidRPr="009F185B">
        <w:rPr>
          <w:rFonts w:ascii="Times New Roman" w:hAnsi="Times New Roman" w:cs="Times New Roman"/>
          <w:sz w:val="24"/>
          <w:szCs w:val="24"/>
        </w:rPr>
        <w:t>commenters</w:t>
      </w:r>
      <w:proofErr w:type="spellEnd"/>
      <w:r w:rsidR="00E5443A" w:rsidRPr="009F185B">
        <w:rPr>
          <w:rFonts w:ascii="Times New Roman" w:hAnsi="Times New Roman" w:cs="Times New Roman"/>
          <w:sz w:val="24"/>
          <w:szCs w:val="24"/>
        </w:rPr>
        <w:t>’</w:t>
      </w:r>
      <w:r w:rsidR="00AE7556" w:rsidRPr="009F185B">
        <w:rPr>
          <w:rFonts w:ascii="Times New Roman" w:hAnsi="Times New Roman" w:cs="Times New Roman"/>
          <w:sz w:val="24"/>
          <w:szCs w:val="24"/>
        </w:rPr>
        <w:t xml:space="preserve"> </w:t>
      </w:r>
      <w:r w:rsidR="00E5443A" w:rsidRPr="009F185B">
        <w:rPr>
          <w:rFonts w:ascii="Times New Roman" w:hAnsi="Times New Roman" w:cs="Times New Roman"/>
          <w:sz w:val="24"/>
          <w:szCs w:val="24"/>
        </w:rPr>
        <w:t>suggestions regarding the disclosure of international rates.</w:t>
      </w:r>
    </w:p>
    <w:p w:rsidR="00E5443A" w:rsidRPr="009F185B" w:rsidRDefault="00E5443A" w:rsidP="002553FA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556" w:rsidRPr="009F185B" w:rsidRDefault="00AE7556" w:rsidP="002553FA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 xml:space="preserve">Staff </w:t>
      </w:r>
      <w:r w:rsidR="00E5443A" w:rsidRPr="009F185B">
        <w:rPr>
          <w:rFonts w:ascii="Times New Roman" w:hAnsi="Times New Roman" w:cs="Times New Roman"/>
          <w:sz w:val="24"/>
          <w:szCs w:val="24"/>
        </w:rPr>
        <w:t xml:space="preserve">contacted </w:t>
      </w:r>
      <w:r w:rsidR="00FF08E4" w:rsidRPr="009F185B">
        <w:rPr>
          <w:rFonts w:ascii="Times New Roman" w:hAnsi="Times New Roman" w:cs="Times New Roman"/>
          <w:sz w:val="24"/>
          <w:szCs w:val="24"/>
        </w:rPr>
        <w:t>the representatives of</w:t>
      </w:r>
      <w:r w:rsidRPr="009F185B">
        <w:rPr>
          <w:rFonts w:ascii="Times New Roman" w:hAnsi="Times New Roman" w:cs="Times New Roman"/>
          <w:sz w:val="24"/>
          <w:szCs w:val="24"/>
        </w:rPr>
        <w:t xml:space="preserve"> Verizon-MCI and AT&amp;T to </w:t>
      </w:r>
      <w:r w:rsidR="00E5443A" w:rsidRPr="009F185B">
        <w:rPr>
          <w:rFonts w:ascii="Times New Roman" w:hAnsi="Times New Roman" w:cs="Times New Roman"/>
          <w:sz w:val="24"/>
          <w:szCs w:val="24"/>
        </w:rPr>
        <w:t>discuss this</w:t>
      </w:r>
      <w:r w:rsidRPr="009F185B">
        <w:rPr>
          <w:rFonts w:ascii="Times New Roman" w:hAnsi="Times New Roman" w:cs="Times New Roman"/>
          <w:sz w:val="24"/>
          <w:szCs w:val="24"/>
        </w:rPr>
        <w:t xml:space="preserve"> consensus approach</w:t>
      </w:r>
      <w:r w:rsidR="00D1029C" w:rsidRPr="009F185B">
        <w:rPr>
          <w:rFonts w:ascii="Times New Roman" w:hAnsi="Times New Roman" w:cs="Times New Roman"/>
          <w:sz w:val="24"/>
          <w:szCs w:val="24"/>
        </w:rPr>
        <w:t xml:space="preserve"> (included as </w:t>
      </w:r>
      <w:r w:rsidR="00D1029C" w:rsidRPr="009F185B">
        <w:rPr>
          <w:rFonts w:ascii="Times New Roman" w:hAnsi="Times New Roman" w:cs="Times New Roman"/>
          <w:i/>
          <w:sz w:val="24"/>
          <w:szCs w:val="24"/>
        </w:rPr>
        <w:t>Attachment 3</w:t>
      </w:r>
      <w:r w:rsidR="00D1029C" w:rsidRPr="009F185B">
        <w:rPr>
          <w:rFonts w:ascii="Times New Roman" w:hAnsi="Times New Roman" w:cs="Times New Roman"/>
          <w:sz w:val="24"/>
          <w:szCs w:val="24"/>
        </w:rPr>
        <w:t>)</w:t>
      </w:r>
      <w:r w:rsidRPr="009F185B">
        <w:rPr>
          <w:rFonts w:ascii="Times New Roman" w:hAnsi="Times New Roman" w:cs="Times New Roman"/>
          <w:sz w:val="24"/>
          <w:szCs w:val="24"/>
        </w:rPr>
        <w:t xml:space="preserve"> </w:t>
      </w:r>
      <w:r w:rsidR="00E5443A" w:rsidRPr="009F185B">
        <w:rPr>
          <w:rFonts w:ascii="Times New Roman" w:hAnsi="Times New Roman" w:cs="Times New Roman"/>
          <w:sz w:val="24"/>
          <w:szCs w:val="24"/>
        </w:rPr>
        <w:t xml:space="preserve">and all parties agree that the clarification is consistent with </w:t>
      </w:r>
      <w:r w:rsidRPr="009F185B">
        <w:rPr>
          <w:rFonts w:ascii="Times New Roman" w:hAnsi="Times New Roman" w:cs="Times New Roman"/>
          <w:sz w:val="24"/>
          <w:szCs w:val="24"/>
        </w:rPr>
        <w:t>the proposed rule’s intent</w:t>
      </w:r>
      <w:r w:rsidR="003E429B" w:rsidRPr="009F185B">
        <w:rPr>
          <w:rFonts w:ascii="Times New Roman" w:hAnsi="Times New Roman" w:cs="Times New Roman"/>
          <w:sz w:val="24"/>
          <w:szCs w:val="24"/>
        </w:rPr>
        <w:t xml:space="preserve"> of providing effective disclosure.</w:t>
      </w:r>
    </w:p>
    <w:p w:rsidR="00AE7556" w:rsidRPr="009F185B" w:rsidRDefault="00AE7556" w:rsidP="002553FA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556" w:rsidRPr="009F185B" w:rsidRDefault="003E429B" w:rsidP="002553FA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>R</w:t>
      </w:r>
      <w:r w:rsidR="00AE7556" w:rsidRPr="009F185B">
        <w:rPr>
          <w:rFonts w:ascii="Times New Roman" w:hAnsi="Times New Roman" w:cs="Times New Roman"/>
          <w:sz w:val="24"/>
          <w:szCs w:val="24"/>
        </w:rPr>
        <w:t>egarding</w:t>
      </w:r>
      <w:r w:rsidRPr="009F185B">
        <w:rPr>
          <w:rFonts w:ascii="Times New Roman" w:hAnsi="Times New Roman" w:cs="Times New Roman"/>
          <w:sz w:val="24"/>
          <w:szCs w:val="24"/>
        </w:rPr>
        <w:t xml:space="preserve"> the clarification requested in</w:t>
      </w:r>
      <w:r w:rsidR="00AE7556" w:rsidRPr="009F185B">
        <w:rPr>
          <w:rFonts w:ascii="Times New Roman" w:hAnsi="Times New Roman" w:cs="Times New Roman"/>
          <w:sz w:val="24"/>
          <w:szCs w:val="24"/>
        </w:rPr>
        <w:t xml:space="preserve"> b) above</w:t>
      </w:r>
      <w:r w:rsidRPr="009F185B">
        <w:rPr>
          <w:rFonts w:ascii="Times New Roman" w:hAnsi="Times New Roman" w:cs="Times New Roman"/>
          <w:sz w:val="24"/>
          <w:szCs w:val="24"/>
        </w:rPr>
        <w:t>, Staff’s recommendation</w:t>
      </w:r>
      <w:r w:rsidR="00AE7556" w:rsidRPr="009F185B">
        <w:rPr>
          <w:rFonts w:ascii="Times New Roman" w:hAnsi="Times New Roman" w:cs="Times New Roman"/>
          <w:sz w:val="24"/>
          <w:szCs w:val="24"/>
        </w:rPr>
        <w:t xml:space="preserve"> is to leave the word “service” in place and not changing the word to “card” because the rule was intended to en</w:t>
      </w:r>
      <w:r w:rsidRPr="009F185B">
        <w:rPr>
          <w:rFonts w:ascii="Times New Roman" w:hAnsi="Times New Roman" w:cs="Times New Roman"/>
          <w:sz w:val="24"/>
          <w:szCs w:val="24"/>
        </w:rPr>
        <w:t>compass more than just prepaid services provided via a “card.”</w:t>
      </w:r>
    </w:p>
    <w:p w:rsidR="002553FA" w:rsidRDefault="002553FA" w:rsidP="002553FA">
      <w:pPr>
        <w:spacing w:line="264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185B" w:rsidRPr="009F185B" w:rsidRDefault="009F185B" w:rsidP="002553FA">
      <w:pPr>
        <w:spacing w:line="264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3FA" w:rsidRPr="009F185B" w:rsidRDefault="002553FA" w:rsidP="002553FA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b/>
          <w:sz w:val="24"/>
          <w:szCs w:val="24"/>
          <w:u w:val="single"/>
        </w:rPr>
        <w:t>SUMMARY</w:t>
      </w:r>
      <w:r w:rsidRPr="009F185B">
        <w:rPr>
          <w:rFonts w:ascii="Times New Roman" w:hAnsi="Times New Roman" w:cs="Times New Roman"/>
          <w:sz w:val="24"/>
          <w:szCs w:val="24"/>
        </w:rPr>
        <w:t>:</w:t>
      </w:r>
    </w:p>
    <w:p w:rsidR="002553FA" w:rsidRPr="009F185B" w:rsidRDefault="002553FA" w:rsidP="002553FA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85B" w:rsidRDefault="002553FA" w:rsidP="000253D6">
      <w:pPr>
        <w:spacing w:line="264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85B">
        <w:rPr>
          <w:rFonts w:ascii="Times New Roman" w:hAnsi="Times New Roman" w:cs="Times New Roman"/>
          <w:sz w:val="24"/>
          <w:szCs w:val="24"/>
        </w:rPr>
        <w:t>The rulemaking team recommends that the</w:t>
      </w:r>
      <w:r w:rsidR="003E429B" w:rsidRPr="009F185B">
        <w:rPr>
          <w:rFonts w:ascii="Times New Roman" w:hAnsi="Times New Roman" w:cs="Times New Roman"/>
          <w:sz w:val="24"/>
          <w:szCs w:val="24"/>
        </w:rPr>
        <w:t xml:space="preserve"> consensus approach included as </w:t>
      </w:r>
      <w:r w:rsidR="003E429B" w:rsidRPr="009F185B">
        <w:rPr>
          <w:rFonts w:ascii="Times New Roman" w:hAnsi="Times New Roman" w:cs="Times New Roman"/>
          <w:i/>
          <w:sz w:val="24"/>
          <w:szCs w:val="24"/>
        </w:rPr>
        <w:t>Attachment 3</w:t>
      </w:r>
      <w:r w:rsidRPr="009F185B">
        <w:rPr>
          <w:rFonts w:ascii="Times New Roman" w:hAnsi="Times New Roman" w:cs="Times New Roman"/>
          <w:sz w:val="24"/>
          <w:szCs w:val="24"/>
        </w:rPr>
        <w:t xml:space="preserve"> </w:t>
      </w:r>
      <w:r w:rsidR="003E429B" w:rsidRPr="009F185B">
        <w:rPr>
          <w:rFonts w:ascii="Times New Roman" w:hAnsi="Times New Roman" w:cs="Times New Roman"/>
          <w:sz w:val="24"/>
          <w:szCs w:val="24"/>
        </w:rPr>
        <w:t>be used in place of the originally proposed subsection WAC 480-120-264(5</w:t>
      </w:r>
      <w:proofErr w:type="gramStart"/>
      <w:r w:rsidR="003E429B" w:rsidRPr="009F185B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3E429B" w:rsidRPr="009F185B">
        <w:rPr>
          <w:rFonts w:ascii="Times New Roman" w:hAnsi="Times New Roman" w:cs="Times New Roman"/>
          <w:sz w:val="24"/>
          <w:szCs w:val="24"/>
        </w:rPr>
        <w:t>d) in the CR-102. Additio</w:t>
      </w:r>
      <w:r w:rsidR="009F185B" w:rsidRPr="009F185B">
        <w:rPr>
          <w:rFonts w:ascii="Times New Roman" w:hAnsi="Times New Roman" w:cs="Times New Roman"/>
          <w:sz w:val="24"/>
          <w:szCs w:val="24"/>
        </w:rPr>
        <w:t xml:space="preserve">nally, the rulemaking team </w:t>
      </w:r>
      <w:r w:rsidR="003E429B" w:rsidRPr="009F185B">
        <w:rPr>
          <w:rFonts w:ascii="Times New Roman" w:hAnsi="Times New Roman" w:cs="Times New Roman"/>
          <w:sz w:val="24"/>
          <w:szCs w:val="24"/>
        </w:rPr>
        <w:t xml:space="preserve">recommends that </w:t>
      </w:r>
      <w:r w:rsidR="009F185B" w:rsidRPr="009F185B">
        <w:rPr>
          <w:rFonts w:ascii="Times New Roman" w:hAnsi="Times New Roman" w:cs="Times New Roman"/>
          <w:sz w:val="24"/>
          <w:szCs w:val="24"/>
        </w:rPr>
        <w:t xml:space="preserve">this proposal </w:t>
      </w:r>
      <w:r w:rsidRPr="009F185B">
        <w:rPr>
          <w:rFonts w:ascii="Times New Roman" w:hAnsi="Times New Roman" w:cs="Times New Roman"/>
          <w:sz w:val="24"/>
          <w:szCs w:val="24"/>
        </w:rPr>
        <w:t>be discussed, approved, and adopted at the Adoption Hearing</w:t>
      </w:r>
      <w:r w:rsidR="002A2FA9">
        <w:rPr>
          <w:rFonts w:ascii="Times New Roman" w:hAnsi="Times New Roman" w:cs="Times New Roman"/>
          <w:sz w:val="24"/>
          <w:szCs w:val="24"/>
        </w:rPr>
        <w:t xml:space="preserve"> </w:t>
      </w:r>
      <w:r w:rsidRPr="009F185B">
        <w:rPr>
          <w:rFonts w:ascii="Times New Roman" w:hAnsi="Times New Roman" w:cs="Times New Roman"/>
          <w:sz w:val="24"/>
          <w:szCs w:val="24"/>
        </w:rPr>
        <w:t>scheduled for June 28, 2010.</w:t>
      </w:r>
    </w:p>
    <w:p w:rsidR="009F185B" w:rsidRDefault="009F185B" w:rsidP="006E4DF3">
      <w:pPr>
        <w:spacing w:line="264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185B" w:rsidRPr="009F185B" w:rsidRDefault="009F185B" w:rsidP="006E4DF3">
      <w:pPr>
        <w:spacing w:line="264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4DF3" w:rsidRPr="009F185B" w:rsidRDefault="006E4DF3" w:rsidP="006E4DF3">
      <w:pPr>
        <w:spacing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185B">
        <w:rPr>
          <w:rFonts w:ascii="Times New Roman" w:hAnsi="Times New Roman" w:cs="Times New Roman"/>
          <w:b/>
          <w:sz w:val="24"/>
          <w:szCs w:val="24"/>
          <w:u w:val="single"/>
        </w:rPr>
        <w:t>ATTACHMENTS</w:t>
      </w:r>
      <w:r w:rsidRPr="009F185B">
        <w:rPr>
          <w:rFonts w:ascii="Times New Roman" w:hAnsi="Times New Roman" w:cs="Times New Roman"/>
          <w:b/>
          <w:sz w:val="24"/>
          <w:szCs w:val="24"/>
        </w:rPr>
        <w:t>:</w:t>
      </w:r>
    </w:p>
    <w:p w:rsidR="006E4DF3" w:rsidRPr="009F185B" w:rsidRDefault="006E4DF3" w:rsidP="006E4DF3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4DF3" w:rsidRPr="009F185B" w:rsidRDefault="006E4DF3" w:rsidP="006E4DF3">
      <w:pPr>
        <w:spacing w:line="264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 xml:space="preserve">Attachment 1 – </w:t>
      </w:r>
      <w:r w:rsidR="009F185B" w:rsidRPr="009F185B">
        <w:rPr>
          <w:rFonts w:ascii="Times New Roman" w:hAnsi="Times New Roman" w:cs="Times New Roman"/>
          <w:sz w:val="24"/>
          <w:szCs w:val="24"/>
        </w:rPr>
        <w:t>Proposed Rule Language from the CR-102</w:t>
      </w:r>
    </w:p>
    <w:p w:rsidR="006E4DF3" w:rsidRPr="009F185B" w:rsidRDefault="006E4DF3" w:rsidP="006E4DF3">
      <w:pPr>
        <w:spacing w:line="264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E4DF3" w:rsidRPr="009F185B" w:rsidRDefault="006E4DF3" w:rsidP="006E4DF3">
      <w:pPr>
        <w:spacing w:line="264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 xml:space="preserve">Attachment 2 </w:t>
      </w:r>
      <w:r w:rsidR="002553FA" w:rsidRPr="009F185B">
        <w:rPr>
          <w:rFonts w:ascii="Times New Roman" w:hAnsi="Times New Roman" w:cs="Times New Roman"/>
          <w:sz w:val="24"/>
          <w:szCs w:val="24"/>
        </w:rPr>
        <w:t>–</w:t>
      </w:r>
      <w:r w:rsidRPr="009F185B">
        <w:rPr>
          <w:rFonts w:ascii="Times New Roman" w:hAnsi="Times New Roman" w:cs="Times New Roman"/>
          <w:sz w:val="24"/>
          <w:szCs w:val="24"/>
        </w:rPr>
        <w:t xml:space="preserve"> </w:t>
      </w:r>
      <w:r w:rsidR="002553FA" w:rsidRPr="009F185B">
        <w:rPr>
          <w:rFonts w:ascii="Times New Roman" w:hAnsi="Times New Roman" w:cs="Times New Roman"/>
          <w:sz w:val="24"/>
          <w:szCs w:val="24"/>
        </w:rPr>
        <w:t xml:space="preserve">Adoption Written </w:t>
      </w:r>
      <w:r w:rsidR="00C213FC" w:rsidRPr="009F185B">
        <w:rPr>
          <w:rFonts w:ascii="Times New Roman" w:hAnsi="Times New Roman" w:cs="Times New Roman"/>
          <w:sz w:val="24"/>
          <w:szCs w:val="24"/>
        </w:rPr>
        <w:t>C</w:t>
      </w:r>
      <w:r w:rsidRPr="009F185B">
        <w:rPr>
          <w:rFonts w:ascii="Times New Roman" w:hAnsi="Times New Roman" w:cs="Times New Roman"/>
          <w:sz w:val="24"/>
          <w:szCs w:val="24"/>
        </w:rPr>
        <w:t xml:space="preserve">omment </w:t>
      </w:r>
      <w:r w:rsidR="00C213FC" w:rsidRPr="009F185B">
        <w:rPr>
          <w:rFonts w:ascii="Times New Roman" w:hAnsi="Times New Roman" w:cs="Times New Roman"/>
          <w:sz w:val="24"/>
          <w:szCs w:val="24"/>
        </w:rPr>
        <w:t>S</w:t>
      </w:r>
      <w:r w:rsidRPr="009F185B">
        <w:rPr>
          <w:rFonts w:ascii="Times New Roman" w:hAnsi="Times New Roman" w:cs="Times New Roman"/>
          <w:sz w:val="24"/>
          <w:szCs w:val="24"/>
        </w:rPr>
        <w:t xml:space="preserve">ummary </w:t>
      </w:r>
      <w:r w:rsidR="00C213FC" w:rsidRPr="009F185B">
        <w:rPr>
          <w:rFonts w:ascii="Times New Roman" w:hAnsi="Times New Roman" w:cs="Times New Roman"/>
          <w:sz w:val="24"/>
          <w:szCs w:val="24"/>
        </w:rPr>
        <w:t>M</w:t>
      </w:r>
      <w:r w:rsidRPr="009F185B">
        <w:rPr>
          <w:rFonts w:ascii="Times New Roman" w:hAnsi="Times New Roman" w:cs="Times New Roman"/>
          <w:sz w:val="24"/>
          <w:szCs w:val="24"/>
        </w:rPr>
        <w:t>atrix</w:t>
      </w:r>
    </w:p>
    <w:p w:rsidR="006E4DF3" w:rsidRPr="009F185B" w:rsidRDefault="006E4DF3" w:rsidP="006E4DF3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85B" w:rsidRPr="009F185B" w:rsidRDefault="009F185B" w:rsidP="006E4DF3">
      <w:pPr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185B">
        <w:rPr>
          <w:rFonts w:ascii="Times New Roman" w:hAnsi="Times New Roman" w:cs="Times New Roman"/>
          <w:sz w:val="24"/>
          <w:szCs w:val="24"/>
        </w:rPr>
        <w:tab/>
        <w:t>Attachment 3 – Consensus Approach Solution for 264(5</w:t>
      </w:r>
      <w:proofErr w:type="gramStart"/>
      <w:r w:rsidRPr="009F185B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9F185B">
        <w:rPr>
          <w:rFonts w:ascii="Times New Roman" w:hAnsi="Times New Roman" w:cs="Times New Roman"/>
          <w:sz w:val="24"/>
          <w:szCs w:val="24"/>
        </w:rPr>
        <w:t>d)</w:t>
      </w:r>
    </w:p>
    <w:sectPr w:rsidR="009F185B" w:rsidRPr="009F185B" w:rsidSect="00B1504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3D6" w:rsidRDefault="000253D6" w:rsidP="00E724A9">
      <w:pPr>
        <w:spacing w:after="0" w:line="240" w:lineRule="auto"/>
      </w:pPr>
      <w:r>
        <w:separator/>
      </w:r>
    </w:p>
  </w:endnote>
  <w:endnote w:type="continuationSeparator" w:id="0">
    <w:p w:rsidR="000253D6" w:rsidRDefault="000253D6" w:rsidP="00E7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D6" w:rsidRPr="002913E5" w:rsidRDefault="000253D6" w:rsidP="002913E5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2913E5">
      <w:rPr>
        <w:rFonts w:ascii="Times New Roman" w:hAnsi="Times New Roman" w:cs="Times New Roman"/>
        <w:sz w:val="24"/>
        <w:szCs w:val="24"/>
      </w:rPr>
      <w:t xml:space="preserve">Page </w:t>
    </w:r>
    <w:r w:rsidRPr="002913E5">
      <w:rPr>
        <w:rFonts w:ascii="Times New Roman" w:hAnsi="Times New Roman" w:cs="Times New Roman"/>
        <w:sz w:val="24"/>
        <w:szCs w:val="24"/>
      </w:rPr>
      <w:fldChar w:fldCharType="begin"/>
    </w:r>
    <w:r w:rsidRPr="002913E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913E5">
      <w:rPr>
        <w:rFonts w:ascii="Times New Roman" w:hAnsi="Times New Roman" w:cs="Times New Roman"/>
        <w:sz w:val="24"/>
        <w:szCs w:val="24"/>
      </w:rPr>
      <w:fldChar w:fldCharType="separate"/>
    </w:r>
    <w:r w:rsidR="002A2FA9">
      <w:rPr>
        <w:rFonts w:ascii="Times New Roman" w:hAnsi="Times New Roman" w:cs="Times New Roman"/>
        <w:noProof/>
        <w:sz w:val="24"/>
        <w:szCs w:val="24"/>
      </w:rPr>
      <w:t>1</w:t>
    </w:r>
    <w:r w:rsidRPr="002913E5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of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3D6" w:rsidRDefault="000253D6" w:rsidP="00E724A9">
      <w:pPr>
        <w:spacing w:after="0" w:line="240" w:lineRule="auto"/>
      </w:pPr>
      <w:r>
        <w:separator/>
      </w:r>
    </w:p>
  </w:footnote>
  <w:footnote w:type="continuationSeparator" w:id="0">
    <w:p w:rsidR="000253D6" w:rsidRDefault="000253D6" w:rsidP="00E7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D6" w:rsidRDefault="000253D6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0874C3">
      <w:rPr>
        <w:rFonts w:ascii="Times New Roman" w:hAnsi="Times New Roman"/>
        <w:sz w:val="24"/>
        <w:szCs w:val="24"/>
      </w:rPr>
      <w:t>Docket UT-100148</w:t>
    </w:r>
  </w:p>
  <w:p w:rsidR="000253D6" w:rsidRPr="000874C3" w:rsidRDefault="000253D6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Hearing Memo</w:t>
    </w:r>
  </w:p>
  <w:p w:rsidR="000253D6" w:rsidRPr="000874C3" w:rsidRDefault="000253D6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June 23</w:t>
    </w:r>
    <w:r w:rsidRPr="000874C3">
      <w:rPr>
        <w:rFonts w:ascii="Times New Roman" w:hAnsi="Times New Roman"/>
        <w:sz w:val="24"/>
        <w:szCs w:val="24"/>
      </w:rPr>
      <w:t>, 2010</w:t>
    </w:r>
  </w:p>
  <w:p w:rsidR="000253D6" w:rsidRDefault="000253D6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  <w:p w:rsidR="000253D6" w:rsidRDefault="000253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7178"/>
    <w:multiLevelType w:val="hybridMultilevel"/>
    <w:tmpl w:val="BECC30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D4AFD"/>
    <w:multiLevelType w:val="hybridMultilevel"/>
    <w:tmpl w:val="FBDCED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EF6E64"/>
    <w:multiLevelType w:val="hybridMultilevel"/>
    <w:tmpl w:val="E97A6D5C"/>
    <w:lvl w:ilvl="0" w:tplc="D2D60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11192E"/>
    <w:multiLevelType w:val="hybridMultilevel"/>
    <w:tmpl w:val="77F2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F66344"/>
    <w:rsid w:val="00022960"/>
    <w:rsid w:val="000253D6"/>
    <w:rsid w:val="00054EDA"/>
    <w:rsid w:val="00066888"/>
    <w:rsid w:val="0007519A"/>
    <w:rsid w:val="000874C3"/>
    <w:rsid w:val="000A4C35"/>
    <w:rsid w:val="000E640C"/>
    <w:rsid w:val="000E6547"/>
    <w:rsid w:val="000F376F"/>
    <w:rsid w:val="001036BE"/>
    <w:rsid w:val="0013740D"/>
    <w:rsid w:val="00140045"/>
    <w:rsid w:val="00191365"/>
    <w:rsid w:val="00191C21"/>
    <w:rsid w:val="001966EF"/>
    <w:rsid w:val="001A4C1A"/>
    <w:rsid w:val="001C5AB1"/>
    <w:rsid w:val="001E7075"/>
    <w:rsid w:val="002033C7"/>
    <w:rsid w:val="0021519D"/>
    <w:rsid w:val="00231D46"/>
    <w:rsid w:val="0023629D"/>
    <w:rsid w:val="002553FA"/>
    <w:rsid w:val="00277738"/>
    <w:rsid w:val="002913E5"/>
    <w:rsid w:val="0029432F"/>
    <w:rsid w:val="002A2FA9"/>
    <w:rsid w:val="002C039A"/>
    <w:rsid w:val="00340758"/>
    <w:rsid w:val="00355ACD"/>
    <w:rsid w:val="00394171"/>
    <w:rsid w:val="003A78CF"/>
    <w:rsid w:val="003E429B"/>
    <w:rsid w:val="004137BA"/>
    <w:rsid w:val="00450B6C"/>
    <w:rsid w:val="00462E83"/>
    <w:rsid w:val="004B0C26"/>
    <w:rsid w:val="004D5D49"/>
    <w:rsid w:val="0051669E"/>
    <w:rsid w:val="00552600"/>
    <w:rsid w:val="005556CA"/>
    <w:rsid w:val="005600B1"/>
    <w:rsid w:val="005A6850"/>
    <w:rsid w:val="005A6C74"/>
    <w:rsid w:val="00604A5B"/>
    <w:rsid w:val="0061313A"/>
    <w:rsid w:val="006338DE"/>
    <w:rsid w:val="0063699B"/>
    <w:rsid w:val="0064762E"/>
    <w:rsid w:val="00672F7B"/>
    <w:rsid w:val="00682714"/>
    <w:rsid w:val="00694050"/>
    <w:rsid w:val="006A41EE"/>
    <w:rsid w:val="006A494A"/>
    <w:rsid w:val="006C3506"/>
    <w:rsid w:val="006E4DF3"/>
    <w:rsid w:val="006F35E1"/>
    <w:rsid w:val="00721BCA"/>
    <w:rsid w:val="007424F4"/>
    <w:rsid w:val="007433A7"/>
    <w:rsid w:val="007461F6"/>
    <w:rsid w:val="007B2210"/>
    <w:rsid w:val="007C4764"/>
    <w:rsid w:val="007D7AC3"/>
    <w:rsid w:val="00806BCB"/>
    <w:rsid w:val="008205CF"/>
    <w:rsid w:val="00832D53"/>
    <w:rsid w:val="008A7E16"/>
    <w:rsid w:val="008B3A5D"/>
    <w:rsid w:val="008F482B"/>
    <w:rsid w:val="0092308B"/>
    <w:rsid w:val="009950E6"/>
    <w:rsid w:val="009F185B"/>
    <w:rsid w:val="00A27FA9"/>
    <w:rsid w:val="00A43197"/>
    <w:rsid w:val="00A53110"/>
    <w:rsid w:val="00A60F60"/>
    <w:rsid w:val="00A84C2A"/>
    <w:rsid w:val="00AA4AD4"/>
    <w:rsid w:val="00AD3312"/>
    <w:rsid w:val="00AE7556"/>
    <w:rsid w:val="00AF2ADB"/>
    <w:rsid w:val="00B00AEA"/>
    <w:rsid w:val="00B13041"/>
    <w:rsid w:val="00B1504E"/>
    <w:rsid w:val="00B33358"/>
    <w:rsid w:val="00B509CB"/>
    <w:rsid w:val="00B77A51"/>
    <w:rsid w:val="00B818E4"/>
    <w:rsid w:val="00BB17B4"/>
    <w:rsid w:val="00BC2CF9"/>
    <w:rsid w:val="00C213FC"/>
    <w:rsid w:val="00C92A61"/>
    <w:rsid w:val="00CC1717"/>
    <w:rsid w:val="00CC73A9"/>
    <w:rsid w:val="00D1029C"/>
    <w:rsid w:val="00D2431F"/>
    <w:rsid w:val="00D43062"/>
    <w:rsid w:val="00DA1B86"/>
    <w:rsid w:val="00DB6677"/>
    <w:rsid w:val="00DD2A47"/>
    <w:rsid w:val="00E02095"/>
    <w:rsid w:val="00E305F4"/>
    <w:rsid w:val="00E5443A"/>
    <w:rsid w:val="00E724A9"/>
    <w:rsid w:val="00EA086C"/>
    <w:rsid w:val="00EA14B3"/>
    <w:rsid w:val="00EA5B35"/>
    <w:rsid w:val="00EA74FE"/>
    <w:rsid w:val="00ED2515"/>
    <w:rsid w:val="00F078BC"/>
    <w:rsid w:val="00F16A30"/>
    <w:rsid w:val="00F21B68"/>
    <w:rsid w:val="00F37FD5"/>
    <w:rsid w:val="00F55317"/>
    <w:rsid w:val="00F56857"/>
    <w:rsid w:val="00F66344"/>
    <w:rsid w:val="00F827E9"/>
    <w:rsid w:val="00F8353D"/>
    <w:rsid w:val="00F9083E"/>
    <w:rsid w:val="00FB0DC6"/>
    <w:rsid w:val="00FF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4A9"/>
  </w:style>
  <w:style w:type="paragraph" w:styleId="Footer">
    <w:name w:val="footer"/>
    <w:basedOn w:val="Normal"/>
    <w:link w:val="FooterChar"/>
    <w:uiPriority w:val="99"/>
    <w:unhideWhenUsed/>
    <w:rsid w:val="00E7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4A9"/>
  </w:style>
  <w:style w:type="paragraph" w:styleId="BalloonText">
    <w:name w:val="Balloon Text"/>
    <w:basedOn w:val="Normal"/>
    <w:link w:val="BalloonTextChar"/>
    <w:uiPriority w:val="99"/>
    <w:semiHidden/>
    <w:unhideWhenUsed/>
    <w:rsid w:val="00E7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32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424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5B281EA4636542A21F2F689EE9299B" ma:contentTypeVersion="131" ma:contentTypeDescription="" ma:contentTypeScope="" ma:versionID="c8646ee5010ffe64730ae702b51106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2010-01-26T08:00:00+00:00</OpenedDate>
    <Date1 xmlns="dc463f71-b30c-4ab2-9473-d307f9d35888">2010-06-23T07:00:00+00:00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100148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C945B8C-E4F6-4A5D-B7A2-4D8238469EEB}"/>
</file>

<file path=customXml/itemProps2.xml><?xml version="1.0" encoding="utf-8"?>
<ds:datastoreItem xmlns:ds="http://schemas.openxmlformats.org/officeDocument/2006/customXml" ds:itemID="{597B6CF2-31CA-4077-A3C4-9D97020F5115}"/>
</file>

<file path=customXml/itemProps3.xml><?xml version="1.0" encoding="utf-8"?>
<ds:datastoreItem xmlns:ds="http://schemas.openxmlformats.org/officeDocument/2006/customXml" ds:itemID="{6FF2F18D-66A2-4C39-80FB-88FA362E96EC}"/>
</file>

<file path=customXml/itemProps4.xml><?xml version="1.0" encoding="utf-8"?>
<ds:datastoreItem xmlns:ds="http://schemas.openxmlformats.org/officeDocument/2006/customXml" ds:itemID="{2A536F15-D373-4522-9834-FC62BE904773}"/>
</file>

<file path=customXml/itemProps5.xml><?xml version="1.0" encoding="utf-8"?>
<ds:datastoreItem xmlns:ds="http://schemas.openxmlformats.org/officeDocument/2006/customXml" ds:itemID="{EFF519E4-1C72-4999-85D7-E3BC1950F1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Zawislak</dc:creator>
  <cp:keywords/>
  <dc:description/>
  <cp:lastModifiedBy>Tim Zawislak</cp:lastModifiedBy>
  <cp:revision>2</cp:revision>
  <cp:lastPrinted>2010-03-23T20:58:00Z</cp:lastPrinted>
  <dcterms:created xsi:type="dcterms:W3CDTF">2010-06-23T21:22:00Z</dcterms:created>
  <dcterms:modified xsi:type="dcterms:W3CDTF">2010-06-23T21:22:00Z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0x0101006E56B4D1795A2E4DB2F0B01679ED314A00215B281EA4636542A21F2F689EE9299B</vt:lpwstr>
  </property>
  <property fmtid="{D5CDD505-2E9C-101B-9397-08002B2CF9AE}" pid="3" name="_docset_NoMedatataSyncRequired">
    <vt:lpwstr>False</vt:lpwstr>
  </property>
</Properties>
</file>