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AE6ED" w14:textId="77777777" w:rsidR="005B0BEE" w:rsidRPr="00073291" w:rsidRDefault="005B0BEE" w:rsidP="005B0BEE">
      <w:pPr>
        <w:pStyle w:val="Address"/>
      </w:pPr>
      <w:bookmarkStart w:id="0" w:name="_BA_ScanRange_Skip_PreScanRange_999998"/>
      <w:bookmarkStart w:id="1" w:name="_GoBack"/>
      <w:bookmarkEnd w:id="1"/>
    </w:p>
    <w:p w14:paraId="1249ED5D" w14:textId="77777777" w:rsidR="005B0BEE" w:rsidRPr="00073291" w:rsidRDefault="005B0BEE" w:rsidP="005B0BEE"/>
    <w:p w14:paraId="3923C567" w14:textId="77777777" w:rsidR="005B0BEE" w:rsidRPr="00073291" w:rsidRDefault="005B0BEE" w:rsidP="005B0BEE">
      <w:pPr>
        <w:jc w:val="center"/>
      </w:pPr>
      <w:r w:rsidRPr="00073291">
        <w:t>BEFORE THE WASHINGTON STATE</w:t>
      </w:r>
    </w:p>
    <w:p w14:paraId="2C58D83C" w14:textId="77777777" w:rsidR="005B0BEE" w:rsidRPr="00073291" w:rsidRDefault="005B0BEE" w:rsidP="005B0BEE">
      <w:pPr>
        <w:jc w:val="center"/>
      </w:pPr>
      <w:r w:rsidRPr="00073291">
        <w:t>UTILITIES AND TRANSPORTATION COMMISSION</w:t>
      </w:r>
    </w:p>
    <w:p w14:paraId="676C4B23" w14:textId="77777777" w:rsidR="005B0BEE" w:rsidRPr="00073291" w:rsidRDefault="005B0BEE" w:rsidP="005B0BEE"/>
    <w:p w14:paraId="408B79A6" w14:textId="77777777" w:rsidR="00950160" w:rsidRPr="00950160" w:rsidRDefault="00950160" w:rsidP="00950160"/>
    <w:tbl>
      <w:tblPr>
        <w:tblW w:w="9363" w:type="dxa"/>
        <w:tblInd w:w="8" w:type="dxa"/>
        <w:tblLayout w:type="fixed"/>
        <w:tblCellMar>
          <w:left w:w="0" w:type="dxa"/>
          <w:right w:w="0" w:type="dxa"/>
        </w:tblCellMar>
        <w:tblLook w:val="0000" w:firstRow="0" w:lastRow="0" w:firstColumn="0" w:lastColumn="0" w:noHBand="0" w:noVBand="0"/>
      </w:tblPr>
      <w:tblGrid>
        <w:gridCol w:w="4492"/>
        <w:gridCol w:w="270"/>
        <w:gridCol w:w="4601"/>
      </w:tblGrid>
      <w:tr w:rsidR="00950160" w:rsidRPr="00950160" w14:paraId="099E3178" w14:textId="77777777" w:rsidTr="00950160">
        <w:tc>
          <w:tcPr>
            <w:tcW w:w="4492" w:type="dxa"/>
            <w:tcBorders>
              <w:bottom w:val="single" w:sz="4" w:space="0" w:color="auto"/>
              <w:right w:val="single" w:sz="4" w:space="0" w:color="auto"/>
            </w:tcBorders>
          </w:tcPr>
          <w:p w14:paraId="41C6996A" w14:textId="77777777" w:rsidR="00950160" w:rsidRPr="00950160" w:rsidRDefault="00950160" w:rsidP="00950160">
            <w:r w:rsidRPr="00950160">
              <w:t>WASHINGTON UTILITES AND TRANSPORTATION COMMISSION,</w:t>
            </w:r>
          </w:p>
          <w:p w14:paraId="7AF8559D" w14:textId="77777777" w:rsidR="00950160" w:rsidRPr="00950160" w:rsidRDefault="00950160" w:rsidP="00950160"/>
          <w:p w14:paraId="23F96DA2" w14:textId="77777777" w:rsidR="00950160" w:rsidRPr="00950160" w:rsidRDefault="00950160" w:rsidP="00950160">
            <w:r w:rsidRPr="00950160">
              <w:t>Complainant,</w:t>
            </w:r>
          </w:p>
          <w:p w14:paraId="32EFB499" w14:textId="77777777" w:rsidR="00950160" w:rsidRPr="00950160" w:rsidRDefault="00950160" w:rsidP="00950160"/>
          <w:p w14:paraId="30F015C5" w14:textId="77777777" w:rsidR="00950160" w:rsidRPr="00950160" w:rsidRDefault="00950160" w:rsidP="00950160">
            <w:r w:rsidRPr="00950160">
              <w:tab/>
              <w:t>v.</w:t>
            </w:r>
          </w:p>
          <w:p w14:paraId="057FE549" w14:textId="77777777" w:rsidR="00950160" w:rsidRPr="00950160" w:rsidRDefault="00950160" w:rsidP="00950160"/>
          <w:p w14:paraId="168BD646" w14:textId="77777777" w:rsidR="00950160" w:rsidRPr="00950160" w:rsidRDefault="00950160" w:rsidP="00950160">
            <w:r w:rsidRPr="00950160">
              <w:t>PUGET SOUND ENERGY,</w:t>
            </w:r>
          </w:p>
          <w:p w14:paraId="0DA7EA1D" w14:textId="77777777" w:rsidR="00950160" w:rsidRPr="00950160" w:rsidRDefault="00950160" w:rsidP="00950160"/>
          <w:p w14:paraId="7DCD143A" w14:textId="77777777" w:rsidR="00950160" w:rsidRPr="00950160" w:rsidRDefault="00950160" w:rsidP="00950160">
            <w:r w:rsidRPr="00950160">
              <w:t>Respondent.</w:t>
            </w:r>
          </w:p>
          <w:p w14:paraId="3F8DF007" w14:textId="77777777" w:rsidR="00950160" w:rsidRPr="00950160" w:rsidRDefault="00950160" w:rsidP="00950160"/>
        </w:tc>
        <w:tc>
          <w:tcPr>
            <w:tcW w:w="270" w:type="dxa"/>
            <w:tcBorders>
              <w:left w:val="single" w:sz="4" w:space="0" w:color="auto"/>
            </w:tcBorders>
          </w:tcPr>
          <w:p w14:paraId="433E193B" w14:textId="77777777" w:rsidR="00950160" w:rsidRPr="00950160" w:rsidRDefault="00950160" w:rsidP="00950160"/>
        </w:tc>
        <w:tc>
          <w:tcPr>
            <w:tcW w:w="4601" w:type="dxa"/>
          </w:tcPr>
          <w:p w14:paraId="405ABA5C" w14:textId="77777777" w:rsidR="00950160" w:rsidRPr="00950160" w:rsidRDefault="00950160" w:rsidP="00950160">
            <w:r w:rsidRPr="00950160">
              <w:t>DOCKET NOS. UE-170033</w:t>
            </w:r>
          </w:p>
          <w:p w14:paraId="73AC31A9" w14:textId="77777777" w:rsidR="00950160" w:rsidRPr="00950160" w:rsidRDefault="00950160" w:rsidP="00950160">
            <w:r w:rsidRPr="00950160">
              <w:t>and UG-170034 (</w:t>
            </w:r>
            <w:r w:rsidRPr="00950160">
              <w:rPr>
                <w:i/>
              </w:rPr>
              <w:t>Consolidated)</w:t>
            </w:r>
          </w:p>
          <w:p w14:paraId="2FFA2338" w14:textId="77777777" w:rsidR="00950160" w:rsidRPr="00950160" w:rsidRDefault="00950160" w:rsidP="00950160"/>
          <w:p w14:paraId="2A25FAE1" w14:textId="77777777" w:rsidR="00950160" w:rsidRPr="00950160" w:rsidRDefault="00950160" w:rsidP="00950160"/>
          <w:p w14:paraId="0E1653EC" w14:textId="77777777" w:rsidR="00950160" w:rsidRPr="00950160" w:rsidRDefault="00950160" w:rsidP="00950160"/>
        </w:tc>
      </w:tr>
    </w:tbl>
    <w:p w14:paraId="14DC8CEE" w14:textId="77777777" w:rsidR="00950160" w:rsidRPr="00950160" w:rsidRDefault="00950160" w:rsidP="00950160"/>
    <w:p w14:paraId="6C17531C" w14:textId="77777777" w:rsidR="004D1603" w:rsidRPr="00073291" w:rsidRDefault="004D1603" w:rsidP="00950160"/>
    <w:p w14:paraId="55DC5268" w14:textId="77777777" w:rsidR="00B87BA1" w:rsidRPr="00073291" w:rsidRDefault="00B87BA1" w:rsidP="00B87BA1"/>
    <w:p w14:paraId="005235BA" w14:textId="77777777" w:rsidR="000F497A" w:rsidRPr="00073291" w:rsidRDefault="000F497A" w:rsidP="000F497A">
      <w:pPr>
        <w:jc w:val="center"/>
      </w:pPr>
      <w:r w:rsidRPr="00073291">
        <w:t>POST-HEARING BRIEF OF</w:t>
      </w:r>
    </w:p>
    <w:p w14:paraId="6CE3E128" w14:textId="77777777" w:rsidR="00950160" w:rsidRDefault="000F497A" w:rsidP="000F497A">
      <w:pPr>
        <w:jc w:val="center"/>
      </w:pPr>
      <w:r w:rsidRPr="00073291">
        <w:t>NW ENERGY COALITION</w:t>
      </w:r>
      <w:r w:rsidR="00950160">
        <w:t>, RENEWABLE NORTHWEST,</w:t>
      </w:r>
    </w:p>
    <w:p w14:paraId="7D41AB66" w14:textId="77777777" w:rsidR="000F497A" w:rsidRPr="00073291" w:rsidRDefault="00950160" w:rsidP="000F497A">
      <w:pPr>
        <w:jc w:val="center"/>
      </w:pPr>
      <w:r>
        <w:t>AND NATURAL RESOURCES DEFENSE COUNCIL</w:t>
      </w:r>
    </w:p>
    <w:p w14:paraId="5B59579F" w14:textId="77777777" w:rsidR="000F497A" w:rsidRPr="00073291" w:rsidRDefault="000F497A" w:rsidP="000F497A">
      <w:pPr>
        <w:jc w:val="center"/>
      </w:pPr>
    </w:p>
    <w:p w14:paraId="0D835A70" w14:textId="77777777" w:rsidR="000F497A" w:rsidRPr="00073291" w:rsidRDefault="000F497A" w:rsidP="000F497A">
      <w:pPr>
        <w:jc w:val="center"/>
      </w:pPr>
    </w:p>
    <w:p w14:paraId="03312ED7" w14:textId="77777777" w:rsidR="000F497A" w:rsidRPr="00073291" w:rsidRDefault="000F497A" w:rsidP="000F497A">
      <w:pPr>
        <w:jc w:val="center"/>
      </w:pPr>
    </w:p>
    <w:p w14:paraId="10DEB1C5" w14:textId="23061CA3" w:rsidR="000F497A" w:rsidRPr="00073291" w:rsidRDefault="00950160" w:rsidP="000F497A">
      <w:pPr>
        <w:jc w:val="center"/>
      </w:pPr>
      <w:r>
        <w:t xml:space="preserve">October </w:t>
      </w:r>
      <w:r w:rsidR="00A47EAB">
        <w:t>16</w:t>
      </w:r>
      <w:r>
        <w:t>, 2017</w:t>
      </w:r>
    </w:p>
    <w:p w14:paraId="4A5686DE" w14:textId="77777777" w:rsidR="00B87BA1" w:rsidRPr="00073291" w:rsidRDefault="00B87BA1" w:rsidP="00B87BA1"/>
    <w:p w14:paraId="7480DB3F" w14:textId="77777777" w:rsidR="00B87BA1" w:rsidRPr="00073291" w:rsidRDefault="00B87BA1" w:rsidP="00B87BA1"/>
    <w:p w14:paraId="0E67EF9C" w14:textId="77777777" w:rsidR="00B87BA1" w:rsidRPr="00073291" w:rsidRDefault="00B87BA1" w:rsidP="00B87BA1">
      <w:pPr>
        <w:sectPr w:rsidR="00B87BA1" w:rsidRPr="00073291">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432" w:gutter="0"/>
          <w:paperSrc w:first="275" w:other="275"/>
          <w:cols w:space="720"/>
        </w:sectPr>
      </w:pPr>
    </w:p>
    <w:p w14:paraId="445FE08E" w14:textId="7AA1FE7D" w:rsidR="00685EAC" w:rsidRDefault="00BB3F86" w:rsidP="00BB3F86">
      <w:pPr>
        <w:jc w:val="center"/>
      </w:pPr>
      <w:r>
        <w:lastRenderedPageBreak/>
        <w:t>TABLE OF CONTENTS</w:t>
      </w:r>
    </w:p>
    <w:p w14:paraId="33ACF267" w14:textId="14B45282" w:rsidR="00580B9D" w:rsidRDefault="00580B9D" w:rsidP="00BB3F86">
      <w:pPr>
        <w:jc w:val="center"/>
      </w:pPr>
    </w:p>
    <w:sdt>
      <w:sdtPr>
        <w:rPr>
          <w:rFonts w:ascii="Times New Roman" w:eastAsia="Times New Roman" w:hAnsi="Times New Roman" w:cs="Times New Roman"/>
          <w:color w:val="auto"/>
          <w:sz w:val="24"/>
          <w:szCs w:val="20"/>
        </w:rPr>
        <w:id w:val="325250811"/>
        <w:docPartObj>
          <w:docPartGallery w:val="Table of Contents"/>
          <w:docPartUnique/>
        </w:docPartObj>
      </w:sdtPr>
      <w:sdtEndPr>
        <w:rPr>
          <w:b/>
          <w:bCs/>
          <w:noProof/>
        </w:rPr>
      </w:sdtEndPr>
      <w:sdtContent>
        <w:p w14:paraId="6DFF9E8B" w14:textId="443EED4E" w:rsidR="00CB3CB3" w:rsidRDefault="00CB3CB3">
          <w:pPr>
            <w:pStyle w:val="TOCHeading"/>
          </w:pPr>
        </w:p>
        <w:p w14:paraId="32B005C1" w14:textId="3F31A972" w:rsidR="00CB3CB3" w:rsidRDefault="00CB3CB3">
          <w:pPr>
            <w:pStyle w:val="TOC1"/>
            <w:rPr>
              <w:rFonts w:asciiTheme="minorHAnsi" w:eastAsiaTheme="minorEastAsia" w:hAnsiTheme="minorHAnsi" w:cstheme="minorBidi"/>
              <w:caps w:val="0"/>
              <w:sz w:val="22"/>
              <w:szCs w:val="22"/>
            </w:rPr>
          </w:pPr>
          <w:r>
            <w:fldChar w:fldCharType="begin"/>
          </w:r>
          <w:r>
            <w:instrText xml:space="preserve"> TOC \o "1-3" \h \z \u </w:instrText>
          </w:r>
          <w:r>
            <w:fldChar w:fldCharType="separate"/>
          </w:r>
          <w:hyperlink w:anchor="_Toc495327157" w:history="1">
            <w:r w:rsidRPr="00E54015">
              <w:rPr>
                <w:rStyle w:val="Hyperlink"/>
              </w:rPr>
              <w:t>introduction</w:t>
            </w:r>
            <w:r>
              <w:rPr>
                <w:webHidden/>
              </w:rPr>
              <w:tab/>
            </w:r>
            <w:r>
              <w:rPr>
                <w:webHidden/>
              </w:rPr>
              <w:fldChar w:fldCharType="begin"/>
            </w:r>
            <w:r>
              <w:rPr>
                <w:webHidden/>
              </w:rPr>
              <w:instrText xml:space="preserve"> PAGEREF _Toc495327157 \h </w:instrText>
            </w:r>
            <w:r>
              <w:rPr>
                <w:webHidden/>
              </w:rPr>
            </w:r>
            <w:r>
              <w:rPr>
                <w:webHidden/>
              </w:rPr>
              <w:fldChar w:fldCharType="separate"/>
            </w:r>
            <w:r w:rsidR="00EA4BAE">
              <w:rPr>
                <w:webHidden/>
              </w:rPr>
              <w:t>1</w:t>
            </w:r>
            <w:r>
              <w:rPr>
                <w:webHidden/>
              </w:rPr>
              <w:fldChar w:fldCharType="end"/>
            </w:r>
          </w:hyperlink>
        </w:p>
        <w:p w14:paraId="25D9892B" w14:textId="53D5084E" w:rsidR="00CB3CB3" w:rsidRDefault="004C632E">
          <w:pPr>
            <w:pStyle w:val="TOC1"/>
            <w:rPr>
              <w:rFonts w:asciiTheme="minorHAnsi" w:eastAsiaTheme="minorEastAsia" w:hAnsiTheme="minorHAnsi" w:cstheme="minorBidi"/>
              <w:caps w:val="0"/>
              <w:sz w:val="22"/>
              <w:szCs w:val="22"/>
            </w:rPr>
          </w:pPr>
          <w:hyperlink w:anchor="_Toc495327158" w:history="1">
            <w:r w:rsidR="00CB3CB3" w:rsidRPr="00E54015">
              <w:rPr>
                <w:rStyle w:val="Hyperlink"/>
              </w:rPr>
              <w:t>argument</w:t>
            </w:r>
            <w:r w:rsidR="00CB3CB3">
              <w:rPr>
                <w:webHidden/>
              </w:rPr>
              <w:tab/>
            </w:r>
            <w:r w:rsidR="00CB3CB3">
              <w:rPr>
                <w:webHidden/>
              </w:rPr>
              <w:fldChar w:fldCharType="begin"/>
            </w:r>
            <w:r w:rsidR="00CB3CB3">
              <w:rPr>
                <w:webHidden/>
              </w:rPr>
              <w:instrText xml:space="preserve"> PAGEREF _Toc495327158 \h </w:instrText>
            </w:r>
            <w:r w:rsidR="00CB3CB3">
              <w:rPr>
                <w:webHidden/>
              </w:rPr>
            </w:r>
            <w:r w:rsidR="00CB3CB3">
              <w:rPr>
                <w:webHidden/>
              </w:rPr>
              <w:fldChar w:fldCharType="separate"/>
            </w:r>
            <w:r w:rsidR="00EA4BAE">
              <w:rPr>
                <w:webHidden/>
              </w:rPr>
              <w:t>3</w:t>
            </w:r>
            <w:r w:rsidR="00CB3CB3">
              <w:rPr>
                <w:webHidden/>
              </w:rPr>
              <w:fldChar w:fldCharType="end"/>
            </w:r>
          </w:hyperlink>
        </w:p>
        <w:p w14:paraId="256FF81C" w14:textId="42850AA1" w:rsidR="00CB3CB3" w:rsidRDefault="004C632E">
          <w:pPr>
            <w:pStyle w:val="TOC2"/>
            <w:rPr>
              <w:rFonts w:asciiTheme="minorHAnsi" w:eastAsiaTheme="minorEastAsia" w:hAnsiTheme="minorHAnsi" w:cstheme="minorBidi"/>
              <w:caps w:val="0"/>
              <w:sz w:val="22"/>
              <w:szCs w:val="22"/>
            </w:rPr>
          </w:pPr>
          <w:hyperlink w:anchor="_Toc495327159" w:history="1">
            <w:r w:rsidR="00CB3CB3" w:rsidRPr="00E54015">
              <w:rPr>
                <w:rStyle w:val="Hyperlink"/>
              </w:rPr>
              <w:t>I.</w:t>
            </w:r>
            <w:r w:rsidR="00CB3CB3">
              <w:rPr>
                <w:rFonts w:asciiTheme="minorHAnsi" w:eastAsiaTheme="minorEastAsia" w:hAnsiTheme="minorHAnsi" w:cstheme="minorBidi"/>
                <w:caps w:val="0"/>
                <w:sz w:val="22"/>
                <w:szCs w:val="22"/>
              </w:rPr>
              <w:tab/>
            </w:r>
            <w:r w:rsidR="00CB3CB3" w:rsidRPr="00E54015">
              <w:rPr>
                <w:rStyle w:val="Hyperlink"/>
              </w:rPr>
              <w:t>THE COMMISSION SHOULD MAKE PSE’s DECOUPLING mechanism PERMANENT.</w:t>
            </w:r>
            <w:r w:rsidR="00CB3CB3">
              <w:rPr>
                <w:webHidden/>
              </w:rPr>
              <w:tab/>
            </w:r>
            <w:r w:rsidR="00CB3CB3">
              <w:rPr>
                <w:webHidden/>
              </w:rPr>
              <w:fldChar w:fldCharType="begin"/>
            </w:r>
            <w:r w:rsidR="00CB3CB3">
              <w:rPr>
                <w:webHidden/>
              </w:rPr>
              <w:instrText xml:space="preserve"> PAGEREF _Toc495327159 \h </w:instrText>
            </w:r>
            <w:r w:rsidR="00CB3CB3">
              <w:rPr>
                <w:webHidden/>
              </w:rPr>
            </w:r>
            <w:r w:rsidR="00CB3CB3">
              <w:rPr>
                <w:webHidden/>
              </w:rPr>
              <w:fldChar w:fldCharType="separate"/>
            </w:r>
            <w:r w:rsidR="00EA4BAE">
              <w:rPr>
                <w:webHidden/>
              </w:rPr>
              <w:t>3</w:t>
            </w:r>
            <w:r w:rsidR="00CB3CB3">
              <w:rPr>
                <w:webHidden/>
              </w:rPr>
              <w:fldChar w:fldCharType="end"/>
            </w:r>
          </w:hyperlink>
        </w:p>
        <w:p w14:paraId="538E1A92" w14:textId="113F4EE2" w:rsidR="00CB3CB3" w:rsidRDefault="004C632E">
          <w:pPr>
            <w:pStyle w:val="TOC3"/>
            <w:tabs>
              <w:tab w:val="left" w:pos="2592"/>
            </w:tabs>
            <w:rPr>
              <w:rFonts w:asciiTheme="minorHAnsi" w:eastAsiaTheme="minorEastAsia" w:hAnsiTheme="minorHAnsi" w:cstheme="minorBidi"/>
              <w:sz w:val="22"/>
              <w:szCs w:val="22"/>
            </w:rPr>
          </w:pPr>
          <w:hyperlink w:anchor="_Toc495327160" w:history="1">
            <w:r w:rsidR="00CB3CB3" w:rsidRPr="00E54015">
              <w:rPr>
                <w:rStyle w:val="Hyperlink"/>
              </w:rPr>
              <w:t>A.</w:t>
            </w:r>
            <w:r w:rsidR="00CB3CB3">
              <w:rPr>
                <w:rFonts w:asciiTheme="minorHAnsi" w:eastAsiaTheme="minorEastAsia" w:hAnsiTheme="minorHAnsi" w:cstheme="minorBidi"/>
                <w:sz w:val="22"/>
                <w:szCs w:val="22"/>
              </w:rPr>
              <w:tab/>
            </w:r>
            <w:r w:rsidR="00CB3CB3" w:rsidRPr="00E54015">
              <w:rPr>
                <w:rStyle w:val="Hyperlink"/>
              </w:rPr>
              <w:t>The Commission’s History and Support for Decoupling.</w:t>
            </w:r>
            <w:r w:rsidR="00CB3CB3">
              <w:rPr>
                <w:webHidden/>
              </w:rPr>
              <w:tab/>
            </w:r>
            <w:r w:rsidR="00CB3CB3">
              <w:rPr>
                <w:webHidden/>
              </w:rPr>
              <w:fldChar w:fldCharType="begin"/>
            </w:r>
            <w:r w:rsidR="00CB3CB3">
              <w:rPr>
                <w:webHidden/>
              </w:rPr>
              <w:instrText xml:space="preserve"> PAGEREF _Toc495327160 \h </w:instrText>
            </w:r>
            <w:r w:rsidR="00CB3CB3">
              <w:rPr>
                <w:webHidden/>
              </w:rPr>
            </w:r>
            <w:r w:rsidR="00CB3CB3">
              <w:rPr>
                <w:webHidden/>
              </w:rPr>
              <w:fldChar w:fldCharType="separate"/>
            </w:r>
            <w:r w:rsidR="00EA4BAE">
              <w:rPr>
                <w:webHidden/>
              </w:rPr>
              <w:t>3</w:t>
            </w:r>
            <w:r w:rsidR="00CB3CB3">
              <w:rPr>
                <w:webHidden/>
              </w:rPr>
              <w:fldChar w:fldCharType="end"/>
            </w:r>
          </w:hyperlink>
        </w:p>
        <w:p w14:paraId="0D9E290F" w14:textId="30C1DF5B" w:rsidR="00CB3CB3" w:rsidRDefault="004C632E">
          <w:pPr>
            <w:pStyle w:val="TOC3"/>
            <w:tabs>
              <w:tab w:val="left" w:pos="2592"/>
            </w:tabs>
            <w:rPr>
              <w:rFonts w:asciiTheme="minorHAnsi" w:eastAsiaTheme="minorEastAsia" w:hAnsiTheme="minorHAnsi" w:cstheme="minorBidi"/>
              <w:sz w:val="22"/>
              <w:szCs w:val="22"/>
            </w:rPr>
          </w:pPr>
          <w:hyperlink w:anchor="_Toc495327161" w:history="1">
            <w:r w:rsidR="00CB3CB3" w:rsidRPr="00E54015">
              <w:rPr>
                <w:rStyle w:val="Hyperlink"/>
              </w:rPr>
              <w:t>B.</w:t>
            </w:r>
            <w:r w:rsidR="00CB3CB3">
              <w:rPr>
                <w:rFonts w:asciiTheme="minorHAnsi" w:eastAsiaTheme="minorEastAsia" w:hAnsiTheme="minorHAnsi" w:cstheme="minorBidi"/>
                <w:sz w:val="22"/>
                <w:szCs w:val="22"/>
              </w:rPr>
              <w:tab/>
            </w:r>
            <w:r w:rsidR="00CB3CB3" w:rsidRPr="00E54015">
              <w:rPr>
                <w:rStyle w:val="Hyperlink"/>
              </w:rPr>
              <w:t>Independent Reviews Concluded that PSE’s Decoupling Mechanism Works as Intended.</w:t>
            </w:r>
            <w:r w:rsidR="00CB3CB3">
              <w:rPr>
                <w:webHidden/>
              </w:rPr>
              <w:tab/>
            </w:r>
            <w:r w:rsidR="00CB3CB3">
              <w:rPr>
                <w:webHidden/>
              </w:rPr>
              <w:fldChar w:fldCharType="begin"/>
            </w:r>
            <w:r w:rsidR="00CB3CB3">
              <w:rPr>
                <w:webHidden/>
              </w:rPr>
              <w:instrText xml:space="preserve"> PAGEREF _Toc495327161 \h </w:instrText>
            </w:r>
            <w:r w:rsidR="00CB3CB3">
              <w:rPr>
                <w:webHidden/>
              </w:rPr>
            </w:r>
            <w:r w:rsidR="00CB3CB3">
              <w:rPr>
                <w:webHidden/>
              </w:rPr>
              <w:fldChar w:fldCharType="separate"/>
            </w:r>
            <w:r w:rsidR="00EA4BAE">
              <w:rPr>
                <w:webHidden/>
              </w:rPr>
              <w:t>5</w:t>
            </w:r>
            <w:r w:rsidR="00CB3CB3">
              <w:rPr>
                <w:webHidden/>
              </w:rPr>
              <w:fldChar w:fldCharType="end"/>
            </w:r>
          </w:hyperlink>
        </w:p>
        <w:p w14:paraId="0799EC02" w14:textId="5DC779BB" w:rsidR="00CB3CB3" w:rsidRDefault="004C632E">
          <w:pPr>
            <w:pStyle w:val="TOC3"/>
            <w:tabs>
              <w:tab w:val="left" w:pos="2592"/>
            </w:tabs>
            <w:rPr>
              <w:rFonts w:asciiTheme="minorHAnsi" w:eastAsiaTheme="minorEastAsia" w:hAnsiTheme="minorHAnsi" w:cstheme="minorBidi"/>
              <w:sz w:val="22"/>
              <w:szCs w:val="22"/>
            </w:rPr>
          </w:pPr>
          <w:hyperlink w:anchor="_Toc495327162" w:history="1">
            <w:r w:rsidR="00CB3CB3" w:rsidRPr="00E54015">
              <w:rPr>
                <w:rStyle w:val="Hyperlink"/>
              </w:rPr>
              <w:t>C.</w:t>
            </w:r>
            <w:r w:rsidR="00CB3CB3">
              <w:rPr>
                <w:rFonts w:asciiTheme="minorHAnsi" w:eastAsiaTheme="minorEastAsia" w:hAnsiTheme="minorHAnsi" w:cstheme="minorBidi"/>
                <w:sz w:val="22"/>
                <w:szCs w:val="22"/>
              </w:rPr>
              <w:tab/>
            </w:r>
            <w:r w:rsidR="00CB3CB3" w:rsidRPr="00E54015">
              <w:rPr>
                <w:rStyle w:val="Hyperlink"/>
              </w:rPr>
              <w:t>The Opponents of Decoupling Provided No Evidence To Substantiate Their Concerns.</w:t>
            </w:r>
            <w:r w:rsidR="00CB3CB3">
              <w:rPr>
                <w:webHidden/>
              </w:rPr>
              <w:tab/>
            </w:r>
            <w:r w:rsidR="00CB3CB3">
              <w:rPr>
                <w:webHidden/>
              </w:rPr>
              <w:fldChar w:fldCharType="begin"/>
            </w:r>
            <w:r w:rsidR="00CB3CB3">
              <w:rPr>
                <w:webHidden/>
              </w:rPr>
              <w:instrText xml:space="preserve"> PAGEREF _Toc495327162 \h </w:instrText>
            </w:r>
            <w:r w:rsidR="00CB3CB3">
              <w:rPr>
                <w:webHidden/>
              </w:rPr>
            </w:r>
            <w:r w:rsidR="00CB3CB3">
              <w:rPr>
                <w:webHidden/>
              </w:rPr>
              <w:fldChar w:fldCharType="separate"/>
            </w:r>
            <w:r w:rsidR="00EA4BAE">
              <w:rPr>
                <w:webHidden/>
              </w:rPr>
              <w:t>6</w:t>
            </w:r>
            <w:r w:rsidR="00CB3CB3">
              <w:rPr>
                <w:webHidden/>
              </w:rPr>
              <w:fldChar w:fldCharType="end"/>
            </w:r>
          </w:hyperlink>
        </w:p>
        <w:p w14:paraId="36FFCE1C" w14:textId="73CE85B0" w:rsidR="00CB3CB3" w:rsidRDefault="004C632E">
          <w:pPr>
            <w:pStyle w:val="TOC2"/>
            <w:rPr>
              <w:rFonts w:asciiTheme="minorHAnsi" w:eastAsiaTheme="minorEastAsia" w:hAnsiTheme="minorHAnsi" w:cstheme="minorBidi"/>
              <w:caps w:val="0"/>
              <w:sz w:val="22"/>
              <w:szCs w:val="22"/>
            </w:rPr>
          </w:pPr>
          <w:hyperlink w:anchor="_Toc495327163" w:history="1">
            <w:r w:rsidR="00CB3CB3" w:rsidRPr="00E54015">
              <w:rPr>
                <w:rStyle w:val="Hyperlink"/>
              </w:rPr>
              <w:t>II.</w:t>
            </w:r>
            <w:r w:rsidR="00CB3CB3">
              <w:rPr>
                <w:rFonts w:asciiTheme="minorHAnsi" w:eastAsiaTheme="minorEastAsia" w:hAnsiTheme="minorHAnsi" w:cstheme="minorBidi"/>
                <w:caps w:val="0"/>
                <w:sz w:val="22"/>
                <w:szCs w:val="22"/>
              </w:rPr>
              <w:tab/>
            </w:r>
            <w:r w:rsidR="00CB3CB3" w:rsidRPr="00E54015">
              <w:rPr>
                <w:rStyle w:val="Hyperlink"/>
              </w:rPr>
              <w:t xml:space="preserve">THE COMMISSION SHOULD REJECT PSE’S AND STAFF’S PROPOSALS TO INCREASE </w:t>
            </w:r>
            <w:r w:rsidR="00D0206C">
              <w:rPr>
                <w:rStyle w:val="Hyperlink"/>
              </w:rPr>
              <w:t xml:space="preserve">BASIC </w:t>
            </w:r>
            <w:r w:rsidR="00860CC2">
              <w:rPr>
                <w:rStyle w:val="Hyperlink"/>
              </w:rPr>
              <w:t>MONTHLY</w:t>
            </w:r>
            <w:r w:rsidR="00CB3CB3" w:rsidRPr="00E54015">
              <w:rPr>
                <w:rStyle w:val="Hyperlink"/>
              </w:rPr>
              <w:t xml:space="preserve"> CUSTOMER CHARGES.</w:t>
            </w:r>
            <w:r w:rsidR="00CB3CB3">
              <w:rPr>
                <w:webHidden/>
              </w:rPr>
              <w:tab/>
            </w:r>
            <w:r w:rsidR="00CB3CB3">
              <w:rPr>
                <w:webHidden/>
              </w:rPr>
              <w:fldChar w:fldCharType="begin"/>
            </w:r>
            <w:r w:rsidR="00CB3CB3">
              <w:rPr>
                <w:webHidden/>
              </w:rPr>
              <w:instrText xml:space="preserve"> PAGEREF _Toc495327163 \h </w:instrText>
            </w:r>
            <w:r w:rsidR="00CB3CB3">
              <w:rPr>
                <w:webHidden/>
              </w:rPr>
            </w:r>
            <w:r w:rsidR="00CB3CB3">
              <w:rPr>
                <w:webHidden/>
              </w:rPr>
              <w:fldChar w:fldCharType="separate"/>
            </w:r>
            <w:r w:rsidR="00EA4BAE">
              <w:rPr>
                <w:webHidden/>
              </w:rPr>
              <w:t>9</w:t>
            </w:r>
            <w:r w:rsidR="00CB3CB3">
              <w:rPr>
                <w:webHidden/>
              </w:rPr>
              <w:fldChar w:fldCharType="end"/>
            </w:r>
          </w:hyperlink>
        </w:p>
        <w:p w14:paraId="0E92E9A8" w14:textId="215769C4" w:rsidR="00CB3CB3" w:rsidRDefault="004C632E">
          <w:pPr>
            <w:pStyle w:val="TOC3"/>
            <w:tabs>
              <w:tab w:val="left" w:pos="2592"/>
            </w:tabs>
            <w:rPr>
              <w:rFonts w:asciiTheme="minorHAnsi" w:eastAsiaTheme="minorEastAsia" w:hAnsiTheme="minorHAnsi" w:cstheme="minorBidi"/>
              <w:sz w:val="22"/>
              <w:szCs w:val="22"/>
            </w:rPr>
          </w:pPr>
          <w:hyperlink w:anchor="_Toc495327164" w:history="1">
            <w:r w:rsidR="00CB3CB3" w:rsidRPr="00E54015">
              <w:rPr>
                <w:rStyle w:val="Hyperlink"/>
              </w:rPr>
              <w:t>A.</w:t>
            </w:r>
            <w:r w:rsidR="00CB3CB3">
              <w:rPr>
                <w:rFonts w:asciiTheme="minorHAnsi" w:eastAsiaTheme="minorEastAsia" w:hAnsiTheme="minorHAnsi" w:cstheme="minorBidi"/>
                <w:sz w:val="22"/>
                <w:szCs w:val="22"/>
              </w:rPr>
              <w:tab/>
            </w:r>
            <w:r w:rsidR="00CB3CB3" w:rsidRPr="00E54015">
              <w:rPr>
                <w:rStyle w:val="Hyperlink"/>
              </w:rPr>
              <w:t xml:space="preserve">PSE and Staff Concede That No Increase in </w:t>
            </w:r>
            <w:r w:rsidR="00860CC2">
              <w:rPr>
                <w:rStyle w:val="Hyperlink"/>
              </w:rPr>
              <w:t>Monthly</w:t>
            </w:r>
            <w:r w:rsidR="00CB3CB3" w:rsidRPr="00E54015">
              <w:rPr>
                <w:rStyle w:val="Hyperlink"/>
              </w:rPr>
              <w:t xml:space="preserve"> Charges Is Necessary If the Commission Adheres To Long-Standing Precedent that Line Transformers Are Not Customer-Related Costs.</w:t>
            </w:r>
            <w:r w:rsidR="00CB3CB3">
              <w:rPr>
                <w:webHidden/>
              </w:rPr>
              <w:tab/>
            </w:r>
            <w:r w:rsidR="00CB3CB3">
              <w:rPr>
                <w:webHidden/>
              </w:rPr>
              <w:fldChar w:fldCharType="begin"/>
            </w:r>
            <w:r w:rsidR="00CB3CB3">
              <w:rPr>
                <w:webHidden/>
              </w:rPr>
              <w:instrText xml:space="preserve"> PAGEREF _Toc495327164 \h </w:instrText>
            </w:r>
            <w:r w:rsidR="00CB3CB3">
              <w:rPr>
                <w:webHidden/>
              </w:rPr>
            </w:r>
            <w:r w:rsidR="00CB3CB3">
              <w:rPr>
                <w:webHidden/>
              </w:rPr>
              <w:fldChar w:fldCharType="separate"/>
            </w:r>
            <w:r w:rsidR="00EA4BAE">
              <w:rPr>
                <w:webHidden/>
              </w:rPr>
              <w:t>9</w:t>
            </w:r>
            <w:r w:rsidR="00CB3CB3">
              <w:rPr>
                <w:webHidden/>
              </w:rPr>
              <w:fldChar w:fldCharType="end"/>
            </w:r>
          </w:hyperlink>
        </w:p>
        <w:p w14:paraId="351A9192" w14:textId="2C085402" w:rsidR="00CB3CB3" w:rsidRDefault="004C632E">
          <w:pPr>
            <w:pStyle w:val="TOC3"/>
            <w:tabs>
              <w:tab w:val="left" w:pos="2592"/>
            </w:tabs>
            <w:rPr>
              <w:rFonts w:asciiTheme="minorHAnsi" w:eastAsiaTheme="minorEastAsia" w:hAnsiTheme="minorHAnsi" w:cstheme="minorBidi"/>
              <w:sz w:val="22"/>
              <w:szCs w:val="22"/>
            </w:rPr>
          </w:pPr>
          <w:hyperlink w:anchor="_Toc495327165" w:history="1">
            <w:r w:rsidR="00CB3CB3" w:rsidRPr="00E54015">
              <w:rPr>
                <w:rStyle w:val="Hyperlink"/>
              </w:rPr>
              <w:t>B.</w:t>
            </w:r>
            <w:r w:rsidR="00CB3CB3">
              <w:rPr>
                <w:rFonts w:asciiTheme="minorHAnsi" w:eastAsiaTheme="minorEastAsia" w:hAnsiTheme="minorHAnsi" w:cstheme="minorBidi"/>
                <w:sz w:val="22"/>
                <w:szCs w:val="22"/>
              </w:rPr>
              <w:tab/>
            </w:r>
            <w:r w:rsidR="00CB3CB3" w:rsidRPr="00E54015">
              <w:rPr>
                <w:rStyle w:val="Hyperlink"/>
              </w:rPr>
              <w:t>PSE and Staff Proposals Would Disproportionately Harm Low-Income Customers and Reduce Customers’ Incentives To Save Energy.</w:t>
            </w:r>
            <w:r w:rsidR="00CB3CB3">
              <w:rPr>
                <w:webHidden/>
              </w:rPr>
              <w:tab/>
            </w:r>
            <w:r w:rsidR="00CB3CB3">
              <w:rPr>
                <w:webHidden/>
              </w:rPr>
              <w:fldChar w:fldCharType="begin"/>
            </w:r>
            <w:r w:rsidR="00CB3CB3">
              <w:rPr>
                <w:webHidden/>
              </w:rPr>
              <w:instrText xml:space="preserve"> PAGEREF _Toc495327165 \h </w:instrText>
            </w:r>
            <w:r w:rsidR="00CB3CB3">
              <w:rPr>
                <w:webHidden/>
              </w:rPr>
            </w:r>
            <w:r w:rsidR="00CB3CB3">
              <w:rPr>
                <w:webHidden/>
              </w:rPr>
              <w:fldChar w:fldCharType="separate"/>
            </w:r>
            <w:r w:rsidR="00EA4BAE">
              <w:rPr>
                <w:webHidden/>
              </w:rPr>
              <w:t>13</w:t>
            </w:r>
            <w:r w:rsidR="00CB3CB3">
              <w:rPr>
                <w:webHidden/>
              </w:rPr>
              <w:fldChar w:fldCharType="end"/>
            </w:r>
          </w:hyperlink>
        </w:p>
        <w:p w14:paraId="574F6913" w14:textId="29C04829" w:rsidR="00CB3CB3" w:rsidRDefault="004C632E">
          <w:pPr>
            <w:pStyle w:val="TOC2"/>
            <w:rPr>
              <w:rFonts w:asciiTheme="minorHAnsi" w:eastAsiaTheme="minorEastAsia" w:hAnsiTheme="minorHAnsi" w:cstheme="minorBidi"/>
              <w:caps w:val="0"/>
              <w:sz w:val="22"/>
              <w:szCs w:val="22"/>
            </w:rPr>
          </w:pPr>
          <w:hyperlink w:anchor="_Toc495327166" w:history="1">
            <w:r w:rsidR="00CB3CB3" w:rsidRPr="00E54015">
              <w:rPr>
                <w:rStyle w:val="Hyperlink"/>
              </w:rPr>
              <w:t>III.</w:t>
            </w:r>
            <w:r w:rsidR="00CB3CB3">
              <w:rPr>
                <w:rFonts w:asciiTheme="minorHAnsi" w:eastAsiaTheme="minorEastAsia" w:hAnsiTheme="minorHAnsi" w:cstheme="minorBidi"/>
                <w:caps w:val="0"/>
                <w:sz w:val="22"/>
                <w:szCs w:val="22"/>
              </w:rPr>
              <w:tab/>
            </w:r>
            <w:r w:rsidR="00CB3CB3" w:rsidRPr="00E54015">
              <w:rPr>
                <w:rStyle w:val="Hyperlink"/>
              </w:rPr>
              <w:t>THE COMMISSION SHOULD REJECT PSE’S PROPOSAL TO INCREASE THE ELECTRIC RATE TEST CAP TO 5%.</w:t>
            </w:r>
            <w:r w:rsidR="00CB3CB3">
              <w:rPr>
                <w:webHidden/>
              </w:rPr>
              <w:tab/>
            </w:r>
            <w:r w:rsidR="00CB3CB3">
              <w:rPr>
                <w:webHidden/>
              </w:rPr>
              <w:fldChar w:fldCharType="begin"/>
            </w:r>
            <w:r w:rsidR="00CB3CB3">
              <w:rPr>
                <w:webHidden/>
              </w:rPr>
              <w:instrText xml:space="preserve"> PAGEREF _Toc495327166 \h </w:instrText>
            </w:r>
            <w:r w:rsidR="00CB3CB3">
              <w:rPr>
                <w:webHidden/>
              </w:rPr>
            </w:r>
            <w:r w:rsidR="00CB3CB3">
              <w:rPr>
                <w:webHidden/>
              </w:rPr>
              <w:fldChar w:fldCharType="separate"/>
            </w:r>
            <w:r w:rsidR="00EA4BAE">
              <w:rPr>
                <w:webHidden/>
              </w:rPr>
              <w:t>14</w:t>
            </w:r>
            <w:r w:rsidR="00CB3CB3">
              <w:rPr>
                <w:webHidden/>
              </w:rPr>
              <w:fldChar w:fldCharType="end"/>
            </w:r>
          </w:hyperlink>
        </w:p>
        <w:p w14:paraId="1C7EF258" w14:textId="048391B2" w:rsidR="00CB3CB3" w:rsidRDefault="004C632E">
          <w:pPr>
            <w:pStyle w:val="TOC2"/>
            <w:rPr>
              <w:rFonts w:asciiTheme="minorHAnsi" w:eastAsiaTheme="minorEastAsia" w:hAnsiTheme="minorHAnsi" w:cstheme="minorBidi"/>
              <w:caps w:val="0"/>
              <w:sz w:val="22"/>
              <w:szCs w:val="22"/>
            </w:rPr>
          </w:pPr>
          <w:hyperlink w:anchor="_Toc495327167" w:history="1">
            <w:r w:rsidR="00CB3CB3" w:rsidRPr="00E54015">
              <w:rPr>
                <w:rStyle w:val="Hyperlink"/>
              </w:rPr>
              <w:t>IV.</w:t>
            </w:r>
            <w:r w:rsidR="00CB3CB3">
              <w:rPr>
                <w:rFonts w:asciiTheme="minorHAnsi" w:eastAsiaTheme="minorEastAsia" w:hAnsiTheme="minorHAnsi" w:cstheme="minorBidi"/>
                <w:caps w:val="0"/>
                <w:sz w:val="22"/>
                <w:szCs w:val="22"/>
              </w:rPr>
              <w:tab/>
            </w:r>
            <w:r w:rsidR="00CB3CB3" w:rsidRPr="00E54015">
              <w:rPr>
                <w:rStyle w:val="Hyperlink"/>
              </w:rPr>
              <w:t>THE COMMISSION SHOULD CONVENE A TECHNICAL WORKSHOP ON THREE-TIER RATE DESIGN.</w:t>
            </w:r>
            <w:r w:rsidR="00CB3CB3">
              <w:rPr>
                <w:webHidden/>
              </w:rPr>
              <w:tab/>
            </w:r>
            <w:r w:rsidR="00CB3CB3">
              <w:rPr>
                <w:webHidden/>
              </w:rPr>
              <w:fldChar w:fldCharType="begin"/>
            </w:r>
            <w:r w:rsidR="00CB3CB3">
              <w:rPr>
                <w:webHidden/>
              </w:rPr>
              <w:instrText xml:space="preserve"> PAGEREF _Toc495327167 \h </w:instrText>
            </w:r>
            <w:r w:rsidR="00CB3CB3">
              <w:rPr>
                <w:webHidden/>
              </w:rPr>
            </w:r>
            <w:r w:rsidR="00CB3CB3">
              <w:rPr>
                <w:webHidden/>
              </w:rPr>
              <w:fldChar w:fldCharType="separate"/>
            </w:r>
            <w:r w:rsidR="00EA4BAE">
              <w:rPr>
                <w:webHidden/>
              </w:rPr>
              <w:t>16</w:t>
            </w:r>
            <w:r w:rsidR="00CB3CB3">
              <w:rPr>
                <w:webHidden/>
              </w:rPr>
              <w:fldChar w:fldCharType="end"/>
            </w:r>
          </w:hyperlink>
        </w:p>
        <w:p w14:paraId="4D23D7C9" w14:textId="6672B92D" w:rsidR="00CB3CB3" w:rsidRDefault="004C632E">
          <w:pPr>
            <w:pStyle w:val="TOC2"/>
            <w:rPr>
              <w:rFonts w:asciiTheme="minorHAnsi" w:eastAsiaTheme="minorEastAsia" w:hAnsiTheme="minorHAnsi" w:cstheme="minorBidi"/>
              <w:caps w:val="0"/>
              <w:sz w:val="22"/>
              <w:szCs w:val="22"/>
            </w:rPr>
          </w:pPr>
          <w:hyperlink w:anchor="_Toc495327168" w:history="1">
            <w:r w:rsidR="00CB3CB3" w:rsidRPr="00E54015">
              <w:rPr>
                <w:rStyle w:val="Hyperlink"/>
              </w:rPr>
              <w:t>V.</w:t>
            </w:r>
            <w:r w:rsidR="00CB3CB3">
              <w:rPr>
                <w:rFonts w:asciiTheme="minorHAnsi" w:eastAsiaTheme="minorEastAsia" w:hAnsiTheme="minorHAnsi" w:cstheme="minorBidi"/>
                <w:caps w:val="0"/>
                <w:sz w:val="22"/>
                <w:szCs w:val="22"/>
              </w:rPr>
              <w:tab/>
            </w:r>
            <w:r w:rsidR="00CB3CB3" w:rsidRPr="00E54015">
              <w:rPr>
                <w:rStyle w:val="Hyperlink"/>
              </w:rPr>
              <w:t>the commission should approve the multi-party settlement agreement in full.</w:t>
            </w:r>
            <w:r w:rsidR="00CB3CB3">
              <w:rPr>
                <w:webHidden/>
              </w:rPr>
              <w:tab/>
            </w:r>
            <w:r w:rsidR="00CB3CB3">
              <w:rPr>
                <w:webHidden/>
              </w:rPr>
              <w:fldChar w:fldCharType="begin"/>
            </w:r>
            <w:r w:rsidR="00CB3CB3">
              <w:rPr>
                <w:webHidden/>
              </w:rPr>
              <w:instrText xml:space="preserve"> PAGEREF _Toc495327168 \h </w:instrText>
            </w:r>
            <w:r w:rsidR="00CB3CB3">
              <w:rPr>
                <w:webHidden/>
              </w:rPr>
            </w:r>
            <w:r w:rsidR="00CB3CB3">
              <w:rPr>
                <w:webHidden/>
              </w:rPr>
              <w:fldChar w:fldCharType="separate"/>
            </w:r>
            <w:r w:rsidR="00EA4BAE">
              <w:rPr>
                <w:webHidden/>
              </w:rPr>
              <w:t>17</w:t>
            </w:r>
            <w:r w:rsidR="00CB3CB3">
              <w:rPr>
                <w:webHidden/>
              </w:rPr>
              <w:fldChar w:fldCharType="end"/>
            </w:r>
          </w:hyperlink>
        </w:p>
        <w:p w14:paraId="731A0E3C" w14:textId="5011B5C2" w:rsidR="00CB3CB3" w:rsidRDefault="004C632E">
          <w:pPr>
            <w:pStyle w:val="TOC1"/>
            <w:rPr>
              <w:rFonts w:asciiTheme="minorHAnsi" w:eastAsiaTheme="minorEastAsia" w:hAnsiTheme="minorHAnsi" w:cstheme="minorBidi"/>
              <w:caps w:val="0"/>
              <w:sz w:val="22"/>
              <w:szCs w:val="22"/>
            </w:rPr>
          </w:pPr>
          <w:hyperlink w:anchor="_Toc495327169" w:history="1">
            <w:r w:rsidR="00CB3CB3" w:rsidRPr="00E54015">
              <w:rPr>
                <w:rStyle w:val="Hyperlink"/>
              </w:rPr>
              <w:t>conclusion</w:t>
            </w:r>
            <w:r w:rsidR="00CB3CB3">
              <w:rPr>
                <w:webHidden/>
              </w:rPr>
              <w:tab/>
            </w:r>
            <w:r w:rsidR="00CB3CB3">
              <w:rPr>
                <w:webHidden/>
              </w:rPr>
              <w:fldChar w:fldCharType="begin"/>
            </w:r>
            <w:r w:rsidR="00CB3CB3">
              <w:rPr>
                <w:webHidden/>
              </w:rPr>
              <w:instrText xml:space="preserve"> PAGEREF _Toc495327169 \h </w:instrText>
            </w:r>
            <w:r w:rsidR="00CB3CB3">
              <w:rPr>
                <w:webHidden/>
              </w:rPr>
            </w:r>
            <w:r w:rsidR="00CB3CB3">
              <w:rPr>
                <w:webHidden/>
              </w:rPr>
              <w:fldChar w:fldCharType="separate"/>
            </w:r>
            <w:r w:rsidR="00EA4BAE">
              <w:rPr>
                <w:webHidden/>
              </w:rPr>
              <w:t>22</w:t>
            </w:r>
            <w:r w:rsidR="00CB3CB3">
              <w:rPr>
                <w:webHidden/>
              </w:rPr>
              <w:fldChar w:fldCharType="end"/>
            </w:r>
          </w:hyperlink>
        </w:p>
        <w:p w14:paraId="02723109" w14:textId="20CD0CCA" w:rsidR="00CB3CB3" w:rsidRDefault="00CB3CB3">
          <w:r>
            <w:rPr>
              <w:b/>
              <w:bCs/>
              <w:noProof/>
            </w:rPr>
            <w:fldChar w:fldCharType="end"/>
          </w:r>
        </w:p>
      </w:sdtContent>
    </w:sdt>
    <w:p w14:paraId="64CE030A" w14:textId="5CB90702" w:rsidR="00580B9D" w:rsidRDefault="00580B9D" w:rsidP="00BB3F86">
      <w:pPr>
        <w:jc w:val="center"/>
      </w:pPr>
      <w:r>
        <w:br w:type="page"/>
      </w:r>
    </w:p>
    <w:p w14:paraId="414EC173" w14:textId="77777777" w:rsidR="00580B9D" w:rsidRDefault="00580B9D" w:rsidP="00BB3F86">
      <w:pPr>
        <w:jc w:val="center"/>
      </w:pPr>
    </w:p>
    <w:p w14:paraId="0B960865" w14:textId="77777777" w:rsidR="003C08FE" w:rsidRDefault="003C08FE" w:rsidP="003C08FE"/>
    <w:p w14:paraId="7CE0FB25" w14:textId="77777777" w:rsidR="003833F8" w:rsidRDefault="003833F8" w:rsidP="003833F8">
      <w:pPr>
        <w:pStyle w:val="BATOATitle"/>
        <w:rPr>
          <w:bCs/>
          <w:noProof/>
        </w:rPr>
      </w:pPr>
      <w:bookmarkStart w:id="2" w:name="_BA_Bookmark_Marker_FAD85A_0001"/>
      <w:bookmarkStart w:id="3" w:name="_BA_Bookmark_BuildOutput"/>
      <w:r>
        <w:rPr>
          <w:noProof/>
        </w:rPr>
        <w:t>Table of Authorities</w:t>
      </w:r>
    </w:p>
    <w:p w14:paraId="5E0FBF4A" w14:textId="77777777" w:rsidR="003833F8" w:rsidRDefault="003833F8" w:rsidP="003833F8">
      <w:pPr>
        <w:pStyle w:val="BATOAPageHeading"/>
        <w:rPr>
          <w:noProof/>
        </w:rPr>
      </w:pPr>
      <w:r>
        <w:rPr>
          <w:noProof/>
        </w:rPr>
        <w:tab/>
        <w:t>Page(s)</w:t>
      </w:r>
    </w:p>
    <w:p w14:paraId="430D9F49" w14:textId="77777777" w:rsidR="003833F8" w:rsidRDefault="003833F8" w:rsidP="003833F8">
      <w:pPr>
        <w:pStyle w:val="BATOAHeading"/>
        <w:rPr>
          <w:noProof/>
        </w:rPr>
      </w:pPr>
      <w:r>
        <w:rPr>
          <w:noProof/>
        </w:rPr>
        <w:t>Statutes</w:t>
      </w:r>
    </w:p>
    <w:p w14:paraId="17EFDD50" w14:textId="77777777" w:rsidR="007A39BB" w:rsidRDefault="003833F8" w:rsidP="003833F8">
      <w:pPr>
        <w:pStyle w:val="BATOAEntry"/>
        <w:rPr>
          <w:noProof/>
        </w:rPr>
      </w:pPr>
      <w:bookmarkStart w:id="4" w:name="_BA_Auth_000056"/>
      <w:r>
        <w:rPr>
          <w:noProof/>
        </w:rPr>
        <w:t xml:space="preserve">RCW 80.28.010 </w:t>
      </w:r>
      <w:r w:rsidR="007A39BB">
        <w:rPr>
          <w:noProof/>
        </w:rPr>
        <w:tab/>
      </w:r>
      <w:hyperlink w:anchor="_BA_Cite_FAD85A_000057" w:tooltip="Long: RCW 80.28.010 and 81.28.010" w:history="1">
        <w:r w:rsidR="007A39BB">
          <w:rPr>
            <w:noProof/>
          </w:rPr>
          <w:t>21</w:t>
        </w:r>
      </w:hyperlink>
    </w:p>
    <w:p w14:paraId="4F8AD732" w14:textId="77777777" w:rsidR="003833F8" w:rsidRDefault="003833F8" w:rsidP="003833F8">
      <w:pPr>
        <w:pStyle w:val="BATOAEntry"/>
        <w:rPr>
          <w:noProof/>
        </w:rPr>
      </w:pPr>
      <w:bookmarkStart w:id="5" w:name="_BA_Auth_000050"/>
      <w:bookmarkEnd w:id="4"/>
      <w:r>
        <w:rPr>
          <w:noProof/>
        </w:rPr>
        <w:t>RCW 80.28.020(1)</w:t>
      </w:r>
      <w:bookmarkEnd w:id="5"/>
      <w:r>
        <w:rPr>
          <w:noProof/>
        </w:rPr>
        <w:tab/>
      </w:r>
      <w:hyperlink w:anchor="_BA_Cite_FAD85A_000051" w:tooltip="Long: RCW 80.28.020(1)" w:history="1">
        <w:r>
          <w:rPr>
            <w:noProof/>
          </w:rPr>
          <w:t>9</w:t>
        </w:r>
      </w:hyperlink>
    </w:p>
    <w:p w14:paraId="1C6E88E2" w14:textId="04596EC9" w:rsidR="003833F8" w:rsidRDefault="003833F8" w:rsidP="003833F8">
      <w:pPr>
        <w:pStyle w:val="BATOAEntry"/>
        <w:rPr>
          <w:noProof/>
        </w:rPr>
      </w:pPr>
      <w:bookmarkStart w:id="6" w:name="_BA_Auth_000052"/>
      <w:r>
        <w:rPr>
          <w:noProof/>
        </w:rPr>
        <w:t>RCW 80.84.020(2)</w:t>
      </w:r>
      <w:bookmarkEnd w:id="6"/>
      <w:r>
        <w:rPr>
          <w:noProof/>
        </w:rPr>
        <w:tab/>
      </w:r>
      <w:hyperlink w:anchor="_BA_Cite_FAD85A_000053" w:tooltip="Long: RCW 80.84.020(2)" w:history="1">
        <w:r>
          <w:rPr>
            <w:noProof/>
          </w:rPr>
          <w:t>19</w:t>
        </w:r>
      </w:hyperlink>
    </w:p>
    <w:p w14:paraId="75FBBEAD" w14:textId="2FD38A7F" w:rsidR="007A39BB" w:rsidRDefault="007A39BB" w:rsidP="007A39BB">
      <w:pPr>
        <w:pStyle w:val="BATOAEntry"/>
        <w:rPr>
          <w:noProof/>
        </w:rPr>
      </w:pPr>
      <w:r>
        <w:rPr>
          <w:noProof/>
        </w:rPr>
        <w:t>RCW 81.28.010</w:t>
      </w:r>
      <w:r>
        <w:rPr>
          <w:noProof/>
        </w:rPr>
        <w:tab/>
      </w:r>
      <w:hyperlink w:anchor="_BA_Cite_FAD85A_000057" w:tooltip="Long: RCW 80.28.010 and 81.28.010" w:history="1">
        <w:r>
          <w:rPr>
            <w:noProof/>
          </w:rPr>
          <w:t>21</w:t>
        </w:r>
      </w:hyperlink>
    </w:p>
    <w:p w14:paraId="6CBA7173" w14:textId="4D74C600" w:rsidR="007A39BB" w:rsidRDefault="00CF6859" w:rsidP="007A39BB">
      <w:pPr>
        <w:pStyle w:val="BATOAHeading"/>
        <w:rPr>
          <w:noProof/>
        </w:rPr>
      </w:pPr>
      <w:r>
        <w:rPr>
          <w:noProof/>
        </w:rPr>
        <w:t>Commission proceedings</w:t>
      </w:r>
      <w:bookmarkStart w:id="7" w:name="_BA_Auth_000028"/>
    </w:p>
    <w:p w14:paraId="222BC5FE" w14:textId="77777777" w:rsidR="00AA0EAA" w:rsidRDefault="00AA0EAA" w:rsidP="00AA0EAA">
      <w:pPr>
        <w:pStyle w:val="BATOAEntry"/>
        <w:rPr>
          <w:noProof/>
        </w:rPr>
      </w:pPr>
      <w:bookmarkStart w:id="8" w:name="_BA_Auth_000042"/>
      <w:bookmarkStart w:id="9" w:name="_BA_Auth_000016"/>
      <w:r>
        <w:rPr>
          <w:noProof/>
        </w:rPr>
        <w:t>Docket No. UE-892688-T, Third Supp. Order (Jan. 17, 1990)</w:t>
      </w:r>
      <w:bookmarkEnd w:id="8"/>
      <w:r>
        <w:rPr>
          <w:noProof/>
        </w:rPr>
        <w:tab/>
      </w:r>
      <w:hyperlink w:anchor="_BA_Cite_FAD85A_000043" w:tooltip="Long: Docket No. UE-892688-T, Third Supp. Order at p. 71 (Jan. 1…" w:history="1">
        <w:r>
          <w:rPr>
            <w:noProof/>
          </w:rPr>
          <w:t>11</w:t>
        </w:r>
      </w:hyperlink>
    </w:p>
    <w:p w14:paraId="0457725A" w14:textId="77777777" w:rsidR="00AA0EAA" w:rsidRDefault="00AA0EAA" w:rsidP="00AA0EAA">
      <w:pPr>
        <w:pStyle w:val="BATOAEntry"/>
        <w:rPr>
          <w:noProof/>
        </w:rPr>
      </w:pPr>
      <w:bookmarkStart w:id="10" w:name="_BA_Auth_000021"/>
      <w:bookmarkStart w:id="11" w:name="_BA_Auth_000040"/>
      <w:r>
        <w:rPr>
          <w:noProof/>
        </w:rPr>
        <w:t>Docket No. UE-901183-T, Third Supp. Order (Apr. 10, 1991)</w:t>
      </w:r>
      <w:bookmarkEnd w:id="10"/>
      <w:r>
        <w:rPr>
          <w:noProof/>
        </w:rPr>
        <w:tab/>
      </w:r>
      <w:hyperlink w:anchor="_BA_Cite_FAD85A_000022" w:tooltip="Long: PSE" w:history="1">
        <w:r>
          <w:rPr>
            <w:noProof/>
          </w:rPr>
          <w:t>3</w:t>
        </w:r>
      </w:hyperlink>
    </w:p>
    <w:p w14:paraId="29CA8857" w14:textId="1BACFF42" w:rsidR="00AA0EAA" w:rsidRDefault="00AA0EAA" w:rsidP="00AA0EAA">
      <w:pPr>
        <w:pStyle w:val="BATOAEntry"/>
        <w:rPr>
          <w:noProof/>
        </w:rPr>
      </w:pPr>
      <w:r>
        <w:rPr>
          <w:noProof/>
        </w:rPr>
        <w:t>Docket No. UE-920499, Ninth Supp. Order on Rate Design (August 17, 1993)</w:t>
      </w:r>
      <w:bookmarkEnd w:id="11"/>
      <w:r>
        <w:rPr>
          <w:noProof/>
        </w:rPr>
        <w:tab/>
      </w:r>
      <w:hyperlink w:anchor="_BA_Cite_FAD85A_000041" w:tooltip="Long: Docket No. UE-920499, Ninth Supp. Order on Rate Design at …" w:history="1">
        <w:r>
          <w:rPr>
            <w:noProof/>
          </w:rPr>
          <w:t>1</w:t>
        </w:r>
      </w:hyperlink>
      <w:r w:rsidR="00823EC4">
        <w:rPr>
          <w:noProof/>
        </w:rPr>
        <w:t>1</w:t>
      </w:r>
      <w:r>
        <w:rPr>
          <w:noProof/>
        </w:rPr>
        <w:t xml:space="preserve">, </w:t>
      </w:r>
      <w:hyperlink w:anchor="_BA_Cite_FAD85A_000045" w:tooltip="Docket No. UE-920499, Ninth Supp. Order on Rate Design at p.11 (…" w:history="1">
        <w:r>
          <w:rPr>
            <w:noProof/>
          </w:rPr>
          <w:t>13</w:t>
        </w:r>
      </w:hyperlink>
    </w:p>
    <w:p w14:paraId="59DD3A6F" w14:textId="77777777" w:rsidR="00AA0EAA" w:rsidRDefault="00AA0EAA" w:rsidP="00AA0EAA">
      <w:pPr>
        <w:pStyle w:val="BATOAEntry"/>
        <w:rPr>
          <w:noProof/>
        </w:rPr>
      </w:pPr>
      <w:bookmarkStart w:id="12" w:name="_BA_Auth_000026"/>
      <w:r>
        <w:rPr>
          <w:noProof/>
        </w:rPr>
        <w:t>Docket No. UE-950618, Third Supp. Order (Sept. 21, 1995)</w:t>
      </w:r>
      <w:bookmarkEnd w:id="12"/>
      <w:r>
        <w:rPr>
          <w:noProof/>
        </w:rPr>
        <w:tab/>
      </w:r>
      <w:hyperlink w:anchor="_BA_Cite_FAD85A_000027" w:tooltip="Long: Docket No. UE-950618, Third Supp. Order at p. 6 (Sept. 21,…" w:history="1">
        <w:r>
          <w:rPr>
            <w:noProof/>
          </w:rPr>
          <w:t>4</w:t>
        </w:r>
      </w:hyperlink>
    </w:p>
    <w:p w14:paraId="4FA6A359" w14:textId="654A2D11" w:rsidR="007A39BB" w:rsidRDefault="007A39BB" w:rsidP="00AA0EAA">
      <w:pPr>
        <w:pStyle w:val="BATOAEntry"/>
        <w:ind w:left="0" w:firstLine="0"/>
        <w:rPr>
          <w:noProof/>
        </w:rPr>
      </w:pPr>
      <w:r>
        <w:rPr>
          <w:noProof/>
        </w:rPr>
        <w:t>Docket No. UE-090704, Order 11</w:t>
      </w:r>
      <w:bookmarkEnd w:id="9"/>
      <w:r w:rsidR="00556E13">
        <w:rPr>
          <w:noProof/>
        </w:rPr>
        <w:t xml:space="preserve"> </w:t>
      </w:r>
      <w:r w:rsidR="00556E13" w:rsidRPr="007B0E66">
        <w:t>(Apr. 2, 2010)</w:t>
      </w:r>
      <w:r>
        <w:rPr>
          <w:noProof/>
        </w:rPr>
        <w:tab/>
      </w:r>
      <w:hyperlink w:anchor="_BA_Cite_FAD85A_000017" w:tooltip="Long: No. UE-090704, Order 11" w:history="1">
        <w:r>
          <w:rPr>
            <w:noProof/>
          </w:rPr>
          <w:t>1</w:t>
        </w:r>
      </w:hyperlink>
      <w:r w:rsidR="00823EC4">
        <w:rPr>
          <w:noProof/>
        </w:rPr>
        <w:t>5</w:t>
      </w:r>
    </w:p>
    <w:p w14:paraId="4EDB4143" w14:textId="78AE3EA8" w:rsidR="003833F8" w:rsidRDefault="003833F8" w:rsidP="003833F8">
      <w:pPr>
        <w:pStyle w:val="BATOAEntry"/>
        <w:rPr>
          <w:noProof/>
        </w:rPr>
      </w:pPr>
      <w:r>
        <w:rPr>
          <w:noProof/>
        </w:rPr>
        <w:t>Docket No. U</w:t>
      </w:r>
      <w:r w:rsidR="007A39BB">
        <w:rPr>
          <w:noProof/>
        </w:rPr>
        <w:t>E</w:t>
      </w:r>
      <w:r>
        <w:rPr>
          <w:noProof/>
        </w:rPr>
        <w:t>-100522, Report and Policy Statement on Regulatory Mechanisms, Including Decoupling, to Encourage Utilities to Meet or Exceed Their Conservation Targets (Nov. 4, 2010)</w:t>
      </w:r>
      <w:bookmarkEnd w:id="7"/>
      <w:r>
        <w:rPr>
          <w:noProof/>
        </w:rPr>
        <w:tab/>
      </w:r>
      <w:hyperlink w:anchor="_BA_Cite_FAD85A_000029" w:tooltip="Long: Docket No. U-100522, Report and Policy Statement on Regula…" w:history="1">
        <w:r>
          <w:rPr>
            <w:noProof/>
          </w:rPr>
          <w:t>4</w:t>
        </w:r>
      </w:hyperlink>
    </w:p>
    <w:p w14:paraId="7FC7AAD4" w14:textId="4D63F977" w:rsidR="007A39BB" w:rsidRDefault="007A39BB" w:rsidP="007A39BB">
      <w:pPr>
        <w:pStyle w:val="BATOAEntry"/>
        <w:rPr>
          <w:noProof/>
        </w:rPr>
      </w:pPr>
      <w:bookmarkStart w:id="13" w:name="_BA_Auth_000010"/>
      <w:r>
        <w:rPr>
          <w:noProof/>
        </w:rPr>
        <w:t>Docket No. UE-111048, Order 08</w:t>
      </w:r>
      <w:bookmarkEnd w:id="13"/>
      <w:r>
        <w:rPr>
          <w:noProof/>
        </w:rPr>
        <w:t xml:space="preserve"> </w:t>
      </w:r>
      <w:r w:rsidRPr="000E2FC3">
        <w:t>(May 7, 2012</w:t>
      </w:r>
      <w:r>
        <w:t>)</w:t>
      </w:r>
      <w:r>
        <w:rPr>
          <w:noProof/>
        </w:rPr>
        <w:tab/>
      </w:r>
      <w:hyperlink w:anchor="_BA_Cite_FAD85A_000011" w:tooltip="Long: No. UE-111048, Order 08" w:history="1">
        <w:r>
          <w:rPr>
            <w:noProof/>
          </w:rPr>
          <w:t>4</w:t>
        </w:r>
      </w:hyperlink>
    </w:p>
    <w:p w14:paraId="4C63799C" w14:textId="26914850" w:rsidR="003833F8" w:rsidRDefault="003833F8" w:rsidP="003833F8">
      <w:pPr>
        <w:pStyle w:val="BATOAEntry"/>
        <w:rPr>
          <w:noProof/>
        </w:rPr>
      </w:pPr>
      <w:bookmarkStart w:id="14" w:name="_BA_Auth_000024"/>
      <w:r>
        <w:rPr>
          <w:noProof/>
        </w:rPr>
        <w:t>Docket No. UE-121697, Order (June 25, 2013)</w:t>
      </w:r>
      <w:bookmarkEnd w:id="14"/>
      <w:r>
        <w:rPr>
          <w:noProof/>
        </w:rPr>
        <w:tab/>
      </w:r>
      <w:hyperlink w:anchor="_BA_Cite_FAD85A_000025" w:tooltip="Long: Docket No. UE-121697, Order at ¶ 81 (June 25, 2013)" w:history="1">
        <w:r>
          <w:rPr>
            <w:noProof/>
          </w:rPr>
          <w:t>passim</w:t>
        </w:r>
      </w:hyperlink>
    </w:p>
    <w:p w14:paraId="6727CC35" w14:textId="3370B094" w:rsidR="00AA0EAA" w:rsidRDefault="00AA0EAA" w:rsidP="00AA0EAA">
      <w:pPr>
        <w:pStyle w:val="BATOAEntry"/>
        <w:rPr>
          <w:noProof/>
        </w:rPr>
      </w:pPr>
      <w:bookmarkStart w:id="15" w:name="_BA_Auth_000048"/>
      <w:bookmarkStart w:id="16" w:name="_BA_Auth_000012"/>
      <w:r>
        <w:rPr>
          <w:noProof/>
        </w:rPr>
        <w:t>Docket No. UE-141368, Order (Jan. 29, 2015)</w:t>
      </w:r>
      <w:bookmarkEnd w:id="15"/>
      <w:r>
        <w:rPr>
          <w:noProof/>
        </w:rPr>
        <w:tab/>
      </w:r>
      <w:r w:rsidR="00823EC4">
        <w:rPr>
          <w:noProof/>
        </w:rPr>
        <w:t xml:space="preserve">2, </w:t>
      </w:r>
      <w:hyperlink w:anchor="_BA_Cite_FAD85A_000049" w:tooltip="Long: Docket No. UE-141368, Order at ¶ 14 (Jan. 29, 2015)" w:history="1">
        <w:r>
          <w:rPr>
            <w:noProof/>
          </w:rPr>
          <w:t>16</w:t>
        </w:r>
      </w:hyperlink>
      <w:r>
        <w:rPr>
          <w:noProof/>
        </w:rPr>
        <w:t xml:space="preserve">, </w:t>
      </w:r>
      <w:hyperlink w:anchor="_BA_Cite_FAD85A_000075" w:tooltip="Id. at 60:5-6" w:history="1">
        <w:r>
          <w:rPr>
            <w:noProof/>
          </w:rPr>
          <w:t>17</w:t>
        </w:r>
      </w:hyperlink>
    </w:p>
    <w:p w14:paraId="2E8FE13B" w14:textId="61848FF4" w:rsidR="007A39BB" w:rsidRDefault="007A39BB" w:rsidP="00AA0EAA">
      <w:pPr>
        <w:pStyle w:val="BATOAEntry"/>
        <w:ind w:left="0" w:firstLine="0"/>
        <w:rPr>
          <w:noProof/>
        </w:rPr>
      </w:pPr>
      <w:r>
        <w:rPr>
          <w:noProof/>
        </w:rPr>
        <w:t>Docket No. UE-140762, Order</w:t>
      </w:r>
      <w:bookmarkEnd w:id="16"/>
      <w:r w:rsidR="003C13AC">
        <w:rPr>
          <w:noProof/>
        </w:rPr>
        <w:t xml:space="preserve"> 08</w:t>
      </w:r>
      <w:r>
        <w:rPr>
          <w:noProof/>
        </w:rPr>
        <w:t xml:space="preserve"> </w:t>
      </w:r>
      <w:r w:rsidRPr="00893D4B">
        <w:t>(Mar. 25, 2015)</w:t>
      </w:r>
      <w:r>
        <w:t>.</w:t>
      </w:r>
      <w:r>
        <w:rPr>
          <w:noProof/>
        </w:rPr>
        <w:tab/>
      </w:r>
      <w:hyperlink w:anchor="_BA_Cite_FAD85A_000013" w:tooltip="Long: No. UE-140762, Order 08" w:history="1">
        <w:r>
          <w:rPr>
            <w:noProof/>
          </w:rPr>
          <w:t>1</w:t>
        </w:r>
      </w:hyperlink>
      <w:r w:rsidR="00823EC4">
        <w:rPr>
          <w:noProof/>
        </w:rPr>
        <w:t>2</w:t>
      </w:r>
      <w:r>
        <w:rPr>
          <w:noProof/>
        </w:rPr>
        <w:t xml:space="preserve">, </w:t>
      </w:r>
      <w:hyperlink w:anchor="_BA_Cite_FAD85A_000015" w:tooltip="No. UE-140762, Order 08" w:history="1">
        <w:r>
          <w:rPr>
            <w:noProof/>
          </w:rPr>
          <w:t>14</w:t>
        </w:r>
      </w:hyperlink>
    </w:p>
    <w:bookmarkEnd w:id="2"/>
    <w:bookmarkEnd w:id="3"/>
    <w:p w14:paraId="49164640" w14:textId="77777777" w:rsidR="00685EAC" w:rsidRPr="00073291" w:rsidRDefault="00685EAC" w:rsidP="00685EAC">
      <w:pPr>
        <w:sectPr w:rsidR="00685EAC" w:rsidRPr="00073291" w:rsidSect="0020046E">
          <w:footerReference w:type="default" r:id="rId17"/>
          <w:pgSz w:w="12240" w:h="15840" w:code="1"/>
          <w:pgMar w:top="1440" w:right="1440" w:bottom="1440" w:left="1440" w:header="720" w:footer="432" w:gutter="0"/>
          <w:paperSrc w:first="275" w:other="275"/>
          <w:pgNumType w:fmt="lowerRoman" w:start="1"/>
          <w:cols w:space="720"/>
        </w:sectPr>
      </w:pPr>
    </w:p>
    <w:p w14:paraId="7691DB6A" w14:textId="77777777" w:rsidR="006C1987" w:rsidRDefault="006C1987" w:rsidP="006C1987">
      <w:pPr>
        <w:pStyle w:val="Heading1"/>
        <w:widowControl/>
        <w:numPr>
          <w:ilvl w:val="0"/>
          <w:numId w:val="13"/>
        </w:numPr>
        <w:tabs>
          <w:tab w:val="left" w:pos="0"/>
        </w:tabs>
      </w:pPr>
      <w:bookmarkStart w:id="17" w:name="_Toc357674219"/>
      <w:bookmarkStart w:id="18" w:name="_Toc495327157"/>
      <w:bookmarkStart w:id="19" w:name="_BA_Bookmark_ScanRange_All"/>
      <w:bookmarkStart w:id="20" w:name="_BA_ScanRange_Temp_All"/>
      <w:bookmarkEnd w:id="0"/>
      <w:r>
        <w:lastRenderedPageBreak/>
        <w:t>introduction</w:t>
      </w:r>
      <w:bookmarkEnd w:id="17"/>
      <w:bookmarkEnd w:id="18"/>
    </w:p>
    <w:p w14:paraId="1AE5B14C" w14:textId="5826A5D4" w:rsidR="00860CDF" w:rsidRDefault="00464C71" w:rsidP="00464C71">
      <w:pPr>
        <w:pStyle w:val="ListParagraph"/>
        <w:numPr>
          <w:ilvl w:val="0"/>
          <w:numId w:val="14"/>
        </w:numPr>
        <w:spacing w:after="0" w:line="480" w:lineRule="auto"/>
        <w:ind w:left="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60CDF">
        <w:rPr>
          <w:rFonts w:ascii="Times New Roman" w:eastAsia="Times New Roman" w:hAnsi="Times New Roman" w:cs="Times New Roman"/>
          <w:sz w:val="24"/>
          <w:szCs w:val="24"/>
        </w:rPr>
        <w:t>NW Energy Coalition, Renewable Northwest, and Natural Resources Defense Council (collectively “NWEC”)</w:t>
      </w:r>
      <w:r w:rsidR="00860CDF" w:rsidRPr="00860CDF">
        <w:rPr>
          <w:rFonts w:ascii="Times New Roman" w:eastAsia="Times New Roman" w:hAnsi="Times New Roman" w:cs="Times New Roman"/>
          <w:sz w:val="24"/>
          <w:szCs w:val="24"/>
        </w:rPr>
        <w:t xml:space="preserve"> </w:t>
      </w:r>
      <w:r w:rsidR="00860CDF">
        <w:rPr>
          <w:rFonts w:ascii="Times New Roman" w:eastAsia="Times New Roman" w:hAnsi="Times New Roman" w:cs="Times New Roman"/>
          <w:sz w:val="24"/>
          <w:szCs w:val="24"/>
        </w:rPr>
        <w:t>respectfully request</w:t>
      </w:r>
      <w:r w:rsidR="00860CDF" w:rsidRPr="00860CDF">
        <w:rPr>
          <w:rFonts w:ascii="Times New Roman" w:eastAsia="Times New Roman" w:hAnsi="Times New Roman" w:cs="Times New Roman"/>
          <w:sz w:val="24"/>
          <w:szCs w:val="24"/>
        </w:rPr>
        <w:t xml:space="preserve"> that the Commission issue an o</w:t>
      </w:r>
      <w:bookmarkStart w:id="21" w:name="_BA_Cite_FAD85A_000098"/>
      <w:bookmarkEnd w:id="21"/>
      <w:r w:rsidR="00860CDF" w:rsidRPr="00860CDF">
        <w:rPr>
          <w:rFonts w:ascii="Times New Roman" w:eastAsia="Times New Roman" w:hAnsi="Times New Roman" w:cs="Times New Roman"/>
          <w:sz w:val="24"/>
          <w:szCs w:val="24"/>
        </w:rPr>
        <w:t xml:space="preserve">rder </w:t>
      </w:r>
      <w:r w:rsidR="00860CDF">
        <w:rPr>
          <w:rFonts w:ascii="Times New Roman" w:eastAsia="Times New Roman" w:hAnsi="Times New Roman" w:cs="Times New Roman"/>
          <w:sz w:val="24"/>
          <w:szCs w:val="24"/>
        </w:rPr>
        <w:t xml:space="preserve">(1) approving Puget Sound Energy’s (“PSE”) request to make decoupling permanent; (2) </w:t>
      </w:r>
      <w:r w:rsidR="00860CDF" w:rsidRPr="00860CDF">
        <w:rPr>
          <w:rFonts w:ascii="Times New Roman" w:eastAsia="Times New Roman" w:hAnsi="Times New Roman" w:cs="Times New Roman"/>
          <w:sz w:val="24"/>
          <w:szCs w:val="24"/>
        </w:rPr>
        <w:t>reject</w:t>
      </w:r>
      <w:r w:rsidR="00860CDF">
        <w:rPr>
          <w:rFonts w:ascii="Times New Roman" w:eastAsia="Times New Roman" w:hAnsi="Times New Roman" w:cs="Times New Roman"/>
          <w:sz w:val="24"/>
          <w:szCs w:val="24"/>
        </w:rPr>
        <w:t>ing</w:t>
      </w:r>
      <w:r w:rsidR="00860CDF" w:rsidRPr="00860CDF">
        <w:rPr>
          <w:rFonts w:ascii="Times New Roman" w:eastAsia="Times New Roman" w:hAnsi="Times New Roman" w:cs="Times New Roman"/>
          <w:sz w:val="24"/>
          <w:szCs w:val="24"/>
        </w:rPr>
        <w:t xml:space="preserve"> proposal</w:t>
      </w:r>
      <w:r w:rsidR="00860CDF">
        <w:rPr>
          <w:rFonts w:ascii="Times New Roman" w:eastAsia="Times New Roman" w:hAnsi="Times New Roman" w:cs="Times New Roman"/>
          <w:sz w:val="24"/>
          <w:szCs w:val="24"/>
        </w:rPr>
        <w:t>s by PSE and Washington Utility and Transportation Commission</w:t>
      </w:r>
      <w:r w:rsidR="00CD1442">
        <w:rPr>
          <w:rFonts w:ascii="Times New Roman" w:eastAsia="Times New Roman" w:hAnsi="Times New Roman" w:cs="Times New Roman"/>
          <w:sz w:val="24"/>
          <w:szCs w:val="24"/>
        </w:rPr>
        <w:t xml:space="preserve"> staff</w:t>
      </w:r>
      <w:r w:rsidR="00860CDF">
        <w:rPr>
          <w:rFonts w:ascii="Times New Roman" w:eastAsia="Times New Roman" w:hAnsi="Times New Roman" w:cs="Times New Roman"/>
          <w:sz w:val="24"/>
          <w:szCs w:val="24"/>
        </w:rPr>
        <w:t xml:space="preserve"> (“Staff”)</w:t>
      </w:r>
      <w:r w:rsidR="00860CDF" w:rsidRPr="00860CDF">
        <w:rPr>
          <w:rFonts w:ascii="Times New Roman" w:eastAsia="Times New Roman" w:hAnsi="Times New Roman" w:cs="Times New Roman"/>
          <w:sz w:val="24"/>
          <w:szCs w:val="24"/>
        </w:rPr>
        <w:t xml:space="preserve"> to increase the basic</w:t>
      </w:r>
      <w:r w:rsidR="00860CC2">
        <w:rPr>
          <w:rFonts w:ascii="Times New Roman" w:eastAsia="Times New Roman" w:hAnsi="Times New Roman" w:cs="Times New Roman"/>
          <w:sz w:val="24"/>
          <w:szCs w:val="24"/>
        </w:rPr>
        <w:t xml:space="preserve"> customer</w:t>
      </w:r>
      <w:r w:rsidR="00860CDF" w:rsidRPr="00860CDF">
        <w:rPr>
          <w:rFonts w:ascii="Times New Roman" w:eastAsia="Times New Roman" w:hAnsi="Times New Roman" w:cs="Times New Roman"/>
          <w:sz w:val="24"/>
          <w:szCs w:val="24"/>
        </w:rPr>
        <w:t xml:space="preserve"> charge </w:t>
      </w:r>
      <w:r w:rsidR="00860CDF">
        <w:rPr>
          <w:rFonts w:ascii="Times New Roman" w:eastAsia="Times New Roman" w:hAnsi="Times New Roman" w:cs="Times New Roman"/>
          <w:sz w:val="24"/>
          <w:szCs w:val="24"/>
        </w:rPr>
        <w:t xml:space="preserve">and impose a new minimum bill; (3) </w:t>
      </w:r>
      <w:r w:rsidR="00860CDF">
        <w:rPr>
          <w:rFonts w:ascii="Times New Roman" w:eastAsia="Times New Roman" w:hAnsi="Times New Roman" w:cs="Times New Roman"/>
          <w:sz w:val="24"/>
          <w:szCs w:val="20"/>
        </w:rPr>
        <w:t>rejecting PSE’s request to increase the soft cap for the electric decoupling mechanism from 3% to 5%; and (4) convening</w:t>
      </w:r>
      <w:r w:rsidR="00860CDF" w:rsidRPr="00860CDF">
        <w:rPr>
          <w:rFonts w:ascii="Times New Roman" w:eastAsia="Times New Roman" w:hAnsi="Times New Roman" w:cs="Times New Roman"/>
          <w:sz w:val="24"/>
          <w:szCs w:val="20"/>
        </w:rPr>
        <w:t xml:space="preserve"> a technical workshop on three-tier rate design for residential electric customers</w:t>
      </w:r>
      <w:r w:rsidR="00860CDF">
        <w:rPr>
          <w:rFonts w:ascii="Times New Roman" w:eastAsia="Times New Roman" w:hAnsi="Times New Roman" w:cs="Times New Roman"/>
          <w:sz w:val="24"/>
          <w:szCs w:val="20"/>
        </w:rPr>
        <w:t xml:space="preserve">.  </w:t>
      </w:r>
      <w:r w:rsidR="000A16F6">
        <w:rPr>
          <w:rFonts w:ascii="Times New Roman" w:eastAsia="Times New Roman" w:hAnsi="Times New Roman" w:cs="Times New Roman"/>
          <w:sz w:val="24"/>
          <w:szCs w:val="20"/>
        </w:rPr>
        <w:t xml:space="preserve">The Commission held a </w:t>
      </w:r>
      <w:r w:rsidR="00CD1442">
        <w:rPr>
          <w:rFonts w:ascii="Times New Roman" w:eastAsia="Times New Roman" w:hAnsi="Times New Roman" w:cs="Times New Roman"/>
          <w:sz w:val="24"/>
          <w:szCs w:val="20"/>
        </w:rPr>
        <w:t xml:space="preserve">contested case </w:t>
      </w:r>
      <w:r w:rsidR="000A16F6">
        <w:rPr>
          <w:rFonts w:ascii="Times New Roman" w:eastAsia="Times New Roman" w:hAnsi="Times New Roman" w:cs="Times New Roman"/>
          <w:sz w:val="24"/>
          <w:szCs w:val="20"/>
        </w:rPr>
        <w:t xml:space="preserve">hearing on these issues on August 30, 2017; </w:t>
      </w:r>
      <w:r w:rsidR="000A16F6">
        <w:rPr>
          <w:rFonts w:ascii="Times New Roman" w:eastAsia="Times New Roman" w:hAnsi="Times New Roman" w:cs="Times New Roman"/>
          <w:sz w:val="24"/>
          <w:szCs w:val="24"/>
        </w:rPr>
        <w:t>s</w:t>
      </w:r>
      <w:r w:rsidR="00860CDF" w:rsidRPr="00860CDF">
        <w:rPr>
          <w:rFonts w:ascii="Times New Roman" w:eastAsia="Times New Roman" w:hAnsi="Times New Roman" w:cs="Times New Roman"/>
          <w:sz w:val="24"/>
          <w:szCs w:val="24"/>
        </w:rPr>
        <w:t>ubstantial evide</w:t>
      </w:r>
      <w:r w:rsidR="00860CDF">
        <w:rPr>
          <w:rFonts w:ascii="Times New Roman" w:eastAsia="Times New Roman" w:hAnsi="Times New Roman" w:cs="Times New Roman"/>
          <w:sz w:val="24"/>
          <w:szCs w:val="24"/>
        </w:rPr>
        <w:t>nce in the record supports each of these requests</w:t>
      </w:r>
      <w:r w:rsidR="00860CDF" w:rsidRPr="00860CDF">
        <w:rPr>
          <w:rFonts w:ascii="Times New Roman" w:eastAsia="Times New Roman" w:hAnsi="Times New Roman" w:cs="Times New Roman"/>
          <w:sz w:val="24"/>
          <w:szCs w:val="24"/>
        </w:rPr>
        <w:t>.</w:t>
      </w:r>
    </w:p>
    <w:p w14:paraId="409E9782" w14:textId="042F3F90" w:rsidR="000A16F6" w:rsidRDefault="00860CDF" w:rsidP="00860CDF">
      <w:pPr>
        <w:pStyle w:val="ListParagraph"/>
        <w:numPr>
          <w:ilvl w:val="0"/>
          <w:numId w:val="14"/>
        </w:numPr>
        <w:spacing w:after="0" w:line="480" w:lineRule="auto"/>
        <w:ind w:left="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w:t>
      </w:r>
      <w:r w:rsidR="000A16F6">
        <w:rPr>
          <w:rFonts w:ascii="Times New Roman" w:eastAsia="Times New Roman" w:hAnsi="Times New Roman" w:cs="Times New Roman"/>
          <w:sz w:val="24"/>
          <w:szCs w:val="24"/>
        </w:rPr>
        <w:t xml:space="preserve">remaining </w:t>
      </w:r>
      <w:r>
        <w:rPr>
          <w:rFonts w:ascii="Times New Roman" w:eastAsia="Times New Roman" w:hAnsi="Times New Roman" w:cs="Times New Roman"/>
          <w:sz w:val="24"/>
          <w:szCs w:val="24"/>
        </w:rPr>
        <w:t>issues initially raised in this case have been proposed for resolution through a multi-party settlement agreement.</w:t>
      </w:r>
      <w:r w:rsidR="00410D5D">
        <w:rPr>
          <w:rFonts w:ascii="Times New Roman" w:eastAsia="Times New Roman" w:hAnsi="Times New Roman" w:cs="Times New Roman"/>
          <w:sz w:val="24"/>
          <w:szCs w:val="24"/>
        </w:rPr>
        <w:t xml:space="preserve">  </w:t>
      </w:r>
      <w:r w:rsidR="00410D5D" w:rsidRPr="00410D5D">
        <w:rPr>
          <w:rFonts w:ascii="Times New Roman" w:eastAsia="Times New Roman" w:hAnsi="Times New Roman" w:cs="Times New Roman"/>
          <w:i/>
          <w:sz w:val="24"/>
          <w:szCs w:val="24"/>
        </w:rPr>
        <w:t>M</w:t>
      </w:r>
      <w:bookmarkStart w:id="22" w:name="_BA_Cite_FAD85A_000009"/>
      <w:bookmarkEnd w:id="22"/>
      <w:r w:rsidR="00410D5D" w:rsidRPr="00410D5D">
        <w:rPr>
          <w:rFonts w:ascii="Times New Roman" w:eastAsia="Times New Roman" w:hAnsi="Times New Roman" w:cs="Times New Roman"/>
          <w:i/>
          <w:sz w:val="24"/>
          <w:szCs w:val="24"/>
        </w:rPr>
        <w:t>ultiparty Settlement and Stipulation Agreement</w:t>
      </w:r>
      <w:r w:rsidR="00410D5D" w:rsidRPr="00410D5D">
        <w:rPr>
          <w:rFonts w:ascii="Times New Roman" w:eastAsia="Times New Roman" w:hAnsi="Times New Roman" w:cs="Times New Roman"/>
          <w:sz w:val="24"/>
          <w:szCs w:val="24"/>
        </w:rPr>
        <w:t xml:space="preserve"> </w:t>
      </w:r>
      <w:r w:rsidR="00410D5D">
        <w:rPr>
          <w:rFonts w:ascii="Times New Roman" w:eastAsia="Times New Roman" w:hAnsi="Times New Roman" w:cs="Times New Roman"/>
          <w:sz w:val="24"/>
          <w:szCs w:val="24"/>
        </w:rPr>
        <w:t>(</w:t>
      </w:r>
      <w:r w:rsidR="00410D5D" w:rsidRPr="00410D5D">
        <w:rPr>
          <w:rFonts w:ascii="Times New Roman" w:eastAsia="Times New Roman" w:hAnsi="Times New Roman" w:cs="Times New Roman"/>
          <w:sz w:val="24"/>
          <w:szCs w:val="24"/>
        </w:rPr>
        <w:t>file</w:t>
      </w:r>
      <w:r w:rsidR="00410D5D">
        <w:rPr>
          <w:rFonts w:ascii="Times New Roman" w:eastAsia="Times New Roman" w:hAnsi="Times New Roman" w:cs="Times New Roman"/>
          <w:sz w:val="24"/>
          <w:szCs w:val="24"/>
        </w:rPr>
        <w:t>d Sept. 15, 2017).</w:t>
      </w:r>
      <w:r w:rsidR="00410D5D" w:rsidRPr="00410D5D">
        <w:rPr>
          <w:rFonts w:ascii="Times New Roman" w:eastAsia="Times New Roman" w:hAnsi="Times New Roman" w:cs="Times New Roman"/>
          <w:sz w:val="24"/>
          <w:szCs w:val="24"/>
        </w:rPr>
        <w:t xml:space="preserve">  </w:t>
      </w:r>
      <w:r w:rsidR="000A16F6">
        <w:rPr>
          <w:rFonts w:ascii="Times New Roman" w:eastAsia="Times New Roman" w:hAnsi="Times New Roman" w:cs="Times New Roman"/>
          <w:sz w:val="24"/>
          <w:szCs w:val="24"/>
        </w:rPr>
        <w:t xml:space="preserve">The Commission held a settlement hearing to address the agreement </w:t>
      </w:r>
      <w:r w:rsidR="00410D5D">
        <w:rPr>
          <w:rFonts w:ascii="Times New Roman" w:eastAsia="Times New Roman" w:hAnsi="Times New Roman" w:cs="Times New Roman"/>
          <w:sz w:val="24"/>
          <w:szCs w:val="24"/>
        </w:rPr>
        <w:t xml:space="preserve">and opposition </w:t>
      </w:r>
      <w:r w:rsidR="001427AB">
        <w:rPr>
          <w:rFonts w:ascii="Times New Roman" w:eastAsia="Times New Roman" w:hAnsi="Times New Roman" w:cs="Times New Roman"/>
          <w:sz w:val="24"/>
          <w:szCs w:val="24"/>
        </w:rPr>
        <w:t xml:space="preserve">by Public Council </w:t>
      </w:r>
      <w:r w:rsidR="000A16F6">
        <w:rPr>
          <w:rFonts w:ascii="Times New Roman" w:eastAsia="Times New Roman" w:hAnsi="Times New Roman" w:cs="Times New Roman"/>
          <w:sz w:val="24"/>
          <w:szCs w:val="24"/>
        </w:rPr>
        <w:t xml:space="preserve">on September 29, 2017; NWEC urges the Commission to approve the </w:t>
      </w:r>
      <w:r w:rsidR="00DB6E40">
        <w:rPr>
          <w:rFonts w:ascii="Times New Roman" w:eastAsia="Times New Roman" w:hAnsi="Times New Roman" w:cs="Times New Roman"/>
          <w:sz w:val="24"/>
          <w:szCs w:val="24"/>
        </w:rPr>
        <w:t>S</w:t>
      </w:r>
      <w:r w:rsidR="000A16F6">
        <w:rPr>
          <w:rFonts w:ascii="Times New Roman" w:eastAsia="Times New Roman" w:hAnsi="Times New Roman" w:cs="Times New Roman"/>
          <w:sz w:val="24"/>
          <w:szCs w:val="24"/>
        </w:rPr>
        <w:t>ettlement in full.</w:t>
      </w:r>
    </w:p>
    <w:p w14:paraId="12488C8C" w14:textId="5ED533D0" w:rsidR="006B03B3" w:rsidRPr="00860CDF" w:rsidRDefault="000A16F6" w:rsidP="00860CDF">
      <w:pPr>
        <w:pStyle w:val="ListParagraph"/>
        <w:numPr>
          <w:ilvl w:val="0"/>
          <w:numId w:val="14"/>
        </w:numPr>
        <w:spacing w:after="0" w:line="480" w:lineRule="auto"/>
        <w:ind w:left="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ab/>
        <w:t>I</w:t>
      </w:r>
      <w:r w:rsidR="00700ADA" w:rsidRPr="00860CDF">
        <w:rPr>
          <w:rFonts w:ascii="Times New Roman" w:eastAsia="Times New Roman" w:hAnsi="Times New Roman" w:cs="Times New Roman"/>
          <w:sz w:val="24"/>
          <w:szCs w:val="24"/>
        </w:rPr>
        <w:t xml:space="preserve">n deciding the issues </w:t>
      </w:r>
      <w:r w:rsidR="00882FD7" w:rsidRPr="00860CDF">
        <w:rPr>
          <w:rFonts w:ascii="Times New Roman" w:eastAsia="Times New Roman" w:hAnsi="Times New Roman" w:cs="Times New Roman"/>
          <w:sz w:val="24"/>
          <w:szCs w:val="24"/>
        </w:rPr>
        <w:t xml:space="preserve">not covered by the </w:t>
      </w:r>
      <w:r w:rsidR="00DB6E40">
        <w:rPr>
          <w:rFonts w:ascii="Times New Roman" w:eastAsia="Times New Roman" w:hAnsi="Times New Roman" w:cs="Times New Roman"/>
          <w:sz w:val="24"/>
          <w:szCs w:val="24"/>
        </w:rPr>
        <w:t>S</w:t>
      </w:r>
      <w:r w:rsidR="00882FD7" w:rsidRPr="00860CDF">
        <w:rPr>
          <w:rFonts w:ascii="Times New Roman" w:eastAsia="Times New Roman" w:hAnsi="Times New Roman" w:cs="Times New Roman"/>
          <w:sz w:val="24"/>
          <w:szCs w:val="24"/>
        </w:rPr>
        <w:t xml:space="preserve">ettlement, the Commission </w:t>
      </w:r>
      <w:r w:rsidR="00860CDF">
        <w:rPr>
          <w:rFonts w:ascii="Times New Roman" w:eastAsia="Times New Roman" w:hAnsi="Times New Roman" w:cs="Times New Roman"/>
          <w:sz w:val="24"/>
          <w:szCs w:val="24"/>
        </w:rPr>
        <w:t>faces</w:t>
      </w:r>
      <w:r w:rsidR="00882FD7" w:rsidRPr="00860CDF">
        <w:rPr>
          <w:rFonts w:ascii="Times New Roman" w:eastAsia="Times New Roman" w:hAnsi="Times New Roman" w:cs="Times New Roman"/>
          <w:sz w:val="24"/>
          <w:szCs w:val="24"/>
        </w:rPr>
        <w:t xml:space="preserve"> a choice between maintain</w:t>
      </w:r>
      <w:r w:rsidR="00700ADA" w:rsidRPr="00860CDF">
        <w:rPr>
          <w:rFonts w:ascii="Times New Roman" w:eastAsia="Times New Roman" w:hAnsi="Times New Roman" w:cs="Times New Roman"/>
          <w:sz w:val="24"/>
          <w:szCs w:val="24"/>
        </w:rPr>
        <w:t>ing</w:t>
      </w:r>
      <w:r w:rsidR="00882FD7" w:rsidRPr="00860CDF">
        <w:rPr>
          <w:rFonts w:ascii="Times New Roman" w:eastAsia="Times New Roman" w:hAnsi="Times New Roman" w:cs="Times New Roman"/>
          <w:sz w:val="24"/>
          <w:szCs w:val="24"/>
        </w:rPr>
        <w:t xml:space="preserve"> current policies that </w:t>
      </w:r>
      <w:r w:rsidR="00700ADA" w:rsidRPr="00860CDF">
        <w:rPr>
          <w:rFonts w:ascii="Times New Roman" w:eastAsia="Times New Roman" w:hAnsi="Times New Roman" w:cs="Times New Roman"/>
          <w:sz w:val="24"/>
          <w:szCs w:val="24"/>
        </w:rPr>
        <w:t xml:space="preserve">encourage </w:t>
      </w:r>
      <w:r w:rsidR="00882FD7" w:rsidRPr="00860CDF">
        <w:rPr>
          <w:rFonts w:ascii="Times New Roman" w:eastAsia="Times New Roman" w:hAnsi="Times New Roman" w:cs="Times New Roman"/>
          <w:sz w:val="24"/>
          <w:szCs w:val="24"/>
        </w:rPr>
        <w:t xml:space="preserve">customers </w:t>
      </w:r>
      <w:r w:rsidR="00700ADA" w:rsidRPr="00860CDF">
        <w:rPr>
          <w:rFonts w:ascii="Times New Roman" w:eastAsia="Times New Roman" w:hAnsi="Times New Roman" w:cs="Times New Roman"/>
          <w:sz w:val="24"/>
          <w:szCs w:val="24"/>
        </w:rPr>
        <w:t>to conserve</w:t>
      </w:r>
      <w:r w:rsidR="00860CDF">
        <w:rPr>
          <w:rFonts w:ascii="Times New Roman" w:eastAsia="Times New Roman" w:hAnsi="Times New Roman" w:cs="Times New Roman"/>
          <w:sz w:val="24"/>
          <w:szCs w:val="24"/>
        </w:rPr>
        <w:t xml:space="preserve"> energy</w:t>
      </w:r>
      <w:r w:rsidR="00882FD7" w:rsidRPr="00860CDF">
        <w:rPr>
          <w:rFonts w:ascii="Times New Roman" w:eastAsia="Times New Roman" w:hAnsi="Times New Roman" w:cs="Times New Roman"/>
          <w:sz w:val="24"/>
          <w:szCs w:val="24"/>
        </w:rPr>
        <w:t xml:space="preserve"> and proposals that would </w:t>
      </w:r>
      <w:r w:rsidR="00700ADA" w:rsidRPr="00860CDF">
        <w:rPr>
          <w:rFonts w:ascii="Times New Roman" w:eastAsia="Times New Roman" w:hAnsi="Times New Roman" w:cs="Times New Roman"/>
          <w:sz w:val="24"/>
          <w:szCs w:val="24"/>
        </w:rPr>
        <w:t xml:space="preserve">send </w:t>
      </w:r>
      <w:r w:rsidR="00882FD7" w:rsidRPr="00860CDF">
        <w:rPr>
          <w:rFonts w:ascii="Times New Roman" w:eastAsia="Times New Roman" w:hAnsi="Times New Roman" w:cs="Times New Roman"/>
          <w:sz w:val="24"/>
          <w:szCs w:val="24"/>
        </w:rPr>
        <w:t xml:space="preserve">the wrong </w:t>
      </w:r>
      <w:r w:rsidR="00700ADA" w:rsidRPr="00860CDF">
        <w:rPr>
          <w:rFonts w:ascii="Times New Roman" w:eastAsia="Times New Roman" w:hAnsi="Times New Roman" w:cs="Times New Roman"/>
          <w:sz w:val="24"/>
          <w:szCs w:val="24"/>
        </w:rPr>
        <w:t xml:space="preserve">price </w:t>
      </w:r>
      <w:r w:rsidR="00882FD7" w:rsidRPr="00860CDF">
        <w:rPr>
          <w:rFonts w:ascii="Times New Roman" w:eastAsia="Times New Roman" w:hAnsi="Times New Roman" w:cs="Times New Roman"/>
          <w:sz w:val="24"/>
          <w:szCs w:val="24"/>
        </w:rPr>
        <w:t xml:space="preserve">signals to PSE and </w:t>
      </w:r>
      <w:r w:rsidR="00700ADA" w:rsidRPr="00860CDF">
        <w:rPr>
          <w:rFonts w:ascii="Times New Roman" w:eastAsia="Times New Roman" w:hAnsi="Times New Roman" w:cs="Times New Roman"/>
          <w:sz w:val="24"/>
          <w:szCs w:val="24"/>
        </w:rPr>
        <w:t xml:space="preserve">its </w:t>
      </w:r>
      <w:r w:rsidR="00882FD7" w:rsidRPr="00860CDF">
        <w:rPr>
          <w:rFonts w:ascii="Times New Roman" w:eastAsia="Times New Roman" w:hAnsi="Times New Roman" w:cs="Times New Roman"/>
          <w:sz w:val="24"/>
          <w:szCs w:val="24"/>
        </w:rPr>
        <w:t xml:space="preserve">customers.  Three years after the Commission approved a decoupling mechanism for PSE, independent, third-party reviews demonstrate that </w:t>
      </w:r>
      <w:r w:rsidR="0040595D" w:rsidRPr="00860CDF">
        <w:rPr>
          <w:rFonts w:ascii="Times New Roman" w:eastAsia="Times New Roman" w:hAnsi="Times New Roman" w:cs="Times New Roman"/>
          <w:sz w:val="24"/>
          <w:szCs w:val="24"/>
        </w:rPr>
        <w:t xml:space="preserve">the Company is meeting its </w:t>
      </w:r>
      <w:r w:rsidR="00882FD7" w:rsidRPr="00860CDF">
        <w:rPr>
          <w:rFonts w:ascii="Times New Roman" w:eastAsia="Times New Roman" w:hAnsi="Times New Roman" w:cs="Times New Roman"/>
          <w:sz w:val="24"/>
          <w:szCs w:val="24"/>
        </w:rPr>
        <w:t xml:space="preserve">energy efficiency </w:t>
      </w:r>
      <w:r w:rsidR="0040595D" w:rsidRPr="00860CDF">
        <w:rPr>
          <w:rFonts w:ascii="Times New Roman" w:eastAsia="Times New Roman" w:hAnsi="Times New Roman" w:cs="Times New Roman"/>
          <w:sz w:val="24"/>
          <w:szCs w:val="24"/>
        </w:rPr>
        <w:t>targets</w:t>
      </w:r>
      <w:r w:rsidR="00882FD7" w:rsidRPr="00860CDF">
        <w:rPr>
          <w:rFonts w:ascii="Times New Roman" w:eastAsia="Times New Roman" w:hAnsi="Times New Roman" w:cs="Times New Roman"/>
          <w:sz w:val="24"/>
          <w:szCs w:val="24"/>
        </w:rPr>
        <w:t xml:space="preserve"> with small rate impacts and a decline in the growth of PSE’s operating and maintenance costs.</w:t>
      </w:r>
      <w:r w:rsidR="006B03B3" w:rsidRPr="00860CDF">
        <w:rPr>
          <w:rFonts w:ascii="Times New Roman" w:eastAsia="Times New Roman" w:hAnsi="Times New Roman" w:cs="Times New Roman"/>
          <w:sz w:val="24"/>
          <w:szCs w:val="24"/>
        </w:rPr>
        <w:t xml:space="preserve">  Based on the demonstrated success of the program, and the absence of any evidence of harm from decoupling, the Commission should </w:t>
      </w:r>
      <w:r w:rsidR="00882FD7" w:rsidRPr="00860CDF">
        <w:rPr>
          <w:rFonts w:ascii="Times New Roman" w:hAnsi="Times New Roman" w:cs="Times New Roman"/>
          <w:sz w:val="24"/>
          <w:szCs w:val="24"/>
        </w:rPr>
        <w:t>approve PSE’s request</w:t>
      </w:r>
      <w:r w:rsidR="000E2FC3">
        <w:rPr>
          <w:rFonts w:ascii="Times New Roman" w:hAnsi="Times New Roman" w:cs="Times New Roman"/>
          <w:sz w:val="24"/>
          <w:szCs w:val="24"/>
        </w:rPr>
        <w:t xml:space="preserve"> to make decoupling permanent.</w:t>
      </w:r>
    </w:p>
    <w:p w14:paraId="417F2627" w14:textId="16B9D43B" w:rsidR="006B03B3" w:rsidRDefault="00464C71" w:rsidP="00464C71">
      <w:pPr>
        <w:pStyle w:val="ListParagraph"/>
        <w:numPr>
          <w:ilvl w:val="0"/>
          <w:numId w:val="14"/>
        </w:numPr>
        <w:spacing w:after="0" w:line="480" w:lineRule="auto"/>
        <w:ind w:left="0" w:hanging="540"/>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ab/>
        <w:t>F</w:t>
      </w:r>
      <w:r w:rsidR="006B03B3" w:rsidRPr="00753BEC">
        <w:rPr>
          <w:rFonts w:ascii="Times New Roman" w:eastAsia="Times New Roman" w:hAnsi="Times New Roman" w:cs="Times New Roman"/>
          <w:sz w:val="24"/>
          <w:szCs w:val="20"/>
        </w:rPr>
        <w:t xml:space="preserve">or </w:t>
      </w:r>
      <w:r w:rsidR="00992C4F">
        <w:rPr>
          <w:rFonts w:ascii="Times New Roman" w:eastAsia="Times New Roman" w:hAnsi="Times New Roman" w:cs="Times New Roman"/>
          <w:sz w:val="24"/>
          <w:szCs w:val="20"/>
        </w:rPr>
        <w:t xml:space="preserve">residential electric customers, </w:t>
      </w:r>
      <w:r w:rsidR="006B03B3" w:rsidRPr="00753BEC">
        <w:rPr>
          <w:rFonts w:ascii="Times New Roman" w:eastAsia="Times New Roman" w:hAnsi="Times New Roman" w:cs="Times New Roman"/>
          <w:sz w:val="24"/>
          <w:szCs w:val="20"/>
        </w:rPr>
        <w:t xml:space="preserve">PSE and Staff have proposed </w:t>
      </w:r>
      <w:r w:rsidR="00700ADA">
        <w:rPr>
          <w:rFonts w:ascii="Times New Roman" w:eastAsia="Times New Roman" w:hAnsi="Times New Roman" w:cs="Times New Roman"/>
          <w:sz w:val="24"/>
          <w:szCs w:val="20"/>
        </w:rPr>
        <w:t xml:space="preserve">significant </w:t>
      </w:r>
      <w:r w:rsidR="006B03B3" w:rsidRPr="007E6DB6">
        <w:rPr>
          <w:rFonts w:ascii="Times New Roman" w:eastAsia="Times New Roman" w:hAnsi="Times New Roman" w:cs="Times New Roman"/>
          <w:sz w:val="24"/>
          <w:szCs w:val="20"/>
        </w:rPr>
        <w:t xml:space="preserve">increases in </w:t>
      </w:r>
      <w:r w:rsidR="00860CC2">
        <w:rPr>
          <w:rFonts w:ascii="Times New Roman" w:eastAsia="Times New Roman" w:hAnsi="Times New Roman" w:cs="Times New Roman"/>
          <w:sz w:val="24"/>
          <w:szCs w:val="20"/>
        </w:rPr>
        <w:t>basic monthly</w:t>
      </w:r>
      <w:r w:rsidR="006B03B3" w:rsidRPr="007E6DB6">
        <w:rPr>
          <w:rFonts w:ascii="Times New Roman" w:eastAsia="Times New Roman" w:hAnsi="Times New Roman" w:cs="Times New Roman"/>
          <w:sz w:val="24"/>
          <w:szCs w:val="20"/>
        </w:rPr>
        <w:t xml:space="preserve"> </w:t>
      </w:r>
      <w:r w:rsidR="006B03B3" w:rsidRPr="00464C71">
        <w:rPr>
          <w:rFonts w:ascii="Times New Roman" w:eastAsia="Times New Roman" w:hAnsi="Times New Roman" w:cs="Times New Roman"/>
          <w:sz w:val="24"/>
          <w:szCs w:val="24"/>
        </w:rPr>
        <w:t>charges</w:t>
      </w:r>
      <w:r w:rsidR="00992C4F">
        <w:rPr>
          <w:rFonts w:ascii="Times New Roman" w:eastAsia="Times New Roman" w:hAnsi="Times New Roman" w:cs="Times New Roman"/>
          <w:sz w:val="24"/>
          <w:szCs w:val="20"/>
        </w:rPr>
        <w:t xml:space="preserve"> </w:t>
      </w:r>
      <w:r w:rsidR="00860CC2">
        <w:rPr>
          <w:rFonts w:ascii="Times New Roman" w:eastAsia="Times New Roman" w:hAnsi="Times New Roman" w:cs="Times New Roman"/>
          <w:sz w:val="24"/>
          <w:szCs w:val="20"/>
        </w:rPr>
        <w:t>that</w:t>
      </w:r>
      <w:r w:rsidR="003140DE">
        <w:rPr>
          <w:rFonts w:ascii="Times New Roman" w:eastAsia="Times New Roman" w:hAnsi="Times New Roman" w:cs="Times New Roman"/>
          <w:sz w:val="24"/>
          <w:szCs w:val="20"/>
        </w:rPr>
        <w:t xml:space="preserve"> </w:t>
      </w:r>
      <w:r w:rsidR="00992C4F">
        <w:rPr>
          <w:rFonts w:ascii="Times New Roman" w:eastAsia="Times New Roman" w:hAnsi="Times New Roman" w:cs="Times New Roman"/>
          <w:sz w:val="24"/>
          <w:szCs w:val="20"/>
        </w:rPr>
        <w:t xml:space="preserve">would </w:t>
      </w:r>
      <w:r w:rsidR="003140DE">
        <w:rPr>
          <w:rFonts w:ascii="Times New Roman" w:eastAsia="Times New Roman" w:hAnsi="Times New Roman" w:cs="Times New Roman"/>
          <w:sz w:val="24"/>
          <w:szCs w:val="20"/>
        </w:rPr>
        <w:t>be neither fair nor reasonable</w:t>
      </w:r>
      <w:r w:rsidR="00177909">
        <w:rPr>
          <w:rFonts w:ascii="Times New Roman" w:eastAsia="Times New Roman" w:hAnsi="Times New Roman" w:cs="Times New Roman"/>
          <w:sz w:val="24"/>
          <w:szCs w:val="20"/>
        </w:rPr>
        <w:t xml:space="preserve"> as required by Washington law</w:t>
      </w:r>
      <w:r w:rsidR="0002223B" w:rsidRPr="00753BEC">
        <w:rPr>
          <w:rFonts w:ascii="Times New Roman" w:eastAsia="Times New Roman" w:hAnsi="Times New Roman" w:cs="Times New Roman"/>
          <w:sz w:val="24"/>
          <w:szCs w:val="20"/>
        </w:rPr>
        <w:t xml:space="preserve">. </w:t>
      </w:r>
      <w:r w:rsidR="00177909">
        <w:rPr>
          <w:rFonts w:ascii="Times New Roman" w:eastAsia="Times New Roman" w:hAnsi="Times New Roman" w:cs="Times New Roman"/>
          <w:sz w:val="24"/>
          <w:szCs w:val="20"/>
        </w:rPr>
        <w:t xml:space="preserve"> </w:t>
      </w:r>
      <w:r w:rsidR="0002223B" w:rsidRPr="00753BEC">
        <w:rPr>
          <w:rFonts w:ascii="Times New Roman" w:eastAsia="Times New Roman" w:hAnsi="Times New Roman" w:cs="Times New Roman"/>
          <w:sz w:val="24"/>
          <w:szCs w:val="20"/>
        </w:rPr>
        <w:t>Both PSE’s and Staff’s proposals ask this Commission to do something unprecedented in Wash</w:t>
      </w:r>
      <w:r w:rsidR="000E2FC3">
        <w:rPr>
          <w:rFonts w:ascii="Times New Roman" w:eastAsia="Times New Roman" w:hAnsi="Times New Roman" w:cs="Times New Roman"/>
          <w:sz w:val="24"/>
          <w:szCs w:val="20"/>
        </w:rPr>
        <w:t xml:space="preserve">ington and across the country: </w:t>
      </w:r>
      <w:r w:rsidR="0002223B" w:rsidRPr="00753BEC">
        <w:rPr>
          <w:rFonts w:ascii="Times New Roman" w:eastAsia="Times New Roman" w:hAnsi="Times New Roman" w:cs="Times New Roman"/>
          <w:sz w:val="24"/>
          <w:szCs w:val="20"/>
        </w:rPr>
        <w:t>reclassify line transformer costs as customer-relate</w:t>
      </w:r>
      <w:r w:rsidR="00700ADA">
        <w:rPr>
          <w:rFonts w:ascii="Times New Roman" w:eastAsia="Times New Roman" w:hAnsi="Times New Roman" w:cs="Times New Roman"/>
          <w:sz w:val="24"/>
          <w:szCs w:val="20"/>
        </w:rPr>
        <w:t>d</w:t>
      </w:r>
      <w:r w:rsidR="0002223B" w:rsidRPr="00753BEC">
        <w:rPr>
          <w:rFonts w:ascii="Times New Roman" w:eastAsia="Times New Roman" w:hAnsi="Times New Roman" w:cs="Times New Roman"/>
          <w:sz w:val="24"/>
          <w:szCs w:val="20"/>
        </w:rPr>
        <w:t xml:space="preserve"> costs.  In addition to askin</w:t>
      </w:r>
      <w:r w:rsidR="00700ADA">
        <w:rPr>
          <w:rFonts w:ascii="Times New Roman" w:eastAsia="Times New Roman" w:hAnsi="Times New Roman" w:cs="Times New Roman"/>
          <w:sz w:val="24"/>
          <w:szCs w:val="20"/>
        </w:rPr>
        <w:t>g this Commission to overrule an unbroken</w:t>
      </w:r>
      <w:r w:rsidR="0002223B" w:rsidRPr="00753BEC">
        <w:rPr>
          <w:rFonts w:ascii="Times New Roman" w:eastAsia="Times New Roman" w:hAnsi="Times New Roman" w:cs="Times New Roman"/>
          <w:sz w:val="24"/>
          <w:szCs w:val="20"/>
        </w:rPr>
        <w:t xml:space="preserve"> line of Commission pr</w:t>
      </w:r>
      <w:r w:rsidR="00700ADA">
        <w:rPr>
          <w:rFonts w:ascii="Times New Roman" w:eastAsia="Times New Roman" w:hAnsi="Times New Roman" w:cs="Times New Roman"/>
          <w:sz w:val="24"/>
          <w:szCs w:val="20"/>
        </w:rPr>
        <w:t>e</w:t>
      </w:r>
      <w:r w:rsidR="0002223B" w:rsidRPr="00753BEC">
        <w:rPr>
          <w:rFonts w:ascii="Times New Roman" w:eastAsia="Times New Roman" w:hAnsi="Times New Roman" w:cs="Times New Roman"/>
          <w:sz w:val="24"/>
          <w:szCs w:val="20"/>
        </w:rPr>
        <w:t>cedent, the proposals are antithetical to the policies animating decoupling</w:t>
      </w:r>
      <w:r w:rsidR="00700ADA">
        <w:rPr>
          <w:rFonts w:ascii="Times New Roman" w:eastAsia="Times New Roman" w:hAnsi="Times New Roman" w:cs="Times New Roman"/>
          <w:sz w:val="24"/>
          <w:szCs w:val="20"/>
        </w:rPr>
        <w:t>, because h</w:t>
      </w:r>
      <w:r w:rsidR="0002223B" w:rsidRPr="00753BEC">
        <w:rPr>
          <w:rFonts w:ascii="Times New Roman" w:eastAsia="Times New Roman" w:hAnsi="Times New Roman" w:cs="Times New Roman"/>
          <w:sz w:val="24"/>
          <w:szCs w:val="20"/>
        </w:rPr>
        <w:t xml:space="preserve">igh </w:t>
      </w:r>
      <w:r w:rsidR="001003B2">
        <w:rPr>
          <w:rFonts w:ascii="Times New Roman" w:eastAsia="Times New Roman" w:hAnsi="Times New Roman" w:cs="Times New Roman"/>
          <w:sz w:val="24"/>
          <w:szCs w:val="20"/>
        </w:rPr>
        <w:t>monthly</w:t>
      </w:r>
      <w:r w:rsidR="0002223B" w:rsidRPr="00753BEC">
        <w:rPr>
          <w:rFonts w:ascii="Times New Roman" w:eastAsia="Times New Roman" w:hAnsi="Times New Roman" w:cs="Times New Roman"/>
          <w:sz w:val="24"/>
          <w:szCs w:val="20"/>
        </w:rPr>
        <w:t xml:space="preserve"> charges discourage customers from conserving energy</w:t>
      </w:r>
      <w:r w:rsidR="00700ADA">
        <w:rPr>
          <w:rFonts w:ascii="Times New Roman" w:eastAsia="Times New Roman" w:hAnsi="Times New Roman" w:cs="Times New Roman"/>
          <w:sz w:val="24"/>
          <w:szCs w:val="20"/>
        </w:rPr>
        <w:t>,</w:t>
      </w:r>
      <w:r w:rsidR="0002223B" w:rsidRPr="00753BEC">
        <w:rPr>
          <w:rFonts w:ascii="Times New Roman" w:eastAsia="Times New Roman" w:hAnsi="Times New Roman" w:cs="Times New Roman"/>
          <w:sz w:val="24"/>
          <w:szCs w:val="20"/>
        </w:rPr>
        <w:t xml:space="preserve"> and </w:t>
      </w:r>
      <w:r w:rsidR="00860CDF">
        <w:rPr>
          <w:rFonts w:ascii="Times New Roman" w:eastAsia="Times New Roman" w:hAnsi="Times New Roman" w:cs="Times New Roman"/>
          <w:sz w:val="24"/>
          <w:szCs w:val="20"/>
        </w:rPr>
        <w:t xml:space="preserve">they </w:t>
      </w:r>
      <w:r w:rsidR="00700ADA">
        <w:rPr>
          <w:rFonts w:ascii="Times New Roman" w:eastAsia="Times New Roman" w:hAnsi="Times New Roman" w:cs="Times New Roman"/>
          <w:sz w:val="24"/>
          <w:szCs w:val="20"/>
        </w:rPr>
        <w:t>represent a regr</w:t>
      </w:r>
      <w:r w:rsidR="0002223B" w:rsidRPr="00753BEC">
        <w:rPr>
          <w:rFonts w:ascii="Times New Roman" w:eastAsia="Times New Roman" w:hAnsi="Times New Roman" w:cs="Times New Roman"/>
          <w:sz w:val="24"/>
          <w:szCs w:val="20"/>
        </w:rPr>
        <w:t>essive rate design that disproportionately harms low-income customers.</w:t>
      </w:r>
      <w:r w:rsidR="00700ADA">
        <w:rPr>
          <w:rFonts w:ascii="Times New Roman" w:eastAsia="Times New Roman" w:hAnsi="Times New Roman" w:cs="Times New Roman"/>
          <w:sz w:val="24"/>
          <w:szCs w:val="20"/>
        </w:rPr>
        <w:t xml:space="preserve">  For these reasons, the Commission should reject PSE’s proposal to increase the basic charge and Staff’s proposal to increase the basic charge and impose a new minimum bill.</w:t>
      </w:r>
    </w:p>
    <w:p w14:paraId="5A020E3D" w14:textId="10773D55" w:rsidR="007E6DB6" w:rsidRPr="007E6DB6" w:rsidRDefault="00464C71" w:rsidP="00464C71">
      <w:pPr>
        <w:pStyle w:val="ListParagraph"/>
        <w:numPr>
          <w:ilvl w:val="0"/>
          <w:numId w:val="14"/>
        </w:numPr>
        <w:spacing w:after="0" w:line="480" w:lineRule="auto"/>
        <w:ind w:left="0" w:hanging="540"/>
      </w:pPr>
      <w:r>
        <w:rPr>
          <w:rFonts w:ascii="Times New Roman" w:eastAsia="Times New Roman" w:hAnsi="Times New Roman" w:cs="Times New Roman"/>
          <w:sz w:val="24"/>
          <w:szCs w:val="20"/>
        </w:rPr>
        <w:tab/>
        <w:t>T</w:t>
      </w:r>
      <w:r w:rsidR="007E6DB6">
        <w:rPr>
          <w:rFonts w:ascii="Times New Roman" w:eastAsia="Times New Roman" w:hAnsi="Times New Roman" w:cs="Times New Roman"/>
          <w:sz w:val="24"/>
          <w:szCs w:val="20"/>
        </w:rPr>
        <w:t>he Commission should also reject PSE’s request to increase the soft cap for the electric decoupling mechanism from 3% to 5%.  PSE has presented no evidence of financial harm to PSE or customers from the current, 3% cap, and instead bases its request on speculation about proble</w:t>
      </w:r>
      <w:r w:rsidR="000E2FC3">
        <w:rPr>
          <w:rFonts w:ascii="Times New Roman" w:eastAsia="Times New Roman" w:hAnsi="Times New Roman" w:cs="Times New Roman"/>
          <w:sz w:val="24"/>
          <w:szCs w:val="20"/>
        </w:rPr>
        <w:t>ms that may never materialize.</w:t>
      </w:r>
      <w:r w:rsidR="00435971">
        <w:rPr>
          <w:rFonts w:ascii="Times New Roman" w:eastAsia="Times New Roman" w:hAnsi="Times New Roman" w:cs="Times New Roman"/>
          <w:sz w:val="24"/>
          <w:szCs w:val="20"/>
        </w:rPr>
        <w:t xml:space="preserve"> </w:t>
      </w:r>
      <w:r w:rsidR="00CD1442">
        <w:rPr>
          <w:rFonts w:ascii="Times New Roman" w:eastAsia="Times New Roman" w:hAnsi="Times New Roman" w:cs="Times New Roman"/>
          <w:sz w:val="24"/>
          <w:szCs w:val="20"/>
        </w:rPr>
        <w:t xml:space="preserve"> </w:t>
      </w:r>
      <w:r w:rsidR="00231E9F">
        <w:rPr>
          <w:rFonts w:ascii="Times New Roman" w:eastAsia="Times New Roman" w:hAnsi="Times New Roman" w:cs="Times New Roman"/>
          <w:sz w:val="24"/>
          <w:szCs w:val="20"/>
        </w:rPr>
        <w:t>Additionally, NWEC</w:t>
      </w:r>
      <w:r w:rsidR="00435971">
        <w:rPr>
          <w:rFonts w:ascii="Times New Roman" w:eastAsia="Times New Roman" w:hAnsi="Times New Roman" w:cs="Times New Roman"/>
          <w:sz w:val="24"/>
          <w:szCs w:val="20"/>
        </w:rPr>
        <w:t xml:space="preserve"> ask</w:t>
      </w:r>
      <w:r w:rsidR="00231E9F">
        <w:rPr>
          <w:rFonts w:ascii="Times New Roman" w:eastAsia="Times New Roman" w:hAnsi="Times New Roman" w:cs="Times New Roman"/>
          <w:sz w:val="24"/>
          <w:szCs w:val="20"/>
        </w:rPr>
        <w:t>s</w:t>
      </w:r>
      <w:r w:rsidR="00435971">
        <w:rPr>
          <w:rFonts w:ascii="Times New Roman" w:eastAsia="Times New Roman" w:hAnsi="Times New Roman" w:cs="Times New Roman"/>
          <w:sz w:val="24"/>
          <w:szCs w:val="20"/>
        </w:rPr>
        <w:t xml:space="preserve"> that the Commission approve a </w:t>
      </w:r>
      <w:r w:rsidR="00435971" w:rsidRPr="00231E9F">
        <w:rPr>
          <w:rFonts w:ascii="Times New Roman" w:eastAsia="Times New Roman" w:hAnsi="Times New Roman" w:cs="Times New Roman"/>
          <w:sz w:val="24"/>
          <w:szCs w:val="20"/>
        </w:rPr>
        <w:t>temporary</w:t>
      </w:r>
      <w:r w:rsidR="00435971">
        <w:rPr>
          <w:rFonts w:ascii="Times New Roman" w:eastAsia="Times New Roman" w:hAnsi="Times New Roman" w:cs="Times New Roman"/>
          <w:sz w:val="24"/>
          <w:szCs w:val="20"/>
        </w:rPr>
        <w:t xml:space="preserve"> increase to the soft cap for the gas decoupling mechanism from 3% to 5% and direct Puget Sound Energy to improve its </w:t>
      </w:r>
      <w:r w:rsidR="00D13C91">
        <w:rPr>
          <w:rFonts w:ascii="Times New Roman" w:eastAsia="Times New Roman" w:hAnsi="Times New Roman" w:cs="Times New Roman"/>
          <w:sz w:val="24"/>
          <w:szCs w:val="20"/>
        </w:rPr>
        <w:t>weather forecasting methodology</w:t>
      </w:r>
      <w:r w:rsidR="00231E9F">
        <w:rPr>
          <w:rFonts w:ascii="Times New Roman" w:eastAsia="Times New Roman" w:hAnsi="Times New Roman" w:cs="Times New Roman"/>
          <w:sz w:val="24"/>
          <w:szCs w:val="20"/>
        </w:rPr>
        <w:t xml:space="preserve"> before making such an increase permanent</w:t>
      </w:r>
      <w:r w:rsidR="00435971">
        <w:rPr>
          <w:rFonts w:ascii="Times New Roman" w:eastAsia="Times New Roman" w:hAnsi="Times New Roman" w:cs="Times New Roman"/>
          <w:sz w:val="24"/>
          <w:szCs w:val="20"/>
        </w:rPr>
        <w:t>.</w:t>
      </w:r>
    </w:p>
    <w:p w14:paraId="0E2AAE8E" w14:textId="2E64B972" w:rsidR="007E6DB6" w:rsidRPr="007E6DB6" w:rsidRDefault="00464C71" w:rsidP="00464C71">
      <w:pPr>
        <w:pStyle w:val="ListParagraph"/>
        <w:numPr>
          <w:ilvl w:val="0"/>
          <w:numId w:val="14"/>
        </w:numPr>
        <w:spacing w:after="0" w:line="480" w:lineRule="auto"/>
        <w:ind w:left="0" w:hanging="540"/>
      </w:pPr>
      <w:r>
        <w:rPr>
          <w:rFonts w:ascii="Times New Roman" w:eastAsia="Times New Roman" w:hAnsi="Times New Roman" w:cs="Times New Roman"/>
          <w:sz w:val="24"/>
          <w:szCs w:val="20"/>
        </w:rPr>
        <w:tab/>
        <w:t>F</w:t>
      </w:r>
      <w:r w:rsidR="007E6DB6">
        <w:rPr>
          <w:rFonts w:ascii="Times New Roman" w:eastAsia="Times New Roman" w:hAnsi="Times New Roman" w:cs="Times New Roman"/>
          <w:sz w:val="24"/>
          <w:szCs w:val="20"/>
        </w:rPr>
        <w:t>inally, the Commission should convene a techni</w:t>
      </w:r>
      <w:r w:rsidR="00CC110B">
        <w:rPr>
          <w:rFonts w:ascii="Times New Roman" w:eastAsia="Times New Roman" w:hAnsi="Times New Roman" w:cs="Times New Roman"/>
          <w:sz w:val="24"/>
          <w:szCs w:val="20"/>
        </w:rPr>
        <w:t>cal workshop on three-tier rate design</w:t>
      </w:r>
      <w:r w:rsidR="007E6DB6">
        <w:rPr>
          <w:rFonts w:ascii="Times New Roman" w:eastAsia="Times New Roman" w:hAnsi="Times New Roman" w:cs="Times New Roman"/>
          <w:sz w:val="24"/>
          <w:szCs w:val="20"/>
        </w:rPr>
        <w:t xml:space="preserve"> for residential electric customers.  Pursuant to the settlement in Docket No. </w:t>
      </w:r>
      <w:r w:rsidR="00CC110B">
        <w:rPr>
          <w:rFonts w:ascii="Times New Roman" w:eastAsia="Times New Roman" w:hAnsi="Times New Roman" w:cs="Times New Roman"/>
          <w:sz w:val="24"/>
          <w:szCs w:val="20"/>
        </w:rPr>
        <w:t>UE-141368</w:t>
      </w:r>
      <w:r w:rsidR="007E6DB6">
        <w:rPr>
          <w:rFonts w:ascii="Times New Roman" w:eastAsia="Times New Roman" w:hAnsi="Times New Roman" w:cs="Times New Roman"/>
          <w:sz w:val="24"/>
          <w:szCs w:val="20"/>
        </w:rPr>
        <w:t xml:space="preserve">, PSE </w:t>
      </w:r>
      <w:r w:rsidR="0015611F">
        <w:rPr>
          <w:rFonts w:ascii="Times New Roman" w:eastAsia="Times New Roman" w:hAnsi="Times New Roman" w:cs="Times New Roman"/>
          <w:sz w:val="24"/>
          <w:szCs w:val="20"/>
        </w:rPr>
        <w:t xml:space="preserve">presented </w:t>
      </w:r>
      <w:r w:rsidR="007E6DB6">
        <w:rPr>
          <w:rFonts w:ascii="Times New Roman" w:eastAsia="Times New Roman" w:hAnsi="Times New Roman" w:cs="Times New Roman"/>
          <w:sz w:val="24"/>
          <w:szCs w:val="20"/>
        </w:rPr>
        <w:t>a three-tier rate</w:t>
      </w:r>
      <w:r w:rsidR="0015611F">
        <w:rPr>
          <w:rFonts w:ascii="Times New Roman" w:eastAsia="Times New Roman" w:hAnsi="Times New Roman" w:cs="Times New Roman"/>
          <w:sz w:val="24"/>
          <w:szCs w:val="20"/>
        </w:rPr>
        <w:t xml:space="preserve"> design in its application</w:t>
      </w:r>
      <w:r w:rsidR="007E6DB6">
        <w:rPr>
          <w:rFonts w:ascii="Times New Roman" w:eastAsia="Times New Roman" w:hAnsi="Times New Roman" w:cs="Times New Roman"/>
          <w:sz w:val="24"/>
          <w:szCs w:val="20"/>
        </w:rPr>
        <w:t xml:space="preserve">.  However, </w:t>
      </w:r>
      <w:r w:rsidR="0015611F">
        <w:rPr>
          <w:rFonts w:ascii="Times New Roman" w:eastAsia="Times New Roman" w:hAnsi="Times New Roman" w:cs="Times New Roman"/>
          <w:sz w:val="24"/>
          <w:szCs w:val="20"/>
        </w:rPr>
        <w:t>as PSE recognizes, the rate structure</w:t>
      </w:r>
      <w:r w:rsidR="007E6DB6">
        <w:rPr>
          <w:rFonts w:ascii="Times New Roman" w:eastAsia="Times New Roman" w:hAnsi="Times New Roman" w:cs="Times New Roman"/>
          <w:sz w:val="24"/>
          <w:szCs w:val="20"/>
        </w:rPr>
        <w:t xml:space="preserve"> did not conform to the inclining block rate structure that </w:t>
      </w:r>
      <w:r w:rsidR="0015611F">
        <w:rPr>
          <w:rFonts w:ascii="Times New Roman" w:eastAsia="Times New Roman" w:hAnsi="Times New Roman" w:cs="Times New Roman"/>
          <w:sz w:val="24"/>
          <w:szCs w:val="20"/>
        </w:rPr>
        <w:t xml:space="preserve">the </w:t>
      </w:r>
      <w:r w:rsidR="007E6DB6">
        <w:rPr>
          <w:rFonts w:ascii="Times New Roman" w:eastAsia="Times New Roman" w:hAnsi="Times New Roman" w:cs="Times New Roman"/>
          <w:sz w:val="24"/>
          <w:szCs w:val="20"/>
        </w:rPr>
        <w:t xml:space="preserve">parties agree </w:t>
      </w:r>
      <w:r w:rsidR="0015611F">
        <w:rPr>
          <w:rFonts w:ascii="Times New Roman" w:eastAsia="Times New Roman" w:hAnsi="Times New Roman" w:cs="Times New Roman"/>
          <w:sz w:val="24"/>
          <w:szCs w:val="20"/>
        </w:rPr>
        <w:t>would send the prop</w:t>
      </w:r>
      <w:r w:rsidR="007E6DB6">
        <w:rPr>
          <w:rFonts w:ascii="Times New Roman" w:eastAsia="Times New Roman" w:hAnsi="Times New Roman" w:cs="Times New Roman"/>
          <w:sz w:val="24"/>
          <w:szCs w:val="20"/>
        </w:rPr>
        <w:t>er price signal to customers.  Given that PSE does not oppose a three-tier rate</w:t>
      </w:r>
      <w:r w:rsidR="0015611F">
        <w:rPr>
          <w:rFonts w:ascii="Times New Roman" w:eastAsia="Times New Roman" w:hAnsi="Times New Roman" w:cs="Times New Roman"/>
          <w:sz w:val="24"/>
          <w:szCs w:val="20"/>
        </w:rPr>
        <w:t xml:space="preserve"> structure</w:t>
      </w:r>
      <w:r w:rsidR="007E6DB6">
        <w:rPr>
          <w:rFonts w:ascii="Times New Roman" w:eastAsia="Times New Roman" w:hAnsi="Times New Roman" w:cs="Times New Roman"/>
          <w:sz w:val="24"/>
          <w:szCs w:val="20"/>
        </w:rPr>
        <w:t xml:space="preserve">, and </w:t>
      </w:r>
      <w:r w:rsidR="0092329E">
        <w:rPr>
          <w:rFonts w:ascii="Times New Roman" w:eastAsia="Times New Roman" w:hAnsi="Times New Roman" w:cs="Times New Roman"/>
          <w:sz w:val="24"/>
          <w:szCs w:val="20"/>
        </w:rPr>
        <w:t>other parties, including Staff, support a three-tier rate stru</w:t>
      </w:r>
      <w:r w:rsidR="0015611F">
        <w:rPr>
          <w:rFonts w:ascii="Times New Roman" w:eastAsia="Times New Roman" w:hAnsi="Times New Roman" w:cs="Times New Roman"/>
          <w:sz w:val="24"/>
          <w:szCs w:val="20"/>
        </w:rPr>
        <w:t xml:space="preserve">cture, the Commission should </w:t>
      </w:r>
      <w:r w:rsidR="0015611F">
        <w:rPr>
          <w:rFonts w:ascii="Times New Roman" w:eastAsia="Times New Roman" w:hAnsi="Times New Roman" w:cs="Times New Roman"/>
          <w:sz w:val="24"/>
          <w:szCs w:val="20"/>
        </w:rPr>
        <w:lastRenderedPageBreak/>
        <w:t>con</w:t>
      </w:r>
      <w:r w:rsidR="0092329E">
        <w:rPr>
          <w:rFonts w:ascii="Times New Roman" w:eastAsia="Times New Roman" w:hAnsi="Times New Roman" w:cs="Times New Roman"/>
          <w:sz w:val="24"/>
          <w:szCs w:val="20"/>
        </w:rPr>
        <w:t xml:space="preserve">vene a technical workshop so that the parties can explore how best to design such a rate structure and what data needs to be collected to calculate </w:t>
      </w:r>
      <w:r w:rsidR="0015611F">
        <w:rPr>
          <w:rFonts w:ascii="Times New Roman" w:eastAsia="Times New Roman" w:hAnsi="Times New Roman" w:cs="Times New Roman"/>
          <w:sz w:val="24"/>
          <w:szCs w:val="20"/>
        </w:rPr>
        <w:t xml:space="preserve">such </w:t>
      </w:r>
      <w:r w:rsidR="000E2FC3">
        <w:rPr>
          <w:rFonts w:ascii="Times New Roman" w:eastAsia="Times New Roman" w:hAnsi="Times New Roman" w:cs="Times New Roman"/>
          <w:sz w:val="24"/>
          <w:szCs w:val="20"/>
        </w:rPr>
        <w:t>rates.</w:t>
      </w:r>
    </w:p>
    <w:p w14:paraId="6FAD14FB" w14:textId="77777777" w:rsidR="006C1987" w:rsidRDefault="006C1987" w:rsidP="006C1987">
      <w:pPr>
        <w:pStyle w:val="Heading1"/>
        <w:widowControl/>
        <w:numPr>
          <w:ilvl w:val="0"/>
          <w:numId w:val="13"/>
        </w:numPr>
        <w:tabs>
          <w:tab w:val="left" w:pos="0"/>
        </w:tabs>
      </w:pPr>
      <w:bookmarkStart w:id="23" w:name="_Toc357674220"/>
      <w:bookmarkStart w:id="24" w:name="_Toc495327158"/>
      <w:r w:rsidRPr="00C067BA">
        <w:t>argument</w:t>
      </w:r>
      <w:bookmarkEnd w:id="23"/>
      <w:bookmarkEnd w:id="24"/>
    </w:p>
    <w:p w14:paraId="5E0AE249" w14:textId="7D4C3E5B" w:rsidR="006C1987" w:rsidRPr="00950160" w:rsidRDefault="00950160" w:rsidP="00D10EE6">
      <w:pPr>
        <w:pStyle w:val="Heading2"/>
      </w:pPr>
      <w:bookmarkStart w:id="25" w:name="_Toc357674221"/>
      <w:bookmarkStart w:id="26" w:name="_Toc495327159"/>
      <w:r w:rsidRPr="00950160">
        <w:t xml:space="preserve">THE COMMISSION SHOULD MAKE </w:t>
      </w:r>
      <w:r w:rsidR="00AD7E50">
        <w:t xml:space="preserve">PSE’s </w:t>
      </w:r>
      <w:r w:rsidRPr="00950160">
        <w:t xml:space="preserve">DECOUPLING </w:t>
      </w:r>
      <w:r w:rsidR="00AD7E50">
        <w:t xml:space="preserve">mechanism </w:t>
      </w:r>
      <w:r w:rsidRPr="00950160">
        <w:t>PERMANENT</w:t>
      </w:r>
      <w:r w:rsidR="006C1987" w:rsidRPr="00950160">
        <w:t>.</w:t>
      </w:r>
      <w:bookmarkEnd w:id="25"/>
      <w:bookmarkEnd w:id="26"/>
    </w:p>
    <w:p w14:paraId="77F27129" w14:textId="44E2F77F" w:rsidR="00950160" w:rsidRPr="00950160" w:rsidRDefault="00F861E6" w:rsidP="00464C71">
      <w:pPr>
        <w:pStyle w:val="BodyText"/>
        <w:numPr>
          <w:ilvl w:val="0"/>
          <w:numId w:val="14"/>
        </w:numPr>
        <w:ind w:left="0" w:hanging="540"/>
      </w:pPr>
      <w:r>
        <w:tab/>
      </w:r>
      <w:r w:rsidR="00C97459" w:rsidRPr="00AD5E7E">
        <w:t>NWEC witness Ms. Amanda Levin’s testimony addressed decoupling</w:t>
      </w:r>
      <w:r w:rsidR="00C97459">
        <w:t>,</w:t>
      </w:r>
      <w:r w:rsidR="00C97459" w:rsidRPr="00AD5E7E">
        <w:rPr>
          <w:vertAlign w:val="superscript"/>
        </w:rPr>
        <w:footnoteReference w:id="1"/>
      </w:r>
      <w:r w:rsidR="00C97459">
        <w:t xml:space="preserve"> highlighting i</w:t>
      </w:r>
      <w:r w:rsidR="00950160" w:rsidRPr="00950160">
        <w:t xml:space="preserve">ndependent, third-party reviews </w:t>
      </w:r>
      <w:r w:rsidR="00C97459">
        <w:t xml:space="preserve">that </w:t>
      </w:r>
      <w:r w:rsidR="00950160" w:rsidRPr="00950160">
        <w:t>concluded the decoupling m</w:t>
      </w:r>
      <w:r w:rsidR="00C97459">
        <w:t>echanism wa</w:t>
      </w:r>
      <w:r w:rsidR="000E2FC3">
        <w:t>s working as intended</w:t>
      </w:r>
      <w:r w:rsidR="00950160" w:rsidRPr="00950160">
        <w:t xml:space="preserve"> with no identifiable downsides.  </w:t>
      </w:r>
      <w:r w:rsidR="00C97459">
        <w:t>Yet d</w:t>
      </w:r>
      <w:r w:rsidR="00471AFA">
        <w:t xml:space="preserve">espite </w:t>
      </w:r>
      <w:r w:rsidR="001427AB">
        <w:t>its</w:t>
      </w:r>
      <w:r w:rsidR="00471AFA">
        <w:t xml:space="preserve"> success</w:t>
      </w:r>
      <w:r w:rsidR="00C97459">
        <w:t>, and the Commission’s long-standing support of decoupling</w:t>
      </w:r>
      <w:r w:rsidR="00471AFA">
        <w:t xml:space="preserve">, </w:t>
      </w:r>
      <w:r w:rsidR="00950160" w:rsidRPr="00950160">
        <w:t xml:space="preserve">parties continue to raise the same unsubstantiated objections to decoupling </w:t>
      </w:r>
      <w:r w:rsidR="000E2FC3">
        <w:t xml:space="preserve">previously rejected by </w:t>
      </w:r>
      <w:r w:rsidR="00950160" w:rsidRPr="00950160">
        <w:t>this</w:t>
      </w:r>
      <w:r w:rsidR="000E2FC3">
        <w:t xml:space="preserve"> Commission</w:t>
      </w:r>
      <w:r w:rsidR="00950160" w:rsidRPr="00950160">
        <w:t>.  Continuing to litigate parties’ ideological opposition to decoupling wastes the resources of parties and the Commission</w:t>
      </w:r>
      <w:r w:rsidR="00471AFA">
        <w:t>; i</w:t>
      </w:r>
      <w:r w:rsidR="00950160" w:rsidRPr="00950160">
        <w:t>t is time for the Commission to order that it will not revisit the merits of electric decoupling for PSE unless and until a party presents concrete evidence of a ma</w:t>
      </w:r>
      <w:r w:rsidR="000E2FC3">
        <w:t>terial change in circumstances.</w:t>
      </w:r>
    </w:p>
    <w:p w14:paraId="2AEC26DC" w14:textId="72B411DB" w:rsidR="00950160" w:rsidRPr="00950160" w:rsidRDefault="00AD7E50" w:rsidP="00950160">
      <w:pPr>
        <w:pStyle w:val="Heading3"/>
      </w:pPr>
      <w:bookmarkStart w:id="27" w:name="_Toc495327160"/>
      <w:r>
        <w:t>T</w:t>
      </w:r>
      <w:r w:rsidR="0090248B">
        <w:t>he Commission’s History a</w:t>
      </w:r>
      <w:r w:rsidR="001427AB">
        <w:t>nd Support f</w:t>
      </w:r>
      <w:r>
        <w:t>or Decoupling.</w:t>
      </w:r>
      <w:bookmarkEnd w:id="27"/>
    </w:p>
    <w:p w14:paraId="409B8E3A" w14:textId="69391CE1" w:rsidR="00950160" w:rsidRPr="00950160" w:rsidRDefault="00950160" w:rsidP="00464C71">
      <w:pPr>
        <w:pStyle w:val="BodyText"/>
        <w:numPr>
          <w:ilvl w:val="0"/>
          <w:numId w:val="14"/>
        </w:numPr>
        <w:ind w:left="0" w:hanging="540"/>
      </w:pPr>
      <w:r>
        <w:tab/>
      </w:r>
      <w:r w:rsidRPr="00950160">
        <w:t>“The Commission has a long history with decoupling,” stretching back to the 1</w:t>
      </w:r>
      <w:bookmarkStart w:id="28" w:name="_BA_Cite_FAD85A_000019"/>
      <w:bookmarkEnd w:id="28"/>
      <w:r w:rsidRPr="00950160">
        <w:t>990s.</w:t>
      </w:r>
      <w:r w:rsidR="000E2FC3">
        <w:rPr>
          <w:rStyle w:val="FootnoteReference"/>
        </w:rPr>
        <w:footnoteReference w:id="2"/>
      </w:r>
      <w:r w:rsidRPr="00950160">
        <w:t xml:space="preserve">  Time and again, evidence before the Commission has shown that decoupling remove</w:t>
      </w:r>
      <w:r w:rsidR="00471AFA">
        <w:t>s</w:t>
      </w:r>
      <w:r w:rsidRPr="00950160">
        <w:t xml:space="preserve"> disincentive</w:t>
      </w:r>
      <w:r w:rsidR="00471AFA">
        <w:t>s</w:t>
      </w:r>
      <w:r w:rsidRPr="00950160">
        <w:t xml:space="preserve"> for utilities to conserve energy.  In 1991, the Commission approved a three-year, experimental decoupling mechanism for Puget Sound Power &amp; Light Company, the predecessor to P</w:t>
      </w:r>
      <w:bookmarkStart w:id="30" w:name="_BA_Cite_FAD85A_000022"/>
      <w:bookmarkEnd w:id="30"/>
      <w:r w:rsidRPr="00950160">
        <w:t>SE.</w:t>
      </w:r>
      <w:r w:rsidR="000E2FC3">
        <w:rPr>
          <w:rStyle w:val="FootnoteReference"/>
        </w:rPr>
        <w:footnoteReference w:id="3"/>
      </w:r>
      <w:r w:rsidRPr="00950160">
        <w:t xml:space="preserve">  “The Commission monitored the program closely and, in 1993, determined it was achieving its primary goal of removing disincentives to the Company’s acquisition of energy </w:t>
      </w:r>
      <w:r w:rsidRPr="00950160">
        <w:lastRenderedPageBreak/>
        <w:t>efficiency.”</w:t>
      </w:r>
      <w:r w:rsidR="000E2FC3">
        <w:rPr>
          <w:rStyle w:val="FootnoteReference"/>
        </w:rPr>
        <w:footnoteReference w:id="4"/>
      </w:r>
      <w:r w:rsidRPr="00950160">
        <w:t xml:space="preserve">  Nonetheless, in 1995, the Commission approved the parties’ stipulation to discontinue the decoupling program, largely because of concerns with the revenue adjustment mechanism.</w:t>
      </w:r>
      <w:r w:rsidR="000E2FC3">
        <w:rPr>
          <w:rStyle w:val="FootnoteReference"/>
        </w:rPr>
        <w:footnoteReference w:id="5"/>
      </w:r>
    </w:p>
    <w:p w14:paraId="2AAC2BC7" w14:textId="7385D582" w:rsidR="00950160" w:rsidRPr="00950160" w:rsidRDefault="00950160" w:rsidP="00464C71">
      <w:pPr>
        <w:pStyle w:val="BodyText"/>
        <w:numPr>
          <w:ilvl w:val="0"/>
          <w:numId w:val="14"/>
        </w:numPr>
        <w:ind w:left="0" w:hanging="540"/>
      </w:pPr>
      <w:r>
        <w:tab/>
      </w:r>
      <w:r w:rsidRPr="00950160">
        <w:t xml:space="preserve">Efforts to revive decoupling for PSE began in earnest in 2010.  In response to inquiries from the Legislature, the Commission released a Policy Statement on regulatory mechanisms </w:t>
      </w:r>
      <w:r w:rsidR="00471AFA">
        <w:t>that</w:t>
      </w:r>
      <w:r w:rsidR="00471AFA" w:rsidRPr="00950160">
        <w:t xml:space="preserve"> </w:t>
      </w:r>
      <w:r w:rsidRPr="00950160">
        <w:t xml:space="preserve">could </w:t>
      </w:r>
      <w:r w:rsidR="00FB6F0D">
        <w:t>give</w:t>
      </w:r>
      <w:r w:rsidR="00FB6F0D" w:rsidRPr="00950160">
        <w:t xml:space="preserve"> </w:t>
      </w:r>
      <w:r w:rsidRPr="00950160">
        <w:t>utilities</w:t>
      </w:r>
      <w:r w:rsidR="00FB6F0D">
        <w:t xml:space="preserve"> incentives</w:t>
      </w:r>
      <w:r w:rsidRPr="00950160">
        <w:t xml:space="preserve"> </w:t>
      </w:r>
      <w:r w:rsidR="00FB6F0D">
        <w:t>for</w:t>
      </w:r>
      <w:r w:rsidR="00FB6F0D" w:rsidRPr="00950160">
        <w:t xml:space="preserve"> </w:t>
      </w:r>
      <w:r w:rsidRPr="00950160">
        <w:t>energy</w:t>
      </w:r>
      <w:r w:rsidR="00FB6F0D">
        <w:t xml:space="preserve"> conservation</w:t>
      </w:r>
      <w:r w:rsidRPr="00950160">
        <w:t>.</w:t>
      </w:r>
      <w:r w:rsidR="000E2FC3">
        <w:rPr>
          <w:rStyle w:val="FootnoteReference"/>
        </w:rPr>
        <w:footnoteReference w:id="6"/>
      </w:r>
      <w:r w:rsidRPr="00950160">
        <w:t xml:space="preserve">  </w:t>
      </w:r>
      <w:r w:rsidR="00FB6F0D">
        <w:t xml:space="preserve">Prior to releasing </w:t>
      </w:r>
      <w:r w:rsidRPr="00950160">
        <w:t xml:space="preserve">the </w:t>
      </w:r>
      <w:r w:rsidR="000E2FC3">
        <w:t>2</w:t>
      </w:r>
      <w:bookmarkStart w:id="35" w:name="_BA_Cite_FAD85A_000063"/>
      <w:bookmarkEnd w:id="35"/>
      <w:r w:rsidR="000E2FC3">
        <w:t xml:space="preserve">010 </w:t>
      </w:r>
      <w:r w:rsidR="00177909">
        <w:t xml:space="preserve">Decoupling </w:t>
      </w:r>
      <w:r w:rsidRPr="00950160">
        <w:t>Policy, the Commission received formal comments and testimony from the public and conducted extensive research.</w:t>
      </w:r>
      <w:r w:rsidR="000E2FC3">
        <w:rPr>
          <w:rStyle w:val="FootnoteReference"/>
        </w:rPr>
        <w:footnoteReference w:id="7"/>
      </w:r>
      <w:r w:rsidR="000E2FC3">
        <w:t xml:space="preserve"> </w:t>
      </w:r>
      <w:r w:rsidRPr="00950160">
        <w:t xml:space="preserve"> The Commission concluded that “a properly constructed full decoupling mechanism that is intended, between general rate cases, to balance out both lost and found margin from any source can be a tool that benefits both the company and its ratepayers.”</w:t>
      </w:r>
      <w:r w:rsidR="000E2FC3">
        <w:rPr>
          <w:rStyle w:val="FootnoteReference"/>
        </w:rPr>
        <w:footnoteReference w:id="8"/>
      </w:r>
    </w:p>
    <w:p w14:paraId="2A182991" w14:textId="13A8EA61" w:rsidR="00950160" w:rsidRPr="00950160" w:rsidRDefault="00950160" w:rsidP="00464C71">
      <w:pPr>
        <w:pStyle w:val="BodyText"/>
        <w:numPr>
          <w:ilvl w:val="0"/>
          <w:numId w:val="14"/>
        </w:numPr>
        <w:ind w:left="0" w:hanging="540"/>
      </w:pPr>
      <w:r>
        <w:tab/>
      </w:r>
      <w:r w:rsidRPr="00950160">
        <w:t>Following the release of the Commission’s Policy Statement, NW Energy Coalition proposed a decoupling mechanism for PSE in 2011.</w:t>
      </w:r>
      <w:r w:rsidR="000E2FC3">
        <w:rPr>
          <w:rStyle w:val="FootnoteReference"/>
        </w:rPr>
        <w:footnoteReference w:id="9"/>
      </w:r>
      <w:r w:rsidRPr="00950160">
        <w:t xml:space="preserve">  In light of PSE’s opposition to the Coalition’s proposal</w:t>
      </w:r>
      <w:r w:rsidR="00FB6F0D">
        <w:t xml:space="preserve"> at that time</w:t>
      </w:r>
      <w:r w:rsidRPr="00950160">
        <w:t xml:space="preserve">, the Commission declined to require a decoupling mechanism, but indicated that </w:t>
      </w:r>
      <w:r w:rsidR="00FB6F0D">
        <w:t>it</w:t>
      </w:r>
      <w:r w:rsidRPr="00950160">
        <w:t xml:space="preserve"> would reconsider the issue if PSE changed its position.</w:t>
      </w:r>
      <w:r w:rsidR="000E2FC3">
        <w:rPr>
          <w:rStyle w:val="FootnoteReference"/>
        </w:rPr>
        <w:footnoteReference w:id="10"/>
      </w:r>
    </w:p>
    <w:p w14:paraId="7BFF62F5" w14:textId="03C02630" w:rsidR="00950160" w:rsidRPr="00950160" w:rsidRDefault="00950160" w:rsidP="00464C71">
      <w:pPr>
        <w:pStyle w:val="BodyText"/>
        <w:numPr>
          <w:ilvl w:val="0"/>
          <w:numId w:val="14"/>
        </w:numPr>
        <w:ind w:left="0" w:hanging="540"/>
      </w:pPr>
      <w:r>
        <w:tab/>
      </w:r>
      <w:r w:rsidRPr="00950160">
        <w:t>After the Commission’s 2012 decision, NW Energy Coalition collaborated with PSE to develop a decoupling mechanism.  PSE and the Coalition consulted with the Co</w:t>
      </w:r>
      <w:r w:rsidR="00FB6F0D">
        <w:t xml:space="preserve">mmission and </w:t>
      </w:r>
      <w:r w:rsidR="00FB6F0D">
        <w:lastRenderedPageBreak/>
        <w:t>other stakeholders</w:t>
      </w:r>
      <w:r w:rsidRPr="00950160">
        <w:t xml:space="preserve"> and convened two technical workshops on decoupling.</w:t>
      </w:r>
      <w:r w:rsidR="00E575EE">
        <w:rPr>
          <w:rStyle w:val="FootnoteReference"/>
        </w:rPr>
        <w:footnoteReference w:id="11"/>
      </w:r>
      <w:r w:rsidRPr="00950160">
        <w:t xml:space="preserve">  In 2013, the Commission approved a revised decoupling proposal submitted by PSE and NW Energy Coalition.</w:t>
      </w:r>
      <w:r w:rsidR="00E575EE">
        <w:rPr>
          <w:rStyle w:val="FootnoteReference"/>
        </w:rPr>
        <w:footnoteReference w:id="12"/>
      </w:r>
    </w:p>
    <w:p w14:paraId="0F84558E" w14:textId="25BBDBB3" w:rsidR="00950160" w:rsidRPr="00950160" w:rsidRDefault="00950160" w:rsidP="0010059E">
      <w:pPr>
        <w:pStyle w:val="Heading3"/>
      </w:pPr>
      <w:bookmarkStart w:id="43" w:name="_Toc495327161"/>
      <w:r w:rsidRPr="00950160">
        <w:t>Inde</w:t>
      </w:r>
      <w:r w:rsidR="001427AB">
        <w:t>pendent Reviews Concluded t</w:t>
      </w:r>
      <w:r w:rsidRPr="00950160">
        <w:t>hat PSE’s Decoupling Me</w:t>
      </w:r>
      <w:r w:rsidR="000F5BEB">
        <w:t xml:space="preserve">chanism </w:t>
      </w:r>
      <w:r w:rsidR="001427AB">
        <w:t>Works a</w:t>
      </w:r>
      <w:r w:rsidR="00636EC7">
        <w:t>s Intended.</w:t>
      </w:r>
      <w:bookmarkEnd w:id="43"/>
    </w:p>
    <w:p w14:paraId="62D2E87F" w14:textId="746D1C1D" w:rsidR="00950160" w:rsidRPr="00DA2A8A" w:rsidRDefault="0010059E" w:rsidP="00D86423">
      <w:pPr>
        <w:pStyle w:val="BodyText"/>
        <w:numPr>
          <w:ilvl w:val="0"/>
          <w:numId w:val="14"/>
        </w:numPr>
        <w:ind w:left="0" w:hanging="540"/>
      </w:pPr>
      <w:r>
        <w:tab/>
      </w:r>
      <w:r w:rsidR="00085B0A">
        <w:t>E</w:t>
      </w:r>
      <w:r w:rsidR="00085B0A" w:rsidRPr="00950160">
        <w:t xml:space="preserve">mpirical </w:t>
      </w:r>
      <w:r w:rsidR="00950160" w:rsidRPr="00950160">
        <w:t xml:space="preserve">evidence </w:t>
      </w:r>
      <w:r w:rsidR="00085B0A">
        <w:t xml:space="preserve">shows </w:t>
      </w:r>
      <w:r w:rsidR="00950160" w:rsidRPr="00950160">
        <w:t xml:space="preserve">that the decoupling program has performed as intended.  The primary goal of decoupling is to remove the utility’s financial disincentive to pursuing energy efficiency.  Specifically, </w:t>
      </w:r>
      <w:r w:rsidR="00C96AAA">
        <w:t xml:space="preserve">decoupling </w:t>
      </w:r>
      <w:r w:rsidR="00950160" w:rsidRPr="00950160">
        <w:t>remove</w:t>
      </w:r>
      <w:r w:rsidR="00C96AAA">
        <w:t>s</w:t>
      </w:r>
      <w:r w:rsidR="00950160" w:rsidRPr="00950160">
        <w:t xml:space="preserve"> the so-called throughput incentive, which rewards </w:t>
      </w:r>
      <w:r w:rsidR="00C96AAA">
        <w:t>a</w:t>
      </w:r>
      <w:r w:rsidR="00950160" w:rsidRPr="00950160">
        <w:t xml:space="preserve"> utility with higher revenues when it increases energy sales.</w:t>
      </w:r>
      <w:r w:rsidR="00FD100D">
        <w:rPr>
          <w:rStyle w:val="FootnoteReference"/>
        </w:rPr>
        <w:footnoteReference w:id="13"/>
      </w:r>
      <w:r w:rsidR="00950160" w:rsidRPr="00950160">
        <w:t xml:space="preserve">  Two independent reviews of the performance of PSE’s decoupling mechanism concluded that </w:t>
      </w:r>
      <w:r w:rsidR="00C96AAA">
        <w:t>PSE’s</w:t>
      </w:r>
      <w:r w:rsidR="00950160" w:rsidRPr="00950160">
        <w:t xml:space="preserve"> program is working as intended, with no identifiable problems.</w:t>
      </w:r>
      <w:r w:rsidR="00FD100D">
        <w:rPr>
          <w:rStyle w:val="FootnoteReference"/>
        </w:rPr>
        <w:footnoteReference w:id="14"/>
      </w:r>
    </w:p>
    <w:p w14:paraId="502E4E04" w14:textId="724F8055" w:rsidR="00950160" w:rsidRPr="00DE6528" w:rsidRDefault="000F5BEB" w:rsidP="00464C71">
      <w:pPr>
        <w:pStyle w:val="BodyText"/>
        <w:numPr>
          <w:ilvl w:val="0"/>
          <w:numId w:val="14"/>
        </w:numPr>
        <w:ind w:left="0" w:hanging="540"/>
      </w:pPr>
      <w:r>
        <w:tab/>
        <w:t>I</w:t>
      </w:r>
      <w:r w:rsidR="00950160" w:rsidRPr="00950160">
        <w:t xml:space="preserve">n both </w:t>
      </w:r>
      <w:r w:rsidR="00F17699">
        <w:t>the Second- and Third-Year R</w:t>
      </w:r>
      <w:r w:rsidR="00950160" w:rsidRPr="00950160">
        <w:t>eports, the consultants concluded that “[t]here is overall stability of good performance (energy efficiency and conservation achievement) in decoupling as compared with the time just prior to decoupling.”</w:t>
      </w:r>
      <w:r w:rsidR="00F17699">
        <w:rPr>
          <w:rStyle w:val="FootnoteReference"/>
        </w:rPr>
        <w:footnoteReference w:id="15"/>
      </w:r>
      <w:r w:rsidR="00950160" w:rsidRPr="00950160">
        <w:t xml:space="preserve">  </w:t>
      </w:r>
      <w:r w:rsidR="00950160" w:rsidRPr="00DE6528">
        <w:t xml:space="preserve">The independent reviews found no evidence that decoupling had harmed customer service, as only one of </w:t>
      </w:r>
      <w:r w:rsidR="00431368" w:rsidRPr="00DE6528">
        <w:t>22</w:t>
      </w:r>
      <w:r w:rsidR="00950160" w:rsidRPr="00DE6528">
        <w:t xml:space="preserve"> customer </w:t>
      </w:r>
      <w:r w:rsidR="00950160" w:rsidRPr="00DE6528">
        <w:lastRenderedPageBreak/>
        <w:t xml:space="preserve">service indicators declined in the years after decoupling—and even for </w:t>
      </w:r>
      <w:r w:rsidR="00431368" w:rsidRPr="00095532">
        <w:t xml:space="preserve">the </w:t>
      </w:r>
      <w:r w:rsidR="00950160" w:rsidRPr="00095532">
        <w:t>one</w:t>
      </w:r>
      <w:r w:rsidR="00431368" w:rsidRPr="00095532">
        <w:t xml:space="preserve"> declining</w:t>
      </w:r>
      <w:r w:rsidR="00950160" w:rsidRPr="00095532">
        <w:t xml:space="preserve"> indicator, PSE’s performance remained within the target values.</w:t>
      </w:r>
      <w:r w:rsidR="00F17699">
        <w:rPr>
          <w:rStyle w:val="FootnoteReference"/>
        </w:rPr>
        <w:footnoteReference w:id="16"/>
      </w:r>
      <w:r w:rsidR="00950160" w:rsidRPr="00095532">
        <w:t xml:space="preserve">  </w:t>
      </w:r>
      <w:r w:rsidR="00950160" w:rsidRPr="00DE6528">
        <w:t>The overall revenue impacts of decoupling have been small (</w:t>
      </w:r>
      <w:r w:rsidR="00950160" w:rsidRPr="00DE6528">
        <w:rPr>
          <w:i/>
        </w:rPr>
        <w:t>i.e.</w:t>
      </w:r>
      <w:r w:rsidR="00950160" w:rsidRPr="00DE6528">
        <w:t>, less than 2% of total revenues), and annual average O&amp;M costs have grown at a lower rate after decoupling than historically.</w:t>
      </w:r>
      <w:r w:rsidR="00F17699">
        <w:rPr>
          <w:rStyle w:val="FootnoteReference"/>
        </w:rPr>
        <w:footnoteReference w:id="17"/>
      </w:r>
    </w:p>
    <w:p w14:paraId="1B73CF4A" w14:textId="577B7738" w:rsidR="00950160" w:rsidRPr="00950160" w:rsidRDefault="000F5BEB" w:rsidP="00464C71">
      <w:pPr>
        <w:pStyle w:val="BodyText"/>
        <w:numPr>
          <w:ilvl w:val="0"/>
          <w:numId w:val="14"/>
        </w:numPr>
        <w:ind w:left="0" w:hanging="540"/>
      </w:pPr>
      <w:r>
        <w:tab/>
        <w:t>P</w:t>
      </w:r>
      <w:r w:rsidR="00950160" w:rsidRPr="00950160">
        <w:t>SE’s implementation of decoupling is consistent with the performance of decoupling in other jurisdictions.  For example, a recent study concluded that decoupled utilities achieve greater levels of energy efficiency than non-decoupled utilities, even compared to utilities with regulatory mechanisms other than decoupling, such as a lost revenue adjustment mechanism.</w:t>
      </w:r>
      <w:r w:rsidR="00F17699">
        <w:rPr>
          <w:rStyle w:val="FootnoteReference"/>
        </w:rPr>
        <w:footnoteReference w:id="18"/>
      </w:r>
    </w:p>
    <w:p w14:paraId="44E40992" w14:textId="31802391" w:rsidR="00950160" w:rsidRPr="00950160" w:rsidRDefault="001427AB" w:rsidP="00636EC7">
      <w:pPr>
        <w:pStyle w:val="Heading3"/>
      </w:pPr>
      <w:bookmarkStart w:id="49" w:name="_Toc495327162"/>
      <w:r>
        <w:t>The Opponents o</w:t>
      </w:r>
      <w:r w:rsidR="00950160" w:rsidRPr="00950160">
        <w:t>f</w:t>
      </w:r>
      <w:r w:rsidR="00636EC7">
        <w:t xml:space="preserve"> Decoupling Provided N</w:t>
      </w:r>
      <w:r w:rsidR="000F5BEB">
        <w:t>o Evidence T</w:t>
      </w:r>
      <w:r w:rsidR="00950160" w:rsidRPr="00950160">
        <w:t>o Substantiate Their Concerns.</w:t>
      </w:r>
      <w:bookmarkEnd w:id="49"/>
    </w:p>
    <w:p w14:paraId="495CD249" w14:textId="34545E42" w:rsidR="00950160" w:rsidRPr="00950160" w:rsidRDefault="000F5BEB" w:rsidP="00464C71">
      <w:pPr>
        <w:pStyle w:val="BodyText"/>
        <w:numPr>
          <w:ilvl w:val="0"/>
          <w:numId w:val="14"/>
        </w:numPr>
        <w:ind w:left="0" w:hanging="540"/>
      </w:pPr>
      <w:r>
        <w:tab/>
        <w:t>I</w:t>
      </w:r>
      <w:r w:rsidR="00950160" w:rsidRPr="00950160">
        <w:t xml:space="preserve">n the face of independent, third-party reviews demonstrating the success of decoupling, Federal Executive Agency </w:t>
      </w:r>
      <w:r w:rsidR="00C96AAA">
        <w:t xml:space="preserve">(“FEA”) </w:t>
      </w:r>
      <w:r w:rsidR="00950160" w:rsidRPr="00950160">
        <w:t xml:space="preserve">witness Mr. </w:t>
      </w:r>
      <w:r w:rsidR="00DE394E">
        <w:t xml:space="preserve">Ali </w:t>
      </w:r>
      <w:r w:rsidR="00950160" w:rsidRPr="00950160">
        <w:t xml:space="preserve">Al-Jabir and </w:t>
      </w:r>
      <w:r w:rsidR="0096547E">
        <w:t>Industrial Customers of Northwest Utilities (“</w:t>
      </w:r>
      <w:r w:rsidR="00950160" w:rsidRPr="00950160">
        <w:t>ICNU</w:t>
      </w:r>
      <w:r w:rsidR="0096547E">
        <w:t>”)</w:t>
      </w:r>
      <w:r w:rsidR="00950160" w:rsidRPr="00950160">
        <w:t xml:space="preserve"> witness Mr. </w:t>
      </w:r>
      <w:r w:rsidR="00DE394E">
        <w:t xml:space="preserve">Michael </w:t>
      </w:r>
      <w:r w:rsidR="00950160" w:rsidRPr="00950160">
        <w:t xml:space="preserve">Gorman repeat unsubstantiated objections to decoupling, many of which this Commission has rejected previously.  </w:t>
      </w:r>
      <w:r w:rsidR="004A4E99">
        <w:t xml:space="preserve">Mr. </w:t>
      </w:r>
      <w:r w:rsidR="00950160" w:rsidRPr="00950160">
        <w:t>Al-Jabir opposes the extension of decoupling on the ground that it discourages customer investments in energy efficiency.</w:t>
      </w:r>
      <w:r w:rsidR="00CF2CA9">
        <w:rPr>
          <w:rStyle w:val="FootnoteReference"/>
        </w:rPr>
        <w:footnoteReference w:id="19"/>
      </w:r>
      <w:r w:rsidR="00950160" w:rsidRPr="00950160">
        <w:t xml:space="preserve">  But when asked to substantiate these claims, Mr. Al-Jabir responded that he had no supporting evidence.</w:t>
      </w:r>
      <w:r w:rsidR="00CF2CA9">
        <w:rPr>
          <w:rStyle w:val="FootnoteReference"/>
        </w:rPr>
        <w:footnoteReference w:id="20"/>
      </w:r>
      <w:r w:rsidR="00950160" w:rsidRPr="00950160">
        <w:t xml:space="preserve">  On the other hand, the Third-Year Report noted that in general, the financial benefits to customers from implementing energy efficiency measures exceed the </w:t>
      </w:r>
      <w:r w:rsidR="00950160" w:rsidRPr="00950160">
        <w:lastRenderedPageBreak/>
        <w:t>decoupling adjustments, and the decoupling adjustments have been too small to discourage customer investments in energy conservation.</w:t>
      </w:r>
      <w:r w:rsidR="00CF2CA9">
        <w:rPr>
          <w:rStyle w:val="FootnoteReference"/>
        </w:rPr>
        <w:footnoteReference w:id="21"/>
      </w:r>
    </w:p>
    <w:p w14:paraId="08FC1F74" w14:textId="79CA92DF" w:rsidR="00950160" w:rsidRPr="00950160" w:rsidRDefault="000F5BEB" w:rsidP="00B07B88">
      <w:pPr>
        <w:pStyle w:val="BodyText"/>
        <w:numPr>
          <w:ilvl w:val="0"/>
          <w:numId w:val="14"/>
        </w:numPr>
        <w:ind w:left="0" w:hanging="540"/>
      </w:pPr>
      <w:r>
        <w:tab/>
        <w:t>S</w:t>
      </w:r>
      <w:r w:rsidR="00950160" w:rsidRPr="00950160">
        <w:t xml:space="preserve">imilarly, while </w:t>
      </w:r>
      <w:r w:rsidR="004A4E99">
        <w:t xml:space="preserve">Mr. </w:t>
      </w:r>
      <w:r w:rsidR="00950160" w:rsidRPr="00950160">
        <w:t>Al-Jabir claimed that decoupling reduces PSE’s incentive to control costs, the Third-Year Report undermines Mr. Al-Jabir’s claim by showing that O&amp;M costs grew at a slower rate after decoupling than before decoupling.</w:t>
      </w:r>
      <w:r w:rsidR="00CF2CA9">
        <w:rPr>
          <w:rStyle w:val="FootnoteReference"/>
        </w:rPr>
        <w:footnoteReference w:id="22"/>
      </w:r>
      <w:r w:rsidR="00950160" w:rsidRPr="00950160">
        <w:t xml:space="preserve">  Likewise, when asked to provide evidence to support his claim that decoupling reduces PSE’s incentive to provide quality customer service, Mr. Al-Jabir could provide no such evidence.</w:t>
      </w:r>
      <w:r w:rsidR="00CF2CA9">
        <w:rPr>
          <w:rStyle w:val="FootnoteReference"/>
        </w:rPr>
        <w:footnoteReference w:id="23"/>
      </w:r>
      <w:r w:rsidR="00950160" w:rsidRPr="00950160">
        <w:t xml:space="preserve">  Mr. Al-Jabir’s claim is refuted by the record evidence, which shows that only one of </w:t>
      </w:r>
      <w:r w:rsidR="00C96AAA">
        <w:t>22</w:t>
      </w:r>
      <w:r w:rsidR="00950160" w:rsidRPr="00950160">
        <w:t xml:space="preserve"> customer service indicators declined in the years after decoupling.</w:t>
      </w:r>
      <w:r w:rsidR="00CF2CA9">
        <w:rPr>
          <w:rStyle w:val="FootnoteReference"/>
        </w:rPr>
        <w:footnoteReference w:id="24"/>
      </w:r>
    </w:p>
    <w:p w14:paraId="4B4F4BF4" w14:textId="4C5651F0" w:rsidR="00950160" w:rsidRPr="00950160" w:rsidRDefault="000F5BEB" w:rsidP="00464C71">
      <w:pPr>
        <w:pStyle w:val="BodyText"/>
        <w:numPr>
          <w:ilvl w:val="0"/>
          <w:numId w:val="14"/>
        </w:numPr>
        <w:ind w:left="0" w:hanging="540"/>
      </w:pPr>
      <w:r>
        <w:tab/>
        <w:t>I</w:t>
      </w:r>
      <w:r w:rsidR="00950160" w:rsidRPr="00950160">
        <w:t xml:space="preserve">CNU witness Mr. Gorman </w:t>
      </w:r>
      <w:r w:rsidR="00C96AAA">
        <w:t xml:space="preserve">also </w:t>
      </w:r>
      <w:r w:rsidR="00950160" w:rsidRPr="00950160">
        <w:t>oppose</w:t>
      </w:r>
      <w:r w:rsidR="00C96AAA">
        <w:t>d</w:t>
      </w:r>
      <w:r w:rsidR="00950160" w:rsidRPr="00950160">
        <w:t xml:space="preserve"> the extension of decoupling on the basis that it insulates shareholders from the impacts of fluctuating sale levels.</w:t>
      </w:r>
      <w:r w:rsidR="00CF2CA9">
        <w:rPr>
          <w:rStyle w:val="FootnoteReference"/>
        </w:rPr>
        <w:footnoteReference w:id="25"/>
      </w:r>
      <w:r w:rsidR="00C96AAA">
        <w:t xml:space="preserve">  T</w:t>
      </w:r>
      <w:r w:rsidR="00950160" w:rsidRPr="00950160">
        <w:t>his is a virtue of decoupling</w:t>
      </w:r>
      <w:r w:rsidR="00431368">
        <w:t>, not a vice</w:t>
      </w:r>
      <w:r w:rsidR="00950160" w:rsidRPr="00950160">
        <w:t>.  Under traditional ratemaking principles, the primary way that shareholders can maximize their revenue and profits is by maximizing energy sales.  By making shareholders indifferent to the level of energy sales, decoupling removes the key financial barrier to utilities pursuing energy efficiency.</w:t>
      </w:r>
      <w:r w:rsidR="00CF2CA9">
        <w:rPr>
          <w:rStyle w:val="FootnoteReference"/>
        </w:rPr>
        <w:footnoteReference w:id="26"/>
      </w:r>
      <w:r w:rsidR="00950160" w:rsidRPr="00950160">
        <w:t xml:space="preserve">  Evidence shows that removing the throughput incentive works, as utilities with a decoupling mechanism achieve greater levels of energy efficiency than utilities without decoupling.</w:t>
      </w:r>
      <w:r w:rsidR="00CF2CA9">
        <w:rPr>
          <w:rStyle w:val="FootnoteReference"/>
        </w:rPr>
        <w:footnoteReference w:id="27"/>
      </w:r>
    </w:p>
    <w:p w14:paraId="3C21ACED" w14:textId="06BB05FB" w:rsidR="00950160" w:rsidRPr="00950160" w:rsidRDefault="000F5BEB" w:rsidP="00464C71">
      <w:pPr>
        <w:pStyle w:val="BodyText"/>
        <w:numPr>
          <w:ilvl w:val="0"/>
          <w:numId w:val="14"/>
        </w:numPr>
        <w:ind w:left="0" w:hanging="540"/>
      </w:pPr>
      <w:r>
        <w:lastRenderedPageBreak/>
        <w:tab/>
        <w:t>M</w:t>
      </w:r>
      <w:r w:rsidR="00950160" w:rsidRPr="00950160">
        <w:t>r. Gorman also argues that if decoupling is approved, the Commission should approve a lower return on equity (“ROE”) for PSE.</w:t>
      </w:r>
      <w:r w:rsidR="00CF2CA9">
        <w:rPr>
          <w:rStyle w:val="FootnoteReference"/>
        </w:rPr>
        <w:footnoteReference w:id="28"/>
      </w:r>
      <w:r w:rsidR="00950160" w:rsidRPr="00950160">
        <w:t xml:space="preserve">  Mr. Gorman made the identical argument in the proceeding in which the Commission </w:t>
      </w:r>
      <w:r w:rsidR="00431368">
        <w:t xml:space="preserve">first </w:t>
      </w:r>
      <w:r w:rsidR="00950160" w:rsidRPr="00950160">
        <w:t>approved decoupling for PSE, and the Commission squarely rejected Mr. Gorman’s argument</w:t>
      </w:r>
      <w:r w:rsidR="00431368">
        <w:t xml:space="preserve"> there</w:t>
      </w:r>
      <w:r w:rsidR="00950160" w:rsidRPr="00950160">
        <w:t>.</w:t>
      </w:r>
      <w:r w:rsidR="00CF2CA9">
        <w:rPr>
          <w:rStyle w:val="FootnoteReference"/>
        </w:rPr>
        <w:footnoteReference w:id="29"/>
      </w:r>
      <w:r w:rsidR="00950160" w:rsidRPr="00950160">
        <w:t xml:space="preserve">  The Commission found that “the record does not even fully support the proposition that equity markets recognize and respond to the forms of risk reduction that accompany the implementation of decoupling mechanisms” and “absent evidence actually demonstrating the theory’s effect in practice on either the debt or equity markets there is no evidentiary basis upon which the Commission can order a reduction in the Company’s cost of capital.”</w:t>
      </w:r>
      <w:r w:rsidR="00CF2CA9">
        <w:rPr>
          <w:rStyle w:val="FootnoteReference"/>
        </w:rPr>
        <w:footnoteReference w:id="30"/>
      </w:r>
      <w:r w:rsidR="00950160" w:rsidRPr="00950160">
        <w:t xml:space="preserve">  Just as in the prior proceeding, Mr. Gorman has presented no evidence that equity markets have responded to implementation of decoupling, and thus the evidentiary record on this issue remains exactly as it did in 2013.  The Commission should reach the sam</w:t>
      </w:r>
      <w:r w:rsidR="00C96AAA">
        <w:t>e result here as it did in 2013</w:t>
      </w:r>
      <w:r w:rsidR="00950160" w:rsidRPr="00950160">
        <w:t xml:space="preserve"> and reject Mr. Gorman’s unsupported proposal.</w:t>
      </w:r>
    </w:p>
    <w:p w14:paraId="04178C5F" w14:textId="75E19569" w:rsidR="00636EC7" w:rsidRDefault="00950160" w:rsidP="00464C71">
      <w:pPr>
        <w:pStyle w:val="BodyText"/>
        <w:numPr>
          <w:ilvl w:val="0"/>
          <w:numId w:val="14"/>
        </w:numPr>
        <w:ind w:left="0" w:hanging="540"/>
      </w:pPr>
      <w:r w:rsidRPr="00950160">
        <w:tab/>
      </w:r>
      <w:r w:rsidRPr="00C96AAA">
        <w:t>In sum</w:t>
      </w:r>
      <w:r w:rsidRPr="00950160">
        <w:t xml:space="preserve">, FEA’s and ICNU’s opposition to extending decoupling rests on ideology, not evidence.  The only evidence in the record concerning the performance of PSE’s decoupling mechanism indicates that </w:t>
      </w:r>
      <w:r w:rsidR="00C96AAA">
        <w:t xml:space="preserve">(1) </w:t>
      </w:r>
      <w:r w:rsidRPr="00950160">
        <w:t>PSE is achieving signific</w:t>
      </w:r>
      <w:r w:rsidR="00C96AAA">
        <w:t>ant levels of energy efficiency;</w:t>
      </w:r>
      <w:r w:rsidRPr="00950160">
        <w:t xml:space="preserve"> </w:t>
      </w:r>
      <w:r w:rsidR="00C96AAA">
        <w:t xml:space="preserve">(2) </w:t>
      </w:r>
      <w:r w:rsidRPr="00950160">
        <w:t>revenue adjustments f</w:t>
      </w:r>
      <w:r w:rsidR="00C96AAA">
        <w:t xml:space="preserve">rom decoupling have been small; (3) </w:t>
      </w:r>
      <w:r w:rsidRPr="00950160">
        <w:t>customer service has n</w:t>
      </w:r>
      <w:r w:rsidR="00C96AAA">
        <w:t xml:space="preserve">ot suffered; </w:t>
      </w:r>
      <w:r w:rsidRPr="00950160">
        <w:t xml:space="preserve">and </w:t>
      </w:r>
      <w:r w:rsidR="00C96AAA">
        <w:t xml:space="preserve">(4) </w:t>
      </w:r>
      <w:r w:rsidRPr="00950160">
        <w:t>the growth in O&amp;M costs has actually declined during decoupling.</w:t>
      </w:r>
      <w:r w:rsidR="00CF2CA9">
        <w:rPr>
          <w:rStyle w:val="FootnoteReference"/>
        </w:rPr>
        <w:footnoteReference w:id="31"/>
      </w:r>
      <w:r w:rsidRPr="00950160">
        <w:t xml:space="preserve">  Given that the decoupling mechanism has performed as intended, the Commis</w:t>
      </w:r>
      <w:r w:rsidR="00CF2CA9">
        <w:t>sion should make it permanent.</w:t>
      </w:r>
      <w:r w:rsidR="0090248B">
        <w:rPr>
          <w:rStyle w:val="FootnoteReference"/>
        </w:rPr>
        <w:footnoteReference w:id="32"/>
      </w:r>
    </w:p>
    <w:p w14:paraId="141BEA30" w14:textId="141846FC" w:rsidR="00636EC7" w:rsidRPr="00636EC7" w:rsidRDefault="00636EC7" w:rsidP="00D10EE6">
      <w:pPr>
        <w:pStyle w:val="Heading2"/>
      </w:pPr>
      <w:bookmarkStart w:id="59" w:name="_Toc495327163"/>
      <w:r w:rsidRPr="00636EC7">
        <w:lastRenderedPageBreak/>
        <w:t xml:space="preserve">THE COMMISSION </w:t>
      </w:r>
      <w:r w:rsidRPr="00D10EE6">
        <w:t>SHOULD</w:t>
      </w:r>
      <w:r w:rsidRPr="00636EC7">
        <w:t xml:space="preserve"> REJECT PSE’S AND STAFF’S PROPOSALS TO INCREASE </w:t>
      </w:r>
      <w:r w:rsidR="00D0206C">
        <w:t xml:space="preserve">BASIC </w:t>
      </w:r>
      <w:r w:rsidR="00860CC2">
        <w:t>monthly</w:t>
      </w:r>
      <w:r w:rsidRPr="00636EC7">
        <w:t xml:space="preserve"> CUSTOMER CHARGES.</w:t>
      </w:r>
      <w:bookmarkEnd w:id="59"/>
    </w:p>
    <w:p w14:paraId="0DF3EABD" w14:textId="0195A471" w:rsidR="00636EC7" w:rsidRPr="00636EC7" w:rsidRDefault="00636EC7" w:rsidP="00464C71">
      <w:pPr>
        <w:pStyle w:val="BodyText"/>
        <w:numPr>
          <w:ilvl w:val="0"/>
          <w:numId w:val="14"/>
        </w:numPr>
        <w:ind w:left="0" w:hanging="540"/>
      </w:pPr>
      <w:r w:rsidRPr="00636EC7">
        <w:tab/>
        <w:t xml:space="preserve">PSE’s and Staff’s proposals to increase </w:t>
      </w:r>
      <w:r w:rsidR="00860CC2">
        <w:t>monthly</w:t>
      </w:r>
      <w:r w:rsidRPr="00636EC7">
        <w:t xml:space="preserve"> charges for residential electric customers are based on the unprecedented treatment of line transformer costs as customer-related costs.  Indeed, both PSE and Staff acknowledge that if the Commission adheres to its long-standing position that line transformer costs are not customer-related, there is no basis for increasing the monthly basic charge or imposing a new minimum bill.  In addition to being inconsistent with Commission decisions, the proposals to increase </w:t>
      </w:r>
      <w:r w:rsidR="00860CC2">
        <w:t>monthly</w:t>
      </w:r>
      <w:r w:rsidRPr="00636EC7">
        <w:t xml:space="preserve"> charges are regressive rate designs that would hurt low-income customers and impose barriers to conserving energy.  The Commission should reje</w:t>
      </w:r>
      <w:r w:rsidR="004C0742">
        <w:t>ct PSE’s and Staff’s proposals</w:t>
      </w:r>
      <w:r w:rsidR="00635B11">
        <w:t xml:space="preserve">, which </w:t>
      </w:r>
      <w:r w:rsidR="00AD7E50">
        <w:t>are neither fair nor reasonable.</w:t>
      </w:r>
      <w:r w:rsidR="00CF2CA9">
        <w:rPr>
          <w:rStyle w:val="FootnoteReference"/>
        </w:rPr>
        <w:footnoteReference w:id="33"/>
      </w:r>
    </w:p>
    <w:p w14:paraId="2E6CB507" w14:textId="4D34FB2E" w:rsidR="00636EC7" w:rsidRPr="00636EC7" w:rsidRDefault="001427AB" w:rsidP="00636EC7">
      <w:pPr>
        <w:pStyle w:val="Heading3"/>
      </w:pPr>
      <w:bookmarkStart w:id="61" w:name="_Toc495327164"/>
      <w:r>
        <w:t>PSE a</w:t>
      </w:r>
      <w:r w:rsidR="00216481">
        <w:t>nd Staff Concede T</w:t>
      </w:r>
      <w:r w:rsidR="00636EC7" w:rsidRPr="00636EC7">
        <w:t>hat No Increa</w:t>
      </w:r>
      <w:r>
        <w:t>se i</w:t>
      </w:r>
      <w:r w:rsidR="004C0742">
        <w:t>n</w:t>
      </w:r>
      <w:r>
        <w:t xml:space="preserve"> </w:t>
      </w:r>
      <w:r w:rsidR="00860CC2">
        <w:t>Monthly</w:t>
      </w:r>
      <w:r>
        <w:t xml:space="preserve"> Charges Is Necessary If t</w:t>
      </w:r>
      <w:r w:rsidR="004C0742">
        <w:t>he Commission Adhe</w:t>
      </w:r>
      <w:r>
        <w:t>res To Long-Standing Precedent t</w:t>
      </w:r>
      <w:r w:rsidR="004C0742">
        <w:t>hat Line Transformers Are N</w:t>
      </w:r>
      <w:r w:rsidR="00636EC7" w:rsidRPr="00636EC7">
        <w:t>ot Customer-Related Costs.</w:t>
      </w:r>
      <w:bookmarkEnd w:id="61"/>
    </w:p>
    <w:p w14:paraId="1B698884" w14:textId="7468A186" w:rsidR="00636EC7" w:rsidRPr="00636EC7" w:rsidRDefault="00636EC7" w:rsidP="00464C71">
      <w:pPr>
        <w:pStyle w:val="BodyText"/>
        <w:numPr>
          <w:ilvl w:val="0"/>
          <w:numId w:val="14"/>
        </w:numPr>
        <w:ind w:left="0" w:hanging="540"/>
      </w:pPr>
      <w:r w:rsidRPr="00636EC7">
        <w:tab/>
        <w:t>PSE proposes to increase the existing monthly basic charge for residential electric customers from $7.49 to $9.00.</w:t>
      </w:r>
      <w:r w:rsidR="00CF2CA9">
        <w:rPr>
          <w:rStyle w:val="FootnoteReference"/>
        </w:rPr>
        <w:footnoteReference w:id="34"/>
      </w:r>
      <w:r w:rsidRPr="00636EC7">
        <w:t xml:space="preserve">  PSE witness </w:t>
      </w:r>
      <w:r w:rsidR="004A4E99">
        <w:t xml:space="preserve">Mr. </w:t>
      </w:r>
      <w:r w:rsidRPr="00636EC7">
        <w:t>Jon Piliaris begins from the premise that PSE should recover its customer-related costs through the monthly basic charge.</w:t>
      </w:r>
      <w:r w:rsidR="00893D4B">
        <w:rPr>
          <w:rStyle w:val="FootnoteReference"/>
        </w:rPr>
        <w:footnoteReference w:id="35"/>
      </w:r>
      <w:r w:rsidRPr="00636EC7">
        <w:t xml:space="preserve">  According to Mr. Piliaris, a cost is customer-related if it varies with the number of customers, as opposed to varying with peak demand or the amount of energy sold or transported.</w:t>
      </w:r>
      <w:r w:rsidR="00893D4B">
        <w:rPr>
          <w:rStyle w:val="FootnoteReference"/>
        </w:rPr>
        <w:footnoteReference w:id="36"/>
      </w:r>
      <w:r w:rsidRPr="00636EC7">
        <w:t xml:space="preserve">  As Mr. Piliaris explained, “[c]ustomer-related costs are those costs that would be needed to serve customers </w:t>
      </w:r>
      <w:r w:rsidRPr="00636EC7">
        <w:lastRenderedPageBreak/>
        <w:t>regardless of their level of energy usage.”</w:t>
      </w:r>
      <w:r w:rsidR="00893D4B">
        <w:rPr>
          <w:rStyle w:val="FootnoteReference"/>
        </w:rPr>
        <w:footnoteReference w:id="37"/>
      </w:r>
    </w:p>
    <w:p w14:paraId="3AA6E18E" w14:textId="488802D9" w:rsidR="00636EC7" w:rsidRPr="00636EC7" w:rsidRDefault="004C0742" w:rsidP="00464C71">
      <w:pPr>
        <w:pStyle w:val="BodyText"/>
        <w:numPr>
          <w:ilvl w:val="0"/>
          <w:numId w:val="14"/>
        </w:numPr>
        <w:ind w:left="0" w:hanging="540"/>
      </w:pPr>
      <w:r>
        <w:tab/>
        <w:t>S</w:t>
      </w:r>
      <w:r w:rsidR="00636EC7" w:rsidRPr="00636EC7">
        <w:t xml:space="preserve">taff largely adopts the same general approach as PSE to customer-related costs, except that Staff believes that PSE’s proposed increase does not go nearly far enough.  Staff proposes a new minimum bill on top of the existing basic charge, for a total </w:t>
      </w:r>
      <w:r w:rsidR="001003B2">
        <w:t>basic</w:t>
      </w:r>
      <w:r w:rsidR="00636EC7" w:rsidRPr="00636EC7">
        <w:t xml:space="preserve"> monthly fee of $10.88, far above the current basic monthly charge of $7.49.</w:t>
      </w:r>
      <w:r w:rsidR="00893D4B">
        <w:rPr>
          <w:rStyle w:val="FootnoteReference"/>
        </w:rPr>
        <w:footnoteReference w:id="38"/>
      </w:r>
    </w:p>
    <w:p w14:paraId="4A07DA33" w14:textId="17CD9E5E" w:rsidR="00636EC7" w:rsidRPr="00636EC7" w:rsidRDefault="00636EC7" w:rsidP="00D0206C">
      <w:pPr>
        <w:pStyle w:val="BodyText"/>
        <w:numPr>
          <w:ilvl w:val="0"/>
          <w:numId w:val="14"/>
        </w:numPr>
        <w:ind w:left="0" w:hanging="540"/>
      </w:pPr>
      <w:r w:rsidRPr="00636EC7">
        <w:tab/>
      </w:r>
      <w:r w:rsidR="002E1994">
        <w:t>N</w:t>
      </w:r>
      <w:r w:rsidRPr="00636EC7">
        <w:t xml:space="preserve">o significant increase in </w:t>
      </w:r>
      <w:r w:rsidR="00860CC2">
        <w:t>monthly</w:t>
      </w:r>
      <w:r w:rsidRPr="00636EC7">
        <w:t xml:space="preserve"> charges would be necessary if line transformer costs </w:t>
      </w:r>
      <w:r w:rsidR="00D10EE6">
        <w:t>were</w:t>
      </w:r>
      <w:r w:rsidR="00D10EE6" w:rsidRPr="00636EC7">
        <w:t xml:space="preserve"> </w:t>
      </w:r>
      <w:r w:rsidRPr="00636EC7">
        <w:t xml:space="preserve">not customer-related costs.  </w:t>
      </w:r>
      <w:r w:rsidR="002E1994">
        <w:t>Public Counsel and NWEC witnesses demonstrated that if line transformer costs are excluded, customer-related costs are well below the $9.00 basic monthly charge proposed by PSE.</w:t>
      </w:r>
      <w:r w:rsidR="00893D4B" w:rsidRPr="00D13C91">
        <w:rPr>
          <w:rStyle w:val="FootnoteReference"/>
        </w:rPr>
        <w:footnoteReference w:id="39"/>
      </w:r>
      <w:r w:rsidRPr="00636EC7">
        <w:t xml:space="preserve">  Similarly, Staff witness Mr. </w:t>
      </w:r>
      <w:r w:rsidR="00474CC5">
        <w:t xml:space="preserve">Jason </w:t>
      </w:r>
      <w:r w:rsidRPr="00636EC7">
        <w:t xml:space="preserve">Ball calculated that there would be no need for new </w:t>
      </w:r>
      <w:r w:rsidR="00860CC2">
        <w:t>monthly</w:t>
      </w:r>
      <w:r w:rsidRPr="00636EC7">
        <w:t xml:space="preserve"> charges if line transformer costs are excluded from customer-related costs.</w:t>
      </w:r>
      <w:r w:rsidR="00893D4B">
        <w:rPr>
          <w:rStyle w:val="FootnoteReference"/>
        </w:rPr>
        <w:footnoteReference w:id="40"/>
      </w:r>
    </w:p>
    <w:p w14:paraId="0DC5863D" w14:textId="601890B6" w:rsidR="00636EC7" w:rsidRPr="00636EC7" w:rsidRDefault="004C0742" w:rsidP="00464C71">
      <w:pPr>
        <w:pStyle w:val="BodyText"/>
        <w:numPr>
          <w:ilvl w:val="0"/>
          <w:numId w:val="14"/>
        </w:numPr>
        <w:ind w:left="0" w:hanging="540"/>
      </w:pPr>
      <w:r>
        <w:tab/>
      </w:r>
      <w:r w:rsidR="00D0206C">
        <w:t>T</w:t>
      </w:r>
      <w:r w:rsidR="00636EC7" w:rsidRPr="00636EC7">
        <w:t>here are sound policy reasons for not treating line transformer costs as customer-related.  As PSE witness Mr. Piliaris noted, customer-related costs “are those costs that would be needed to serve customers regardless of their level of energy usage.”</w:t>
      </w:r>
      <w:r w:rsidR="00ED1EAE">
        <w:rPr>
          <w:rStyle w:val="FootnoteReference"/>
        </w:rPr>
        <w:footnoteReference w:id="41"/>
      </w:r>
      <w:r w:rsidR="00636EC7" w:rsidRPr="00636EC7">
        <w:t xml:space="preserve">  Line transformer c</w:t>
      </w:r>
      <w:r w:rsidR="00C96AAA">
        <w:t>osts do not meet this criterion</w:t>
      </w:r>
      <w:r w:rsidR="00636EC7" w:rsidRPr="00636EC7">
        <w:t xml:space="preserve"> because line transformers are sized and installed based on customers’ expected peak load, and </w:t>
      </w:r>
      <w:r w:rsidR="00C96AAA">
        <w:t>those</w:t>
      </w:r>
      <w:r w:rsidR="00636EC7" w:rsidRPr="00636EC7">
        <w:t xml:space="preserve"> line transformer costs vary with energy usage.</w:t>
      </w:r>
      <w:r w:rsidR="00ED1EAE">
        <w:rPr>
          <w:rStyle w:val="FootnoteReference"/>
        </w:rPr>
        <w:footnoteReference w:id="42"/>
      </w:r>
      <w:r w:rsidR="007B7EBC">
        <w:t xml:space="preserve">  </w:t>
      </w:r>
      <w:r w:rsidR="00636EC7" w:rsidRPr="00636EC7">
        <w:t>The goal of the basic service charge is to recover the incremental cost</w:t>
      </w:r>
      <w:r w:rsidR="00C96AAA">
        <w:t xml:space="preserve"> of serving a new customer; </w:t>
      </w:r>
      <w:r w:rsidR="00636EC7" w:rsidRPr="00636EC7">
        <w:t xml:space="preserve">building a new </w:t>
      </w:r>
      <w:r w:rsidR="00636EC7" w:rsidRPr="00636EC7">
        <w:lastRenderedPageBreak/>
        <w:t>transformer is usually not required to serv</w:t>
      </w:r>
      <w:r>
        <w:t>e a new residential customer.</w:t>
      </w:r>
    </w:p>
    <w:p w14:paraId="6DBB8A5B" w14:textId="0E5E9AFE" w:rsidR="00636EC7" w:rsidRDefault="004C0742" w:rsidP="00464C71">
      <w:pPr>
        <w:pStyle w:val="BodyText"/>
        <w:numPr>
          <w:ilvl w:val="0"/>
          <w:numId w:val="14"/>
        </w:numPr>
        <w:ind w:left="0" w:hanging="540"/>
      </w:pPr>
      <w:r>
        <w:tab/>
        <w:t>I</w:t>
      </w:r>
      <w:r w:rsidR="00636EC7" w:rsidRPr="00636EC7">
        <w:t>n addition, the cost of meter reading, billing, meters</w:t>
      </w:r>
      <w:r w:rsidR="00C96AAA">
        <w:t>,</w:t>
      </w:r>
      <w:r w:rsidR="00636EC7" w:rsidRPr="00636EC7">
        <w:t xml:space="preserve"> and service drops are relatively uniform for all customers, whereas the cost of line transformers varies greatly across different classes of customers.  A line transformer may serve only one customer in a rural area, but serve five to ten customers in a suburb, and twenty to one hundred customers in a city.</w:t>
      </w:r>
      <w:r w:rsidR="00ED1EAE">
        <w:rPr>
          <w:rStyle w:val="FootnoteReference"/>
        </w:rPr>
        <w:footnoteReference w:id="43"/>
      </w:r>
      <w:r w:rsidR="00636EC7" w:rsidRPr="00636EC7">
        <w:t xml:space="preserve">  Recovering line transformer costs through a </w:t>
      </w:r>
      <w:r w:rsidR="00860CC2">
        <w:t>monthly</w:t>
      </w:r>
      <w:r w:rsidR="00636EC7" w:rsidRPr="00636EC7">
        <w:t xml:space="preserve"> charge would ignore this wide variation in line transformer costs attributable to the various cla</w:t>
      </w:r>
      <w:r w:rsidR="001427AB">
        <w:t>sses of residential customers.</w:t>
      </w:r>
    </w:p>
    <w:p w14:paraId="7FE94492" w14:textId="5F1CE6C7" w:rsidR="00D0206C" w:rsidRPr="00636EC7" w:rsidRDefault="00D0206C" w:rsidP="00D0206C">
      <w:pPr>
        <w:pStyle w:val="BodyText"/>
        <w:numPr>
          <w:ilvl w:val="0"/>
          <w:numId w:val="14"/>
        </w:numPr>
        <w:ind w:left="0" w:hanging="540"/>
      </w:pPr>
      <w:r>
        <w:tab/>
        <w:t>T</w:t>
      </w:r>
      <w:r w:rsidRPr="00636EC7">
        <w:t>he Commission should reject PSE’s and Staff’s invitation to depart from the Commission’s long-standing position that line transformer costs are not customer-related costs.  The Commission has repeatedly held that “the only costs which should be considered customer-related are the costs of meters, services, meter reading, and billing.”</w:t>
      </w:r>
      <w:r>
        <w:rPr>
          <w:rStyle w:val="FootnoteReference"/>
        </w:rPr>
        <w:footnoteReference w:id="44"/>
      </w:r>
      <w:r w:rsidRPr="00636EC7">
        <w:t xml:space="preserve">  A</w:t>
      </w:r>
      <w:r>
        <w:t>s the Commission explained:</w:t>
      </w:r>
    </w:p>
    <w:p w14:paraId="32F899F7" w14:textId="77777777" w:rsidR="00D0206C" w:rsidRDefault="00D0206C" w:rsidP="00D0206C">
      <w:pPr>
        <w:pStyle w:val="BodyText"/>
        <w:spacing w:line="240" w:lineRule="auto"/>
        <w:ind w:left="720" w:right="720" w:firstLine="0"/>
      </w:pPr>
      <w:r w:rsidRPr="00636EC7">
        <w:t>In this case, the only directive the Commission will give regarding future cost of service studies is to repeat its rejection of the inclusion of the costs of a minimum-sized distribution system among customer-related costs.  As the Commission stated in previous orders, the minimum system method is likely to lead to the double allocation of costs to residential customers and over-allocation of costs to low-use customers.  Costs such as meter reading, billing, the cost of meters and service drops, are properly attributable to the marginal cost of serving a single customer.  The cost of a minimum sized system is not.  The parties should not use the minimum system approach in future studies</w:t>
      </w:r>
      <w:r>
        <w:t>.</w:t>
      </w:r>
      <w:r>
        <w:rPr>
          <w:rStyle w:val="FootnoteReference"/>
        </w:rPr>
        <w:footnoteReference w:id="45"/>
      </w:r>
    </w:p>
    <w:p w14:paraId="06375534" w14:textId="77777777" w:rsidR="00D0206C" w:rsidRDefault="00D0206C" w:rsidP="00D0206C">
      <w:pPr>
        <w:pStyle w:val="BodyText"/>
        <w:spacing w:line="240" w:lineRule="auto"/>
        <w:ind w:left="720" w:right="720" w:firstLine="0"/>
      </w:pPr>
    </w:p>
    <w:p w14:paraId="13CC4F69" w14:textId="77777777" w:rsidR="00D0206C" w:rsidRPr="00636EC7" w:rsidRDefault="00D0206C" w:rsidP="00D0206C">
      <w:pPr>
        <w:pStyle w:val="BodyText"/>
        <w:ind w:firstLine="0"/>
      </w:pPr>
      <w:r>
        <w:t>More recently, the Commission again “</w:t>
      </w:r>
      <w:r w:rsidRPr="00893D4B">
        <w:t>reject</w:t>
      </w:r>
      <w:r>
        <w:t>[ed]</w:t>
      </w:r>
      <w:r w:rsidRPr="00893D4B">
        <w:t xml:space="preserve"> the Company’s and Staff’s proposals to increase significantly the basic charge to residential customers.  The Commission is not prepared to move away from the long-accepted principle that bas</w:t>
      </w:r>
      <w:r>
        <w:t xml:space="preserve">ic charges should reflect only ‘direct </w:t>
      </w:r>
      <w:r>
        <w:lastRenderedPageBreak/>
        <w:t>customer costs’</w:t>
      </w:r>
      <w:r w:rsidRPr="00893D4B">
        <w:t xml:space="preserve"> such a</w:t>
      </w:r>
      <w:r>
        <w:t>s meter reading and billing.”</w:t>
      </w:r>
      <w:r>
        <w:rPr>
          <w:rStyle w:val="FootnoteReference"/>
        </w:rPr>
        <w:footnoteReference w:id="46"/>
      </w:r>
    </w:p>
    <w:p w14:paraId="5E6CB55F" w14:textId="070DA9B5" w:rsidR="00D0206C" w:rsidRPr="00636EC7" w:rsidRDefault="00D0206C" w:rsidP="00D0206C">
      <w:pPr>
        <w:pStyle w:val="BodyText"/>
        <w:numPr>
          <w:ilvl w:val="0"/>
          <w:numId w:val="14"/>
        </w:numPr>
        <w:ind w:left="0" w:hanging="540"/>
      </w:pPr>
      <w:r>
        <w:tab/>
        <w:t>C</w:t>
      </w:r>
      <w:r w:rsidRPr="00636EC7">
        <w:t>lassifying line transformer costs as customer-related would not only be a radical departure from this Commission’s prior orders, it would be unprecedented for any Com</w:t>
      </w:r>
      <w:r>
        <w:t>mission in the country, as Staff w</w:t>
      </w:r>
      <w:r w:rsidRPr="00636EC7">
        <w:t xml:space="preserve">itness </w:t>
      </w:r>
      <w:r>
        <w:t>Mr.</w:t>
      </w:r>
      <w:r w:rsidRPr="00636EC7">
        <w:t xml:space="preserve"> Ball conceded on cross examination</w:t>
      </w:r>
      <w:r>
        <w:t>.</w:t>
      </w:r>
      <w:r w:rsidRPr="009E50AC">
        <w:rPr>
          <w:rStyle w:val="FootnoteReference"/>
        </w:rPr>
        <w:t xml:space="preserve"> </w:t>
      </w:r>
      <w:r>
        <w:rPr>
          <w:rStyle w:val="FootnoteReference"/>
        </w:rPr>
        <w:footnoteReference w:id="47"/>
      </w:r>
    </w:p>
    <w:p w14:paraId="4EB7A7BD" w14:textId="41C32C5A" w:rsidR="00636EC7" w:rsidRPr="00636EC7" w:rsidRDefault="004C0742" w:rsidP="00464C71">
      <w:pPr>
        <w:pStyle w:val="BodyText"/>
        <w:numPr>
          <w:ilvl w:val="0"/>
          <w:numId w:val="14"/>
        </w:numPr>
        <w:ind w:left="0" w:hanging="540"/>
      </w:pPr>
      <w:r>
        <w:tab/>
        <w:t>P</w:t>
      </w:r>
      <w:r w:rsidR="00636EC7" w:rsidRPr="00636EC7">
        <w:t xml:space="preserve">SE’s arguments for reclassifying line transformer costs as customer-related costs do not withstand scrutiny.  PSE witness </w:t>
      </w:r>
      <w:r w:rsidR="004A4E99">
        <w:t>Mr.</w:t>
      </w:r>
      <w:r w:rsidR="00636EC7" w:rsidRPr="00636EC7">
        <w:t xml:space="preserve"> Piliaris suggested that the Company seek</w:t>
      </w:r>
      <w:r w:rsidR="00860CC2">
        <w:t>s</w:t>
      </w:r>
      <w:r w:rsidR="00636EC7" w:rsidRPr="00636EC7">
        <w:t xml:space="preserve"> to recover only some of the line transformer costs through the </w:t>
      </w:r>
      <w:r w:rsidR="00860CC2">
        <w:t>monthly</w:t>
      </w:r>
      <w:r w:rsidR="00636EC7" w:rsidRPr="00636EC7">
        <w:t xml:space="preserve"> charge, but this is beside the point.</w:t>
      </w:r>
      <w:r w:rsidR="00ED1EAE">
        <w:rPr>
          <w:rStyle w:val="FootnoteReference"/>
        </w:rPr>
        <w:footnoteReference w:id="48"/>
      </w:r>
      <w:r w:rsidR="00636EC7" w:rsidRPr="00636EC7">
        <w:t xml:space="preserve">  As explained above, the Commission has already rejected the notion that </w:t>
      </w:r>
      <w:r w:rsidR="00636EC7" w:rsidRPr="00636EC7">
        <w:rPr>
          <w:i/>
        </w:rPr>
        <w:t>any</w:t>
      </w:r>
      <w:r w:rsidR="00636EC7" w:rsidRPr="00636EC7">
        <w:t xml:space="preserve"> line transformer costs should be included in the basic charge.  Furthermore, if the Commission were to accept PSE’s proposal here, that would open the door to PSE seeking to recover a larger share of line transformer costs in the </w:t>
      </w:r>
      <w:r w:rsidR="00860CC2">
        <w:t>monthly customer</w:t>
      </w:r>
      <w:r w:rsidR="00636EC7">
        <w:t xml:space="preserve"> charge in future rate cases.</w:t>
      </w:r>
    </w:p>
    <w:p w14:paraId="76AAE00A" w14:textId="5DF825B8" w:rsidR="00636EC7" w:rsidRPr="00636EC7" w:rsidRDefault="004C0742" w:rsidP="00464C71">
      <w:pPr>
        <w:pStyle w:val="BodyText"/>
        <w:numPr>
          <w:ilvl w:val="0"/>
          <w:numId w:val="14"/>
        </w:numPr>
        <w:ind w:left="0" w:hanging="540"/>
      </w:pPr>
      <w:r>
        <w:tab/>
        <w:t>M</w:t>
      </w:r>
      <w:r w:rsidR="00636EC7" w:rsidRPr="00636EC7">
        <w:t>r. Piliaris also contends that Ms. Levin misconstrues PSE’s construction standards, which support the Company’s proposed change regarding line transformer costs.</w:t>
      </w:r>
      <w:r w:rsidR="00ED1EAE">
        <w:rPr>
          <w:rStyle w:val="FootnoteReference"/>
        </w:rPr>
        <w:footnoteReference w:id="49"/>
      </w:r>
      <w:r w:rsidR="00C96AAA">
        <w:t xml:space="preserve">  T</w:t>
      </w:r>
      <w:r w:rsidR="00636EC7" w:rsidRPr="00636EC7">
        <w:t>he Commission’s orders on ratemaking resolve this issue—not PSE’s construction standards.</w:t>
      </w:r>
    </w:p>
    <w:p w14:paraId="1461CC6F" w14:textId="15AF199B" w:rsidR="00636EC7" w:rsidRPr="00D13C91" w:rsidRDefault="004C0742" w:rsidP="00464C71">
      <w:pPr>
        <w:pStyle w:val="BodyText"/>
        <w:numPr>
          <w:ilvl w:val="0"/>
          <w:numId w:val="14"/>
        </w:numPr>
        <w:ind w:left="0" w:hanging="540"/>
      </w:pPr>
      <w:r>
        <w:tab/>
      </w:r>
      <w:r w:rsidRPr="00D13C91">
        <w:t>M</w:t>
      </w:r>
      <w:r w:rsidR="00636EC7" w:rsidRPr="00D13C91">
        <w:t xml:space="preserve">r. Piliaris also argues that line transformer costs are </w:t>
      </w:r>
      <w:r w:rsidR="006F5A41">
        <w:t>“</w:t>
      </w:r>
      <w:r w:rsidR="00636EC7" w:rsidRPr="00D13C91">
        <w:t>driven in part to serve customers and in part to meet a peak load requirement.”</w:t>
      </w:r>
      <w:r w:rsidR="00A95DB5" w:rsidRPr="00D13C91">
        <w:rPr>
          <w:rStyle w:val="FootnoteReference"/>
        </w:rPr>
        <w:footnoteReference w:id="50"/>
      </w:r>
      <w:r w:rsidR="00636EC7" w:rsidRPr="00D13C91">
        <w:t xml:space="preserve">  Even if this were true, PSE’s proposal contains no explanation of how the Company determined which portion of line transformer costs are customer-related.  Instead, PSE takes the position that all line transformer costs can be included in the basic charge, even if PSE’s proposal in this case does not do so.  </w:t>
      </w:r>
      <w:r w:rsidR="00916D0D">
        <w:t xml:space="preserve">It is unclear whether PSE </w:t>
      </w:r>
      <w:r w:rsidR="00916D0D">
        <w:lastRenderedPageBreak/>
        <w:t xml:space="preserve">believes that only some, or all, line transformer costs should be recovered </w:t>
      </w:r>
      <w:r w:rsidR="00581492">
        <w:t xml:space="preserve">through </w:t>
      </w:r>
      <w:r w:rsidR="00916D0D">
        <w:t xml:space="preserve">the </w:t>
      </w:r>
      <w:r w:rsidR="00581492">
        <w:t xml:space="preserve">monthly </w:t>
      </w:r>
      <w:r w:rsidR="00916D0D">
        <w:t>basic charge</w:t>
      </w:r>
      <w:r w:rsidR="00581492">
        <w:t>; regardless, under Commission precedent, no portion should be reco</w:t>
      </w:r>
      <w:r w:rsidR="004A4E99">
        <w:t>vered through the basic charge.</w:t>
      </w:r>
    </w:p>
    <w:p w14:paraId="06EC67EA" w14:textId="05F106DD" w:rsidR="00636EC7" w:rsidRPr="00636EC7" w:rsidRDefault="002B7DF6" w:rsidP="00464C71">
      <w:pPr>
        <w:pStyle w:val="BodyText"/>
        <w:numPr>
          <w:ilvl w:val="0"/>
          <w:numId w:val="14"/>
        </w:numPr>
        <w:ind w:left="0" w:hanging="540"/>
      </w:pPr>
      <w:r>
        <w:tab/>
        <w:t>T</w:t>
      </w:r>
      <w:r w:rsidR="00636EC7" w:rsidRPr="00636EC7">
        <w:t>he Commission “direct[ed] the parties not to propose the Minimum System approach in the future unless technological changes in the utility industry emerge, justifying revised proposals.”</w:t>
      </w:r>
      <w:r w:rsidR="00A95DB5">
        <w:rPr>
          <w:rStyle w:val="FootnoteReference"/>
        </w:rPr>
        <w:footnoteReference w:id="51"/>
      </w:r>
      <w:r w:rsidR="00636EC7" w:rsidRPr="00636EC7">
        <w:t xml:space="preserve">  There is no evidence in the record of technological changes relevant to classification of line transformer costs having occurred since the Commission’s last orde</w:t>
      </w:r>
      <w:r>
        <w:t>r on this subject.  T</w:t>
      </w:r>
      <w:r w:rsidR="00636EC7" w:rsidRPr="00636EC7">
        <w:t xml:space="preserve">here is </w:t>
      </w:r>
      <w:r>
        <w:t xml:space="preserve">simply </w:t>
      </w:r>
      <w:r w:rsidR="00636EC7" w:rsidRPr="00636EC7">
        <w:t xml:space="preserve">no basis for overturning well-settled Commission precedent that the basic charge excludes the cost of line transformers.  With line transformer costs excluded from </w:t>
      </w:r>
      <w:r w:rsidR="00860CC2">
        <w:t>basic monthly</w:t>
      </w:r>
      <w:r w:rsidR="00636EC7" w:rsidRPr="00636EC7">
        <w:t xml:space="preserve"> charges, there is no basis for increasing </w:t>
      </w:r>
      <w:r w:rsidR="00860CC2">
        <w:t>customer</w:t>
      </w:r>
      <w:r w:rsidR="00636EC7" w:rsidRPr="00636EC7">
        <w:t xml:space="preserve"> charges, and the Commission should reject PSE’s and Staff’s proposals to increase the basic charge and/or impose a new minimum bill</w:t>
      </w:r>
      <w:r w:rsidR="004C0742">
        <w:t>.</w:t>
      </w:r>
      <w:r w:rsidR="008E1448">
        <w:rPr>
          <w:rStyle w:val="FootnoteReference"/>
        </w:rPr>
        <w:footnoteReference w:id="52"/>
      </w:r>
    </w:p>
    <w:p w14:paraId="6222A643" w14:textId="3217679E" w:rsidR="00636EC7" w:rsidRPr="00636EC7" w:rsidRDefault="001427AB" w:rsidP="00636EC7">
      <w:pPr>
        <w:pStyle w:val="Heading3"/>
      </w:pPr>
      <w:bookmarkStart w:id="74" w:name="_Toc495327165"/>
      <w:r>
        <w:t>PSE a</w:t>
      </w:r>
      <w:r w:rsidR="000846DE">
        <w:t>nd Staff</w:t>
      </w:r>
      <w:r w:rsidR="00636EC7" w:rsidRPr="00636EC7">
        <w:t xml:space="preserve"> Proposals Would Disproportiona</w:t>
      </w:r>
      <w:r>
        <w:t>tely Harm Low-Income Customers a</w:t>
      </w:r>
      <w:r w:rsidR="00636EC7" w:rsidRPr="00636EC7">
        <w:t>n</w:t>
      </w:r>
      <w:r w:rsidR="000846DE">
        <w:t>d Reduce Customers’ Incentives T</w:t>
      </w:r>
      <w:r w:rsidR="00636EC7" w:rsidRPr="00636EC7">
        <w:t>o Save Energy.</w:t>
      </w:r>
      <w:bookmarkEnd w:id="74"/>
    </w:p>
    <w:p w14:paraId="665141D6" w14:textId="75FB236A" w:rsidR="00636EC7" w:rsidRPr="00636EC7" w:rsidRDefault="00636EC7" w:rsidP="00464C71">
      <w:pPr>
        <w:pStyle w:val="BodyText"/>
        <w:numPr>
          <w:ilvl w:val="0"/>
          <w:numId w:val="14"/>
        </w:numPr>
        <w:ind w:left="0" w:hanging="540"/>
      </w:pPr>
      <w:r w:rsidRPr="00636EC7">
        <w:tab/>
        <w:t xml:space="preserve">The Commission should reject PSE’s and Staff’s proposals to increase </w:t>
      </w:r>
      <w:r w:rsidR="00860CC2">
        <w:t>monthly</w:t>
      </w:r>
      <w:r w:rsidRPr="00636EC7">
        <w:t xml:space="preserve"> charges for the additional reasons that they would disproportionately impact low-income customers and send the wrong signal to customers about energy conservation.  Any increase in </w:t>
      </w:r>
      <w:r w:rsidR="00860CC2">
        <w:t>monthly</w:t>
      </w:r>
      <w:r w:rsidRPr="00636EC7">
        <w:t xml:space="preserve"> charges impacts low-income customers more than other customers, because any increase is a larger </w:t>
      </w:r>
      <w:r w:rsidRPr="00636EC7">
        <w:lastRenderedPageBreak/>
        <w:t>proportion of a low-income customer’s budget.</w:t>
      </w:r>
      <w:r w:rsidR="007D62AB">
        <w:rPr>
          <w:rStyle w:val="FootnoteReference"/>
        </w:rPr>
        <w:footnoteReference w:id="53"/>
      </w:r>
      <w:r w:rsidRPr="00636EC7">
        <w:t xml:space="preserve">  Moreover, increasing </w:t>
      </w:r>
      <w:r w:rsidR="00860CC2">
        <w:t>basic monthly</w:t>
      </w:r>
      <w:r w:rsidRPr="00636EC7">
        <w:t xml:space="preserve"> charges prevents customers from reducing electricity use to control the amount of their bill, which harms low-income</w:t>
      </w:r>
      <w:r>
        <w:t xml:space="preserve"> customers disproportionately.</w:t>
      </w:r>
    </w:p>
    <w:p w14:paraId="5657A55A" w14:textId="39942DA0" w:rsidR="00636EC7" w:rsidRPr="00636EC7" w:rsidRDefault="00636EC7" w:rsidP="00464C71">
      <w:pPr>
        <w:pStyle w:val="BodyText"/>
        <w:numPr>
          <w:ilvl w:val="0"/>
          <w:numId w:val="14"/>
        </w:numPr>
        <w:ind w:left="0" w:hanging="540"/>
      </w:pPr>
      <w:r w:rsidRPr="00636EC7">
        <w:tab/>
        <w:t xml:space="preserve">Increasing </w:t>
      </w:r>
      <w:r w:rsidR="00860CC2">
        <w:t>basic monthly</w:t>
      </w:r>
      <w:r w:rsidRPr="00636EC7">
        <w:t xml:space="preserve"> charges also sends the wrong price signal to customers.</w:t>
      </w:r>
      <w:r w:rsidR="007D62AB">
        <w:rPr>
          <w:rStyle w:val="FootnoteReference"/>
        </w:rPr>
        <w:footnoteReference w:id="54"/>
      </w:r>
      <w:r w:rsidRPr="00636EC7">
        <w:t xml:space="preserve">  As </w:t>
      </w:r>
      <w:r w:rsidR="00860CC2">
        <w:t>monthly</w:t>
      </w:r>
      <w:r w:rsidRPr="00636EC7">
        <w:t xml:space="preserve"> charges increase, the bill impacts of electricity use </w:t>
      </w:r>
      <w:r w:rsidR="00423D60">
        <w:t xml:space="preserve">reduction </w:t>
      </w:r>
      <w:r w:rsidRPr="00636EC7">
        <w:t xml:space="preserve">decrease.  </w:t>
      </w:r>
      <w:r w:rsidR="00423D60">
        <w:t>Indeed</w:t>
      </w:r>
      <w:r w:rsidRPr="00636EC7">
        <w:t xml:space="preserve">, if more of PSE’s costs were recovered through </w:t>
      </w:r>
      <w:r w:rsidR="00860CC2">
        <w:t>monthly customer</w:t>
      </w:r>
      <w:r w:rsidRPr="00636EC7">
        <w:t xml:space="preserve"> charges, then the volumetric rate would be lower than it would otherwise be, which would further decrease customers’ incentive to conserve electricity.  The Commission rejected a proposal from PacifiCorp and Staff to increase the basic charge precisely because such proposals disincentive customers to conserve </w:t>
      </w:r>
      <w:r>
        <w:t>energy:</w:t>
      </w:r>
    </w:p>
    <w:p w14:paraId="7B6F5C23" w14:textId="41788003" w:rsidR="00636EC7" w:rsidRDefault="00636EC7" w:rsidP="00636EC7">
      <w:pPr>
        <w:pStyle w:val="BodyText"/>
        <w:spacing w:line="240" w:lineRule="auto"/>
        <w:ind w:left="720" w:right="720" w:firstLine="0"/>
      </w:pPr>
      <w:r w:rsidRPr="00636EC7">
        <w:t>We reject the Company’s and Staff’s proposals to increase significantly the basic charge to residential customers.  The Commission is not prepared to move away from the long-accepted principle that basic charges should reflect only “direct customer costs” such as meter reading and billing.  Including distribution costs in the basic charge and increasing it 81 percent, as the Company proposes in this case, does not promote, and may be antithetical to, the realization of conservation goals.</w:t>
      </w:r>
      <w:r w:rsidR="007D62AB">
        <w:rPr>
          <w:rStyle w:val="FootnoteReference"/>
        </w:rPr>
        <w:footnoteReference w:id="55"/>
      </w:r>
    </w:p>
    <w:p w14:paraId="2FA55B0E" w14:textId="77777777" w:rsidR="00636EC7" w:rsidRPr="00636EC7" w:rsidRDefault="00636EC7" w:rsidP="00636EC7">
      <w:pPr>
        <w:pStyle w:val="BodyText"/>
        <w:spacing w:line="240" w:lineRule="auto"/>
        <w:ind w:left="720" w:right="720" w:firstLine="0"/>
      </w:pPr>
    </w:p>
    <w:p w14:paraId="5F40B6DA" w14:textId="7B91E9DC" w:rsidR="00636EC7" w:rsidRDefault="00423D60" w:rsidP="00464C71">
      <w:pPr>
        <w:pStyle w:val="BodyText"/>
        <w:numPr>
          <w:ilvl w:val="0"/>
          <w:numId w:val="14"/>
        </w:numPr>
        <w:ind w:left="0" w:hanging="540"/>
      </w:pPr>
      <w:r>
        <w:tab/>
        <w:t>NWEC asks t</w:t>
      </w:r>
      <w:r w:rsidR="00636EC7" w:rsidRPr="00636EC7">
        <w:t xml:space="preserve">he Commission </w:t>
      </w:r>
      <w:r>
        <w:t>to</w:t>
      </w:r>
      <w:r w:rsidR="00636EC7" w:rsidRPr="00636EC7">
        <w:t xml:space="preserve"> reject PSE’s and Staff’s proposals to increase the basic charge and/or imposes a new minimum bill because these proposals would hurt low-income customers and frustrate efforts to conserve energy.</w:t>
      </w:r>
      <w:bookmarkStart w:id="76" w:name="_Toc357674222"/>
    </w:p>
    <w:p w14:paraId="6C1A8B79" w14:textId="6B114DF7" w:rsidR="00174D7E" w:rsidRDefault="00174D7E" w:rsidP="00D10EE6">
      <w:pPr>
        <w:pStyle w:val="Heading2"/>
      </w:pPr>
      <w:bookmarkStart w:id="77" w:name="_Toc495327166"/>
      <w:r>
        <w:t>THE COMMISSION SHOULD REJECT PSE’S PROPOSAL TO INCREASE THE ELECTRIC RATE TEST CAP TO 5%.</w:t>
      </w:r>
      <w:bookmarkEnd w:id="77"/>
    </w:p>
    <w:p w14:paraId="51659F9F" w14:textId="770E8090" w:rsidR="00174D7E" w:rsidRDefault="0080655C" w:rsidP="00464C71">
      <w:pPr>
        <w:pStyle w:val="BodyText"/>
        <w:numPr>
          <w:ilvl w:val="0"/>
          <w:numId w:val="14"/>
        </w:numPr>
        <w:ind w:left="0" w:hanging="540"/>
      </w:pPr>
      <w:r>
        <w:tab/>
        <w:t>T</w:t>
      </w:r>
      <w:r w:rsidR="00174D7E">
        <w:t xml:space="preserve">here is no evidence in the record that the 3% Rate Test cap in place for electric </w:t>
      </w:r>
      <w:r w:rsidR="00174D7E">
        <w:lastRenderedPageBreak/>
        <w:t>customers has caused any financial harm to PSE or customers, and therefore there is no evidentiary basis for PSE’s proposal to increase the cap to 5%.</w:t>
      </w:r>
      <w:r w:rsidR="007B0E66">
        <w:rPr>
          <w:rStyle w:val="FootnoteReference"/>
        </w:rPr>
        <w:footnoteReference w:id="56"/>
      </w:r>
      <w:r w:rsidR="00174D7E">
        <w:t xml:space="preserve">  Under the current “true up” mechanism, authorized revenues are compared to actual revenues.  If actual revenues exceed authorized revenues, the difference is credited to customers, with no limit on the amount of the credit.  However, if actual revenues are less than authorized revenues, rates may increase by no more than 3% annually (“the 3% cap”).  Revenue deficiencies greater than 3% are deferred to the next rate period, subject to the same 3% cap.</w:t>
      </w:r>
      <w:r w:rsidR="007B0E66">
        <w:rPr>
          <w:rStyle w:val="FootnoteReference"/>
        </w:rPr>
        <w:footnoteReference w:id="57"/>
      </w:r>
    </w:p>
    <w:p w14:paraId="42A98655" w14:textId="036B8008" w:rsidR="00174D7E" w:rsidRDefault="0080655C" w:rsidP="00464C71">
      <w:pPr>
        <w:pStyle w:val="BodyText"/>
        <w:numPr>
          <w:ilvl w:val="0"/>
          <w:numId w:val="14"/>
        </w:numPr>
        <w:ind w:left="0" w:hanging="540"/>
      </w:pPr>
      <w:r>
        <w:tab/>
        <w:t>H</w:t>
      </w:r>
      <w:r w:rsidR="00174D7E">
        <w:t>ere, PSE has not produced any evidence of financial harm from the 3% electric cap.  While PSE noted that gas resi</w:t>
      </w:r>
      <w:r w:rsidR="00423D60">
        <w:t>dential s</w:t>
      </w:r>
      <w:bookmarkStart w:id="80" w:name="_BA_Cite_FAD85A_000102"/>
      <w:bookmarkEnd w:id="80"/>
      <w:r w:rsidR="00174D7E">
        <w:t>chedule 23 has repeatedly exceeded the 3% cap, PSE did not claim that the residential electric schedule exceeded the 3% cap in any year.</w:t>
      </w:r>
      <w:r w:rsidR="007B0E66">
        <w:rPr>
          <w:rStyle w:val="FootnoteReference"/>
        </w:rPr>
        <w:footnoteReference w:id="58"/>
      </w:r>
      <w:r w:rsidR="00174D7E">
        <w:t xml:space="preserve">  The only electric schedules which have exceeded the cap are electric s</w:t>
      </w:r>
      <w:bookmarkStart w:id="81" w:name="_BA_Cite_FAD85A_000104"/>
      <w:bookmarkEnd w:id="81"/>
      <w:r w:rsidR="00174D7E">
        <w:t>chedules 10 and 31.</w:t>
      </w:r>
      <w:r w:rsidR="007B0E66">
        <w:rPr>
          <w:rStyle w:val="FootnoteReference"/>
        </w:rPr>
        <w:footnoteReference w:id="59"/>
      </w:r>
    </w:p>
    <w:p w14:paraId="7C93301C" w14:textId="276F6DF1" w:rsidR="00174D7E" w:rsidRDefault="0080655C" w:rsidP="00464C71">
      <w:pPr>
        <w:pStyle w:val="BodyText"/>
        <w:numPr>
          <w:ilvl w:val="0"/>
          <w:numId w:val="14"/>
        </w:numPr>
        <w:ind w:left="0" w:hanging="540"/>
      </w:pPr>
      <w:r>
        <w:tab/>
        <w:t>U</w:t>
      </w:r>
      <w:r w:rsidR="00174D7E">
        <w:t>nable to demonstrate concrete financial harm to the Company or customers from the 3% electric cap, PSE asks the Commission to increase the cap as a preventative measure, on the theory that at some point PSE will encounter the same financial problems on the electric side which it has experienced on the gas side.</w:t>
      </w:r>
      <w:r w:rsidR="000E3355">
        <w:rPr>
          <w:rStyle w:val="FootnoteReference"/>
        </w:rPr>
        <w:footnoteReference w:id="60"/>
      </w:r>
      <w:r w:rsidR="00174D7E">
        <w:t xml:space="preserve">  But there is no support for that assumption, and no reason to increase the cap to 5% on the basis of problems that may never materialize.  If, in a future rate case, PSE presents evidence that the 3% electric cap has caused financial difficulties, </w:t>
      </w:r>
      <w:r w:rsidR="00174D7E">
        <w:lastRenderedPageBreak/>
        <w:t>the Commission can consider appropriate remedies.  Until then, the 3% cap should remain in p</w:t>
      </w:r>
      <w:r w:rsidR="00D10EE6">
        <w:t>lace for electric customers.</w:t>
      </w:r>
    </w:p>
    <w:p w14:paraId="35A99C15" w14:textId="718AC11D" w:rsidR="00174D7E" w:rsidRDefault="0080655C" w:rsidP="00464C71">
      <w:pPr>
        <w:pStyle w:val="BodyText"/>
        <w:numPr>
          <w:ilvl w:val="0"/>
          <w:numId w:val="14"/>
        </w:numPr>
        <w:ind w:left="0" w:hanging="540"/>
      </w:pPr>
      <w:r>
        <w:tab/>
        <w:t>O</w:t>
      </w:r>
      <w:r w:rsidR="00174D7E">
        <w:t xml:space="preserve">n the gas side, </w:t>
      </w:r>
      <w:r w:rsidR="000E3355">
        <w:t>NWEC</w:t>
      </w:r>
      <w:r w:rsidR="00174D7E">
        <w:t xml:space="preserve"> do</w:t>
      </w:r>
      <w:r w:rsidR="000E3355">
        <w:t>es</w:t>
      </w:r>
      <w:r w:rsidR="00174D7E">
        <w:t xml:space="preserve"> not oppose PSE’s proposal to increase the cap to 5%, because, unlike the situation for electric customers, PSE has presented evidence of large deferrals on the gas side.  However, the Commission’s approval of an increase in the gas cap should be </w:t>
      </w:r>
      <w:r w:rsidR="00D91727">
        <w:t xml:space="preserve">temporary and </w:t>
      </w:r>
      <w:r w:rsidR="00174D7E">
        <w:t>accompanied by an order directing PSE to review and revise its weather forecasting method</w:t>
      </w:r>
      <w:r w:rsidR="00D10EE6">
        <w:t>ology in the next rate filing.</w:t>
      </w:r>
    </w:p>
    <w:p w14:paraId="46D5997C" w14:textId="5139C0F5" w:rsidR="00174D7E" w:rsidRDefault="0080655C" w:rsidP="00464C71">
      <w:pPr>
        <w:pStyle w:val="BodyText"/>
        <w:numPr>
          <w:ilvl w:val="0"/>
          <w:numId w:val="14"/>
        </w:numPr>
        <w:ind w:left="0" w:hanging="540"/>
      </w:pPr>
      <w:r>
        <w:tab/>
      </w:r>
      <w:r w:rsidR="004A4E99">
        <w:t>Mr.</w:t>
      </w:r>
      <w:r w:rsidR="00174D7E">
        <w:t xml:space="preserve"> Piliaris misunderstands the relevance of accurate weather forecasting when he argues that forecasting plays no role in calculating deferrals or surcharges under the decoupling mechanism.</w:t>
      </w:r>
      <w:r w:rsidR="000E3355">
        <w:rPr>
          <w:rStyle w:val="FootnoteReference"/>
        </w:rPr>
        <w:footnoteReference w:id="61"/>
      </w:r>
      <w:r w:rsidR="00174D7E">
        <w:t xml:space="preserve">  Weather forecasting plays a critical role in the prior step of setting the per therm rate—not in the later step of comparing allowed revenue to actual revenue.  The problems with the 3% gas cap stem largely from PSE having forecasted colder winters than </w:t>
      </w:r>
      <w:r w:rsidR="00423D60">
        <w:t>recently occurred</w:t>
      </w:r>
      <w:r w:rsidR="00174D7E">
        <w:t xml:space="preserve">.  As a result of </w:t>
      </w:r>
      <w:r w:rsidR="001C115D">
        <w:t>over predicting</w:t>
      </w:r>
      <w:r w:rsidR="00174D7E">
        <w:t xml:space="preserve"> gas sales volume, PSE set gas therm rates lower than they should have been, </w:t>
      </w:r>
      <w:r w:rsidR="00423D60">
        <w:t>making</w:t>
      </w:r>
      <w:r w:rsidR="00174D7E">
        <w:t xml:space="preserve"> gas revenues lower than PSE’s gas costs.</w:t>
      </w:r>
      <w:r w:rsidR="000E3355">
        <w:rPr>
          <w:rStyle w:val="FootnoteReference"/>
        </w:rPr>
        <w:footnoteReference w:id="62"/>
      </w:r>
      <w:r w:rsidR="00174D7E">
        <w:t xml:space="preserve">  More accurate weather forecasting could </w:t>
      </w:r>
      <w:r w:rsidR="00423D60">
        <w:t>help to</w:t>
      </w:r>
      <w:r w:rsidR="00174D7E">
        <w:t xml:space="preserve"> avoid this problem.</w:t>
      </w:r>
      <w:r w:rsidR="000E3355">
        <w:rPr>
          <w:rStyle w:val="FootnoteReference"/>
        </w:rPr>
        <w:footnoteReference w:id="63"/>
      </w:r>
    </w:p>
    <w:p w14:paraId="54EA9082" w14:textId="6E8B081B" w:rsidR="00174D7E" w:rsidRDefault="00174D7E" w:rsidP="00174D7E">
      <w:pPr>
        <w:pStyle w:val="Heading2"/>
      </w:pPr>
      <w:bookmarkStart w:id="85" w:name="_Toc495327167"/>
      <w:bookmarkEnd w:id="76"/>
      <w:r>
        <w:t>THE COMMISSION SHOULD CONVENE A TECHNICAL WORKSHOP ON THREE-TIER RATE DESIGN.</w:t>
      </w:r>
      <w:bookmarkEnd w:id="85"/>
    </w:p>
    <w:p w14:paraId="0E4E47AA" w14:textId="48C6C0B1" w:rsidR="00174D7E" w:rsidRDefault="0080655C" w:rsidP="00EE2BA2">
      <w:pPr>
        <w:pStyle w:val="BodyText"/>
        <w:numPr>
          <w:ilvl w:val="0"/>
          <w:numId w:val="14"/>
        </w:numPr>
        <w:ind w:left="0" w:hanging="540"/>
      </w:pPr>
      <w:r>
        <w:tab/>
        <w:t>I</w:t>
      </w:r>
      <w:r w:rsidR="00174D7E">
        <w:t>n accordance with the settlement in Docket UE-141368, PSE was obligated to propose an inverted three-tier rate structure in this docket.</w:t>
      </w:r>
      <w:r w:rsidR="00BC61E0">
        <w:rPr>
          <w:rStyle w:val="FootnoteReference"/>
        </w:rPr>
        <w:footnoteReference w:id="64"/>
      </w:r>
      <w:r w:rsidR="00174D7E">
        <w:t xml:space="preserve"> </w:t>
      </w:r>
      <w:r w:rsidR="004A4E99">
        <w:t xml:space="preserve"> </w:t>
      </w:r>
      <w:r w:rsidR="00174D7E">
        <w:t xml:space="preserve">PSE calculated a three-tier rate structure for residential electric customers, but the rates were not inclining; specifically, the third-tier price </w:t>
      </w:r>
      <w:r w:rsidR="00174D7E">
        <w:lastRenderedPageBreak/>
        <w:t>was lower than the second-tier price.</w:t>
      </w:r>
      <w:r w:rsidR="00EE2BA2">
        <w:rPr>
          <w:rStyle w:val="FootnoteReference"/>
        </w:rPr>
        <w:footnoteReference w:id="65"/>
      </w:r>
      <w:r w:rsidR="00EE2BA2">
        <w:t xml:space="preserve"> </w:t>
      </w:r>
      <w:r w:rsidR="00174D7E">
        <w:t xml:space="preserve"> PSE acknowledged that a rate structure in which the price for the third block is lower than the second block “would not send the desired price signals to customers.”</w:t>
      </w:r>
      <w:r w:rsidR="00EE2BA2">
        <w:rPr>
          <w:rStyle w:val="FootnoteReference"/>
        </w:rPr>
        <w:footnoteReference w:id="66"/>
      </w:r>
    </w:p>
    <w:p w14:paraId="146C4CC1" w14:textId="722A0A69" w:rsidR="006C1987" w:rsidRDefault="00476398" w:rsidP="00464C71">
      <w:pPr>
        <w:pStyle w:val="BodyText"/>
        <w:numPr>
          <w:ilvl w:val="0"/>
          <w:numId w:val="14"/>
        </w:numPr>
        <w:ind w:left="0" w:hanging="540"/>
      </w:pPr>
      <w:r>
        <w:tab/>
        <w:t>T</w:t>
      </w:r>
      <w:r w:rsidR="00174D7E">
        <w:t xml:space="preserve">here are several ways in which PSE could calculate a three-tier rate structure that would promote energy conservation by making each successive block more expensive than the preceding block.  For example, </w:t>
      </w:r>
      <w:r w:rsidR="00474CC5">
        <w:t xml:space="preserve">NWEC </w:t>
      </w:r>
      <w:r w:rsidR="00174D7E">
        <w:t xml:space="preserve">witness </w:t>
      </w:r>
      <w:r w:rsidR="00474CC5">
        <w:t xml:space="preserve">Ms. </w:t>
      </w:r>
      <w:r w:rsidR="00174D7E">
        <w:t>Levin suggested that PSE could use more granular data on the load factor and demand profile of customers, as PSE appears to have done when it calculated its original inclining block rate.</w:t>
      </w:r>
      <w:r w:rsidR="000B23D0">
        <w:rPr>
          <w:rStyle w:val="FootnoteReference"/>
        </w:rPr>
        <w:footnoteReference w:id="67"/>
      </w:r>
      <w:r w:rsidR="00174D7E">
        <w:t xml:space="preserve">  However, PSE does not currently have such data for residential electric customers, and it is difficult on this record to craft an appropriate three-tier rate structure.  Given that Staff proposed an alternative rate structure with three tiers,</w:t>
      </w:r>
      <w:r w:rsidR="000B23D0">
        <w:rPr>
          <w:rStyle w:val="FootnoteReference"/>
        </w:rPr>
        <w:footnoteReference w:id="68"/>
      </w:r>
      <w:r w:rsidR="00174D7E">
        <w:t xml:space="preserve"> and “PSE is not opposed to a three-block rate structure,”</w:t>
      </w:r>
      <w:r w:rsidR="000B23D0">
        <w:rPr>
          <w:rStyle w:val="FootnoteReference"/>
        </w:rPr>
        <w:footnoteReference w:id="69"/>
      </w:r>
      <w:r w:rsidR="00174D7E">
        <w:t xml:space="preserve"> we urge the Commission to convene a technical workshop to consider options for a three-tier rate design.  This would enable the parties to develop a more robust record on the policy and technical issues surrounding a three-tier rate design, including any data that would need to be collected and analyzed to</w:t>
      </w:r>
      <w:r w:rsidR="00BF2EE6">
        <w:t xml:space="preserve"> design such a rate structure.</w:t>
      </w:r>
    </w:p>
    <w:p w14:paraId="2AFA5726" w14:textId="62CAE95C" w:rsidR="004A4E99" w:rsidRDefault="004A4E99" w:rsidP="004A4E99">
      <w:pPr>
        <w:pStyle w:val="Heading2"/>
      </w:pPr>
      <w:bookmarkStart w:id="88" w:name="_Toc495327168"/>
      <w:r>
        <w:t>the commission should approve the multi-party settlement agreement in full.</w:t>
      </w:r>
      <w:bookmarkEnd w:id="88"/>
    </w:p>
    <w:p w14:paraId="52ADBF5F" w14:textId="4AE499A7" w:rsidR="00410D5D" w:rsidRDefault="00904B10" w:rsidP="00F12255">
      <w:pPr>
        <w:pStyle w:val="BodyText"/>
        <w:numPr>
          <w:ilvl w:val="0"/>
          <w:numId w:val="14"/>
        </w:numPr>
        <w:ind w:left="0" w:hanging="540"/>
      </w:pPr>
      <w:r>
        <w:tab/>
        <w:t xml:space="preserve">All parties except Public Council signed and filed a </w:t>
      </w:r>
      <w:r w:rsidR="00410D5D" w:rsidRPr="00F12255">
        <w:rPr>
          <w:i/>
        </w:rPr>
        <w:t>M</w:t>
      </w:r>
      <w:bookmarkStart w:id="89" w:name="_BA_Cite_FAD85A_000062"/>
      <w:bookmarkEnd w:id="89"/>
      <w:r w:rsidR="00410D5D" w:rsidRPr="00F12255">
        <w:rPr>
          <w:i/>
        </w:rPr>
        <w:t>ultiparty Settlement and Stipulation Agreement</w:t>
      </w:r>
      <w:r w:rsidR="00410D5D" w:rsidRPr="00410D5D">
        <w:t xml:space="preserve"> </w:t>
      </w:r>
      <w:r>
        <w:t xml:space="preserve">on September 15, 2017.  </w:t>
      </w:r>
      <w:r w:rsidR="00D04063">
        <w:t>T</w:t>
      </w:r>
      <w:r w:rsidR="00F12255" w:rsidRPr="00F12255">
        <w:t xml:space="preserve">he </w:t>
      </w:r>
      <w:r w:rsidR="00DB6E40">
        <w:t>S</w:t>
      </w:r>
      <w:r w:rsidR="00F12255" w:rsidRPr="00F12255">
        <w:t>ettlement</w:t>
      </w:r>
      <w:r w:rsidR="00D04063">
        <w:t xml:space="preserve"> represents a compromise among </w:t>
      </w:r>
      <w:r w:rsidR="00F12255" w:rsidRPr="00F12255">
        <w:t xml:space="preserve">a diverse </w:t>
      </w:r>
      <w:r w:rsidR="00F12255" w:rsidRPr="00F12255">
        <w:lastRenderedPageBreak/>
        <w:t xml:space="preserve">set of </w:t>
      </w:r>
      <w:r w:rsidR="00D04063">
        <w:t xml:space="preserve">interests </w:t>
      </w:r>
      <w:r w:rsidR="00F12255" w:rsidRPr="00F12255">
        <w:t>to obtain a fair, just, and reasonable resolution of many of the key elements in this case as they relate to</w:t>
      </w:r>
      <w:r w:rsidR="00F12255">
        <w:t xml:space="preserve"> the Colstrip Generating Plant.</w:t>
      </w:r>
      <w:r w:rsidR="001427AB">
        <w:rPr>
          <w:rStyle w:val="FootnoteReference"/>
        </w:rPr>
        <w:footnoteReference w:id="70"/>
      </w:r>
    </w:p>
    <w:p w14:paraId="29912C30" w14:textId="5FFB28C2" w:rsidR="00410D5D" w:rsidRPr="00410D5D" w:rsidRDefault="00034E96" w:rsidP="00904B10">
      <w:pPr>
        <w:pStyle w:val="BodyText"/>
        <w:numPr>
          <w:ilvl w:val="0"/>
          <w:numId w:val="14"/>
        </w:numPr>
        <w:ind w:left="0" w:hanging="540"/>
      </w:pPr>
      <w:r>
        <w:tab/>
        <w:t>T</w:t>
      </w:r>
      <w:r w:rsidR="008C3B3E">
        <w:t xml:space="preserve">estimony sponsored by NWEC </w:t>
      </w:r>
      <w:r w:rsidR="00F12255">
        <w:t>provided</w:t>
      </w:r>
      <w:r w:rsidR="008C3B3E">
        <w:t xml:space="preserve"> </w:t>
      </w:r>
      <w:r>
        <w:t xml:space="preserve">part of the foundation </w:t>
      </w:r>
      <w:r w:rsidR="008C3B3E">
        <w:t xml:space="preserve">for </w:t>
      </w:r>
      <w:r w:rsidR="00DB6E40">
        <w:t>the S</w:t>
      </w:r>
      <w:r w:rsidR="00904B10">
        <w:t xml:space="preserve">ettlement.  NWEC witness </w:t>
      </w:r>
      <w:r w:rsidR="00410D5D">
        <w:t xml:space="preserve">Dr. </w:t>
      </w:r>
      <w:r w:rsidR="00904B10">
        <w:t xml:space="preserve">Thomas </w:t>
      </w:r>
      <w:r w:rsidR="00410D5D">
        <w:t>Power discussed the failure to collect adequate remediation, decommissioning, and demolition costs for Colstrip Units 1 and 2, PSE’s plan to address that short-fall now, the importance of avoiding a similar situation for Colstrip Units 3 and 4 by setting a realistic depreciation date, the need for community transition planning and assistance for the Colstrip, Montana region, and the need for detailed annual reporting requirements including Colstrip retirements dates and estimated costs.</w:t>
      </w:r>
      <w:r w:rsidR="002976E5">
        <w:rPr>
          <w:rStyle w:val="FootnoteReference"/>
        </w:rPr>
        <w:footnoteReference w:id="71"/>
      </w:r>
    </w:p>
    <w:p w14:paraId="0BC74B04" w14:textId="49A21B83" w:rsidR="00410D5D" w:rsidRPr="00410D5D" w:rsidRDefault="00904B10" w:rsidP="00904B10">
      <w:pPr>
        <w:pStyle w:val="BodyText"/>
        <w:numPr>
          <w:ilvl w:val="0"/>
          <w:numId w:val="14"/>
        </w:numPr>
        <w:ind w:left="0" w:hanging="540"/>
      </w:pPr>
      <w:r>
        <w:tab/>
        <w:t>T</w:t>
      </w:r>
      <w:r w:rsidR="00410D5D" w:rsidRPr="00410D5D">
        <w:t>he Settlement reaches agreement for accounting treatment for Colstrip Units 1 and 2 to align with known agreements related to the closure of these units no later than 2022.</w:t>
      </w:r>
      <w:r w:rsidR="00210027">
        <w:rPr>
          <w:rStyle w:val="FootnoteReference"/>
        </w:rPr>
        <w:footnoteReference w:id="72"/>
      </w:r>
      <w:r w:rsidR="00410D5D" w:rsidRPr="00410D5D">
        <w:t xml:space="preserve">  This accounting treatment reduces intergenerational inequity by paying off balances that have been historically under-recovered from customers utilizing Production Tax Credits that have been earned over approximately the same time-period under which the plant balances were under-recovered.</w:t>
      </w:r>
    </w:p>
    <w:p w14:paraId="77959897" w14:textId="29A423ED" w:rsidR="00410D5D" w:rsidRPr="00410D5D" w:rsidRDefault="00410D5D" w:rsidP="00904B10">
      <w:pPr>
        <w:pStyle w:val="BodyText"/>
        <w:numPr>
          <w:ilvl w:val="0"/>
          <w:numId w:val="14"/>
        </w:numPr>
        <w:ind w:left="0" w:hanging="540"/>
      </w:pPr>
      <w:r w:rsidRPr="00410D5D">
        <w:tab/>
        <w:t>The Settlement sets forth an agreement to accelerate the depreciation schedule for Colstrip Units 3 and 4 to December 31, 2027.</w:t>
      </w:r>
      <w:r w:rsidR="00B3323E">
        <w:rPr>
          <w:rStyle w:val="FootnoteReference"/>
        </w:rPr>
        <w:footnoteReference w:id="73"/>
      </w:r>
      <w:r w:rsidRPr="00410D5D">
        <w:t xml:space="preserve">  This date aligns with a more accurate estimate of the useful life of these units and will reduce the chances of repeating the mistakes made with regard to the unrecovered plant balances of Colstrip Units 1 and 2.</w:t>
      </w:r>
      <w:r w:rsidR="00B3525F">
        <w:rPr>
          <w:rStyle w:val="FootnoteReference"/>
        </w:rPr>
        <w:footnoteReference w:id="74"/>
      </w:r>
      <w:r w:rsidRPr="00410D5D">
        <w:t xml:space="preserve">  As described </w:t>
      </w:r>
      <w:r w:rsidR="00034E96">
        <w:t>by</w:t>
      </w:r>
      <w:r w:rsidRPr="00410D5D">
        <w:t xml:space="preserve"> Dr. Power, </w:t>
      </w:r>
      <w:r w:rsidRPr="00410D5D">
        <w:lastRenderedPageBreak/>
        <w:t>PSE failed to recover decommissioning and remediation costs for Colstrip Units 1 and 2 during their 40+ year lifetime,</w:t>
      </w:r>
      <w:r w:rsidR="00F12255">
        <w:rPr>
          <w:rStyle w:val="FootnoteReference"/>
        </w:rPr>
        <w:footnoteReference w:id="75"/>
      </w:r>
      <w:r w:rsidRPr="00410D5D">
        <w:t xml:space="preserve"> leaving current rate payers on the hook for subs</w:t>
      </w:r>
      <w:r w:rsidR="00712037">
        <w:t>t</w:t>
      </w:r>
      <w:r w:rsidR="00DB6E40">
        <w:t>antial retirements costs.  The S</w:t>
      </w:r>
      <w:r w:rsidR="00712037">
        <w:t>ettlement</w:t>
      </w:r>
      <w:r w:rsidRPr="00410D5D">
        <w:t xml:space="preserve"> improves the alignment of the recovery of costs with the use of these assets from a customer perspective, as well as providing inter-generational equity for costs of remediation, decommissioning, and demolition.</w:t>
      </w:r>
    </w:p>
    <w:p w14:paraId="410BC547" w14:textId="3E2AC81A" w:rsidR="00410D5D" w:rsidRPr="00410D5D" w:rsidRDefault="00410D5D" w:rsidP="00904B10">
      <w:pPr>
        <w:pStyle w:val="BodyText"/>
        <w:numPr>
          <w:ilvl w:val="0"/>
          <w:numId w:val="14"/>
        </w:numPr>
        <w:ind w:left="0" w:hanging="540"/>
      </w:pPr>
      <w:r w:rsidRPr="00410D5D">
        <w:tab/>
        <w:t>The Settlement provides a plan to fund future decommissioning and remediation costs at Colstrip Units 1, 2, 3, and 4.</w:t>
      </w:r>
      <w:r w:rsidR="00B3323E">
        <w:rPr>
          <w:rStyle w:val="FootnoteReference"/>
        </w:rPr>
        <w:footnoteReference w:id="76"/>
      </w:r>
      <w:r w:rsidRPr="00410D5D">
        <w:t xml:space="preserve">  Decommissioning and remediation costs are among those that should have been collected throughout the useful life of these units, but were not adequately collected.  Establishing a plan to fund these future costs with Treasury Grants, pursuant to R</w:t>
      </w:r>
      <w:bookmarkStart w:id="90" w:name="_BA_Cite_FAD85A_000053"/>
      <w:bookmarkEnd w:id="90"/>
      <w:r w:rsidRPr="00410D5D">
        <w:t>CW 80.84.020(2), and Production Tax Credits that have been earned but not yet collected will provide more equitable treatment to customers and ensure that the initial estimates of the costs of these important responsibilities are fully and adequately funded.</w:t>
      </w:r>
    </w:p>
    <w:p w14:paraId="7B9C0856" w14:textId="71B64575" w:rsidR="00410D5D" w:rsidRPr="00410D5D" w:rsidRDefault="00410D5D" w:rsidP="00904B10">
      <w:pPr>
        <w:pStyle w:val="BodyText"/>
        <w:numPr>
          <w:ilvl w:val="0"/>
          <w:numId w:val="14"/>
        </w:numPr>
        <w:ind w:left="0" w:hanging="540"/>
      </w:pPr>
      <w:r w:rsidRPr="00410D5D">
        <w:tab/>
        <w:t>The Settlement establishes reporting requirements under which PSE will be required to submit annual information to the Commission to document Colstrip’s status on an ongoing basis.</w:t>
      </w:r>
      <w:r w:rsidR="00B3323E">
        <w:rPr>
          <w:rStyle w:val="FootnoteReference"/>
        </w:rPr>
        <w:footnoteReference w:id="77"/>
      </w:r>
      <w:r w:rsidRPr="00410D5D">
        <w:t xml:space="preserve">  Annual reports will include PSE’s most recent estimates for retirement dates and relevant discussions of consequences to customers in the event of any changes to those retirement dates.  PSE’s reports will also update estimates related to future decommissioning and remediation costs as well as the sufficiency of the R</w:t>
      </w:r>
      <w:bookmarkStart w:id="91" w:name="_BA_Cite_FAD85A_000055"/>
      <w:bookmarkEnd w:id="91"/>
      <w:r w:rsidRPr="00410D5D">
        <w:t xml:space="preserve">CW 80.84.020-related retirement account, which is comprised of hydro-related treasury grants.  PSE will also include documentation of the depreciation rates for Colstrip Units 3 and 4, and any updates to decommissioning and </w:t>
      </w:r>
      <w:r w:rsidRPr="00410D5D">
        <w:lastRenderedPageBreak/>
        <w:t>remediation costs related to those units.  Lastly, PSE will update replacement power costs in its report during those years when PSE files an Integrated Resource Plan.  These reporting requirements will help the Commission and stakeholders ensure that the terms of this Settlement remain effective in understanding the costs associated with the Colstrip complex and in establishing cost recovery for Colstrip generating units in a manner that results in just and reasonable rates and provides for an earlier opportunity to take corrective action should it be needed, rather than waiting until a rate case is filed.</w:t>
      </w:r>
    </w:p>
    <w:p w14:paraId="2BF8B963" w14:textId="46DE3BD7" w:rsidR="00410D5D" w:rsidRPr="00410D5D" w:rsidRDefault="00410D5D" w:rsidP="00904B10">
      <w:pPr>
        <w:pStyle w:val="BodyText"/>
        <w:numPr>
          <w:ilvl w:val="0"/>
          <w:numId w:val="14"/>
        </w:numPr>
        <w:ind w:left="0" w:hanging="540"/>
      </w:pPr>
      <w:r w:rsidRPr="00410D5D">
        <w:tab/>
        <w:t>Under the Settlement, PSE agrees to participate in a community transition process and to contribute $10 million for a community transition plan and community assistance for the Colstrip community.</w:t>
      </w:r>
      <w:r w:rsidR="00B3323E">
        <w:rPr>
          <w:rStyle w:val="FootnoteReference"/>
        </w:rPr>
        <w:footnoteReference w:id="78"/>
      </w:r>
      <w:r w:rsidRPr="00410D5D">
        <w:t xml:space="preserve">  NWEC</w:t>
      </w:r>
      <w:r w:rsidR="00712037">
        <w:t xml:space="preserve"> </w:t>
      </w:r>
      <w:r w:rsidRPr="00410D5D">
        <w:t xml:space="preserve">witness Dr. </w:t>
      </w:r>
      <w:r w:rsidR="00712037">
        <w:t>Power outlined</w:t>
      </w:r>
      <w:r w:rsidRPr="00410D5D">
        <w:t xml:space="preserve"> the importance of PSE’s commitment to the Colstrip community.</w:t>
      </w:r>
      <w:r w:rsidR="00712037">
        <w:rPr>
          <w:rStyle w:val="FootnoteReference"/>
        </w:rPr>
        <w:footnoteReference w:id="79"/>
      </w:r>
      <w:r w:rsidRPr="00410D5D">
        <w:t xml:space="preserve">  It is in the public interest of the State of Washington to encourage good corporate citizenship and a responsibility to workers and communities impacted by large-scale changes in the energy industry.  Other owners of Colstrip generating units will hopefully be encouraged by the terms of the Settlement to pursue similar commitments.</w:t>
      </w:r>
    </w:p>
    <w:p w14:paraId="7FECE566" w14:textId="2BC3D39F" w:rsidR="00410D5D" w:rsidRPr="00410D5D" w:rsidRDefault="00410D5D" w:rsidP="00904B10">
      <w:pPr>
        <w:pStyle w:val="BodyText"/>
        <w:numPr>
          <w:ilvl w:val="0"/>
          <w:numId w:val="14"/>
        </w:numPr>
        <w:ind w:left="0" w:hanging="540"/>
      </w:pPr>
      <w:r w:rsidRPr="00410D5D">
        <w:tab/>
      </w:r>
      <w:r w:rsidR="00705993" w:rsidRPr="00705993">
        <w:t>NWEC witness Mr. Cameron Yourkowski’s testimony described the need for transition planning for the transmission assets of Colstrip Units 1 and 2.</w:t>
      </w:r>
      <w:r w:rsidR="00705993" w:rsidRPr="00705993">
        <w:rPr>
          <w:vertAlign w:val="superscript"/>
        </w:rPr>
        <w:footnoteReference w:id="80"/>
      </w:r>
      <w:r w:rsidR="00705993" w:rsidRPr="00705993">
        <w:t xml:space="preserve">  This testimony </w:t>
      </w:r>
      <w:r w:rsidR="00705993">
        <w:t xml:space="preserve">also </w:t>
      </w:r>
      <w:r w:rsidR="00705993" w:rsidRPr="00705993">
        <w:t>supports NWEC’s decision to join the multi-party settlement agreement.</w:t>
      </w:r>
      <w:r w:rsidR="00705993" w:rsidRPr="00705993">
        <w:rPr>
          <w:vertAlign w:val="superscript"/>
        </w:rPr>
        <w:footnoteReference w:id="81"/>
      </w:r>
      <w:r w:rsidR="00705993">
        <w:t xml:space="preserve">  </w:t>
      </w:r>
      <w:r w:rsidR="00DB6E40">
        <w:t>Under the S</w:t>
      </w:r>
      <w:r w:rsidRPr="00410D5D">
        <w:t>ettlement, PSE agrees to work with other Colstrip owners on a Colstrip Transmission Study.</w:t>
      </w:r>
      <w:r w:rsidR="00B3323E">
        <w:rPr>
          <w:rStyle w:val="FootnoteReference"/>
        </w:rPr>
        <w:footnoteReference w:id="82"/>
      </w:r>
      <w:r w:rsidRPr="00410D5D">
        <w:t xml:space="preserve">  The Settlement </w:t>
      </w:r>
      <w:r w:rsidRPr="00410D5D">
        <w:lastRenderedPageBreak/>
        <w:t>requests that the Commission convene a stakeholder workshop or series of workshops, in coordination with PSE and Commission Staff, to investigate the use of the transmission line by other resources after Colstrip Units 1 and 2 retire.  Obtaining a commitment to immediately begin transmission-related studies promotes the goal of ensuring that the transmission lines utilized for Colstrip generation remain fully utilized as Colstrip generation drops off.  These transmission assets are currently paid for by Washington ratepayers and are scheduled to continue as such even after Colstrip Units 1 and 2 retire.  These transmission lines also offer the opportunity to bring generation from Montana wind to Washington, a renewable resource that would help further the state’s clean energy goals and complement Washington’s renewable resources.</w:t>
      </w:r>
    </w:p>
    <w:p w14:paraId="59A597E4" w14:textId="0CFEBDC7" w:rsidR="00410D5D" w:rsidRPr="00410D5D" w:rsidRDefault="004D5E10" w:rsidP="004D5E10">
      <w:pPr>
        <w:pStyle w:val="BodyText"/>
        <w:numPr>
          <w:ilvl w:val="0"/>
          <w:numId w:val="14"/>
        </w:numPr>
        <w:ind w:left="0" w:hanging="540"/>
      </w:pPr>
      <w:r>
        <w:tab/>
      </w:r>
      <w:r w:rsidR="00712037">
        <w:t xml:space="preserve">Additionally, </w:t>
      </w:r>
      <w:r w:rsidR="00410D5D" w:rsidRPr="00410D5D">
        <w:t xml:space="preserve">the </w:t>
      </w:r>
      <w:r w:rsidR="00DB6E40">
        <w:t>S</w:t>
      </w:r>
      <w:r w:rsidR="00410D5D" w:rsidRPr="00410D5D">
        <w:t>ettlement includes a commitment from PSE to continue shareholder funding for low-income weatherization in the amount of $100,000 and to provide an additional amount of $2 million toward low-income weatherization.</w:t>
      </w:r>
      <w:r w:rsidR="00B3323E">
        <w:rPr>
          <w:rStyle w:val="FootnoteReference"/>
        </w:rPr>
        <w:footnoteReference w:id="83"/>
      </w:r>
      <w:r w:rsidR="00410D5D" w:rsidRPr="00410D5D">
        <w:t xml:space="preserve">  This support of low income weatherization furthers state policies in support of low-income customers and energy efficiency.</w:t>
      </w:r>
    </w:p>
    <w:p w14:paraId="36E95406" w14:textId="205C7DDB" w:rsidR="00410D5D" w:rsidRPr="004A4E99" w:rsidRDefault="00712037" w:rsidP="00712037">
      <w:pPr>
        <w:pStyle w:val="BodyText"/>
        <w:numPr>
          <w:ilvl w:val="0"/>
          <w:numId w:val="14"/>
        </w:numPr>
        <w:ind w:left="0" w:hanging="540"/>
      </w:pPr>
      <w:r>
        <w:tab/>
        <w:t xml:space="preserve">NWEC asks </w:t>
      </w:r>
      <w:r w:rsidR="00410D5D" w:rsidRPr="00410D5D">
        <w:t xml:space="preserve">the Commission approve the Settlement in full.  The agreement resolves contentious issues related to the Colstrip Generating Plant in </w:t>
      </w:r>
      <w:r w:rsidR="00410D5D" w:rsidRPr="00932DCD">
        <w:t>a fair, just, and reasonable outcome</w:t>
      </w:r>
      <w:r w:rsidR="00410D5D" w:rsidRPr="00410D5D">
        <w:t xml:space="preserve"> for customers.</w:t>
      </w:r>
      <w:r w:rsidR="00ED49A7">
        <w:rPr>
          <w:rStyle w:val="FootnoteReference"/>
        </w:rPr>
        <w:footnoteReference w:id="84"/>
      </w:r>
      <w:r w:rsidR="00410D5D" w:rsidRPr="00410D5D">
        <w:t xml:space="preserve">  It resolves years of under-recovery of the depreciation expense for the Colstrip units by bringing the depreciation schedules in line with more rea</w:t>
      </w:r>
      <w:r w:rsidR="00DB6E40">
        <w:t>listic end-of-life dates.  The S</w:t>
      </w:r>
      <w:r w:rsidR="00410D5D" w:rsidRPr="00410D5D">
        <w:t xml:space="preserve">ettlement also resolves other revenue recovery issues without significantly impacting electric rates for customers.  Importantly, the Settlement also provides a commitment to assist the Colstrip, Montana community with the economic transition that will occur as a result of closure </w:t>
      </w:r>
      <w:r w:rsidR="00410D5D" w:rsidRPr="00410D5D">
        <w:lastRenderedPageBreak/>
        <w:t>of the Colstrip Generating Plant.  Additionally, through the commitment to low-income weatherization, the agreement furthers state policy that seeks to maximize energy efficiency and ensure weatherization services to low income customers.</w:t>
      </w:r>
    </w:p>
    <w:p w14:paraId="070D0A1B" w14:textId="77777777" w:rsidR="006C1987" w:rsidRDefault="006C1987" w:rsidP="006C1987">
      <w:pPr>
        <w:pStyle w:val="Heading1"/>
        <w:widowControl/>
        <w:numPr>
          <w:ilvl w:val="0"/>
          <w:numId w:val="13"/>
        </w:numPr>
        <w:tabs>
          <w:tab w:val="left" w:pos="0"/>
        </w:tabs>
      </w:pPr>
      <w:bookmarkStart w:id="93" w:name="_Toc357674232"/>
      <w:bookmarkStart w:id="94" w:name="_Toc495327169"/>
      <w:r w:rsidRPr="002A7469">
        <w:t>conclusion</w:t>
      </w:r>
      <w:bookmarkEnd w:id="93"/>
      <w:bookmarkEnd w:id="94"/>
    </w:p>
    <w:p w14:paraId="3F8E3AE4" w14:textId="7393B0BD" w:rsidR="00174D7E" w:rsidRPr="00174D7E" w:rsidRDefault="004E1157" w:rsidP="00464C71">
      <w:pPr>
        <w:pStyle w:val="BodyText"/>
        <w:numPr>
          <w:ilvl w:val="0"/>
          <w:numId w:val="14"/>
        </w:numPr>
        <w:ind w:left="0" w:hanging="540"/>
        <w:rPr>
          <w:rFonts w:eastAsia="Calibri"/>
          <w:color w:val="222222"/>
          <w:szCs w:val="24"/>
          <w:shd w:val="clear" w:color="auto" w:fill="FFFFFF"/>
        </w:rPr>
      </w:pPr>
      <w:r>
        <w:tab/>
      </w:r>
      <w:r w:rsidR="00174D7E" w:rsidRPr="00174D7E">
        <w:rPr>
          <w:rFonts w:eastAsia="Calibri"/>
          <w:color w:val="222222"/>
          <w:szCs w:val="24"/>
          <w:shd w:val="clear" w:color="auto" w:fill="FFFFFF"/>
        </w:rPr>
        <w:t xml:space="preserve">In light of the demonstrated success of the decoupling mechanism, the Commission should extend decoupling </w:t>
      </w:r>
      <w:r w:rsidR="00BF2EE6">
        <w:rPr>
          <w:rFonts w:eastAsia="Calibri"/>
          <w:color w:val="222222"/>
          <w:szCs w:val="24"/>
          <w:shd w:val="clear" w:color="auto" w:fill="FFFFFF"/>
        </w:rPr>
        <w:t xml:space="preserve">for PSE </w:t>
      </w:r>
      <w:r w:rsidR="00174D7E" w:rsidRPr="00174D7E">
        <w:rPr>
          <w:rFonts w:eastAsia="Calibri"/>
          <w:color w:val="222222"/>
          <w:szCs w:val="24"/>
          <w:shd w:val="clear" w:color="auto" w:fill="FFFFFF"/>
        </w:rPr>
        <w:t xml:space="preserve">and make it permanent.  </w:t>
      </w:r>
      <w:r w:rsidR="00BF2EE6">
        <w:rPr>
          <w:rFonts w:eastAsia="Calibri"/>
          <w:color w:val="222222"/>
          <w:szCs w:val="24"/>
          <w:shd w:val="clear" w:color="auto" w:fill="FFFFFF"/>
        </w:rPr>
        <w:t>T</w:t>
      </w:r>
      <w:r w:rsidR="00BF2EE6" w:rsidRPr="00174D7E">
        <w:rPr>
          <w:rFonts w:eastAsia="Calibri"/>
          <w:color w:val="222222"/>
          <w:szCs w:val="24"/>
          <w:shd w:val="clear" w:color="auto" w:fill="FFFFFF"/>
        </w:rPr>
        <w:t xml:space="preserve">he Commission should reject PSE’s and Staff’s proposals to increase the monthly basic charge and reject Staff’s proposal to impose a new minimum bill component.  </w:t>
      </w:r>
      <w:r w:rsidR="00174D7E" w:rsidRPr="00174D7E">
        <w:rPr>
          <w:rFonts w:eastAsia="Calibri"/>
          <w:color w:val="222222"/>
          <w:szCs w:val="24"/>
          <w:shd w:val="clear" w:color="auto" w:fill="FFFFFF"/>
        </w:rPr>
        <w:t xml:space="preserve">Given the absence of any evidence that the current 3% electric cap has caused financial harm, the Commission should reject PSE’s request to raise the </w:t>
      </w:r>
      <w:r w:rsidR="000B23D0">
        <w:rPr>
          <w:rFonts w:eastAsia="Calibri"/>
          <w:color w:val="222222"/>
          <w:szCs w:val="24"/>
          <w:shd w:val="clear" w:color="auto" w:fill="FFFFFF"/>
        </w:rPr>
        <w:t>electric cap to 5%.  While NWEC</w:t>
      </w:r>
      <w:r w:rsidR="00174D7E" w:rsidRPr="00174D7E">
        <w:rPr>
          <w:rFonts w:eastAsia="Calibri"/>
          <w:color w:val="222222"/>
          <w:szCs w:val="24"/>
          <w:shd w:val="clear" w:color="auto" w:fill="FFFFFF"/>
        </w:rPr>
        <w:t xml:space="preserve"> do</w:t>
      </w:r>
      <w:r w:rsidR="000B23D0">
        <w:rPr>
          <w:rFonts w:eastAsia="Calibri"/>
          <w:color w:val="222222"/>
          <w:szCs w:val="24"/>
          <w:shd w:val="clear" w:color="auto" w:fill="FFFFFF"/>
        </w:rPr>
        <w:t>es</w:t>
      </w:r>
      <w:r w:rsidR="00174D7E" w:rsidRPr="00174D7E">
        <w:rPr>
          <w:rFonts w:eastAsia="Calibri"/>
          <w:color w:val="222222"/>
          <w:szCs w:val="24"/>
          <w:shd w:val="clear" w:color="auto" w:fill="FFFFFF"/>
        </w:rPr>
        <w:t xml:space="preserve"> not oppose an increase in the Rate Test cap on the gas side, the Commission should order PSE to reevaluate the weather forecasting models it uses to forecast gas sales.  </w:t>
      </w:r>
      <w:r w:rsidR="004A4E99">
        <w:rPr>
          <w:rFonts w:eastAsia="Calibri"/>
          <w:color w:val="222222"/>
          <w:szCs w:val="24"/>
          <w:shd w:val="clear" w:color="auto" w:fill="FFFFFF"/>
        </w:rPr>
        <w:t>T</w:t>
      </w:r>
      <w:r w:rsidR="00174D7E" w:rsidRPr="00174D7E">
        <w:rPr>
          <w:rFonts w:eastAsia="Calibri"/>
          <w:color w:val="222222"/>
          <w:szCs w:val="24"/>
          <w:shd w:val="clear" w:color="auto" w:fill="FFFFFF"/>
        </w:rPr>
        <w:t>he Commission should convene a technical workshop on three-tier rate design for r</w:t>
      </w:r>
      <w:r w:rsidR="00174D7E">
        <w:rPr>
          <w:rFonts w:eastAsia="Calibri"/>
          <w:color w:val="222222"/>
          <w:szCs w:val="24"/>
          <w:shd w:val="clear" w:color="auto" w:fill="FFFFFF"/>
        </w:rPr>
        <w:t>esidential electric customers.</w:t>
      </w:r>
      <w:r w:rsidR="004A4E99">
        <w:rPr>
          <w:rFonts w:eastAsia="Calibri"/>
          <w:color w:val="222222"/>
          <w:szCs w:val="24"/>
          <w:shd w:val="clear" w:color="auto" w:fill="FFFFFF"/>
        </w:rPr>
        <w:t xml:space="preserve">  </w:t>
      </w:r>
      <w:r w:rsidR="004A4E99" w:rsidRPr="004D5E10">
        <w:rPr>
          <w:rFonts w:eastAsia="Calibri"/>
          <w:color w:val="222222"/>
          <w:szCs w:val="24"/>
          <w:shd w:val="clear" w:color="auto" w:fill="FFFFFF"/>
        </w:rPr>
        <w:t>Finally, the Commissio</w:t>
      </w:r>
      <w:r w:rsidR="00DB6E40">
        <w:rPr>
          <w:rFonts w:eastAsia="Calibri"/>
          <w:color w:val="222222"/>
          <w:szCs w:val="24"/>
          <w:shd w:val="clear" w:color="auto" w:fill="FFFFFF"/>
        </w:rPr>
        <w:t>n should approve and adopt the Multi-Party Settlement A</w:t>
      </w:r>
      <w:r w:rsidR="004A4E99" w:rsidRPr="004D5E10">
        <w:rPr>
          <w:rFonts w:eastAsia="Calibri"/>
          <w:color w:val="222222"/>
          <w:szCs w:val="24"/>
          <w:shd w:val="clear" w:color="auto" w:fill="FFFFFF"/>
        </w:rPr>
        <w:t>greement in full.</w:t>
      </w:r>
      <w:r w:rsidR="005B3133">
        <w:rPr>
          <w:rFonts w:eastAsia="Calibri"/>
          <w:color w:val="222222"/>
          <w:szCs w:val="24"/>
          <w:shd w:val="clear" w:color="auto" w:fill="FFFFFF"/>
        </w:rPr>
        <w:t xml:space="preserve">  Taken together, this resolution of issues will result in an order </w:t>
      </w:r>
      <w:r w:rsidR="00D04063">
        <w:rPr>
          <w:rFonts w:eastAsia="Calibri"/>
          <w:color w:val="222222"/>
          <w:szCs w:val="24"/>
          <w:shd w:val="clear" w:color="auto" w:fill="FFFFFF"/>
        </w:rPr>
        <w:t xml:space="preserve">for PSE and the public </w:t>
      </w:r>
      <w:r w:rsidR="005B3133">
        <w:rPr>
          <w:rFonts w:eastAsia="Calibri"/>
          <w:color w:val="222222"/>
          <w:szCs w:val="24"/>
          <w:shd w:val="clear" w:color="auto" w:fill="FFFFFF"/>
        </w:rPr>
        <w:t xml:space="preserve">that is </w:t>
      </w:r>
      <w:r w:rsidR="005B3133" w:rsidRPr="005B3133">
        <w:rPr>
          <w:rFonts w:eastAsia="Calibri"/>
          <w:color w:val="222222"/>
          <w:szCs w:val="24"/>
          <w:shd w:val="clear" w:color="auto" w:fill="FFFFFF"/>
        </w:rPr>
        <w:t>fair, just, reasonable</w:t>
      </w:r>
      <w:r w:rsidR="005B3133">
        <w:rPr>
          <w:rFonts w:eastAsia="Calibri"/>
          <w:color w:val="222222"/>
          <w:szCs w:val="24"/>
          <w:shd w:val="clear" w:color="auto" w:fill="FFFFFF"/>
        </w:rPr>
        <w:t>, and sufficient.</w:t>
      </w:r>
    </w:p>
    <w:p w14:paraId="4E761A43" w14:textId="6F20C770" w:rsidR="00174D7E" w:rsidRPr="00174D7E" w:rsidRDefault="004A4E99" w:rsidP="00174D7E">
      <w:pPr>
        <w:widowControl/>
        <w:ind w:firstLine="720"/>
        <w:rPr>
          <w:rFonts w:eastAsia="Calibri"/>
          <w:szCs w:val="24"/>
        </w:rPr>
      </w:pPr>
      <w:r>
        <w:rPr>
          <w:rFonts w:eastAsia="Calibri"/>
          <w:szCs w:val="24"/>
        </w:rPr>
        <w:t>Respectfully submitted this 16</w:t>
      </w:r>
      <w:r w:rsidR="00EB7801">
        <w:rPr>
          <w:rFonts w:eastAsia="Calibri"/>
          <w:szCs w:val="24"/>
        </w:rPr>
        <w:t>th</w:t>
      </w:r>
      <w:r w:rsidR="00174D7E" w:rsidRPr="00174D7E">
        <w:rPr>
          <w:rFonts w:eastAsia="Calibri"/>
          <w:szCs w:val="24"/>
        </w:rPr>
        <w:t xml:space="preserve"> day of October, 2017.</w:t>
      </w:r>
    </w:p>
    <w:p w14:paraId="23DA6996" w14:textId="53155DD4" w:rsidR="00174D7E" w:rsidRDefault="00174D7E" w:rsidP="00B346A9">
      <w:pPr>
        <w:widowControl/>
        <w:ind w:left="4320"/>
        <w:rPr>
          <w:rFonts w:eastAsia="Calibri"/>
          <w:szCs w:val="24"/>
        </w:rPr>
      </w:pPr>
    </w:p>
    <w:p w14:paraId="65985E11" w14:textId="79EC4531" w:rsidR="00B346A9" w:rsidRPr="00174D7E" w:rsidRDefault="005434E4" w:rsidP="00B346A9">
      <w:pPr>
        <w:widowControl/>
        <w:ind w:left="4320"/>
        <w:rPr>
          <w:rFonts w:eastAsia="Calibri"/>
          <w:szCs w:val="24"/>
        </w:rPr>
      </w:pPr>
      <w:r w:rsidRPr="00825D3E">
        <w:rPr>
          <w:noProof/>
        </w:rPr>
        <w:drawing>
          <wp:inline distT="0" distB="0" distL="0" distR="0" wp14:anchorId="78277417" wp14:editId="1C9B9875">
            <wp:extent cx="1719072"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0506" cy="546256"/>
                    </a:xfrm>
                    <a:prstGeom prst="rect">
                      <a:avLst/>
                    </a:prstGeom>
                    <a:noFill/>
                    <a:ln>
                      <a:noFill/>
                    </a:ln>
                  </pic:spPr>
                </pic:pic>
              </a:graphicData>
            </a:graphic>
          </wp:inline>
        </w:drawing>
      </w:r>
    </w:p>
    <w:p w14:paraId="0D1172E4" w14:textId="24E1629E" w:rsidR="00174D7E" w:rsidRPr="00DD550B" w:rsidRDefault="00174D7E" w:rsidP="00174D7E">
      <w:pPr>
        <w:tabs>
          <w:tab w:val="left" w:pos="9270"/>
        </w:tabs>
        <w:ind w:left="4320"/>
        <w:rPr>
          <w:i/>
          <w:szCs w:val="24"/>
          <w:lang w:val="nl-NL"/>
        </w:rPr>
      </w:pPr>
      <w:r w:rsidRPr="00DD550B">
        <w:rPr>
          <w:i/>
          <w:szCs w:val="24"/>
          <w:u w:val="single"/>
          <w:lang w:val="nl-NL"/>
        </w:rPr>
        <w:tab/>
      </w:r>
    </w:p>
    <w:p w14:paraId="71714EAC" w14:textId="502AAD5C" w:rsidR="00174D7E" w:rsidRPr="00DD550B" w:rsidRDefault="00174D7E" w:rsidP="00174D7E">
      <w:pPr>
        <w:widowControl/>
        <w:ind w:left="4320"/>
        <w:rPr>
          <w:rFonts w:eastAsia="Calibri"/>
          <w:szCs w:val="24"/>
          <w:lang w:val="nl-NL"/>
        </w:rPr>
      </w:pPr>
      <w:r w:rsidRPr="00DD550B">
        <w:rPr>
          <w:rFonts w:eastAsia="Calibri"/>
          <w:szCs w:val="24"/>
          <w:lang w:val="nl-NL"/>
        </w:rPr>
        <w:t>KRISTEN L. BOYLES (WSB # 23806)</w:t>
      </w:r>
    </w:p>
    <w:p w14:paraId="10497598" w14:textId="689E2F54" w:rsidR="00174D7E" w:rsidRPr="00D0207D" w:rsidRDefault="00174D7E" w:rsidP="00174D7E">
      <w:pPr>
        <w:widowControl/>
        <w:ind w:left="4320"/>
        <w:rPr>
          <w:rFonts w:eastAsia="Calibri"/>
          <w:szCs w:val="24"/>
          <w:lang w:val="nl-NL"/>
        </w:rPr>
      </w:pPr>
      <w:r w:rsidRPr="00D0207D">
        <w:rPr>
          <w:rFonts w:eastAsia="Calibri"/>
          <w:szCs w:val="24"/>
          <w:lang w:val="nl-NL"/>
        </w:rPr>
        <w:t>AMANDA W. GOODIN</w:t>
      </w:r>
      <w:r w:rsidR="000B23D0" w:rsidRPr="00D0207D">
        <w:rPr>
          <w:rFonts w:eastAsia="Calibri"/>
          <w:szCs w:val="24"/>
          <w:lang w:val="nl-NL"/>
        </w:rPr>
        <w:t xml:space="preserve"> (WSB # </w:t>
      </w:r>
      <w:r w:rsidR="00556E13">
        <w:rPr>
          <w:rFonts w:eastAsia="Calibri"/>
          <w:szCs w:val="24"/>
          <w:lang w:val="nl-NL"/>
        </w:rPr>
        <w:t>41312</w:t>
      </w:r>
      <w:r w:rsidR="000B23D0" w:rsidRPr="00D0207D">
        <w:rPr>
          <w:rFonts w:eastAsia="Calibri"/>
          <w:szCs w:val="24"/>
          <w:lang w:val="nl-NL"/>
        </w:rPr>
        <w:t>)</w:t>
      </w:r>
    </w:p>
    <w:p w14:paraId="2B53D275" w14:textId="5E6159E7" w:rsidR="00174D7E" w:rsidRPr="00174D7E" w:rsidRDefault="00174D7E" w:rsidP="00174D7E">
      <w:pPr>
        <w:widowControl/>
        <w:ind w:left="4320"/>
        <w:rPr>
          <w:rFonts w:eastAsia="Calibri"/>
          <w:szCs w:val="24"/>
        </w:rPr>
      </w:pPr>
      <w:r>
        <w:rPr>
          <w:rFonts w:eastAsia="Calibri"/>
          <w:szCs w:val="24"/>
        </w:rPr>
        <w:t>MATTHEW E. GERHART (WSB# 42787)</w:t>
      </w:r>
    </w:p>
    <w:p w14:paraId="22E3FF04" w14:textId="77777777" w:rsidR="00174D7E" w:rsidRPr="00174D7E" w:rsidRDefault="00174D7E" w:rsidP="00174D7E">
      <w:pPr>
        <w:widowControl/>
        <w:ind w:left="4320"/>
        <w:rPr>
          <w:rFonts w:eastAsia="Calibri"/>
          <w:szCs w:val="24"/>
        </w:rPr>
      </w:pPr>
      <w:r w:rsidRPr="00174D7E">
        <w:rPr>
          <w:rFonts w:eastAsia="Calibri"/>
          <w:szCs w:val="24"/>
        </w:rPr>
        <w:t>Earthjustice</w:t>
      </w:r>
    </w:p>
    <w:p w14:paraId="1FBB10E6" w14:textId="77777777" w:rsidR="00174D7E" w:rsidRPr="00174D7E" w:rsidRDefault="00174D7E" w:rsidP="00174D7E">
      <w:pPr>
        <w:widowControl/>
        <w:ind w:left="4320"/>
        <w:rPr>
          <w:rFonts w:eastAsia="Calibri"/>
          <w:szCs w:val="24"/>
        </w:rPr>
      </w:pPr>
      <w:r w:rsidRPr="00174D7E">
        <w:rPr>
          <w:rFonts w:eastAsia="Calibri"/>
          <w:szCs w:val="24"/>
        </w:rPr>
        <w:t>705 Second Avenue, Suite 203</w:t>
      </w:r>
    </w:p>
    <w:p w14:paraId="6684163A" w14:textId="77777777" w:rsidR="00174D7E" w:rsidRPr="00174D7E" w:rsidRDefault="00174D7E" w:rsidP="00174D7E">
      <w:pPr>
        <w:widowControl/>
        <w:ind w:left="4320"/>
        <w:rPr>
          <w:rFonts w:eastAsia="Calibri"/>
          <w:szCs w:val="24"/>
        </w:rPr>
      </w:pPr>
      <w:r w:rsidRPr="00174D7E">
        <w:rPr>
          <w:rFonts w:eastAsia="Calibri"/>
          <w:szCs w:val="24"/>
        </w:rPr>
        <w:t>Seattle, WA  98104</w:t>
      </w:r>
    </w:p>
    <w:p w14:paraId="7455A4A1" w14:textId="77777777" w:rsidR="00174D7E" w:rsidRPr="00174D7E" w:rsidRDefault="00174D7E" w:rsidP="00174D7E">
      <w:pPr>
        <w:widowControl/>
        <w:ind w:left="4320"/>
        <w:rPr>
          <w:rFonts w:eastAsia="Calibri"/>
          <w:szCs w:val="24"/>
        </w:rPr>
      </w:pPr>
      <w:r w:rsidRPr="00174D7E">
        <w:rPr>
          <w:rFonts w:eastAsia="Calibri"/>
          <w:szCs w:val="24"/>
        </w:rPr>
        <w:t>(206) 343-7340 | Phone</w:t>
      </w:r>
    </w:p>
    <w:p w14:paraId="1499B478" w14:textId="77777777" w:rsidR="00174D7E" w:rsidRPr="00174D7E" w:rsidRDefault="00174D7E" w:rsidP="00174D7E">
      <w:pPr>
        <w:widowControl/>
        <w:ind w:left="4320"/>
        <w:rPr>
          <w:rFonts w:eastAsia="Calibri"/>
          <w:szCs w:val="24"/>
        </w:rPr>
      </w:pPr>
      <w:r w:rsidRPr="00174D7E">
        <w:rPr>
          <w:rFonts w:eastAsia="Calibri"/>
          <w:szCs w:val="24"/>
        </w:rPr>
        <w:t>(206) 343-1526 | Fax</w:t>
      </w:r>
    </w:p>
    <w:p w14:paraId="238C86C0" w14:textId="1A248306" w:rsidR="004E1157" w:rsidRDefault="00174D7E" w:rsidP="00174D7E">
      <w:pPr>
        <w:widowControl/>
        <w:ind w:left="4320"/>
        <w:rPr>
          <w:rFonts w:eastAsia="Calibri"/>
          <w:szCs w:val="24"/>
        </w:rPr>
      </w:pPr>
      <w:r w:rsidRPr="00BF2EE6">
        <w:rPr>
          <w:rFonts w:eastAsia="Calibri"/>
          <w:szCs w:val="24"/>
        </w:rPr>
        <w:t>kboyles@earthjustice.org</w:t>
      </w:r>
    </w:p>
    <w:p w14:paraId="2ED961C4" w14:textId="257D59A9" w:rsidR="003833F8" w:rsidRPr="000B23D0" w:rsidRDefault="00174D7E" w:rsidP="005434E4">
      <w:pPr>
        <w:widowControl/>
        <w:ind w:left="4320"/>
        <w:rPr>
          <w:rFonts w:eastAsia="Calibri"/>
          <w:szCs w:val="24"/>
        </w:rPr>
      </w:pPr>
      <w:r>
        <w:rPr>
          <w:rFonts w:eastAsia="Calibri"/>
          <w:szCs w:val="24"/>
        </w:rPr>
        <w:t>agoodin@earthjustice.or</w:t>
      </w:r>
      <w:bookmarkStart w:id="95" w:name="_BA_Bookmark_Subrange_FAD85A_0001"/>
      <w:bookmarkEnd w:id="19"/>
      <w:bookmarkEnd w:id="95"/>
      <w:bookmarkEnd w:id="20"/>
      <w:r w:rsidR="005434E4">
        <w:rPr>
          <w:rFonts w:eastAsia="Calibri"/>
          <w:szCs w:val="24"/>
        </w:rPr>
        <w:t>g</w:t>
      </w:r>
    </w:p>
    <w:sectPr w:rsidR="003833F8" w:rsidRPr="000B23D0" w:rsidSect="0020046E">
      <w:pgSz w:w="12240" w:h="15840" w:code="1"/>
      <w:pgMar w:top="1440" w:right="1440" w:bottom="1440" w:left="1440" w:header="720" w:footer="432" w:gutter="0"/>
      <w:paperSrc w:first="275" w:other="27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60BB5" w14:textId="77777777" w:rsidR="003833F8" w:rsidRPr="00073291" w:rsidRDefault="003833F8">
      <w:r w:rsidRPr="00073291">
        <w:separator/>
      </w:r>
    </w:p>
  </w:endnote>
  <w:endnote w:type="continuationSeparator" w:id="0">
    <w:p w14:paraId="6D0240DE" w14:textId="77777777" w:rsidR="003833F8" w:rsidRPr="00073291" w:rsidRDefault="003833F8">
      <w:r w:rsidRPr="0007329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D16F3" w14:textId="77777777" w:rsidR="00323F75" w:rsidRDefault="00323F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1BEE1" w14:textId="77777777" w:rsidR="00323F75" w:rsidRDefault="00323F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85AAC" w14:textId="77777777" w:rsidR="00323F75" w:rsidRDefault="00323F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99E4E" w14:textId="2F829B13" w:rsidR="003833F8" w:rsidRDefault="003833F8" w:rsidP="00685EAC">
    <w:pPr>
      <w:pStyle w:val="Footer"/>
      <w:tabs>
        <w:tab w:val="clear" w:pos="4320"/>
        <w:tab w:val="clear" w:pos="8640"/>
        <w:tab w:val="right" w:pos="180"/>
        <w:tab w:val="right" w:pos="9090"/>
      </w:tabs>
      <w:rPr>
        <w:noProof/>
      </w:rPr>
    </w:pPr>
    <w:r>
      <w:t>Post-Hearing Brief of NWEC, RNW, NRDC</w:t>
    </w:r>
    <w:r>
      <w:tab/>
      <w:t xml:space="preserve">Page </w:t>
    </w:r>
    <w:r>
      <w:fldChar w:fldCharType="begin"/>
    </w:r>
    <w:r>
      <w:instrText xml:space="preserve"> PAGE   \* MERGEFORMAT </w:instrText>
    </w:r>
    <w:r>
      <w:fldChar w:fldCharType="separate"/>
    </w:r>
    <w:r w:rsidR="004C632E">
      <w:rPr>
        <w:noProof/>
      </w:rPr>
      <w:t>i</w:t>
    </w:r>
    <w:r>
      <w:rPr>
        <w:noProof/>
      </w:rPr>
      <w:fldChar w:fldCharType="end"/>
    </w:r>
  </w:p>
  <w:p w14:paraId="7DAB0078" w14:textId="6710A339" w:rsidR="003833F8" w:rsidRDefault="003833F8" w:rsidP="00685EAC">
    <w:pPr>
      <w:pStyle w:val="Footer"/>
      <w:tabs>
        <w:tab w:val="clear" w:pos="4320"/>
        <w:tab w:val="clear" w:pos="8640"/>
        <w:tab w:val="right" w:pos="180"/>
        <w:tab w:val="right" w:pos="9090"/>
      </w:tabs>
    </w:pPr>
    <w:r>
      <w:t>Docket Nos. UE-170033/UG-170034</w:t>
    </w:r>
  </w:p>
  <w:p w14:paraId="0452AFA1" w14:textId="77777777" w:rsidR="00860CC2" w:rsidRDefault="00860CC2" w:rsidP="00685EAC">
    <w:pPr>
      <w:pStyle w:val="Footer"/>
      <w:tabs>
        <w:tab w:val="clear" w:pos="4320"/>
        <w:tab w:val="clear" w:pos="8640"/>
        <w:tab w:val="right" w:pos="180"/>
        <w:tab w:val="right" w:pos="90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0A9F3" w14:textId="77777777" w:rsidR="003833F8" w:rsidRPr="00073291" w:rsidRDefault="003833F8">
      <w:r w:rsidRPr="00073291">
        <w:separator/>
      </w:r>
    </w:p>
  </w:footnote>
  <w:footnote w:type="continuationSeparator" w:id="0">
    <w:p w14:paraId="4DA3F2EA" w14:textId="77777777" w:rsidR="003833F8" w:rsidRPr="00073291" w:rsidRDefault="003833F8">
      <w:r w:rsidRPr="00073291">
        <w:continuationSeparator/>
      </w:r>
    </w:p>
  </w:footnote>
  <w:footnote w:id="1">
    <w:p w14:paraId="29F40425" w14:textId="77777777" w:rsidR="003833F8" w:rsidRDefault="003833F8" w:rsidP="00C97459">
      <w:pPr>
        <w:pStyle w:val="FootnoteText"/>
      </w:pPr>
      <w:r>
        <w:rPr>
          <w:rStyle w:val="FootnoteReference"/>
        </w:rPr>
        <w:footnoteRef/>
      </w:r>
      <w:r>
        <w:t xml:space="preserve"> Levin, Exh. AML-1T at 15:21-24 to 19:4; Levin, Exh. AML-13T at 4:16 to 7:7.</w:t>
      </w:r>
    </w:p>
  </w:footnote>
  <w:footnote w:id="2">
    <w:p w14:paraId="0A41A4CE" w14:textId="0D3A83DE" w:rsidR="003833F8" w:rsidRPr="00177909" w:rsidRDefault="003833F8">
      <w:pPr>
        <w:pStyle w:val="FootnoteText"/>
        <w:rPr>
          <w:szCs w:val="24"/>
        </w:rPr>
      </w:pPr>
      <w:r w:rsidRPr="00177909">
        <w:rPr>
          <w:rStyle w:val="FootnoteReference"/>
          <w:szCs w:val="24"/>
        </w:rPr>
        <w:footnoteRef/>
      </w:r>
      <w:r w:rsidRPr="00177909">
        <w:rPr>
          <w:szCs w:val="24"/>
        </w:rPr>
        <w:t xml:space="preserve"> D</w:t>
      </w:r>
      <w:bookmarkStart w:id="29" w:name="_BA_Cite_FAD85A_000020"/>
      <w:bookmarkEnd w:id="29"/>
      <w:r w:rsidRPr="00177909">
        <w:rPr>
          <w:szCs w:val="24"/>
        </w:rPr>
        <w:t xml:space="preserve">ocket No. UE-121697, Order </w:t>
      </w:r>
      <w:r>
        <w:rPr>
          <w:szCs w:val="24"/>
        </w:rPr>
        <w:t>at ¶ 81</w:t>
      </w:r>
      <w:r w:rsidRPr="00177909">
        <w:rPr>
          <w:szCs w:val="24"/>
        </w:rPr>
        <w:t xml:space="preserve"> (June 25, 2013).</w:t>
      </w:r>
    </w:p>
  </w:footnote>
  <w:footnote w:id="3">
    <w:p w14:paraId="534A3583" w14:textId="18E1859C" w:rsidR="003833F8" w:rsidRPr="00177909" w:rsidRDefault="003833F8">
      <w:pPr>
        <w:pStyle w:val="FootnoteText"/>
        <w:rPr>
          <w:szCs w:val="24"/>
        </w:rPr>
      </w:pPr>
      <w:r w:rsidRPr="00177909">
        <w:rPr>
          <w:rStyle w:val="FootnoteReference"/>
          <w:szCs w:val="24"/>
        </w:rPr>
        <w:footnoteRef/>
      </w:r>
      <w:r w:rsidRPr="00177909">
        <w:rPr>
          <w:szCs w:val="24"/>
        </w:rPr>
        <w:t xml:space="preserve"> D</w:t>
      </w:r>
      <w:bookmarkStart w:id="31" w:name="_BA_Cite_FAD85A_000023"/>
      <w:bookmarkEnd w:id="31"/>
      <w:r w:rsidRPr="00177909">
        <w:rPr>
          <w:szCs w:val="24"/>
        </w:rPr>
        <w:t xml:space="preserve">ocket No. UE-901183-T, Third Supp. Order </w:t>
      </w:r>
      <w:r>
        <w:rPr>
          <w:szCs w:val="24"/>
        </w:rPr>
        <w:t xml:space="preserve">at p. 10 </w:t>
      </w:r>
      <w:r w:rsidRPr="00177909">
        <w:rPr>
          <w:szCs w:val="24"/>
        </w:rPr>
        <w:t>(Apr. 10, 1991).</w:t>
      </w:r>
    </w:p>
  </w:footnote>
  <w:footnote w:id="4">
    <w:p w14:paraId="4956DBD7" w14:textId="198A04E3" w:rsidR="003833F8" w:rsidRPr="00177909" w:rsidRDefault="003833F8">
      <w:pPr>
        <w:pStyle w:val="FootnoteText"/>
        <w:rPr>
          <w:szCs w:val="24"/>
        </w:rPr>
      </w:pPr>
      <w:r w:rsidRPr="00177909">
        <w:rPr>
          <w:rStyle w:val="FootnoteReference"/>
          <w:szCs w:val="24"/>
        </w:rPr>
        <w:footnoteRef/>
      </w:r>
      <w:r w:rsidRPr="00177909">
        <w:rPr>
          <w:szCs w:val="24"/>
        </w:rPr>
        <w:t xml:space="preserve"> D</w:t>
      </w:r>
      <w:bookmarkStart w:id="32" w:name="_BA_Cite_FAD85A_000025"/>
      <w:bookmarkEnd w:id="32"/>
      <w:r w:rsidRPr="00177909">
        <w:rPr>
          <w:szCs w:val="24"/>
        </w:rPr>
        <w:t xml:space="preserve">ocket No. UE-121697, Order </w:t>
      </w:r>
      <w:r>
        <w:rPr>
          <w:szCs w:val="24"/>
        </w:rPr>
        <w:t>at ¶ 81</w:t>
      </w:r>
      <w:r w:rsidRPr="00177909">
        <w:rPr>
          <w:szCs w:val="24"/>
        </w:rPr>
        <w:t xml:space="preserve"> (June 25, 2013).</w:t>
      </w:r>
    </w:p>
  </w:footnote>
  <w:footnote w:id="5">
    <w:p w14:paraId="28FE7BE8" w14:textId="5EEA3D79" w:rsidR="003833F8" w:rsidRPr="00177909" w:rsidRDefault="003833F8">
      <w:pPr>
        <w:pStyle w:val="FootnoteText"/>
        <w:rPr>
          <w:szCs w:val="24"/>
        </w:rPr>
      </w:pPr>
      <w:r w:rsidRPr="00177909">
        <w:rPr>
          <w:rStyle w:val="FootnoteReference"/>
          <w:szCs w:val="24"/>
        </w:rPr>
        <w:footnoteRef/>
      </w:r>
      <w:r w:rsidRPr="00177909">
        <w:rPr>
          <w:szCs w:val="24"/>
        </w:rPr>
        <w:t xml:space="preserve"> D</w:t>
      </w:r>
      <w:bookmarkStart w:id="33" w:name="_BA_Cite_FAD85A_000027"/>
      <w:bookmarkEnd w:id="33"/>
      <w:r w:rsidRPr="00177909">
        <w:rPr>
          <w:szCs w:val="24"/>
        </w:rPr>
        <w:t xml:space="preserve">ocket No. UE-950618, Third Supp. Order </w:t>
      </w:r>
      <w:r>
        <w:rPr>
          <w:szCs w:val="24"/>
        </w:rPr>
        <w:t xml:space="preserve">at p. 6 </w:t>
      </w:r>
      <w:r w:rsidRPr="00177909">
        <w:rPr>
          <w:szCs w:val="24"/>
        </w:rPr>
        <w:t>(Sept. 21, 1995).</w:t>
      </w:r>
    </w:p>
  </w:footnote>
  <w:footnote w:id="6">
    <w:p w14:paraId="6F7577EE" w14:textId="20B00338" w:rsidR="003833F8" w:rsidRDefault="003833F8">
      <w:pPr>
        <w:pStyle w:val="FootnoteText"/>
      </w:pPr>
      <w:r w:rsidRPr="00177909">
        <w:rPr>
          <w:rStyle w:val="FootnoteReference"/>
          <w:szCs w:val="24"/>
        </w:rPr>
        <w:footnoteRef/>
      </w:r>
      <w:r w:rsidRPr="00177909">
        <w:rPr>
          <w:szCs w:val="24"/>
        </w:rPr>
        <w:t xml:space="preserve"> D</w:t>
      </w:r>
      <w:bookmarkStart w:id="34" w:name="_BA_Cite_FAD85A_000029"/>
      <w:bookmarkEnd w:id="34"/>
      <w:r w:rsidRPr="00177909">
        <w:rPr>
          <w:szCs w:val="24"/>
        </w:rPr>
        <w:t>ocket No. U</w:t>
      </w:r>
      <w:r w:rsidR="007A39BB">
        <w:rPr>
          <w:szCs w:val="24"/>
        </w:rPr>
        <w:t>E</w:t>
      </w:r>
      <w:r w:rsidRPr="00177909">
        <w:rPr>
          <w:szCs w:val="24"/>
        </w:rPr>
        <w:t>-100522, Report and Policy Statement on Regulatory Mechanisms, Including Decoupling, to Encourage Utilities to Meet or Exceed Their Conservation Targets (Nov. 4, 2010)</w:t>
      </w:r>
      <w:r>
        <w:rPr>
          <w:szCs w:val="24"/>
        </w:rPr>
        <w:t xml:space="preserve"> (“2010 Decoupling Policy”)</w:t>
      </w:r>
      <w:r w:rsidRPr="00177909">
        <w:rPr>
          <w:szCs w:val="24"/>
        </w:rPr>
        <w:t>.</w:t>
      </w:r>
    </w:p>
  </w:footnote>
  <w:footnote w:id="7">
    <w:p w14:paraId="7FC62405" w14:textId="5B452FF6" w:rsidR="003833F8" w:rsidRDefault="003833F8">
      <w:pPr>
        <w:pStyle w:val="FootnoteText"/>
      </w:pPr>
      <w:r>
        <w:rPr>
          <w:rStyle w:val="FootnoteReference"/>
        </w:rPr>
        <w:footnoteRef/>
      </w:r>
      <w:r w:rsidRPr="000E2FC3">
        <w:t xml:space="preserve"> </w:t>
      </w:r>
      <w:r w:rsidRPr="000E2FC3">
        <w:rPr>
          <w:i/>
        </w:rPr>
        <w:t>I</w:t>
      </w:r>
      <w:bookmarkStart w:id="36" w:name="_BA_Cite_FAD85A_000064"/>
      <w:bookmarkEnd w:id="36"/>
      <w:r w:rsidRPr="000E2FC3">
        <w:rPr>
          <w:i/>
        </w:rPr>
        <w:t>d.</w:t>
      </w:r>
      <w:r>
        <w:t xml:space="preserve"> at ¶ 2.</w:t>
      </w:r>
    </w:p>
  </w:footnote>
  <w:footnote w:id="8">
    <w:p w14:paraId="799967D2" w14:textId="084DC484" w:rsidR="003833F8" w:rsidRDefault="003833F8">
      <w:pPr>
        <w:pStyle w:val="FootnoteText"/>
      </w:pPr>
      <w:r>
        <w:rPr>
          <w:rStyle w:val="FootnoteReference"/>
        </w:rPr>
        <w:footnoteRef/>
      </w:r>
      <w:r>
        <w:t xml:space="preserve"> </w:t>
      </w:r>
      <w:r w:rsidRPr="000E2FC3">
        <w:rPr>
          <w:i/>
        </w:rPr>
        <w:t>I</w:t>
      </w:r>
      <w:bookmarkStart w:id="37" w:name="_BA_Cite_FAD85A_000065"/>
      <w:bookmarkEnd w:id="37"/>
      <w:r w:rsidRPr="000E2FC3">
        <w:rPr>
          <w:i/>
        </w:rPr>
        <w:t>d.</w:t>
      </w:r>
      <w:r w:rsidRPr="000E2FC3">
        <w:t xml:space="preserve"> at </w:t>
      </w:r>
      <w:r>
        <w:t>¶ 27.</w:t>
      </w:r>
    </w:p>
  </w:footnote>
  <w:footnote w:id="9">
    <w:p w14:paraId="575246DF" w14:textId="778497AA" w:rsidR="003833F8" w:rsidRDefault="003833F8">
      <w:pPr>
        <w:pStyle w:val="FootnoteText"/>
      </w:pPr>
      <w:r>
        <w:rPr>
          <w:rStyle w:val="FootnoteReference"/>
        </w:rPr>
        <w:footnoteRef/>
      </w:r>
      <w:r>
        <w:t xml:space="preserve"> </w:t>
      </w:r>
      <w:r w:rsidRPr="000E2FC3">
        <w:t>Docket No. UE-111048, Direct T</w:t>
      </w:r>
      <w:bookmarkStart w:id="38" w:name="_BA_Cite_FAD85A_000094"/>
      <w:bookmarkEnd w:id="38"/>
      <w:r w:rsidRPr="000E2FC3">
        <w:t>estimony o</w:t>
      </w:r>
      <w:r>
        <w:t>f Ralph Cavanagh, Exh. RCC-1T.</w:t>
      </w:r>
    </w:p>
  </w:footnote>
  <w:footnote w:id="10">
    <w:p w14:paraId="35C268F8" w14:textId="2A78AEC2" w:rsidR="003833F8" w:rsidRDefault="003833F8">
      <w:pPr>
        <w:pStyle w:val="FootnoteText"/>
      </w:pPr>
      <w:r>
        <w:rPr>
          <w:rStyle w:val="FootnoteReference"/>
        </w:rPr>
        <w:footnoteRef/>
      </w:r>
      <w:r>
        <w:t xml:space="preserve"> </w:t>
      </w:r>
      <w:r w:rsidRPr="000E2FC3">
        <w:t>Docket N</w:t>
      </w:r>
      <w:bookmarkStart w:id="39" w:name="_BA_Cite_FAD85A_000011"/>
      <w:bookmarkEnd w:id="39"/>
      <w:r w:rsidRPr="000E2FC3">
        <w:t>o. UE-111048, Order 08</w:t>
      </w:r>
      <w:r>
        <w:t xml:space="preserve"> at ¶ 456</w:t>
      </w:r>
      <w:r w:rsidRPr="000E2FC3">
        <w:t xml:space="preserve"> (May 7, 2012).</w:t>
      </w:r>
    </w:p>
  </w:footnote>
  <w:footnote w:id="11">
    <w:p w14:paraId="7E1FF9BC" w14:textId="1591C6ED" w:rsidR="003833F8" w:rsidRPr="00E575EE" w:rsidRDefault="003833F8" w:rsidP="00E575EE">
      <w:pPr>
        <w:pStyle w:val="FootnoteText"/>
      </w:pPr>
      <w:r>
        <w:rPr>
          <w:rStyle w:val="FootnoteReference"/>
        </w:rPr>
        <w:footnoteRef/>
      </w:r>
      <w:r>
        <w:t xml:space="preserve"> </w:t>
      </w:r>
      <w:r w:rsidRPr="00E575EE">
        <w:rPr>
          <w:i/>
        </w:rPr>
        <w:t>See</w:t>
      </w:r>
      <w:r w:rsidRPr="00E575EE">
        <w:t xml:space="preserve"> UE-121697, O</w:t>
      </w:r>
      <w:bookmarkStart w:id="40" w:name="_BA_Cite_FAD85A_000100"/>
      <w:bookmarkEnd w:id="40"/>
      <w:r w:rsidRPr="00E575EE">
        <w:t xml:space="preserve">rder </w:t>
      </w:r>
      <w:r>
        <w:t>at ¶ 135</w:t>
      </w:r>
      <w:r w:rsidRPr="00E575EE">
        <w:t xml:space="preserve"> (June 25, 2013)</w:t>
      </w:r>
      <w:r>
        <w:t xml:space="preserve"> </w:t>
      </w:r>
      <w:r w:rsidRPr="00E575EE">
        <w:t>(</w:t>
      </w:r>
      <w:bookmarkStart w:id="41" w:name="_BA_Cite_FAD85A_000092"/>
      <w:bookmarkEnd w:id="41"/>
      <w:r w:rsidRPr="00E575EE">
        <w:t xml:space="preserve">“PSE and the Coalition worked intensively together to craft a decoupling proposal that is consistent with the Coalition’s proposal in PSE’s 2011 general rate case and the Commission’s Decoupling Policy Statement, and that </w:t>
      </w:r>
      <w:r>
        <w:t>better addresses PSE’s concerns</w:t>
      </w:r>
      <w:r w:rsidRPr="00E575EE">
        <w:t>….”).</w:t>
      </w:r>
    </w:p>
  </w:footnote>
  <w:footnote w:id="12">
    <w:p w14:paraId="78EBCF6D" w14:textId="6F19AB8D" w:rsidR="003833F8" w:rsidRDefault="003833F8">
      <w:pPr>
        <w:pStyle w:val="FootnoteText"/>
      </w:pPr>
      <w:r>
        <w:rPr>
          <w:rStyle w:val="FootnoteReference"/>
        </w:rPr>
        <w:footnoteRef/>
      </w:r>
      <w:r>
        <w:t xml:space="preserve"> </w:t>
      </w:r>
      <w:r w:rsidRPr="00E575EE">
        <w:rPr>
          <w:i/>
        </w:rPr>
        <w:t>I</w:t>
      </w:r>
      <w:bookmarkStart w:id="42" w:name="_BA_Cite_FAD85A_000066"/>
      <w:bookmarkEnd w:id="42"/>
      <w:r w:rsidRPr="00E575EE">
        <w:rPr>
          <w:i/>
        </w:rPr>
        <w:t>d.</w:t>
      </w:r>
      <w:r>
        <w:t xml:space="preserve"> at ¶ 136.</w:t>
      </w:r>
    </w:p>
  </w:footnote>
  <w:footnote w:id="13">
    <w:p w14:paraId="4A85E18A" w14:textId="48B8BF66" w:rsidR="003833F8" w:rsidRDefault="003833F8">
      <w:pPr>
        <w:pStyle w:val="FootnoteText"/>
      </w:pPr>
      <w:r>
        <w:rPr>
          <w:rStyle w:val="FootnoteReference"/>
        </w:rPr>
        <w:footnoteRef/>
      </w:r>
      <w:r>
        <w:t xml:space="preserve"> </w:t>
      </w:r>
      <w:r w:rsidRPr="00FD100D">
        <w:t>D</w:t>
      </w:r>
      <w:bookmarkStart w:id="44" w:name="_BA_Cite_FAD85A_000031"/>
      <w:bookmarkEnd w:id="44"/>
      <w:r w:rsidRPr="00FD100D">
        <w:t xml:space="preserve">ocket No. UE-121697, Order </w:t>
      </w:r>
      <w:r>
        <w:t>at ¶¶ 24, 85</w:t>
      </w:r>
      <w:r w:rsidRPr="00FD100D">
        <w:t xml:space="preserve"> (June 25, 2013)</w:t>
      </w:r>
      <w:r>
        <w:t>.</w:t>
      </w:r>
    </w:p>
  </w:footnote>
  <w:footnote w:id="14">
    <w:p w14:paraId="37FEE389" w14:textId="0C770AA8" w:rsidR="003833F8" w:rsidRDefault="003833F8">
      <w:pPr>
        <w:pStyle w:val="FootnoteText"/>
      </w:pPr>
      <w:r>
        <w:rPr>
          <w:rStyle w:val="FootnoteReference"/>
        </w:rPr>
        <w:footnoteRef/>
      </w:r>
      <w:r>
        <w:t xml:space="preserve"> </w:t>
      </w:r>
      <w:r w:rsidRPr="00F17699">
        <w:t>Docket No. UE-121697, “Puget Sound Energy Electric and Natural Gas Decoupling Second Year Evaluation” by H. Gil Peach &amp; Associates LLC with Forefront Economics, Inc. &amp; Joseph Associates, Inc. (Apr. 14, 2016) [</w:t>
      </w:r>
      <w:r>
        <w:t>“</w:t>
      </w:r>
      <w:r w:rsidRPr="00F17699">
        <w:rPr>
          <w:i/>
        </w:rPr>
        <w:t>Second-Year Report</w:t>
      </w:r>
      <w:r>
        <w:rPr>
          <w:i/>
        </w:rPr>
        <w:t>”</w:t>
      </w:r>
      <w:r w:rsidRPr="00F17699">
        <w:t>]; Exh. JAP-29, “Puget Sound Energy Electric and Natural Gas Evaluation:  Three Years of Decoupling” by H. Gil Peach &amp; Associates LLC with Forefront Economics, Inc. &amp; Joseph Associates, Inc. (Dec. 31, 2016) [</w:t>
      </w:r>
      <w:r>
        <w:t>“</w:t>
      </w:r>
      <w:r w:rsidRPr="00F17699">
        <w:rPr>
          <w:i/>
        </w:rPr>
        <w:t>Third-Year Report</w:t>
      </w:r>
      <w:r>
        <w:rPr>
          <w:i/>
        </w:rPr>
        <w:t>”</w:t>
      </w:r>
      <w:r w:rsidRPr="00F17699">
        <w:t>].</w:t>
      </w:r>
    </w:p>
  </w:footnote>
  <w:footnote w:id="15">
    <w:p w14:paraId="73C4B091" w14:textId="31DB3067" w:rsidR="003833F8" w:rsidRDefault="003833F8">
      <w:pPr>
        <w:pStyle w:val="FootnoteText"/>
      </w:pPr>
      <w:r>
        <w:rPr>
          <w:rStyle w:val="FootnoteReference"/>
        </w:rPr>
        <w:footnoteRef/>
      </w:r>
      <w:r>
        <w:t xml:space="preserve"> </w:t>
      </w:r>
      <w:r w:rsidRPr="00F17699">
        <w:rPr>
          <w:i/>
        </w:rPr>
        <w:t>S</w:t>
      </w:r>
      <w:bookmarkStart w:id="45" w:name="_BA_Cite_FAD85A_000080"/>
      <w:bookmarkEnd w:id="45"/>
      <w:r w:rsidRPr="00F17699">
        <w:rPr>
          <w:i/>
        </w:rPr>
        <w:t>econd-Year Report</w:t>
      </w:r>
      <w:r w:rsidRPr="00F17699">
        <w:t xml:space="preserve"> at 5; </w:t>
      </w:r>
      <w:r w:rsidRPr="00F17699">
        <w:rPr>
          <w:i/>
        </w:rPr>
        <w:t>see also T</w:t>
      </w:r>
      <w:bookmarkStart w:id="46" w:name="_BA_Cite_FAD85A_000082"/>
      <w:bookmarkEnd w:id="46"/>
      <w:r w:rsidRPr="00F17699">
        <w:rPr>
          <w:i/>
        </w:rPr>
        <w:t>hird-Year Report</w:t>
      </w:r>
      <w:r w:rsidRPr="00F17699">
        <w:t xml:space="preserve"> at 20, 87-88, 94</w:t>
      </w:r>
      <w:r>
        <w:t>.</w:t>
      </w:r>
    </w:p>
  </w:footnote>
  <w:footnote w:id="16">
    <w:p w14:paraId="70B988E6" w14:textId="75AC209C" w:rsidR="003833F8" w:rsidRDefault="003833F8">
      <w:pPr>
        <w:pStyle w:val="FootnoteText"/>
      </w:pPr>
      <w:r>
        <w:rPr>
          <w:rStyle w:val="FootnoteReference"/>
        </w:rPr>
        <w:footnoteRef/>
      </w:r>
      <w:r>
        <w:t xml:space="preserve"> </w:t>
      </w:r>
      <w:r w:rsidRPr="00F17699">
        <w:rPr>
          <w:i/>
        </w:rPr>
        <w:t>S</w:t>
      </w:r>
      <w:bookmarkStart w:id="47" w:name="_BA_Cite_FAD85A_000084"/>
      <w:bookmarkEnd w:id="47"/>
      <w:r w:rsidRPr="00F17699">
        <w:rPr>
          <w:i/>
        </w:rPr>
        <w:t>econd-Year Report</w:t>
      </w:r>
      <w:r>
        <w:t xml:space="preserve"> at 6.</w:t>
      </w:r>
    </w:p>
  </w:footnote>
  <w:footnote w:id="17">
    <w:p w14:paraId="07C1F526" w14:textId="7D62A7BA" w:rsidR="003833F8" w:rsidRDefault="003833F8">
      <w:pPr>
        <w:pStyle w:val="FootnoteText"/>
      </w:pPr>
      <w:r>
        <w:rPr>
          <w:rStyle w:val="FootnoteReference"/>
        </w:rPr>
        <w:footnoteRef/>
      </w:r>
      <w:r>
        <w:t xml:space="preserve"> </w:t>
      </w:r>
      <w:r w:rsidRPr="00F17699">
        <w:rPr>
          <w:i/>
        </w:rPr>
        <w:t>Second-Year Report</w:t>
      </w:r>
      <w:r w:rsidRPr="00F17699">
        <w:t xml:space="preserve"> at 2; </w:t>
      </w:r>
      <w:r w:rsidRPr="00F17699">
        <w:rPr>
          <w:i/>
        </w:rPr>
        <w:t>Third-Year Report</w:t>
      </w:r>
      <w:r w:rsidRPr="00F17699">
        <w:t xml:space="preserve"> at 14-16, 55-57, 114</w:t>
      </w:r>
      <w:r>
        <w:t>.</w:t>
      </w:r>
    </w:p>
  </w:footnote>
  <w:footnote w:id="18">
    <w:p w14:paraId="6CC77A7F" w14:textId="72938BA9" w:rsidR="003833F8" w:rsidRDefault="003833F8" w:rsidP="00BC61E0">
      <w:pPr>
        <w:pStyle w:val="FootnoteText"/>
      </w:pPr>
      <w:r>
        <w:rPr>
          <w:rStyle w:val="FootnoteReference"/>
        </w:rPr>
        <w:footnoteRef/>
      </w:r>
      <w:r>
        <w:t xml:space="preserve"> </w:t>
      </w:r>
      <w:r w:rsidRPr="00F17699">
        <w:t>Levin, Exh. AML-1T at 16</w:t>
      </w:r>
      <w:r>
        <w:t>:22</w:t>
      </w:r>
      <w:r w:rsidRPr="00F17699">
        <w:t xml:space="preserve"> (citing M</w:t>
      </w:r>
      <w:bookmarkStart w:id="48" w:name="_BA_Cite_FAD85A_000059"/>
      <w:bookmarkEnd w:id="48"/>
      <w:r w:rsidRPr="00F17699">
        <w:t xml:space="preserve">olina, M., “Policies Matter: Creating a Foundation for an Energy-Efficient Utility of the Future,” (June 2015), </w:t>
      </w:r>
      <w:r w:rsidRPr="00F17699">
        <w:rPr>
          <w:i/>
          <w:iCs/>
        </w:rPr>
        <w:t>available at</w:t>
      </w:r>
      <w:r w:rsidRPr="00F17699">
        <w:rPr>
          <w:iCs/>
        </w:rPr>
        <w:t xml:space="preserve"> </w:t>
      </w:r>
      <w:r w:rsidRPr="00F17699">
        <w:t>http://aceee.org/sites/default/files/policies-matter.pdf).</w:t>
      </w:r>
    </w:p>
  </w:footnote>
  <w:footnote w:id="19">
    <w:p w14:paraId="3E018193" w14:textId="2161C9E8" w:rsidR="003833F8" w:rsidRDefault="003833F8" w:rsidP="00BC61E0">
      <w:pPr>
        <w:pStyle w:val="FootnoteText"/>
      </w:pPr>
      <w:r>
        <w:rPr>
          <w:rStyle w:val="FootnoteReference"/>
        </w:rPr>
        <w:footnoteRef/>
      </w:r>
      <w:r>
        <w:t xml:space="preserve"> Al-Jabir, Exh. AZA-1T at 5:17, 7:3-7.</w:t>
      </w:r>
    </w:p>
  </w:footnote>
  <w:footnote w:id="20">
    <w:p w14:paraId="0A0EB7A6" w14:textId="302BAADE" w:rsidR="003833F8" w:rsidRDefault="003833F8">
      <w:pPr>
        <w:pStyle w:val="FootnoteText"/>
      </w:pPr>
      <w:r>
        <w:rPr>
          <w:rStyle w:val="FootnoteReference"/>
        </w:rPr>
        <w:footnoteRef/>
      </w:r>
      <w:r>
        <w:t xml:space="preserve"> </w:t>
      </w:r>
      <w:r w:rsidRPr="00CF2CA9">
        <w:t>Exh. AML-14 (FEA Response to NWEC-R</w:t>
      </w:r>
      <w:r>
        <w:t>NW-NRDC Data R</w:t>
      </w:r>
      <w:bookmarkStart w:id="50" w:name="_BA_Cite_FAD85A_000033"/>
      <w:bookmarkEnd w:id="50"/>
      <w:r>
        <w:t>equest No. 001).</w:t>
      </w:r>
    </w:p>
  </w:footnote>
  <w:footnote w:id="21">
    <w:p w14:paraId="653FDE15" w14:textId="5D489FF5" w:rsidR="003833F8" w:rsidRDefault="003833F8">
      <w:pPr>
        <w:pStyle w:val="FootnoteText"/>
      </w:pPr>
      <w:r>
        <w:rPr>
          <w:rStyle w:val="FootnoteReference"/>
        </w:rPr>
        <w:footnoteRef/>
      </w:r>
      <w:r>
        <w:t xml:space="preserve"> </w:t>
      </w:r>
      <w:r w:rsidRPr="00CF2CA9">
        <w:rPr>
          <w:i/>
        </w:rPr>
        <w:t>Third-Year Report</w:t>
      </w:r>
      <w:r w:rsidRPr="00CF2CA9">
        <w:t xml:space="preserve"> at 138.</w:t>
      </w:r>
    </w:p>
  </w:footnote>
  <w:footnote w:id="22">
    <w:p w14:paraId="0044B599" w14:textId="695FC08E" w:rsidR="003833F8" w:rsidRDefault="003833F8" w:rsidP="00BC61E0">
      <w:pPr>
        <w:pStyle w:val="FootnoteText"/>
      </w:pPr>
      <w:r>
        <w:rPr>
          <w:rStyle w:val="FootnoteReference"/>
        </w:rPr>
        <w:footnoteRef/>
      </w:r>
      <w:r>
        <w:t xml:space="preserve"> </w:t>
      </w:r>
      <w:r w:rsidRPr="00CF2CA9">
        <w:rPr>
          <w:i/>
        </w:rPr>
        <w:t>See</w:t>
      </w:r>
      <w:r w:rsidRPr="00CF2CA9">
        <w:t xml:space="preserve"> </w:t>
      </w:r>
      <w:r w:rsidRPr="00CF2CA9">
        <w:rPr>
          <w:i/>
        </w:rPr>
        <w:t>T</w:t>
      </w:r>
      <w:bookmarkStart w:id="51" w:name="_BA_Cite_FAD85A_000086"/>
      <w:bookmarkEnd w:id="51"/>
      <w:r w:rsidRPr="00CF2CA9">
        <w:rPr>
          <w:i/>
        </w:rPr>
        <w:t xml:space="preserve">hird-Year Report </w:t>
      </w:r>
      <w:r w:rsidRPr="00CF2CA9">
        <w:t>at 114;</w:t>
      </w:r>
      <w:r w:rsidRPr="00CF2CA9">
        <w:rPr>
          <w:i/>
        </w:rPr>
        <w:t xml:space="preserve"> </w:t>
      </w:r>
      <w:r w:rsidRPr="00CF2CA9">
        <w:t>Piliaris</w:t>
      </w:r>
      <w:r>
        <w:t>, Exh. JAP-1T at 127:11-14.</w:t>
      </w:r>
    </w:p>
  </w:footnote>
  <w:footnote w:id="23">
    <w:p w14:paraId="3D39CBDF" w14:textId="46FBB32F" w:rsidR="003833F8" w:rsidRDefault="003833F8">
      <w:pPr>
        <w:pStyle w:val="FootnoteText"/>
      </w:pPr>
      <w:r>
        <w:rPr>
          <w:rStyle w:val="FootnoteReference"/>
        </w:rPr>
        <w:footnoteRef/>
      </w:r>
      <w:r>
        <w:t xml:space="preserve"> </w:t>
      </w:r>
      <w:r w:rsidRPr="00CF2CA9">
        <w:t>Exh. AML-15 (FEA Response to NWEC-R</w:t>
      </w:r>
      <w:r>
        <w:t>NW-NRDC Data R</w:t>
      </w:r>
      <w:bookmarkStart w:id="52" w:name="_BA_Cite_FAD85A_000035"/>
      <w:bookmarkEnd w:id="52"/>
      <w:r>
        <w:t>equest No. 003).</w:t>
      </w:r>
    </w:p>
  </w:footnote>
  <w:footnote w:id="24">
    <w:p w14:paraId="412C0DEE" w14:textId="3774DE2D" w:rsidR="003833F8" w:rsidRDefault="003833F8">
      <w:pPr>
        <w:pStyle w:val="FootnoteText"/>
      </w:pPr>
      <w:r>
        <w:rPr>
          <w:rStyle w:val="FootnoteReference"/>
        </w:rPr>
        <w:footnoteRef/>
      </w:r>
      <w:r>
        <w:t xml:space="preserve"> </w:t>
      </w:r>
      <w:r w:rsidRPr="00CF2CA9">
        <w:rPr>
          <w:i/>
        </w:rPr>
        <w:t>Second-Year Report</w:t>
      </w:r>
      <w:r w:rsidRPr="00CF2CA9">
        <w:t xml:space="preserve"> at 6.</w:t>
      </w:r>
    </w:p>
  </w:footnote>
  <w:footnote w:id="25">
    <w:p w14:paraId="36152168" w14:textId="36F78602" w:rsidR="003833F8" w:rsidRDefault="003833F8" w:rsidP="00BC61E0">
      <w:pPr>
        <w:pStyle w:val="FootnoteText"/>
      </w:pPr>
      <w:r>
        <w:rPr>
          <w:rStyle w:val="FootnoteReference"/>
        </w:rPr>
        <w:footnoteRef/>
      </w:r>
      <w:r>
        <w:t xml:space="preserve"> Gorman, Exh. MPG-1T at 30:8-9.</w:t>
      </w:r>
    </w:p>
  </w:footnote>
  <w:footnote w:id="26">
    <w:p w14:paraId="30674495" w14:textId="0C6E1009" w:rsidR="003833F8" w:rsidRDefault="003833F8">
      <w:pPr>
        <w:pStyle w:val="FootnoteText"/>
      </w:pPr>
      <w:r>
        <w:rPr>
          <w:rStyle w:val="FootnoteReference"/>
        </w:rPr>
        <w:footnoteRef/>
      </w:r>
      <w:r>
        <w:t xml:space="preserve"> </w:t>
      </w:r>
      <w:r w:rsidRPr="00CF2CA9">
        <w:rPr>
          <w:i/>
        </w:rPr>
        <w:t>See, e.g.</w:t>
      </w:r>
      <w:r w:rsidRPr="00CF2CA9">
        <w:t>, D</w:t>
      </w:r>
      <w:bookmarkStart w:id="53" w:name="_BA_Cite_FAD85A_000037"/>
      <w:bookmarkEnd w:id="53"/>
      <w:r w:rsidRPr="00CF2CA9">
        <w:t xml:space="preserve">ocket No. UE-121697, Order </w:t>
      </w:r>
      <w:r>
        <w:t>at ¶¶ 24, 85, 112</w:t>
      </w:r>
      <w:r w:rsidRPr="00CF2CA9">
        <w:t xml:space="preserve"> (June 25, 2013)</w:t>
      </w:r>
      <w:r>
        <w:t>.</w:t>
      </w:r>
      <w:r w:rsidRPr="00CF2CA9">
        <w:t xml:space="preserve"> </w:t>
      </w:r>
    </w:p>
  </w:footnote>
  <w:footnote w:id="27">
    <w:p w14:paraId="31585984" w14:textId="7569DB05" w:rsidR="003833F8" w:rsidRDefault="003833F8" w:rsidP="00BC61E0">
      <w:pPr>
        <w:pStyle w:val="FootnoteText"/>
      </w:pPr>
      <w:r>
        <w:rPr>
          <w:rStyle w:val="FootnoteReference"/>
        </w:rPr>
        <w:footnoteRef/>
      </w:r>
      <w:r>
        <w:t xml:space="preserve"> </w:t>
      </w:r>
      <w:r w:rsidRPr="00CF2CA9">
        <w:t>Levin, Exh. AML-1T at 16</w:t>
      </w:r>
      <w:r>
        <w:t>:22</w:t>
      </w:r>
      <w:r w:rsidRPr="00CF2CA9">
        <w:t xml:space="preserve"> (citing M</w:t>
      </w:r>
      <w:bookmarkStart w:id="54" w:name="_BA_Cite_FAD85A_000061"/>
      <w:bookmarkEnd w:id="54"/>
      <w:r w:rsidRPr="00CF2CA9">
        <w:t xml:space="preserve">olina, M., “Policies Matter: Creating a Foundation for an Energy-Efficient Utility of the Future,” (June 2015), </w:t>
      </w:r>
      <w:r w:rsidRPr="00CF2CA9">
        <w:rPr>
          <w:i/>
          <w:iCs/>
        </w:rPr>
        <w:t>available at</w:t>
      </w:r>
      <w:r w:rsidRPr="00CF2CA9">
        <w:rPr>
          <w:iCs/>
        </w:rPr>
        <w:t xml:space="preserve"> </w:t>
      </w:r>
      <w:r w:rsidRPr="00CF2CA9">
        <w:t>http://aceee.org/sites/default/files/policies-matter.pdf).</w:t>
      </w:r>
    </w:p>
  </w:footnote>
  <w:footnote w:id="28">
    <w:p w14:paraId="6F0F8485" w14:textId="79044008" w:rsidR="003833F8" w:rsidRDefault="003833F8" w:rsidP="00BC61E0">
      <w:pPr>
        <w:pStyle w:val="FootnoteText"/>
      </w:pPr>
      <w:r>
        <w:rPr>
          <w:rStyle w:val="FootnoteReference"/>
        </w:rPr>
        <w:footnoteRef/>
      </w:r>
      <w:r>
        <w:t xml:space="preserve"> </w:t>
      </w:r>
      <w:r w:rsidRPr="00CF2CA9">
        <w:t>Gorman</w:t>
      </w:r>
      <w:r>
        <w:t>, Exh. MPG-1T at 30:10-20.</w:t>
      </w:r>
    </w:p>
  </w:footnote>
  <w:footnote w:id="29">
    <w:p w14:paraId="60340675" w14:textId="33195E6E" w:rsidR="003833F8" w:rsidRDefault="003833F8">
      <w:pPr>
        <w:pStyle w:val="FootnoteText"/>
      </w:pPr>
      <w:r>
        <w:rPr>
          <w:rStyle w:val="FootnoteReference"/>
        </w:rPr>
        <w:footnoteRef/>
      </w:r>
      <w:r>
        <w:t xml:space="preserve"> </w:t>
      </w:r>
      <w:r w:rsidRPr="00CF2CA9">
        <w:rPr>
          <w:i/>
        </w:rPr>
        <w:t>See</w:t>
      </w:r>
      <w:r w:rsidRPr="00CF2CA9">
        <w:t xml:space="preserve"> D</w:t>
      </w:r>
      <w:bookmarkStart w:id="55" w:name="_BA_Cite_FAD85A_000039"/>
      <w:bookmarkEnd w:id="55"/>
      <w:r w:rsidRPr="00CF2CA9">
        <w:t>ocket No. UE-121697, Orde</w:t>
      </w:r>
      <w:r>
        <w:t>r at ¶¶ 104-07 (June 25, 2013).</w:t>
      </w:r>
    </w:p>
  </w:footnote>
  <w:footnote w:id="30">
    <w:p w14:paraId="5C8EA624" w14:textId="6F486E9C" w:rsidR="003833F8" w:rsidRDefault="003833F8">
      <w:pPr>
        <w:pStyle w:val="FootnoteText"/>
      </w:pPr>
      <w:r>
        <w:rPr>
          <w:rStyle w:val="FootnoteReference"/>
        </w:rPr>
        <w:footnoteRef/>
      </w:r>
      <w:r>
        <w:t xml:space="preserve"> </w:t>
      </w:r>
      <w:r w:rsidRPr="00CF2CA9">
        <w:rPr>
          <w:i/>
        </w:rPr>
        <w:t>I</w:t>
      </w:r>
      <w:bookmarkStart w:id="56" w:name="_BA_Cite_FAD85A_000067"/>
      <w:bookmarkEnd w:id="56"/>
      <w:r w:rsidRPr="00CF2CA9">
        <w:rPr>
          <w:i/>
        </w:rPr>
        <w:t>d.</w:t>
      </w:r>
      <w:r>
        <w:t xml:space="preserve"> at ¶ 104.</w:t>
      </w:r>
    </w:p>
  </w:footnote>
  <w:footnote w:id="31">
    <w:p w14:paraId="6EBA7885" w14:textId="6FADE94E" w:rsidR="003833F8" w:rsidRDefault="003833F8">
      <w:pPr>
        <w:pStyle w:val="FootnoteText"/>
      </w:pPr>
      <w:r>
        <w:rPr>
          <w:rStyle w:val="FootnoteReference"/>
        </w:rPr>
        <w:footnoteRef/>
      </w:r>
      <w:r>
        <w:t xml:space="preserve"> </w:t>
      </w:r>
      <w:r w:rsidRPr="00CF2CA9">
        <w:rPr>
          <w:i/>
        </w:rPr>
        <w:t>See</w:t>
      </w:r>
      <w:r w:rsidRPr="00CF2CA9">
        <w:t xml:space="preserve"> </w:t>
      </w:r>
      <w:r w:rsidRPr="00CF2CA9">
        <w:rPr>
          <w:i/>
        </w:rPr>
        <w:t>S</w:t>
      </w:r>
      <w:bookmarkStart w:id="57" w:name="_BA_Cite_FAD85A_000088"/>
      <w:bookmarkEnd w:id="57"/>
      <w:r w:rsidRPr="00CF2CA9">
        <w:rPr>
          <w:i/>
        </w:rPr>
        <w:t>econd-Year Report</w:t>
      </w:r>
      <w:r w:rsidRPr="00CF2CA9">
        <w:t xml:space="preserve"> at 5-6; </w:t>
      </w:r>
      <w:r w:rsidRPr="00CF2CA9">
        <w:rPr>
          <w:i/>
        </w:rPr>
        <w:t>T</w:t>
      </w:r>
      <w:bookmarkStart w:id="58" w:name="_BA_Cite_FAD85A_000090"/>
      <w:bookmarkEnd w:id="58"/>
      <w:r w:rsidRPr="00CF2CA9">
        <w:rPr>
          <w:i/>
        </w:rPr>
        <w:t>hird-Year Report</w:t>
      </w:r>
      <w:r w:rsidRPr="00CF2CA9">
        <w:t xml:space="preserve"> at 14-16, 55-57, 87-88, 94, 114, 138</w:t>
      </w:r>
      <w:r>
        <w:t>.</w:t>
      </w:r>
    </w:p>
  </w:footnote>
  <w:footnote w:id="32">
    <w:p w14:paraId="066925B1" w14:textId="54720732" w:rsidR="003833F8" w:rsidRDefault="003833F8">
      <w:pPr>
        <w:pStyle w:val="FootnoteText"/>
      </w:pPr>
      <w:r>
        <w:rPr>
          <w:rStyle w:val="FootnoteReference"/>
        </w:rPr>
        <w:footnoteRef/>
      </w:r>
      <w:r>
        <w:t xml:space="preserve"> </w:t>
      </w:r>
      <w:r w:rsidRPr="0090248B">
        <w:t>T</w:t>
      </w:r>
      <w:r>
        <w:t>he Multi-Party S</w:t>
      </w:r>
      <w:r w:rsidRPr="0090248B">
        <w:t xml:space="preserve">ettlement </w:t>
      </w:r>
      <w:r>
        <w:t xml:space="preserve">Agreement </w:t>
      </w:r>
      <w:r w:rsidRPr="0090248B">
        <w:t xml:space="preserve">addresses the inclusion of fixed production costs in the decoupling mechanism.  The </w:t>
      </w:r>
      <w:r>
        <w:t xml:space="preserve">settling parties agreed to Staff’s proposal to set the total Allowed Revenue for </w:t>
      </w:r>
      <w:r w:rsidRPr="0090248B">
        <w:t>fixed production cost</w:t>
      </w:r>
      <w:r>
        <w:t>s</w:t>
      </w:r>
      <w:r w:rsidRPr="0090248B">
        <w:t xml:space="preserve"> recovery </w:t>
      </w:r>
      <w:r>
        <w:t xml:space="preserve">per decoupled group </w:t>
      </w:r>
      <w:r w:rsidRPr="0090248B">
        <w:t xml:space="preserve">at the level the Commission authorizes in this proceeding.  </w:t>
      </w:r>
      <w:r w:rsidRPr="0090248B">
        <w:rPr>
          <w:i/>
        </w:rPr>
        <w:t>See</w:t>
      </w:r>
      <w:r w:rsidRPr="0090248B">
        <w:t xml:space="preserve"> </w:t>
      </w:r>
      <w:r>
        <w:t xml:space="preserve">Settlement, para. 113.  NWEC </w:t>
      </w:r>
      <w:r w:rsidRPr="0090248B">
        <w:t>accept</w:t>
      </w:r>
      <w:r>
        <w:t>s</w:t>
      </w:r>
      <w:r w:rsidRPr="0090248B">
        <w:t xml:space="preserve"> the inclusion of these costs in the decoupling mechanism with the specific method of calculation out</w:t>
      </w:r>
      <w:r>
        <w:t>lined in the settlement terms.  Levin, Exh. AML-13T at 9:3-19.</w:t>
      </w:r>
    </w:p>
  </w:footnote>
  <w:footnote w:id="33">
    <w:p w14:paraId="702E40F3" w14:textId="5A2BDC94" w:rsidR="003833F8" w:rsidRDefault="003833F8">
      <w:pPr>
        <w:pStyle w:val="FootnoteText"/>
      </w:pPr>
      <w:r>
        <w:rPr>
          <w:rStyle w:val="FootnoteReference"/>
        </w:rPr>
        <w:footnoteRef/>
      </w:r>
      <w:r>
        <w:t xml:space="preserve"> </w:t>
      </w:r>
      <w:r w:rsidRPr="00CF2CA9">
        <w:rPr>
          <w:i/>
        </w:rPr>
        <w:t>See</w:t>
      </w:r>
      <w:r w:rsidRPr="00CF2CA9">
        <w:t xml:space="preserve"> R</w:t>
      </w:r>
      <w:bookmarkStart w:id="60" w:name="_BA_Cite_FAD85A_000051"/>
      <w:bookmarkEnd w:id="60"/>
      <w:r w:rsidRPr="00CF2CA9">
        <w:t>CW 80.28.020(1).</w:t>
      </w:r>
    </w:p>
  </w:footnote>
  <w:footnote w:id="34">
    <w:p w14:paraId="2D996F6A" w14:textId="48C84FE8" w:rsidR="003833F8" w:rsidRDefault="003833F8" w:rsidP="00BC61E0">
      <w:pPr>
        <w:pStyle w:val="FootnoteText"/>
      </w:pPr>
      <w:r>
        <w:rPr>
          <w:rStyle w:val="FootnoteReference"/>
        </w:rPr>
        <w:footnoteRef/>
      </w:r>
      <w:r>
        <w:t xml:space="preserve"> </w:t>
      </w:r>
      <w:r w:rsidRPr="00CF2CA9">
        <w:t>Piliaris</w:t>
      </w:r>
      <w:r>
        <w:t>, Exh. JAP-1T at 59:10-11, 61:2-3, 67:9-13.</w:t>
      </w:r>
    </w:p>
  </w:footnote>
  <w:footnote w:id="35">
    <w:p w14:paraId="02B195B8" w14:textId="47AE4D39" w:rsidR="003833F8" w:rsidRDefault="003833F8">
      <w:pPr>
        <w:pStyle w:val="FootnoteText"/>
      </w:pPr>
      <w:r w:rsidRPr="003E0B12">
        <w:rPr>
          <w:rStyle w:val="FootnoteReference"/>
        </w:rPr>
        <w:footnoteRef/>
      </w:r>
      <w:r w:rsidRPr="003E0B12">
        <w:t xml:space="preserve"> </w:t>
      </w:r>
      <w:r w:rsidRPr="003E0B12">
        <w:rPr>
          <w:i/>
        </w:rPr>
        <w:t>I</w:t>
      </w:r>
      <w:bookmarkStart w:id="62" w:name="_BA_Cite_FAD85A_000068"/>
      <w:bookmarkEnd w:id="62"/>
      <w:r w:rsidRPr="003E0B12">
        <w:rPr>
          <w:i/>
        </w:rPr>
        <w:t>d.</w:t>
      </w:r>
      <w:r w:rsidRPr="003E0B12">
        <w:t xml:space="preserve"> at </w:t>
      </w:r>
      <w:r w:rsidRPr="00D0207D">
        <w:t xml:space="preserve">21:2-16, </w:t>
      </w:r>
      <w:r w:rsidRPr="003E0B12">
        <w:t>6</w:t>
      </w:r>
      <w:r w:rsidRPr="00D0207D">
        <w:t>8</w:t>
      </w:r>
      <w:r w:rsidRPr="003E0B12">
        <w:t>:11-12.</w:t>
      </w:r>
    </w:p>
  </w:footnote>
  <w:footnote w:id="36">
    <w:p w14:paraId="003B6DB7" w14:textId="04D56AAA" w:rsidR="003833F8" w:rsidRDefault="003833F8">
      <w:pPr>
        <w:pStyle w:val="FootnoteText"/>
      </w:pPr>
      <w:r>
        <w:rPr>
          <w:rStyle w:val="FootnoteReference"/>
        </w:rPr>
        <w:footnoteRef/>
      </w:r>
      <w:r>
        <w:t xml:space="preserve"> </w:t>
      </w:r>
      <w:r w:rsidRPr="00893D4B">
        <w:rPr>
          <w:i/>
          <w:iCs/>
        </w:rPr>
        <w:t>I</w:t>
      </w:r>
      <w:bookmarkStart w:id="63" w:name="_BA_Cite_FAD85A_000069"/>
      <w:bookmarkEnd w:id="63"/>
      <w:r w:rsidRPr="00893D4B">
        <w:rPr>
          <w:i/>
          <w:iCs/>
        </w:rPr>
        <w:t xml:space="preserve">d. </w:t>
      </w:r>
      <w:r>
        <w:t>at 21:13-16, 22:1-3.</w:t>
      </w:r>
    </w:p>
  </w:footnote>
  <w:footnote w:id="37">
    <w:p w14:paraId="56014486" w14:textId="29656530" w:rsidR="003833F8" w:rsidRDefault="003833F8">
      <w:pPr>
        <w:pStyle w:val="FootnoteText"/>
      </w:pPr>
      <w:r>
        <w:rPr>
          <w:rStyle w:val="FootnoteReference"/>
        </w:rPr>
        <w:footnoteRef/>
      </w:r>
      <w:r>
        <w:t xml:space="preserve"> </w:t>
      </w:r>
      <w:r w:rsidRPr="00893D4B">
        <w:rPr>
          <w:i/>
        </w:rPr>
        <w:t>I</w:t>
      </w:r>
      <w:bookmarkStart w:id="64" w:name="_BA_Cite_FAD85A_000070"/>
      <w:bookmarkEnd w:id="64"/>
      <w:r w:rsidRPr="00893D4B">
        <w:rPr>
          <w:i/>
        </w:rPr>
        <w:t>d.</w:t>
      </w:r>
      <w:r w:rsidRPr="00893D4B">
        <w:t xml:space="preserve"> at 21</w:t>
      </w:r>
      <w:r>
        <w:t>:18-19</w:t>
      </w:r>
      <w:r w:rsidRPr="00893D4B">
        <w:t>.</w:t>
      </w:r>
    </w:p>
  </w:footnote>
  <w:footnote w:id="38">
    <w:p w14:paraId="318C6CC1" w14:textId="0A699EE7" w:rsidR="003833F8" w:rsidRDefault="003833F8" w:rsidP="00BC61E0">
      <w:pPr>
        <w:pStyle w:val="FootnoteText"/>
      </w:pPr>
      <w:r>
        <w:rPr>
          <w:rStyle w:val="FootnoteReference"/>
        </w:rPr>
        <w:footnoteRef/>
      </w:r>
      <w:r>
        <w:t xml:space="preserve"> </w:t>
      </w:r>
      <w:r w:rsidRPr="00893D4B">
        <w:t>Ball, Exh. JLB-1T at 29</w:t>
      </w:r>
      <w:r>
        <w:t>:3-18.</w:t>
      </w:r>
    </w:p>
  </w:footnote>
  <w:footnote w:id="39">
    <w:p w14:paraId="2EBB6616" w14:textId="26A61C3E" w:rsidR="003833F8" w:rsidRDefault="003833F8" w:rsidP="00BC61E0">
      <w:pPr>
        <w:pStyle w:val="FootnoteText"/>
      </w:pPr>
      <w:r>
        <w:rPr>
          <w:rStyle w:val="FootnoteReference"/>
        </w:rPr>
        <w:footnoteRef/>
      </w:r>
      <w:r>
        <w:t xml:space="preserve"> </w:t>
      </w:r>
      <w:r w:rsidRPr="00893D4B">
        <w:rPr>
          <w:i/>
          <w:iCs/>
        </w:rPr>
        <w:t>See</w:t>
      </w:r>
      <w:r w:rsidRPr="00893D4B">
        <w:t xml:space="preserve"> Levin, Exh. AML-1</w:t>
      </w:r>
      <w:r>
        <w:t>3</w:t>
      </w:r>
      <w:r w:rsidRPr="00893D4B">
        <w:t xml:space="preserve">T at </w:t>
      </w:r>
      <w:r>
        <w:t>2:18 to 3:3.</w:t>
      </w:r>
    </w:p>
  </w:footnote>
  <w:footnote w:id="40">
    <w:p w14:paraId="0BF81B3B" w14:textId="2055D018" w:rsidR="003833F8" w:rsidRDefault="003833F8" w:rsidP="00EE2BA2">
      <w:pPr>
        <w:pStyle w:val="FootnoteText"/>
      </w:pPr>
      <w:r>
        <w:rPr>
          <w:rStyle w:val="FootnoteReference"/>
        </w:rPr>
        <w:footnoteRef/>
      </w:r>
      <w:r>
        <w:t xml:space="preserve"> </w:t>
      </w:r>
      <w:r w:rsidRPr="00893D4B">
        <w:t>Ball, Exh. JLB-1T at 31</w:t>
      </w:r>
      <w:r>
        <w:t xml:space="preserve">:23 to </w:t>
      </w:r>
      <w:r w:rsidRPr="00893D4B">
        <w:t>3</w:t>
      </w:r>
      <w:r>
        <w:t>2:2</w:t>
      </w:r>
      <w:r w:rsidRPr="00893D4B">
        <w:t xml:space="preserve"> (noting that in Staff’s alternative recommendation, “a minimum bill component is not necessary in this alternative because the basic charge increase would be small, and thus, sufficient to recover the customer related costs exclusive of transformers.”).</w:t>
      </w:r>
    </w:p>
  </w:footnote>
  <w:footnote w:id="41">
    <w:p w14:paraId="2829C15F" w14:textId="4859904B" w:rsidR="003833F8" w:rsidRDefault="003833F8" w:rsidP="00BC61E0">
      <w:pPr>
        <w:pStyle w:val="FootnoteText"/>
      </w:pPr>
      <w:r>
        <w:rPr>
          <w:rStyle w:val="FootnoteReference"/>
        </w:rPr>
        <w:footnoteRef/>
      </w:r>
      <w:r>
        <w:t xml:space="preserve"> </w:t>
      </w:r>
      <w:r w:rsidRPr="00ED1EAE">
        <w:t>Pilia</w:t>
      </w:r>
      <w:r>
        <w:t>ris, Exh. JAP-1T at 21:18-19.</w:t>
      </w:r>
    </w:p>
  </w:footnote>
  <w:footnote w:id="42">
    <w:p w14:paraId="19E37FD4" w14:textId="6263F99B" w:rsidR="003833F8" w:rsidRDefault="003833F8" w:rsidP="00BC61E0">
      <w:pPr>
        <w:pStyle w:val="FootnoteText"/>
      </w:pPr>
      <w:r>
        <w:rPr>
          <w:rStyle w:val="FootnoteReference"/>
        </w:rPr>
        <w:footnoteRef/>
      </w:r>
      <w:r>
        <w:t xml:space="preserve"> </w:t>
      </w:r>
      <w:r w:rsidRPr="00ED1EAE">
        <w:t>Levin, Exh. AML-1T at 6</w:t>
      </w:r>
      <w:r>
        <w:t xml:space="preserve">:12 to </w:t>
      </w:r>
      <w:r w:rsidRPr="00ED1EAE">
        <w:t>7</w:t>
      </w:r>
      <w:r>
        <w:t>:2</w:t>
      </w:r>
      <w:r w:rsidRPr="00ED1EAE">
        <w:t>.</w:t>
      </w:r>
    </w:p>
  </w:footnote>
  <w:footnote w:id="43">
    <w:p w14:paraId="5BB25AB6" w14:textId="5A8906F0" w:rsidR="003833F8" w:rsidRDefault="003833F8">
      <w:pPr>
        <w:pStyle w:val="FootnoteText"/>
      </w:pPr>
      <w:r>
        <w:rPr>
          <w:rStyle w:val="FootnoteReference"/>
        </w:rPr>
        <w:footnoteRef/>
      </w:r>
      <w:r>
        <w:t xml:space="preserve"> </w:t>
      </w:r>
      <w:r w:rsidRPr="00D0207D">
        <w:rPr>
          <w:i/>
        </w:rPr>
        <w:t>I</w:t>
      </w:r>
      <w:bookmarkStart w:id="65" w:name="_BA_Cite_FAD85A_000071"/>
      <w:bookmarkEnd w:id="65"/>
      <w:r w:rsidRPr="00D0207D">
        <w:rPr>
          <w:i/>
        </w:rPr>
        <w:t>d.</w:t>
      </w:r>
      <w:r>
        <w:t xml:space="preserve"> at </w:t>
      </w:r>
      <w:r w:rsidRPr="00ED1EAE">
        <w:t>6</w:t>
      </w:r>
      <w:r>
        <w:t>:3-11</w:t>
      </w:r>
      <w:r w:rsidRPr="00ED1EAE">
        <w:t>, 9</w:t>
      </w:r>
      <w:r>
        <w:t>:1-3</w:t>
      </w:r>
      <w:r w:rsidRPr="00ED1EAE">
        <w:t>.</w:t>
      </w:r>
    </w:p>
  </w:footnote>
  <w:footnote w:id="44">
    <w:p w14:paraId="003FB8F9" w14:textId="77777777" w:rsidR="00D0206C" w:rsidRDefault="00D0206C" w:rsidP="00D0206C">
      <w:pPr>
        <w:pStyle w:val="FootnoteText"/>
      </w:pPr>
      <w:r>
        <w:rPr>
          <w:rStyle w:val="FootnoteReference"/>
        </w:rPr>
        <w:footnoteRef/>
      </w:r>
      <w:r>
        <w:t xml:space="preserve"> </w:t>
      </w:r>
      <w:r w:rsidRPr="00893D4B">
        <w:t xml:space="preserve">Exh. AML-3 at 2 (Letter from UTC to NARUC (June 11, 1992)); </w:t>
      </w:r>
      <w:r w:rsidRPr="00893D4B">
        <w:rPr>
          <w:i/>
        </w:rPr>
        <w:t>see also</w:t>
      </w:r>
      <w:r w:rsidRPr="00893D4B">
        <w:t xml:space="preserve"> D</w:t>
      </w:r>
      <w:bookmarkStart w:id="66" w:name="_BA_Cite_FAD85A_000041"/>
      <w:bookmarkEnd w:id="66"/>
      <w:r w:rsidRPr="00893D4B">
        <w:t>ocket No. UE-920499, Ninth Supp. Order on Rate De</w:t>
      </w:r>
      <w:r>
        <w:t>sign at p. 11 (August 17, 1993).</w:t>
      </w:r>
    </w:p>
  </w:footnote>
  <w:footnote w:id="45">
    <w:p w14:paraId="27A7CD40" w14:textId="77777777" w:rsidR="00D0206C" w:rsidRDefault="00D0206C" w:rsidP="00D0206C">
      <w:pPr>
        <w:pStyle w:val="FootnoteText"/>
      </w:pPr>
      <w:r>
        <w:rPr>
          <w:rStyle w:val="FootnoteReference"/>
        </w:rPr>
        <w:footnoteRef/>
      </w:r>
      <w:r>
        <w:t xml:space="preserve"> </w:t>
      </w:r>
      <w:r w:rsidRPr="00893D4B">
        <w:t>D</w:t>
      </w:r>
      <w:bookmarkStart w:id="67" w:name="_BA_Cite_FAD85A_000043"/>
      <w:bookmarkEnd w:id="67"/>
      <w:r w:rsidRPr="00893D4B">
        <w:t xml:space="preserve">ocket No. UE-892688-T, Third Supp. Order </w:t>
      </w:r>
      <w:r>
        <w:t xml:space="preserve">at p. 71 </w:t>
      </w:r>
      <w:r w:rsidRPr="00893D4B">
        <w:t>(Jan. 17, 1990)</w:t>
      </w:r>
      <w:r>
        <w:t>.</w:t>
      </w:r>
    </w:p>
  </w:footnote>
  <w:footnote w:id="46">
    <w:p w14:paraId="6B79CAD8" w14:textId="77777777" w:rsidR="00D0206C" w:rsidRPr="00893D4B" w:rsidRDefault="00D0206C" w:rsidP="00D0206C">
      <w:pPr>
        <w:pStyle w:val="FootnoteText"/>
      </w:pPr>
      <w:r>
        <w:rPr>
          <w:rStyle w:val="FootnoteReference"/>
        </w:rPr>
        <w:footnoteRef/>
      </w:r>
      <w:r>
        <w:t xml:space="preserve"> </w:t>
      </w:r>
      <w:r w:rsidRPr="00893D4B">
        <w:t>Docket N</w:t>
      </w:r>
      <w:bookmarkStart w:id="68" w:name="_BA_Cite_FAD85A_000013"/>
      <w:bookmarkEnd w:id="68"/>
      <w:r w:rsidRPr="00893D4B">
        <w:t>o. UE-140762, Order 08</w:t>
      </w:r>
      <w:r>
        <w:t xml:space="preserve"> at ¶ 216</w:t>
      </w:r>
      <w:r w:rsidRPr="00893D4B">
        <w:t xml:space="preserve"> (Mar. 25, 2015)</w:t>
      </w:r>
      <w:r>
        <w:t>.</w:t>
      </w:r>
    </w:p>
  </w:footnote>
  <w:footnote w:id="47">
    <w:p w14:paraId="3A67AA58" w14:textId="77777777" w:rsidR="00D0206C" w:rsidRDefault="00D0206C" w:rsidP="00D0206C">
      <w:pPr>
        <w:pStyle w:val="FootnoteText"/>
      </w:pPr>
      <w:r>
        <w:rPr>
          <w:rStyle w:val="FootnoteReference"/>
        </w:rPr>
        <w:footnoteRef/>
      </w:r>
      <w:r>
        <w:t xml:space="preserve"> B</w:t>
      </w:r>
      <w:bookmarkStart w:id="69" w:name="_BA_Cite_FAD85A_000096"/>
      <w:bookmarkEnd w:id="69"/>
      <w:r>
        <w:t>all, TR. 347:3-6.</w:t>
      </w:r>
    </w:p>
  </w:footnote>
  <w:footnote w:id="48">
    <w:p w14:paraId="3C0FD085" w14:textId="2A651C52" w:rsidR="003833F8" w:rsidRDefault="003833F8" w:rsidP="00BC61E0">
      <w:pPr>
        <w:pStyle w:val="FootnoteText"/>
      </w:pPr>
      <w:r>
        <w:rPr>
          <w:rStyle w:val="FootnoteReference"/>
        </w:rPr>
        <w:footnoteRef/>
      </w:r>
      <w:r>
        <w:t xml:space="preserve"> </w:t>
      </w:r>
      <w:r w:rsidRPr="00ED1EAE">
        <w:rPr>
          <w:i/>
        </w:rPr>
        <w:t>See</w:t>
      </w:r>
      <w:r w:rsidRPr="00ED1EAE">
        <w:t xml:space="preserve"> Pi</w:t>
      </w:r>
      <w:r>
        <w:t>liaris Exh. JAP-46CT at 45:15-18, 46:15-17, 47:5-13.</w:t>
      </w:r>
    </w:p>
  </w:footnote>
  <w:footnote w:id="49">
    <w:p w14:paraId="50CEDC34" w14:textId="0187A52A" w:rsidR="003833F8" w:rsidRDefault="003833F8">
      <w:pPr>
        <w:pStyle w:val="FootnoteText"/>
      </w:pPr>
      <w:r>
        <w:rPr>
          <w:rStyle w:val="FootnoteReference"/>
        </w:rPr>
        <w:footnoteRef/>
      </w:r>
      <w:r>
        <w:t xml:space="preserve"> </w:t>
      </w:r>
      <w:r w:rsidRPr="00D0207D">
        <w:rPr>
          <w:i/>
        </w:rPr>
        <w:t>I</w:t>
      </w:r>
      <w:bookmarkStart w:id="70" w:name="_BA_Cite_FAD85A_000072"/>
      <w:bookmarkEnd w:id="70"/>
      <w:r w:rsidRPr="00D0207D">
        <w:rPr>
          <w:i/>
        </w:rPr>
        <w:t>d.</w:t>
      </w:r>
      <w:r>
        <w:t xml:space="preserve"> at 47:15 to 48:2.</w:t>
      </w:r>
    </w:p>
  </w:footnote>
  <w:footnote w:id="50">
    <w:p w14:paraId="4B2C8461" w14:textId="360391BF" w:rsidR="003833F8" w:rsidRDefault="003833F8">
      <w:pPr>
        <w:pStyle w:val="FootnoteText"/>
      </w:pPr>
      <w:r>
        <w:rPr>
          <w:rStyle w:val="FootnoteReference"/>
        </w:rPr>
        <w:footnoteRef/>
      </w:r>
      <w:r>
        <w:t xml:space="preserve"> </w:t>
      </w:r>
      <w:r w:rsidRPr="00140370">
        <w:rPr>
          <w:i/>
        </w:rPr>
        <w:t>I</w:t>
      </w:r>
      <w:bookmarkStart w:id="71" w:name="_BA_Cite_FAD85A_000073"/>
      <w:bookmarkEnd w:id="71"/>
      <w:r w:rsidRPr="00140370">
        <w:rPr>
          <w:i/>
        </w:rPr>
        <w:t>d.</w:t>
      </w:r>
      <w:r>
        <w:t xml:space="preserve"> at 48:1-3.</w:t>
      </w:r>
    </w:p>
  </w:footnote>
  <w:footnote w:id="51">
    <w:p w14:paraId="5AFA3966" w14:textId="41FB239A" w:rsidR="003833F8" w:rsidRDefault="003833F8">
      <w:pPr>
        <w:pStyle w:val="FootnoteText"/>
      </w:pPr>
      <w:r>
        <w:rPr>
          <w:rStyle w:val="FootnoteReference"/>
        </w:rPr>
        <w:footnoteRef/>
      </w:r>
      <w:r>
        <w:t xml:space="preserve"> </w:t>
      </w:r>
      <w:r w:rsidRPr="00A95DB5">
        <w:t>D</w:t>
      </w:r>
      <w:bookmarkStart w:id="72" w:name="_BA_Cite_FAD85A_000045"/>
      <w:bookmarkEnd w:id="72"/>
      <w:r w:rsidRPr="00A95DB5">
        <w:t xml:space="preserve">ocket No. UE-920499, Ninth Supp. Order on Rate </w:t>
      </w:r>
      <w:r>
        <w:t>Design at p.11 (Aug. 17, 1993).</w:t>
      </w:r>
    </w:p>
  </w:footnote>
  <w:footnote w:id="52">
    <w:p w14:paraId="2A547F98" w14:textId="4BFDF193" w:rsidR="003833F8" w:rsidRPr="004A4E99" w:rsidRDefault="003833F8" w:rsidP="00BC61E0">
      <w:pPr>
        <w:pStyle w:val="FootnoteText"/>
      </w:pPr>
      <w:r>
        <w:rPr>
          <w:rStyle w:val="FootnoteReference"/>
        </w:rPr>
        <w:footnoteRef/>
      </w:r>
      <w:r>
        <w:t xml:space="preserve"> Ms. Levin recommended that the Commission order PSE to conduct a study of the differences in the cost of service for categories of residential electric customers, namely, rural single-family, suburban single-family, and multi-family customers.  Levin, Exh. AML-1T at </w:t>
      </w:r>
      <w:r w:rsidRPr="007D5F37">
        <w:t>11:2-15</w:t>
      </w:r>
      <w:r>
        <w:t xml:space="preserve">.  Ms. Levin recommended that any such PSE study include an analysis of low-income customers.  </w:t>
      </w:r>
      <w:r w:rsidRPr="00D0207D">
        <w:rPr>
          <w:i/>
        </w:rPr>
        <w:t>I</w:t>
      </w:r>
      <w:bookmarkStart w:id="73" w:name="_BA_Cite_FAD85A_000076"/>
      <w:bookmarkEnd w:id="73"/>
      <w:r w:rsidRPr="00D0207D">
        <w:rPr>
          <w:i/>
        </w:rPr>
        <w:t>d.</w:t>
      </w:r>
      <w:r>
        <w:t xml:space="preserve">  NWEC asks the Commission to instruct PSE to complete such a study prior to proposing any changes in the rate design for residential electric customers.</w:t>
      </w:r>
    </w:p>
  </w:footnote>
  <w:footnote w:id="53">
    <w:p w14:paraId="22F37968" w14:textId="22E3E83E" w:rsidR="003833F8" w:rsidRDefault="003833F8" w:rsidP="00BC61E0">
      <w:pPr>
        <w:pStyle w:val="FootnoteText"/>
      </w:pPr>
      <w:r>
        <w:rPr>
          <w:rStyle w:val="FootnoteReference"/>
        </w:rPr>
        <w:footnoteRef/>
      </w:r>
      <w:r>
        <w:t xml:space="preserve"> </w:t>
      </w:r>
      <w:r w:rsidRPr="007D62AB">
        <w:t xml:space="preserve">Collins, Exh. SMC-3T </w:t>
      </w:r>
      <w:r>
        <w:t>at 6:4-6.</w:t>
      </w:r>
    </w:p>
  </w:footnote>
  <w:footnote w:id="54">
    <w:p w14:paraId="5E36E5C8" w14:textId="5AB58A4D" w:rsidR="003833F8" w:rsidRDefault="003833F8" w:rsidP="00BC61E0">
      <w:pPr>
        <w:pStyle w:val="FootnoteText"/>
      </w:pPr>
      <w:r>
        <w:rPr>
          <w:rStyle w:val="FootnoteReference"/>
        </w:rPr>
        <w:footnoteRef/>
      </w:r>
      <w:r>
        <w:t xml:space="preserve"> </w:t>
      </w:r>
      <w:r w:rsidRPr="007D62AB">
        <w:rPr>
          <w:i/>
        </w:rPr>
        <w:t>See</w:t>
      </w:r>
      <w:r w:rsidRPr="007D62AB">
        <w:t xml:space="preserve"> Levin, Exh. AML-1T at 9</w:t>
      </w:r>
      <w:r>
        <w:t xml:space="preserve">:18 to </w:t>
      </w:r>
      <w:r w:rsidRPr="007D62AB">
        <w:t>10</w:t>
      </w:r>
      <w:r>
        <w:t>:15</w:t>
      </w:r>
      <w:r w:rsidRPr="007D62AB">
        <w:t>; Watkins, Exh. GAW-1T at 49</w:t>
      </w:r>
      <w:r>
        <w:t xml:space="preserve">:13 to </w:t>
      </w:r>
      <w:r w:rsidRPr="007D62AB">
        <w:t>5</w:t>
      </w:r>
      <w:r>
        <w:t>2:2</w:t>
      </w:r>
      <w:r w:rsidRPr="007D62AB">
        <w:t>; Collins</w:t>
      </w:r>
      <w:r>
        <w:t>, Exh. SMC-3T at 6:6-7.</w:t>
      </w:r>
    </w:p>
  </w:footnote>
  <w:footnote w:id="55">
    <w:p w14:paraId="46D3B94D" w14:textId="01878691" w:rsidR="003833F8" w:rsidRDefault="003833F8">
      <w:pPr>
        <w:pStyle w:val="FootnoteText"/>
      </w:pPr>
      <w:r>
        <w:rPr>
          <w:rStyle w:val="FootnoteReference"/>
        </w:rPr>
        <w:footnoteRef/>
      </w:r>
      <w:r>
        <w:t xml:space="preserve"> </w:t>
      </w:r>
      <w:r w:rsidRPr="007D62AB">
        <w:t>Docket N</w:t>
      </w:r>
      <w:bookmarkStart w:id="75" w:name="_BA_Cite_FAD85A_000015"/>
      <w:bookmarkEnd w:id="75"/>
      <w:r w:rsidRPr="007D62AB">
        <w:t xml:space="preserve">o. UE-140762, Order 08 </w:t>
      </w:r>
      <w:r>
        <w:t xml:space="preserve">at ¶ 216 </w:t>
      </w:r>
      <w:r w:rsidRPr="007D62AB">
        <w:t>(Mar. 25, 2015).</w:t>
      </w:r>
    </w:p>
  </w:footnote>
  <w:footnote w:id="56">
    <w:p w14:paraId="6236FBE0" w14:textId="2BC291D8" w:rsidR="003833F8" w:rsidRDefault="003833F8">
      <w:pPr>
        <w:pStyle w:val="FootnoteText"/>
      </w:pPr>
      <w:r>
        <w:rPr>
          <w:rStyle w:val="FootnoteReference"/>
        </w:rPr>
        <w:footnoteRef/>
      </w:r>
      <w:r>
        <w:t xml:space="preserve"> </w:t>
      </w:r>
      <w:r w:rsidRPr="007B0E66">
        <w:rPr>
          <w:i/>
        </w:rPr>
        <w:t>See</w:t>
      </w:r>
      <w:r w:rsidRPr="007B0E66">
        <w:t xml:space="preserve"> </w:t>
      </w:r>
      <w:r w:rsidRPr="00D0207D">
        <w:rPr>
          <w:i/>
          <w:iCs/>
        </w:rPr>
        <w:t>generally</w:t>
      </w:r>
      <w:r w:rsidRPr="007B0E66">
        <w:t xml:space="preserve"> Docket N</w:t>
      </w:r>
      <w:bookmarkStart w:id="78" w:name="_BA_Cite_FAD85A_000017"/>
      <w:bookmarkEnd w:id="78"/>
      <w:r w:rsidRPr="007B0E66">
        <w:t xml:space="preserve">o. UE-090704, Order 11 </w:t>
      </w:r>
      <w:r>
        <w:t xml:space="preserve">at ¶ 18 </w:t>
      </w:r>
      <w:r w:rsidRPr="007B0E66">
        <w:t xml:space="preserve">(Apr. 2, 2010) (rates are just if they are “based solely on the record </w:t>
      </w:r>
      <w:r>
        <w:t>developed in the proceeding”).</w:t>
      </w:r>
    </w:p>
  </w:footnote>
  <w:footnote w:id="57">
    <w:p w14:paraId="5859C32C" w14:textId="69C88627" w:rsidR="003833F8" w:rsidRDefault="003833F8">
      <w:pPr>
        <w:pStyle w:val="FootnoteText"/>
      </w:pPr>
      <w:r>
        <w:rPr>
          <w:rStyle w:val="FootnoteReference"/>
        </w:rPr>
        <w:footnoteRef/>
      </w:r>
      <w:r>
        <w:t xml:space="preserve"> </w:t>
      </w:r>
      <w:r w:rsidRPr="007B0E66">
        <w:rPr>
          <w:i/>
        </w:rPr>
        <w:t>See</w:t>
      </w:r>
      <w:r w:rsidRPr="007B0E66">
        <w:t xml:space="preserve"> D</w:t>
      </w:r>
      <w:bookmarkStart w:id="79" w:name="_BA_Cite_FAD85A_000047"/>
      <w:bookmarkEnd w:id="79"/>
      <w:r w:rsidRPr="007B0E66">
        <w:t xml:space="preserve">ocket No. UE-121697, Order </w:t>
      </w:r>
      <w:r>
        <w:t>at ¶ 27</w:t>
      </w:r>
      <w:r w:rsidRPr="007B0E66">
        <w:t xml:space="preserve"> (June 25, 2013).</w:t>
      </w:r>
    </w:p>
  </w:footnote>
  <w:footnote w:id="58">
    <w:p w14:paraId="64D1BA0F" w14:textId="7B438A1F" w:rsidR="003833F8" w:rsidRDefault="003833F8" w:rsidP="00BC61E0">
      <w:pPr>
        <w:pStyle w:val="FootnoteText"/>
      </w:pPr>
      <w:r>
        <w:rPr>
          <w:rStyle w:val="FootnoteReference"/>
        </w:rPr>
        <w:footnoteRef/>
      </w:r>
      <w:r>
        <w:t xml:space="preserve"> </w:t>
      </w:r>
      <w:r w:rsidRPr="007B0E66">
        <w:rPr>
          <w:i/>
        </w:rPr>
        <w:t>See</w:t>
      </w:r>
      <w:r w:rsidRPr="007B0E66">
        <w:t xml:space="preserve"> Piliaris</w:t>
      </w:r>
      <w:r>
        <w:t>, Exh. JAP-1T at 125:14 to 126:7.</w:t>
      </w:r>
    </w:p>
  </w:footnote>
  <w:footnote w:id="59">
    <w:p w14:paraId="1E76591D" w14:textId="451B7AAC" w:rsidR="003833F8" w:rsidRDefault="003833F8">
      <w:pPr>
        <w:pStyle w:val="FootnoteText"/>
      </w:pPr>
      <w:r>
        <w:rPr>
          <w:rStyle w:val="FootnoteReference"/>
        </w:rPr>
        <w:footnoteRef/>
      </w:r>
      <w:r>
        <w:t xml:space="preserve"> </w:t>
      </w:r>
      <w:r w:rsidRPr="007B0E66">
        <w:rPr>
          <w:i/>
        </w:rPr>
        <w:t>I</w:t>
      </w:r>
      <w:bookmarkStart w:id="82" w:name="_BA_Cite_FAD85A_000077"/>
      <w:bookmarkEnd w:id="82"/>
      <w:r w:rsidRPr="007B0E66">
        <w:rPr>
          <w:i/>
        </w:rPr>
        <w:t>d.</w:t>
      </w:r>
    </w:p>
  </w:footnote>
  <w:footnote w:id="60">
    <w:p w14:paraId="7F5CA07D" w14:textId="6916D027" w:rsidR="003833F8" w:rsidRDefault="003833F8" w:rsidP="00162251">
      <w:pPr>
        <w:pStyle w:val="FootnoteText"/>
      </w:pPr>
      <w:r>
        <w:rPr>
          <w:rStyle w:val="FootnoteReference"/>
        </w:rPr>
        <w:footnoteRef/>
      </w:r>
      <w:r>
        <w:t xml:space="preserve"> </w:t>
      </w:r>
      <w:r w:rsidRPr="000E3355">
        <w:rPr>
          <w:i/>
        </w:rPr>
        <w:t>See</w:t>
      </w:r>
      <w:r w:rsidRPr="000E3355">
        <w:t xml:space="preserve"> </w:t>
      </w:r>
      <w:r w:rsidRPr="00D0207D">
        <w:rPr>
          <w:i/>
          <w:iCs/>
        </w:rPr>
        <w:t>i</w:t>
      </w:r>
      <w:bookmarkStart w:id="83" w:name="_BA_Cite_FAD85A_000074"/>
      <w:bookmarkEnd w:id="83"/>
      <w:r w:rsidRPr="00D0207D">
        <w:rPr>
          <w:i/>
          <w:iCs/>
        </w:rPr>
        <w:t>d.</w:t>
      </w:r>
      <w:r w:rsidRPr="000E3355">
        <w:t xml:space="preserve"> at 139</w:t>
      </w:r>
      <w:r>
        <w:t>:3-6</w:t>
      </w:r>
      <w:r w:rsidRPr="000E3355">
        <w:t xml:space="preserve"> (“While there has not been a significant historic problem with significant unamortized deferred revenue for customers within PSE’s electric decoupling mechanism, the addition of fixed power cost recovery to this mechanism may create the pot</w:t>
      </w:r>
      <w:r>
        <w:t>ential for future problems.”).</w:t>
      </w:r>
    </w:p>
  </w:footnote>
  <w:footnote w:id="61">
    <w:p w14:paraId="591FACC4" w14:textId="46ADDF7F" w:rsidR="003833F8" w:rsidRDefault="003833F8" w:rsidP="00BC61E0">
      <w:pPr>
        <w:pStyle w:val="FootnoteText"/>
      </w:pPr>
      <w:r>
        <w:rPr>
          <w:rStyle w:val="FootnoteReference"/>
        </w:rPr>
        <w:footnoteRef/>
      </w:r>
      <w:r>
        <w:t xml:space="preserve"> </w:t>
      </w:r>
      <w:r w:rsidRPr="000E3355">
        <w:t>Piliaris</w:t>
      </w:r>
      <w:r>
        <w:t>, Exh. JAP-46CT at 15:10-18.</w:t>
      </w:r>
    </w:p>
  </w:footnote>
  <w:footnote w:id="62">
    <w:p w14:paraId="5936551B" w14:textId="6CBBEEDB" w:rsidR="003833F8" w:rsidRDefault="003833F8" w:rsidP="00BC61E0">
      <w:pPr>
        <w:pStyle w:val="FootnoteText"/>
      </w:pPr>
      <w:r>
        <w:rPr>
          <w:rStyle w:val="FootnoteReference"/>
        </w:rPr>
        <w:footnoteRef/>
      </w:r>
      <w:r>
        <w:t xml:space="preserve"> </w:t>
      </w:r>
      <w:r w:rsidRPr="000E3355">
        <w:t>Levin</w:t>
      </w:r>
      <w:r>
        <w:t>, Exh. AML-1T at 24:13-16, 25:8-10.</w:t>
      </w:r>
    </w:p>
  </w:footnote>
  <w:footnote w:id="63">
    <w:p w14:paraId="3523ED28" w14:textId="51A4CB79" w:rsidR="003833F8" w:rsidRDefault="003833F8">
      <w:pPr>
        <w:pStyle w:val="FootnoteText"/>
      </w:pPr>
      <w:r>
        <w:rPr>
          <w:rStyle w:val="FootnoteReference"/>
        </w:rPr>
        <w:footnoteRef/>
      </w:r>
      <w:r>
        <w:t xml:space="preserve"> </w:t>
      </w:r>
      <w:r w:rsidRPr="000E3355">
        <w:rPr>
          <w:i/>
        </w:rPr>
        <w:t>I</w:t>
      </w:r>
      <w:bookmarkStart w:id="84" w:name="_BA_Cite_FAD85A_000078"/>
      <w:bookmarkEnd w:id="84"/>
      <w:r w:rsidRPr="000E3355">
        <w:rPr>
          <w:i/>
        </w:rPr>
        <w:t>d.</w:t>
      </w:r>
    </w:p>
  </w:footnote>
  <w:footnote w:id="64">
    <w:p w14:paraId="0CB57D57" w14:textId="00C72AB1" w:rsidR="003833F8" w:rsidRDefault="003833F8" w:rsidP="00E17C6D">
      <w:pPr>
        <w:pStyle w:val="FootnoteText"/>
      </w:pPr>
      <w:r>
        <w:rPr>
          <w:rStyle w:val="FootnoteReference"/>
        </w:rPr>
        <w:footnoteRef/>
      </w:r>
      <w:r>
        <w:t xml:space="preserve"> </w:t>
      </w:r>
      <w:r w:rsidRPr="00BC61E0">
        <w:t>D</w:t>
      </w:r>
      <w:bookmarkStart w:id="86" w:name="_BA_Cite_FAD85A_000049"/>
      <w:bookmarkEnd w:id="86"/>
      <w:r w:rsidRPr="00BC61E0">
        <w:t xml:space="preserve">ocket No. UE-141368, Order </w:t>
      </w:r>
      <w:r>
        <w:t xml:space="preserve">at ¶ 14 </w:t>
      </w:r>
      <w:r w:rsidRPr="00BC61E0">
        <w:t xml:space="preserve">(Jan. 29, 2015).  </w:t>
      </w:r>
    </w:p>
  </w:footnote>
  <w:footnote w:id="65">
    <w:p w14:paraId="77CB9BC0" w14:textId="74598211" w:rsidR="003833F8" w:rsidRDefault="003833F8">
      <w:pPr>
        <w:pStyle w:val="FootnoteText"/>
      </w:pPr>
      <w:r w:rsidRPr="00A45C22">
        <w:rPr>
          <w:rStyle w:val="FootnoteReference"/>
        </w:rPr>
        <w:footnoteRef/>
      </w:r>
      <w:r w:rsidRPr="00A45C22">
        <w:t xml:space="preserve"> Piliaris</w:t>
      </w:r>
      <w:r w:rsidRPr="00D0207D">
        <w:t xml:space="preserve">, Exh. JAP-1T at 59:17 to </w:t>
      </w:r>
      <w:r w:rsidRPr="00A45C22">
        <w:t>61</w:t>
      </w:r>
      <w:r w:rsidRPr="00D0207D">
        <w:t>:3.</w:t>
      </w:r>
    </w:p>
  </w:footnote>
  <w:footnote w:id="66">
    <w:p w14:paraId="317AF6FB" w14:textId="4277E12A" w:rsidR="003833F8" w:rsidRDefault="003833F8">
      <w:pPr>
        <w:pStyle w:val="FootnoteText"/>
      </w:pPr>
      <w:r w:rsidRPr="00A45C22">
        <w:rPr>
          <w:rStyle w:val="FootnoteReference"/>
        </w:rPr>
        <w:footnoteRef/>
      </w:r>
      <w:r w:rsidRPr="00A45C22">
        <w:t xml:space="preserve"> </w:t>
      </w:r>
      <w:r w:rsidRPr="00A45C22">
        <w:rPr>
          <w:i/>
        </w:rPr>
        <w:t>I</w:t>
      </w:r>
      <w:bookmarkStart w:id="87" w:name="_BA_Cite_FAD85A_000075"/>
      <w:bookmarkEnd w:id="87"/>
      <w:r w:rsidRPr="00A45C22">
        <w:rPr>
          <w:i/>
        </w:rPr>
        <w:t>d.</w:t>
      </w:r>
      <w:r w:rsidRPr="00D0207D">
        <w:t xml:space="preserve"> at 60:5-6.</w:t>
      </w:r>
    </w:p>
  </w:footnote>
  <w:footnote w:id="67">
    <w:p w14:paraId="47CF1D84" w14:textId="0C05EB04" w:rsidR="003833F8" w:rsidRDefault="003833F8" w:rsidP="00BC61E0">
      <w:pPr>
        <w:pStyle w:val="FootnoteText"/>
      </w:pPr>
      <w:r>
        <w:rPr>
          <w:rStyle w:val="FootnoteReference"/>
        </w:rPr>
        <w:footnoteRef/>
      </w:r>
      <w:r>
        <w:t xml:space="preserve"> </w:t>
      </w:r>
      <w:r w:rsidRPr="000B23D0">
        <w:t>Levin</w:t>
      </w:r>
      <w:r>
        <w:t>, Exh. AML-1T at 14:9-12.</w:t>
      </w:r>
    </w:p>
  </w:footnote>
  <w:footnote w:id="68">
    <w:p w14:paraId="6FACA73C" w14:textId="5A15BB5D" w:rsidR="003833F8" w:rsidRDefault="003833F8" w:rsidP="00BC61E0">
      <w:pPr>
        <w:pStyle w:val="FootnoteText"/>
      </w:pPr>
      <w:r>
        <w:rPr>
          <w:rStyle w:val="FootnoteReference"/>
        </w:rPr>
        <w:footnoteRef/>
      </w:r>
      <w:r>
        <w:t xml:space="preserve"> </w:t>
      </w:r>
      <w:r w:rsidRPr="000B23D0">
        <w:t>Ball</w:t>
      </w:r>
      <w:r>
        <w:t>, Exh. JLB-1T at 44:1-2.</w:t>
      </w:r>
    </w:p>
  </w:footnote>
  <w:footnote w:id="69">
    <w:p w14:paraId="1217B3A7" w14:textId="0EC1C07F" w:rsidR="003833F8" w:rsidRPr="000B23D0" w:rsidRDefault="003833F8" w:rsidP="00BC61E0">
      <w:pPr>
        <w:pStyle w:val="FootnoteText"/>
      </w:pPr>
      <w:r>
        <w:rPr>
          <w:rStyle w:val="FootnoteReference"/>
        </w:rPr>
        <w:footnoteRef/>
      </w:r>
      <w:r>
        <w:t xml:space="preserve"> </w:t>
      </w:r>
      <w:r w:rsidRPr="000B23D0">
        <w:t>Piliaris</w:t>
      </w:r>
      <w:r>
        <w:t>, Exh. JAP-1T at 60:11-15.</w:t>
      </w:r>
    </w:p>
  </w:footnote>
  <w:footnote w:id="70">
    <w:p w14:paraId="0D7EE18E" w14:textId="4C6D6D74" w:rsidR="003833F8" w:rsidRDefault="003833F8">
      <w:pPr>
        <w:pStyle w:val="FootnoteText"/>
      </w:pPr>
      <w:r>
        <w:rPr>
          <w:rStyle w:val="FootnoteReference"/>
        </w:rPr>
        <w:footnoteRef/>
      </w:r>
      <w:r>
        <w:t xml:space="preserve"> Gerlitz, Exh. </w:t>
      </w:r>
      <w:r w:rsidRPr="001427AB">
        <w:t>WMG-1T.</w:t>
      </w:r>
    </w:p>
  </w:footnote>
  <w:footnote w:id="71">
    <w:p w14:paraId="662594C9" w14:textId="1FB6B9E7" w:rsidR="003833F8" w:rsidRDefault="003833F8">
      <w:pPr>
        <w:pStyle w:val="FootnoteText"/>
      </w:pPr>
      <w:r>
        <w:rPr>
          <w:rStyle w:val="FootnoteReference"/>
        </w:rPr>
        <w:footnoteRef/>
      </w:r>
      <w:r>
        <w:t xml:space="preserve"> </w:t>
      </w:r>
      <w:r w:rsidRPr="002976E5">
        <w:t xml:space="preserve">Power, Exh. </w:t>
      </w:r>
      <w:r>
        <w:t>TMP-1T</w:t>
      </w:r>
      <w:r w:rsidRPr="002976E5">
        <w:t>; P</w:t>
      </w:r>
      <w:r>
        <w:t>ower, Exh. TMP-9T.</w:t>
      </w:r>
    </w:p>
  </w:footnote>
  <w:footnote w:id="72">
    <w:p w14:paraId="6B065E82" w14:textId="28C963BE" w:rsidR="003833F8" w:rsidRDefault="003833F8">
      <w:pPr>
        <w:pStyle w:val="FootnoteText"/>
      </w:pPr>
      <w:r>
        <w:rPr>
          <w:rStyle w:val="FootnoteReference"/>
        </w:rPr>
        <w:footnoteRef/>
      </w:r>
      <w:r>
        <w:t xml:space="preserve"> Settlement, para. 25.</w:t>
      </w:r>
    </w:p>
  </w:footnote>
  <w:footnote w:id="73">
    <w:p w14:paraId="2C2BF696" w14:textId="04AF0507" w:rsidR="003833F8" w:rsidRDefault="003833F8">
      <w:pPr>
        <w:pStyle w:val="FootnoteText"/>
      </w:pPr>
      <w:r>
        <w:rPr>
          <w:rStyle w:val="FootnoteReference"/>
        </w:rPr>
        <w:footnoteRef/>
      </w:r>
      <w:r>
        <w:t xml:space="preserve"> Settlement, para. 26.</w:t>
      </w:r>
    </w:p>
  </w:footnote>
  <w:footnote w:id="74">
    <w:p w14:paraId="1902FE9C" w14:textId="10B30CA6" w:rsidR="003833F8" w:rsidRDefault="003833F8">
      <w:pPr>
        <w:pStyle w:val="FootnoteText"/>
      </w:pPr>
      <w:r>
        <w:rPr>
          <w:rStyle w:val="FootnoteReference"/>
        </w:rPr>
        <w:footnoteRef/>
      </w:r>
      <w:r>
        <w:t xml:space="preserve"> Hausman, Exh. EDH-1T at 24: 9-10 (using proposed retirement date of 2024 from 2007 PSE application); Hausman, Exh. EDH-10T at 7:6-15 (depreciation date of Dec. 31, 2024); Howell, Exh. 1T at 5:1-8, 6:15 to 11:16.</w:t>
      </w:r>
    </w:p>
  </w:footnote>
  <w:footnote w:id="75">
    <w:p w14:paraId="43635EB1" w14:textId="77D4BC9C" w:rsidR="003833F8" w:rsidRPr="00712037" w:rsidRDefault="003833F8" w:rsidP="00712037">
      <w:pPr>
        <w:pStyle w:val="FootnoteText"/>
      </w:pPr>
      <w:r>
        <w:rPr>
          <w:rStyle w:val="FootnoteReference"/>
        </w:rPr>
        <w:footnoteRef/>
      </w:r>
      <w:r>
        <w:t xml:space="preserve"> </w:t>
      </w:r>
      <w:r w:rsidRPr="00034E96">
        <w:t>Power, Exh. TMP-1T at 9:21 to 11:3.</w:t>
      </w:r>
    </w:p>
  </w:footnote>
  <w:footnote w:id="76">
    <w:p w14:paraId="0A4B7214" w14:textId="2F566066" w:rsidR="003833F8" w:rsidRDefault="003833F8">
      <w:pPr>
        <w:pStyle w:val="FootnoteText"/>
      </w:pPr>
      <w:r>
        <w:rPr>
          <w:rStyle w:val="FootnoteReference"/>
        </w:rPr>
        <w:footnoteRef/>
      </w:r>
      <w:r>
        <w:t xml:space="preserve"> Settlement, para. 116, 117.</w:t>
      </w:r>
    </w:p>
  </w:footnote>
  <w:footnote w:id="77">
    <w:p w14:paraId="78938F4A" w14:textId="09E7B5B7" w:rsidR="003833F8" w:rsidRDefault="003833F8">
      <w:pPr>
        <w:pStyle w:val="FootnoteText"/>
      </w:pPr>
      <w:r>
        <w:rPr>
          <w:rStyle w:val="FootnoteReference"/>
        </w:rPr>
        <w:footnoteRef/>
      </w:r>
      <w:r>
        <w:t xml:space="preserve"> Settlement, para. 119.</w:t>
      </w:r>
    </w:p>
  </w:footnote>
  <w:footnote w:id="78">
    <w:p w14:paraId="56AA80B8" w14:textId="2A2A1DE2" w:rsidR="003833F8" w:rsidRDefault="003833F8">
      <w:pPr>
        <w:pStyle w:val="FootnoteText"/>
      </w:pPr>
      <w:r>
        <w:rPr>
          <w:rStyle w:val="FootnoteReference"/>
        </w:rPr>
        <w:footnoteRef/>
      </w:r>
      <w:r>
        <w:t xml:space="preserve"> Settlement, para. 118.</w:t>
      </w:r>
    </w:p>
  </w:footnote>
  <w:footnote w:id="79">
    <w:p w14:paraId="3135750C" w14:textId="7436CF24" w:rsidR="003833F8" w:rsidRDefault="003833F8">
      <w:pPr>
        <w:pStyle w:val="FootnoteText"/>
      </w:pPr>
      <w:r>
        <w:rPr>
          <w:rStyle w:val="FootnoteReference"/>
        </w:rPr>
        <w:footnoteRef/>
      </w:r>
      <w:r>
        <w:t xml:space="preserve"> Power, Exh. TMP-1T at 28:24 to 47:3.</w:t>
      </w:r>
    </w:p>
  </w:footnote>
  <w:footnote w:id="80">
    <w:p w14:paraId="637796A4" w14:textId="4B79DA6E" w:rsidR="003833F8" w:rsidRDefault="003833F8" w:rsidP="00705993">
      <w:pPr>
        <w:pStyle w:val="FootnoteText"/>
      </w:pPr>
      <w:r>
        <w:rPr>
          <w:rStyle w:val="FootnoteReference"/>
        </w:rPr>
        <w:footnoteRef/>
      </w:r>
      <w:r>
        <w:t xml:space="preserve"> </w:t>
      </w:r>
      <w:r w:rsidRPr="005B3133">
        <w:t>Yourkowski, Exh. CBY-1T</w:t>
      </w:r>
      <w:r>
        <w:t xml:space="preserve"> at 3:2 to 17:3.</w:t>
      </w:r>
    </w:p>
  </w:footnote>
  <w:footnote w:id="81">
    <w:p w14:paraId="7DDB0B2F" w14:textId="77777777" w:rsidR="003833F8" w:rsidRDefault="003833F8" w:rsidP="00705993">
      <w:pPr>
        <w:pStyle w:val="FootnoteText"/>
      </w:pPr>
      <w:r>
        <w:rPr>
          <w:rStyle w:val="FootnoteReference"/>
        </w:rPr>
        <w:footnoteRef/>
      </w:r>
      <w:r>
        <w:t xml:space="preserve"> In addition, </w:t>
      </w:r>
      <w:r w:rsidRPr="002976E5">
        <w:t xml:space="preserve">NWEC witness Dr. Michael O’Brien addressed the need to review post retirement system needs and supply options available to PSE in future planning.  O’Brien, Exh. </w:t>
      </w:r>
      <w:r>
        <w:t>MHO-1T.</w:t>
      </w:r>
    </w:p>
  </w:footnote>
  <w:footnote w:id="82">
    <w:p w14:paraId="175AD47C" w14:textId="72FFFF08" w:rsidR="003833F8" w:rsidRDefault="003833F8">
      <w:pPr>
        <w:pStyle w:val="FootnoteText"/>
      </w:pPr>
      <w:r>
        <w:rPr>
          <w:rStyle w:val="FootnoteReference"/>
        </w:rPr>
        <w:footnoteRef/>
      </w:r>
      <w:r>
        <w:t xml:space="preserve"> Settlement, para. 120, 121.</w:t>
      </w:r>
    </w:p>
  </w:footnote>
  <w:footnote w:id="83">
    <w:p w14:paraId="23C325DB" w14:textId="5A6ADD00" w:rsidR="003833F8" w:rsidRDefault="003833F8">
      <w:pPr>
        <w:pStyle w:val="FootnoteText"/>
      </w:pPr>
      <w:r>
        <w:rPr>
          <w:rStyle w:val="FootnoteReference"/>
        </w:rPr>
        <w:footnoteRef/>
      </w:r>
      <w:r>
        <w:t xml:space="preserve"> Settlement, para. 107-110.</w:t>
      </w:r>
    </w:p>
  </w:footnote>
  <w:footnote w:id="84">
    <w:p w14:paraId="6FAB38FB" w14:textId="06CC80A7" w:rsidR="003833F8" w:rsidRDefault="003833F8" w:rsidP="00ED49A7">
      <w:pPr>
        <w:pStyle w:val="FootnoteText"/>
      </w:pPr>
      <w:r>
        <w:rPr>
          <w:rStyle w:val="FootnoteReference"/>
        </w:rPr>
        <w:footnoteRef/>
      </w:r>
      <w:r>
        <w:t xml:space="preserve"> R</w:t>
      </w:r>
      <w:bookmarkStart w:id="92" w:name="_BA_Cite_FAD85A_000057"/>
      <w:bookmarkEnd w:id="92"/>
      <w:r>
        <w:t>CW 80.28.010 and 81.28.010 require that rates approved by the Commission be “fair, just, reasonable and sufficient.”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F958" w14:textId="77777777" w:rsidR="00323F75" w:rsidRDefault="00323F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BC123" w14:textId="77777777" w:rsidR="00323F75" w:rsidRDefault="00323F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8FEB5" w14:textId="77777777" w:rsidR="00323F75" w:rsidRDefault="00323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FC2BB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C347A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49C02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1643DD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08E7F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6A7F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EC81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C22F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F6E5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C402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403B87"/>
    <w:multiLevelType w:val="hybridMultilevel"/>
    <w:tmpl w:val="5D9CB480"/>
    <w:lvl w:ilvl="0" w:tplc="3DEE50DA">
      <w:start w:val="1"/>
      <w:numFmt w:val="decimal"/>
      <w:lvlText w:val="%1"/>
      <w:lvlJc w:val="left"/>
      <w:pPr>
        <w:ind w:left="1188" w:hanging="360"/>
      </w:pPr>
      <w:rPr>
        <w:rFonts w:hint="default"/>
        <w:i/>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10E559DE"/>
    <w:multiLevelType w:val="singleLevel"/>
    <w:tmpl w:val="FEE8C3C0"/>
    <w:lvl w:ilvl="0">
      <w:start w:val="1"/>
      <w:numFmt w:val="decimal"/>
      <w:lvlText w:val="%1."/>
      <w:lvlJc w:val="left"/>
      <w:pPr>
        <w:tabs>
          <w:tab w:val="num" w:pos="1440"/>
        </w:tabs>
        <w:ind w:left="1440" w:hanging="720"/>
      </w:pPr>
      <w:rPr>
        <w:rFonts w:hint="default"/>
      </w:rPr>
    </w:lvl>
  </w:abstractNum>
  <w:abstractNum w:abstractNumId="12" w15:restartNumberingAfterBreak="0">
    <w:nsid w:val="12C53D22"/>
    <w:multiLevelType w:val="hybridMultilevel"/>
    <w:tmpl w:val="FBDCCA3C"/>
    <w:lvl w:ilvl="0" w:tplc="D8082C1A">
      <w:start w:val="1"/>
      <w:numFmt w:val="decimal"/>
      <w:lvlText w:val="%1"/>
      <w:lvlJc w:val="left"/>
      <w:pPr>
        <w:ind w:left="723" w:hanging="1155"/>
      </w:pPr>
      <w:rPr>
        <w:rFonts w:hint="default"/>
        <w:i/>
        <w:sz w:val="20"/>
        <w:szCs w:val="20"/>
      </w:rPr>
    </w:lvl>
    <w:lvl w:ilvl="1" w:tplc="04090019">
      <w:start w:val="1"/>
      <w:numFmt w:val="lowerLetter"/>
      <w:lvlText w:val="%2."/>
      <w:lvlJc w:val="left"/>
      <w:pPr>
        <w:ind w:left="648" w:hanging="360"/>
      </w:pPr>
    </w:lvl>
    <w:lvl w:ilvl="2" w:tplc="0409001B">
      <w:start w:val="1"/>
      <w:numFmt w:val="lowerRoman"/>
      <w:lvlText w:val="%3."/>
      <w:lvlJc w:val="right"/>
      <w:pPr>
        <w:ind w:left="1368" w:hanging="180"/>
      </w:pPr>
    </w:lvl>
    <w:lvl w:ilvl="3" w:tplc="0409000F">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3" w15:restartNumberingAfterBreak="0">
    <w:nsid w:val="145E7C6A"/>
    <w:multiLevelType w:val="multilevel"/>
    <w:tmpl w:val="D8387BD4"/>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4" w15:restartNumberingAfterBreak="0">
    <w:nsid w:val="1CE53F0B"/>
    <w:multiLevelType w:val="multilevel"/>
    <w:tmpl w:val="1EAAA410"/>
    <w:lvl w:ilvl="0">
      <w:start w:val="1"/>
      <w:numFmt w:val="none"/>
      <w:suff w:val="nothing"/>
      <w:lvlText w:val="%1"/>
      <w:lvlJc w:val="center"/>
      <w:pPr>
        <w:ind w:left="0" w:firstLine="0"/>
      </w:pPr>
      <w:rPr>
        <w:rFonts w:hint="default"/>
      </w:rPr>
    </w:lvl>
    <w:lvl w:ilvl="1">
      <w:start w:val="1"/>
      <w:numFmt w:val="upperRoman"/>
      <w:lvlText w:val="%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u w:val="none"/>
      </w:rPr>
    </w:lvl>
    <w:lvl w:ilvl="3">
      <w:start w:val="1"/>
      <w:numFmt w:val="decimal"/>
      <w:lvlText w:val="%4."/>
      <w:lvlJc w:val="left"/>
      <w:pPr>
        <w:tabs>
          <w:tab w:val="num" w:pos="2160"/>
        </w:tabs>
        <w:ind w:left="2160" w:hanging="720"/>
      </w:pPr>
      <w:rPr>
        <w:rFonts w:hint="default"/>
        <w:b w:val="0"/>
        <w:i/>
      </w:rPr>
    </w:lvl>
    <w:lvl w:ilvl="4">
      <w:start w:val="1"/>
      <w:numFmt w:val="lowerRoman"/>
      <w:lvlText w:val="%5."/>
      <w:lvlJc w:val="left"/>
      <w:pPr>
        <w:tabs>
          <w:tab w:val="num" w:pos="2880"/>
        </w:tabs>
        <w:ind w:left="2880" w:hanging="720"/>
      </w:pPr>
      <w:rPr>
        <w:rFonts w:hint="default"/>
      </w:rPr>
    </w:lvl>
    <w:lvl w:ilvl="5">
      <w:start w:val="1"/>
      <w:numFmt w:val="none"/>
      <w:lvlText w:val=""/>
      <w:lvlJc w:val="left"/>
      <w:pPr>
        <w:tabs>
          <w:tab w:val="num" w:pos="360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5" w15:restartNumberingAfterBreak="0">
    <w:nsid w:val="32C973E9"/>
    <w:multiLevelType w:val="singleLevel"/>
    <w:tmpl w:val="C8608CCE"/>
    <w:lvl w:ilvl="0">
      <w:start w:val="1"/>
      <w:numFmt w:val="decimal"/>
      <w:pStyle w:val="ParaNum"/>
      <w:lvlText w:val="%1."/>
      <w:lvlJc w:val="left"/>
      <w:pPr>
        <w:tabs>
          <w:tab w:val="num" w:pos="360"/>
        </w:tabs>
        <w:ind w:left="360" w:hanging="360"/>
      </w:pPr>
    </w:lvl>
  </w:abstractNum>
  <w:abstractNum w:abstractNumId="16" w15:restartNumberingAfterBreak="0">
    <w:nsid w:val="33D41653"/>
    <w:multiLevelType w:val="hybridMultilevel"/>
    <w:tmpl w:val="A710B282"/>
    <w:lvl w:ilvl="0" w:tplc="F9028E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0752B0"/>
    <w:multiLevelType w:val="hybridMultilevel"/>
    <w:tmpl w:val="DAEAED3C"/>
    <w:lvl w:ilvl="0" w:tplc="D60878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2E4C56"/>
    <w:multiLevelType w:val="hybridMultilevel"/>
    <w:tmpl w:val="59F46266"/>
    <w:lvl w:ilvl="0" w:tplc="352AD6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4"/>
  </w:num>
  <w:num w:numId="14">
    <w:abstractNumId w:val="12"/>
  </w:num>
  <w:num w:numId="15">
    <w:abstractNumId w:val="16"/>
  </w:num>
  <w:num w:numId="16">
    <w:abstractNumId w:val="18"/>
  </w:num>
  <w:num w:numId="17">
    <w:abstractNumId w:val="17"/>
  </w:num>
  <w:num w:numId="18">
    <w:abstractNumId w:val="10"/>
  </w:num>
  <w:num w:numId="19">
    <w:abstractNumId w:val="13"/>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nl-NL" w:vendorID="64" w:dllVersion="0" w:nlCheck="1" w:checkStyle="0"/>
  <w:activeWritingStyle w:appName="MSWord" w:lang="en-US" w:vendorID="64" w:dllVersion="131078"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vitJames.BestAuthority.Data.AuthorityCollection" w:val="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IAgAAAAYFAAAABzMuMC4zMjkJBgAAAAkHAAAACQgAAAAJCQAAAAkKAAAACQsAAAAJDAAAAAkNAAAACQ4AAAAJDwAAAAkQAAAACREAAAAJEgAAAAkTAAAACRQAAAAJFQAAAAkWAAAACRcAAAAJGAAAAAkZAAAACRoAAAAJGwAAAAkcAAAACR0AAAAJHgAAAAkfAAAACSAAAAAJIQAAAAkiAAAACSMAAAAJJAAAAAklAAAACSYAAAAhAAAABQY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RJNYXRjaFN0cmluZ3NKb2luZWQBAAEAAAEAAQIAAAAAAAAAAgAAAAIAAAAAAAABAQgBCAgIAQEBAQEICAgICAgIDQ0IAgAAAAYuAAAABzQuMS4yMTAKAAAABi8AAAAGPEByZWc+AAIAAAAGMAAAAAJXQWwAAAAGMQAAAB1hIG9yZGVyICMwMDAwMDggbm8gdWUgIzExMTA0OAoAAAAAAAAAAAAAAAAACgAAAAAAAAAAAAAAAAoAAAAAAAAAAAEAAACbMm2ZaQ/VSAAAAAAAAAAAAgAAAAYyAAAAFF9CQV9BdXRob3JpdHlfMDAwMDEwBjMAAAANb3JkZXIgIzAwMDAwOAUIAAAAJ0xldml0SmFtZXMuQmVzdEF1dGhvcml0eS5EYXRhLkF1dGhvcml0eR0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STWF0Y2hTdHJpbmdzSm9pbmVkAQABAAABAAECAAAAAAAAAAIAAAACAAAAAAAAAQEIAQgICAEBAQEBCAgICAgICA0NCAIAAAAGNAAAAAc0LjEuMjEwDAAAAAkvAAAAAAIAAAAJMAAAAGwAAAAGNwAAAB1hIG9yZGVyICMwMDAwMDggbm8gdWUgIzE0MDc2MgoAAAAAAAAAAAAAAAAACgAAAAAAAAAAAAAAAAoAAAAAAAAAAAIAAACbMm2ZaQ/VSAAAAAAAAAAAAgAAAAY4AAAAFF9CQV9BdXRob3JpdHlfMDAwMDEyBjkAAAANb3JkZXIgIzAwMDAwOAUJAAAAJ0xldml0SmFtZXMuQmVzdEF1dGhvcml0eS5EYXRhLkF1dGhvcml0eR0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STWF0Y2hTdHJpbmdzSm9pbmVkAQABAAABAAECAAAAAAAAAAIAAAACAAAAAAAAAQEIAQgICAEBAQEBCAgICAgICA0NCAIAAAAGOgAAAAc0LjEuMjEwEAAAAAkvAAAAAAIAAAAJMAAAAGwAAAAGPQAAAB1hIG9yZGVyICMwMDAwMTEgbm8gdWUgIzA5MDcwNAoAAAAAAAAAAAAAAAAACgAAAAAAAAAAAAAAAAoAAAAAAAAAAAEAAACbMm2ZaQ/VSAAAAAAAAAAAAgAAAAY+AAAAFF9CQV9BdXRob3JpdHlfMDAwMDE2Bj8AAAANb3JkZXIgIzAwMDAxMQUKAAAAJ0xldml0SmFtZXMuQmVzdEF1dGhvcml0eS5EYXRhLkF1dGhvcml0eR0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Ek1hdGNoU3RyaW5nc0pvaW5lZAEAAQAAAQABAgAAAAAAAAACAAAAAgAAAAAAAAEBCAEICAgBAQEBAQgICAgICAgNDQgCAAAABnwAAAAHNC4xLjIxMDIAAAAGfQAAAAU8QHN0PgACAAAABn4AAAACV0FrAAAABn8AAAAnYSByY3cgIzAwMDA4MC4gIzAwMDAyOC4gIzAwMDAyMCAjMDAwMDAxCgAAAAAAAAAAAAAAAAAKAAAAAAAAAAAAAAAACgAAAAAAAAAAAQAAAEH2cABpD9VIAAAAAAAAAAADAAAABoAAAAAUX0JBX0F1dGhvcml0eV8wMDAwNTAGgQAAAANyY3cFFQAAACdMZXZpdEphbWVzLkJlc3RBdXRob3JpdHkuRGF0YS5BdXRob3JpdHkd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Ek1hdGNoU3RyaW5nc0pvaW5lZAEAAQAAAQABAgAAAAAAAAACAAAAAgAAAAAAAAEBCAEICAgBAQEBAQgICAgICAgNDQgCAAAABoIAAAAHNC4xLjIxMDQAAAAJfQAAAAACAAAACX4AAABrAAAABoUAAAAnYSByY3cgIzAwMDA4MC4gIzAwMDA4NC4gIzAwMDAyMCAjMDAwMDAyCgAAAAAAAAAAAAAAAAAKAAAAAAAAAAAAAAAACgAAAAAAAAAAAQAAAEH2cABpD9VIAAAAAAAAAAADAAAABoYAAAAUX0JBX0F1dGhvcml0eV8wMDAwNTIGhwAAAANyY3cFFgAAACdMZXZpdEphbWVzLkJlc3RBdXRob3JpdHkuRGF0YS5BdXRob3JpdHkd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Ek1hdGNoU3RyaW5nc0pvaW5lZAEAAQAAAQABAgAAAAAAAAACAAAAAgAAAAAAAAEBCAEICAgBAQEBAQgICAgICAgNDQgCAAAABogAAAAHNC4xLjIxMDYAAAAJfQAAAAACAAAACX4AAABrAAAABosAAAAnYSByY3cgIzAwMDA4MC4gIzAwMDA4NC4gIzAwMDAyMCByZWxhdGVkCgAAAAAAAAAAAAAAAAAKAAAAAAAAAAAAAAAACgAAAAAAAAAAAQAAAEH2cABpD9VIAAAAAAAAAAADAAAABowAAAAUX0JBX0F1dGhvcml0eV8wMDAwNTQGjQAAAANyY3cFFwAAACdMZXZpdEphbWVzLkJlc3RBdXRob3JpdHkuRGF0YS5BdXRob3JpdHkd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Ek1hdGNoU3RyaW5nc0pvaW5lZAEAAQAAAQABAgAAAAAAAAACAAAAAgAAAAAAAAEBCAEICAgBAQEBAQgICAgICAgNDQgCAAAABo4AAAAHNC4xLjIxMDgAAAAJfQAAAAACAAAACX4AAABrAAAABpEAAAA5YSByY3cgIzAwMDA4MC4gIzAwMDAyOC4gIzAwMDAxMCAjMDAwMDgxLiAjMDAwMDI4LiAjMDAwMDEwCgAAAAAAAAAAAAAAAAAKAAAAAAAAAAAAAAAACgAAAAAAAAAAAQAAAEH2cABpD9VIAAAAAAAAAAADAAAABpIAAAAUX0JBX0F1dGhvcml0eV8wMDAwNTYGkwAAAANyY3cFGA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lAAAAAc0LjEuMjEwOgAAAAaVAAAABzxAbnBlcj4AAAAAAAkpAAAAbAAAAAaXAAAAqgFhIG1vbGluYSBtIHBvbGljaWVzIG1hdHRlciBjcmVhdGluZyBhIGZvdW5kYXRpb24gZm9yIGFuIGVuZXJneSBlZmZpY2llbnQgdXRpbGl0eSBmdXR1cmUganVuZSAjMDAyMDE1IGF2YWlsYWJsZSBhdCBodHRwIC8vYWNlZWUgb3JnL3NpdGVzL2RlZmF1bHQvZmlsZXMvcG9saWNpZXMgbWF0dGVyIHBkZgoAAAAAAAAAAAAAAAAACgAAAAAKAAAAAAAAAAACAAAAQfZwAGkP1UgAAAAAAAAAAAMAAAAGmAAAABRfQkFfQXV0aG9yaXR5XzAwMDA1OAoFGQ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mQAAAAc0LjEuMjEwTwAAAAaaAAAABzxAbnBlcj4AAAAAAAkpAAAAbAAAAAacAAAAH2Egc2Vjb25kIHllYXIgcmVwb3J0IGF0ICMwMDAwMDUKAAAAAAAAAAAAAAAAAAoAAAAACgAAAAAAAAAAAQAAAEH2cABpD9VIAAAAAAAAAAADAAAABp0AAAAUX0JBX0F1dGhvcml0eV8wMDAwNzkKBRo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p4AAAAHNC4xLjIxMFEAAAAJmgAAAAAAAAAACSkAAABsAAAABqEAAAA2YSB0aGlyZCB5ZWFyIHJlcG9ydCBhdCAjMDAwMDIwICMwMDAwODcgIzAwMDA4OCAjMDAwMDk0CgAAAAAAAAAAAAAAAAAKAAAAAAoAAAAAAAAAAAEAAABB9nAAaQ/VSAAAAAAAAAAAAwAAAAaiAAAAFF9CQV9BdXRob3JpdHlfMDAwMDgxCgUb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ajAAAABzQuMS4yMTBTAAAACZoAAAAAAAAAAAkpAAAAbAAAAAamAAAAH2Egc2Vjb25kIHllYXIgcmVwb3J0IGF0ICMwMDAwMDYKAAAAAAAAAAAAAAAAAAoAAAAACgAAAAAAAAAAAQAAAEH2cABpD9VIAAAAAAAAAAADAAAABqcAAAAUX0JBX0F1dGhvcml0eV8wMDAwODMKBRw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qgAAAAHNC4xLjIxMFUAAAAJmgAAAAAAAAAACSkAAABsAAAABqsAAAAeYSB0aGlyZCB5ZWFyIHJlcG9ydCBhdCAjMDAwMTE0CgAAAAAAAAAAAAAAAAAKAAAAAAoAAAAAAAAAAAEAAABB9nAAaQ/VSAAAAAAAAAAAAwAAAAasAAAAFF9CQV9BdXRob3JpdHlfMDAwMDg1CgUd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atAAAABzQuMS4yMTBXAAAACZoAAAAAAAAAAAkpAAAAbAAAAAawAAAAJ2Egc2Vjb25kIHllYXIgcmVwb3J0IGF0ICMwMDAwMDUgIzAwMDAwNgoAAAAAAAAAAAAAAAAACgAAAAAKAAAAAAAAAAABAAAAQfZwAGkP1UgAAAAAAAAAAAMAAAAGsQAAABRfQkFfQXV0aG9yaXR5XzAwMDA4NwoFHg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sgAAAAc0LjEuMjEwWQAAAAmaAAAAAAAAAAAJKQAAAGwAAAAGtQAAAF5hIHRoaXJkIHllYXIgcmVwb3J0IGF0ICMwMDAwMTQgIzAwMDAxNiAjMDAwMDU1ICMwMDAwNTcgIzAwMDA4NyAjMDAwMDg4ICMwMDAwOTQgIzAwMDExNCAjMDAwMTM4CgAAAAAAAAAAAAAAAAAKAAAAAAoAAAAAAAAAAAQAAABB9nAAaQ/VSAAAAAAAAAAAAwAAAAa2AAAAFF9CQV9BdXRob3JpdHlfMDAwMDg5CgUf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a3AAAABzQuMS4yMTBbAAAABrgAAAAGPEByZWM+AAAAAAAJKQAAAG4AAAAGugAAAOsBYSBwc2UgY29hbGl0aW9uIHdvcmtlZCBpbnRlbnNpdmVseSB0b2dldGhlciB0byBjcmFmdCBhIGRlY291cGxpbmcgcHJvcG9zYWwgdGhhdCBpcyBjb25zaXN0ZW50IHdpdGggY29hbGl0aW9uIHMgcHJvcG9zYWwgaW4gcHNlIHMgIzAwMjAxMSBnZW5lcmFsIHJhdGUgY2FzZSBjb21taXNzaW9uIHMgZGVjb3VwbGluZyBwb2xpY3kgc3RhdGVtZW50IHRoYXQgYmV0dGVyIGFkZHJlc3NlcyBwc2UgcyBjb25jZXJuc+KApgoAAAAAAAAAAAAAAAAACgAAAAAKAAAAAAAAAAABAAAAQfZwAGkP1UgAAAAAAAAAAAMAAAAGuwAAABRfQkFfQXV0aG9yaXR5XzAwMDA5MQoFIA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vAAAAAc0LjEuMjEwXQAAAAa9AAAABjxAcmVjPgAAAAAACSkAAABuAAAABr8AAAArYSB0ZXN0aW1vbnkgcmFscGggY2F2YW5hZ2ggZXhoIHJjYyAjMDAwMDAxdAoAAAAAAAAAAAAAAAAACgAAAAAKAAAAAAAAAAABAAAAQfZwAGkP1UgAAAAAAAAAAAMAAAAGwAAAABRfQkFfQXV0aG9yaXR5XzAwMDA5MwoFIQ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wQAAAAc0LjEuMjEwXwAAAAbCAAAABjxAcmVjPgAAAAAACSkAAABuAAAABsQAAAAhYSBiYWxsIHRyICMwMDAzNDcgIzAwMDAwMyAjMDAwMDA2CgAAAAAAAAAAAAAAAAAKAAAAAAoAAAAAAAAAAAQAAABB9nAAaQ/VSAAAAAAAAAAAAwAAAAbFAAAAFF9CQV9BdXRob3JpdHlfMDAwMDk1CgUi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bGAAAABzQuMS4yMTBhAAAABscAAAAGPEByZWM+AAAAAAAJKQAAAG4AAAAGyQAAAA9hIG9yZGVyICMwMDAwMDEKAAAAAAAAAAAAAAAAAAoAAAAACgAAAAAAAAAAAQAAAEH2cABpD9VIAAAAAAAAAAADAAAABsoAAAAUX0JBX0F1dGhvcml0eV8wMDAwOTcKBSM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ssAAAAHNC4xLjIxMGMAAAAJxwAAAAAAAAAACSkAAABuAAAABs4AAAAWYSBvcmRlciBhdCBwYXIgIzAwMDEzNQoAAAAAAAAAAAAAAAAACgAAAAAKAAAAAAAAAAACAAAAQfZwAGkP1UgAAAAAAAAAAAMAAAAGzwAAABRfQkFfQXV0aG9yaXR5XzAwMDA5OQoFJA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QgBCAgIAQEBAQEICAgICA0NCAIAAAAG0AAAAAc0LjEuMjEwZQAAAAbRAAAABzxAb3Nkdj4AAAAAAAkpAAAAbQAAAAbTAAAAEmEgc2NoZWR1"/>
    <w:docVar w:name="LevitJames.BestAuthority.Data.AuthorityCollection.0001" w:val="bGUgIzAwMDAyMwoAAAAAAAAAAAAAAAAACgAAAAAKAAAAAAAAAAABAAAAQfZwAGkP1UgAAAAAAAAAAAMAAAAG1AAAABRfQkFfQXV0aG9yaXR5XzAwMDEwMQbVAAAAEHNjaGVkdWxlICMwMDAwMjMFJQ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QgBCAgIAQEBAQEICAgICA0NCAIAAAAG1gAAAAc0LjEuMjEwZwAAAAnRAAAAAAAAAAAJKQAAAG0AAAAG2QAAABthIHNjaGVkdWxlcyAjMDAwMDEwICMwMDAwMzEKAAAAAAAAAAAAAAAAAAoAAAAACgAAAAAAAAAAAQAAAEH2cABpD9VIAAAAAAAAAAADAAAABtoAAAAUX0JBX0F1dGhvcml0eV8wMDAxMDMG2wAAABlzY2hlZHVsZXMgIzAwMDAxMCAjMDAwMDMxBSY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twAAAAHNC4xLjIxMGkAAAAG3QAAAAQ8QG8+AAAAAAAJKQAAAG0AAAAG3wAAAB9hIGlkIGF0ICMwMDAxMzkgIzAwMDAwMyAjMDAwMDA2CgAAAAAAAAAAAAAAAAAKAAAAAAoAAAAAAAAAAAEAAAAAAAAAAAAAAAAAAAAAAAAAAwAAAAbgAAAAFF9CQV9BdXRob3JpdHlfMDAwMTA1Cgs="/>
    <w:docVar w:name="LevitJames.BestAuthority.Data.AutoEditOptions" w:val="AAEAAAD/////AQAAAAAAAAAMAgAAAD5MZXZpdEphbWVzLkJlc3RBdXRob3JpdHkuRGF0YSwgUHVibGljS2V5VG9rZW49NDY4MTU0NzY0M2Q0Nzk3ZgUBAAAALUxldml0SmFtZXMuQmVzdEF1dGhvcml0eS5EYXRhLkF1dG9FZGl0T3B0aW9ucwcAAAAILlZlcnNpb24TRXhjbHVkZUhlcmVpbmFmdGVycw9FeGNsdWRlUGluY2l0ZXMTRXhjbHVkZVByaW9ySGlzdG9yeRhFeGNsdWRlU3Vic2VxdWVudEhpc3RvcnkYRXhjbHVkZVBhcmFsbGVsQ2l0YXRpb25zH1JlYXJyYW5nZVN0YXR1dGVTdWJkaXZpc2lvblRleHQBAAAAAAAAAQEBAQEBAgAAAAYDAAAABjQuMC4zMwEBAQAAAQs="/>
    <w:docVar w:name="LevitJames.BestAuthority.Data.AutoFormatOptions" w:val="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"/>
    <w:docVar w:name="LevitJames.BestAuthority.Data.AutoReplaceOptions" w:val="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"/>
    <w:docVar w:name="LevitJames.BestAuthority.Data.CitationCollection" w:val="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AgCAAAABgUAAAAHMy4wLjMyOQkGAAAACQcAAAAJCAAAAAkJAAAACQoAAAAJCwAAAAkMAAAACQ0AAAAJDgAAAAkPAAAACRAAAAAJEQAAAAkSAAAACRMAAAAJFAAAAAkVAAAACRYAAAAJFwAAAAkYAAAACRkAAAAJGgAAAAkbAAAACRwAAAAJHQAAAAkeAAAACR8AAAAJIAAAAAkhAAAACSIAAAAJIwAAAAkkAAAACSUAAAAJJgAAAAknAAAACSgAAAAJKQAAAAkqAAAACSsAAAAJLAAAAAktAAAACS4AAAAJLwAAAAkwAAAACTEAAAAJMgAAAAkzAAAACTQAAAAJNQAAAAk2AAAACTcAAAAJOAAAAAk5AAAACToAAAAJOwAAAAk8AAAACT0AAAAJPgAAAAk/AAAAOgAAAAUG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ECCAgBAQEICAEICA0NCAgIAgAAAAZPAAAABTMuMi4zEwAAABIAAAAGUAAAAAo8QGFkbXByb2M+AAAAAQAAAAUAAAAAAAAAAAZRAAAAATMAAAAAQfZwAGkP1UgAAAAAAAAAAAMAAAAAAAAA/////wZSAAAAAjgxCgUM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BAggIAQEBCAgBCAgNDQgICAIAAAAGUwAAAAUzLjIuMxQAAAASAAAABlQAAAALPEAkYWRtcHJvYz4AAAACAAAAMwAAAAAAAAAABlUAAAABMwAAAABB9nAAaQ/VSAAAAAAAAAAAAwAAAAAAAAD/////BlYAAAACODEKBQ0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ECCAgBAQEICAEICA0NCAgIAgAAAAZXAAAABTMuMi4zFgAAABUAAAAJUAAAAAAAAAEAAAADAAAAAAAAAAAGWQAAAAEzAAAAAEH2cABpD9VIAAAAAAAAAAADAAAAAAAAAP////8GWgAAAAIxMAoFDg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QIICAEBAQgIAQgIDQ0ICAgCAAAABlsAAAAFMy4yLjMXAAAAFQAAAAZcAAAACzxAJGFkbXByb2M+AAAAAgAAAEIAAAAAAAAAAAZdAAAAATMAAAAAQfZwAGkP1UgAAAAAAAAAAAMAAAAAAAAA/////wZeAAAAAjEwCgUP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BAggIAQEBCAgBCAgNDQgICAIAAAAGXwAAAAUzLjIuMxkAAAAYAAAACVAAAAAAAAABAAAAMwAAAAAAAAAABmEAAAABNAAAAABB9nAAaQ/VSAAAAAAAAAAAAwAAAAAAAAD/////BmIAAAACODEKBRA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ECCAgBAQEICAEICA0NCAgIAgAAAAZjAAAABTMuMi4zGwAAABoAAAAJUAAAAAAAAAEAAABAAAAAAAAAAAAGZQAAAAE0AAAAAEH2cABpD9VIAAAAAAAAAAADAAAAAAAAAP////8GZgAAAAE2CgERAAAABgAAAAZnAAAABTMuMi4zHQAAABwAAAAJUAAAAAAAAAEAAADOAAAAAAAAAAAGaQAAAAE0AAAAAEH2cABpD9VIAAAAAAAAAAADAAAAAAAAAP////8KCgUS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BAggIAQEBCAgBCAgNDQgICAIAAAAGagAAAAUzLjIuMx8AAAAYAAAACVAAAAAAAAADAAAAOAAAAAAAAAAABmwAAAABNQAAAABB9nAAaQ/VSAAAAAAAAAAAAwAAAAAAAAD/////Bm0AAAACMjQKARMAAAAGAAAABm4AAAAFMy4yLjMhAAAAIAAAAAlQAAAAAAAAAQAAAA8AAAAAAAAAAAZwAAAAATYAAAAAQfZwAGkP1UgAAAAAAAAAAAMAAAAAAAAA/////woKARQAAAAGAAAABnEAAAAFMy4yLjMjAAAAIgAAAAlQAAAAAAAAAQAAAA8AAAAAAAAAAAZzAAAAATcAAAAAQfZwAGkP1UgAAAAAAAAAAAMAAAAAAAAA/////woKBRU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ECCAgBAQEICAEICA0NCAgIAgAAAAZ0AAAABTMuMi4zJQAAABgAAAAJUAAAAAAAAAMAAAA9AAAAAAAAAAAGdgAAAAE3AAAAAEH2cABpD9VIAAAAAAAAAAADAAAAAAAAAP////8GdwAAAAIyNAoFFg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QIICAEBAQgIAQgIDQ0ICAgCAAAABngAAAAFMy4yLjMnAAAAGAAAAAlQAAAAAAAAAwAAADgAAAAAAAAAAAZ6AAAAATgAAAAAQfZwAGkP1UgAAAAAAAAAAAMAAAAAAAAA/////wZ7AAAAAzEwNAoFFw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QIICAEBAQgIAQgIDQ0ICAgCAAAABnwAAAAFMy4yLjMpAAAAKAAAAAlQAAAAAAAAAQAAAFEAAAAAAAAAAAZ+AAAAAjEwAAAAAEH2cABpD9VIAAAAAAAAAAADAAAAAAAAAP////8GfwAAAAIxMQoFGA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QIICAEBAQgIAQgIDQ0ICAgCAAAABoAAAAAFMy4yLjMrAAAAKgAAAAlQAAAAAAAAAQAAAEIAAAAAAAAAAAaCAAAAAjExAAAAAEH2cABpD9VIAAAAAAAAAAADAAAAAAAAAP////8GgwAAAAI3MQoFGQ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QIICAEBAQgIAQgIDQ0ICAgCAAAABoQAAAAFMy4yLjMtAAAAKAAAAAlQAAAAAAAAAwAAAE4AAAAAAAAAAAaGAAAAAjEzAAAAAEH2cABpD9VIAAAAAAAAAAADAAAAAAAAAP////8GhwAAAAIxMQoFGg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QIICAEBAQgIAQgIDQ0ICAgCAAAABogAAAAFMy4yLjMvAAAAGAAAAAlQAAAAAAAAAwAAADMAAAAAAAAAAAaKAAAAAjE1AAAAAEH2cABpD9VIAAAAAAAAAAADAAAAAAAAAP////8GiwAAAAIyNwoFGw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ECCAgBAQEICAEICA0NCAgIAgAAAAaoAAAABTMuMi4zQAAAABgAAAAGqQAAAAY8QCRpZD4AAAADAAAACgAAAAAAAAAABqoAAAABNBkAAABB9nAAaQ/VSAAAAAAAAAAAAwAAAAAAAAD/////BqsAAAABMgoFJQ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QIICAEBAQgIAQgIDQ0ICAgCAAAABqwAAAAFMy4yLjNBAAAAGAAAAAmpAAAAAAAAAwAAAAsAAAAAAAAAAAauAAAAATRAAAAAQfZwAGkP1UgAAAAAAAAAAAMAAAAAAAAA/////wavAAAAAjI3CgUm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BAggIAQEBCAgBCAgNDQgICAIAAAAGsAAAAAUzLjIuM0IAAABjAAAACakAAAAAAAADAAAADAAAAAAAAAAABrIAAAABNWQAAABB9nAAaQ/VSAAAAAAAAAAAAwAAAAAAAAD/////BrMAAAADMTM2CgUn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BAggIAQEBCAgBCAgNDQgICAIAAAAGtAAAAAUzLjIuM0MAAAAYAAAACakAAAAAAAADAAAADAAAAAAAAAAABrYAAAABOCcAAABB9nAAaQ/VSAAAAAAAAAAAAwAAAAAAAAD/////BrcAAAADMTA0CgUo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BAggIAQEBCAgBCAgNDQgICAIAAAAGuAAAAAUzLjIuM0QAAABZAAAACakAAAAAAAADAAAAGAAAAAAAAAAABroAAAABOVoAAABB9nAAaQ/VSAAAAAAAAAAAAwAAAAAAAAD/////BrsAAAAEMjE6MgoFKQ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QIICAEBAQgIAQgIDQ0ICAgCAAAABrwAAAAFMy4yLjNFAAAAWQAAAAmpAAAAAAAAAwAAABcAAAAAAAAAAAa+AAAAATlEAAAAQfZwAGkP1UgAAAAAAAAAAAMAAAAAAAAA/////wa/AAAABTIxOjEzCgUq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BAggIAQEBCAgBCAgNDQgICAIAAAAGwAAAAAUzLjIuM0YAAABZAAAACakAAAAAAAADAAAADwAAAAAAAAAABsIAAAACMTBFAAAAQfZwAGkP1UgAAAAAAAAAAAMAAAAAAAAA/////wbDAAAABTIxOjE4CgUr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BAggIAQEBCAgBCAgNDQgICAIAAAAGxAAAAAUzLjIuM0cAAABfAAAACakAAAAAAAADAAAAFAAAAAAAAAAABsYAAAACMTJgAAAAQfZwAGkP1UgAAAAAAAAAAAMAAAAAAAAA/////wbHAAAAAzY6MwoFLA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QIICAEBAQgIAQgIDQ0ICAgCAAAABsgAAAAFMy4yLjNIAAAAXwAAAAmpAAAAAAAAAwAAAAwAAAAAAAAAAAbKAAAAAjEyRwAAAEH2cABpD9VIAAAAAAAAAAADAAAAAAAAAP////8GywAAAAU0NzoxNQoFLQ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QIICAEBAQgIAQgIDQ0ICAgCAAAABswAAAAFMy4yLjNJAAAAXwAAAAmpAAAAAAAAAwAAAA0AAAAAAAAAAAbOAAAAAjEySAAAAEH2cABpD9VIAAAAAAAAAAADAAAAAAAAAP////8GzwAAAAQ0ODoxCgUu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BAggIAQEBCAgBCAgNDQgICAIAAAAG0AAAAAUzLjIuM0oAAABpAAAABtEAAAAEPEBvPgAAAAEAAAAOAAAAAAAAAAAG0gAAAAIxNQAAAABB9nAAaQ/VSAAAAAAAAAAAAwAAAAAAAAD/////BtMAAAAFMTM5OjMKBS8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ECCAgBAQEICAEICA0NCAgIAgAAAAbhAAAABTMuMi4zUAAAAE8AAAAG4gAAAAc8QG5wZXI+AAAAAQAAABcAAAAAAAAAAAbjAAAAATUAAAAAQfZwAGkP1UgAAAAAAAAAAAMAAAAAAAAA/////wbkAAAAATUKBTQ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ECCAgBAQEICAEICA0NCAgIAgAAAAblAAAABTMuMi4zUgAAAFEAAAAJ4gAAAAAAAAEAAAAiAAAAAAAAAAAG5wAAAAE1AAAAAEH2cABpD9VIAAAAAAAAAAADAAAAAAAAAP////8G6AAAAAIyMAoFNQ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QIICAEBAQgIAQgIDQ0ICAgCAAAABukAAAAFMy4yLjNUAAAAUwAAAAniAAAAAAAAAQAAABcAAAAAAAAAAAbrAAAAATYAAAAAQfZwAGkP1UgAAAAAAAAAAAMAAAAAAAAA/////wbsAAAAATYKBTY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ECCAgBAQEICAEICA0NCAgIAgAAAAbtAAAABTMuMi4zVgAAAFUAAAAJ4gAAAAAAAAEAAAAYAAAAAAAAAAAG7wAAAAE3AAAAAEH2cABpD9VIAAAAAAAAAAADAAAAAAAAAP////8G8AAAAAMxMTQKBTc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ECCAgBAQEICAEICA0NCAgIAgAAAAbxAAAABTMuMi4zWAAAAFcAAAAJ4gAAAAAAAAEAAAAZAAAAAAAAAAAG8wAAAAE4AAAAAEH2cABpD9VIAAAAAAAAAAADAAAAAAAAAP////8G9AAAAAE1CgU4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QIICAEBAQgIAQgIDQ0ICAgCAAAABgUBAAAFMy4yLjNkAAAAYwAAAAkDAQAAAAAAAQAAAA4AAAAAAAAAAAYHAQAAATUAAAAAQfZwAGkP1UgAAAAAAAAAAAMAAAAAAAAA/////wYIAQAAAzEzNQoBPgAAAAYAAAAGCQEAAAUzLjIuM2YAAABlAAAABgoBAAAHPEBvc2R2PgAAAAEAAAALAAAAAAAAAAAGCwEAAAIxNQAAAABB9nAAaQ/VSAAAAAAAAAAAAwAAAAAAAAD/////CgoBPwAAAAYAAAAGDAEAAAUzLjIuM2gAAABnAAAACQoBAAAAAAABAAAAEwAAAAAAAAAABg4BAAACMTUAAAAAQfZwAGkP1UgAAAAAAAAAAAMAAAAAAAAA/////woKCw=="/>
    <w:docVar w:name="LevitJames.BestAuthority.Data.DocumentOptionsExclusions" w:val="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"/>
    <w:docVar w:name="LevitJames.BestAuthority.Data.DocumentOptionsOutput" w:val="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"/>
    <w:docVar w:name="LevitJames.BestAuthority.Data.DocumentOptionsSorting" w:val="AAEAAAD/////AQAAAAAAAAAMAgAAAD5MZXZpdEphbWVzLkJlc3RBdXRob3JpdHkuRGF0YSwgUHVibGljS2V5VG9rZW49NDY4MTU0NzY0M2Q0Nzk3ZgUBAAAANExldml0SmFtZXMuQmVzdEF1dGhvcml0eS5EYXRhLkRvY3VtZW50T3B0aW9uc1NvcnRpbmcGAAAACC5WZXJzaW9uCklnbm9yZUluUmULSWdub3JlRXhSZWwNSWdub3JlRXhQYXJ0ZRFJZ25vcmVQdWJsaWNQYXJ0eRY8PTMuMC4zMzQ6VXNlU21hcnRTb3J0AQAAAAAAAQEBAQECAAAABgMAAAAHMy4wLjMzNQAAAAABCw=="/>
    <w:docVar w:name="LevitJames.BestAuthority.Data.DocumentStatus" w:val="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"/>
    <w:docVar w:name="LevitJames.BestAuthority.Data.HistoryRecordCollection" w:val="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"/>
    <w:docVar w:name="LevitJames.BestAuthority.Data.PointsAndAuthoritiesManager" w:val="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"/>
    <w:docVar w:name="LevitJames.BestAuthority.Data.ScanOptions" w:val="AAEAAAD/////AQAAAAAAAAAMAgAAAD5MZXZpdEphbWVzLkJlc3RBdXRob3JpdHkuRGF0YSwgUHVibGljS2V5VG9rZW49NDY4MTU0NzY0M2Q0Nzk3ZgUBAAAAKUxldml0SmFtZXMuQmVzdEF1dGhvcml0eS5EYXRhLlNjYW5PcHRpb25zBwAAAAguVmVyc2lvbglTdGF0ZUNvZGUVVHJlYXRTZW1pQ29sb25Bc0NvbW1hHk1pbmltdW1RdW90YXRpb25JbmRlbnRJbkluY2hlcw9EaWN0aW9uYXJ5VG9Vc2ULSW5pdGlhbGl6ZWQVUGxhaW5UZXh0Q2FzZU5hbWVSdWxlAQEAAAAAAAELCAEIAgAAAAYDAAAABjMuMS4xMwYEAAAAAldBAM3MTD4AAAAAAQAAAAAL"/>
    <w:docVar w:name="LevitJames.BestAuthority.Data.TOAGroupCollection" w:val="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"/>
    <w:docVar w:name="LevitJames.BestAuthority.VersionControl" w:val="DataVersion=4.0.2004.16440|MinimumAppVersion=3.0.0|WarnAppVersion=3.0.312|AppVersionWarning=The following features might be affected&amp;nl  * Some feature"/>
    <w:docVar w:name="LevitJames.BestAuthority.Word._BA_.History.FirstSessionDate" w:val="10/09/2017 4.0.2004.16440"/>
    <w:docVar w:name="LevitJames.BestAuthority.Word._BA_.History.LastBuildDate" w:val="10/09/2017 4.0.2004.16440"/>
    <w:docVar w:name="LevitJames.BestAuthority.Word._BA_.History.LastScanDate" w:val="10/09/2017 4.0.2004.16440"/>
    <w:docVar w:name="LevitJames.BestAuthority.Word._BA_.History.LastSessionDate" w:val="10/09/2017 4.0.2004.16440"/>
    <w:docVar w:name="LevitJames.BestAuthority.Word._BA_.Scheme.Name" w:val="Custom, based on Sample Common"/>
    <w:docVar w:name="LevitJames.Rtf.Storage.RichItemStore" w:val="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"/>
    <w:docVar w:name="LevitJames.Rtf.Storage.RichItemStore_Citations" w:val="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"/>
    <w:docVar w:name="LevitJames.Rtf.Storage.RichItemStore_Orig" w:val="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"/>
  </w:docVars>
  <w:rsids>
    <w:rsidRoot w:val="006C1987"/>
    <w:rsid w:val="0000004B"/>
    <w:rsid w:val="00003029"/>
    <w:rsid w:val="00014A4C"/>
    <w:rsid w:val="00016B0D"/>
    <w:rsid w:val="0002223B"/>
    <w:rsid w:val="000319F4"/>
    <w:rsid w:val="00034E96"/>
    <w:rsid w:val="00041253"/>
    <w:rsid w:val="000448FF"/>
    <w:rsid w:val="00044EDE"/>
    <w:rsid w:val="00044F7E"/>
    <w:rsid w:val="000649CA"/>
    <w:rsid w:val="00073291"/>
    <w:rsid w:val="0008068D"/>
    <w:rsid w:val="000833A7"/>
    <w:rsid w:val="000846DE"/>
    <w:rsid w:val="00085B0A"/>
    <w:rsid w:val="00094874"/>
    <w:rsid w:val="00094D73"/>
    <w:rsid w:val="00095532"/>
    <w:rsid w:val="000A16F6"/>
    <w:rsid w:val="000A2D0A"/>
    <w:rsid w:val="000B0EAB"/>
    <w:rsid w:val="000B23D0"/>
    <w:rsid w:val="000B508D"/>
    <w:rsid w:val="000C098B"/>
    <w:rsid w:val="000C7AD4"/>
    <w:rsid w:val="000D04AC"/>
    <w:rsid w:val="000D05F6"/>
    <w:rsid w:val="000D3ECE"/>
    <w:rsid w:val="000E2FC3"/>
    <w:rsid w:val="000E3355"/>
    <w:rsid w:val="000F0AFC"/>
    <w:rsid w:val="000F227E"/>
    <w:rsid w:val="000F2831"/>
    <w:rsid w:val="000F2E19"/>
    <w:rsid w:val="000F497A"/>
    <w:rsid w:val="000F5BEB"/>
    <w:rsid w:val="001003B2"/>
    <w:rsid w:val="0010059E"/>
    <w:rsid w:val="00103CC2"/>
    <w:rsid w:val="00104AAD"/>
    <w:rsid w:val="00105A64"/>
    <w:rsid w:val="00116FF2"/>
    <w:rsid w:val="00130320"/>
    <w:rsid w:val="00132250"/>
    <w:rsid w:val="001344A4"/>
    <w:rsid w:val="001427AB"/>
    <w:rsid w:val="001431E0"/>
    <w:rsid w:val="00147F50"/>
    <w:rsid w:val="0015611F"/>
    <w:rsid w:val="00162251"/>
    <w:rsid w:val="00170215"/>
    <w:rsid w:val="00174D7E"/>
    <w:rsid w:val="00177909"/>
    <w:rsid w:val="001847FA"/>
    <w:rsid w:val="00186359"/>
    <w:rsid w:val="00190888"/>
    <w:rsid w:val="001A1B6A"/>
    <w:rsid w:val="001C115D"/>
    <w:rsid w:val="001C697B"/>
    <w:rsid w:val="001E18E2"/>
    <w:rsid w:val="001E1EB3"/>
    <w:rsid w:val="001E438D"/>
    <w:rsid w:val="001E53CE"/>
    <w:rsid w:val="001F5673"/>
    <w:rsid w:val="0020046E"/>
    <w:rsid w:val="00210027"/>
    <w:rsid w:val="00216481"/>
    <w:rsid w:val="002255F7"/>
    <w:rsid w:val="00231E9F"/>
    <w:rsid w:val="002502F6"/>
    <w:rsid w:val="002524AB"/>
    <w:rsid w:val="00257B55"/>
    <w:rsid w:val="00261CA2"/>
    <w:rsid w:val="002645EA"/>
    <w:rsid w:val="002934E3"/>
    <w:rsid w:val="002969C8"/>
    <w:rsid w:val="0029738F"/>
    <w:rsid w:val="002976E5"/>
    <w:rsid w:val="002A3E66"/>
    <w:rsid w:val="002B27ED"/>
    <w:rsid w:val="002B7DF6"/>
    <w:rsid w:val="002C34C4"/>
    <w:rsid w:val="002C4FE0"/>
    <w:rsid w:val="002C672A"/>
    <w:rsid w:val="002D641A"/>
    <w:rsid w:val="002E1994"/>
    <w:rsid w:val="002E44DB"/>
    <w:rsid w:val="002F01C1"/>
    <w:rsid w:val="002F0F80"/>
    <w:rsid w:val="002F742B"/>
    <w:rsid w:val="00304370"/>
    <w:rsid w:val="00306198"/>
    <w:rsid w:val="003140DE"/>
    <w:rsid w:val="00320CD4"/>
    <w:rsid w:val="00323F75"/>
    <w:rsid w:val="00331B23"/>
    <w:rsid w:val="00341E6B"/>
    <w:rsid w:val="00345D7D"/>
    <w:rsid w:val="00355396"/>
    <w:rsid w:val="0035799C"/>
    <w:rsid w:val="00365CF2"/>
    <w:rsid w:val="00372D9E"/>
    <w:rsid w:val="00375AC1"/>
    <w:rsid w:val="00376452"/>
    <w:rsid w:val="00381BAE"/>
    <w:rsid w:val="003833F8"/>
    <w:rsid w:val="00386260"/>
    <w:rsid w:val="00393DDE"/>
    <w:rsid w:val="003B20BC"/>
    <w:rsid w:val="003B2B10"/>
    <w:rsid w:val="003B5094"/>
    <w:rsid w:val="003C08FE"/>
    <w:rsid w:val="003C13AC"/>
    <w:rsid w:val="003C7BCC"/>
    <w:rsid w:val="003D01F4"/>
    <w:rsid w:val="003D06F9"/>
    <w:rsid w:val="003E0B12"/>
    <w:rsid w:val="003F1490"/>
    <w:rsid w:val="003F1C68"/>
    <w:rsid w:val="0040595D"/>
    <w:rsid w:val="00405E84"/>
    <w:rsid w:val="00410D5D"/>
    <w:rsid w:val="00411FE5"/>
    <w:rsid w:val="00414963"/>
    <w:rsid w:val="00423D60"/>
    <w:rsid w:val="00423DBA"/>
    <w:rsid w:val="00431368"/>
    <w:rsid w:val="00434790"/>
    <w:rsid w:val="00435971"/>
    <w:rsid w:val="00445AC0"/>
    <w:rsid w:val="0045111F"/>
    <w:rsid w:val="00452FE1"/>
    <w:rsid w:val="00454708"/>
    <w:rsid w:val="0045556E"/>
    <w:rsid w:val="00456F50"/>
    <w:rsid w:val="00464C71"/>
    <w:rsid w:val="00471AFA"/>
    <w:rsid w:val="0047260A"/>
    <w:rsid w:val="00472AFC"/>
    <w:rsid w:val="00474CC5"/>
    <w:rsid w:val="00476398"/>
    <w:rsid w:val="004A350A"/>
    <w:rsid w:val="004A4E99"/>
    <w:rsid w:val="004B72D3"/>
    <w:rsid w:val="004C0742"/>
    <w:rsid w:val="004C119E"/>
    <w:rsid w:val="004C632E"/>
    <w:rsid w:val="004D1603"/>
    <w:rsid w:val="004D5E10"/>
    <w:rsid w:val="004E1157"/>
    <w:rsid w:val="004F447D"/>
    <w:rsid w:val="00513709"/>
    <w:rsid w:val="005235A5"/>
    <w:rsid w:val="00525B83"/>
    <w:rsid w:val="00532F85"/>
    <w:rsid w:val="00537AAF"/>
    <w:rsid w:val="005434E4"/>
    <w:rsid w:val="00550321"/>
    <w:rsid w:val="00553517"/>
    <w:rsid w:val="00556E13"/>
    <w:rsid w:val="00560550"/>
    <w:rsid w:val="00560BD0"/>
    <w:rsid w:val="00566FD4"/>
    <w:rsid w:val="00570FC4"/>
    <w:rsid w:val="005716BB"/>
    <w:rsid w:val="005722EE"/>
    <w:rsid w:val="0057465C"/>
    <w:rsid w:val="00575851"/>
    <w:rsid w:val="00580541"/>
    <w:rsid w:val="00580B9D"/>
    <w:rsid w:val="00581492"/>
    <w:rsid w:val="005817D3"/>
    <w:rsid w:val="005964C7"/>
    <w:rsid w:val="005B0561"/>
    <w:rsid w:val="005B0BEE"/>
    <w:rsid w:val="005B3133"/>
    <w:rsid w:val="005B6C61"/>
    <w:rsid w:val="005B7D8C"/>
    <w:rsid w:val="005C537D"/>
    <w:rsid w:val="005D53B2"/>
    <w:rsid w:val="005D6EC7"/>
    <w:rsid w:val="005E2A98"/>
    <w:rsid w:val="005E4A47"/>
    <w:rsid w:val="005F016F"/>
    <w:rsid w:val="005F0F62"/>
    <w:rsid w:val="005F3A30"/>
    <w:rsid w:val="0061268B"/>
    <w:rsid w:val="0062241B"/>
    <w:rsid w:val="00630B45"/>
    <w:rsid w:val="00632741"/>
    <w:rsid w:val="00635B11"/>
    <w:rsid w:val="00636EC7"/>
    <w:rsid w:val="0064364B"/>
    <w:rsid w:val="00650756"/>
    <w:rsid w:val="006616C2"/>
    <w:rsid w:val="00667D53"/>
    <w:rsid w:val="00671F0C"/>
    <w:rsid w:val="00684779"/>
    <w:rsid w:val="00685EAC"/>
    <w:rsid w:val="0069004E"/>
    <w:rsid w:val="006A1987"/>
    <w:rsid w:val="006A2370"/>
    <w:rsid w:val="006B03B3"/>
    <w:rsid w:val="006C0098"/>
    <w:rsid w:val="006C1987"/>
    <w:rsid w:val="006C2CCE"/>
    <w:rsid w:val="006C4F6E"/>
    <w:rsid w:val="006D46BA"/>
    <w:rsid w:val="006E39E0"/>
    <w:rsid w:val="006F5A41"/>
    <w:rsid w:val="007006F5"/>
    <w:rsid w:val="00700ADA"/>
    <w:rsid w:val="00705993"/>
    <w:rsid w:val="00712037"/>
    <w:rsid w:val="007164A1"/>
    <w:rsid w:val="00726884"/>
    <w:rsid w:val="00740191"/>
    <w:rsid w:val="00753BEC"/>
    <w:rsid w:val="00754EB4"/>
    <w:rsid w:val="00762FCE"/>
    <w:rsid w:val="007633D7"/>
    <w:rsid w:val="00773B45"/>
    <w:rsid w:val="0078446B"/>
    <w:rsid w:val="007A0905"/>
    <w:rsid w:val="007A234B"/>
    <w:rsid w:val="007A39BB"/>
    <w:rsid w:val="007A5E6A"/>
    <w:rsid w:val="007A76C3"/>
    <w:rsid w:val="007B01F3"/>
    <w:rsid w:val="007B0E66"/>
    <w:rsid w:val="007B2FBE"/>
    <w:rsid w:val="007B7EBC"/>
    <w:rsid w:val="007C644F"/>
    <w:rsid w:val="007D5F37"/>
    <w:rsid w:val="007D62AB"/>
    <w:rsid w:val="007E6DB6"/>
    <w:rsid w:val="007E78E2"/>
    <w:rsid w:val="007F13AD"/>
    <w:rsid w:val="007F6E37"/>
    <w:rsid w:val="008003AD"/>
    <w:rsid w:val="0080655C"/>
    <w:rsid w:val="0081587C"/>
    <w:rsid w:val="00816BC2"/>
    <w:rsid w:val="00823EC4"/>
    <w:rsid w:val="008270CB"/>
    <w:rsid w:val="00832829"/>
    <w:rsid w:val="00860CC2"/>
    <w:rsid w:val="00860CDF"/>
    <w:rsid w:val="00863FFD"/>
    <w:rsid w:val="00870087"/>
    <w:rsid w:val="008729E2"/>
    <w:rsid w:val="00882FD7"/>
    <w:rsid w:val="0089264F"/>
    <w:rsid w:val="00892B8F"/>
    <w:rsid w:val="00893D4B"/>
    <w:rsid w:val="008977FF"/>
    <w:rsid w:val="008A43A6"/>
    <w:rsid w:val="008C211C"/>
    <w:rsid w:val="008C22CD"/>
    <w:rsid w:val="008C3B3E"/>
    <w:rsid w:val="008D1463"/>
    <w:rsid w:val="008E1448"/>
    <w:rsid w:val="008E69B2"/>
    <w:rsid w:val="008F283C"/>
    <w:rsid w:val="008F2A1C"/>
    <w:rsid w:val="0090248B"/>
    <w:rsid w:val="00902A68"/>
    <w:rsid w:val="00904B10"/>
    <w:rsid w:val="00911016"/>
    <w:rsid w:val="00913055"/>
    <w:rsid w:val="00916D0D"/>
    <w:rsid w:val="009171F0"/>
    <w:rsid w:val="0092182F"/>
    <w:rsid w:val="00922F66"/>
    <w:rsid w:val="0092329E"/>
    <w:rsid w:val="00925F59"/>
    <w:rsid w:val="00932DCD"/>
    <w:rsid w:val="00950160"/>
    <w:rsid w:val="00955155"/>
    <w:rsid w:val="00956CB0"/>
    <w:rsid w:val="0096547E"/>
    <w:rsid w:val="00983841"/>
    <w:rsid w:val="0098535E"/>
    <w:rsid w:val="00992C4F"/>
    <w:rsid w:val="009A020E"/>
    <w:rsid w:val="009A4289"/>
    <w:rsid w:val="009B12FA"/>
    <w:rsid w:val="009B54E1"/>
    <w:rsid w:val="009C410E"/>
    <w:rsid w:val="009C43BB"/>
    <w:rsid w:val="009C491A"/>
    <w:rsid w:val="009D6AEC"/>
    <w:rsid w:val="009E50AC"/>
    <w:rsid w:val="009F380A"/>
    <w:rsid w:val="00A01376"/>
    <w:rsid w:val="00A24C0B"/>
    <w:rsid w:val="00A258E5"/>
    <w:rsid w:val="00A3553C"/>
    <w:rsid w:val="00A357DA"/>
    <w:rsid w:val="00A3617E"/>
    <w:rsid w:val="00A40513"/>
    <w:rsid w:val="00A41ABF"/>
    <w:rsid w:val="00A4310A"/>
    <w:rsid w:val="00A45C22"/>
    <w:rsid w:val="00A47EAB"/>
    <w:rsid w:val="00A64291"/>
    <w:rsid w:val="00A70CA2"/>
    <w:rsid w:val="00A767BC"/>
    <w:rsid w:val="00A7792A"/>
    <w:rsid w:val="00A90F06"/>
    <w:rsid w:val="00A92C92"/>
    <w:rsid w:val="00A95DB5"/>
    <w:rsid w:val="00AA0EAA"/>
    <w:rsid w:val="00AA208A"/>
    <w:rsid w:val="00AA6600"/>
    <w:rsid w:val="00AC57E0"/>
    <w:rsid w:val="00AC6EBC"/>
    <w:rsid w:val="00AD5E7E"/>
    <w:rsid w:val="00AD6150"/>
    <w:rsid w:val="00AD7E50"/>
    <w:rsid w:val="00AF14D2"/>
    <w:rsid w:val="00AF571F"/>
    <w:rsid w:val="00B01E04"/>
    <w:rsid w:val="00B07B88"/>
    <w:rsid w:val="00B07EA4"/>
    <w:rsid w:val="00B3323E"/>
    <w:rsid w:val="00B334AF"/>
    <w:rsid w:val="00B346A9"/>
    <w:rsid w:val="00B3525F"/>
    <w:rsid w:val="00B51580"/>
    <w:rsid w:val="00B548F1"/>
    <w:rsid w:val="00B54A6C"/>
    <w:rsid w:val="00B65CF7"/>
    <w:rsid w:val="00B74353"/>
    <w:rsid w:val="00B76051"/>
    <w:rsid w:val="00B8631C"/>
    <w:rsid w:val="00B87BA1"/>
    <w:rsid w:val="00BA14C6"/>
    <w:rsid w:val="00BB3F86"/>
    <w:rsid w:val="00BC61E0"/>
    <w:rsid w:val="00BD57F8"/>
    <w:rsid w:val="00BE3A8C"/>
    <w:rsid w:val="00BF2EE6"/>
    <w:rsid w:val="00BF320A"/>
    <w:rsid w:val="00C07A90"/>
    <w:rsid w:val="00C07F08"/>
    <w:rsid w:val="00C11E06"/>
    <w:rsid w:val="00C30501"/>
    <w:rsid w:val="00C30B2F"/>
    <w:rsid w:val="00C34BD0"/>
    <w:rsid w:val="00C369A6"/>
    <w:rsid w:val="00C5336D"/>
    <w:rsid w:val="00C568A9"/>
    <w:rsid w:val="00C6735B"/>
    <w:rsid w:val="00C7117F"/>
    <w:rsid w:val="00C73AD0"/>
    <w:rsid w:val="00C74BF5"/>
    <w:rsid w:val="00C96AAA"/>
    <w:rsid w:val="00C97459"/>
    <w:rsid w:val="00CB2033"/>
    <w:rsid w:val="00CB3CB3"/>
    <w:rsid w:val="00CB61A5"/>
    <w:rsid w:val="00CB77FC"/>
    <w:rsid w:val="00CC110B"/>
    <w:rsid w:val="00CC47D1"/>
    <w:rsid w:val="00CD1442"/>
    <w:rsid w:val="00CE3547"/>
    <w:rsid w:val="00CF051C"/>
    <w:rsid w:val="00CF2CA9"/>
    <w:rsid w:val="00CF6859"/>
    <w:rsid w:val="00D0206C"/>
    <w:rsid w:val="00D0207D"/>
    <w:rsid w:val="00D04063"/>
    <w:rsid w:val="00D1099E"/>
    <w:rsid w:val="00D10EE6"/>
    <w:rsid w:val="00D13C91"/>
    <w:rsid w:val="00D16294"/>
    <w:rsid w:val="00D339A3"/>
    <w:rsid w:val="00D46CAD"/>
    <w:rsid w:val="00D55C14"/>
    <w:rsid w:val="00D57D11"/>
    <w:rsid w:val="00D673A4"/>
    <w:rsid w:val="00D8088A"/>
    <w:rsid w:val="00D81C6D"/>
    <w:rsid w:val="00D86423"/>
    <w:rsid w:val="00D91727"/>
    <w:rsid w:val="00DA2A8A"/>
    <w:rsid w:val="00DB6D62"/>
    <w:rsid w:val="00DB6E40"/>
    <w:rsid w:val="00DC0E74"/>
    <w:rsid w:val="00DC107E"/>
    <w:rsid w:val="00DC2009"/>
    <w:rsid w:val="00DC3A83"/>
    <w:rsid w:val="00DD195E"/>
    <w:rsid w:val="00DD550B"/>
    <w:rsid w:val="00DE394E"/>
    <w:rsid w:val="00DE51E1"/>
    <w:rsid w:val="00DE6528"/>
    <w:rsid w:val="00DF0FE0"/>
    <w:rsid w:val="00DF45A5"/>
    <w:rsid w:val="00E17C6D"/>
    <w:rsid w:val="00E242F1"/>
    <w:rsid w:val="00E42768"/>
    <w:rsid w:val="00E53545"/>
    <w:rsid w:val="00E574EA"/>
    <w:rsid w:val="00E575EE"/>
    <w:rsid w:val="00E623E5"/>
    <w:rsid w:val="00E67E82"/>
    <w:rsid w:val="00E71722"/>
    <w:rsid w:val="00E7434F"/>
    <w:rsid w:val="00E8085B"/>
    <w:rsid w:val="00E80892"/>
    <w:rsid w:val="00E91CFA"/>
    <w:rsid w:val="00E92173"/>
    <w:rsid w:val="00E9314D"/>
    <w:rsid w:val="00EA4BAE"/>
    <w:rsid w:val="00EB2944"/>
    <w:rsid w:val="00EB524A"/>
    <w:rsid w:val="00EB6F82"/>
    <w:rsid w:val="00EB7801"/>
    <w:rsid w:val="00ED1EAE"/>
    <w:rsid w:val="00ED49A7"/>
    <w:rsid w:val="00ED7431"/>
    <w:rsid w:val="00EE2BA2"/>
    <w:rsid w:val="00EE7233"/>
    <w:rsid w:val="00F02A84"/>
    <w:rsid w:val="00F05C71"/>
    <w:rsid w:val="00F12255"/>
    <w:rsid w:val="00F17699"/>
    <w:rsid w:val="00F24EC5"/>
    <w:rsid w:val="00F32BD8"/>
    <w:rsid w:val="00F36141"/>
    <w:rsid w:val="00F718A6"/>
    <w:rsid w:val="00F861E6"/>
    <w:rsid w:val="00FA1AB7"/>
    <w:rsid w:val="00FA45A8"/>
    <w:rsid w:val="00FA5D43"/>
    <w:rsid w:val="00FB4682"/>
    <w:rsid w:val="00FB4762"/>
    <w:rsid w:val="00FB6F0D"/>
    <w:rsid w:val="00FC30B0"/>
    <w:rsid w:val="00FD100D"/>
    <w:rsid w:val="00FE0DDD"/>
    <w:rsid w:val="00FE17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DC7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033"/>
    <w:pPr>
      <w:widowControl w:val="0"/>
    </w:pPr>
    <w:rPr>
      <w:sz w:val="24"/>
    </w:rPr>
  </w:style>
  <w:style w:type="paragraph" w:styleId="Heading1">
    <w:name w:val="heading 1"/>
    <w:basedOn w:val="Normal"/>
    <w:next w:val="BodyText"/>
    <w:link w:val="Heading1Char"/>
    <w:uiPriority w:val="9"/>
    <w:qFormat/>
    <w:rsid w:val="008C22CD"/>
    <w:pPr>
      <w:keepNext/>
      <w:keepLines/>
      <w:numPr>
        <w:numId w:val="12"/>
      </w:numPr>
      <w:spacing w:after="240"/>
      <w:jc w:val="center"/>
      <w:outlineLvl w:val="0"/>
    </w:pPr>
    <w:rPr>
      <w:caps/>
      <w:kern w:val="28"/>
    </w:rPr>
  </w:style>
  <w:style w:type="paragraph" w:styleId="Heading2">
    <w:name w:val="heading 2"/>
    <w:basedOn w:val="Normal"/>
    <w:next w:val="BodyText"/>
    <w:link w:val="Heading2Char"/>
    <w:uiPriority w:val="9"/>
    <w:qFormat/>
    <w:rsid w:val="008C22CD"/>
    <w:pPr>
      <w:keepNext/>
      <w:keepLines/>
      <w:numPr>
        <w:ilvl w:val="1"/>
        <w:numId w:val="12"/>
      </w:numPr>
      <w:spacing w:after="240"/>
      <w:outlineLvl w:val="1"/>
    </w:pPr>
    <w:rPr>
      <w:caps/>
    </w:rPr>
  </w:style>
  <w:style w:type="paragraph" w:styleId="Heading3">
    <w:name w:val="heading 3"/>
    <w:basedOn w:val="Normal"/>
    <w:next w:val="BodyText"/>
    <w:link w:val="Heading3Char"/>
    <w:uiPriority w:val="9"/>
    <w:qFormat/>
    <w:rsid w:val="008C22CD"/>
    <w:pPr>
      <w:keepNext/>
      <w:keepLines/>
      <w:numPr>
        <w:ilvl w:val="2"/>
        <w:numId w:val="12"/>
      </w:numPr>
      <w:spacing w:after="240"/>
      <w:outlineLvl w:val="2"/>
    </w:pPr>
    <w:rPr>
      <w:u w:val="single"/>
    </w:rPr>
  </w:style>
  <w:style w:type="paragraph" w:styleId="Heading4">
    <w:name w:val="heading 4"/>
    <w:basedOn w:val="Normal"/>
    <w:next w:val="BodyText"/>
    <w:link w:val="Heading4Char"/>
    <w:uiPriority w:val="9"/>
    <w:qFormat/>
    <w:rsid w:val="008C22CD"/>
    <w:pPr>
      <w:keepNext/>
      <w:keepLines/>
      <w:numPr>
        <w:ilvl w:val="3"/>
        <w:numId w:val="12"/>
      </w:numPr>
      <w:spacing w:after="240"/>
      <w:outlineLvl w:val="3"/>
    </w:pPr>
    <w:rPr>
      <w:i/>
    </w:rPr>
  </w:style>
  <w:style w:type="paragraph" w:styleId="Heading5">
    <w:name w:val="heading 5"/>
    <w:basedOn w:val="Normal"/>
    <w:next w:val="BodyText"/>
    <w:uiPriority w:val="9"/>
    <w:qFormat/>
    <w:rsid w:val="00566FD4"/>
    <w:pPr>
      <w:keepNext/>
      <w:keepLines/>
      <w:numPr>
        <w:ilvl w:val="4"/>
        <w:numId w:val="12"/>
      </w:numPr>
      <w:spacing w:before="40" w:after="200"/>
      <w:outlineLvl w:val="4"/>
    </w:pPr>
  </w:style>
  <w:style w:type="paragraph" w:styleId="Heading6">
    <w:name w:val="heading 6"/>
    <w:basedOn w:val="Normal"/>
    <w:next w:val="BodyText"/>
    <w:link w:val="Heading6Char"/>
    <w:uiPriority w:val="9"/>
    <w:qFormat/>
    <w:rsid w:val="006C1987"/>
    <w:pPr>
      <w:keepNext/>
      <w:keepLines/>
      <w:widowControl/>
      <w:tabs>
        <w:tab w:val="num" w:pos="3600"/>
      </w:tabs>
      <w:spacing w:after="240"/>
      <w:ind w:left="3600" w:hanging="720"/>
      <w:outlineLvl w:val="5"/>
    </w:pPr>
    <w:rPr>
      <w:rFonts w:eastAsiaTheme="minorHAnsi" w:cstheme="minorBidi"/>
      <w:bCs/>
      <w:i/>
      <w:szCs w:val="22"/>
    </w:rPr>
  </w:style>
  <w:style w:type="paragraph" w:styleId="Heading7">
    <w:name w:val="heading 7"/>
    <w:basedOn w:val="Normal"/>
    <w:next w:val="Normal"/>
    <w:link w:val="Heading7Char"/>
    <w:semiHidden/>
    <w:unhideWhenUsed/>
    <w:qFormat/>
    <w:rsid w:val="003833F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833F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833F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customStyle="1" w:styleId="Address">
    <w:name w:val="Address"/>
    <w:basedOn w:val="SingleSpacing"/>
  </w:style>
  <w:style w:type="paragraph" w:customStyle="1" w:styleId="SingleSpacing">
    <w:name w:val="Single Spacing"/>
    <w:basedOn w:val="Normal"/>
  </w:style>
  <w:style w:type="paragraph" w:customStyle="1" w:styleId="15Spacing">
    <w:name w:val="1.5 Spacing"/>
    <w:basedOn w:val="Normal"/>
    <w:pPr>
      <w:spacing w:line="360" w:lineRule="exact"/>
    </w:pPr>
    <w:rPr>
      <w:rFonts w:ascii="Courier" w:hAnsi="Courier"/>
      <w:sz w:val="18"/>
    </w:rPr>
  </w:style>
  <w:style w:type="paragraph" w:customStyle="1" w:styleId="DoubleSpacing">
    <w:name w:val="Double Spacing"/>
    <w:basedOn w:val="Normal"/>
    <w:pPr>
      <w:spacing w:line="480" w:lineRule="auto"/>
    </w:pPr>
  </w:style>
  <w:style w:type="character" w:styleId="PageNumber">
    <w:name w:val="page number"/>
    <w:basedOn w:val="DefaultParagraphFont"/>
  </w:style>
  <w:style w:type="paragraph" w:customStyle="1" w:styleId="CourtName">
    <w:name w:val="CourtName"/>
    <w:basedOn w:val="Normal"/>
    <w:pPr>
      <w:jc w:val="center"/>
    </w:pPr>
  </w:style>
  <w:style w:type="paragraph" w:styleId="FootnoteText">
    <w:name w:val="footnote text"/>
    <w:basedOn w:val="Normal"/>
    <w:link w:val="FootnoteTextChar"/>
    <w:uiPriority w:val="1"/>
    <w:rsid w:val="00525B83"/>
    <w:pPr>
      <w:spacing w:after="120"/>
    </w:pPr>
  </w:style>
  <w:style w:type="character" w:styleId="LineNumber">
    <w:name w:val="line number"/>
    <w:basedOn w:val="DefaultParagraphFont"/>
    <w:rPr>
      <w:rFonts w:ascii="Times New Roman" w:hAnsi="Times New Roman"/>
      <w:sz w:val="24"/>
    </w:rPr>
  </w:style>
  <w:style w:type="paragraph" w:styleId="BodyText">
    <w:name w:val="Body Text"/>
    <w:basedOn w:val="Normal"/>
    <w:link w:val="BodyTextChar"/>
    <w:qFormat/>
    <w:rsid w:val="00B87BA1"/>
    <w:pPr>
      <w:spacing w:line="480" w:lineRule="auto"/>
      <w:ind w:hanging="432"/>
    </w:pPr>
  </w:style>
  <w:style w:type="paragraph" w:customStyle="1" w:styleId="SpaceAfter">
    <w:name w:val="Space After"/>
    <w:basedOn w:val="BodyText"/>
    <w:pPr>
      <w:spacing w:after="160"/>
    </w:pPr>
  </w:style>
  <w:style w:type="paragraph" w:styleId="BodyText2">
    <w:name w:val="Body Text 2"/>
    <w:basedOn w:val="Normal"/>
    <w:rsid w:val="00CB2033"/>
    <w:pPr>
      <w:spacing w:line="480" w:lineRule="auto"/>
    </w:pPr>
  </w:style>
  <w:style w:type="paragraph" w:styleId="TOC1">
    <w:name w:val="toc 1"/>
    <w:basedOn w:val="Normal"/>
    <w:next w:val="Normal"/>
    <w:autoRedefine/>
    <w:uiPriority w:val="39"/>
    <w:pPr>
      <w:tabs>
        <w:tab w:val="right" w:leader="dot" w:pos="9350"/>
      </w:tabs>
      <w:spacing w:after="240"/>
      <w:ind w:right="720"/>
    </w:pPr>
    <w:rPr>
      <w:caps/>
      <w:noProof/>
    </w:rPr>
  </w:style>
  <w:style w:type="paragraph" w:styleId="TOC2">
    <w:name w:val="toc 2"/>
    <w:basedOn w:val="Normal"/>
    <w:next w:val="Normal"/>
    <w:autoRedefine/>
    <w:uiPriority w:val="39"/>
    <w:pPr>
      <w:keepLines/>
      <w:tabs>
        <w:tab w:val="left" w:pos="720"/>
        <w:tab w:val="left" w:pos="1440"/>
        <w:tab w:val="right" w:leader="dot" w:pos="9350"/>
      </w:tabs>
      <w:spacing w:after="240"/>
      <w:ind w:left="1440" w:right="720" w:hanging="720"/>
    </w:pPr>
    <w:rPr>
      <w:caps/>
      <w:noProof/>
    </w:rPr>
  </w:style>
  <w:style w:type="paragraph" w:styleId="TOC3">
    <w:name w:val="toc 3"/>
    <w:basedOn w:val="Normal"/>
    <w:next w:val="Normal"/>
    <w:autoRedefine/>
    <w:uiPriority w:val="39"/>
    <w:pPr>
      <w:keepLines/>
      <w:tabs>
        <w:tab w:val="left" w:pos="1440"/>
        <w:tab w:val="right" w:leader="dot" w:pos="9360"/>
      </w:tabs>
      <w:spacing w:after="240"/>
      <w:ind w:left="1872" w:right="720" w:hanging="432"/>
    </w:pPr>
    <w:rPr>
      <w:noProof/>
    </w:rPr>
  </w:style>
  <w:style w:type="paragraph" w:styleId="TOC4">
    <w:name w:val="toc 4"/>
    <w:basedOn w:val="Normal"/>
    <w:next w:val="Normal"/>
    <w:autoRedefine/>
    <w:uiPriority w:val="39"/>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rsid w:val="00566FD4"/>
    <w:pPr>
      <w:numPr>
        <w:numId w:val="1"/>
      </w:numPr>
      <w:tabs>
        <w:tab w:val="clear" w:pos="360"/>
      </w:tabs>
      <w:suppressAutoHyphens/>
      <w:spacing w:line="480" w:lineRule="auto"/>
      <w:ind w:left="0" w:firstLine="720"/>
    </w:pPr>
  </w:style>
  <w:style w:type="character" w:styleId="Hyperlink">
    <w:name w:val="Hyperlink"/>
    <w:basedOn w:val="DefaultParagraphFont"/>
    <w:uiPriority w:val="99"/>
    <w:rPr>
      <w:color w:val="0000FF"/>
      <w:u w:val="single"/>
    </w:rPr>
  </w:style>
  <w:style w:type="paragraph" w:styleId="BlockText">
    <w:name w:val="Block Text"/>
    <w:basedOn w:val="Normal"/>
    <w:pPr>
      <w:widowControl/>
      <w:ind w:left="720" w:right="720"/>
    </w:pPr>
  </w:style>
  <w:style w:type="character" w:styleId="FootnoteReference">
    <w:name w:val="footnote reference"/>
    <w:aliases w:val="o,fr,Style 3,Style 13,Style 12,Style 15,Style 17,Style 9,o1,fr1,o2,fr2,o3,fr3,Style 18,(NECG) Footnote Reference,Style 20,Style 7,Style 8,Style 19,Style 28,Style 11,Style 16,Styl,Style 6,Style 24,Style 30,Style 39"/>
    <w:basedOn w:val="DefaultParagraphFont"/>
    <w:uiPriority w:val="99"/>
    <w:qFormat/>
    <w:rPr>
      <w:vertAlign w:val="superscript"/>
    </w:rPr>
  </w:style>
  <w:style w:type="paragraph" w:styleId="BodyTextIndent">
    <w:name w:val="Body Text Indent"/>
    <w:basedOn w:val="Normal"/>
    <w:next w:val="BodyText"/>
    <w:link w:val="BodyTextIndentChar"/>
    <w:qFormat/>
    <w:rsid w:val="008C22CD"/>
    <w:pPr>
      <w:widowControl/>
      <w:spacing w:after="240"/>
      <w:ind w:left="720" w:right="720"/>
    </w:pPr>
  </w:style>
  <w:style w:type="character" w:customStyle="1" w:styleId="BodyTextChar">
    <w:name w:val="Body Text Char"/>
    <w:basedOn w:val="DefaultParagraphFont"/>
    <w:link w:val="BodyText"/>
    <w:rsid w:val="00B87BA1"/>
    <w:rPr>
      <w:sz w:val="24"/>
    </w:rPr>
  </w:style>
  <w:style w:type="character" w:customStyle="1" w:styleId="FootnoteTextChar">
    <w:name w:val="Footnote Text Char"/>
    <w:basedOn w:val="DefaultParagraphFont"/>
    <w:link w:val="FootnoteText"/>
    <w:uiPriority w:val="1"/>
    <w:rsid w:val="00525B83"/>
    <w:rPr>
      <w:sz w:val="24"/>
    </w:rPr>
  </w:style>
  <w:style w:type="character" w:customStyle="1" w:styleId="Heading1Char">
    <w:name w:val="Heading 1 Char"/>
    <w:basedOn w:val="DefaultParagraphFont"/>
    <w:link w:val="Heading1"/>
    <w:uiPriority w:val="9"/>
    <w:rsid w:val="008C22CD"/>
    <w:rPr>
      <w:caps/>
      <w:kern w:val="28"/>
      <w:sz w:val="24"/>
    </w:rPr>
  </w:style>
  <w:style w:type="character" w:customStyle="1" w:styleId="Heading2Char">
    <w:name w:val="Heading 2 Char"/>
    <w:basedOn w:val="DefaultParagraphFont"/>
    <w:link w:val="Heading2"/>
    <w:uiPriority w:val="9"/>
    <w:rsid w:val="008C22CD"/>
    <w:rPr>
      <w:caps/>
      <w:sz w:val="24"/>
    </w:rPr>
  </w:style>
  <w:style w:type="character" w:customStyle="1" w:styleId="Heading3Char">
    <w:name w:val="Heading 3 Char"/>
    <w:basedOn w:val="DefaultParagraphFont"/>
    <w:link w:val="Heading3"/>
    <w:uiPriority w:val="9"/>
    <w:rsid w:val="008C22CD"/>
    <w:rPr>
      <w:sz w:val="24"/>
      <w:u w:val="single"/>
    </w:rPr>
  </w:style>
  <w:style w:type="character" w:customStyle="1" w:styleId="Heading4Char">
    <w:name w:val="Heading 4 Char"/>
    <w:basedOn w:val="DefaultParagraphFont"/>
    <w:link w:val="Heading4"/>
    <w:rsid w:val="008C22CD"/>
    <w:rPr>
      <w:i/>
      <w:sz w:val="24"/>
    </w:rPr>
  </w:style>
  <w:style w:type="character" w:customStyle="1" w:styleId="FooterChar">
    <w:name w:val="Footer Char"/>
    <w:basedOn w:val="DefaultParagraphFont"/>
    <w:link w:val="Footer"/>
    <w:uiPriority w:val="99"/>
    <w:rsid w:val="00B87BA1"/>
    <w:rPr>
      <w:sz w:val="24"/>
    </w:rPr>
  </w:style>
  <w:style w:type="paragraph" w:styleId="TableofAuthorities">
    <w:name w:val="table of authorities"/>
    <w:basedOn w:val="Normal"/>
    <w:next w:val="Normal"/>
    <w:rsid w:val="00073291"/>
    <w:pPr>
      <w:ind w:left="240" w:hanging="240"/>
    </w:pPr>
  </w:style>
  <w:style w:type="paragraph" w:customStyle="1" w:styleId="BATOAPageHeading">
    <w:name w:val="BA TOA Page Heading"/>
    <w:basedOn w:val="Normal"/>
    <w:link w:val="BATOAPageHeadingChar"/>
    <w:rsid w:val="00073291"/>
    <w:pPr>
      <w:keepNext/>
      <w:keepLines/>
      <w:widowControl/>
      <w:tabs>
        <w:tab w:val="right" w:pos="9360"/>
      </w:tabs>
      <w:jc w:val="right"/>
    </w:pPr>
    <w:rPr>
      <w:b/>
      <w:szCs w:val="24"/>
    </w:rPr>
  </w:style>
  <w:style w:type="paragraph" w:customStyle="1" w:styleId="BATOAHeading">
    <w:name w:val="BA TOA Heading"/>
    <w:basedOn w:val="Normal"/>
    <w:rsid w:val="00073291"/>
    <w:pPr>
      <w:keepNext/>
      <w:keepLines/>
      <w:widowControl/>
      <w:spacing w:after="240"/>
    </w:pPr>
    <w:rPr>
      <w:b/>
      <w:smallCaps/>
      <w:szCs w:val="24"/>
    </w:rPr>
  </w:style>
  <w:style w:type="paragraph" w:customStyle="1" w:styleId="BATOAEntry">
    <w:name w:val="BA TOA Entry"/>
    <w:basedOn w:val="Normal"/>
    <w:link w:val="BATOAEntryChar"/>
    <w:rsid w:val="00073291"/>
    <w:pPr>
      <w:keepLines/>
      <w:widowControl/>
      <w:tabs>
        <w:tab w:val="right" w:leader="dot" w:pos="9360"/>
      </w:tabs>
      <w:spacing w:after="240"/>
      <w:ind w:left="360" w:right="1440" w:hanging="360"/>
    </w:pPr>
    <w:rPr>
      <w:szCs w:val="24"/>
    </w:rPr>
  </w:style>
  <w:style w:type="character" w:customStyle="1" w:styleId="BATOAEntryChar">
    <w:name w:val="BA TOA Entry Char"/>
    <w:basedOn w:val="DefaultParagraphFont"/>
    <w:link w:val="BATOAEntry"/>
    <w:rsid w:val="00073291"/>
    <w:rPr>
      <w:sz w:val="24"/>
      <w:szCs w:val="24"/>
    </w:rPr>
  </w:style>
  <w:style w:type="paragraph" w:customStyle="1" w:styleId="BADraft">
    <w:name w:val="BA Draft"/>
    <w:basedOn w:val="BodyText"/>
    <w:rsid w:val="00073291"/>
    <w:pPr>
      <w:keepLines/>
      <w:spacing w:line="240" w:lineRule="auto"/>
      <w:ind w:firstLine="0"/>
    </w:pPr>
    <w:rPr>
      <w:szCs w:val="24"/>
    </w:rPr>
  </w:style>
  <w:style w:type="paragraph" w:customStyle="1" w:styleId="BATOATitle">
    <w:name w:val="BA TOA Title"/>
    <w:basedOn w:val="Normal"/>
    <w:rsid w:val="00073291"/>
    <w:pPr>
      <w:keepNext/>
      <w:widowControl/>
      <w:spacing w:before="120" w:after="240"/>
      <w:jc w:val="center"/>
    </w:pPr>
    <w:rPr>
      <w:b/>
      <w:caps/>
      <w:szCs w:val="24"/>
      <w:u w:val="single"/>
    </w:rPr>
  </w:style>
  <w:style w:type="paragraph" w:styleId="BalloonText">
    <w:name w:val="Balloon Text"/>
    <w:basedOn w:val="Normal"/>
    <w:link w:val="BalloonTextChar"/>
    <w:rsid w:val="00BD57F8"/>
    <w:rPr>
      <w:rFonts w:ascii="Tahoma" w:hAnsi="Tahoma" w:cs="Tahoma"/>
      <w:sz w:val="16"/>
      <w:szCs w:val="16"/>
    </w:rPr>
  </w:style>
  <w:style w:type="character" w:customStyle="1" w:styleId="BalloonTextChar">
    <w:name w:val="Balloon Text Char"/>
    <w:basedOn w:val="DefaultParagraphFont"/>
    <w:link w:val="BalloonText"/>
    <w:rsid w:val="00BD57F8"/>
    <w:rPr>
      <w:rFonts w:ascii="Tahoma" w:hAnsi="Tahoma" w:cs="Tahoma"/>
      <w:sz w:val="16"/>
      <w:szCs w:val="16"/>
    </w:rPr>
  </w:style>
  <w:style w:type="character" w:customStyle="1" w:styleId="Heading6Char">
    <w:name w:val="Heading 6 Char"/>
    <w:basedOn w:val="DefaultParagraphFont"/>
    <w:link w:val="Heading6"/>
    <w:uiPriority w:val="9"/>
    <w:rsid w:val="006C1987"/>
    <w:rPr>
      <w:rFonts w:eastAsiaTheme="minorHAnsi" w:cstheme="minorBidi"/>
      <w:bCs/>
      <w:i/>
      <w:sz w:val="24"/>
      <w:szCs w:val="22"/>
    </w:rPr>
  </w:style>
  <w:style w:type="character" w:customStyle="1" w:styleId="BodyTextIndentChar">
    <w:name w:val="Body Text Indent Char"/>
    <w:basedOn w:val="DefaultParagraphFont"/>
    <w:link w:val="BodyTextIndent"/>
    <w:rsid w:val="006C1987"/>
    <w:rPr>
      <w:sz w:val="24"/>
    </w:rPr>
  </w:style>
  <w:style w:type="character" w:customStyle="1" w:styleId="HeaderChar">
    <w:name w:val="Header Char"/>
    <w:basedOn w:val="DefaultParagraphFont"/>
    <w:link w:val="Header"/>
    <w:uiPriority w:val="99"/>
    <w:rsid w:val="00B07EA4"/>
    <w:rPr>
      <w:sz w:val="24"/>
    </w:rPr>
  </w:style>
  <w:style w:type="character" w:styleId="CommentReference">
    <w:name w:val="annotation reference"/>
    <w:basedOn w:val="DefaultParagraphFont"/>
    <w:uiPriority w:val="99"/>
    <w:semiHidden/>
    <w:unhideWhenUsed/>
    <w:rsid w:val="00950160"/>
    <w:rPr>
      <w:sz w:val="16"/>
      <w:szCs w:val="16"/>
    </w:rPr>
  </w:style>
  <w:style w:type="paragraph" w:styleId="CommentText">
    <w:name w:val="annotation text"/>
    <w:basedOn w:val="Normal"/>
    <w:link w:val="CommentTextChar"/>
    <w:uiPriority w:val="99"/>
    <w:semiHidden/>
    <w:unhideWhenUsed/>
    <w:rsid w:val="00950160"/>
    <w:pPr>
      <w:widowControl/>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950160"/>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950160"/>
    <w:rPr>
      <w:color w:val="800080" w:themeColor="followedHyperlink"/>
      <w:u w:val="single"/>
    </w:rPr>
  </w:style>
  <w:style w:type="paragraph" w:styleId="ListParagraph">
    <w:name w:val="List Paragraph"/>
    <w:basedOn w:val="Normal"/>
    <w:uiPriority w:val="34"/>
    <w:qFormat/>
    <w:rsid w:val="00636EC7"/>
    <w:pPr>
      <w:widowControl/>
      <w:spacing w:after="160" w:line="259"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semiHidden/>
    <w:unhideWhenUsed/>
    <w:rsid w:val="00431368"/>
    <w:pPr>
      <w:widowControl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431368"/>
    <w:rPr>
      <w:rFonts w:asciiTheme="minorHAnsi" w:eastAsiaTheme="minorHAnsi" w:hAnsiTheme="minorHAnsi" w:cstheme="minorBidi"/>
      <w:b/>
      <w:bCs/>
    </w:rPr>
  </w:style>
  <w:style w:type="paragraph" w:styleId="Revision">
    <w:name w:val="Revision"/>
    <w:hidden/>
    <w:uiPriority w:val="99"/>
    <w:semiHidden/>
    <w:rsid w:val="0069004E"/>
    <w:rPr>
      <w:sz w:val="24"/>
    </w:rPr>
  </w:style>
  <w:style w:type="paragraph" w:styleId="TOCHeading">
    <w:name w:val="TOC Heading"/>
    <w:basedOn w:val="Heading1"/>
    <w:next w:val="Normal"/>
    <w:uiPriority w:val="39"/>
    <w:unhideWhenUsed/>
    <w:qFormat/>
    <w:rsid w:val="00CB3CB3"/>
    <w:pPr>
      <w:widowControl/>
      <w:numPr>
        <w:numId w:val="0"/>
      </w:numPr>
      <w:spacing w:before="240" w:after="0" w:line="259" w:lineRule="auto"/>
      <w:jc w:val="left"/>
      <w:outlineLvl w:val="9"/>
    </w:pPr>
    <w:rPr>
      <w:rFonts w:asciiTheme="majorHAnsi" w:eastAsiaTheme="majorEastAsia" w:hAnsiTheme="majorHAnsi" w:cstheme="majorBidi"/>
      <w:caps w:val="0"/>
      <w:color w:val="365F91" w:themeColor="accent1" w:themeShade="BF"/>
      <w:kern w:val="0"/>
      <w:sz w:val="32"/>
      <w:szCs w:val="32"/>
    </w:rPr>
  </w:style>
  <w:style w:type="character" w:customStyle="1" w:styleId="BATOAPageHeadingChar">
    <w:name w:val="BA TOA Page Heading Char"/>
    <w:basedOn w:val="DefaultParagraphFont"/>
    <w:link w:val="BATOAPageHeading"/>
    <w:rsid w:val="003833F8"/>
    <w:rPr>
      <w:b/>
      <w:sz w:val="24"/>
      <w:szCs w:val="24"/>
    </w:rPr>
  </w:style>
  <w:style w:type="paragraph" w:styleId="Bibliography">
    <w:name w:val="Bibliography"/>
    <w:basedOn w:val="Normal"/>
    <w:next w:val="Normal"/>
    <w:uiPriority w:val="37"/>
    <w:semiHidden/>
    <w:unhideWhenUsed/>
    <w:rsid w:val="003833F8"/>
  </w:style>
  <w:style w:type="paragraph" w:styleId="BodyText3">
    <w:name w:val="Body Text 3"/>
    <w:basedOn w:val="Normal"/>
    <w:link w:val="BodyText3Char"/>
    <w:semiHidden/>
    <w:unhideWhenUsed/>
    <w:rsid w:val="003833F8"/>
    <w:pPr>
      <w:spacing w:after="120"/>
    </w:pPr>
    <w:rPr>
      <w:sz w:val="16"/>
      <w:szCs w:val="16"/>
    </w:rPr>
  </w:style>
  <w:style w:type="character" w:customStyle="1" w:styleId="BodyText3Char">
    <w:name w:val="Body Text 3 Char"/>
    <w:basedOn w:val="DefaultParagraphFont"/>
    <w:link w:val="BodyText3"/>
    <w:semiHidden/>
    <w:rsid w:val="003833F8"/>
    <w:rPr>
      <w:sz w:val="16"/>
      <w:szCs w:val="16"/>
    </w:rPr>
  </w:style>
  <w:style w:type="paragraph" w:styleId="BodyTextFirstIndent">
    <w:name w:val="Body Text First Indent"/>
    <w:basedOn w:val="BodyText"/>
    <w:link w:val="BodyTextFirstIndentChar"/>
    <w:rsid w:val="003833F8"/>
    <w:pPr>
      <w:spacing w:line="240" w:lineRule="auto"/>
      <w:ind w:firstLine="360"/>
    </w:pPr>
  </w:style>
  <w:style w:type="character" w:customStyle="1" w:styleId="BodyTextFirstIndentChar">
    <w:name w:val="Body Text First Indent Char"/>
    <w:basedOn w:val="BodyTextChar"/>
    <w:link w:val="BodyTextFirstIndent"/>
    <w:rsid w:val="003833F8"/>
    <w:rPr>
      <w:sz w:val="24"/>
    </w:rPr>
  </w:style>
  <w:style w:type="paragraph" w:styleId="BodyTextFirstIndent2">
    <w:name w:val="Body Text First Indent 2"/>
    <w:basedOn w:val="BodyTextIndent"/>
    <w:link w:val="BodyTextFirstIndent2Char"/>
    <w:semiHidden/>
    <w:unhideWhenUsed/>
    <w:rsid w:val="003833F8"/>
    <w:pPr>
      <w:widowControl w:val="0"/>
      <w:spacing w:after="0"/>
      <w:ind w:left="360" w:right="0" w:firstLine="360"/>
    </w:pPr>
  </w:style>
  <w:style w:type="character" w:customStyle="1" w:styleId="BodyTextFirstIndent2Char">
    <w:name w:val="Body Text First Indent 2 Char"/>
    <w:basedOn w:val="BodyTextIndentChar"/>
    <w:link w:val="BodyTextFirstIndent2"/>
    <w:semiHidden/>
    <w:rsid w:val="003833F8"/>
    <w:rPr>
      <w:sz w:val="24"/>
    </w:rPr>
  </w:style>
  <w:style w:type="paragraph" w:styleId="BodyTextIndent2">
    <w:name w:val="Body Text Indent 2"/>
    <w:basedOn w:val="Normal"/>
    <w:link w:val="BodyTextIndent2Char"/>
    <w:semiHidden/>
    <w:unhideWhenUsed/>
    <w:rsid w:val="003833F8"/>
    <w:pPr>
      <w:spacing w:after="120" w:line="480" w:lineRule="auto"/>
      <w:ind w:left="360"/>
    </w:pPr>
  </w:style>
  <w:style w:type="character" w:customStyle="1" w:styleId="BodyTextIndent2Char">
    <w:name w:val="Body Text Indent 2 Char"/>
    <w:basedOn w:val="DefaultParagraphFont"/>
    <w:link w:val="BodyTextIndent2"/>
    <w:semiHidden/>
    <w:rsid w:val="003833F8"/>
    <w:rPr>
      <w:sz w:val="24"/>
    </w:rPr>
  </w:style>
  <w:style w:type="paragraph" w:styleId="BodyTextIndent3">
    <w:name w:val="Body Text Indent 3"/>
    <w:basedOn w:val="Normal"/>
    <w:link w:val="BodyTextIndent3Char"/>
    <w:semiHidden/>
    <w:unhideWhenUsed/>
    <w:rsid w:val="003833F8"/>
    <w:pPr>
      <w:spacing w:after="120"/>
      <w:ind w:left="360"/>
    </w:pPr>
    <w:rPr>
      <w:sz w:val="16"/>
      <w:szCs w:val="16"/>
    </w:rPr>
  </w:style>
  <w:style w:type="character" w:customStyle="1" w:styleId="BodyTextIndent3Char">
    <w:name w:val="Body Text Indent 3 Char"/>
    <w:basedOn w:val="DefaultParagraphFont"/>
    <w:link w:val="BodyTextIndent3"/>
    <w:semiHidden/>
    <w:rsid w:val="003833F8"/>
    <w:rPr>
      <w:sz w:val="16"/>
      <w:szCs w:val="16"/>
    </w:rPr>
  </w:style>
  <w:style w:type="paragraph" w:styleId="Caption">
    <w:name w:val="caption"/>
    <w:basedOn w:val="Normal"/>
    <w:next w:val="Normal"/>
    <w:semiHidden/>
    <w:unhideWhenUsed/>
    <w:qFormat/>
    <w:rsid w:val="003833F8"/>
    <w:pPr>
      <w:spacing w:after="200"/>
    </w:pPr>
    <w:rPr>
      <w:i/>
      <w:iCs/>
      <w:color w:val="1F497D" w:themeColor="text2"/>
      <w:sz w:val="18"/>
      <w:szCs w:val="18"/>
    </w:rPr>
  </w:style>
  <w:style w:type="paragraph" w:styleId="Closing">
    <w:name w:val="Closing"/>
    <w:basedOn w:val="Normal"/>
    <w:link w:val="ClosingChar"/>
    <w:semiHidden/>
    <w:unhideWhenUsed/>
    <w:rsid w:val="003833F8"/>
    <w:pPr>
      <w:ind w:left="4320"/>
    </w:pPr>
  </w:style>
  <w:style w:type="character" w:customStyle="1" w:styleId="ClosingChar">
    <w:name w:val="Closing Char"/>
    <w:basedOn w:val="DefaultParagraphFont"/>
    <w:link w:val="Closing"/>
    <w:semiHidden/>
    <w:rsid w:val="003833F8"/>
    <w:rPr>
      <w:sz w:val="24"/>
    </w:rPr>
  </w:style>
  <w:style w:type="paragraph" w:styleId="Date">
    <w:name w:val="Date"/>
    <w:basedOn w:val="Normal"/>
    <w:next w:val="Normal"/>
    <w:link w:val="DateChar"/>
    <w:rsid w:val="003833F8"/>
  </w:style>
  <w:style w:type="character" w:customStyle="1" w:styleId="DateChar">
    <w:name w:val="Date Char"/>
    <w:basedOn w:val="DefaultParagraphFont"/>
    <w:link w:val="Date"/>
    <w:rsid w:val="003833F8"/>
    <w:rPr>
      <w:sz w:val="24"/>
    </w:rPr>
  </w:style>
  <w:style w:type="paragraph" w:styleId="DocumentMap">
    <w:name w:val="Document Map"/>
    <w:basedOn w:val="Normal"/>
    <w:link w:val="DocumentMapChar"/>
    <w:semiHidden/>
    <w:unhideWhenUsed/>
    <w:rsid w:val="003833F8"/>
    <w:rPr>
      <w:rFonts w:ascii="Segoe UI" w:hAnsi="Segoe UI" w:cs="Segoe UI"/>
      <w:sz w:val="16"/>
      <w:szCs w:val="16"/>
    </w:rPr>
  </w:style>
  <w:style w:type="character" w:customStyle="1" w:styleId="DocumentMapChar">
    <w:name w:val="Document Map Char"/>
    <w:basedOn w:val="DefaultParagraphFont"/>
    <w:link w:val="DocumentMap"/>
    <w:semiHidden/>
    <w:rsid w:val="003833F8"/>
    <w:rPr>
      <w:rFonts w:ascii="Segoe UI" w:hAnsi="Segoe UI" w:cs="Segoe UI"/>
      <w:sz w:val="16"/>
      <w:szCs w:val="16"/>
    </w:rPr>
  </w:style>
  <w:style w:type="paragraph" w:styleId="E-mailSignature">
    <w:name w:val="E-mail Signature"/>
    <w:basedOn w:val="Normal"/>
    <w:link w:val="E-mailSignatureChar"/>
    <w:semiHidden/>
    <w:unhideWhenUsed/>
    <w:rsid w:val="003833F8"/>
  </w:style>
  <w:style w:type="character" w:customStyle="1" w:styleId="E-mailSignatureChar">
    <w:name w:val="E-mail Signature Char"/>
    <w:basedOn w:val="DefaultParagraphFont"/>
    <w:link w:val="E-mailSignature"/>
    <w:semiHidden/>
    <w:rsid w:val="003833F8"/>
    <w:rPr>
      <w:sz w:val="24"/>
    </w:rPr>
  </w:style>
  <w:style w:type="paragraph" w:styleId="EndnoteText">
    <w:name w:val="endnote text"/>
    <w:basedOn w:val="Normal"/>
    <w:link w:val="EndnoteTextChar"/>
    <w:semiHidden/>
    <w:unhideWhenUsed/>
    <w:rsid w:val="003833F8"/>
    <w:rPr>
      <w:sz w:val="20"/>
    </w:rPr>
  </w:style>
  <w:style w:type="character" w:customStyle="1" w:styleId="EndnoteTextChar">
    <w:name w:val="Endnote Text Char"/>
    <w:basedOn w:val="DefaultParagraphFont"/>
    <w:link w:val="EndnoteText"/>
    <w:semiHidden/>
    <w:rsid w:val="003833F8"/>
  </w:style>
  <w:style w:type="paragraph" w:styleId="EnvelopeAddress">
    <w:name w:val="envelope address"/>
    <w:basedOn w:val="Normal"/>
    <w:semiHidden/>
    <w:unhideWhenUsed/>
    <w:rsid w:val="003833F8"/>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3833F8"/>
    <w:rPr>
      <w:rFonts w:asciiTheme="majorHAnsi" w:eastAsiaTheme="majorEastAsia" w:hAnsiTheme="majorHAnsi" w:cstheme="majorBidi"/>
      <w:sz w:val="20"/>
    </w:rPr>
  </w:style>
  <w:style w:type="character" w:customStyle="1" w:styleId="Heading7Char">
    <w:name w:val="Heading 7 Char"/>
    <w:basedOn w:val="DefaultParagraphFont"/>
    <w:link w:val="Heading7"/>
    <w:semiHidden/>
    <w:rsid w:val="003833F8"/>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semiHidden/>
    <w:rsid w:val="003833F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833F8"/>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3833F8"/>
    <w:rPr>
      <w:i/>
      <w:iCs/>
    </w:rPr>
  </w:style>
  <w:style w:type="character" w:customStyle="1" w:styleId="HTMLAddressChar">
    <w:name w:val="HTML Address Char"/>
    <w:basedOn w:val="DefaultParagraphFont"/>
    <w:link w:val="HTMLAddress"/>
    <w:semiHidden/>
    <w:rsid w:val="003833F8"/>
    <w:rPr>
      <w:i/>
      <w:iCs/>
      <w:sz w:val="24"/>
    </w:rPr>
  </w:style>
  <w:style w:type="paragraph" w:styleId="HTMLPreformatted">
    <w:name w:val="HTML Preformatted"/>
    <w:basedOn w:val="Normal"/>
    <w:link w:val="HTMLPreformattedChar"/>
    <w:semiHidden/>
    <w:unhideWhenUsed/>
    <w:rsid w:val="003833F8"/>
    <w:rPr>
      <w:rFonts w:ascii="Consolas" w:hAnsi="Consolas"/>
      <w:sz w:val="20"/>
    </w:rPr>
  </w:style>
  <w:style w:type="character" w:customStyle="1" w:styleId="HTMLPreformattedChar">
    <w:name w:val="HTML Preformatted Char"/>
    <w:basedOn w:val="DefaultParagraphFont"/>
    <w:link w:val="HTMLPreformatted"/>
    <w:semiHidden/>
    <w:rsid w:val="003833F8"/>
    <w:rPr>
      <w:rFonts w:ascii="Consolas" w:hAnsi="Consolas"/>
    </w:rPr>
  </w:style>
  <w:style w:type="paragraph" w:styleId="Index1">
    <w:name w:val="index 1"/>
    <w:basedOn w:val="Normal"/>
    <w:next w:val="Normal"/>
    <w:autoRedefine/>
    <w:semiHidden/>
    <w:unhideWhenUsed/>
    <w:rsid w:val="003833F8"/>
    <w:pPr>
      <w:ind w:left="240" w:hanging="240"/>
    </w:pPr>
  </w:style>
  <w:style w:type="paragraph" w:styleId="Index2">
    <w:name w:val="index 2"/>
    <w:basedOn w:val="Normal"/>
    <w:next w:val="Normal"/>
    <w:autoRedefine/>
    <w:semiHidden/>
    <w:unhideWhenUsed/>
    <w:rsid w:val="003833F8"/>
    <w:pPr>
      <w:ind w:left="480" w:hanging="240"/>
    </w:pPr>
  </w:style>
  <w:style w:type="paragraph" w:styleId="Index3">
    <w:name w:val="index 3"/>
    <w:basedOn w:val="Normal"/>
    <w:next w:val="Normal"/>
    <w:autoRedefine/>
    <w:semiHidden/>
    <w:unhideWhenUsed/>
    <w:rsid w:val="003833F8"/>
    <w:pPr>
      <w:ind w:left="720" w:hanging="240"/>
    </w:pPr>
  </w:style>
  <w:style w:type="paragraph" w:styleId="Index4">
    <w:name w:val="index 4"/>
    <w:basedOn w:val="Normal"/>
    <w:next w:val="Normal"/>
    <w:autoRedefine/>
    <w:semiHidden/>
    <w:unhideWhenUsed/>
    <w:rsid w:val="003833F8"/>
    <w:pPr>
      <w:ind w:left="960" w:hanging="240"/>
    </w:pPr>
  </w:style>
  <w:style w:type="paragraph" w:styleId="Index5">
    <w:name w:val="index 5"/>
    <w:basedOn w:val="Normal"/>
    <w:next w:val="Normal"/>
    <w:autoRedefine/>
    <w:semiHidden/>
    <w:unhideWhenUsed/>
    <w:rsid w:val="003833F8"/>
    <w:pPr>
      <w:ind w:left="1200" w:hanging="240"/>
    </w:pPr>
  </w:style>
  <w:style w:type="paragraph" w:styleId="Index6">
    <w:name w:val="index 6"/>
    <w:basedOn w:val="Normal"/>
    <w:next w:val="Normal"/>
    <w:autoRedefine/>
    <w:semiHidden/>
    <w:unhideWhenUsed/>
    <w:rsid w:val="003833F8"/>
    <w:pPr>
      <w:ind w:left="1440" w:hanging="240"/>
    </w:pPr>
  </w:style>
  <w:style w:type="paragraph" w:styleId="Index7">
    <w:name w:val="index 7"/>
    <w:basedOn w:val="Normal"/>
    <w:next w:val="Normal"/>
    <w:autoRedefine/>
    <w:semiHidden/>
    <w:unhideWhenUsed/>
    <w:rsid w:val="003833F8"/>
    <w:pPr>
      <w:ind w:left="1680" w:hanging="240"/>
    </w:pPr>
  </w:style>
  <w:style w:type="paragraph" w:styleId="Index8">
    <w:name w:val="index 8"/>
    <w:basedOn w:val="Normal"/>
    <w:next w:val="Normal"/>
    <w:autoRedefine/>
    <w:semiHidden/>
    <w:unhideWhenUsed/>
    <w:rsid w:val="003833F8"/>
    <w:pPr>
      <w:ind w:left="1920" w:hanging="240"/>
    </w:pPr>
  </w:style>
  <w:style w:type="paragraph" w:styleId="Index9">
    <w:name w:val="index 9"/>
    <w:basedOn w:val="Normal"/>
    <w:next w:val="Normal"/>
    <w:autoRedefine/>
    <w:semiHidden/>
    <w:unhideWhenUsed/>
    <w:rsid w:val="003833F8"/>
    <w:pPr>
      <w:ind w:left="2160" w:hanging="240"/>
    </w:pPr>
  </w:style>
  <w:style w:type="paragraph" w:styleId="IndexHeading">
    <w:name w:val="index heading"/>
    <w:basedOn w:val="Normal"/>
    <w:next w:val="Index1"/>
    <w:semiHidden/>
    <w:unhideWhenUsed/>
    <w:rsid w:val="003833F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833F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833F8"/>
    <w:rPr>
      <w:i/>
      <w:iCs/>
      <w:color w:val="4F81BD" w:themeColor="accent1"/>
      <w:sz w:val="24"/>
    </w:rPr>
  </w:style>
  <w:style w:type="paragraph" w:styleId="List">
    <w:name w:val="List"/>
    <w:basedOn w:val="Normal"/>
    <w:semiHidden/>
    <w:unhideWhenUsed/>
    <w:rsid w:val="003833F8"/>
    <w:pPr>
      <w:ind w:left="360" w:hanging="360"/>
      <w:contextualSpacing/>
    </w:pPr>
  </w:style>
  <w:style w:type="paragraph" w:styleId="List2">
    <w:name w:val="List 2"/>
    <w:basedOn w:val="Normal"/>
    <w:semiHidden/>
    <w:unhideWhenUsed/>
    <w:rsid w:val="003833F8"/>
    <w:pPr>
      <w:ind w:left="720" w:hanging="360"/>
      <w:contextualSpacing/>
    </w:pPr>
  </w:style>
  <w:style w:type="paragraph" w:styleId="List3">
    <w:name w:val="List 3"/>
    <w:basedOn w:val="Normal"/>
    <w:semiHidden/>
    <w:unhideWhenUsed/>
    <w:rsid w:val="003833F8"/>
    <w:pPr>
      <w:ind w:left="1080" w:hanging="360"/>
      <w:contextualSpacing/>
    </w:pPr>
  </w:style>
  <w:style w:type="paragraph" w:styleId="List4">
    <w:name w:val="List 4"/>
    <w:basedOn w:val="Normal"/>
    <w:rsid w:val="003833F8"/>
    <w:pPr>
      <w:ind w:left="1440" w:hanging="360"/>
      <w:contextualSpacing/>
    </w:pPr>
  </w:style>
  <w:style w:type="paragraph" w:styleId="List5">
    <w:name w:val="List 5"/>
    <w:basedOn w:val="Normal"/>
    <w:rsid w:val="003833F8"/>
    <w:pPr>
      <w:ind w:left="1800" w:hanging="360"/>
      <w:contextualSpacing/>
    </w:pPr>
  </w:style>
  <w:style w:type="paragraph" w:styleId="ListBullet">
    <w:name w:val="List Bullet"/>
    <w:basedOn w:val="Normal"/>
    <w:semiHidden/>
    <w:unhideWhenUsed/>
    <w:rsid w:val="003833F8"/>
    <w:pPr>
      <w:numPr>
        <w:numId w:val="20"/>
      </w:numPr>
      <w:contextualSpacing/>
    </w:pPr>
  </w:style>
  <w:style w:type="paragraph" w:styleId="ListBullet2">
    <w:name w:val="List Bullet 2"/>
    <w:basedOn w:val="Normal"/>
    <w:semiHidden/>
    <w:unhideWhenUsed/>
    <w:rsid w:val="003833F8"/>
    <w:pPr>
      <w:numPr>
        <w:numId w:val="21"/>
      </w:numPr>
      <w:contextualSpacing/>
    </w:pPr>
  </w:style>
  <w:style w:type="paragraph" w:styleId="ListBullet3">
    <w:name w:val="List Bullet 3"/>
    <w:basedOn w:val="Normal"/>
    <w:semiHidden/>
    <w:unhideWhenUsed/>
    <w:rsid w:val="003833F8"/>
    <w:pPr>
      <w:numPr>
        <w:numId w:val="22"/>
      </w:numPr>
      <w:contextualSpacing/>
    </w:pPr>
  </w:style>
  <w:style w:type="paragraph" w:styleId="ListBullet4">
    <w:name w:val="List Bullet 4"/>
    <w:basedOn w:val="Normal"/>
    <w:semiHidden/>
    <w:unhideWhenUsed/>
    <w:rsid w:val="003833F8"/>
    <w:pPr>
      <w:numPr>
        <w:numId w:val="23"/>
      </w:numPr>
      <w:contextualSpacing/>
    </w:pPr>
  </w:style>
  <w:style w:type="paragraph" w:styleId="ListBullet5">
    <w:name w:val="List Bullet 5"/>
    <w:basedOn w:val="Normal"/>
    <w:semiHidden/>
    <w:unhideWhenUsed/>
    <w:rsid w:val="003833F8"/>
    <w:pPr>
      <w:numPr>
        <w:numId w:val="24"/>
      </w:numPr>
      <w:contextualSpacing/>
    </w:pPr>
  </w:style>
  <w:style w:type="paragraph" w:styleId="ListContinue">
    <w:name w:val="List Continue"/>
    <w:basedOn w:val="Normal"/>
    <w:semiHidden/>
    <w:unhideWhenUsed/>
    <w:rsid w:val="003833F8"/>
    <w:pPr>
      <w:spacing w:after="120"/>
      <w:ind w:left="360"/>
      <w:contextualSpacing/>
    </w:pPr>
  </w:style>
  <w:style w:type="paragraph" w:styleId="ListContinue2">
    <w:name w:val="List Continue 2"/>
    <w:basedOn w:val="Normal"/>
    <w:semiHidden/>
    <w:unhideWhenUsed/>
    <w:rsid w:val="003833F8"/>
    <w:pPr>
      <w:spacing w:after="120"/>
      <w:ind w:left="720"/>
      <w:contextualSpacing/>
    </w:pPr>
  </w:style>
  <w:style w:type="paragraph" w:styleId="ListContinue3">
    <w:name w:val="List Continue 3"/>
    <w:basedOn w:val="Normal"/>
    <w:semiHidden/>
    <w:unhideWhenUsed/>
    <w:rsid w:val="003833F8"/>
    <w:pPr>
      <w:spacing w:after="120"/>
      <w:ind w:left="1080"/>
      <w:contextualSpacing/>
    </w:pPr>
  </w:style>
  <w:style w:type="paragraph" w:styleId="ListContinue4">
    <w:name w:val="List Continue 4"/>
    <w:basedOn w:val="Normal"/>
    <w:semiHidden/>
    <w:unhideWhenUsed/>
    <w:rsid w:val="003833F8"/>
    <w:pPr>
      <w:spacing w:after="120"/>
      <w:ind w:left="1440"/>
      <w:contextualSpacing/>
    </w:pPr>
  </w:style>
  <w:style w:type="paragraph" w:styleId="ListContinue5">
    <w:name w:val="List Continue 5"/>
    <w:basedOn w:val="Normal"/>
    <w:semiHidden/>
    <w:unhideWhenUsed/>
    <w:rsid w:val="003833F8"/>
    <w:pPr>
      <w:spacing w:after="120"/>
      <w:ind w:left="1800"/>
      <w:contextualSpacing/>
    </w:pPr>
  </w:style>
  <w:style w:type="paragraph" w:styleId="ListNumber">
    <w:name w:val="List Number"/>
    <w:basedOn w:val="Normal"/>
    <w:rsid w:val="003833F8"/>
    <w:pPr>
      <w:numPr>
        <w:numId w:val="25"/>
      </w:numPr>
      <w:contextualSpacing/>
    </w:pPr>
  </w:style>
  <w:style w:type="paragraph" w:styleId="ListNumber2">
    <w:name w:val="List Number 2"/>
    <w:basedOn w:val="Normal"/>
    <w:semiHidden/>
    <w:unhideWhenUsed/>
    <w:rsid w:val="003833F8"/>
    <w:pPr>
      <w:numPr>
        <w:numId w:val="26"/>
      </w:numPr>
      <w:contextualSpacing/>
    </w:pPr>
  </w:style>
  <w:style w:type="paragraph" w:styleId="ListNumber3">
    <w:name w:val="List Number 3"/>
    <w:basedOn w:val="Normal"/>
    <w:semiHidden/>
    <w:unhideWhenUsed/>
    <w:rsid w:val="003833F8"/>
    <w:pPr>
      <w:numPr>
        <w:numId w:val="27"/>
      </w:numPr>
      <w:contextualSpacing/>
    </w:pPr>
  </w:style>
  <w:style w:type="paragraph" w:styleId="ListNumber4">
    <w:name w:val="List Number 4"/>
    <w:basedOn w:val="Normal"/>
    <w:semiHidden/>
    <w:unhideWhenUsed/>
    <w:rsid w:val="003833F8"/>
    <w:pPr>
      <w:numPr>
        <w:numId w:val="28"/>
      </w:numPr>
      <w:contextualSpacing/>
    </w:pPr>
  </w:style>
  <w:style w:type="paragraph" w:styleId="ListNumber5">
    <w:name w:val="List Number 5"/>
    <w:basedOn w:val="Normal"/>
    <w:semiHidden/>
    <w:unhideWhenUsed/>
    <w:rsid w:val="003833F8"/>
    <w:pPr>
      <w:numPr>
        <w:numId w:val="29"/>
      </w:numPr>
      <w:contextualSpacing/>
    </w:pPr>
  </w:style>
  <w:style w:type="paragraph" w:styleId="MacroText">
    <w:name w:val="macro"/>
    <w:link w:val="MacroTextChar"/>
    <w:semiHidden/>
    <w:unhideWhenUsed/>
    <w:rsid w:val="003833F8"/>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3833F8"/>
    <w:rPr>
      <w:rFonts w:ascii="Consolas" w:hAnsi="Consolas"/>
    </w:rPr>
  </w:style>
  <w:style w:type="paragraph" w:styleId="MessageHeader">
    <w:name w:val="Message Header"/>
    <w:basedOn w:val="Normal"/>
    <w:link w:val="MessageHeaderChar"/>
    <w:semiHidden/>
    <w:unhideWhenUsed/>
    <w:rsid w:val="003833F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3833F8"/>
    <w:rPr>
      <w:rFonts w:asciiTheme="majorHAnsi" w:eastAsiaTheme="majorEastAsia" w:hAnsiTheme="majorHAnsi" w:cstheme="majorBidi"/>
      <w:sz w:val="24"/>
      <w:szCs w:val="24"/>
      <w:shd w:val="pct20" w:color="auto" w:fill="auto"/>
    </w:rPr>
  </w:style>
  <w:style w:type="paragraph" w:styleId="NoSpacing">
    <w:name w:val="No Spacing"/>
    <w:uiPriority w:val="1"/>
    <w:qFormat/>
    <w:rsid w:val="003833F8"/>
    <w:pPr>
      <w:widowControl w:val="0"/>
    </w:pPr>
    <w:rPr>
      <w:sz w:val="24"/>
    </w:rPr>
  </w:style>
  <w:style w:type="paragraph" w:styleId="NormalWeb">
    <w:name w:val="Normal (Web)"/>
    <w:basedOn w:val="Normal"/>
    <w:semiHidden/>
    <w:unhideWhenUsed/>
    <w:rsid w:val="003833F8"/>
    <w:rPr>
      <w:szCs w:val="24"/>
    </w:rPr>
  </w:style>
  <w:style w:type="paragraph" w:styleId="NoteHeading">
    <w:name w:val="Note Heading"/>
    <w:basedOn w:val="Normal"/>
    <w:next w:val="Normal"/>
    <w:link w:val="NoteHeadingChar"/>
    <w:semiHidden/>
    <w:unhideWhenUsed/>
    <w:rsid w:val="003833F8"/>
  </w:style>
  <w:style w:type="character" w:customStyle="1" w:styleId="NoteHeadingChar">
    <w:name w:val="Note Heading Char"/>
    <w:basedOn w:val="DefaultParagraphFont"/>
    <w:link w:val="NoteHeading"/>
    <w:semiHidden/>
    <w:rsid w:val="003833F8"/>
    <w:rPr>
      <w:sz w:val="24"/>
    </w:rPr>
  </w:style>
  <w:style w:type="paragraph" w:styleId="PlainText">
    <w:name w:val="Plain Text"/>
    <w:basedOn w:val="Normal"/>
    <w:link w:val="PlainTextChar"/>
    <w:semiHidden/>
    <w:unhideWhenUsed/>
    <w:rsid w:val="003833F8"/>
    <w:rPr>
      <w:rFonts w:ascii="Consolas" w:hAnsi="Consolas"/>
      <w:sz w:val="21"/>
      <w:szCs w:val="21"/>
    </w:rPr>
  </w:style>
  <w:style w:type="character" w:customStyle="1" w:styleId="PlainTextChar">
    <w:name w:val="Plain Text Char"/>
    <w:basedOn w:val="DefaultParagraphFont"/>
    <w:link w:val="PlainText"/>
    <w:semiHidden/>
    <w:rsid w:val="003833F8"/>
    <w:rPr>
      <w:rFonts w:ascii="Consolas" w:hAnsi="Consolas"/>
      <w:sz w:val="21"/>
      <w:szCs w:val="21"/>
    </w:rPr>
  </w:style>
  <w:style w:type="paragraph" w:styleId="Quote">
    <w:name w:val="Quote"/>
    <w:basedOn w:val="Normal"/>
    <w:next w:val="Normal"/>
    <w:link w:val="QuoteChar"/>
    <w:uiPriority w:val="29"/>
    <w:qFormat/>
    <w:rsid w:val="003833F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833F8"/>
    <w:rPr>
      <w:i/>
      <w:iCs/>
      <w:color w:val="404040" w:themeColor="text1" w:themeTint="BF"/>
      <w:sz w:val="24"/>
    </w:rPr>
  </w:style>
  <w:style w:type="paragraph" w:styleId="Salutation">
    <w:name w:val="Salutation"/>
    <w:basedOn w:val="Normal"/>
    <w:next w:val="Normal"/>
    <w:link w:val="SalutationChar"/>
    <w:rsid w:val="003833F8"/>
  </w:style>
  <w:style w:type="character" w:customStyle="1" w:styleId="SalutationChar">
    <w:name w:val="Salutation Char"/>
    <w:basedOn w:val="DefaultParagraphFont"/>
    <w:link w:val="Salutation"/>
    <w:rsid w:val="003833F8"/>
    <w:rPr>
      <w:sz w:val="24"/>
    </w:rPr>
  </w:style>
  <w:style w:type="paragraph" w:styleId="Signature">
    <w:name w:val="Signature"/>
    <w:basedOn w:val="Normal"/>
    <w:link w:val="SignatureChar"/>
    <w:semiHidden/>
    <w:unhideWhenUsed/>
    <w:rsid w:val="003833F8"/>
    <w:pPr>
      <w:ind w:left="4320"/>
    </w:pPr>
  </w:style>
  <w:style w:type="character" w:customStyle="1" w:styleId="SignatureChar">
    <w:name w:val="Signature Char"/>
    <w:basedOn w:val="DefaultParagraphFont"/>
    <w:link w:val="Signature"/>
    <w:semiHidden/>
    <w:rsid w:val="003833F8"/>
    <w:rPr>
      <w:sz w:val="24"/>
    </w:rPr>
  </w:style>
  <w:style w:type="paragraph" w:styleId="Subtitle">
    <w:name w:val="Subtitle"/>
    <w:basedOn w:val="Normal"/>
    <w:next w:val="Normal"/>
    <w:link w:val="SubtitleChar"/>
    <w:qFormat/>
    <w:rsid w:val="003833F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833F8"/>
    <w:rPr>
      <w:rFonts w:asciiTheme="minorHAnsi" w:eastAsiaTheme="minorEastAsia" w:hAnsiTheme="minorHAnsi" w:cstheme="minorBidi"/>
      <w:color w:val="5A5A5A" w:themeColor="text1" w:themeTint="A5"/>
      <w:spacing w:val="15"/>
      <w:sz w:val="22"/>
      <w:szCs w:val="22"/>
    </w:rPr>
  </w:style>
  <w:style w:type="paragraph" w:styleId="TableofFigures">
    <w:name w:val="table of figures"/>
    <w:basedOn w:val="Normal"/>
    <w:next w:val="Normal"/>
    <w:semiHidden/>
    <w:unhideWhenUsed/>
    <w:rsid w:val="003833F8"/>
  </w:style>
  <w:style w:type="paragraph" w:styleId="Title">
    <w:name w:val="Title"/>
    <w:basedOn w:val="Normal"/>
    <w:next w:val="Normal"/>
    <w:link w:val="TitleChar"/>
    <w:qFormat/>
    <w:rsid w:val="003833F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833F8"/>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3833F8"/>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3833F8"/>
    <w:pPr>
      <w:spacing w:after="100"/>
      <w:ind w:left="1200"/>
    </w:pPr>
  </w:style>
  <w:style w:type="paragraph" w:styleId="TOC7">
    <w:name w:val="toc 7"/>
    <w:basedOn w:val="Normal"/>
    <w:next w:val="Normal"/>
    <w:autoRedefine/>
    <w:semiHidden/>
    <w:unhideWhenUsed/>
    <w:rsid w:val="003833F8"/>
    <w:pPr>
      <w:spacing w:after="100"/>
      <w:ind w:left="1440"/>
    </w:pPr>
  </w:style>
  <w:style w:type="paragraph" w:styleId="TOC8">
    <w:name w:val="toc 8"/>
    <w:basedOn w:val="Normal"/>
    <w:next w:val="Normal"/>
    <w:autoRedefine/>
    <w:semiHidden/>
    <w:unhideWhenUsed/>
    <w:rsid w:val="003833F8"/>
    <w:pPr>
      <w:spacing w:after="100"/>
      <w:ind w:left="1680"/>
    </w:pPr>
  </w:style>
  <w:style w:type="paragraph" w:styleId="TOC9">
    <w:name w:val="toc 9"/>
    <w:basedOn w:val="Normal"/>
    <w:next w:val="Normal"/>
    <w:autoRedefine/>
    <w:semiHidden/>
    <w:unhideWhenUsed/>
    <w:rsid w:val="003833F8"/>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2017-10-16T07:00:00+00:00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CA6516C-E815-4D20-A56D-8BBBA18BFE43}">
  <ds:schemaRefs>
    <ds:schemaRef ds:uri="6a7bd91e-004b-490a-8704-e368d63d59a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D7352974-7CD2-4E31-9C03-E2B293BC3260}">
  <ds:schemaRefs>
    <ds:schemaRef ds:uri="http://schemas.microsoft.com/sharepoint/v3/contenttype/forms"/>
  </ds:schemaRefs>
</ds:datastoreItem>
</file>

<file path=customXml/itemProps3.xml><?xml version="1.0" encoding="utf-8"?>
<ds:datastoreItem xmlns:ds="http://schemas.openxmlformats.org/officeDocument/2006/customXml" ds:itemID="{1859DCE3-592D-4993-9872-821BF3112B76}"/>
</file>

<file path=customXml/itemProps4.xml><?xml version="1.0" encoding="utf-8"?>
<ds:datastoreItem xmlns:ds="http://schemas.openxmlformats.org/officeDocument/2006/customXml" ds:itemID="{242D5254-1ACF-4054-AB52-560DACC22B07}">
  <ds:schemaRefs>
    <ds:schemaRef ds:uri="http://schemas.openxmlformats.org/officeDocument/2006/bibliography"/>
  </ds:schemaRefs>
</ds:datastoreItem>
</file>

<file path=customXml/itemProps5.xml><?xml version="1.0" encoding="utf-8"?>
<ds:datastoreItem xmlns:ds="http://schemas.openxmlformats.org/officeDocument/2006/customXml" ds:itemID="{B9D2CF6A-4BD6-4E6A-B1A1-CE564934E974}"/>
</file>

<file path=docProps/app.xml><?xml version="1.0" encoding="utf-8"?>
<Properties xmlns="http://schemas.openxmlformats.org/officeDocument/2006/extended-properties" xmlns:vt="http://schemas.openxmlformats.org/officeDocument/2006/docPropsVTypes">
  <Template>Normal</Template>
  <TotalTime>0</TotalTime>
  <Pages>25</Pages>
  <Words>5948</Words>
  <Characters>33905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2017-10-16T21:52:00Z</dcterms:created>
  <dcterms:modified xsi:type="dcterms:W3CDTF">2017-10-16T21:52:00Z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