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pStyle w:val="Court"/>
        <w:spacing w:after="480"/>
        <w:rPr>
          <w:b/>
        </w:rPr>
      </w:pPr>
      <w:bookmarkStart w:id="0" w:name="_GoBack"/>
      <w:bookmarkEnd w:id="0"/>
      <w:r>
        <w:rPr>
          <w:b/>
        </w:rPr>
        <w:t>BEFORE THE WASHINGTON</w:t>
      </w:r>
      <w:r>
        <w:rPr>
          <w:b/>
        </w:rPr>
        <w:br/>
        <w:t>UTILITIES AND TRANSPORTATION COMMISSION</w:t>
      </w:r>
    </w:p>
    <w:tbl>
      <w:tblPr>
        <w:tblW w:w="0" w:type="auto"/>
        <w:tblBorders>
          <w:insideH w:val="single" w:sz="4" w:space="0" w:color="auto"/>
          <w:insideV w:val="single" w:sz="4" w:space="0" w:color="auto"/>
        </w:tblBorders>
        <w:tblLayout w:type="fixed"/>
        <w:tblLook w:val="0000"/>
      </w:tblPr>
      <w:tblGrid>
        <w:gridCol w:w="4698"/>
        <w:gridCol w:w="4770"/>
      </w:tblGrid>
      <w:tr>
        <w:tblPrEx>
          <w:tblW w:w="0" w:type="auto"/>
          <w:tblBorders>
            <w:insideH w:val="single" w:sz="4" w:space="0" w:color="auto"/>
            <w:insideV w:val="single" w:sz="4" w:space="0" w:color="auto"/>
          </w:tblBorders>
          <w:tblLayout w:type="fixed"/>
          <w:tblLook w:val="0000"/>
        </w:tblPrEx>
        <w:tc>
          <w:tcPr>
            <w:tcW w:w="4698" w:type="dxa"/>
            <w:tcBorders>
              <w:top w:val="nil"/>
              <w:bottom w:val="single" w:sz="4" w:space="0" w:color="auto"/>
            </w:tcBorders>
          </w:tcPr>
          <w:p>
            <w:pPr>
              <w:spacing w:after="240"/>
            </w:pPr>
            <w:bookmarkStart w:id="1" w:name="_zzmpFIXED_CaptionTable"/>
            <w:r>
              <w:t>WASHINGTON UTILITIES AND TRANSPORTATION COMMISSION,</w:t>
            </w:r>
          </w:p>
          <w:p>
            <w:pPr>
              <w:spacing w:after="240"/>
              <w:jc w:val="center"/>
            </w:pPr>
            <w:r>
              <w:t>Complainant,</w:t>
            </w:r>
          </w:p>
          <w:p>
            <w:pPr>
              <w:spacing w:after="240"/>
              <w:jc w:val="center"/>
            </w:pPr>
            <w:r>
              <w:t>v.</w:t>
            </w:r>
          </w:p>
          <w:p>
            <w:pPr>
              <w:spacing w:after="240"/>
            </w:pPr>
            <w:r>
              <w:t xml:space="preserve">PUGET SOUND ENERGY, </w:t>
            </w:r>
          </w:p>
          <w:p>
            <w:pPr>
              <w:spacing w:after="240"/>
              <w:jc w:val="center"/>
            </w:pPr>
            <w:r>
              <w:t>Respondent.</w:t>
            </w:r>
          </w:p>
        </w:tc>
        <w:tc>
          <w:tcPr>
            <w:tcW w:w="4770" w:type="dxa"/>
          </w:tcPr>
          <w:p>
            <w:pPr>
              <w:pStyle w:val="Caption"/>
              <w:tabs>
                <w:tab w:val="left" w:pos="1238"/>
              </w:tabs>
              <w:spacing w:after="240"/>
              <w:ind w:left="259" w:right="115"/>
            </w:pPr>
            <w:r>
              <w:t>DOCKET UE-161123</w:t>
            </w:r>
          </w:p>
          <w:p>
            <w:pPr>
              <w:pStyle w:val="DocumentTitle"/>
            </w:pPr>
            <w:r>
              <w:t>MICROSOFT CORPORATION’S OBJECTION TO, AND MOTION TO DENY, ACCESS TO CONFIDENTIAL INFORMATION BY NORTHWEST ENERGY COALITION’S WITNESSES O’BRIEN AND KELLEY</w:t>
            </w:r>
          </w:p>
        </w:tc>
      </w:tr>
    </w:tbl>
    <w:p>
      <w:pPr>
        <w:pStyle w:val="PleadingsL1"/>
        <w:spacing w:before="360" w:after="360"/>
      </w:pPr>
      <w:bookmarkEnd w:id="1"/>
      <w:r>
        <w:t>INTRODUCTION</w:t>
      </w:r>
    </w:p>
    <w:p>
      <w:pPr>
        <w:widowControl/>
        <w:spacing w:line="480" w:lineRule="auto"/>
        <w:ind w:firstLine="720"/>
        <w:jc w:val="both"/>
      </w:pPr>
      <w:r>
        <w:fldChar w:fldCharType="begin"/>
      </w:r>
      <w:r>
        <w:instrText xml:space="preserve"> AUTONUMLGL  </w:instrText>
      </w:r>
      <w:r>
        <w:fldChar w:fldCharType="end"/>
      </w:r>
      <w:r>
        <w:tab/>
        <w:t>Pursuant to RCW 34.05.437, WAC 480-07-375 and Order 03,</w:t>
      </w:r>
      <w:r>
        <w:rPr>
          <w:rStyle w:val="FootnoteReference"/>
        </w:rPr>
        <w:footnoteReference w:id="2"/>
      </w:r>
      <w:r>
        <w:t xml:space="preserve"> Microsoft Corporation (“Microsoft”) objects to Northwest Energy Coalition’s (“NWEC”) designation of Michael H. O’Brien and Dina Dubson Kelley, both of whom are employed by Renewable Northwest, as expert witnesses who would have access to confidential information in this proceeding.</w:t>
      </w:r>
      <w:r>
        <w:rPr>
          <w:rStyle w:val="FootnoteReference"/>
        </w:rPr>
        <w:footnoteReference w:id="3"/>
      </w:r>
      <w:r>
        <w:t xml:space="preserve">  Renewable Northwest employees should be denied access to confidential information for the same reasons this Commission denied representatives and members of the Northwest and Intermountain Power Producers Coalition (“NIPPC”) access to confidential information in this proceeding.</w:t>
      </w:r>
      <w:r>
        <w:rPr>
          <w:rStyle w:val="FootnoteReference"/>
        </w:rPr>
        <w:footnoteReference w:id="4"/>
      </w:r>
    </w:p>
    <w:p>
      <w:pPr>
        <w:pStyle w:val="PleadingsL1"/>
        <w:tabs>
          <w:tab w:val="clear" w:pos="720"/>
        </w:tabs>
        <w:spacing w:before="120" w:after="360"/>
      </w:pPr>
      <w:r>
        <w:t>RELIEF REQUESTED</w:t>
      </w:r>
    </w:p>
    <w:p>
      <w:pPr>
        <w:pStyle w:val="BodyText"/>
        <w:jc w:val="both"/>
      </w:pPr>
      <w:r>
        <w:t>2.</w:t>
      </w:r>
      <w:r>
        <w:tab/>
        <w:t>Microsoft respectfully requests that the Commission issue an order denying Mr. O’Brien and Ms. Kelley access to confidential information produced in this proceeding.</w:t>
      </w:r>
    </w:p>
    <w:p>
      <w:pPr>
        <w:pStyle w:val="PleadingsL1"/>
        <w:tabs>
          <w:tab w:val="clear" w:pos="720"/>
        </w:tabs>
        <w:spacing w:before="120" w:after="360"/>
      </w:pPr>
      <w:r>
        <w:t>BACKGROUND</w:t>
      </w:r>
    </w:p>
    <w:p>
      <w:pPr>
        <w:widowControl/>
        <w:spacing w:line="480" w:lineRule="auto"/>
        <w:ind w:firstLine="720"/>
        <w:jc w:val="both"/>
      </w:pPr>
      <w:r>
        <w:t>3.</w:t>
      </w:r>
      <w:r>
        <w:tab/>
        <w:t>On February 15, 2017, NWEC filed and served Expert Agreements for Renewable Northwest’s Mr. O’Brien and Ms. Kelley for access to confidential information in this proceeding.  Microsoft understands that Mr. O’Brien is Renewable Northwest’s Senior Policy Analyst and Ms. Kelley is Renewable Northwest’s Chief Counsel.</w:t>
      </w:r>
      <w:r>
        <w:rPr>
          <w:rStyle w:val="FootnoteReference"/>
        </w:rPr>
        <w:footnoteReference w:id="5"/>
      </w:r>
    </w:p>
    <w:p>
      <w:pPr>
        <w:widowControl/>
        <w:spacing w:line="480" w:lineRule="auto"/>
        <w:ind w:firstLine="720"/>
        <w:jc w:val="both"/>
        <w:rPr>
          <w:szCs w:val="24"/>
        </w:rPr>
      </w:pPr>
      <w:r>
        <w:t>4.</w:t>
      </w:r>
      <w:r>
        <w:tab/>
        <w:t xml:space="preserve">Like </w:t>
      </w:r>
      <w:r>
        <w:rPr>
          <w:szCs w:val="24"/>
        </w:rPr>
        <w:t xml:space="preserve">NIPPC, Renewable Northwest is an </w:t>
      </w:r>
      <w:r>
        <w:t xml:space="preserve">association whose members include nonregulated independent power producers that participate in </w:t>
      </w:r>
      <w:r>
        <w:rPr>
          <w:rFonts w:eastAsiaTheme="minorEastAsia"/>
          <w:lang w:eastAsia="zh-CN"/>
        </w:rPr>
        <w:t>competitive energy markets</w:t>
      </w:r>
      <w:r>
        <w:rPr>
          <w:szCs w:val="24"/>
        </w:rPr>
        <w:t>.</w:t>
      </w:r>
      <w:r>
        <w:rPr>
          <w:rStyle w:val="FootnoteReference"/>
          <w:szCs w:val="24"/>
        </w:rPr>
        <w:footnoteReference w:id="6"/>
      </w:r>
      <w:r>
        <w:rPr>
          <w:szCs w:val="24"/>
        </w:rPr>
        <w:t xml:space="preserve"> </w:t>
      </w:r>
    </w:p>
    <w:p>
      <w:pPr>
        <w:widowControl/>
        <w:spacing w:line="480" w:lineRule="auto"/>
        <w:ind w:firstLine="720"/>
        <w:jc w:val="both"/>
      </w:pPr>
      <w:r>
        <w:t>5.</w:t>
      </w:r>
      <w:r>
        <w:tab/>
        <w:t xml:space="preserve">On January 3, 2017, the Commission entered Order 05 granting NIPPC’s request to intervene in this proceeding with conditions.  </w:t>
      </w:r>
    </w:p>
    <w:p>
      <w:pPr>
        <w:widowControl/>
        <w:spacing w:line="480" w:lineRule="auto"/>
        <w:ind w:firstLine="720"/>
        <w:jc w:val="both"/>
      </w:pPr>
      <w:r>
        <w:t>6.</w:t>
      </w:r>
      <w:r>
        <w:tab/>
        <w:t>In Order 05, the Commission precluded NIPPC, its representatives and members “from accessing any confidential information produced in this docket, including confidential information contained in filings with the Commission, produced through discovery, or provided in oral testimony.”</w:t>
      </w:r>
      <w:r>
        <w:rPr>
          <w:rStyle w:val="FootnoteReference"/>
        </w:rPr>
        <w:footnoteReference w:id="7"/>
      </w:r>
      <w:r>
        <w:t xml:space="preserve">  It did so because of “concerns that NIPPC’s ability to access [PSE’s and Microsoft’s] confidential information, even under the auspices of the protective order, threatens competitive harm that weighs against granting intervention.”</w:t>
      </w:r>
      <w:r>
        <w:rPr>
          <w:rStyle w:val="FootnoteReference"/>
        </w:rPr>
        <w:footnoteReference w:id="8"/>
      </w:r>
      <w:r>
        <w:t xml:space="preserve">  The limitation on NIPPC in Order 05 “addresses the competitive harm PSE and Microsoft fear” would otherwise result.</w:t>
      </w:r>
      <w:r>
        <w:rPr>
          <w:rStyle w:val="FootnoteReference"/>
        </w:rPr>
        <w:footnoteReference w:id="9"/>
      </w:r>
    </w:p>
    <w:p>
      <w:pPr>
        <w:widowControl/>
        <w:spacing w:line="480" w:lineRule="auto"/>
        <w:ind w:firstLine="720"/>
        <w:jc w:val="both"/>
      </w:pPr>
      <w:r>
        <w:t>7.</w:t>
      </w:r>
      <w:r>
        <w:tab/>
        <w:t>With regard to NIPPC’s access to confidential information, the Commission stated in Order 05: “[W]e see little or no benefit from NIPPC’s view of the level of PSE’s stranded costs or Microsoft’s load, particularly when those issues involve consideration of competitively sensitive data.”</w:t>
      </w:r>
      <w:r>
        <w:rPr>
          <w:rStyle w:val="FootnoteReference"/>
        </w:rPr>
        <w:footnoteReference w:id="10"/>
      </w:r>
      <w:r>
        <w:t xml:space="preserve"> </w:t>
      </w:r>
    </w:p>
    <w:p>
      <w:pPr>
        <w:pStyle w:val="PleadingsL1"/>
        <w:tabs>
          <w:tab w:val="clear" w:pos="720"/>
        </w:tabs>
        <w:spacing w:before="120" w:after="360"/>
      </w:pPr>
      <w:r>
        <w:t>ARGUMENT</w:t>
      </w:r>
    </w:p>
    <w:p>
      <w:pPr>
        <w:widowControl/>
        <w:spacing w:line="480" w:lineRule="auto"/>
        <w:ind w:firstLine="720"/>
        <w:jc w:val="both"/>
      </w:pPr>
      <w:r>
        <w:t>8.</w:t>
      </w:r>
      <w:r>
        <w:tab/>
        <w:t>Renewable Northwest’s membership consists of the same types of companies—indeed, some of the exact same companies, e.g., EDP Renewables and Invenergy—that make up NIPPC’s membership.</w:t>
      </w:r>
      <w:r>
        <w:rPr>
          <w:rStyle w:val="FootnoteReference"/>
        </w:rPr>
        <w:footnoteReference w:id="11"/>
      </w:r>
      <w:r>
        <w:t xml:space="preserve">  RNP’s mission is to “expand” renewable energy resources in the Pacific Northwest.</w:t>
      </w:r>
      <w:r>
        <w:rPr>
          <w:rStyle w:val="FootnoteReference"/>
        </w:rPr>
        <w:footnoteReference w:id="12"/>
      </w:r>
      <w:r>
        <w:t xml:space="preserve">  Thus RNP has an institutional interest in the markets for power in Washington.  Doubtless several of its members would be interested in selling power to Microsoft and in knowing more about Microsoft’s loads and costs. </w:t>
      </w:r>
    </w:p>
    <w:p>
      <w:pPr>
        <w:widowControl/>
        <w:spacing w:line="480" w:lineRule="auto"/>
        <w:ind w:firstLine="720"/>
        <w:jc w:val="both"/>
      </w:pPr>
      <w:r>
        <w:t>9.</w:t>
      </w:r>
      <w:r>
        <w:tab/>
        <w:t>The Commission has already recognized the competitive harm that could result if Microsoft’s confidential information were obtained by power suppliers and their representatives.  As in Order 05, these competitive harms weigh against allowing Renewable Northwest’s employees to access confidential information in this proceeding.</w:t>
      </w:r>
    </w:p>
    <w:p>
      <w:pPr>
        <w:widowControl/>
        <w:spacing w:line="480" w:lineRule="auto"/>
        <w:ind w:firstLine="720"/>
        <w:jc w:val="both"/>
      </w:pPr>
      <w:r>
        <w:t>10.</w:t>
      </w:r>
      <w:r>
        <w:tab/>
        <w:t>Consistent with Order 05, the Commission should prohibit Mr. O’Brien and Ms. Kelley from accessing confidential information produced in this proceeding.</w:t>
      </w:r>
    </w:p>
    <w:p>
      <w:pPr>
        <w:pStyle w:val="PleadingsL1"/>
        <w:tabs>
          <w:tab w:val="clear" w:pos="720"/>
        </w:tabs>
        <w:spacing w:before="120" w:after="360"/>
      </w:pPr>
      <w:r>
        <w:t>CONCLUSION</w:t>
      </w:r>
    </w:p>
    <w:p>
      <w:pPr>
        <w:widowControl/>
        <w:spacing w:line="480" w:lineRule="auto"/>
        <w:ind w:firstLine="720"/>
        <w:jc w:val="both"/>
      </w:pPr>
      <w:r>
        <w:t>11.</w:t>
      </w:r>
      <w:r>
        <w:tab/>
        <w:t>For the reasons stated above, Microsoft requests that Mr. O’Brien and Ms. Kelley be denied access to confidential information in this proceeding.</w:t>
      </w:r>
    </w:p>
    <w:p>
      <w:pPr>
        <w:pStyle w:val="BodyText"/>
        <w:keepNext/>
        <w:keepLines/>
        <w:widowControl/>
      </w:pPr>
      <w:r>
        <w:t>Respectfully submitted this 27th day of February, 2017.</w:t>
      </w:r>
    </w:p>
    <w:tbl>
      <w:tblPr>
        <w:tblW w:w="0" w:type="auto"/>
        <w:tblLayout w:type="fixed"/>
        <w:tblLook w:val="0000"/>
      </w:tblPr>
      <w:tblGrid>
        <w:gridCol w:w="4788"/>
        <w:gridCol w:w="4788"/>
      </w:tblGrid>
      <w:tr>
        <w:tblPrEx>
          <w:tblW w:w="0" w:type="auto"/>
          <w:tblLayout w:type="fixed"/>
          <w:tblLook w:val="0000"/>
        </w:tblPrEx>
        <w:trPr>
          <w:cantSplit/>
        </w:trPr>
        <w:tc>
          <w:tcPr>
            <w:tcW w:w="4788" w:type="dxa"/>
          </w:tcPr>
          <w:p>
            <w:pPr>
              <w:pStyle w:val="PleadingSignature"/>
              <w:widowControl/>
              <w:spacing w:before="240"/>
            </w:pPr>
            <w:bookmarkStart w:id="2" w:name="_zzmpFIXED_SignatureTable"/>
          </w:p>
        </w:tc>
        <w:tc>
          <w:tcPr>
            <w:tcW w:w="4788" w:type="dxa"/>
          </w:tcPr>
          <w:p>
            <w:pPr>
              <w:pStyle w:val="PleadingSignature"/>
              <w:widowControl/>
              <w:spacing w:before="240"/>
              <w:rPr>
                <w:b/>
                <w:caps/>
                <w:szCs w:val="24"/>
              </w:rPr>
            </w:pPr>
            <w:r>
              <w:rPr>
                <w:bCs/>
                <w:iCs/>
              </w:rPr>
              <w:t>K&amp;L GATES LLP</w:t>
            </w:r>
          </w:p>
          <w:p>
            <w:pPr>
              <w:pStyle w:val="PleadingSignature"/>
              <w:widowControl/>
              <w:spacing w:before="480"/>
            </w:pPr>
            <w:r>
              <w:t xml:space="preserve">By:   </w:t>
            </w:r>
            <w:r>
              <w:rPr>
                <w:i/>
              </w:rPr>
              <w:t>/s/ Elizabeth Thomas</w:t>
            </w:r>
          </w:p>
          <w:p>
            <w:pPr>
              <w:pStyle w:val="PleadingSignature"/>
              <w:widowControl/>
              <w:pBdr>
                <w:top w:val="single" w:sz="4" w:space="1" w:color="auto"/>
              </w:pBdr>
              <w:ind w:left="432"/>
            </w:pPr>
            <w:r>
              <w:t>Elizabeth Thomas</w:t>
            </w:r>
          </w:p>
          <w:p>
            <w:pPr>
              <w:pStyle w:val="PleadingSignature"/>
              <w:widowControl/>
              <w:pBdr>
                <w:top w:val="single" w:sz="4" w:space="1" w:color="auto"/>
              </w:pBdr>
              <w:ind w:left="432"/>
            </w:pPr>
            <w:r>
              <w:t>Benjamin A. Mayer</w:t>
            </w:r>
          </w:p>
          <w:p>
            <w:pPr>
              <w:pStyle w:val="PleadingSignature"/>
              <w:widowControl/>
              <w:pBdr>
                <w:top w:val="single" w:sz="4" w:space="1" w:color="auto"/>
              </w:pBdr>
              <w:ind w:left="432"/>
            </w:pPr>
            <w:r>
              <w:t>K&amp;L Gates LLP</w:t>
            </w:r>
          </w:p>
          <w:p>
            <w:pPr>
              <w:pStyle w:val="PleadingSignature"/>
              <w:widowControl/>
              <w:pBdr>
                <w:top w:val="single" w:sz="4" w:space="1" w:color="auto"/>
              </w:pBdr>
              <w:ind w:left="432"/>
            </w:pPr>
            <w:r>
              <w:t>925 Fourth Avenue, Suite 2900</w:t>
            </w:r>
          </w:p>
          <w:p>
            <w:pPr>
              <w:pStyle w:val="PleadingSignature"/>
              <w:widowControl/>
              <w:pBdr>
                <w:top w:val="single" w:sz="4" w:space="1" w:color="auto"/>
              </w:pBdr>
              <w:ind w:left="432"/>
            </w:pPr>
            <w:r>
              <w:t xml:space="preserve">Seattle, WA 98104  </w:t>
            </w:r>
          </w:p>
          <w:p>
            <w:pPr>
              <w:pStyle w:val="PleadingSignature"/>
              <w:widowControl/>
              <w:pBdr>
                <w:top w:val="single" w:sz="4" w:space="1" w:color="auto"/>
              </w:pBdr>
              <w:ind w:left="432"/>
            </w:pPr>
            <w:r>
              <w:t xml:space="preserve">Email: liz.thomas@klgates.com </w:t>
            </w:r>
          </w:p>
          <w:p>
            <w:pPr>
              <w:pStyle w:val="PleadingSignature"/>
              <w:widowControl/>
              <w:pBdr>
                <w:top w:val="single" w:sz="4" w:space="1" w:color="auto"/>
              </w:pBdr>
              <w:ind w:left="432"/>
            </w:pPr>
            <w:r>
              <w:t xml:space="preserve">ben.mayer@klgates.com </w:t>
            </w:r>
          </w:p>
          <w:p>
            <w:pPr>
              <w:pStyle w:val="PleadingSignature"/>
              <w:widowControl/>
              <w:pBdr>
                <w:top w:val="single" w:sz="4" w:space="1" w:color="auto"/>
              </w:pBdr>
              <w:ind w:left="432"/>
            </w:pPr>
            <w:r>
              <w:t>Telephone: (206) 370-7631</w:t>
            </w:r>
          </w:p>
          <w:p>
            <w:pPr>
              <w:pStyle w:val="PleadingSignature"/>
              <w:widowControl/>
              <w:pBdr>
                <w:top w:val="single" w:sz="4" w:space="1" w:color="auto"/>
              </w:pBdr>
              <w:ind w:left="432"/>
            </w:pPr>
          </w:p>
          <w:p>
            <w:pPr>
              <w:pStyle w:val="PleadingSignature"/>
              <w:widowControl/>
              <w:pBdr>
                <w:top w:val="single" w:sz="4" w:space="1" w:color="auto"/>
              </w:pBdr>
              <w:ind w:left="432"/>
            </w:pPr>
            <w:r>
              <w:t>Attorneys for</w:t>
            </w:r>
          </w:p>
          <w:p>
            <w:pPr>
              <w:pStyle w:val="PleadingSignature"/>
              <w:widowControl/>
              <w:pBdr>
                <w:top w:val="single" w:sz="4" w:space="1" w:color="auto"/>
              </w:pBdr>
              <w:ind w:left="432"/>
            </w:pPr>
            <w:r>
              <w:t>Microsoft Corporation</w:t>
            </w:r>
          </w:p>
          <w:p>
            <w:pPr>
              <w:pStyle w:val="PleadingSignature"/>
              <w:widowControl/>
            </w:pPr>
          </w:p>
        </w:tc>
      </w:tr>
      <w:tr>
        <w:tblPrEx>
          <w:tblW w:w="0" w:type="auto"/>
          <w:tblLayout w:type="fixed"/>
          <w:tblLook w:val="0000"/>
        </w:tblPrEx>
        <w:trPr>
          <w:cantSplit/>
        </w:trPr>
        <w:tc>
          <w:tcPr>
            <w:tcW w:w="4788" w:type="dxa"/>
          </w:tcPr>
          <w:p>
            <w:pPr>
              <w:pStyle w:val="PleadingSignature"/>
              <w:spacing w:before="240"/>
            </w:pPr>
          </w:p>
        </w:tc>
        <w:tc>
          <w:tcPr>
            <w:tcW w:w="4788" w:type="dxa"/>
          </w:tcPr>
          <w:p>
            <w:pPr>
              <w:pStyle w:val="PleadingSignature"/>
              <w:spacing w:before="240"/>
              <w:rPr>
                <w:bCs/>
                <w:iCs/>
              </w:rPr>
            </w:pPr>
          </w:p>
        </w:tc>
      </w:tr>
    </w:tbl>
    <w:p>
      <w:bookmarkEnd w:id="2"/>
    </w:p>
    <w:sectPr>
      <w:footerReference w:type="default" r:id="rId5"/>
      <w:headerReference w:type="first" r:id="rId6"/>
      <w:footerReference w:type="first" r:id="rId7"/>
      <w:pgSz w:w="12240" w:h="15840" w:code="1"/>
      <w:pgMar w:top="1440" w:right="1440" w:bottom="1440" w:left="1440" w:header="432" w:footer="584"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right" w:pos="9360"/>
      </w:tabs>
      <w:spacing w:before="240"/>
      <w:ind w:right="-115"/>
      <w:rPr>
        <w:szCs w:val="24"/>
      </w:rPr>
    </w:pPr>
    <w:r>
      <w:rPr>
        <w:szCs w:val="24"/>
      </w:rPr>
      <w:t>Microsoft Corporation’s Objection to, and Motion to Deny,</w:t>
    </w:r>
    <w:r>
      <w:rPr>
        <w:szCs w:val="24"/>
      </w:rPr>
      <w:tab/>
      <w:t xml:space="preserve">Page </w:t>
    </w:r>
    <w:r>
      <w:rPr>
        <w:szCs w:val="24"/>
      </w:rPr>
      <w:fldChar w:fldCharType="begin"/>
    </w:r>
    <w:r>
      <w:rPr>
        <w:szCs w:val="24"/>
      </w:rPr>
      <w:instrText xml:space="preserve"> PAGE   \* MERGEFORMAT </w:instrText>
    </w:r>
    <w:r>
      <w:rPr>
        <w:szCs w:val="24"/>
      </w:rPr>
      <w:fldChar w:fldCharType="separate"/>
    </w:r>
    <w:r>
      <w:rPr>
        <w:noProof/>
        <w:szCs w:val="24"/>
      </w:rPr>
      <w:t>4</w:t>
    </w:r>
    <w:r>
      <w:rPr>
        <w:noProof/>
        <w:szCs w:val="24"/>
      </w:rPr>
      <w:fldChar w:fldCharType="end"/>
    </w:r>
    <w:r>
      <w:rPr>
        <w:noProof/>
        <w:szCs w:val="24"/>
      </w:rPr>
      <w:br/>
    </w:r>
    <w:r>
      <w:rPr>
        <w:szCs w:val="24"/>
      </w:rPr>
      <w:t xml:space="preserve">Access to Confidential Information by </w:t>
    </w:r>
  </w:p>
  <w:p>
    <w:pPr>
      <w:tabs>
        <w:tab w:val="right" w:pos="9360"/>
      </w:tabs>
      <w:ind w:right="-115"/>
      <w:rPr>
        <w:szCs w:val="24"/>
      </w:rPr>
    </w:pPr>
    <w:r>
      <w:rPr>
        <w:szCs w:val="24"/>
      </w:rPr>
      <w:t>Northwest Energy Coalition’s Witnesses O’Brien and Kelley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right" w:pos="9360"/>
      </w:tabs>
      <w:spacing w:before="240"/>
      <w:ind w:right="-115"/>
      <w:rPr>
        <w:szCs w:val="24"/>
      </w:rPr>
    </w:pPr>
    <w:r>
      <w:rPr>
        <w:szCs w:val="24"/>
      </w:rPr>
      <w:t>Microsoft Corporation’s Objection to, and Motion to Deny,</w:t>
    </w:r>
    <w:r>
      <w:rPr>
        <w:szCs w:val="24"/>
      </w:rPr>
      <w:tab/>
      <w:t xml:space="preserve">Page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r>
      <w:rPr>
        <w:noProof/>
        <w:szCs w:val="24"/>
      </w:rPr>
      <w:br/>
    </w:r>
    <w:r>
      <w:rPr>
        <w:szCs w:val="24"/>
      </w:rPr>
      <w:t xml:space="preserve">Access to Confidential Information by </w:t>
    </w:r>
  </w:p>
  <w:p>
    <w:pPr>
      <w:tabs>
        <w:tab w:val="right" w:pos="9360"/>
      </w:tabs>
      <w:ind w:right="-115"/>
      <w:rPr>
        <w:szCs w:val="24"/>
      </w:rPr>
    </w:pPr>
    <w:r>
      <w:rPr>
        <w:szCs w:val="24"/>
      </w:rPr>
      <w:t xml:space="preserve">Northwest Energy Coalition’s Witnesses O’Brien and Kelley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jc w:val="both"/>
        <w:rPr>
          <w:sz w:val="24"/>
          <w:szCs w:val="24"/>
        </w:rPr>
      </w:pPr>
      <w:r>
        <w:rPr>
          <w:rStyle w:val="FootnoteReference"/>
          <w:sz w:val="24"/>
          <w:szCs w:val="24"/>
        </w:rPr>
        <w:footnoteRef/>
      </w:r>
      <w:r>
        <w:rPr>
          <w:sz w:val="24"/>
          <w:szCs w:val="24"/>
        </w:rPr>
        <w:t xml:space="preserve"> Protective Order With “Highly Confidential” Provisions (Nov. 22, 2016).</w:t>
      </w:r>
    </w:p>
  </w:footnote>
  <w:footnote w:id="3">
    <w:p>
      <w:pPr>
        <w:pStyle w:val="FootnoteText"/>
        <w:jc w:val="both"/>
        <w:rPr>
          <w:sz w:val="24"/>
          <w:szCs w:val="24"/>
        </w:rPr>
      </w:pPr>
      <w:r>
        <w:rPr>
          <w:rStyle w:val="FootnoteReference"/>
          <w:sz w:val="24"/>
          <w:szCs w:val="24"/>
        </w:rPr>
        <w:footnoteRef/>
      </w:r>
      <w:r>
        <w:rPr>
          <w:sz w:val="24"/>
          <w:szCs w:val="24"/>
        </w:rPr>
        <w:t xml:space="preserve"> Attached as </w:t>
      </w:r>
      <w:r>
        <w:rPr>
          <w:b/>
          <w:sz w:val="24"/>
          <w:szCs w:val="24"/>
        </w:rPr>
        <w:t>Exhibit A</w:t>
      </w:r>
      <w:r>
        <w:rPr>
          <w:sz w:val="24"/>
          <w:szCs w:val="24"/>
        </w:rPr>
        <w:t xml:space="preserve"> is Microsoft’s signed objections to the Expert Agreements of Mr. O’Brien and Ms. Kelley.</w:t>
      </w:r>
    </w:p>
  </w:footnote>
  <w:footnote w:id="4">
    <w:p>
      <w:pPr>
        <w:pStyle w:val="FootnoteText"/>
        <w:jc w:val="both"/>
        <w:rPr>
          <w:sz w:val="24"/>
          <w:szCs w:val="24"/>
        </w:rPr>
      </w:pPr>
      <w:r>
        <w:rPr>
          <w:rStyle w:val="FootnoteReference"/>
          <w:sz w:val="24"/>
          <w:szCs w:val="24"/>
        </w:rPr>
        <w:footnoteRef/>
      </w:r>
      <w:r>
        <w:rPr>
          <w:sz w:val="24"/>
          <w:szCs w:val="24"/>
        </w:rPr>
        <w:t xml:space="preserve"> Order 05, Order Accepting Interlocutory Review of Order 04 and Granting Intervention of the Northwest and Intermountain Power Producers Coalition with Conditions (Jan. 3, 2017).</w:t>
      </w:r>
    </w:p>
  </w:footnote>
  <w:footnote w:id="5">
    <w:p>
      <w:pPr>
        <w:pStyle w:val="FootnoteText"/>
        <w:jc w:val="both"/>
        <w:rPr>
          <w:i/>
          <w:sz w:val="24"/>
          <w:szCs w:val="24"/>
        </w:rPr>
      </w:pPr>
      <w:r>
        <w:rPr>
          <w:rStyle w:val="FootnoteReference"/>
          <w:sz w:val="24"/>
          <w:szCs w:val="24"/>
        </w:rPr>
        <w:footnoteRef/>
      </w:r>
      <w:r>
        <w:rPr>
          <w:sz w:val="24"/>
          <w:szCs w:val="24"/>
        </w:rPr>
        <w:t xml:space="preserve"> </w:t>
      </w:r>
      <w:r>
        <w:rPr>
          <w:i/>
          <w:sz w:val="24"/>
          <w:szCs w:val="24"/>
        </w:rPr>
        <w:t xml:space="preserve">See </w:t>
      </w:r>
      <w:r>
        <w:rPr>
          <w:sz w:val="24"/>
          <w:szCs w:val="24"/>
        </w:rPr>
        <w:t xml:space="preserve">Renewable Northwest Staff at </w:t>
      </w:r>
      <w:r>
        <w:rPr>
          <w:sz w:val="24"/>
          <w:szCs w:val="24"/>
          <w:u w:val="single"/>
        </w:rPr>
        <w:t xml:space="preserve">http://www.rnp.org/staff </w:t>
      </w:r>
      <w:r>
        <w:rPr>
          <w:sz w:val="24"/>
          <w:szCs w:val="24"/>
        </w:rPr>
        <w:t>(last visited Feb. 24, 2017).</w:t>
      </w:r>
    </w:p>
  </w:footnote>
  <w:footnote w:id="6">
    <w:p>
      <w:pPr>
        <w:pStyle w:val="FootnoteText"/>
        <w:rPr>
          <w:sz w:val="24"/>
          <w:szCs w:val="24"/>
        </w:rPr>
      </w:pPr>
      <w:r>
        <w:rPr>
          <w:rStyle w:val="FootnoteReference"/>
          <w:sz w:val="24"/>
          <w:szCs w:val="24"/>
        </w:rPr>
        <w:footnoteRef/>
      </w:r>
      <w:r>
        <w:rPr>
          <w:sz w:val="24"/>
          <w:szCs w:val="24"/>
        </w:rPr>
        <w:t xml:space="preserve"> Compare Renewable Northwest’s membership (http://www.rnp.org/our_members (last visited February 23, 2017)) with NIPPC’s membership (http://nippc.org/about/members/ (last visited February 23, 2017)).  </w:t>
      </w:r>
    </w:p>
  </w:footnote>
  <w:footnote w:id="7">
    <w:p>
      <w:pPr>
        <w:pStyle w:val="FootnoteText"/>
        <w:jc w:val="both"/>
        <w:rPr>
          <w:sz w:val="24"/>
          <w:szCs w:val="24"/>
        </w:rPr>
      </w:pPr>
      <w:r>
        <w:rPr>
          <w:rStyle w:val="FootnoteReference"/>
          <w:sz w:val="24"/>
          <w:szCs w:val="24"/>
        </w:rPr>
        <w:footnoteRef/>
      </w:r>
      <w:r>
        <w:rPr>
          <w:sz w:val="24"/>
          <w:szCs w:val="24"/>
        </w:rPr>
        <w:t xml:space="preserve"> Order 05 ¶ 20.</w:t>
      </w:r>
    </w:p>
  </w:footnote>
  <w:footnote w:id="8">
    <w:p>
      <w:pPr>
        <w:pStyle w:val="FootnoteText"/>
        <w:jc w:val="both"/>
        <w:rPr>
          <w:sz w:val="24"/>
          <w:szCs w:val="24"/>
        </w:rPr>
      </w:pPr>
      <w:r>
        <w:rPr>
          <w:rStyle w:val="FootnoteReference"/>
          <w:sz w:val="24"/>
          <w:szCs w:val="24"/>
        </w:rPr>
        <w:footnoteRef/>
      </w:r>
      <w:r>
        <w:rPr>
          <w:sz w:val="24"/>
          <w:szCs w:val="24"/>
        </w:rPr>
        <w:t xml:space="preserve"> </w:t>
      </w:r>
      <w:r>
        <w:rPr>
          <w:i/>
          <w:sz w:val="24"/>
          <w:szCs w:val="24"/>
        </w:rPr>
        <w:t>See</w:t>
      </w:r>
      <w:r>
        <w:rPr>
          <w:sz w:val="24"/>
          <w:szCs w:val="24"/>
        </w:rPr>
        <w:t xml:space="preserve"> Order 05 ¶ 18.</w:t>
      </w:r>
    </w:p>
  </w:footnote>
  <w:footnote w:id="9">
    <w:p>
      <w:pPr>
        <w:pStyle w:val="FootnoteText"/>
        <w:jc w:val="both"/>
        <w:rPr>
          <w:sz w:val="24"/>
          <w:szCs w:val="24"/>
        </w:rPr>
      </w:pPr>
      <w:r>
        <w:rPr>
          <w:rStyle w:val="FootnoteReference"/>
          <w:sz w:val="24"/>
          <w:szCs w:val="24"/>
        </w:rPr>
        <w:footnoteRef/>
      </w:r>
      <w:r>
        <w:rPr>
          <w:sz w:val="24"/>
          <w:szCs w:val="24"/>
        </w:rPr>
        <w:t xml:space="preserve"> </w:t>
      </w:r>
      <w:r>
        <w:rPr>
          <w:i/>
          <w:sz w:val="24"/>
          <w:szCs w:val="24"/>
        </w:rPr>
        <w:t>See</w:t>
      </w:r>
      <w:r>
        <w:rPr>
          <w:sz w:val="24"/>
          <w:szCs w:val="24"/>
        </w:rPr>
        <w:t xml:space="preserve"> Order 05 ¶ 20.</w:t>
      </w:r>
    </w:p>
  </w:footnote>
  <w:footnote w:id="10">
    <w:p>
      <w:pPr>
        <w:pStyle w:val="FootnoteText"/>
        <w:jc w:val="both"/>
        <w:rPr>
          <w:sz w:val="24"/>
          <w:szCs w:val="24"/>
        </w:rPr>
      </w:pPr>
      <w:r>
        <w:rPr>
          <w:rStyle w:val="FootnoteReference"/>
          <w:sz w:val="24"/>
          <w:szCs w:val="24"/>
        </w:rPr>
        <w:footnoteRef/>
      </w:r>
      <w:r>
        <w:rPr>
          <w:sz w:val="24"/>
          <w:szCs w:val="24"/>
        </w:rPr>
        <w:t xml:space="preserve"> Order 05 ¶ 19.</w:t>
      </w:r>
    </w:p>
  </w:footnote>
  <w:footnote w:id="11">
    <w:p>
      <w:pPr>
        <w:pStyle w:val="FootnoteText"/>
        <w:jc w:val="both"/>
        <w:rPr>
          <w:sz w:val="24"/>
          <w:szCs w:val="24"/>
        </w:rPr>
      </w:pPr>
      <w:r>
        <w:rPr>
          <w:rStyle w:val="FootnoteReference"/>
          <w:sz w:val="24"/>
          <w:szCs w:val="24"/>
        </w:rPr>
        <w:footnoteRef/>
      </w:r>
      <w:r>
        <w:rPr>
          <w:sz w:val="24"/>
          <w:szCs w:val="24"/>
        </w:rPr>
        <w:t xml:space="preserve"> </w:t>
      </w:r>
      <w:r>
        <w:rPr>
          <w:i/>
          <w:sz w:val="24"/>
          <w:szCs w:val="24"/>
        </w:rPr>
        <w:t>See supra</w:t>
      </w:r>
      <w:r>
        <w:rPr>
          <w:sz w:val="24"/>
          <w:szCs w:val="24"/>
        </w:rPr>
        <w:t xml:space="preserve"> note 5.</w:t>
      </w:r>
    </w:p>
  </w:footnote>
  <w:footnote w:id="12">
    <w:p>
      <w:pPr>
        <w:pStyle w:val="FootnoteText"/>
        <w:jc w:val="both"/>
      </w:pPr>
      <w:r>
        <w:rPr>
          <w:rStyle w:val="FootnoteReference"/>
        </w:rPr>
        <w:footnoteRef/>
      </w:r>
      <w:r>
        <w:t xml:space="preserve"> </w:t>
      </w:r>
      <w:r>
        <w:rPr>
          <w:i/>
          <w:sz w:val="24"/>
          <w:szCs w:val="24"/>
        </w:rPr>
        <w:t xml:space="preserve">See </w:t>
      </w:r>
      <w:r>
        <w:rPr>
          <w:sz w:val="24"/>
          <w:szCs w:val="24"/>
        </w:rPr>
        <w:t xml:space="preserve">Renewable Northwest Our Story at http://www.rnp.org/node/our-story (last visited Feb. 24,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D54B368"/>
    <w:lvl w:ilvl="0">
      <w:start w:val="1"/>
      <w:numFmt w:val="decimal"/>
      <w:lvlText w:val="%1."/>
      <w:lvlJc w:val="left"/>
      <w:pPr>
        <w:tabs>
          <w:tab w:val="num" w:pos="1800"/>
        </w:tabs>
        <w:ind w:left="1800" w:hanging="360"/>
      </w:pPr>
    </w:lvl>
  </w:abstractNum>
  <w:abstractNum w:abstractNumId="1">
    <w:nsid w:val="FFFFFF7D"/>
    <w:multiLevelType w:val="singleLevel"/>
    <w:tmpl w:val="AE3E20C6"/>
    <w:lvl w:ilvl="0">
      <w:start w:val="1"/>
      <w:numFmt w:val="decimal"/>
      <w:lvlText w:val="%1."/>
      <w:lvlJc w:val="left"/>
      <w:pPr>
        <w:tabs>
          <w:tab w:val="num" w:pos="1440"/>
        </w:tabs>
        <w:ind w:left="1440" w:hanging="360"/>
      </w:pPr>
    </w:lvl>
  </w:abstractNum>
  <w:abstractNum w:abstractNumId="2">
    <w:nsid w:val="FFFFFF7E"/>
    <w:multiLevelType w:val="singleLevel"/>
    <w:tmpl w:val="E3C48B7C"/>
    <w:lvl w:ilvl="0">
      <w:start w:val="1"/>
      <w:numFmt w:val="decimal"/>
      <w:lvlText w:val="%1."/>
      <w:lvlJc w:val="left"/>
      <w:pPr>
        <w:tabs>
          <w:tab w:val="num" w:pos="1080"/>
        </w:tabs>
        <w:ind w:left="1080" w:hanging="360"/>
      </w:pPr>
    </w:lvl>
  </w:abstractNum>
  <w:abstractNum w:abstractNumId="3">
    <w:nsid w:val="FFFFFF7F"/>
    <w:multiLevelType w:val="singleLevel"/>
    <w:tmpl w:val="1FFAFCE8"/>
    <w:lvl w:ilvl="0">
      <w:start w:val="1"/>
      <w:numFmt w:val="decimal"/>
      <w:lvlText w:val="%1."/>
      <w:lvlJc w:val="left"/>
      <w:pPr>
        <w:tabs>
          <w:tab w:val="num" w:pos="720"/>
        </w:tabs>
        <w:ind w:left="720" w:hanging="360"/>
      </w:pPr>
    </w:lvl>
  </w:abstractNum>
  <w:abstractNum w:abstractNumId="4">
    <w:nsid w:val="FFFFFF80"/>
    <w:multiLevelType w:val="singleLevel"/>
    <w:tmpl w:val="8B667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8A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3CE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DAA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E639B4"/>
    <w:lvl w:ilvl="0">
      <w:start w:val="1"/>
      <w:numFmt w:val="decimal"/>
      <w:lvlText w:val="%1."/>
      <w:lvlJc w:val="left"/>
      <w:pPr>
        <w:tabs>
          <w:tab w:val="num" w:pos="360"/>
        </w:tabs>
        <w:ind w:left="360" w:hanging="360"/>
      </w:pPr>
    </w:lvl>
  </w:abstractNum>
  <w:abstractNum w:abstractNumId="9">
    <w:nsid w:val="FFFFFF89"/>
    <w:multiLevelType w:val="singleLevel"/>
    <w:tmpl w:val="0EBEEB80"/>
    <w:lvl w:ilvl="0">
      <w:start w:val="1"/>
      <w:numFmt w:val="bullet"/>
      <w:lvlText w:val=""/>
      <w:lvlJc w:val="left"/>
      <w:pPr>
        <w:tabs>
          <w:tab w:val="num" w:pos="360"/>
        </w:tabs>
        <w:ind w:left="360" w:hanging="360"/>
      </w:pPr>
      <w:rPr>
        <w:rFonts w:ascii="Symbol" w:hAnsi="Symbol" w:hint="default"/>
      </w:rPr>
    </w:lvl>
  </w:abstractNum>
  <w:abstractNum w:abstractNumId="10">
    <w:nsid w:val="17444567"/>
    <w:multiLevelType w:val="hybridMultilevel"/>
    <w:tmpl w:val="F96A10CE"/>
    <w:lvl w:ilvl="0">
      <w:start w:val="1"/>
      <w:numFmt w:val="decimal"/>
      <w:lvlText w:val="%1"/>
      <w:lvlJc w:val="left"/>
      <w:pPr>
        <w:tabs>
          <w:tab w:val="num" w:pos="720"/>
        </w:tabs>
        <w:ind w:left="0" w:hanging="720"/>
      </w:pPr>
      <w:rPr>
        <w:rFonts w:ascii="Times New Roman" w:hAnsi="Times New Roman"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E111EC"/>
    <w:multiLevelType w:val="hybridMultilevel"/>
    <w:tmpl w:val="1936AFBE"/>
    <w:lvl w:ilvl="0">
      <w:start w:val="1"/>
      <w:numFmt w:val="decimal"/>
      <w:pStyle w:val="NX"/>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2"/>
  </w:num>
  <w:num w:numId="13">
    <w:abstractNumId w:val="13"/>
  </w:num>
  <w:num w:numId="14">
    <w:abstractNumId w:val="13"/>
    <w:lvlOverride w:ilvl="0">
      <w:startOverride w:val="1"/>
    </w:lvlOverride>
  </w:num>
  <w:num w:numId="15">
    <w:abstractNumId w:val="13"/>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pPr>
      <w:spacing w:before="240" w:after="60"/>
      <w:outlineLvl w:val="6"/>
    </w:pPr>
    <w:rPr>
      <w:rFonts w:ascii="Calibri" w:hAnsi="Calibri"/>
      <w:szCs w:val="24"/>
    </w:rPr>
  </w:style>
  <w:style w:type="paragraph" w:styleId="Heading8">
    <w:name w:val="heading 8"/>
    <w:basedOn w:val="Normal"/>
    <w:next w:val="Normal"/>
    <w:link w:val="Heading8Char"/>
    <w:unhideWhenUsed/>
    <w:pPr>
      <w:spacing w:before="240" w:after="60"/>
      <w:outlineLvl w:val="7"/>
    </w:pPr>
    <w:rPr>
      <w:rFonts w:ascii="Calibri" w:hAnsi="Calibri"/>
      <w:i/>
      <w:iCs/>
      <w:szCs w:val="24"/>
    </w:rPr>
  </w:style>
  <w:style w:type="paragraph" w:styleId="Heading9">
    <w:name w:val="heading 9"/>
    <w:basedOn w:val="Normal"/>
    <w:next w:val="Normal"/>
    <w:link w:val="Heading9Char"/>
    <w:unhideWhenUse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Pr>
      <w:rFonts w:ascii="Times New Roman Bold" w:eastAsia="Times New Roman" w:hAnsi="Times New Roman Bold" w:cs="Arial"/>
      <w:b/>
      <w:bCs/>
      <w:sz w:val="24"/>
      <w:szCs w:val="26"/>
      <w:lang w:eastAsia="en-US"/>
    </w:rPr>
  </w:style>
  <w:style w:type="character" w:customStyle="1" w:styleId="Heading4Char">
    <w:name w:val="Heading 4 Char"/>
    <w:link w:val="Heading4"/>
    <w:rPr>
      <w:rFonts w:ascii="Calibri" w:eastAsia="Times New Roman" w:hAnsi="Calibri" w:cs="Times New Roman"/>
      <w:b/>
      <w:bCs/>
      <w:sz w:val="28"/>
      <w:szCs w:val="28"/>
      <w:lang w:eastAsia="en-US"/>
    </w:rPr>
  </w:style>
  <w:style w:type="character" w:customStyle="1" w:styleId="Heading5Char">
    <w:name w:val="Heading 5 Char"/>
    <w:link w:val="Heading5"/>
    <w:rPr>
      <w:rFonts w:ascii="Calibri" w:eastAsia="Times New Roman" w:hAnsi="Calibri" w:cs="Times New Roman"/>
      <w:b/>
      <w:bCs/>
      <w:i/>
      <w:iCs/>
      <w:sz w:val="26"/>
      <w:szCs w:val="26"/>
      <w:lang w:eastAsia="en-US"/>
    </w:rPr>
  </w:style>
  <w:style w:type="character" w:customStyle="1" w:styleId="Heading6Char">
    <w:name w:val="Heading 6 Char"/>
    <w:link w:val="Heading6"/>
    <w:rPr>
      <w:rFonts w:ascii="Calibri" w:eastAsia="Times New Roman" w:hAnsi="Calibri" w:cs="Times New Roman"/>
      <w:b/>
      <w:bCs/>
      <w:lang w:eastAsia="en-US"/>
    </w:rPr>
  </w:style>
  <w:style w:type="character" w:customStyle="1" w:styleId="Heading7Char">
    <w:name w:val="Heading 7 Char"/>
    <w:link w:val="Heading7"/>
    <w:rPr>
      <w:rFonts w:ascii="Calibri" w:eastAsia="Times New Roman" w:hAnsi="Calibri" w:cs="Times New Roman"/>
      <w:sz w:val="24"/>
      <w:szCs w:val="24"/>
      <w:lang w:eastAsia="en-US"/>
    </w:rPr>
  </w:style>
  <w:style w:type="character" w:customStyle="1" w:styleId="Heading8Char">
    <w:name w:val="Heading 8 Char"/>
    <w:link w:val="Heading8"/>
    <w:rPr>
      <w:rFonts w:ascii="Calibri" w:eastAsia="Times New Roman" w:hAnsi="Calibri" w:cs="Times New Roman"/>
      <w:i/>
      <w:iCs/>
      <w:sz w:val="24"/>
      <w:szCs w:val="24"/>
      <w:lang w:eastAsia="en-US"/>
    </w:rPr>
  </w:style>
  <w:style w:type="character" w:customStyle="1" w:styleId="Heading9Char">
    <w:name w:val="Heading 9 Char"/>
    <w:link w:val="Heading9"/>
    <w:rPr>
      <w:rFonts w:ascii="Cambria" w:eastAsia="Times New Roman" w:hAnsi="Cambria" w:cs="Times New Roman"/>
      <w:lang w:eastAsia="en-US"/>
    </w:rPr>
  </w:style>
  <w:style w:type="character" w:styleId="Emphasis">
    <w:name w:val="Emphasis"/>
    <w:rPr>
      <w:i/>
      <w:iCs/>
    </w:rPr>
  </w:style>
  <w:style w:type="character" w:styleId="IntenseEmphasis">
    <w:name w:val="Intense Emphasis"/>
    <w:uiPriority w:val="21"/>
    <w:rPr>
      <w:b/>
      <w:bCs/>
      <w:i/>
      <w:iCs/>
      <w:color w:val="4F81BD"/>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Pr>
      <w:b/>
      <w:bCs/>
      <w:smallCaps/>
      <w:color w:val="C0504D"/>
      <w:spacing w:val="5"/>
      <w:u w:val="single"/>
    </w:rPr>
  </w:style>
  <w:style w:type="character" w:styleId="Strong">
    <w:name w:val="Strong"/>
    <w:rPr>
      <w:b/>
      <w:bCs/>
    </w:rPr>
  </w:style>
  <w:style w:type="paragraph" w:styleId="Subtitle">
    <w:name w:val="Subtitle"/>
    <w:basedOn w:val="Normal"/>
    <w:next w:val="Normal"/>
    <w:link w:val="SubtitleChar"/>
    <w:pPr>
      <w:spacing w:after="60"/>
      <w:jc w:val="center"/>
      <w:outlineLvl w:val="1"/>
    </w:pPr>
    <w:rPr>
      <w:rFonts w:ascii="Cambria" w:hAnsi="Cambria"/>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rPr>
      <w:i/>
      <w:iCs/>
      <w:color w:val="808080"/>
    </w:rPr>
  </w:style>
  <w:style w:type="character" w:styleId="SubtleReference">
    <w:name w:val="Subtle Reference"/>
    <w:uiPriority w:val="31"/>
    <w:rPr>
      <w:smallCaps/>
      <w:color w:val="C0504D"/>
      <w:u w:val="single"/>
    </w:rPr>
  </w:style>
  <w:style w:type="paragraph" w:styleId="ListParagraph">
    <w:name w:val="List Paragraph"/>
    <w:basedOn w:val="Normal"/>
    <w:qFormat/>
    <w:pPr>
      <w:ind w:left="720"/>
    </w:pPr>
  </w:style>
  <w:style w:type="character" w:styleId="BookTitle">
    <w:name w:val="Book Title"/>
    <w:uiPriority w:val="33"/>
    <w:rPr>
      <w:b/>
      <w:bCs/>
      <w:smallCaps/>
      <w:spacing w:val="5"/>
    </w:rPr>
  </w:style>
  <w:style w:type="paragraph" w:styleId="NoSpacing">
    <w:name w:val="No Spacing"/>
    <w:uiPriority w:val="1"/>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pPr>
      <w:spacing w:line="480" w:lineRule="auto"/>
      <w:ind w:firstLine="720"/>
    </w:p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pPr>
      <w:ind w:firstLine="0"/>
    </w:pPr>
  </w:style>
  <w:style w:type="paragraph" w:styleId="Quote">
    <w:name w:val="Quote"/>
    <w:basedOn w:val="Normal"/>
    <w:next w:val="BodyTextContinued"/>
    <w:link w:val="QuoteChar"/>
    <w:uiPriority w:val="9"/>
    <w:qFormat/>
    <w:pPr>
      <w:widowControl/>
      <w:spacing w:before="240"/>
      <w:ind w:left="1440" w:right="1440"/>
    </w:pPr>
  </w:style>
  <w:style w:type="character" w:customStyle="1" w:styleId="QuoteChar">
    <w:name w:val="Quote Char"/>
    <w:basedOn w:val="DefaultParagraphFont"/>
    <w:link w:val="Quote"/>
    <w:uiPriority w:val="9"/>
    <w:rPr>
      <w:rFonts w:ascii="Times New Roman" w:eastAsia="Times New Roman" w:hAnsi="Times New Roman" w:cs="Times New Roman"/>
      <w:sz w:val="24"/>
      <w:szCs w:val="20"/>
      <w:lang w:eastAsia="en-US"/>
    </w:rPr>
  </w:style>
  <w:style w:type="paragraph" w:styleId="Caption">
    <w:name w:val="caption"/>
    <w:basedOn w:val="Normal"/>
    <w:next w:val="Normal"/>
    <w:rPr>
      <w:bCs/>
    </w:rPr>
  </w:style>
  <w:style w:type="paragraph" w:customStyle="1" w:styleId="Court">
    <w:name w:val="Court"/>
    <w:basedOn w:val="Normal"/>
    <w:pPr>
      <w:spacing w:before="720" w:after="200"/>
      <w:jc w:val="center"/>
    </w:pPr>
    <w:rPr>
      <w:caps/>
    </w:rPr>
  </w:style>
  <w:style w:type="paragraph" w:customStyle="1" w:styleId="DocumentTitle">
    <w:name w:val="Document Title"/>
    <w:basedOn w:val="Normal"/>
    <w:pPr>
      <w:tabs>
        <w:tab w:val="left" w:pos="1238"/>
      </w:tabs>
      <w:spacing w:after="240"/>
      <w:ind w:left="259" w:right="115"/>
    </w:pPr>
    <w:rPr>
      <w:szCs w:val="24"/>
    </w:rPr>
  </w:style>
  <w:style w:type="paragraph" w:customStyle="1" w:styleId="FirmInformation">
    <w:name w:val="Firm Information"/>
    <w:basedOn w:val="Normal"/>
    <w:pPr>
      <w:tabs>
        <w:tab w:val="left" w:pos="1296"/>
      </w:tabs>
    </w:pPr>
  </w:style>
  <w:style w:type="paragraph" w:styleId="Footer">
    <w:name w:val="footer"/>
    <w:basedOn w:val="Normal"/>
    <w:link w:val="FooterChar"/>
    <w:pPr>
      <w:widowControl/>
      <w:tabs>
        <w:tab w:val="center" w:pos="3240"/>
        <w:tab w:val="right" w:pos="4680"/>
      </w:tabs>
      <w:spacing w:line="240" w:lineRule="atLeas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US"/>
    </w:rPr>
  </w:style>
  <w:style w:type="paragraph" w:styleId="Header">
    <w:name w:val="header"/>
    <w:basedOn w:val="Normal"/>
    <w:link w:val="HeaderChar"/>
    <w:pPr>
      <w:tabs>
        <w:tab w:val="center" w:pos="432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US"/>
    </w:rPr>
  </w:style>
  <w:style w:type="paragraph" w:customStyle="1" w:styleId="HeaderNumbers">
    <w:name w:val="HeaderNumbers"/>
    <w:basedOn w:val="Normal"/>
    <w:pPr>
      <w:widowControl/>
      <w:spacing w:before="1840" w:line="240" w:lineRule="atLeast"/>
      <w:ind w:right="288"/>
      <w:jc w:val="right"/>
    </w:pPr>
    <w:rPr>
      <w:sz w:val="20"/>
    </w:r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TOAHeading">
    <w:name w:val="toa heading"/>
    <w:basedOn w:val="Normal"/>
    <w:next w:val="Normal"/>
    <w:pPr>
      <w:widowControl/>
      <w:spacing w:before="120" w:after="240"/>
    </w:pPr>
    <w:rPr>
      <w:rFonts w:ascii="Arial" w:hAnsi="Arial" w:cs="Arial"/>
      <w:b/>
      <w:bCs/>
      <w:szCs w:val="24"/>
    </w:rPr>
  </w:style>
  <w:style w:type="paragraph" w:styleId="TableofAuthorities">
    <w:name w:val="table of authorities"/>
    <w:basedOn w:val="Normal"/>
    <w:next w:val="Normal"/>
    <w:pPr>
      <w:widowControl/>
      <w:spacing w:after="240"/>
      <w:ind w:left="245" w:right="720" w:hanging="245"/>
    </w:pPr>
  </w:style>
  <w:style w:type="paragraph" w:customStyle="1" w:styleId="jurycite">
    <w:name w:val="jury cite"/>
    <w:basedOn w:val="Normal"/>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pPr>
      <w:widowControl/>
      <w:spacing w:before="60" w:after="60"/>
    </w:pPr>
    <w:rPr>
      <w:szCs w:val="24"/>
    </w:rPr>
  </w:style>
  <w:style w:type="paragraph" w:customStyle="1" w:styleId="FirmName">
    <w:name w:val="Firm Name"/>
    <w:basedOn w:val="FirmAddress"/>
    <w:next w:val="FirmAddress"/>
    <w:rPr>
      <w:b/>
    </w:rPr>
  </w:style>
  <w:style w:type="paragraph" w:customStyle="1" w:styleId="FirmAddress">
    <w:name w:val="Firm Address"/>
    <w:basedOn w:val="Normal"/>
    <w:pPr>
      <w:widowControl/>
      <w:jc w:val="center"/>
    </w:pPr>
    <w:rPr>
      <w:sz w:val="20"/>
    </w:rPr>
  </w:style>
  <w:style w:type="paragraph" w:customStyle="1" w:styleId="FooterDocumentTitle">
    <w:name w:val="Footer Document Title"/>
    <w:basedOn w:val="Normal"/>
    <w:pPr>
      <w:widowControl/>
    </w:pPr>
  </w:style>
  <w:style w:type="paragraph" w:styleId="FootnoteText">
    <w:name w:val="footnote text"/>
    <w:basedOn w:val="Normal"/>
    <w:link w:val="FootnoteTextChar"/>
    <w:semiHidden/>
    <w:pPr>
      <w:widowControl/>
      <w:spacing w:before="120" w:line="240" w:lineRule="exact"/>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US"/>
    </w:rPr>
  </w:style>
  <w:style w:type="character" w:styleId="FootnoteReference">
    <w:name w:val="footnote reference"/>
    <w:semiHidden/>
    <w:rPr>
      <w:rFonts w:ascii="Times New Roman" w:hAnsi="Times New Roman"/>
      <w:position w:val="6"/>
      <w:sz w:val="20"/>
      <w:vertAlign w:val="superscript"/>
    </w:rPr>
  </w:style>
  <w:style w:type="paragraph" w:customStyle="1" w:styleId="PleadingsCont1">
    <w:name w:val="Pleadings Cont 1"/>
    <w:basedOn w:val="Normal"/>
    <w:link w:val="PleadingsCont1Char"/>
    <w:pPr>
      <w:spacing w:after="240"/>
    </w:pPr>
  </w:style>
  <w:style w:type="character" w:customStyle="1" w:styleId="PleadingsCont1Char">
    <w:name w:val="Pleadings Cont 1 Char"/>
    <w:basedOn w:val="BodyTextChar"/>
    <w:link w:val="PleadingsCont1"/>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pPr>
      <w:widowControl/>
      <w:ind w:left="720"/>
    </w:pPr>
  </w:style>
  <w:style w:type="character" w:customStyle="1" w:styleId="PleadingsCont2Char">
    <w:name w:val="Pleadings Cont 2 Char"/>
    <w:basedOn w:val="BodyTextChar"/>
    <w:link w:val="PleadingsCont2"/>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pPr>
      <w:ind w:left="1440"/>
    </w:pPr>
  </w:style>
  <w:style w:type="character" w:customStyle="1" w:styleId="PleadingsCont3Char">
    <w:name w:val="Pleadings Cont 3 Char"/>
    <w:basedOn w:val="BodyTextChar"/>
    <w:link w:val="PleadingsCont3"/>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pPr>
      <w:ind w:left="2160"/>
    </w:pPr>
  </w:style>
  <w:style w:type="character" w:customStyle="1" w:styleId="PleadingsCont4Char">
    <w:name w:val="Pleadings Cont 4 Char"/>
    <w:basedOn w:val="BodyTextChar"/>
    <w:link w:val="PleadingsCont4"/>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pPr>
      <w:ind w:left="2880"/>
    </w:pPr>
  </w:style>
  <w:style w:type="character" w:customStyle="1" w:styleId="PleadingsCont5Char">
    <w:name w:val="Pleadings Cont 5 Char"/>
    <w:basedOn w:val="BodyTextChar"/>
    <w:link w:val="PleadingsCont5"/>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pPr>
      <w:ind w:left="3600"/>
    </w:pPr>
  </w:style>
  <w:style w:type="character" w:customStyle="1" w:styleId="PleadingsCont6Char">
    <w:name w:val="Pleadings Cont 6 Char"/>
    <w:basedOn w:val="BodyTextChar"/>
    <w:link w:val="PleadingsCont6"/>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pPr>
      <w:ind w:left="4320"/>
    </w:pPr>
  </w:style>
  <w:style w:type="character" w:customStyle="1" w:styleId="PleadingsCont7Char">
    <w:name w:val="Pleadings Cont 7 Char"/>
    <w:basedOn w:val="BodyTextChar"/>
    <w:link w:val="PleadingsCont7"/>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pPr>
      <w:ind w:left="5040"/>
    </w:pPr>
  </w:style>
  <w:style w:type="character" w:customStyle="1" w:styleId="PleadingsCont8Char">
    <w:name w:val="Pleadings Cont 8 Char"/>
    <w:basedOn w:val="BodyTextChar"/>
    <w:link w:val="PleadingsCont8"/>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pPr>
      <w:ind w:left="5760"/>
    </w:pPr>
  </w:style>
  <w:style w:type="character" w:customStyle="1" w:styleId="PleadingsCont9Char">
    <w:name w:val="Pleadings Cont 9 Char"/>
    <w:basedOn w:val="BodyTextChar"/>
    <w:link w:val="PleadingsCont9"/>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pPr>
      <w:numPr>
        <w:ilvl w:val="1"/>
      </w:numPr>
      <w:jc w:val="left"/>
      <w:outlineLvl w:val="1"/>
    </w:pPr>
  </w:style>
  <w:style w:type="character" w:customStyle="1" w:styleId="PleadingsL2Char">
    <w:name w:val="Pleadings_L2 Char"/>
    <w:basedOn w:val="BodyTextChar"/>
    <w:link w:val="PleadingsL2"/>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pPr>
      <w:numPr>
        <w:ilvl w:val="2"/>
      </w:numPr>
      <w:outlineLvl w:val="2"/>
    </w:pPr>
  </w:style>
  <w:style w:type="character" w:customStyle="1" w:styleId="PleadingsL3Char">
    <w:name w:val="Pleadings_L3 Char"/>
    <w:basedOn w:val="BodyTextChar"/>
    <w:link w:val="PleadingsL3"/>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pPr>
      <w:numPr>
        <w:ilvl w:val="3"/>
      </w:numPr>
      <w:outlineLvl w:val="3"/>
    </w:pPr>
  </w:style>
  <w:style w:type="character" w:customStyle="1" w:styleId="PleadingsL4Char">
    <w:name w:val="Pleadings_L4 Char"/>
    <w:basedOn w:val="BodyTextChar"/>
    <w:link w:val="PleadingsL4"/>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pPr>
      <w:numPr>
        <w:ilvl w:val="4"/>
      </w:numPr>
      <w:outlineLvl w:val="4"/>
    </w:pPr>
  </w:style>
  <w:style w:type="character" w:customStyle="1" w:styleId="PleadingsL5Char">
    <w:name w:val="Pleadings_L5 Char"/>
    <w:basedOn w:val="BodyTextChar"/>
    <w:link w:val="PleadingsL5"/>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pPr>
      <w:numPr>
        <w:ilvl w:val="5"/>
      </w:numPr>
      <w:outlineLvl w:val="5"/>
    </w:pPr>
  </w:style>
  <w:style w:type="character" w:customStyle="1" w:styleId="PleadingsL6Char">
    <w:name w:val="Pleadings_L6 Char"/>
    <w:basedOn w:val="BodyTextChar"/>
    <w:link w:val="PleadingsL6"/>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pPr>
      <w:numPr>
        <w:ilvl w:val="6"/>
      </w:numPr>
      <w:outlineLvl w:val="6"/>
    </w:pPr>
  </w:style>
  <w:style w:type="character" w:customStyle="1" w:styleId="PleadingsL7Char">
    <w:name w:val="Pleadings_L7 Char"/>
    <w:basedOn w:val="BodyTextChar"/>
    <w:link w:val="PleadingsL7"/>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pPr>
      <w:numPr>
        <w:ilvl w:val="7"/>
      </w:numPr>
      <w:outlineLvl w:val="7"/>
    </w:pPr>
  </w:style>
  <w:style w:type="character" w:customStyle="1" w:styleId="PleadingsL8Char">
    <w:name w:val="Pleadings_L8 Char"/>
    <w:basedOn w:val="BodyTextChar"/>
    <w:link w:val="PleadingsL8"/>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pPr>
      <w:numPr>
        <w:ilvl w:val="8"/>
      </w:numPr>
      <w:outlineLvl w:val="8"/>
    </w:pPr>
  </w:style>
  <w:style w:type="character" w:customStyle="1" w:styleId="PleadingsL9Char">
    <w:name w:val="Pleadings_L9 Char"/>
    <w:basedOn w:val="BodyTextChar"/>
    <w:link w:val="PleadingsL9"/>
    <w:rPr>
      <w:rFonts w:ascii="Times New Roman" w:eastAsia="Times New Roman" w:hAnsi="Times New Roman" w:cs="Times New Roman"/>
      <w:b/>
      <w:sz w:val="24"/>
      <w:szCs w:val="20"/>
      <w:lang w:eastAsia="en-US"/>
    </w:rPr>
  </w:style>
  <w:style w:type="paragraph" w:customStyle="1" w:styleId="NX">
    <w:name w:val="NX"/>
    <w:basedOn w:val="BodyText"/>
    <w:uiPriority w:val="24"/>
    <w:qFormat/>
    <w:pPr>
      <w:widowControl/>
      <w:numPr>
        <w:numId w:val="13"/>
      </w:numPr>
      <w:ind w:left="0" w:firstLine="7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ocID">
    <w:name w:val="DocID"/>
    <w:basedOn w:val="DefaultParagraphFont"/>
    <w:rPr>
      <w:rFonts w:ascii="Arial" w:hAnsi="Arial" w:cs="Arial"/>
      <w:b w:val="0"/>
      <w:i w:val="0"/>
      <w:caps w:val="0"/>
      <w:vanish w:val="0"/>
      <w:color w:val="000000"/>
      <w:sz w:val="16"/>
      <w:u w:val="non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Objection</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2017-02-27T08:00:00+00:00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161123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E4D6C60-054B-4113-8A6F-8922D25242A0}"/>
</file>

<file path=customXml/itemProps2.xml><?xml version="1.0" encoding="utf-8"?>
<ds:datastoreItem xmlns:ds="http://schemas.openxmlformats.org/officeDocument/2006/customXml" ds:itemID="{A43BE800-FB17-4A00-A258-832DE3841948}"/>
</file>

<file path=customXml/itemProps3.xml><?xml version="1.0" encoding="utf-8"?>
<ds:datastoreItem xmlns:ds="http://schemas.openxmlformats.org/officeDocument/2006/customXml" ds:itemID="{14E0AE3E-05F4-410D-8D3C-EB99E4007B6E}"/>
</file>

<file path=customXml/itemProps4.xml><?xml version="1.0" encoding="utf-8"?>
<ds:datastoreItem xmlns:ds="http://schemas.openxmlformats.org/officeDocument/2006/customXml" ds:itemID="{0145C1D3-46F6-41A6-B119-983A9D4D3657}"/>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2017-02-27T20:54:02Z</dcterms:created>
  <dcterms:modified xsi:type="dcterms:W3CDTF">2017-02-27T20:54:02Z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y fmtid="{D5CDD505-2E9C-101B-9397-08002B2CF9AE}" pid="4" name="IsEFSEC">
    <vt:bool>false</vt:bool>
  </property>
</Properties>
</file>