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71" w:rsidRDefault="00E24A71" w:rsidP="004277F1">
      <w:pPr>
        <w:rPr>
          <w:rFonts w:asciiTheme="minorHAnsi" w:hAnsiTheme="minorHAnsi"/>
          <w:iCs/>
          <w:spacing w:val="-4"/>
          <w:sz w:val="24"/>
          <w:szCs w:val="24"/>
        </w:rPr>
      </w:pPr>
      <w:r w:rsidRPr="004277F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CF818" wp14:editId="3A8669F7">
                <wp:simplePos x="0" y="0"/>
                <wp:positionH relativeFrom="column">
                  <wp:posOffset>2752725</wp:posOffset>
                </wp:positionH>
                <wp:positionV relativeFrom="paragraph">
                  <wp:posOffset>-109855</wp:posOffset>
                </wp:positionV>
                <wp:extent cx="3695700" cy="352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422E8D" w:rsidRPr="008F4219" w:rsidRDefault="00F24CDF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6.75pt;margin-top:-8.6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" filled="f" stroked="f">
                <v:textbox inset=",0,,0">
                  <w:txbxContent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422E8D" w:rsidRPr="008F4219" w:rsidRDefault="001C2AC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047">
        <w:rPr>
          <w:rFonts w:asciiTheme="minorHAnsi" w:hAnsiTheme="minorHAnsi"/>
          <w:iCs/>
          <w:spacing w:val="-4"/>
          <w:sz w:val="24"/>
          <w:szCs w:val="24"/>
        </w:rPr>
        <w:t xml:space="preserve">   </w:t>
      </w:r>
    </w:p>
    <w:p w:rsidR="00180BE4" w:rsidRPr="004277F1" w:rsidRDefault="004E1995" w:rsidP="004277F1">
      <w:pPr>
        <w:rPr>
          <w:rFonts w:asciiTheme="minorHAnsi" w:hAnsiTheme="minorHAnsi"/>
          <w:iCs/>
          <w:spacing w:val="-4"/>
          <w:sz w:val="24"/>
          <w:szCs w:val="24"/>
        </w:rPr>
      </w:pPr>
      <w:r w:rsidRPr="004277F1">
        <w:rPr>
          <w:rFonts w:asciiTheme="minorHAnsi" w:hAnsiTheme="minorHAnsi"/>
          <w:noProof/>
          <w:sz w:val="24"/>
          <w:szCs w:val="24"/>
        </w:rPr>
        <w:drawing>
          <wp:anchor distT="0" distB="274320" distL="114300" distR="114300" simplePos="0" relativeHeight="251660288" behindDoc="0" locked="0" layoutInCell="1" allowOverlap="1" wp14:anchorId="11E12492" wp14:editId="0544A167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70" w:rsidRPr="004277F1">
        <w:rPr>
          <w:rFonts w:asciiTheme="minorHAnsi" w:hAnsiTheme="minorHAnsi"/>
          <w:iCs/>
          <w:spacing w:val="-4"/>
          <w:sz w:val="24"/>
          <w:szCs w:val="24"/>
        </w:rPr>
        <w:t>August 1, 2016</w:t>
      </w: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4"/>
          <w:szCs w:val="24"/>
        </w:rPr>
      </w:pP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4"/>
          <w:szCs w:val="24"/>
        </w:rPr>
      </w:pP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Mr. Steven V. King</w:t>
      </w: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Executive Director and Secretary</w:t>
      </w: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Washington Utilities &amp; Transportation Commission</w:t>
      </w: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P.O. Box 47250</w:t>
      </w: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smartTag w:uri="urn:schemas-microsoft-com:office:smarttags" w:element="City">
        <w:r w:rsidRPr="004277F1">
          <w:rPr>
            <w:rFonts w:asciiTheme="minorHAnsi" w:hAnsiTheme="minorHAnsi"/>
            <w:spacing w:val="-2"/>
            <w:sz w:val="24"/>
          </w:rPr>
          <w:t>Olympia</w:t>
        </w:r>
      </w:smartTag>
      <w:r w:rsidRPr="004277F1">
        <w:rPr>
          <w:rFonts w:asciiTheme="minorHAnsi" w:hAnsiTheme="minorHAnsi"/>
          <w:spacing w:val="-2"/>
          <w:sz w:val="24"/>
        </w:rPr>
        <w:t xml:space="preserve">, </w:t>
      </w:r>
      <w:smartTag w:uri="urn:schemas-microsoft-com:office:smarttags" w:element="State">
        <w:r w:rsidRPr="004277F1">
          <w:rPr>
            <w:rFonts w:asciiTheme="minorHAnsi" w:hAnsiTheme="minorHAnsi"/>
            <w:spacing w:val="-2"/>
            <w:sz w:val="24"/>
          </w:rPr>
          <w:t>WA</w:t>
        </w:r>
      </w:smartTag>
      <w:r w:rsidRPr="004277F1">
        <w:rPr>
          <w:rFonts w:asciiTheme="minorHAnsi" w:hAnsiTheme="minorHAnsi"/>
          <w:spacing w:val="-2"/>
          <w:sz w:val="24"/>
        </w:rPr>
        <w:t xml:space="preserve">  98504-7250</w:t>
      </w:r>
    </w:p>
    <w:p w:rsidR="00CC506F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</w:p>
    <w:p w:rsidR="008642F9" w:rsidRPr="004277F1" w:rsidRDefault="008642F9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</w:p>
    <w:p w:rsidR="0022189A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4"/>
        </w:rPr>
      </w:pPr>
      <w:r w:rsidRPr="004277F1">
        <w:rPr>
          <w:rFonts w:asciiTheme="minorHAnsi" w:hAnsiTheme="minorHAnsi"/>
          <w:b/>
          <w:spacing w:val="-2"/>
          <w:sz w:val="24"/>
        </w:rPr>
        <w:t xml:space="preserve">Re: </w:t>
      </w:r>
      <w:r w:rsidR="0022189A">
        <w:rPr>
          <w:rFonts w:asciiTheme="minorHAnsi" w:hAnsiTheme="minorHAnsi"/>
          <w:b/>
          <w:spacing w:val="-2"/>
          <w:sz w:val="24"/>
        </w:rPr>
        <w:t>Advice No. W16-08-01, Compliance Filing</w:t>
      </w:r>
    </w:p>
    <w:p w:rsidR="00CC506F" w:rsidRPr="004277F1" w:rsidRDefault="0022189A" w:rsidP="0022189A">
      <w:pPr>
        <w:tabs>
          <w:tab w:val="left" w:pos="360"/>
          <w:tab w:val="left" w:pos="5083"/>
        </w:tabs>
        <w:suppressAutoHyphens/>
        <w:rPr>
          <w:rFonts w:asciiTheme="minorHAnsi" w:hAnsiTheme="minorHAnsi"/>
          <w:b/>
          <w:spacing w:val="-2"/>
          <w:sz w:val="24"/>
        </w:rPr>
      </w:pPr>
      <w:r>
        <w:rPr>
          <w:rFonts w:asciiTheme="minorHAnsi" w:hAnsiTheme="minorHAnsi"/>
          <w:b/>
          <w:spacing w:val="-2"/>
          <w:sz w:val="24"/>
        </w:rPr>
        <w:tab/>
      </w:r>
      <w:r w:rsidR="00FD5570" w:rsidRPr="004277F1">
        <w:rPr>
          <w:rFonts w:asciiTheme="minorHAnsi" w:hAnsiTheme="minorHAnsi"/>
          <w:b/>
          <w:spacing w:val="-2"/>
          <w:sz w:val="24"/>
        </w:rPr>
        <w:t>UG-152286,</w:t>
      </w:r>
      <w:r w:rsidR="00FD5570" w:rsidRPr="004277F1">
        <w:rPr>
          <w:rFonts w:asciiTheme="minorHAnsi" w:hAnsiTheme="minorHAnsi"/>
          <w:spacing w:val="-2"/>
          <w:sz w:val="24"/>
        </w:rPr>
        <w:t xml:space="preserve"> </w:t>
      </w:r>
      <w:r w:rsidR="00CC506F" w:rsidRPr="004277F1">
        <w:rPr>
          <w:rFonts w:asciiTheme="minorHAnsi" w:hAnsiTheme="minorHAnsi"/>
          <w:b/>
          <w:spacing w:val="-2"/>
          <w:sz w:val="24"/>
        </w:rPr>
        <w:t xml:space="preserve">Cascade Natural Gas </w:t>
      </w:r>
      <w:r w:rsidR="000723D9">
        <w:rPr>
          <w:rFonts w:asciiTheme="minorHAnsi" w:hAnsiTheme="minorHAnsi"/>
          <w:b/>
          <w:spacing w:val="-2"/>
          <w:sz w:val="24"/>
        </w:rPr>
        <w:t xml:space="preserve">Corporation </w:t>
      </w:r>
      <w:r w:rsidR="00CC506F" w:rsidRPr="004277F1">
        <w:rPr>
          <w:rFonts w:asciiTheme="minorHAnsi" w:hAnsiTheme="minorHAnsi"/>
          <w:b/>
          <w:spacing w:val="-2"/>
          <w:sz w:val="24"/>
        </w:rPr>
        <w:t>General Rate Case</w:t>
      </w:r>
    </w:p>
    <w:p w:rsidR="00CC506F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4"/>
        </w:rPr>
      </w:pPr>
    </w:p>
    <w:p w:rsidR="008642F9" w:rsidRPr="004277F1" w:rsidRDefault="008642F9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4"/>
        </w:rPr>
      </w:pP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  <w:r w:rsidRPr="004277F1">
        <w:rPr>
          <w:rFonts w:asciiTheme="minorHAnsi" w:hAnsiTheme="minorHAnsi"/>
          <w:spacing w:val="-2"/>
          <w:sz w:val="24"/>
        </w:rPr>
        <w:t>Dear Mr. King,</w:t>
      </w:r>
    </w:p>
    <w:p w:rsidR="00CC506F" w:rsidRPr="004277F1" w:rsidRDefault="00CC506F" w:rsidP="004277F1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4"/>
        </w:rPr>
      </w:pPr>
    </w:p>
    <w:p w:rsidR="00692A37" w:rsidRPr="004277F1" w:rsidRDefault="00692A37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Casc</w:t>
      </w:r>
      <w:r w:rsidR="00F000F3">
        <w:rPr>
          <w:rFonts w:asciiTheme="minorHAnsi" w:hAnsiTheme="minorHAnsi"/>
          <w:sz w:val="24"/>
          <w:szCs w:val="24"/>
        </w:rPr>
        <w:t>ade Natural Gas Corporation’s (</w:t>
      </w:r>
      <w:r w:rsidRPr="004277F1">
        <w:rPr>
          <w:rFonts w:asciiTheme="minorHAnsi" w:hAnsiTheme="minorHAnsi"/>
          <w:sz w:val="24"/>
          <w:szCs w:val="24"/>
        </w:rPr>
        <w:t>Cascade</w:t>
      </w:r>
      <w:r w:rsidR="00F000F3">
        <w:rPr>
          <w:rFonts w:asciiTheme="minorHAnsi" w:hAnsiTheme="minorHAnsi"/>
          <w:sz w:val="24"/>
          <w:szCs w:val="24"/>
        </w:rPr>
        <w:t xml:space="preserve"> or </w:t>
      </w:r>
      <w:r w:rsidRPr="004277F1">
        <w:rPr>
          <w:rFonts w:asciiTheme="minorHAnsi" w:hAnsiTheme="minorHAnsi"/>
          <w:sz w:val="24"/>
          <w:szCs w:val="24"/>
        </w:rPr>
        <w:t>Company) submit</w:t>
      </w:r>
      <w:r w:rsidR="0022189A">
        <w:rPr>
          <w:rFonts w:asciiTheme="minorHAnsi" w:hAnsiTheme="minorHAnsi"/>
          <w:sz w:val="24"/>
          <w:szCs w:val="24"/>
        </w:rPr>
        <w:t>s</w:t>
      </w:r>
      <w:r w:rsidRPr="004277F1">
        <w:rPr>
          <w:rFonts w:asciiTheme="minorHAnsi" w:hAnsiTheme="minorHAnsi"/>
          <w:sz w:val="24"/>
          <w:szCs w:val="24"/>
        </w:rPr>
        <w:t xml:space="preserve"> the attached filing i</w:t>
      </w:r>
      <w:r w:rsidR="00FD5570" w:rsidRPr="004277F1">
        <w:rPr>
          <w:rFonts w:asciiTheme="minorHAnsi" w:hAnsiTheme="minorHAnsi"/>
          <w:sz w:val="24"/>
          <w:szCs w:val="24"/>
        </w:rPr>
        <w:t xml:space="preserve">n compliance with Commission Order No. </w:t>
      </w:r>
      <w:r w:rsidR="004277F1">
        <w:rPr>
          <w:rFonts w:asciiTheme="minorHAnsi" w:hAnsiTheme="minorHAnsi"/>
          <w:sz w:val="24"/>
          <w:szCs w:val="24"/>
        </w:rPr>
        <w:t>04</w:t>
      </w:r>
      <w:r w:rsidRPr="004277F1">
        <w:rPr>
          <w:rFonts w:asciiTheme="minorHAnsi" w:hAnsiTheme="minorHAnsi"/>
          <w:sz w:val="24"/>
          <w:szCs w:val="24"/>
        </w:rPr>
        <w:t>,</w:t>
      </w:r>
      <w:r w:rsidR="00FD5570" w:rsidRPr="004277F1">
        <w:rPr>
          <w:rFonts w:asciiTheme="minorHAnsi" w:hAnsiTheme="minorHAnsi"/>
          <w:sz w:val="24"/>
          <w:szCs w:val="24"/>
        </w:rPr>
        <w:t xml:space="preserve"> issued in conclusion to the</w:t>
      </w:r>
      <w:r w:rsidR="0022189A">
        <w:rPr>
          <w:rFonts w:asciiTheme="minorHAnsi" w:hAnsiTheme="minorHAnsi"/>
          <w:sz w:val="24"/>
          <w:szCs w:val="24"/>
        </w:rPr>
        <w:t xml:space="preserve"> Company’s</w:t>
      </w:r>
      <w:r w:rsidR="00FD5570" w:rsidRPr="004277F1">
        <w:rPr>
          <w:rFonts w:asciiTheme="minorHAnsi" w:hAnsiTheme="minorHAnsi"/>
          <w:sz w:val="24"/>
          <w:szCs w:val="24"/>
        </w:rPr>
        <w:t xml:space="preserve"> 2015 general rate case docketed as UG-152286</w:t>
      </w:r>
      <w:r w:rsidRPr="004277F1">
        <w:rPr>
          <w:rFonts w:asciiTheme="minorHAnsi" w:hAnsiTheme="minorHAnsi"/>
          <w:sz w:val="24"/>
          <w:szCs w:val="24"/>
        </w:rPr>
        <w:t xml:space="preserve">.  The Company submits the following revisions to its Tariff WN U-3, which are stated to become effective </w:t>
      </w:r>
      <w:r w:rsidRPr="0022189A">
        <w:rPr>
          <w:rFonts w:asciiTheme="minorHAnsi" w:hAnsiTheme="minorHAnsi"/>
          <w:sz w:val="24"/>
          <w:szCs w:val="24"/>
          <w:u w:val="single"/>
        </w:rPr>
        <w:t>September 1,</w:t>
      </w:r>
      <w:r w:rsidR="003337C2" w:rsidRPr="0022189A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2189A">
        <w:rPr>
          <w:rFonts w:asciiTheme="minorHAnsi" w:hAnsiTheme="minorHAnsi"/>
          <w:sz w:val="24"/>
          <w:szCs w:val="24"/>
          <w:u w:val="single"/>
        </w:rPr>
        <w:t>2016</w:t>
      </w:r>
      <w:r w:rsidRPr="004277F1">
        <w:rPr>
          <w:rFonts w:asciiTheme="minorHAnsi" w:hAnsiTheme="minorHAnsi"/>
          <w:sz w:val="24"/>
          <w:szCs w:val="24"/>
        </w:rPr>
        <w:t>:</w:t>
      </w:r>
    </w:p>
    <w:p w:rsidR="00692A37" w:rsidRPr="004277F1" w:rsidRDefault="00692A37" w:rsidP="004277F1">
      <w:pPr>
        <w:rPr>
          <w:rFonts w:asciiTheme="minorHAnsi" w:hAnsiTheme="minorHAnsi"/>
          <w:sz w:val="24"/>
          <w:szCs w:val="24"/>
        </w:rPr>
      </w:pPr>
    </w:p>
    <w:p w:rsidR="008642F9" w:rsidRDefault="008642F9" w:rsidP="004277F1">
      <w:pPr>
        <w:ind w:left="720"/>
        <w:rPr>
          <w:rFonts w:asciiTheme="minorHAnsi" w:eastAsia="Calibri" w:hAnsiTheme="minorHAnsi"/>
          <w:sz w:val="24"/>
          <w:szCs w:val="24"/>
        </w:rPr>
        <w:sectPr w:rsidR="008642F9" w:rsidSect="00E24A71">
          <w:headerReference w:type="default" r:id="rId14"/>
          <w:footerReference w:type="default" r:id="rId15"/>
          <w:pgSz w:w="12240" w:h="15840" w:code="1"/>
          <w:pgMar w:top="1141" w:right="1440" w:bottom="720" w:left="1440" w:header="360" w:footer="255" w:gutter="0"/>
          <w:cols w:space="720"/>
          <w:docGrid w:linePitch="326"/>
        </w:sectPr>
      </w:pPr>
    </w:p>
    <w:p w:rsidR="003C0546" w:rsidRPr="004277F1" w:rsidRDefault="003C0546" w:rsidP="00E4230C">
      <w:pPr>
        <w:ind w:left="45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lastRenderedPageBreak/>
        <w:t>Thirty-Fifth Revision Sheet No. 2</w:t>
      </w:r>
    </w:p>
    <w:p w:rsidR="003C0546" w:rsidRPr="004277F1" w:rsidRDefault="003C0546" w:rsidP="00E4230C">
      <w:pPr>
        <w:ind w:left="45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Twentieth Revision Sheet No. 2-A</w:t>
      </w:r>
    </w:p>
    <w:p w:rsidR="003C0546" w:rsidRPr="004277F1" w:rsidRDefault="003C0546" w:rsidP="00E4230C">
      <w:pPr>
        <w:ind w:left="45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Third Revision Sheet No. 7</w:t>
      </w:r>
    </w:p>
    <w:p w:rsidR="003C0546" w:rsidRPr="004277F1" w:rsidRDefault="003C0546" w:rsidP="00E4230C">
      <w:pPr>
        <w:ind w:left="45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Fifth Revision Sheet No. 21</w:t>
      </w:r>
    </w:p>
    <w:p w:rsidR="003C0546" w:rsidRPr="004277F1" w:rsidRDefault="003C0546" w:rsidP="00E4230C">
      <w:pPr>
        <w:ind w:left="45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First Revision Sheet No. 25</w:t>
      </w:r>
    </w:p>
    <w:p w:rsidR="003C0546" w:rsidRPr="004277F1" w:rsidRDefault="003C0546" w:rsidP="00E4230C">
      <w:pPr>
        <w:ind w:left="45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Original Sheet No. 25-A</w:t>
      </w:r>
    </w:p>
    <w:p w:rsidR="003C0546" w:rsidRPr="004277F1" w:rsidRDefault="003C0546" w:rsidP="00E4230C">
      <w:pPr>
        <w:ind w:left="45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Original Sheet No. 25-B</w:t>
      </w:r>
    </w:p>
    <w:p w:rsidR="003C0546" w:rsidRPr="004277F1" w:rsidRDefault="003C0546" w:rsidP="00E4230C">
      <w:pPr>
        <w:ind w:left="45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Third Revision Sheet No. 301</w:t>
      </w:r>
    </w:p>
    <w:p w:rsidR="003C0546" w:rsidRPr="004277F1" w:rsidRDefault="003C0546" w:rsidP="00E4230C">
      <w:pPr>
        <w:ind w:left="45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Fifty-Third Revision Sheet No. 502</w:t>
      </w:r>
    </w:p>
    <w:p w:rsidR="003C0546" w:rsidRPr="004277F1" w:rsidRDefault="003C0546" w:rsidP="00E4230C">
      <w:pPr>
        <w:ind w:left="45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Fifty-Eighth Revision Sheet No. 503</w:t>
      </w:r>
    </w:p>
    <w:p w:rsidR="003C0546" w:rsidRPr="004277F1" w:rsidRDefault="00BB3AD8" w:rsidP="00BB3AD8">
      <w:pPr>
        <w:tabs>
          <w:tab w:val="left" w:pos="450"/>
        </w:tabs>
        <w:ind w:right="1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3C0546" w:rsidRPr="004277F1">
        <w:rPr>
          <w:rFonts w:asciiTheme="minorHAnsi" w:eastAsia="Calibri" w:hAnsiTheme="minorHAnsi"/>
          <w:sz w:val="24"/>
          <w:szCs w:val="24"/>
        </w:rPr>
        <w:t>Forty-Second Revision Sheet No. 504</w:t>
      </w:r>
    </w:p>
    <w:p w:rsidR="003C0546" w:rsidRDefault="00BB3AD8" w:rsidP="00BB3AD8">
      <w:pPr>
        <w:tabs>
          <w:tab w:val="left" w:pos="450"/>
        </w:tabs>
        <w:ind w:right="1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3C0546" w:rsidRPr="004277F1">
        <w:rPr>
          <w:rFonts w:asciiTheme="minorHAnsi" w:eastAsia="Calibri" w:hAnsiTheme="minorHAnsi"/>
          <w:sz w:val="24"/>
          <w:szCs w:val="24"/>
        </w:rPr>
        <w:t>Forty-First Revision Sheet No. 505</w:t>
      </w:r>
    </w:p>
    <w:p w:rsidR="00BB3AD8" w:rsidRDefault="00BB3AD8" w:rsidP="00E4230C">
      <w:pPr>
        <w:ind w:left="180" w:right="1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lastRenderedPageBreak/>
        <w:t>Fifty-Eighth Revision Sheet No. 511</w:t>
      </w:r>
    </w:p>
    <w:p w:rsidR="00BB3AD8" w:rsidRDefault="00BB3AD8" w:rsidP="00E4230C">
      <w:pPr>
        <w:ind w:left="180" w:right="1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Thirty-Eighth Revision Sheet No. 512</w:t>
      </w:r>
    </w:p>
    <w:p w:rsidR="00BB3AD8" w:rsidRDefault="00BB3AD8" w:rsidP="00E4230C">
      <w:pPr>
        <w:ind w:left="180" w:right="1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Fifty-Second Revision Sheet No. 570</w:t>
      </w:r>
    </w:p>
    <w:p w:rsidR="00BB3AD8" w:rsidRPr="004277F1" w:rsidRDefault="00BB3AD8" w:rsidP="00E4230C">
      <w:pPr>
        <w:ind w:left="180" w:right="10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>Forty-Ninth Revision Sheet No. 577</w:t>
      </w:r>
    </w:p>
    <w:p w:rsidR="00A520F6" w:rsidRPr="004277F1" w:rsidRDefault="00A520F6" w:rsidP="008642F9">
      <w:pPr>
        <w:ind w:left="18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Original Sheet No. 59</w:t>
      </w:r>
      <w:r w:rsidR="00F62D5A" w:rsidRPr="004277F1">
        <w:rPr>
          <w:rFonts w:asciiTheme="minorHAnsi" w:eastAsia="Calibri" w:hAnsiTheme="minorHAnsi"/>
          <w:sz w:val="24"/>
          <w:szCs w:val="24"/>
        </w:rPr>
        <w:t>4</w:t>
      </w:r>
    </w:p>
    <w:p w:rsidR="003C0546" w:rsidRPr="004277F1" w:rsidRDefault="003C0546" w:rsidP="008642F9">
      <w:pPr>
        <w:ind w:left="18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Eigh</w:t>
      </w:r>
      <w:r w:rsidR="00AC4645" w:rsidRPr="004277F1">
        <w:rPr>
          <w:rFonts w:asciiTheme="minorHAnsi" w:eastAsia="Calibri" w:hAnsiTheme="minorHAnsi"/>
          <w:sz w:val="24"/>
          <w:szCs w:val="24"/>
        </w:rPr>
        <w:t>ty-First</w:t>
      </w:r>
      <w:r w:rsidRPr="004277F1">
        <w:rPr>
          <w:rFonts w:asciiTheme="minorHAnsi" w:eastAsia="Calibri" w:hAnsiTheme="minorHAnsi"/>
          <w:sz w:val="24"/>
          <w:szCs w:val="24"/>
        </w:rPr>
        <w:t xml:space="preserve"> Revision Sheet No. 596</w:t>
      </w:r>
    </w:p>
    <w:p w:rsidR="003C0546" w:rsidRPr="004277F1" w:rsidRDefault="003C0546" w:rsidP="008642F9">
      <w:pPr>
        <w:ind w:left="18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Third Revision Sheet No. 597</w:t>
      </w:r>
    </w:p>
    <w:p w:rsidR="003C0546" w:rsidRPr="004277F1" w:rsidRDefault="003C0546" w:rsidP="008642F9">
      <w:pPr>
        <w:ind w:left="180" w:right="1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Sixteenth Revision Sheet No. 663</w:t>
      </w:r>
    </w:p>
    <w:p w:rsidR="003C0546" w:rsidRPr="004277F1" w:rsidRDefault="003C0546" w:rsidP="008642F9">
      <w:pPr>
        <w:ind w:left="18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Fourth Revision Sheet No. 685</w:t>
      </w:r>
      <w:r w:rsidRPr="004277F1">
        <w:rPr>
          <w:rFonts w:asciiTheme="minorHAnsi" w:eastAsia="Calibri" w:hAnsiTheme="minorHAnsi"/>
          <w:sz w:val="24"/>
          <w:szCs w:val="24"/>
        </w:rPr>
        <w:noBreakHyphen/>
        <w:t>A</w:t>
      </w:r>
    </w:p>
    <w:p w:rsidR="003C0546" w:rsidRPr="004277F1" w:rsidRDefault="003C0546" w:rsidP="008642F9">
      <w:pPr>
        <w:ind w:left="180"/>
        <w:rPr>
          <w:rFonts w:asciiTheme="minorHAnsi" w:eastAsia="Calibri" w:hAnsiTheme="minorHAnsi"/>
          <w:sz w:val="24"/>
          <w:szCs w:val="24"/>
        </w:rPr>
      </w:pPr>
      <w:r w:rsidRPr="004277F1">
        <w:rPr>
          <w:rFonts w:asciiTheme="minorHAnsi" w:eastAsia="Calibri" w:hAnsiTheme="minorHAnsi"/>
          <w:sz w:val="24"/>
          <w:szCs w:val="24"/>
        </w:rPr>
        <w:t>Fourth Revision Sheet No. 687</w:t>
      </w:r>
    </w:p>
    <w:p w:rsidR="00386D87" w:rsidRPr="004277F1" w:rsidRDefault="00386D87" w:rsidP="008642F9">
      <w:pPr>
        <w:ind w:left="180"/>
        <w:rPr>
          <w:rFonts w:asciiTheme="minorHAnsi" w:hAnsiTheme="minorHAnsi"/>
          <w:sz w:val="24"/>
          <w:szCs w:val="24"/>
        </w:rPr>
      </w:pPr>
    </w:p>
    <w:p w:rsidR="008642F9" w:rsidRDefault="008642F9" w:rsidP="004277F1">
      <w:pPr>
        <w:rPr>
          <w:rFonts w:asciiTheme="minorHAnsi" w:hAnsiTheme="minorHAnsi"/>
          <w:sz w:val="24"/>
          <w:szCs w:val="24"/>
        </w:rPr>
        <w:sectPr w:rsidR="008642F9" w:rsidSect="00E24A71">
          <w:type w:val="continuous"/>
          <w:pgSz w:w="12240" w:h="15840" w:code="1"/>
          <w:pgMar w:top="1141" w:right="1440" w:bottom="720" w:left="1440" w:header="360" w:footer="255" w:gutter="0"/>
          <w:cols w:num="2" w:space="720"/>
          <w:docGrid w:linePitch="326"/>
        </w:sectPr>
      </w:pPr>
    </w:p>
    <w:p w:rsidR="008642F9" w:rsidRDefault="008642F9" w:rsidP="004277F1">
      <w:pPr>
        <w:rPr>
          <w:rFonts w:asciiTheme="minorHAnsi" w:hAnsiTheme="minorHAnsi"/>
          <w:sz w:val="24"/>
          <w:szCs w:val="24"/>
        </w:rPr>
      </w:pPr>
    </w:p>
    <w:p w:rsidR="001E1AF7" w:rsidRPr="004277F1" w:rsidRDefault="001E1AF7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 xml:space="preserve">The Company is also withdrawing </w:t>
      </w:r>
      <w:r w:rsidR="003C0546" w:rsidRPr="004277F1">
        <w:rPr>
          <w:rFonts w:asciiTheme="minorHAnsi" w:hAnsiTheme="minorHAnsi"/>
          <w:sz w:val="24"/>
          <w:szCs w:val="24"/>
        </w:rPr>
        <w:t xml:space="preserve">from </w:t>
      </w:r>
      <w:r w:rsidRPr="004277F1">
        <w:rPr>
          <w:rFonts w:asciiTheme="minorHAnsi" w:hAnsiTheme="minorHAnsi"/>
          <w:sz w:val="24"/>
          <w:szCs w:val="24"/>
        </w:rPr>
        <w:t>Tariff WN-U3</w:t>
      </w:r>
      <w:r w:rsidR="003C0546" w:rsidRPr="004277F1">
        <w:rPr>
          <w:rFonts w:asciiTheme="minorHAnsi" w:hAnsiTheme="minorHAnsi"/>
          <w:sz w:val="24"/>
          <w:szCs w:val="24"/>
        </w:rPr>
        <w:t xml:space="preserve"> the following sheets</w:t>
      </w:r>
      <w:r w:rsidRPr="004277F1">
        <w:rPr>
          <w:rFonts w:asciiTheme="minorHAnsi" w:hAnsiTheme="minorHAnsi"/>
          <w:sz w:val="24"/>
          <w:szCs w:val="24"/>
        </w:rPr>
        <w:t xml:space="preserve"> in their entirety:</w:t>
      </w:r>
    </w:p>
    <w:p w:rsidR="001E1AF7" w:rsidRPr="004277F1" w:rsidRDefault="001E1AF7" w:rsidP="004277F1">
      <w:pPr>
        <w:rPr>
          <w:rFonts w:asciiTheme="minorHAnsi" w:hAnsiTheme="minorHAnsi"/>
          <w:sz w:val="24"/>
          <w:szCs w:val="24"/>
        </w:rPr>
      </w:pPr>
    </w:p>
    <w:p w:rsidR="008642F9" w:rsidRDefault="008642F9" w:rsidP="004277F1">
      <w:pPr>
        <w:ind w:left="720"/>
        <w:rPr>
          <w:rFonts w:asciiTheme="minorHAnsi" w:hAnsiTheme="minorHAnsi"/>
          <w:sz w:val="24"/>
          <w:szCs w:val="24"/>
        </w:rPr>
        <w:sectPr w:rsidR="008642F9" w:rsidSect="00E24A71">
          <w:headerReference w:type="default" r:id="rId16"/>
          <w:type w:val="continuous"/>
          <w:pgSz w:w="12240" w:h="15840" w:code="1"/>
          <w:pgMar w:top="1141" w:right="1440" w:bottom="720" w:left="1440" w:header="360" w:footer="255" w:gutter="0"/>
          <w:cols w:space="720"/>
          <w:docGrid w:linePitch="326"/>
        </w:sectPr>
      </w:pPr>
    </w:p>
    <w:p w:rsidR="001E1AF7" w:rsidRPr="004277F1" w:rsidRDefault="000723D9" w:rsidP="00E4230C">
      <w:pPr>
        <w:ind w:left="4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Third Revision Sheet</w:t>
      </w:r>
      <w:r w:rsidR="00AA2EC0" w:rsidRPr="004277F1">
        <w:rPr>
          <w:rFonts w:asciiTheme="minorHAnsi" w:hAnsiTheme="minorHAnsi"/>
          <w:sz w:val="24"/>
          <w:szCs w:val="24"/>
        </w:rPr>
        <w:t xml:space="preserve"> No. 21</w:t>
      </w:r>
      <w:r w:rsidR="001E1AF7" w:rsidRPr="004277F1">
        <w:rPr>
          <w:rFonts w:asciiTheme="minorHAnsi" w:hAnsiTheme="minorHAnsi"/>
          <w:sz w:val="24"/>
          <w:szCs w:val="24"/>
        </w:rPr>
        <w:t>-C</w:t>
      </w:r>
    </w:p>
    <w:p w:rsidR="001E1AF7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Fifty-Fourth Revision Sheet No. 541</w:t>
      </w:r>
    </w:p>
    <w:p w:rsidR="001E1AF7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Fifth Revision Sheet No. 545</w:t>
      </w:r>
    </w:p>
    <w:p w:rsidR="001E1AF7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lastRenderedPageBreak/>
        <w:t>Eighth Revision Sheet No. 599</w:t>
      </w:r>
    </w:p>
    <w:p w:rsidR="001E1AF7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Fifth Revision Sheet No. 664</w:t>
      </w:r>
    </w:p>
    <w:p w:rsidR="002A2050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First Revision Sheet No. 665</w:t>
      </w:r>
    </w:p>
    <w:p w:rsidR="001E1AF7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lastRenderedPageBreak/>
        <w:t>Fourth Revision Sheet No. 678</w:t>
      </w:r>
    </w:p>
    <w:p w:rsidR="002A2050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Third Revision Sheet No. 678-A</w:t>
      </w:r>
    </w:p>
    <w:p w:rsidR="001E1AF7" w:rsidRPr="004277F1" w:rsidRDefault="001E1AF7" w:rsidP="00E4230C">
      <w:pPr>
        <w:tabs>
          <w:tab w:val="left" w:pos="720"/>
        </w:tabs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Second Revision Sheet No. 679</w:t>
      </w:r>
    </w:p>
    <w:p w:rsidR="001E1AF7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Ninth Revision Sheet No. 681</w:t>
      </w:r>
    </w:p>
    <w:p w:rsidR="001E1AF7" w:rsidRPr="004277F1" w:rsidRDefault="001E1AF7" w:rsidP="00E4230C">
      <w:pPr>
        <w:ind w:left="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Substitute Sixth Revision Sheet No. 682</w:t>
      </w:r>
    </w:p>
    <w:p w:rsidR="001E1AF7" w:rsidRPr="004277F1" w:rsidRDefault="001E1AF7" w:rsidP="00E4230C">
      <w:pPr>
        <w:ind w:left="450" w:right="-27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lastRenderedPageBreak/>
        <w:t>Fourth Revision Sheet No. 683</w:t>
      </w:r>
    </w:p>
    <w:p w:rsidR="001E1AF7" w:rsidRPr="004277F1" w:rsidRDefault="001E1AF7" w:rsidP="00E4230C">
      <w:pPr>
        <w:ind w:left="450" w:right="-45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Su</w:t>
      </w:r>
      <w:r w:rsidR="000723D9">
        <w:rPr>
          <w:rFonts w:asciiTheme="minorHAnsi" w:hAnsiTheme="minorHAnsi"/>
          <w:sz w:val="24"/>
          <w:szCs w:val="24"/>
        </w:rPr>
        <w:t>bstitute Fourth Revision Sheet N</w:t>
      </w:r>
      <w:r w:rsidRPr="004277F1">
        <w:rPr>
          <w:rFonts w:asciiTheme="minorHAnsi" w:hAnsiTheme="minorHAnsi"/>
          <w:sz w:val="24"/>
          <w:szCs w:val="24"/>
        </w:rPr>
        <w:t>o. 684</w:t>
      </w:r>
    </w:p>
    <w:p w:rsidR="001E1AF7" w:rsidRPr="004277F1" w:rsidRDefault="001E1AF7" w:rsidP="00E4230C">
      <w:pPr>
        <w:ind w:left="450" w:right="-27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Substitute Third Revision Sheet No. 684-A</w:t>
      </w:r>
    </w:p>
    <w:p w:rsidR="001E1AF7" w:rsidRPr="004277F1" w:rsidRDefault="001E1AF7" w:rsidP="00E4230C">
      <w:pPr>
        <w:ind w:left="450" w:right="-270"/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Original Sheet No. 699</w:t>
      </w:r>
    </w:p>
    <w:p w:rsidR="008642F9" w:rsidRDefault="008642F9" w:rsidP="004277F1">
      <w:pPr>
        <w:rPr>
          <w:rFonts w:asciiTheme="minorHAnsi" w:hAnsiTheme="minorHAnsi"/>
          <w:sz w:val="24"/>
          <w:szCs w:val="24"/>
        </w:rPr>
        <w:sectPr w:rsidR="008642F9" w:rsidSect="00E24A71">
          <w:footerReference w:type="default" r:id="rId17"/>
          <w:type w:val="continuous"/>
          <w:pgSz w:w="12240" w:h="15840" w:code="1"/>
          <w:pgMar w:top="1710" w:right="1440" w:bottom="720" w:left="1440" w:header="360" w:footer="255" w:gutter="0"/>
          <w:cols w:num="2" w:space="180"/>
          <w:docGrid w:linePitch="326"/>
        </w:sectPr>
      </w:pPr>
    </w:p>
    <w:p w:rsidR="003337C2" w:rsidRPr="004277F1" w:rsidRDefault="003337C2" w:rsidP="004277F1">
      <w:pPr>
        <w:rPr>
          <w:rFonts w:asciiTheme="minorHAnsi" w:hAnsiTheme="minorHAnsi"/>
          <w:sz w:val="24"/>
          <w:szCs w:val="24"/>
        </w:rPr>
      </w:pPr>
    </w:p>
    <w:p w:rsidR="009010E8" w:rsidRDefault="009010E8" w:rsidP="009010E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accordance with the terms adopted in Commission Order No. </w:t>
      </w:r>
      <w:r w:rsidR="000723D9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4 to UG-152286, this filing increases the Company’s annual revenues by $4 million or 1.6 percent.  </w:t>
      </w:r>
    </w:p>
    <w:p w:rsidR="009010E8" w:rsidRPr="004277F1" w:rsidRDefault="009010E8" w:rsidP="009010E8">
      <w:pPr>
        <w:rPr>
          <w:rFonts w:asciiTheme="minorHAnsi" w:hAnsiTheme="minorHAnsi"/>
          <w:sz w:val="24"/>
          <w:szCs w:val="24"/>
        </w:rPr>
      </w:pPr>
    </w:p>
    <w:p w:rsidR="00AB2396" w:rsidRDefault="008E50EA" w:rsidP="00AB2396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 xml:space="preserve">The </w:t>
      </w:r>
      <w:r w:rsidR="006E7621">
        <w:rPr>
          <w:rFonts w:asciiTheme="minorHAnsi" w:hAnsiTheme="minorHAnsi"/>
          <w:sz w:val="24"/>
          <w:szCs w:val="24"/>
        </w:rPr>
        <w:t xml:space="preserve">tariff </w:t>
      </w:r>
      <w:r w:rsidRPr="004277F1">
        <w:rPr>
          <w:rFonts w:asciiTheme="minorHAnsi" w:hAnsiTheme="minorHAnsi"/>
          <w:sz w:val="24"/>
          <w:szCs w:val="24"/>
        </w:rPr>
        <w:t>changes proposed herein are consistent with the tariff revisions proposed in the Direct Testimony of Pam</w:t>
      </w:r>
      <w:r w:rsidR="000723D9">
        <w:rPr>
          <w:rFonts w:asciiTheme="minorHAnsi" w:hAnsiTheme="minorHAnsi"/>
          <w:sz w:val="24"/>
          <w:szCs w:val="24"/>
        </w:rPr>
        <w:t>ela J.</w:t>
      </w:r>
      <w:r w:rsidRPr="004277F1">
        <w:rPr>
          <w:rFonts w:asciiTheme="minorHAnsi" w:hAnsiTheme="minorHAnsi"/>
          <w:sz w:val="24"/>
          <w:szCs w:val="24"/>
        </w:rPr>
        <w:t xml:space="preserve"> Archer</w:t>
      </w:r>
      <w:r w:rsidR="00786A55">
        <w:rPr>
          <w:rFonts w:asciiTheme="minorHAnsi" w:hAnsiTheme="minorHAnsi"/>
          <w:sz w:val="24"/>
          <w:szCs w:val="24"/>
        </w:rPr>
        <w:t xml:space="preserve"> </w:t>
      </w:r>
      <w:r w:rsidRPr="004277F1">
        <w:rPr>
          <w:rFonts w:asciiTheme="minorHAnsi" w:hAnsiTheme="minorHAnsi"/>
          <w:sz w:val="24"/>
          <w:szCs w:val="24"/>
        </w:rPr>
        <w:t>included in the Company’s initial general rate case filing as</w:t>
      </w:r>
      <w:r w:rsidR="00786A55" w:rsidRPr="00786A55">
        <w:rPr>
          <w:rFonts w:asciiTheme="minorHAnsi" w:hAnsiTheme="minorHAnsi"/>
          <w:sz w:val="24"/>
          <w:szCs w:val="24"/>
        </w:rPr>
        <w:t xml:space="preserve"> </w:t>
      </w:r>
      <w:r w:rsidR="00786A55" w:rsidRPr="004277F1">
        <w:rPr>
          <w:rFonts w:asciiTheme="minorHAnsi" w:hAnsiTheme="minorHAnsi"/>
          <w:sz w:val="24"/>
          <w:szCs w:val="24"/>
        </w:rPr>
        <w:t>Exhibit PJA-1T</w:t>
      </w:r>
      <w:r w:rsidR="00F71C89">
        <w:rPr>
          <w:rFonts w:asciiTheme="minorHAnsi" w:hAnsiTheme="minorHAnsi"/>
          <w:sz w:val="24"/>
          <w:szCs w:val="24"/>
        </w:rPr>
        <w:t xml:space="preserve"> and </w:t>
      </w:r>
      <w:r w:rsidR="00786A55">
        <w:rPr>
          <w:rFonts w:asciiTheme="minorHAnsi" w:hAnsiTheme="minorHAnsi"/>
          <w:sz w:val="24"/>
          <w:szCs w:val="24"/>
        </w:rPr>
        <w:t>Exhibit No. PJA-3</w:t>
      </w:r>
      <w:r w:rsidR="00B10E93">
        <w:rPr>
          <w:rFonts w:asciiTheme="minorHAnsi" w:hAnsiTheme="minorHAnsi"/>
          <w:sz w:val="24"/>
          <w:szCs w:val="24"/>
        </w:rPr>
        <w:t xml:space="preserve">, and </w:t>
      </w:r>
      <w:r w:rsidR="00F71C89">
        <w:rPr>
          <w:rFonts w:asciiTheme="minorHAnsi" w:hAnsiTheme="minorHAnsi"/>
          <w:sz w:val="24"/>
          <w:szCs w:val="24"/>
        </w:rPr>
        <w:t xml:space="preserve">later revised in </w:t>
      </w:r>
      <w:r w:rsidR="00B10E93">
        <w:rPr>
          <w:rFonts w:asciiTheme="minorHAnsi" w:hAnsiTheme="minorHAnsi"/>
          <w:sz w:val="24"/>
          <w:szCs w:val="24"/>
        </w:rPr>
        <w:t xml:space="preserve">Revised Exhibit No. </w:t>
      </w:r>
      <w:proofErr w:type="gramStart"/>
      <w:r w:rsidR="00B10E93">
        <w:rPr>
          <w:rFonts w:asciiTheme="minorHAnsi" w:hAnsiTheme="minorHAnsi"/>
          <w:sz w:val="24"/>
          <w:szCs w:val="24"/>
        </w:rPr>
        <w:t>PJA-3</w:t>
      </w:r>
      <w:r w:rsidR="00A67028" w:rsidRPr="004277F1">
        <w:rPr>
          <w:rFonts w:asciiTheme="minorHAnsi" w:hAnsiTheme="minorHAnsi"/>
          <w:sz w:val="24"/>
          <w:szCs w:val="24"/>
        </w:rPr>
        <w:t>.</w:t>
      </w:r>
      <w:proofErr w:type="gramEnd"/>
      <w:r w:rsidR="00A67028" w:rsidRPr="004277F1">
        <w:rPr>
          <w:rFonts w:asciiTheme="minorHAnsi" w:hAnsiTheme="minorHAnsi"/>
          <w:sz w:val="24"/>
          <w:szCs w:val="24"/>
        </w:rPr>
        <w:t xml:space="preserve">  The exception to this </w:t>
      </w:r>
      <w:r w:rsidR="001C2AC9">
        <w:rPr>
          <w:rFonts w:asciiTheme="minorHAnsi" w:hAnsiTheme="minorHAnsi"/>
          <w:sz w:val="24"/>
          <w:szCs w:val="24"/>
        </w:rPr>
        <w:t xml:space="preserve">is </w:t>
      </w:r>
      <w:r w:rsidR="00A67028" w:rsidRPr="004277F1">
        <w:rPr>
          <w:rFonts w:asciiTheme="minorHAnsi" w:hAnsiTheme="minorHAnsi"/>
          <w:sz w:val="24"/>
          <w:szCs w:val="24"/>
        </w:rPr>
        <w:t>Rule 21</w:t>
      </w:r>
      <w:r w:rsidR="00786A55">
        <w:rPr>
          <w:rFonts w:asciiTheme="minorHAnsi" w:hAnsiTheme="minorHAnsi"/>
          <w:sz w:val="24"/>
          <w:szCs w:val="24"/>
        </w:rPr>
        <w:t>,</w:t>
      </w:r>
      <w:r w:rsidR="00786A55" w:rsidRPr="004277F1">
        <w:rPr>
          <w:rFonts w:asciiTheme="minorHAnsi" w:hAnsiTheme="minorHAnsi"/>
          <w:sz w:val="24"/>
          <w:szCs w:val="24"/>
        </w:rPr>
        <w:t xml:space="preserve"> Decoupling</w:t>
      </w:r>
      <w:r w:rsidR="00A67028" w:rsidRPr="004277F1">
        <w:rPr>
          <w:rFonts w:asciiTheme="minorHAnsi" w:hAnsiTheme="minorHAnsi"/>
          <w:sz w:val="24"/>
          <w:szCs w:val="24"/>
        </w:rPr>
        <w:t xml:space="preserve"> Mechanism</w:t>
      </w:r>
      <w:r w:rsidR="001C2AC9">
        <w:rPr>
          <w:rFonts w:asciiTheme="minorHAnsi" w:hAnsiTheme="minorHAnsi"/>
          <w:sz w:val="24"/>
          <w:szCs w:val="24"/>
        </w:rPr>
        <w:t xml:space="preserve">, </w:t>
      </w:r>
      <w:r w:rsidR="00AB2396" w:rsidRPr="004277F1">
        <w:rPr>
          <w:rFonts w:asciiTheme="minorHAnsi" w:hAnsiTheme="minorHAnsi"/>
          <w:sz w:val="24"/>
          <w:szCs w:val="24"/>
        </w:rPr>
        <w:t xml:space="preserve">which </w:t>
      </w:r>
      <w:r w:rsidR="00AB2396">
        <w:rPr>
          <w:rFonts w:asciiTheme="minorHAnsi" w:hAnsiTheme="minorHAnsi"/>
          <w:sz w:val="24"/>
          <w:szCs w:val="24"/>
        </w:rPr>
        <w:t>is</w:t>
      </w:r>
      <w:r w:rsidR="00AB2396" w:rsidRPr="004277F1">
        <w:rPr>
          <w:rFonts w:asciiTheme="minorHAnsi" w:hAnsiTheme="minorHAnsi"/>
          <w:sz w:val="24"/>
          <w:szCs w:val="24"/>
        </w:rPr>
        <w:t xml:space="preserve"> revised in accordance with terms outlined </w:t>
      </w:r>
      <w:r w:rsidR="00AB2396">
        <w:rPr>
          <w:rFonts w:asciiTheme="minorHAnsi" w:hAnsiTheme="minorHAnsi"/>
          <w:sz w:val="24"/>
          <w:szCs w:val="24"/>
        </w:rPr>
        <w:t xml:space="preserve">in </w:t>
      </w:r>
      <w:r w:rsidR="00AB2396" w:rsidRPr="004277F1">
        <w:rPr>
          <w:rFonts w:asciiTheme="minorHAnsi" w:hAnsiTheme="minorHAnsi"/>
          <w:sz w:val="24"/>
          <w:szCs w:val="24"/>
        </w:rPr>
        <w:t xml:space="preserve">the stipulated agreement adopted in </w:t>
      </w:r>
      <w:r w:rsidR="00AB2396">
        <w:rPr>
          <w:rFonts w:asciiTheme="minorHAnsi" w:hAnsiTheme="minorHAnsi"/>
          <w:sz w:val="24"/>
          <w:szCs w:val="24"/>
        </w:rPr>
        <w:t xml:space="preserve">Commission </w:t>
      </w:r>
      <w:r w:rsidR="00AB2396" w:rsidRPr="004277F1">
        <w:rPr>
          <w:rFonts w:asciiTheme="minorHAnsi" w:hAnsiTheme="minorHAnsi"/>
          <w:sz w:val="24"/>
          <w:szCs w:val="24"/>
        </w:rPr>
        <w:t>Order No.</w:t>
      </w:r>
      <w:r w:rsidR="00AB2396">
        <w:rPr>
          <w:rFonts w:asciiTheme="minorHAnsi" w:hAnsiTheme="minorHAnsi"/>
          <w:sz w:val="24"/>
          <w:szCs w:val="24"/>
        </w:rPr>
        <w:t xml:space="preserve"> 04</w:t>
      </w:r>
      <w:r w:rsidR="00AB2396" w:rsidRPr="004277F1">
        <w:rPr>
          <w:rFonts w:asciiTheme="minorHAnsi" w:hAnsiTheme="minorHAnsi"/>
          <w:sz w:val="24"/>
          <w:szCs w:val="24"/>
        </w:rPr>
        <w:t xml:space="preserve"> issued in Docket No. </w:t>
      </w:r>
      <w:proofErr w:type="gramStart"/>
      <w:r w:rsidR="00AB2396" w:rsidRPr="004277F1">
        <w:rPr>
          <w:rFonts w:asciiTheme="minorHAnsi" w:hAnsiTheme="minorHAnsi"/>
          <w:sz w:val="24"/>
          <w:szCs w:val="24"/>
        </w:rPr>
        <w:t>UG-152286.</w:t>
      </w:r>
      <w:proofErr w:type="gramEnd"/>
    </w:p>
    <w:p w:rsidR="00AB2396" w:rsidRDefault="00AB2396" w:rsidP="004277F1">
      <w:pPr>
        <w:rPr>
          <w:rFonts w:asciiTheme="minorHAnsi" w:hAnsiTheme="minorHAnsi"/>
          <w:sz w:val="24"/>
          <w:szCs w:val="24"/>
        </w:rPr>
      </w:pPr>
    </w:p>
    <w:p w:rsidR="00AB2396" w:rsidRDefault="00AB2396" w:rsidP="00427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This compliance filing does not include a new tariff for the Company’s </w:t>
      </w:r>
      <w:r w:rsidR="00A67028" w:rsidRPr="004277F1">
        <w:rPr>
          <w:rFonts w:asciiTheme="minorHAnsi" w:hAnsiTheme="minorHAnsi"/>
          <w:sz w:val="24"/>
          <w:szCs w:val="24"/>
        </w:rPr>
        <w:t>Washington Energy Assistance Fund (WEAF) Program</w:t>
      </w:r>
      <w:r>
        <w:rPr>
          <w:rFonts w:asciiTheme="minorHAnsi" w:hAnsiTheme="minorHAnsi"/>
          <w:sz w:val="24"/>
          <w:szCs w:val="24"/>
        </w:rPr>
        <w:t xml:space="preserve"> or a WEAF Cost Recovery adjustment schedule as required per Commission </w:t>
      </w:r>
      <w:r w:rsidRPr="004277F1">
        <w:rPr>
          <w:rFonts w:asciiTheme="minorHAnsi" w:hAnsiTheme="minorHAnsi"/>
          <w:sz w:val="24"/>
          <w:szCs w:val="24"/>
        </w:rPr>
        <w:t>Order No.</w:t>
      </w:r>
      <w:r>
        <w:rPr>
          <w:rFonts w:asciiTheme="minorHAnsi" w:hAnsiTheme="minorHAnsi"/>
          <w:sz w:val="24"/>
          <w:szCs w:val="24"/>
        </w:rPr>
        <w:t xml:space="preserve"> 04</w:t>
      </w:r>
      <w:r w:rsidRPr="004277F1">
        <w:rPr>
          <w:rFonts w:asciiTheme="minorHAnsi" w:hAnsiTheme="minorHAnsi"/>
          <w:sz w:val="24"/>
          <w:szCs w:val="24"/>
        </w:rPr>
        <w:t xml:space="preserve"> issued in Docket No. </w:t>
      </w:r>
      <w:proofErr w:type="gramStart"/>
      <w:r w:rsidRPr="004277F1">
        <w:rPr>
          <w:rFonts w:asciiTheme="minorHAnsi" w:hAnsiTheme="minorHAnsi"/>
          <w:sz w:val="24"/>
          <w:szCs w:val="24"/>
        </w:rPr>
        <w:t>UG-152286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Company will file the new WEAF tariffs in a subsequent compliance filing that will be submitted </w:t>
      </w:r>
      <w:r w:rsidR="009D5A73">
        <w:rPr>
          <w:rFonts w:asciiTheme="minorHAnsi" w:hAnsiTheme="minorHAnsi"/>
          <w:sz w:val="24"/>
          <w:szCs w:val="24"/>
        </w:rPr>
        <w:t xml:space="preserve">in accordance with the Order, </w:t>
      </w:r>
      <w:r>
        <w:rPr>
          <w:rFonts w:asciiTheme="minorHAnsi" w:hAnsiTheme="minorHAnsi"/>
          <w:sz w:val="24"/>
          <w:szCs w:val="24"/>
        </w:rPr>
        <w:t xml:space="preserve">no less than ten days prior to the effective date of September 1, 2016.  </w:t>
      </w:r>
      <w:r w:rsidR="009D5A73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dditional time </w:t>
      </w:r>
      <w:r w:rsidR="009D5A73">
        <w:rPr>
          <w:rFonts w:asciiTheme="minorHAnsi" w:hAnsiTheme="minorHAnsi"/>
          <w:sz w:val="24"/>
          <w:szCs w:val="24"/>
        </w:rPr>
        <w:t xml:space="preserve">is necessary to </w:t>
      </w:r>
      <w:r>
        <w:rPr>
          <w:rFonts w:asciiTheme="minorHAnsi" w:hAnsiTheme="minorHAnsi"/>
          <w:sz w:val="24"/>
          <w:szCs w:val="24"/>
        </w:rPr>
        <w:t xml:space="preserve">allow the WEAF advisory group, formed as a result of the rate case, time to review the </w:t>
      </w:r>
      <w:r w:rsidR="009D5A73">
        <w:rPr>
          <w:rFonts w:asciiTheme="minorHAnsi" w:hAnsiTheme="minorHAnsi"/>
          <w:sz w:val="24"/>
          <w:szCs w:val="24"/>
        </w:rPr>
        <w:t xml:space="preserve">WEAF </w:t>
      </w:r>
      <w:r>
        <w:rPr>
          <w:rFonts w:asciiTheme="minorHAnsi" w:hAnsiTheme="minorHAnsi"/>
          <w:sz w:val="24"/>
          <w:szCs w:val="24"/>
        </w:rPr>
        <w:t xml:space="preserve">tariffs before they are submitted to the Commission for approval. </w:t>
      </w:r>
      <w:r w:rsidR="009D5A73">
        <w:rPr>
          <w:rFonts w:asciiTheme="minorHAnsi" w:hAnsiTheme="minorHAnsi"/>
          <w:sz w:val="24"/>
          <w:szCs w:val="24"/>
        </w:rPr>
        <w:t>However, the Company did list the new WEAF</w:t>
      </w:r>
      <w:r w:rsidR="002A2050">
        <w:rPr>
          <w:rFonts w:asciiTheme="minorHAnsi" w:hAnsiTheme="minorHAnsi"/>
          <w:sz w:val="24"/>
          <w:szCs w:val="24"/>
        </w:rPr>
        <w:t xml:space="preserve"> tariffs (Schedules 303 and 593)</w:t>
      </w:r>
      <w:r w:rsidR="009D5A73">
        <w:rPr>
          <w:rFonts w:asciiTheme="minorHAnsi" w:hAnsiTheme="minorHAnsi"/>
          <w:sz w:val="24"/>
          <w:szCs w:val="24"/>
        </w:rPr>
        <w:t xml:space="preserve"> in the table of contents (sheets 2 and 2A hereto attached) as they will be forthcoming. </w:t>
      </w:r>
    </w:p>
    <w:p w:rsidR="002A2050" w:rsidRDefault="002A2050" w:rsidP="004277F1">
      <w:pPr>
        <w:rPr>
          <w:rFonts w:asciiTheme="minorHAnsi" w:hAnsiTheme="minorHAnsi"/>
          <w:sz w:val="24"/>
          <w:szCs w:val="24"/>
        </w:rPr>
      </w:pPr>
    </w:p>
    <w:p w:rsidR="002A2050" w:rsidRDefault="002A2050" w:rsidP="00427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filing also does not include the housekeeping changes to Sheet</w:t>
      </w:r>
      <w:r w:rsidR="00E4230C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595 </w:t>
      </w:r>
      <w:r w:rsidR="00B67047">
        <w:rPr>
          <w:rFonts w:asciiTheme="minorHAnsi" w:hAnsiTheme="minorHAnsi"/>
          <w:sz w:val="24"/>
          <w:szCs w:val="24"/>
        </w:rPr>
        <w:t xml:space="preserve">from Schedule 595, Technical Temporary Adjustments </w:t>
      </w:r>
      <w:r>
        <w:rPr>
          <w:rFonts w:asciiTheme="minorHAnsi" w:hAnsiTheme="minorHAnsi"/>
          <w:sz w:val="24"/>
          <w:szCs w:val="24"/>
        </w:rPr>
        <w:t>because additional proposed changes to th</w:t>
      </w:r>
      <w:r w:rsidR="00E4230C">
        <w:rPr>
          <w:rFonts w:asciiTheme="minorHAnsi" w:hAnsiTheme="minorHAnsi"/>
          <w:sz w:val="24"/>
          <w:szCs w:val="24"/>
        </w:rPr>
        <w:t>ese</w:t>
      </w:r>
      <w:r>
        <w:rPr>
          <w:rFonts w:asciiTheme="minorHAnsi" w:hAnsiTheme="minorHAnsi"/>
          <w:sz w:val="24"/>
          <w:szCs w:val="24"/>
        </w:rPr>
        <w:t xml:space="preserve"> sheet</w:t>
      </w:r>
      <w:r w:rsidR="00E4230C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are </w:t>
      </w:r>
      <w:r w:rsidR="00E4230C">
        <w:rPr>
          <w:rFonts w:asciiTheme="minorHAnsi" w:hAnsiTheme="minorHAnsi"/>
          <w:sz w:val="24"/>
          <w:szCs w:val="24"/>
        </w:rPr>
        <w:t xml:space="preserve">proposed </w:t>
      </w:r>
      <w:r>
        <w:rPr>
          <w:rFonts w:asciiTheme="minorHAnsi" w:hAnsiTheme="minorHAnsi"/>
          <w:sz w:val="24"/>
          <w:szCs w:val="24"/>
        </w:rPr>
        <w:t xml:space="preserve">in the Company’s Purchased Gas Adjustment (PGA) filing </w:t>
      </w:r>
      <w:r w:rsidR="00E4230C">
        <w:rPr>
          <w:rFonts w:asciiTheme="minorHAnsi" w:hAnsiTheme="minorHAnsi"/>
          <w:sz w:val="24"/>
          <w:szCs w:val="24"/>
        </w:rPr>
        <w:t xml:space="preserve">submitted today as </w:t>
      </w:r>
      <w:r>
        <w:rPr>
          <w:rFonts w:asciiTheme="minorHAnsi" w:hAnsiTheme="minorHAnsi"/>
          <w:sz w:val="24"/>
          <w:szCs w:val="24"/>
        </w:rPr>
        <w:t xml:space="preserve">Advice No. </w:t>
      </w:r>
      <w:proofErr w:type="gramStart"/>
      <w:r>
        <w:rPr>
          <w:rFonts w:asciiTheme="minorHAnsi" w:hAnsiTheme="minorHAnsi"/>
          <w:sz w:val="24"/>
          <w:szCs w:val="24"/>
        </w:rPr>
        <w:t>W16-08-02.</w:t>
      </w:r>
      <w:proofErr w:type="gramEnd"/>
      <w:r>
        <w:rPr>
          <w:rFonts w:asciiTheme="minorHAnsi" w:hAnsiTheme="minorHAnsi"/>
          <w:sz w:val="24"/>
          <w:szCs w:val="24"/>
        </w:rPr>
        <w:t xml:space="preserve">  </w:t>
      </w:r>
      <w:r w:rsidR="00E4230C">
        <w:rPr>
          <w:rFonts w:asciiTheme="minorHAnsi" w:hAnsiTheme="minorHAnsi"/>
          <w:sz w:val="24"/>
          <w:szCs w:val="24"/>
        </w:rPr>
        <w:t xml:space="preserve">Sheet 595 </w:t>
      </w:r>
      <w:r>
        <w:rPr>
          <w:rFonts w:asciiTheme="minorHAnsi" w:hAnsiTheme="minorHAnsi"/>
          <w:sz w:val="24"/>
          <w:szCs w:val="24"/>
        </w:rPr>
        <w:t>as filed in the PGA include</w:t>
      </w:r>
      <w:r w:rsidR="00B67047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the housekeeping changes approved per Order No. 04 in UG-15228</w:t>
      </w:r>
      <w:r w:rsidR="007210C4">
        <w:rPr>
          <w:rFonts w:asciiTheme="minorHAnsi" w:hAnsiTheme="minorHAnsi"/>
          <w:sz w:val="24"/>
          <w:szCs w:val="24"/>
        </w:rPr>
        <w:t>6.</w:t>
      </w:r>
    </w:p>
    <w:p w:rsidR="00AB2396" w:rsidRPr="004277F1" w:rsidRDefault="00AB2396" w:rsidP="004277F1">
      <w:pPr>
        <w:rPr>
          <w:rFonts w:asciiTheme="minorHAnsi" w:hAnsiTheme="minorHAnsi"/>
          <w:sz w:val="24"/>
          <w:szCs w:val="24"/>
        </w:rPr>
      </w:pPr>
    </w:p>
    <w:p w:rsidR="00386D87" w:rsidRPr="004277F1" w:rsidRDefault="00386D87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Questions regarding this filing should be directed to Michael Parvinen at (509) 734-4593.</w:t>
      </w:r>
    </w:p>
    <w:p w:rsidR="00386D87" w:rsidRPr="004277F1" w:rsidRDefault="00386D87" w:rsidP="004277F1">
      <w:pPr>
        <w:rPr>
          <w:rFonts w:asciiTheme="minorHAnsi" w:hAnsiTheme="minorHAnsi"/>
          <w:sz w:val="24"/>
          <w:szCs w:val="24"/>
        </w:rPr>
      </w:pPr>
    </w:p>
    <w:p w:rsidR="00386D87" w:rsidRPr="004277F1" w:rsidRDefault="00386D87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Sincerely,</w:t>
      </w:r>
    </w:p>
    <w:p w:rsidR="002A42CD" w:rsidRDefault="002A42CD" w:rsidP="004277F1">
      <w:pPr>
        <w:rPr>
          <w:rFonts w:asciiTheme="minorHAnsi" w:hAnsiTheme="minorHAnsi"/>
          <w:sz w:val="24"/>
          <w:szCs w:val="24"/>
        </w:rPr>
      </w:pPr>
    </w:p>
    <w:p w:rsidR="00E24A71" w:rsidRPr="00F24CDF" w:rsidRDefault="00F24CDF" w:rsidP="004277F1">
      <w:pPr>
        <w:rPr>
          <w:rFonts w:asciiTheme="minorHAnsi" w:hAnsiTheme="minorHAnsi"/>
          <w:i/>
          <w:sz w:val="24"/>
          <w:szCs w:val="24"/>
        </w:rPr>
      </w:pPr>
      <w:bookmarkStart w:id="0" w:name="_GoBack"/>
      <w:r w:rsidRPr="00F24CDF">
        <w:rPr>
          <w:rFonts w:asciiTheme="minorHAnsi" w:hAnsiTheme="minorHAnsi"/>
          <w:i/>
          <w:sz w:val="24"/>
          <w:szCs w:val="24"/>
        </w:rPr>
        <w:t>/s/ Mike Parvinen</w:t>
      </w:r>
    </w:p>
    <w:bookmarkEnd w:id="0"/>
    <w:p w:rsidR="002A42CD" w:rsidRDefault="002A42CD" w:rsidP="004277F1">
      <w:pPr>
        <w:rPr>
          <w:rFonts w:asciiTheme="minorHAnsi" w:hAnsiTheme="minorHAnsi"/>
          <w:sz w:val="24"/>
          <w:szCs w:val="24"/>
        </w:rPr>
      </w:pPr>
    </w:p>
    <w:p w:rsidR="002A42CD" w:rsidRPr="004277F1" w:rsidRDefault="002A42CD" w:rsidP="004277F1">
      <w:pPr>
        <w:rPr>
          <w:rFonts w:asciiTheme="minorHAnsi" w:hAnsiTheme="minorHAnsi"/>
          <w:sz w:val="24"/>
          <w:szCs w:val="24"/>
        </w:rPr>
      </w:pPr>
      <w:r w:rsidRPr="004277F1">
        <w:rPr>
          <w:rFonts w:asciiTheme="minorHAnsi" w:hAnsiTheme="minorHAnsi"/>
          <w:sz w:val="24"/>
          <w:szCs w:val="24"/>
        </w:rPr>
        <w:t>Michael Parvinen</w:t>
      </w:r>
    </w:p>
    <w:p w:rsidR="004277F1" w:rsidRDefault="008642F9" w:rsidP="004277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Director, Regulatory Affair</w:t>
      </w:r>
      <w:r w:rsidR="007210C4">
        <w:rPr>
          <w:rFonts w:asciiTheme="minorHAnsi" w:hAnsiTheme="minorHAnsi"/>
          <w:sz w:val="24"/>
          <w:szCs w:val="24"/>
        </w:rPr>
        <w:t>s</w:t>
      </w:r>
    </w:p>
    <w:p w:rsidR="002A2050" w:rsidRDefault="002A2050" w:rsidP="008642F9">
      <w:pPr>
        <w:rPr>
          <w:rFonts w:asciiTheme="minorHAnsi" w:hAnsiTheme="minorHAnsi"/>
          <w:sz w:val="24"/>
          <w:szCs w:val="24"/>
        </w:rPr>
      </w:pPr>
    </w:p>
    <w:p w:rsidR="00E24A71" w:rsidRDefault="00E24A71" w:rsidP="008642F9">
      <w:pPr>
        <w:rPr>
          <w:rFonts w:asciiTheme="minorHAnsi" w:hAnsiTheme="minorHAnsi"/>
          <w:sz w:val="24"/>
          <w:szCs w:val="24"/>
        </w:rPr>
      </w:pPr>
    </w:p>
    <w:p w:rsidR="00386D87" w:rsidRPr="004277F1" w:rsidRDefault="002A42CD" w:rsidP="008642F9">
      <w:pPr>
        <w:rPr>
          <w:rFonts w:asciiTheme="minorHAnsi" w:hAnsiTheme="minorHAnsi"/>
          <w:iCs/>
          <w:spacing w:val="-4"/>
        </w:rPr>
      </w:pPr>
      <w:r w:rsidRPr="004277F1">
        <w:rPr>
          <w:rFonts w:asciiTheme="minorHAnsi" w:hAnsiTheme="minorHAnsi"/>
          <w:sz w:val="24"/>
          <w:szCs w:val="24"/>
        </w:rPr>
        <w:t>Enclosures</w:t>
      </w:r>
    </w:p>
    <w:sectPr w:rsidR="00386D87" w:rsidRPr="004277F1" w:rsidSect="002A2050">
      <w:type w:val="continuous"/>
      <w:pgSz w:w="12240" w:h="15840" w:code="1"/>
      <w:pgMar w:top="1141" w:right="1440" w:bottom="29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4A" w:rsidRDefault="00BA2C4A" w:rsidP="002A42CD">
      <w:r>
        <w:separator/>
      </w:r>
    </w:p>
  </w:endnote>
  <w:endnote w:type="continuationSeparator" w:id="0">
    <w:p w:rsidR="00BA2C4A" w:rsidRDefault="00BA2C4A" w:rsidP="002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20589201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2050" w:rsidRDefault="002A2050">
            <w:pPr>
              <w:pStyle w:val="Footer"/>
              <w:jc w:val="center"/>
              <w:rPr>
                <w:rFonts w:asciiTheme="minorHAnsi" w:hAnsiTheme="minorHAnsi"/>
              </w:rPr>
            </w:pPr>
            <w:r w:rsidRPr="004277F1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8DB61E" wp14:editId="459077A3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-123825</wp:posOffset>
                  </wp:positionV>
                  <wp:extent cx="2441575" cy="243840"/>
                  <wp:effectExtent l="0" t="0" r="0" b="3810"/>
                  <wp:wrapNone/>
                  <wp:docPr id="7" name="Picture 7" descr="CNG-Color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NG-Color-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2CD" w:rsidRPr="004277F1" w:rsidRDefault="002A42CD">
            <w:pPr>
              <w:pStyle w:val="Footer"/>
              <w:jc w:val="center"/>
              <w:rPr>
                <w:rFonts w:asciiTheme="minorHAnsi" w:hAnsiTheme="minorHAnsi"/>
              </w:rPr>
            </w:pPr>
            <w:r w:rsidRPr="004277F1">
              <w:rPr>
                <w:rFonts w:asciiTheme="minorHAnsi" w:hAnsiTheme="minorHAnsi"/>
              </w:rPr>
              <w:t xml:space="preserve">Page 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4277F1">
              <w:rPr>
                <w:rFonts w:asciiTheme="minorHAnsi" w:hAnsiTheme="minorHAnsi"/>
                <w:bCs/>
              </w:rPr>
              <w:instrText xml:space="preserve"> PAGE </w:instrTex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BB3AD8">
              <w:rPr>
                <w:rFonts w:asciiTheme="minorHAnsi" w:hAnsiTheme="minorHAnsi"/>
                <w:bCs/>
                <w:noProof/>
              </w:rPr>
              <w:t>1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4277F1">
              <w:rPr>
                <w:rFonts w:asciiTheme="minorHAnsi" w:hAnsiTheme="minorHAnsi"/>
              </w:rPr>
              <w:t xml:space="preserve"> of 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4277F1">
              <w:rPr>
                <w:rFonts w:asciiTheme="minorHAnsi" w:hAnsiTheme="minorHAnsi"/>
                <w:bCs/>
              </w:rPr>
              <w:instrText xml:space="preserve"> NUMPAGES  </w:instrTex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BB3AD8">
              <w:rPr>
                <w:rFonts w:asciiTheme="minorHAnsi" w:hAnsiTheme="minorHAnsi"/>
                <w:bCs/>
                <w:noProof/>
              </w:rPr>
              <w:t>2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42CD" w:rsidRPr="004277F1" w:rsidRDefault="002A42CD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9441768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142194369"/>
          <w:docPartObj>
            <w:docPartGallery w:val="Page Numbers (Top of Page)"/>
            <w:docPartUnique/>
          </w:docPartObj>
        </w:sdtPr>
        <w:sdtEndPr/>
        <w:sdtContent>
          <w:p w:rsidR="00E24A71" w:rsidRDefault="00E24A71">
            <w:pPr>
              <w:pStyle w:val="Footer"/>
              <w:jc w:val="center"/>
              <w:rPr>
                <w:rFonts w:asciiTheme="minorHAnsi" w:hAnsiTheme="minorHAnsi"/>
              </w:rPr>
            </w:pPr>
          </w:p>
          <w:p w:rsidR="00E24A71" w:rsidRPr="004277F1" w:rsidRDefault="00E24A71">
            <w:pPr>
              <w:pStyle w:val="Footer"/>
              <w:jc w:val="center"/>
              <w:rPr>
                <w:rFonts w:asciiTheme="minorHAnsi" w:hAnsiTheme="minorHAnsi"/>
              </w:rPr>
            </w:pPr>
            <w:r w:rsidRPr="004277F1">
              <w:rPr>
                <w:rFonts w:asciiTheme="minorHAnsi" w:hAnsiTheme="minorHAnsi"/>
              </w:rPr>
              <w:t xml:space="preserve">Page 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4277F1">
              <w:rPr>
                <w:rFonts w:asciiTheme="minorHAnsi" w:hAnsiTheme="minorHAnsi"/>
                <w:bCs/>
              </w:rPr>
              <w:instrText xml:space="preserve"> PAGE </w:instrTex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F24CDF">
              <w:rPr>
                <w:rFonts w:asciiTheme="minorHAnsi" w:hAnsiTheme="minorHAnsi"/>
                <w:bCs/>
                <w:noProof/>
              </w:rPr>
              <w:t>2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4277F1">
              <w:rPr>
                <w:rFonts w:asciiTheme="minorHAnsi" w:hAnsiTheme="minorHAnsi"/>
              </w:rPr>
              <w:t xml:space="preserve"> of 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4277F1">
              <w:rPr>
                <w:rFonts w:asciiTheme="minorHAnsi" w:hAnsiTheme="minorHAnsi"/>
                <w:bCs/>
              </w:rPr>
              <w:instrText xml:space="preserve"> NUMPAGES  </w:instrTex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F24CDF">
              <w:rPr>
                <w:rFonts w:asciiTheme="minorHAnsi" w:hAnsiTheme="minorHAnsi"/>
                <w:bCs/>
                <w:noProof/>
              </w:rPr>
              <w:t>2</w:t>
            </w:r>
            <w:r w:rsidRPr="004277F1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4A71" w:rsidRPr="004277F1" w:rsidRDefault="00E24A7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4A" w:rsidRDefault="00BA2C4A" w:rsidP="002A42CD">
      <w:r>
        <w:separator/>
      </w:r>
    </w:p>
  </w:footnote>
  <w:footnote w:type="continuationSeparator" w:id="0">
    <w:p w:rsidR="00BA2C4A" w:rsidRDefault="00BA2C4A" w:rsidP="002A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9A" w:rsidRDefault="0022189A">
    <w:pPr>
      <w:pStyle w:val="Header"/>
      <w:rPr>
        <w:rFonts w:asciiTheme="minorHAnsi" w:hAnsiTheme="minorHAnsi"/>
        <w:sz w:val="24"/>
        <w:szCs w:val="24"/>
      </w:rPr>
    </w:pPr>
  </w:p>
  <w:p w:rsidR="0022189A" w:rsidRDefault="002218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9A" w:rsidRDefault="0022189A">
    <w:pPr>
      <w:pStyle w:val="Header"/>
      <w:rPr>
        <w:rFonts w:asciiTheme="minorHAnsi" w:hAnsiTheme="minorHAnsi"/>
        <w:sz w:val="24"/>
        <w:szCs w:val="24"/>
      </w:rPr>
    </w:pPr>
  </w:p>
  <w:p w:rsidR="0022189A" w:rsidRPr="0022189A" w:rsidRDefault="0022189A">
    <w:pPr>
      <w:pStyle w:val="Header"/>
      <w:rPr>
        <w:rFonts w:asciiTheme="minorHAnsi" w:hAnsiTheme="minorHAnsi"/>
        <w:b/>
        <w:sz w:val="24"/>
        <w:szCs w:val="24"/>
      </w:rPr>
    </w:pPr>
    <w:r w:rsidRPr="0022189A">
      <w:rPr>
        <w:rFonts w:asciiTheme="minorHAnsi" w:hAnsiTheme="minorHAnsi"/>
        <w:b/>
        <w:sz w:val="24"/>
        <w:szCs w:val="24"/>
      </w:rPr>
      <w:t xml:space="preserve">CNGC Advice No. </w:t>
    </w:r>
    <w:r w:rsidR="00E4230C">
      <w:rPr>
        <w:rFonts w:asciiTheme="minorHAnsi" w:hAnsiTheme="minorHAnsi"/>
        <w:b/>
        <w:sz w:val="24"/>
        <w:szCs w:val="24"/>
      </w:rPr>
      <w:t>W</w:t>
    </w:r>
    <w:r w:rsidRPr="0022189A">
      <w:rPr>
        <w:rFonts w:asciiTheme="minorHAnsi" w:hAnsiTheme="minorHAnsi"/>
        <w:b/>
        <w:sz w:val="24"/>
        <w:szCs w:val="24"/>
      </w:rPr>
      <w:t>16-08-01</w:t>
    </w:r>
  </w:p>
  <w:p w:rsidR="0022189A" w:rsidRDefault="00221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18B"/>
    <w:multiLevelType w:val="hybridMultilevel"/>
    <w:tmpl w:val="15361F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9"/>
    <w:rsid w:val="000723D9"/>
    <w:rsid w:val="000B69E1"/>
    <w:rsid w:val="000F0D55"/>
    <w:rsid w:val="00127D86"/>
    <w:rsid w:val="00130C27"/>
    <w:rsid w:val="00180BE4"/>
    <w:rsid w:val="001C2AC9"/>
    <w:rsid w:val="001E1AF7"/>
    <w:rsid w:val="002114D8"/>
    <w:rsid w:val="0022189A"/>
    <w:rsid w:val="002A2050"/>
    <w:rsid w:val="002A42CD"/>
    <w:rsid w:val="002D1A92"/>
    <w:rsid w:val="003337C2"/>
    <w:rsid w:val="00386D87"/>
    <w:rsid w:val="003C0546"/>
    <w:rsid w:val="00422E8D"/>
    <w:rsid w:val="004277F1"/>
    <w:rsid w:val="004318BA"/>
    <w:rsid w:val="0046341A"/>
    <w:rsid w:val="00487576"/>
    <w:rsid w:val="004A49F3"/>
    <w:rsid w:val="004A6F66"/>
    <w:rsid w:val="004D6E59"/>
    <w:rsid w:val="004E1995"/>
    <w:rsid w:val="00503435"/>
    <w:rsid w:val="00550C7B"/>
    <w:rsid w:val="00554A74"/>
    <w:rsid w:val="00570304"/>
    <w:rsid w:val="00623BFC"/>
    <w:rsid w:val="00642785"/>
    <w:rsid w:val="00692A37"/>
    <w:rsid w:val="006B1679"/>
    <w:rsid w:val="006E259B"/>
    <w:rsid w:val="006E7621"/>
    <w:rsid w:val="007210C4"/>
    <w:rsid w:val="007267D8"/>
    <w:rsid w:val="00735A13"/>
    <w:rsid w:val="00786A55"/>
    <w:rsid w:val="007C06B1"/>
    <w:rsid w:val="00803AB2"/>
    <w:rsid w:val="00845D4A"/>
    <w:rsid w:val="008642F9"/>
    <w:rsid w:val="00891939"/>
    <w:rsid w:val="008D41BE"/>
    <w:rsid w:val="008E50EA"/>
    <w:rsid w:val="008F4219"/>
    <w:rsid w:val="009010E8"/>
    <w:rsid w:val="009074E6"/>
    <w:rsid w:val="00944858"/>
    <w:rsid w:val="00967E0F"/>
    <w:rsid w:val="009A3307"/>
    <w:rsid w:val="009D5A73"/>
    <w:rsid w:val="009F33EF"/>
    <w:rsid w:val="00A02100"/>
    <w:rsid w:val="00A520F6"/>
    <w:rsid w:val="00A67028"/>
    <w:rsid w:val="00AA2EC0"/>
    <w:rsid w:val="00AA7909"/>
    <w:rsid w:val="00AB2396"/>
    <w:rsid w:val="00AC4645"/>
    <w:rsid w:val="00B10E93"/>
    <w:rsid w:val="00B53311"/>
    <w:rsid w:val="00B67047"/>
    <w:rsid w:val="00B7721C"/>
    <w:rsid w:val="00BA2C4A"/>
    <w:rsid w:val="00BB3AD8"/>
    <w:rsid w:val="00C00742"/>
    <w:rsid w:val="00CC506F"/>
    <w:rsid w:val="00D87610"/>
    <w:rsid w:val="00E121C8"/>
    <w:rsid w:val="00E24A71"/>
    <w:rsid w:val="00E4230C"/>
    <w:rsid w:val="00EA3989"/>
    <w:rsid w:val="00F000F3"/>
    <w:rsid w:val="00F01844"/>
    <w:rsid w:val="00F24CDF"/>
    <w:rsid w:val="00F25E57"/>
    <w:rsid w:val="00F62D5A"/>
    <w:rsid w:val="00F71C89"/>
    <w:rsid w:val="00F82891"/>
    <w:rsid w:val="00F925FB"/>
    <w:rsid w:val="00FD5570"/>
    <w:rsid w:val="00FF2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  <w:style w:type="character" w:styleId="CommentReference">
    <w:name w:val="annotation reference"/>
    <w:basedOn w:val="DefaultParagraphFont"/>
    <w:rsid w:val="00AA2E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EC0"/>
  </w:style>
  <w:style w:type="character" w:customStyle="1" w:styleId="CommentTextChar">
    <w:name w:val="Comment Text Char"/>
    <w:basedOn w:val="DefaultParagraphFont"/>
    <w:link w:val="CommentText"/>
    <w:rsid w:val="00AA2EC0"/>
  </w:style>
  <w:style w:type="paragraph" w:styleId="CommentSubject">
    <w:name w:val="annotation subject"/>
    <w:basedOn w:val="CommentText"/>
    <w:next w:val="CommentText"/>
    <w:link w:val="CommentSubjectChar"/>
    <w:rsid w:val="00AA2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2EC0"/>
    <w:rPr>
      <w:b/>
      <w:bCs/>
    </w:rPr>
  </w:style>
  <w:style w:type="paragraph" w:styleId="BalloonText">
    <w:name w:val="Balloon Text"/>
    <w:basedOn w:val="Normal"/>
    <w:link w:val="BalloonTextChar"/>
    <w:rsid w:val="00AA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CD"/>
  </w:style>
  <w:style w:type="paragraph" w:styleId="Footer">
    <w:name w:val="footer"/>
    <w:basedOn w:val="Normal"/>
    <w:link w:val="FooterChar"/>
    <w:uiPriority w:val="99"/>
    <w:rsid w:val="002A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CD"/>
  </w:style>
  <w:style w:type="paragraph" w:styleId="ListParagraph">
    <w:name w:val="List Paragraph"/>
    <w:basedOn w:val="Normal"/>
    <w:uiPriority w:val="34"/>
    <w:qFormat/>
    <w:rsid w:val="003C0546"/>
    <w:pPr>
      <w:ind w:left="720"/>
      <w:contextualSpacing/>
    </w:pPr>
  </w:style>
  <w:style w:type="character" w:styleId="CommentReference">
    <w:name w:val="annotation reference"/>
    <w:basedOn w:val="DefaultParagraphFont"/>
    <w:rsid w:val="00AA2E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EC0"/>
  </w:style>
  <w:style w:type="character" w:customStyle="1" w:styleId="CommentTextChar">
    <w:name w:val="Comment Text Char"/>
    <w:basedOn w:val="DefaultParagraphFont"/>
    <w:link w:val="CommentText"/>
    <w:rsid w:val="00AA2EC0"/>
  </w:style>
  <w:style w:type="paragraph" w:styleId="CommentSubject">
    <w:name w:val="annotation subject"/>
    <w:basedOn w:val="CommentText"/>
    <w:next w:val="CommentText"/>
    <w:link w:val="CommentSubjectChar"/>
    <w:rsid w:val="00AA2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2EC0"/>
    <w:rPr>
      <w:b/>
      <w:bCs/>
    </w:rPr>
  </w:style>
  <w:style w:type="paragraph" w:styleId="BalloonText">
    <w:name w:val="Balloon Text"/>
    <w:basedOn w:val="Normal"/>
    <w:link w:val="BalloonTextChar"/>
    <w:rsid w:val="00AA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ngc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5ECA6-2E52-4E29-B435-6EBA8C4E713A}"/>
</file>

<file path=customXml/itemProps2.xml><?xml version="1.0" encoding="utf-8"?>
<ds:datastoreItem xmlns:ds="http://schemas.openxmlformats.org/officeDocument/2006/customXml" ds:itemID="{06F19525-4344-4866-A094-47483E2DEA54}"/>
</file>

<file path=customXml/itemProps3.xml><?xml version="1.0" encoding="utf-8"?>
<ds:datastoreItem xmlns:ds="http://schemas.openxmlformats.org/officeDocument/2006/customXml" ds:itemID="{EC9D8A15-4E79-4134-A952-468201F37AFF}"/>
</file>

<file path=customXml/itemProps4.xml><?xml version="1.0" encoding="utf-8"?>
<ds:datastoreItem xmlns:ds="http://schemas.openxmlformats.org/officeDocument/2006/customXml" ds:itemID="{95503C61-486B-4C7D-9BF8-DA65996B1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607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3903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Jennifer Gross</cp:lastModifiedBy>
  <cp:revision>15</cp:revision>
  <cp:lastPrinted>2015-12-01T18:52:00Z</cp:lastPrinted>
  <dcterms:created xsi:type="dcterms:W3CDTF">2016-07-20T16:49:00Z</dcterms:created>
  <dcterms:modified xsi:type="dcterms:W3CDTF">2016-08-01T21:48:00Z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