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4"/>
      </w:tblGrid>
      <w:tr w:rsidR="009418C8" w:rsidTr="009418C8">
        <w:tc>
          <w:tcPr>
            <w:tcW w:w="1638" w:type="dxa"/>
            <w:vAlign w:val="center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D5A23">
              <w:rPr>
                <w:rFonts w:ascii="Times New Roman" w:hAnsi="Times New Roman"/>
              </w:rPr>
              <w:t>Agenda Date:</w:t>
            </w:r>
          </w:p>
        </w:tc>
        <w:tc>
          <w:tcPr>
            <w:tcW w:w="7920" w:type="dxa"/>
          </w:tcPr>
          <w:p w:rsidR="009418C8" w:rsidRDefault="00610273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13</w:t>
            </w:r>
            <w:r w:rsidR="005C46F0">
              <w:rPr>
                <w:rFonts w:ascii="Times New Roman" w:hAnsi="Times New Roman"/>
              </w:rPr>
              <w:t>, 2015</w:t>
            </w:r>
          </w:p>
        </w:tc>
      </w:tr>
      <w:tr w:rsidR="00B63FE4" w:rsidTr="009418C8">
        <w:tc>
          <w:tcPr>
            <w:tcW w:w="1638" w:type="dxa"/>
            <w:vAlign w:val="center"/>
          </w:tcPr>
          <w:p w:rsidR="00B63FE4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 Number:</w:t>
            </w:r>
          </w:p>
        </w:tc>
        <w:tc>
          <w:tcPr>
            <w:tcW w:w="7920" w:type="dxa"/>
          </w:tcPr>
          <w:p w:rsidR="00B63FE4" w:rsidRDefault="003A59CF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</w:t>
            </w:r>
          </w:p>
        </w:tc>
      </w:tr>
      <w:tr w:rsidR="009418C8" w:rsidTr="009418C8">
        <w:trPr>
          <w:trHeight w:val="234"/>
        </w:trPr>
        <w:tc>
          <w:tcPr>
            <w:tcW w:w="1638" w:type="dxa"/>
            <w:vAlign w:val="center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</w:tr>
      <w:tr w:rsidR="009418C8" w:rsidTr="009418C8">
        <w:tc>
          <w:tcPr>
            <w:tcW w:w="1638" w:type="dxa"/>
            <w:vAlign w:val="center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Docket:</w:t>
            </w:r>
          </w:p>
        </w:tc>
        <w:tc>
          <w:tcPr>
            <w:tcW w:w="7920" w:type="dxa"/>
          </w:tcPr>
          <w:p w:rsidR="009418C8" w:rsidRPr="009418C8" w:rsidRDefault="009418C8" w:rsidP="005C46F0">
            <w:pPr>
              <w:tabs>
                <w:tab w:val="left" w:pos="1530"/>
              </w:tabs>
              <w:rPr>
                <w:rFonts w:ascii="Times New Roman" w:hAnsi="Times New Roman"/>
                <w:b/>
                <w:bCs/>
              </w:rPr>
            </w:pPr>
            <w:r w:rsidRPr="002D5A23">
              <w:rPr>
                <w:rFonts w:ascii="Times New Roman" w:hAnsi="Times New Roman"/>
                <w:b/>
                <w:bCs/>
              </w:rPr>
              <w:t>U</w:t>
            </w:r>
            <w:r>
              <w:rPr>
                <w:rFonts w:ascii="Times New Roman" w:hAnsi="Times New Roman"/>
                <w:b/>
                <w:bCs/>
              </w:rPr>
              <w:t>E-1</w:t>
            </w:r>
            <w:r w:rsidR="005C46F0">
              <w:rPr>
                <w:rFonts w:ascii="Times New Roman" w:hAnsi="Times New Roman"/>
                <w:b/>
                <w:bCs/>
              </w:rPr>
              <w:t>50200</w:t>
            </w:r>
          </w:p>
        </w:tc>
      </w:tr>
      <w:tr w:rsidR="009418C8" w:rsidTr="009418C8">
        <w:tc>
          <w:tcPr>
            <w:tcW w:w="1638" w:type="dxa"/>
            <w:vAlign w:val="center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Company:</w:t>
            </w:r>
          </w:p>
        </w:tc>
        <w:tc>
          <w:tcPr>
            <w:tcW w:w="7920" w:type="dxa"/>
          </w:tcPr>
          <w:p w:rsidR="009418C8" w:rsidRDefault="005C46F0" w:rsidP="00A05655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  </w:t>
            </w:r>
          </w:p>
        </w:tc>
      </w:tr>
      <w:tr w:rsidR="009418C8" w:rsidTr="009418C8">
        <w:tc>
          <w:tcPr>
            <w:tcW w:w="1638" w:type="dxa"/>
            <w:vAlign w:val="center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:rsidR="009418C8" w:rsidRDefault="009418C8" w:rsidP="009418C8">
            <w:pPr>
              <w:tabs>
                <w:tab w:val="left" w:pos="1530"/>
              </w:tabs>
              <w:rPr>
                <w:rFonts w:ascii="Times New Roman" w:hAnsi="Times New Roman"/>
              </w:rPr>
            </w:pPr>
          </w:p>
        </w:tc>
      </w:tr>
      <w:tr w:rsidR="009418C8" w:rsidTr="002D4F42">
        <w:tc>
          <w:tcPr>
            <w:tcW w:w="1638" w:type="dxa"/>
          </w:tcPr>
          <w:p w:rsidR="009418C8" w:rsidRDefault="009418C8" w:rsidP="002D4F42">
            <w:pPr>
              <w:tabs>
                <w:tab w:val="left" w:pos="1530"/>
              </w:tabs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Staff:</w:t>
            </w:r>
          </w:p>
        </w:tc>
        <w:tc>
          <w:tcPr>
            <w:tcW w:w="7920" w:type="dxa"/>
          </w:tcPr>
          <w:p w:rsidR="002D4F42" w:rsidRDefault="009418C8" w:rsidP="002D4F42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 w:rsidRPr="002D5A23">
              <w:rPr>
                <w:rFonts w:ascii="Times New Roman" w:hAnsi="Times New Roman"/>
              </w:rPr>
              <w:t>Jason Ball, Regulatory Analyst</w:t>
            </w:r>
          </w:p>
          <w:p w:rsidR="002D4F42" w:rsidRDefault="002D4F42" w:rsidP="002D4F42">
            <w:pPr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Christopher Hancock, Regulatory Analyst</w:t>
            </w:r>
          </w:p>
        </w:tc>
      </w:tr>
    </w:tbl>
    <w:p w:rsidR="003B18D4" w:rsidRPr="002D5A23" w:rsidRDefault="003B18D4" w:rsidP="003B18D4">
      <w:pPr>
        <w:rPr>
          <w:rFonts w:ascii="Times New Roman" w:hAnsi="Times New Roman"/>
        </w:rPr>
      </w:pPr>
    </w:p>
    <w:p w:rsidR="00470F54" w:rsidRPr="002D5A23" w:rsidRDefault="00470F54" w:rsidP="00A05655">
      <w:pPr>
        <w:rPr>
          <w:rFonts w:ascii="Times New Roman" w:hAnsi="Times New Roman"/>
          <w:b/>
          <w:bCs/>
          <w:u w:val="single"/>
        </w:rPr>
      </w:pPr>
      <w:r w:rsidRPr="002D5A23">
        <w:rPr>
          <w:rFonts w:ascii="Times New Roman" w:hAnsi="Times New Roman"/>
          <w:b/>
          <w:bCs/>
          <w:u w:val="single"/>
        </w:rPr>
        <w:t>Recommendation</w:t>
      </w:r>
    </w:p>
    <w:p w:rsidR="00470F54" w:rsidRPr="002D5A23" w:rsidRDefault="00470F54" w:rsidP="00A05655">
      <w:pPr>
        <w:rPr>
          <w:rFonts w:ascii="Times New Roman" w:hAnsi="Times New Roman"/>
        </w:rPr>
      </w:pPr>
    </w:p>
    <w:p w:rsidR="00470F54" w:rsidRPr="002D5A23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 thereby allowing the proposed revision to Schedule 85 – Line Extensions and Service Lines to become effective August </w:t>
      </w:r>
      <w:r w:rsidR="00A05655">
        <w:rPr>
          <w:rFonts w:ascii="Times New Roman" w:hAnsi="Times New Roman"/>
        </w:rPr>
        <w:t>14, 2015</w:t>
      </w:r>
      <w:r w:rsidR="005512EF">
        <w:rPr>
          <w:rFonts w:ascii="Times New Roman" w:hAnsi="Times New Roman"/>
        </w:rPr>
        <w:t>,</w:t>
      </w:r>
      <w:r w:rsidR="00A05655">
        <w:rPr>
          <w:rFonts w:ascii="Times New Roman" w:hAnsi="Times New Roman"/>
        </w:rPr>
        <w:t xml:space="preserve"> by operation of law.  </w:t>
      </w:r>
    </w:p>
    <w:p w:rsidR="00470F54" w:rsidRPr="002D5A23" w:rsidRDefault="00470F54" w:rsidP="00A05655">
      <w:pPr>
        <w:rPr>
          <w:rFonts w:ascii="Times New Roman" w:hAnsi="Times New Roman"/>
        </w:rPr>
      </w:pPr>
    </w:p>
    <w:p w:rsidR="00470F54" w:rsidRPr="002D5A23" w:rsidRDefault="00470F54" w:rsidP="00A0565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:rsidR="00470F54" w:rsidRPr="002D5A23" w:rsidRDefault="00470F54" w:rsidP="00E71002">
      <w:pPr>
        <w:rPr>
          <w:rFonts w:ascii="Times New Roman" w:hAnsi="Times New Roman"/>
        </w:rPr>
      </w:pPr>
    </w:p>
    <w:p w:rsidR="00E41876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On February 6, 2015</w:t>
      </w:r>
      <w:r w:rsidR="005512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Puget Sound Energy (PSE or </w:t>
      </w:r>
      <w:r w:rsidR="00A0565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ompany) </w:t>
      </w:r>
      <w:r w:rsidR="00087B5E">
        <w:rPr>
          <w:rFonts w:ascii="Times New Roman" w:hAnsi="Times New Roman"/>
        </w:rPr>
        <w:t>filed proposed revisions to electric line extensions and service lines.</w:t>
      </w:r>
      <w:r w:rsidR="002A1161">
        <w:rPr>
          <w:rFonts w:ascii="Times New Roman" w:hAnsi="Times New Roman"/>
        </w:rPr>
        <w:t xml:space="preserve"> </w:t>
      </w:r>
      <w:r w:rsidR="00870EA8">
        <w:rPr>
          <w:rFonts w:ascii="Times New Roman" w:hAnsi="Times New Roman"/>
        </w:rPr>
        <w:t xml:space="preserve">Line extensions are divided into different </w:t>
      </w:r>
      <w:r w:rsidR="00190D9D">
        <w:rPr>
          <w:rFonts w:ascii="Times New Roman" w:hAnsi="Times New Roman"/>
        </w:rPr>
        <w:t>categories</w:t>
      </w:r>
      <w:r w:rsidR="00870EA8">
        <w:rPr>
          <w:rFonts w:ascii="Times New Roman" w:hAnsi="Times New Roman"/>
        </w:rPr>
        <w:t xml:space="preserve"> based upon such factors as the </w:t>
      </w:r>
      <w:r w:rsidR="00190D9D">
        <w:rPr>
          <w:rFonts w:ascii="Times New Roman" w:hAnsi="Times New Roman"/>
        </w:rPr>
        <w:t>voltage</w:t>
      </w:r>
      <w:r w:rsidR="006E4075">
        <w:rPr>
          <w:rFonts w:ascii="Times New Roman" w:hAnsi="Times New Roman"/>
        </w:rPr>
        <w:t xml:space="preserve"> provided</w:t>
      </w:r>
      <w:r w:rsidR="00190D9D">
        <w:rPr>
          <w:rFonts w:ascii="Times New Roman" w:hAnsi="Times New Roman"/>
        </w:rPr>
        <w:t>, the length</w:t>
      </w:r>
      <w:r w:rsidR="006E4075">
        <w:rPr>
          <w:rFonts w:ascii="Times New Roman" w:hAnsi="Times New Roman"/>
        </w:rPr>
        <w:t xml:space="preserve"> of the extension</w:t>
      </w:r>
      <w:r w:rsidR="00190D9D">
        <w:rPr>
          <w:rFonts w:ascii="Times New Roman" w:hAnsi="Times New Roman"/>
        </w:rPr>
        <w:t xml:space="preserve">, or whether the service is </w:t>
      </w:r>
      <w:r w:rsidR="00870EA8">
        <w:rPr>
          <w:rFonts w:ascii="Times New Roman" w:hAnsi="Times New Roman"/>
        </w:rPr>
        <w:t>underground or overhead</w:t>
      </w:r>
      <w:r w:rsidR="006E4075">
        <w:rPr>
          <w:rFonts w:ascii="Times New Roman" w:hAnsi="Times New Roman"/>
        </w:rPr>
        <w:t>; a</w:t>
      </w:r>
      <w:r w:rsidR="00190D9D">
        <w:rPr>
          <w:rFonts w:ascii="Times New Roman" w:hAnsi="Times New Roman"/>
        </w:rPr>
        <w:t>dditionally, certain types of exte</w:t>
      </w:r>
      <w:r w:rsidR="002A1161">
        <w:rPr>
          <w:rFonts w:ascii="Times New Roman" w:hAnsi="Times New Roman"/>
        </w:rPr>
        <w:t xml:space="preserve">nsions have a per foot charge. </w:t>
      </w:r>
      <w:r w:rsidR="00190D9D">
        <w:rPr>
          <w:rFonts w:ascii="Times New Roman" w:hAnsi="Times New Roman"/>
        </w:rPr>
        <w:t xml:space="preserve">PSE’s proposed </w:t>
      </w:r>
      <w:r w:rsidR="00404D46">
        <w:rPr>
          <w:rFonts w:ascii="Times New Roman" w:hAnsi="Times New Roman"/>
        </w:rPr>
        <w:t xml:space="preserve">tariff rates </w:t>
      </w:r>
      <w:r w:rsidR="00AE6F69">
        <w:rPr>
          <w:rFonts w:ascii="Times New Roman" w:hAnsi="Times New Roman"/>
        </w:rPr>
        <w:t xml:space="preserve">vary </w:t>
      </w:r>
      <w:r w:rsidR="00404D46">
        <w:rPr>
          <w:rFonts w:ascii="Times New Roman" w:hAnsi="Times New Roman"/>
        </w:rPr>
        <w:t xml:space="preserve">from a decrease of 30 percent to an increase of approximately 69 percent </w:t>
      </w:r>
      <w:r w:rsidR="00AE6F69">
        <w:rPr>
          <w:rFonts w:ascii="Times New Roman" w:hAnsi="Times New Roman"/>
        </w:rPr>
        <w:t>between each of these different categories</w:t>
      </w:r>
      <w:r w:rsidR="002A1161">
        <w:rPr>
          <w:rFonts w:ascii="Times New Roman" w:hAnsi="Times New Roman"/>
        </w:rPr>
        <w:t xml:space="preserve">. </w:t>
      </w:r>
      <w:r w:rsidR="00B21627">
        <w:rPr>
          <w:rFonts w:ascii="Times New Roman" w:hAnsi="Times New Roman"/>
        </w:rPr>
        <w:t xml:space="preserve">Most of the proposed changes are an increase </w:t>
      </w:r>
      <w:r w:rsidR="006E4075">
        <w:rPr>
          <w:rFonts w:ascii="Times New Roman" w:hAnsi="Times New Roman"/>
        </w:rPr>
        <w:t>between</w:t>
      </w:r>
      <w:r w:rsidR="00B21627">
        <w:rPr>
          <w:rFonts w:ascii="Times New Roman" w:hAnsi="Times New Roman"/>
        </w:rPr>
        <w:t xml:space="preserve"> 10 </w:t>
      </w:r>
      <w:r w:rsidR="006E4075">
        <w:rPr>
          <w:rFonts w:ascii="Times New Roman" w:hAnsi="Times New Roman"/>
        </w:rPr>
        <w:t>and</w:t>
      </w:r>
      <w:r w:rsidR="00B21627">
        <w:rPr>
          <w:rFonts w:ascii="Times New Roman" w:hAnsi="Times New Roman"/>
        </w:rPr>
        <w:t xml:space="preserve"> 20 percent.   </w:t>
      </w:r>
    </w:p>
    <w:p w:rsidR="00870EA8" w:rsidRDefault="00870EA8" w:rsidP="00E71002">
      <w:pPr>
        <w:rPr>
          <w:rFonts w:ascii="Times New Roman" w:hAnsi="Times New Roman"/>
        </w:rPr>
      </w:pPr>
    </w:p>
    <w:p w:rsidR="00870EA8" w:rsidRDefault="006E4075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The tariffs also included separate rate effective dates for each of the diff</w:t>
      </w:r>
      <w:r w:rsidR="002A1161">
        <w:rPr>
          <w:rFonts w:ascii="Times New Roman" w:hAnsi="Times New Roman"/>
        </w:rPr>
        <w:t xml:space="preserve">erent categories listed above. </w:t>
      </w:r>
      <w:r w:rsidR="00870EA8">
        <w:rPr>
          <w:rFonts w:ascii="Times New Roman" w:hAnsi="Times New Roman"/>
        </w:rPr>
        <w:t xml:space="preserve">On </w:t>
      </w:r>
      <w:r w:rsidR="00015292">
        <w:rPr>
          <w:rFonts w:ascii="Times New Roman" w:hAnsi="Times New Roman"/>
        </w:rPr>
        <w:t xml:space="preserve">May 21, </w:t>
      </w:r>
      <w:r>
        <w:rPr>
          <w:rFonts w:ascii="Times New Roman" w:hAnsi="Times New Roman"/>
        </w:rPr>
        <w:t>2015, at the request of Staff, PSE f</w:t>
      </w:r>
      <w:r w:rsidR="00870EA8">
        <w:rPr>
          <w:rFonts w:ascii="Times New Roman" w:hAnsi="Times New Roman"/>
        </w:rPr>
        <w:t xml:space="preserve">iled </w:t>
      </w:r>
      <w:r>
        <w:rPr>
          <w:rFonts w:ascii="Times New Roman" w:hAnsi="Times New Roman"/>
        </w:rPr>
        <w:t>revisions to the tariff that</w:t>
      </w:r>
      <w:r w:rsidR="00870EA8">
        <w:rPr>
          <w:rFonts w:ascii="Times New Roman" w:hAnsi="Times New Roman"/>
        </w:rPr>
        <w:t xml:space="preserve"> extend</w:t>
      </w:r>
      <w:r>
        <w:rPr>
          <w:rFonts w:ascii="Times New Roman" w:hAnsi="Times New Roman"/>
        </w:rPr>
        <w:t>ed</w:t>
      </w:r>
      <w:r w:rsidR="00870E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rate</w:t>
      </w:r>
      <w:r w:rsidR="00870E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effective date to September 1, 2015.  </w:t>
      </w:r>
    </w:p>
    <w:p w:rsidR="00893A40" w:rsidRDefault="00893A40" w:rsidP="00E71002">
      <w:pPr>
        <w:rPr>
          <w:rFonts w:ascii="Times New Roman" w:hAnsi="Times New Roman"/>
        </w:rPr>
      </w:pPr>
    </w:p>
    <w:p w:rsidR="00893A40" w:rsidRDefault="00893A40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On June 18, 2015</w:t>
      </w:r>
      <w:r w:rsidR="00B06A59">
        <w:rPr>
          <w:rFonts w:ascii="Times New Roman" w:hAnsi="Times New Roman"/>
        </w:rPr>
        <w:t>,</w:t>
      </w:r>
      <w:r w:rsidR="00190D9D">
        <w:rPr>
          <w:rFonts w:ascii="Times New Roman" w:hAnsi="Times New Roman"/>
        </w:rPr>
        <w:t xml:space="preserve"> following extended conversations with Staff, </w:t>
      </w:r>
      <w:r>
        <w:rPr>
          <w:rFonts w:ascii="Times New Roman" w:hAnsi="Times New Roman"/>
        </w:rPr>
        <w:t>PSE filed additional revisions updating the margin allow</w:t>
      </w:r>
      <w:r w:rsidR="002A1161">
        <w:rPr>
          <w:rFonts w:ascii="Times New Roman" w:hAnsi="Times New Roman"/>
        </w:rPr>
        <w:t xml:space="preserve">ances included in Schedule 85. </w:t>
      </w:r>
      <w:r>
        <w:rPr>
          <w:rFonts w:ascii="Times New Roman" w:hAnsi="Times New Roman"/>
        </w:rPr>
        <w:t xml:space="preserve">Margin allowances are credits </w:t>
      </w:r>
      <w:r w:rsidR="00EE43A6">
        <w:rPr>
          <w:rFonts w:ascii="Times New Roman" w:hAnsi="Times New Roman"/>
        </w:rPr>
        <w:t xml:space="preserve">based on new customer revenue contribution that help offset the costs of line extensions for new electric services. There are no margin allowances for service line construction.  </w:t>
      </w:r>
    </w:p>
    <w:p w:rsidR="00E41876" w:rsidRDefault="00E41876" w:rsidP="00E71002">
      <w:pPr>
        <w:rPr>
          <w:rFonts w:ascii="Times New Roman" w:hAnsi="Times New Roman"/>
        </w:rPr>
      </w:pPr>
    </w:p>
    <w:p w:rsidR="00470F54" w:rsidRDefault="005A1E8B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All of the</w:t>
      </w:r>
      <w:r w:rsidR="00E41876">
        <w:rPr>
          <w:rFonts w:ascii="Times New Roman" w:hAnsi="Times New Roman"/>
        </w:rPr>
        <w:t xml:space="preserve"> company’s proposed revisions are</w:t>
      </w:r>
      <w:r w:rsidR="00470F54">
        <w:rPr>
          <w:rFonts w:ascii="Times New Roman" w:hAnsi="Times New Roman"/>
        </w:rPr>
        <w:t xml:space="preserve"> based on </w:t>
      </w:r>
      <w:r>
        <w:rPr>
          <w:rFonts w:ascii="Times New Roman" w:hAnsi="Times New Roman"/>
        </w:rPr>
        <w:t xml:space="preserve">the </w:t>
      </w:r>
      <w:r w:rsidR="00470F54">
        <w:rPr>
          <w:rFonts w:ascii="Times New Roman" w:hAnsi="Times New Roman"/>
        </w:rPr>
        <w:t>2013 Electric Line Extension Costs Study (Cost Stu</w:t>
      </w:r>
      <w:r w:rsidR="00A05655">
        <w:rPr>
          <w:rFonts w:ascii="Times New Roman" w:hAnsi="Times New Roman"/>
        </w:rPr>
        <w:t xml:space="preserve">dy) filed in Docket UE-143797. </w:t>
      </w:r>
      <w:r w:rsidR="00470F54">
        <w:rPr>
          <w:rFonts w:ascii="Times New Roman" w:hAnsi="Times New Roman"/>
        </w:rPr>
        <w:t xml:space="preserve">The Cost Study uses a statistical </w:t>
      </w:r>
      <w:r w:rsidR="00B92E14">
        <w:rPr>
          <w:rFonts w:ascii="Times New Roman" w:hAnsi="Times New Roman"/>
        </w:rPr>
        <w:t>sampl</w:t>
      </w:r>
      <w:r w:rsidR="005512EF">
        <w:rPr>
          <w:rFonts w:ascii="Times New Roman" w:hAnsi="Times New Roman"/>
        </w:rPr>
        <w:t>ing</w:t>
      </w:r>
      <w:r w:rsidR="00470F54">
        <w:rPr>
          <w:rFonts w:ascii="Times New Roman" w:hAnsi="Times New Roman"/>
        </w:rPr>
        <w:t xml:space="preserve"> of line extensions per</w:t>
      </w:r>
      <w:r w:rsidR="00A05655">
        <w:rPr>
          <w:rFonts w:ascii="Times New Roman" w:hAnsi="Times New Roman"/>
        </w:rPr>
        <w:t xml:space="preserve">formed during a calendar year. </w:t>
      </w:r>
      <w:r w:rsidR="00470F54">
        <w:rPr>
          <w:rFonts w:ascii="Times New Roman" w:hAnsi="Times New Roman"/>
        </w:rPr>
        <w:t xml:space="preserve">From these samples, average </w:t>
      </w:r>
      <w:r w:rsidR="00AD0653">
        <w:rPr>
          <w:rFonts w:ascii="Times New Roman" w:hAnsi="Times New Roman"/>
        </w:rPr>
        <w:t>rate</w:t>
      </w:r>
      <w:r w:rsidR="005F1BEB">
        <w:rPr>
          <w:rFonts w:ascii="Times New Roman" w:hAnsi="Times New Roman"/>
        </w:rPr>
        <w:t>s for different units of construction (overhead lines, underground lines, services, etc</w:t>
      </w:r>
      <w:r w:rsidR="002A1161">
        <w:rPr>
          <w:rFonts w:ascii="Times New Roman" w:hAnsi="Times New Roman"/>
        </w:rPr>
        <w:t>.</w:t>
      </w:r>
      <w:r w:rsidR="005F1BEB">
        <w:rPr>
          <w:rFonts w:ascii="Times New Roman" w:hAnsi="Times New Roman"/>
        </w:rPr>
        <w:t>) are</w:t>
      </w:r>
      <w:r w:rsidR="00470F54">
        <w:rPr>
          <w:rFonts w:ascii="Times New Roman" w:hAnsi="Times New Roman"/>
        </w:rPr>
        <w:t xml:space="preserve"> derived based on such factors as: the length of the extension, contract costs, overheads, labor, materials, an</w:t>
      </w:r>
      <w:r w:rsidR="00A05655">
        <w:rPr>
          <w:rFonts w:ascii="Times New Roman" w:hAnsi="Times New Roman"/>
        </w:rPr>
        <w:t xml:space="preserve">d permitting. </w:t>
      </w:r>
      <w:r w:rsidR="00470F54">
        <w:rPr>
          <w:rFonts w:ascii="Times New Roman" w:hAnsi="Times New Roman"/>
        </w:rPr>
        <w:t>The Cost Study is performed annually based on an</w:t>
      </w:r>
      <w:r w:rsidR="006C73FD">
        <w:rPr>
          <w:rFonts w:ascii="Times New Roman" w:hAnsi="Times New Roman"/>
        </w:rPr>
        <w:t xml:space="preserve"> informal agreement </w:t>
      </w:r>
      <w:r w:rsidR="002205E3">
        <w:rPr>
          <w:rFonts w:ascii="Times New Roman" w:hAnsi="Times New Roman"/>
        </w:rPr>
        <w:t>following a 2003 collaborative with</w:t>
      </w:r>
      <w:r w:rsidR="006C73FD">
        <w:rPr>
          <w:rFonts w:ascii="Times New Roman" w:hAnsi="Times New Roman"/>
        </w:rPr>
        <w:t xml:space="preserve"> PSE, Staff, and other</w:t>
      </w:r>
      <w:r w:rsidR="00470F54">
        <w:rPr>
          <w:rFonts w:ascii="Times New Roman" w:hAnsi="Times New Roman"/>
        </w:rPr>
        <w:t xml:space="preserve"> parties.</w:t>
      </w:r>
      <w:r w:rsidR="002205E3">
        <w:rPr>
          <w:rStyle w:val="FootnoteReference"/>
          <w:rFonts w:ascii="Times New Roman" w:hAnsi="Times New Roman"/>
        </w:rPr>
        <w:footnoteReference w:id="2"/>
      </w:r>
      <w:r w:rsidR="00470F54">
        <w:rPr>
          <w:rFonts w:ascii="Times New Roman" w:hAnsi="Times New Roman"/>
        </w:rPr>
        <w:t xml:space="preserve">  </w:t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an effort to </w:t>
      </w:r>
      <w:r w:rsidR="002A40F9">
        <w:rPr>
          <w:rFonts w:ascii="Times New Roman" w:hAnsi="Times New Roman"/>
        </w:rPr>
        <w:t>mitigate the potential impact of the increase of costs</w:t>
      </w:r>
      <w:r>
        <w:rPr>
          <w:rFonts w:ascii="Times New Roman" w:hAnsi="Times New Roman"/>
        </w:rPr>
        <w:t>, PSE proposed to incrementally increase the rates for certain extensions in Schedule 85 by le</w:t>
      </w:r>
      <w:r w:rsidR="00380C17">
        <w:rPr>
          <w:rFonts w:ascii="Times New Roman" w:hAnsi="Times New Roman"/>
        </w:rPr>
        <w:t>s</w:t>
      </w:r>
      <w:r w:rsidR="002A1161">
        <w:rPr>
          <w:rFonts w:ascii="Times New Roman" w:hAnsi="Times New Roman"/>
        </w:rPr>
        <w:t xml:space="preserve">s than the Cost Study results. </w:t>
      </w:r>
      <w:r w:rsidR="00380C17">
        <w:rPr>
          <w:rFonts w:ascii="Times New Roman" w:hAnsi="Times New Roman"/>
        </w:rPr>
        <w:t>The size of this rate increase is at least partially due to the time elapsed since the last update.</w:t>
      </w:r>
      <w:r w:rsidR="00380C17">
        <w:rPr>
          <w:rStyle w:val="FootnoteReference"/>
          <w:rFonts w:ascii="Times New Roman" w:hAnsi="Times New Roman"/>
        </w:rPr>
        <w:footnoteReference w:id="3"/>
      </w:r>
      <w:r w:rsidR="00380C17">
        <w:rPr>
          <w:rFonts w:ascii="Times New Roman" w:hAnsi="Times New Roman"/>
        </w:rPr>
        <w:t xml:space="preserve"> </w:t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Default="00A05655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On October 2, 2014 the c</w:t>
      </w:r>
      <w:r w:rsidR="00470F54">
        <w:rPr>
          <w:rFonts w:ascii="Times New Roman" w:hAnsi="Times New Roman"/>
        </w:rPr>
        <w:t xml:space="preserve">ommission opened Docket </w:t>
      </w:r>
      <w:r w:rsidR="00D73F93">
        <w:rPr>
          <w:rFonts w:ascii="Times New Roman" w:hAnsi="Times New Roman"/>
        </w:rPr>
        <w:t>U</w:t>
      </w:r>
      <w:r w:rsidR="00CA7A7F">
        <w:rPr>
          <w:rFonts w:ascii="Times New Roman" w:hAnsi="Times New Roman"/>
        </w:rPr>
        <w:t>G</w:t>
      </w:r>
      <w:r w:rsidR="00470F54">
        <w:rPr>
          <w:rFonts w:ascii="Times New Roman" w:hAnsi="Times New Roman"/>
        </w:rPr>
        <w:t>-143616 to investigate natural gas distribu</w:t>
      </w:r>
      <w:r>
        <w:rPr>
          <w:rFonts w:ascii="Times New Roman" w:hAnsi="Times New Roman"/>
        </w:rPr>
        <w:t xml:space="preserve">tion infrastructure expansion. </w:t>
      </w:r>
      <w:r w:rsidR="00470F54">
        <w:rPr>
          <w:rFonts w:ascii="Times New Roman" w:hAnsi="Times New Roman"/>
        </w:rPr>
        <w:t xml:space="preserve">On November 3, 2014 the </w:t>
      </w:r>
      <w:r>
        <w:rPr>
          <w:rFonts w:ascii="Times New Roman" w:hAnsi="Times New Roman"/>
        </w:rPr>
        <w:t>c</w:t>
      </w:r>
      <w:r w:rsidR="00470F54">
        <w:rPr>
          <w:rFonts w:ascii="Times New Roman" w:hAnsi="Times New Roman"/>
        </w:rPr>
        <w:t xml:space="preserve">ommission held a workshop and received comments on </w:t>
      </w:r>
      <w:r w:rsidR="003F63E0">
        <w:rPr>
          <w:rFonts w:ascii="Times New Roman" w:hAnsi="Times New Roman"/>
        </w:rPr>
        <w:t xml:space="preserve">natural gas </w:t>
      </w:r>
      <w:r w:rsidR="00470F54">
        <w:rPr>
          <w:rFonts w:ascii="Times New Roman" w:hAnsi="Times New Roman"/>
        </w:rPr>
        <w:t>distribution infrastructure expansion.</w:t>
      </w:r>
      <w:r w:rsidR="00470F54" w:rsidRPr="00475BFA">
        <w:rPr>
          <w:rFonts w:ascii="Times New Roman" w:hAnsi="Times New Roman"/>
        </w:rPr>
        <w:t xml:space="preserve"> </w:t>
      </w:r>
      <w:r w:rsidR="00470F54">
        <w:rPr>
          <w:rFonts w:ascii="Times New Roman" w:hAnsi="Times New Roman"/>
        </w:rPr>
        <w:t xml:space="preserve">Given the </w:t>
      </w:r>
      <w:r>
        <w:rPr>
          <w:rFonts w:ascii="Times New Roman" w:hAnsi="Times New Roman"/>
        </w:rPr>
        <w:t>c</w:t>
      </w:r>
      <w:r w:rsidR="00470F54">
        <w:rPr>
          <w:rFonts w:ascii="Times New Roman" w:hAnsi="Times New Roman"/>
        </w:rPr>
        <w:t xml:space="preserve">ommission interest in the line extensions through Docket </w:t>
      </w:r>
      <w:r w:rsidR="00475BFA">
        <w:rPr>
          <w:rFonts w:ascii="Times New Roman" w:hAnsi="Times New Roman"/>
        </w:rPr>
        <w:t>U</w:t>
      </w:r>
      <w:r w:rsidR="00CA7A7F">
        <w:rPr>
          <w:rFonts w:ascii="Times New Roman" w:hAnsi="Times New Roman"/>
        </w:rPr>
        <w:t>G</w:t>
      </w:r>
      <w:r w:rsidR="00470F54">
        <w:rPr>
          <w:rFonts w:ascii="Times New Roman" w:hAnsi="Times New Roman"/>
        </w:rPr>
        <w:t xml:space="preserve">-143616, the </w:t>
      </w:r>
      <w:r>
        <w:rPr>
          <w:rFonts w:ascii="Times New Roman" w:hAnsi="Times New Roman"/>
        </w:rPr>
        <w:t>c</w:t>
      </w:r>
      <w:r w:rsidR="00470F54">
        <w:rPr>
          <w:rFonts w:ascii="Times New Roman" w:hAnsi="Times New Roman"/>
        </w:rPr>
        <w:t xml:space="preserve">ompany announced plans to begin </w:t>
      </w:r>
      <w:r w:rsidR="00475BFA">
        <w:rPr>
          <w:rFonts w:ascii="Times New Roman" w:hAnsi="Times New Roman"/>
        </w:rPr>
        <w:t>a</w:t>
      </w:r>
      <w:r w:rsidR="00CA7A7F">
        <w:rPr>
          <w:rFonts w:ascii="Times New Roman" w:hAnsi="Times New Roman"/>
        </w:rPr>
        <w:t xml:space="preserve">nother </w:t>
      </w:r>
      <w:r w:rsidR="00470F54">
        <w:rPr>
          <w:rFonts w:ascii="Times New Roman" w:hAnsi="Times New Roman"/>
        </w:rPr>
        <w:t xml:space="preserve">study of its electric and natural gas line extension policies with interested parties that would result in a subsequent filing.  </w:t>
      </w:r>
      <w:r w:rsidR="00470F54">
        <w:rPr>
          <w:rFonts w:ascii="Times New Roman" w:hAnsi="Times New Roman"/>
        </w:rPr>
        <w:tab/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Pr="00CE6A55" w:rsidRDefault="00470F54" w:rsidP="00E7100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:rsidR="00257B14" w:rsidRDefault="00257B14" w:rsidP="00257B14">
      <w:pPr>
        <w:jc w:val="both"/>
        <w:rPr>
          <w:rFonts w:ascii="Times New Roman" w:hAnsi="Times New Roman"/>
        </w:rPr>
      </w:pPr>
    </w:p>
    <w:p w:rsidR="006D1691" w:rsidRDefault="00717E73" w:rsidP="009711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512EF">
        <w:rPr>
          <w:rFonts w:ascii="Times New Roman" w:hAnsi="Times New Roman"/>
        </w:rPr>
        <w:t xml:space="preserve">average-rate approach </w:t>
      </w:r>
      <w:r>
        <w:rPr>
          <w:rFonts w:ascii="Times New Roman" w:hAnsi="Times New Roman"/>
        </w:rPr>
        <w:t xml:space="preserve">of the Cost Study </w:t>
      </w:r>
      <w:r w:rsidR="00470F54">
        <w:rPr>
          <w:rFonts w:ascii="Times New Roman" w:hAnsi="Times New Roman"/>
        </w:rPr>
        <w:t>shows</w:t>
      </w:r>
      <w:r w:rsidR="00F30E6B">
        <w:rPr>
          <w:rFonts w:ascii="Times New Roman" w:hAnsi="Times New Roman"/>
        </w:rPr>
        <w:t xml:space="preserve"> the</w:t>
      </w:r>
      <w:r w:rsidR="00470F54">
        <w:rPr>
          <w:rFonts w:ascii="Times New Roman" w:hAnsi="Times New Roman"/>
        </w:rPr>
        <w:t xml:space="preserve"> differences between the </w:t>
      </w:r>
      <w:r w:rsidR="005512EF">
        <w:rPr>
          <w:rFonts w:ascii="Times New Roman" w:hAnsi="Times New Roman"/>
        </w:rPr>
        <w:t xml:space="preserve">actual individual </w:t>
      </w:r>
      <w:r w:rsidR="00470F54">
        <w:rPr>
          <w:rFonts w:ascii="Times New Roman" w:hAnsi="Times New Roman"/>
        </w:rPr>
        <w:t>costs of performing line extensions</w:t>
      </w:r>
      <w:r>
        <w:rPr>
          <w:rFonts w:ascii="Times New Roman" w:hAnsi="Times New Roman"/>
        </w:rPr>
        <w:t xml:space="preserve"> and the</w:t>
      </w:r>
      <w:r w:rsidR="006C2711">
        <w:rPr>
          <w:rFonts w:ascii="Times New Roman" w:hAnsi="Times New Roman"/>
        </w:rPr>
        <w:t xml:space="preserve"> </w:t>
      </w:r>
      <w:r w:rsidR="00A05655">
        <w:rPr>
          <w:rFonts w:ascii="Times New Roman" w:hAnsi="Times New Roman"/>
        </w:rPr>
        <w:t xml:space="preserve">current tariff rates. </w:t>
      </w:r>
      <w:r w:rsidR="00470F54">
        <w:rPr>
          <w:rFonts w:ascii="Times New Roman" w:hAnsi="Times New Roman"/>
        </w:rPr>
        <w:t xml:space="preserve">These </w:t>
      </w:r>
      <w:r w:rsidR="00E27C47">
        <w:rPr>
          <w:rFonts w:ascii="Times New Roman" w:hAnsi="Times New Roman"/>
        </w:rPr>
        <w:t>di</w:t>
      </w:r>
      <w:r w:rsidR="00364EE8">
        <w:rPr>
          <w:rFonts w:ascii="Times New Roman" w:hAnsi="Times New Roman"/>
        </w:rPr>
        <w:t>fference</w:t>
      </w:r>
      <w:r w:rsidR="00E27C47">
        <w:rPr>
          <w:rFonts w:ascii="Times New Roman" w:hAnsi="Times New Roman"/>
        </w:rPr>
        <w:t>s</w:t>
      </w:r>
      <w:r w:rsidR="00470F54">
        <w:rPr>
          <w:rFonts w:ascii="Times New Roman" w:hAnsi="Times New Roman"/>
        </w:rPr>
        <w:t xml:space="preserve"> are the result of</w:t>
      </w:r>
      <w:r w:rsidR="002A1161">
        <w:rPr>
          <w:rFonts w:ascii="Times New Roman" w:hAnsi="Times New Roman"/>
        </w:rPr>
        <w:t xml:space="preserve"> two factors.</w:t>
      </w:r>
      <w:r w:rsidR="003F63E0">
        <w:rPr>
          <w:rFonts w:ascii="Times New Roman" w:hAnsi="Times New Roman"/>
        </w:rPr>
        <w:t xml:space="preserve"> First,</w:t>
      </w:r>
      <w:r w:rsidR="00470F54">
        <w:rPr>
          <w:rFonts w:ascii="Times New Roman" w:hAnsi="Times New Roman"/>
        </w:rPr>
        <w:t xml:space="preserve"> the </w:t>
      </w:r>
      <w:r w:rsidR="00F30E6B">
        <w:rPr>
          <w:rFonts w:ascii="Times New Roman" w:hAnsi="Times New Roman"/>
        </w:rPr>
        <w:t>implementation</w:t>
      </w:r>
      <w:r w:rsidR="00470F54">
        <w:rPr>
          <w:rFonts w:ascii="Times New Roman" w:hAnsi="Times New Roman"/>
        </w:rPr>
        <w:t xml:space="preserve"> of line extensions</w:t>
      </w:r>
      <w:r w:rsidR="00F30E6B">
        <w:rPr>
          <w:rFonts w:ascii="Times New Roman" w:hAnsi="Times New Roman"/>
        </w:rPr>
        <w:t xml:space="preserve"> </w:t>
      </w:r>
      <w:r w:rsidR="00470F54">
        <w:rPr>
          <w:rFonts w:ascii="Times New Roman" w:hAnsi="Times New Roman"/>
        </w:rPr>
        <w:t>and new se</w:t>
      </w:r>
      <w:r w:rsidR="00A05655">
        <w:rPr>
          <w:rFonts w:ascii="Times New Roman" w:hAnsi="Times New Roman"/>
        </w:rPr>
        <w:t xml:space="preserve">rvice lines </w:t>
      </w:r>
      <w:r w:rsidR="00F30E6B">
        <w:rPr>
          <w:rFonts w:ascii="Times New Roman" w:hAnsi="Times New Roman"/>
        </w:rPr>
        <w:t xml:space="preserve">are highly unique </w:t>
      </w:r>
      <w:r w:rsidR="00A05655">
        <w:rPr>
          <w:rFonts w:ascii="Times New Roman" w:hAnsi="Times New Roman"/>
        </w:rPr>
        <w:t>– no two are alike.</w:t>
      </w:r>
      <w:r w:rsidR="00470F54">
        <w:rPr>
          <w:rFonts w:ascii="Times New Roman" w:hAnsi="Times New Roman"/>
        </w:rPr>
        <w:t xml:space="preserve"> In this case, the principle of providing </w:t>
      </w:r>
      <w:r w:rsidR="007C31DE">
        <w:rPr>
          <w:rFonts w:ascii="Times New Roman" w:hAnsi="Times New Roman"/>
        </w:rPr>
        <w:t>cost-</w:t>
      </w:r>
      <w:r w:rsidR="00470F54">
        <w:rPr>
          <w:rFonts w:ascii="Times New Roman" w:hAnsi="Times New Roman"/>
        </w:rPr>
        <w:t>based rates must be balanced between PSE’s obligation to serve customers, certainty of pricing, and the public interest in expanding and util</w:t>
      </w:r>
      <w:r w:rsidR="002A1161">
        <w:rPr>
          <w:rFonts w:ascii="Times New Roman" w:hAnsi="Times New Roman"/>
        </w:rPr>
        <w:t xml:space="preserve">izing electric infrastructure. </w:t>
      </w:r>
      <w:r w:rsidR="003F63E0">
        <w:rPr>
          <w:rFonts w:ascii="Times New Roman" w:hAnsi="Times New Roman"/>
        </w:rPr>
        <w:t xml:space="preserve">Second, the results of the Cost Study differ notably from the current tariff rates </w:t>
      </w:r>
      <w:r w:rsidR="00C2112C">
        <w:rPr>
          <w:rFonts w:ascii="Times New Roman" w:hAnsi="Times New Roman"/>
        </w:rPr>
        <w:t xml:space="preserve">in part </w:t>
      </w:r>
      <w:r w:rsidR="003F63E0">
        <w:rPr>
          <w:rFonts w:ascii="Times New Roman" w:hAnsi="Times New Roman"/>
        </w:rPr>
        <w:t xml:space="preserve">due to the lag since </w:t>
      </w:r>
      <w:r w:rsidR="009711E6">
        <w:rPr>
          <w:rFonts w:ascii="Times New Roman" w:hAnsi="Times New Roman"/>
        </w:rPr>
        <w:t xml:space="preserve">the </w:t>
      </w:r>
      <w:r w:rsidR="003F63E0">
        <w:rPr>
          <w:rFonts w:ascii="Times New Roman" w:hAnsi="Times New Roman"/>
        </w:rPr>
        <w:t>last tariff update.</w:t>
      </w:r>
      <w:r w:rsidR="002A1161">
        <w:rPr>
          <w:rFonts w:ascii="Times New Roman" w:hAnsi="Times New Roman"/>
        </w:rPr>
        <w:t xml:space="preserve"> </w:t>
      </w:r>
      <w:r w:rsidR="009711E6">
        <w:rPr>
          <w:rFonts w:ascii="Times New Roman" w:hAnsi="Times New Roman"/>
        </w:rPr>
        <w:t>PSE proposed to incrementally increase the rates for certain extensions in Schedule 85 by less than the Cost Study results to help mitigate this impact.</w:t>
      </w:r>
    </w:p>
    <w:p w:rsidR="002D1965" w:rsidRDefault="002D1965" w:rsidP="009711E6">
      <w:pPr>
        <w:rPr>
          <w:rFonts w:ascii="Times New Roman" w:hAnsi="Times New Roman"/>
        </w:rPr>
      </w:pPr>
    </w:p>
    <w:p w:rsidR="00470F54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A0565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ommission’s workshops on natural gas infrastructure expansion will have strong parallels to electric line extensions that may result </w:t>
      </w:r>
      <w:r w:rsidR="00A05655">
        <w:rPr>
          <w:rFonts w:ascii="Times New Roman" w:hAnsi="Times New Roman"/>
        </w:rPr>
        <w:t xml:space="preserve">in significant policy changes. </w:t>
      </w:r>
      <w:r>
        <w:rPr>
          <w:rFonts w:ascii="Times New Roman" w:hAnsi="Times New Roman"/>
        </w:rPr>
        <w:t xml:space="preserve">Due to the pending </w:t>
      </w:r>
      <w:r w:rsidR="00A0565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investigation that will most likely impact </w:t>
      </w:r>
      <w:r w:rsidRPr="00C04E59">
        <w:rPr>
          <w:rFonts w:ascii="Times New Roman" w:hAnsi="Times New Roman"/>
          <w:u w:val="single"/>
        </w:rPr>
        <w:t>all</w:t>
      </w:r>
      <w:r>
        <w:rPr>
          <w:rFonts w:ascii="Times New Roman" w:hAnsi="Times New Roman"/>
        </w:rPr>
        <w:t xml:space="preserve"> line extension policies, </w:t>
      </w:r>
      <w:r w:rsidR="00A05655">
        <w:rPr>
          <w:rFonts w:ascii="Times New Roman" w:hAnsi="Times New Roman"/>
        </w:rPr>
        <w:t>s</w:t>
      </w:r>
      <w:r>
        <w:rPr>
          <w:rFonts w:ascii="Times New Roman" w:hAnsi="Times New Roman"/>
        </w:rPr>
        <w:t>taff sees a pressing need to identify as clearly as possible the cos</w:t>
      </w:r>
      <w:r w:rsidR="00A05655">
        <w:rPr>
          <w:rFonts w:ascii="Times New Roman" w:hAnsi="Times New Roman"/>
        </w:rPr>
        <w:t>ts of expanding infrastructure.</w:t>
      </w:r>
      <w:r>
        <w:rPr>
          <w:rFonts w:ascii="Times New Roman" w:hAnsi="Times New Roman"/>
        </w:rPr>
        <w:t xml:space="preserve"> Separate from this are </w:t>
      </w:r>
      <w:r w:rsidR="00F30E6B">
        <w:rPr>
          <w:rFonts w:ascii="Times New Roman" w:hAnsi="Times New Roman"/>
        </w:rPr>
        <w:t xml:space="preserve">the </w:t>
      </w:r>
      <w:r w:rsidR="00577720">
        <w:rPr>
          <w:rFonts w:ascii="Times New Roman" w:hAnsi="Times New Roman"/>
        </w:rPr>
        <w:t xml:space="preserve">allocation of costs between current and new customers through a margin allowance, </w:t>
      </w:r>
      <w:r>
        <w:rPr>
          <w:rFonts w:ascii="Times New Roman" w:hAnsi="Times New Roman"/>
        </w:rPr>
        <w:t>subsidies</w:t>
      </w:r>
      <w:r w:rsidR="00F30E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incentives to encourage line extension</w:t>
      </w:r>
      <w:r w:rsidR="005777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Staff has</w:t>
      </w:r>
      <w:r w:rsidR="00A05655">
        <w:rPr>
          <w:rFonts w:ascii="Times New Roman" w:hAnsi="Times New Roman"/>
        </w:rPr>
        <w:t xml:space="preserve"> worked closely with the c</w:t>
      </w:r>
      <w:r>
        <w:rPr>
          <w:rFonts w:ascii="Times New Roman" w:hAnsi="Times New Roman"/>
        </w:rPr>
        <w:t xml:space="preserve">ompany over the last few months </w:t>
      </w:r>
      <w:r w:rsidR="003A14F4">
        <w:rPr>
          <w:rFonts w:ascii="Times New Roman" w:hAnsi="Times New Roman"/>
        </w:rPr>
        <w:t xml:space="preserve">to streamline </w:t>
      </w:r>
      <w:r w:rsidR="002A116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cost study </w:t>
      </w:r>
      <w:r w:rsidR="003A14F4">
        <w:rPr>
          <w:rFonts w:ascii="Times New Roman" w:hAnsi="Times New Roman"/>
        </w:rPr>
        <w:t xml:space="preserve">process </w:t>
      </w:r>
      <w:r>
        <w:rPr>
          <w:rFonts w:ascii="Times New Roman" w:hAnsi="Times New Roman"/>
        </w:rPr>
        <w:t xml:space="preserve">and to provide </w:t>
      </w:r>
      <w:r w:rsidR="003A14F4">
        <w:rPr>
          <w:rFonts w:ascii="Times New Roman" w:hAnsi="Times New Roman"/>
        </w:rPr>
        <w:t xml:space="preserve">guidance on </w:t>
      </w:r>
      <w:r>
        <w:rPr>
          <w:rFonts w:ascii="Times New Roman" w:hAnsi="Times New Roman"/>
        </w:rPr>
        <w:t xml:space="preserve">clear distinctions between </w:t>
      </w:r>
      <w:r w:rsidR="003A14F4">
        <w:rPr>
          <w:rFonts w:ascii="Times New Roman" w:hAnsi="Times New Roman"/>
        </w:rPr>
        <w:t xml:space="preserve">actual costs and margin allowance </w:t>
      </w:r>
      <w:r>
        <w:rPr>
          <w:rFonts w:ascii="Times New Roman" w:hAnsi="Times New Roman"/>
        </w:rPr>
        <w:t>incentives.</w:t>
      </w:r>
    </w:p>
    <w:p w:rsidR="00470F54" w:rsidRDefault="00470F54" w:rsidP="00E71002">
      <w:pPr>
        <w:rPr>
          <w:rFonts w:ascii="Times New Roman" w:hAnsi="Times New Roman"/>
        </w:rPr>
      </w:pPr>
    </w:p>
    <w:p w:rsidR="002A1161" w:rsidRDefault="002A1161" w:rsidP="00E71002">
      <w:pPr>
        <w:rPr>
          <w:rFonts w:ascii="Times New Roman" w:hAnsi="Times New Roman"/>
        </w:rPr>
      </w:pPr>
    </w:p>
    <w:p w:rsidR="002A1161" w:rsidRDefault="002A1161" w:rsidP="00E71002">
      <w:pPr>
        <w:rPr>
          <w:rFonts w:ascii="Times New Roman" w:hAnsi="Times New Roman"/>
        </w:rPr>
      </w:pPr>
    </w:p>
    <w:p w:rsidR="002A1161" w:rsidRDefault="002A1161" w:rsidP="00E71002">
      <w:pPr>
        <w:rPr>
          <w:rFonts w:ascii="Times New Roman" w:hAnsi="Times New Roman"/>
        </w:rPr>
      </w:pPr>
    </w:p>
    <w:p w:rsidR="00470F54" w:rsidRPr="002D5A23" w:rsidRDefault="00470F54" w:rsidP="00E71002">
      <w:pPr>
        <w:rPr>
          <w:rFonts w:ascii="Times New Roman" w:hAnsi="Times New Roman"/>
          <w:b/>
          <w:u w:val="single"/>
        </w:rPr>
      </w:pPr>
      <w:r w:rsidRPr="002D5A23">
        <w:rPr>
          <w:rFonts w:ascii="Times New Roman" w:hAnsi="Times New Roman"/>
          <w:b/>
          <w:u w:val="single"/>
        </w:rPr>
        <w:t>Conclusion</w:t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>Staff has reached an agreement with PSE on the best approach for improving Schedule 85:</w:t>
      </w:r>
    </w:p>
    <w:p w:rsidR="00470F54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70F54" w:rsidRDefault="00470F54" w:rsidP="00E710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PSE will </w:t>
      </w:r>
      <w:r w:rsidR="003A14F4">
        <w:rPr>
          <w:rFonts w:ascii="Times New Roman" w:hAnsi="Times New Roman"/>
        </w:rPr>
        <w:t xml:space="preserve">update </w:t>
      </w:r>
      <w:r>
        <w:rPr>
          <w:rFonts w:ascii="Times New Roman" w:hAnsi="Times New Roman"/>
        </w:rPr>
        <w:t xml:space="preserve">the </w:t>
      </w:r>
      <w:r w:rsidR="002A40F9">
        <w:rPr>
          <w:rFonts w:ascii="Times New Roman" w:hAnsi="Times New Roman"/>
        </w:rPr>
        <w:t>S</w:t>
      </w:r>
      <w:r w:rsidR="000A5E4F">
        <w:rPr>
          <w:rFonts w:ascii="Times New Roman" w:hAnsi="Times New Roman"/>
        </w:rPr>
        <w:t>chedule</w:t>
      </w:r>
      <w:r>
        <w:rPr>
          <w:rFonts w:ascii="Times New Roman" w:hAnsi="Times New Roman"/>
        </w:rPr>
        <w:t xml:space="preserve"> 85 margin allowances to reflect any changes in the </w:t>
      </w:r>
      <w:r w:rsidR="000A5E4F">
        <w:rPr>
          <w:rFonts w:ascii="Times New Roman" w:hAnsi="Times New Roman"/>
        </w:rPr>
        <w:t xml:space="preserve">Company’s </w:t>
      </w:r>
      <w:r w:rsidR="002A40F9">
        <w:rPr>
          <w:rFonts w:ascii="Times New Roman" w:hAnsi="Times New Roman"/>
        </w:rPr>
        <w:t>electric</w:t>
      </w:r>
      <w:r>
        <w:rPr>
          <w:rFonts w:ascii="Times New Roman" w:hAnsi="Times New Roman"/>
        </w:rPr>
        <w:t xml:space="preserve"> Cost-of-Service studies</w:t>
      </w:r>
      <w:r w:rsidR="003A14F4" w:rsidRPr="003A14F4">
        <w:rPr>
          <w:rFonts w:ascii="Times New Roman" w:hAnsi="Times New Roman"/>
        </w:rPr>
        <w:t xml:space="preserve"> </w:t>
      </w:r>
      <w:r w:rsidR="003A14F4">
        <w:rPr>
          <w:rFonts w:ascii="Times New Roman" w:hAnsi="Times New Roman"/>
        </w:rPr>
        <w:t xml:space="preserve">that are accepted </w:t>
      </w:r>
      <w:r w:rsidR="00E45080">
        <w:rPr>
          <w:rFonts w:ascii="Times New Roman" w:hAnsi="Times New Roman"/>
        </w:rPr>
        <w:t xml:space="preserve">in </w:t>
      </w:r>
      <w:r w:rsidR="003A14F4">
        <w:rPr>
          <w:rFonts w:ascii="Times New Roman" w:hAnsi="Times New Roman"/>
        </w:rPr>
        <w:t>its next general rate case</w:t>
      </w:r>
      <w:r>
        <w:rPr>
          <w:rFonts w:ascii="Times New Roman" w:hAnsi="Times New Roman"/>
        </w:rPr>
        <w:t>.</w:t>
      </w:r>
    </w:p>
    <w:p w:rsidR="00470F54" w:rsidRPr="0061435E" w:rsidRDefault="00470F54" w:rsidP="00E71002">
      <w:pPr>
        <w:pStyle w:val="ListParagraph"/>
        <w:rPr>
          <w:rFonts w:ascii="Times New Roman" w:hAnsi="Times New Roman"/>
        </w:rPr>
      </w:pPr>
    </w:p>
    <w:p w:rsidR="00470F54" w:rsidRDefault="00470F54" w:rsidP="00E710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1435E">
        <w:rPr>
          <w:rFonts w:ascii="Times New Roman" w:hAnsi="Times New Roman"/>
        </w:rPr>
        <w:t>PSE will develop</w:t>
      </w:r>
      <w:r>
        <w:rPr>
          <w:rFonts w:ascii="Times New Roman" w:hAnsi="Times New Roman"/>
        </w:rPr>
        <w:t xml:space="preserve"> a</w:t>
      </w:r>
      <w:r w:rsidRPr="0061435E">
        <w:rPr>
          <w:rFonts w:ascii="Times New Roman" w:hAnsi="Times New Roman"/>
        </w:rPr>
        <w:t xml:space="preserve"> more granular </w:t>
      </w:r>
      <w:r>
        <w:rPr>
          <w:rFonts w:ascii="Times New Roman" w:hAnsi="Times New Roman"/>
        </w:rPr>
        <w:t xml:space="preserve">cost study </w:t>
      </w:r>
      <w:r w:rsidR="00112B5E">
        <w:rPr>
          <w:rFonts w:ascii="Times New Roman" w:hAnsi="Times New Roman"/>
        </w:rPr>
        <w:t>for electric residential service line charge</w:t>
      </w:r>
      <w:r w:rsidR="005F1BEB">
        <w:rPr>
          <w:rFonts w:ascii="Times New Roman" w:hAnsi="Times New Roman"/>
        </w:rPr>
        <w:t>s</w:t>
      </w:r>
      <w:r w:rsidR="00112B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the fall of 2015</w:t>
      </w:r>
      <w:r w:rsidRPr="0061435E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implement it in</w:t>
      </w:r>
      <w:r w:rsidRPr="0061435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 xml:space="preserve">6. </w:t>
      </w:r>
    </w:p>
    <w:p w:rsidR="00470F54" w:rsidRPr="00920A85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PSE and </w:t>
      </w:r>
      <w:r w:rsidR="00A0565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taff will meet again at the end of </w:t>
      </w:r>
      <w:r w:rsidR="00112B5E">
        <w:rPr>
          <w:rFonts w:ascii="Times New Roman" w:hAnsi="Times New Roman"/>
        </w:rPr>
        <w:t>fall</w:t>
      </w:r>
      <w:r>
        <w:rPr>
          <w:rFonts w:ascii="Times New Roman" w:hAnsi="Times New Roman"/>
        </w:rPr>
        <w:t xml:space="preserve"> 2016 to discuss the results of the new </w:t>
      </w:r>
      <w:r w:rsidR="002A40F9">
        <w:rPr>
          <w:rFonts w:ascii="Times New Roman" w:hAnsi="Times New Roman"/>
        </w:rPr>
        <w:t xml:space="preserve">electric </w:t>
      </w:r>
      <w:r w:rsidR="00112B5E">
        <w:rPr>
          <w:rFonts w:ascii="Times New Roman" w:hAnsi="Times New Roman"/>
        </w:rPr>
        <w:t xml:space="preserve">residential service line </w:t>
      </w:r>
      <w:r>
        <w:rPr>
          <w:rFonts w:ascii="Times New Roman" w:hAnsi="Times New Roman"/>
        </w:rPr>
        <w:t>cost study</w:t>
      </w:r>
      <w:r w:rsidR="00112B5E">
        <w:rPr>
          <w:rFonts w:ascii="Times New Roman" w:hAnsi="Times New Roman"/>
        </w:rPr>
        <w:t xml:space="preserve"> and other Schedule 85 updates</w:t>
      </w:r>
      <w:r>
        <w:rPr>
          <w:rFonts w:ascii="Times New Roman" w:hAnsi="Times New Roman"/>
        </w:rPr>
        <w:t xml:space="preserve">, identify any necessary changes to the study, and redevelop </w:t>
      </w:r>
      <w:r w:rsidR="002A40F9">
        <w:rPr>
          <w:rFonts w:ascii="Times New Roman" w:hAnsi="Times New Roman"/>
        </w:rPr>
        <w:t>S</w:t>
      </w:r>
      <w:r w:rsidR="000A5E4F">
        <w:rPr>
          <w:rFonts w:ascii="Times New Roman" w:hAnsi="Times New Roman"/>
        </w:rPr>
        <w:t>chedule</w:t>
      </w:r>
      <w:r>
        <w:rPr>
          <w:rFonts w:ascii="Times New Roman" w:hAnsi="Times New Roman"/>
        </w:rPr>
        <w:t xml:space="preserve"> 85 with a targeted effective date </w:t>
      </w:r>
      <w:r w:rsidR="00E45080">
        <w:rPr>
          <w:rFonts w:ascii="Times New Roman" w:hAnsi="Times New Roman"/>
        </w:rPr>
        <w:t xml:space="preserve">shortly after </w:t>
      </w:r>
      <w:r>
        <w:rPr>
          <w:rFonts w:ascii="Times New Roman" w:hAnsi="Times New Roman"/>
        </w:rPr>
        <w:t xml:space="preserve">the </w:t>
      </w:r>
      <w:r w:rsidR="00E45080">
        <w:rPr>
          <w:rFonts w:ascii="Times New Roman" w:hAnsi="Times New Roman"/>
        </w:rPr>
        <w:t xml:space="preserve">conclusion of </w:t>
      </w:r>
      <w:r>
        <w:rPr>
          <w:rFonts w:ascii="Times New Roman" w:hAnsi="Times New Roman"/>
        </w:rPr>
        <w:t>PSE’s next general rate case.</w:t>
      </w:r>
      <w:r>
        <w:rPr>
          <w:rStyle w:val="FootnoteReference"/>
          <w:rFonts w:ascii="Times New Roman" w:hAnsi="Times New Roman"/>
        </w:rPr>
        <w:footnoteReference w:id="4"/>
      </w:r>
    </w:p>
    <w:p w:rsidR="00470F54" w:rsidRPr="00920A85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completion of </w:t>
      </w:r>
      <w:r w:rsidR="001A3BC2">
        <w:rPr>
          <w:rFonts w:ascii="Times New Roman" w:hAnsi="Times New Roman"/>
        </w:rPr>
        <w:t>th</w:t>
      </w:r>
      <w:r w:rsidR="00112B5E">
        <w:rPr>
          <w:rFonts w:ascii="Times New Roman" w:hAnsi="Times New Roman"/>
        </w:rPr>
        <w:t>e</w:t>
      </w:r>
      <w:r w:rsidR="001A3BC2">
        <w:rPr>
          <w:rFonts w:ascii="Times New Roman" w:hAnsi="Times New Roman"/>
        </w:rPr>
        <w:t xml:space="preserve"> </w:t>
      </w:r>
      <w:r w:rsidR="00112B5E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process</w:t>
      </w:r>
      <w:r w:rsidR="00112B5E">
        <w:rPr>
          <w:rFonts w:ascii="Times New Roman" w:hAnsi="Times New Roman"/>
        </w:rPr>
        <w:t xml:space="preserve"> outlined above</w:t>
      </w:r>
      <w:r>
        <w:rPr>
          <w:rFonts w:ascii="Times New Roman" w:hAnsi="Times New Roman"/>
        </w:rPr>
        <w:t xml:space="preserve">, PSE will file Electric Line Extension Costs Studies </w:t>
      </w:r>
      <w:r w:rsidR="003A14F4">
        <w:rPr>
          <w:rFonts w:ascii="Times New Roman" w:hAnsi="Times New Roman"/>
        </w:rPr>
        <w:t>at a minimum</w:t>
      </w:r>
      <w:r w:rsidR="00FE53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every two years</w:t>
      </w:r>
      <w:r w:rsidR="00112B5E">
        <w:rPr>
          <w:rFonts w:ascii="Times New Roman" w:hAnsi="Times New Roman"/>
        </w:rPr>
        <w:t xml:space="preserve"> starting 2018</w:t>
      </w:r>
      <w:r w:rsidR="002D1965">
        <w:rPr>
          <w:rFonts w:ascii="Times New Roman" w:hAnsi="Times New Roman"/>
        </w:rPr>
        <w:t>.</w:t>
      </w:r>
      <w:r w:rsidR="00015292">
        <w:rPr>
          <w:rFonts w:ascii="Times New Roman" w:hAnsi="Times New Roman"/>
        </w:rPr>
        <w:t xml:space="preserve"> </w:t>
      </w:r>
      <w:r w:rsidR="00EE43A6">
        <w:rPr>
          <w:rFonts w:ascii="Times New Roman" w:hAnsi="Times New Roman"/>
        </w:rPr>
        <w:t xml:space="preserve">These studies will cover a 12-month period.  </w:t>
      </w:r>
      <w:r>
        <w:rPr>
          <w:rFonts w:ascii="Times New Roman" w:hAnsi="Times New Roman"/>
        </w:rPr>
        <w:t xml:space="preserve"> </w:t>
      </w:r>
    </w:p>
    <w:p w:rsidR="00470F54" w:rsidRDefault="00470F54" w:rsidP="00E71002">
      <w:pPr>
        <w:rPr>
          <w:rFonts w:ascii="Times New Roman" w:hAnsi="Times New Roman"/>
        </w:rPr>
      </w:pPr>
    </w:p>
    <w:p w:rsidR="00470F54" w:rsidRDefault="00470F54" w:rsidP="00E71002">
      <w:pPr>
        <w:rPr>
          <w:rFonts w:ascii="Times New Roman" w:hAnsi="Times New Roman"/>
          <w:b/>
          <w:u w:val="single"/>
        </w:rPr>
      </w:pPr>
      <w:r w:rsidRPr="0038309B">
        <w:rPr>
          <w:rFonts w:ascii="Times New Roman" w:hAnsi="Times New Roman"/>
          <w:b/>
          <w:u w:val="single"/>
        </w:rPr>
        <w:t>Recommendation</w:t>
      </w:r>
    </w:p>
    <w:p w:rsidR="00470F54" w:rsidRPr="0038309B" w:rsidRDefault="00470F54" w:rsidP="00E71002">
      <w:pPr>
        <w:rPr>
          <w:rFonts w:ascii="Times New Roman" w:hAnsi="Times New Roman"/>
          <w:b/>
          <w:u w:val="single"/>
        </w:rPr>
      </w:pPr>
    </w:p>
    <w:p w:rsidR="00470F54" w:rsidRPr="002D5A23" w:rsidRDefault="00470F54" w:rsidP="00E710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 thereby allowing the proposed revision to Schedule 85 – Line Extensions and Service Lines </w:t>
      </w:r>
      <w:r w:rsidR="003A14F4">
        <w:rPr>
          <w:rFonts w:ascii="Times New Roman" w:hAnsi="Times New Roman"/>
        </w:rPr>
        <w:t xml:space="preserve">tariff sheets </w:t>
      </w:r>
      <w:r>
        <w:rPr>
          <w:rFonts w:ascii="Times New Roman" w:hAnsi="Times New Roman"/>
        </w:rPr>
        <w:t xml:space="preserve">to become effective </w:t>
      </w:r>
      <w:r w:rsidR="003A14F4">
        <w:rPr>
          <w:rFonts w:ascii="Times New Roman" w:hAnsi="Times New Roman"/>
        </w:rPr>
        <w:t>August 14</w:t>
      </w:r>
      <w:r>
        <w:rPr>
          <w:rFonts w:ascii="Times New Roman" w:hAnsi="Times New Roman"/>
        </w:rPr>
        <w:t xml:space="preserve">, 2015 by operation of law.  </w:t>
      </w:r>
    </w:p>
    <w:p w:rsidR="00470F54" w:rsidRPr="002D5A23" w:rsidRDefault="00470F54" w:rsidP="00A05655">
      <w:pPr>
        <w:rPr>
          <w:rFonts w:ascii="Times New Roman" w:hAnsi="Times New Roman"/>
        </w:rPr>
      </w:pPr>
    </w:p>
    <w:p w:rsidR="003B18D4" w:rsidRPr="002D5A23" w:rsidRDefault="003B18D4" w:rsidP="00A05655">
      <w:pPr>
        <w:rPr>
          <w:rFonts w:ascii="Times New Roman" w:hAnsi="Times New Roman"/>
        </w:rPr>
      </w:pPr>
    </w:p>
    <w:p w:rsidR="00EB4AD1" w:rsidRDefault="00EB4AD1" w:rsidP="00A05655"/>
    <w:sectPr w:rsidR="00EB4AD1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7A" w:rsidRDefault="001D497A" w:rsidP="003B18D4">
      <w:r>
        <w:separator/>
      </w:r>
    </w:p>
    <w:p w:rsidR="001D497A" w:rsidRDefault="001D497A"/>
  </w:endnote>
  <w:endnote w:type="continuationSeparator" w:id="0">
    <w:p w:rsidR="001D497A" w:rsidRDefault="001D497A" w:rsidP="003B18D4">
      <w:r>
        <w:continuationSeparator/>
      </w:r>
    </w:p>
    <w:p w:rsidR="001D497A" w:rsidRDefault="001D497A"/>
  </w:endnote>
  <w:endnote w:type="continuationNotice" w:id="1">
    <w:p w:rsidR="001D497A" w:rsidRDefault="001D4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7A" w:rsidRDefault="001D497A" w:rsidP="003B18D4">
      <w:r>
        <w:separator/>
      </w:r>
    </w:p>
    <w:p w:rsidR="001D497A" w:rsidRDefault="001D497A"/>
  </w:footnote>
  <w:footnote w:type="continuationSeparator" w:id="0">
    <w:p w:rsidR="001D497A" w:rsidRDefault="001D497A" w:rsidP="003B18D4">
      <w:r>
        <w:continuationSeparator/>
      </w:r>
    </w:p>
    <w:p w:rsidR="001D497A" w:rsidRDefault="001D497A"/>
  </w:footnote>
  <w:footnote w:type="continuationNotice" w:id="1">
    <w:p w:rsidR="001D497A" w:rsidRDefault="001D497A"/>
  </w:footnote>
  <w:footnote w:id="2">
    <w:p w:rsidR="002205E3" w:rsidRPr="00380C17" w:rsidRDefault="002205E3">
      <w:pPr>
        <w:pStyle w:val="FootnoteText"/>
        <w:rPr>
          <w:rFonts w:ascii="Times New Roman" w:hAnsi="Times New Roman"/>
        </w:rPr>
      </w:pPr>
      <w:r w:rsidRPr="00380C17">
        <w:rPr>
          <w:rStyle w:val="FootnoteReference"/>
          <w:rFonts w:ascii="Times New Roman" w:hAnsi="Times New Roman"/>
        </w:rPr>
        <w:footnoteRef/>
      </w:r>
      <w:r w:rsidRPr="00380C17">
        <w:rPr>
          <w:rFonts w:ascii="Times New Roman" w:hAnsi="Times New Roman"/>
        </w:rPr>
        <w:t xml:space="preserve"> </w:t>
      </w:r>
      <w:r w:rsidR="00404D46">
        <w:rPr>
          <w:rFonts w:ascii="Times New Roman" w:hAnsi="Times New Roman"/>
        </w:rPr>
        <w:t xml:space="preserve">Staff Memo, </w:t>
      </w:r>
      <w:r w:rsidRPr="00380C17">
        <w:rPr>
          <w:rFonts w:ascii="Times New Roman" w:hAnsi="Times New Roman"/>
        </w:rPr>
        <w:t>Docket UG-031216</w:t>
      </w:r>
    </w:p>
  </w:footnote>
  <w:footnote w:id="3">
    <w:p w:rsidR="00380C17" w:rsidRDefault="00380C17">
      <w:pPr>
        <w:pStyle w:val="FootnoteText"/>
      </w:pPr>
      <w:r w:rsidRPr="00380C17">
        <w:rPr>
          <w:rStyle w:val="FootnoteReference"/>
          <w:rFonts w:ascii="Times New Roman" w:hAnsi="Times New Roman"/>
        </w:rPr>
        <w:footnoteRef/>
      </w:r>
      <w:r w:rsidRPr="00380C17">
        <w:rPr>
          <w:rFonts w:ascii="Times New Roman" w:hAnsi="Times New Roman"/>
        </w:rPr>
        <w:t xml:space="preserve"> The last change to the tariff rates for electric line extensions occurre</w:t>
      </w:r>
      <w:r w:rsidR="00015292">
        <w:rPr>
          <w:rFonts w:ascii="Times New Roman" w:hAnsi="Times New Roman"/>
        </w:rPr>
        <w:t xml:space="preserve">d in 2009 in Docket UE-091547. </w:t>
      </w:r>
      <w:r w:rsidRPr="00380C17">
        <w:rPr>
          <w:rFonts w:ascii="Times New Roman" w:hAnsi="Times New Roman"/>
        </w:rPr>
        <w:t xml:space="preserve">PSE </w:t>
      </w:r>
      <w:r w:rsidR="00404D46">
        <w:rPr>
          <w:rFonts w:ascii="Times New Roman" w:hAnsi="Times New Roman"/>
        </w:rPr>
        <w:t xml:space="preserve">has continued to file Cost </w:t>
      </w:r>
      <w:r w:rsidR="00C2112C">
        <w:rPr>
          <w:rFonts w:ascii="Times New Roman" w:hAnsi="Times New Roman"/>
        </w:rPr>
        <w:t>Studies</w:t>
      </w:r>
      <w:r w:rsidR="00C2112C" w:rsidRPr="00380C17">
        <w:rPr>
          <w:rFonts w:ascii="Times New Roman" w:hAnsi="Times New Roman"/>
        </w:rPr>
        <w:t xml:space="preserve"> </w:t>
      </w:r>
      <w:r w:rsidRPr="00380C17">
        <w:rPr>
          <w:rFonts w:ascii="Times New Roman" w:hAnsi="Times New Roman"/>
        </w:rPr>
        <w:t>on an annual basis consistent with its agreement in the 2003 docket.</w:t>
      </w:r>
      <w:r>
        <w:rPr>
          <w:rFonts w:ascii="Times New Roman" w:hAnsi="Times New Roman"/>
        </w:rPr>
        <w:t xml:space="preserve">  </w:t>
      </w:r>
    </w:p>
  </w:footnote>
  <w:footnote w:id="4">
    <w:p w:rsidR="00470F54" w:rsidRPr="000C09D6" w:rsidRDefault="00470F54" w:rsidP="00470F54">
      <w:pPr>
        <w:pStyle w:val="FootnoteText"/>
        <w:rPr>
          <w:rFonts w:ascii="Times New Roman" w:hAnsi="Times New Roman"/>
        </w:rPr>
      </w:pPr>
      <w:r w:rsidRPr="000C09D6">
        <w:rPr>
          <w:rStyle w:val="FootnoteReference"/>
          <w:rFonts w:ascii="Times New Roman" w:hAnsi="Times New Roman"/>
        </w:rPr>
        <w:footnoteRef/>
      </w:r>
      <w:r w:rsidRPr="000C09D6">
        <w:rPr>
          <w:rFonts w:ascii="Times New Roman" w:hAnsi="Times New Roman"/>
        </w:rPr>
        <w:t xml:space="preserve"> The reason for using the general rate case effective date as a timer is to reduce the number of chan</w:t>
      </w:r>
      <w:r w:rsidR="00015292">
        <w:rPr>
          <w:rFonts w:ascii="Times New Roman" w:hAnsi="Times New Roman"/>
        </w:rPr>
        <w:t xml:space="preserve">ges to the Schedule 85 tariff. </w:t>
      </w:r>
      <w:r w:rsidRPr="000C09D6">
        <w:rPr>
          <w:rFonts w:ascii="Times New Roman" w:hAnsi="Times New Roman"/>
        </w:rPr>
        <w:t xml:space="preserve">Under this method the tariff is revised twice, once in </w:t>
      </w:r>
      <w:r>
        <w:rPr>
          <w:rFonts w:ascii="Times New Roman" w:hAnsi="Times New Roman"/>
        </w:rPr>
        <w:t>August</w:t>
      </w:r>
      <w:r w:rsidRPr="000C09D6">
        <w:rPr>
          <w:rFonts w:ascii="Times New Roman" w:hAnsi="Times New Roman"/>
        </w:rPr>
        <w:t xml:space="preserve"> of 2015 and again </w:t>
      </w:r>
      <w:r w:rsidR="00E45080">
        <w:rPr>
          <w:rFonts w:ascii="Times New Roman" w:hAnsi="Times New Roman"/>
        </w:rPr>
        <w:t xml:space="preserve">shortly after </w:t>
      </w:r>
      <w:r w:rsidRPr="000C09D6">
        <w:rPr>
          <w:rFonts w:ascii="Times New Roman" w:hAnsi="Times New Roman"/>
        </w:rPr>
        <w:t xml:space="preserve">the effective date of PSE’s next general rate filing.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63" w:rsidRPr="00E71002" w:rsidRDefault="00911C7E">
    <w:pPr>
      <w:pStyle w:val="Header"/>
      <w:rPr>
        <w:rFonts w:ascii="Times New Roman" w:hAnsi="Times New Roman"/>
        <w:sz w:val="20"/>
      </w:rPr>
    </w:pPr>
    <w:r w:rsidRPr="00E71002">
      <w:rPr>
        <w:rFonts w:ascii="Times New Roman" w:hAnsi="Times New Roman"/>
        <w:sz w:val="20"/>
      </w:rPr>
      <w:t>DOCKET UE-</w:t>
    </w:r>
    <w:r w:rsidR="002D1965">
      <w:rPr>
        <w:rFonts w:ascii="Times New Roman" w:hAnsi="Times New Roman"/>
        <w:sz w:val="20"/>
      </w:rPr>
      <w:t>150200</w:t>
    </w:r>
  </w:p>
  <w:p w:rsidR="00726B63" w:rsidRPr="00470F54" w:rsidRDefault="003A59C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August 13, </w:t>
    </w:r>
    <w:r w:rsidR="00470F54">
      <w:rPr>
        <w:rFonts w:ascii="Times New Roman" w:hAnsi="Times New Roman"/>
        <w:sz w:val="20"/>
        <w:szCs w:val="20"/>
      </w:rPr>
      <w:t>2015</w:t>
    </w:r>
  </w:p>
  <w:p w:rsidR="00726B63" w:rsidRPr="00E71002" w:rsidRDefault="00911C7E">
    <w:pPr>
      <w:pStyle w:val="Header"/>
      <w:rPr>
        <w:rStyle w:val="PageNumber"/>
        <w:rFonts w:ascii="Times New Roman" w:hAnsi="Times New Roman"/>
        <w:sz w:val="20"/>
      </w:rPr>
    </w:pPr>
    <w:r w:rsidRPr="00E71002">
      <w:rPr>
        <w:rFonts w:ascii="Times New Roman" w:hAnsi="Times New Roman"/>
        <w:sz w:val="20"/>
      </w:rPr>
      <w:t xml:space="preserve">Page </w:t>
    </w:r>
    <w:r w:rsidRPr="00E71002">
      <w:rPr>
        <w:rStyle w:val="PageNumber"/>
        <w:rFonts w:ascii="Times New Roman" w:hAnsi="Times New Roman"/>
        <w:sz w:val="20"/>
      </w:rPr>
      <w:fldChar w:fldCharType="begin"/>
    </w:r>
    <w:r w:rsidRPr="00E71002">
      <w:rPr>
        <w:rStyle w:val="PageNumber"/>
        <w:rFonts w:ascii="Times New Roman" w:hAnsi="Times New Roman"/>
        <w:sz w:val="20"/>
      </w:rPr>
      <w:instrText xml:space="preserve"> PAGE </w:instrText>
    </w:r>
    <w:r w:rsidRPr="00E71002">
      <w:rPr>
        <w:rStyle w:val="PageNumber"/>
        <w:rFonts w:ascii="Times New Roman" w:hAnsi="Times New Roman"/>
        <w:sz w:val="20"/>
      </w:rPr>
      <w:fldChar w:fldCharType="separate"/>
    </w:r>
    <w:r w:rsidR="00BB1EDB">
      <w:rPr>
        <w:rStyle w:val="PageNumber"/>
        <w:rFonts w:ascii="Times New Roman" w:hAnsi="Times New Roman"/>
        <w:noProof/>
        <w:sz w:val="20"/>
      </w:rPr>
      <w:t>3</w:t>
    </w:r>
    <w:r w:rsidRPr="00E71002">
      <w:rPr>
        <w:rStyle w:val="PageNumber"/>
        <w:rFonts w:ascii="Times New Roman" w:hAnsi="Times New Roman"/>
        <w:sz w:val="20"/>
      </w:rPr>
      <w:fldChar w:fldCharType="end"/>
    </w:r>
  </w:p>
  <w:p w:rsidR="00726B63" w:rsidRDefault="001D497A">
    <w:pPr>
      <w:pStyle w:val="Header"/>
      <w:rPr>
        <w:rStyle w:val="PageNumber"/>
        <w:sz w:val="20"/>
      </w:rPr>
    </w:pPr>
  </w:p>
  <w:p w:rsidR="00726B63" w:rsidRDefault="001D497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3A4C"/>
    <w:multiLevelType w:val="hybridMultilevel"/>
    <w:tmpl w:val="70A4C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27F2"/>
    <w:multiLevelType w:val="hybridMultilevel"/>
    <w:tmpl w:val="4F9A2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4"/>
    <w:rsid w:val="00015292"/>
    <w:rsid w:val="00067930"/>
    <w:rsid w:val="00087B5E"/>
    <w:rsid w:val="000A5E4F"/>
    <w:rsid w:val="000C09D6"/>
    <w:rsid w:val="00112B5E"/>
    <w:rsid w:val="00140947"/>
    <w:rsid w:val="00190D9D"/>
    <w:rsid w:val="001A3BC2"/>
    <w:rsid w:val="001D497A"/>
    <w:rsid w:val="002205E3"/>
    <w:rsid w:val="0023744D"/>
    <w:rsid w:val="00257B14"/>
    <w:rsid w:val="002826D4"/>
    <w:rsid w:val="002A1161"/>
    <w:rsid w:val="002A40F9"/>
    <w:rsid w:val="002D1965"/>
    <w:rsid w:val="002D4F42"/>
    <w:rsid w:val="00304053"/>
    <w:rsid w:val="00333EEB"/>
    <w:rsid w:val="00364EE8"/>
    <w:rsid w:val="00375DB2"/>
    <w:rsid w:val="00380C17"/>
    <w:rsid w:val="003A14F4"/>
    <w:rsid w:val="003A59CF"/>
    <w:rsid w:val="003B18D4"/>
    <w:rsid w:val="003E4960"/>
    <w:rsid w:val="003F2063"/>
    <w:rsid w:val="003F2077"/>
    <w:rsid w:val="003F63E0"/>
    <w:rsid w:val="00404D46"/>
    <w:rsid w:val="0041038E"/>
    <w:rsid w:val="00443BE5"/>
    <w:rsid w:val="00470F54"/>
    <w:rsid w:val="00475BFA"/>
    <w:rsid w:val="004A7760"/>
    <w:rsid w:val="004C5333"/>
    <w:rsid w:val="005437B8"/>
    <w:rsid w:val="005512EF"/>
    <w:rsid w:val="00577720"/>
    <w:rsid w:val="005A1E8B"/>
    <w:rsid w:val="005C46F0"/>
    <w:rsid w:val="005C499A"/>
    <w:rsid w:val="005F1BEB"/>
    <w:rsid w:val="00610273"/>
    <w:rsid w:val="0061435E"/>
    <w:rsid w:val="006311CC"/>
    <w:rsid w:val="00662B6B"/>
    <w:rsid w:val="006C2711"/>
    <w:rsid w:val="006C73FD"/>
    <w:rsid w:val="006D1691"/>
    <w:rsid w:val="006E4075"/>
    <w:rsid w:val="007023D4"/>
    <w:rsid w:val="00717E73"/>
    <w:rsid w:val="00737463"/>
    <w:rsid w:val="007B17AA"/>
    <w:rsid w:val="007C0BC0"/>
    <w:rsid w:val="007C31DE"/>
    <w:rsid w:val="007D4D23"/>
    <w:rsid w:val="008228CA"/>
    <w:rsid w:val="00831B45"/>
    <w:rsid w:val="00866D0D"/>
    <w:rsid w:val="00870EA8"/>
    <w:rsid w:val="00893761"/>
    <w:rsid w:val="00893A40"/>
    <w:rsid w:val="008B539E"/>
    <w:rsid w:val="008C5B73"/>
    <w:rsid w:val="00911C7E"/>
    <w:rsid w:val="00920A85"/>
    <w:rsid w:val="00931C75"/>
    <w:rsid w:val="009368E9"/>
    <w:rsid w:val="009418C8"/>
    <w:rsid w:val="00970C9F"/>
    <w:rsid w:val="009711E6"/>
    <w:rsid w:val="0098066F"/>
    <w:rsid w:val="00997C3A"/>
    <w:rsid w:val="009A6DE4"/>
    <w:rsid w:val="00A05655"/>
    <w:rsid w:val="00A07567"/>
    <w:rsid w:val="00A32611"/>
    <w:rsid w:val="00AB25BC"/>
    <w:rsid w:val="00AC377D"/>
    <w:rsid w:val="00AD0653"/>
    <w:rsid w:val="00AE6F69"/>
    <w:rsid w:val="00B06A59"/>
    <w:rsid w:val="00B21627"/>
    <w:rsid w:val="00B557C3"/>
    <w:rsid w:val="00B63FE4"/>
    <w:rsid w:val="00B66B57"/>
    <w:rsid w:val="00B92E14"/>
    <w:rsid w:val="00BB1EDB"/>
    <w:rsid w:val="00BB79F7"/>
    <w:rsid w:val="00BC159D"/>
    <w:rsid w:val="00BF40CB"/>
    <w:rsid w:val="00C012B5"/>
    <w:rsid w:val="00C02C4A"/>
    <w:rsid w:val="00C2112C"/>
    <w:rsid w:val="00C52C48"/>
    <w:rsid w:val="00C71431"/>
    <w:rsid w:val="00CA7A7F"/>
    <w:rsid w:val="00CB485B"/>
    <w:rsid w:val="00D2762E"/>
    <w:rsid w:val="00D5163E"/>
    <w:rsid w:val="00D73F93"/>
    <w:rsid w:val="00DE03D0"/>
    <w:rsid w:val="00DF36B2"/>
    <w:rsid w:val="00DF4537"/>
    <w:rsid w:val="00E067A7"/>
    <w:rsid w:val="00E27C47"/>
    <w:rsid w:val="00E41876"/>
    <w:rsid w:val="00E45080"/>
    <w:rsid w:val="00E5449A"/>
    <w:rsid w:val="00E55F42"/>
    <w:rsid w:val="00E57204"/>
    <w:rsid w:val="00E71002"/>
    <w:rsid w:val="00EB4AD1"/>
    <w:rsid w:val="00EB5FBF"/>
    <w:rsid w:val="00EC0E0B"/>
    <w:rsid w:val="00EC73BD"/>
    <w:rsid w:val="00EE43A6"/>
    <w:rsid w:val="00F045FD"/>
    <w:rsid w:val="00F1316D"/>
    <w:rsid w:val="00F21445"/>
    <w:rsid w:val="00F30E6B"/>
    <w:rsid w:val="00FC1541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0B7CA"/>
  <w15:docId w15:val="{68DC8822-C9F2-4BF0-B72B-58A5822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D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18D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3B18D4"/>
  </w:style>
  <w:style w:type="paragraph" w:styleId="FootnoteText">
    <w:name w:val="footnote text"/>
    <w:basedOn w:val="Normal"/>
    <w:link w:val="FootnoteTextChar"/>
    <w:rsid w:val="003B1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18D4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rsid w:val="003B18D4"/>
    <w:rPr>
      <w:vertAlign w:val="superscript"/>
    </w:rPr>
  </w:style>
  <w:style w:type="table" w:styleId="TableGrid">
    <w:name w:val="Table Grid"/>
    <w:basedOn w:val="TableNormal"/>
    <w:uiPriority w:val="59"/>
    <w:rsid w:val="00B6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52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C48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7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F54"/>
    <w:rPr>
      <w:rFonts w:ascii="Palatino Linotype" w:eastAsia="Times New Roman" w:hAnsi="Palatino Linotyp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CC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E4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2015-02-06T08:00:00+00:00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510B02DD4C84AADEC98BEA934BE27" ma:contentTypeVersion="119" ma:contentTypeDescription="" ma:contentTypeScope="" ma:versionID="c7f5ed73f0ca7bd4bd861316080f3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606E70-62B4-4B29-8CE0-609855EC546E}"/>
</file>

<file path=customXml/itemProps2.xml><?xml version="1.0" encoding="utf-8"?>
<ds:datastoreItem xmlns:ds="http://schemas.openxmlformats.org/officeDocument/2006/customXml" ds:itemID="{E5FC290E-F766-42EE-8D6E-FFE72D8ADFE0}"/>
</file>

<file path=customXml/itemProps3.xml><?xml version="1.0" encoding="utf-8"?>
<ds:datastoreItem xmlns:ds="http://schemas.openxmlformats.org/officeDocument/2006/customXml" ds:itemID="{13D62445-348C-4B9A-9754-93D2180043C2}"/>
</file>

<file path=customXml/itemProps4.xml><?xml version="1.0" encoding="utf-8"?>
<ds:datastoreItem xmlns:ds="http://schemas.openxmlformats.org/officeDocument/2006/customXml" ds:itemID="{6DC1ACA7-0F59-458F-B2EC-01E934DFC7C8}"/>
</file>

<file path=customXml/itemProps5.xml><?xml version="1.0" encoding="utf-8"?>
<ds:datastoreItem xmlns:ds="http://schemas.openxmlformats.org/officeDocument/2006/customXml" ds:itemID="{3E10E5C9-D50F-4150-8245-41021B4BE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UE-150200 Memo</vt:lpstr>
    </vt:vector>
  </TitlesOfParts>
  <Company>Washington Utilities and Transportation Commission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UE-150200 Memo</dc:title>
  <dc:creator>Jason Ball</dc:creator>
  <cp:lastModifiedBy>Anderson, Linda (UTC)</cp:lastModifiedBy>
  <cp:revision>10</cp:revision>
  <dcterms:created xsi:type="dcterms:W3CDTF">2015-08-04T19:55:00Z</dcterms:created>
  <dcterms:modified xsi:type="dcterms:W3CDTF">2015-08-10T20:44:00Z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0x0101006E56B4D1795A2E4DB2F0B01679ED314A00325510B02DD4C84AADEC98BEA934BE27</vt:lpwstr>
  </property>
  <property fmtid="{D5CDD505-2E9C-101B-9397-08002B2CF9AE}" pid="3" name="_docset_NoMedatataSyncRequired">
    <vt:lpwstr>False</vt:lpwstr>
  </property>
</Properties>
</file>