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CE" w:rsidRPr="00EB5D70" w:rsidRDefault="00545ECE" w:rsidP="00297A24">
      <w:pPr>
        <w:spacing w:line="264" w:lineRule="auto"/>
        <w:jc w:val="center"/>
        <w:rPr>
          <w:rFonts w:ascii="Times New Roman" w:eastAsia="Times New Roman" w:hAnsi="Times New Roman" w:cs="Times New Roman"/>
          <w:b/>
          <w:bCs/>
          <w:sz w:val="25"/>
          <w:szCs w:val="25"/>
        </w:rPr>
      </w:pPr>
      <w:bookmarkStart w:id="0" w:name="_GoBack"/>
      <w:bookmarkEnd w:id="0"/>
      <w:r w:rsidRPr="00EB5D70">
        <w:rPr>
          <w:rFonts w:ascii="Times New Roman" w:eastAsia="Times New Roman" w:hAnsi="Times New Roman" w:cs="Times New Roman"/>
          <w:b/>
          <w:bCs/>
          <w:sz w:val="25"/>
          <w:szCs w:val="25"/>
        </w:rPr>
        <w:t xml:space="preserve">BEFORE THE WASHINGTON </w:t>
      </w:r>
    </w:p>
    <w:p w:rsidR="00545ECE" w:rsidRPr="00EB5D70" w:rsidRDefault="00545ECE" w:rsidP="00297A24">
      <w:pPr>
        <w:spacing w:line="264" w:lineRule="auto"/>
        <w:jc w:val="center"/>
        <w:rPr>
          <w:rFonts w:ascii="Times New Roman" w:eastAsia="Times New Roman" w:hAnsi="Times New Roman" w:cs="Times New Roman"/>
          <w:b/>
          <w:bCs/>
          <w:sz w:val="25"/>
          <w:szCs w:val="25"/>
        </w:rPr>
      </w:pPr>
      <w:r w:rsidRPr="00EB5D70">
        <w:rPr>
          <w:rFonts w:ascii="Times New Roman" w:eastAsia="Times New Roman" w:hAnsi="Times New Roman" w:cs="Times New Roman"/>
          <w:b/>
          <w:bCs/>
          <w:sz w:val="25"/>
          <w:szCs w:val="25"/>
        </w:rPr>
        <w:t>UTILITIES AND TRANSPORTATION COMMISSION</w:t>
      </w:r>
    </w:p>
    <w:tbl>
      <w:tblPr>
        <w:tblW w:w="8736" w:type="dxa"/>
        <w:tblBorders>
          <w:insideH w:val="single" w:sz="4" w:space="0" w:color="auto"/>
        </w:tblBorders>
        <w:tblLook w:val="0000" w:firstRow="0" w:lastRow="0" w:firstColumn="0" w:lastColumn="0" w:noHBand="0" w:noVBand="0"/>
      </w:tblPr>
      <w:tblGrid>
        <w:gridCol w:w="4248"/>
        <w:gridCol w:w="500"/>
        <w:gridCol w:w="3988"/>
      </w:tblGrid>
      <w:tr w:rsidR="00545ECE" w:rsidRPr="00EB5D70" w:rsidTr="00E0604B">
        <w:tc>
          <w:tcPr>
            <w:tcW w:w="4248" w:type="dxa"/>
          </w:tcPr>
          <w:p w:rsidR="00545ECE" w:rsidRPr="00EB5D70" w:rsidRDefault="00545ECE" w:rsidP="00297A24">
            <w:pPr>
              <w:keepLines/>
              <w:spacing w:line="264" w:lineRule="auto"/>
              <w:rPr>
                <w:rFonts w:ascii="Times New Roman" w:eastAsia="Times New Roman" w:hAnsi="Times New Roman" w:cs="Times New Roman"/>
                <w:sz w:val="25"/>
                <w:szCs w:val="25"/>
              </w:rPr>
            </w:pPr>
          </w:p>
          <w:p w:rsidR="00545ECE" w:rsidRPr="00EB5D70" w:rsidRDefault="00545ECE" w:rsidP="00297A24">
            <w:pPr>
              <w:keepLines/>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In the Matter of</w:t>
            </w:r>
            <w:r w:rsidR="002D20B3" w:rsidRPr="00EB5D70">
              <w:rPr>
                <w:rFonts w:ascii="Times New Roman" w:eastAsia="Times New Roman" w:hAnsi="Times New Roman" w:cs="Times New Roman"/>
                <w:sz w:val="25"/>
                <w:szCs w:val="25"/>
              </w:rPr>
              <w:t xml:space="preserve"> the Petition of</w:t>
            </w:r>
          </w:p>
          <w:p w:rsidR="00545ECE" w:rsidRPr="00EB5D70" w:rsidRDefault="00545ECE" w:rsidP="00297A24">
            <w:pPr>
              <w:keepLines/>
              <w:spacing w:line="264" w:lineRule="auto"/>
              <w:rPr>
                <w:rFonts w:ascii="Times New Roman" w:eastAsia="Times New Roman" w:hAnsi="Times New Roman" w:cs="Times New Roman"/>
                <w:sz w:val="25"/>
                <w:szCs w:val="25"/>
              </w:rPr>
            </w:pPr>
          </w:p>
          <w:p w:rsidR="00545ECE" w:rsidRPr="00EB5D70" w:rsidRDefault="002D20B3" w:rsidP="00297A24">
            <w:pPr>
              <w:spacing w:line="264" w:lineRule="auto"/>
              <w:rPr>
                <w:rFonts w:ascii="Times New Roman" w:eastAsia="Times New Roman" w:hAnsi="Times New Roman" w:cs="Times New Roman"/>
                <w:caps/>
                <w:sz w:val="25"/>
                <w:szCs w:val="25"/>
              </w:rPr>
            </w:pPr>
            <w:r w:rsidRPr="00EB5D70">
              <w:rPr>
                <w:rFonts w:ascii="Times New Roman" w:eastAsia="Times New Roman" w:hAnsi="Times New Roman" w:cs="Times New Roman"/>
                <w:caps/>
                <w:sz w:val="25"/>
                <w:szCs w:val="25"/>
              </w:rPr>
              <w:t>PACIFIC POWER &amp; lIGHT COMPANY</w:t>
            </w:r>
          </w:p>
          <w:p w:rsidR="00545ECE" w:rsidRPr="00EB5D70" w:rsidRDefault="00545ECE" w:rsidP="00297A24">
            <w:pPr>
              <w:keepLines/>
              <w:spacing w:line="264" w:lineRule="auto"/>
              <w:rPr>
                <w:rFonts w:ascii="Times New Roman" w:eastAsia="Times New Roman" w:hAnsi="Times New Roman" w:cs="Times New Roman"/>
                <w:sz w:val="25"/>
                <w:szCs w:val="25"/>
              </w:rPr>
            </w:pPr>
          </w:p>
          <w:p w:rsidR="002D20B3" w:rsidRPr="00EB5D70" w:rsidRDefault="002D20B3"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For Declaratory Order Regarding Interpretation of WAC 480-100-128(6), WAC 480-100-178, and WAC 480-100-128(3)</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 . . . . . . . . . . . . . . . . . . . . . . . . . . . . . . . </w:t>
            </w:r>
          </w:p>
        </w:tc>
        <w:tc>
          <w:tcPr>
            <w:tcW w:w="500" w:type="dxa"/>
          </w:tcPr>
          <w:p w:rsidR="00545ECE" w:rsidRPr="00EB5D70" w:rsidRDefault="00545ECE" w:rsidP="00297A24">
            <w:pPr>
              <w:keepLines/>
              <w:spacing w:line="264" w:lineRule="auto"/>
              <w:rPr>
                <w:rFonts w:ascii="Times New Roman" w:eastAsia="Times New Roman" w:hAnsi="Times New Roman" w:cs="Times New Roman"/>
                <w:sz w:val="25"/>
                <w:szCs w:val="25"/>
              </w:rPr>
            </w:pPr>
          </w:p>
          <w:p w:rsidR="00545ECE" w:rsidRPr="00EB5D70" w:rsidRDefault="00545ECE" w:rsidP="00297A24">
            <w:pPr>
              <w:keepLines/>
              <w:spacing w:line="264" w:lineRule="auto"/>
              <w:rPr>
                <w:rFonts w:ascii="Times New Roman" w:eastAsia="Times New Roman" w:hAnsi="Times New Roman" w:cs="Times New Roman"/>
                <w:sz w:val="25"/>
                <w:szCs w:val="25"/>
              </w:rPr>
            </w:pP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545ECE" w:rsidRPr="00EB5D70" w:rsidRDefault="00545ECE"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9313F3" w:rsidRPr="00EB5D70" w:rsidRDefault="009313F3"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p w:rsidR="009313F3" w:rsidRPr="00EB5D70" w:rsidRDefault="009313F3" w:rsidP="00297A24">
            <w:pPr>
              <w:keepLines/>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t>
            </w:r>
          </w:p>
        </w:tc>
        <w:tc>
          <w:tcPr>
            <w:tcW w:w="3988" w:type="dxa"/>
          </w:tcPr>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DOCKET </w:t>
            </w:r>
            <w:r w:rsidR="002D20B3" w:rsidRPr="00EB5D70">
              <w:rPr>
                <w:rFonts w:ascii="Times New Roman" w:eastAsia="Times New Roman" w:hAnsi="Times New Roman" w:cs="Times New Roman"/>
                <w:sz w:val="25"/>
                <w:szCs w:val="25"/>
              </w:rPr>
              <w:t>UE</w:t>
            </w:r>
            <w:r w:rsidRPr="00EB5D70">
              <w:rPr>
                <w:rFonts w:ascii="Times New Roman" w:eastAsia="Times New Roman" w:hAnsi="Times New Roman" w:cs="Times New Roman"/>
                <w:color w:val="000000"/>
                <w:sz w:val="25"/>
                <w:szCs w:val="25"/>
              </w:rPr>
              <w:t>-1</w:t>
            </w:r>
            <w:r w:rsidR="002D20B3" w:rsidRPr="00EB5D70">
              <w:rPr>
                <w:rFonts w:ascii="Times New Roman" w:eastAsia="Times New Roman" w:hAnsi="Times New Roman" w:cs="Times New Roman"/>
                <w:color w:val="000000"/>
                <w:sz w:val="25"/>
                <w:szCs w:val="25"/>
              </w:rPr>
              <w:t>3</w:t>
            </w:r>
            <w:r w:rsidRPr="00EB5D70">
              <w:rPr>
                <w:rFonts w:ascii="Times New Roman" w:eastAsia="Times New Roman" w:hAnsi="Times New Roman" w:cs="Times New Roman"/>
                <w:color w:val="000000"/>
                <w:sz w:val="25"/>
                <w:szCs w:val="25"/>
              </w:rPr>
              <w:t>21</w:t>
            </w:r>
            <w:r w:rsidR="002D20B3" w:rsidRPr="00EB5D70">
              <w:rPr>
                <w:rFonts w:ascii="Times New Roman" w:eastAsia="Times New Roman" w:hAnsi="Times New Roman" w:cs="Times New Roman"/>
                <w:color w:val="000000"/>
                <w:sz w:val="25"/>
                <w:szCs w:val="25"/>
              </w:rPr>
              <w:t>19</w:t>
            </w: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DC1C70" w:rsidP="00297A24">
            <w:pPr>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ORDER 0</w:t>
            </w:r>
            <w:r w:rsidR="002D20B3" w:rsidRPr="00EB5D70">
              <w:rPr>
                <w:rFonts w:ascii="Times New Roman" w:eastAsia="Times New Roman" w:hAnsi="Times New Roman" w:cs="Times New Roman"/>
                <w:sz w:val="25"/>
                <w:szCs w:val="25"/>
              </w:rPr>
              <w:t>1</w:t>
            </w:r>
          </w:p>
          <w:p w:rsidR="00545ECE" w:rsidRPr="00EB5D70" w:rsidRDefault="00545ECE" w:rsidP="00297A24">
            <w:pPr>
              <w:spacing w:line="264" w:lineRule="auto"/>
              <w:rPr>
                <w:rFonts w:ascii="Times New Roman" w:eastAsia="Times New Roman" w:hAnsi="Times New Roman" w:cs="Times New Roman"/>
                <w:sz w:val="25"/>
                <w:szCs w:val="25"/>
              </w:rPr>
            </w:pPr>
          </w:p>
          <w:p w:rsidR="00297A24" w:rsidRPr="00EB5D70" w:rsidRDefault="00297A24" w:rsidP="00297A24">
            <w:pPr>
              <w:spacing w:line="264" w:lineRule="auto"/>
              <w:rPr>
                <w:rFonts w:ascii="Times New Roman" w:eastAsia="Times New Roman" w:hAnsi="Times New Roman" w:cs="Times New Roman"/>
                <w:sz w:val="25"/>
                <w:szCs w:val="25"/>
              </w:rPr>
            </w:pPr>
          </w:p>
          <w:p w:rsidR="00545ECE" w:rsidRPr="00EB5D70" w:rsidRDefault="002D20B3" w:rsidP="00297A24">
            <w:pPr>
              <w:spacing w:line="264" w:lineRule="auto"/>
              <w:rPr>
                <w:rFonts w:ascii="Times New Roman" w:eastAsia="Times New Roman" w:hAnsi="Times New Roman" w:cs="Times New Roman"/>
                <w:b/>
                <w:bCs/>
                <w:sz w:val="25"/>
                <w:szCs w:val="25"/>
              </w:rPr>
            </w:pPr>
            <w:r w:rsidRPr="00EB5D70">
              <w:rPr>
                <w:rFonts w:ascii="Times New Roman" w:eastAsia="Times New Roman" w:hAnsi="Times New Roman" w:cs="Times New Roman"/>
                <w:sz w:val="25"/>
                <w:szCs w:val="25"/>
              </w:rPr>
              <w:t xml:space="preserve">DECLARATORY </w:t>
            </w:r>
            <w:r w:rsidR="00545ECE" w:rsidRPr="00EB5D70">
              <w:rPr>
                <w:rFonts w:ascii="Times New Roman" w:eastAsia="Times New Roman" w:hAnsi="Times New Roman" w:cs="Times New Roman"/>
                <w:sz w:val="25"/>
                <w:szCs w:val="25"/>
              </w:rPr>
              <w:t xml:space="preserve">ORDER </w:t>
            </w:r>
          </w:p>
        </w:tc>
      </w:tr>
    </w:tbl>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p>
    <w:p w:rsidR="009C67F5" w:rsidRPr="00EB5D70" w:rsidRDefault="009C67F5" w:rsidP="00297A24">
      <w:pPr>
        <w:spacing w:line="264" w:lineRule="auto"/>
        <w:jc w:val="center"/>
        <w:rPr>
          <w:rFonts w:ascii="Times New Roman" w:eastAsia="Times New Roman" w:hAnsi="Times New Roman" w:cs="Times New Roman"/>
          <w:b/>
          <w:sz w:val="25"/>
          <w:szCs w:val="25"/>
        </w:rPr>
      </w:pPr>
      <w:r w:rsidRPr="00EB5D70">
        <w:rPr>
          <w:rFonts w:ascii="Times New Roman" w:eastAsia="Times New Roman" w:hAnsi="Times New Roman" w:cs="Times New Roman"/>
          <w:b/>
          <w:sz w:val="25"/>
          <w:szCs w:val="25"/>
        </w:rPr>
        <w:t>BACKGROUND</w:t>
      </w:r>
    </w:p>
    <w:p w:rsidR="009C67F5" w:rsidRPr="00EB5D70" w:rsidRDefault="009C67F5" w:rsidP="00297A24">
      <w:pPr>
        <w:spacing w:line="264" w:lineRule="auto"/>
        <w:rPr>
          <w:rFonts w:ascii="Times New Roman" w:eastAsia="Times New Roman" w:hAnsi="Times New Roman" w:cs="Times New Roman"/>
          <w:sz w:val="25"/>
          <w:szCs w:val="25"/>
        </w:rPr>
      </w:pPr>
    </w:p>
    <w:p w:rsidR="009313F3" w:rsidRPr="00EB5D70" w:rsidRDefault="00730080"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b/>
          <w:i/>
          <w:sz w:val="25"/>
          <w:szCs w:val="25"/>
        </w:rPr>
      </w:pPr>
      <w:r w:rsidRPr="00EB5D70">
        <w:rPr>
          <w:rFonts w:ascii="Times New Roman" w:eastAsia="Times New Roman" w:hAnsi="Times New Roman" w:cs="Times New Roman"/>
          <w:sz w:val="25"/>
          <w:szCs w:val="25"/>
        </w:rPr>
        <w:t>On November 18, 2013, Pacific Power &amp; Light Company (PacifiCorp or Company)</w:t>
      </w:r>
      <w:r w:rsidRPr="00EB5D70">
        <w:rPr>
          <w:rStyle w:val="FootnoteReference"/>
          <w:rFonts w:ascii="Times New Roman" w:eastAsia="Times New Roman" w:hAnsi="Times New Roman" w:cs="Times New Roman"/>
          <w:sz w:val="25"/>
          <w:szCs w:val="25"/>
        </w:rPr>
        <w:footnoteReference w:id="1"/>
      </w:r>
      <w:r w:rsidRPr="00EB5D70">
        <w:rPr>
          <w:rFonts w:ascii="Times New Roman" w:eastAsia="Times New Roman" w:hAnsi="Times New Roman" w:cs="Times New Roman"/>
          <w:sz w:val="25"/>
          <w:szCs w:val="25"/>
        </w:rPr>
        <w:t xml:space="preserve"> filed with the Washington Utilities and Transportation Commission (Commission) a Petition for a Declaratory Order (Petition).  PacifiCorp seeks a determination that its practice of combining the first of four disconnection notices with a regular billing statement sent to customers with past due balances complies with WAC 480-100-128(6) and WAC 480-100-178</w:t>
      </w:r>
      <w:r w:rsidR="00545ECE" w:rsidRPr="00EB5D70">
        <w:rPr>
          <w:rFonts w:ascii="Times New Roman" w:eastAsia="Times New Roman" w:hAnsi="Times New Roman" w:cs="Times New Roman"/>
          <w:sz w:val="25"/>
          <w:szCs w:val="25"/>
        </w:rPr>
        <w:t>.</w:t>
      </w:r>
    </w:p>
    <w:p w:rsidR="008B6D6B" w:rsidRPr="00EB5D70" w:rsidRDefault="0081249F"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The Company states that since 1995, it has included the first of four </w:t>
      </w:r>
      <w:r w:rsidR="00801521" w:rsidRPr="00EB5D70">
        <w:rPr>
          <w:rFonts w:ascii="Times New Roman" w:eastAsia="Times New Roman" w:hAnsi="Times New Roman" w:cs="Times New Roman"/>
          <w:sz w:val="25"/>
          <w:szCs w:val="25"/>
        </w:rPr>
        <w:t>disconnection</w:t>
      </w:r>
      <w:r w:rsidRPr="00EB5D70">
        <w:rPr>
          <w:rFonts w:ascii="Times New Roman" w:eastAsia="Times New Roman" w:hAnsi="Times New Roman" w:cs="Times New Roman"/>
          <w:sz w:val="25"/>
          <w:szCs w:val="25"/>
        </w:rPr>
        <w:t xml:space="preserve"> notices </w:t>
      </w:r>
      <w:r w:rsidR="00801521" w:rsidRPr="00EB5D70">
        <w:rPr>
          <w:rFonts w:ascii="Times New Roman" w:eastAsia="Times New Roman" w:hAnsi="Times New Roman" w:cs="Times New Roman"/>
          <w:sz w:val="25"/>
          <w:szCs w:val="25"/>
        </w:rPr>
        <w:t xml:space="preserve">(to which PacifiCorp refers as “past due” notices) </w:t>
      </w:r>
      <w:r w:rsidRPr="00EB5D70">
        <w:rPr>
          <w:rFonts w:ascii="Times New Roman" w:eastAsia="Times New Roman" w:hAnsi="Times New Roman" w:cs="Times New Roman"/>
          <w:sz w:val="25"/>
          <w:szCs w:val="25"/>
        </w:rPr>
        <w:t xml:space="preserve">with regular billing statements.  PacifiCorp interprets WAC 480-100-128 (Disconnection of service) and WAC 480-100-178 (Billing requirements and payment date) to specify only the information customers must receive and to grant companies discretion to determine whether to provide that information in </w:t>
      </w:r>
      <w:r w:rsidR="004A730B" w:rsidRPr="00EB5D70">
        <w:rPr>
          <w:rFonts w:ascii="Times New Roman" w:eastAsia="Times New Roman" w:hAnsi="Times New Roman" w:cs="Times New Roman"/>
          <w:sz w:val="25"/>
          <w:szCs w:val="25"/>
        </w:rPr>
        <w:t xml:space="preserve">a </w:t>
      </w:r>
      <w:r w:rsidRPr="00EB5D70">
        <w:rPr>
          <w:rFonts w:ascii="Times New Roman" w:eastAsia="Times New Roman" w:hAnsi="Times New Roman" w:cs="Times New Roman"/>
          <w:sz w:val="25"/>
          <w:szCs w:val="25"/>
        </w:rPr>
        <w:t xml:space="preserve">separate </w:t>
      </w:r>
      <w:r w:rsidR="004A730B" w:rsidRPr="00EB5D70">
        <w:rPr>
          <w:rFonts w:ascii="Times New Roman" w:eastAsia="Times New Roman" w:hAnsi="Times New Roman" w:cs="Times New Roman"/>
          <w:sz w:val="25"/>
          <w:szCs w:val="25"/>
        </w:rPr>
        <w:t xml:space="preserve">disconnection </w:t>
      </w:r>
      <w:r w:rsidRPr="00EB5D70">
        <w:rPr>
          <w:rFonts w:ascii="Times New Roman" w:eastAsia="Times New Roman" w:hAnsi="Times New Roman" w:cs="Times New Roman"/>
          <w:sz w:val="25"/>
          <w:szCs w:val="25"/>
        </w:rPr>
        <w:t>notice</w:t>
      </w:r>
      <w:r w:rsidR="004A730B" w:rsidRPr="00EB5D70">
        <w:rPr>
          <w:rFonts w:ascii="Times New Roman" w:eastAsia="Times New Roman" w:hAnsi="Times New Roman" w:cs="Times New Roman"/>
          <w:sz w:val="25"/>
          <w:szCs w:val="25"/>
        </w:rPr>
        <w:t xml:space="preserve"> or to include the information </w:t>
      </w:r>
      <w:r w:rsidR="00A52C2E" w:rsidRPr="00EB5D70">
        <w:rPr>
          <w:rFonts w:ascii="Times New Roman" w:eastAsia="Times New Roman" w:hAnsi="Times New Roman" w:cs="Times New Roman"/>
          <w:sz w:val="25"/>
          <w:szCs w:val="25"/>
        </w:rPr>
        <w:t xml:space="preserve">as part of </w:t>
      </w:r>
      <w:r w:rsidR="004A730B" w:rsidRPr="00EB5D70">
        <w:rPr>
          <w:rFonts w:ascii="Times New Roman" w:eastAsia="Times New Roman" w:hAnsi="Times New Roman" w:cs="Times New Roman"/>
          <w:sz w:val="25"/>
          <w:szCs w:val="25"/>
        </w:rPr>
        <w:t xml:space="preserve">a </w:t>
      </w:r>
      <w:r w:rsidRPr="00EB5D70">
        <w:rPr>
          <w:rFonts w:ascii="Times New Roman" w:eastAsia="Times New Roman" w:hAnsi="Times New Roman" w:cs="Times New Roman"/>
          <w:sz w:val="25"/>
          <w:szCs w:val="25"/>
        </w:rPr>
        <w:t>billing statement.</w:t>
      </w:r>
      <w:r w:rsidR="00A52C2E" w:rsidRPr="00EB5D70">
        <w:rPr>
          <w:rFonts w:ascii="Times New Roman" w:eastAsia="Times New Roman" w:hAnsi="Times New Roman" w:cs="Times New Roman"/>
          <w:sz w:val="25"/>
          <w:szCs w:val="25"/>
        </w:rPr>
        <w:t xml:space="preserve"> </w:t>
      </w:r>
      <w:r w:rsidR="00830CA0" w:rsidRPr="00EB5D70">
        <w:rPr>
          <w:rFonts w:ascii="Times New Roman" w:eastAsia="Times New Roman" w:hAnsi="Times New Roman" w:cs="Times New Roman"/>
          <w:sz w:val="25"/>
          <w:szCs w:val="25"/>
        </w:rPr>
        <w:t>PacifiCorp</w:t>
      </w:r>
      <w:r w:rsidR="00A52C2E" w:rsidRPr="00EB5D70">
        <w:rPr>
          <w:rFonts w:ascii="Times New Roman" w:eastAsia="Times New Roman" w:hAnsi="Times New Roman" w:cs="Times New Roman"/>
          <w:sz w:val="25"/>
          <w:szCs w:val="25"/>
        </w:rPr>
        <w:t xml:space="preserve"> has implemented the second option as part of its disconnection process pursuant to which it notifies “customers using a variety of methods, including mailed bills, mailed notices, a courtesy </w:t>
      </w:r>
      <w:r w:rsidR="00A52C2E" w:rsidRPr="00EB5D70">
        <w:rPr>
          <w:rFonts w:ascii="Times New Roman" w:eastAsia="Times New Roman" w:hAnsi="Times New Roman" w:cs="Times New Roman"/>
          <w:sz w:val="25"/>
          <w:szCs w:val="25"/>
        </w:rPr>
        <w:lastRenderedPageBreak/>
        <w:t>outbound call and a courtesy 48 hour notice hand-delivered to the customer’s premises.”</w:t>
      </w:r>
      <w:r w:rsidR="00A52C2E" w:rsidRPr="00EB5D70">
        <w:rPr>
          <w:rStyle w:val="FootnoteReference"/>
          <w:rFonts w:ascii="Times New Roman" w:eastAsia="Times New Roman" w:hAnsi="Times New Roman" w:cs="Times New Roman"/>
          <w:sz w:val="25"/>
          <w:szCs w:val="25"/>
        </w:rPr>
        <w:footnoteReference w:id="2"/>
      </w:r>
      <w:r w:rsidR="00830CA0" w:rsidRPr="00EB5D70">
        <w:rPr>
          <w:rFonts w:ascii="Times New Roman" w:eastAsia="Times New Roman" w:hAnsi="Times New Roman" w:cs="Times New Roman"/>
          <w:sz w:val="25"/>
          <w:szCs w:val="25"/>
        </w:rPr>
        <w:t xml:space="preserve">  </w:t>
      </w:r>
    </w:p>
    <w:p w:rsidR="00A52C2E" w:rsidRPr="00EB5D70" w:rsidRDefault="0099339C"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PacifiCorp </w:t>
      </w:r>
      <w:r w:rsidR="000276BD" w:rsidRPr="00EB5D70">
        <w:rPr>
          <w:rFonts w:ascii="Times New Roman" w:eastAsia="Times New Roman" w:hAnsi="Times New Roman" w:cs="Times New Roman"/>
          <w:sz w:val="25"/>
          <w:szCs w:val="25"/>
        </w:rPr>
        <w:t xml:space="preserve">seeks a declaratory order because </w:t>
      </w:r>
      <w:r w:rsidR="006973EC" w:rsidRPr="00EB5D70">
        <w:rPr>
          <w:rFonts w:ascii="Times New Roman" w:eastAsia="Times New Roman" w:hAnsi="Times New Roman" w:cs="Times New Roman"/>
          <w:sz w:val="25"/>
          <w:szCs w:val="25"/>
        </w:rPr>
        <w:t xml:space="preserve">the </w:t>
      </w:r>
      <w:r w:rsidR="000276BD" w:rsidRPr="00EB5D70">
        <w:rPr>
          <w:rFonts w:ascii="Times New Roman" w:eastAsia="Times New Roman" w:hAnsi="Times New Roman" w:cs="Times New Roman"/>
          <w:sz w:val="25"/>
          <w:szCs w:val="25"/>
        </w:rPr>
        <w:t>Commission</w:t>
      </w:r>
      <w:r w:rsidR="006973EC" w:rsidRPr="00EB5D70">
        <w:rPr>
          <w:rFonts w:ascii="Times New Roman" w:eastAsia="Times New Roman" w:hAnsi="Times New Roman" w:cs="Times New Roman"/>
          <w:sz w:val="25"/>
          <w:szCs w:val="25"/>
        </w:rPr>
        <w:t>’s Regulatory</w:t>
      </w:r>
      <w:r w:rsidR="000276BD" w:rsidRPr="00EB5D70">
        <w:rPr>
          <w:rFonts w:ascii="Times New Roman" w:eastAsia="Times New Roman" w:hAnsi="Times New Roman" w:cs="Times New Roman"/>
          <w:sz w:val="25"/>
          <w:szCs w:val="25"/>
        </w:rPr>
        <w:t xml:space="preserve"> Staff (Staff) </w:t>
      </w:r>
      <w:r w:rsidR="00121557" w:rsidRPr="00EB5D70">
        <w:rPr>
          <w:rFonts w:ascii="Times New Roman" w:eastAsia="Times New Roman" w:hAnsi="Times New Roman" w:cs="Times New Roman"/>
          <w:sz w:val="25"/>
          <w:szCs w:val="25"/>
        </w:rPr>
        <w:t xml:space="preserve">recently </w:t>
      </w:r>
      <w:r w:rsidR="000276BD" w:rsidRPr="00EB5D70">
        <w:rPr>
          <w:rFonts w:ascii="Times New Roman" w:eastAsia="Times New Roman" w:hAnsi="Times New Roman" w:cs="Times New Roman"/>
          <w:sz w:val="25"/>
          <w:szCs w:val="25"/>
        </w:rPr>
        <w:t>conducted an investigation in response to a customer complaint and found what Staff considered to be 434 violations of Commission rules resulting from the Company combining initial disconnection notices with regular billing statements.</w:t>
      </w:r>
      <w:r w:rsidR="00121557" w:rsidRPr="00EB5D70">
        <w:rPr>
          <w:rStyle w:val="FootnoteReference"/>
          <w:rFonts w:ascii="Times New Roman" w:eastAsia="Times New Roman" w:hAnsi="Times New Roman" w:cs="Times New Roman"/>
          <w:sz w:val="25"/>
          <w:szCs w:val="25"/>
        </w:rPr>
        <w:footnoteReference w:id="3"/>
      </w:r>
      <w:r w:rsidR="000276BD" w:rsidRPr="00EB5D70">
        <w:rPr>
          <w:rFonts w:ascii="Times New Roman" w:eastAsia="Times New Roman" w:hAnsi="Times New Roman" w:cs="Times New Roman"/>
          <w:sz w:val="25"/>
          <w:szCs w:val="25"/>
        </w:rPr>
        <w:t xml:space="preserve">  Staff directed the Company to </w:t>
      </w:r>
      <w:r w:rsidR="00121557" w:rsidRPr="00EB5D70">
        <w:rPr>
          <w:rFonts w:ascii="Times New Roman" w:eastAsia="Times New Roman" w:hAnsi="Times New Roman" w:cs="Times New Roman"/>
          <w:sz w:val="25"/>
          <w:szCs w:val="25"/>
        </w:rPr>
        <w:t xml:space="preserve">begin sending separate disconnection notices to avoid enforcement action.  </w:t>
      </w:r>
      <w:r w:rsidR="00801521" w:rsidRPr="00EB5D70">
        <w:rPr>
          <w:rFonts w:ascii="Times New Roman" w:eastAsia="Times New Roman" w:hAnsi="Times New Roman" w:cs="Times New Roman"/>
          <w:sz w:val="25"/>
          <w:szCs w:val="25"/>
        </w:rPr>
        <w:t>PacifiCorp</w:t>
      </w:r>
      <w:r w:rsidR="00121557" w:rsidRPr="00EB5D70">
        <w:rPr>
          <w:rFonts w:ascii="Times New Roman" w:eastAsia="Times New Roman" w:hAnsi="Times New Roman" w:cs="Times New Roman"/>
          <w:sz w:val="25"/>
          <w:szCs w:val="25"/>
        </w:rPr>
        <w:t xml:space="preserve"> claims that modifying its systems to </w:t>
      </w:r>
      <w:r w:rsidR="006973EC" w:rsidRPr="00EB5D70">
        <w:rPr>
          <w:rFonts w:ascii="Times New Roman" w:eastAsia="Times New Roman" w:hAnsi="Times New Roman" w:cs="Times New Roman"/>
          <w:sz w:val="25"/>
          <w:szCs w:val="25"/>
        </w:rPr>
        <w:t>comply with this directive</w:t>
      </w:r>
      <w:r w:rsidR="00121557" w:rsidRPr="00EB5D70">
        <w:rPr>
          <w:rFonts w:ascii="Times New Roman" w:eastAsia="Times New Roman" w:hAnsi="Times New Roman" w:cs="Times New Roman"/>
          <w:sz w:val="25"/>
          <w:szCs w:val="25"/>
        </w:rPr>
        <w:t xml:space="preserve"> would cost </w:t>
      </w:r>
      <w:r w:rsidR="002C419D" w:rsidRPr="00EB5D70">
        <w:rPr>
          <w:rFonts w:ascii="Times New Roman" w:eastAsia="Times New Roman" w:hAnsi="Times New Roman" w:cs="Times New Roman"/>
          <w:sz w:val="25"/>
          <w:szCs w:val="25"/>
        </w:rPr>
        <w:t xml:space="preserve">Washington ratepayers </w:t>
      </w:r>
      <w:r w:rsidR="00121557" w:rsidRPr="00EB5D70">
        <w:rPr>
          <w:rFonts w:ascii="Times New Roman" w:eastAsia="Times New Roman" w:hAnsi="Times New Roman" w:cs="Times New Roman"/>
          <w:sz w:val="25"/>
          <w:szCs w:val="25"/>
        </w:rPr>
        <w:t xml:space="preserve">approximately $1.1 million and would increase </w:t>
      </w:r>
      <w:r w:rsidR="002C419D" w:rsidRPr="00EB5D70">
        <w:rPr>
          <w:rFonts w:ascii="Times New Roman" w:eastAsia="Times New Roman" w:hAnsi="Times New Roman" w:cs="Times New Roman"/>
          <w:sz w:val="25"/>
          <w:szCs w:val="25"/>
        </w:rPr>
        <w:t xml:space="preserve">the Company’s Washington </w:t>
      </w:r>
      <w:r w:rsidR="00121557" w:rsidRPr="00EB5D70">
        <w:rPr>
          <w:rFonts w:ascii="Times New Roman" w:eastAsia="Times New Roman" w:hAnsi="Times New Roman" w:cs="Times New Roman"/>
          <w:sz w:val="25"/>
          <w:szCs w:val="25"/>
        </w:rPr>
        <w:t>annual printing and postage costs by approximately $200,000.</w:t>
      </w:r>
      <w:r w:rsidR="00121557" w:rsidRPr="00EB5D70">
        <w:rPr>
          <w:rStyle w:val="FootnoteReference"/>
          <w:rFonts w:ascii="Times New Roman" w:eastAsia="Times New Roman" w:hAnsi="Times New Roman" w:cs="Times New Roman"/>
          <w:sz w:val="25"/>
          <w:szCs w:val="25"/>
        </w:rPr>
        <w:footnoteReference w:id="4"/>
      </w:r>
      <w:r w:rsidR="00121557" w:rsidRPr="00EB5D70">
        <w:rPr>
          <w:rFonts w:ascii="Times New Roman" w:eastAsia="Times New Roman" w:hAnsi="Times New Roman" w:cs="Times New Roman"/>
          <w:sz w:val="25"/>
          <w:szCs w:val="25"/>
        </w:rPr>
        <w:t xml:space="preserve">  Before taking such action, </w:t>
      </w:r>
      <w:r w:rsidR="00801521" w:rsidRPr="00EB5D70">
        <w:rPr>
          <w:rFonts w:ascii="Times New Roman" w:eastAsia="Times New Roman" w:hAnsi="Times New Roman" w:cs="Times New Roman"/>
          <w:sz w:val="25"/>
          <w:szCs w:val="25"/>
        </w:rPr>
        <w:t>the Company</w:t>
      </w:r>
      <w:r w:rsidR="00121557" w:rsidRPr="00EB5D70">
        <w:rPr>
          <w:rFonts w:ascii="Times New Roman" w:eastAsia="Times New Roman" w:hAnsi="Times New Roman" w:cs="Times New Roman"/>
          <w:sz w:val="25"/>
          <w:szCs w:val="25"/>
        </w:rPr>
        <w:t xml:space="preserve"> requests a Commission interpretation of the</w:t>
      </w:r>
      <w:r w:rsidR="006973EC" w:rsidRPr="00EB5D70">
        <w:rPr>
          <w:rFonts w:ascii="Times New Roman" w:eastAsia="Times New Roman" w:hAnsi="Times New Roman" w:cs="Times New Roman"/>
          <w:sz w:val="25"/>
          <w:szCs w:val="25"/>
        </w:rPr>
        <w:t xml:space="preserve"> applicable</w:t>
      </w:r>
      <w:r w:rsidR="00121557" w:rsidRPr="00EB5D70">
        <w:rPr>
          <w:rFonts w:ascii="Times New Roman" w:eastAsia="Times New Roman" w:hAnsi="Times New Roman" w:cs="Times New Roman"/>
          <w:sz w:val="25"/>
          <w:szCs w:val="25"/>
        </w:rPr>
        <w:t xml:space="preserve"> rules.</w:t>
      </w:r>
    </w:p>
    <w:p w:rsidR="002B4101" w:rsidRPr="00EB5D70" w:rsidRDefault="00B962B4"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On November 20, 2013, p</w:t>
      </w:r>
      <w:r w:rsidR="0023136C" w:rsidRPr="00EB5D70">
        <w:rPr>
          <w:rFonts w:ascii="Times New Roman" w:eastAsia="Times New Roman" w:hAnsi="Times New Roman" w:cs="Times New Roman"/>
          <w:sz w:val="25"/>
          <w:szCs w:val="25"/>
        </w:rPr>
        <w:t>ursuant to RCW 34.05.240 and WAC 480-07-930, the Commission gave notice of PacifiCorp’s Petition</w:t>
      </w:r>
      <w:r w:rsidRPr="00EB5D70">
        <w:rPr>
          <w:rFonts w:ascii="Times New Roman" w:eastAsia="Times New Roman" w:hAnsi="Times New Roman" w:cs="Times New Roman"/>
          <w:sz w:val="25"/>
          <w:szCs w:val="25"/>
        </w:rPr>
        <w:t xml:space="preserve"> and invited interested persons to submit statements of law and fact on the issues raised in the Petition</w:t>
      </w:r>
      <w:r w:rsidR="0023136C" w:rsidRPr="00EB5D70">
        <w:rPr>
          <w:rFonts w:ascii="Times New Roman" w:eastAsia="Times New Roman" w:hAnsi="Times New Roman" w:cs="Times New Roman"/>
          <w:sz w:val="25"/>
          <w:szCs w:val="25"/>
        </w:rPr>
        <w:t>.  On December 6, 2013, the Commission received statements of fact and law from</w:t>
      </w:r>
      <w:r w:rsidR="006973EC" w:rsidRPr="00EB5D70">
        <w:rPr>
          <w:rFonts w:ascii="Times New Roman" w:eastAsia="Times New Roman" w:hAnsi="Times New Roman" w:cs="Times New Roman"/>
          <w:sz w:val="25"/>
          <w:szCs w:val="25"/>
        </w:rPr>
        <w:t xml:space="preserve"> </w:t>
      </w:r>
      <w:r w:rsidR="0023136C" w:rsidRPr="00EB5D70">
        <w:rPr>
          <w:rFonts w:ascii="Times New Roman" w:eastAsia="Times New Roman" w:hAnsi="Times New Roman" w:cs="Times New Roman"/>
          <w:sz w:val="25"/>
          <w:szCs w:val="25"/>
        </w:rPr>
        <w:t>Staff, the Public Counsel Section of the Office of the Washington Attorney General (Public Counsel), and the Energy Project</w:t>
      </w:r>
      <w:r w:rsidR="00545ECE" w:rsidRPr="00EB5D70">
        <w:rPr>
          <w:rFonts w:ascii="Times New Roman" w:eastAsia="Times New Roman" w:hAnsi="Times New Roman" w:cs="Times New Roman"/>
          <w:sz w:val="25"/>
          <w:szCs w:val="25"/>
        </w:rPr>
        <w:t>.</w:t>
      </w:r>
      <w:r w:rsidR="00823054" w:rsidRPr="00EB5D70">
        <w:rPr>
          <w:rFonts w:ascii="Times New Roman" w:eastAsia="Times New Roman" w:hAnsi="Times New Roman" w:cs="Times New Roman"/>
          <w:sz w:val="25"/>
          <w:szCs w:val="25"/>
        </w:rPr>
        <w:t xml:space="preserve"> </w:t>
      </w:r>
      <w:r w:rsidR="00AD73FD" w:rsidRPr="00EB5D70">
        <w:rPr>
          <w:rFonts w:ascii="Times New Roman" w:eastAsia="Times New Roman" w:hAnsi="Times New Roman" w:cs="Times New Roman"/>
          <w:sz w:val="25"/>
          <w:szCs w:val="25"/>
        </w:rPr>
        <w:t xml:space="preserve">No interested person objected to the Commission </w:t>
      </w:r>
      <w:r w:rsidRPr="00EB5D70">
        <w:rPr>
          <w:rFonts w:ascii="Times New Roman" w:eastAsia="Times New Roman" w:hAnsi="Times New Roman" w:cs="Times New Roman"/>
          <w:sz w:val="25"/>
          <w:szCs w:val="25"/>
        </w:rPr>
        <w:t xml:space="preserve">entering </w:t>
      </w:r>
      <w:r w:rsidR="00AD73FD" w:rsidRPr="00EB5D70">
        <w:rPr>
          <w:rFonts w:ascii="Times New Roman" w:eastAsia="Times New Roman" w:hAnsi="Times New Roman" w:cs="Times New Roman"/>
          <w:sz w:val="25"/>
          <w:szCs w:val="25"/>
        </w:rPr>
        <w:t>a declaratory order</w:t>
      </w:r>
      <w:r w:rsidRPr="00EB5D70">
        <w:rPr>
          <w:rFonts w:ascii="Times New Roman" w:eastAsia="Times New Roman" w:hAnsi="Times New Roman" w:cs="Times New Roman"/>
          <w:sz w:val="25"/>
          <w:szCs w:val="25"/>
        </w:rPr>
        <w:t xml:space="preserve"> to address the issue presented</w:t>
      </w:r>
      <w:r w:rsidR="00B42CE4" w:rsidRPr="00EB5D70">
        <w:rPr>
          <w:rFonts w:ascii="Times New Roman" w:eastAsia="Times New Roman" w:hAnsi="Times New Roman" w:cs="Times New Roman"/>
          <w:sz w:val="25"/>
          <w:szCs w:val="25"/>
        </w:rPr>
        <w:t xml:space="preserve"> in the Petition</w:t>
      </w:r>
      <w:r w:rsidR="00AD73FD" w:rsidRPr="00EB5D70">
        <w:rPr>
          <w:rFonts w:ascii="Times New Roman" w:eastAsia="Times New Roman" w:hAnsi="Times New Roman" w:cs="Times New Roman"/>
          <w:sz w:val="25"/>
          <w:szCs w:val="25"/>
        </w:rPr>
        <w:t>, but all of the responding entities disagree with PacifiCorp’s interpretation of the applicable Commission rules.</w:t>
      </w:r>
    </w:p>
    <w:p w:rsidR="006973EC" w:rsidRPr="00EB5D70" w:rsidRDefault="006973EC"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Staff contends, “Because the requirements for disconnection notices and the requirements for billing statements are contained in completely separate sections of the WAC, and neither of those cross-reference each other, the most reasonable interpretation is that the two documents are separate and may not be combined.”</w:t>
      </w:r>
      <w:r w:rsidRPr="00EB5D70">
        <w:rPr>
          <w:rStyle w:val="FootnoteReference"/>
          <w:rFonts w:ascii="Times New Roman" w:eastAsia="Times New Roman" w:hAnsi="Times New Roman" w:cs="Times New Roman"/>
          <w:sz w:val="25"/>
          <w:szCs w:val="25"/>
        </w:rPr>
        <w:footnoteReference w:id="5"/>
      </w:r>
      <w:r w:rsidRPr="00EB5D70">
        <w:rPr>
          <w:rFonts w:ascii="Times New Roman" w:eastAsia="Times New Roman" w:hAnsi="Times New Roman" w:cs="Times New Roman"/>
          <w:sz w:val="25"/>
          <w:szCs w:val="25"/>
        </w:rPr>
        <w:t xml:space="preserve">  Staff further observes that </w:t>
      </w:r>
      <w:r w:rsidR="005C41A0" w:rsidRPr="00EB5D70">
        <w:rPr>
          <w:rFonts w:ascii="Times New Roman" w:eastAsia="Times New Roman" w:hAnsi="Times New Roman" w:cs="Times New Roman"/>
          <w:sz w:val="25"/>
          <w:szCs w:val="25"/>
        </w:rPr>
        <w:t xml:space="preserve">each rule’s </w:t>
      </w:r>
      <w:r w:rsidRPr="00EB5D70">
        <w:rPr>
          <w:rFonts w:ascii="Times New Roman" w:eastAsia="Times New Roman" w:hAnsi="Times New Roman" w:cs="Times New Roman"/>
          <w:sz w:val="25"/>
          <w:szCs w:val="25"/>
        </w:rPr>
        <w:t xml:space="preserve">requirements are different and in some cases </w:t>
      </w:r>
      <w:r w:rsidR="005C41A0" w:rsidRPr="00EB5D70">
        <w:rPr>
          <w:rFonts w:ascii="Times New Roman" w:eastAsia="Times New Roman" w:hAnsi="Times New Roman" w:cs="Times New Roman"/>
          <w:sz w:val="25"/>
          <w:szCs w:val="25"/>
        </w:rPr>
        <w:t xml:space="preserve">are </w:t>
      </w:r>
      <w:r w:rsidRPr="00EB5D70">
        <w:rPr>
          <w:rFonts w:ascii="Times New Roman" w:eastAsia="Times New Roman" w:hAnsi="Times New Roman" w:cs="Times New Roman"/>
          <w:sz w:val="25"/>
          <w:szCs w:val="25"/>
        </w:rPr>
        <w:t>irreconcilable</w:t>
      </w:r>
      <w:r w:rsidR="007310C6" w:rsidRPr="00EB5D70">
        <w:rPr>
          <w:rFonts w:ascii="Times New Roman" w:eastAsia="Times New Roman" w:hAnsi="Times New Roman" w:cs="Times New Roman"/>
          <w:sz w:val="25"/>
          <w:szCs w:val="25"/>
        </w:rPr>
        <w:t xml:space="preserve"> with the concept of combination</w:t>
      </w:r>
      <w:r w:rsidRPr="00EB5D70">
        <w:rPr>
          <w:rFonts w:ascii="Times New Roman" w:eastAsia="Times New Roman" w:hAnsi="Times New Roman" w:cs="Times New Roman"/>
          <w:sz w:val="25"/>
          <w:szCs w:val="25"/>
        </w:rPr>
        <w:t xml:space="preserve">, </w:t>
      </w:r>
      <w:r w:rsidRPr="00EB5D70">
        <w:rPr>
          <w:rFonts w:ascii="Times New Roman" w:eastAsia="Times New Roman" w:hAnsi="Times New Roman" w:cs="Times New Roman"/>
          <w:i/>
          <w:sz w:val="25"/>
          <w:szCs w:val="25"/>
        </w:rPr>
        <w:t>e.g</w:t>
      </w:r>
      <w:r w:rsidRPr="00EB5D70">
        <w:rPr>
          <w:rFonts w:ascii="Times New Roman" w:eastAsia="Times New Roman" w:hAnsi="Times New Roman" w:cs="Times New Roman"/>
          <w:sz w:val="25"/>
          <w:szCs w:val="25"/>
        </w:rPr>
        <w:t>., providing for telephonic not</w:t>
      </w:r>
      <w:r w:rsidR="005C41A0" w:rsidRPr="00EB5D70">
        <w:rPr>
          <w:rFonts w:ascii="Times New Roman" w:eastAsia="Times New Roman" w:hAnsi="Times New Roman" w:cs="Times New Roman"/>
          <w:sz w:val="25"/>
          <w:szCs w:val="25"/>
        </w:rPr>
        <w:t>ice for some disconnection notices but not for bills</w:t>
      </w:r>
      <w:r w:rsidR="006A0B6E" w:rsidRPr="00EB5D70">
        <w:rPr>
          <w:rFonts w:ascii="Times New Roman" w:eastAsia="Times New Roman" w:hAnsi="Times New Roman" w:cs="Times New Roman"/>
          <w:sz w:val="25"/>
          <w:szCs w:val="25"/>
        </w:rPr>
        <w:t>,</w:t>
      </w:r>
      <w:r w:rsidR="005C41A0" w:rsidRPr="00EB5D70">
        <w:rPr>
          <w:rFonts w:ascii="Times New Roman" w:eastAsia="Times New Roman" w:hAnsi="Times New Roman" w:cs="Times New Roman"/>
          <w:sz w:val="25"/>
          <w:szCs w:val="25"/>
        </w:rPr>
        <w:t xml:space="preserve"> and permitting electronic bills </w:t>
      </w:r>
      <w:r w:rsidR="005C41A0" w:rsidRPr="00EB5D70">
        <w:rPr>
          <w:rFonts w:ascii="Times New Roman" w:eastAsia="Times New Roman" w:hAnsi="Times New Roman" w:cs="Times New Roman"/>
          <w:sz w:val="25"/>
          <w:szCs w:val="25"/>
        </w:rPr>
        <w:lastRenderedPageBreak/>
        <w:t>but prohibiting electronic disconnection notices.</w:t>
      </w:r>
      <w:r w:rsidR="005C41A0" w:rsidRPr="00EB5D70">
        <w:rPr>
          <w:rStyle w:val="FootnoteReference"/>
          <w:rFonts w:ascii="Times New Roman" w:eastAsia="Times New Roman" w:hAnsi="Times New Roman" w:cs="Times New Roman"/>
          <w:sz w:val="25"/>
          <w:szCs w:val="25"/>
        </w:rPr>
        <w:footnoteReference w:id="6"/>
      </w:r>
      <w:r w:rsidR="00B86DEB" w:rsidRPr="00EB5D70">
        <w:rPr>
          <w:rFonts w:ascii="Times New Roman" w:eastAsia="Times New Roman" w:hAnsi="Times New Roman" w:cs="Times New Roman"/>
          <w:sz w:val="25"/>
          <w:szCs w:val="25"/>
        </w:rPr>
        <w:t xml:space="preserve">  Staff asserts that a separate “notice of disconnection is least likely to be confusing, and most likely to be noticed and called to the customer’s attention,”</w:t>
      </w:r>
      <w:r w:rsidR="00B86DEB" w:rsidRPr="00EB5D70">
        <w:rPr>
          <w:rStyle w:val="FootnoteReference"/>
          <w:rFonts w:ascii="Times New Roman" w:eastAsia="Times New Roman" w:hAnsi="Times New Roman" w:cs="Times New Roman"/>
          <w:sz w:val="25"/>
          <w:szCs w:val="25"/>
        </w:rPr>
        <w:footnoteReference w:id="7"/>
      </w:r>
      <w:r w:rsidR="00B86DEB" w:rsidRPr="00EB5D70">
        <w:rPr>
          <w:rFonts w:ascii="Times New Roman" w:eastAsia="Times New Roman" w:hAnsi="Times New Roman" w:cs="Times New Roman"/>
          <w:sz w:val="25"/>
          <w:szCs w:val="25"/>
        </w:rPr>
        <w:t xml:space="preserve"> </w:t>
      </w:r>
      <w:r w:rsidR="00801521" w:rsidRPr="00EB5D70">
        <w:rPr>
          <w:rFonts w:ascii="Times New Roman" w:eastAsia="Times New Roman" w:hAnsi="Times New Roman" w:cs="Times New Roman"/>
          <w:sz w:val="25"/>
          <w:szCs w:val="25"/>
        </w:rPr>
        <w:t>and that providing customers with a separate disconnection notice is</w:t>
      </w:r>
      <w:r w:rsidR="00B86DEB" w:rsidRPr="00EB5D70">
        <w:rPr>
          <w:rFonts w:ascii="Times New Roman" w:eastAsia="Times New Roman" w:hAnsi="Times New Roman" w:cs="Times New Roman"/>
          <w:sz w:val="25"/>
          <w:szCs w:val="25"/>
        </w:rPr>
        <w:t xml:space="preserve"> the standard practice of all the other natural gas and electric companies the Commission regulates.</w:t>
      </w:r>
      <w:r w:rsidR="00B86DEB" w:rsidRPr="00EB5D70">
        <w:rPr>
          <w:rStyle w:val="FootnoteReference"/>
          <w:rFonts w:ascii="Times New Roman" w:eastAsia="Times New Roman" w:hAnsi="Times New Roman" w:cs="Times New Roman"/>
          <w:sz w:val="25"/>
          <w:szCs w:val="25"/>
        </w:rPr>
        <w:footnoteReference w:id="8"/>
      </w:r>
    </w:p>
    <w:p w:rsidR="005C41A0" w:rsidRPr="00EB5D70" w:rsidRDefault="00647920"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Like Staff, Public Counsel believes, “The two rules at issue here contemplate two separate procedures, timelines, and notice to customers.”</w:t>
      </w:r>
      <w:r w:rsidRPr="00EB5D70">
        <w:rPr>
          <w:rStyle w:val="FootnoteReference"/>
          <w:rFonts w:ascii="Times New Roman" w:eastAsia="Times New Roman" w:hAnsi="Times New Roman" w:cs="Times New Roman"/>
          <w:sz w:val="25"/>
          <w:szCs w:val="25"/>
        </w:rPr>
        <w:footnoteReference w:id="9"/>
      </w:r>
      <w:r w:rsidRPr="00EB5D70">
        <w:rPr>
          <w:rFonts w:ascii="Times New Roman" w:eastAsia="Times New Roman" w:hAnsi="Times New Roman" w:cs="Times New Roman"/>
          <w:sz w:val="25"/>
          <w:szCs w:val="25"/>
        </w:rPr>
        <w:t xml:space="preserve">  </w:t>
      </w:r>
      <w:r w:rsidR="00400CB1" w:rsidRPr="00EB5D70">
        <w:rPr>
          <w:rFonts w:ascii="Times New Roman" w:eastAsia="Times New Roman" w:hAnsi="Times New Roman" w:cs="Times New Roman"/>
          <w:sz w:val="25"/>
          <w:szCs w:val="25"/>
        </w:rPr>
        <w:t xml:space="preserve">Public Counsel </w:t>
      </w:r>
      <w:r w:rsidRPr="00EB5D70">
        <w:rPr>
          <w:rFonts w:ascii="Times New Roman" w:eastAsia="Times New Roman" w:hAnsi="Times New Roman" w:cs="Times New Roman"/>
          <w:sz w:val="25"/>
          <w:szCs w:val="25"/>
        </w:rPr>
        <w:t>argues</w:t>
      </w:r>
      <w:r w:rsidR="00400CB1" w:rsidRPr="00EB5D70">
        <w:rPr>
          <w:rFonts w:ascii="Times New Roman" w:eastAsia="Times New Roman" w:hAnsi="Times New Roman" w:cs="Times New Roman"/>
          <w:sz w:val="25"/>
          <w:szCs w:val="25"/>
        </w:rPr>
        <w:t xml:space="preserve"> that </w:t>
      </w:r>
      <w:r w:rsidRPr="00EB5D70">
        <w:rPr>
          <w:rFonts w:ascii="Times New Roman" w:eastAsia="Times New Roman" w:hAnsi="Times New Roman" w:cs="Times New Roman"/>
          <w:sz w:val="25"/>
          <w:szCs w:val="25"/>
        </w:rPr>
        <w:t>“</w:t>
      </w:r>
      <w:r w:rsidR="00400CB1" w:rsidRPr="00EB5D70">
        <w:rPr>
          <w:rFonts w:ascii="Times New Roman" w:eastAsia="Times New Roman" w:hAnsi="Times New Roman" w:cs="Times New Roman"/>
          <w:sz w:val="25"/>
          <w:szCs w:val="25"/>
        </w:rPr>
        <w:t>the intent of the</w:t>
      </w:r>
      <w:r w:rsidRPr="00EB5D70">
        <w:rPr>
          <w:rFonts w:ascii="Times New Roman" w:eastAsia="Times New Roman" w:hAnsi="Times New Roman" w:cs="Times New Roman"/>
          <w:sz w:val="25"/>
          <w:szCs w:val="25"/>
        </w:rPr>
        <w:t>se</w:t>
      </w:r>
      <w:r w:rsidR="00400CB1" w:rsidRPr="00EB5D70">
        <w:rPr>
          <w:rFonts w:ascii="Times New Roman" w:eastAsia="Times New Roman" w:hAnsi="Times New Roman" w:cs="Times New Roman"/>
          <w:sz w:val="25"/>
          <w:szCs w:val="25"/>
        </w:rPr>
        <w:t xml:space="preserve"> rules is to provide clear and effective notice,” and such “notice is lacking when </w:t>
      </w:r>
      <w:r w:rsidR="0043287C" w:rsidRPr="00EB5D70">
        <w:rPr>
          <w:rFonts w:ascii="Times New Roman" w:eastAsia="Times New Roman" w:hAnsi="Times New Roman" w:cs="Times New Roman"/>
          <w:sz w:val="25"/>
          <w:szCs w:val="25"/>
        </w:rPr>
        <w:t>both the disconnection notice and the regular billing statement are combined into one document as PacifiCorp does.”</w:t>
      </w:r>
      <w:r w:rsidR="0043287C" w:rsidRPr="00EB5D70">
        <w:rPr>
          <w:rStyle w:val="FootnoteReference"/>
          <w:rFonts w:ascii="Times New Roman" w:eastAsia="Times New Roman" w:hAnsi="Times New Roman" w:cs="Times New Roman"/>
          <w:sz w:val="25"/>
          <w:szCs w:val="25"/>
        </w:rPr>
        <w:footnoteReference w:id="10"/>
      </w:r>
      <w:r w:rsidRPr="00EB5D70">
        <w:rPr>
          <w:rFonts w:ascii="Times New Roman" w:eastAsia="Times New Roman" w:hAnsi="Times New Roman" w:cs="Times New Roman"/>
          <w:sz w:val="25"/>
          <w:szCs w:val="25"/>
        </w:rPr>
        <w:t xml:space="preserve">  Sample combined notices and billing statements, according to Public Counsel, illustrate the inherent confusion in such a practice, as well as contain </w:t>
      </w:r>
      <w:r w:rsidR="00436016" w:rsidRPr="00EB5D70">
        <w:rPr>
          <w:rFonts w:ascii="Times New Roman" w:eastAsia="Times New Roman" w:hAnsi="Times New Roman" w:cs="Times New Roman"/>
          <w:sz w:val="25"/>
          <w:szCs w:val="25"/>
        </w:rPr>
        <w:t>other</w:t>
      </w:r>
      <w:r w:rsidRPr="00EB5D70">
        <w:rPr>
          <w:rFonts w:ascii="Times New Roman" w:eastAsia="Times New Roman" w:hAnsi="Times New Roman" w:cs="Times New Roman"/>
          <w:sz w:val="25"/>
          <w:szCs w:val="25"/>
        </w:rPr>
        <w:t xml:space="preserve"> violations of </w:t>
      </w:r>
      <w:r w:rsidR="00436016" w:rsidRPr="00EB5D70">
        <w:rPr>
          <w:rFonts w:ascii="Times New Roman" w:eastAsia="Times New Roman" w:hAnsi="Times New Roman" w:cs="Times New Roman"/>
          <w:sz w:val="25"/>
          <w:szCs w:val="25"/>
        </w:rPr>
        <w:t xml:space="preserve">the </w:t>
      </w:r>
      <w:r w:rsidRPr="00EB5D70">
        <w:rPr>
          <w:rFonts w:ascii="Times New Roman" w:eastAsia="Times New Roman" w:hAnsi="Times New Roman" w:cs="Times New Roman"/>
          <w:sz w:val="25"/>
          <w:szCs w:val="25"/>
        </w:rPr>
        <w:t>rule.  Public Counsel also questions the evidentiary support and the need for the expenditures PacifiCorp claims would be required to modify its systems to issue separate disconnection notices and billing statements</w:t>
      </w:r>
      <w:r w:rsidR="00C60123" w:rsidRPr="00EB5D70">
        <w:rPr>
          <w:rFonts w:ascii="Times New Roman" w:eastAsia="Times New Roman" w:hAnsi="Times New Roman" w:cs="Times New Roman"/>
          <w:sz w:val="25"/>
          <w:szCs w:val="25"/>
        </w:rPr>
        <w:t>.</w:t>
      </w:r>
    </w:p>
    <w:p w:rsidR="00C60123" w:rsidRPr="00EB5D70" w:rsidRDefault="00C60123"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The Energy Project concurs with Public Counsel’s response to the Petition and emphasizes that “[i]t is the lack of clear communication that most concerns us.”</w:t>
      </w:r>
      <w:r w:rsidRPr="00EB5D70">
        <w:rPr>
          <w:rStyle w:val="FootnoteReference"/>
          <w:rFonts w:ascii="Times New Roman" w:eastAsia="Times New Roman" w:hAnsi="Times New Roman" w:cs="Times New Roman"/>
          <w:sz w:val="25"/>
          <w:szCs w:val="25"/>
        </w:rPr>
        <w:footnoteReference w:id="11"/>
      </w:r>
      <w:r w:rsidRPr="00EB5D70">
        <w:rPr>
          <w:rFonts w:ascii="Times New Roman" w:eastAsia="Times New Roman" w:hAnsi="Times New Roman" w:cs="Times New Roman"/>
          <w:sz w:val="25"/>
          <w:szCs w:val="25"/>
        </w:rPr>
        <w:t xml:space="preserve">  The Energy Project states, “Whether or not a separate notice is issued, it is imperative that PacifiCorp’s communication clearly delineate what must be paid to avoid disconnection distinctly from the current charges that are not past due or cause for disconnection and that the separate payment dates for each of these be clearly identified.”</w:t>
      </w:r>
      <w:r w:rsidRPr="00EB5D70">
        <w:rPr>
          <w:rStyle w:val="FootnoteReference"/>
          <w:rFonts w:ascii="Times New Roman" w:eastAsia="Times New Roman" w:hAnsi="Times New Roman" w:cs="Times New Roman"/>
          <w:sz w:val="25"/>
          <w:szCs w:val="25"/>
        </w:rPr>
        <w:footnoteReference w:id="12"/>
      </w:r>
    </w:p>
    <w:p w:rsidR="00297A24" w:rsidRPr="00EB5D70" w:rsidRDefault="00297A24">
      <w:pPr>
        <w:rPr>
          <w:rFonts w:ascii="Times New Roman" w:eastAsia="Times New Roman" w:hAnsi="Times New Roman" w:cs="Times New Roman"/>
          <w:b/>
          <w:sz w:val="25"/>
          <w:szCs w:val="25"/>
        </w:rPr>
      </w:pPr>
      <w:r w:rsidRPr="00EB5D70">
        <w:rPr>
          <w:rFonts w:ascii="Times New Roman" w:eastAsia="Times New Roman" w:hAnsi="Times New Roman" w:cs="Times New Roman"/>
          <w:b/>
          <w:sz w:val="25"/>
          <w:szCs w:val="25"/>
        </w:rPr>
        <w:br w:type="page"/>
      </w:r>
    </w:p>
    <w:p w:rsidR="002B4101" w:rsidRPr="00EB5D70" w:rsidRDefault="002B4101" w:rsidP="00297A24">
      <w:pPr>
        <w:tabs>
          <w:tab w:val="left" w:pos="681"/>
          <w:tab w:val="left" w:pos="1401"/>
          <w:tab w:val="center" w:pos="4320"/>
          <w:tab w:val="right" w:pos="8640"/>
        </w:tabs>
        <w:spacing w:line="264" w:lineRule="auto"/>
        <w:jc w:val="center"/>
        <w:rPr>
          <w:rFonts w:ascii="Times New Roman" w:eastAsia="Times New Roman" w:hAnsi="Times New Roman" w:cs="Times New Roman"/>
          <w:b/>
          <w:sz w:val="25"/>
          <w:szCs w:val="25"/>
        </w:rPr>
      </w:pPr>
      <w:r w:rsidRPr="00EB5D70">
        <w:rPr>
          <w:rFonts w:ascii="Times New Roman" w:eastAsia="Times New Roman" w:hAnsi="Times New Roman" w:cs="Times New Roman"/>
          <w:b/>
          <w:sz w:val="25"/>
          <w:szCs w:val="25"/>
        </w:rPr>
        <w:lastRenderedPageBreak/>
        <w:t>DISCUSSION</w:t>
      </w:r>
    </w:p>
    <w:p w:rsidR="00545ECE" w:rsidRPr="00EB5D70" w:rsidRDefault="00545ECE" w:rsidP="00297A24">
      <w:pPr>
        <w:spacing w:line="264" w:lineRule="auto"/>
        <w:ind w:left="720"/>
        <w:rPr>
          <w:rFonts w:ascii="Times New Roman" w:eastAsia="Times New Roman" w:hAnsi="Times New Roman" w:cs="Times New Roman"/>
          <w:sz w:val="25"/>
          <w:szCs w:val="25"/>
        </w:rPr>
      </w:pPr>
    </w:p>
    <w:p w:rsidR="009D55AB" w:rsidRPr="00EB5D70" w:rsidRDefault="009D55AB"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“Any person may petition an agency for a declaratory order with respect to the applicability to specified circumstances of a rule, order, or statute enforceable by the agency</w:t>
      </w:r>
      <w:r w:rsidR="00226CFB" w:rsidRPr="00EB5D70">
        <w:rPr>
          <w:rFonts w:ascii="Times New Roman" w:eastAsia="Times New Roman" w:hAnsi="Times New Roman" w:cs="Times New Roman"/>
          <w:sz w:val="25"/>
          <w:szCs w:val="25"/>
        </w:rPr>
        <w:t>.</w:t>
      </w:r>
      <w:r w:rsidRPr="00EB5D70">
        <w:rPr>
          <w:rFonts w:ascii="Times New Roman" w:eastAsia="Times New Roman" w:hAnsi="Times New Roman" w:cs="Times New Roman"/>
          <w:sz w:val="25"/>
          <w:szCs w:val="25"/>
        </w:rPr>
        <w:t>”</w:t>
      </w:r>
      <w:r w:rsidRPr="00EB5D70">
        <w:rPr>
          <w:rStyle w:val="FootnoteReference"/>
          <w:rFonts w:ascii="Times New Roman" w:eastAsia="Times New Roman" w:hAnsi="Times New Roman" w:cs="Times New Roman"/>
          <w:sz w:val="25"/>
          <w:szCs w:val="25"/>
        </w:rPr>
        <w:footnoteReference w:id="13"/>
      </w:r>
      <w:r w:rsidRPr="00EB5D70">
        <w:rPr>
          <w:rFonts w:ascii="Times New Roman" w:eastAsia="Times New Roman" w:hAnsi="Times New Roman" w:cs="Times New Roman"/>
          <w:sz w:val="25"/>
          <w:szCs w:val="25"/>
        </w:rPr>
        <w:t xml:space="preserve">  As relevant here, the petition must demonstrate “(a) That uncertainty necessitating resolution exists; (2) That there is an actual controversy arising from the uncertainty . . . ; (c) That the uncertainty adversely affects the petitioner; [and] (d) That the adverse effect of the uncertainty on the petitioner outweighs any adverse effect on others or on the general public that may likely arise from the order requested.”</w:t>
      </w:r>
      <w:r w:rsidRPr="00EB5D70">
        <w:rPr>
          <w:rStyle w:val="FootnoteReference"/>
          <w:rFonts w:ascii="Times New Roman" w:eastAsia="Times New Roman" w:hAnsi="Times New Roman" w:cs="Times New Roman"/>
          <w:sz w:val="25"/>
          <w:szCs w:val="25"/>
        </w:rPr>
        <w:footnoteReference w:id="14"/>
      </w:r>
      <w:r w:rsidR="006A0B6E" w:rsidRPr="00EB5D70">
        <w:rPr>
          <w:rFonts w:ascii="Times New Roman" w:eastAsia="Times New Roman" w:hAnsi="Times New Roman" w:cs="Times New Roman"/>
          <w:sz w:val="25"/>
          <w:szCs w:val="25"/>
        </w:rPr>
        <w:t xml:space="preserve">  No party disputes</w:t>
      </w:r>
      <w:r w:rsidR="00A11245" w:rsidRPr="00EB5D70">
        <w:rPr>
          <w:rFonts w:ascii="Times New Roman" w:eastAsia="Times New Roman" w:hAnsi="Times New Roman" w:cs="Times New Roman"/>
          <w:sz w:val="25"/>
          <w:szCs w:val="25"/>
        </w:rPr>
        <w:t xml:space="preserve"> that an actual controversy exists between PacifiCorp and Staff arising from differing interpretations of Commission rules.  The record further reflects that the resulting uncertainty adversely affects the Company in the form of a potential enforcement action, and there is no adverse impact on others or the general public if the Commission enters a declaratory order resolving the issue presented.</w:t>
      </w:r>
      <w:r w:rsidR="00EB542E" w:rsidRPr="00EB5D70">
        <w:rPr>
          <w:rStyle w:val="FootnoteReference"/>
          <w:rFonts w:ascii="Times New Roman" w:eastAsia="Times New Roman" w:hAnsi="Times New Roman" w:cs="Times New Roman"/>
          <w:sz w:val="25"/>
          <w:szCs w:val="25"/>
        </w:rPr>
        <w:footnoteReference w:id="15"/>
      </w:r>
      <w:r w:rsidR="00A11245" w:rsidRPr="00EB5D70">
        <w:rPr>
          <w:rFonts w:ascii="Times New Roman" w:eastAsia="Times New Roman" w:hAnsi="Times New Roman" w:cs="Times New Roman"/>
          <w:sz w:val="25"/>
          <w:szCs w:val="25"/>
        </w:rPr>
        <w:t xml:space="preserve">  W</w:t>
      </w:r>
      <w:r w:rsidR="006A0B6E" w:rsidRPr="00EB5D70">
        <w:rPr>
          <w:rFonts w:ascii="Times New Roman" w:eastAsia="Times New Roman" w:hAnsi="Times New Roman" w:cs="Times New Roman"/>
          <w:sz w:val="25"/>
          <w:szCs w:val="25"/>
        </w:rPr>
        <w:t xml:space="preserve">e </w:t>
      </w:r>
      <w:r w:rsidR="00EC6E12" w:rsidRPr="00EB5D70">
        <w:rPr>
          <w:rFonts w:ascii="Times New Roman" w:eastAsia="Times New Roman" w:hAnsi="Times New Roman" w:cs="Times New Roman"/>
          <w:sz w:val="25"/>
          <w:szCs w:val="25"/>
        </w:rPr>
        <w:t>find</w:t>
      </w:r>
      <w:r w:rsidR="006A0B6E" w:rsidRPr="00EB5D70">
        <w:rPr>
          <w:rFonts w:ascii="Times New Roman" w:eastAsia="Times New Roman" w:hAnsi="Times New Roman" w:cs="Times New Roman"/>
          <w:sz w:val="25"/>
          <w:szCs w:val="25"/>
        </w:rPr>
        <w:t xml:space="preserve">, </w:t>
      </w:r>
      <w:r w:rsidR="00A11245" w:rsidRPr="00EB5D70">
        <w:rPr>
          <w:rFonts w:ascii="Times New Roman" w:eastAsia="Times New Roman" w:hAnsi="Times New Roman" w:cs="Times New Roman"/>
          <w:sz w:val="25"/>
          <w:szCs w:val="25"/>
        </w:rPr>
        <w:t xml:space="preserve">therefore, </w:t>
      </w:r>
      <w:r w:rsidR="006A0B6E" w:rsidRPr="00EB5D70">
        <w:rPr>
          <w:rFonts w:ascii="Times New Roman" w:eastAsia="Times New Roman" w:hAnsi="Times New Roman" w:cs="Times New Roman"/>
          <w:sz w:val="25"/>
          <w:szCs w:val="25"/>
        </w:rPr>
        <w:t>that the Petition satisfies the</w:t>
      </w:r>
      <w:r w:rsidR="00A11245" w:rsidRPr="00EB5D70">
        <w:rPr>
          <w:rFonts w:ascii="Times New Roman" w:eastAsia="Times New Roman" w:hAnsi="Times New Roman" w:cs="Times New Roman"/>
          <w:sz w:val="25"/>
          <w:szCs w:val="25"/>
        </w:rPr>
        <w:t xml:space="preserve"> statutory </w:t>
      </w:r>
      <w:r w:rsidR="006A0B6E" w:rsidRPr="00EB5D70">
        <w:rPr>
          <w:rFonts w:ascii="Times New Roman" w:eastAsia="Times New Roman" w:hAnsi="Times New Roman" w:cs="Times New Roman"/>
          <w:sz w:val="25"/>
          <w:szCs w:val="25"/>
        </w:rPr>
        <w:t>requirements</w:t>
      </w:r>
      <w:r w:rsidR="00A11245" w:rsidRPr="00EB5D70">
        <w:rPr>
          <w:rFonts w:ascii="Times New Roman" w:eastAsia="Times New Roman" w:hAnsi="Times New Roman" w:cs="Times New Roman"/>
          <w:sz w:val="25"/>
          <w:szCs w:val="25"/>
        </w:rPr>
        <w:t xml:space="preserve"> for entering a declaratory order</w:t>
      </w:r>
      <w:r w:rsidR="006A0B6E" w:rsidRPr="00EB5D70">
        <w:rPr>
          <w:rFonts w:ascii="Times New Roman" w:eastAsia="Times New Roman" w:hAnsi="Times New Roman" w:cs="Times New Roman"/>
          <w:sz w:val="25"/>
          <w:szCs w:val="25"/>
        </w:rPr>
        <w:t>.</w:t>
      </w:r>
    </w:p>
    <w:p w:rsidR="00801521" w:rsidRPr="00EB5D70" w:rsidRDefault="00486491"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On the merits of the Petition, we</w:t>
      </w:r>
      <w:r w:rsidR="00EC6E12" w:rsidRPr="00EB5D70">
        <w:rPr>
          <w:rFonts w:ascii="Times New Roman" w:eastAsia="Times New Roman" w:hAnsi="Times New Roman" w:cs="Times New Roman"/>
          <w:sz w:val="25"/>
          <w:szCs w:val="25"/>
        </w:rPr>
        <w:t xml:space="preserve"> </w:t>
      </w:r>
      <w:r w:rsidR="00801521" w:rsidRPr="00EB5D70">
        <w:rPr>
          <w:rFonts w:ascii="Times New Roman" w:eastAsia="Times New Roman" w:hAnsi="Times New Roman" w:cs="Times New Roman"/>
          <w:sz w:val="25"/>
          <w:szCs w:val="25"/>
        </w:rPr>
        <w:t xml:space="preserve">conclude </w:t>
      </w:r>
      <w:r w:rsidR="00EC6E12" w:rsidRPr="00EB5D70">
        <w:rPr>
          <w:rFonts w:ascii="Times New Roman" w:eastAsia="Times New Roman" w:hAnsi="Times New Roman" w:cs="Times New Roman"/>
          <w:sz w:val="25"/>
          <w:szCs w:val="25"/>
        </w:rPr>
        <w:t xml:space="preserve">that WAC 480-100-128 and WAC 480-100-178 do not prohibit </w:t>
      </w:r>
      <w:r w:rsidR="00801521" w:rsidRPr="00EB5D70">
        <w:rPr>
          <w:rFonts w:ascii="Times New Roman" w:eastAsia="Times New Roman" w:hAnsi="Times New Roman" w:cs="Times New Roman"/>
          <w:sz w:val="25"/>
          <w:szCs w:val="25"/>
        </w:rPr>
        <w:t>PacifiCorp</w:t>
      </w:r>
      <w:r w:rsidR="00EC6E12" w:rsidRPr="00EB5D70">
        <w:rPr>
          <w:rFonts w:ascii="Times New Roman" w:eastAsia="Times New Roman" w:hAnsi="Times New Roman" w:cs="Times New Roman"/>
          <w:sz w:val="25"/>
          <w:szCs w:val="25"/>
        </w:rPr>
        <w:t xml:space="preserve"> from combining an initial disconnection notice with a regular billing statement.  WAC 480-100-128(6) establishes notification requirements for disconnection, and WAC 480-100-178</w:t>
      </w:r>
      <w:r w:rsidR="00EB5D70">
        <w:rPr>
          <w:rFonts w:ascii="Times New Roman" w:eastAsia="Times New Roman" w:hAnsi="Times New Roman" w:cs="Times New Roman"/>
          <w:sz w:val="25"/>
          <w:szCs w:val="25"/>
        </w:rPr>
        <w:t xml:space="preserve"> </w:t>
      </w:r>
      <w:r w:rsidR="00EC6E12" w:rsidRPr="00EB5D70">
        <w:rPr>
          <w:rFonts w:ascii="Times New Roman" w:eastAsia="Times New Roman" w:hAnsi="Times New Roman" w:cs="Times New Roman"/>
          <w:sz w:val="25"/>
          <w:szCs w:val="25"/>
        </w:rPr>
        <w:t xml:space="preserve">prescribes the contents of electric customer bills.  Neither rule expressly states that a company must use separate documents to satisfy these requirements.  </w:t>
      </w:r>
      <w:r w:rsidR="003C4318" w:rsidRPr="00EB5D70">
        <w:rPr>
          <w:rFonts w:ascii="Times New Roman" w:eastAsia="Times New Roman" w:hAnsi="Times New Roman" w:cs="Times New Roman"/>
          <w:sz w:val="25"/>
          <w:szCs w:val="25"/>
        </w:rPr>
        <w:t xml:space="preserve">Nor can such an obligation be implied </w:t>
      </w:r>
      <w:r w:rsidRPr="00EB5D70">
        <w:rPr>
          <w:rFonts w:ascii="Times New Roman" w:eastAsia="Times New Roman" w:hAnsi="Times New Roman" w:cs="Times New Roman"/>
          <w:sz w:val="25"/>
          <w:szCs w:val="25"/>
        </w:rPr>
        <w:t xml:space="preserve">under the circumstances presented here.  </w:t>
      </w:r>
    </w:p>
    <w:p w:rsidR="006A0B6E" w:rsidRPr="00EB5D70" w:rsidRDefault="00486491"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Staff argues that an impli</w:t>
      </w:r>
      <w:r w:rsidR="00801521" w:rsidRPr="00EB5D70">
        <w:rPr>
          <w:rFonts w:ascii="Times New Roman" w:eastAsia="Times New Roman" w:hAnsi="Times New Roman" w:cs="Times New Roman"/>
          <w:sz w:val="25"/>
          <w:szCs w:val="25"/>
        </w:rPr>
        <w:t>ed prohibition</w:t>
      </w:r>
      <w:r w:rsidR="00C83EED" w:rsidRPr="00EB5D70">
        <w:rPr>
          <w:rFonts w:ascii="Times New Roman" w:eastAsia="Times New Roman" w:hAnsi="Times New Roman" w:cs="Times New Roman"/>
          <w:sz w:val="25"/>
          <w:szCs w:val="25"/>
        </w:rPr>
        <w:t xml:space="preserve"> on using a combined document</w:t>
      </w:r>
      <w:r w:rsidRPr="00EB5D70">
        <w:rPr>
          <w:rFonts w:ascii="Times New Roman" w:eastAsia="Times New Roman" w:hAnsi="Times New Roman" w:cs="Times New Roman"/>
          <w:sz w:val="25"/>
          <w:szCs w:val="25"/>
        </w:rPr>
        <w:t xml:space="preserve"> arises because requirements for disconnection notices and monthly billing statements </w:t>
      </w:r>
      <w:r w:rsidR="003C4318" w:rsidRPr="00EB5D70">
        <w:rPr>
          <w:rFonts w:ascii="Times New Roman" w:eastAsia="Times New Roman" w:hAnsi="Times New Roman" w:cs="Times New Roman"/>
          <w:sz w:val="25"/>
          <w:szCs w:val="25"/>
        </w:rPr>
        <w:t xml:space="preserve">are in separate rules that do not cross-reference each other.  </w:t>
      </w:r>
      <w:r w:rsidR="00697CBF" w:rsidRPr="00EB5D70">
        <w:rPr>
          <w:rFonts w:ascii="Times New Roman" w:eastAsia="Times New Roman" w:hAnsi="Times New Roman" w:cs="Times New Roman"/>
          <w:sz w:val="25"/>
          <w:szCs w:val="25"/>
        </w:rPr>
        <w:t xml:space="preserve">The existence of separate requirements, however, does not necessarily mean that a company can meet those requirements only by using separate documents.  </w:t>
      </w:r>
      <w:r w:rsidR="003C4318" w:rsidRPr="00EB5D70">
        <w:rPr>
          <w:rFonts w:ascii="Times New Roman" w:eastAsia="Times New Roman" w:hAnsi="Times New Roman" w:cs="Times New Roman"/>
          <w:sz w:val="25"/>
          <w:szCs w:val="25"/>
        </w:rPr>
        <w:t xml:space="preserve">If a single document can incorporate all of the relevant rule provisions governing initial disconnection notices and billing statements, the Commission’s rules </w:t>
      </w:r>
      <w:r w:rsidR="00697D4F" w:rsidRPr="00EB5D70">
        <w:rPr>
          <w:rFonts w:ascii="Times New Roman" w:eastAsia="Times New Roman" w:hAnsi="Times New Roman" w:cs="Times New Roman"/>
          <w:sz w:val="25"/>
          <w:szCs w:val="25"/>
        </w:rPr>
        <w:t xml:space="preserve">do not prohibit </w:t>
      </w:r>
      <w:r w:rsidR="003C4318" w:rsidRPr="00EB5D70">
        <w:rPr>
          <w:rFonts w:ascii="Times New Roman" w:eastAsia="Times New Roman" w:hAnsi="Times New Roman" w:cs="Times New Roman"/>
          <w:sz w:val="25"/>
          <w:szCs w:val="25"/>
        </w:rPr>
        <w:t xml:space="preserve">a company </w:t>
      </w:r>
      <w:r w:rsidR="00697D4F" w:rsidRPr="00EB5D70">
        <w:rPr>
          <w:rFonts w:ascii="Times New Roman" w:eastAsia="Times New Roman" w:hAnsi="Times New Roman" w:cs="Times New Roman"/>
          <w:sz w:val="25"/>
          <w:szCs w:val="25"/>
        </w:rPr>
        <w:t xml:space="preserve">from using </w:t>
      </w:r>
      <w:r w:rsidR="003C4318" w:rsidRPr="00EB5D70">
        <w:rPr>
          <w:rFonts w:ascii="Times New Roman" w:eastAsia="Times New Roman" w:hAnsi="Times New Roman" w:cs="Times New Roman"/>
          <w:sz w:val="25"/>
          <w:szCs w:val="25"/>
        </w:rPr>
        <w:t>such a document to comply with these regulatory obligations.</w:t>
      </w:r>
    </w:p>
    <w:p w:rsidR="00486491" w:rsidRPr="00EB5D70" w:rsidRDefault="00486491"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lastRenderedPageBreak/>
        <w:t xml:space="preserve">Similarly, </w:t>
      </w:r>
      <w:r w:rsidR="00697CBF" w:rsidRPr="00EB5D70">
        <w:rPr>
          <w:rFonts w:ascii="Times New Roman" w:eastAsia="Times New Roman" w:hAnsi="Times New Roman" w:cs="Times New Roman"/>
          <w:sz w:val="25"/>
          <w:szCs w:val="25"/>
        </w:rPr>
        <w:t xml:space="preserve">the availability of different </w:t>
      </w:r>
      <w:r w:rsidR="007B1843" w:rsidRPr="00EB5D70">
        <w:rPr>
          <w:rFonts w:ascii="Times New Roman" w:eastAsia="Times New Roman" w:hAnsi="Times New Roman" w:cs="Times New Roman"/>
          <w:sz w:val="25"/>
          <w:szCs w:val="25"/>
        </w:rPr>
        <w:t xml:space="preserve">and incompatible </w:t>
      </w:r>
      <w:r w:rsidR="005150F4" w:rsidRPr="00EB5D70">
        <w:rPr>
          <w:rFonts w:ascii="Times New Roman" w:eastAsia="Times New Roman" w:hAnsi="Times New Roman" w:cs="Times New Roman"/>
          <w:sz w:val="25"/>
          <w:szCs w:val="25"/>
        </w:rPr>
        <w:t>alternatives</w:t>
      </w:r>
      <w:r w:rsidR="00697CBF" w:rsidRPr="00EB5D70">
        <w:rPr>
          <w:rFonts w:ascii="Times New Roman" w:eastAsia="Times New Roman" w:hAnsi="Times New Roman" w:cs="Times New Roman"/>
          <w:sz w:val="25"/>
          <w:szCs w:val="25"/>
        </w:rPr>
        <w:t xml:space="preserve"> for providing customers with initial disconnection notices </w:t>
      </w:r>
      <w:r w:rsidR="007B1843" w:rsidRPr="00EB5D70">
        <w:rPr>
          <w:rFonts w:ascii="Times New Roman" w:eastAsia="Times New Roman" w:hAnsi="Times New Roman" w:cs="Times New Roman"/>
          <w:sz w:val="25"/>
          <w:szCs w:val="25"/>
        </w:rPr>
        <w:t>(</w:t>
      </w:r>
      <w:r w:rsidR="005150F4" w:rsidRPr="00EB5D70">
        <w:rPr>
          <w:rFonts w:ascii="Times New Roman" w:eastAsia="Times New Roman" w:hAnsi="Times New Roman" w:cs="Times New Roman"/>
          <w:sz w:val="25"/>
          <w:szCs w:val="25"/>
        </w:rPr>
        <w:t xml:space="preserve">via </w:t>
      </w:r>
      <w:r w:rsidR="007B1843" w:rsidRPr="00EB5D70">
        <w:rPr>
          <w:rFonts w:ascii="Times New Roman" w:eastAsia="Times New Roman" w:hAnsi="Times New Roman" w:cs="Times New Roman"/>
          <w:sz w:val="25"/>
          <w:szCs w:val="25"/>
        </w:rPr>
        <w:t>telephon</w:t>
      </w:r>
      <w:r w:rsidR="005150F4" w:rsidRPr="00EB5D70">
        <w:rPr>
          <w:rFonts w:ascii="Times New Roman" w:eastAsia="Times New Roman" w:hAnsi="Times New Roman" w:cs="Times New Roman"/>
          <w:sz w:val="25"/>
          <w:szCs w:val="25"/>
        </w:rPr>
        <w:t>e</w:t>
      </w:r>
      <w:r w:rsidR="007B1843" w:rsidRPr="00EB5D70">
        <w:rPr>
          <w:rFonts w:ascii="Times New Roman" w:eastAsia="Times New Roman" w:hAnsi="Times New Roman" w:cs="Times New Roman"/>
          <w:sz w:val="25"/>
          <w:szCs w:val="25"/>
        </w:rPr>
        <w:t xml:space="preserve">) </w:t>
      </w:r>
      <w:r w:rsidR="00697CBF" w:rsidRPr="00EB5D70">
        <w:rPr>
          <w:rFonts w:ascii="Times New Roman" w:eastAsia="Times New Roman" w:hAnsi="Times New Roman" w:cs="Times New Roman"/>
          <w:sz w:val="25"/>
          <w:szCs w:val="25"/>
        </w:rPr>
        <w:t xml:space="preserve">and billing statements </w:t>
      </w:r>
      <w:r w:rsidR="007B1843" w:rsidRPr="00EB5D70">
        <w:rPr>
          <w:rFonts w:ascii="Times New Roman" w:eastAsia="Times New Roman" w:hAnsi="Times New Roman" w:cs="Times New Roman"/>
          <w:sz w:val="25"/>
          <w:szCs w:val="25"/>
        </w:rPr>
        <w:t>(electronic</w:t>
      </w:r>
      <w:r w:rsidR="005150F4" w:rsidRPr="00EB5D70">
        <w:rPr>
          <w:rFonts w:ascii="Times New Roman" w:eastAsia="Times New Roman" w:hAnsi="Times New Roman" w:cs="Times New Roman"/>
          <w:sz w:val="25"/>
          <w:szCs w:val="25"/>
        </w:rPr>
        <w:t>ally</w:t>
      </w:r>
      <w:r w:rsidR="007B1843" w:rsidRPr="00EB5D70">
        <w:rPr>
          <w:rFonts w:ascii="Times New Roman" w:eastAsia="Times New Roman" w:hAnsi="Times New Roman" w:cs="Times New Roman"/>
          <w:sz w:val="25"/>
          <w:szCs w:val="25"/>
        </w:rPr>
        <w:t xml:space="preserve">) </w:t>
      </w:r>
      <w:r w:rsidR="005150F4" w:rsidRPr="00EB5D70">
        <w:rPr>
          <w:rFonts w:ascii="Times New Roman" w:eastAsia="Times New Roman" w:hAnsi="Times New Roman" w:cs="Times New Roman"/>
          <w:sz w:val="25"/>
          <w:szCs w:val="25"/>
        </w:rPr>
        <w:t xml:space="preserve">also </w:t>
      </w:r>
      <w:r w:rsidR="00697CBF" w:rsidRPr="00EB5D70">
        <w:rPr>
          <w:rFonts w:ascii="Times New Roman" w:eastAsia="Times New Roman" w:hAnsi="Times New Roman" w:cs="Times New Roman"/>
          <w:sz w:val="25"/>
          <w:szCs w:val="25"/>
        </w:rPr>
        <w:t xml:space="preserve">does not </w:t>
      </w:r>
      <w:r w:rsidR="005150F4" w:rsidRPr="00EB5D70">
        <w:rPr>
          <w:rFonts w:ascii="Times New Roman" w:eastAsia="Times New Roman" w:hAnsi="Times New Roman" w:cs="Times New Roman"/>
          <w:sz w:val="25"/>
          <w:szCs w:val="25"/>
        </w:rPr>
        <w:t>imply</w:t>
      </w:r>
      <w:r w:rsidR="00697CBF" w:rsidRPr="00EB5D70">
        <w:rPr>
          <w:rFonts w:ascii="Times New Roman" w:eastAsia="Times New Roman" w:hAnsi="Times New Roman" w:cs="Times New Roman"/>
          <w:sz w:val="25"/>
          <w:szCs w:val="25"/>
        </w:rPr>
        <w:t xml:space="preserve"> that </w:t>
      </w:r>
      <w:r w:rsidR="007B1843" w:rsidRPr="00EB5D70">
        <w:rPr>
          <w:rFonts w:ascii="Times New Roman" w:eastAsia="Times New Roman" w:hAnsi="Times New Roman" w:cs="Times New Roman"/>
          <w:sz w:val="25"/>
          <w:szCs w:val="25"/>
        </w:rPr>
        <w:t>the Commission intended to pre</w:t>
      </w:r>
      <w:r w:rsidR="005150F4" w:rsidRPr="00EB5D70">
        <w:rPr>
          <w:rFonts w:ascii="Times New Roman" w:eastAsia="Times New Roman" w:hAnsi="Times New Roman" w:cs="Times New Roman"/>
          <w:sz w:val="25"/>
          <w:szCs w:val="25"/>
        </w:rPr>
        <w:t>vent</w:t>
      </w:r>
      <w:r w:rsidR="007B1843" w:rsidRPr="00EB5D70">
        <w:rPr>
          <w:rFonts w:ascii="Times New Roman" w:eastAsia="Times New Roman" w:hAnsi="Times New Roman" w:cs="Times New Roman"/>
          <w:sz w:val="25"/>
          <w:szCs w:val="25"/>
        </w:rPr>
        <w:t xml:space="preserve"> a company from combining an initial disconnection notice with a billing statement.  Companies </w:t>
      </w:r>
      <w:r w:rsidR="005150F4" w:rsidRPr="00EB5D70">
        <w:rPr>
          <w:rFonts w:ascii="Times New Roman" w:eastAsia="Times New Roman" w:hAnsi="Times New Roman" w:cs="Times New Roman"/>
          <w:sz w:val="25"/>
          <w:szCs w:val="25"/>
        </w:rPr>
        <w:t>may</w:t>
      </w:r>
      <w:r w:rsidR="007B1843" w:rsidRPr="00EB5D70">
        <w:rPr>
          <w:rFonts w:ascii="Times New Roman" w:eastAsia="Times New Roman" w:hAnsi="Times New Roman" w:cs="Times New Roman"/>
          <w:sz w:val="25"/>
          <w:szCs w:val="25"/>
        </w:rPr>
        <w:t xml:space="preserve"> choose to provide a disconnection notice through a telephone call </w:t>
      </w:r>
      <w:r w:rsidR="005150F4" w:rsidRPr="00EB5D70">
        <w:rPr>
          <w:rFonts w:ascii="Times New Roman" w:eastAsia="Times New Roman" w:hAnsi="Times New Roman" w:cs="Times New Roman"/>
          <w:sz w:val="25"/>
          <w:szCs w:val="25"/>
        </w:rPr>
        <w:t xml:space="preserve">under certain circumstances, but then they could not </w:t>
      </w:r>
      <w:r w:rsidR="007B1843" w:rsidRPr="00EB5D70">
        <w:rPr>
          <w:rFonts w:ascii="Times New Roman" w:eastAsia="Times New Roman" w:hAnsi="Times New Roman" w:cs="Times New Roman"/>
          <w:sz w:val="25"/>
          <w:szCs w:val="25"/>
        </w:rPr>
        <w:t>relate the customer’s billing statement over the phone</w:t>
      </w:r>
      <w:r w:rsidR="005150F4" w:rsidRPr="00EB5D70">
        <w:rPr>
          <w:rFonts w:ascii="Times New Roman" w:eastAsia="Times New Roman" w:hAnsi="Times New Roman" w:cs="Times New Roman"/>
          <w:sz w:val="25"/>
          <w:szCs w:val="25"/>
        </w:rPr>
        <w:t>.  A</w:t>
      </w:r>
      <w:r w:rsidR="007B1843" w:rsidRPr="00EB5D70">
        <w:rPr>
          <w:rFonts w:ascii="Times New Roman" w:eastAsia="Times New Roman" w:hAnsi="Times New Roman" w:cs="Times New Roman"/>
          <w:sz w:val="25"/>
          <w:szCs w:val="25"/>
        </w:rPr>
        <w:t xml:space="preserve"> company </w:t>
      </w:r>
      <w:r w:rsidR="005150F4" w:rsidRPr="00EB5D70">
        <w:rPr>
          <w:rFonts w:ascii="Times New Roman" w:eastAsia="Times New Roman" w:hAnsi="Times New Roman" w:cs="Times New Roman"/>
          <w:sz w:val="25"/>
          <w:szCs w:val="25"/>
        </w:rPr>
        <w:t xml:space="preserve">that decides to use </w:t>
      </w:r>
      <w:r w:rsidR="007B1843" w:rsidRPr="00EB5D70">
        <w:rPr>
          <w:rFonts w:ascii="Times New Roman" w:eastAsia="Times New Roman" w:hAnsi="Times New Roman" w:cs="Times New Roman"/>
          <w:sz w:val="25"/>
          <w:szCs w:val="25"/>
        </w:rPr>
        <w:t>an electronic billing statement could not include a disconnection notice</w:t>
      </w:r>
      <w:r w:rsidR="005150F4" w:rsidRPr="00EB5D70">
        <w:rPr>
          <w:rFonts w:ascii="Times New Roman" w:eastAsia="Times New Roman" w:hAnsi="Times New Roman" w:cs="Times New Roman"/>
          <w:sz w:val="25"/>
          <w:szCs w:val="25"/>
        </w:rPr>
        <w:t xml:space="preserve"> with that statement</w:t>
      </w:r>
      <w:r w:rsidR="007B1843" w:rsidRPr="00EB5D70">
        <w:rPr>
          <w:rFonts w:ascii="Times New Roman" w:eastAsia="Times New Roman" w:hAnsi="Times New Roman" w:cs="Times New Roman"/>
          <w:sz w:val="25"/>
          <w:szCs w:val="25"/>
        </w:rPr>
        <w:t xml:space="preserve">.  But if PacifiCorp decides to </w:t>
      </w:r>
      <w:r w:rsidR="005150F4" w:rsidRPr="00EB5D70">
        <w:rPr>
          <w:rFonts w:ascii="Times New Roman" w:eastAsia="Times New Roman" w:hAnsi="Times New Roman" w:cs="Times New Roman"/>
          <w:sz w:val="25"/>
          <w:szCs w:val="25"/>
        </w:rPr>
        <w:t xml:space="preserve">mail customers </w:t>
      </w:r>
      <w:r w:rsidR="007B1843" w:rsidRPr="00EB5D70">
        <w:rPr>
          <w:rFonts w:ascii="Times New Roman" w:eastAsia="Times New Roman" w:hAnsi="Times New Roman" w:cs="Times New Roman"/>
          <w:sz w:val="25"/>
          <w:szCs w:val="25"/>
        </w:rPr>
        <w:t xml:space="preserve">a paper disconnection notice and a paper billing statement, the </w:t>
      </w:r>
      <w:r w:rsidR="005150F4" w:rsidRPr="00EB5D70">
        <w:rPr>
          <w:rFonts w:ascii="Times New Roman" w:eastAsia="Times New Roman" w:hAnsi="Times New Roman" w:cs="Times New Roman"/>
          <w:sz w:val="25"/>
          <w:szCs w:val="25"/>
        </w:rPr>
        <w:t xml:space="preserve">mere fact that the </w:t>
      </w:r>
      <w:r w:rsidR="007B1843" w:rsidRPr="00EB5D70">
        <w:rPr>
          <w:rFonts w:ascii="Times New Roman" w:eastAsia="Times New Roman" w:hAnsi="Times New Roman" w:cs="Times New Roman"/>
          <w:sz w:val="25"/>
          <w:szCs w:val="25"/>
        </w:rPr>
        <w:t>Company</w:t>
      </w:r>
      <w:r w:rsidR="005150F4" w:rsidRPr="00EB5D70">
        <w:rPr>
          <w:rFonts w:ascii="Times New Roman" w:eastAsia="Times New Roman" w:hAnsi="Times New Roman" w:cs="Times New Roman"/>
          <w:sz w:val="25"/>
          <w:szCs w:val="25"/>
        </w:rPr>
        <w:t xml:space="preserve"> </w:t>
      </w:r>
      <w:r w:rsidR="005150F4" w:rsidRPr="00EB5D70">
        <w:rPr>
          <w:rFonts w:ascii="Times New Roman" w:eastAsia="Times New Roman" w:hAnsi="Times New Roman" w:cs="Times New Roman"/>
          <w:i/>
          <w:sz w:val="25"/>
          <w:szCs w:val="25"/>
        </w:rPr>
        <w:t>could</w:t>
      </w:r>
      <w:r w:rsidR="005150F4" w:rsidRPr="00EB5D70">
        <w:rPr>
          <w:rFonts w:ascii="Times New Roman" w:eastAsia="Times New Roman" w:hAnsi="Times New Roman" w:cs="Times New Roman"/>
          <w:sz w:val="25"/>
          <w:szCs w:val="25"/>
        </w:rPr>
        <w:t xml:space="preserve"> use some other means does not preclude </w:t>
      </w:r>
      <w:r w:rsidR="007B1843" w:rsidRPr="00EB5D70">
        <w:rPr>
          <w:rFonts w:ascii="Times New Roman" w:eastAsia="Times New Roman" w:hAnsi="Times New Roman" w:cs="Times New Roman"/>
          <w:sz w:val="25"/>
          <w:szCs w:val="25"/>
        </w:rPr>
        <w:t xml:space="preserve">the Company </w:t>
      </w:r>
      <w:r w:rsidR="005150F4" w:rsidRPr="00EB5D70">
        <w:rPr>
          <w:rFonts w:ascii="Times New Roman" w:eastAsia="Times New Roman" w:hAnsi="Times New Roman" w:cs="Times New Roman"/>
          <w:sz w:val="25"/>
          <w:szCs w:val="25"/>
        </w:rPr>
        <w:t>from using</w:t>
      </w:r>
      <w:r w:rsidR="007B1843" w:rsidRPr="00EB5D70">
        <w:rPr>
          <w:rFonts w:ascii="Times New Roman" w:eastAsia="Times New Roman" w:hAnsi="Times New Roman" w:cs="Times New Roman"/>
          <w:sz w:val="25"/>
          <w:szCs w:val="25"/>
        </w:rPr>
        <w:t xml:space="preserve"> a single paper document to serve both functions. </w:t>
      </w:r>
    </w:p>
    <w:p w:rsidR="003654A5" w:rsidRPr="00EB5D70" w:rsidRDefault="00AE3A0E"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We nevertheless share the customer confusion </w:t>
      </w:r>
      <w:r w:rsidR="006A2457" w:rsidRPr="00EB5D70">
        <w:rPr>
          <w:rFonts w:ascii="Times New Roman" w:eastAsia="Times New Roman" w:hAnsi="Times New Roman" w:cs="Times New Roman"/>
          <w:sz w:val="25"/>
          <w:szCs w:val="25"/>
        </w:rPr>
        <w:t xml:space="preserve">concerns </w:t>
      </w:r>
      <w:r w:rsidRPr="00EB5D70">
        <w:rPr>
          <w:rFonts w:ascii="Times New Roman" w:eastAsia="Times New Roman" w:hAnsi="Times New Roman" w:cs="Times New Roman"/>
          <w:sz w:val="25"/>
          <w:szCs w:val="25"/>
        </w:rPr>
        <w:t>that Staff, Public Counsel, and The</w:t>
      </w:r>
      <w:r w:rsidR="00EB542E" w:rsidRPr="00EB5D70">
        <w:rPr>
          <w:rFonts w:ascii="Times New Roman" w:eastAsia="Times New Roman" w:hAnsi="Times New Roman" w:cs="Times New Roman"/>
          <w:sz w:val="25"/>
          <w:szCs w:val="25"/>
        </w:rPr>
        <w:t xml:space="preserve"> Energy Project have raised</w:t>
      </w:r>
      <w:r w:rsidRPr="00EB5D70">
        <w:rPr>
          <w:rFonts w:ascii="Times New Roman" w:eastAsia="Times New Roman" w:hAnsi="Times New Roman" w:cs="Times New Roman"/>
          <w:sz w:val="25"/>
          <w:szCs w:val="25"/>
        </w:rPr>
        <w:t xml:space="preserve">.  </w:t>
      </w:r>
      <w:r w:rsidR="00731AF3" w:rsidRPr="00EB5D70">
        <w:rPr>
          <w:rFonts w:ascii="Times New Roman" w:eastAsia="Times New Roman" w:hAnsi="Times New Roman" w:cs="Times New Roman"/>
          <w:sz w:val="25"/>
          <w:szCs w:val="25"/>
        </w:rPr>
        <w:t>A</w:t>
      </w:r>
      <w:r w:rsidRPr="00EB5D70">
        <w:rPr>
          <w:rFonts w:ascii="Times New Roman" w:eastAsia="Times New Roman" w:hAnsi="Times New Roman" w:cs="Times New Roman"/>
          <w:sz w:val="25"/>
          <w:szCs w:val="25"/>
        </w:rPr>
        <w:t xml:space="preserve"> separate disconnection notice </w:t>
      </w:r>
      <w:r w:rsidR="00731AF3" w:rsidRPr="00EB5D70">
        <w:rPr>
          <w:rFonts w:ascii="Times New Roman" w:eastAsia="Times New Roman" w:hAnsi="Times New Roman" w:cs="Times New Roman"/>
          <w:sz w:val="25"/>
          <w:szCs w:val="25"/>
        </w:rPr>
        <w:t>may be</w:t>
      </w:r>
      <w:r w:rsidRPr="00EB5D70">
        <w:rPr>
          <w:rFonts w:ascii="Times New Roman" w:eastAsia="Times New Roman" w:hAnsi="Times New Roman" w:cs="Times New Roman"/>
          <w:sz w:val="25"/>
          <w:szCs w:val="25"/>
        </w:rPr>
        <w:t xml:space="preserve"> clearer </w:t>
      </w:r>
      <w:r w:rsidR="00731AF3" w:rsidRPr="00EB5D70">
        <w:rPr>
          <w:rFonts w:ascii="Times New Roman" w:eastAsia="Times New Roman" w:hAnsi="Times New Roman" w:cs="Times New Roman"/>
          <w:sz w:val="25"/>
          <w:szCs w:val="25"/>
        </w:rPr>
        <w:t xml:space="preserve">and more emphatic than a notice </w:t>
      </w:r>
      <w:r w:rsidRPr="00EB5D70">
        <w:rPr>
          <w:rFonts w:ascii="Times New Roman" w:eastAsia="Times New Roman" w:hAnsi="Times New Roman" w:cs="Times New Roman"/>
          <w:sz w:val="25"/>
          <w:szCs w:val="25"/>
        </w:rPr>
        <w:t>combined with a monthly billing statement</w:t>
      </w:r>
      <w:r w:rsidR="00731AF3" w:rsidRPr="00EB5D70">
        <w:rPr>
          <w:rFonts w:ascii="Times New Roman" w:eastAsia="Times New Roman" w:hAnsi="Times New Roman" w:cs="Times New Roman"/>
          <w:sz w:val="25"/>
          <w:szCs w:val="25"/>
        </w:rPr>
        <w:t xml:space="preserve">, but </w:t>
      </w:r>
      <w:r w:rsidR="00731AF3" w:rsidRPr="00EB5D70">
        <w:rPr>
          <w:rFonts w:ascii="Times New Roman" w:eastAsia="Times New Roman" w:hAnsi="Times New Roman" w:cs="Times New Roman"/>
          <w:i/>
          <w:sz w:val="25"/>
          <w:szCs w:val="25"/>
        </w:rPr>
        <w:t>not</w:t>
      </w:r>
      <w:r w:rsidR="00731AF3" w:rsidRPr="00EB5D70">
        <w:rPr>
          <w:rFonts w:ascii="Times New Roman" w:eastAsia="Times New Roman" w:hAnsi="Times New Roman" w:cs="Times New Roman"/>
          <w:sz w:val="25"/>
          <w:szCs w:val="25"/>
        </w:rPr>
        <w:t xml:space="preserve"> including disconnection warnings on the monthly bill could give a customer some false comfort</w:t>
      </w:r>
      <w:r w:rsidRPr="00EB5D70">
        <w:rPr>
          <w:rFonts w:ascii="Times New Roman" w:eastAsia="Times New Roman" w:hAnsi="Times New Roman" w:cs="Times New Roman"/>
          <w:sz w:val="25"/>
          <w:szCs w:val="25"/>
        </w:rPr>
        <w:t xml:space="preserve">.  By electing to use a single document for </w:t>
      </w:r>
      <w:r w:rsidR="00DC4DD8" w:rsidRPr="00EB5D70">
        <w:rPr>
          <w:rFonts w:ascii="Times New Roman" w:eastAsia="Times New Roman" w:hAnsi="Times New Roman" w:cs="Times New Roman"/>
          <w:sz w:val="25"/>
          <w:szCs w:val="25"/>
        </w:rPr>
        <w:t>dual</w:t>
      </w:r>
      <w:r w:rsidRPr="00EB5D70">
        <w:rPr>
          <w:rFonts w:ascii="Times New Roman" w:eastAsia="Times New Roman" w:hAnsi="Times New Roman" w:cs="Times New Roman"/>
          <w:sz w:val="25"/>
          <w:szCs w:val="25"/>
        </w:rPr>
        <w:t xml:space="preserve"> purposes, </w:t>
      </w:r>
      <w:r w:rsidR="006A2457" w:rsidRPr="00EB5D70">
        <w:rPr>
          <w:rFonts w:ascii="Times New Roman" w:eastAsia="Times New Roman" w:hAnsi="Times New Roman" w:cs="Times New Roman"/>
          <w:sz w:val="25"/>
          <w:szCs w:val="25"/>
        </w:rPr>
        <w:t>PacifiCorp</w:t>
      </w:r>
      <w:r w:rsidRPr="00EB5D70">
        <w:rPr>
          <w:rFonts w:ascii="Times New Roman" w:eastAsia="Times New Roman" w:hAnsi="Times New Roman" w:cs="Times New Roman"/>
          <w:sz w:val="25"/>
          <w:szCs w:val="25"/>
        </w:rPr>
        <w:t xml:space="preserve"> must accept the </w:t>
      </w:r>
      <w:r w:rsidR="00EB542E" w:rsidRPr="00EB5D70">
        <w:rPr>
          <w:rFonts w:ascii="Times New Roman" w:eastAsia="Times New Roman" w:hAnsi="Times New Roman" w:cs="Times New Roman"/>
          <w:sz w:val="25"/>
          <w:szCs w:val="25"/>
        </w:rPr>
        <w:t xml:space="preserve">heightened </w:t>
      </w:r>
      <w:r w:rsidRPr="00EB5D70">
        <w:rPr>
          <w:rFonts w:ascii="Times New Roman" w:eastAsia="Times New Roman" w:hAnsi="Times New Roman" w:cs="Times New Roman"/>
          <w:sz w:val="25"/>
          <w:szCs w:val="25"/>
        </w:rPr>
        <w:t xml:space="preserve">responsibility to ensure that customers are </w:t>
      </w:r>
      <w:r w:rsidR="006A2457" w:rsidRPr="00EB5D70">
        <w:rPr>
          <w:rFonts w:ascii="Times New Roman" w:eastAsia="Times New Roman" w:hAnsi="Times New Roman" w:cs="Times New Roman"/>
          <w:sz w:val="25"/>
          <w:szCs w:val="25"/>
        </w:rPr>
        <w:t>unambiguously</w:t>
      </w:r>
      <w:r w:rsidRPr="00EB5D70">
        <w:rPr>
          <w:rFonts w:ascii="Times New Roman" w:eastAsia="Times New Roman" w:hAnsi="Times New Roman" w:cs="Times New Roman"/>
          <w:sz w:val="25"/>
          <w:szCs w:val="25"/>
        </w:rPr>
        <w:t xml:space="preserve"> informed of </w:t>
      </w:r>
      <w:r w:rsidR="00DC4DD8" w:rsidRPr="00EB5D70">
        <w:rPr>
          <w:rFonts w:ascii="Times New Roman" w:eastAsia="Times New Roman" w:hAnsi="Times New Roman" w:cs="Times New Roman"/>
          <w:sz w:val="25"/>
          <w:szCs w:val="25"/>
        </w:rPr>
        <w:t xml:space="preserve">the actions </w:t>
      </w:r>
      <w:r w:rsidRPr="00EB5D70">
        <w:rPr>
          <w:rFonts w:ascii="Times New Roman" w:eastAsia="Times New Roman" w:hAnsi="Times New Roman" w:cs="Times New Roman"/>
          <w:sz w:val="25"/>
          <w:szCs w:val="25"/>
        </w:rPr>
        <w:t xml:space="preserve">they must </w:t>
      </w:r>
      <w:r w:rsidR="00DC4DD8" w:rsidRPr="00EB5D70">
        <w:rPr>
          <w:rFonts w:ascii="Times New Roman" w:eastAsia="Times New Roman" w:hAnsi="Times New Roman" w:cs="Times New Roman"/>
          <w:sz w:val="25"/>
          <w:szCs w:val="25"/>
        </w:rPr>
        <w:t>take</w:t>
      </w:r>
      <w:r w:rsidRPr="00EB5D70">
        <w:rPr>
          <w:rFonts w:ascii="Times New Roman" w:eastAsia="Times New Roman" w:hAnsi="Times New Roman" w:cs="Times New Roman"/>
          <w:sz w:val="25"/>
          <w:szCs w:val="25"/>
        </w:rPr>
        <w:t xml:space="preserve"> to avoid disconnection </w:t>
      </w:r>
      <w:r w:rsidR="006A2457" w:rsidRPr="00EB5D70">
        <w:rPr>
          <w:rFonts w:ascii="Times New Roman" w:eastAsia="Times New Roman" w:hAnsi="Times New Roman" w:cs="Times New Roman"/>
          <w:sz w:val="25"/>
          <w:szCs w:val="25"/>
        </w:rPr>
        <w:t xml:space="preserve">that are </w:t>
      </w:r>
      <w:r w:rsidRPr="00EB5D70">
        <w:rPr>
          <w:rFonts w:ascii="Times New Roman" w:eastAsia="Times New Roman" w:hAnsi="Times New Roman" w:cs="Times New Roman"/>
          <w:sz w:val="25"/>
          <w:szCs w:val="25"/>
        </w:rPr>
        <w:t>distinct from their obligations to pay their monthly bill.</w:t>
      </w:r>
    </w:p>
    <w:p w:rsidR="00EB542E" w:rsidRPr="00EB5D70" w:rsidRDefault="00EB542E" w:rsidP="00297A24">
      <w:pPr>
        <w:numPr>
          <w:ilvl w:val="0"/>
          <w:numId w:val="1"/>
        </w:numPr>
        <w:tabs>
          <w:tab w:val="left" w:pos="681"/>
          <w:tab w:val="left" w:pos="1401"/>
          <w:tab w:val="center" w:pos="4320"/>
          <w:tab w:val="right" w:pos="8640"/>
        </w:tabs>
        <w:spacing w:after="240" w:line="264" w:lineRule="auto"/>
        <w:ind w:left="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The issue of the sufficiency of PacifiCorp’s combined initial disconnection notices and billing statements, however, is not before us.  The Petition seeks only a declaratory order </w:t>
      </w:r>
      <w:r w:rsidR="00E121EE" w:rsidRPr="00EB5D70">
        <w:rPr>
          <w:rFonts w:ascii="Times New Roman" w:eastAsia="Times New Roman" w:hAnsi="Times New Roman" w:cs="Times New Roman"/>
          <w:sz w:val="25"/>
          <w:szCs w:val="25"/>
        </w:rPr>
        <w:t>“that combining the first of four ‘past due’ notices with regular billing statements to be in compliance with” WAC 480-100-128(6) and WAC 480-100-178.</w:t>
      </w:r>
      <w:r w:rsidR="00E121EE" w:rsidRPr="00EB5D70">
        <w:rPr>
          <w:rStyle w:val="FootnoteReference"/>
          <w:rFonts w:ascii="Times New Roman" w:eastAsia="Times New Roman" w:hAnsi="Times New Roman" w:cs="Times New Roman"/>
          <w:sz w:val="25"/>
          <w:szCs w:val="25"/>
        </w:rPr>
        <w:footnoteReference w:id="16"/>
      </w:r>
      <w:r w:rsidR="00E121EE" w:rsidRPr="00EB5D70">
        <w:rPr>
          <w:rFonts w:ascii="Times New Roman" w:eastAsia="Times New Roman" w:hAnsi="Times New Roman" w:cs="Times New Roman"/>
          <w:sz w:val="25"/>
          <w:szCs w:val="25"/>
        </w:rPr>
        <w:t xml:space="preserve">  We </w:t>
      </w:r>
      <w:r w:rsidR="00FF604D" w:rsidRPr="00EB5D70">
        <w:rPr>
          <w:rFonts w:ascii="Times New Roman" w:eastAsia="Times New Roman" w:hAnsi="Times New Roman" w:cs="Times New Roman"/>
          <w:sz w:val="25"/>
          <w:szCs w:val="25"/>
        </w:rPr>
        <w:t xml:space="preserve">decline to expand the scope of this proceeding </w:t>
      </w:r>
      <w:r w:rsidR="00EB1E56" w:rsidRPr="00EB5D70">
        <w:rPr>
          <w:rFonts w:ascii="Times New Roman" w:eastAsia="Times New Roman" w:hAnsi="Times New Roman" w:cs="Times New Roman"/>
          <w:sz w:val="25"/>
          <w:szCs w:val="25"/>
        </w:rPr>
        <w:t>beyond th</w:t>
      </w:r>
      <w:r w:rsidR="005150F4" w:rsidRPr="00EB5D70">
        <w:rPr>
          <w:rFonts w:ascii="Times New Roman" w:eastAsia="Times New Roman" w:hAnsi="Times New Roman" w:cs="Times New Roman"/>
          <w:sz w:val="25"/>
          <w:szCs w:val="25"/>
        </w:rPr>
        <w:t>e</w:t>
      </w:r>
      <w:r w:rsidR="00EB1E56" w:rsidRPr="00EB5D70">
        <w:rPr>
          <w:rFonts w:ascii="Times New Roman" w:eastAsia="Times New Roman" w:hAnsi="Times New Roman" w:cs="Times New Roman"/>
          <w:sz w:val="25"/>
          <w:szCs w:val="25"/>
        </w:rPr>
        <w:t xml:space="preserve"> </w:t>
      </w:r>
      <w:r w:rsidR="00E6117D" w:rsidRPr="00EB5D70">
        <w:rPr>
          <w:rFonts w:ascii="Times New Roman" w:eastAsia="Times New Roman" w:hAnsi="Times New Roman" w:cs="Times New Roman"/>
          <w:sz w:val="25"/>
          <w:szCs w:val="25"/>
        </w:rPr>
        <w:t>question</w:t>
      </w:r>
      <w:r w:rsidR="00EB1E56" w:rsidRPr="00EB5D70">
        <w:rPr>
          <w:rFonts w:ascii="Times New Roman" w:eastAsia="Times New Roman" w:hAnsi="Times New Roman" w:cs="Times New Roman"/>
          <w:sz w:val="25"/>
          <w:szCs w:val="25"/>
        </w:rPr>
        <w:t xml:space="preserve"> </w:t>
      </w:r>
      <w:r w:rsidR="00E6117D" w:rsidRPr="00EB5D70">
        <w:rPr>
          <w:rFonts w:ascii="Times New Roman" w:eastAsia="Times New Roman" w:hAnsi="Times New Roman" w:cs="Times New Roman"/>
          <w:sz w:val="25"/>
          <w:szCs w:val="25"/>
        </w:rPr>
        <w:t xml:space="preserve">presented </w:t>
      </w:r>
      <w:r w:rsidR="00FF604D" w:rsidRPr="00EB5D70">
        <w:rPr>
          <w:rFonts w:ascii="Times New Roman" w:eastAsia="Times New Roman" w:hAnsi="Times New Roman" w:cs="Times New Roman"/>
          <w:sz w:val="25"/>
          <w:szCs w:val="25"/>
        </w:rPr>
        <w:t xml:space="preserve">to </w:t>
      </w:r>
      <w:r w:rsidR="00E121EE" w:rsidRPr="00EB5D70">
        <w:rPr>
          <w:rFonts w:ascii="Times New Roman" w:eastAsia="Times New Roman" w:hAnsi="Times New Roman" w:cs="Times New Roman"/>
          <w:sz w:val="25"/>
          <w:szCs w:val="25"/>
        </w:rPr>
        <w:t xml:space="preserve">determine whether the </w:t>
      </w:r>
      <w:r w:rsidR="002C419D" w:rsidRPr="00EB5D70">
        <w:rPr>
          <w:rFonts w:ascii="Times New Roman" w:eastAsia="Times New Roman" w:hAnsi="Times New Roman" w:cs="Times New Roman"/>
          <w:sz w:val="25"/>
          <w:szCs w:val="25"/>
        </w:rPr>
        <w:t>language in</w:t>
      </w:r>
      <w:r w:rsidR="00E121EE" w:rsidRPr="00EB5D70">
        <w:rPr>
          <w:rFonts w:ascii="Times New Roman" w:eastAsia="Times New Roman" w:hAnsi="Times New Roman" w:cs="Times New Roman"/>
          <w:sz w:val="25"/>
          <w:szCs w:val="25"/>
        </w:rPr>
        <w:t xml:space="preserve"> the combined documents the Company </w:t>
      </w:r>
      <w:r w:rsidR="00FF604D" w:rsidRPr="00EB5D70">
        <w:rPr>
          <w:rFonts w:ascii="Times New Roman" w:eastAsia="Times New Roman" w:hAnsi="Times New Roman" w:cs="Times New Roman"/>
          <w:sz w:val="25"/>
          <w:szCs w:val="25"/>
        </w:rPr>
        <w:t>uses</w:t>
      </w:r>
      <w:r w:rsidR="00E121EE" w:rsidRPr="00EB5D70">
        <w:rPr>
          <w:rFonts w:ascii="Times New Roman" w:eastAsia="Times New Roman" w:hAnsi="Times New Roman" w:cs="Times New Roman"/>
          <w:sz w:val="25"/>
          <w:szCs w:val="25"/>
        </w:rPr>
        <w:t xml:space="preserve"> </w:t>
      </w:r>
      <w:r w:rsidR="002C419D" w:rsidRPr="00EB5D70">
        <w:rPr>
          <w:rFonts w:ascii="Times New Roman" w:eastAsia="Times New Roman" w:hAnsi="Times New Roman" w:cs="Times New Roman"/>
          <w:sz w:val="25"/>
          <w:szCs w:val="25"/>
        </w:rPr>
        <w:t>is</w:t>
      </w:r>
      <w:r w:rsidR="009E7EF3" w:rsidRPr="00EB5D70">
        <w:rPr>
          <w:rFonts w:ascii="Times New Roman" w:eastAsia="Times New Roman" w:hAnsi="Times New Roman" w:cs="Times New Roman"/>
          <w:sz w:val="25"/>
          <w:szCs w:val="25"/>
        </w:rPr>
        <w:t xml:space="preserve"> </w:t>
      </w:r>
      <w:r w:rsidR="00FF604D" w:rsidRPr="00EB5D70">
        <w:rPr>
          <w:rFonts w:ascii="Times New Roman" w:eastAsia="Times New Roman" w:hAnsi="Times New Roman" w:cs="Times New Roman"/>
          <w:sz w:val="25"/>
          <w:szCs w:val="25"/>
        </w:rPr>
        <w:t>clear</w:t>
      </w:r>
      <w:r w:rsidR="009E7EF3" w:rsidRPr="00EB5D70">
        <w:rPr>
          <w:rFonts w:ascii="Times New Roman" w:eastAsia="Times New Roman" w:hAnsi="Times New Roman" w:cs="Times New Roman"/>
          <w:sz w:val="25"/>
          <w:szCs w:val="25"/>
        </w:rPr>
        <w:t xml:space="preserve"> and unambiguous</w:t>
      </w:r>
      <w:r w:rsidR="007026CF" w:rsidRPr="00EB5D70">
        <w:rPr>
          <w:rFonts w:ascii="Times New Roman" w:eastAsia="Times New Roman" w:hAnsi="Times New Roman" w:cs="Times New Roman"/>
          <w:sz w:val="25"/>
          <w:szCs w:val="25"/>
        </w:rPr>
        <w:t xml:space="preserve"> and otherwise complies with the rule requirements</w:t>
      </w:r>
      <w:r w:rsidR="00FF604D" w:rsidRPr="00EB5D70">
        <w:rPr>
          <w:rFonts w:ascii="Times New Roman" w:eastAsia="Times New Roman" w:hAnsi="Times New Roman" w:cs="Times New Roman"/>
          <w:sz w:val="25"/>
          <w:szCs w:val="25"/>
        </w:rPr>
        <w:t xml:space="preserve">.  </w:t>
      </w:r>
      <w:r w:rsidR="00E6117D" w:rsidRPr="00EB5D70">
        <w:rPr>
          <w:rFonts w:ascii="Times New Roman" w:eastAsia="Times New Roman" w:hAnsi="Times New Roman" w:cs="Times New Roman"/>
          <w:sz w:val="25"/>
          <w:szCs w:val="25"/>
        </w:rPr>
        <w:t xml:space="preserve">However, we </w:t>
      </w:r>
      <w:r w:rsidR="00731AF3" w:rsidRPr="00EB5D70">
        <w:rPr>
          <w:rFonts w:ascii="Times New Roman" w:eastAsia="Times New Roman" w:hAnsi="Times New Roman" w:cs="Times New Roman"/>
          <w:sz w:val="25"/>
          <w:szCs w:val="25"/>
        </w:rPr>
        <w:t>expect</w:t>
      </w:r>
      <w:r w:rsidR="00E6117D" w:rsidRPr="00EB5D70">
        <w:rPr>
          <w:rFonts w:ascii="Times New Roman" w:eastAsia="Times New Roman" w:hAnsi="Times New Roman" w:cs="Times New Roman"/>
          <w:sz w:val="25"/>
          <w:szCs w:val="25"/>
        </w:rPr>
        <w:t xml:space="preserve"> </w:t>
      </w:r>
      <w:r w:rsidR="009E7EF3" w:rsidRPr="00EB5D70">
        <w:rPr>
          <w:rFonts w:ascii="Times New Roman" w:eastAsia="Times New Roman" w:hAnsi="Times New Roman" w:cs="Times New Roman"/>
          <w:sz w:val="25"/>
          <w:szCs w:val="25"/>
        </w:rPr>
        <w:t xml:space="preserve">PacifiCorp </w:t>
      </w:r>
      <w:r w:rsidR="00E6117D" w:rsidRPr="00EB5D70">
        <w:rPr>
          <w:rFonts w:ascii="Times New Roman" w:eastAsia="Times New Roman" w:hAnsi="Times New Roman" w:cs="Times New Roman"/>
          <w:sz w:val="25"/>
          <w:szCs w:val="25"/>
        </w:rPr>
        <w:t xml:space="preserve">to work </w:t>
      </w:r>
      <w:r w:rsidR="009E7EF3" w:rsidRPr="00EB5D70">
        <w:rPr>
          <w:rFonts w:ascii="Times New Roman" w:eastAsia="Times New Roman" w:hAnsi="Times New Roman" w:cs="Times New Roman"/>
          <w:sz w:val="25"/>
          <w:szCs w:val="25"/>
        </w:rPr>
        <w:t xml:space="preserve">with the parties in this docket </w:t>
      </w:r>
      <w:r w:rsidR="00E6117D" w:rsidRPr="00EB5D70">
        <w:rPr>
          <w:rFonts w:ascii="Times New Roman" w:eastAsia="Times New Roman" w:hAnsi="Times New Roman" w:cs="Times New Roman"/>
          <w:sz w:val="25"/>
          <w:szCs w:val="25"/>
        </w:rPr>
        <w:t>to develop</w:t>
      </w:r>
      <w:r w:rsidR="009E7EF3" w:rsidRPr="00EB5D70">
        <w:rPr>
          <w:rFonts w:ascii="Times New Roman" w:eastAsia="Times New Roman" w:hAnsi="Times New Roman" w:cs="Times New Roman"/>
          <w:sz w:val="25"/>
          <w:szCs w:val="25"/>
        </w:rPr>
        <w:t xml:space="preserve"> any </w:t>
      </w:r>
      <w:r w:rsidR="002C419D" w:rsidRPr="00EB5D70">
        <w:rPr>
          <w:rFonts w:ascii="Times New Roman" w:eastAsia="Times New Roman" w:hAnsi="Times New Roman" w:cs="Times New Roman"/>
          <w:sz w:val="25"/>
          <w:szCs w:val="25"/>
        </w:rPr>
        <w:t xml:space="preserve">reasonable </w:t>
      </w:r>
      <w:r w:rsidR="009E7EF3" w:rsidRPr="00EB5D70">
        <w:rPr>
          <w:rFonts w:ascii="Times New Roman" w:eastAsia="Times New Roman" w:hAnsi="Times New Roman" w:cs="Times New Roman"/>
          <w:sz w:val="25"/>
          <w:szCs w:val="25"/>
        </w:rPr>
        <w:t xml:space="preserve">modifications needed to ensure that the </w:t>
      </w:r>
      <w:r w:rsidR="002C419D" w:rsidRPr="00EB5D70">
        <w:rPr>
          <w:rFonts w:ascii="Times New Roman" w:eastAsia="Times New Roman" w:hAnsi="Times New Roman" w:cs="Times New Roman"/>
          <w:sz w:val="25"/>
          <w:szCs w:val="25"/>
        </w:rPr>
        <w:t xml:space="preserve">content of the </w:t>
      </w:r>
      <w:r w:rsidR="009E7EF3" w:rsidRPr="00EB5D70">
        <w:rPr>
          <w:rFonts w:ascii="Times New Roman" w:eastAsia="Times New Roman" w:hAnsi="Times New Roman" w:cs="Times New Roman"/>
          <w:sz w:val="25"/>
          <w:szCs w:val="25"/>
        </w:rPr>
        <w:t xml:space="preserve">combined initial disconnection notice and monthly billing statement </w:t>
      </w:r>
      <w:r w:rsidR="002C419D" w:rsidRPr="00EB5D70">
        <w:rPr>
          <w:rFonts w:ascii="Times New Roman" w:eastAsia="Times New Roman" w:hAnsi="Times New Roman" w:cs="Times New Roman"/>
          <w:sz w:val="25"/>
          <w:szCs w:val="25"/>
        </w:rPr>
        <w:t xml:space="preserve">does not confuse customers but </w:t>
      </w:r>
      <w:r w:rsidR="009E7EF3" w:rsidRPr="00EB5D70">
        <w:rPr>
          <w:rFonts w:ascii="Times New Roman" w:eastAsia="Times New Roman" w:hAnsi="Times New Roman" w:cs="Times New Roman"/>
          <w:sz w:val="25"/>
          <w:szCs w:val="25"/>
        </w:rPr>
        <w:t>clearly inform</w:t>
      </w:r>
      <w:r w:rsidR="002C419D" w:rsidRPr="00EB5D70">
        <w:rPr>
          <w:rFonts w:ascii="Times New Roman" w:eastAsia="Times New Roman" w:hAnsi="Times New Roman" w:cs="Times New Roman"/>
          <w:sz w:val="25"/>
          <w:szCs w:val="25"/>
        </w:rPr>
        <w:t>s</w:t>
      </w:r>
      <w:r w:rsidR="009E7EF3" w:rsidRPr="00EB5D70">
        <w:rPr>
          <w:rFonts w:ascii="Times New Roman" w:eastAsia="Times New Roman" w:hAnsi="Times New Roman" w:cs="Times New Roman"/>
          <w:sz w:val="25"/>
          <w:szCs w:val="25"/>
        </w:rPr>
        <w:t xml:space="preserve"> </w:t>
      </w:r>
      <w:r w:rsidR="002C419D" w:rsidRPr="00EB5D70">
        <w:rPr>
          <w:rFonts w:ascii="Times New Roman" w:eastAsia="Times New Roman" w:hAnsi="Times New Roman" w:cs="Times New Roman"/>
          <w:sz w:val="25"/>
          <w:szCs w:val="25"/>
        </w:rPr>
        <w:t>them</w:t>
      </w:r>
      <w:r w:rsidR="009E7EF3" w:rsidRPr="00EB5D70">
        <w:rPr>
          <w:rFonts w:ascii="Times New Roman" w:eastAsia="Times New Roman" w:hAnsi="Times New Roman" w:cs="Times New Roman"/>
          <w:sz w:val="25"/>
          <w:szCs w:val="25"/>
        </w:rPr>
        <w:t xml:space="preserve"> of their rights and obligations.</w:t>
      </w:r>
    </w:p>
    <w:p w:rsidR="00297A24" w:rsidRPr="00EB5D70" w:rsidRDefault="00297A24">
      <w:pPr>
        <w:rPr>
          <w:rFonts w:ascii="Times New Roman" w:eastAsia="Times New Roman" w:hAnsi="Times New Roman" w:cs="Times New Roman"/>
          <w:b/>
          <w:sz w:val="25"/>
          <w:szCs w:val="25"/>
        </w:rPr>
      </w:pPr>
      <w:r w:rsidRPr="00EB5D70">
        <w:rPr>
          <w:rFonts w:ascii="Times New Roman" w:eastAsia="Times New Roman" w:hAnsi="Times New Roman" w:cs="Times New Roman"/>
          <w:b/>
          <w:sz w:val="25"/>
          <w:szCs w:val="25"/>
        </w:rPr>
        <w:br w:type="page"/>
      </w:r>
    </w:p>
    <w:p w:rsidR="00545ECE" w:rsidRPr="00EB5D70" w:rsidRDefault="00545ECE" w:rsidP="00297A24">
      <w:pPr>
        <w:spacing w:after="240" w:line="264" w:lineRule="auto"/>
        <w:jc w:val="center"/>
        <w:rPr>
          <w:rFonts w:ascii="Times New Roman" w:eastAsia="Times New Roman" w:hAnsi="Times New Roman" w:cs="Times New Roman"/>
          <w:b/>
          <w:sz w:val="25"/>
          <w:szCs w:val="25"/>
        </w:rPr>
      </w:pPr>
      <w:r w:rsidRPr="00EB5D70">
        <w:rPr>
          <w:rFonts w:ascii="Times New Roman" w:eastAsia="Times New Roman" w:hAnsi="Times New Roman" w:cs="Times New Roman"/>
          <w:b/>
          <w:sz w:val="25"/>
          <w:szCs w:val="25"/>
        </w:rPr>
        <w:lastRenderedPageBreak/>
        <w:t>ORDER</w:t>
      </w:r>
    </w:p>
    <w:p w:rsidR="00545ECE" w:rsidRPr="00EB5D70" w:rsidRDefault="00545ECE" w:rsidP="00297A24">
      <w:pPr>
        <w:spacing w:after="240"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THE COMMISSION </w:t>
      </w:r>
      <w:r w:rsidR="00685FE2" w:rsidRPr="00EB5D70">
        <w:rPr>
          <w:rFonts w:ascii="Times New Roman" w:eastAsia="Times New Roman" w:hAnsi="Times New Roman" w:cs="Times New Roman"/>
          <w:sz w:val="25"/>
          <w:szCs w:val="25"/>
        </w:rPr>
        <w:t>DECLARES</w:t>
      </w:r>
      <w:r w:rsidRPr="00EB5D70">
        <w:rPr>
          <w:rFonts w:ascii="Times New Roman" w:eastAsia="Times New Roman" w:hAnsi="Times New Roman" w:cs="Times New Roman"/>
          <w:sz w:val="25"/>
          <w:szCs w:val="25"/>
        </w:rPr>
        <w:t>:</w:t>
      </w:r>
    </w:p>
    <w:p w:rsidR="008911AA" w:rsidRPr="00EB5D70" w:rsidRDefault="008911AA" w:rsidP="00297A24">
      <w:pPr>
        <w:numPr>
          <w:ilvl w:val="0"/>
          <w:numId w:val="1"/>
        </w:numPr>
        <w:tabs>
          <w:tab w:val="clear" w:pos="720"/>
          <w:tab w:val="left" w:pos="0"/>
          <w:tab w:val="left" w:pos="1401"/>
          <w:tab w:val="center" w:pos="4320"/>
          <w:tab w:val="right" w:pos="8640"/>
        </w:tabs>
        <w:spacing w:after="240" w:line="264" w:lineRule="auto"/>
        <w:ind w:hanging="144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(1)</w:t>
      </w:r>
      <w:r w:rsidRPr="00EB5D70">
        <w:rPr>
          <w:rFonts w:ascii="Times New Roman" w:eastAsia="Times New Roman" w:hAnsi="Times New Roman" w:cs="Times New Roman"/>
          <w:sz w:val="25"/>
          <w:szCs w:val="25"/>
        </w:rPr>
        <w:tab/>
      </w:r>
      <w:r w:rsidR="00685FE2" w:rsidRPr="00EB5D70">
        <w:rPr>
          <w:rFonts w:ascii="Times New Roman" w:eastAsia="Times New Roman" w:hAnsi="Times New Roman" w:cs="Times New Roman"/>
          <w:sz w:val="25"/>
          <w:szCs w:val="25"/>
        </w:rPr>
        <w:t>WAC 480-100-128 and WAC 480-100-178 do not prohibit Pacific Power &amp; Light Company from using the same document to provide an initial disconnection notice and a monthly billing statement</w:t>
      </w:r>
      <w:r w:rsidR="00545ECE" w:rsidRPr="00EB5D70">
        <w:rPr>
          <w:rFonts w:ascii="Times New Roman" w:eastAsia="Times New Roman" w:hAnsi="Times New Roman" w:cs="Times New Roman"/>
          <w:sz w:val="25"/>
          <w:szCs w:val="25"/>
        </w:rPr>
        <w:t xml:space="preserve">.  </w:t>
      </w:r>
    </w:p>
    <w:p w:rsidR="00545ECE" w:rsidRPr="00EB5D70" w:rsidRDefault="008911AA" w:rsidP="00297A24">
      <w:pPr>
        <w:numPr>
          <w:ilvl w:val="0"/>
          <w:numId w:val="1"/>
        </w:numPr>
        <w:tabs>
          <w:tab w:val="clear" w:pos="720"/>
          <w:tab w:val="left" w:pos="0"/>
          <w:tab w:val="left" w:pos="1401"/>
          <w:tab w:val="center" w:pos="4320"/>
          <w:tab w:val="right" w:pos="8640"/>
        </w:tabs>
        <w:spacing w:after="240" w:line="264" w:lineRule="auto"/>
        <w:ind w:hanging="1440"/>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(2)</w:t>
      </w:r>
      <w:r w:rsidRPr="00EB5D70">
        <w:rPr>
          <w:rFonts w:ascii="Times New Roman" w:eastAsia="Times New Roman" w:hAnsi="Times New Roman" w:cs="Times New Roman"/>
          <w:sz w:val="25"/>
          <w:szCs w:val="25"/>
        </w:rPr>
        <w:tab/>
      </w:r>
      <w:r w:rsidR="00685FE2" w:rsidRPr="00EB5D70">
        <w:rPr>
          <w:rFonts w:ascii="Times New Roman" w:eastAsia="Times New Roman" w:hAnsi="Times New Roman" w:cs="Times New Roman"/>
          <w:sz w:val="25"/>
          <w:szCs w:val="25"/>
        </w:rPr>
        <w:t xml:space="preserve">Pacific Power &amp; Light Company </w:t>
      </w:r>
      <w:r w:rsidR="00731AF3" w:rsidRPr="00EB5D70">
        <w:rPr>
          <w:rFonts w:ascii="Times New Roman" w:eastAsia="Times New Roman" w:hAnsi="Times New Roman" w:cs="Times New Roman"/>
          <w:sz w:val="25"/>
          <w:szCs w:val="25"/>
        </w:rPr>
        <w:t>should</w:t>
      </w:r>
      <w:r w:rsidR="00685FE2" w:rsidRPr="00EB5D70">
        <w:rPr>
          <w:rFonts w:ascii="Times New Roman" w:eastAsia="Times New Roman" w:hAnsi="Times New Roman" w:cs="Times New Roman"/>
          <w:sz w:val="25"/>
          <w:szCs w:val="25"/>
        </w:rPr>
        <w:t xml:space="preserve"> work with Commission Staff, Public Counsel, and the Energy Project to develop </w:t>
      </w:r>
      <w:r w:rsidR="009E7EF3" w:rsidRPr="00EB5D70">
        <w:rPr>
          <w:rFonts w:ascii="Times New Roman" w:eastAsia="Times New Roman" w:hAnsi="Times New Roman" w:cs="Times New Roman"/>
          <w:sz w:val="25"/>
          <w:szCs w:val="25"/>
        </w:rPr>
        <w:t xml:space="preserve">any modifications needed to </w:t>
      </w:r>
      <w:r w:rsidR="00685FE2" w:rsidRPr="00EB5D70">
        <w:rPr>
          <w:rFonts w:ascii="Times New Roman" w:eastAsia="Times New Roman" w:hAnsi="Times New Roman" w:cs="Times New Roman"/>
          <w:sz w:val="25"/>
          <w:szCs w:val="25"/>
        </w:rPr>
        <w:t xml:space="preserve">the language and format of documents used to provide both an initial disconnection notice and a monthly billing statement to ensure that the document </w:t>
      </w:r>
      <w:r w:rsidR="003654A5" w:rsidRPr="00EB5D70">
        <w:rPr>
          <w:rFonts w:ascii="Times New Roman" w:eastAsia="Times New Roman" w:hAnsi="Times New Roman" w:cs="Times New Roman"/>
          <w:sz w:val="25"/>
          <w:szCs w:val="25"/>
        </w:rPr>
        <w:t xml:space="preserve">complies with WAC 480-100-128 and WAC 480-100-178 </w:t>
      </w:r>
      <w:r w:rsidR="00FD22EF" w:rsidRPr="00EB5D70">
        <w:rPr>
          <w:rFonts w:ascii="Times New Roman" w:eastAsia="Times New Roman" w:hAnsi="Times New Roman" w:cs="Times New Roman"/>
          <w:sz w:val="25"/>
          <w:szCs w:val="25"/>
        </w:rPr>
        <w:t xml:space="preserve">in a manner that clearly notifies </w:t>
      </w:r>
      <w:r w:rsidR="003654A5" w:rsidRPr="00EB5D70">
        <w:rPr>
          <w:rFonts w:ascii="Times New Roman" w:eastAsia="Times New Roman" w:hAnsi="Times New Roman" w:cs="Times New Roman"/>
          <w:sz w:val="25"/>
          <w:szCs w:val="25"/>
        </w:rPr>
        <w:t>customers</w:t>
      </w:r>
      <w:r w:rsidR="00FD22EF" w:rsidRPr="00EB5D70">
        <w:rPr>
          <w:rFonts w:ascii="Times New Roman" w:eastAsia="Times New Roman" w:hAnsi="Times New Roman" w:cs="Times New Roman"/>
          <w:sz w:val="25"/>
          <w:szCs w:val="25"/>
        </w:rPr>
        <w:t xml:space="preserve"> of the actions they must take to avoid disconnection distinct from the customers’ obligation to pay their monthly bill</w:t>
      </w:r>
      <w:r w:rsidR="00B06C81" w:rsidRPr="00EB5D70">
        <w:rPr>
          <w:rFonts w:ascii="Times New Roman" w:eastAsia="Times New Roman" w:hAnsi="Times New Roman" w:cs="Times New Roman"/>
          <w:sz w:val="25"/>
          <w:szCs w:val="25"/>
        </w:rPr>
        <w:t>.</w:t>
      </w:r>
    </w:p>
    <w:p w:rsidR="00545ECE" w:rsidRPr="00EB5D70" w:rsidRDefault="00545ECE" w:rsidP="00297A24">
      <w:pPr>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 xml:space="preserve">DATED at Olympia, Washington, and effective, </w:t>
      </w:r>
      <w:r w:rsidR="009C67F5" w:rsidRPr="00EB5D70">
        <w:rPr>
          <w:rFonts w:ascii="Times New Roman" w:eastAsia="Times New Roman" w:hAnsi="Times New Roman" w:cs="Times New Roman"/>
          <w:sz w:val="25"/>
          <w:szCs w:val="25"/>
        </w:rPr>
        <w:t>J</w:t>
      </w:r>
      <w:r w:rsidR="002D20B3" w:rsidRPr="00EB5D70">
        <w:rPr>
          <w:rFonts w:ascii="Times New Roman" w:eastAsia="Times New Roman" w:hAnsi="Times New Roman" w:cs="Times New Roman"/>
          <w:sz w:val="25"/>
          <w:szCs w:val="25"/>
        </w:rPr>
        <w:t>anuary</w:t>
      </w:r>
      <w:r w:rsidRPr="00EB5D70">
        <w:rPr>
          <w:rFonts w:ascii="Times New Roman" w:eastAsia="Times New Roman" w:hAnsi="Times New Roman" w:cs="Times New Roman"/>
          <w:sz w:val="25"/>
          <w:szCs w:val="25"/>
        </w:rPr>
        <w:t xml:space="preserve"> </w:t>
      </w:r>
      <w:r w:rsidR="007026CF" w:rsidRPr="00EB5D70">
        <w:rPr>
          <w:rFonts w:ascii="Times New Roman" w:eastAsia="Times New Roman" w:hAnsi="Times New Roman" w:cs="Times New Roman"/>
          <w:sz w:val="25"/>
          <w:szCs w:val="25"/>
        </w:rPr>
        <w:t>29</w:t>
      </w:r>
      <w:r w:rsidRPr="00EB5D70">
        <w:rPr>
          <w:rFonts w:ascii="Times New Roman" w:eastAsia="Times New Roman" w:hAnsi="Times New Roman" w:cs="Times New Roman"/>
          <w:sz w:val="25"/>
          <w:szCs w:val="25"/>
        </w:rPr>
        <w:t>, 201</w:t>
      </w:r>
      <w:r w:rsidR="002D20B3" w:rsidRPr="00EB5D70">
        <w:rPr>
          <w:rFonts w:ascii="Times New Roman" w:eastAsia="Times New Roman" w:hAnsi="Times New Roman" w:cs="Times New Roman"/>
          <w:sz w:val="25"/>
          <w:szCs w:val="25"/>
        </w:rPr>
        <w:t>4</w:t>
      </w:r>
      <w:r w:rsidRPr="00EB5D70">
        <w:rPr>
          <w:rFonts w:ascii="Times New Roman" w:eastAsia="Times New Roman" w:hAnsi="Times New Roman" w:cs="Times New Roman"/>
          <w:sz w:val="25"/>
          <w:szCs w:val="25"/>
        </w:rPr>
        <w:t>.</w:t>
      </w: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297A24" w:rsidP="00297A24">
      <w:pPr>
        <w:spacing w:line="264" w:lineRule="auto"/>
        <w:jc w:val="center"/>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WASHINGTON UTILITIES AND TRANSPORTATION COMMISSION</w:t>
      </w:r>
    </w:p>
    <w:p w:rsidR="00297A24" w:rsidRPr="00EB5D70" w:rsidRDefault="00297A24" w:rsidP="00297A24">
      <w:pPr>
        <w:spacing w:line="264" w:lineRule="auto"/>
        <w:rPr>
          <w:rFonts w:ascii="Times New Roman" w:eastAsia="Times New Roman" w:hAnsi="Times New Roman" w:cs="Times New Roman"/>
          <w:sz w:val="25"/>
          <w:szCs w:val="25"/>
        </w:rPr>
      </w:pPr>
    </w:p>
    <w:p w:rsidR="00297A24" w:rsidRPr="00EB5D70" w:rsidRDefault="00297A24"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t>DAVID W. DANNER, Chairman</w:t>
      </w: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p>
    <w:p w:rsidR="00545ECE" w:rsidRPr="00EB5D70" w:rsidRDefault="00545ECE" w:rsidP="00297A24">
      <w:pPr>
        <w:spacing w:line="264" w:lineRule="auto"/>
        <w:rPr>
          <w:rFonts w:ascii="Times New Roman" w:eastAsia="Times New Roman" w:hAnsi="Times New Roman" w:cs="Times New Roman"/>
          <w:sz w:val="25"/>
          <w:szCs w:val="25"/>
        </w:rPr>
      </w:pP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r>
      <w:r w:rsidRPr="00EB5D70">
        <w:rPr>
          <w:rFonts w:ascii="Times New Roman" w:eastAsia="Times New Roman" w:hAnsi="Times New Roman" w:cs="Times New Roman"/>
          <w:sz w:val="25"/>
          <w:szCs w:val="25"/>
        </w:rPr>
        <w:tab/>
        <w:t>PHILIP B. JONES, Commissioner</w:t>
      </w:r>
    </w:p>
    <w:p w:rsidR="00545ECE" w:rsidRPr="00EB5D70" w:rsidRDefault="00545ECE" w:rsidP="00297A24">
      <w:pPr>
        <w:spacing w:line="264" w:lineRule="auto"/>
        <w:rPr>
          <w:rFonts w:ascii="Times New Roman" w:eastAsia="Times New Roman" w:hAnsi="Times New Roman" w:cs="Times New Roman"/>
          <w:sz w:val="25"/>
          <w:szCs w:val="25"/>
        </w:rPr>
      </w:pPr>
    </w:p>
    <w:p w:rsidR="00297A24" w:rsidRPr="00EB5D70" w:rsidRDefault="00297A24" w:rsidP="00297A24">
      <w:pPr>
        <w:spacing w:line="264" w:lineRule="auto"/>
        <w:ind w:left="3600" w:firstLine="720"/>
        <w:rPr>
          <w:rFonts w:ascii="Times New Roman" w:eastAsia="Times New Roman" w:hAnsi="Times New Roman" w:cs="Times New Roman"/>
          <w:sz w:val="25"/>
          <w:szCs w:val="25"/>
        </w:rPr>
      </w:pPr>
    </w:p>
    <w:p w:rsidR="00545ECE" w:rsidRPr="00EB5D70" w:rsidRDefault="00545ECE" w:rsidP="00297A24">
      <w:pPr>
        <w:spacing w:line="264" w:lineRule="auto"/>
        <w:ind w:left="3600" w:firstLine="720"/>
        <w:rPr>
          <w:rFonts w:ascii="Times New Roman" w:eastAsia="Times New Roman" w:hAnsi="Times New Roman" w:cs="Times New Roman"/>
          <w:sz w:val="25"/>
          <w:szCs w:val="25"/>
        </w:rPr>
      </w:pPr>
    </w:p>
    <w:p w:rsidR="002C039A" w:rsidRPr="00EB5D70" w:rsidRDefault="00545ECE" w:rsidP="00297A24">
      <w:pPr>
        <w:spacing w:line="264" w:lineRule="auto"/>
        <w:ind w:left="3600" w:firstLine="720"/>
        <w:rPr>
          <w:rFonts w:ascii="Times New Roman" w:hAnsi="Times New Roman" w:cs="Times New Roman"/>
          <w:sz w:val="25"/>
          <w:szCs w:val="25"/>
        </w:rPr>
      </w:pPr>
      <w:r w:rsidRPr="00EB5D70">
        <w:rPr>
          <w:rFonts w:ascii="Times New Roman" w:eastAsia="Times New Roman" w:hAnsi="Times New Roman" w:cs="Times New Roman"/>
          <w:sz w:val="25"/>
          <w:szCs w:val="25"/>
        </w:rPr>
        <w:t>JEFFREY D. GOLTZ, Commissioner</w:t>
      </w:r>
    </w:p>
    <w:sectPr w:rsidR="002C039A" w:rsidRPr="00EB5D70" w:rsidSect="009313F3">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38" w:rsidRDefault="00447138" w:rsidP="00545ECE">
      <w:r>
        <w:separator/>
      </w:r>
    </w:p>
  </w:endnote>
  <w:endnote w:type="continuationSeparator" w:id="0">
    <w:p w:rsidR="00447138" w:rsidRDefault="00447138" w:rsidP="0054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38" w:rsidRDefault="00447138" w:rsidP="00545ECE">
      <w:r>
        <w:separator/>
      </w:r>
    </w:p>
  </w:footnote>
  <w:footnote w:type="continuationSeparator" w:id="0">
    <w:p w:rsidR="00447138" w:rsidRDefault="00447138" w:rsidP="00545ECE">
      <w:r>
        <w:continuationSeparator/>
      </w:r>
    </w:p>
  </w:footnote>
  <w:footnote w:id="1">
    <w:p w:rsidR="00730080" w:rsidRPr="00730080" w:rsidRDefault="00730080">
      <w:pPr>
        <w:pStyle w:val="FootnoteText"/>
        <w:rPr>
          <w:sz w:val="22"/>
          <w:szCs w:val="22"/>
        </w:rPr>
      </w:pPr>
      <w:r>
        <w:rPr>
          <w:rStyle w:val="FootnoteReference"/>
        </w:rPr>
        <w:footnoteRef/>
      </w:r>
      <w:r>
        <w:t xml:space="preserve"> </w:t>
      </w:r>
      <w:r>
        <w:rPr>
          <w:sz w:val="22"/>
          <w:szCs w:val="22"/>
        </w:rPr>
        <w:t xml:space="preserve">This filing was submitted in the name of “PacifiCorp d/b/a Pacific Power &amp; Light Company,” but the Company’s official name in the Commission’s records is “Pacific Power &amp; Light Company.”  Unless and until the Company takes the necessary steps to change its name on file with the Commission, we will use the name in our records.  </w:t>
      </w:r>
      <w:r w:rsidR="009D55AB">
        <w:rPr>
          <w:sz w:val="22"/>
          <w:szCs w:val="22"/>
        </w:rPr>
        <w:t xml:space="preserve">We </w:t>
      </w:r>
      <w:r w:rsidR="00801521">
        <w:rPr>
          <w:sz w:val="22"/>
          <w:szCs w:val="22"/>
        </w:rPr>
        <w:t xml:space="preserve">strongly </w:t>
      </w:r>
      <w:r w:rsidR="009D55AB">
        <w:rPr>
          <w:sz w:val="22"/>
          <w:szCs w:val="22"/>
        </w:rPr>
        <w:t>encourage t</w:t>
      </w:r>
      <w:r>
        <w:rPr>
          <w:sz w:val="22"/>
          <w:szCs w:val="22"/>
        </w:rPr>
        <w:t xml:space="preserve">he Company </w:t>
      </w:r>
      <w:r w:rsidR="009D55AB">
        <w:rPr>
          <w:sz w:val="22"/>
          <w:szCs w:val="22"/>
        </w:rPr>
        <w:t xml:space="preserve">to accurately identify itself as </w:t>
      </w:r>
      <w:r>
        <w:rPr>
          <w:sz w:val="22"/>
          <w:szCs w:val="22"/>
        </w:rPr>
        <w:t xml:space="preserve">“Pacific Power &amp; Light Company” </w:t>
      </w:r>
      <w:r w:rsidR="006A0B6E">
        <w:rPr>
          <w:sz w:val="22"/>
          <w:szCs w:val="22"/>
        </w:rPr>
        <w:t>in</w:t>
      </w:r>
      <w:r w:rsidR="009D55AB">
        <w:rPr>
          <w:sz w:val="22"/>
          <w:szCs w:val="22"/>
        </w:rPr>
        <w:t xml:space="preserve"> future filings as long as that is the Company’s name in the Commission’s records</w:t>
      </w:r>
      <w:r>
        <w:rPr>
          <w:sz w:val="22"/>
          <w:szCs w:val="22"/>
        </w:rPr>
        <w:t>.</w:t>
      </w:r>
    </w:p>
  </w:footnote>
  <w:footnote w:id="2">
    <w:p w:rsidR="00A52C2E" w:rsidRPr="00A52C2E" w:rsidRDefault="00A52C2E" w:rsidP="00A52C2E">
      <w:pPr>
        <w:pStyle w:val="FootnoteText"/>
        <w:spacing w:after="120"/>
        <w:rPr>
          <w:sz w:val="22"/>
          <w:szCs w:val="22"/>
        </w:rPr>
      </w:pPr>
      <w:r>
        <w:rPr>
          <w:rStyle w:val="FootnoteReference"/>
        </w:rPr>
        <w:footnoteRef/>
      </w:r>
      <w:r>
        <w:t xml:space="preserve"> </w:t>
      </w:r>
      <w:r>
        <w:rPr>
          <w:sz w:val="22"/>
          <w:szCs w:val="22"/>
        </w:rPr>
        <w:t>Petition ¶ 14.</w:t>
      </w:r>
    </w:p>
  </w:footnote>
  <w:footnote w:id="3">
    <w:p w:rsidR="00121557" w:rsidRPr="00A52C2E" w:rsidRDefault="00121557" w:rsidP="00121557">
      <w:pPr>
        <w:pStyle w:val="FootnoteText"/>
        <w:spacing w:after="120"/>
        <w:rPr>
          <w:sz w:val="22"/>
          <w:szCs w:val="22"/>
        </w:rPr>
      </w:pPr>
      <w:r>
        <w:rPr>
          <w:rStyle w:val="FootnoteReference"/>
        </w:rPr>
        <w:footnoteRef/>
      </w:r>
      <w:r>
        <w:t xml:space="preserve"> </w:t>
      </w:r>
      <w:r>
        <w:rPr>
          <w:sz w:val="22"/>
          <w:szCs w:val="22"/>
        </w:rPr>
        <w:t xml:space="preserve">The Company contends that Staff’s interpretation represents a change in position because Staff did not previously object to PacifiCorp’s practice on any of the 10 prior occasions when the Company provided Staff with copies of combined </w:t>
      </w:r>
      <w:r w:rsidR="007026CF">
        <w:rPr>
          <w:sz w:val="22"/>
          <w:szCs w:val="22"/>
        </w:rPr>
        <w:t xml:space="preserve">initial </w:t>
      </w:r>
      <w:r>
        <w:rPr>
          <w:sz w:val="22"/>
          <w:szCs w:val="22"/>
        </w:rPr>
        <w:t xml:space="preserve">disconnection notices and regular billing statements.  </w:t>
      </w:r>
      <w:r w:rsidRPr="00830CA0">
        <w:rPr>
          <w:i/>
          <w:sz w:val="22"/>
          <w:szCs w:val="22"/>
        </w:rPr>
        <w:t>Id</w:t>
      </w:r>
      <w:r>
        <w:rPr>
          <w:sz w:val="22"/>
          <w:szCs w:val="22"/>
        </w:rPr>
        <w:t>. ¶ 16.</w:t>
      </w:r>
    </w:p>
  </w:footnote>
  <w:footnote w:id="4">
    <w:p w:rsidR="00121557" w:rsidRPr="00A52C2E" w:rsidRDefault="00121557" w:rsidP="00121557">
      <w:pPr>
        <w:pStyle w:val="FootnoteText"/>
        <w:spacing w:after="120"/>
        <w:rPr>
          <w:sz w:val="22"/>
          <w:szCs w:val="22"/>
        </w:rPr>
      </w:pPr>
      <w:r>
        <w:rPr>
          <w:rStyle w:val="FootnoteReference"/>
        </w:rPr>
        <w:footnoteRef/>
      </w:r>
      <w:r>
        <w:t xml:space="preserve"> </w:t>
      </w:r>
      <w:r w:rsidRPr="00830CA0">
        <w:rPr>
          <w:i/>
          <w:sz w:val="22"/>
          <w:szCs w:val="22"/>
        </w:rPr>
        <w:t>Id</w:t>
      </w:r>
      <w:r>
        <w:rPr>
          <w:sz w:val="22"/>
          <w:szCs w:val="22"/>
        </w:rPr>
        <w:t>. ¶ 18.</w:t>
      </w:r>
    </w:p>
  </w:footnote>
  <w:footnote w:id="5">
    <w:p w:rsidR="006973EC" w:rsidRPr="00A52C2E" w:rsidRDefault="006973EC" w:rsidP="006973EC">
      <w:pPr>
        <w:pStyle w:val="FootnoteText"/>
        <w:spacing w:after="120"/>
        <w:rPr>
          <w:sz w:val="22"/>
          <w:szCs w:val="22"/>
        </w:rPr>
      </w:pPr>
      <w:r>
        <w:rPr>
          <w:rStyle w:val="FootnoteReference"/>
        </w:rPr>
        <w:footnoteRef/>
      </w:r>
      <w:r>
        <w:t xml:space="preserve"> </w:t>
      </w:r>
      <w:r>
        <w:rPr>
          <w:sz w:val="22"/>
          <w:szCs w:val="22"/>
        </w:rPr>
        <w:t>Staff’s Statement of Law and Fact ¶ 9.</w:t>
      </w:r>
    </w:p>
  </w:footnote>
  <w:footnote w:id="6">
    <w:p w:rsidR="005C41A0" w:rsidRPr="00A52C2E" w:rsidRDefault="005C41A0" w:rsidP="005C41A0">
      <w:pPr>
        <w:pStyle w:val="FootnoteText"/>
        <w:spacing w:after="120"/>
        <w:rPr>
          <w:sz w:val="22"/>
          <w:szCs w:val="22"/>
        </w:rPr>
      </w:pPr>
      <w:r>
        <w:rPr>
          <w:rStyle w:val="FootnoteReference"/>
        </w:rPr>
        <w:footnoteRef/>
      </w:r>
      <w:r>
        <w:t xml:space="preserve"> </w:t>
      </w:r>
      <w:r w:rsidRPr="005C41A0">
        <w:rPr>
          <w:i/>
          <w:sz w:val="22"/>
          <w:szCs w:val="22"/>
        </w:rPr>
        <w:t>Id</w:t>
      </w:r>
      <w:r>
        <w:rPr>
          <w:sz w:val="22"/>
          <w:szCs w:val="22"/>
        </w:rPr>
        <w:t>. ¶¶ 10-12.</w:t>
      </w:r>
    </w:p>
  </w:footnote>
  <w:footnote w:id="7">
    <w:p w:rsidR="00B86DEB" w:rsidRPr="00A52C2E" w:rsidRDefault="00B86DEB" w:rsidP="00B86DEB">
      <w:pPr>
        <w:pStyle w:val="FootnoteText"/>
        <w:spacing w:after="120"/>
        <w:rPr>
          <w:sz w:val="22"/>
          <w:szCs w:val="22"/>
        </w:rPr>
      </w:pPr>
      <w:r>
        <w:rPr>
          <w:rStyle w:val="FootnoteReference"/>
        </w:rPr>
        <w:footnoteRef/>
      </w:r>
      <w:r>
        <w:t xml:space="preserve"> </w:t>
      </w:r>
      <w:r w:rsidRPr="005C41A0">
        <w:rPr>
          <w:i/>
          <w:sz w:val="22"/>
          <w:szCs w:val="22"/>
        </w:rPr>
        <w:t>Id</w:t>
      </w:r>
      <w:r>
        <w:rPr>
          <w:sz w:val="22"/>
          <w:szCs w:val="22"/>
        </w:rPr>
        <w:t>. ¶ 17.</w:t>
      </w:r>
    </w:p>
  </w:footnote>
  <w:footnote w:id="8">
    <w:p w:rsidR="00B86DEB" w:rsidRPr="00A52C2E" w:rsidRDefault="00B86DEB" w:rsidP="00B86DEB">
      <w:pPr>
        <w:pStyle w:val="FootnoteText"/>
        <w:spacing w:after="120"/>
        <w:rPr>
          <w:sz w:val="22"/>
          <w:szCs w:val="22"/>
        </w:rPr>
      </w:pPr>
      <w:r>
        <w:rPr>
          <w:rStyle w:val="FootnoteReference"/>
        </w:rPr>
        <w:footnoteRef/>
      </w:r>
      <w:r>
        <w:t xml:space="preserve"> </w:t>
      </w:r>
      <w:r w:rsidRPr="005C41A0">
        <w:rPr>
          <w:i/>
          <w:sz w:val="22"/>
          <w:szCs w:val="22"/>
        </w:rPr>
        <w:t>Id</w:t>
      </w:r>
      <w:r>
        <w:rPr>
          <w:sz w:val="22"/>
          <w:szCs w:val="22"/>
        </w:rPr>
        <w:t xml:space="preserve">. ¶ 13.  Staff also notes that the costs of compliance PacifiCorp cites are both unsubstantiated and irrelevant to the legal issue presented and that the Company’s characterization of Staff’s position as a “change” is neither accurate nor germane. </w:t>
      </w:r>
    </w:p>
  </w:footnote>
  <w:footnote w:id="9">
    <w:p w:rsidR="00647920" w:rsidRPr="00A52C2E" w:rsidRDefault="00647920" w:rsidP="00647920">
      <w:pPr>
        <w:pStyle w:val="FootnoteText"/>
        <w:spacing w:after="120"/>
        <w:rPr>
          <w:sz w:val="22"/>
          <w:szCs w:val="22"/>
        </w:rPr>
      </w:pPr>
      <w:r>
        <w:rPr>
          <w:rStyle w:val="FootnoteReference"/>
        </w:rPr>
        <w:footnoteRef/>
      </w:r>
      <w:r>
        <w:t xml:space="preserve"> </w:t>
      </w:r>
      <w:r>
        <w:rPr>
          <w:sz w:val="22"/>
          <w:szCs w:val="22"/>
        </w:rPr>
        <w:t>Public Counsel’s Response ¶ 7.</w:t>
      </w:r>
    </w:p>
  </w:footnote>
  <w:footnote w:id="10">
    <w:p w:rsidR="0043287C" w:rsidRPr="00A52C2E" w:rsidRDefault="0043287C" w:rsidP="0043287C">
      <w:pPr>
        <w:pStyle w:val="FootnoteText"/>
        <w:spacing w:after="120"/>
        <w:rPr>
          <w:sz w:val="22"/>
          <w:szCs w:val="22"/>
        </w:rPr>
      </w:pPr>
      <w:r>
        <w:rPr>
          <w:rStyle w:val="FootnoteReference"/>
        </w:rPr>
        <w:footnoteRef/>
      </w:r>
      <w:r>
        <w:t xml:space="preserve"> </w:t>
      </w:r>
      <w:r w:rsidR="00647920" w:rsidRPr="00647920">
        <w:rPr>
          <w:i/>
          <w:sz w:val="22"/>
          <w:szCs w:val="22"/>
        </w:rPr>
        <w:t>Id</w:t>
      </w:r>
      <w:r w:rsidR="00647920">
        <w:rPr>
          <w:sz w:val="22"/>
          <w:szCs w:val="22"/>
        </w:rPr>
        <w:t>.</w:t>
      </w:r>
      <w:r>
        <w:rPr>
          <w:sz w:val="22"/>
          <w:szCs w:val="22"/>
        </w:rPr>
        <w:t xml:space="preserve"> ¶ 6.</w:t>
      </w:r>
    </w:p>
  </w:footnote>
  <w:footnote w:id="11">
    <w:p w:rsidR="00C60123" w:rsidRPr="00A52C2E" w:rsidRDefault="00C60123" w:rsidP="00C60123">
      <w:pPr>
        <w:pStyle w:val="FootnoteText"/>
        <w:spacing w:after="120"/>
        <w:rPr>
          <w:sz w:val="22"/>
          <w:szCs w:val="22"/>
        </w:rPr>
      </w:pPr>
      <w:r>
        <w:rPr>
          <w:rStyle w:val="FootnoteReference"/>
        </w:rPr>
        <w:footnoteRef/>
      </w:r>
      <w:r>
        <w:t xml:space="preserve"> </w:t>
      </w:r>
      <w:r>
        <w:rPr>
          <w:sz w:val="22"/>
          <w:szCs w:val="22"/>
        </w:rPr>
        <w:t>The Energy Project’s Response at 1.</w:t>
      </w:r>
    </w:p>
  </w:footnote>
  <w:footnote w:id="12">
    <w:p w:rsidR="00C60123" w:rsidRPr="00A52C2E" w:rsidRDefault="00C60123" w:rsidP="00C60123">
      <w:pPr>
        <w:pStyle w:val="FootnoteText"/>
        <w:spacing w:after="120"/>
        <w:rPr>
          <w:sz w:val="22"/>
          <w:szCs w:val="22"/>
        </w:rPr>
      </w:pPr>
      <w:r>
        <w:rPr>
          <w:rStyle w:val="FootnoteReference"/>
        </w:rPr>
        <w:footnoteRef/>
      </w:r>
      <w:r>
        <w:t xml:space="preserve"> </w:t>
      </w:r>
      <w:r w:rsidRPr="00C60123">
        <w:rPr>
          <w:i/>
          <w:sz w:val="22"/>
          <w:szCs w:val="22"/>
        </w:rPr>
        <w:t>Id</w:t>
      </w:r>
      <w:r>
        <w:rPr>
          <w:sz w:val="22"/>
          <w:szCs w:val="22"/>
        </w:rPr>
        <w:t>.</w:t>
      </w:r>
    </w:p>
  </w:footnote>
  <w:footnote w:id="13">
    <w:p w:rsidR="009D55AB" w:rsidRPr="00A52C2E" w:rsidRDefault="009D55AB" w:rsidP="009D55AB">
      <w:pPr>
        <w:pStyle w:val="FootnoteText"/>
        <w:spacing w:after="120"/>
        <w:rPr>
          <w:sz w:val="22"/>
          <w:szCs w:val="22"/>
        </w:rPr>
      </w:pPr>
      <w:r>
        <w:rPr>
          <w:rStyle w:val="FootnoteReference"/>
        </w:rPr>
        <w:footnoteRef/>
      </w:r>
      <w:r>
        <w:t xml:space="preserve"> </w:t>
      </w:r>
      <w:r>
        <w:rPr>
          <w:sz w:val="22"/>
          <w:szCs w:val="22"/>
        </w:rPr>
        <w:t>RCW 34.05.240(1)</w:t>
      </w:r>
      <w:r w:rsidR="00A10EBB">
        <w:rPr>
          <w:sz w:val="22"/>
          <w:szCs w:val="22"/>
        </w:rPr>
        <w:t xml:space="preserve">; </w:t>
      </w:r>
      <w:r w:rsidR="00A10EBB">
        <w:rPr>
          <w:i/>
          <w:sz w:val="22"/>
          <w:szCs w:val="22"/>
        </w:rPr>
        <w:t>accord</w:t>
      </w:r>
      <w:r w:rsidR="00A10EBB">
        <w:rPr>
          <w:sz w:val="22"/>
          <w:szCs w:val="22"/>
        </w:rPr>
        <w:t xml:space="preserve"> WAC 480-07-930(1)</w:t>
      </w:r>
      <w:r>
        <w:rPr>
          <w:sz w:val="22"/>
          <w:szCs w:val="22"/>
        </w:rPr>
        <w:t>.</w:t>
      </w:r>
    </w:p>
  </w:footnote>
  <w:footnote w:id="14">
    <w:p w:rsidR="009D55AB" w:rsidRPr="00A10EBB" w:rsidRDefault="009D55AB" w:rsidP="009D55AB">
      <w:pPr>
        <w:pStyle w:val="FootnoteText"/>
        <w:spacing w:after="120"/>
        <w:rPr>
          <w:sz w:val="22"/>
          <w:szCs w:val="22"/>
        </w:rPr>
      </w:pPr>
      <w:r>
        <w:rPr>
          <w:rStyle w:val="FootnoteReference"/>
        </w:rPr>
        <w:footnoteRef/>
      </w:r>
      <w:r>
        <w:t xml:space="preserve"> </w:t>
      </w:r>
      <w:r w:rsidR="00A10EBB">
        <w:rPr>
          <w:sz w:val="22"/>
          <w:szCs w:val="22"/>
        </w:rPr>
        <w:t>RCW 34.05.240(1).</w:t>
      </w:r>
    </w:p>
  </w:footnote>
  <w:footnote w:id="15">
    <w:p w:rsidR="00EB542E" w:rsidRPr="00A52C2E" w:rsidRDefault="00EB542E" w:rsidP="00EB542E">
      <w:pPr>
        <w:pStyle w:val="FootnoteText"/>
        <w:spacing w:after="120"/>
        <w:rPr>
          <w:sz w:val="22"/>
          <w:szCs w:val="22"/>
        </w:rPr>
      </w:pPr>
      <w:r>
        <w:rPr>
          <w:rStyle w:val="FootnoteReference"/>
        </w:rPr>
        <w:footnoteRef/>
      </w:r>
      <w:r>
        <w:t xml:space="preserve"> </w:t>
      </w:r>
      <w:r>
        <w:rPr>
          <w:sz w:val="22"/>
          <w:szCs w:val="22"/>
        </w:rPr>
        <w:t>Petition ¶¶</w:t>
      </w:r>
      <w:r w:rsidR="00E121EE">
        <w:rPr>
          <w:sz w:val="22"/>
          <w:szCs w:val="22"/>
        </w:rPr>
        <w:t xml:space="preserve"> 5-6 &amp; 24-28</w:t>
      </w:r>
      <w:r>
        <w:rPr>
          <w:sz w:val="22"/>
          <w:szCs w:val="22"/>
        </w:rPr>
        <w:t>.</w:t>
      </w:r>
    </w:p>
  </w:footnote>
  <w:footnote w:id="16">
    <w:p w:rsidR="00E121EE" w:rsidRPr="00A52C2E" w:rsidRDefault="00E121EE" w:rsidP="00E121EE">
      <w:pPr>
        <w:pStyle w:val="FootnoteText"/>
        <w:spacing w:after="120"/>
        <w:rPr>
          <w:sz w:val="22"/>
          <w:szCs w:val="22"/>
        </w:rPr>
      </w:pPr>
      <w:r>
        <w:rPr>
          <w:rStyle w:val="FootnoteReference"/>
        </w:rPr>
        <w:footnoteRef/>
      </w:r>
      <w:r>
        <w:t xml:space="preserve"> </w:t>
      </w:r>
      <w:r>
        <w:rPr>
          <w:sz w:val="22"/>
          <w:szCs w:val="22"/>
        </w:rPr>
        <w:t xml:space="preserve">Petition ¶ 1; </w:t>
      </w:r>
      <w:r w:rsidRPr="00E121EE">
        <w:rPr>
          <w:i/>
          <w:sz w:val="22"/>
          <w:szCs w:val="22"/>
        </w:rPr>
        <w:t>accord id</w:t>
      </w:r>
      <w:r>
        <w:rPr>
          <w:sz w:val="22"/>
          <w:szCs w:val="22"/>
        </w:rPr>
        <w:t>. ¶¶ 7 &amp;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18" w:rsidRPr="009313F3" w:rsidRDefault="00186918" w:rsidP="009313F3">
    <w:pPr>
      <w:pStyle w:val="Header"/>
      <w:tabs>
        <w:tab w:val="clear" w:pos="9360"/>
        <w:tab w:val="right" w:pos="8370"/>
      </w:tabs>
      <w:rPr>
        <w:rFonts w:ascii="Times New Roman" w:hAnsi="Times New Roman" w:cs="Times New Roman"/>
        <w:b/>
        <w:noProof/>
        <w:sz w:val="20"/>
        <w:szCs w:val="20"/>
      </w:rPr>
    </w:pPr>
    <w:r w:rsidRPr="009313F3">
      <w:rPr>
        <w:rFonts w:ascii="Times New Roman" w:hAnsi="Times New Roman" w:cs="Times New Roman"/>
        <w:b/>
        <w:sz w:val="20"/>
        <w:szCs w:val="20"/>
      </w:rPr>
      <w:t>D</w:t>
    </w:r>
    <w:r w:rsidR="009313F3" w:rsidRPr="009313F3">
      <w:rPr>
        <w:rFonts w:ascii="Times New Roman" w:hAnsi="Times New Roman" w:cs="Times New Roman"/>
        <w:b/>
        <w:sz w:val="20"/>
        <w:szCs w:val="20"/>
      </w:rPr>
      <w:t>OCKET</w:t>
    </w:r>
    <w:r w:rsidR="002D20B3">
      <w:rPr>
        <w:rFonts w:ascii="Times New Roman" w:hAnsi="Times New Roman" w:cs="Times New Roman"/>
        <w:b/>
        <w:sz w:val="20"/>
        <w:szCs w:val="20"/>
      </w:rPr>
      <w:t xml:space="preserve"> UE</w:t>
    </w:r>
    <w:r w:rsidRPr="009313F3">
      <w:rPr>
        <w:rFonts w:ascii="Times New Roman" w:hAnsi="Times New Roman" w:cs="Times New Roman"/>
        <w:b/>
        <w:sz w:val="20"/>
        <w:szCs w:val="20"/>
      </w:rPr>
      <w:t>-1</w:t>
    </w:r>
    <w:r w:rsidR="002D20B3">
      <w:rPr>
        <w:rFonts w:ascii="Times New Roman" w:hAnsi="Times New Roman" w:cs="Times New Roman"/>
        <w:b/>
        <w:sz w:val="20"/>
        <w:szCs w:val="20"/>
      </w:rPr>
      <w:t>3</w:t>
    </w:r>
    <w:r w:rsidRPr="009313F3">
      <w:rPr>
        <w:rFonts w:ascii="Times New Roman" w:hAnsi="Times New Roman" w:cs="Times New Roman"/>
        <w:b/>
        <w:sz w:val="20"/>
        <w:szCs w:val="20"/>
      </w:rPr>
      <w:t>21</w:t>
    </w:r>
    <w:r w:rsidR="002D20B3">
      <w:rPr>
        <w:rFonts w:ascii="Times New Roman" w:hAnsi="Times New Roman" w:cs="Times New Roman"/>
        <w:b/>
        <w:sz w:val="20"/>
        <w:szCs w:val="20"/>
      </w:rPr>
      <w:t>19</w:t>
    </w:r>
    <w:r w:rsidR="009313F3" w:rsidRPr="009313F3">
      <w:rPr>
        <w:rFonts w:ascii="Times New Roman" w:hAnsi="Times New Roman" w:cs="Times New Roman"/>
        <w:b/>
        <w:sz w:val="20"/>
        <w:szCs w:val="20"/>
      </w:rPr>
      <w:tab/>
    </w:r>
    <w:r w:rsidR="009313F3" w:rsidRPr="009313F3">
      <w:rPr>
        <w:rFonts w:ascii="Times New Roman" w:hAnsi="Times New Roman" w:cs="Times New Roman"/>
        <w:b/>
        <w:sz w:val="20"/>
        <w:szCs w:val="20"/>
      </w:rPr>
      <w:tab/>
      <w:t xml:space="preserve">PAGE </w:t>
    </w:r>
    <w:r w:rsidR="009313F3" w:rsidRPr="009313F3">
      <w:rPr>
        <w:rFonts w:ascii="Times New Roman" w:hAnsi="Times New Roman" w:cs="Times New Roman"/>
        <w:b/>
        <w:sz w:val="20"/>
        <w:szCs w:val="20"/>
      </w:rPr>
      <w:fldChar w:fldCharType="begin"/>
    </w:r>
    <w:r w:rsidR="009313F3" w:rsidRPr="009313F3">
      <w:rPr>
        <w:rFonts w:ascii="Times New Roman" w:hAnsi="Times New Roman" w:cs="Times New Roman"/>
        <w:b/>
        <w:sz w:val="20"/>
        <w:szCs w:val="20"/>
      </w:rPr>
      <w:instrText xml:space="preserve"> PAGE   \* MERGEFORMAT </w:instrText>
    </w:r>
    <w:r w:rsidR="009313F3" w:rsidRPr="009313F3">
      <w:rPr>
        <w:rFonts w:ascii="Times New Roman" w:hAnsi="Times New Roman" w:cs="Times New Roman"/>
        <w:b/>
        <w:sz w:val="20"/>
        <w:szCs w:val="20"/>
      </w:rPr>
      <w:fldChar w:fldCharType="separate"/>
    </w:r>
    <w:r w:rsidR="00DE3CD7">
      <w:rPr>
        <w:rFonts w:ascii="Times New Roman" w:hAnsi="Times New Roman" w:cs="Times New Roman"/>
        <w:b/>
        <w:noProof/>
        <w:sz w:val="20"/>
        <w:szCs w:val="20"/>
      </w:rPr>
      <w:t>2</w:t>
    </w:r>
    <w:r w:rsidR="009313F3" w:rsidRPr="009313F3">
      <w:rPr>
        <w:rFonts w:ascii="Times New Roman" w:hAnsi="Times New Roman" w:cs="Times New Roman"/>
        <w:b/>
        <w:noProof/>
        <w:sz w:val="20"/>
        <w:szCs w:val="20"/>
      </w:rPr>
      <w:fldChar w:fldCharType="end"/>
    </w:r>
  </w:p>
  <w:p w:rsidR="00186918" w:rsidRPr="009313F3" w:rsidRDefault="009313F3" w:rsidP="009313F3">
    <w:pPr>
      <w:pStyle w:val="Header"/>
      <w:tabs>
        <w:tab w:val="clear" w:pos="9360"/>
        <w:tab w:val="right" w:pos="8370"/>
      </w:tabs>
      <w:rPr>
        <w:rFonts w:ascii="Times New Roman" w:hAnsi="Times New Roman" w:cs="Times New Roman"/>
        <w:b/>
        <w:noProof/>
        <w:sz w:val="20"/>
        <w:szCs w:val="20"/>
      </w:rPr>
    </w:pPr>
    <w:r w:rsidRPr="009313F3">
      <w:rPr>
        <w:rFonts w:ascii="Times New Roman" w:hAnsi="Times New Roman" w:cs="Times New Roman"/>
        <w:b/>
        <w:noProof/>
        <w:sz w:val="20"/>
        <w:szCs w:val="20"/>
      </w:rPr>
      <w:t>ORDER 0</w:t>
    </w:r>
    <w:r w:rsidR="002D20B3">
      <w:rPr>
        <w:rFonts w:ascii="Times New Roman" w:hAnsi="Times New Roman" w:cs="Times New Roman"/>
        <w:b/>
        <w:noProof/>
        <w:sz w:val="20"/>
        <w:szCs w:val="20"/>
      </w:rPr>
      <w:t>1</w:t>
    </w:r>
  </w:p>
  <w:p w:rsidR="009313F3" w:rsidRPr="00186918" w:rsidRDefault="009313F3" w:rsidP="009313F3">
    <w:pPr>
      <w:pStyle w:val="Header"/>
      <w:tabs>
        <w:tab w:val="clear" w:pos="9360"/>
        <w:tab w:val="right" w:pos="837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B0" w:rsidRPr="00F268B0" w:rsidRDefault="00F268B0" w:rsidP="00F268B0">
    <w:pPr>
      <w:pStyle w:val="Header"/>
      <w:tabs>
        <w:tab w:val="clear" w:pos="4680"/>
        <w:tab w:val="clear" w:pos="9360"/>
        <w:tab w:val="right" w:pos="8460"/>
      </w:tabs>
      <w:rPr>
        <w:rFonts w:ascii="Times New Roman" w:hAnsi="Times New Roman" w:cs="Times New Roman"/>
        <w:b/>
        <w:sz w:val="20"/>
        <w:szCs w:val="20"/>
      </w:rPr>
    </w:pPr>
    <w:r>
      <w:tab/>
    </w:r>
    <w:r w:rsidRPr="00F268B0">
      <w:rPr>
        <w:rFonts w:ascii="Times New Roman" w:hAnsi="Times New Roman" w:cs="Times New Roman"/>
        <w:b/>
        <w:sz w:val="20"/>
        <w:szCs w:val="20"/>
      </w:rPr>
      <w:t>[Service Date January 29,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E0338"/>
    <w:multiLevelType w:val="hybridMultilevel"/>
    <w:tmpl w:val="6504D192"/>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CE"/>
    <w:rsid w:val="00002923"/>
    <w:rsid w:val="000276BD"/>
    <w:rsid w:val="000400EA"/>
    <w:rsid w:val="00052B48"/>
    <w:rsid w:val="000B20D0"/>
    <w:rsid w:val="000E12FC"/>
    <w:rsid w:val="000E640C"/>
    <w:rsid w:val="000F04E4"/>
    <w:rsid w:val="00120E73"/>
    <w:rsid w:val="00121557"/>
    <w:rsid w:val="00126993"/>
    <w:rsid w:val="00135798"/>
    <w:rsid w:val="001417DA"/>
    <w:rsid w:val="00147B53"/>
    <w:rsid w:val="00160ECF"/>
    <w:rsid w:val="00186918"/>
    <w:rsid w:val="001C5AB1"/>
    <w:rsid w:val="001E1D7A"/>
    <w:rsid w:val="00226CFB"/>
    <w:rsid w:val="0023136C"/>
    <w:rsid w:val="00297A24"/>
    <w:rsid w:val="002B4101"/>
    <w:rsid w:val="002C039A"/>
    <w:rsid w:val="002C419D"/>
    <w:rsid w:val="002D20B3"/>
    <w:rsid w:val="002E6D22"/>
    <w:rsid w:val="00316C46"/>
    <w:rsid w:val="003249D2"/>
    <w:rsid w:val="003654A5"/>
    <w:rsid w:val="00386D4F"/>
    <w:rsid w:val="003B1C85"/>
    <w:rsid w:val="003C4318"/>
    <w:rsid w:val="00400CB1"/>
    <w:rsid w:val="0040682B"/>
    <w:rsid w:val="00407116"/>
    <w:rsid w:val="00420EDC"/>
    <w:rsid w:val="0043287C"/>
    <w:rsid w:val="00436016"/>
    <w:rsid w:val="00441030"/>
    <w:rsid w:val="004413BC"/>
    <w:rsid w:val="00447138"/>
    <w:rsid w:val="00463A74"/>
    <w:rsid w:val="00486491"/>
    <w:rsid w:val="0048698E"/>
    <w:rsid w:val="004A730B"/>
    <w:rsid w:val="004D6BA3"/>
    <w:rsid w:val="005150F4"/>
    <w:rsid w:val="0052748B"/>
    <w:rsid w:val="00527940"/>
    <w:rsid w:val="005372B6"/>
    <w:rsid w:val="00545ECE"/>
    <w:rsid w:val="00552600"/>
    <w:rsid w:val="005842B5"/>
    <w:rsid w:val="005A6C74"/>
    <w:rsid w:val="005A7113"/>
    <w:rsid w:val="005C41A0"/>
    <w:rsid w:val="005C6601"/>
    <w:rsid w:val="006361E7"/>
    <w:rsid w:val="00647920"/>
    <w:rsid w:val="00657ACC"/>
    <w:rsid w:val="00672F7B"/>
    <w:rsid w:val="00675530"/>
    <w:rsid w:val="00685FE2"/>
    <w:rsid w:val="00686A31"/>
    <w:rsid w:val="006973EC"/>
    <w:rsid w:val="00697CBF"/>
    <w:rsid w:val="00697D4F"/>
    <w:rsid w:val="006A0B6E"/>
    <w:rsid w:val="006A2457"/>
    <w:rsid w:val="006A41EE"/>
    <w:rsid w:val="006C1322"/>
    <w:rsid w:val="006F08C2"/>
    <w:rsid w:val="00701634"/>
    <w:rsid w:val="007026CF"/>
    <w:rsid w:val="00730080"/>
    <w:rsid w:val="007310C6"/>
    <w:rsid w:val="00731AF3"/>
    <w:rsid w:val="0073596B"/>
    <w:rsid w:val="007471E9"/>
    <w:rsid w:val="007605D1"/>
    <w:rsid w:val="00761E31"/>
    <w:rsid w:val="007A503C"/>
    <w:rsid w:val="007B1843"/>
    <w:rsid w:val="00801521"/>
    <w:rsid w:val="0081249F"/>
    <w:rsid w:val="00823054"/>
    <w:rsid w:val="008243D7"/>
    <w:rsid w:val="00830CA0"/>
    <w:rsid w:val="00832DAD"/>
    <w:rsid w:val="008805AF"/>
    <w:rsid w:val="008911AA"/>
    <w:rsid w:val="008B6D6B"/>
    <w:rsid w:val="008D6681"/>
    <w:rsid w:val="008E60B1"/>
    <w:rsid w:val="00923251"/>
    <w:rsid w:val="009313F3"/>
    <w:rsid w:val="00947B57"/>
    <w:rsid w:val="0097011E"/>
    <w:rsid w:val="0099339C"/>
    <w:rsid w:val="009A59C7"/>
    <w:rsid w:val="009C67F5"/>
    <w:rsid w:val="009D55AB"/>
    <w:rsid w:val="009D60F8"/>
    <w:rsid w:val="009E7EF3"/>
    <w:rsid w:val="00A10EBB"/>
    <w:rsid w:val="00A11245"/>
    <w:rsid w:val="00A52C2E"/>
    <w:rsid w:val="00A758AA"/>
    <w:rsid w:val="00A84C2A"/>
    <w:rsid w:val="00AA6748"/>
    <w:rsid w:val="00AC40BA"/>
    <w:rsid w:val="00AD3312"/>
    <w:rsid w:val="00AD73FD"/>
    <w:rsid w:val="00AE273E"/>
    <w:rsid w:val="00AE3A0E"/>
    <w:rsid w:val="00AF60E5"/>
    <w:rsid w:val="00B06C81"/>
    <w:rsid w:val="00B13041"/>
    <w:rsid w:val="00B42CE4"/>
    <w:rsid w:val="00B53835"/>
    <w:rsid w:val="00B86DEB"/>
    <w:rsid w:val="00B962B4"/>
    <w:rsid w:val="00C3549D"/>
    <w:rsid w:val="00C60123"/>
    <w:rsid w:val="00C83EED"/>
    <w:rsid w:val="00C925B3"/>
    <w:rsid w:val="00CA7C3B"/>
    <w:rsid w:val="00CB7C09"/>
    <w:rsid w:val="00CC745C"/>
    <w:rsid w:val="00CF6E03"/>
    <w:rsid w:val="00D354E9"/>
    <w:rsid w:val="00D403DB"/>
    <w:rsid w:val="00D50780"/>
    <w:rsid w:val="00DA1B86"/>
    <w:rsid w:val="00DC1C70"/>
    <w:rsid w:val="00DC4DD8"/>
    <w:rsid w:val="00DD2A47"/>
    <w:rsid w:val="00DD3295"/>
    <w:rsid w:val="00DE3CD7"/>
    <w:rsid w:val="00E05E7C"/>
    <w:rsid w:val="00E121EE"/>
    <w:rsid w:val="00E21E43"/>
    <w:rsid w:val="00E35174"/>
    <w:rsid w:val="00E6117D"/>
    <w:rsid w:val="00EA1A20"/>
    <w:rsid w:val="00EA76DF"/>
    <w:rsid w:val="00EB1E56"/>
    <w:rsid w:val="00EB542E"/>
    <w:rsid w:val="00EB5D70"/>
    <w:rsid w:val="00EC6E12"/>
    <w:rsid w:val="00EF16C7"/>
    <w:rsid w:val="00F21B68"/>
    <w:rsid w:val="00F268B0"/>
    <w:rsid w:val="00F30EF0"/>
    <w:rsid w:val="00FD22EF"/>
    <w:rsid w:val="00FF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ft Char"/>
    <w:basedOn w:val="Normal"/>
    <w:link w:val="FootnoteTextChar"/>
    <w:uiPriority w:val="99"/>
    <w:rsid w:val="00545ECE"/>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45ECE"/>
    <w:rPr>
      <w:rFonts w:ascii="Times New Roman" w:eastAsia="Times New Roman" w:hAnsi="Times New Roman" w:cs="Times New Roman"/>
      <w:sz w:val="20"/>
      <w:szCs w:val="20"/>
    </w:rPr>
  </w:style>
  <w:style w:type="character" w:styleId="FootnoteReference">
    <w:name w:val="footnote reference"/>
    <w:uiPriority w:val="99"/>
    <w:rsid w:val="00545ECE"/>
    <w:rPr>
      <w:vertAlign w:val="superscript"/>
    </w:rPr>
  </w:style>
  <w:style w:type="paragraph" w:styleId="Header">
    <w:name w:val="header"/>
    <w:basedOn w:val="Normal"/>
    <w:link w:val="HeaderChar"/>
    <w:uiPriority w:val="99"/>
    <w:unhideWhenUsed/>
    <w:rsid w:val="00186918"/>
    <w:pPr>
      <w:tabs>
        <w:tab w:val="center" w:pos="4680"/>
        <w:tab w:val="right" w:pos="9360"/>
      </w:tabs>
    </w:pPr>
  </w:style>
  <w:style w:type="character" w:customStyle="1" w:styleId="HeaderChar">
    <w:name w:val="Header Char"/>
    <w:basedOn w:val="DefaultParagraphFont"/>
    <w:link w:val="Header"/>
    <w:uiPriority w:val="99"/>
    <w:rsid w:val="00186918"/>
  </w:style>
  <w:style w:type="paragraph" w:styleId="Footer">
    <w:name w:val="footer"/>
    <w:basedOn w:val="Normal"/>
    <w:link w:val="FooterChar"/>
    <w:uiPriority w:val="99"/>
    <w:unhideWhenUsed/>
    <w:rsid w:val="00186918"/>
    <w:pPr>
      <w:tabs>
        <w:tab w:val="center" w:pos="4680"/>
        <w:tab w:val="right" w:pos="9360"/>
      </w:tabs>
    </w:pPr>
  </w:style>
  <w:style w:type="character" w:customStyle="1" w:styleId="FooterChar">
    <w:name w:val="Footer Char"/>
    <w:basedOn w:val="DefaultParagraphFont"/>
    <w:link w:val="Footer"/>
    <w:uiPriority w:val="99"/>
    <w:rsid w:val="00186918"/>
  </w:style>
  <w:style w:type="paragraph" w:styleId="BalloonText">
    <w:name w:val="Balloon Text"/>
    <w:basedOn w:val="Normal"/>
    <w:link w:val="BalloonTextChar"/>
    <w:uiPriority w:val="99"/>
    <w:semiHidden/>
    <w:unhideWhenUsed/>
    <w:rsid w:val="004D6BA3"/>
    <w:rPr>
      <w:rFonts w:ascii="Tahoma" w:hAnsi="Tahoma" w:cs="Tahoma"/>
      <w:sz w:val="16"/>
      <w:szCs w:val="16"/>
    </w:rPr>
  </w:style>
  <w:style w:type="character" w:customStyle="1" w:styleId="BalloonTextChar">
    <w:name w:val="Balloon Text Char"/>
    <w:basedOn w:val="DefaultParagraphFont"/>
    <w:link w:val="BalloonText"/>
    <w:uiPriority w:val="99"/>
    <w:semiHidden/>
    <w:rsid w:val="004D6BA3"/>
    <w:rPr>
      <w:rFonts w:ascii="Tahoma" w:hAnsi="Tahoma" w:cs="Tahoma"/>
      <w:sz w:val="16"/>
      <w:szCs w:val="16"/>
    </w:rPr>
  </w:style>
  <w:style w:type="paragraph" w:styleId="ListParagraph">
    <w:name w:val="List Paragraph"/>
    <w:basedOn w:val="Normal"/>
    <w:uiPriority w:val="34"/>
    <w:qFormat/>
    <w:rsid w:val="00052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ft Char"/>
    <w:basedOn w:val="Normal"/>
    <w:link w:val="FootnoteTextChar"/>
    <w:uiPriority w:val="99"/>
    <w:rsid w:val="00545ECE"/>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45ECE"/>
    <w:rPr>
      <w:rFonts w:ascii="Times New Roman" w:eastAsia="Times New Roman" w:hAnsi="Times New Roman" w:cs="Times New Roman"/>
      <w:sz w:val="20"/>
      <w:szCs w:val="20"/>
    </w:rPr>
  </w:style>
  <w:style w:type="character" w:styleId="FootnoteReference">
    <w:name w:val="footnote reference"/>
    <w:uiPriority w:val="99"/>
    <w:rsid w:val="00545ECE"/>
    <w:rPr>
      <w:vertAlign w:val="superscript"/>
    </w:rPr>
  </w:style>
  <w:style w:type="paragraph" w:styleId="Header">
    <w:name w:val="header"/>
    <w:basedOn w:val="Normal"/>
    <w:link w:val="HeaderChar"/>
    <w:uiPriority w:val="99"/>
    <w:unhideWhenUsed/>
    <w:rsid w:val="00186918"/>
    <w:pPr>
      <w:tabs>
        <w:tab w:val="center" w:pos="4680"/>
        <w:tab w:val="right" w:pos="9360"/>
      </w:tabs>
    </w:pPr>
  </w:style>
  <w:style w:type="character" w:customStyle="1" w:styleId="HeaderChar">
    <w:name w:val="Header Char"/>
    <w:basedOn w:val="DefaultParagraphFont"/>
    <w:link w:val="Header"/>
    <w:uiPriority w:val="99"/>
    <w:rsid w:val="00186918"/>
  </w:style>
  <w:style w:type="paragraph" w:styleId="Footer">
    <w:name w:val="footer"/>
    <w:basedOn w:val="Normal"/>
    <w:link w:val="FooterChar"/>
    <w:uiPriority w:val="99"/>
    <w:unhideWhenUsed/>
    <w:rsid w:val="00186918"/>
    <w:pPr>
      <w:tabs>
        <w:tab w:val="center" w:pos="4680"/>
        <w:tab w:val="right" w:pos="9360"/>
      </w:tabs>
    </w:pPr>
  </w:style>
  <w:style w:type="character" w:customStyle="1" w:styleId="FooterChar">
    <w:name w:val="Footer Char"/>
    <w:basedOn w:val="DefaultParagraphFont"/>
    <w:link w:val="Footer"/>
    <w:uiPriority w:val="99"/>
    <w:rsid w:val="00186918"/>
  </w:style>
  <w:style w:type="paragraph" w:styleId="BalloonText">
    <w:name w:val="Balloon Text"/>
    <w:basedOn w:val="Normal"/>
    <w:link w:val="BalloonTextChar"/>
    <w:uiPriority w:val="99"/>
    <w:semiHidden/>
    <w:unhideWhenUsed/>
    <w:rsid w:val="004D6BA3"/>
    <w:rPr>
      <w:rFonts w:ascii="Tahoma" w:hAnsi="Tahoma" w:cs="Tahoma"/>
      <w:sz w:val="16"/>
      <w:szCs w:val="16"/>
    </w:rPr>
  </w:style>
  <w:style w:type="character" w:customStyle="1" w:styleId="BalloonTextChar">
    <w:name w:val="Balloon Text Char"/>
    <w:basedOn w:val="DefaultParagraphFont"/>
    <w:link w:val="BalloonText"/>
    <w:uiPriority w:val="99"/>
    <w:semiHidden/>
    <w:rsid w:val="004D6BA3"/>
    <w:rPr>
      <w:rFonts w:ascii="Tahoma" w:hAnsi="Tahoma" w:cs="Tahoma"/>
      <w:sz w:val="16"/>
      <w:szCs w:val="16"/>
    </w:rPr>
  </w:style>
  <w:style w:type="paragraph" w:styleId="ListParagraph">
    <w:name w:val="List Paragraph"/>
    <w:basedOn w:val="Normal"/>
    <w:uiPriority w:val="34"/>
    <w:qFormat/>
    <w:rsid w:val="0005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0669C027D86B46947B86CDBA382151" ma:contentTypeVersion="135" ma:contentTypeDescription="" ma:contentTypeScope="" ma:versionID="679d8557b64b2cc53892b4ee21267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2013-11-15T08:00:00+00:00</OpenedDate>
    <Date1 xmlns="dc463f71-b30c-4ab2-9473-d307f9d35888">2014-01-29T08:00:00+00:00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4A260F-3123-4604-8C7E-5E5A26B823E5}"/>
</file>

<file path=customXml/itemProps2.xml><?xml version="1.0" encoding="utf-8"?>
<ds:datastoreItem xmlns:ds="http://schemas.openxmlformats.org/officeDocument/2006/customXml" ds:itemID="{5F7BC11E-70DE-4151-ABAF-085735E50BC7}"/>
</file>

<file path=customXml/itemProps3.xml><?xml version="1.0" encoding="utf-8"?>
<ds:datastoreItem xmlns:ds="http://schemas.openxmlformats.org/officeDocument/2006/customXml" ds:itemID="{7E250E4B-32C2-4F9D-B070-C43C12F7D6A0}"/>
</file>

<file path=customXml/itemProps4.xml><?xml version="1.0" encoding="utf-8"?>
<ds:datastoreItem xmlns:ds="http://schemas.openxmlformats.org/officeDocument/2006/customXml" ds:itemID="{6F0E5181-58DE-4046-9175-438A31FFEA6C}"/>
</file>

<file path=customXml/itemProps5.xml><?xml version="1.0" encoding="utf-8"?>
<ds:datastoreItem xmlns:ds="http://schemas.openxmlformats.org/officeDocument/2006/customXml" ds:itemID="{E1DCAB27-486D-4CEC-BDC1-B0DFBC66E08E}"/>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9368</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2014-01-29T21:34:00Z</dcterms:created>
  <dcterms:modified xsi:type="dcterms:W3CDTF">2014-01-29T21:35:00Z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0x0101006E56B4D1795A2E4DB2F0B01679ED314A00BF0669C027D86B46947B86CDBA382151</vt:lpwstr>
  </property>
  <property fmtid="{D5CDD505-2E9C-101B-9397-08002B2CF9AE}" pid="3" name="_docset_NoMedatataSyncRequired">
    <vt:lpwstr>False</vt:lpwstr>
  </property>
</Properties>
</file>