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26" w:rsidRPr="00423305" w:rsidRDefault="00423305" w:rsidP="00423305">
      <w:pPr>
        <w:spacing w:after="0"/>
        <w:rPr>
          <w:sz w:val="20"/>
          <w:szCs w:val="20"/>
        </w:rPr>
      </w:pPr>
      <w:r w:rsidRPr="00423305">
        <w:rPr>
          <w:sz w:val="20"/>
          <w:szCs w:val="20"/>
        </w:rPr>
        <w:t>April 1, 2011</w:t>
      </w:r>
    </w:p>
    <w:p w:rsidR="00423305" w:rsidRPr="00423305" w:rsidRDefault="00423305" w:rsidP="00423305">
      <w:pPr>
        <w:spacing w:after="0"/>
        <w:rPr>
          <w:sz w:val="20"/>
          <w:szCs w:val="20"/>
        </w:rPr>
      </w:pPr>
    </w:p>
    <w:p w:rsidR="00423305" w:rsidRPr="00423305" w:rsidRDefault="00423305" w:rsidP="00423305">
      <w:pPr>
        <w:spacing w:after="0"/>
        <w:rPr>
          <w:sz w:val="20"/>
          <w:szCs w:val="20"/>
        </w:rPr>
      </w:pPr>
      <w:r w:rsidRPr="00423305">
        <w:rPr>
          <w:sz w:val="20"/>
          <w:szCs w:val="20"/>
        </w:rPr>
        <w:t>Executive Director and Secretary</w:t>
      </w:r>
    </w:p>
    <w:p w:rsidR="00423305" w:rsidRPr="00423305" w:rsidRDefault="00423305" w:rsidP="00423305">
      <w:pPr>
        <w:spacing w:after="0"/>
        <w:rPr>
          <w:sz w:val="20"/>
          <w:szCs w:val="20"/>
        </w:rPr>
      </w:pPr>
      <w:r w:rsidRPr="00423305">
        <w:rPr>
          <w:sz w:val="20"/>
          <w:szCs w:val="20"/>
        </w:rPr>
        <w:t>Washington Utilities and Transportation Commission</w:t>
      </w:r>
    </w:p>
    <w:p w:rsidR="00423305" w:rsidRDefault="00423305" w:rsidP="00423305">
      <w:pPr>
        <w:spacing w:after="0"/>
        <w:rPr>
          <w:sz w:val="20"/>
          <w:szCs w:val="20"/>
        </w:rPr>
      </w:pPr>
      <w:r>
        <w:rPr>
          <w:sz w:val="20"/>
          <w:szCs w:val="20"/>
        </w:rPr>
        <w:t xml:space="preserve">1300 </w:t>
      </w:r>
      <w:r w:rsidR="006F4104">
        <w:rPr>
          <w:sz w:val="20"/>
          <w:szCs w:val="20"/>
        </w:rPr>
        <w:t>South Evergreen Park Drive S.W.</w:t>
      </w:r>
    </w:p>
    <w:p w:rsidR="006F4104" w:rsidRDefault="006F4104" w:rsidP="00423305">
      <w:pPr>
        <w:spacing w:after="0"/>
        <w:rPr>
          <w:sz w:val="20"/>
          <w:szCs w:val="20"/>
        </w:rPr>
      </w:pPr>
      <w:r>
        <w:rPr>
          <w:sz w:val="20"/>
          <w:szCs w:val="20"/>
        </w:rPr>
        <w:t>Olympia, Washington 98504-7250</w:t>
      </w:r>
    </w:p>
    <w:p w:rsidR="006F4104" w:rsidRDefault="006F4104" w:rsidP="00423305">
      <w:pPr>
        <w:spacing w:after="0"/>
        <w:rPr>
          <w:sz w:val="20"/>
          <w:szCs w:val="20"/>
        </w:rPr>
      </w:pPr>
    </w:p>
    <w:p w:rsidR="006F4104" w:rsidRDefault="006F4104" w:rsidP="00423305">
      <w:pPr>
        <w:spacing w:after="0"/>
        <w:rPr>
          <w:sz w:val="20"/>
          <w:szCs w:val="20"/>
        </w:rPr>
      </w:pPr>
      <w:r>
        <w:rPr>
          <w:sz w:val="20"/>
          <w:szCs w:val="20"/>
        </w:rPr>
        <w:t>RE:</w:t>
      </w:r>
      <w:r>
        <w:rPr>
          <w:sz w:val="20"/>
          <w:szCs w:val="20"/>
        </w:rPr>
        <w:tab/>
        <w:t>Response to Docket-T101661</w:t>
      </w:r>
    </w:p>
    <w:p w:rsidR="006F4104" w:rsidRDefault="006F4104" w:rsidP="00423305">
      <w:pPr>
        <w:spacing w:after="0"/>
        <w:rPr>
          <w:sz w:val="20"/>
          <w:szCs w:val="20"/>
        </w:rPr>
      </w:pPr>
    </w:p>
    <w:p w:rsidR="006F4104" w:rsidRDefault="006F4104" w:rsidP="00423305">
      <w:pPr>
        <w:spacing w:after="0"/>
        <w:rPr>
          <w:sz w:val="20"/>
          <w:szCs w:val="20"/>
        </w:rPr>
      </w:pPr>
      <w:r>
        <w:rPr>
          <w:sz w:val="20"/>
          <w:szCs w:val="20"/>
        </w:rPr>
        <w:t>Dear Executive Director and Secretary:</w:t>
      </w:r>
    </w:p>
    <w:p w:rsidR="006F4104" w:rsidRDefault="006F4104" w:rsidP="00423305">
      <w:pPr>
        <w:spacing w:after="0"/>
        <w:rPr>
          <w:sz w:val="20"/>
          <w:szCs w:val="20"/>
        </w:rPr>
      </w:pPr>
    </w:p>
    <w:p w:rsidR="006F4104" w:rsidRDefault="006F4104" w:rsidP="006213A8">
      <w:pPr>
        <w:spacing w:after="0"/>
        <w:jc w:val="both"/>
        <w:rPr>
          <w:sz w:val="20"/>
          <w:szCs w:val="20"/>
        </w:rPr>
      </w:pPr>
      <w:r>
        <w:rPr>
          <w:sz w:val="20"/>
          <w:szCs w:val="20"/>
        </w:rPr>
        <w:t>We respectfully disagree with the staff recommendation described on page 10 of the Notice of Staff Recommendation for Fuel Surcharges letter dated March 18, 2011.</w:t>
      </w:r>
      <w:r w:rsidR="00102481">
        <w:rPr>
          <w:sz w:val="20"/>
          <w:szCs w:val="20"/>
        </w:rPr>
        <w:t xml:space="preserve"> We contend the recommendation will curtail our ability to provide </w:t>
      </w:r>
      <w:r w:rsidR="00EE4329">
        <w:rPr>
          <w:sz w:val="20"/>
          <w:szCs w:val="20"/>
        </w:rPr>
        <w:t>our continued excellent</w:t>
      </w:r>
      <w:r w:rsidR="00102481">
        <w:rPr>
          <w:sz w:val="20"/>
          <w:szCs w:val="20"/>
        </w:rPr>
        <w:t xml:space="preserve"> </w:t>
      </w:r>
      <w:r w:rsidR="00EE4329">
        <w:rPr>
          <w:sz w:val="20"/>
          <w:szCs w:val="20"/>
        </w:rPr>
        <w:t xml:space="preserve">standard of </w:t>
      </w:r>
      <w:r w:rsidR="00102481">
        <w:rPr>
          <w:sz w:val="20"/>
          <w:szCs w:val="20"/>
        </w:rPr>
        <w:t>service and safety of our customers.</w:t>
      </w:r>
    </w:p>
    <w:p w:rsidR="006F4104" w:rsidRDefault="006F4104" w:rsidP="00D11B50">
      <w:pPr>
        <w:spacing w:after="0" w:line="120" w:lineRule="auto"/>
        <w:jc w:val="both"/>
        <w:rPr>
          <w:sz w:val="20"/>
          <w:szCs w:val="20"/>
        </w:rPr>
      </w:pPr>
    </w:p>
    <w:p w:rsidR="006F4104" w:rsidRDefault="00D456A8" w:rsidP="006213A8">
      <w:pPr>
        <w:spacing w:after="0"/>
        <w:jc w:val="both"/>
        <w:rPr>
          <w:sz w:val="20"/>
          <w:szCs w:val="20"/>
        </w:rPr>
      </w:pPr>
      <w:r>
        <w:rPr>
          <w:sz w:val="20"/>
          <w:szCs w:val="20"/>
        </w:rPr>
        <w:t>Ensuring</w:t>
      </w:r>
      <w:r w:rsidRPr="006F4104">
        <w:rPr>
          <w:sz w:val="20"/>
          <w:szCs w:val="20"/>
        </w:rPr>
        <w:t xml:space="preserve"> consumers that transportation services are fairly price</w:t>
      </w:r>
      <w:r>
        <w:rPr>
          <w:sz w:val="20"/>
          <w:szCs w:val="20"/>
        </w:rPr>
        <w:t xml:space="preserve">d, available, reliable and safe is our mission as well as that of the </w:t>
      </w:r>
      <w:r w:rsidRPr="00423305">
        <w:rPr>
          <w:sz w:val="20"/>
          <w:szCs w:val="20"/>
        </w:rPr>
        <w:t>Washington Utilities and Transportation Commissio</w:t>
      </w:r>
      <w:r>
        <w:rPr>
          <w:sz w:val="20"/>
          <w:szCs w:val="20"/>
        </w:rPr>
        <w:t>n</w:t>
      </w:r>
      <w:r w:rsidR="006F4104" w:rsidRPr="006F4104">
        <w:rPr>
          <w:sz w:val="20"/>
          <w:szCs w:val="20"/>
        </w:rPr>
        <w:t>.</w:t>
      </w:r>
      <w:r>
        <w:rPr>
          <w:sz w:val="20"/>
          <w:szCs w:val="20"/>
        </w:rPr>
        <w:t xml:space="preserve"> These attributes of service are vital in the overall success of any business and consumer satisfaction. Available, reliable and safe</w:t>
      </w:r>
      <w:r w:rsidR="00102481">
        <w:rPr>
          <w:sz w:val="20"/>
          <w:szCs w:val="20"/>
        </w:rPr>
        <w:t xml:space="preserve"> services</w:t>
      </w:r>
      <w:r>
        <w:rPr>
          <w:sz w:val="20"/>
          <w:szCs w:val="20"/>
        </w:rPr>
        <w:t xml:space="preserve"> are dependent upon being fairly priced. A fair price ensures an organizations ability to invest in better ways to provide safe, reliable and courteous service. </w:t>
      </w:r>
      <w:r w:rsidR="007F2856">
        <w:rPr>
          <w:sz w:val="20"/>
          <w:szCs w:val="20"/>
        </w:rPr>
        <w:t xml:space="preserve">Conversely, an inadequate price may result in a decline in service and safety; business failures; and the reduction of consumer choices due to the lack of new </w:t>
      </w:r>
      <w:r w:rsidR="0012001E">
        <w:rPr>
          <w:sz w:val="20"/>
          <w:szCs w:val="20"/>
        </w:rPr>
        <w:t>business ventures</w:t>
      </w:r>
      <w:r w:rsidR="007F2856">
        <w:rPr>
          <w:sz w:val="20"/>
          <w:szCs w:val="20"/>
        </w:rPr>
        <w:t xml:space="preserve"> enter</w:t>
      </w:r>
      <w:r w:rsidR="0012001E">
        <w:rPr>
          <w:sz w:val="20"/>
          <w:szCs w:val="20"/>
        </w:rPr>
        <w:t>ing</w:t>
      </w:r>
      <w:r w:rsidR="007F2856">
        <w:rPr>
          <w:sz w:val="20"/>
          <w:szCs w:val="20"/>
        </w:rPr>
        <w:t xml:space="preserve"> the transportation market.</w:t>
      </w:r>
      <w:r w:rsidR="00102481">
        <w:rPr>
          <w:sz w:val="20"/>
          <w:szCs w:val="20"/>
        </w:rPr>
        <w:t xml:space="preserve"> The </w:t>
      </w:r>
      <w:r w:rsidR="00AC20B2">
        <w:rPr>
          <w:sz w:val="20"/>
          <w:szCs w:val="20"/>
        </w:rPr>
        <w:t xml:space="preserve">staff </w:t>
      </w:r>
      <w:r w:rsidR="00102481">
        <w:rPr>
          <w:sz w:val="20"/>
          <w:szCs w:val="20"/>
        </w:rPr>
        <w:t xml:space="preserve">recommendation will lower the </w:t>
      </w:r>
      <w:r w:rsidR="00AC20B2">
        <w:rPr>
          <w:sz w:val="20"/>
          <w:szCs w:val="20"/>
        </w:rPr>
        <w:t xml:space="preserve">historical </w:t>
      </w:r>
      <w:r w:rsidR="00102481">
        <w:rPr>
          <w:sz w:val="20"/>
          <w:szCs w:val="20"/>
        </w:rPr>
        <w:t>operating statutory revenue requirement and therefore our ability to meet the needs of the consumer.</w:t>
      </w:r>
    </w:p>
    <w:p w:rsidR="00102481" w:rsidRDefault="00102481" w:rsidP="00D11B50">
      <w:pPr>
        <w:spacing w:after="0" w:line="120" w:lineRule="auto"/>
        <w:jc w:val="both"/>
        <w:rPr>
          <w:sz w:val="20"/>
          <w:szCs w:val="20"/>
        </w:rPr>
      </w:pPr>
    </w:p>
    <w:p w:rsidR="00102481" w:rsidRDefault="00102481" w:rsidP="006213A8">
      <w:pPr>
        <w:spacing w:after="0"/>
        <w:jc w:val="both"/>
        <w:rPr>
          <w:sz w:val="20"/>
          <w:szCs w:val="20"/>
        </w:rPr>
      </w:pPr>
      <w:r>
        <w:rPr>
          <w:sz w:val="20"/>
          <w:szCs w:val="20"/>
        </w:rPr>
        <w:t xml:space="preserve">The recommendation to remove fuel expense from net operating expense will lower the return on revenue below the </w:t>
      </w:r>
      <w:r w:rsidR="006213A8">
        <w:rPr>
          <w:sz w:val="20"/>
          <w:szCs w:val="20"/>
        </w:rPr>
        <w:t xml:space="preserve">historical practice of allowing a seven percent return on revenue (Exhibit 1). </w:t>
      </w:r>
      <w:r w:rsidR="008B41B4">
        <w:rPr>
          <w:sz w:val="20"/>
          <w:szCs w:val="20"/>
        </w:rPr>
        <w:t>A</w:t>
      </w:r>
      <w:r w:rsidR="006213A8">
        <w:rPr>
          <w:sz w:val="20"/>
          <w:szCs w:val="20"/>
        </w:rPr>
        <w:t xml:space="preserve">ll operating expenses are short term investments and require cash resources and therefore need to be included in the overall return on investment in the organization. </w:t>
      </w:r>
      <w:r w:rsidR="008B41B4">
        <w:rPr>
          <w:sz w:val="20"/>
          <w:szCs w:val="20"/>
        </w:rPr>
        <w:t xml:space="preserve">If fuel is removed from the net operating expense, then the operating ratio will need to be lowered to compensate for the return on investment. We recommend the operating ratio be decreased from 93 </w:t>
      </w:r>
      <w:r w:rsidR="00AC20B2">
        <w:rPr>
          <w:sz w:val="20"/>
          <w:szCs w:val="20"/>
        </w:rPr>
        <w:t xml:space="preserve">to 90 percent in the event the staff recommendation is implemented. </w:t>
      </w:r>
    </w:p>
    <w:p w:rsidR="006213A8" w:rsidRDefault="006213A8" w:rsidP="00D11B50">
      <w:pPr>
        <w:spacing w:after="0" w:line="120" w:lineRule="auto"/>
        <w:jc w:val="both"/>
        <w:rPr>
          <w:sz w:val="20"/>
          <w:szCs w:val="20"/>
        </w:rPr>
      </w:pPr>
    </w:p>
    <w:p w:rsidR="006213A8" w:rsidRDefault="008B41B4" w:rsidP="006213A8">
      <w:pPr>
        <w:spacing w:after="0" w:line="240" w:lineRule="auto"/>
        <w:jc w:val="both"/>
        <w:rPr>
          <w:sz w:val="20"/>
          <w:szCs w:val="20"/>
        </w:rPr>
      </w:pPr>
      <w:r>
        <w:rPr>
          <w:sz w:val="20"/>
          <w:szCs w:val="20"/>
        </w:rPr>
        <w:t xml:space="preserve">We assert </w:t>
      </w:r>
      <w:r w:rsidR="00AC20B2">
        <w:rPr>
          <w:sz w:val="20"/>
          <w:szCs w:val="20"/>
        </w:rPr>
        <w:t xml:space="preserve">there is </w:t>
      </w:r>
      <w:r w:rsidR="006213A8" w:rsidRPr="006213A8">
        <w:rPr>
          <w:sz w:val="20"/>
          <w:szCs w:val="20"/>
        </w:rPr>
        <w:t xml:space="preserve">risk in recapturing expense in the event fuel cost is higher than what was filed in </w:t>
      </w:r>
      <w:r w:rsidR="00AC20B2">
        <w:rPr>
          <w:sz w:val="20"/>
          <w:szCs w:val="20"/>
        </w:rPr>
        <w:t xml:space="preserve">a </w:t>
      </w:r>
      <w:r>
        <w:rPr>
          <w:sz w:val="20"/>
          <w:szCs w:val="20"/>
        </w:rPr>
        <w:t>rate case. For example, assuming</w:t>
      </w:r>
      <w:r w:rsidR="006213A8" w:rsidRPr="006213A8">
        <w:rPr>
          <w:sz w:val="20"/>
          <w:szCs w:val="20"/>
        </w:rPr>
        <w:t xml:space="preserve"> rate </w:t>
      </w:r>
      <w:r>
        <w:rPr>
          <w:sz w:val="20"/>
          <w:szCs w:val="20"/>
        </w:rPr>
        <w:t>case is</w:t>
      </w:r>
      <w:r w:rsidR="006213A8" w:rsidRPr="006213A8">
        <w:rPr>
          <w:sz w:val="20"/>
          <w:szCs w:val="20"/>
        </w:rPr>
        <w:t xml:space="preserve"> filed </w:t>
      </w:r>
      <w:r>
        <w:rPr>
          <w:sz w:val="20"/>
          <w:szCs w:val="20"/>
        </w:rPr>
        <w:t>listing</w:t>
      </w:r>
      <w:r w:rsidR="006213A8" w:rsidRPr="006213A8">
        <w:rPr>
          <w:sz w:val="20"/>
          <w:szCs w:val="20"/>
        </w:rPr>
        <w:t xml:space="preserve"> estimated fuel expense</w:t>
      </w:r>
      <w:r>
        <w:rPr>
          <w:sz w:val="20"/>
          <w:szCs w:val="20"/>
        </w:rPr>
        <w:t xml:space="preserve"> at 12 percent</w:t>
      </w:r>
      <w:r w:rsidR="006213A8" w:rsidRPr="006213A8">
        <w:rPr>
          <w:sz w:val="20"/>
          <w:szCs w:val="20"/>
        </w:rPr>
        <w:t xml:space="preserve">. If </w:t>
      </w:r>
      <w:r>
        <w:rPr>
          <w:sz w:val="20"/>
          <w:szCs w:val="20"/>
        </w:rPr>
        <w:t xml:space="preserve">the </w:t>
      </w:r>
      <w:r w:rsidR="006213A8" w:rsidRPr="006213A8">
        <w:rPr>
          <w:sz w:val="20"/>
          <w:szCs w:val="20"/>
        </w:rPr>
        <w:t>actual fuel expense</w:t>
      </w:r>
      <w:r>
        <w:rPr>
          <w:sz w:val="20"/>
          <w:szCs w:val="20"/>
        </w:rPr>
        <w:t xml:space="preserve"> is </w:t>
      </w:r>
      <w:r w:rsidR="006213A8" w:rsidRPr="006213A8">
        <w:rPr>
          <w:sz w:val="20"/>
          <w:szCs w:val="20"/>
        </w:rPr>
        <w:t>14%, a company would need to recoup via a new ra</w:t>
      </w:r>
      <w:r>
        <w:rPr>
          <w:sz w:val="20"/>
          <w:szCs w:val="20"/>
        </w:rPr>
        <w:t xml:space="preserve">te filing and future business. </w:t>
      </w:r>
      <w:r w:rsidR="006213A8" w:rsidRPr="006213A8">
        <w:rPr>
          <w:sz w:val="20"/>
          <w:szCs w:val="20"/>
        </w:rPr>
        <w:t xml:space="preserve">If the rate is granted, future customers will pay an additional amount to cover the short fall left from prior customers. Conversely if rates drop the current rate case will remain in effect and all consumers will be overcharged. This is inconsistent with </w:t>
      </w:r>
      <w:r>
        <w:rPr>
          <w:sz w:val="20"/>
          <w:szCs w:val="20"/>
        </w:rPr>
        <w:t xml:space="preserve">our </w:t>
      </w:r>
      <w:r w:rsidR="006213A8" w:rsidRPr="006213A8">
        <w:rPr>
          <w:sz w:val="20"/>
          <w:szCs w:val="20"/>
        </w:rPr>
        <w:t xml:space="preserve">mission </w:t>
      </w:r>
      <w:r>
        <w:rPr>
          <w:sz w:val="20"/>
          <w:szCs w:val="20"/>
        </w:rPr>
        <w:t xml:space="preserve">and that of the </w:t>
      </w:r>
      <w:r w:rsidR="006213A8" w:rsidRPr="006213A8">
        <w:rPr>
          <w:sz w:val="20"/>
          <w:szCs w:val="20"/>
        </w:rPr>
        <w:t>UTC to ensure consumers are treated fairly.</w:t>
      </w:r>
    </w:p>
    <w:p w:rsidR="005E074C" w:rsidRDefault="005E074C" w:rsidP="00D11B50">
      <w:pPr>
        <w:spacing w:after="0" w:line="120" w:lineRule="auto"/>
        <w:jc w:val="both"/>
        <w:rPr>
          <w:sz w:val="20"/>
          <w:szCs w:val="20"/>
        </w:rPr>
      </w:pPr>
    </w:p>
    <w:p w:rsidR="00D11B50" w:rsidRDefault="00D23401" w:rsidP="006213A8">
      <w:pPr>
        <w:spacing w:after="0" w:line="240" w:lineRule="auto"/>
        <w:jc w:val="both"/>
        <w:rPr>
          <w:sz w:val="20"/>
          <w:szCs w:val="20"/>
        </w:rPr>
      </w:pPr>
      <w:r>
        <w:rPr>
          <w:sz w:val="20"/>
          <w:szCs w:val="20"/>
        </w:rPr>
        <w:t xml:space="preserve">In summary, we oppose the exclusion of fuel from the net operating expense due to the adverse impact in our ability to meet the needs of our customers. We recommend </w:t>
      </w:r>
      <w:r w:rsidR="00AF30F3">
        <w:rPr>
          <w:sz w:val="20"/>
          <w:szCs w:val="20"/>
        </w:rPr>
        <w:t xml:space="preserve">a change in the surcharge filing process be instituted to ensure surcharges are derived from timely and accurate data and that </w:t>
      </w:r>
      <w:r w:rsidR="00D11B50">
        <w:rPr>
          <w:sz w:val="20"/>
          <w:szCs w:val="20"/>
        </w:rPr>
        <w:t xml:space="preserve">process of implementing a surcharge is nimble to ensure the surcharge is passed along to the consumers receiving the service. We pride ourselves in providing excellent service while looking for every opportunity to reduce expense to provide a fair rate to our customers. Segregating the additional cost of fuel from the base rate gives the consumer a better understanding of the overall cost of the service. </w:t>
      </w:r>
    </w:p>
    <w:p w:rsidR="00D11B50" w:rsidRDefault="00D11B50" w:rsidP="006213A8">
      <w:pPr>
        <w:spacing w:after="0" w:line="240" w:lineRule="auto"/>
        <w:jc w:val="both"/>
        <w:rPr>
          <w:sz w:val="20"/>
          <w:szCs w:val="20"/>
        </w:rPr>
      </w:pPr>
    </w:p>
    <w:p w:rsidR="00D11B50" w:rsidRDefault="00D11B50" w:rsidP="006213A8">
      <w:pPr>
        <w:spacing w:after="0" w:line="240" w:lineRule="auto"/>
        <w:jc w:val="both"/>
        <w:rPr>
          <w:sz w:val="20"/>
          <w:szCs w:val="20"/>
        </w:rPr>
      </w:pPr>
    </w:p>
    <w:p w:rsidR="00D11B50" w:rsidRDefault="00D11B50" w:rsidP="006213A8">
      <w:pPr>
        <w:spacing w:after="0" w:line="240" w:lineRule="auto"/>
        <w:jc w:val="both"/>
        <w:rPr>
          <w:sz w:val="20"/>
          <w:szCs w:val="20"/>
        </w:rPr>
      </w:pPr>
      <w:r>
        <w:rPr>
          <w:sz w:val="20"/>
          <w:szCs w:val="20"/>
        </w:rPr>
        <w:t>Respectfully,</w:t>
      </w:r>
    </w:p>
    <w:p w:rsidR="006213A8" w:rsidRDefault="006213A8" w:rsidP="00D456A8">
      <w:pPr>
        <w:spacing w:after="0"/>
        <w:rPr>
          <w:sz w:val="20"/>
          <w:szCs w:val="20"/>
        </w:rPr>
      </w:pPr>
    </w:p>
    <w:p w:rsidR="00102481" w:rsidRDefault="00D430D9" w:rsidP="00D456A8">
      <w:pPr>
        <w:spacing w:after="0"/>
        <w:rPr>
          <w:sz w:val="20"/>
          <w:szCs w:val="20"/>
        </w:rPr>
      </w:pPr>
      <w:r>
        <w:rPr>
          <w:sz w:val="20"/>
          <w:szCs w:val="20"/>
        </w:rPr>
        <w:t>John D. Rowley</w:t>
      </w:r>
    </w:p>
    <w:p w:rsidR="00D430D9" w:rsidRDefault="00D430D9" w:rsidP="00D456A8">
      <w:pPr>
        <w:spacing w:after="0"/>
        <w:rPr>
          <w:sz w:val="20"/>
          <w:szCs w:val="20"/>
        </w:rPr>
      </w:pPr>
      <w:r>
        <w:rPr>
          <w:sz w:val="20"/>
          <w:szCs w:val="20"/>
        </w:rPr>
        <w:t>President</w:t>
      </w:r>
    </w:p>
    <w:p w:rsidR="00102481" w:rsidRPr="006F4104" w:rsidRDefault="00312F83" w:rsidP="00D456A8">
      <w:pPr>
        <w:spacing w:after="0"/>
        <w:rPr>
          <w:sz w:val="20"/>
          <w:szCs w:val="20"/>
        </w:rPr>
      </w:pPr>
      <w:r>
        <w:rPr>
          <w:sz w:val="20"/>
          <w:szCs w:val="20"/>
        </w:rPr>
        <w:t>Shuttle Express</w:t>
      </w:r>
    </w:p>
    <w:p w:rsidR="006F4104" w:rsidRPr="005E074C" w:rsidRDefault="005E074C" w:rsidP="005E074C">
      <w:pPr>
        <w:spacing w:after="0"/>
        <w:jc w:val="center"/>
        <w:rPr>
          <w:b/>
          <w:sz w:val="20"/>
          <w:szCs w:val="20"/>
        </w:rPr>
      </w:pPr>
      <w:r w:rsidRPr="005E074C">
        <w:rPr>
          <w:b/>
          <w:sz w:val="20"/>
          <w:szCs w:val="20"/>
        </w:rPr>
        <w:lastRenderedPageBreak/>
        <w:t>Exhibit 1</w:t>
      </w:r>
    </w:p>
    <w:p w:rsidR="005E074C" w:rsidRDefault="005E074C" w:rsidP="00423305">
      <w:pPr>
        <w:spacing w:after="0"/>
        <w:rPr>
          <w:sz w:val="20"/>
          <w:szCs w:val="20"/>
        </w:rPr>
      </w:pPr>
    </w:p>
    <w:p w:rsidR="005E074C" w:rsidRPr="00423305" w:rsidRDefault="005E074C" w:rsidP="00423305">
      <w:pPr>
        <w:spacing w:after="0"/>
        <w:rPr>
          <w:sz w:val="20"/>
          <w:szCs w:val="20"/>
        </w:rPr>
      </w:pPr>
    </w:p>
    <w:tbl>
      <w:tblPr>
        <w:tblW w:w="9948" w:type="dxa"/>
        <w:tblInd w:w="96" w:type="dxa"/>
        <w:tblLook w:val="04A0"/>
      </w:tblPr>
      <w:tblGrid>
        <w:gridCol w:w="379"/>
        <w:gridCol w:w="5108"/>
        <w:gridCol w:w="1463"/>
        <w:gridCol w:w="222"/>
        <w:gridCol w:w="1463"/>
        <w:gridCol w:w="222"/>
        <w:gridCol w:w="1380"/>
      </w:tblGrid>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2960" w:type="dxa"/>
            <w:gridSpan w:val="3"/>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Proposed Methodology with Examples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r>
      <w:tr w:rsidR="005E074C" w:rsidRPr="002656C4" w:rsidTr="00E53509">
        <w:trPr>
          <w:trHeight w:val="276"/>
        </w:trPr>
        <w:tc>
          <w:tcPr>
            <w:tcW w:w="5408" w:type="dxa"/>
            <w:gridSpan w:val="2"/>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Line No.</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1</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Fuel Expense as a Percentage of Revenue </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10.00%</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12.00%</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14.00%</w:t>
            </w: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2</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Net Operating Expense </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10,000,000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10,000,000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10,000,000 </w:t>
            </w: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3</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Fuel Expense = (line 1) x (line 2) </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1,000,000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1,200,000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1,400,000 </w:t>
            </w: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4</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ind w:firstLineChars="100" w:firstLine="161"/>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Net Operating - less fuel expense </w:t>
            </w:r>
          </w:p>
        </w:tc>
        <w:tc>
          <w:tcPr>
            <w:tcW w:w="1463"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9,000,000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p>
        </w:tc>
        <w:tc>
          <w:tcPr>
            <w:tcW w:w="1463"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8,800,000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p>
        </w:tc>
        <w:tc>
          <w:tcPr>
            <w:tcW w:w="1380"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8,600,000 </w:t>
            </w: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5</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Statutory Operating Ratio </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93.00%</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93.00%</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93.00%</w:t>
            </w: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6</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Revenue requirement without Fuel Expense = (line 4 ) / (line 5) </w:t>
            </w:r>
          </w:p>
        </w:tc>
        <w:tc>
          <w:tcPr>
            <w:tcW w:w="1463" w:type="dxa"/>
            <w:tcBorders>
              <w:top w:val="single" w:sz="4" w:space="0" w:color="auto"/>
              <w:left w:val="nil"/>
              <w:bottom w:val="single" w:sz="4"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9,677,419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single" w:sz="4" w:space="0" w:color="auto"/>
              <w:left w:val="nil"/>
              <w:bottom w:val="single" w:sz="4"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9,462,366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single" w:sz="4" w:space="0" w:color="auto"/>
              <w:left w:val="nil"/>
              <w:bottom w:val="single" w:sz="4"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9,247,312 </w:t>
            </w: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w:t>
            </w: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7</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Revenue Requirement = (line 3) + (line 6) </w:t>
            </w:r>
          </w:p>
        </w:tc>
        <w:tc>
          <w:tcPr>
            <w:tcW w:w="1463"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10,677,419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10,662,366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10,647,312 </w:t>
            </w: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8</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Revenue Requirement = (line 7) </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10,677,419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10,662,366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10,647,312 </w:t>
            </w: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9</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Net Operating Expense = (Line 2) </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10,000,000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10,000,000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10,000,000 </w:t>
            </w: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10</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ind w:firstLineChars="100" w:firstLine="161"/>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Net Revenue </w:t>
            </w:r>
          </w:p>
        </w:tc>
        <w:tc>
          <w:tcPr>
            <w:tcW w:w="1463"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677,419 </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p>
        </w:tc>
        <w:tc>
          <w:tcPr>
            <w:tcW w:w="1463"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662,366 </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p>
        </w:tc>
        <w:tc>
          <w:tcPr>
            <w:tcW w:w="1380"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647,312 </w:t>
            </w: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11</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Net Return on Revenue = (line 10) / (line 8) </w:t>
            </w:r>
          </w:p>
        </w:tc>
        <w:tc>
          <w:tcPr>
            <w:tcW w:w="1463"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6.34%</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6.21%</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single" w:sz="4" w:space="0" w:color="auto"/>
              <w:left w:val="nil"/>
              <w:bottom w:val="double" w:sz="6"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6.08%</w:t>
            </w: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12</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Statutory Allowance for Return on Revenue before Interest and Federal Taxes </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7.00%</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7.00%</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7.00%</w:t>
            </w:r>
          </w:p>
        </w:tc>
      </w:tr>
      <w:tr w:rsidR="005E074C" w:rsidRPr="002656C4" w:rsidTr="00E53509">
        <w:trPr>
          <w:trHeight w:val="276"/>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13</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 xml:space="preserve"> Reduction in Statutory Allowance as a percentage </w:t>
            </w: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-0.66%</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463"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-0.79%</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p>
        </w:tc>
        <w:tc>
          <w:tcPr>
            <w:tcW w:w="138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color w:val="000000"/>
                <w:sz w:val="16"/>
                <w:szCs w:val="16"/>
              </w:rPr>
            </w:pPr>
            <w:r w:rsidRPr="002656C4">
              <w:rPr>
                <w:rFonts w:ascii="Calibri" w:eastAsia="Times New Roman" w:hAnsi="Calibri" w:cs="Times New Roman"/>
                <w:color w:val="000000"/>
                <w:sz w:val="16"/>
                <w:szCs w:val="16"/>
              </w:rPr>
              <w:t>-0.92%</w:t>
            </w:r>
          </w:p>
        </w:tc>
      </w:tr>
      <w:tr w:rsidR="005E074C" w:rsidRPr="002656C4" w:rsidTr="00E53509">
        <w:trPr>
          <w:trHeight w:val="288"/>
        </w:trPr>
        <w:tc>
          <w:tcPr>
            <w:tcW w:w="3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center"/>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14</w:t>
            </w:r>
          </w:p>
        </w:tc>
        <w:tc>
          <w:tcPr>
            <w:tcW w:w="5108"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ind w:firstLineChars="100" w:firstLine="161"/>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 xml:space="preserve"> Effective Statutory Operating Ratio Allowance </w:t>
            </w:r>
          </w:p>
        </w:tc>
        <w:tc>
          <w:tcPr>
            <w:tcW w:w="1463" w:type="dxa"/>
            <w:tcBorders>
              <w:top w:val="single" w:sz="4" w:space="0" w:color="auto"/>
              <w:left w:val="nil"/>
              <w:bottom w:val="single" w:sz="8"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6.34%</w:t>
            </w:r>
          </w:p>
        </w:tc>
        <w:tc>
          <w:tcPr>
            <w:tcW w:w="34"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p>
        </w:tc>
        <w:tc>
          <w:tcPr>
            <w:tcW w:w="1463" w:type="dxa"/>
            <w:tcBorders>
              <w:top w:val="single" w:sz="4" w:space="0" w:color="auto"/>
              <w:left w:val="nil"/>
              <w:bottom w:val="single" w:sz="8"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6.21%</w:t>
            </w:r>
          </w:p>
        </w:tc>
        <w:tc>
          <w:tcPr>
            <w:tcW w:w="200" w:type="dxa"/>
            <w:tcBorders>
              <w:top w:val="nil"/>
              <w:left w:val="nil"/>
              <w:bottom w:val="nil"/>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p>
        </w:tc>
        <w:tc>
          <w:tcPr>
            <w:tcW w:w="1380" w:type="dxa"/>
            <w:tcBorders>
              <w:top w:val="single" w:sz="4" w:space="0" w:color="auto"/>
              <w:left w:val="nil"/>
              <w:bottom w:val="single" w:sz="8" w:space="0" w:color="auto"/>
              <w:right w:val="nil"/>
            </w:tcBorders>
            <w:shd w:val="clear" w:color="auto" w:fill="auto"/>
            <w:noWrap/>
            <w:vAlign w:val="bottom"/>
            <w:hideMark/>
          </w:tcPr>
          <w:p w:rsidR="005E074C" w:rsidRPr="002656C4" w:rsidRDefault="005E074C" w:rsidP="00E53509">
            <w:pPr>
              <w:spacing w:after="0" w:line="240" w:lineRule="auto"/>
              <w:jc w:val="right"/>
              <w:rPr>
                <w:rFonts w:ascii="Calibri" w:eastAsia="Times New Roman" w:hAnsi="Calibri" w:cs="Times New Roman"/>
                <w:b/>
                <w:bCs/>
                <w:color w:val="000000"/>
                <w:sz w:val="16"/>
                <w:szCs w:val="16"/>
              </w:rPr>
            </w:pPr>
            <w:r w:rsidRPr="002656C4">
              <w:rPr>
                <w:rFonts w:ascii="Calibri" w:eastAsia="Times New Roman" w:hAnsi="Calibri" w:cs="Times New Roman"/>
                <w:b/>
                <w:bCs/>
                <w:color w:val="000000"/>
                <w:sz w:val="16"/>
                <w:szCs w:val="16"/>
              </w:rPr>
              <w:t>6.08%</w:t>
            </w:r>
          </w:p>
        </w:tc>
      </w:tr>
    </w:tbl>
    <w:p w:rsidR="00423305" w:rsidRDefault="00423305" w:rsidP="005E074C">
      <w:pPr>
        <w:spacing w:after="0"/>
      </w:pPr>
    </w:p>
    <w:sectPr w:rsidR="00423305" w:rsidSect="00D430D9">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F72"/>
    <w:multiLevelType w:val="hybridMultilevel"/>
    <w:tmpl w:val="2690D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305"/>
    <w:rsid w:val="00102481"/>
    <w:rsid w:val="0012001E"/>
    <w:rsid w:val="00254899"/>
    <w:rsid w:val="00312F83"/>
    <w:rsid w:val="00423305"/>
    <w:rsid w:val="005E074C"/>
    <w:rsid w:val="006213A8"/>
    <w:rsid w:val="006F4104"/>
    <w:rsid w:val="007B1313"/>
    <w:rsid w:val="007F2856"/>
    <w:rsid w:val="008B41B4"/>
    <w:rsid w:val="00AB75AA"/>
    <w:rsid w:val="00AC20B2"/>
    <w:rsid w:val="00AF30F3"/>
    <w:rsid w:val="00CF06F7"/>
    <w:rsid w:val="00D11B50"/>
    <w:rsid w:val="00D23401"/>
    <w:rsid w:val="00D430D9"/>
    <w:rsid w:val="00D456A8"/>
    <w:rsid w:val="00D93F47"/>
    <w:rsid w:val="00EE4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4104"/>
    <w:rPr>
      <w:b/>
      <w:bCs/>
    </w:rPr>
  </w:style>
  <w:style w:type="paragraph" w:styleId="ListParagraph">
    <w:name w:val="List Paragraph"/>
    <w:basedOn w:val="Normal"/>
    <w:uiPriority w:val="34"/>
    <w:qFormat/>
    <w:rsid w:val="006213A8"/>
    <w:pPr>
      <w:ind w:left="720"/>
      <w:contextualSpacing/>
    </w:pPr>
  </w:style>
</w:styles>
</file>

<file path=word/webSettings.xml><?xml version="1.0" encoding="utf-8"?>
<w:webSettings xmlns:r="http://schemas.openxmlformats.org/officeDocument/2006/relationships" xmlns:w="http://schemas.openxmlformats.org/wordprocessingml/2006/main">
  <w:divs>
    <w:div w:id="1770927864">
      <w:bodyDiv w:val="1"/>
      <w:marLeft w:val="0"/>
      <w:marRight w:val="0"/>
      <w:marTop w:val="0"/>
      <w:marBottom w:val="0"/>
      <w:divBdr>
        <w:top w:val="none" w:sz="0" w:space="0" w:color="auto"/>
        <w:left w:val="none" w:sz="0" w:space="0" w:color="auto"/>
        <w:bottom w:val="none" w:sz="0" w:space="0" w:color="auto"/>
        <w:right w:val="none" w:sz="0" w:space="0" w:color="auto"/>
      </w:divBdr>
      <w:divsChild>
        <w:div w:id="1422023853">
          <w:marLeft w:val="0"/>
          <w:marRight w:val="0"/>
          <w:marTop w:val="0"/>
          <w:marBottom w:val="0"/>
          <w:divBdr>
            <w:top w:val="none" w:sz="0" w:space="0" w:color="auto"/>
            <w:left w:val="none" w:sz="0" w:space="0" w:color="auto"/>
            <w:bottom w:val="none" w:sz="0" w:space="0" w:color="auto"/>
            <w:right w:val="none" w:sz="0" w:space="0" w:color="auto"/>
          </w:divBdr>
          <w:divsChild>
            <w:div w:id="1681856295">
              <w:marLeft w:val="0"/>
              <w:marRight w:val="0"/>
              <w:marTop w:val="0"/>
              <w:marBottom w:val="0"/>
              <w:divBdr>
                <w:top w:val="none" w:sz="0" w:space="0" w:color="auto"/>
                <w:left w:val="none" w:sz="0" w:space="0" w:color="auto"/>
                <w:bottom w:val="none" w:sz="0" w:space="0" w:color="auto"/>
                <w:right w:val="none" w:sz="0" w:space="0" w:color="auto"/>
              </w:divBdr>
              <w:divsChild>
                <w:div w:id="1930851669">
                  <w:marLeft w:val="0"/>
                  <w:marRight w:val="0"/>
                  <w:marTop w:val="0"/>
                  <w:marBottom w:val="0"/>
                  <w:divBdr>
                    <w:top w:val="none" w:sz="0" w:space="0" w:color="auto"/>
                    <w:left w:val="none" w:sz="0" w:space="0" w:color="auto"/>
                    <w:bottom w:val="none" w:sz="0" w:space="0" w:color="auto"/>
                    <w:right w:val="none" w:sz="0" w:space="0" w:color="auto"/>
                  </w:divBdr>
                  <w:divsChild>
                    <w:div w:id="507527786">
                      <w:marLeft w:val="0"/>
                      <w:marRight w:val="0"/>
                      <w:marTop w:val="0"/>
                      <w:marBottom w:val="0"/>
                      <w:divBdr>
                        <w:top w:val="none" w:sz="0" w:space="0" w:color="auto"/>
                        <w:left w:val="none" w:sz="0" w:space="0" w:color="auto"/>
                        <w:bottom w:val="none" w:sz="0" w:space="0" w:color="auto"/>
                        <w:right w:val="none" w:sz="0" w:space="0" w:color="auto"/>
                      </w:divBdr>
                      <w:divsChild>
                        <w:div w:id="454301325">
                          <w:marLeft w:val="0"/>
                          <w:marRight w:val="0"/>
                          <w:marTop w:val="0"/>
                          <w:marBottom w:val="0"/>
                          <w:divBdr>
                            <w:top w:val="none" w:sz="0" w:space="0" w:color="auto"/>
                            <w:left w:val="none" w:sz="0" w:space="0" w:color="auto"/>
                            <w:bottom w:val="none" w:sz="0" w:space="0" w:color="auto"/>
                            <w:right w:val="none" w:sz="0" w:space="0" w:color="auto"/>
                          </w:divBdr>
                          <w:divsChild>
                            <w:div w:id="965084274">
                              <w:marLeft w:val="0"/>
                              <w:marRight w:val="0"/>
                              <w:marTop w:val="0"/>
                              <w:marBottom w:val="0"/>
                              <w:divBdr>
                                <w:top w:val="none" w:sz="0" w:space="0" w:color="auto"/>
                                <w:left w:val="none" w:sz="0" w:space="0" w:color="auto"/>
                                <w:bottom w:val="none" w:sz="0" w:space="0" w:color="auto"/>
                                <w:right w:val="none" w:sz="0" w:space="0" w:color="auto"/>
                              </w:divBdr>
                              <w:divsChild>
                                <w:div w:id="969818852">
                                  <w:marLeft w:val="0"/>
                                  <w:marRight w:val="0"/>
                                  <w:marTop w:val="0"/>
                                  <w:marBottom w:val="0"/>
                                  <w:divBdr>
                                    <w:top w:val="none" w:sz="0" w:space="0" w:color="auto"/>
                                    <w:left w:val="none" w:sz="0" w:space="0" w:color="auto"/>
                                    <w:bottom w:val="none" w:sz="0" w:space="0" w:color="auto"/>
                                    <w:right w:val="none" w:sz="0" w:space="0" w:color="auto"/>
                                  </w:divBdr>
                                  <w:divsChild>
                                    <w:div w:id="456870378">
                                      <w:marLeft w:val="168"/>
                                      <w:marRight w:val="168"/>
                                      <w:marTop w:val="0"/>
                                      <w:marBottom w:val="0"/>
                                      <w:divBdr>
                                        <w:top w:val="none" w:sz="0" w:space="0" w:color="auto"/>
                                        <w:left w:val="none" w:sz="0" w:space="0" w:color="auto"/>
                                        <w:bottom w:val="none" w:sz="0" w:space="0" w:color="auto"/>
                                        <w:right w:val="none" w:sz="0" w:space="0" w:color="auto"/>
                                      </w:divBdr>
                                      <w:divsChild>
                                        <w:div w:id="1267032508">
                                          <w:marLeft w:val="0"/>
                                          <w:marRight w:val="0"/>
                                          <w:marTop w:val="0"/>
                                          <w:marBottom w:val="0"/>
                                          <w:divBdr>
                                            <w:top w:val="none" w:sz="0" w:space="0" w:color="auto"/>
                                            <w:left w:val="none" w:sz="0" w:space="0" w:color="auto"/>
                                            <w:bottom w:val="none" w:sz="0" w:space="0" w:color="auto"/>
                                            <w:right w:val="none" w:sz="0" w:space="0" w:color="auto"/>
                                          </w:divBdr>
                                          <w:divsChild>
                                            <w:div w:id="530190619">
                                              <w:marLeft w:val="0"/>
                                              <w:marRight w:val="0"/>
                                              <w:marTop w:val="0"/>
                                              <w:marBottom w:val="0"/>
                                              <w:divBdr>
                                                <w:top w:val="none" w:sz="0" w:space="0" w:color="auto"/>
                                                <w:left w:val="none" w:sz="0" w:space="0" w:color="auto"/>
                                                <w:bottom w:val="none" w:sz="0" w:space="0" w:color="auto"/>
                                                <w:right w:val="none" w:sz="0" w:space="0" w:color="auto"/>
                                              </w:divBdr>
                                              <w:divsChild>
                                                <w:div w:id="1518470642">
                                                  <w:marLeft w:val="0"/>
                                                  <w:marRight w:val="120"/>
                                                  <w:marTop w:val="0"/>
                                                  <w:marBottom w:val="180"/>
                                                  <w:divBdr>
                                                    <w:top w:val="none" w:sz="0" w:space="0" w:color="auto"/>
                                                    <w:left w:val="none" w:sz="0" w:space="0" w:color="auto"/>
                                                    <w:bottom w:val="none" w:sz="0" w:space="0" w:color="auto"/>
                                                    <w:right w:val="none" w:sz="0" w:space="0" w:color="auto"/>
                                                  </w:divBdr>
                                                  <w:divsChild>
                                                    <w:div w:id="1568951120">
                                                      <w:marLeft w:val="0"/>
                                                      <w:marRight w:val="0"/>
                                                      <w:marTop w:val="0"/>
                                                      <w:marBottom w:val="0"/>
                                                      <w:divBdr>
                                                        <w:top w:val="none" w:sz="0" w:space="0" w:color="auto"/>
                                                        <w:left w:val="none" w:sz="0" w:space="0" w:color="auto"/>
                                                        <w:bottom w:val="none" w:sz="0" w:space="0" w:color="auto"/>
                                                        <w:right w:val="none" w:sz="0" w:space="0" w:color="auto"/>
                                                      </w:divBdr>
                                                      <w:divsChild>
                                                        <w:div w:id="1026567023">
                                                          <w:marLeft w:val="0"/>
                                                          <w:marRight w:val="0"/>
                                                          <w:marTop w:val="0"/>
                                                          <w:marBottom w:val="0"/>
                                                          <w:divBdr>
                                                            <w:top w:val="none" w:sz="0" w:space="0" w:color="auto"/>
                                                            <w:left w:val="none" w:sz="0" w:space="0" w:color="auto"/>
                                                            <w:bottom w:val="none" w:sz="0" w:space="0" w:color="auto"/>
                                                            <w:right w:val="none" w:sz="0" w:space="0" w:color="auto"/>
                                                          </w:divBdr>
                                                          <w:divsChild>
                                                            <w:div w:id="1243300463">
                                                              <w:marLeft w:val="0"/>
                                                              <w:marRight w:val="0"/>
                                                              <w:marTop w:val="0"/>
                                                              <w:marBottom w:val="0"/>
                                                              <w:divBdr>
                                                                <w:top w:val="none" w:sz="0" w:space="0" w:color="auto"/>
                                                                <w:left w:val="none" w:sz="0" w:space="0" w:color="auto"/>
                                                                <w:bottom w:val="none" w:sz="0" w:space="0" w:color="auto"/>
                                                                <w:right w:val="none" w:sz="0" w:space="0" w:color="auto"/>
                                                              </w:divBdr>
                                                              <w:divsChild>
                                                                <w:div w:id="188642931">
                                                                  <w:marLeft w:val="120"/>
                                                                  <w:marRight w:val="0"/>
                                                                  <w:marTop w:val="0"/>
                                                                  <w:marBottom w:val="0"/>
                                                                  <w:divBdr>
                                                                    <w:top w:val="none" w:sz="0" w:space="0" w:color="auto"/>
                                                                    <w:left w:val="none" w:sz="0" w:space="0" w:color="auto"/>
                                                                    <w:bottom w:val="none" w:sz="0" w:space="0" w:color="auto"/>
                                                                    <w:right w:val="none" w:sz="0" w:space="0" w:color="auto"/>
                                                                  </w:divBdr>
                                                                  <w:divsChild>
                                                                    <w:div w:id="2075159583">
                                                                      <w:marLeft w:val="0"/>
                                                                      <w:marRight w:val="0"/>
                                                                      <w:marTop w:val="0"/>
                                                                      <w:marBottom w:val="0"/>
                                                                      <w:divBdr>
                                                                        <w:top w:val="none" w:sz="0" w:space="0" w:color="auto"/>
                                                                        <w:left w:val="none" w:sz="0" w:space="0" w:color="auto"/>
                                                                        <w:bottom w:val="none" w:sz="0" w:space="0" w:color="auto"/>
                                                                        <w:right w:val="none" w:sz="0" w:space="0" w:color="auto"/>
                                                                      </w:divBdr>
                                                                      <w:divsChild>
                                                                        <w:div w:id="1798523075">
                                                                          <w:marLeft w:val="0"/>
                                                                          <w:marRight w:val="0"/>
                                                                          <w:marTop w:val="60"/>
                                                                          <w:marBottom w:val="0"/>
                                                                          <w:divBdr>
                                                                            <w:top w:val="none" w:sz="0" w:space="0" w:color="auto"/>
                                                                            <w:left w:val="none" w:sz="0" w:space="0" w:color="auto"/>
                                                                            <w:bottom w:val="none" w:sz="0" w:space="0" w:color="auto"/>
                                                                            <w:right w:val="none" w:sz="0" w:space="0" w:color="auto"/>
                                                                          </w:divBdr>
                                                                          <w:divsChild>
                                                                            <w:div w:id="6253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1659A-CE78-4565-B345-9C09FB9514E7}"/>
</file>

<file path=customXml/itemProps2.xml><?xml version="1.0" encoding="utf-8"?>
<ds:datastoreItem xmlns:ds="http://schemas.openxmlformats.org/officeDocument/2006/customXml" ds:itemID="{E6DA774F-1DCD-40C5-B3CA-FDBF6F95E0C1}"/>
</file>

<file path=customXml/itemProps3.xml><?xml version="1.0" encoding="utf-8"?>
<ds:datastoreItem xmlns:ds="http://schemas.openxmlformats.org/officeDocument/2006/customXml" ds:itemID="{46816C74-CA3F-4716-9681-4C2A37C8978D}"/>
</file>

<file path=customXml/itemProps4.xml><?xml version="1.0" encoding="utf-8"?>
<ds:datastoreItem xmlns:ds="http://schemas.openxmlformats.org/officeDocument/2006/customXml" ds:itemID="{4923DDBA-B040-40C8-B8E3-32F21B9A7C00}"/>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Kajanoff</dc:creator>
  <cp:lastModifiedBy>John Rowley</cp:lastModifiedBy>
  <cp:revision>2</cp:revision>
  <cp:lastPrinted>2011-04-01T21:02:00Z</cp:lastPrinted>
  <dcterms:created xsi:type="dcterms:W3CDTF">2011-04-01T23:22:00Z</dcterms:created>
  <dcterms:modified xsi:type="dcterms:W3CDTF">2011-04-01T23:22:00Z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