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C5D031" w14:textId="55395200" w:rsidR="00E349DA" w:rsidRPr="00E1622D" w:rsidRDefault="00E349DA">
      <w:pPr>
        <w:rPr>
          <w:b/>
          <w:bCs/>
          <w:sz w:val="32"/>
          <w:szCs w:val="32"/>
        </w:rPr>
      </w:pPr>
      <w:r w:rsidRPr="00E1622D">
        <w:rPr>
          <w:b/>
          <w:bCs/>
          <w:sz w:val="32"/>
          <w:szCs w:val="32"/>
        </w:rPr>
        <w:t>Variants</w:t>
      </w:r>
    </w:p>
    <w:p w14:paraId="224EA957" w14:textId="77777777" w:rsidR="0045542B" w:rsidRPr="00E1622D" w:rsidRDefault="0045542B" w:rsidP="0045542B">
      <w:pPr>
        <w:rPr>
          <w:b/>
          <w:bCs/>
        </w:rPr>
      </w:pPr>
      <w:r w:rsidRPr="00E1622D">
        <w:rPr>
          <w:b/>
          <w:bCs/>
        </w:rPr>
        <w:t>High IRA/IIJA Adoption</w:t>
      </w:r>
    </w:p>
    <w:p w14:paraId="3EC32587" w14:textId="77777777" w:rsidR="0045542B" w:rsidRPr="00E1622D" w:rsidRDefault="0045542B" w:rsidP="0045542B">
      <w:r w:rsidRPr="00E1622D">
        <w:t>This sensitivity assumes high IRA/IIJA adoption results in the selection of more PTC/ITC resources which replace non-PTC/ITC eligible resources. The portfolio is fully endogenous and has gone through the same level of integration as the preferred portfolio. The purpose of this sensitivity is to show how greater than anticipated IRA/IIJA eligible resource availability might impact cost and risk.</w:t>
      </w:r>
    </w:p>
    <w:p w14:paraId="5F838B5A" w14:textId="77777777" w:rsidR="0045542B" w:rsidRPr="00E1622D" w:rsidRDefault="0045542B" w:rsidP="0045542B">
      <w:pPr>
        <w:rPr>
          <w:b/>
          <w:bCs/>
        </w:rPr>
      </w:pPr>
      <w:r w:rsidRPr="00E1622D">
        <w:rPr>
          <w:b/>
          <w:bCs/>
        </w:rPr>
        <w:t>Low IRA/IIJA Adoption</w:t>
      </w:r>
    </w:p>
    <w:p w14:paraId="5485D755" w14:textId="77777777" w:rsidR="0045542B" w:rsidRPr="00E1622D" w:rsidRDefault="0045542B" w:rsidP="0045542B">
      <w:r w:rsidRPr="00E1622D">
        <w:t>This sensitivity assumes low IRA/IIJA adoption results in the selection of less PTC/ITC resources which requires non-PTC/ITC eligible resources to maintain reliability. The portfolio is fully endogenous and has gone through the same level of integration as the preferred portfolio. The purpose of this sensitivity is to show how lower than anticipated IRA/IIJA eligible resource availability might impact cost and risk.</w:t>
      </w:r>
    </w:p>
    <w:p w14:paraId="46AFF424" w14:textId="77777777" w:rsidR="0045542B" w:rsidRPr="00E1622D" w:rsidRDefault="0045542B" w:rsidP="0045542B">
      <w:pPr>
        <w:rPr>
          <w:b/>
          <w:bCs/>
        </w:rPr>
      </w:pPr>
      <w:r w:rsidRPr="00E1622D">
        <w:rPr>
          <w:b/>
          <w:bCs/>
        </w:rPr>
        <w:t>High EPA 111(d) Adoption</w:t>
      </w:r>
    </w:p>
    <w:p w14:paraId="411DE605" w14:textId="6735F366" w:rsidR="00E349DA" w:rsidRPr="00E1622D" w:rsidRDefault="0045542B" w:rsidP="0045542B">
      <w:pPr>
        <w:rPr>
          <w:b/>
          <w:bCs/>
        </w:rPr>
      </w:pPr>
      <w:r w:rsidRPr="00E1622D">
        <w:t xml:space="preserve">Under Clean Air Act (CAA) section 111(d), EPA addresses greenhouse gas emissions from existing coal and gas or oil-fired steam units and natural gas-fired combustion turbines. The final EPA 111(d) rule became effective December 18, 2023, and this sensitivity complies with all aspects of the final rule. The portfolio is fully endogenous and has gone through the same level of integration as the preferred portfolio. The purpose of this sensitivity is to show the cost and risk impacts of EPA 111(d) </w:t>
      </w:r>
      <w:r w:rsidR="00E349DA" w:rsidRPr="00E1622D">
        <w:rPr>
          <w:b/>
          <w:bCs/>
        </w:rPr>
        <w:t>No Nuclear</w:t>
      </w:r>
    </w:p>
    <w:p w14:paraId="41A5664B" w14:textId="45C4BFB7" w:rsidR="00E349DA" w:rsidRPr="00E1622D" w:rsidRDefault="00E349DA" w:rsidP="00E349DA">
      <w:r w:rsidRPr="00E1622D">
        <w:t xml:space="preserve">This variant </w:t>
      </w:r>
      <w:r w:rsidR="00B46A1A" w:rsidRPr="00E1622D">
        <w:t>removes the</w:t>
      </w:r>
      <w:r w:rsidRPr="00E1622D">
        <w:t xml:space="preserve"> NatriumTM demonstration project in 2030 and any other new nuclear </w:t>
      </w:r>
      <w:r w:rsidR="00B46A1A" w:rsidRPr="00E1622D">
        <w:t>from available resource options</w:t>
      </w:r>
      <w:r w:rsidRPr="00E1622D">
        <w:t xml:space="preserve">. </w:t>
      </w:r>
      <w:r w:rsidR="00B46A1A" w:rsidRPr="00E1622D">
        <w:t>The portfolio is fully endogenous and has gone through the same level of integration as the preferred portfolio.</w:t>
      </w:r>
      <w:r w:rsidRPr="00E1622D">
        <w:t xml:space="preserve"> The purpose of the variant is to evaluate </w:t>
      </w:r>
      <w:r w:rsidR="00DC10A0" w:rsidRPr="00E1622D">
        <w:t xml:space="preserve">resource </w:t>
      </w:r>
      <w:r w:rsidR="008937D3" w:rsidRPr="00E1622D">
        <w:t>alternatives</w:t>
      </w:r>
      <w:r w:rsidRPr="00E1622D">
        <w:t xml:space="preserve"> in the absence of nuclear resource options. Additionally, this sensitivity seeks to evaluate the potential risk that these projects are unable to achieve online and operating status for any reason.</w:t>
      </w:r>
    </w:p>
    <w:p w14:paraId="038B2D8D" w14:textId="3C160471" w:rsidR="00E349DA" w:rsidRPr="00E1622D" w:rsidRDefault="00E349DA" w:rsidP="00E349DA">
      <w:pPr>
        <w:spacing w:after="0" w:line="240" w:lineRule="auto"/>
        <w:rPr>
          <w:rFonts w:ascii="Aptos Narrow" w:eastAsia="Times New Roman" w:hAnsi="Aptos Narrow" w:cs="Times New Roman"/>
          <w:b/>
          <w:bCs/>
          <w:color w:val="000000"/>
          <w:kern w:val="0"/>
          <w14:ligatures w14:val="none"/>
        </w:rPr>
      </w:pPr>
      <w:r w:rsidRPr="00E1622D">
        <w:rPr>
          <w:rFonts w:ascii="Aptos Narrow" w:eastAsia="Times New Roman" w:hAnsi="Aptos Narrow" w:cs="Times New Roman"/>
          <w:b/>
          <w:bCs/>
          <w:color w:val="000000"/>
          <w:kern w:val="0"/>
          <w14:ligatures w14:val="none"/>
        </w:rPr>
        <w:t xml:space="preserve">All CCUS </w:t>
      </w:r>
    </w:p>
    <w:p w14:paraId="48D160D0" w14:textId="77777777" w:rsidR="00E349DA" w:rsidRPr="00E1622D" w:rsidRDefault="00E349DA" w:rsidP="00E349DA">
      <w:pPr>
        <w:spacing w:after="0" w:line="240" w:lineRule="auto"/>
        <w:rPr>
          <w:rFonts w:ascii="Aptos Narrow" w:eastAsia="Times New Roman" w:hAnsi="Aptos Narrow" w:cs="Times New Roman"/>
          <w:color w:val="000000"/>
          <w:kern w:val="0"/>
          <w14:ligatures w14:val="none"/>
        </w:rPr>
      </w:pPr>
    </w:p>
    <w:p w14:paraId="01521953" w14:textId="737FBBAF" w:rsidR="00E349DA" w:rsidRPr="00E1622D" w:rsidRDefault="00E349DA" w:rsidP="00E349DA">
      <w:r w:rsidRPr="00E1622D">
        <w:t xml:space="preserve">This variant allows all CCUS to be selected at appropriate coal sites (Jim Bridger, Hunter, Huntington, Dave Johnston and Wyodak). The portfolio is fully endogenous and has gone through the same level of </w:t>
      </w:r>
      <w:r w:rsidR="008937D3" w:rsidRPr="00E1622D">
        <w:t>integration</w:t>
      </w:r>
      <w:r w:rsidRPr="00E1622D">
        <w:t xml:space="preserve"> as the preferred portfolio. The purpose of this variant is to evaluate how the preferred portfolio would change if CCUS is </w:t>
      </w:r>
      <w:r w:rsidR="00DC10A0" w:rsidRPr="00E1622D">
        <w:t>a commercially viable option</w:t>
      </w:r>
      <w:r w:rsidRPr="00E1622D">
        <w:t xml:space="preserve">. </w:t>
      </w:r>
    </w:p>
    <w:p w14:paraId="34242C16" w14:textId="77777777" w:rsidR="00E349DA" w:rsidRPr="00E1622D" w:rsidRDefault="00E349DA" w:rsidP="00E349DA">
      <w:pPr>
        <w:rPr>
          <w:b/>
          <w:bCs/>
        </w:rPr>
      </w:pPr>
      <w:r w:rsidRPr="00E1622D">
        <w:rPr>
          <w:b/>
          <w:bCs/>
        </w:rPr>
        <w:t>All Coal End of Life</w:t>
      </w:r>
    </w:p>
    <w:p w14:paraId="45A242F8" w14:textId="2BC8313F" w:rsidR="00E349DA" w:rsidRPr="00E1622D" w:rsidRDefault="00E349DA" w:rsidP="00E349DA">
      <w:r w:rsidRPr="00E1622D">
        <w:t xml:space="preserve">In this variant all coal plants are assumed to run as coal-fired units through end-of-life. Dave Johnston units 1-3 along with Naughton units 1 and 2 still retire as necessary. Minority owned coal plants are also assumed to retire as necessary. The portfolio is fully endogenous and has gone through the same level of </w:t>
      </w:r>
      <w:r w:rsidR="008937D3" w:rsidRPr="00E1622D">
        <w:t>integration</w:t>
      </w:r>
      <w:r w:rsidRPr="00E1622D">
        <w:t xml:space="preserve"> as the preferred portfolio. The purpose of this variant is to evaluate how the preferred portfolio would change if owned coal resources </w:t>
      </w:r>
      <w:r w:rsidR="008937D3" w:rsidRPr="00E1622D">
        <w:t>were</w:t>
      </w:r>
      <w:r w:rsidRPr="00E1622D">
        <w:t xml:space="preserve"> allowed to run as coal-fired to end-of-life. </w:t>
      </w:r>
    </w:p>
    <w:p w14:paraId="13E0B097" w14:textId="77777777" w:rsidR="00E349DA" w:rsidRPr="00E1622D" w:rsidRDefault="00E349DA" w:rsidP="00E349DA">
      <w:pPr>
        <w:rPr>
          <w:b/>
          <w:bCs/>
        </w:rPr>
      </w:pPr>
      <w:r w:rsidRPr="00E1622D">
        <w:rPr>
          <w:b/>
          <w:bCs/>
        </w:rPr>
        <w:lastRenderedPageBreak/>
        <w:t xml:space="preserve">No CCUS </w:t>
      </w:r>
    </w:p>
    <w:p w14:paraId="7CEFF850" w14:textId="2C6D7765" w:rsidR="00E349DA" w:rsidRPr="00E1622D" w:rsidRDefault="00E349DA" w:rsidP="00E349DA">
      <w:r w:rsidRPr="00E1622D">
        <w:t xml:space="preserve">This variant removes all CCUS options at appropriate coal sites (Jim Bridger, Hunter, Huntington, Dave Johnston and Wyodak). The portfolio is fully endogenous and has gone through the same level of </w:t>
      </w:r>
      <w:r w:rsidR="008937D3" w:rsidRPr="00E1622D">
        <w:t>integration</w:t>
      </w:r>
      <w:r w:rsidRPr="00E1622D">
        <w:t xml:space="preserve"> as the preferred portfolio. The purpose of this variant is to evaluate how the preferred portfolio would change if CCUS is not </w:t>
      </w:r>
      <w:r w:rsidR="00B46A1A" w:rsidRPr="00E1622D">
        <w:t xml:space="preserve">a </w:t>
      </w:r>
      <w:r w:rsidRPr="00E1622D">
        <w:t xml:space="preserve">commercially </w:t>
      </w:r>
      <w:r w:rsidR="00B46A1A" w:rsidRPr="00E1622D">
        <w:t>viable option</w:t>
      </w:r>
      <w:r w:rsidRPr="00E1622D">
        <w:t xml:space="preserve">. </w:t>
      </w:r>
    </w:p>
    <w:p w14:paraId="6ACE52E4" w14:textId="77777777" w:rsidR="00E349DA" w:rsidRPr="00E1622D" w:rsidRDefault="00E349DA" w:rsidP="00E349DA">
      <w:pPr>
        <w:rPr>
          <w:b/>
          <w:bCs/>
        </w:rPr>
      </w:pPr>
      <w:r w:rsidRPr="00E1622D">
        <w:rPr>
          <w:b/>
          <w:bCs/>
        </w:rPr>
        <w:t>No Coal 2032</w:t>
      </w:r>
    </w:p>
    <w:p w14:paraId="1D1600A9" w14:textId="0E81DBE6" w:rsidR="00E349DA" w:rsidRPr="00E1622D" w:rsidRDefault="00E349DA" w:rsidP="00E349DA">
      <w:r w:rsidRPr="00E1622D">
        <w:t xml:space="preserve">In this variant all coal plants are assumed to retire no later than 2032. Coal plants are eligible to run past 2032 if gas conversion is selected at that plant. No CCUS options are available in this variant. The portfolio is fully endogenous and has gone through the same level of </w:t>
      </w:r>
      <w:r w:rsidR="008937D3" w:rsidRPr="00E1622D">
        <w:t>integration</w:t>
      </w:r>
      <w:r w:rsidRPr="00E1622D">
        <w:t xml:space="preserve"> as the preferred portfolio. The purpose of this variant is to evaluate how the preferred portfolio would change if </w:t>
      </w:r>
      <w:r w:rsidR="00B46A1A" w:rsidRPr="00E1622D">
        <w:t xml:space="preserve">external </w:t>
      </w:r>
      <w:r w:rsidRPr="00E1622D">
        <w:t xml:space="preserve">factors </w:t>
      </w:r>
      <w:r w:rsidR="008937D3" w:rsidRPr="00E1622D">
        <w:t>required</w:t>
      </w:r>
      <w:r w:rsidRPr="00E1622D">
        <w:t xml:space="preserve"> coal plants to cease operating as coal past 2032</w:t>
      </w:r>
      <w:r w:rsidR="00B46A1A" w:rsidRPr="00E1622D">
        <w:t xml:space="preserve">. </w:t>
      </w:r>
    </w:p>
    <w:p w14:paraId="46C440BF" w14:textId="77777777" w:rsidR="00E349DA" w:rsidRPr="00E1622D" w:rsidRDefault="00E349DA" w:rsidP="00E349DA">
      <w:pPr>
        <w:rPr>
          <w:b/>
          <w:bCs/>
        </w:rPr>
      </w:pPr>
      <w:r w:rsidRPr="00E1622D">
        <w:rPr>
          <w:b/>
          <w:bCs/>
        </w:rPr>
        <w:t>No New Gas</w:t>
      </w:r>
    </w:p>
    <w:p w14:paraId="702426F0" w14:textId="6D163FF8" w:rsidR="00E349DA" w:rsidRPr="00E1622D" w:rsidRDefault="00E349DA" w:rsidP="00E349DA">
      <w:r w:rsidRPr="00E1622D">
        <w:t xml:space="preserve">In this variant no new gas resources are allowed to be </w:t>
      </w:r>
      <w:r w:rsidR="00B46A1A" w:rsidRPr="00E1622D">
        <w:t>selected</w:t>
      </w:r>
      <w:r w:rsidRPr="00E1622D">
        <w:t xml:space="preserve">. This does not include the conversion of coal plants from coal-fired to gas-fired. </w:t>
      </w:r>
      <w:r w:rsidR="00B46A1A" w:rsidRPr="00E1622D">
        <w:t xml:space="preserve">The portfolio is fully endogenous and has gone through the same level of integration as the preferred portfolio. </w:t>
      </w:r>
      <w:r w:rsidRPr="00E1622D">
        <w:t xml:space="preserve">The purpose of this variant is to evaluate the cost and risk impacts of replacing new gas resources selected in the preferred portfolio with other energy resources. </w:t>
      </w:r>
    </w:p>
    <w:p w14:paraId="56987B01" w14:textId="77777777" w:rsidR="00E349DA" w:rsidRPr="00E1622D" w:rsidRDefault="00E349DA" w:rsidP="00E349DA">
      <w:pPr>
        <w:rPr>
          <w:b/>
          <w:bCs/>
        </w:rPr>
      </w:pPr>
      <w:r w:rsidRPr="00E1622D">
        <w:rPr>
          <w:b/>
          <w:bCs/>
        </w:rPr>
        <w:t>Force Offshore Wind</w:t>
      </w:r>
    </w:p>
    <w:p w14:paraId="544A9E51" w14:textId="713A73ED" w:rsidR="00E349DA" w:rsidRPr="00E1622D" w:rsidRDefault="00E349DA" w:rsidP="00E349DA">
      <w:r w:rsidRPr="00E1622D">
        <w:t xml:space="preserve">Offshore wind was available for selection in the preferred portfolio beginning in 2030, reliant upon transmission upgrades that may not be available until later. As offshore wind has not been endogenously selected in the preferred portfolio, a minimum of 1000 MW was required to be selected in this variant. Additionally, the necessary </w:t>
      </w:r>
      <w:r w:rsidR="008937D3" w:rsidRPr="00E1622D">
        <w:t>onshore</w:t>
      </w:r>
      <w:r w:rsidRPr="00E1622D">
        <w:t xml:space="preserve"> transmission required to enable offshore wind was available for selection by offshore wind or by any other appropriately located proxy resources to ensure that co-located resources could be selected to complement the offshore wind and that it is competitive with other options. This counterfactual is used to assess system impacts and the magnitude of the costs and benefits associated with offshore wind.</w:t>
      </w:r>
    </w:p>
    <w:p w14:paraId="0E65099E" w14:textId="77777777" w:rsidR="00E349DA" w:rsidRPr="00E1622D" w:rsidRDefault="00E349DA" w:rsidP="00E349DA">
      <w:pPr>
        <w:rPr>
          <w:b/>
          <w:bCs/>
        </w:rPr>
      </w:pPr>
      <w:r w:rsidRPr="00E1622D">
        <w:rPr>
          <w:b/>
          <w:bCs/>
        </w:rPr>
        <w:t>B2H Delayed 2030</w:t>
      </w:r>
    </w:p>
    <w:p w14:paraId="4DA86C7B" w14:textId="5B134C5A" w:rsidR="00E349DA" w:rsidRPr="00E1622D" w:rsidRDefault="00E349DA" w:rsidP="00E349DA">
      <w:r w:rsidRPr="00E1622D">
        <w:t xml:space="preserve">In this variant the transmission segments associated with the Boardman-to-Hemingway project are delayed from 2027 until 2030. All incremental lines dependent on these lines area also delayed three years. The portfolio is then re-optimized to determine a portfolio necessary to maintain reliability. The purpose of this variant is to evaluate the cost and risk impacts associated with the Boardman-to-Hemingway line becoming operational later than planned. </w:t>
      </w:r>
    </w:p>
    <w:p w14:paraId="20086D40" w14:textId="77777777" w:rsidR="00E349DA" w:rsidRPr="00E1622D" w:rsidRDefault="00E349DA" w:rsidP="00E349DA">
      <w:pPr>
        <w:rPr>
          <w:b/>
          <w:bCs/>
        </w:rPr>
      </w:pPr>
      <w:r w:rsidRPr="00E1622D">
        <w:rPr>
          <w:b/>
          <w:bCs/>
        </w:rPr>
        <w:t>Force All Gas Conversions</w:t>
      </w:r>
    </w:p>
    <w:p w14:paraId="51568978" w14:textId="69511FE9" w:rsidR="00E349DA" w:rsidRPr="00E1622D" w:rsidRDefault="00E349DA" w:rsidP="00E349DA">
      <w:r w:rsidRPr="00E1622D">
        <w:t xml:space="preserve">In this variant all coal plants </w:t>
      </w:r>
      <w:r w:rsidR="008937D3" w:rsidRPr="00E1622D">
        <w:t>eligible</w:t>
      </w:r>
      <w:r w:rsidRPr="00E1622D">
        <w:t xml:space="preserve"> for gas conversion are forced to do so. The gas converted coal plants are allowed to retire </w:t>
      </w:r>
      <w:r w:rsidR="00B46A1A" w:rsidRPr="00E1622D">
        <w:t>endogenously, and</w:t>
      </w:r>
      <w:r w:rsidRPr="00E1622D">
        <w:t xml:space="preserve"> the portfolio is re-optimized. The purpose of this variant is to evaluate the cost and risk impacts associated with gas conversion becoming </w:t>
      </w:r>
      <w:r w:rsidR="00823825" w:rsidRPr="00E1622D">
        <w:t>the only</w:t>
      </w:r>
      <w:r w:rsidRPr="00E1622D">
        <w:t xml:space="preserve"> future option for all coal-fired plants. </w:t>
      </w:r>
    </w:p>
    <w:p w14:paraId="6D7EE87F" w14:textId="77777777" w:rsidR="00E349DA" w:rsidRPr="00E1622D" w:rsidRDefault="00E349DA" w:rsidP="00E349DA">
      <w:pPr>
        <w:rPr>
          <w:b/>
          <w:bCs/>
        </w:rPr>
      </w:pPr>
      <w:r w:rsidRPr="00E1622D">
        <w:rPr>
          <w:b/>
          <w:bCs/>
        </w:rPr>
        <w:t>No Forward Technology</w:t>
      </w:r>
    </w:p>
    <w:p w14:paraId="7FE491D0" w14:textId="2BE43982" w:rsidR="00E349DA" w:rsidRPr="00E1622D" w:rsidRDefault="00E349DA" w:rsidP="00E349DA">
      <w:r w:rsidRPr="00E1622D">
        <w:lastRenderedPageBreak/>
        <w:t xml:space="preserve">In this variant all nuclear, hydrogen storage and biodiesel peaking resources are removed from the preferred portfolio and the portfolio is re-optimized. The purpose of this variant is to evaluate the cost and risk impacts of limited new resource types becoming available in the future. </w:t>
      </w:r>
    </w:p>
    <w:p w14:paraId="0777E722" w14:textId="77777777" w:rsidR="00E349DA" w:rsidRPr="00E1622D" w:rsidRDefault="00E349DA" w:rsidP="00E349DA">
      <w:pPr>
        <w:rPr>
          <w:b/>
          <w:bCs/>
        </w:rPr>
      </w:pPr>
      <w:r w:rsidRPr="00E1622D">
        <w:rPr>
          <w:b/>
          <w:bCs/>
        </w:rPr>
        <w:t xml:space="preserve">Force Small Scale Resources </w:t>
      </w:r>
    </w:p>
    <w:p w14:paraId="7EBAD4DD" w14:textId="33D4666E" w:rsidR="00E349DA" w:rsidRPr="00E1622D" w:rsidRDefault="00E349DA" w:rsidP="00E349DA">
      <w:r w:rsidRPr="00E1622D">
        <w:t xml:space="preserve">In this variant </w:t>
      </w:r>
      <w:r w:rsidR="008937D3" w:rsidRPr="00E1622D">
        <w:t>small-scale</w:t>
      </w:r>
      <w:r w:rsidRPr="00E1622D">
        <w:t xml:space="preserve"> resources are forced into the preferred portfolio in place of utility scale resources. While the </w:t>
      </w:r>
      <w:r w:rsidR="008937D3" w:rsidRPr="00E1622D">
        <w:t>number</w:t>
      </w:r>
      <w:r w:rsidRPr="00E1622D">
        <w:t xml:space="preserve"> of </w:t>
      </w:r>
      <w:r w:rsidR="008937D3" w:rsidRPr="00E1622D">
        <w:t>small-scale</w:t>
      </w:r>
      <w:r w:rsidRPr="00E1622D">
        <w:t xml:space="preserve"> resources is forced into the portfolio, the type, </w:t>
      </w:r>
      <w:r w:rsidR="008937D3" w:rsidRPr="00E1622D">
        <w:t>timing,</w:t>
      </w:r>
      <w:r w:rsidRPr="00E1622D">
        <w:t xml:space="preserve"> and location of these </w:t>
      </w:r>
      <w:r w:rsidR="008937D3" w:rsidRPr="00E1622D">
        <w:t>small-scale</w:t>
      </w:r>
      <w:r w:rsidRPr="00E1622D">
        <w:t xml:space="preserve"> resources is selected endogenously. The </w:t>
      </w:r>
      <w:r w:rsidR="00273976" w:rsidRPr="00E1622D">
        <w:t xml:space="preserve">portfolio is re-optimized to </w:t>
      </w:r>
      <w:r w:rsidRPr="00E1622D">
        <w:t xml:space="preserve">evaluate the cost and risk impacts of </w:t>
      </w:r>
      <w:r w:rsidR="008937D3" w:rsidRPr="00E1622D">
        <w:t>small-scale</w:t>
      </w:r>
      <w:r w:rsidRPr="00E1622D">
        <w:t xml:space="preserve"> resources. </w:t>
      </w:r>
    </w:p>
    <w:p w14:paraId="1E1DC12B" w14:textId="0FDFE1FB" w:rsidR="00E349DA" w:rsidRPr="00E1622D" w:rsidRDefault="00E349DA" w:rsidP="00E349DA">
      <w:pPr>
        <w:rPr>
          <w:b/>
          <w:bCs/>
        </w:rPr>
      </w:pPr>
      <w:r w:rsidRPr="00E1622D">
        <w:rPr>
          <w:b/>
          <w:bCs/>
        </w:rPr>
        <w:t xml:space="preserve">No </w:t>
      </w:r>
      <w:r w:rsidR="008937D3" w:rsidRPr="00E1622D">
        <w:rPr>
          <w:b/>
          <w:bCs/>
        </w:rPr>
        <w:t>Small-Scale</w:t>
      </w:r>
      <w:r w:rsidRPr="00E1622D">
        <w:rPr>
          <w:b/>
          <w:bCs/>
        </w:rPr>
        <w:t xml:space="preserve"> Resources</w:t>
      </w:r>
    </w:p>
    <w:p w14:paraId="60852FAC" w14:textId="095CBE2A" w:rsidR="00E349DA" w:rsidRPr="00E1622D" w:rsidRDefault="00E349DA" w:rsidP="00E349DA">
      <w:r w:rsidRPr="00E1622D">
        <w:t xml:space="preserve">In this variant </w:t>
      </w:r>
      <w:r w:rsidR="008937D3" w:rsidRPr="00E1622D">
        <w:t>small-scale</w:t>
      </w:r>
      <w:r w:rsidRPr="00E1622D">
        <w:t xml:space="preserve"> resources are removed from the preferred portfolio and replaced with utility scale resources. The amount of utility scale resources forced into the portfolio is the same as the amount of small scale removed, </w:t>
      </w:r>
      <w:r w:rsidR="008937D3" w:rsidRPr="00E1622D">
        <w:t>but the</w:t>
      </w:r>
      <w:r w:rsidRPr="00E1622D">
        <w:t xml:space="preserve"> type, timing and location of these utility scale resources is selected endogenously. The </w:t>
      </w:r>
      <w:r w:rsidR="00837DFE" w:rsidRPr="00E1622D">
        <w:t>portfolio is re-optimized</w:t>
      </w:r>
      <w:r w:rsidRPr="00E1622D">
        <w:t xml:space="preserve"> </w:t>
      </w:r>
      <w:r w:rsidR="008937D3" w:rsidRPr="00E1622D">
        <w:t>to</w:t>
      </w:r>
      <w:r w:rsidRPr="00E1622D">
        <w:t xml:space="preserve"> evaluate the cost and risk impacts of replacing small scale resources with utility scale resources. </w:t>
      </w:r>
    </w:p>
    <w:p w14:paraId="616D42C8" w14:textId="77777777" w:rsidR="00E349DA" w:rsidRPr="00E1622D" w:rsidRDefault="00E349DA" w:rsidP="00E349DA">
      <w:pPr>
        <w:rPr>
          <w:b/>
          <w:bCs/>
        </w:rPr>
      </w:pPr>
      <w:r w:rsidRPr="00E1622D">
        <w:rPr>
          <w:b/>
          <w:bCs/>
        </w:rPr>
        <w:t xml:space="preserve">Community Based Renewable Energy </w:t>
      </w:r>
    </w:p>
    <w:p w14:paraId="7082D065" w14:textId="071C3D6D" w:rsidR="00E349DA" w:rsidRPr="00E1622D" w:rsidRDefault="00E349DA" w:rsidP="00E349DA">
      <w:r w:rsidRPr="00E1622D">
        <w:t>Reduction in load?</w:t>
      </w:r>
    </w:p>
    <w:p w14:paraId="5090B29A" w14:textId="77777777" w:rsidR="00E349DA" w:rsidRPr="00E1622D" w:rsidRDefault="00E349DA" w:rsidP="00E349DA">
      <w:pPr>
        <w:rPr>
          <w:b/>
          <w:bCs/>
        </w:rPr>
      </w:pPr>
      <w:r w:rsidRPr="00E1622D">
        <w:rPr>
          <w:b/>
          <w:bCs/>
        </w:rPr>
        <w:t>Business As Usual (No State Requirements)</w:t>
      </w:r>
    </w:p>
    <w:p w14:paraId="658196A5" w14:textId="69F46159" w:rsidR="00E349DA" w:rsidRPr="00E1622D" w:rsidRDefault="00E349DA" w:rsidP="00E349DA">
      <w:r w:rsidRPr="00E1622D">
        <w:t>In this variant all state requirements are removed so that the only obligations to be met are load and federal policy obligations</w:t>
      </w:r>
      <w:r w:rsidR="00EA4F60" w:rsidRPr="00E1622D">
        <w:t xml:space="preserve">. </w:t>
      </w:r>
      <w:r w:rsidRPr="00E1622D">
        <w:t xml:space="preserve">The portfolio is fully endogenous and has gone through the same level of </w:t>
      </w:r>
      <w:r w:rsidR="00EA4F60" w:rsidRPr="00E1622D">
        <w:t>integration</w:t>
      </w:r>
      <w:r w:rsidRPr="00E1622D">
        <w:t xml:space="preserve"> as the preferred portfolio. The purpose of this variant is to evaluate how the preferred portfolio would change if no state requirements </w:t>
      </w:r>
      <w:r w:rsidR="00EA4F60" w:rsidRPr="00E1622D">
        <w:t>were</w:t>
      </w:r>
      <w:r w:rsidRPr="00E1622D">
        <w:t xml:space="preserve"> imposed. </w:t>
      </w:r>
    </w:p>
    <w:p w14:paraId="6CAB4071" w14:textId="77777777" w:rsidR="00E349DA" w:rsidRPr="00E1622D" w:rsidRDefault="00E349DA" w:rsidP="00E349DA">
      <w:pPr>
        <w:rPr>
          <w:b/>
          <w:bCs/>
        </w:rPr>
      </w:pPr>
      <w:r w:rsidRPr="00E1622D">
        <w:rPr>
          <w:b/>
          <w:bCs/>
        </w:rPr>
        <w:t>Early New Renewables</w:t>
      </w:r>
    </w:p>
    <w:p w14:paraId="55EBE2A3" w14:textId="6AAC3CF4" w:rsidR="00E349DA" w:rsidRPr="00E1622D" w:rsidRDefault="00E349DA" w:rsidP="00E349DA">
      <w:r w:rsidRPr="00E1622D">
        <w:t>This variant accelerates renewable resource selections from the preferred portfolio to show how earlier renewable resource builds impacts costs and risks. The purpose of this variant is to show how accelerated renewable resource builds in the preferred portfolio impacts costs and risks in the preferred portfolio while maintaining reliability.</w:t>
      </w:r>
    </w:p>
    <w:p w14:paraId="6A6235EF" w14:textId="77777777" w:rsidR="00E349DA" w:rsidRPr="00E1622D" w:rsidRDefault="00E349DA" w:rsidP="00E349DA">
      <w:pPr>
        <w:rPr>
          <w:b/>
          <w:bCs/>
        </w:rPr>
      </w:pPr>
      <w:r w:rsidRPr="00E1622D">
        <w:rPr>
          <w:b/>
          <w:bCs/>
        </w:rPr>
        <w:t>Jim Bridger Long Term Fuel Plan Adjustment</w:t>
      </w:r>
    </w:p>
    <w:p w14:paraId="432E6308" w14:textId="58B9C909" w:rsidR="00E349DA" w:rsidRPr="00E1622D" w:rsidRDefault="00E349DA" w:rsidP="00E349DA">
      <w:r w:rsidRPr="00E1622D">
        <w:t>This variant uses a different long term fuel plan for the Jim Bridger plant compared to the base assumption. The purpose of this variant is to show how a different long term fuel plan for Jim Bridger impacts costs and risks in the preferred portfolio while maintaining reliability.</w:t>
      </w:r>
    </w:p>
    <w:p w14:paraId="2B7F351D" w14:textId="5929A5AD" w:rsidR="00202D59" w:rsidRPr="00E1622D" w:rsidRDefault="00E349DA">
      <w:pPr>
        <w:rPr>
          <w:b/>
          <w:bCs/>
          <w:sz w:val="32"/>
          <w:szCs w:val="32"/>
        </w:rPr>
      </w:pPr>
      <w:r w:rsidRPr="00E1622D">
        <w:rPr>
          <w:b/>
          <w:bCs/>
          <w:sz w:val="32"/>
          <w:szCs w:val="32"/>
        </w:rPr>
        <w:t xml:space="preserve">Sensitivities </w:t>
      </w:r>
    </w:p>
    <w:p w14:paraId="36C9C75F" w14:textId="206182A2" w:rsidR="00E349DA" w:rsidRPr="00E1622D" w:rsidRDefault="00E349DA" w:rsidP="00E349DA">
      <w:pPr>
        <w:rPr>
          <w:b/>
          <w:bCs/>
        </w:rPr>
      </w:pPr>
      <w:r w:rsidRPr="00E1622D">
        <w:rPr>
          <w:b/>
          <w:bCs/>
        </w:rPr>
        <w:t>Large</w:t>
      </w:r>
      <w:r w:rsidR="00EA4F60" w:rsidRPr="00E1622D">
        <w:rPr>
          <w:b/>
          <w:bCs/>
        </w:rPr>
        <w:t>-</w:t>
      </w:r>
      <w:r w:rsidRPr="00E1622D">
        <w:rPr>
          <w:b/>
          <w:bCs/>
        </w:rPr>
        <w:t xml:space="preserve">Metered Load Growth </w:t>
      </w:r>
    </w:p>
    <w:p w14:paraId="2DEA95F9" w14:textId="1B9C9E8B" w:rsidR="00E349DA" w:rsidRPr="00E1622D" w:rsidRDefault="00E349DA" w:rsidP="00E349DA">
      <w:r w:rsidRPr="00E1622D">
        <w:t xml:space="preserve">In this </w:t>
      </w:r>
      <w:r w:rsidR="00EA4F60" w:rsidRPr="00E1622D">
        <w:t>sensitivity</w:t>
      </w:r>
      <w:r w:rsidRPr="00E1622D">
        <w:t xml:space="preserve"> the base load forecast is replaced with a new load forecast incorporating high </w:t>
      </w:r>
      <w:r w:rsidR="00EA4F60" w:rsidRPr="00E1622D">
        <w:t>large-metered</w:t>
      </w:r>
      <w:r w:rsidRPr="00E1622D">
        <w:t xml:space="preserve"> load growth. The preferred portfolio is re-optimized with this new load forecast to evaluate the cost and risk impacts of future </w:t>
      </w:r>
      <w:r w:rsidR="00EA4F60" w:rsidRPr="00E1622D">
        <w:t>large-metered</w:t>
      </w:r>
      <w:r w:rsidRPr="00E1622D">
        <w:t xml:space="preserve"> load growth.</w:t>
      </w:r>
    </w:p>
    <w:p w14:paraId="75F24D87" w14:textId="77777777" w:rsidR="00E349DA" w:rsidRPr="00E1622D" w:rsidRDefault="00E349DA" w:rsidP="00E349DA">
      <w:pPr>
        <w:rPr>
          <w:b/>
          <w:bCs/>
        </w:rPr>
      </w:pPr>
      <w:r w:rsidRPr="00E1622D">
        <w:rPr>
          <w:b/>
          <w:bCs/>
        </w:rPr>
        <w:lastRenderedPageBreak/>
        <w:t xml:space="preserve">High Load Growth </w:t>
      </w:r>
    </w:p>
    <w:p w14:paraId="1DC2B339" w14:textId="329800EB" w:rsidR="00E349DA" w:rsidRPr="00E1622D" w:rsidRDefault="00E349DA" w:rsidP="00E349DA">
      <w:r w:rsidRPr="00E1622D">
        <w:t xml:space="preserve">In this </w:t>
      </w:r>
      <w:r w:rsidR="00EA4F60" w:rsidRPr="00E1622D">
        <w:t>sensitivity</w:t>
      </w:r>
      <w:r w:rsidRPr="00E1622D">
        <w:t xml:space="preserve"> the base load forecast is replaced with a high load forecast. The preferred portfolio is re-optimized with this new load forecast to evaluate the cost and risk impacts of higher loads.</w:t>
      </w:r>
    </w:p>
    <w:p w14:paraId="6B953D9C" w14:textId="77777777" w:rsidR="00E349DA" w:rsidRPr="00E1622D" w:rsidRDefault="00E349DA" w:rsidP="00E349DA">
      <w:pPr>
        <w:rPr>
          <w:b/>
          <w:bCs/>
        </w:rPr>
      </w:pPr>
      <w:r w:rsidRPr="00E1622D">
        <w:rPr>
          <w:b/>
          <w:bCs/>
        </w:rPr>
        <w:t xml:space="preserve">Low Load Growth </w:t>
      </w:r>
    </w:p>
    <w:p w14:paraId="09E90CB1" w14:textId="0CE25364" w:rsidR="00E349DA" w:rsidRPr="00E1622D" w:rsidRDefault="00E349DA" w:rsidP="00E349DA">
      <w:r w:rsidRPr="00E1622D">
        <w:t xml:space="preserve">In this </w:t>
      </w:r>
      <w:r w:rsidR="00EA4F60" w:rsidRPr="00E1622D">
        <w:t>sensitivity</w:t>
      </w:r>
      <w:r w:rsidRPr="00E1622D">
        <w:t xml:space="preserve"> the base load forecast is replaced with a low load forecast. The preferred portfolio is re-optimized with this new load forecast to evaluate the cost and risk impacts of lower loads.</w:t>
      </w:r>
    </w:p>
    <w:p w14:paraId="57697664" w14:textId="77777777" w:rsidR="00E349DA" w:rsidRPr="00E1622D" w:rsidRDefault="00E349DA" w:rsidP="00E349DA">
      <w:pPr>
        <w:rPr>
          <w:b/>
          <w:bCs/>
        </w:rPr>
      </w:pPr>
      <w:r w:rsidRPr="00E1622D">
        <w:rPr>
          <w:b/>
          <w:bCs/>
        </w:rPr>
        <w:t>1 in 20 Peak Load</w:t>
      </w:r>
    </w:p>
    <w:p w14:paraId="625071FF" w14:textId="75056FF0" w:rsidR="00E349DA" w:rsidRPr="00E1622D" w:rsidRDefault="00E349DA" w:rsidP="00E349DA">
      <w:r w:rsidRPr="00E1622D">
        <w:t xml:space="preserve">In this </w:t>
      </w:r>
      <w:r w:rsidR="00EA4F60" w:rsidRPr="00E1622D">
        <w:t>sensitivity</w:t>
      </w:r>
      <w:r w:rsidRPr="00E1622D">
        <w:t xml:space="preserve"> the base load forecast is replaced with a high load forecast based on a historical </w:t>
      </w:r>
      <w:r w:rsidR="008937D3" w:rsidRPr="00E1622D">
        <w:t>20-year</w:t>
      </w:r>
      <w:r w:rsidRPr="00E1622D">
        <w:t xml:space="preserve"> high load year. The preferred portfolio is re-optimized with this new load forecast to evaluate the cost and risk impacts of the </w:t>
      </w:r>
      <w:r w:rsidR="00EA4F60" w:rsidRPr="00E1622D">
        <w:t>20-year high load year</w:t>
      </w:r>
      <w:r w:rsidRPr="00E1622D">
        <w:t>.</w:t>
      </w:r>
    </w:p>
    <w:p w14:paraId="03EFC9C0" w14:textId="77777777" w:rsidR="00E349DA" w:rsidRPr="00E1622D" w:rsidRDefault="00E349DA" w:rsidP="00E349DA">
      <w:pPr>
        <w:rPr>
          <w:b/>
          <w:bCs/>
        </w:rPr>
      </w:pPr>
      <w:r w:rsidRPr="00E1622D">
        <w:rPr>
          <w:b/>
          <w:bCs/>
        </w:rPr>
        <w:t xml:space="preserve">High Private Generation </w:t>
      </w:r>
    </w:p>
    <w:p w14:paraId="5BFECFF2" w14:textId="0D2ABE0D" w:rsidR="00E349DA" w:rsidRPr="00E1622D" w:rsidRDefault="00E349DA" w:rsidP="00E349DA">
      <w:r w:rsidRPr="00E1622D">
        <w:t xml:space="preserve">In this </w:t>
      </w:r>
      <w:r w:rsidR="00EA4F60" w:rsidRPr="00E1622D">
        <w:t>sensitivity</w:t>
      </w:r>
      <w:r w:rsidRPr="00E1622D">
        <w:t xml:space="preserve"> the base load forecast is replaced with a new load forecast incorporating high private generation which reduces load. The preferred portfolio is re-optimized with this new load forecast to evaluate the cost and risk impacts of </w:t>
      </w:r>
      <w:r w:rsidR="008937D3" w:rsidRPr="00E1622D">
        <w:t>a</w:t>
      </w:r>
      <w:r w:rsidRPr="00E1622D">
        <w:t xml:space="preserve"> future with high private generation.</w:t>
      </w:r>
    </w:p>
    <w:p w14:paraId="211B820D" w14:textId="77777777" w:rsidR="00E349DA" w:rsidRPr="00E1622D" w:rsidRDefault="00E349DA" w:rsidP="00E349DA">
      <w:pPr>
        <w:rPr>
          <w:b/>
          <w:bCs/>
        </w:rPr>
      </w:pPr>
      <w:r w:rsidRPr="00E1622D">
        <w:rPr>
          <w:b/>
          <w:bCs/>
        </w:rPr>
        <w:t>Low Private Generation</w:t>
      </w:r>
    </w:p>
    <w:p w14:paraId="439AE02A" w14:textId="44024523" w:rsidR="00E349DA" w:rsidRPr="00E1622D" w:rsidRDefault="00E349DA" w:rsidP="00E349DA">
      <w:r w:rsidRPr="00E1622D">
        <w:t xml:space="preserve">In this </w:t>
      </w:r>
      <w:r w:rsidR="00EA4F60" w:rsidRPr="00E1622D">
        <w:t>sensitivity</w:t>
      </w:r>
      <w:r w:rsidRPr="00E1622D">
        <w:t xml:space="preserve"> the base load forecast is replaced with a new load forecast incorporating low private generation which increases load. The preferred portfolio is re-optimized with this new load forecast to evaluate the cost and risk impacts of </w:t>
      </w:r>
      <w:r w:rsidR="008937D3" w:rsidRPr="00E1622D">
        <w:t>a</w:t>
      </w:r>
      <w:r w:rsidRPr="00E1622D">
        <w:t xml:space="preserve"> future with low private generation.</w:t>
      </w:r>
    </w:p>
    <w:p w14:paraId="3758E226" w14:textId="74FA992E" w:rsidR="00E349DA" w:rsidRPr="00E1622D" w:rsidRDefault="00E349DA" w:rsidP="00E349DA">
      <w:pPr>
        <w:rPr>
          <w:b/>
          <w:bCs/>
        </w:rPr>
      </w:pPr>
      <w:r w:rsidRPr="00E1622D">
        <w:rPr>
          <w:b/>
          <w:bCs/>
        </w:rPr>
        <w:t>Large</w:t>
      </w:r>
      <w:r w:rsidR="00EA4F60" w:rsidRPr="00E1622D">
        <w:rPr>
          <w:b/>
          <w:bCs/>
        </w:rPr>
        <w:t>-</w:t>
      </w:r>
      <w:r w:rsidRPr="00E1622D">
        <w:rPr>
          <w:b/>
          <w:bCs/>
        </w:rPr>
        <w:t xml:space="preserve">Metered Load Growth - All State Compliant </w:t>
      </w:r>
    </w:p>
    <w:p w14:paraId="577531FF" w14:textId="69446F51" w:rsidR="00E349DA" w:rsidRPr="00E1622D" w:rsidRDefault="00E349DA" w:rsidP="00E349DA">
      <w:r w:rsidRPr="00E1622D">
        <w:t xml:space="preserve">In this </w:t>
      </w:r>
      <w:r w:rsidR="00EA4F60" w:rsidRPr="00E1622D">
        <w:t>sensitivity</w:t>
      </w:r>
      <w:r w:rsidRPr="00E1622D">
        <w:t xml:space="preserve"> the base load forecast is replaced with a new load forecast incorporating high </w:t>
      </w:r>
      <w:r w:rsidR="008937D3" w:rsidRPr="00E1622D">
        <w:t>large</w:t>
      </w:r>
      <w:r w:rsidR="00EA4F60" w:rsidRPr="00E1622D">
        <w:t>-</w:t>
      </w:r>
      <w:r w:rsidR="008937D3" w:rsidRPr="00E1622D">
        <w:t>metered</w:t>
      </w:r>
      <w:r w:rsidRPr="00E1622D">
        <w:t xml:space="preserve"> load growth. The preferred portfolio is re-optimized with this new load forecast to evaluate the cost and risk impacts of future high large</w:t>
      </w:r>
      <w:r w:rsidR="00EA4F60" w:rsidRPr="00E1622D">
        <w:t>-</w:t>
      </w:r>
      <w:r w:rsidRPr="00E1622D">
        <w:t>metered load growth. This portfolio has gone through the same integration process to fill any state compliance shortfalls as the preferred portfolio.</w:t>
      </w:r>
    </w:p>
    <w:p w14:paraId="67E892D6" w14:textId="65000650" w:rsidR="00E349DA" w:rsidRPr="00E1622D" w:rsidRDefault="00E349DA" w:rsidP="00E349DA">
      <w:pPr>
        <w:rPr>
          <w:b/>
          <w:bCs/>
        </w:rPr>
      </w:pPr>
      <w:r w:rsidRPr="00E1622D">
        <w:rPr>
          <w:b/>
          <w:bCs/>
        </w:rPr>
        <w:t xml:space="preserve">Max Customer </w:t>
      </w:r>
      <w:r w:rsidR="008937D3" w:rsidRPr="00E1622D">
        <w:rPr>
          <w:b/>
          <w:bCs/>
        </w:rPr>
        <w:t>Benefits</w:t>
      </w:r>
      <w:r w:rsidRPr="00E1622D">
        <w:rPr>
          <w:b/>
          <w:bCs/>
        </w:rPr>
        <w:t xml:space="preserve"> </w:t>
      </w:r>
    </w:p>
    <w:p w14:paraId="7707BBC0" w14:textId="12C28F34" w:rsidR="00E349DA" w:rsidRPr="00E1622D" w:rsidRDefault="00E349DA" w:rsidP="00E349DA">
      <w:r w:rsidRPr="00E1622D">
        <w:t>WAC 480-100-620(10)(c) instructs utilities to “model the maximum amount of customer benefits described in RCW 19.405.040(8) prior to balancing against other goals.” The maximum customer benefit scenario focuses on adding distributed generation, demand response, and energy efficiency in Washington, as well as avoiding high-voltage transmission upgrades in PacifiCorp’s Yakima and Walla Walla communities to minimize burdens and maximize benefits to Washington customers. Washington load forecast reflects the high private generation forecast. The portfolio assumes the social cost of greenhouse gas price-policy scenario and includes all available Washington energy efficiency and demand response. The study also removes Yakima and Walla Walla area transmission and relies on increased small-scale renewables.</w:t>
      </w:r>
    </w:p>
    <w:p w14:paraId="6055FD13" w14:textId="77777777" w:rsidR="00E349DA" w:rsidRPr="00E1622D" w:rsidRDefault="00E349DA" w:rsidP="00E349DA">
      <w:pPr>
        <w:rPr>
          <w:b/>
          <w:bCs/>
        </w:rPr>
      </w:pPr>
      <w:r w:rsidRPr="00E1622D">
        <w:rPr>
          <w:b/>
          <w:bCs/>
        </w:rPr>
        <w:t xml:space="preserve">Customer Preference </w:t>
      </w:r>
    </w:p>
    <w:p w14:paraId="0F4D6A04" w14:textId="2C035F19" w:rsidR="00E349DA" w:rsidRPr="00E1622D" w:rsidRDefault="00E349DA" w:rsidP="00E349DA">
      <w:r w:rsidRPr="00E1622D">
        <w:t>Low transmission build? More small scale?</w:t>
      </w:r>
    </w:p>
    <w:p w14:paraId="0F55C3CA" w14:textId="6BE62CC5" w:rsidR="00E349DA" w:rsidRPr="00E1622D" w:rsidRDefault="008937D3" w:rsidP="00E349DA">
      <w:pPr>
        <w:rPr>
          <w:b/>
          <w:bCs/>
        </w:rPr>
      </w:pPr>
      <w:r w:rsidRPr="00E1622D">
        <w:rPr>
          <w:b/>
          <w:bCs/>
        </w:rPr>
        <w:lastRenderedPageBreak/>
        <w:t>Low-Cost</w:t>
      </w:r>
      <w:r w:rsidR="00E349DA" w:rsidRPr="00E1622D">
        <w:rPr>
          <w:b/>
          <w:bCs/>
        </w:rPr>
        <w:t xml:space="preserve"> Renewables </w:t>
      </w:r>
    </w:p>
    <w:p w14:paraId="68917B08" w14:textId="263EAC46" w:rsidR="00E349DA" w:rsidRPr="00E1622D" w:rsidRDefault="00E349DA" w:rsidP="00E349DA">
      <w:r w:rsidRPr="00E1622D">
        <w:t xml:space="preserve">This </w:t>
      </w:r>
      <w:r w:rsidR="00EA4F60" w:rsidRPr="00E1622D">
        <w:t>sensitivity</w:t>
      </w:r>
      <w:r w:rsidRPr="00E1622D">
        <w:t xml:space="preserve"> assumes proxy renewable resources are lower cost than what PacifiCorp assumes in </w:t>
      </w:r>
      <w:r w:rsidR="008937D3" w:rsidRPr="00E1622D">
        <w:t>its</w:t>
      </w:r>
      <w:r w:rsidRPr="00E1622D">
        <w:t xml:space="preserve"> base assumption. [Renewable resources were given a different escalation rate, assume a lower financing cost, and assume a lower </w:t>
      </w:r>
      <w:r w:rsidR="008937D3" w:rsidRPr="00E1622D">
        <w:t>domestic</w:t>
      </w:r>
      <w:r w:rsidRPr="00E1622D">
        <w:t xml:space="preserve"> content adder]…</w:t>
      </w:r>
    </w:p>
    <w:p w14:paraId="6844E13D" w14:textId="222673A3" w:rsidR="00E349DA" w:rsidRPr="00E1622D" w:rsidRDefault="008937D3" w:rsidP="00E349DA">
      <w:pPr>
        <w:rPr>
          <w:b/>
          <w:bCs/>
        </w:rPr>
      </w:pPr>
      <w:r w:rsidRPr="00E1622D">
        <w:rPr>
          <w:b/>
          <w:bCs/>
        </w:rPr>
        <w:t>High-Cost</w:t>
      </w:r>
      <w:r w:rsidR="00E349DA" w:rsidRPr="00E1622D">
        <w:rPr>
          <w:b/>
          <w:bCs/>
        </w:rPr>
        <w:t xml:space="preserve"> </w:t>
      </w:r>
      <w:r w:rsidRPr="00E1622D">
        <w:rPr>
          <w:b/>
          <w:bCs/>
        </w:rPr>
        <w:t>Renewables</w:t>
      </w:r>
    </w:p>
    <w:p w14:paraId="71EDD0A2" w14:textId="05DB7BB7" w:rsidR="00E349DA" w:rsidRPr="00E1622D" w:rsidRDefault="00E349DA" w:rsidP="00E349DA">
      <w:r w:rsidRPr="00E1622D">
        <w:t xml:space="preserve">This </w:t>
      </w:r>
      <w:r w:rsidR="00EA4F60" w:rsidRPr="00E1622D">
        <w:t>sensitivity</w:t>
      </w:r>
      <w:r w:rsidRPr="00E1622D">
        <w:t xml:space="preserve"> assumes proxy renewable resources are lower cost than what PacifiCorp assumes in </w:t>
      </w:r>
      <w:r w:rsidR="008937D3" w:rsidRPr="00E1622D">
        <w:t>its</w:t>
      </w:r>
      <w:r w:rsidRPr="00E1622D">
        <w:t xml:space="preserve"> base assumption. [Renewable resources were given a different escalation rate, assume a lower financing cost, and assume a lower </w:t>
      </w:r>
      <w:r w:rsidR="008937D3" w:rsidRPr="00E1622D">
        <w:t>domestic</w:t>
      </w:r>
      <w:r w:rsidRPr="00E1622D">
        <w:t xml:space="preserve"> content adder]…</w:t>
      </w:r>
    </w:p>
    <w:p w14:paraId="24A18462" w14:textId="3581DE97" w:rsidR="00E349DA" w:rsidRPr="00E1622D" w:rsidRDefault="00E349DA" w:rsidP="00E349DA">
      <w:pPr>
        <w:rPr>
          <w:b/>
          <w:bCs/>
        </w:rPr>
      </w:pPr>
      <w:r w:rsidRPr="00E1622D">
        <w:rPr>
          <w:b/>
          <w:bCs/>
        </w:rPr>
        <w:t>Remove Climate Change Adjustments</w:t>
      </w:r>
    </w:p>
    <w:p w14:paraId="0C4A8C45" w14:textId="506817B4" w:rsidR="00E349DA" w:rsidRPr="00E349DA" w:rsidRDefault="00E349DA" w:rsidP="00E349DA">
      <w:r w:rsidRPr="00E1622D">
        <w:t>Remove climate change adjustments from load forecast? Remove from price curves?</w:t>
      </w:r>
    </w:p>
    <w:p w14:paraId="614C110A" w14:textId="77777777" w:rsidR="00E349DA" w:rsidRPr="00E349DA" w:rsidRDefault="00E349DA"/>
    <w:sectPr w:rsidR="00E349DA" w:rsidRPr="00E349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49DA"/>
    <w:rsid w:val="000503BB"/>
    <w:rsid w:val="00061C8F"/>
    <w:rsid w:val="00202D59"/>
    <w:rsid w:val="00257F38"/>
    <w:rsid w:val="00273976"/>
    <w:rsid w:val="0045542B"/>
    <w:rsid w:val="00823825"/>
    <w:rsid w:val="00837DFE"/>
    <w:rsid w:val="008937D3"/>
    <w:rsid w:val="009F56F9"/>
    <w:rsid w:val="00A32352"/>
    <w:rsid w:val="00B46A1A"/>
    <w:rsid w:val="00DC10A0"/>
    <w:rsid w:val="00E1622D"/>
    <w:rsid w:val="00E349DA"/>
    <w:rsid w:val="00EA4F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9305A4"/>
  <w15:chartTrackingRefBased/>
  <w15:docId w15:val="{A27A6697-3E6F-4015-8B52-19F60C317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349D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349D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349D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349D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349D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349D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349D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349D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349D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49D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349D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349D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349D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349D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349D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349D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349D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349DA"/>
    <w:rPr>
      <w:rFonts w:eastAsiaTheme="majorEastAsia" w:cstheme="majorBidi"/>
      <w:color w:val="272727" w:themeColor="text1" w:themeTint="D8"/>
    </w:rPr>
  </w:style>
  <w:style w:type="paragraph" w:styleId="Title">
    <w:name w:val="Title"/>
    <w:basedOn w:val="Normal"/>
    <w:next w:val="Normal"/>
    <w:link w:val="TitleChar"/>
    <w:uiPriority w:val="10"/>
    <w:qFormat/>
    <w:rsid w:val="00E349D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349D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349D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349D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49DA"/>
    <w:pPr>
      <w:spacing w:before="160"/>
      <w:jc w:val="center"/>
    </w:pPr>
    <w:rPr>
      <w:i/>
      <w:iCs/>
      <w:color w:val="404040" w:themeColor="text1" w:themeTint="BF"/>
    </w:rPr>
  </w:style>
  <w:style w:type="character" w:customStyle="1" w:styleId="QuoteChar">
    <w:name w:val="Quote Char"/>
    <w:basedOn w:val="DefaultParagraphFont"/>
    <w:link w:val="Quote"/>
    <w:uiPriority w:val="29"/>
    <w:rsid w:val="00E349DA"/>
    <w:rPr>
      <w:i/>
      <w:iCs/>
      <w:color w:val="404040" w:themeColor="text1" w:themeTint="BF"/>
    </w:rPr>
  </w:style>
  <w:style w:type="paragraph" w:styleId="ListParagraph">
    <w:name w:val="List Paragraph"/>
    <w:basedOn w:val="Normal"/>
    <w:uiPriority w:val="34"/>
    <w:qFormat/>
    <w:rsid w:val="00E349DA"/>
    <w:pPr>
      <w:ind w:left="720"/>
      <w:contextualSpacing/>
    </w:pPr>
  </w:style>
  <w:style w:type="character" w:styleId="IntenseEmphasis">
    <w:name w:val="Intense Emphasis"/>
    <w:basedOn w:val="DefaultParagraphFont"/>
    <w:uiPriority w:val="21"/>
    <w:qFormat/>
    <w:rsid w:val="00E349DA"/>
    <w:rPr>
      <w:i/>
      <w:iCs/>
      <w:color w:val="0F4761" w:themeColor="accent1" w:themeShade="BF"/>
    </w:rPr>
  </w:style>
  <w:style w:type="paragraph" w:styleId="IntenseQuote">
    <w:name w:val="Intense Quote"/>
    <w:basedOn w:val="Normal"/>
    <w:next w:val="Normal"/>
    <w:link w:val="IntenseQuoteChar"/>
    <w:uiPriority w:val="30"/>
    <w:qFormat/>
    <w:rsid w:val="00E349D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349DA"/>
    <w:rPr>
      <w:i/>
      <w:iCs/>
      <w:color w:val="0F4761" w:themeColor="accent1" w:themeShade="BF"/>
    </w:rPr>
  </w:style>
  <w:style w:type="character" w:styleId="IntenseReference">
    <w:name w:val="Intense Reference"/>
    <w:basedOn w:val="DefaultParagraphFont"/>
    <w:uiPriority w:val="32"/>
    <w:qFormat/>
    <w:rsid w:val="00E349D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4983342">
      <w:bodyDiv w:val="1"/>
      <w:marLeft w:val="0"/>
      <w:marRight w:val="0"/>
      <w:marTop w:val="0"/>
      <w:marBottom w:val="0"/>
      <w:divBdr>
        <w:top w:val="none" w:sz="0" w:space="0" w:color="auto"/>
        <w:left w:val="none" w:sz="0" w:space="0" w:color="auto"/>
        <w:bottom w:val="none" w:sz="0" w:space="0" w:color="auto"/>
        <w:right w:val="none" w:sz="0" w:space="0" w:color="auto"/>
      </w:divBdr>
    </w:div>
    <w:div w:id="504907104">
      <w:bodyDiv w:val="1"/>
      <w:marLeft w:val="0"/>
      <w:marRight w:val="0"/>
      <w:marTop w:val="0"/>
      <w:marBottom w:val="0"/>
      <w:divBdr>
        <w:top w:val="none" w:sz="0" w:space="0" w:color="auto"/>
        <w:left w:val="none" w:sz="0" w:space="0" w:color="auto"/>
        <w:bottom w:val="none" w:sz="0" w:space="0" w:color="auto"/>
        <w:right w:val="none" w:sz="0" w:space="0" w:color="auto"/>
      </w:divBdr>
    </w:div>
    <w:div w:id="2099325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 Id="rId9"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Filed Document" ma:contentTypeID="0x0101006E56B4D1795A2E4DB2F0B01679ED314A001F08DB4955B0D342BFDD40F8F1264977" ma:contentTypeVersion="24" ma:contentTypeDescription="" ma:contentTypeScope="" ma:versionID="2d0cde048cbbdfd54a20e0eb72fbbfe2">
  <xsd:schema xmlns:xsd="http://www.w3.org/2001/XMLSchema" xmlns:xs="http://www.w3.org/2001/XMLSchema" xmlns:p="http://schemas.microsoft.com/office/2006/metadata/properties" xmlns:ns1="http://schemas.microsoft.com/sharepoint/v3" xmlns:ns2="dc463f71-b30c-4ab2-9473-d307f9d35888" targetNamespace="http://schemas.microsoft.com/office/2006/metadata/properties" ma:root="true" ma:fieldsID="43d1e58e9723df997e85f06fba2dda68" ns1:_="" ns2:_="">
    <xsd:import namespace="http://schemas.microsoft.com/sharepoint/v3"/>
    <xsd:import namespace="dc463f71-b30c-4ab2-9473-d307f9d35888"/>
    <xsd:element name="properties">
      <xsd:complexType>
        <xsd:sequence>
          <xsd:element name="documentManagement">
            <xsd:complexType>
              <xsd:all>
                <xsd:element ref="ns2:IsConfidential" minOccurs="0"/>
                <xsd:element ref="ns2:IsHighlyConfidential" minOccurs="0"/>
                <xsd:element ref="ns2:Date1" minOccurs="0"/>
                <xsd:element ref="ns2:DocketNumber" minOccurs="0"/>
                <xsd:element ref="ns2:DocumentSetType" minOccurs="0"/>
                <xsd:element ref="ns2:IndustryCode" minOccurs="0"/>
                <xsd:element ref="ns2:CaseType" minOccurs="0"/>
                <xsd:element ref="ns2:CaseStatus" minOccurs="0"/>
                <xsd:element ref="ns2:AgendaOrder" minOccurs="0"/>
                <xsd:element ref="ns2:DelegatedOrder" minOccurs="0"/>
                <xsd:element ref="ns2:IsDocumentOrder" minOccurs="0"/>
                <xsd:element ref="ns2:CaseCompanyNames" minOccurs="0"/>
                <xsd:element ref="ns2:OpenedDate" minOccurs="0"/>
                <xsd:element ref="ns2:Prefix" minOccurs="0"/>
                <xsd:element ref="ns2:Visibility" minOccurs="0"/>
                <xsd:element ref="ns1:Nickname" minOccurs="0"/>
                <xsd:element ref="ns2:Significant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Nickname" ma:index="17" nillable="true" ma:displayName="Nickname" ma:internalName="Nicknam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63f71-b30c-4ab2-9473-d307f9d35888" elementFormDefault="qualified">
    <xsd:import namespace="http://schemas.microsoft.com/office/2006/documentManagement/types"/>
    <xsd:import namespace="http://schemas.microsoft.com/office/infopath/2007/PartnerControls"/>
    <xsd:element name="IsConfidential" ma:index="2" nillable="true" ma:displayName="Is Confidential" ma:default="0" ma:internalName="IsConfidential" ma:readOnly="false">
      <xsd:simpleType>
        <xsd:restriction base="dms:Boolean"/>
      </xsd:simpleType>
    </xsd:element>
    <xsd:element name="IsHighlyConfidential" ma:index="3" nillable="true" ma:displayName="Is Highly Confidential" ma:default="0" ma:internalName="IsHighlyConfidential" ma:readOnly="false">
      <xsd:simpleType>
        <xsd:restriction base="dms:Boolean"/>
      </xsd:simpleType>
    </xsd:element>
    <xsd:element name="Date1" ma:index="4" nillable="true" ma:displayName="Date" ma:default="[today]" ma:description="Date the document set was requested" ma:format="DateOnly" ma:internalName="Date1" ma:readOnly="false">
      <xsd:simpleType>
        <xsd:restriction base="dms:DateTime"/>
      </xsd:simpleType>
    </xsd:element>
    <xsd:element name="DocketNumber" ma:index="5" nillable="true" ma:displayName="Docket Number" ma:internalName="DocketNumber" ma:readOnly="false">
      <xsd:simpleType>
        <xsd:restriction base="dms:Text">
          <xsd:maxLength value="255"/>
        </xsd:restriction>
      </xsd:simpleType>
    </xsd:element>
    <xsd:element name="DocumentSetType" ma:index="6" nillable="true" ma:displayName="Document Set Type" ma:internalName="DocumentSetType" ma:readOnly="false">
      <xsd:simpleType>
        <xsd:restriction base="dms:Text">
          <xsd:maxLength value="255"/>
        </xsd:restriction>
      </xsd:simpleType>
    </xsd:element>
    <xsd:element name="IndustryCode" ma:index="7" nillable="true" ma:displayName="Industry Code" ma:internalName="IndustryCode" ma:readOnly="false">
      <xsd:simpleType>
        <xsd:restriction base="dms:Text">
          <xsd:maxLength value="255"/>
        </xsd:restriction>
      </xsd:simpleType>
    </xsd:element>
    <xsd:element name="CaseType" ma:index="8" nillable="true" ma:displayName="CaseType" ma:internalName="CaseType" ma:readOnly="false">
      <xsd:simpleType>
        <xsd:restriction base="dms:Text">
          <xsd:maxLength value="255"/>
        </xsd:restriction>
      </xsd:simpleType>
    </xsd:element>
    <xsd:element name="CaseStatus" ma:index="9" nillable="true" ma:displayName="CaseStatus" ma:internalName="CaseStatus" ma:readOnly="false">
      <xsd:simpleType>
        <xsd:restriction base="dms:Text">
          <xsd:maxLength value="255"/>
        </xsd:restriction>
      </xsd:simpleType>
    </xsd:element>
    <xsd:element name="AgendaOrder" ma:index="10" nillable="true" ma:displayName="Agenda Order" ma:default="0" ma:internalName="AgendaOrder" ma:readOnly="false">
      <xsd:simpleType>
        <xsd:restriction base="dms:Boolean"/>
      </xsd:simpleType>
    </xsd:element>
    <xsd:element name="DelegatedOrder" ma:index="11" nillable="true" ma:displayName="DelegatedOrder" ma:default="0" ma:description="Is this a delegated order?" ma:internalName="DelegatedOrder" ma:readOnly="false">
      <xsd:simpleType>
        <xsd:restriction base="dms:Boolean"/>
      </xsd:simpleType>
    </xsd:element>
    <xsd:element name="IsDocumentOrder" ma:index="12" nillable="true" ma:displayName="IsDocumentOrder" ma:default="0" ma:internalName="IsDocumentOrder" ma:readOnly="false">
      <xsd:simpleType>
        <xsd:restriction base="dms:Boolean"/>
      </xsd:simpleType>
    </xsd:element>
    <xsd:element name="CaseCompanyNames" ma:index="13" nillable="true" ma:displayName="Company Names" ma:description="Company names delimited by ;" ma:internalName="CaseCompanyNames" ma:readOnly="false">
      <xsd:simpleType>
        <xsd:restriction base="dms:Note">
          <xsd:maxLength value="255"/>
        </xsd:restriction>
      </xsd:simpleType>
    </xsd:element>
    <xsd:element name="OpenedDate" ma:index="14" nillable="true" ma:displayName="OpenedDate" ma:format="DateOnly" ma:internalName="OpenedDate">
      <xsd:simpleType>
        <xsd:restriction base="dms:DateTime"/>
      </xsd:simpleType>
    </xsd:element>
    <xsd:element name="Prefix" ma:index="15" nillable="true" ma:displayName="Prefix" ma:description="Docket number prefix" ma:internalName="Prefix">
      <xsd:simpleType>
        <xsd:restriction base="dms:Text">
          <xsd:maxLength value="255"/>
        </xsd:restriction>
      </xsd:simpleType>
    </xsd:element>
    <xsd:element name="Visibility" ma:index="16" nillable="true" ma:displayName="Visibility" ma:default="Full Visibility" ma:format="Dropdown" ma:internalName="Visibility" ma:readOnly="false">
      <xsd:simpleType>
        <xsd:restriction base="dms:Choice">
          <xsd:enumeration value="Full Visibility"/>
        </xsd:restriction>
      </xsd:simpleType>
    </xsd:element>
    <xsd:element name="SignificantOrder" ma:index="24" nillable="true" ma:displayName="SignificantOrder" ma:default="0" ma:description="Whether this document set contains a significant order" ma:internalName="SignificantOrder">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015f1b76-b32e-440f-80a7-f0ca4d8a872c" ContentTypeId="0x0101006E56B4D1795A2E4DB2F0B01679ED314A" PreviousValue="tru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refix xmlns="dc463f71-b30c-4ab2-9473-d307f9d35888">UE</Prefix>
    <DocumentSetType xmlns="dc463f71-b30c-4ab2-9473-d307f9d35888">Workpapers</DocumentSetType>
    <Visibility xmlns="dc463f71-b30c-4ab2-9473-d307f9d35888">Full Visibility</Visibility>
    <IsConfidential xmlns="dc463f71-b30c-4ab2-9473-d307f9d35888">false</IsConfidential>
    <AgendaOrder xmlns="dc463f71-b30c-4ab2-9473-d307f9d35888">false</AgendaOrder>
    <CaseType xmlns="dc463f71-b30c-4ab2-9473-d307f9d35888">Plan</CaseType>
    <IndustryCode xmlns="dc463f71-b30c-4ab2-9473-d307f9d35888">140</IndustryCode>
    <CaseStatus xmlns="dc463f71-b30c-4ab2-9473-d307f9d35888">Pending</CaseStatus>
    <OpenedDate xmlns="dc463f71-b30c-4ab2-9473-d307f9d35888">2023-10-03T07:00:00+00:00</OpenedDate>
    <SignificantOrder xmlns="dc463f71-b30c-4ab2-9473-d307f9d35888">false</SignificantOrder>
    <Date1 xmlns="dc463f71-b30c-4ab2-9473-d307f9d35888">2025-01-17T08:00:00+00:00</Date1>
    <IsDocumentOrder xmlns="dc463f71-b30c-4ab2-9473-d307f9d35888">false</IsDocumentOrder>
    <IsHighlyConfidential xmlns="dc463f71-b30c-4ab2-9473-d307f9d35888">false</IsHighlyConfidential>
    <CaseCompanyNames xmlns="dc463f71-b30c-4ab2-9473-d307f9d35888">PacifiCorp</CaseCompanyNames>
    <Nickname xmlns="http://schemas.microsoft.com/sharepoint/v3" xsi:nil="true"/>
    <DocketNumber xmlns="dc463f71-b30c-4ab2-9473-d307f9d35888">230812</DocketNumber>
    <DelegatedOrder xmlns="dc463f71-b30c-4ab2-9473-d307f9d35888">false</DelegatedOrder>
  </documentManagement>
</p:properties>
</file>

<file path=customXml/itemProps1.xml><?xml version="1.0" encoding="utf-8"?>
<ds:datastoreItem xmlns:ds="http://schemas.openxmlformats.org/officeDocument/2006/customXml" ds:itemID="{41DC4FED-A9F5-4C73-A89F-D443FEF04960}"/>
</file>

<file path=customXml/itemProps2.xml><?xml version="1.0" encoding="utf-8"?>
<ds:datastoreItem xmlns:ds="http://schemas.openxmlformats.org/officeDocument/2006/customXml" ds:itemID="{FF549382-8E80-4540-BF67-80B7E86FA894}"/>
</file>

<file path=customXml/itemProps3.xml><?xml version="1.0" encoding="utf-8"?>
<ds:datastoreItem xmlns:ds="http://schemas.openxmlformats.org/officeDocument/2006/customXml" ds:itemID="{AF399BAC-8ECD-4342-8C88-3820A25475B9}"/>
</file>

<file path=customXml/itemProps4.xml><?xml version="1.0" encoding="utf-8"?>
<ds:datastoreItem xmlns:ds="http://schemas.openxmlformats.org/officeDocument/2006/customXml" ds:itemID="{28BD22D4-A6A4-4293-AC91-1A7FCDEF216C}"/>
</file>

<file path=docProps/app.xml><?xml version="1.0" encoding="utf-8"?>
<Properties xmlns="http://schemas.openxmlformats.org/officeDocument/2006/extended-properties" xmlns:vt="http://schemas.openxmlformats.org/officeDocument/2006/docPropsVTypes">
  <Template>Normal.dotm</Template>
  <TotalTime>44</TotalTime>
  <Pages>5</Pages>
  <Words>1757</Words>
  <Characters>10016</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Grogan, Nolan (PacifiCorp)</dc:creator>
  <cp:keywords/>
  <dc:description/>
  <cp:lastModifiedBy>Osborn, Brian (PacifiCorp)</cp:lastModifiedBy>
  <cp:revision>8</cp:revision>
  <dcterms:created xsi:type="dcterms:W3CDTF">2024-12-05T23:49:00Z</dcterms:created>
  <dcterms:modified xsi:type="dcterms:W3CDTF">2025-01-08T23:01:00Z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0x0101006E56B4D1795A2E4DB2F0B01679ED314A001F08DB4955B0D342BFDD40F8F1264977</vt:lpwstr>
  </property>
  <property fmtid="{D5CDD505-2E9C-101B-9397-08002B2CF9AE}" pid="3" name="_docset_NoMedatataSyncRequired">
    <vt:lpwstr>False</vt:lpwstr>
  </property>
</Properties>
</file>